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667F85" w14:textId="00CBCA18" w:rsidR="009467EF" w:rsidRPr="00A91056" w:rsidRDefault="0030008B" w:rsidP="00CF4365">
      <w:pPr>
        <w:pStyle w:val="Title"/>
        <w:rPr>
          <w:b/>
          <w:bCs/>
        </w:rPr>
      </w:pPr>
      <w:r w:rsidRPr="00A91056">
        <w:rPr>
          <w:b/>
          <w:bCs/>
        </w:rPr>
        <w:t xml:space="preserve">The </w:t>
      </w:r>
      <w:r w:rsidR="0042550A" w:rsidRPr="00A91056">
        <w:rPr>
          <w:b/>
          <w:bCs/>
        </w:rPr>
        <w:t xml:space="preserve">Fertilized Avian Egg Fetal Liver Assays </w:t>
      </w:r>
      <w:r w:rsidR="009467EF" w:rsidRPr="00A91056">
        <w:rPr>
          <w:b/>
          <w:bCs/>
        </w:rPr>
        <w:t xml:space="preserve">for Assessing </w:t>
      </w:r>
      <w:r w:rsidR="0042550A" w:rsidRPr="00A91056">
        <w:rPr>
          <w:b/>
          <w:bCs/>
        </w:rPr>
        <w:t>DNA Damaging</w:t>
      </w:r>
      <w:r w:rsidR="009467EF" w:rsidRPr="00A91056">
        <w:rPr>
          <w:b/>
          <w:bCs/>
        </w:rPr>
        <w:t xml:space="preserve"> Potential of Chemicals</w:t>
      </w:r>
      <w:r w:rsidR="00D25F76">
        <w:rPr>
          <w:b/>
          <w:bCs/>
        </w:rPr>
        <w:t>:</w:t>
      </w:r>
      <w:r w:rsidR="009467EF" w:rsidRPr="00A91056">
        <w:rPr>
          <w:b/>
          <w:bCs/>
        </w:rPr>
        <w:t xml:space="preserve"> A Comparative Analysis with In Vitro and In Vivo Genotoxicity Assays </w:t>
      </w:r>
      <w:r w:rsidR="004511E1">
        <w:rPr>
          <w:b/>
          <w:bCs/>
        </w:rPr>
        <w:t>and Rodent Carcinogenicity</w:t>
      </w:r>
    </w:p>
    <w:p w14:paraId="6C72905D" w14:textId="77777777" w:rsidR="00C377B7" w:rsidRPr="00A91056" w:rsidRDefault="00C377B7" w:rsidP="00C377B7">
      <w:pPr>
        <w:ind w:firstLine="0"/>
        <w:rPr>
          <w:rFonts w:cs="Arial"/>
        </w:rPr>
      </w:pPr>
    </w:p>
    <w:p w14:paraId="75110A0A" w14:textId="0CCDE52A" w:rsidR="00DA01B5" w:rsidRPr="00A91056" w:rsidRDefault="005F6998" w:rsidP="00DA01B5">
      <w:pPr>
        <w:ind w:firstLine="0"/>
      </w:pPr>
      <w:r>
        <w:t>Running</w:t>
      </w:r>
      <w:r w:rsidR="00DA01B5" w:rsidRPr="00A91056">
        <w:t xml:space="preserve"> Title: </w:t>
      </w:r>
      <w:r w:rsidR="00DA01B5" w:rsidRPr="00A91056">
        <w:rPr>
          <w:b/>
          <w:bCs/>
        </w:rPr>
        <w:t>Detection of chemical DNA damage</w:t>
      </w:r>
      <w:r w:rsidR="00E014C8" w:rsidRPr="00A91056">
        <w:rPr>
          <w:b/>
          <w:bCs/>
        </w:rPr>
        <w:t xml:space="preserve"> in avian fetal livers</w:t>
      </w:r>
      <w:r w:rsidR="00DA01B5" w:rsidRPr="00A91056">
        <w:t xml:space="preserve"> </w:t>
      </w:r>
    </w:p>
    <w:p w14:paraId="5C1A4AF2" w14:textId="77777777" w:rsidR="00DA01B5" w:rsidRPr="00A91056" w:rsidRDefault="00DA01B5" w:rsidP="00C7089A">
      <w:pPr>
        <w:ind w:firstLine="0"/>
        <w:rPr>
          <w:rFonts w:cs="Arial"/>
          <w:szCs w:val="24"/>
        </w:rPr>
      </w:pPr>
    </w:p>
    <w:p w14:paraId="66188550" w14:textId="08AC7BE9" w:rsidR="00CF4365" w:rsidRPr="00A91056" w:rsidRDefault="00CF4365" w:rsidP="00C7089A">
      <w:pPr>
        <w:ind w:firstLine="0"/>
        <w:rPr>
          <w:rFonts w:cs="Arial"/>
          <w:szCs w:val="24"/>
        </w:rPr>
      </w:pPr>
      <w:r w:rsidRPr="00A91056">
        <w:rPr>
          <w:rFonts w:cs="Arial"/>
          <w:szCs w:val="24"/>
        </w:rPr>
        <w:t>Tetyana Kobets</w:t>
      </w:r>
      <w:r w:rsidR="00B578D6" w:rsidRPr="00A91056">
        <w:rPr>
          <w:rFonts w:cs="Arial"/>
          <w:szCs w:val="24"/>
        </w:rPr>
        <w:t xml:space="preserve"> </w:t>
      </w:r>
      <w:r w:rsidRPr="00A91056">
        <w:rPr>
          <w:rFonts w:cs="Arial"/>
          <w:szCs w:val="24"/>
          <w:vertAlign w:val="superscript"/>
        </w:rPr>
        <w:t>*</w:t>
      </w:r>
      <w:r w:rsidRPr="00A91056">
        <w:rPr>
          <w:rFonts w:cs="Arial"/>
          <w:szCs w:val="24"/>
        </w:rPr>
        <w:t xml:space="preserve">, Gary M. Williams </w:t>
      </w:r>
    </w:p>
    <w:p w14:paraId="1F722CA8" w14:textId="77777777" w:rsidR="00270CF2" w:rsidRPr="00A91056" w:rsidRDefault="00270CF2" w:rsidP="00270CF2">
      <w:pPr>
        <w:ind w:firstLine="0"/>
        <w:rPr>
          <w:rFonts w:cs="Arial"/>
          <w:szCs w:val="24"/>
        </w:rPr>
      </w:pPr>
    </w:p>
    <w:p w14:paraId="68F1F5E6" w14:textId="56B95802" w:rsidR="00270CF2" w:rsidRPr="00A91056" w:rsidRDefault="00270CF2" w:rsidP="00270CF2">
      <w:pPr>
        <w:ind w:firstLine="0"/>
        <w:rPr>
          <w:rStyle w:val="Hyperlink"/>
          <w:rFonts w:cs="Arial"/>
          <w:szCs w:val="24"/>
        </w:rPr>
      </w:pPr>
      <w:r w:rsidRPr="00A91056">
        <w:rPr>
          <w:rFonts w:cs="Arial"/>
          <w:szCs w:val="24"/>
        </w:rPr>
        <w:t>* Corresponding author</w:t>
      </w:r>
    </w:p>
    <w:p w14:paraId="6EB40A9F" w14:textId="77777777" w:rsidR="00CF4365" w:rsidRPr="00A91056" w:rsidRDefault="00CF4365" w:rsidP="00CF4365">
      <w:pPr>
        <w:rPr>
          <w:rFonts w:cs="Arial"/>
          <w:szCs w:val="24"/>
        </w:rPr>
      </w:pPr>
    </w:p>
    <w:p w14:paraId="17925503" w14:textId="61311B1C" w:rsidR="00CF4365" w:rsidRPr="00A91056" w:rsidRDefault="005F35B5" w:rsidP="00C7089A">
      <w:pPr>
        <w:ind w:firstLine="0"/>
        <w:rPr>
          <w:rFonts w:cs="Arial"/>
          <w:szCs w:val="24"/>
        </w:rPr>
      </w:pPr>
      <w:r w:rsidRPr="00A91056">
        <w:rPr>
          <w:rFonts w:cs="Arial"/>
          <w:szCs w:val="24"/>
        </w:rPr>
        <w:t>Tetyana Kobets</w:t>
      </w:r>
      <w:r w:rsidR="00B578D6" w:rsidRPr="00A91056">
        <w:rPr>
          <w:rFonts w:cs="Arial"/>
          <w:szCs w:val="24"/>
        </w:rPr>
        <w:t>,</w:t>
      </w:r>
      <w:r w:rsidRPr="00A91056">
        <w:rPr>
          <w:rFonts w:cs="Arial"/>
          <w:szCs w:val="24"/>
        </w:rPr>
        <w:t xml:space="preserve"> </w:t>
      </w:r>
      <w:r w:rsidR="00CF4365" w:rsidRPr="00A91056">
        <w:rPr>
          <w:rFonts w:cs="Arial"/>
          <w:szCs w:val="24"/>
        </w:rPr>
        <w:t>Department of Pathology, Microbiology and Immunology</w:t>
      </w:r>
      <w:r w:rsidR="00B578D6" w:rsidRPr="00A91056">
        <w:rPr>
          <w:rFonts w:cs="Arial"/>
          <w:szCs w:val="24"/>
        </w:rPr>
        <w:t xml:space="preserve">, </w:t>
      </w:r>
      <w:r w:rsidR="00CF4365" w:rsidRPr="00A91056">
        <w:rPr>
          <w:rFonts w:cs="Arial"/>
          <w:szCs w:val="24"/>
        </w:rPr>
        <w:t>New York Medical College, Valhalla, NY, 10591</w:t>
      </w:r>
      <w:r w:rsidR="00B578D6" w:rsidRPr="00A91056">
        <w:rPr>
          <w:rFonts w:cs="Arial"/>
          <w:szCs w:val="24"/>
        </w:rPr>
        <w:t>, USA,</w:t>
      </w:r>
      <w:r w:rsidR="00BF3918" w:rsidRPr="00A91056">
        <w:rPr>
          <w:rFonts w:cs="Arial"/>
          <w:szCs w:val="24"/>
        </w:rPr>
        <w:t xml:space="preserve"> </w:t>
      </w:r>
      <w:r w:rsidR="00A375E3" w:rsidRPr="00A91056">
        <w:rPr>
          <w:rFonts w:cs="Arial"/>
          <w:szCs w:val="24"/>
        </w:rPr>
        <w:t>phone</w:t>
      </w:r>
      <w:r w:rsidR="00525E4B" w:rsidRPr="00A91056">
        <w:rPr>
          <w:rFonts w:cs="Arial"/>
          <w:szCs w:val="24"/>
        </w:rPr>
        <w:t xml:space="preserve">: +1(914)-594-3105, fax: </w:t>
      </w:r>
      <w:r w:rsidR="008D0F5D" w:rsidRPr="00A91056">
        <w:rPr>
          <w:rFonts w:cs="Arial"/>
          <w:szCs w:val="24"/>
        </w:rPr>
        <w:t>914-594-4163,</w:t>
      </w:r>
      <w:r w:rsidR="00A375E3" w:rsidRPr="00A91056">
        <w:rPr>
          <w:rFonts w:cs="Arial"/>
          <w:szCs w:val="24"/>
        </w:rPr>
        <w:t xml:space="preserve"> email:</w:t>
      </w:r>
      <w:r w:rsidR="00B578D6" w:rsidRPr="00A91056">
        <w:rPr>
          <w:rFonts w:cs="Arial"/>
          <w:szCs w:val="24"/>
        </w:rPr>
        <w:t xml:space="preserve"> </w:t>
      </w:r>
      <w:hyperlink r:id="rId8" w:history="1">
        <w:r w:rsidR="00B578D6" w:rsidRPr="00A91056">
          <w:rPr>
            <w:rStyle w:val="Hyperlink"/>
            <w:rFonts w:cs="Arial"/>
            <w:szCs w:val="24"/>
          </w:rPr>
          <w:t>Tetyana_Kobets@nymc.edu</w:t>
        </w:r>
      </w:hyperlink>
      <w:r w:rsidR="00B578D6" w:rsidRPr="00A91056">
        <w:rPr>
          <w:rStyle w:val="Hyperlink"/>
          <w:rFonts w:cs="Arial"/>
          <w:szCs w:val="24"/>
        </w:rPr>
        <w:t>,</w:t>
      </w:r>
      <w:r w:rsidR="00B578D6" w:rsidRPr="00A91056">
        <w:rPr>
          <w:rStyle w:val="Hyperlink"/>
          <w:rFonts w:cs="Arial"/>
          <w:color w:val="auto"/>
          <w:szCs w:val="24"/>
          <w:u w:val="none"/>
        </w:rPr>
        <w:t xml:space="preserve"> ORCID ID: 0000-0002-8207-5035</w:t>
      </w:r>
    </w:p>
    <w:p w14:paraId="0E328E8E" w14:textId="77777777" w:rsidR="00CF4365" w:rsidRPr="00A91056" w:rsidRDefault="00CF4365" w:rsidP="00CF4365">
      <w:pPr>
        <w:rPr>
          <w:rFonts w:cs="Arial"/>
        </w:rPr>
      </w:pPr>
    </w:p>
    <w:p w14:paraId="197E7D15" w14:textId="322CDAEA" w:rsidR="00270CF2" w:rsidRPr="00A91056" w:rsidRDefault="00270CF2" w:rsidP="00C7089A">
      <w:pPr>
        <w:ind w:firstLine="0"/>
      </w:pPr>
      <w:r w:rsidRPr="00A91056">
        <w:rPr>
          <w:rFonts w:cs="Arial"/>
          <w:szCs w:val="24"/>
        </w:rPr>
        <w:t>Gary M. Williams</w:t>
      </w:r>
      <w:r w:rsidR="00B578D6" w:rsidRPr="00A91056">
        <w:rPr>
          <w:rFonts w:cs="Arial"/>
          <w:szCs w:val="24"/>
        </w:rPr>
        <w:t xml:space="preserve">, Department of Pathology, Microbiology and Immunology, New York Medical College, Valhalla, NY, 10591, USA, </w:t>
      </w:r>
      <w:hyperlink r:id="rId9" w:history="1">
        <w:r w:rsidRPr="00A91056">
          <w:rPr>
            <w:rStyle w:val="Hyperlink"/>
          </w:rPr>
          <w:t>gary_williams@nymc.edu</w:t>
        </w:r>
      </w:hyperlink>
    </w:p>
    <w:p w14:paraId="367301FA" w14:textId="77777777" w:rsidR="00270CF2" w:rsidRPr="00A91056" w:rsidRDefault="00270CF2" w:rsidP="00C7089A">
      <w:pPr>
        <w:ind w:firstLine="0"/>
      </w:pPr>
    </w:p>
    <w:p w14:paraId="04EF6DA8" w14:textId="34C7A46C" w:rsidR="00BE0976" w:rsidRPr="00A91056" w:rsidRDefault="00BE0976" w:rsidP="00103DBD">
      <w:pPr>
        <w:ind w:left="576" w:firstLine="0"/>
        <w:rPr>
          <w:rFonts w:cs="Arial"/>
          <w:color w:val="467886"/>
          <w:szCs w:val="24"/>
        </w:rPr>
      </w:pPr>
      <w:r w:rsidRPr="00A91056">
        <w:rPr>
          <w:rStyle w:val="Hyperlink"/>
          <w:rFonts w:cs="Arial"/>
          <w:szCs w:val="24"/>
          <w:u w:val="none"/>
        </w:rPr>
        <w:tab/>
      </w:r>
      <w:r w:rsidRPr="00A91056">
        <w:rPr>
          <w:rStyle w:val="Hyperlink"/>
          <w:rFonts w:cs="Arial"/>
          <w:szCs w:val="24"/>
          <w:u w:val="none"/>
        </w:rPr>
        <w:tab/>
      </w:r>
      <w:r w:rsidRPr="00A91056">
        <w:rPr>
          <w:rStyle w:val="Hyperlink"/>
          <w:rFonts w:cs="Arial"/>
          <w:szCs w:val="24"/>
          <w:u w:val="none"/>
        </w:rPr>
        <w:tab/>
      </w:r>
      <w:r w:rsidR="00103DBD" w:rsidRPr="00A91056">
        <w:rPr>
          <w:rStyle w:val="Hyperlink"/>
          <w:rFonts w:cs="Arial"/>
          <w:szCs w:val="24"/>
          <w:u w:val="none"/>
        </w:rPr>
        <w:t xml:space="preserve">       </w:t>
      </w:r>
    </w:p>
    <w:p w14:paraId="1B4FA831" w14:textId="77777777" w:rsidR="00F96CFF" w:rsidRPr="00A91056" w:rsidRDefault="00F96CFF">
      <w:pPr>
        <w:rPr>
          <w:rFonts w:cs="Arial"/>
          <w:szCs w:val="24"/>
        </w:rPr>
      </w:pPr>
    </w:p>
    <w:p w14:paraId="68030511" w14:textId="0A6C0208" w:rsidR="00124BD7" w:rsidRPr="00A91056" w:rsidRDefault="00F96CFF" w:rsidP="00C7089A">
      <w:pPr>
        <w:ind w:firstLine="0"/>
        <w:rPr>
          <w:rFonts w:cs="Arial"/>
          <w:szCs w:val="24"/>
        </w:rPr>
      </w:pPr>
      <w:r w:rsidRPr="00A91056">
        <w:rPr>
          <w:rFonts w:cs="Arial"/>
          <w:b/>
          <w:bCs/>
          <w:szCs w:val="24"/>
        </w:rPr>
        <w:t xml:space="preserve">Key </w:t>
      </w:r>
      <w:r w:rsidR="00124BD7" w:rsidRPr="00A91056">
        <w:rPr>
          <w:rFonts w:cs="Arial"/>
          <w:b/>
          <w:bCs/>
          <w:szCs w:val="24"/>
        </w:rPr>
        <w:t>W</w:t>
      </w:r>
      <w:r w:rsidRPr="00A91056">
        <w:rPr>
          <w:rFonts w:cs="Arial"/>
          <w:b/>
          <w:bCs/>
          <w:szCs w:val="24"/>
        </w:rPr>
        <w:t>ords</w:t>
      </w:r>
      <w:r w:rsidRPr="00A91056">
        <w:rPr>
          <w:rFonts w:cs="Arial"/>
          <w:szCs w:val="24"/>
        </w:rPr>
        <w:t xml:space="preserve">: Genotoxicity, DNA damage, liver, chemicals, </w:t>
      </w:r>
      <w:r w:rsidR="002A5F23" w:rsidRPr="00A91056">
        <w:rPr>
          <w:rFonts w:cs="Arial"/>
          <w:i/>
          <w:iCs/>
          <w:szCs w:val="24"/>
        </w:rPr>
        <w:t xml:space="preserve">in </w:t>
      </w:r>
      <w:proofErr w:type="spellStart"/>
      <w:r w:rsidR="002A5F23" w:rsidRPr="00A91056">
        <w:rPr>
          <w:rFonts w:cs="Arial"/>
          <w:i/>
          <w:iCs/>
          <w:szCs w:val="24"/>
        </w:rPr>
        <w:t>ovo</w:t>
      </w:r>
      <w:proofErr w:type="spellEnd"/>
      <w:r w:rsidR="00DB56E9" w:rsidRPr="00A91056">
        <w:rPr>
          <w:rFonts w:cs="Arial"/>
          <w:szCs w:val="24"/>
        </w:rPr>
        <w:t xml:space="preserve"> assay</w:t>
      </w:r>
    </w:p>
    <w:p w14:paraId="716DBE7D" w14:textId="77777777" w:rsidR="0042550A" w:rsidRPr="00A91056" w:rsidRDefault="00124BD7" w:rsidP="00C7089A">
      <w:pPr>
        <w:ind w:firstLine="0"/>
        <w:rPr>
          <w:rFonts w:cs="Arial"/>
          <w:szCs w:val="24"/>
        </w:rPr>
      </w:pPr>
      <w:r w:rsidRPr="00A91056">
        <w:rPr>
          <w:rFonts w:cs="Arial"/>
          <w:b/>
          <w:bCs/>
          <w:szCs w:val="24"/>
        </w:rPr>
        <w:t>Conflict of Interest</w:t>
      </w:r>
      <w:r w:rsidRPr="00A91056">
        <w:rPr>
          <w:rFonts w:cs="Arial"/>
          <w:szCs w:val="24"/>
        </w:rPr>
        <w:t>: The authors declare no conflict of interest</w:t>
      </w:r>
    </w:p>
    <w:p w14:paraId="781B1A8D" w14:textId="0CFEC09D" w:rsidR="00F96CFF" w:rsidRPr="00A91056" w:rsidRDefault="00F96CFF" w:rsidP="00C7089A">
      <w:pPr>
        <w:ind w:firstLine="0"/>
        <w:rPr>
          <w:rFonts w:cs="Arial"/>
          <w:szCs w:val="24"/>
        </w:rPr>
      </w:pPr>
      <w:r w:rsidRPr="00A91056">
        <w:rPr>
          <w:rFonts w:cs="Arial"/>
        </w:rPr>
        <w:br w:type="page"/>
      </w:r>
    </w:p>
    <w:p w14:paraId="4A89294E" w14:textId="235A7EE9" w:rsidR="00B44916" w:rsidRPr="00A91056" w:rsidRDefault="00F96CFF" w:rsidP="00F96CFF">
      <w:pPr>
        <w:pStyle w:val="Heading1"/>
      </w:pPr>
      <w:r w:rsidRPr="00A91056">
        <w:lastRenderedPageBreak/>
        <w:t>Abstract</w:t>
      </w:r>
    </w:p>
    <w:p w14:paraId="405FC5B9" w14:textId="5971C094" w:rsidR="00137238" w:rsidRPr="00A91056" w:rsidRDefault="0010067D" w:rsidP="00F9281A">
      <w:pPr>
        <w:ind w:firstLine="0"/>
      </w:pPr>
      <w:bookmarkStart w:id="0" w:name="_Hlk177376626"/>
      <w:bookmarkStart w:id="1" w:name="_Hlk177376920"/>
      <w:r w:rsidRPr="00A91056">
        <w:t>The</w:t>
      </w:r>
      <w:r w:rsidR="00170F37" w:rsidRPr="00A91056">
        <w:t xml:space="preserve"> ability to </w:t>
      </w:r>
      <w:r w:rsidR="004161BC">
        <w:t>pro</w:t>
      </w:r>
      <w:r w:rsidR="00170F37" w:rsidRPr="00A91056">
        <w:t>duce direct DNA damage</w:t>
      </w:r>
      <w:r w:rsidR="0071050E" w:rsidRPr="00A91056">
        <w:t xml:space="preserve"> (</w:t>
      </w:r>
      <w:r w:rsidR="00170F37" w:rsidRPr="00A91056">
        <w:t>genotoxicity</w:t>
      </w:r>
      <w:r w:rsidR="0071050E" w:rsidRPr="00A91056">
        <w:t>)</w:t>
      </w:r>
      <w:r w:rsidR="000F7EEA" w:rsidRPr="00A91056">
        <w:t xml:space="preserve"> </w:t>
      </w:r>
      <w:r w:rsidR="00645424" w:rsidRPr="00A91056">
        <w:t xml:space="preserve">underlies </w:t>
      </w:r>
      <w:r w:rsidR="00D25F76">
        <w:t xml:space="preserve">the </w:t>
      </w:r>
      <w:r w:rsidR="00774790" w:rsidRPr="00A91056">
        <w:t>carcinogenic</w:t>
      </w:r>
      <w:r w:rsidR="000F7EEA" w:rsidRPr="00A91056">
        <w:t xml:space="preserve"> mode of action </w:t>
      </w:r>
      <w:r w:rsidR="006C4472" w:rsidRPr="00A91056">
        <w:t>of various</w:t>
      </w:r>
      <w:r w:rsidR="00170F37" w:rsidRPr="00A91056">
        <w:t xml:space="preserve"> </w:t>
      </w:r>
      <w:r w:rsidR="004D4A57" w:rsidRPr="00A91056">
        <w:t>chemicals</w:t>
      </w:r>
      <w:r w:rsidR="00FD7609" w:rsidRPr="00A91056">
        <w:t xml:space="preserve">. </w:t>
      </w:r>
      <w:bookmarkEnd w:id="0"/>
      <w:bookmarkEnd w:id="1"/>
      <w:r w:rsidR="00FD1175" w:rsidRPr="00A91056">
        <w:t>As such, g</w:t>
      </w:r>
      <w:r w:rsidR="007C07E7" w:rsidRPr="00A91056">
        <w:t>enotoxic</w:t>
      </w:r>
      <w:r w:rsidR="00FD1175" w:rsidRPr="00A91056">
        <w:t>i</w:t>
      </w:r>
      <w:r w:rsidR="00DA59C3" w:rsidRPr="00A91056">
        <w:t xml:space="preserve">ty endpoints are typically evaluated </w:t>
      </w:r>
      <w:r w:rsidR="003E1937" w:rsidRPr="00A91056">
        <w:t>in</w:t>
      </w:r>
      <w:r w:rsidR="00DA59C3" w:rsidRPr="00A91056">
        <w:t xml:space="preserve"> a regulatory-approved battery of in vitro tests</w:t>
      </w:r>
      <w:r w:rsidR="00C22F9D" w:rsidRPr="00A91056">
        <w:t xml:space="preserve"> with potential </w:t>
      </w:r>
      <w:r w:rsidR="00195DD9" w:rsidRPr="00A91056">
        <w:t xml:space="preserve">in vivo </w:t>
      </w:r>
      <w:r w:rsidR="00C22F9D" w:rsidRPr="00A91056">
        <w:t>follow-up</w:t>
      </w:r>
      <w:r w:rsidR="00DA59C3" w:rsidRPr="00A91056">
        <w:t>.</w:t>
      </w:r>
      <w:r w:rsidR="00266D74" w:rsidRPr="00A91056">
        <w:t xml:space="preserve"> </w:t>
      </w:r>
      <w:r w:rsidR="00423F75" w:rsidRPr="00A91056">
        <w:t>G</w:t>
      </w:r>
      <w:r w:rsidR="00723D90" w:rsidRPr="00A91056">
        <w:t xml:space="preserve">rowing concern for animal welfare and implementation of new regulations </w:t>
      </w:r>
      <w:r w:rsidR="00BC279F" w:rsidRPr="00A91056">
        <w:t>which</w:t>
      </w:r>
      <w:r w:rsidR="00723D90" w:rsidRPr="00A91056">
        <w:t xml:space="preserve"> restrict </w:t>
      </w:r>
      <w:r w:rsidR="00936BDF" w:rsidRPr="00A91056">
        <w:t xml:space="preserve">the </w:t>
      </w:r>
      <w:r w:rsidR="00723D90" w:rsidRPr="00A91056">
        <w:t>us</w:t>
      </w:r>
      <w:r w:rsidR="00936BDF" w:rsidRPr="00A91056">
        <w:t>e</w:t>
      </w:r>
      <w:r w:rsidR="00723D90" w:rsidRPr="00A91056">
        <w:t xml:space="preserve"> of laboratory animals necessitate</w:t>
      </w:r>
      <w:r w:rsidR="002B1D06">
        <w:t>d</w:t>
      </w:r>
      <w:r w:rsidR="00723D90" w:rsidRPr="00A91056">
        <w:t xml:space="preserve"> the </w:t>
      </w:r>
      <w:r w:rsidR="000D4C04">
        <w:t>introduction</w:t>
      </w:r>
      <w:r w:rsidR="00723D90" w:rsidRPr="00A91056">
        <w:t xml:space="preserve"> of New Approach Methodologies (NAMs).</w:t>
      </w:r>
      <w:r w:rsidR="006F124F" w:rsidRPr="00A91056">
        <w:t xml:space="preserve"> The avian egg-based (</w:t>
      </w:r>
      <w:r w:rsidR="006F124F" w:rsidRPr="00A91056">
        <w:rPr>
          <w:i/>
          <w:iCs/>
        </w:rPr>
        <w:t xml:space="preserve">in </w:t>
      </w:r>
      <w:proofErr w:type="spellStart"/>
      <w:r w:rsidR="006F124F" w:rsidRPr="00A91056">
        <w:rPr>
          <w:i/>
          <w:iCs/>
        </w:rPr>
        <w:t>ovo</w:t>
      </w:r>
      <w:proofErr w:type="spellEnd"/>
      <w:r w:rsidR="006F124F" w:rsidRPr="00A91056">
        <w:t>) models, the Chicken and related Turkey</w:t>
      </w:r>
      <w:r w:rsidR="00EB0E4A" w:rsidRPr="00A91056">
        <w:t xml:space="preserve"> Egg Fetal Liver </w:t>
      </w:r>
      <w:r w:rsidR="00ED6A90">
        <w:t xml:space="preserve">DNA Damage </w:t>
      </w:r>
      <w:r w:rsidR="00EB0E4A" w:rsidRPr="00A91056">
        <w:t>Assays</w:t>
      </w:r>
      <w:r w:rsidR="0067159B" w:rsidRPr="00A91056">
        <w:t xml:space="preserve">, were developed </w:t>
      </w:r>
      <w:r w:rsidR="00ED1CC8" w:rsidRPr="00A91056">
        <w:t>as metabolically competent NAMs to potentially replace short-term in vivo genotoxicity assays</w:t>
      </w:r>
      <w:r w:rsidR="004953DE" w:rsidRPr="00A91056">
        <w:t xml:space="preserve"> for chemicals that </w:t>
      </w:r>
      <w:r w:rsidR="00AF4949" w:rsidRPr="00A91056">
        <w:t>are genotoxic</w:t>
      </w:r>
      <w:r w:rsidR="004953DE" w:rsidRPr="00A91056">
        <w:t xml:space="preserve"> in vitro.</w:t>
      </w:r>
      <w:r w:rsidR="0067159B" w:rsidRPr="00A91056">
        <w:t xml:space="preserve"> Both models utilize </w:t>
      </w:r>
      <w:r w:rsidR="00200221" w:rsidRPr="00A91056">
        <w:t xml:space="preserve">avian </w:t>
      </w:r>
      <w:r w:rsidR="00B00B7B" w:rsidRPr="00A91056">
        <w:t xml:space="preserve">fetal </w:t>
      </w:r>
      <w:r w:rsidR="00200221" w:rsidRPr="00A91056">
        <w:t xml:space="preserve">livers for </w:t>
      </w:r>
      <w:r w:rsidR="00E93BCE" w:rsidRPr="00A91056">
        <w:t xml:space="preserve">the </w:t>
      </w:r>
      <w:r w:rsidR="00200221" w:rsidRPr="00A91056">
        <w:t>evaluation of endpoints indicative of DNA damage produced by either direct or indirect mechanisms, specifically, the formation of nuclear DNA adducts and strand breaks.</w:t>
      </w:r>
      <w:r w:rsidR="0070057B" w:rsidRPr="00A91056">
        <w:t xml:space="preserve"> </w:t>
      </w:r>
      <w:r w:rsidR="00452B42" w:rsidRPr="00A91056">
        <w:t xml:space="preserve">Moreover, avian embryos carry genetic and morphologic resemblance to mammals and can be used for an extensive evaluation of other endpoints including histopathology and tissue-specific genomic profiling. </w:t>
      </w:r>
      <w:r w:rsidR="00D91E8C" w:rsidRPr="00A91056">
        <w:t>A</w:t>
      </w:r>
      <w:r w:rsidR="004B026C" w:rsidRPr="00A91056">
        <w:t>vian fetal livers contain a full complement of metabolizing enzymes</w:t>
      </w:r>
      <w:r w:rsidR="00137238" w:rsidRPr="00A91056">
        <w:t xml:space="preserve"> </w:t>
      </w:r>
      <w:r w:rsidR="00B819B3" w:rsidRPr="00A91056">
        <w:t xml:space="preserve">and </w:t>
      </w:r>
      <w:r w:rsidR="00137238" w:rsidRPr="00A91056">
        <w:t xml:space="preserve">are capable of </w:t>
      </w:r>
      <w:r w:rsidR="00B819B3" w:rsidRPr="00A91056">
        <w:t xml:space="preserve">bioactivation, </w:t>
      </w:r>
      <w:r w:rsidR="00137238" w:rsidRPr="00A91056">
        <w:t>detoxication</w:t>
      </w:r>
      <w:r w:rsidR="00B819B3" w:rsidRPr="00A91056">
        <w:t>,</w:t>
      </w:r>
      <w:r w:rsidR="00137238" w:rsidRPr="00A91056">
        <w:t xml:space="preserve"> and elimination of xenobiotics.</w:t>
      </w:r>
      <w:r w:rsidR="00AE0C5C">
        <w:t xml:space="preserve"> The comprehensive </w:t>
      </w:r>
      <w:r w:rsidR="00887702">
        <w:t xml:space="preserve">analysis of </w:t>
      </w:r>
      <w:r w:rsidR="00BC1022">
        <w:t>87</w:t>
      </w:r>
      <w:r w:rsidR="00887702">
        <w:t xml:space="preserve"> </w:t>
      </w:r>
      <w:r w:rsidR="008C447C">
        <w:t xml:space="preserve">and 59 </w:t>
      </w:r>
      <w:r w:rsidR="00887702">
        <w:t xml:space="preserve">chemicals </w:t>
      </w:r>
      <w:r w:rsidR="008C447C">
        <w:t xml:space="preserve">assessed in the chicken and turkey models, respectively, revealed </w:t>
      </w:r>
      <w:r w:rsidR="00E67801" w:rsidRPr="00A91056">
        <w:t xml:space="preserve">a stronger correlation with the results from in vivo assays </w:t>
      </w:r>
      <w:r w:rsidR="00F9281A">
        <w:t xml:space="preserve">demonstrating </w:t>
      </w:r>
      <w:r w:rsidR="008C447C">
        <w:t xml:space="preserve">that </w:t>
      </w:r>
      <w:r w:rsidR="00B90DF9" w:rsidRPr="00A91056">
        <w:rPr>
          <w:i/>
          <w:iCs/>
        </w:rPr>
        <w:t xml:space="preserve">in </w:t>
      </w:r>
      <w:proofErr w:type="spellStart"/>
      <w:r w:rsidR="00B90DF9" w:rsidRPr="00A91056">
        <w:rPr>
          <w:i/>
          <w:iCs/>
        </w:rPr>
        <w:t>ovo</w:t>
      </w:r>
      <w:proofErr w:type="spellEnd"/>
      <w:r w:rsidR="00B90DF9" w:rsidRPr="00A91056">
        <w:t xml:space="preserve"> models can detect the genotoxic potential of a broader range of compounds compared to in vitro assays with S9 supplementation.</w:t>
      </w:r>
      <w:r w:rsidR="00985FE0" w:rsidRPr="00A91056">
        <w:t xml:space="preserve"> </w:t>
      </w:r>
      <w:r w:rsidR="00F90FC7" w:rsidRPr="00A91056">
        <w:t xml:space="preserve">In conclusion, </w:t>
      </w:r>
      <w:r w:rsidR="0052090D" w:rsidRPr="00A91056">
        <w:t xml:space="preserve">fertilized </w:t>
      </w:r>
      <w:r w:rsidR="003F03DE" w:rsidRPr="00A91056">
        <w:t xml:space="preserve">avian egg fetal liver assays </w:t>
      </w:r>
      <w:r w:rsidR="00DF0F86" w:rsidRPr="00A91056">
        <w:t xml:space="preserve">offer a promising alternative to traditional in vivo genotoxicity assays. </w:t>
      </w:r>
    </w:p>
    <w:p w14:paraId="38FBB523" w14:textId="77777777" w:rsidR="00137238" w:rsidRPr="00A91056" w:rsidRDefault="00137238" w:rsidP="004B026C">
      <w:pPr>
        <w:ind w:firstLine="0"/>
      </w:pPr>
    </w:p>
    <w:p w14:paraId="7A12077A" w14:textId="5E7015DB" w:rsidR="00B25C93" w:rsidRPr="00A91056" w:rsidRDefault="00110BEB" w:rsidP="00110BEB">
      <w:pPr>
        <w:pStyle w:val="Heading1"/>
      </w:pPr>
      <w:r w:rsidRPr="00A91056">
        <w:lastRenderedPageBreak/>
        <w:t xml:space="preserve">1. </w:t>
      </w:r>
      <w:r w:rsidR="00B25C93" w:rsidRPr="00A91056">
        <w:t>Introduction</w:t>
      </w:r>
    </w:p>
    <w:p w14:paraId="02884AF1" w14:textId="16352790" w:rsidR="00004920" w:rsidRPr="00A91056" w:rsidRDefault="00004920" w:rsidP="00110BEB">
      <w:pPr>
        <w:pStyle w:val="Heading2"/>
        <w:numPr>
          <w:ilvl w:val="0"/>
          <w:numId w:val="9"/>
        </w:numPr>
        <w:rPr>
          <w:lang w:eastAsia="zh-CN"/>
        </w:rPr>
      </w:pPr>
      <w:r w:rsidRPr="00A91056">
        <w:rPr>
          <w:lang w:eastAsia="zh-CN"/>
        </w:rPr>
        <w:t>Genotoxicity Ass</w:t>
      </w:r>
      <w:r w:rsidR="00110BEB" w:rsidRPr="00A91056">
        <w:rPr>
          <w:lang w:eastAsia="zh-CN"/>
        </w:rPr>
        <w:t>essment</w:t>
      </w:r>
    </w:p>
    <w:p w14:paraId="7AA8CB9D" w14:textId="1AEF0D27" w:rsidR="00B25C93" w:rsidRPr="00A91056" w:rsidRDefault="006B79DF" w:rsidP="007C17AD">
      <w:pPr>
        <w:autoSpaceDE w:val="0"/>
        <w:autoSpaceDN w:val="0"/>
        <w:adjustRightInd w:val="0"/>
        <w:rPr>
          <w:rFonts w:cs="Arial"/>
          <w:szCs w:val="24"/>
        </w:rPr>
      </w:pPr>
      <w:r w:rsidRPr="00A91056">
        <w:rPr>
          <w:rFonts w:cs="Arial"/>
          <w:szCs w:val="24"/>
        </w:rPr>
        <w:t xml:space="preserve">A </w:t>
      </w:r>
      <w:r w:rsidR="005F6998">
        <w:rPr>
          <w:rFonts w:cs="Arial"/>
          <w:szCs w:val="24"/>
        </w:rPr>
        <w:t xml:space="preserve">wide </w:t>
      </w:r>
      <w:r w:rsidRPr="00A91056">
        <w:rPr>
          <w:rFonts w:cs="Arial"/>
          <w:szCs w:val="24"/>
        </w:rPr>
        <w:t>variety of chemicals can produce DNA damage</w:t>
      </w:r>
      <w:r w:rsidR="00024800" w:rsidRPr="00A91056">
        <w:rPr>
          <w:rFonts w:cs="Arial"/>
          <w:szCs w:val="24"/>
        </w:rPr>
        <w:t xml:space="preserve">, </w:t>
      </w:r>
      <w:r w:rsidR="000101B6" w:rsidRPr="00A91056">
        <w:rPr>
          <w:rFonts w:cs="Arial"/>
          <w:szCs w:val="24"/>
        </w:rPr>
        <w:t xml:space="preserve">also </w:t>
      </w:r>
      <w:r w:rsidR="00024800" w:rsidRPr="00A91056">
        <w:rPr>
          <w:rFonts w:cs="Arial"/>
          <w:szCs w:val="24"/>
        </w:rPr>
        <w:t>referred to as genotoxicity,</w:t>
      </w:r>
      <w:r w:rsidRPr="00A91056">
        <w:rPr>
          <w:rFonts w:cs="Arial"/>
          <w:szCs w:val="24"/>
        </w:rPr>
        <w:t xml:space="preserve"> which </w:t>
      </w:r>
      <w:r w:rsidR="009E4B05" w:rsidRPr="00A91056">
        <w:rPr>
          <w:rFonts w:cs="Arial"/>
          <w:szCs w:val="24"/>
        </w:rPr>
        <w:t xml:space="preserve">is considered to be an initiating event in the process of carcinogenesis leading </w:t>
      </w:r>
      <w:r w:rsidR="004A6C34" w:rsidRPr="00A91056">
        <w:rPr>
          <w:rFonts w:cs="Arial"/>
          <w:szCs w:val="24"/>
        </w:rPr>
        <w:t xml:space="preserve">to </w:t>
      </w:r>
      <w:r w:rsidRPr="00A91056">
        <w:rPr>
          <w:rFonts w:cs="Arial"/>
          <w:szCs w:val="24"/>
        </w:rPr>
        <w:t>mutations</w:t>
      </w:r>
      <w:r w:rsidR="008856F7" w:rsidRPr="00A91056">
        <w:rPr>
          <w:rFonts w:cs="Arial"/>
          <w:szCs w:val="24"/>
        </w:rPr>
        <w:t>, chromosomal abnormalities and genomic instability</w:t>
      </w:r>
      <w:r w:rsidR="00B86497" w:rsidRPr="00A91056">
        <w:rPr>
          <w:rFonts w:cs="Arial"/>
          <w:szCs w:val="24"/>
        </w:rPr>
        <w:t xml:space="preserve"> </w:t>
      </w:r>
      <w:r w:rsidR="00C4016A" w:rsidRPr="00A91056">
        <w:rPr>
          <w:rFonts w:cs="Arial"/>
          <w:szCs w:val="24"/>
        </w:rPr>
        <w:t>(Kobets et al. 201</w:t>
      </w:r>
      <w:r w:rsidR="00217B8F">
        <w:rPr>
          <w:rFonts w:cs="Arial"/>
          <w:szCs w:val="24"/>
        </w:rPr>
        <w:t>8</w:t>
      </w:r>
      <w:r w:rsidR="00C4016A" w:rsidRPr="00A91056">
        <w:rPr>
          <w:rFonts w:cs="Arial"/>
          <w:szCs w:val="24"/>
        </w:rPr>
        <w:t>c; Kobets and Williams 2018; Preston and Williams 2005)</w:t>
      </w:r>
      <w:r w:rsidR="00B86497" w:rsidRPr="00A91056">
        <w:rPr>
          <w:rFonts w:cs="Arial"/>
          <w:szCs w:val="24"/>
        </w:rPr>
        <w:t>.</w:t>
      </w:r>
      <w:r w:rsidR="008856F7" w:rsidRPr="00A91056">
        <w:rPr>
          <w:rFonts w:cs="Arial"/>
          <w:szCs w:val="24"/>
        </w:rPr>
        <w:t xml:space="preserve"> </w:t>
      </w:r>
      <w:r w:rsidR="00024800" w:rsidRPr="00A91056">
        <w:rPr>
          <w:rFonts w:cs="Arial"/>
          <w:szCs w:val="24"/>
        </w:rPr>
        <w:t>Thus, e</w:t>
      </w:r>
      <w:r w:rsidR="00B25C93" w:rsidRPr="00A91056">
        <w:rPr>
          <w:rFonts w:cs="Arial"/>
          <w:szCs w:val="24"/>
        </w:rPr>
        <w:t>valuation of genotoxic</w:t>
      </w:r>
      <w:r w:rsidR="0040234B" w:rsidRPr="00A91056">
        <w:rPr>
          <w:rFonts w:cs="Arial"/>
          <w:szCs w:val="24"/>
        </w:rPr>
        <w:t>ity</w:t>
      </w:r>
      <w:r w:rsidR="00B25C93" w:rsidRPr="00A91056">
        <w:rPr>
          <w:rFonts w:cs="Arial"/>
          <w:szCs w:val="24"/>
        </w:rPr>
        <w:t xml:space="preserve"> in </w:t>
      </w:r>
      <w:r w:rsidR="001D0683" w:rsidRPr="00A91056">
        <w:rPr>
          <w:rFonts w:cs="Arial"/>
          <w:szCs w:val="24"/>
        </w:rPr>
        <w:t xml:space="preserve">the </w:t>
      </w:r>
      <w:r w:rsidR="00841507" w:rsidRPr="00A91056">
        <w:rPr>
          <w:rFonts w:cs="Arial"/>
          <w:szCs w:val="24"/>
        </w:rPr>
        <w:t xml:space="preserve">short term </w:t>
      </w:r>
      <w:r w:rsidR="00B25C93" w:rsidRPr="00A91056">
        <w:rPr>
          <w:rFonts w:cs="Arial"/>
          <w:szCs w:val="24"/>
        </w:rPr>
        <w:t>in vitro and in vivo assays</w:t>
      </w:r>
      <w:r w:rsidR="00070345" w:rsidRPr="00A91056">
        <w:rPr>
          <w:rFonts w:cs="Arial"/>
          <w:szCs w:val="24"/>
        </w:rPr>
        <w:t xml:space="preserve"> </w:t>
      </w:r>
      <w:r w:rsidR="00B25C93" w:rsidRPr="00A91056">
        <w:rPr>
          <w:rFonts w:cs="Arial"/>
          <w:szCs w:val="24"/>
        </w:rPr>
        <w:t xml:space="preserve">is required for the safety assessment of most consumer products </w:t>
      </w:r>
      <w:r w:rsidR="00C4016A" w:rsidRPr="00A91056">
        <w:rPr>
          <w:rFonts w:cs="Arial"/>
          <w:szCs w:val="24"/>
        </w:rPr>
        <w:t>(Corvi and Madia 2017; ICH 2012; Recio and Kobets 2023; Williams 1989)</w:t>
      </w:r>
      <w:r w:rsidR="00AA383C" w:rsidRPr="00A91056">
        <w:rPr>
          <w:rFonts w:cs="Arial"/>
          <w:szCs w:val="24"/>
        </w:rPr>
        <w:t xml:space="preserve">. </w:t>
      </w:r>
      <w:r w:rsidR="00B25C93" w:rsidRPr="00A91056">
        <w:rPr>
          <w:rFonts w:cs="Arial"/>
          <w:szCs w:val="24"/>
        </w:rPr>
        <w:t xml:space="preserve">The genotoxicity endpoints in these assays </w:t>
      </w:r>
      <w:r w:rsidR="00DF0057" w:rsidRPr="00A91056">
        <w:rPr>
          <w:rFonts w:cs="Arial"/>
          <w:szCs w:val="24"/>
        </w:rPr>
        <w:t>assess</w:t>
      </w:r>
      <w:r w:rsidR="00B25C93" w:rsidRPr="00A91056">
        <w:rPr>
          <w:rFonts w:cs="Arial"/>
          <w:szCs w:val="24"/>
        </w:rPr>
        <w:t xml:space="preserve"> </w:t>
      </w:r>
      <w:r w:rsidR="00CB3C1B" w:rsidRPr="00A91056">
        <w:rPr>
          <w:rFonts w:cs="Arial"/>
          <w:szCs w:val="24"/>
        </w:rPr>
        <w:t xml:space="preserve">potential of a chemical to </w:t>
      </w:r>
      <w:r w:rsidR="00AC2E93" w:rsidRPr="00A91056">
        <w:rPr>
          <w:rFonts w:cs="Arial"/>
          <w:szCs w:val="24"/>
        </w:rPr>
        <w:t xml:space="preserve">produce mutations </w:t>
      </w:r>
      <w:r w:rsidR="00B94BC0" w:rsidRPr="00A91056">
        <w:rPr>
          <w:rFonts w:cs="Arial"/>
          <w:szCs w:val="24"/>
        </w:rPr>
        <w:t xml:space="preserve">(mutagenicity) </w:t>
      </w:r>
      <w:r w:rsidR="00B25C93" w:rsidRPr="00A91056">
        <w:rPr>
          <w:rFonts w:cs="Arial"/>
          <w:szCs w:val="24"/>
        </w:rPr>
        <w:t>and</w:t>
      </w:r>
      <w:r w:rsidR="00B94BC0" w:rsidRPr="00A91056">
        <w:rPr>
          <w:rFonts w:cs="Arial"/>
          <w:szCs w:val="24"/>
        </w:rPr>
        <w:t>/or</w:t>
      </w:r>
      <w:r w:rsidR="00B25C93" w:rsidRPr="00A91056">
        <w:rPr>
          <w:rFonts w:cs="Arial"/>
          <w:szCs w:val="24"/>
        </w:rPr>
        <w:t xml:space="preserve"> chromosome aberrations</w:t>
      </w:r>
      <w:r w:rsidR="00B94BC0" w:rsidRPr="00A91056">
        <w:rPr>
          <w:rFonts w:cs="Arial"/>
          <w:szCs w:val="24"/>
        </w:rPr>
        <w:t xml:space="preserve"> (</w:t>
      </w:r>
      <w:proofErr w:type="spellStart"/>
      <w:r w:rsidR="00B94BC0" w:rsidRPr="00A91056">
        <w:rPr>
          <w:rFonts w:cs="Arial"/>
          <w:szCs w:val="24"/>
        </w:rPr>
        <w:t>c</w:t>
      </w:r>
      <w:r w:rsidR="00D957F7" w:rsidRPr="00A91056">
        <w:rPr>
          <w:rFonts w:cs="Arial"/>
          <w:szCs w:val="24"/>
        </w:rPr>
        <w:t>l</w:t>
      </w:r>
      <w:r w:rsidR="00B94BC0" w:rsidRPr="00A91056">
        <w:rPr>
          <w:rFonts w:cs="Arial"/>
          <w:szCs w:val="24"/>
        </w:rPr>
        <w:t>astogenicity</w:t>
      </w:r>
      <w:proofErr w:type="spellEnd"/>
      <w:r w:rsidR="00B94BC0" w:rsidRPr="00A91056">
        <w:rPr>
          <w:rFonts w:cs="Arial"/>
          <w:szCs w:val="24"/>
        </w:rPr>
        <w:t>/</w:t>
      </w:r>
      <w:proofErr w:type="spellStart"/>
      <w:r w:rsidR="00B94BC0" w:rsidRPr="00A91056">
        <w:rPr>
          <w:rFonts w:cs="Arial"/>
          <w:szCs w:val="24"/>
        </w:rPr>
        <w:t>aneugenicity</w:t>
      </w:r>
      <w:proofErr w:type="spellEnd"/>
      <w:r w:rsidR="00B94BC0" w:rsidRPr="00A91056">
        <w:rPr>
          <w:rFonts w:cs="Arial"/>
          <w:szCs w:val="24"/>
        </w:rPr>
        <w:t>)</w:t>
      </w:r>
      <w:r w:rsidR="00B25C93" w:rsidRPr="00A91056">
        <w:rPr>
          <w:rFonts w:cs="Arial"/>
          <w:szCs w:val="24"/>
        </w:rPr>
        <w:t>. </w:t>
      </w:r>
      <w:r w:rsidR="00670A06" w:rsidRPr="00A91056">
        <w:rPr>
          <w:rFonts w:cs="Arial"/>
          <w:szCs w:val="24"/>
        </w:rPr>
        <w:t xml:space="preserve">Since these </w:t>
      </w:r>
      <w:r w:rsidR="00B25C93" w:rsidRPr="00A91056">
        <w:rPr>
          <w:rFonts w:cs="Arial"/>
          <w:szCs w:val="24"/>
        </w:rPr>
        <w:t xml:space="preserve">endpoints can be </w:t>
      </w:r>
      <w:r w:rsidR="007C17AD" w:rsidRPr="00A91056">
        <w:rPr>
          <w:rFonts w:cs="Arial"/>
          <w:szCs w:val="24"/>
        </w:rPr>
        <w:t>elicited</w:t>
      </w:r>
      <w:r w:rsidR="00B25C93" w:rsidRPr="00A91056">
        <w:rPr>
          <w:rFonts w:cs="Arial"/>
          <w:szCs w:val="24"/>
        </w:rPr>
        <w:t xml:space="preserve"> by DNA damage</w:t>
      </w:r>
      <w:r w:rsidR="002D1392" w:rsidRPr="00A91056">
        <w:rPr>
          <w:rFonts w:cs="Arial"/>
          <w:szCs w:val="24"/>
        </w:rPr>
        <w:t xml:space="preserve"> </w:t>
      </w:r>
      <w:r w:rsidR="00C4016A" w:rsidRPr="00A91056">
        <w:rPr>
          <w:rFonts w:cs="Arial"/>
          <w:szCs w:val="24"/>
        </w:rPr>
        <w:t>(Kobets et al. 201</w:t>
      </w:r>
      <w:r w:rsidR="00217B8F">
        <w:rPr>
          <w:rFonts w:cs="Arial"/>
          <w:szCs w:val="24"/>
        </w:rPr>
        <w:t>8</w:t>
      </w:r>
      <w:r w:rsidR="00C4016A" w:rsidRPr="00A91056">
        <w:rPr>
          <w:rFonts w:cs="Arial"/>
          <w:szCs w:val="24"/>
        </w:rPr>
        <w:t>c; Kobets and Williams 2018; Preston and Williams 2005)</w:t>
      </w:r>
      <w:r w:rsidR="00D957F7" w:rsidRPr="00A91056">
        <w:rPr>
          <w:rFonts w:cs="Arial"/>
          <w:szCs w:val="24"/>
        </w:rPr>
        <w:t xml:space="preserve">, </w:t>
      </w:r>
      <w:r w:rsidR="00B25C93" w:rsidRPr="00A91056">
        <w:rPr>
          <w:rFonts w:cs="Arial"/>
          <w:szCs w:val="24"/>
        </w:rPr>
        <w:t xml:space="preserve">assessment of DNA damage </w:t>
      </w:r>
      <w:r w:rsidR="002D1392" w:rsidRPr="00A91056">
        <w:rPr>
          <w:rFonts w:cs="Arial"/>
          <w:szCs w:val="24"/>
        </w:rPr>
        <w:t xml:space="preserve">itself </w:t>
      </w:r>
      <w:r w:rsidR="00B25C93" w:rsidRPr="00A91056">
        <w:rPr>
          <w:rFonts w:cs="Arial"/>
          <w:szCs w:val="24"/>
        </w:rPr>
        <w:t>provides a mechanistic endpoint for </w:t>
      </w:r>
      <w:r w:rsidR="0033465D" w:rsidRPr="00A91056">
        <w:rPr>
          <w:rFonts w:cs="Arial"/>
          <w:szCs w:val="24"/>
        </w:rPr>
        <w:t>g</w:t>
      </w:r>
      <w:r w:rsidR="00B25C93" w:rsidRPr="00A91056">
        <w:rPr>
          <w:rFonts w:cs="Arial"/>
          <w:szCs w:val="24"/>
        </w:rPr>
        <w:t>enotoxicity</w:t>
      </w:r>
      <w:r w:rsidR="003222DB" w:rsidRPr="00A91056">
        <w:rPr>
          <w:rFonts w:cs="Arial"/>
          <w:szCs w:val="24"/>
        </w:rPr>
        <w:t xml:space="preserve"> </w:t>
      </w:r>
      <w:r w:rsidR="00C4016A" w:rsidRPr="00A91056">
        <w:rPr>
          <w:rFonts w:cs="Arial"/>
          <w:szCs w:val="24"/>
        </w:rPr>
        <w:t>(Williams 1984)</w:t>
      </w:r>
      <w:r w:rsidR="00B25C93" w:rsidRPr="00A91056">
        <w:rPr>
          <w:rFonts w:cs="Arial"/>
          <w:szCs w:val="24"/>
        </w:rPr>
        <w:t>.</w:t>
      </w:r>
    </w:p>
    <w:p w14:paraId="5C15E134" w14:textId="1C88EFB4" w:rsidR="007737D0" w:rsidRPr="00A91056" w:rsidRDefault="007737D0" w:rsidP="00CD11F2">
      <w:pPr>
        <w:autoSpaceDE w:val="0"/>
        <w:autoSpaceDN w:val="0"/>
        <w:adjustRightInd w:val="0"/>
        <w:rPr>
          <w:rFonts w:cs="Arial"/>
          <w:szCs w:val="24"/>
        </w:rPr>
      </w:pPr>
      <w:r w:rsidRPr="00A91056">
        <w:rPr>
          <w:rFonts w:cs="Arial"/>
          <w:szCs w:val="24"/>
        </w:rPr>
        <w:t xml:space="preserve">An example of </w:t>
      </w:r>
      <w:r w:rsidR="005F6998">
        <w:rPr>
          <w:rFonts w:cs="Arial"/>
          <w:szCs w:val="24"/>
        </w:rPr>
        <w:t xml:space="preserve">an </w:t>
      </w:r>
      <w:r w:rsidRPr="00A91056">
        <w:rPr>
          <w:rFonts w:cs="Arial"/>
          <w:szCs w:val="24"/>
        </w:rPr>
        <w:t xml:space="preserve">in vitro assay for DNA damage is the hepatocyte </w:t>
      </w:r>
      <w:bookmarkStart w:id="2" w:name="_Hlk184224194"/>
      <w:r w:rsidRPr="00A91056">
        <w:rPr>
          <w:rFonts w:cs="Arial"/>
          <w:szCs w:val="24"/>
        </w:rPr>
        <w:t xml:space="preserve">DNA repair assay (HPC/DRA) </w:t>
      </w:r>
      <w:bookmarkEnd w:id="2"/>
      <w:r w:rsidR="00C4016A" w:rsidRPr="00A91056">
        <w:rPr>
          <w:rFonts w:cs="Arial"/>
          <w:szCs w:val="24"/>
        </w:rPr>
        <w:t>(Butterworth et al. 1987; Williams et al. 1982; Williams et al. 1989)</w:t>
      </w:r>
      <w:r w:rsidRPr="00A91056">
        <w:rPr>
          <w:rFonts w:cs="Arial"/>
          <w:szCs w:val="24"/>
        </w:rPr>
        <w:t xml:space="preserve">. This assay </w:t>
      </w:r>
      <w:r w:rsidR="00935AFE" w:rsidRPr="00A91056">
        <w:rPr>
          <w:rFonts w:cs="Arial"/>
          <w:szCs w:val="24"/>
        </w:rPr>
        <w:t>utilizes</w:t>
      </w:r>
      <w:r w:rsidRPr="00A91056">
        <w:rPr>
          <w:rFonts w:cs="Arial"/>
          <w:szCs w:val="24"/>
        </w:rPr>
        <w:t xml:space="preserve"> </w:t>
      </w:r>
      <w:r w:rsidR="005F6998">
        <w:rPr>
          <w:rFonts w:cs="Arial"/>
          <w:szCs w:val="24"/>
        </w:rPr>
        <w:t>a</w:t>
      </w:r>
      <w:r w:rsidRPr="00A91056">
        <w:rPr>
          <w:rFonts w:cs="Arial"/>
          <w:szCs w:val="24"/>
        </w:rPr>
        <w:t xml:space="preserve"> cell type with the broadest representations of in vivo biotransformation processes and </w:t>
      </w:r>
      <w:r w:rsidR="00FB4D61" w:rsidRPr="00A91056">
        <w:rPr>
          <w:rFonts w:cs="Arial"/>
          <w:szCs w:val="24"/>
        </w:rPr>
        <w:t xml:space="preserve">monitors </w:t>
      </w:r>
      <w:r w:rsidR="0053046D" w:rsidRPr="00A91056">
        <w:rPr>
          <w:rFonts w:cs="Arial"/>
          <w:szCs w:val="24"/>
        </w:rPr>
        <w:t xml:space="preserve">a specific response to DNA damage. </w:t>
      </w:r>
      <w:r w:rsidR="00722EA8" w:rsidRPr="00A91056">
        <w:rPr>
          <w:rFonts w:cs="Arial"/>
          <w:szCs w:val="24"/>
        </w:rPr>
        <w:t xml:space="preserve">The liver is </w:t>
      </w:r>
      <w:r w:rsidR="00C1764C">
        <w:rPr>
          <w:rFonts w:cs="Arial"/>
          <w:szCs w:val="24"/>
        </w:rPr>
        <w:t>the</w:t>
      </w:r>
      <w:r w:rsidR="00722EA8" w:rsidRPr="00A91056">
        <w:rPr>
          <w:rFonts w:cs="Arial"/>
          <w:szCs w:val="24"/>
        </w:rPr>
        <w:t xml:space="preserve"> primary metabolic organ, which participates in </w:t>
      </w:r>
      <w:r w:rsidR="00863758">
        <w:rPr>
          <w:rFonts w:cs="Arial"/>
          <w:szCs w:val="24"/>
        </w:rPr>
        <w:t xml:space="preserve">biotransformation of </w:t>
      </w:r>
      <w:r w:rsidR="00722EA8" w:rsidRPr="00A91056">
        <w:rPr>
          <w:rFonts w:cs="Arial"/>
          <w:szCs w:val="24"/>
        </w:rPr>
        <w:t xml:space="preserve">the majority of xenobiotics, natural and synthetic </w:t>
      </w:r>
      <w:r w:rsidR="00C4016A" w:rsidRPr="00A91056">
        <w:rPr>
          <w:rFonts w:cs="Arial"/>
          <w:szCs w:val="24"/>
        </w:rPr>
        <w:t xml:space="preserve">(Moscovitz and </w:t>
      </w:r>
      <w:proofErr w:type="spellStart"/>
      <w:r w:rsidR="00C4016A" w:rsidRPr="00A91056">
        <w:rPr>
          <w:rFonts w:cs="Arial"/>
          <w:szCs w:val="24"/>
        </w:rPr>
        <w:t>Aleksunes</w:t>
      </w:r>
      <w:proofErr w:type="spellEnd"/>
      <w:r w:rsidR="00C4016A" w:rsidRPr="00A91056">
        <w:rPr>
          <w:rFonts w:cs="Arial"/>
          <w:szCs w:val="24"/>
        </w:rPr>
        <w:t xml:space="preserve"> 2013)</w:t>
      </w:r>
      <w:r w:rsidR="00722EA8" w:rsidRPr="00A91056">
        <w:rPr>
          <w:rFonts w:cs="Arial"/>
          <w:szCs w:val="24"/>
        </w:rPr>
        <w:t xml:space="preserve">. It is exposed to the largest amount of chemicals absorbed from the gastrointestinal tract via the portal circulation (first pass) and has the greatest biotransformation capacity </w:t>
      </w:r>
      <w:r w:rsidR="00C4016A" w:rsidRPr="00A91056">
        <w:rPr>
          <w:rFonts w:cs="Arial"/>
          <w:szCs w:val="24"/>
        </w:rPr>
        <w:t>(Larrey and Branch 1983)</w:t>
      </w:r>
      <w:r w:rsidR="00722EA8" w:rsidRPr="00A91056">
        <w:rPr>
          <w:rFonts w:cs="Arial"/>
          <w:szCs w:val="24"/>
        </w:rPr>
        <w:t xml:space="preserve">. </w:t>
      </w:r>
      <w:r w:rsidR="009D4FAC" w:rsidRPr="00A91056">
        <w:rPr>
          <w:rFonts w:cs="Arial"/>
          <w:szCs w:val="24"/>
        </w:rPr>
        <w:t xml:space="preserve">The HPC/DRA </w:t>
      </w:r>
      <w:r w:rsidRPr="00A91056">
        <w:rPr>
          <w:rFonts w:cs="Arial"/>
          <w:szCs w:val="24"/>
        </w:rPr>
        <w:t xml:space="preserve">can be </w:t>
      </w:r>
      <w:r w:rsidR="004368C0" w:rsidRPr="00A91056">
        <w:rPr>
          <w:rFonts w:cs="Arial"/>
          <w:szCs w:val="24"/>
        </w:rPr>
        <w:t>conducted</w:t>
      </w:r>
      <w:r w:rsidRPr="00A91056">
        <w:rPr>
          <w:rFonts w:cs="Arial"/>
          <w:szCs w:val="24"/>
        </w:rPr>
        <w:t xml:space="preserve"> with </w:t>
      </w:r>
      <w:r w:rsidR="00DD06F3">
        <w:rPr>
          <w:rFonts w:cs="Arial"/>
          <w:szCs w:val="24"/>
        </w:rPr>
        <w:t>HPC</w:t>
      </w:r>
      <w:r w:rsidRPr="00A91056">
        <w:rPr>
          <w:rFonts w:cs="Arial"/>
          <w:szCs w:val="24"/>
        </w:rPr>
        <w:t xml:space="preserve">s derived from any </w:t>
      </w:r>
      <w:r w:rsidRPr="00A91056">
        <w:rPr>
          <w:rFonts w:cs="Arial"/>
          <w:szCs w:val="24"/>
        </w:rPr>
        <w:lastRenderedPageBreak/>
        <w:t xml:space="preserve">species </w:t>
      </w:r>
      <w:r w:rsidR="00C4016A">
        <w:rPr>
          <w:rFonts w:cs="Arial"/>
          <w:noProof/>
          <w:szCs w:val="24"/>
        </w:rPr>
        <w:t>(Maslansky and Williams 1895; McQueen and Williams 1983; McQueen and Williams 1987)</w:t>
      </w:r>
      <w:r w:rsidR="00651F96" w:rsidRPr="00A91056">
        <w:rPr>
          <w:rFonts w:cs="Arial"/>
          <w:szCs w:val="24"/>
        </w:rPr>
        <w:t>,</w:t>
      </w:r>
      <w:r w:rsidRPr="00A91056">
        <w:rPr>
          <w:rFonts w:cs="Arial"/>
          <w:szCs w:val="24"/>
        </w:rPr>
        <w:t xml:space="preserve"> including humans </w:t>
      </w:r>
      <w:r w:rsidR="00C4016A" w:rsidRPr="00A91056">
        <w:rPr>
          <w:rFonts w:cs="Arial"/>
          <w:szCs w:val="24"/>
        </w:rPr>
        <w:t>(McQueen et al. 1988)</w:t>
      </w:r>
      <w:r w:rsidR="00873747" w:rsidRPr="00A91056">
        <w:rPr>
          <w:rFonts w:cs="Arial"/>
          <w:szCs w:val="24"/>
        </w:rPr>
        <w:t xml:space="preserve">. </w:t>
      </w:r>
      <w:r w:rsidRPr="00A91056">
        <w:rPr>
          <w:rFonts w:cs="Arial"/>
          <w:szCs w:val="24"/>
        </w:rPr>
        <w:t xml:space="preserve">Usually, mouse and rat </w:t>
      </w:r>
      <w:r w:rsidR="00DD06F3">
        <w:rPr>
          <w:rFonts w:cs="Arial"/>
          <w:szCs w:val="24"/>
        </w:rPr>
        <w:t>HPC</w:t>
      </w:r>
      <w:r w:rsidRPr="00A91056">
        <w:rPr>
          <w:rFonts w:cs="Arial"/>
          <w:szCs w:val="24"/>
        </w:rPr>
        <w:t>s are used</w:t>
      </w:r>
      <w:r w:rsidR="000F0DA9" w:rsidRPr="00A91056">
        <w:rPr>
          <w:rFonts w:cs="Arial"/>
          <w:szCs w:val="24"/>
        </w:rPr>
        <w:t xml:space="preserve">, </w:t>
      </w:r>
      <w:r w:rsidRPr="00A91056">
        <w:rPr>
          <w:rFonts w:cs="Arial"/>
          <w:szCs w:val="24"/>
        </w:rPr>
        <w:t xml:space="preserve">although to study specific biotransformation activities special genetic breed such as the New Zealand white rabbit </w:t>
      </w:r>
      <w:r w:rsidR="00AC5FD3" w:rsidRPr="00A91056">
        <w:rPr>
          <w:rFonts w:cs="Arial"/>
          <w:szCs w:val="24"/>
        </w:rPr>
        <w:t>which has a genetic polymorphism in</w:t>
      </w:r>
      <w:r w:rsidRPr="00A91056">
        <w:rPr>
          <w:rFonts w:cs="Arial"/>
          <w:szCs w:val="24"/>
        </w:rPr>
        <w:t xml:space="preserve"> acetylation</w:t>
      </w:r>
      <w:r w:rsidR="00664A84" w:rsidRPr="00A91056">
        <w:rPr>
          <w:rFonts w:cs="Arial"/>
          <w:szCs w:val="24"/>
        </w:rPr>
        <w:t xml:space="preserve"> can be utilized</w:t>
      </w:r>
      <w:r w:rsidR="00E46EDC" w:rsidRPr="00A91056">
        <w:rPr>
          <w:rFonts w:cs="Arial"/>
          <w:szCs w:val="24"/>
        </w:rPr>
        <w:t xml:space="preserve"> </w:t>
      </w:r>
      <w:r w:rsidR="00C4016A" w:rsidRPr="00A91056">
        <w:rPr>
          <w:rFonts w:cs="Arial"/>
          <w:szCs w:val="24"/>
        </w:rPr>
        <w:t>(McQueen et al. 1982; McQueen et al. 1983)</w:t>
      </w:r>
      <w:r w:rsidR="00CD11F2" w:rsidRPr="00A91056">
        <w:rPr>
          <w:rFonts w:cs="Arial"/>
          <w:szCs w:val="24"/>
        </w:rPr>
        <w:t xml:space="preserve">. </w:t>
      </w:r>
      <w:r w:rsidRPr="00A91056">
        <w:rPr>
          <w:rFonts w:cs="Arial"/>
          <w:szCs w:val="24"/>
        </w:rPr>
        <w:t>Testing in the HPC/DRA has revealed responses to a wide structural variety of genotoxin</w:t>
      </w:r>
      <w:r w:rsidR="00CD11F2" w:rsidRPr="00A91056">
        <w:rPr>
          <w:rFonts w:cs="Arial"/>
          <w:szCs w:val="24"/>
        </w:rPr>
        <w:t xml:space="preserve"> </w:t>
      </w:r>
      <w:r w:rsidR="00C4016A">
        <w:rPr>
          <w:rFonts w:cs="Arial"/>
          <w:noProof/>
          <w:szCs w:val="24"/>
        </w:rPr>
        <w:t>(McQueen et al. 1988; McQueen and Williams 1987; Williams et al. 1989)</w:t>
      </w:r>
      <w:r w:rsidRPr="00A91056">
        <w:rPr>
          <w:rFonts w:cs="Arial"/>
          <w:szCs w:val="24"/>
        </w:rPr>
        <w:t xml:space="preserve">. </w:t>
      </w:r>
    </w:p>
    <w:p w14:paraId="68C84D62" w14:textId="3E34BD8E" w:rsidR="002B385F" w:rsidRPr="00A91056" w:rsidRDefault="00F4320C" w:rsidP="009956EA">
      <w:pPr>
        <w:autoSpaceDE w:val="0"/>
        <w:autoSpaceDN w:val="0"/>
        <w:adjustRightInd w:val="0"/>
      </w:pPr>
      <w:r w:rsidRPr="00A91056">
        <w:rPr>
          <w:rFonts w:cs="Arial"/>
          <w:szCs w:val="24"/>
        </w:rPr>
        <w:t xml:space="preserve">In vivo studies are often required </w:t>
      </w:r>
      <w:r w:rsidR="002345D2" w:rsidRPr="00A91056">
        <w:rPr>
          <w:rFonts w:cs="Arial"/>
          <w:szCs w:val="24"/>
        </w:rPr>
        <w:t xml:space="preserve">as a follow-up </w:t>
      </w:r>
      <w:r w:rsidR="006733D2" w:rsidRPr="00A91056">
        <w:rPr>
          <w:rFonts w:cs="Arial"/>
          <w:szCs w:val="24"/>
        </w:rPr>
        <w:t xml:space="preserve">to in vitro </w:t>
      </w:r>
      <w:r w:rsidR="002708DC" w:rsidRPr="00A91056">
        <w:rPr>
          <w:rFonts w:cs="Arial"/>
          <w:szCs w:val="24"/>
        </w:rPr>
        <w:t xml:space="preserve">genotoxicity </w:t>
      </w:r>
      <w:r w:rsidR="006733D2" w:rsidRPr="00A91056">
        <w:rPr>
          <w:rFonts w:cs="Arial"/>
          <w:szCs w:val="24"/>
        </w:rPr>
        <w:t>test</w:t>
      </w:r>
      <w:r w:rsidR="0082616E" w:rsidRPr="00A91056">
        <w:rPr>
          <w:rFonts w:cs="Arial"/>
          <w:szCs w:val="24"/>
        </w:rPr>
        <w:t>s</w:t>
      </w:r>
      <w:r w:rsidR="006733D2" w:rsidRPr="00A91056">
        <w:rPr>
          <w:rFonts w:cs="Arial"/>
          <w:szCs w:val="24"/>
        </w:rPr>
        <w:t xml:space="preserve"> </w:t>
      </w:r>
      <w:r w:rsidR="00B42967" w:rsidRPr="00A91056">
        <w:rPr>
          <w:rFonts w:cs="Arial"/>
          <w:szCs w:val="24"/>
        </w:rPr>
        <w:t xml:space="preserve">for many classes of chemicals, including pharmaceuticals </w:t>
      </w:r>
      <w:r w:rsidR="00C4016A" w:rsidRPr="00A91056">
        <w:rPr>
          <w:rFonts w:cs="Arial"/>
          <w:szCs w:val="24"/>
        </w:rPr>
        <w:t>(ICH 2012)</w:t>
      </w:r>
      <w:r w:rsidR="00B42967" w:rsidRPr="00A91056">
        <w:rPr>
          <w:rFonts w:cs="Arial"/>
          <w:szCs w:val="24"/>
        </w:rPr>
        <w:t xml:space="preserve">. Nevertheless, current regulations </w:t>
      </w:r>
      <w:r w:rsidR="00DB2C88" w:rsidRPr="00A91056">
        <w:rPr>
          <w:rFonts w:cs="Arial"/>
          <w:szCs w:val="24"/>
        </w:rPr>
        <w:t xml:space="preserve">either encourage the use of alternatives to animal testing </w:t>
      </w:r>
      <w:r w:rsidR="00C4016A" w:rsidRPr="00A91056">
        <w:rPr>
          <w:rFonts w:cs="Arial"/>
          <w:szCs w:val="24"/>
        </w:rPr>
        <w:t>(US</w:t>
      </w:r>
      <w:r w:rsidR="009436DB">
        <w:rPr>
          <w:rFonts w:cs="Arial"/>
          <w:szCs w:val="24"/>
        </w:rPr>
        <w:t xml:space="preserve"> Congress</w:t>
      </w:r>
      <w:r w:rsidR="00C4016A" w:rsidRPr="00A91056">
        <w:rPr>
          <w:rFonts w:cs="Arial"/>
          <w:szCs w:val="24"/>
        </w:rPr>
        <w:t xml:space="preserve"> 2022)</w:t>
      </w:r>
      <w:r w:rsidR="00AC0B22" w:rsidRPr="00A91056">
        <w:rPr>
          <w:rFonts w:cs="Arial"/>
          <w:szCs w:val="24"/>
        </w:rPr>
        <w:t xml:space="preserve"> </w:t>
      </w:r>
      <w:r w:rsidR="0005751F" w:rsidRPr="00A91056">
        <w:rPr>
          <w:rFonts w:cs="Arial"/>
          <w:szCs w:val="24"/>
        </w:rPr>
        <w:t xml:space="preserve">or </w:t>
      </w:r>
      <w:r w:rsidR="008F4604" w:rsidRPr="00A91056">
        <w:rPr>
          <w:rFonts w:cs="Arial"/>
          <w:szCs w:val="24"/>
        </w:rPr>
        <w:t xml:space="preserve">altogether </w:t>
      </w:r>
      <w:r w:rsidR="0005751F" w:rsidRPr="00A91056">
        <w:rPr>
          <w:rFonts w:cs="Arial"/>
          <w:szCs w:val="24"/>
        </w:rPr>
        <w:t>prohibit</w:t>
      </w:r>
      <w:r w:rsidR="00653C50" w:rsidRPr="00A91056">
        <w:rPr>
          <w:rFonts w:cs="Arial"/>
          <w:szCs w:val="24"/>
        </w:rPr>
        <w:t xml:space="preserve"> the use of laboratory animals</w:t>
      </w:r>
      <w:r w:rsidR="00E15820" w:rsidRPr="00A91056">
        <w:rPr>
          <w:rFonts w:cs="Arial"/>
          <w:szCs w:val="24"/>
        </w:rPr>
        <w:t xml:space="preserve"> </w:t>
      </w:r>
      <w:r w:rsidR="00D75532" w:rsidRPr="00A91056">
        <w:rPr>
          <w:rFonts w:cs="Arial"/>
          <w:szCs w:val="24"/>
        </w:rPr>
        <w:t xml:space="preserve">for certain </w:t>
      </w:r>
      <w:r w:rsidR="004859FB" w:rsidRPr="00A91056">
        <w:rPr>
          <w:rFonts w:cs="Arial"/>
          <w:szCs w:val="24"/>
        </w:rPr>
        <w:t xml:space="preserve">compounds (i.e., cosmetic ingredients) </w:t>
      </w:r>
      <w:r w:rsidR="00C4016A" w:rsidRPr="00A91056">
        <w:rPr>
          <w:rFonts w:cs="Arial"/>
          <w:szCs w:val="24"/>
        </w:rPr>
        <w:t>(EU 2009)</w:t>
      </w:r>
      <w:r w:rsidR="00DB2C88" w:rsidRPr="00A91056">
        <w:rPr>
          <w:rFonts w:cs="Arial"/>
          <w:szCs w:val="24"/>
        </w:rPr>
        <w:t xml:space="preserve"> </w:t>
      </w:r>
      <w:r w:rsidR="00E15820" w:rsidRPr="00A91056">
        <w:rPr>
          <w:rFonts w:cs="Arial"/>
          <w:szCs w:val="24"/>
        </w:rPr>
        <w:t xml:space="preserve">in </w:t>
      </w:r>
      <w:r w:rsidR="00CA099F" w:rsidRPr="00A91056">
        <w:rPr>
          <w:rFonts w:cs="Arial"/>
          <w:szCs w:val="24"/>
        </w:rPr>
        <w:t>accordance with</w:t>
      </w:r>
      <w:r w:rsidR="00E15820" w:rsidRPr="00A91056">
        <w:rPr>
          <w:rFonts w:cs="Arial"/>
          <w:szCs w:val="24"/>
        </w:rPr>
        <w:t xml:space="preserve"> </w:t>
      </w:r>
      <w:r w:rsidR="00BA2781" w:rsidRPr="00A91056">
        <w:rPr>
          <w:rFonts w:cs="Arial"/>
          <w:szCs w:val="24"/>
        </w:rPr>
        <w:t xml:space="preserve">the 3R principles </w:t>
      </w:r>
      <w:r w:rsidR="00AD58DA" w:rsidRPr="00A91056">
        <w:rPr>
          <w:rFonts w:cs="Arial"/>
          <w:szCs w:val="24"/>
        </w:rPr>
        <w:t>of R</w:t>
      </w:r>
      <w:r w:rsidR="00E15820" w:rsidRPr="00A91056">
        <w:rPr>
          <w:rFonts w:cs="Arial"/>
          <w:szCs w:val="24"/>
        </w:rPr>
        <w:t>educ</w:t>
      </w:r>
      <w:r w:rsidR="00AD58DA" w:rsidRPr="00A91056">
        <w:rPr>
          <w:rFonts w:cs="Arial"/>
          <w:szCs w:val="24"/>
        </w:rPr>
        <w:t>tion</w:t>
      </w:r>
      <w:r w:rsidR="00E15820" w:rsidRPr="00A91056">
        <w:rPr>
          <w:rFonts w:cs="Arial"/>
          <w:szCs w:val="24"/>
        </w:rPr>
        <w:t xml:space="preserve">, </w:t>
      </w:r>
      <w:r w:rsidR="00AD58DA" w:rsidRPr="00A91056">
        <w:rPr>
          <w:rFonts w:cs="Arial"/>
          <w:szCs w:val="24"/>
        </w:rPr>
        <w:t>R</w:t>
      </w:r>
      <w:r w:rsidR="00E15820" w:rsidRPr="00A91056">
        <w:rPr>
          <w:rFonts w:cs="Arial"/>
          <w:szCs w:val="24"/>
        </w:rPr>
        <w:t>efine</w:t>
      </w:r>
      <w:r w:rsidR="00AD58DA" w:rsidRPr="00A91056">
        <w:rPr>
          <w:rFonts w:cs="Arial"/>
          <w:szCs w:val="24"/>
        </w:rPr>
        <w:t>ment</w:t>
      </w:r>
      <w:r w:rsidR="00E15820" w:rsidRPr="00A91056">
        <w:rPr>
          <w:rFonts w:cs="Arial"/>
          <w:szCs w:val="24"/>
        </w:rPr>
        <w:t xml:space="preserve">, and </w:t>
      </w:r>
      <w:r w:rsidR="00AD58DA" w:rsidRPr="00A91056">
        <w:rPr>
          <w:rFonts w:cs="Arial"/>
          <w:szCs w:val="24"/>
        </w:rPr>
        <w:t>R</w:t>
      </w:r>
      <w:r w:rsidR="00E15820" w:rsidRPr="00A91056">
        <w:rPr>
          <w:rFonts w:cs="Arial"/>
          <w:szCs w:val="24"/>
        </w:rPr>
        <w:t>eplace</w:t>
      </w:r>
      <w:r w:rsidR="00AD58DA" w:rsidRPr="00A91056">
        <w:rPr>
          <w:rFonts w:cs="Arial"/>
          <w:szCs w:val="24"/>
        </w:rPr>
        <w:t>ment.</w:t>
      </w:r>
      <w:r w:rsidR="0005751F" w:rsidRPr="00A91056">
        <w:rPr>
          <w:rFonts w:cs="Arial"/>
          <w:szCs w:val="24"/>
        </w:rPr>
        <w:t xml:space="preserve"> </w:t>
      </w:r>
      <w:r w:rsidR="009D5E5F" w:rsidRPr="00A91056">
        <w:rPr>
          <w:rFonts w:cs="Arial"/>
          <w:szCs w:val="24"/>
        </w:rPr>
        <w:t xml:space="preserve">Such regulations </w:t>
      </w:r>
      <w:r w:rsidR="009D5E5F" w:rsidRPr="00A91056">
        <w:t>necessitate the development and use of New Approach Methodologies (NAMs</w:t>
      </w:r>
      <w:r w:rsidR="00D75532" w:rsidRPr="00A91056">
        <w:t>) for</w:t>
      </w:r>
      <w:r w:rsidR="004D2140" w:rsidRPr="00A91056">
        <w:rPr>
          <w:rFonts w:cs="Arial"/>
          <w:szCs w:val="24"/>
        </w:rPr>
        <w:t xml:space="preserve"> safety assessment of chemicals in systems which are not considered to be an animal.</w:t>
      </w:r>
    </w:p>
    <w:p w14:paraId="692591EC" w14:textId="6403E380" w:rsidR="00997904" w:rsidRPr="00A91056" w:rsidRDefault="00110BEB" w:rsidP="00A059B4">
      <w:pPr>
        <w:pStyle w:val="Heading2"/>
      </w:pPr>
      <w:r w:rsidRPr="00A91056">
        <w:t>B</w:t>
      </w:r>
      <w:r w:rsidR="00997904" w:rsidRPr="00A91056">
        <w:t xml:space="preserve">. </w:t>
      </w:r>
      <w:r w:rsidR="0052090D" w:rsidRPr="00A91056">
        <w:t xml:space="preserve">Fertilized </w:t>
      </w:r>
      <w:r w:rsidR="00BC0F23" w:rsidRPr="00A91056">
        <w:t>Avian Egg Fetal Liver Assays</w:t>
      </w:r>
    </w:p>
    <w:p w14:paraId="7DA33ADC" w14:textId="73B9CF82" w:rsidR="008A59FF" w:rsidRPr="00A91056" w:rsidRDefault="00D1495B" w:rsidP="009956EA">
      <w:pPr>
        <w:autoSpaceDE w:val="0"/>
        <w:autoSpaceDN w:val="0"/>
        <w:adjustRightInd w:val="0"/>
        <w:rPr>
          <w:rFonts w:cs="Arial"/>
          <w:szCs w:val="24"/>
        </w:rPr>
      </w:pPr>
      <w:r w:rsidRPr="00A91056">
        <w:rPr>
          <w:rFonts w:cs="Arial"/>
          <w:szCs w:val="24"/>
        </w:rPr>
        <w:t>Avian egg-based (</w:t>
      </w:r>
      <w:r w:rsidRPr="00A91056">
        <w:rPr>
          <w:rFonts w:cs="Arial"/>
          <w:i/>
          <w:iCs/>
          <w:szCs w:val="24"/>
        </w:rPr>
        <w:t xml:space="preserve">in </w:t>
      </w:r>
      <w:proofErr w:type="spellStart"/>
      <w:r w:rsidRPr="00A91056">
        <w:rPr>
          <w:rFonts w:cs="Arial"/>
          <w:i/>
          <w:iCs/>
          <w:szCs w:val="24"/>
        </w:rPr>
        <w:t>ovo</w:t>
      </w:r>
      <w:proofErr w:type="spellEnd"/>
      <w:r w:rsidRPr="00A91056">
        <w:rPr>
          <w:rFonts w:cs="Arial"/>
          <w:szCs w:val="24"/>
        </w:rPr>
        <w:t>) assays</w:t>
      </w:r>
      <w:r w:rsidR="0010798B" w:rsidRPr="00A91056">
        <w:rPr>
          <w:rFonts w:cs="Arial"/>
          <w:szCs w:val="24"/>
        </w:rPr>
        <w:t xml:space="preserve">, in particular </w:t>
      </w:r>
      <w:r w:rsidR="000065E6" w:rsidRPr="00A91056">
        <w:rPr>
          <w:rFonts w:cs="Arial"/>
          <w:szCs w:val="24"/>
        </w:rPr>
        <w:t xml:space="preserve">those utilizing </w:t>
      </w:r>
      <w:r w:rsidR="0010798B" w:rsidRPr="00A91056">
        <w:rPr>
          <w:rFonts w:cs="Arial"/>
          <w:szCs w:val="24"/>
        </w:rPr>
        <w:t>chicken</w:t>
      </w:r>
      <w:r w:rsidR="000065E6" w:rsidRPr="00A91056">
        <w:rPr>
          <w:rFonts w:cs="Arial"/>
          <w:szCs w:val="24"/>
        </w:rPr>
        <w:t xml:space="preserve"> </w:t>
      </w:r>
      <w:r w:rsidR="005E1BB2" w:rsidRPr="00A91056">
        <w:rPr>
          <w:rFonts w:cs="Arial"/>
          <w:szCs w:val="24"/>
        </w:rPr>
        <w:t xml:space="preserve">embryos, have been used </w:t>
      </w:r>
      <w:r w:rsidR="00A445D6" w:rsidRPr="00A91056">
        <w:rPr>
          <w:rFonts w:cs="Arial"/>
          <w:szCs w:val="24"/>
        </w:rPr>
        <w:t xml:space="preserve">for </w:t>
      </w:r>
      <w:r w:rsidR="0061610E" w:rsidRPr="00A91056">
        <w:rPr>
          <w:rFonts w:cs="Arial"/>
          <w:szCs w:val="24"/>
        </w:rPr>
        <w:t xml:space="preserve">advancement of </w:t>
      </w:r>
      <w:r w:rsidR="00A445D6" w:rsidRPr="00A91056">
        <w:rPr>
          <w:rFonts w:cs="Arial"/>
          <w:szCs w:val="24"/>
        </w:rPr>
        <w:t>research</w:t>
      </w:r>
      <w:r w:rsidR="00676A3C" w:rsidRPr="00A91056">
        <w:rPr>
          <w:rFonts w:cs="Arial"/>
          <w:szCs w:val="24"/>
        </w:rPr>
        <w:t xml:space="preserve"> in various field</w:t>
      </w:r>
      <w:r w:rsidR="004B2CC5" w:rsidRPr="00A91056">
        <w:rPr>
          <w:rFonts w:cs="Arial"/>
          <w:szCs w:val="24"/>
        </w:rPr>
        <w:t>s</w:t>
      </w:r>
      <w:r w:rsidR="00676A3C" w:rsidRPr="00A91056">
        <w:rPr>
          <w:rFonts w:cs="Arial"/>
          <w:szCs w:val="24"/>
        </w:rPr>
        <w:t xml:space="preserve">, notably cancer and tumor immunology </w:t>
      </w:r>
      <w:r w:rsidR="00C4016A">
        <w:rPr>
          <w:rFonts w:cs="Arial"/>
          <w:noProof/>
          <w:szCs w:val="24"/>
        </w:rPr>
        <w:t>(Brunnemann et al. 2002; Enzmann et al. 2013; Enzmann and Brunnemann 1997; Enzmann et al. 2014; Kain et al. 2014; Leupold et al. 2021; Miebach et al. 2022; Ribatti 2021)</w:t>
      </w:r>
      <w:r w:rsidR="00676A3C" w:rsidRPr="00A91056">
        <w:rPr>
          <w:rFonts w:cs="Arial"/>
          <w:szCs w:val="24"/>
        </w:rPr>
        <w:t xml:space="preserve">. </w:t>
      </w:r>
      <w:r w:rsidR="00DD06F3">
        <w:rPr>
          <w:rFonts w:cs="Arial"/>
          <w:szCs w:val="24"/>
        </w:rPr>
        <w:t>The a</w:t>
      </w:r>
      <w:r w:rsidR="00083108" w:rsidRPr="00A91056">
        <w:rPr>
          <w:rFonts w:cs="Arial"/>
          <w:szCs w:val="24"/>
        </w:rPr>
        <w:t xml:space="preserve">vian embryo </w:t>
      </w:r>
      <w:r w:rsidR="00DD06F3">
        <w:rPr>
          <w:rFonts w:cs="Arial"/>
          <w:szCs w:val="24"/>
        </w:rPr>
        <w:t>i</w:t>
      </w:r>
      <w:r w:rsidR="00083108" w:rsidRPr="00A91056">
        <w:rPr>
          <w:rFonts w:cs="Arial"/>
          <w:szCs w:val="24"/>
        </w:rPr>
        <w:t xml:space="preserve">s a complex, intact, metabolically active organism, with morphogenesis, genotype and phenotype closely resembling that of mammals </w:t>
      </w:r>
      <w:r w:rsidR="00C4016A" w:rsidRPr="00A91056">
        <w:rPr>
          <w:rFonts w:cs="Arial"/>
          <w:szCs w:val="24"/>
        </w:rPr>
        <w:t>(</w:t>
      </w:r>
      <w:proofErr w:type="spellStart"/>
      <w:r w:rsidR="00C4016A" w:rsidRPr="00A91056">
        <w:rPr>
          <w:rFonts w:cs="Arial"/>
          <w:szCs w:val="24"/>
        </w:rPr>
        <w:t>Zaefarian</w:t>
      </w:r>
      <w:proofErr w:type="spellEnd"/>
      <w:r w:rsidR="00C4016A" w:rsidRPr="00A91056">
        <w:rPr>
          <w:rFonts w:cs="Arial"/>
          <w:szCs w:val="24"/>
        </w:rPr>
        <w:t xml:space="preserve"> et al. 2019)</w:t>
      </w:r>
      <w:r w:rsidR="00083108" w:rsidRPr="00A91056">
        <w:rPr>
          <w:rFonts w:cs="Arial"/>
          <w:szCs w:val="24"/>
        </w:rPr>
        <w:t xml:space="preserve">, which makes it superior to in vitro or invertebrate in </w:t>
      </w:r>
      <w:r w:rsidR="00083108" w:rsidRPr="00A91056">
        <w:rPr>
          <w:rFonts w:cs="Arial"/>
          <w:szCs w:val="24"/>
        </w:rPr>
        <w:lastRenderedPageBreak/>
        <w:t xml:space="preserve">vivo models. </w:t>
      </w:r>
    </w:p>
    <w:p w14:paraId="22244B45" w14:textId="48FB9276" w:rsidR="00DB6C13" w:rsidRPr="00A91056" w:rsidRDefault="00DB6C13" w:rsidP="00DB6C13">
      <w:pPr>
        <w:autoSpaceDE w:val="0"/>
        <w:autoSpaceDN w:val="0"/>
        <w:adjustRightInd w:val="0"/>
        <w:rPr>
          <w:rFonts w:cs="Arial"/>
          <w:szCs w:val="24"/>
        </w:rPr>
      </w:pPr>
      <w:r w:rsidRPr="00A91056">
        <w:rPr>
          <w:rFonts w:cs="Arial"/>
          <w:szCs w:val="24"/>
        </w:rPr>
        <w:t xml:space="preserve">Developed as an alternative model to </w:t>
      </w:r>
      <w:r w:rsidR="005F6630">
        <w:rPr>
          <w:rFonts w:cs="Arial"/>
          <w:szCs w:val="24"/>
        </w:rPr>
        <w:t xml:space="preserve">the </w:t>
      </w:r>
      <w:r w:rsidRPr="00A91056">
        <w:rPr>
          <w:rFonts w:cs="Arial"/>
          <w:szCs w:val="24"/>
        </w:rPr>
        <w:t xml:space="preserve">cancer bioassay, </w:t>
      </w:r>
      <w:bookmarkStart w:id="3" w:name="_Hlk184224417"/>
      <w:r w:rsidRPr="00A91056">
        <w:rPr>
          <w:rFonts w:cs="Arial"/>
          <w:i/>
          <w:iCs/>
          <w:szCs w:val="24"/>
        </w:rPr>
        <w:t xml:space="preserve">in </w:t>
      </w:r>
      <w:proofErr w:type="spellStart"/>
      <w:r w:rsidRPr="00A91056">
        <w:rPr>
          <w:rFonts w:cs="Arial"/>
          <w:i/>
          <w:iCs/>
          <w:szCs w:val="24"/>
        </w:rPr>
        <w:t>ovo</w:t>
      </w:r>
      <w:proofErr w:type="spellEnd"/>
      <w:r w:rsidRPr="00A91056">
        <w:rPr>
          <w:rFonts w:cs="Arial"/>
          <w:szCs w:val="24"/>
        </w:rPr>
        <w:t xml:space="preserve"> carcinogenicity assessment assay (IOCA)</w:t>
      </w:r>
      <w:bookmarkEnd w:id="3"/>
      <w:r w:rsidRPr="00A91056">
        <w:rPr>
          <w:rFonts w:cs="Arial"/>
          <w:szCs w:val="24"/>
        </w:rPr>
        <w:t xml:space="preserve">, investigates chemically induced preneoplastic lesions indicative of hepatocarcinogenesis in the developing turkey livers </w:t>
      </w:r>
      <w:r w:rsidR="00C4016A" w:rsidRPr="00A91056">
        <w:rPr>
          <w:rFonts w:cs="Arial"/>
          <w:szCs w:val="24"/>
        </w:rPr>
        <w:t>(Brunnemann et al. 2002; Enzmann et al. 2013; Enzmann and Brunnemann 1997; Enzmann et al. 1992; Enzmann et al. 1995)</w:t>
      </w:r>
      <w:r w:rsidRPr="00A91056">
        <w:rPr>
          <w:rFonts w:cs="Arial"/>
          <w:szCs w:val="24"/>
        </w:rPr>
        <w:t xml:space="preserve">. </w:t>
      </w:r>
    </w:p>
    <w:p w14:paraId="1382E515" w14:textId="63A48CBC" w:rsidR="00A81A70" w:rsidRDefault="00035FE5" w:rsidP="00F84768">
      <w:pPr>
        <w:autoSpaceDE w:val="0"/>
        <w:autoSpaceDN w:val="0"/>
        <w:adjustRightInd w:val="0"/>
        <w:rPr>
          <w:rFonts w:cs="Arial"/>
          <w:szCs w:val="24"/>
        </w:rPr>
      </w:pPr>
      <w:r w:rsidRPr="00A91056">
        <w:rPr>
          <w:rFonts w:cs="Arial"/>
          <w:szCs w:val="24"/>
        </w:rPr>
        <w:t>The </w:t>
      </w:r>
      <w:r w:rsidR="008C7F9C" w:rsidRPr="00A91056">
        <w:rPr>
          <w:rFonts w:cs="Arial"/>
          <w:szCs w:val="24"/>
        </w:rPr>
        <w:t xml:space="preserve">Fertilized </w:t>
      </w:r>
      <w:r w:rsidRPr="00A91056">
        <w:rPr>
          <w:rFonts w:cs="Arial"/>
          <w:szCs w:val="24"/>
        </w:rPr>
        <w:t>Avian Egg Fetal Liver DNA Damage Assay (</w:t>
      </w:r>
      <w:r w:rsidR="008C7F9C" w:rsidRPr="00A91056">
        <w:rPr>
          <w:rFonts w:cs="Arial"/>
          <w:szCs w:val="24"/>
        </w:rPr>
        <w:t>F</w:t>
      </w:r>
      <w:r w:rsidRPr="00A91056">
        <w:rPr>
          <w:rFonts w:cs="Arial"/>
          <w:szCs w:val="24"/>
        </w:rPr>
        <w:t>AE</w:t>
      </w:r>
      <w:r w:rsidR="001478F9" w:rsidRPr="00A91056">
        <w:rPr>
          <w:rFonts w:cs="Arial"/>
          <w:szCs w:val="24"/>
        </w:rPr>
        <w:t>FL</w:t>
      </w:r>
      <w:r w:rsidRPr="00A91056">
        <w:rPr>
          <w:rFonts w:cs="Arial"/>
          <w:szCs w:val="24"/>
        </w:rPr>
        <w:t xml:space="preserve">/DDA) </w:t>
      </w:r>
      <w:r w:rsidR="00B87654" w:rsidRPr="00A91056">
        <w:rPr>
          <w:rFonts w:cs="Arial"/>
          <w:szCs w:val="24"/>
        </w:rPr>
        <w:t xml:space="preserve">is an extension of </w:t>
      </w:r>
      <w:r w:rsidR="00C65BE0" w:rsidRPr="00A91056">
        <w:rPr>
          <w:rFonts w:cs="Arial"/>
          <w:szCs w:val="24"/>
        </w:rPr>
        <w:t>IOCA</w:t>
      </w:r>
      <w:r w:rsidR="00B87654" w:rsidRPr="00A91056">
        <w:rPr>
          <w:rFonts w:cs="Arial"/>
          <w:szCs w:val="24"/>
        </w:rPr>
        <w:t xml:space="preserve"> which </w:t>
      </w:r>
      <w:r w:rsidR="005A5E15" w:rsidRPr="00A91056">
        <w:rPr>
          <w:rFonts w:cs="Arial"/>
          <w:szCs w:val="24"/>
        </w:rPr>
        <w:t xml:space="preserve">measures </w:t>
      </w:r>
      <w:r w:rsidR="004725E3" w:rsidRPr="00A91056">
        <w:rPr>
          <w:rFonts w:cs="Arial"/>
          <w:szCs w:val="24"/>
        </w:rPr>
        <w:t xml:space="preserve">nuclear </w:t>
      </w:r>
      <w:r w:rsidR="00B5259D" w:rsidRPr="00A91056">
        <w:rPr>
          <w:rFonts w:cs="Arial"/>
          <w:szCs w:val="24"/>
        </w:rPr>
        <w:t xml:space="preserve">DNA damage produced by either direct or indirect mechanisms </w:t>
      </w:r>
      <w:r w:rsidRPr="00A91056">
        <w:rPr>
          <w:rFonts w:cs="Arial"/>
          <w:szCs w:val="24"/>
        </w:rPr>
        <w:t>us</w:t>
      </w:r>
      <w:r w:rsidR="005A5E15" w:rsidRPr="00A91056">
        <w:rPr>
          <w:rFonts w:cs="Arial"/>
          <w:szCs w:val="24"/>
        </w:rPr>
        <w:t>ing</w:t>
      </w:r>
      <w:r w:rsidRPr="00A91056">
        <w:rPr>
          <w:rFonts w:cs="Arial"/>
          <w:szCs w:val="24"/>
        </w:rPr>
        <w:t xml:space="preserve"> intact fertilized eggs of any avian species, most usually chicken or turkey </w:t>
      </w:r>
      <w:r w:rsidR="00C4016A" w:rsidRPr="00A91056">
        <w:rPr>
          <w:rFonts w:cs="Arial"/>
          <w:szCs w:val="24"/>
        </w:rPr>
        <w:t>(Kobets et al. 2019a; Kobets et al. 2016; Kobets et al. 2018a; Kobets et al. 2019b; Williams et al. 2014)</w:t>
      </w:r>
      <w:r w:rsidR="002A159C" w:rsidRPr="00A91056">
        <w:rPr>
          <w:rFonts w:cs="Arial"/>
          <w:szCs w:val="24"/>
        </w:rPr>
        <w:t xml:space="preserve">. </w:t>
      </w:r>
      <w:r w:rsidR="00BE74DE" w:rsidRPr="00A91056">
        <w:rPr>
          <w:rFonts w:cs="Arial"/>
          <w:szCs w:val="24"/>
        </w:rPr>
        <w:t xml:space="preserve">Two examples of the </w:t>
      </w:r>
      <w:r w:rsidR="008C7F9C" w:rsidRPr="00A91056">
        <w:rPr>
          <w:rFonts w:cs="Arial"/>
          <w:szCs w:val="24"/>
        </w:rPr>
        <w:t>F</w:t>
      </w:r>
      <w:r w:rsidR="00BE74DE" w:rsidRPr="00A91056">
        <w:rPr>
          <w:rFonts w:cs="Arial"/>
          <w:szCs w:val="24"/>
        </w:rPr>
        <w:t>AEFL/DDA, namely Chicken and Turkey Egg Genotoxicity Assays (CEGA and TEGA, respectively), have been extensively utilized to evaluate genotoxic potential of various classes of chemicals, including naturally occurring compounds, pharmaceuticals</w:t>
      </w:r>
      <w:r w:rsidR="00DD2D7F" w:rsidRPr="00A91056">
        <w:rPr>
          <w:rFonts w:cs="Arial"/>
          <w:szCs w:val="24"/>
        </w:rPr>
        <w:t xml:space="preserve">, and </w:t>
      </w:r>
      <w:r w:rsidR="00BE74DE" w:rsidRPr="00A91056">
        <w:rPr>
          <w:rFonts w:cs="Arial"/>
          <w:szCs w:val="24"/>
        </w:rPr>
        <w:t xml:space="preserve">prototype carcinogens </w:t>
      </w:r>
      <w:r w:rsidR="00C4016A" w:rsidRPr="00A91056">
        <w:rPr>
          <w:rFonts w:cs="Arial"/>
          <w:szCs w:val="24"/>
        </w:rPr>
        <w:t>(Iatropoulos et al. 2017; Kobets et al. 2019a; Kobets et al. 201</w:t>
      </w:r>
      <w:r w:rsidR="00D3484F">
        <w:rPr>
          <w:rFonts w:cs="Arial"/>
          <w:szCs w:val="24"/>
        </w:rPr>
        <w:t>6</w:t>
      </w:r>
      <w:r w:rsidR="00C4016A" w:rsidRPr="00A91056">
        <w:rPr>
          <w:rFonts w:cs="Arial"/>
          <w:szCs w:val="24"/>
        </w:rPr>
        <w:t>; Kobets et al. 2018a; Kobets et al. 2019b; Kobets et al. 2024; Williams et al. 2014)</w:t>
      </w:r>
      <w:r w:rsidR="00BE74DE" w:rsidRPr="00A91056">
        <w:rPr>
          <w:rFonts w:cs="Arial"/>
          <w:szCs w:val="24"/>
        </w:rPr>
        <w:t>. Both models have proven to be reliable tool</w:t>
      </w:r>
      <w:r w:rsidR="00DD31AE">
        <w:rPr>
          <w:rFonts w:cs="Arial"/>
          <w:szCs w:val="24"/>
        </w:rPr>
        <w:t>s</w:t>
      </w:r>
      <w:r w:rsidR="00BE74DE" w:rsidRPr="00A91056">
        <w:rPr>
          <w:rFonts w:cs="Arial"/>
          <w:szCs w:val="24"/>
        </w:rPr>
        <w:t>, not yielding false positive or false negative results confirming their utility for the assessment of potential genotoxicity.</w:t>
      </w:r>
      <w:r w:rsidR="00F84768" w:rsidRPr="00A91056">
        <w:rPr>
          <w:rFonts w:cs="Arial"/>
          <w:szCs w:val="24"/>
        </w:rPr>
        <w:t xml:space="preserve"> </w:t>
      </w:r>
    </w:p>
    <w:p w14:paraId="1910E25A" w14:textId="0CC19602" w:rsidR="00F84768" w:rsidRPr="00A91056" w:rsidRDefault="00F84768" w:rsidP="00F84768">
      <w:pPr>
        <w:autoSpaceDE w:val="0"/>
        <w:autoSpaceDN w:val="0"/>
        <w:adjustRightInd w:val="0"/>
      </w:pPr>
      <w:r w:rsidRPr="00A91056">
        <w:rPr>
          <w:rFonts w:cs="Arial"/>
          <w:szCs w:val="24"/>
        </w:rPr>
        <w:t>Developed as a screening tool, these NAMs a</w:t>
      </w:r>
      <w:r w:rsidR="00114763">
        <w:rPr>
          <w:rFonts w:cs="Arial"/>
          <w:szCs w:val="24"/>
        </w:rPr>
        <w:t>re intended</w:t>
      </w:r>
      <w:r w:rsidRPr="00A91056">
        <w:rPr>
          <w:rFonts w:cs="Arial"/>
          <w:szCs w:val="24"/>
        </w:rPr>
        <w:t xml:space="preserve"> to replace short-term in vivo genotoxicity assays, particularly as a follow-up testing for compounds that yielded positive outcomes in in vitro genotoxicity tests.</w:t>
      </w:r>
      <w:r w:rsidRPr="00A91056">
        <w:t xml:space="preserve"> T</w:t>
      </w:r>
      <w:r w:rsidRPr="00A91056">
        <w:rPr>
          <w:rFonts w:cs="Arial"/>
          <w:szCs w:val="24"/>
        </w:rPr>
        <w:t xml:space="preserve">he rapid </w:t>
      </w:r>
      <w:r w:rsidR="00B0652C">
        <w:rPr>
          <w:rFonts w:cs="Arial"/>
          <w:szCs w:val="24"/>
        </w:rPr>
        <w:t xml:space="preserve">growth and </w:t>
      </w:r>
      <w:r w:rsidRPr="00A91056">
        <w:rPr>
          <w:rFonts w:cs="Arial"/>
          <w:szCs w:val="24"/>
        </w:rPr>
        <w:t xml:space="preserve">development of avian embryo-fetuses </w:t>
      </w:r>
      <w:r w:rsidR="00B0652C">
        <w:rPr>
          <w:rFonts w:cs="Arial"/>
          <w:szCs w:val="24"/>
        </w:rPr>
        <w:t>(</w:t>
      </w:r>
      <w:r w:rsidR="003A1B31">
        <w:rPr>
          <w:rFonts w:cs="Arial"/>
          <w:szCs w:val="24"/>
        </w:rPr>
        <w:t>i.e.,</w:t>
      </w:r>
      <w:r w:rsidR="00B0652C">
        <w:rPr>
          <w:rFonts w:cs="Arial"/>
          <w:szCs w:val="24"/>
        </w:rPr>
        <w:t xml:space="preserve"> from 21 to 28 days) </w:t>
      </w:r>
      <w:r w:rsidRPr="00A91056">
        <w:rPr>
          <w:rFonts w:cs="Arial"/>
          <w:szCs w:val="24"/>
        </w:rPr>
        <w:t xml:space="preserve">results in acceleration of carcinogenic processes, thereby facilitating monitoring of the effects of chemical carcinogens over a </w:t>
      </w:r>
      <w:r w:rsidRPr="00A91056">
        <w:rPr>
          <w:rFonts w:cs="Arial"/>
          <w:szCs w:val="24"/>
        </w:rPr>
        <w:lastRenderedPageBreak/>
        <w:t>shorter time compared to traditional rodent models.</w:t>
      </w:r>
    </w:p>
    <w:p w14:paraId="64465286" w14:textId="440DA6CA" w:rsidR="00447795" w:rsidRPr="00A91056" w:rsidRDefault="00BE74DE" w:rsidP="00447795">
      <w:pPr>
        <w:autoSpaceDE w:val="0"/>
        <w:autoSpaceDN w:val="0"/>
        <w:adjustRightInd w:val="0"/>
        <w:rPr>
          <w:rFonts w:cs="Arial"/>
          <w:szCs w:val="24"/>
        </w:rPr>
      </w:pPr>
      <w:r w:rsidRPr="00A91056">
        <w:rPr>
          <w:rFonts w:cs="Arial"/>
          <w:szCs w:val="24"/>
        </w:rPr>
        <w:t xml:space="preserve">For evaluation of endpoints indicative of chemical-induced DNA damage, TEGA and CEGA utilize </w:t>
      </w:r>
      <w:r w:rsidRPr="00A91056">
        <w:rPr>
          <w:rFonts w:cs="Arial"/>
          <w:szCs w:val="24"/>
          <w:vertAlign w:val="superscript"/>
        </w:rPr>
        <w:t>32</w:t>
      </w:r>
      <w:r w:rsidRPr="00A91056">
        <w:rPr>
          <w:rFonts w:cs="Arial"/>
          <w:szCs w:val="24"/>
        </w:rPr>
        <w:t xml:space="preserve">P-nucleotide </w:t>
      </w:r>
      <w:proofErr w:type="spellStart"/>
      <w:r w:rsidRPr="00A91056">
        <w:rPr>
          <w:rFonts w:cs="Arial"/>
          <w:szCs w:val="24"/>
        </w:rPr>
        <w:t>postlabeling</w:t>
      </w:r>
      <w:proofErr w:type="spellEnd"/>
      <w:r w:rsidRPr="00A91056">
        <w:rPr>
          <w:rFonts w:cs="Arial"/>
          <w:szCs w:val="24"/>
        </w:rPr>
        <w:t xml:space="preserve"> (NPL) assay </w:t>
      </w:r>
      <w:r w:rsidR="00C4016A" w:rsidRPr="00A91056">
        <w:rPr>
          <w:rFonts w:cs="Arial"/>
          <w:szCs w:val="24"/>
        </w:rPr>
        <w:t xml:space="preserve">(Phillips and Arlt 2014; Phillips and Arlt 2020; Reddy and </w:t>
      </w:r>
      <w:proofErr w:type="spellStart"/>
      <w:r w:rsidR="00C4016A" w:rsidRPr="00A91056">
        <w:rPr>
          <w:rFonts w:cs="Arial"/>
          <w:szCs w:val="24"/>
        </w:rPr>
        <w:t>Randerath</w:t>
      </w:r>
      <w:proofErr w:type="spellEnd"/>
      <w:r w:rsidR="00C4016A" w:rsidRPr="00A91056">
        <w:rPr>
          <w:rFonts w:cs="Arial"/>
          <w:szCs w:val="24"/>
        </w:rPr>
        <w:t xml:space="preserve"> 1987)</w:t>
      </w:r>
      <w:r w:rsidRPr="00A91056">
        <w:rPr>
          <w:rFonts w:cs="Arial"/>
          <w:szCs w:val="24"/>
        </w:rPr>
        <w:t xml:space="preserve"> for detection of DNA adducts and the single cell gel electrophoresis (comet) assay </w:t>
      </w:r>
      <w:r w:rsidR="00C4016A" w:rsidRPr="00A91056">
        <w:rPr>
          <w:rFonts w:cs="Arial"/>
          <w:szCs w:val="24"/>
        </w:rPr>
        <w:t>(Brendler-Schwaab et al. 2005; OECD 2016; Tice et al. 2000)</w:t>
      </w:r>
      <w:r w:rsidRPr="00A91056">
        <w:rPr>
          <w:rFonts w:cs="Arial"/>
          <w:szCs w:val="24"/>
        </w:rPr>
        <w:t xml:space="preserve"> for measurement of DNA strand breaks. </w:t>
      </w:r>
      <w:r w:rsidR="00767DBF" w:rsidRPr="00A91056">
        <w:t>The NPL</w:t>
      </w:r>
      <w:r w:rsidR="00447795" w:rsidRPr="00A91056">
        <w:t xml:space="preserve"> assay is extremely sensitive and is capable of detecting DNA adducts formed at frequencies as low as 1 in 10</w:t>
      </w:r>
      <w:r w:rsidR="00447795" w:rsidRPr="00A91056">
        <w:rPr>
          <w:vertAlign w:val="superscript"/>
        </w:rPr>
        <w:t>10</w:t>
      </w:r>
      <w:r w:rsidR="00447795" w:rsidRPr="00A91056">
        <w:t xml:space="preserve"> nucleotides </w:t>
      </w:r>
      <w:r w:rsidR="00C4016A" w:rsidRPr="00A91056">
        <w:t xml:space="preserve">(Gupta 1985; Hwa Yun et al. 2020; Reddy and </w:t>
      </w:r>
      <w:proofErr w:type="spellStart"/>
      <w:r w:rsidR="00C4016A" w:rsidRPr="00A91056">
        <w:t>Randerath</w:t>
      </w:r>
      <w:proofErr w:type="spellEnd"/>
      <w:r w:rsidR="00C4016A" w:rsidRPr="00A91056">
        <w:t xml:space="preserve"> 1987)</w:t>
      </w:r>
      <w:r w:rsidR="00447795" w:rsidRPr="00A91056">
        <w:t xml:space="preserve">. In FAEFL/DDA studies, NPL analysis is usually performed exclusively on the samples from control </w:t>
      </w:r>
      <w:r w:rsidR="00032BEF" w:rsidRPr="00A91056">
        <w:t xml:space="preserve">group </w:t>
      </w:r>
      <w:r w:rsidR="00447795" w:rsidRPr="00A91056">
        <w:t xml:space="preserve">and the highest </w:t>
      </w:r>
      <w:r w:rsidR="00032BEF" w:rsidRPr="00A91056">
        <w:t xml:space="preserve">tested </w:t>
      </w:r>
      <w:r w:rsidR="00447795" w:rsidRPr="00A91056">
        <w:t>dos</w:t>
      </w:r>
      <w:r w:rsidR="00FE4143" w:rsidRPr="00A91056">
        <w:t>age</w:t>
      </w:r>
      <w:r w:rsidR="00447795" w:rsidRPr="00A91056">
        <w:t xml:space="preserve"> of compound</w:t>
      </w:r>
      <w:r w:rsidR="00FE4143" w:rsidRPr="00A91056">
        <w:t xml:space="preserve"> of interest</w:t>
      </w:r>
      <w:r w:rsidR="00447795" w:rsidRPr="00A91056">
        <w:t>. This approach is based on the likelihood that the highest doses will most effectively reveal the presence of adducts, which, as noted by Phillips and colleagues, is sufficient for detecting a positive response</w:t>
      </w:r>
      <w:r w:rsidR="00447795" w:rsidRPr="00A91056">
        <w:rPr>
          <w:rFonts w:cs="Arial"/>
          <w:szCs w:val="24"/>
        </w:rPr>
        <w:t xml:space="preserve"> </w:t>
      </w:r>
      <w:r w:rsidR="00C4016A" w:rsidRPr="00A91056">
        <w:rPr>
          <w:rFonts w:cs="Arial"/>
          <w:szCs w:val="24"/>
        </w:rPr>
        <w:t>(Phillips et al. 2000)</w:t>
      </w:r>
      <w:r w:rsidR="00447795" w:rsidRPr="00A91056">
        <w:rPr>
          <w:rFonts w:cs="Arial"/>
          <w:szCs w:val="24"/>
        </w:rPr>
        <w:t xml:space="preserve">. Comet assay can be used for the detection of single and double strand DNA breaks as well as alkali-labile sites, in any type of cell or tissue </w:t>
      </w:r>
      <w:r w:rsidR="00C4016A" w:rsidRPr="00A91056">
        <w:rPr>
          <w:rFonts w:cs="Arial"/>
          <w:szCs w:val="24"/>
        </w:rPr>
        <w:t>(Glei et al. 2016)</w:t>
      </w:r>
      <w:r w:rsidR="00447795" w:rsidRPr="00A91056">
        <w:rPr>
          <w:rFonts w:cs="Arial"/>
          <w:szCs w:val="24"/>
        </w:rPr>
        <w:t xml:space="preserve">. For the purpose of </w:t>
      </w:r>
      <w:r w:rsidR="00447795" w:rsidRPr="00A91056">
        <w:t>FAEFL/DDA</w:t>
      </w:r>
      <w:r w:rsidR="00447795" w:rsidRPr="00A91056">
        <w:rPr>
          <w:rFonts w:cs="Arial"/>
          <w:szCs w:val="24"/>
        </w:rPr>
        <w:t>, the comet assay is used for the detection of single strand breaks in the liver of each avian fetus.</w:t>
      </w:r>
      <w:r w:rsidR="00C71DE5" w:rsidRPr="00A91056">
        <w:rPr>
          <w:rFonts w:cs="Arial"/>
          <w:szCs w:val="24"/>
        </w:rPr>
        <w:t xml:space="preserve"> </w:t>
      </w:r>
      <w:r w:rsidR="00CD61D0" w:rsidRPr="00A91056">
        <w:rPr>
          <w:rFonts w:cs="Arial"/>
          <w:szCs w:val="24"/>
        </w:rPr>
        <w:t xml:space="preserve">The comet assay can be modified to detect </w:t>
      </w:r>
      <w:r w:rsidR="002C7E43" w:rsidRPr="00A91056">
        <w:rPr>
          <w:rFonts w:cs="Arial"/>
          <w:szCs w:val="24"/>
        </w:rPr>
        <w:t xml:space="preserve">DNA breaks resulting from </w:t>
      </w:r>
      <w:r w:rsidR="00CD61D0" w:rsidRPr="00A91056">
        <w:rPr>
          <w:rFonts w:cs="Arial"/>
          <w:szCs w:val="24"/>
        </w:rPr>
        <w:t>oxidative DNA damage</w:t>
      </w:r>
      <w:r w:rsidR="002C7E43" w:rsidRPr="00A91056">
        <w:rPr>
          <w:rFonts w:cs="Arial"/>
          <w:szCs w:val="24"/>
        </w:rPr>
        <w:t xml:space="preserve"> </w:t>
      </w:r>
      <w:r w:rsidR="00C4016A" w:rsidRPr="00A91056">
        <w:rPr>
          <w:rFonts w:cs="Arial"/>
          <w:szCs w:val="24"/>
        </w:rPr>
        <w:t>(Collins et al. 2020; Shukla et al. 2011)</w:t>
      </w:r>
      <w:r w:rsidR="008F54BA" w:rsidRPr="00A91056">
        <w:rPr>
          <w:rFonts w:cs="Arial"/>
          <w:szCs w:val="24"/>
        </w:rPr>
        <w:t xml:space="preserve">, </w:t>
      </w:r>
      <w:r w:rsidR="009A2EED" w:rsidRPr="00A91056">
        <w:rPr>
          <w:rFonts w:cs="Arial"/>
          <w:szCs w:val="24"/>
        </w:rPr>
        <w:t>thus providing additional mechanistic information about the tested compound</w:t>
      </w:r>
      <w:r w:rsidR="00CD61D0" w:rsidRPr="00A91056">
        <w:rPr>
          <w:rFonts w:cs="Arial"/>
          <w:szCs w:val="24"/>
        </w:rPr>
        <w:t xml:space="preserve">. </w:t>
      </w:r>
    </w:p>
    <w:p w14:paraId="5BB7D7DC" w14:textId="09B0E2D1" w:rsidR="002257B9" w:rsidRPr="00A91056" w:rsidRDefault="00B87654" w:rsidP="009956EA">
      <w:pPr>
        <w:autoSpaceDE w:val="0"/>
        <w:autoSpaceDN w:val="0"/>
        <w:adjustRightInd w:val="0"/>
        <w:rPr>
          <w:rFonts w:cs="Arial"/>
          <w:szCs w:val="24"/>
        </w:rPr>
      </w:pPr>
      <w:r w:rsidRPr="00A91056">
        <w:rPr>
          <w:rFonts w:cs="Arial"/>
          <w:szCs w:val="24"/>
        </w:rPr>
        <w:t>Th</w:t>
      </w:r>
      <w:r w:rsidR="00A23416" w:rsidRPr="00A91056">
        <w:rPr>
          <w:rFonts w:cs="Arial"/>
          <w:szCs w:val="24"/>
        </w:rPr>
        <w:t xml:space="preserve">e </w:t>
      </w:r>
      <w:r w:rsidR="00A23416" w:rsidRPr="00A91056">
        <w:rPr>
          <w:rFonts w:cs="Arial"/>
          <w:i/>
          <w:iCs/>
          <w:szCs w:val="24"/>
        </w:rPr>
        <w:t xml:space="preserve">in </w:t>
      </w:r>
      <w:proofErr w:type="spellStart"/>
      <w:r w:rsidR="00A23416" w:rsidRPr="00A91056">
        <w:rPr>
          <w:rFonts w:cs="Arial"/>
          <w:i/>
          <w:iCs/>
          <w:szCs w:val="24"/>
        </w:rPr>
        <w:t>ovo</w:t>
      </w:r>
      <w:proofErr w:type="spellEnd"/>
      <w:r w:rsidRPr="00A91056">
        <w:rPr>
          <w:rFonts w:cs="Arial"/>
          <w:szCs w:val="24"/>
        </w:rPr>
        <w:t xml:space="preserve"> assay</w:t>
      </w:r>
      <w:r w:rsidR="00A23416" w:rsidRPr="00A91056">
        <w:rPr>
          <w:rFonts w:cs="Arial"/>
          <w:szCs w:val="24"/>
        </w:rPr>
        <w:t>s</w:t>
      </w:r>
      <w:r w:rsidRPr="00A91056">
        <w:rPr>
          <w:rFonts w:cs="Arial"/>
          <w:szCs w:val="24"/>
        </w:rPr>
        <w:t xml:space="preserve"> provide</w:t>
      </w:r>
      <w:r w:rsidR="00A23416" w:rsidRPr="00A91056">
        <w:rPr>
          <w:rFonts w:cs="Arial"/>
          <w:szCs w:val="24"/>
        </w:rPr>
        <w:t xml:space="preserve"> </w:t>
      </w:r>
      <w:r w:rsidRPr="00A91056">
        <w:rPr>
          <w:rFonts w:cs="Arial"/>
          <w:szCs w:val="24"/>
        </w:rPr>
        <w:t>chemical biotransformation activity of a highly proficient intact</w:t>
      </w:r>
      <w:r w:rsidR="00B0652C">
        <w:rPr>
          <w:rFonts w:cs="Arial"/>
          <w:szCs w:val="24"/>
        </w:rPr>
        <w:t>,</w:t>
      </w:r>
      <w:r w:rsidRPr="00A91056">
        <w:rPr>
          <w:rFonts w:cs="Arial"/>
          <w:szCs w:val="24"/>
        </w:rPr>
        <w:t xml:space="preserve"> but non-animal</w:t>
      </w:r>
      <w:r w:rsidR="00B0652C">
        <w:rPr>
          <w:rFonts w:cs="Arial"/>
          <w:szCs w:val="24"/>
        </w:rPr>
        <w:t>,</w:t>
      </w:r>
      <w:r w:rsidRPr="00A91056">
        <w:rPr>
          <w:rFonts w:cs="Arial"/>
          <w:szCs w:val="24"/>
        </w:rPr>
        <w:t xml:space="preserve"> organism</w:t>
      </w:r>
      <w:r w:rsidR="005A5E15" w:rsidRPr="00A91056">
        <w:rPr>
          <w:rFonts w:cs="Arial"/>
          <w:szCs w:val="24"/>
        </w:rPr>
        <w:t xml:space="preserve"> </w:t>
      </w:r>
      <w:r w:rsidR="00C4016A" w:rsidRPr="00A91056">
        <w:rPr>
          <w:rFonts w:cs="Arial"/>
          <w:szCs w:val="24"/>
        </w:rPr>
        <w:t>(Kobets et al. 2018b; Perrone et al. 2004; Rifkind et al. 1979)</w:t>
      </w:r>
      <w:r w:rsidRPr="00A91056">
        <w:rPr>
          <w:rFonts w:cs="Arial"/>
          <w:szCs w:val="24"/>
        </w:rPr>
        <w:t>.</w:t>
      </w:r>
      <w:r w:rsidR="00783314" w:rsidRPr="00A91056">
        <w:rPr>
          <w:rFonts w:cs="Arial"/>
          <w:szCs w:val="24"/>
        </w:rPr>
        <w:t xml:space="preserve"> The average incubation period until hatching </w:t>
      </w:r>
      <w:r w:rsidR="0049634D" w:rsidRPr="00A91056">
        <w:rPr>
          <w:rFonts w:cs="Arial"/>
          <w:szCs w:val="24"/>
        </w:rPr>
        <w:t xml:space="preserve">is 21 days for the chicken egg and 28 days for the turkey egg. </w:t>
      </w:r>
      <w:r w:rsidR="00783314" w:rsidRPr="00A91056">
        <w:rPr>
          <w:rFonts w:cs="Arial"/>
          <w:szCs w:val="24"/>
        </w:rPr>
        <w:t xml:space="preserve">According to the Public Health Service Policy on Humane </w:t>
      </w:r>
      <w:r w:rsidR="00783314" w:rsidRPr="00A91056">
        <w:rPr>
          <w:rFonts w:cs="Arial"/>
          <w:szCs w:val="24"/>
        </w:rPr>
        <w:lastRenderedPageBreak/>
        <w:t>Care and Use of Laboratory Animals</w:t>
      </w:r>
      <w:r w:rsidR="001B2019">
        <w:rPr>
          <w:rFonts w:cs="Arial"/>
          <w:szCs w:val="24"/>
        </w:rPr>
        <w:t xml:space="preserve"> </w:t>
      </w:r>
      <w:r w:rsidR="00C4016A">
        <w:rPr>
          <w:rFonts w:cs="Arial"/>
          <w:noProof/>
          <w:szCs w:val="24"/>
        </w:rPr>
        <w:t>(OLAW 2015)</w:t>
      </w:r>
      <w:r w:rsidR="00783314" w:rsidRPr="00A91056">
        <w:rPr>
          <w:rFonts w:cs="Arial"/>
          <w:szCs w:val="24"/>
        </w:rPr>
        <w:t>, the term "live vertebrate animal" does not apply to avian species until their hatching.</w:t>
      </w:r>
      <w:r w:rsidR="00D644BD" w:rsidRPr="00A91056">
        <w:rPr>
          <w:rFonts w:cs="Arial"/>
          <w:szCs w:val="24"/>
        </w:rPr>
        <w:t xml:space="preserve"> Therefore, since termination of avian embryos in </w:t>
      </w:r>
      <w:r w:rsidR="008C7F9C" w:rsidRPr="00A91056">
        <w:rPr>
          <w:rFonts w:cs="Arial"/>
          <w:szCs w:val="24"/>
        </w:rPr>
        <w:t>F</w:t>
      </w:r>
      <w:r w:rsidR="00D644BD" w:rsidRPr="00A91056">
        <w:rPr>
          <w:rFonts w:cs="Arial"/>
          <w:szCs w:val="24"/>
        </w:rPr>
        <w:t xml:space="preserve">AEFL/DDA </w:t>
      </w:r>
      <w:r w:rsidR="001B2F73">
        <w:rPr>
          <w:rFonts w:cs="Arial"/>
          <w:szCs w:val="24"/>
        </w:rPr>
        <w:t xml:space="preserve">is </w:t>
      </w:r>
      <w:r w:rsidR="009D0099">
        <w:rPr>
          <w:rFonts w:cs="Arial"/>
          <w:szCs w:val="24"/>
        </w:rPr>
        <w:t>carried out</w:t>
      </w:r>
      <w:r w:rsidR="00D644BD" w:rsidRPr="00A91056">
        <w:rPr>
          <w:rFonts w:cs="Arial"/>
          <w:szCs w:val="24"/>
        </w:rPr>
        <w:t xml:space="preserve"> </w:t>
      </w:r>
      <w:r w:rsidR="00B963D9" w:rsidRPr="00A91056">
        <w:rPr>
          <w:rFonts w:cs="Arial"/>
          <w:szCs w:val="24"/>
        </w:rPr>
        <w:t xml:space="preserve">at least 72 hours before hatching, these experiments are not considered to be “animal studies”. </w:t>
      </w:r>
      <w:r w:rsidR="00624A79" w:rsidRPr="00A91056">
        <w:rPr>
          <w:rFonts w:cs="Arial"/>
          <w:szCs w:val="24"/>
        </w:rPr>
        <w:t>Experimental procedures which are performed up to embryonic day 11 are not considered to inflict pain on the chicken embryos, as their nervous system is not completely formed</w:t>
      </w:r>
      <w:r w:rsidR="00D34D9C" w:rsidRPr="00A91056">
        <w:rPr>
          <w:rFonts w:cs="Arial"/>
          <w:szCs w:val="24"/>
        </w:rPr>
        <w:t xml:space="preserve"> </w:t>
      </w:r>
      <w:r w:rsidR="00C4016A" w:rsidRPr="00A91056">
        <w:rPr>
          <w:rFonts w:cs="Arial"/>
          <w:szCs w:val="24"/>
        </w:rPr>
        <w:t>(Bellairs 1959)</w:t>
      </w:r>
      <w:r w:rsidR="00624A79" w:rsidRPr="00A91056">
        <w:rPr>
          <w:rFonts w:cs="Arial"/>
          <w:szCs w:val="24"/>
        </w:rPr>
        <w:t>. In addition, the injection procedures conducted into the air sac</w:t>
      </w:r>
      <w:r w:rsidR="00D34D9C" w:rsidRPr="00A91056">
        <w:rPr>
          <w:rFonts w:cs="Arial"/>
          <w:szCs w:val="24"/>
        </w:rPr>
        <w:t xml:space="preserve"> allow to </w:t>
      </w:r>
      <w:r w:rsidR="00624A79" w:rsidRPr="00A91056">
        <w:rPr>
          <w:rFonts w:cs="Arial"/>
          <w:szCs w:val="24"/>
        </w:rPr>
        <w:t xml:space="preserve">avoid direct contact of the needle with the embryo-fetus, thus, potential discomfort during the procedure is </w:t>
      </w:r>
      <w:r w:rsidR="00684ED0" w:rsidRPr="00A91056">
        <w:rPr>
          <w:rFonts w:cs="Arial"/>
          <w:szCs w:val="24"/>
        </w:rPr>
        <w:t>avoided</w:t>
      </w:r>
      <w:r w:rsidR="00624A79" w:rsidRPr="00A91056">
        <w:rPr>
          <w:rFonts w:cs="Arial"/>
          <w:szCs w:val="24"/>
        </w:rPr>
        <w:t>.</w:t>
      </w:r>
      <w:r w:rsidR="009252E4" w:rsidRPr="00A91056">
        <w:t xml:space="preserve"> </w:t>
      </w:r>
      <w:r w:rsidR="009252E4" w:rsidRPr="00A91056">
        <w:rPr>
          <w:rFonts w:cs="Arial"/>
          <w:szCs w:val="24"/>
        </w:rPr>
        <w:t xml:space="preserve">Hence, </w:t>
      </w:r>
      <w:r w:rsidR="009252E4" w:rsidRPr="00A91056">
        <w:rPr>
          <w:rFonts w:cs="Arial"/>
          <w:i/>
          <w:iCs/>
          <w:szCs w:val="24"/>
        </w:rPr>
        <w:t xml:space="preserve">in </w:t>
      </w:r>
      <w:proofErr w:type="spellStart"/>
      <w:r w:rsidR="009252E4" w:rsidRPr="00A91056">
        <w:rPr>
          <w:rFonts w:cs="Arial"/>
          <w:i/>
          <w:iCs/>
          <w:szCs w:val="24"/>
        </w:rPr>
        <w:t>ovo</w:t>
      </w:r>
      <w:proofErr w:type="spellEnd"/>
      <w:r w:rsidR="009252E4" w:rsidRPr="00A91056">
        <w:rPr>
          <w:rFonts w:cs="Arial"/>
          <w:i/>
          <w:iCs/>
          <w:szCs w:val="24"/>
        </w:rPr>
        <w:t xml:space="preserve"> </w:t>
      </w:r>
      <w:r w:rsidR="009252E4" w:rsidRPr="00A91056">
        <w:rPr>
          <w:rFonts w:cs="Arial"/>
          <w:szCs w:val="24"/>
        </w:rPr>
        <w:t>assays can be used for studies where use of animals is undesirable or precluded.</w:t>
      </w:r>
    </w:p>
    <w:p w14:paraId="021D9271" w14:textId="7CEE7DA0" w:rsidR="005353F7" w:rsidRPr="001F5088" w:rsidRDefault="005216C8" w:rsidP="00396A47">
      <w:pPr>
        <w:autoSpaceDE w:val="0"/>
        <w:autoSpaceDN w:val="0"/>
        <w:adjustRightInd w:val="0"/>
        <w:rPr>
          <w:rFonts w:cs="Arial"/>
          <w:szCs w:val="24"/>
          <w:lang w:val="nl-NL"/>
        </w:rPr>
      </w:pPr>
      <w:r w:rsidRPr="00A91056">
        <w:rPr>
          <w:rFonts w:cs="Arial"/>
          <w:szCs w:val="24"/>
        </w:rPr>
        <w:t xml:space="preserve">Utilizing the whole organism, CEGA and TEGA are capable of simulating toxicokinetic parameters of administration, distribution, metabolism, excretion (ADME) of that in animals and humans. </w:t>
      </w:r>
      <w:r w:rsidR="00DD31AE">
        <w:rPr>
          <w:rFonts w:cs="Arial"/>
          <w:szCs w:val="24"/>
        </w:rPr>
        <w:t>T</w:t>
      </w:r>
      <w:r w:rsidR="005353F7" w:rsidRPr="00A91056">
        <w:rPr>
          <w:rFonts w:cs="Arial"/>
          <w:szCs w:val="24"/>
        </w:rPr>
        <w:t xml:space="preserve">est compounds </w:t>
      </w:r>
      <w:r w:rsidR="00DD31AE">
        <w:rPr>
          <w:rFonts w:cs="Arial"/>
          <w:szCs w:val="24"/>
        </w:rPr>
        <w:t>are injected</w:t>
      </w:r>
      <w:r w:rsidR="005353F7" w:rsidRPr="00A91056">
        <w:rPr>
          <w:rFonts w:cs="Arial"/>
          <w:szCs w:val="24"/>
        </w:rPr>
        <w:t xml:space="preserve"> into the air sac</w:t>
      </w:r>
      <w:r w:rsidR="008B5B4C">
        <w:rPr>
          <w:rFonts w:cs="Arial"/>
          <w:szCs w:val="24"/>
        </w:rPr>
        <w:t xml:space="preserve"> from which they are</w:t>
      </w:r>
      <w:r w:rsidR="005353F7" w:rsidRPr="00A91056">
        <w:rPr>
          <w:rFonts w:cs="Arial"/>
          <w:szCs w:val="24"/>
        </w:rPr>
        <w:t xml:space="preserve"> distributed to the fetus via </w:t>
      </w:r>
      <w:proofErr w:type="spellStart"/>
      <w:r w:rsidR="00725404" w:rsidRPr="00A91056">
        <w:rPr>
          <w:rFonts w:cs="Arial"/>
          <w:szCs w:val="24"/>
        </w:rPr>
        <w:t>chorio</w:t>
      </w:r>
      <w:r w:rsidR="005353F7" w:rsidRPr="00A91056">
        <w:rPr>
          <w:rFonts w:cs="Arial"/>
          <w:szCs w:val="24"/>
        </w:rPr>
        <w:t>allantoic</w:t>
      </w:r>
      <w:proofErr w:type="spellEnd"/>
      <w:r w:rsidR="005353F7" w:rsidRPr="00A91056">
        <w:rPr>
          <w:rFonts w:cs="Arial"/>
          <w:szCs w:val="24"/>
        </w:rPr>
        <w:t xml:space="preserve"> veins</w:t>
      </w:r>
      <w:r w:rsidR="006B5319">
        <w:rPr>
          <w:rFonts w:cs="Arial"/>
          <w:szCs w:val="24"/>
        </w:rPr>
        <w:t xml:space="preserve"> </w:t>
      </w:r>
      <w:r w:rsidR="0004033C" w:rsidRPr="00A91056">
        <w:rPr>
          <w:rFonts w:cs="Arial"/>
          <w:szCs w:val="24"/>
        </w:rPr>
        <w:t>(</w:t>
      </w:r>
      <w:r w:rsidR="0004033C" w:rsidRPr="00A91056">
        <w:rPr>
          <w:rFonts w:cs="Arial"/>
          <w:b/>
          <w:bCs/>
          <w:szCs w:val="24"/>
        </w:rPr>
        <w:t>Figure 1</w:t>
      </w:r>
      <w:r w:rsidR="0004033C" w:rsidRPr="00A91056">
        <w:rPr>
          <w:rFonts w:cs="Arial"/>
          <w:szCs w:val="24"/>
        </w:rPr>
        <w:t>)</w:t>
      </w:r>
      <w:r w:rsidR="00893356">
        <w:rPr>
          <w:rFonts w:cs="Arial"/>
          <w:szCs w:val="24"/>
        </w:rPr>
        <w:t>.</w:t>
      </w:r>
      <w:r w:rsidR="0004033C">
        <w:rPr>
          <w:rFonts w:cs="Arial"/>
          <w:szCs w:val="24"/>
        </w:rPr>
        <w:t xml:space="preserve"> </w:t>
      </w:r>
      <w:r w:rsidR="00893356">
        <w:rPr>
          <w:rFonts w:cs="Arial"/>
          <w:szCs w:val="24"/>
        </w:rPr>
        <w:t xml:space="preserve">These veins </w:t>
      </w:r>
      <w:r w:rsidR="0004033C">
        <w:rPr>
          <w:rFonts w:cs="Arial"/>
          <w:szCs w:val="24"/>
        </w:rPr>
        <w:t xml:space="preserve">are </w:t>
      </w:r>
      <w:r w:rsidR="0004033C" w:rsidRPr="00A91056">
        <w:rPr>
          <w:rFonts w:cs="Arial"/>
          <w:szCs w:val="24"/>
        </w:rPr>
        <w:t>analogous to umbilical veins in humans</w:t>
      </w:r>
      <w:r w:rsidR="0004033C">
        <w:rPr>
          <w:rFonts w:cs="Arial"/>
          <w:szCs w:val="24"/>
        </w:rPr>
        <w:t xml:space="preserve"> and </w:t>
      </w:r>
      <w:r w:rsidR="001961A0">
        <w:rPr>
          <w:rFonts w:cs="Arial"/>
          <w:szCs w:val="24"/>
        </w:rPr>
        <w:t>are</w:t>
      </w:r>
      <w:r w:rsidR="001961A0" w:rsidRPr="00A91056">
        <w:rPr>
          <w:rFonts w:cs="Arial"/>
          <w:szCs w:val="24"/>
        </w:rPr>
        <w:t xml:space="preserve"> responsible for gas exchange</w:t>
      </w:r>
      <w:r w:rsidR="00893356">
        <w:rPr>
          <w:rFonts w:cs="Arial"/>
          <w:szCs w:val="24"/>
        </w:rPr>
        <w:t xml:space="preserve"> </w:t>
      </w:r>
      <w:r w:rsidR="00C4016A" w:rsidRPr="00A91056">
        <w:rPr>
          <w:rFonts w:cs="Arial"/>
          <w:szCs w:val="24"/>
        </w:rPr>
        <w:t>(Duncker 1978; Van Golde et al. 1996)</w:t>
      </w:r>
      <w:r w:rsidR="00CB2BF2">
        <w:rPr>
          <w:rFonts w:cs="Arial"/>
          <w:szCs w:val="24"/>
        </w:rPr>
        <w:t>.</w:t>
      </w:r>
      <w:r w:rsidR="00893356">
        <w:rPr>
          <w:rFonts w:cs="Arial"/>
          <w:szCs w:val="24"/>
        </w:rPr>
        <w:t xml:space="preserve"> </w:t>
      </w:r>
      <w:r w:rsidR="005353F7" w:rsidRPr="00A91056">
        <w:rPr>
          <w:rFonts w:cs="Arial"/>
          <w:szCs w:val="24"/>
        </w:rPr>
        <w:t>Another circulatory arc</w:t>
      </w:r>
      <w:r w:rsidR="003763C1">
        <w:rPr>
          <w:rFonts w:cs="Arial"/>
          <w:szCs w:val="24"/>
        </w:rPr>
        <w:t xml:space="preserve"> which is</w:t>
      </w:r>
      <w:r w:rsidR="005353F7" w:rsidRPr="00A91056">
        <w:rPr>
          <w:rFonts w:cs="Arial"/>
          <w:szCs w:val="24"/>
        </w:rPr>
        <w:t xml:space="preserve"> composed of the vitelline veins</w:t>
      </w:r>
      <w:r w:rsidR="00D84330">
        <w:rPr>
          <w:rFonts w:cs="Arial"/>
          <w:szCs w:val="24"/>
        </w:rPr>
        <w:t xml:space="preserve"> </w:t>
      </w:r>
      <w:r w:rsidR="00D84330" w:rsidRPr="00A91056">
        <w:rPr>
          <w:rFonts w:cs="Arial"/>
          <w:szCs w:val="24"/>
        </w:rPr>
        <w:t>(</w:t>
      </w:r>
      <w:r w:rsidR="00D84330" w:rsidRPr="00A91056">
        <w:rPr>
          <w:rFonts w:cs="Arial"/>
          <w:b/>
          <w:bCs/>
          <w:szCs w:val="24"/>
        </w:rPr>
        <w:t>Figure 1</w:t>
      </w:r>
      <w:r w:rsidR="00D84330" w:rsidRPr="00A91056">
        <w:rPr>
          <w:rFonts w:cs="Arial"/>
          <w:szCs w:val="24"/>
        </w:rPr>
        <w:t>)</w:t>
      </w:r>
      <w:r w:rsidR="005353F7" w:rsidRPr="00A91056">
        <w:rPr>
          <w:rFonts w:cs="Arial"/>
          <w:szCs w:val="24"/>
        </w:rPr>
        <w:t>, absorb</w:t>
      </w:r>
      <w:r w:rsidR="00D51D41" w:rsidRPr="00A91056">
        <w:rPr>
          <w:rFonts w:cs="Arial"/>
          <w:szCs w:val="24"/>
        </w:rPr>
        <w:t>s</w:t>
      </w:r>
      <w:r w:rsidR="005353F7" w:rsidRPr="00A91056">
        <w:rPr>
          <w:rFonts w:cs="Arial"/>
          <w:szCs w:val="24"/>
        </w:rPr>
        <w:t xml:space="preserve"> nutrients from the yolk sac.</w:t>
      </w:r>
      <w:r w:rsidR="00BB2B69" w:rsidRPr="00A91056">
        <w:rPr>
          <w:rFonts w:cs="Arial"/>
          <w:szCs w:val="24"/>
        </w:rPr>
        <w:t xml:space="preserve"> </w:t>
      </w:r>
      <w:r w:rsidR="005353F7" w:rsidRPr="00A91056">
        <w:rPr>
          <w:rFonts w:cs="Arial"/>
          <w:szCs w:val="24"/>
        </w:rPr>
        <w:t>The intra-embryonic circulation then bring</w:t>
      </w:r>
      <w:r w:rsidR="005C2A32" w:rsidRPr="00A91056">
        <w:rPr>
          <w:rFonts w:cs="Arial"/>
          <w:szCs w:val="24"/>
        </w:rPr>
        <w:t>s</w:t>
      </w:r>
      <w:r w:rsidR="005353F7" w:rsidRPr="00A91056">
        <w:rPr>
          <w:rFonts w:cs="Arial"/>
          <w:szCs w:val="24"/>
        </w:rPr>
        <w:t xml:space="preserve"> nutrients and oxygen to </w:t>
      </w:r>
      <w:r w:rsidR="00472F5C" w:rsidRPr="00A91056">
        <w:rPr>
          <w:rFonts w:cs="Arial"/>
          <w:szCs w:val="24"/>
        </w:rPr>
        <w:t>tissues and</w:t>
      </w:r>
      <w:r w:rsidR="001B17A1">
        <w:rPr>
          <w:rFonts w:cs="Arial"/>
          <w:szCs w:val="24"/>
        </w:rPr>
        <w:t xml:space="preserve"> </w:t>
      </w:r>
      <w:r w:rsidR="005353F7" w:rsidRPr="00A91056">
        <w:rPr>
          <w:rFonts w:cs="Arial"/>
          <w:szCs w:val="24"/>
        </w:rPr>
        <w:t>collect</w:t>
      </w:r>
      <w:r w:rsidR="001B17A1">
        <w:rPr>
          <w:rFonts w:cs="Arial"/>
          <w:szCs w:val="24"/>
        </w:rPr>
        <w:t>s</w:t>
      </w:r>
      <w:r w:rsidR="005353F7" w:rsidRPr="00A91056">
        <w:rPr>
          <w:rFonts w:cs="Arial"/>
          <w:szCs w:val="24"/>
        </w:rPr>
        <w:t xml:space="preserve"> waste materials. The majority of metabolism </w:t>
      </w:r>
      <w:r w:rsidR="00BB2B69" w:rsidRPr="00A91056">
        <w:rPr>
          <w:rFonts w:cs="Arial"/>
          <w:szCs w:val="24"/>
        </w:rPr>
        <w:t>occurs</w:t>
      </w:r>
      <w:r w:rsidR="005353F7" w:rsidRPr="00A91056">
        <w:rPr>
          <w:rFonts w:cs="Arial"/>
          <w:szCs w:val="24"/>
        </w:rPr>
        <w:t xml:space="preserve"> in the liver, which </w:t>
      </w:r>
      <w:r w:rsidR="00504D91" w:rsidRPr="00A91056">
        <w:rPr>
          <w:rFonts w:cs="Arial"/>
          <w:szCs w:val="24"/>
        </w:rPr>
        <w:t>develops</w:t>
      </w:r>
      <w:r w:rsidR="005353F7" w:rsidRPr="00A91056">
        <w:rPr>
          <w:rFonts w:cs="Arial"/>
          <w:szCs w:val="24"/>
        </w:rPr>
        <w:t xml:space="preserve"> metabolic capacities from </w:t>
      </w:r>
      <w:r w:rsidR="00BB2B69" w:rsidRPr="00A91056">
        <w:rPr>
          <w:rFonts w:cs="Arial"/>
          <w:szCs w:val="24"/>
        </w:rPr>
        <w:t xml:space="preserve">embryonic </w:t>
      </w:r>
      <w:r w:rsidR="005353F7" w:rsidRPr="00A91056">
        <w:rPr>
          <w:rFonts w:cs="Arial"/>
          <w:szCs w:val="24"/>
        </w:rPr>
        <w:t xml:space="preserve">day </w:t>
      </w:r>
      <w:r w:rsidR="00697DA3" w:rsidRPr="00A91056">
        <w:rPr>
          <w:rFonts w:cs="Arial"/>
          <w:szCs w:val="24"/>
        </w:rPr>
        <w:t>6</w:t>
      </w:r>
      <w:r w:rsidR="00401B2C" w:rsidRPr="00A91056">
        <w:rPr>
          <w:rFonts w:cs="Arial"/>
          <w:szCs w:val="24"/>
        </w:rPr>
        <w:t xml:space="preserve"> </w:t>
      </w:r>
      <w:r w:rsidR="00C4016A" w:rsidRPr="00A91056">
        <w:rPr>
          <w:rFonts w:cs="Arial"/>
          <w:szCs w:val="24"/>
        </w:rPr>
        <w:t>(O’connor 1953)</w:t>
      </w:r>
      <w:r w:rsidR="00472F5C">
        <w:rPr>
          <w:rFonts w:cs="Arial"/>
          <w:szCs w:val="24"/>
        </w:rPr>
        <w:t>,</w:t>
      </w:r>
      <w:r w:rsidR="005353F7" w:rsidRPr="00A91056">
        <w:rPr>
          <w:rFonts w:cs="Arial"/>
          <w:szCs w:val="24"/>
        </w:rPr>
        <w:t xml:space="preserve"> </w:t>
      </w:r>
      <w:r w:rsidR="006B25A5" w:rsidRPr="00A91056">
        <w:rPr>
          <w:rFonts w:cs="Arial"/>
          <w:szCs w:val="24"/>
        </w:rPr>
        <w:t xml:space="preserve">the activity of which is comparable to that in postnatal rodents </w:t>
      </w:r>
      <w:r w:rsidR="00C4016A" w:rsidRPr="00A91056">
        <w:rPr>
          <w:rFonts w:cs="Arial"/>
          <w:szCs w:val="24"/>
        </w:rPr>
        <w:t>(Perrone et al. 2004)</w:t>
      </w:r>
      <w:r w:rsidR="005353F7" w:rsidRPr="00A91056">
        <w:rPr>
          <w:rFonts w:cs="Arial"/>
          <w:szCs w:val="24"/>
        </w:rPr>
        <w:t xml:space="preserve">. Waste products are then eliminated through the cloaca, a common chamber into which </w:t>
      </w:r>
      <w:r w:rsidR="00BB2B69" w:rsidRPr="00A91056">
        <w:rPr>
          <w:rFonts w:cs="Arial"/>
          <w:szCs w:val="24"/>
        </w:rPr>
        <w:t>urine and</w:t>
      </w:r>
      <w:r w:rsidR="005353F7" w:rsidRPr="00A91056">
        <w:rPr>
          <w:rFonts w:cs="Arial"/>
          <w:szCs w:val="24"/>
        </w:rPr>
        <w:t xml:space="preserve"> feces are combined for discharge. </w:t>
      </w:r>
      <w:r w:rsidR="00650860">
        <w:rPr>
          <w:rFonts w:cs="Arial"/>
          <w:szCs w:val="24"/>
        </w:rPr>
        <w:t>The c</w:t>
      </w:r>
      <w:r w:rsidR="005353F7" w:rsidRPr="00A91056">
        <w:rPr>
          <w:rFonts w:cs="Arial"/>
          <w:szCs w:val="24"/>
        </w:rPr>
        <w:t xml:space="preserve">loaca begins to form on </w:t>
      </w:r>
      <w:r w:rsidR="00BB2B69" w:rsidRPr="00A91056">
        <w:rPr>
          <w:rFonts w:cs="Arial"/>
          <w:szCs w:val="24"/>
        </w:rPr>
        <w:t xml:space="preserve">embryonic </w:t>
      </w:r>
      <w:r w:rsidR="005353F7" w:rsidRPr="00A91056">
        <w:rPr>
          <w:rFonts w:cs="Arial"/>
          <w:szCs w:val="24"/>
        </w:rPr>
        <w:t xml:space="preserve">day </w:t>
      </w:r>
      <w:r w:rsidR="0048537C" w:rsidRPr="00A91056">
        <w:rPr>
          <w:rFonts w:cs="Arial"/>
          <w:szCs w:val="24"/>
        </w:rPr>
        <w:t>six</w:t>
      </w:r>
      <w:r w:rsidR="00082368" w:rsidRPr="00A91056">
        <w:rPr>
          <w:rFonts w:cs="Arial"/>
          <w:szCs w:val="24"/>
        </w:rPr>
        <w:t xml:space="preserve"> </w:t>
      </w:r>
      <w:r w:rsidR="00C4016A" w:rsidRPr="00A91056">
        <w:rPr>
          <w:rFonts w:cs="Arial"/>
          <w:szCs w:val="24"/>
        </w:rPr>
        <w:t>(Bakst 1986)</w:t>
      </w:r>
      <w:r w:rsidR="005353F7" w:rsidRPr="00A91056">
        <w:rPr>
          <w:rFonts w:cs="Arial"/>
          <w:szCs w:val="24"/>
        </w:rPr>
        <w:t xml:space="preserve">. </w:t>
      </w:r>
      <w:r w:rsidR="003A3C85" w:rsidRPr="00A91056">
        <w:rPr>
          <w:rFonts w:cs="Arial"/>
          <w:szCs w:val="24"/>
        </w:rPr>
        <w:t>Since a</w:t>
      </w:r>
      <w:r w:rsidR="00B008FB" w:rsidRPr="00A91056">
        <w:rPr>
          <w:rFonts w:cs="Arial"/>
          <w:szCs w:val="24"/>
        </w:rPr>
        <w:t xml:space="preserve">vian fetal livers contain a full </w:t>
      </w:r>
      <w:r w:rsidR="00B008FB" w:rsidRPr="00A91056">
        <w:rPr>
          <w:rFonts w:cs="Arial"/>
          <w:szCs w:val="24"/>
        </w:rPr>
        <w:lastRenderedPageBreak/>
        <w:t>complement of xenobiotic metabolizing enzymes</w:t>
      </w:r>
      <w:r w:rsidR="004D36DE" w:rsidRPr="00A91056">
        <w:rPr>
          <w:rFonts w:cs="Arial"/>
          <w:szCs w:val="24"/>
        </w:rPr>
        <w:t xml:space="preserve">, </w:t>
      </w:r>
      <w:r w:rsidR="004D36DE" w:rsidRPr="00A91056">
        <w:rPr>
          <w:rFonts w:cs="Arial"/>
          <w:i/>
          <w:iCs/>
          <w:szCs w:val="24"/>
        </w:rPr>
        <w:t xml:space="preserve">in </w:t>
      </w:r>
      <w:proofErr w:type="spellStart"/>
      <w:r w:rsidR="004D36DE" w:rsidRPr="00A91056">
        <w:rPr>
          <w:rFonts w:cs="Arial"/>
          <w:i/>
          <w:iCs/>
          <w:szCs w:val="24"/>
        </w:rPr>
        <w:t>ovo</w:t>
      </w:r>
      <w:proofErr w:type="spellEnd"/>
      <w:r w:rsidR="004D36DE" w:rsidRPr="00A91056">
        <w:rPr>
          <w:rFonts w:cs="Arial"/>
          <w:szCs w:val="24"/>
        </w:rPr>
        <w:t xml:space="preserve"> models</w:t>
      </w:r>
      <w:r w:rsidR="00B008FB" w:rsidRPr="00A91056">
        <w:rPr>
          <w:rFonts w:cs="Arial"/>
          <w:szCs w:val="24"/>
        </w:rPr>
        <w:t xml:space="preserve"> can detect genotoxic potential of a wider array of compounds than in vitro assays </w:t>
      </w:r>
      <w:r w:rsidR="00650860">
        <w:rPr>
          <w:rFonts w:cs="Arial"/>
          <w:szCs w:val="24"/>
        </w:rPr>
        <w:t>dependent on</w:t>
      </w:r>
      <w:r w:rsidR="00B008FB" w:rsidRPr="00A91056">
        <w:rPr>
          <w:rFonts w:cs="Arial"/>
          <w:szCs w:val="24"/>
        </w:rPr>
        <w:t xml:space="preserve"> supplementation</w:t>
      </w:r>
      <w:r w:rsidR="00DE4677">
        <w:rPr>
          <w:rFonts w:cs="Arial"/>
          <w:szCs w:val="24"/>
        </w:rPr>
        <w:t xml:space="preserve"> with enzyme preparations (</w:t>
      </w:r>
      <w:r w:rsidR="006B5DBC">
        <w:rPr>
          <w:rFonts w:cs="Arial"/>
          <w:szCs w:val="24"/>
        </w:rPr>
        <w:t xml:space="preserve">e.g., </w:t>
      </w:r>
      <w:r w:rsidR="003B575D">
        <w:rPr>
          <w:rFonts w:cs="Arial"/>
          <w:szCs w:val="24"/>
        </w:rPr>
        <w:t xml:space="preserve">induced </w:t>
      </w:r>
      <w:r w:rsidR="006B5DBC">
        <w:rPr>
          <w:rFonts w:cs="Arial"/>
          <w:szCs w:val="24"/>
        </w:rPr>
        <w:t>rat or hamster liver S9</w:t>
      </w:r>
      <w:r w:rsidR="007521A5">
        <w:rPr>
          <w:rFonts w:cs="Arial"/>
          <w:szCs w:val="24"/>
        </w:rPr>
        <w:t xml:space="preserve"> fractions)</w:t>
      </w:r>
      <w:r w:rsidR="00B008FB" w:rsidRPr="00A91056">
        <w:rPr>
          <w:rFonts w:cs="Arial"/>
          <w:szCs w:val="24"/>
        </w:rPr>
        <w:t xml:space="preserve">. Additionally, </w:t>
      </w:r>
      <w:r w:rsidR="00396A47">
        <w:rPr>
          <w:rFonts w:cs="Arial"/>
          <w:szCs w:val="24"/>
        </w:rPr>
        <w:t>similar to</w:t>
      </w:r>
      <w:r w:rsidR="00B008FB" w:rsidRPr="00A91056">
        <w:rPr>
          <w:rFonts w:cs="Arial"/>
          <w:szCs w:val="24"/>
        </w:rPr>
        <w:t xml:space="preserve"> in vivo models, </w:t>
      </w:r>
      <w:r w:rsidR="00396A47">
        <w:rPr>
          <w:rFonts w:cs="Arial"/>
          <w:szCs w:val="24"/>
        </w:rPr>
        <w:t xml:space="preserve">the </w:t>
      </w:r>
      <w:r w:rsidR="00B008FB" w:rsidRPr="00A91056">
        <w:rPr>
          <w:rFonts w:cs="Arial"/>
          <w:szCs w:val="24"/>
        </w:rPr>
        <w:t xml:space="preserve">avian embryo-fetus is capable of detoxication and elimination of xenobiotics, in contrast to </w:t>
      </w:r>
      <w:r w:rsidR="00AD14EB">
        <w:rPr>
          <w:rFonts w:cs="Arial"/>
          <w:szCs w:val="24"/>
        </w:rPr>
        <w:t xml:space="preserve">many </w:t>
      </w:r>
      <w:r w:rsidR="00B008FB" w:rsidRPr="00A91056">
        <w:rPr>
          <w:rFonts w:cs="Arial"/>
          <w:szCs w:val="24"/>
        </w:rPr>
        <w:t>in vitro systems</w:t>
      </w:r>
      <w:r w:rsidR="00AE10C7">
        <w:rPr>
          <w:rFonts w:cs="Arial"/>
          <w:szCs w:val="24"/>
        </w:rPr>
        <w:t xml:space="preserve"> which</w:t>
      </w:r>
      <w:r w:rsidR="00050C88">
        <w:rPr>
          <w:rFonts w:cs="Arial"/>
          <w:szCs w:val="24"/>
        </w:rPr>
        <w:t>, unless specifically engineered,</w:t>
      </w:r>
      <w:r w:rsidR="00AE10C7">
        <w:rPr>
          <w:rFonts w:cs="Arial"/>
          <w:szCs w:val="24"/>
        </w:rPr>
        <w:t xml:space="preserve"> </w:t>
      </w:r>
      <w:r w:rsidR="00083ADA">
        <w:rPr>
          <w:rFonts w:cs="Arial"/>
          <w:szCs w:val="24"/>
        </w:rPr>
        <w:t xml:space="preserve">lack </w:t>
      </w:r>
      <w:r w:rsidR="00AE7BF7">
        <w:rPr>
          <w:rFonts w:cs="Arial"/>
          <w:szCs w:val="24"/>
        </w:rPr>
        <w:t>phase II enzyme activity</w:t>
      </w:r>
      <w:r w:rsidR="004D36DE" w:rsidRPr="00A91056">
        <w:rPr>
          <w:rFonts w:cs="Arial"/>
          <w:szCs w:val="24"/>
        </w:rPr>
        <w:t>.</w:t>
      </w:r>
      <w:r w:rsidR="004A6B32" w:rsidRPr="00A91056">
        <w:rPr>
          <w:rFonts w:cs="Arial"/>
          <w:szCs w:val="24"/>
        </w:rPr>
        <w:t xml:space="preserve"> The results of testing in the</w:t>
      </w:r>
      <w:r w:rsidR="00050C88">
        <w:rPr>
          <w:rFonts w:cs="Arial"/>
          <w:szCs w:val="24"/>
        </w:rPr>
        <w:t xml:space="preserve"> </w:t>
      </w:r>
      <w:r w:rsidR="00050C88" w:rsidRPr="00050C88">
        <w:rPr>
          <w:rFonts w:cs="Arial"/>
          <w:i/>
          <w:iCs/>
          <w:szCs w:val="24"/>
        </w:rPr>
        <w:t xml:space="preserve">in </w:t>
      </w:r>
      <w:proofErr w:type="spellStart"/>
      <w:r w:rsidR="00050C88" w:rsidRPr="00050C88">
        <w:rPr>
          <w:rFonts w:cs="Arial"/>
          <w:i/>
          <w:iCs/>
          <w:szCs w:val="24"/>
        </w:rPr>
        <w:t>ovo</w:t>
      </w:r>
      <w:proofErr w:type="spellEnd"/>
      <w:r w:rsidR="004A6B32" w:rsidRPr="00A91056">
        <w:rPr>
          <w:rFonts w:cs="Arial"/>
          <w:szCs w:val="24"/>
        </w:rPr>
        <w:t xml:space="preserve"> model</w:t>
      </w:r>
      <w:r w:rsidR="00050C88">
        <w:rPr>
          <w:rFonts w:cs="Arial"/>
          <w:szCs w:val="24"/>
        </w:rPr>
        <w:t>s</w:t>
      </w:r>
      <w:r w:rsidR="004A6B32" w:rsidRPr="00A91056">
        <w:rPr>
          <w:rFonts w:cs="Arial"/>
          <w:szCs w:val="24"/>
        </w:rPr>
        <w:t xml:space="preserve"> </w:t>
      </w:r>
      <w:r w:rsidR="00BF2A7A" w:rsidRPr="00A91056">
        <w:rPr>
          <w:rFonts w:cs="Arial"/>
          <w:szCs w:val="24"/>
        </w:rPr>
        <w:t>indicate activation of a wide structural variety of activation-dependent genotoxins, e.g., polyc</w:t>
      </w:r>
      <w:r w:rsidR="00F64F08" w:rsidRPr="00A91056">
        <w:rPr>
          <w:rFonts w:cs="Arial"/>
          <w:szCs w:val="24"/>
        </w:rPr>
        <w:t xml:space="preserve">yclic aromatic hydrocarbons, aromatic amines, </w:t>
      </w:r>
      <w:proofErr w:type="spellStart"/>
      <w:r w:rsidR="00F64F08" w:rsidRPr="00A91056">
        <w:rPr>
          <w:rFonts w:cs="Arial"/>
          <w:szCs w:val="24"/>
        </w:rPr>
        <w:t>alkenylbenzenes</w:t>
      </w:r>
      <w:proofErr w:type="spellEnd"/>
      <w:r w:rsidR="00F64F08" w:rsidRPr="00A91056">
        <w:rPr>
          <w:rFonts w:cs="Arial"/>
          <w:szCs w:val="24"/>
        </w:rPr>
        <w:t xml:space="preserve">, etc. </w:t>
      </w:r>
      <w:r w:rsidR="00C4016A" w:rsidRPr="001F5088">
        <w:rPr>
          <w:rFonts w:cs="Arial"/>
          <w:szCs w:val="24"/>
          <w:lang w:val="nl-NL"/>
        </w:rPr>
        <w:t>(Kobets et al. 2019a; Kobets et al. 201</w:t>
      </w:r>
      <w:r w:rsidR="00D3484F">
        <w:rPr>
          <w:rFonts w:cs="Arial"/>
          <w:szCs w:val="24"/>
          <w:lang w:val="nl-NL"/>
        </w:rPr>
        <w:t>6</w:t>
      </w:r>
      <w:r w:rsidR="00C4016A" w:rsidRPr="001F5088">
        <w:rPr>
          <w:rFonts w:cs="Arial"/>
          <w:szCs w:val="24"/>
          <w:lang w:val="nl-NL"/>
        </w:rPr>
        <w:t>; Kobets et al. 2018a; Kobets et al. 2019b; Williams et al. 2014)</w:t>
      </w:r>
      <w:r w:rsidR="0015727B" w:rsidRPr="001F5088">
        <w:rPr>
          <w:rFonts w:cs="Arial"/>
          <w:szCs w:val="24"/>
          <w:lang w:val="nl-NL"/>
        </w:rPr>
        <w:t>.</w:t>
      </w:r>
    </w:p>
    <w:p w14:paraId="54CD7195" w14:textId="77777777" w:rsidR="00A91056" w:rsidRDefault="003A3BE1" w:rsidP="001B5DB8">
      <w:pPr>
        <w:pStyle w:val="NoSpacing"/>
        <w:jc w:val="center"/>
      </w:pPr>
      <w:r w:rsidRPr="00A91056">
        <w:rPr>
          <w:noProof/>
        </w:rPr>
        <w:drawing>
          <wp:inline distT="0" distB="0" distL="0" distR="0" wp14:anchorId="08C45BE0" wp14:editId="5CD579BD">
            <wp:extent cx="4003181" cy="3108960"/>
            <wp:effectExtent l="0" t="0" r="0" b="0"/>
            <wp:docPr id="1157694645" name="Picture 2" descr="A diagram of the human bod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7694645" name="Picture 2" descr="A diagram of the human body&#10;&#10;Description automatically generated"/>
                    <pic:cNvPicPr/>
                  </pic:nvPicPr>
                  <pic:blipFill rotWithShape="1">
                    <a:blip r:embed="rId10" cstate="print">
                      <a:extLst>
                        <a:ext uri="{28A0092B-C50C-407E-A947-70E740481C1C}">
                          <a14:useLocalDpi xmlns:a14="http://schemas.microsoft.com/office/drawing/2010/main" val="0"/>
                        </a:ext>
                      </a:extLst>
                    </a:blip>
                    <a:srcRect l="19341" t="3855" r="6217" b="13553"/>
                    <a:stretch/>
                  </pic:blipFill>
                  <pic:spPr bwMode="auto">
                    <a:xfrm>
                      <a:off x="0" y="0"/>
                      <a:ext cx="4003181" cy="3108960"/>
                    </a:xfrm>
                    <a:prstGeom prst="rect">
                      <a:avLst/>
                    </a:prstGeom>
                    <a:ln>
                      <a:noFill/>
                    </a:ln>
                    <a:extLst>
                      <a:ext uri="{53640926-AAD7-44D8-BBD7-CCE9431645EC}">
                        <a14:shadowObscured xmlns:a14="http://schemas.microsoft.com/office/drawing/2010/main"/>
                      </a:ext>
                    </a:extLst>
                  </pic:spPr>
                </pic:pic>
              </a:graphicData>
            </a:graphic>
          </wp:inline>
        </w:drawing>
      </w:r>
    </w:p>
    <w:p w14:paraId="3D373956" w14:textId="773D063E" w:rsidR="001232B1" w:rsidRDefault="00A91056" w:rsidP="00AB5013">
      <w:pPr>
        <w:pStyle w:val="Caption"/>
        <w:spacing w:after="240"/>
      </w:pPr>
      <w:r w:rsidRPr="00953A9F">
        <w:rPr>
          <w:b w:val="0"/>
          <w:bCs/>
        </w:rPr>
        <w:t xml:space="preserve">Figure </w:t>
      </w:r>
      <w:r w:rsidRPr="00953A9F">
        <w:rPr>
          <w:b w:val="0"/>
          <w:bCs/>
        </w:rPr>
        <w:fldChar w:fldCharType="begin"/>
      </w:r>
      <w:r w:rsidRPr="00953A9F">
        <w:rPr>
          <w:b w:val="0"/>
          <w:bCs/>
        </w:rPr>
        <w:instrText xml:space="preserve"> SEQ Figure \* ARABIC </w:instrText>
      </w:r>
      <w:r w:rsidRPr="00953A9F">
        <w:rPr>
          <w:b w:val="0"/>
          <w:bCs/>
        </w:rPr>
        <w:fldChar w:fldCharType="separate"/>
      </w:r>
      <w:r w:rsidR="00B51674">
        <w:rPr>
          <w:b w:val="0"/>
          <w:bCs/>
          <w:noProof/>
        </w:rPr>
        <w:t>1</w:t>
      </w:r>
      <w:r w:rsidRPr="00953A9F">
        <w:rPr>
          <w:b w:val="0"/>
          <w:bCs/>
        </w:rPr>
        <w:fldChar w:fldCharType="end"/>
      </w:r>
      <w:r w:rsidR="003F4230" w:rsidRPr="00953A9F">
        <w:rPr>
          <w:b w:val="0"/>
          <w:bCs/>
        </w:rPr>
        <w:t>.</w:t>
      </w:r>
      <w:r w:rsidR="003F4230">
        <w:t xml:space="preserve"> </w:t>
      </w:r>
      <w:r w:rsidR="00953A9F">
        <w:t xml:space="preserve">Schematic representation of </w:t>
      </w:r>
      <w:r w:rsidR="005F6630">
        <w:t xml:space="preserve">a </w:t>
      </w:r>
      <w:r w:rsidR="000036B3">
        <w:t xml:space="preserve">cross section of fertilized </w:t>
      </w:r>
      <w:r w:rsidR="000036B3" w:rsidRPr="00DD6BE2">
        <w:t>chicken</w:t>
      </w:r>
      <w:r w:rsidR="000036B3">
        <w:t xml:space="preserve"> egg.</w:t>
      </w:r>
      <w:r w:rsidR="00684FDB">
        <w:t xml:space="preserve"> </w:t>
      </w:r>
      <w:r w:rsidR="00684FDB">
        <w:rPr>
          <w:b w:val="0"/>
          <w:bCs/>
        </w:rPr>
        <w:t>Created with BioRender.com</w:t>
      </w:r>
    </w:p>
    <w:p w14:paraId="5E342B36" w14:textId="28B5A4A2" w:rsidR="0032056C" w:rsidRPr="00A91056" w:rsidRDefault="005017D0" w:rsidP="008C2990">
      <w:pPr>
        <w:autoSpaceDE w:val="0"/>
        <w:autoSpaceDN w:val="0"/>
        <w:adjustRightInd w:val="0"/>
        <w:rPr>
          <w:rFonts w:cs="Arial"/>
          <w:szCs w:val="24"/>
        </w:rPr>
      </w:pPr>
      <w:r w:rsidRPr="00A91056">
        <w:rPr>
          <w:rFonts w:cs="Arial"/>
          <w:i/>
          <w:iCs/>
          <w:szCs w:val="24"/>
        </w:rPr>
        <w:t xml:space="preserve">In </w:t>
      </w:r>
      <w:proofErr w:type="spellStart"/>
      <w:r w:rsidRPr="00A91056">
        <w:rPr>
          <w:rFonts w:cs="Arial"/>
          <w:i/>
          <w:iCs/>
          <w:szCs w:val="24"/>
        </w:rPr>
        <w:t>ovo</w:t>
      </w:r>
      <w:proofErr w:type="spellEnd"/>
      <w:r w:rsidRPr="00A91056">
        <w:rPr>
          <w:rFonts w:cs="Arial"/>
          <w:szCs w:val="24"/>
        </w:rPr>
        <w:t xml:space="preserve"> models</w:t>
      </w:r>
      <w:r w:rsidR="007E5F58" w:rsidRPr="00A91056">
        <w:rPr>
          <w:rFonts w:cs="Arial"/>
          <w:szCs w:val="24"/>
        </w:rPr>
        <w:t xml:space="preserve"> </w:t>
      </w:r>
      <w:r w:rsidR="00CE6CD3" w:rsidRPr="00A91056">
        <w:rPr>
          <w:rFonts w:cs="Arial"/>
          <w:szCs w:val="24"/>
        </w:rPr>
        <w:t>can be utilized for an extensive evaluation of other endpoints, including histopathology</w:t>
      </w:r>
      <w:r w:rsidR="007E5F58" w:rsidRPr="00A91056">
        <w:rPr>
          <w:rFonts w:cs="Arial"/>
          <w:szCs w:val="24"/>
        </w:rPr>
        <w:t xml:space="preserve"> </w:t>
      </w:r>
      <w:r w:rsidR="00C4016A" w:rsidRPr="00A91056">
        <w:rPr>
          <w:rFonts w:cs="Arial"/>
          <w:szCs w:val="24"/>
        </w:rPr>
        <w:t>(Enzmann et al. 2013; Iatropoulos et al. 2017)</w:t>
      </w:r>
      <w:r w:rsidR="009322D4" w:rsidRPr="00A91056">
        <w:rPr>
          <w:rFonts w:cs="Arial"/>
          <w:szCs w:val="24"/>
        </w:rPr>
        <w:t>,</w:t>
      </w:r>
      <w:r w:rsidR="00CE6CD3" w:rsidRPr="00A91056">
        <w:rPr>
          <w:rFonts w:cs="Arial"/>
          <w:szCs w:val="24"/>
        </w:rPr>
        <w:t xml:space="preserve"> </w:t>
      </w:r>
      <w:r w:rsidR="009322D4" w:rsidRPr="00A91056">
        <w:rPr>
          <w:rFonts w:cs="Arial"/>
          <w:szCs w:val="24"/>
        </w:rPr>
        <w:t xml:space="preserve">whereas in vitro systems </w:t>
      </w:r>
      <w:r w:rsidR="00A76E38">
        <w:rPr>
          <w:rFonts w:cs="Arial"/>
          <w:szCs w:val="24"/>
        </w:rPr>
        <w:t>do not allow</w:t>
      </w:r>
      <w:r w:rsidR="009322D4" w:rsidRPr="00A91056">
        <w:rPr>
          <w:rFonts w:cs="Arial"/>
          <w:szCs w:val="24"/>
        </w:rPr>
        <w:t xml:space="preserve"> such extensive assessment. </w:t>
      </w:r>
      <w:r w:rsidR="007671F5" w:rsidRPr="00A91056">
        <w:rPr>
          <w:rFonts w:cs="Arial"/>
          <w:szCs w:val="24"/>
        </w:rPr>
        <w:t>Thus, in addition to detecti</w:t>
      </w:r>
      <w:r w:rsidR="004F5C58" w:rsidRPr="00A91056">
        <w:rPr>
          <w:rFonts w:cs="Arial"/>
          <w:szCs w:val="24"/>
        </w:rPr>
        <w:t>ng</w:t>
      </w:r>
      <w:r w:rsidR="007671F5" w:rsidRPr="00A91056">
        <w:rPr>
          <w:rFonts w:cs="Arial"/>
          <w:szCs w:val="24"/>
        </w:rPr>
        <w:t xml:space="preserve"> </w:t>
      </w:r>
      <w:r w:rsidR="007671F5" w:rsidRPr="00A91056">
        <w:rPr>
          <w:rFonts w:cs="Arial"/>
          <w:szCs w:val="24"/>
        </w:rPr>
        <w:lastRenderedPageBreak/>
        <w:t xml:space="preserve">genotoxicity of diverse DNA-reactive carcinogens, </w:t>
      </w:r>
      <w:r w:rsidR="008C7F9C" w:rsidRPr="00A91056">
        <w:rPr>
          <w:rFonts w:cs="Arial"/>
          <w:szCs w:val="24"/>
        </w:rPr>
        <w:t>F</w:t>
      </w:r>
      <w:r w:rsidR="004F5C58" w:rsidRPr="00A91056">
        <w:rPr>
          <w:rFonts w:cs="Arial"/>
          <w:szCs w:val="24"/>
        </w:rPr>
        <w:t xml:space="preserve">AEFL/DDA can </w:t>
      </w:r>
      <w:r w:rsidR="007671F5" w:rsidRPr="00A91056">
        <w:rPr>
          <w:rFonts w:cs="Arial"/>
          <w:szCs w:val="24"/>
        </w:rPr>
        <w:t>reveal developmental abnormalities</w:t>
      </w:r>
      <w:r w:rsidR="00FE1C25">
        <w:rPr>
          <w:rFonts w:cs="Arial"/>
          <w:szCs w:val="24"/>
        </w:rPr>
        <w:t xml:space="preserve"> (e.g., </w:t>
      </w:r>
      <w:r w:rsidR="00FF20B0" w:rsidRPr="00FF20B0">
        <w:rPr>
          <w:rFonts w:cs="Arial"/>
          <w:szCs w:val="24"/>
        </w:rPr>
        <w:t>gallbladder agenesis</w:t>
      </w:r>
      <w:r w:rsidR="00FF20B0">
        <w:rPr>
          <w:rFonts w:cs="Arial"/>
          <w:szCs w:val="24"/>
        </w:rPr>
        <w:t xml:space="preserve"> </w:t>
      </w:r>
      <w:r w:rsidR="0035029B">
        <w:rPr>
          <w:rFonts w:cs="Arial"/>
          <w:szCs w:val="24"/>
        </w:rPr>
        <w:t>caused by</w:t>
      </w:r>
      <w:r w:rsidR="00FE1C25">
        <w:rPr>
          <w:rFonts w:cs="Arial"/>
          <w:szCs w:val="24"/>
        </w:rPr>
        <w:t xml:space="preserve"> </w:t>
      </w:r>
      <w:r w:rsidR="0035029B">
        <w:rPr>
          <w:rFonts w:cs="Arial"/>
          <w:szCs w:val="24"/>
        </w:rPr>
        <w:t xml:space="preserve">genotoxic carcinogen </w:t>
      </w:r>
      <w:proofErr w:type="spellStart"/>
      <w:r w:rsidR="00FE1C25">
        <w:rPr>
          <w:rFonts w:cs="Arial"/>
          <w:szCs w:val="24"/>
        </w:rPr>
        <w:t>diethylnitrosamine</w:t>
      </w:r>
      <w:proofErr w:type="spellEnd"/>
      <w:r w:rsidR="00FF20B0">
        <w:rPr>
          <w:rFonts w:cs="Arial"/>
          <w:szCs w:val="24"/>
        </w:rPr>
        <w:t xml:space="preserve"> </w:t>
      </w:r>
      <w:r w:rsidR="00C4016A">
        <w:rPr>
          <w:rFonts w:cs="Arial"/>
          <w:noProof/>
          <w:szCs w:val="24"/>
        </w:rPr>
        <w:t xml:space="preserve">(Iatropoulos et al. 2017; Williams </w:t>
      </w:r>
      <w:r w:rsidR="00E3474E">
        <w:rPr>
          <w:rFonts w:cs="Arial"/>
          <w:noProof/>
          <w:szCs w:val="24"/>
        </w:rPr>
        <w:t xml:space="preserve">G. </w:t>
      </w:r>
      <w:r w:rsidR="00C4016A">
        <w:rPr>
          <w:rFonts w:cs="Arial"/>
          <w:noProof/>
          <w:szCs w:val="24"/>
        </w:rPr>
        <w:t>et al. 2011)</w:t>
      </w:r>
      <w:r w:rsidR="00CF200B">
        <w:rPr>
          <w:rFonts w:cs="Arial"/>
          <w:szCs w:val="24"/>
        </w:rPr>
        <w:t>)</w:t>
      </w:r>
      <w:r w:rsidR="007671F5" w:rsidRPr="00A91056">
        <w:rPr>
          <w:rFonts w:cs="Arial"/>
          <w:szCs w:val="24"/>
        </w:rPr>
        <w:t xml:space="preserve"> and distinguish adverse and adaptive morphological changes.</w:t>
      </w:r>
      <w:r w:rsidR="00C10065" w:rsidRPr="00A91056">
        <w:rPr>
          <w:rFonts w:cs="Arial"/>
          <w:szCs w:val="24"/>
        </w:rPr>
        <w:t xml:space="preserve"> </w:t>
      </w:r>
      <w:r w:rsidR="008C2990" w:rsidRPr="00A91056">
        <w:rPr>
          <w:rFonts w:cs="Arial"/>
          <w:szCs w:val="24"/>
        </w:rPr>
        <w:t>The chicken genome has been sequenced</w:t>
      </w:r>
      <w:r w:rsidR="00A23C00" w:rsidRPr="00A91056">
        <w:rPr>
          <w:rFonts w:cs="Arial"/>
          <w:szCs w:val="24"/>
        </w:rPr>
        <w:t xml:space="preserve"> </w:t>
      </w:r>
      <w:r w:rsidR="00C4016A" w:rsidRPr="00A91056">
        <w:rPr>
          <w:rFonts w:cs="Arial"/>
          <w:szCs w:val="24"/>
        </w:rPr>
        <w:t xml:space="preserve">(Antin et al. 2014; Huang et al. 2023; </w:t>
      </w:r>
      <w:r w:rsidR="00AE490C" w:rsidRPr="00AE490C">
        <w:rPr>
          <w:rFonts w:cs="Arial"/>
          <w:szCs w:val="24"/>
        </w:rPr>
        <w:t>International Chicken Genome Sequencing Consortium</w:t>
      </w:r>
      <w:r w:rsidR="00AE490C">
        <w:rPr>
          <w:rFonts w:cs="Arial"/>
          <w:szCs w:val="24"/>
        </w:rPr>
        <w:t>,</w:t>
      </w:r>
      <w:r w:rsidR="00AE490C" w:rsidRPr="00AE490C">
        <w:rPr>
          <w:rFonts w:cs="Arial"/>
          <w:szCs w:val="24"/>
        </w:rPr>
        <w:t xml:space="preserve"> </w:t>
      </w:r>
      <w:r w:rsidR="00AE490C" w:rsidRPr="00A91056">
        <w:rPr>
          <w:rFonts w:cs="Arial"/>
          <w:szCs w:val="24"/>
        </w:rPr>
        <w:t xml:space="preserve">2004; </w:t>
      </w:r>
      <w:r w:rsidR="00C4016A" w:rsidRPr="00A91056">
        <w:rPr>
          <w:rFonts w:cs="Arial"/>
          <w:szCs w:val="24"/>
        </w:rPr>
        <w:t>McCarthy et al. 2019; Wu et al. 2024)</w:t>
      </w:r>
      <w:r w:rsidR="009322D4" w:rsidRPr="00A91056">
        <w:rPr>
          <w:rFonts w:cs="Arial"/>
          <w:szCs w:val="24"/>
        </w:rPr>
        <w:t xml:space="preserve"> </w:t>
      </w:r>
      <w:r w:rsidR="00BE5012" w:rsidRPr="00A91056">
        <w:rPr>
          <w:rFonts w:cs="Arial"/>
          <w:szCs w:val="24"/>
        </w:rPr>
        <w:t>and conservation of many fundamental biological processes between chickens and mammals has been described</w:t>
      </w:r>
      <w:r w:rsidR="004C144D" w:rsidRPr="00A91056">
        <w:rPr>
          <w:rFonts w:cs="Arial"/>
          <w:szCs w:val="24"/>
        </w:rPr>
        <w:t xml:space="preserve"> </w:t>
      </w:r>
      <w:r w:rsidR="00C4016A" w:rsidRPr="00A91056">
        <w:rPr>
          <w:rFonts w:cs="Arial"/>
          <w:szCs w:val="24"/>
        </w:rPr>
        <w:t>(</w:t>
      </w:r>
      <w:proofErr w:type="spellStart"/>
      <w:r w:rsidR="00C4016A" w:rsidRPr="00A91056">
        <w:rPr>
          <w:rFonts w:cs="Arial"/>
          <w:szCs w:val="24"/>
        </w:rPr>
        <w:t>Alaiz</w:t>
      </w:r>
      <w:proofErr w:type="spellEnd"/>
      <w:r w:rsidR="00C4016A" w:rsidRPr="00A91056">
        <w:rPr>
          <w:rFonts w:cs="Arial"/>
          <w:szCs w:val="24"/>
        </w:rPr>
        <w:t xml:space="preserve"> Noya et al. 2022; </w:t>
      </w:r>
      <w:r w:rsidR="00AE490C" w:rsidRPr="00AE490C">
        <w:rPr>
          <w:rFonts w:cs="Arial"/>
          <w:szCs w:val="24"/>
        </w:rPr>
        <w:t>International Chicken Genome Sequencing Consortium</w:t>
      </w:r>
      <w:r w:rsidR="00AE490C">
        <w:rPr>
          <w:rFonts w:cs="Arial"/>
          <w:szCs w:val="24"/>
        </w:rPr>
        <w:t>,</w:t>
      </w:r>
      <w:r w:rsidR="00AE490C" w:rsidRPr="00AE490C">
        <w:rPr>
          <w:rFonts w:cs="Arial"/>
          <w:szCs w:val="24"/>
        </w:rPr>
        <w:t xml:space="preserve"> </w:t>
      </w:r>
      <w:r w:rsidR="00AE490C" w:rsidRPr="00A91056">
        <w:rPr>
          <w:rFonts w:cs="Arial"/>
          <w:szCs w:val="24"/>
        </w:rPr>
        <w:t>2004</w:t>
      </w:r>
      <w:r w:rsidR="00C4016A" w:rsidRPr="00A91056">
        <w:rPr>
          <w:rFonts w:cs="Arial"/>
          <w:szCs w:val="24"/>
        </w:rPr>
        <w:t>; Nie et al. 2010)</w:t>
      </w:r>
      <w:r w:rsidR="00BE5012" w:rsidRPr="00A91056">
        <w:rPr>
          <w:rFonts w:cs="Arial"/>
          <w:szCs w:val="24"/>
        </w:rPr>
        <w:t xml:space="preserve">. This </w:t>
      </w:r>
      <w:r w:rsidR="009322D4" w:rsidRPr="00A91056">
        <w:rPr>
          <w:rFonts w:cs="Arial"/>
          <w:szCs w:val="24"/>
        </w:rPr>
        <w:t>allow</w:t>
      </w:r>
      <w:r w:rsidR="00BE5012" w:rsidRPr="00A91056">
        <w:rPr>
          <w:rFonts w:cs="Arial"/>
          <w:szCs w:val="24"/>
        </w:rPr>
        <w:t>s</w:t>
      </w:r>
      <w:r w:rsidR="009322D4" w:rsidRPr="00A91056">
        <w:rPr>
          <w:rFonts w:cs="Arial"/>
          <w:szCs w:val="24"/>
        </w:rPr>
        <w:t xml:space="preserve"> t</w:t>
      </w:r>
      <w:r w:rsidR="000135B4">
        <w:rPr>
          <w:rFonts w:cs="Arial"/>
          <w:szCs w:val="24"/>
        </w:rPr>
        <w:t>he</w:t>
      </w:r>
      <w:r w:rsidR="009322D4" w:rsidRPr="00A91056">
        <w:rPr>
          <w:rFonts w:cs="Arial"/>
          <w:szCs w:val="24"/>
        </w:rPr>
        <w:t xml:space="preserve"> enhance</w:t>
      </w:r>
      <w:r w:rsidR="000135B4">
        <w:rPr>
          <w:rFonts w:cs="Arial"/>
          <w:szCs w:val="24"/>
        </w:rPr>
        <w:t>ment of</w:t>
      </w:r>
      <w:r w:rsidR="009322D4" w:rsidRPr="00A91056">
        <w:rPr>
          <w:rFonts w:cs="Arial"/>
          <w:szCs w:val="24"/>
        </w:rPr>
        <w:t xml:space="preserve"> the model by evaluating changes in </w:t>
      </w:r>
      <w:r w:rsidR="00BE5012" w:rsidRPr="00A91056">
        <w:rPr>
          <w:rFonts w:cs="Arial"/>
          <w:szCs w:val="24"/>
        </w:rPr>
        <w:t xml:space="preserve">tissue-specific </w:t>
      </w:r>
      <w:r w:rsidR="009322D4" w:rsidRPr="00A91056">
        <w:rPr>
          <w:rFonts w:cs="Arial"/>
          <w:szCs w:val="24"/>
        </w:rPr>
        <w:t>gene expression profiles produced by exposures to various chemicals</w:t>
      </w:r>
      <w:r w:rsidR="005E2FCF" w:rsidRPr="00A91056">
        <w:rPr>
          <w:rFonts w:cs="Arial"/>
          <w:szCs w:val="24"/>
        </w:rPr>
        <w:t xml:space="preserve">. </w:t>
      </w:r>
    </w:p>
    <w:p w14:paraId="0F86BDCC" w14:textId="724FD8FA" w:rsidR="00C10065" w:rsidRPr="00A91056" w:rsidRDefault="00543168" w:rsidP="008C2990">
      <w:pPr>
        <w:autoSpaceDE w:val="0"/>
        <w:autoSpaceDN w:val="0"/>
        <w:adjustRightInd w:val="0"/>
        <w:rPr>
          <w:rFonts w:cs="Arial"/>
          <w:szCs w:val="24"/>
        </w:rPr>
      </w:pPr>
      <w:r w:rsidRPr="00A91056">
        <w:rPr>
          <w:rFonts w:cs="Arial"/>
          <w:i/>
          <w:iCs/>
          <w:szCs w:val="24"/>
        </w:rPr>
        <w:t>I</w:t>
      </w:r>
      <w:r w:rsidR="00E73B75" w:rsidRPr="00A91056">
        <w:rPr>
          <w:rFonts w:cs="Arial"/>
          <w:i/>
          <w:iCs/>
          <w:szCs w:val="24"/>
        </w:rPr>
        <w:t xml:space="preserve">n </w:t>
      </w:r>
      <w:proofErr w:type="spellStart"/>
      <w:r w:rsidR="00E73B75" w:rsidRPr="00A91056">
        <w:rPr>
          <w:rFonts w:cs="Arial"/>
          <w:i/>
          <w:iCs/>
          <w:szCs w:val="24"/>
        </w:rPr>
        <w:t>ovo</w:t>
      </w:r>
      <w:proofErr w:type="spellEnd"/>
      <w:r w:rsidR="00E73B75" w:rsidRPr="00A91056">
        <w:rPr>
          <w:rFonts w:cs="Arial"/>
          <w:szCs w:val="24"/>
        </w:rPr>
        <w:t xml:space="preserve"> assays </w:t>
      </w:r>
      <w:r w:rsidRPr="00A91056">
        <w:rPr>
          <w:rFonts w:cs="Arial"/>
          <w:szCs w:val="24"/>
        </w:rPr>
        <w:t>utilize</w:t>
      </w:r>
      <w:r w:rsidR="00E73B75" w:rsidRPr="00A91056">
        <w:rPr>
          <w:rFonts w:cs="Arial"/>
          <w:szCs w:val="24"/>
        </w:rPr>
        <w:t xml:space="preserve"> Specific Pathogen Free (SPF)</w:t>
      </w:r>
      <w:r w:rsidRPr="00A91056">
        <w:rPr>
          <w:rFonts w:cs="Arial"/>
          <w:szCs w:val="24"/>
        </w:rPr>
        <w:t xml:space="preserve"> eggs</w:t>
      </w:r>
      <w:r w:rsidR="007F711A" w:rsidRPr="00A91056">
        <w:rPr>
          <w:rFonts w:cs="Arial"/>
          <w:szCs w:val="24"/>
        </w:rPr>
        <w:t xml:space="preserve">. This is important because certain pathogens may have the potential to metabolize chemicals thus modulating their adverse effects. </w:t>
      </w:r>
      <w:r w:rsidR="00C31718" w:rsidRPr="00A91056">
        <w:rPr>
          <w:rFonts w:cs="Arial"/>
          <w:szCs w:val="24"/>
        </w:rPr>
        <w:t>Moreover, the eggs are incubated under rigorous conditions (see Methodology section below)</w:t>
      </w:r>
      <w:r w:rsidR="0016702F">
        <w:rPr>
          <w:rFonts w:cs="Arial"/>
          <w:szCs w:val="24"/>
        </w:rPr>
        <w:t xml:space="preserve">, and accordingly, </w:t>
      </w:r>
      <w:r w:rsidR="00561C65" w:rsidRPr="00A91056">
        <w:rPr>
          <w:rFonts w:cs="Arial"/>
          <w:szCs w:val="24"/>
        </w:rPr>
        <w:t xml:space="preserve">the models </w:t>
      </w:r>
      <w:r w:rsidR="00B610BC" w:rsidRPr="00A91056">
        <w:rPr>
          <w:rFonts w:cs="Arial"/>
          <w:szCs w:val="24"/>
        </w:rPr>
        <w:t>investigate the direct effects of chemicals, which are not confounded by variables</w:t>
      </w:r>
      <w:r w:rsidR="00C31718" w:rsidRPr="00A91056">
        <w:rPr>
          <w:rFonts w:cs="Arial"/>
          <w:szCs w:val="24"/>
        </w:rPr>
        <w:t xml:space="preserve"> such as diet or light cycle</w:t>
      </w:r>
      <w:r w:rsidR="00B610BC" w:rsidRPr="00A91056">
        <w:rPr>
          <w:rFonts w:cs="Arial"/>
          <w:szCs w:val="24"/>
        </w:rPr>
        <w:t>.</w:t>
      </w:r>
    </w:p>
    <w:p w14:paraId="64959A6D" w14:textId="27967881" w:rsidR="007A3EF9" w:rsidRPr="00A91056" w:rsidRDefault="00B74453" w:rsidP="007A3EF9">
      <w:pPr>
        <w:rPr>
          <w:rFonts w:cs="Arial"/>
          <w:szCs w:val="24"/>
        </w:rPr>
      </w:pPr>
      <w:r w:rsidRPr="00A91056">
        <w:rPr>
          <w:rFonts w:cs="Arial"/>
          <w:szCs w:val="24"/>
        </w:rPr>
        <w:t xml:space="preserve">The current report summarizes </w:t>
      </w:r>
      <w:r w:rsidR="00145082" w:rsidRPr="00A91056">
        <w:rPr>
          <w:rFonts w:cs="Arial"/>
          <w:szCs w:val="24"/>
        </w:rPr>
        <w:t xml:space="preserve">findings </w:t>
      </w:r>
      <w:r w:rsidR="00E51FB8" w:rsidRPr="00A91056">
        <w:rPr>
          <w:rFonts w:cs="Arial"/>
          <w:szCs w:val="24"/>
        </w:rPr>
        <w:t xml:space="preserve">for all of the compounds </w:t>
      </w:r>
      <w:r w:rsidR="006A33DB" w:rsidRPr="00A91056">
        <w:rPr>
          <w:rFonts w:cs="Arial"/>
          <w:szCs w:val="24"/>
        </w:rPr>
        <w:t>assessed</w:t>
      </w:r>
      <w:r w:rsidR="00DD1509" w:rsidRPr="00A91056">
        <w:rPr>
          <w:rFonts w:cs="Arial"/>
          <w:szCs w:val="24"/>
        </w:rPr>
        <w:t xml:space="preserve"> </w:t>
      </w:r>
      <w:r w:rsidR="00145082" w:rsidRPr="00A91056">
        <w:rPr>
          <w:rFonts w:cs="Arial"/>
          <w:szCs w:val="24"/>
        </w:rPr>
        <w:t xml:space="preserve">in the CEGA and TEGA models </w:t>
      </w:r>
      <w:r w:rsidR="00D372DD" w:rsidRPr="00A91056">
        <w:rPr>
          <w:rFonts w:cs="Arial"/>
          <w:szCs w:val="24"/>
        </w:rPr>
        <w:t xml:space="preserve">to date </w:t>
      </w:r>
      <w:r w:rsidR="00145082" w:rsidRPr="00A91056">
        <w:rPr>
          <w:rFonts w:cs="Arial"/>
          <w:szCs w:val="24"/>
        </w:rPr>
        <w:t xml:space="preserve">and </w:t>
      </w:r>
      <w:r w:rsidR="0068291F" w:rsidRPr="00A91056">
        <w:rPr>
          <w:rFonts w:cs="Arial"/>
          <w:szCs w:val="24"/>
        </w:rPr>
        <w:t xml:space="preserve">evaluates the predictivity and reliability of the </w:t>
      </w:r>
      <w:r w:rsidR="0068291F" w:rsidRPr="00A91056">
        <w:rPr>
          <w:rFonts w:cs="Arial"/>
          <w:i/>
          <w:iCs/>
          <w:szCs w:val="24"/>
        </w:rPr>
        <w:t xml:space="preserve">in </w:t>
      </w:r>
      <w:proofErr w:type="spellStart"/>
      <w:r w:rsidR="0068291F" w:rsidRPr="00A91056">
        <w:rPr>
          <w:rFonts w:cs="Arial"/>
          <w:i/>
          <w:iCs/>
          <w:szCs w:val="24"/>
        </w:rPr>
        <w:t>ovo</w:t>
      </w:r>
      <w:proofErr w:type="spellEnd"/>
      <w:r w:rsidR="0068291F" w:rsidRPr="00A91056">
        <w:rPr>
          <w:rFonts w:cs="Arial"/>
          <w:szCs w:val="24"/>
        </w:rPr>
        <w:t xml:space="preserve"> models compared to </w:t>
      </w:r>
      <w:r w:rsidR="002A3879" w:rsidRPr="00A91056">
        <w:rPr>
          <w:rFonts w:cs="Arial"/>
          <w:szCs w:val="24"/>
        </w:rPr>
        <w:t xml:space="preserve">established in vitro and in </w:t>
      </w:r>
      <w:r w:rsidR="007A3EF9" w:rsidRPr="00A91056">
        <w:rPr>
          <w:rFonts w:cs="Arial"/>
          <w:szCs w:val="24"/>
        </w:rPr>
        <w:t>vivo</w:t>
      </w:r>
      <w:r w:rsidR="002A3879" w:rsidRPr="00A91056">
        <w:rPr>
          <w:rFonts w:cs="Arial"/>
          <w:szCs w:val="24"/>
        </w:rPr>
        <w:t xml:space="preserve"> </w:t>
      </w:r>
      <w:r w:rsidR="007A3EF9" w:rsidRPr="00A91056">
        <w:rPr>
          <w:rFonts w:cs="Arial"/>
          <w:szCs w:val="24"/>
        </w:rPr>
        <w:t>genotoxicity and carcinogenicity assays.</w:t>
      </w:r>
    </w:p>
    <w:p w14:paraId="117CD429" w14:textId="10F6B209" w:rsidR="00AB246B" w:rsidRPr="00A91056" w:rsidRDefault="0015727B" w:rsidP="00C853BA">
      <w:pPr>
        <w:pStyle w:val="Heading1"/>
      </w:pPr>
      <w:r w:rsidRPr="00A91056">
        <w:t>2</w:t>
      </w:r>
      <w:r w:rsidR="00AB246B" w:rsidRPr="00A91056">
        <w:t>. Methodology</w:t>
      </w:r>
    </w:p>
    <w:p w14:paraId="0C279266" w14:textId="38614088" w:rsidR="00FE0F16" w:rsidRPr="00A91056" w:rsidRDefault="00FE0F16" w:rsidP="00C853BA">
      <w:pPr>
        <w:pStyle w:val="Heading2"/>
        <w:rPr>
          <w:rFonts w:cs="Arial"/>
          <w:szCs w:val="24"/>
        </w:rPr>
      </w:pPr>
      <w:r w:rsidRPr="00A91056">
        <w:t xml:space="preserve">A. Fertilized </w:t>
      </w:r>
      <w:r w:rsidR="00BC0F23" w:rsidRPr="00A91056">
        <w:t>Chicken and Turkey Egg Fetal Liver Assays</w:t>
      </w:r>
    </w:p>
    <w:p w14:paraId="17E1CCAE" w14:textId="5A004629" w:rsidR="00660B4E" w:rsidRDefault="00F77D0F" w:rsidP="008C7F9C">
      <w:pPr>
        <w:autoSpaceDE w:val="0"/>
        <w:autoSpaceDN w:val="0"/>
        <w:adjustRightInd w:val="0"/>
        <w:rPr>
          <w:rFonts w:cs="Arial"/>
          <w:szCs w:val="24"/>
        </w:rPr>
      </w:pPr>
      <w:r w:rsidRPr="00A91056">
        <w:rPr>
          <w:rFonts w:cs="Arial"/>
          <w:szCs w:val="24"/>
        </w:rPr>
        <w:lastRenderedPageBreak/>
        <w:t>The protocol</w:t>
      </w:r>
      <w:r w:rsidR="001B397E" w:rsidRPr="00A91056">
        <w:rPr>
          <w:rFonts w:cs="Arial"/>
          <w:szCs w:val="24"/>
        </w:rPr>
        <w:t>s</w:t>
      </w:r>
      <w:r w:rsidRPr="00A91056">
        <w:rPr>
          <w:rFonts w:cs="Arial"/>
          <w:szCs w:val="24"/>
        </w:rPr>
        <w:t xml:space="preserve"> for </w:t>
      </w:r>
      <w:r w:rsidR="00096407">
        <w:rPr>
          <w:rFonts w:cs="Arial"/>
          <w:szCs w:val="24"/>
        </w:rPr>
        <w:t>the</w:t>
      </w:r>
      <w:r w:rsidRPr="00A91056">
        <w:rPr>
          <w:rFonts w:cs="Arial"/>
          <w:szCs w:val="24"/>
        </w:rPr>
        <w:t xml:space="preserve"> CEGA and TEGA models </w:t>
      </w:r>
      <w:r w:rsidR="00C96692" w:rsidRPr="00A91056">
        <w:rPr>
          <w:rFonts w:cs="Arial"/>
          <w:szCs w:val="24"/>
        </w:rPr>
        <w:t>share many</w:t>
      </w:r>
      <w:r w:rsidRPr="00A91056">
        <w:rPr>
          <w:rFonts w:cs="Arial"/>
          <w:szCs w:val="24"/>
        </w:rPr>
        <w:t xml:space="preserve"> similar</w:t>
      </w:r>
      <w:r w:rsidR="00C96692" w:rsidRPr="00A91056">
        <w:rPr>
          <w:rFonts w:cs="Arial"/>
          <w:szCs w:val="24"/>
        </w:rPr>
        <w:t>ities</w:t>
      </w:r>
      <w:r w:rsidR="009E0827" w:rsidRPr="00A91056">
        <w:rPr>
          <w:rFonts w:cs="Arial"/>
          <w:szCs w:val="24"/>
        </w:rPr>
        <w:t xml:space="preserve">, with exception of </w:t>
      </w:r>
      <w:r w:rsidR="00B5557E" w:rsidRPr="00A91056">
        <w:rPr>
          <w:rFonts w:cs="Arial"/>
          <w:szCs w:val="24"/>
        </w:rPr>
        <w:t>the timeline</w:t>
      </w:r>
      <w:r w:rsidR="009E0827" w:rsidRPr="00A91056">
        <w:rPr>
          <w:rFonts w:cs="Arial"/>
          <w:szCs w:val="24"/>
        </w:rPr>
        <w:t xml:space="preserve"> (</w:t>
      </w:r>
      <w:r w:rsidR="009E0827" w:rsidRPr="00A91056">
        <w:rPr>
          <w:rFonts w:cs="Arial"/>
          <w:b/>
          <w:bCs/>
          <w:szCs w:val="24"/>
        </w:rPr>
        <w:t xml:space="preserve">Figure </w:t>
      </w:r>
      <w:r w:rsidR="001232B1" w:rsidRPr="00A91056">
        <w:rPr>
          <w:rFonts w:cs="Arial"/>
          <w:b/>
          <w:bCs/>
          <w:szCs w:val="24"/>
        </w:rPr>
        <w:t>2</w:t>
      </w:r>
      <w:r w:rsidR="009E0827" w:rsidRPr="00A91056">
        <w:rPr>
          <w:rFonts w:cs="Arial"/>
          <w:szCs w:val="24"/>
        </w:rPr>
        <w:t>)</w:t>
      </w:r>
      <w:r w:rsidR="007F1756" w:rsidRPr="00A91056">
        <w:rPr>
          <w:rFonts w:cs="Arial"/>
          <w:szCs w:val="24"/>
        </w:rPr>
        <w:t xml:space="preserve"> </w:t>
      </w:r>
      <w:r w:rsidR="00C4016A" w:rsidRPr="00A91056">
        <w:rPr>
          <w:rFonts w:cs="Arial"/>
          <w:szCs w:val="24"/>
        </w:rPr>
        <w:t>(Kobets et al. 201</w:t>
      </w:r>
      <w:r w:rsidR="00D3484F">
        <w:rPr>
          <w:rFonts w:cs="Arial"/>
          <w:szCs w:val="24"/>
        </w:rPr>
        <w:t>6</w:t>
      </w:r>
      <w:r w:rsidR="00C4016A" w:rsidRPr="00A91056">
        <w:rPr>
          <w:rFonts w:cs="Arial"/>
          <w:szCs w:val="24"/>
        </w:rPr>
        <w:t>; Kobets et al. 2019b; Williams et al. 2014)</w:t>
      </w:r>
      <w:r w:rsidRPr="00A91056">
        <w:rPr>
          <w:rFonts w:cs="Arial"/>
          <w:szCs w:val="24"/>
        </w:rPr>
        <w:t xml:space="preserve">. </w:t>
      </w:r>
    </w:p>
    <w:p w14:paraId="25BE4ADB" w14:textId="1CFFF9EE" w:rsidR="00F8314C" w:rsidRDefault="00F8314C" w:rsidP="00AB5013">
      <w:pPr>
        <w:pStyle w:val="Caption"/>
        <w:spacing w:after="240"/>
        <w:rPr>
          <w:b w:val="0"/>
          <w:bCs/>
        </w:rPr>
      </w:pPr>
      <w:r w:rsidRPr="00A91056">
        <w:rPr>
          <w:noProof/>
        </w:rPr>
        <w:drawing>
          <wp:inline distT="0" distB="0" distL="0" distR="0" wp14:anchorId="6F1F59F3" wp14:editId="20CAB67E">
            <wp:extent cx="5901531" cy="3291840"/>
            <wp:effectExtent l="0" t="0" r="4445" b="3810"/>
            <wp:docPr id="1005990106" name="Picture 1" descr="A diagram of a diagram of a medical procedu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990106" name="Picture 1" descr="A diagram of a diagram of a medical procedure&#10;&#10;Description automatically generated with medium confidence"/>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r="5419"/>
                    <a:stretch/>
                  </pic:blipFill>
                  <pic:spPr bwMode="auto">
                    <a:xfrm>
                      <a:off x="0" y="0"/>
                      <a:ext cx="5901531" cy="3291840"/>
                    </a:xfrm>
                    <a:prstGeom prst="rect">
                      <a:avLst/>
                    </a:prstGeom>
                    <a:noFill/>
                    <a:ln>
                      <a:noFill/>
                    </a:ln>
                    <a:extLst>
                      <a:ext uri="{53640926-AAD7-44D8-BBD7-CCE9431645EC}">
                        <a14:shadowObscured xmlns:a14="http://schemas.microsoft.com/office/drawing/2010/main"/>
                      </a:ext>
                    </a:extLst>
                  </pic:spPr>
                </pic:pic>
              </a:graphicData>
            </a:graphic>
          </wp:inline>
        </w:drawing>
      </w:r>
      <w:r w:rsidRPr="00A91056">
        <w:rPr>
          <w:b w:val="0"/>
          <w:bCs/>
        </w:rPr>
        <w:t xml:space="preserve">Figure </w:t>
      </w:r>
      <w:r w:rsidRPr="00A91056">
        <w:rPr>
          <w:b w:val="0"/>
          <w:bCs/>
        </w:rPr>
        <w:fldChar w:fldCharType="begin"/>
      </w:r>
      <w:r w:rsidRPr="00A91056">
        <w:rPr>
          <w:b w:val="0"/>
          <w:bCs/>
        </w:rPr>
        <w:instrText xml:space="preserve"> SEQ Figure \* ARABIC </w:instrText>
      </w:r>
      <w:r w:rsidRPr="00A91056">
        <w:rPr>
          <w:b w:val="0"/>
          <w:bCs/>
        </w:rPr>
        <w:fldChar w:fldCharType="separate"/>
      </w:r>
      <w:r w:rsidR="00B51674">
        <w:rPr>
          <w:b w:val="0"/>
          <w:bCs/>
          <w:noProof/>
        </w:rPr>
        <w:t>2</w:t>
      </w:r>
      <w:r w:rsidRPr="00A91056">
        <w:rPr>
          <w:b w:val="0"/>
          <w:bCs/>
        </w:rPr>
        <w:fldChar w:fldCharType="end"/>
      </w:r>
      <w:r w:rsidRPr="00A91056">
        <w:rPr>
          <w:b w:val="0"/>
          <w:bCs/>
        </w:rPr>
        <w:t>.</w:t>
      </w:r>
      <w:r w:rsidRPr="00A91056">
        <w:t xml:space="preserve"> Protocol of fertilized chicken and turkey egg fetal liver </w:t>
      </w:r>
      <w:r w:rsidRPr="008C66FD">
        <w:t>assays</w:t>
      </w:r>
      <w:r w:rsidRPr="00A91056">
        <w:t>.</w:t>
      </w:r>
      <w:r>
        <w:t xml:space="preserve"> </w:t>
      </w:r>
      <w:r>
        <w:rPr>
          <w:b w:val="0"/>
          <w:bCs/>
        </w:rPr>
        <w:t>Created with BioRender.com</w:t>
      </w:r>
    </w:p>
    <w:p w14:paraId="06D2BEFF" w14:textId="39F33296" w:rsidR="00AF4580" w:rsidRPr="00A91056" w:rsidRDefault="008C7F9C" w:rsidP="00F8314C">
      <w:r w:rsidRPr="00A91056">
        <w:t>The fertilized white leghorn chicken (</w:t>
      </w:r>
      <w:r w:rsidRPr="00A91056">
        <w:rPr>
          <w:i/>
          <w:iCs/>
        </w:rPr>
        <w:t>Gallus gallus</w:t>
      </w:r>
      <w:r w:rsidRPr="00A91056">
        <w:t xml:space="preserve">) eggs </w:t>
      </w:r>
      <w:r w:rsidR="004E4BD1" w:rsidRPr="00A91056">
        <w:t>(</w:t>
      </w:r>
      <w:r w:rsidRPr="00A91056">
        <w:t>obtained from Charles River Laboratories (North Franklin, CT)</w:t>
      </w:r>
      <w:r w:rsidR="004E4BD1" w:rsidRPr="00A91056">
        <w:t>)</w:t>
      </w:r>
      <w:r w:rsidRPr="00A91056">
        <w:t xml:space="preserve"> or </w:t>
      </w:r>
      <w:r w:rsidR="000D4107" w:rsidRPr="00A91056">
        <w:t>broad-breasted white turkey (</w:t>
      </w:r>
      <w:r w:rsidR="000D4107" w:rsidRPr="00A91056">
        <w:rPr>
          <w:i/>
          <w:iCs/>
        </w:rPr>
        <w:t>Meleagris gallopavo</w:t>
      </w:r>
      <w:r w:rsidR="000D4107" w:rsidRPr="00A91056">
        <w:t xml:space="preserve">) eggs </w:t>
      </w:r>
      <w:r w:rsidR="004E4BD1" w:rsidRPr="00A91056">
        <w:t>(</w:t>
      </w:r>
      <w:r w:rsidR="000D4107" w:rsidRPr="00A91056">
        <w:t>purchased from Aviagen Turkeys, Inc. (Lewisburg, WV))</w:t>
      </w:r>
      <w:r w:rsidR="004E4BD1" w:rsidRPr="00A91056">
        <w:t xml:space="preserve"> of undetermined sex </w:t>
      </w:r>
      <w:r w:rsidR="00C96692" w:rsidRPr="00A91056">
        <w:t>we</w:t>
      </w:r>
      <w:r w:rsidR="007F1756" w:rsidRPr="00A91056">
        <w:t>re</w:t>
      </w:r>
      <w:r w:rsidR="00BE198F" w:rsidRPr="00A91056">
        <w:t xml:space="preserve"> weighed, randomly divided into control and dosed groups and stored at room temperature for no more than 3 days prior to incubation. Incubation commence</w:t>
      </w:r>
      <w:r w:rsidR="00066481" w:rsidRPr="00A91056">
        <w:t>d</w:t>
      </w:r>
      <w:r w:rsidR="00BE198F" w:rsidRPr="00A91056">
        <w:t xml:space="preserve"> on incubation day </w:t>
      </w:r>
      <w:r w:rsidR="00D96381" w:rsidRPr="00A91056">
        <w:t xml:space="preserve">0 </w:t>
      </w:r>
      <w:r w:rsidR="007F1756" w:rsidRPr="00A91056">
        <w:t xml:space="preserve">in 2GIF </w:t>
      </w:r>
      <w:r w:rsidR="006D5072" w:rsidRPr="00A91056">
        <w:t>Styrofoam</w:t>
      </w:r>
      <w:r w:rsidR="007F1756" w:rsidRPr="00A91056">
        <w:t xml:space="preserve"> incubators with automatic egg turners (Murray McMurray Hatchery, Webster City, IA) at 37 ± 0.5°C and 60 ± 5% humidity. </w:t>
      </w:r>
      <w:r w:rsidRPr="00A91056">
        <w:t xml:space="preserve">The development of eggs </w:t>
      </w:r>
      <w:r w:rsidR="00066481" w:rsidRPr="00A91056">
        <w:t>wa</w:t>
      </w:r>
      <w:r w:rsidRPr="00A91056">
        <w:t xml:space="preserve">s monitored on day </w:t>
      </w:r>
      <w:r w:rsidR="004055CD">
        <w:t>eight (</w:t>
      </w:r>
      <w:r w:rsidRPr="00A91056">
        <w:t>8</w:t>
      </w:r>
      <w:r w:rsidR="004055CD">
        <w:t>)</w:t>
      </w:r>
      <w:r w:rsidRPr="00A91056">
        <w:t xml:space="preserve"> for chicken eggs and day </w:t>
      </w:r>
      <w:r w:rsidR="00314700" w:rsidRPr="00A91056">
        <w:t>nineteen</w:t>
      </w:r>
      <w:r w:rsidRPr="00A91056">
        <w:t xml:space="preserve"> </w:t>
      </w:r>
      <w:r w:rsidR="00314700">
        <w:t xml:space="preserve">(19) </w:t>
      </w:r>
      <w:r w:rsidRPr="00A91056">
        <w:t xml:space="preserve">for turkeys, by transillumination. </w:t>
      </w:r>
      <w:r w:rsidR="00AF4580" w:rsidRPr="00A91056">
        <w:t xml:space="preserve">Eggs with no or partial development </w:t>
      </w:r>
      <w:r w:rsidR="001578D4" w:rsidRPr="00A91056">
        <w:t>we</w:t>
      </w:r>
      <w:r w:rsidRPr="00A91056">
        <w:t xml:space="preserve">re eliminated. </w:t>
      </w:r>
      <w:r w:rsidR="00514A29" w:rsidRPr="00A91056">
        <w:t>Control and dosed eggs (N ≥</w:t>
      </w:r>
      <w:r w:rsidR="00514A29" w:rsidRPr="00A91056">
        <w:rPr>
          <w:rFonts w:eastAsia="AdvOT596495f2+22"/>
        </w:rPr>
        <w:t xml:space="preserve"> </w:t>
      </w:r>
      <w:r w:rsidR="00514A29" w:rsidRPr="00A91056">
        <w:t xml:space="preserve">10 eggs per group) were </w:t>
      </w:r>
      <w:r w:rsidR="00514A29" w:rsidRPr="00A91056">
        <w:lastRenderedPageBreak/>
        <w:t>separated prior to dosing to avoid any possible airborne cross contamination.</w:t>
      </w:r>
    </w:p>
    <w:p w14:paraId="477B44B9" w14:textId="7DA687E1" w:rsidR="00D1599F" w:rsidRPr="00A91056" w:rsidRDefault="005C6EA7" w:rsidP="00BB7258">
      <w:pPr>
        <w:autoSpaceDE w:val="0"/>
        <w:autoSpaceDN w:val="0"/>
        <w:adjustRightInd w:val="0"/>
        <w:rPr>
          <w:rFonts w:cs="Arial"/>
          <w:szCs w:val="24"/>
        </w:rPr>
      </w:pPr>
      <w:r w:rsidRPr="00A91056">
        <w:rPr>
          <w:rFonts w:cs="Arial"/>
          <w:szCs w:val="24"/>
        </w:rPr>
        <w:t xml:space="preserve">Dosing </w:t>
      </w:r>
      <w:r w:rsidR="00A64F92" w:rsidRPr="00A91056">
        <w:rPr>
          <w:rFonts w:cs="Arial"/>
          <w:szCs w:val="24"/>
        </w:rPr>
        <w:t>with the test compound</w:t>
      </w:r>
      <w:r w:rsidRPr="00A91056">
        <w:rPr>
          <w:rFonts w:cs="Arial"/>
          <w:szCs w:val="24"/>
        </w:rPr>
        <w:t>s</w:t>
      </w:r>
      <w:r w:rsidR="001578D4" w:rsidRPr="00A91056">
        <w:rPr>
          <w:rFonts w:cs="Arial"/>
          <w:szCs w:val="24"/>
        </w:rPr>
        <w:t xml:space="preserve"> (complete list </w:t>
      </w:r>
      <w:r w:rsidR="00B25880" w:rsidRPr="00A91056">
        <w:rPr>
          <w:rFonts w:cs="Arial"/>
          <w:szCs w:val="24"/>
        </w:rPr>
        <w:t xml:space="preserve">of tested chemicals </w:t>
      </w:r>
      <w:r w:rsidR="001578D4" w:rsidRPr="00A91056">
        <w:rPr>
          <w:rFonts w:cs="Arial"/>
          <w:szCs w:val="24"/>
        </w:rPr>
        <w:t xml:space="preserve">is provided in </w:t>
      </w:r>
      <w:r w:rsidR="001578D4" w:rsidRPr="00A91056">
        <w:rPr>
          <w:rFonts w:cs="Arial"/>
          <w:b/>
          <w:bCs/>
          <w:szCs w:val="24"/>
        </w:rPr>
        <w:t>Tables 1</w:t>
      </w:r>
      <w:r w:rsidR="00A71D8B" w:rsidRPr="00A91056">
        <w:rPr>
          <w:rFonts w:cs="Arial"/>
          <w:szCs w:val="24"/>
        </w:rPr>
        <w:t xml:space="preserve"> and </w:t>
      </w:r>
      <w:r w:rsidR="00A71D8B" w:rsidRPr="00A91056">
        <w:rPr>
          <w:rFonts w:cs="Arial"/>
          <w:b/>
          <w:bCs/>
          <w:szCs w:val="24"/>
        </w:rPr>
        <w:t>2</w:t>
      </w:r>
      <w:r w:rsidR="001578D4" w:rsidRPr="00A91056">
        <w:rPr>
          <w:rFonts w:cs="Arial"/>
          <w:szCs w:val="24"/>
        </w:rPr>
        <w:t>)</w:t>
      </w:r>
      <w:r w:rsidRPr="00A91056">
        <w:rPr>
          <w:rFonts w:cs="Arial"/>
          <w:szCs w:val="24"/>
        </w:rPr>
        <w:t xml:space="preserve"> and vehicle</w:t>
      </w:r>
      <w:r w:rsidR="00A64F92" w:rsidRPr="00A91056">
        <w:rPr>
          <w:rFonts w:cs="Arial"/>
          <w:szCs w:val="24"/>
        </w:rPr>
        <w:t xml:space="preserve"> </w:t>
      </w:r>
      <w:r w:rsidR="001578D4" w:rsidRPr="00A91056">
        <w:rPr>
          <w:rFonts w:cs="Arial"/>
          <w:szCs w:val="24"/>
        </w:rPr>
        <w:t>wa</w:t>
      </w:r>
      <w:r w:rsidR="00A64F92" w:rsidRPr="00A91056">
        <w:rPr>
          <w:rFonts w:cs="Arial"/>
          <w:szCs w:val="24"/>
        </w:rPr>
        <w:t xml:space="preserve">s conducted in </w:t>
      </w:r>
      <w:r w:rsidR="007D4107" w:rsidRPr="00A91056">
        <w:rPr>
          <w:rFonts w:cs="Arial"/>
          <w:szCs w:val="24"/>
        </w:rPr>
        <w:t>three (3)</w:t>
      </w:r>
      <w:r w:rsidR="00A64F92" w:rsidRPr="00A91056">
        <w:rPr>
          <w:rFonts w:cs="Arial"/>
          <w:szCs w:val="24"/>
        </w:rPr>
        <w:t xml:space="preserve"> consecutive daily injections into the air sac</w:t>
      </w:r>
      <w:r w:rsidR="00D84330">
        <w:rPr>
          <w:rFonts w:cs="Arial"/>
          <w:szCs w:val="24"/>
        </w:rPr>
        <w:t xml:space="preserve"> </w:t>
      </w:r>
      <w:r w:rsidR="00D84330" w:rsidRPr="00A91056">
        <w:rPr>
          <w:rFonts w:cs="Arial"/>
          <w:szCs w:val="24"/>
        </w:rPr>
        <w:t>(</w:t>
      </w:r>
      <w:r w:rsidR="00D84330" w:rsidRPr="00A91056">
        <w:rPr>
          <w:rFonts w:cs="Arial"/>
          <w:b/>
          <w:bCs/>
          <w:szCs w:val="24"/>
        </w:rPr>
        <w:t>Figure 1</w:t>
      </w:r>
      <w:r w:rsidR="00D84330" w:rsidRPr="00A91056">
        <w:rPr>
          <w:rFonts w:cs="Arial"/>
          <w:szCs w:val="24"/>
        </w:rPr>
        <w:t>)</w:t>
      </w:r>
      <w:r w:rsidR="00A64F92" w:rsidRPr="00A91056">
        <w:rPr>
          <w:rFonts w:cs="Arial"/>
          <w:szCs w:val="24"/>
        </w:rPr>
        <w:t>.</w:t>
      </w:r>
      <w:r w:rsidR="00532132" w:rsidRPr="00A91056">
        <w:rPr>
          <w:rFonts w:cs="Arial"/>
          <w:szCs w:val="24"/>
        </w:rPr>
        <w:t xml:space="preserve"> Vehicle was selected based on the solubility of the compound</w:t>
      </w:r>
      <w:r w:rsidR="003E082D" w:rsidRPr="00A91056">
        <w:rPr>
          <w:rFonts w:cs="Arial"/>
          <w:szCs w:val="24"/>
        </w:rPr>
        <w:t xml:space="preserve">: </w:t>
      </w:r>
      <w:r w:rsidR="004236B9" w:rsidRPr="00A91056">
        <w:rPr>
          <w:rFonts w:cs="Arial"/>
          <w:szCs w:val="24"/>
        </w:rPr>
        <w:t xml:space="preserve">hydrophilic compounds were dissolved in </w:t>
      </w:r>
      <w:r w:rsidR="003E082D" w:rsidRPr="00A91056">
        <w:rPr>
          <w:rFonts w:cs="Arial"/>
          <w:szCs w:val="24"/>
        </w:rPr>
        <w:t>deionized water</w:t>
      </w:r>
      <w:r w:rsidR="004236B9" w:rsidRPr="00A91056">
        <w:rPr>
          <w:rFonts w:cs="Arial"/>
          <w:szCs w:val="24"/>
        </w:rPr>
        <w:t xml:space="preserve">, while for lipophilic compounds a 20% aqueous solution of either </w:t>
      </w:r>
      <w:proofErr w:type="spellStart"/>
      <w:r w:rsidR="004236B9" w:rsidRPr="00A91056">
        <w:rPr>
          <w:rFonts w:cs="Arial"/>
          <w:szCs w:val="24"/>
        </w:rPr>
        <w:t>Kolliphor</w:t>
      </w:r>
      <w:proofErr w:type="spellEnd"/>
      <w:r w:rsidR="004236B9" w:rsidRPr="00A91056">
        <w:rPr>
          <w:rFonts w:cs="Arial"/>
          <w:szCs w:val="24"/>
        </w:rPr>
        <w:t xml:space="preserve"> Oil (</w:t>
      </w:r>
      <w:proofErr w:type="spellStart"/>
      <w:r w:rsidR="004236B9" w:rsidRPr="00A91056">
        <w:rPr>
          <w:rFonts w:cs="Arial"/>
          <w:szCs w:val="24"/>
        </w:rPr>
        <w:t>Solutol</w:t>
      </w:r>
      <w:proofErr w:type="spellEnd"/>
      <w:r w:rsidR="004236B9" w:rsidRPr="00A91056">
        <w:rPr>
          <w:rFonts w:cs="Arial"/>
          <w:szCs w:val="24"/>
        </w:rPr>
        <w:t xml:space="preserve"> HS15) or Tween 20 was used.</w:t>
      </w:r>
      <w:r w:rsidR="003E082D" w:rsidRPr="00A91056">
        <w:rPr>
          <w:rFonts w:cs="Arial"/>
          <w:szCs w:val="24"/>
        </w:rPr>
        <w:t xml:space="preserve"> </w:t>
      </w:r>
      <w:r w:rsidR="00532132" w:rsidRPr="00A91056">
        <w:rPr>
          <w:rFonts w:cs="Arial"/>
          <w:szCs w:val="24"/>
        </w:rPr>
        <w:t xml:space="preserve">An established genotoxic carcinogen, quinoline </w:t>
      </w:r>
      <w:r w:rsidR="00C4016A" w:rsidRPr="00A91056">
        <w:rPr>
          <w:rFonts w:cs="Arial"/>
          <w:szCs w:val="24"/>
        </w:rPr>
        <w:t>(Matsumoto et al. 2018; Nagao et al. 1977)</w:t>
      </w:r>
      <w:r w:rsidR="00532132" w:rsidRPr="00A91056">
        <w:rPr>
          <w:rFonts w:cs="Arial"/>
          <w:szCs w:val="24"/>
        </w:rPr>
        <w:t xml:space="preserve"> </w:t>
      </w:r>
      <w:r w:rsidR="003E2CD0" w:rsidRPr="00A91056">
        <w:rPr>
          <w:rFonts w:cs="Arial"/>
          <w:szCs w:val="24"/>
        </w:rPr>
        <w:t>was used as a positive control</w:t>
      </w:r>
      <w:r w:rsidR="003E2CD0">
        <w:rPr>
          <w:rFonts w:cs="Arial"/>
          <w:szCs w:val="24"/>
        </w:rPr>
        <w:t>.</w:t>
      </w:r>
      <w:r w:rsidR="003E2CD0" w:rsidRPr="00A91056">
        <w:rPr>
          <w:rFonts w:cs="Arial"/>
          <w:szCs w:val="24"/>
        </w:rPr>
        <w:t xml:space="preserve"> </w:t>
      </w:r>
      <w:r w:rsidR="00526F65">
        <w:rPr>
          <w:rFonts w:cs="Arial"/>
          <w:szCs w:val="24"/>
        </w:rPr>
        <w:t>T</w:t>
      </w:r>
      <w:r w:rsidR="00330ACB" w:rsidRPr="00A91056">
        <w:rPr>
          <w:rFonts w:cs="Arial"/>
          <w:szCs w:val="24"/>
        </w:rPr>
        <w:t xml:space="preserve">ested </w:t>
      </w:r>
      <w:r w:rsidR="00532132" w:rsidRPr="00A91056">
        <w:rPr>
          <w:rFonts w:cs="Arial"/>
          <w:szCs w:val="24"/>
        </w:rPr>
        <w:t xml:space="preserve">dosages </w:t>
      </w:r>
      <w:r w:rsidR="00526F65">
        <w:rPr>
          <w:rFonts w:cs="Arial"/>
          <w:szCs w:val="24"/>
        </w:rPr>
        <w:t>f</w:t>
      </w:r>
      <w:r w:rsidR="00526F65" w:rsidRPr="00A91056">
        <w:rPr>
          <w:rFonts w:cs="Arial"/>
          <w:szCs w:val="24"/>
        </w:rPr>
        <w:t xml:space="preserve">or test compounds </w:t>
      </w:r>
      <w:r w:rsidR="00330ACB" w:rsidRPr="00A91056">
        <w:rPr>
          <w:rFonts w:cs="Arial"/>
          <w:szCs w:val="24"/>
        </w:rPr>
        <w:t>we</w:t>
      </w:r>
      <w:r w:rsidR="00532132" w:rsidRPr="00A91056">
        <w:rPr>
          <w:rFonts w:cs="Arial"/>
          <w:szCs w:val="24"/>
        </w:rPr>
        <w:t xml:space="preserve">re selected based on the available </w:t>
      </w:r>
      <w:r w:rsidR="00330ACB" w:rsidRPr="00A91056">
        <w:rPr>
          <w:rFonts w:cs="Arial"/>
          <w:szCs w:val="24"/>
        </w:rPr>
        <w:t>o</w:t>
      </w:r>
      <w:r w:rsidR="00532132" w:rsidRPr="00A91056">
        <w:rPr>
          <w:rFonts w:cs="Arial"/>
          <w:szCs w:val="24"/>
        </w:rPr>
        <w:t>ral LD</w:t>
      </w:r>
      <w:r w:rsidR="00532132" w:rsidRPr="00A91056">
        <w:rPr>
          <w:rFonts w:cs="Arial"/>
          <w:szCs w:val="24"/>
          <w:vertAlign w:val="subscript"/>
        </w:rPr>
        <w:t>50</w:t>
      </w:r>
      <w:r w:rsidR="00532132" w:rsidRPr="00A91056">
        <w:rPr>
          <w:rFonts w:cs="Arial"/>
          <w:szCs w:val="24"/>
        </w:rPr>
        <w:t xml:space="preserve"> in rodents, solubility, or toxicity to the avian embryos. </w:t>
      </w:r>
      <w:r w:rsidR="00514A29" w:rsidRPr="00A91056">
        <w:rPr>
          <w:rFonts w:cs="Arial"/>
          <w:szCs w:val="24"/>
        </w:rPr>
        <w:t xml:space="preserve">The application volume </w:t>
      </w:r>
      <w:r w:rsidR="007D4107" w:rsidRPr="00A91056">
        <w:rPr>
          <w:rFonts w:cs="Arial"/>
          <w:szCs w:val="24"/>
        </w:rPr>
        <w:t>wa</w:t>
      </w:r>
      <w:r w:rsidR="00514A29" w:rsidRPr="00A91056">
        <w:rPr>
          <w:rFonts w:cs="Arial"/>
          <w:szCs w:val="24"/>
        </w:rPr>
        <w:t xml:space="preserve">s 50 </w:t>
      </w:r>
      <w:proofErr w:type="spellStart"/>
      <w:r w:rsidR="00514A29" w:rsidRPr="00A91056">
        <w:rPr>
          <w:rFonts w:cs="Arial"/>
          <w:szCs w:val="24"/>
        </w:rPr>
        <w:t>μl</w:t>
      </w:r>
      <w:proofErr w:type="spellEnd"/>
      <w:r w:rsidR="00514A29" w:rsidRPr="00A91056">
        <w:rPr>
          <w:rFonts w:cs="Arial"/>
          <w:szCs w:val="24"/>
        </w:rPr>
        <w:t xml:space="preserve">/egg/day (0.15 ml/egg total volume) in CEGA and 0.2 ml/egg/day (0.6 ml/egg total volume) in TEGA. </w:t>
      </w:r>
      <w:r w:rsidR="00A64F92" w:rsidRPr="00A91056">
        <w:rPr>
          <w:rFonts w:cs="Arial"/>
          <w:szCs w:val="24"/>
        </w:rPr>
        <w:t xml:space="preserve">Theoretically, it is most appropriate to </w:t>
      </w:r>
      <w:r w:rsidR="00532132" w:rsidRPr="00A91056">
        <w:rPr>
          <w:rFonts w:cs="Arial"/>
          <w:szCs w:val="24"/>
        </w:rPr>
        <w:t>conduct dosing</w:t>
      </w:r>
      <w:r w:rsidR="00A64F92" w:rsidRPr="00A91056">
        <w:rPr>
          <w:rFonts w:cs="Arial"/>
          <w:szCs w:val="24"/>
        </w:rPr>
        <w:t xml:space="preserve"> on the last 3 days of maturation because the liver would be most developed. Accordingly, injections in the TEGA occur on embryonic day</w:t>
      </w:r>
      <w:r w:rsidR="00CE0330" w:rsidRPr="00A91056">
        <w:rPr>
          <w:rFonts w:cs="Arial"/>
          <w:szCs w:val="24"/>
        </w:rPr>
        <w:t>s</w:t>
      </w:r>
      <w:r w:rsidR="00A64F92" w:rsidRPr="00A91056">
        <w:rPr>
          <w:rFonts w:cs="Arial"/>
          <w:szCs w:val="24"/>
        </w:rPr>
        <w:t xml:space="preserve"> 22-24. However, there is a general agreement that avian embryos after approximately two</w:t>
      </w:r>
      <w:r w:rsidR="00DF6590">
        <w:rPr>
          <w:rFonts w:cs="Arial"/>
          <w:szCs w:val="24"/>
        </w:rPr>
        <w:t>-</w:t>
      </w:r>
      <w:r w:rsidR="00A64F92" w:rsidRPr="00A91056">
        <w:rPr>
          <w:rFonts w:cs="Arial"/>
          <w:szCs w:val="24"/>
        </w:rPr>
        <w:t xml:space="preserve">thirds </w:t>
      </w:r>
      <w:r w:rsidR="00F31654">
        <w:rPr>
          <w:rFonts w:cs="Arial"/>
          <w:szCs w:val="24"/>
        </w:rPr>
        <w:t>of their</w:t>
      </w:r>
      <w:r w:rsidR="00A64F92" w:rsidRPr="00A91056">
        <w:rPr>
          <w:rFonts w:cs="Arial"/>
          <w:szCs w:val="24"/>
        </w:rPr>
        <w:t xml:space="preserve"> development may be </w:t>
      </w:r>
      <w:r w:rsidR="001A54C8">
        <w:rPr>
          <w:rFonts w:cs="Arial"/>
          <w:szCs w:val="24"/>
        </w:rPr>
        <w:t xml:space="preserve">sufficiently </w:t>
      </w:r>
      <w:r w:rsidR="00D40A4A">
        <w:rPr>
          <w:rFonts w:cs="Arial"/>
          <w:szCs w:val="24"/>
        </w:rPr>
        <w:t>mature</w:t>
      </w:r>
      <w:r w:rsidR="00A64F92" w:rsidRPr="00A91056">
        <w:rPr>
          <w:rFonts w:cs="Arial"/>
          <w:szCs w:val="24"/>
        </w:rPr>
        <w:t xml:space="preserve"> to experience pain and discomfort</w:t>
      </w:r>
      <w:r w:rsidR="00A44602" w:rsidRPr="00A91056">
        <w:rPr>
          <w:rFonts w:cs="Arial"/>
          <w:szCs w:val="24"/>
        </w:rPr>
        <w:t xml:space="preserve"> </w:t>
      </w:r>
      <w:r w:rsidR="00C4016A" w:rsidRPr="00A91056">
        <w:rPr>
          <w:rFonts w:cs="Arial"/>
          <w:szCs w:val="24"/>
        </w:rPr>
        <w:t>(Bellairs 1959)</w:t>
      </w:r>
      <w:r w:rsidR="00A64F92" w:rsidRPr="00A91056">
        <w:rPr>
          <w:rFonts w:cs="Arial"/>
          <w:szCs w:val="24"/>
        </w:rPr>
        <w:t xml:space="preserve">. </w:t>
      </w:r>
      <w:r w:rsidR="005D0269">
        <w:rPr>
          <w:rFonts w:cs="Arial"/>
          <w:szCs w:val="24"/>
        </w:rPr>
        <w:t xml:space="preserve">In </w:t>
      </w:r>
      <w:r w:rsidR="003F63A4">
        <w:rPr>
          <w:rFonts w:cs="Arial"/>
          <w:szCs w:val="24"/>
        </w:rPr>
        <w:t xml:space="preserve">consideration </w:t>
      </w:r>
      <w:r w:rsidR="005C1412">
        <w:rPr>
          <w:rFonts w:cs="Arial"/>
          <w:szCs w:val="24"/>
        </w:rPr>
        <w:t>of this</w:t>
      </w:r>
      <w:r w:rsidR="00A64F92" w:rsidRPr="00A91056">
        <w:rPr>
          <w:rFonts w:cs="Arial"/>
          <w:szCs w:val="24"/>
        </w:rPr>
        <w:t>, injections in CEGA take place on days 9 through 11.</w:t>
      </w:r>
      <w:r w:rsidR="007C7945" w:rsidRPr="00A91056">
        <w:rPr>
          <w:rFonts w:cs="Arial"/>
          <w:szCs w:val="24"/>
        </w:rPr>
        <w:t xml:space="preserve"> </w:t>
      </w:r>
    </w:p>
    <w:p w14:paraId="0BB15EDB" w14:textId="69DCF427" w:rsidR="00F4189C" w:rsidRPr="00A91056" w:rsidRDefault="00D024F3" w:rsidP="002921B5">
      <w:pPr>
        <w:autoSpaceDE w:val="0"/>
        <w:autoSpaceDN w:val="0"/>
        <w:adjustRightInd w:val="0"/>
        <w:rPr>
          <w:rFonts w:cs="Arial"/>
          <w:szCs w:val="24"/>
        </w:rPr>
      </w:pPr>
      <w:r w:rsidRPr="00A91056">
        <w:rPr>
          <w:rFonts w:cs="Arial"/>
          <w:szCs w:val="24"/>
        </w:rPr>
        <w:t xml:space="preserve">Three hours after the last injection (11 days for chickens and 24 days for turkeys), eggs </w:t>
      </w:r>
      <w:r w:rsidR="0016658C" w:rsidRPr="00A91056">
        <w:rPr>
          <w:rFonts w:cs="Arial"/>
          <w:szCs w:val="24"/>
        </w:rPr>
        <w:t>we</w:t>
      </w:r>
      <w:r w:rsidRPr="00A91056">
        <w:rPr>
          <w:rFonts w:cs="Arial"/>
          <w:szCs w:val="24"/>
        </w:rPr>
        <w:t xml:space="preserve">re terminated, and fetal livers </w:t>
      </w:r>
      <w:r w:rsidR="0016658C" w:rsidRPr="00A91056">
        <w:rPr>
          <w:rFonts w:cs="Arial"/>
          <w:szCs w:val="24"/>
        </w:rPr>
        <w:t>we</w:t>
      </w:r>
      <w:r w:rsidRPr="00A91056">
        <w:rPr>
          <w:rFonts w:cs="Arial"/>
          <w:szCs w:val="24"/>
        </w:rPr>
        <w:t>re removed and analyzed</w:t>
      </w:r>
      <w:r w:rsidR="007934EB" w:rsidRPr="00A91056">
        <w:rPr>
          <w:rFonts w:cs="Arial"/>
          <w:szCs w:val="24"/>
        </w:rPr>
        <w:t xml:space="preserve"> for </w:t>
      </w:r>
      <w:r w:rsidR="004725E3" w:rsidRPr="00A91056">
        <w:rPr>
          <w:rFonts w:cs="Arial"/>
          <w:szCs w:val="24"/>
        </w:rPr>
        <w:t xml:space="preserve">nuclear </w:t>
      </w:r>
      <w:r w:rsidR="007934EB" w:rsidRPr="00A91056">
        <w:rPr>
          <w:rFonts w:cs="Arial"/>
          <w:szCs w:val="24"/>
        </w:rPr>
        <w:t>DNA damage</w:t>
      </w:r>
      <w:r w:rsidRPr="00A91056">
        <w:rPr>
          <w:rFonts w:cs="Arial"/>
          <w:szCs w:val="24"/>
        </w:rPr>
        <w:t xml:space="preserve"> using </w:t>
      </w:r>
      <w:r w:rsidR="00F90CB2" w:rsidRPr="00A91056">
        <w:rPr>
          <w:rFonts w:cs="Arial"/>
          <w:szCs w:val="24"/>
        </w:rPr>
        <w:t>the</w:t>
      </w:r>
      <w:r w:rsidRPr="00A91056">
        <w:rPr>
          <w:rFonts w:cs="Arial"/>
          <w:szCs w:val="24"/>
        </w:rPr>
        <w:t xml:space="preserve"> </w:t>
      </w:r>
      <w:r w:rsidR="00F90CB2" w:rsidRPr="00A91056">
        <w:rPr>
          <w:rFonts w:cs="Arial"/>
          <w:szCs w:val="24"/>
        </w:rPr>
        <w:t>NPL</w:t>
      </w:r>
      <w:r w:rsidR="00344742" w:rsidRPr="00A91056">
        <w:rPr>
          <w:rFonts w:cs="Arial"/>
          <w:szCs w:val="24"/>
        </w:rPr>
        <w:t xml:space="preserve"> </w:t>
      </w:r>
      <w:r w:rsidR="00C4016A" w:rsidRPr="00A91056">
        <w:rPr>
          <w:rFonts w:cs="Arial"/>
          <w:szCs w:val="24"/>
        </w:rPr>
        <w:t xml:space="preserve">(Phillips and Arlt 2020; Reddy and </w:t>
      </w:r>
      <w:proofErr w:type="spellStart"/>
      <w:r w:rsidR="00C4016A" w:rsidRPr="00A91056">
        <w:rPr>
          <w:rFonts w:cs="Arial"/>
          <w:szCs w:val="24"/>
        </w:rPr>
        <w:t>Randerath</w:t>
      </w:r>
      <w:proofErr w:type="spellEnd"/>
      <w:r w:rsidR="00C4016A" w:rsidRPr="00A91056">
        <w:rPr>
          <w:rFonts w:cs="Arial"/>
          <w:szCs w:val="24"/>
        </w:rPr>
        <w:t xml:space="preserve"> 1987)</w:t>
      </w:r>
      <w:r w:rsidR="00F90CB2" w:rsidRPr="00A91056">
        <w:rPr>
          <w:rFonts w:cs="Arial"/>
          <w:szCs w:val="24"/>
        </w:rPr>
        <w:t xml:space="preserve"> and</w:t>
      </w:r>
      <w:r w:rsidRPr="00A91056">
        <w:rPr>
          <w:rFonts w:cs="Arial"/>
          <w:szCs w:val="24"/>
        </w:rPr>
        <w:t xml:space="preserve"> </w:t>
      </w:r>
      <w:r w:rsidR="001526EA" w:rsidRPr="00A91056">
        <w:rPr>
          <w:rFonts w:cs="Arial"/>
          <w:szCs w:val="24"/>
        </w:rPr>
        <w:t xml:space="preserve">comet </w:t>
      </w:r>
      <w:r w:rsidR="00C4016A" w:rsidRPr="00A91056">
        <w:rPr>
          <w:rFonts w:cs="Arial"/>
          <w:szCs w:val="24"/>
        </w:rPr>
        <w:t>(Brendler-Schwaab et al. 2005; OECD 2016; Tice et al. 2000)</w:t>
      </w:r>
      <w:r w:rsidR="00F90CB2" w:rsidRPr="00A91056">
        <w:rPr>
          <w:rFonts w:cs="Arial"/>
          <w:szCs w:val="24"/>
        </w:rPr>
        <w:t xml:space="preserve"> assays. </w:t>
      </w:r>
      <w:r w:rsidRPr="00A91056">
        <w:rPr>
          <w:rFonts w:cs="Arial"/>
          <w:szCs w:val="24"/>
        </w:rPr>
        <w:t xml:space="preserve">Groups chosen for analysis </w:t>
      </w:r>
      <w:r w:rsidR="0016658C" w:rsidRPr="00A91056">
        <w:rPr>
          <w:rFonts w:cs="Arial"/>
          <w:szCs w:val="24"/>
        </w:rPr>
        <w:t>had</w:t>
      </w:r>
      <w:r w:rsidRPr="00A91056">
        <w:rPr>
          <w:rFonts w:cs="Arial"/>
          <w:szCs w:val="24"/>
        </w:rPr>
        <w:t xml:space="preserve"> viability levels higher than 50% (at least half of the fetuses in the group </w:t>
      </w:r>
      <w:r w:rsidR="0016658C" w:rsidRPr="00A91056">
        <w:rPr>
          <w:rFonts w:cs="Arial"/>
          <w:szCs w:val="24"/>
        </w:rPr>
        <w:t>we</w:t>
      </w:r>
      <w:r w:rsidRPr="00A91056">
        <w:rPr>
          <w:rFonts w:cs="Arial"/>
          <w:szCs w:val="24"/>
        </w:rPr>
        <w:t xml:space="preserve">re viable upon termination) to avoid false-positive results due to cytotoxicity. In each </w:t>
      </w:r>
      <w:r w:rsidRPr="00A91056">
        <w:rPr>
          <w:rFonts w:cs="Arial"/>
          <w:szCs w:val="24"/>
        </w:rPr>
        <w:lastRenderedPageBreak/>
        <w:t xml:space="preserve">assay </w:t>
      </w:r>
      <w:r w:rsidR="003207BF" w:rsidRPr="00A91056">
        <w:rPr>
          <w:rFonts w:cs="Arial"/>
          <w:szCs w:val="24"/>
        </w:rPr>
        <w:t>three (</w:t>
      </w:r>
      <w:r w:rsidRPr="00A91056">
        <w:rPr>
          <w:rFonts w:cs="Arial"/>
          <w:szCs w:val="24"/>
        </w:rPr>
        <w:t>3</w:t>
      </w:r>
      <w:r w:rsidR="003207BF" w:rsidRPr="00A91056">
        <w:rPr>
          <w:rFonts w:cs="Arial"/>
          <w:szCs w:val="24"/>
        </w:rPr>
        <w:t>)</w:t>
      </w:r>
      <w:r w:rsidRPr="00A91056">
        <w:rPr>
          <w:rFonts w:cs="Arial"/>
          <w:szCs w:val="24"/>
        </w:rPr>
        <w:t xml:space="preserve"> liver samples </w:t>
      </w:r>
      <w:r w:rsidR="003023C9" w:rsidRPr="00A91056">
        <w:rPr>
          <w:rFonts w:cs="Arial"/>
          <w:szCs w:val="24"/>
        </w:rPr>
        <w:t>(biological replica</w:t>
      </w:r>
      <w:r w:rsidR="00873A40" w:rsidRPr="00A91056">
        <w:rPr>
          <w:rFonts w:cs="Arial"/>
          <w:szCs w:val="24"/>
        </w:rPr>
        <w:t>te</w:t>
      </w:r>
      <w:r w:rsidR="003023C9" w:rsidRPr="00A91056">
        <w:rPr>
          <w:rFonts w:cs="Arial"/>
          <w:szCs w:val="24"/>
        </w:rPr>
        <w:t xml:space="preserve">s) </w:t>
      </w:r>
      <w:r w:rsidRPr="00A91056">
        <w:rPr>
          <w:rFonts w:cs="Arial"/>
          <w:szCs w:val="24"/>
        </w:rPr>
        <w:t xml:space="preserve">per group </w:t>
      </w:r>
      <w:r w:rsidR="0016658C" w:rsidRPr="00A91056">
        <w:rPr>
          <w:rFonts w:cs="Arial"/>
          <w:szCs w:val="24"/>
        </w:rPr>
        <w:t>we</w:t>
      </w:r>
      <w:r w:rsidRPr="00A91056">
        <w:rPr>
          <w:rFonts w:cs="Arial"/>
          <w:szCs w:val="24"/>
        </w:rPr>
        <w:t>re analyzed, owing to the limitation in the number of samples which can be analyzed simultaneously.</w:t>
      </w:r>
      <w:r w:rsidR="00EF778E" w:rsidRPr="00A91056">
        <w:rPr>
          <w:rFonts w:cs="Arial"/>
          <w:szCs w:val="24"/>
        </w:rPr>
        <w:t xml:space="preserve"> </w:t>
      </w:r>
    </w:p>
    <w:p w14:paraId="33CCCC23" w14:textId="3228195D" w:rsidR="002921B5" w:rsidRPr="00A91056" w:rsidRDefault="000E2E3D" w:rsidP="002921B5">
      <w:pPr>
        <w:autoSpaceDE w:val="0"/>
        <w:autoSpaceDN w:val="0"/>
        <w:adjustRightInd w:val="0"/>
        <w:rPr>
          <w:rFonts w:cs="Arial"/>
          <w:szCs w:val="24"/>
        </w:rPr>
      </w:pPr>
      <w:r w:rsidRPr="00A91056">
        <w:rPr>
          <w:rFonts w:cs="Arial"/>
          <w:szCs w:val="24"/>
        </w:rPr>
        <w:t>For</w:t>
      </w:r>
      <w:r w:rsidR="00AA2C54" w:rsidRPr="00A91056">
        <w:rPr>
          <w:rFonts w:cs="Arial"/>
          <w:szCs w:val="24"/>
        </w:rPr>
        <w:t xml:space="preserve"> </w:t>
      </w:r>
      <w:r w:rsidR="002921B5" w:rsidRPr="00A91056">
        <w:rPr>
          <w:rFonts w:cs="Arial"/>
          <w:szCs w:val="24"/>
        </w:rPr>
        <w:t xml:space="preserve">histopathologic evaluation, the termination </w:t>
      </w:r>
      <w:r w:rsidRPr="00A91056">
        <w:rPr>
          <w:rFonts w:cs="Arial"/>
          <w:szCs w:val="24"/>
        </w:rPr>
        <w:t xml:space="preserve">and collection of liver tissues </w:t>
      </w:r>
      <w:r w:rsidR="002921B5" w:rsidRPr="00A91056">
        <w:rPr>
          <w:rFonts w:cs="Arial"/>
          <w:szCs w:val="24"/>
        </w:rPr>
        <w:t xml:space="preserve">occur 24 hours and 7 days after the last injection, in order to allow for morphologic changes to develop.  </w:t>
      </w:r>
    </w:p>
    <w:p w14:paraId="6B6A6C44" w14:textId="1FD0E496" w:rsidR="005A6C3A" w:rsidRPr="00A91056" w:rsidRDefault="00C44D57" w:rsidP="0069334E">
      <w:pPr>
        <w:pStyle w:val="Heading2"/>
      </w:pPr>
      <w:r w:rsidRPr="00A91056">
        <w:t xml:space="preserve">B. </w:t>
      </w:r>
      <w:r w:rsidR="0069334E" w:rsidRPr="00A91056">
        <w:rPr>
          <w:vertAlign w:val="superscript"/>
        </w:rPr>
        <w:t>32</w:t>
      </w:r>
      <w:r w:rsidR="0069334E" w:rsidRPr="00A91056">
        <w:t xml:space="preserve">P-Nucleotide </w:t>
      </w:r>
      <w:proofErr w:type="spellStart"/>
      <w:r w:rsidR="0069334E" w:rsidRPr="00A91056">
        <w:t>Postlabeling</w:t>
      </w:r>
      <w:proofErr w:type="spellEnd"/>
      <w:r w:rsidR="0069334E" w:rsidRPr="00A91056">
        <w:t xml:space="preserve"> (NPL) Assay</w:t>
      </w:r>
      <w:r w:rsidR="00CC1057" w:rsidRPr="00A91056">
        <w:t xml:space="preserve"> for </w:t>
      </w:r>
      <w:r w:rsidR="00FE16F0" w:rsidRPr="00A91056">
        <w:t xml:space="preserve">Nuclear </w:t>
      </w:r>
      <w:r w:rsidR="00CC1057" w:rsidRPr="00A91056">
        <w:t>DNA Adducts</w:t>
      </w:r>
    </w:p>
    <w:p w14:paraId="437E34F7" w14:textId="4E9C2C5D" w:rsidR="003F1DA6" w:rsidRDefault="00823720" w:rsidP="003F1DA6">
      <w:pPr>
        <w:autoSpaceDE w:val="0"/>
        <w:autoSpaceDN w:val="0"/>
        <w:adjustRightInd w:val="0"/>
        <w:rPr>
          <w:rFonts w:cs="Arial"/>
          <w:szCs w:val="24"/>
        </w:rPr>
      </w:pPr>
      <w:r w:rsidRPr="00A91056">
        <w:rPr>
          <w:rFonts w:cs="Arial"/>
          <w:szCs w:val="24"/>
        </w:rPr>
        <w:t xml:space="preserve">Nuclear </w:t>
      </w:r>
      <w:r w:rsidR="008A1E3B" w:rsidRPr="00A91056">
        <w:rPr>
          <w:rFonts w:cs="Arial"/>
          <w:szCs w:val="24"/>
        </w:rPr>
        <w:t xml:space="preserve">DNA </w:t>
      </w:r>
      <w:r w:rsidR="000E2E3D" w:rsidRPr="00A91056">
        <w:rPr>
          <w:rFonts w:cs="Arial"/>
          <w:szCs w:val="24"/>
        </w:rPr>
        <w:t>wa</w:t>
      </w:r>
      <w:r w:rsidR="008A1E3B" w:rsidRPr="00A91056">
        <w:rPr>
          <w:rFonts w:cs="Arial"/>
          <w:szCs w:val="24"/>
        </w:rPr>
        <w:t xml:space="preserve">s isolated from the frozen liver samples using QIAGEN (Valencia, CA) G100 columns following the manufacturer's protocol. </w:t>
      </w:r>
      <w:r w:rsidR="00686F56" w:rsidRPr="00A91056">
        <w:rPr>
          <w:rFonts w:cs="Arial"/>
          <w:szCs w:val="24"/>
        </w:rPr>
        <w:t>DNA s</w:t>
      </w:r>
      <w:r w:rsidR="008A1E3B" w:rsidRPr="00A91056">
        <w:rPr>
          <w:rFonts w:cs="Arial"/>
          <w:szCs w:val="24"/>
        </w:rPr>
        <w:t>amples</w:t>
      </w:r>
      <w:r w:rsidR="00686F56" w:rsidRPr="00A91056">
        <w:rPr>
          <w:rFonts w:cs="Arial"/>
          <w:szCs w:val="24"/>
        </w:rPr>
        <w:t xml:space="preserve"> (10 µg each)</w:t>
      </w:r>
      <w:r w:rsidR="008A1E3B" w:rsidRPr="00A91056">
        <w:rPr>
          <w:rFonts w:cs="Arial"/>
          <w:szCs w:val="24"/>
        </w:rPr>
        <w:t xml:space="preserve"> with adequate purity (260/280 and 260/230 nm absorbance ratios) </w:t>
      </w:r>
      <w:r w:rsidR="006D4667" w:rsidRPr="00A91056">
        <w:rPr>
          <w:rFonts w:cs="Arial"/>
          <w:szCs w:val="24"/>
        </w:rPr>
        <w:t>we</w:t>
      </w:r>
      <w:r w:rsidR="008A1E3B" w:rsidRPr="00A91056">
        <w:rPr>
          <w:rFonts w:cs="Arial"/>
          <w:szCs w:val="24"/>
        </w:rPr>
        <w:t xml:space="preserve">re further </w:t>
      </w:r>
      <w:r w:rsidR="00FD3306" w:rsidRPr="00A91056">
        <w:rPr>
          <w:rFonts w:cs="Arial"/>
          <w:szCs w:val="24"/>
        </w:rPr>
        <w:t xml:space="preserve">processed </w:t>
      </w:r>
      <w:r w:rsidR="00184AE9" w:rsidRPr="00A91056">
        <w:rPr>
          <w:rFonts w:cs="Arial"/>
          <w:szCs w:val="24"/>
        </w:rPr>
        <w:t xml:space="preserve">for NPL assay </w:t>
      </w:r>
      <w:r w:rsidR="00C4016A" w:rsidRPr="00A91056">
        <w:rPr>
          <w:rFonts w:cs="Arial"/>
          <w:szCs w:val="24"/>
        </w:rPr>
        <w:t xml:space="preserve">(Phillips and Arlt 2014; Phillips and Arlt 2020; Reddy and </w:t>
      </w:r>
      <w:proofErr w:type="spellStart"/>
      <w:r w:rsidR="00C4016A" w:rsidRPr="00A91056">
        <w:rPr>
          <w:rFonts w:cs="Arial"/>
          <w:szCs w:val="24"/>
        </w:rPr>
        <w:t>Randerath</w:t>
      </w:r>
      <w:proofErr w:type="spellEnd"/>
      <w:r w:rsidR="00C4016A" w:rsidRPr="00A91056">
        <w:rPr>
          <w:rFonts w:cs="Arial"/>
          <w:szCs w:val="24"/>
        </w:rPr>
        <w:t xml:space="preserve"> 1987)</w:t>
      </w:r>
      <w:r w:rsidR="002B41D5" w:rsidRPr="00A91056">
        <w:rPr>
          <w:rFonts w:cs="Arial"/>
          <w:szCs w:val="24"/>
        </w:rPr>
        <w:t xml:space="preserve"> </w:t>
      </w:r>
      <w:r w:rsidR="00B55CBE" w:rsidRPr="00A91056">
        <w:rPr>
          <w:rFonts w:cs="Arial"/>
          <w:szCs w:val="24"/>
        </w:rPr>
        <w:t>with nuclease P</w:t>
      </w:r>
      <w:r w:rsidR="00B55CBE" w:rsidRPr="00A91056">
        <w:rPr>
          <w:rFonts w:cs="Arial"/>
          <w:szCs w:val="24"/>
          <w:vertAlign w:val="subscript"/>
        </w:rPr>
        <w:t>1</w:t>
      </w:r>
      <w:r w:rsidR="00B55CBE" w:rsidRPr="00A91056">
        <w:rPr>
          <w:rFonts w:cs="Arial"/>
          <w:szCs w:val="24"/>
        </w:rPr>
        <w:t xml:space="preserve"> (NP</w:t>
      </w:r>
      <w:r w:rsidR="00B55CBE" w:rsidRPr="00A91056">
        <w:rPr>
          <w:rFonts w:cs="Arial"/>
          <w:szCs w:val="24"/>
          <w:vertAlign w:val="subscript"/>
        </w:rPr>
        <w:t>1</w:t>
      </w:r>
      <w:r w:rsidR="00B55CBE" w:rsidRPr="00A91056">
        <w:rPr>
          <w:rFonts w:cs="Arial"/>
          <w:szCs w:val="24"/>
        </w:rPr>
        <w:t xml:space="preserve">) digestion </w:t>
      </w:r>
      <w:r w:rsidR="00C4016A" w:rsidRPr="00A91056">
        <w:rPr>
          <w:rFonts w:cs="Arial"/>
          <w:szCs w:val="24"/>
        </w:rPr>
        <w:t xml:space="preserve">(Reddy and </w:t>
      </w:r>
      <w:proofErr w:type="spellStart"/>
      <w:r w:rsidR="00C4016A" w:rsidRPr="00A91056">
        <w:rPr>
          <w:rFonts w:cs="Arial"/>
          <w:szCs w:val="24"/>
        </w:rPr>
        <w:t>Randerath</w:t>
      </w:r>
      <w:proofErr w:type="spellEnd"/>
      <w:r w:rsidR="00C4016A" w:rsidRPr="00A91056">
        <w:rPr>
          <w:rFonts w:cs="Arial"/>
          <w:szCs w:val="24"/>
        </w:rPr>
        <w:t xml:space="preserve"> 1986; Reddy and </w:t>
      </w:r>
      <w:proofErr w:type="spellStart"/>
      <w:r w:rsidR="00C4016A" w:rsidRPr="00A91056">
        <w:rPr>
          <w:rFonts w:cs="Arial"/>
          <w:szCs w:val="24"/>
        </w:rPr>
        <w:t>Randerath</w:t>
      </w:r>
      <w:proofErr w:type="spellEnd"/>
      <w:r w:rsidR="00C4016A" w:rsidRPr="00A91056">
        <w:rPr>
          <w:rFonts w:cs="Arial"/>
          <w:szCs w:val="24"/>
        </w:rPr>
        <w:t xml:space="preserve"> 1987)</w:t>
      </w:r>
      <w:r w:rsidR="00B55CBE" w:rsidRPr="00A91056">
        <w:rPr>
          <w:rFonts w:cs="Arial"/>
          <w:szCs w:val="24"/>
        </w:rPr>
        <w:t xml:space="preserve"> and/or OASIS hydrophilic-lipophilic balance (HLB) column enrichment </w:t>
      </w:r>
      <w:r w:rsidR="00C4016A" w:rsidRPr="00A91056">
        <w:rPr>
          <w:rFonts w:cs="Arial"/>
          <w:szCs w:val="24"/>
        </w:rPr>
        <w:t>(Gupta et al. 1985)</w:t>
      </w:r>
      <w:r w:rsidR="00B55CBE" w:rsidRPr="00A91056">
        <w:rPr>
          <w:rFonts w:cs="Arial"/>
          <w:szCs w:val="24"/>
        </w:rPr>
        <w:t xml:space="preserve"> </w:t>
      </w:r>
      <w:r w:rsidR="000A69B3" w:rsidRPr="00A91056">
        <w:rPr>
          <w:rFonts w:cs="Arial"/>
          <w:szCs w:val="24"/>
        </w:rPr>
        <w:t xml:space="preserve">as previously described in detail </w:t>
      </w:r>
      <w:r w:rsidR="00C4016A" w:rsidRPr="00A91056">
        <w:rPr>
          <w:rFonts w:cs="Arial"/>
          <w:szCs w:val="24"/>
        </w:rPr>
        <w:t>(Kobets et al. 2019a; Williams et al. 2014)</w:t>
      </w:r>
      <w:r w:rsidR="00B55CBE" w:rsidRPr="00A91056">
        <w:rPr>
          <w:rFonts w:cs="Arial"/>
          <w:szCs w:val="24"/>
        </w:rPr>
        <w:t xml:space="preserve"> (</w:t>
      </w:r>
      <w:r w:rsidR="00B55CBE" w:rsidRPr="00A91056">
        <w:rPr>
          <w:rFonts w:cs="Arial"/>
          <w:b/>
          <w:bCs/>
          <w:szCs w:val="24"/>
        </w:rPr>
        <w:t xml:space="preserve">Figure </w:t>
      </w:r>
      <w:r w:rsidR="00895DAE">
        <w:rPr>
          <w:rFonts w:cs="Arial"/>
          <w:b/>
          <w:bCs/>
          <w:szCs w:val="24"/>
        </w:rPr>
        <w:t>3</w:t>
      </w:r>
      <w:r w:rsidR="00B55CBE" w:rsidRPr="00A91056">
        <w:rPr>
          <w:rFonts w:cs="Arial"/>
          <w:szCs w:val="24"/>
        </w:rPr>
        <w:t>).</w:t>
      </w:r>
      <w:r w:rsidR="003F1DA6" w:rsidRPr="003F1DA6">
        <w:rPr>
          <w:rFonts w:cs="Arial"/>
          <w:szCs w:val="24"/>
        </w:rPr>
        <w:t xml:space="preserve"> </w:t>
      </w:r>
    </w:p>
    <w:p w14:paraId="55EA96C8" w14:textId="350C39FE" w:rsidR="003F1DA6" w:rsidRPr="00A91056" w:rsidRDefault="003F1DA6" w:rsidP="003F1DA6">
      <w:pPr>
        <w:autoSpaceDE w:val="0"/>
        <w:autoSpaceDN w:val="0"/>
        <w:adjustRightInd w:val="0"/>
        <w:rPr>
          <w:rFonts w:cs="Arial"/>
          <w:szCs w:val="24"/>
        </w:rPr>
      </w:pPr>
      <w:r w:rsidRPr="00A91056">
        <w:rPr>
          <w:rFonts w:cs="Arial"/>
          <w:szCs w:val="24"/>
        </w:rPr>
        <w:t>Quantification of adducts was achieved by integrating individual spots, using the Molecular Dynamics Imager software. DNA adducts in 10</w:t>
      </w:r>
      <w:r w:rsidRPr="00A91056">
        <w:rPr>
          <w:rFonts w:cs="Arial"/>
          <w:szCs w:val="24"/>
          <w:vertAlign w:val="superscript"/>
        </w:rPr>
        <w:t>8</w:t>
      </w:r>
      <w:r w:rsidRPr="00A91056">
        <w:rPr>
          <w:rFonts w:cs="Arial"/>
          <w:szCs w:val="24"/>
        </w:rPr>
        <w:t xml:space="preserve"> of normal nucleotides were ascertained (threshold for NPL assay in the laboratory is one adduct per 10</w:t>
      </w:r>
      <w:r w:rsidRPr="00A91056">
        <w:rPr>
          <w:rFonts w:cs="Arial"/>
          <w:szCs w:val="24"/>
          <w:vertAlign w:val="superscript"/>
        </w:rPr>
        <w:t>9</w:t>
      </w:r>
      <w:r w:rsidRPr="00A91056">
        <w:rPr>
          <w:rFonts w:cs="Arial"/>
          <w:szCs w:val="24"/>
        </w:rPr>
        <w:t xml:space="preserve"> of normal nucleotides), and a mean value per group was calculated. Values obtained were considered comparative rather than absolute since the NPL signal is a function of the radiolabeling efficiency of adducts which may differ between adducts, and no internal standard was included.</w:t>
      </w:r>
    </w:p>
    <w:p w14:paraId="588B2FE1" w14:textId="4ADAFD9C" w:rsidR="00D10B02" w:rsidRPr="00A91056" w:rsidRDefault="002B13A8" w:rsidP="00B55CBE">
      <w:pPr>
        <w:pStyle w:val="Caption"/>
        <w:rPr>
          <w:b w:val="0"/>
          <w:bCs/>
        </w:rPr>
      </w:pPr>
      <w:r w:rsidRPr="00A91056">
        <w:rPr>
          <w:b w:val="0"/>
          <w:bCs/>
          <w:noProof/>
        </w:rPr>
        <w:lastRenderedPageBreak/>
        <w:drawing>
          <wp:inline distT="0" distB="0" distL="0" distR="0" wp14:anchorId="62728EAC" wp14:editId="75247B9D">
            <wp:extent cx="5313391" cy="3017520"/>
            <wp:effectExtent l="0" t="0" r="1905" b="0"/>
            <wp:docPr id="42856445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13391" cy="3017520"/>
                    </a:xfrm>
                    <a:prstGeom prst="rect">
                      <a:avLst/>
                    </a:prstGeom>
                    <a:noFill/>
                  </pic:spPr>
                </pic:pic>
              </a:graphicData>
            </a:graphic>
          </wp:inline>
        </w:drawing>
      </w:r>
    </w:p>
    <w:p w14:paraId="33960E6B" w14:textId="073A7035" w:rsidR="001E7071" w:rsidRDefault="00B55CBE" w:rsidP="00AB5013">
      <w:pPr>
        <w:pStyle w:val="Caption"/>
        <w:spacing w:after="240"/>
      </w:pPr>
      <w:r w:rsidRPr="00A91056">
        <w:rPr>
          <w:b w:val="0"/>
          <w:bCs/>
        </w:rPr>
        <w:t xml:space="preserve">Figure </w:t>
      </w:r>
      <w:r w:rsidRPr="00A91056">
        <w:rPr>
          <w:b w:val="0"/>
          <w:bCs/>
        </w:rPr>
        <w:fldChar w:fldCharType="begin"/>
      </w:r>
      <w:r w:rsidRPr="00A91056">
        <w:rPr>
          <w:b w:val="0"/>
          <w:bCs/>
        </w:rPr>
        <w:instrText xml:space="preserve"> SEQ Figure \* ARABIC </w:instrText>
      </w:r>
      <w:r w:rsidRPr="00A91056">
        <w:rPr>
          <w:b w:val="0"/>
          <w:bCs/>
        </w:rPr>
        <w:fldChar w:fldCharType="separate"/>
      </w:r>
      <w:r w:rsidR="00B51674">
        <w:rPr>
          <w:b w:val="0"/>
          <w:bCs/>
          <w:noProof/>
        </w:rPr>
        <w:t>3</w:t>
      </w:r>
      <w:r w:rsidRPr="00A91056">
        <w:rPr>
          <w:b w:val="0"/>
          <w:bCs/>
        </w:rPr>
        <w:fldChar w:fldCharType="end"/>
      </w:r>
      <w:r w:rsidRPr="00A91056">
        <w:rPr>
          <w:b w:val="0"/>
          <w:bCs/>
        </w:rPr>
        <w:t xml:space="preserve">. </w:t>
      </w:r>
      <w:r w:rsidRPr="00A91056">
        <w:t xml:space="preserve">Methodology of the </w:t>
      </w:r>
      <w:r w:rsidRPr="00A91056">
        <w:rPr>
          <w:vertAlign w:val="superscript"/>
        </w:rPr>
        <w:t>32</w:t>
      </w:r>
      <w:r w:rsidRPr="00A91056">
        <w:t>P-poslabeling (NPL) assay.</w:t>
      </w:r>
    </w:p>
    <w:p w14:paraId="586FE7D2" w14:textId="677DB94C" w:rsidR="005A6C3A" w:rsidRPr="00A91056" w:rsidRDefault="00C44D57" w:rsidP="00C44D57">
      <w:pPr>
        <w:pStyle w:val="Heading2"/>
        <w:ind w:firstLine="0"/>
      </w:pPr>
      <w:r w:rsidRPr="00A91056">
        <w:t xml:space="preserve">C. Alkaline </w:t>
      </w:r>
      <w:r w:rsidR="00BC0F23" w:rsidRPr="00A91056">
        <w:t>Single Cell Gel Electrophoresis (Comet) and Modified Comet Assay</w:t>
      </w:r>
      <w:r w:rsidR="00FE16F0" w:rsidRPr="00A91056">
        <w:t>s</w:t>
      </w:r>
      <w:r w:rsidR="00BC0F23" w:rsidRPr="00A91056">
        <w:t xml:space="preserve"> for </w:t>
      </w:r>
      <w:r w:rsidR="00FE16F0" w:rsidRPr="00A91056">
        <w:t xml:space="preserve">Nuclear </w:t>
      </w:r>
      <w:r w:rsidR="00BC0F23" w:rsidRPr="00A91056">
        <w:t>DNA Strand Breaks</w:t>
      </w:r>
    </w:p>
    <w:p w14:paraId="3D803217" w14:textId="352FE361" w:rsidR="001B5DB8" w:rsidRDefault="004A6AFB" w:rsidP="001B5DB8">
      <w:pPr>
        <w:autoSpaceDE w:val="0"/>
        <w:autoSpaceDN w:val="0"/>
        <w:adjustRightInd w:val="0"/>
        <w:rPr>
          <w:rFonts w:cs="Arial"/>
          <w:szCs w:val="24"/>
        </w:rPr>
      </w:pPr>
      <w:r w:rsidRPr="00A91056">
        <w:rPr>
          <w:rFonts w:cs="Arial"/>
          <w:szCs w:val="24"/>
        </w:rPr>
        <w:t xml:space="preserve">Liver tissues </w:t>
      </w:r>
      <w:r w:rsidR="00C82877" w:rsidRPr="00A91056">
        <w:rPr>
          <w:rFonts w:cs="Arial"/>
          <w:szCs w:val="24"/>
        </w:rPr>
        <w:t xml:space="preserve">(200 mg of each </w:t>
      </w:r>
      <w:r w:rsidR="00AF5B52" w:rsidRPr="00A91056">
        <w:rPr>
          <w:rFonts w:cs="Arial"/>
          <w:szCs w:val="24"/>
        </w:rPr>
        <w:t xml:space="preserve">liver </w:t>
      </w:r>
      <w:r w:rsidR="00C82877" w:rsidRPr="00A91056">
        <w:rPr>
          <w:rFonts w:cs="Arial"/>
          <w:szCs w:val="24"/>
        </w:rPr>
        <w:t xml:space="preserve">sample) </w:t>
      </w:r>
      <w:r w:rsidR="00D650D9" w:rsidRPr="00A91056">
        <w:rPr>
          <w:rFonts w:cs="Arial"/>
          <w:szCs w:val="24"/>
        </w:rPr>
        <w:t>we</w:t>
      </w:r>
      <w:r w:rsidR="009443AC" w:rsidRPr="00A91056">
        <w:rPr>
          <w:rFonts w:cs="Arial"/>
          <w:szCs w:val="24"/>
        </w:rPr>
        <w:t xml:space="preserve">re minced into fine pieces in 1 ml of ice-cold Hank’s balanced salt solution (HBSS, Gibco, Grand Island, NY) containing 20 mM EDTA and 10% </w:t>
      </w:r>
      <w:proofErr w:type="spellStart"/>
      <w:r w:rsidR="009443AC" w:rsidRPr="00A91056">
        <w:rPr>
          <w:rFonts w:cs="Arial"/>
          <w:szCs w:val="24"/>
        </w:rPr>
        <w:t>dimethylsulfoxide</w:t>
      </w:r>
      <w:proofErr w:type="spellEnd"/>
      <w:r w:rsidR="009443AC" w:rsidRPr="00A91056">
        <w:rPr>
          <w:rFonts w:cs="Arial"/>
          <w:szCs w:val="24"/>
        </w:rPr>
        <w:t xml:space="preserve"> (DMSO). Aliquots of the cell suspensions </w:t>
      </w:r>
      <w:r w:rsidR="005575E3" w:rsidRPr="00A91056">
        <w:rPr>
          <w:rFonts w:cs="Arial"/>
          <w:szCs w:val="24"/>
        </w:rPr>
        <w:t>we</w:t>
      </w:r>
      <w:r w:rsidR="009443AC" w:rsidRPr="00A91056">
        <w:rPr>
          <w:rFonts w:cs="Arial"/>
          <w:szCs w:val="24"/>
        </w:rPr>
        <w:t>re then processed in t</w:t>
      </w:r>
      <w:r w:rsidR="005A6C3A" w:rsidRPr="00A91056">
        <w:rPr>
          <w:rFonts w:cs="Arial"/>
          <w:szCs w:val="24"/>
        </w:rPr>
        <w:t xml:space="preserve">he standard comet assay </w:t>
      </w:r>
      <w:r w:rsidR="00C4016A" w:rsidRPr="00A91056">
        <w:rPr>
          <w:rFonts w:cs="Arial"/>
          <w:szCs w:val="24"/>
        </w:rPr>
        <w:t>(Tice et al. 2000)</w:t>
      </w:r>
      <w:r w:rsidR="002A2C5B" w:rsidRPr="00A91056">
        <w:rPr>
          <w:rFonts w:cs="Arial"/>
          <w:szCs w:val="24"/>
        </w:rPr>
        <w:t xml:space="preserve"> </w:t>
      </w:r>
      <w:r w:rsidR="005A6C3A" w:rsidRPr="00A91056">
        <w:rPr>
          <w:rFonts w:cs="Arial"/>
          <w:szCs w:val="24"/>
        </w:rPr>
        <w:t>according to OECD</w:t>
      </w:r>
      <w:r w:rsidR="008E0D81" w:rsidRPr="00A91056">
        <w:rPr>
          <w:rFonts w:cs="Arial"/>
          <w:szCs w:val="24"/>
        </w:rPr>
        <w:t xml:space="preserve"> </w:t>
      </w:r>
      <w:r w:rsidR="005A6C3A" w:rsidRPr="00A91056">
        <w:rPr>
          <w:rFonts w:cs="Arial"/>
          <w:szCs w:val="24"/>
        </w:rPr>
        <w:t xml:space="preserve">guidelines </w:t>
      </w:r>
      <w:r w:rsidR="00C4016A" w:rsidRPr="00A91056">
        <w:rPr>
          <w:rFonts w:cs="Arial"/>
          <w:szCs w:val="24"/>
        </w:rPr>
        <w:t>(OECD 2016)</w:t>
      </w:r>
      <w:r w:rsidR="002A2C5B" w:rsidRPr="00A91056">
        <w:rPr>
          <w:rFonts w:cs="Arial"/>
          <w:szCs w:val="24"/>
        </w:rPr>
        <w:t xml:space="preserve">, </w:t>
      </w:r>
      <w:r w:rsidR="007160C3" w:rsidRPr="00A91056">
        <w:rPr>
          <w:rFonts w:cs="Arial"/>
          <w:szCs w:val="24"/>
        </w:rPr>
        <w:t>as</w:t>
      </w:r>
      <w:r w:rsidR="005A6C3A" w:rsidRPr="00A91056">
        <w:rPr>
          <w:rFonts w:cs="Arial"/>
          <w:szCs w:val="24"/>
        </w:rPr>
        <w:t xml:space="preserve"> </w:t>
      </w:r>
      <w:r w:rsidR="00D17D87" w:rsidRPr="00A91056">
        <w:rPr>
          <w:rFonts w:cs="Arial"/>
          <w:szCs w:val="24"/>
        </w:rPr>
        <w:t xml:space="preserve">previously </w:t>
      </w:r>
      <w:r w:rsidR="005A6C3A" w:rsidRPr="00A91056">
        <w:rPr>
          <w:rFonts w:cs="Arial"/>
          <w:szCs w:val="24"/>
        </w:rPr>
        <w:t>described in detail</w:t>
      </w:r>
      <w:r w:rsidR="008E0D81" w:rsidRPr="00A91056">
        <w:rPr>
          <w:rFonts w:cs="Arial"/>
          <w:szCs w:val="24"/>
        </w:rPr>
        <w:t xml:space="preserve"> </w:t>
      </w:r>
      <w:r w:rsidR="00C4016A" w:rsidRPr="00A91056">
        <w:rPr>
          <w:rFonts w:cs="Arial"/>
          <w:szCs w:val="24"/>
        </w:rPr>
        <w:t>(Kobets et al. 2018a; Williams et al. 2014)</w:t>
      </w:r>
      <w:r w:rsidR="00162AB9" w:rsidRPr="00A91056">
        <w:rPr>
          <w:rFonts w:cs="Arial"/>
          <w:szCs w:val="24"/>
        </w:rPr>
        <w:t xml:space="preserve"> (</w:t>
      </w:r>
      <w:r w:rsidR="00162AB9" w:rsidRPr="00A91056">
        <w:rPr>
          <w:rFonts w:cs="Arial"/>
          <w:b/>
          <w:bCs/>
          <w:szCs w:val="24"/>
        </w:rPr>
        <w:t xml:space="preserve">Figure </w:t>
      </w:r>
      <w:r w:rsidR="00895DAE">
        <w:rPr>
          <w:rFonts w:cs="Arial"/>
          <w:b/>
          <w:bCs/>
          <w:szCs w:val="24"/>
        </w:rPr>
        <w:t>4</w:t>
      </w:r>
      <w:r w:rsidR="00162AB9" w:rsidRPr="00A91056">
        <w:rPr>
          <w:rFonts w:cs="Arial"/>
          <w:szCs w:val="24"/>
        </w:rPr>
        <w:t>)</w:t>
      </w:r>
      <w:r w:rsidR="000F14AC" w:rsidRPr="00A91056">
        <w:rPr>
          <w:rFonts w:cs="Arial"/>
          <w:szCs w:val="24"/>
        </w:rPr>
        <w:t>.</w:t>
      </w:r>
      <w:r w:rsidR="004D6D4B" w:rsidRPr="00A91056">
        <w:rPr>
          <w:rFonts w:cs="Arial"/>
          <w:szCs w:val="24"/>
        </w:rPr>
        <w:t xml:space="preserve"> </w:t>
      </w:r>
      <w:r w:rsidR="0049635E" w:rsidRPr="00A91056">
        <w:rPr>
          <w:rFonts w:cs="Arial"/>
          <w:szCs w:val="24"/>
        </w:rPr>
        <w:t xml:space="preserve">The </w:t>
      </w:r>
      <w:r w:rsidR="006B4AED" w:rsidRPr="00A91056">
        <w:rPr>
          <w:rFonts w:cs="Arial"/>
          <w:szCs w:val="24"/>
        </w:rPr>
        <w:t xml:space="preserve">assay </w:t>
      </w:r>
      <w:r w:rsidR="005575E3" w:rsidRPr="00A91056">
        <w:rPr>
          <w:rFonts w:cs="Arial"/>
          <w:szCs w:val="24"/>
        </w:rPr>
        <w:t>wa</w:t>
      </w:r>
      <w:r w:rsidR="006B4AED" w:rsidRPr="00A91056">
        <w:rPr>
          <w:rFonts w:cs="Arial"/>
          <w:szCs w:val="24"/>
        </w:rPr>
        <w:t xml:space="preserve">s </w:t>
      </w:r>
      <w:r w:rsidR="0049635E" w:rsidRPr="00A91056">
        <w:rPr>
          <w:rFonts w:cs="Arial"/>
          <w:szCs w:val="24"/>
        </w:rPr>
        <w:t>performed under dim light to prevent ultraviolet</w:t>
      </w:r>
      <w:r w:rsidR="00455961">
        <w:rPr>
          <w:rFonts w:cs="Arial"/>
          <w:szCs w:val="24"/>
        </w:rPr>
        <w:t xml:space="preserve"> light</w:t>
      </w:r>
      <w:r w:rsidR="006B4AED" w:rsidRPr="00A91056">
        <w:rPr>
          <w:rFonts w:cs="Arial"/>
          <w:szCs w:val="24"/>
        </w:rPr>
        <w:t>-</w:t>
      </w:r>
      <w:r w:rsidR="0049635E" w:rsidRPr="00A91056">
        <w:rPr>
          <w:rFonts w:cs="Arial"/>
          <w:szCs w:val="24"/>
        </w:rPr>
        <w:t>induced</w:t>
      </w:r>
      <w:r w:rsidR="006B4AED" w:rsidRPr="00A91056">
        <w:rPr>
          <w:rFonts w:cs="Arial"/>
          <w:szCs w:val="24"/>
        </w:rPr>
        <w:t xml:space="preserve"> </w:t>
      </w:r>
      <w:r w:rsidR="0049635E" w:rsidRPr="00A91056">
        <w:rPr>
          <w:rFonts w:cs="Arial"/>
          <w:szCs w:val="24"/>
        </w:rPr>
        <w:t>DNA damage.</w:t>
      </w:r>
      <w:r w:rsidR="005E0A03" w:rsidRPr="00A91056">
        <w:rPr>
          <w:rFonts w:cs="Arial"/>
          <w:szCs w:val="24"/>
        </w:rPr>
        <w:t xml:space="preserve"> </w:t>
      </w:r>
    </w:p>
    <w:p w14:paraId="06C6E9EF" w14:textId="7E18A81A" w:rsidR="005E0A03" w:rsidRPr="00A91056" w:rsidRDefault="001B5DB8" w:rsidP="005E0A03">
      <w:pPr>
        <w:autoSpaceDE w:val="0"/>
        <w:autoSpaceDN w:val="0"/>
        <w:adjustRightInd w:val="0"/>
        <w:rPr>
          <w:rFonts w:cs="Arial"/>
          <w:szCs w:val="24"/>
        </w:rPr>
      </w:pPr>
      <w:r w:rsidRPr="00A91056">
        <w:rPr>
          <w:rFonts w:cs="Arial"/>
          <w:szCs w:val="24"/>
        </w:rPr>
        <w:t xml:space="preserve">For the modified comet assay </w:t>
      </w:r>
      <w:r w:rsidR="00C4016A" w:rsidRPr="00A91056">
        <w:rPr>
          <w:rFonts w:cs="Arial"/>
          <w:szCs w:val="24"/>
        </w:rPr>
        <w:t>(Collins et al. 2020; Shukla et al. 2011)</w:t>
      </w:r>
      <w:r w:rsidRPr="00A91056">
        <w:rPr>
          <w:rFonts w:cs="Arial"/>
          <w:szCs w:val="24"/>
        </w:rPr>
        <w:t xml:space="preserve">, following lysis, slides were incubated with 50 </w:t>
      </w:r>
      <w:proofErr w:type="spellStart"/>
      <w:r w:rsidRPr="00A91056">
        <w:rPr>
          <w:rFonts w:cs="Arial"/>
          <w:szCs w:val="24"/>
        </w:rPr>
        <w:t>μl</w:t>
      </w:r>
      <w:proofErr w:type="spellEnd"/>
      <w:r w:rsidRPr="00A91056">
        <w:rPr>
          <w:rFonts w:cs="Arial"/>
          <w:szCs w:val="24"/>
        </w:rPr>
        <w:t xml:space="preserve"> of reaction enzyme buffer (REB) only or 0.5 units of either </w:t>
      </w:r>
      <w:proofErr w:type="spellStart"/>
      <w:r w:rsidRPr="00A91056">
        <w:rPr>
          <w:rFonts w:cs="Arial"/>
          <w:szCs w:val="24"/>
        </w:rPr>
        <w:t>formamidopyrimidine</w:t>
      </w:r>
      <w:proofErr w:type="spellEnd"/>
      <w:r w:rsidRPr="00A91056">
        <w:rPr>
          <w:rFonts w:cs="Arial"/>
          <w:szCs w:val="24"/>
        </w:rPr>
        <w:t xml:space="preserve"> DNA glycosylase (FPG) or 0.8 units of human 8-oxoguanine-DNA glycosylase (hOGG1) (New England Biolabs-NEB, Inc., Ipswich, MA) for 30 min at 37 °C, as previously described </w:t>
      </w:r>
      <w:r w:rsidR="00C4016A" w:rsidRPr="00A91056">
        <w:rPr>
          <w:rFonts w:cs="Arial"/>
          <w:szCs w:val="24"/>
        </w:rPr>
        <w:t>(Iatropoulos et al. 2017)</w:t>
      </w:r>
      <w:r w:rsidRPr="00A91056">
        <w:rPr>
          <w:rFonts w:cs="Arial"/>
          <w:szCs w:val="24"/>
        </w:rPr>
        <w:t xml:space="preserve">. Additional </w:t>
      </w:r>
      <w:r w:rsidRPr="00A91056">
        <w:rPr>
          <w:rFonts w:cs="Arial"/>
          <w:szCs w:val="24"/>
        </w:rPr>
        <w:lastRenderedPageBreak/>
        <w:t xml:space="preserve">samples from control group incubated with 50 </w:t>
      </w:r>
      <w:proofErr w:type="spellStart"/>
      <w:r w:rsidRPr="00A91056">
        <w:rPr>
          <w:rFonts w:cs="Arial"/>
          <w:szCs w:val="24"/>
        </w:rPr>
        <w:t>μl</w:t>
      </w:r>
      <w:proofErr w:type="spellEnd"/>
      <w:r w:rsidRPr="00A91056">
        <w:rPr>
          <w:rFonts w:cs="Arial"/>
          <w:szCs w:val="24"/>
        </w:rPr>
        <w:t xml:space="preserve"> of 30μm of hydrogen peroxide (H</w:t>
      </w:r>
      <w:r w:rsidRPr="00A91056">
        <w:rPr>
          <w:rFonts w:cs="Arial"/>
          <w:szCs w:val="24"/>
          <w:vertAlign w:val="subscript"/>
        </w:rPr>
        <w:t>2</w:t>
      </w:r>
      <w:r w:rsidRPr="00A91056">
        <w:rPr>
          <w:rFonts w:cs="Arial"/>
          <w:szCs w:val="24"/>
        </w:rPr>
        <w:t>O</w:t>
      </w:r>
      <w:r w:rsidRPr="00A91056">
        <w:rPr>
          <w:rFonts w:cs="Arial"/>
          <w:szCs w:val="24"/>
          <w:vertAlign w:val="subscript"/>
        </w:rPr>
        <w:t>2</w:t>
      </w:r>
      <w:r w:rsidRPr="00A91056">
        <w:rPr>
          <w:rFonts w:cs="Arial"/>
          <w:szCs w:val="24"/>
        </w:rPr>
        <w:t xml:space="preserve">) on ice for 5 min before lysis serve as a positive control. </w:t>
      </w:r>
    </w:p>
    <w:p w14:paraId="3F34F5AE" w14:textId="7CAE9ECD" w:rsidR="00D3136A" w:rsidRPr="00A91056" w:rsidRDefault="00CF279D" w:rsidP="002B13A8">
      <w:pPr>
        <w:keepNext/>
        <w:autoSpaceDE w:val="0"/>
        <w:autoSpaceDN w:val="0"/>
        <w:adjustRightInd w:val="0"/>
        <w:spacing w:before="120"/>
        <w:ind w:firstLine="0"/>
      </w:pPr>
      <w:r w:rsidRPr="00A91056">
        <w:rPr>
          <w:noProof/>
        </w:rPr>
        <w:drawing>
          <wp:inline distT="0" distB="0" distL="0" distR="0" wp14:anchorId="328E3D95" wp14:editId="4981A7F6">
            <wp:extent cx="5313386" cy="3017520"/>
            <wp:effectExtent l="0" t="0" r="1905" b="0"/>
            <wp:docPr id="8265343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13386" cy="3017520"/>
                    </a:xfrm>
                    <a:prstGeom prst="rect">
                      <a:avLst/>
                    </a:prstGeom>
                    <a:noFill/>
                  </pic:spPr>
                </pic:pic>
              </a:graphicData>
            </a:graphic>
          </wp:inline>
        </w:drawing>
      </w:r>
    </w:p>
    <w:p w14:paraId="7BE8B034" w14:textId="09B82BEC" w:rsidR="00FB44A3" w:rsidRDefault="00FB44A3" w:rsidP="00AB5013">
      <w:pPr>
        <w:pStyle w:val="Caption"/>
        <w:spacing w:after="240"/>
      </w:pPr>
      <w:r w:rsidRPr="00A91056">
        <w:rPr>
          <w:b w:val="0"/>
          <w:bCs/>
        </w:rPr>
        <w:t xml:space="preserve">Figure </w:t>
      </w:r>
      <w:r w:rsidRPr="00A91056">
        <w:rPr>
          <w:b w:val="0"/>
          <w:bCs/>
        </w:rPr>
        <w:fldChar w:fldCharType="begin"/>
      </w:r>
      <w:r w:rsidRPr="00A91056">
        <w:rPr>
          <w:b w:val="0"/>
          <w:bCs/>
        </w:rPr>
        <w:instrText xml:space="preserve"> SEQ Figure \* ARABIC </w:instrText>
      </w:r>
      <w:r w:rsidRPr="00A91056">
        <w:rPr>
          <w:b w:val="0"/>
          <w:bCs/>
        </w:rPr>
        <w:fldChar w:fldCharType="separate"/>
      </w:r>
      <w:r w:rsidR="00B51674">
        <w:rPr>
          <w:b w:val="0"/>
          <w:bCs/>
          <w:noProof/>
        </w:rPr>
        <w:t>4</w:t>
      </w:r>
      <w:r w:rsidRPr="00A91056">
        <w:rPr>
          <w:b w:val="0"/>
          <w:bCs/>
        </w:rPr>
        <w:fldChar w:fldCharType="end"/>
      </w:r>
      <w:r w:rsidRPr="00A91056">
        <w:rPr>
          <w:b w:val="0"/>
          <w:bCs/>
        </w:rPr>
        <w:t>.</w:t>
      </w:r>
      <w:r w:rsidRPr="00A91056">
        <w:t xml:space="preserve"> Methodology of the comet assay.</w:t>
      </w:r>
    </w:p>
    <w:p w14:paraId="00375308" w14:textId="62F3F7C3" w:rsidR="00BC0F23" w:rsidRPr="00A91056" w:rsidRDefault="00BC0F23" w:rsidP="000A7912">
      <w:pPr>
        <w:pStyle w:val="Heading2"/>
        <w:ind w:firstLine="0"/>
      </w:pPr>
      <w:r w:rsidRPr="00A91056">
        <w:t>D. Data Analyses</w:t>
      </w:r>
    </w:p>
    <w:p w14:paraId="6C4456A0" w14:textId="4018D34D" w:rsidR="005A6C3A" w:rsidRPr="00A91056" w:rsidRDefault="00C3560C" w:rsidP="000A7912">
      <w:pPr>
        <w:pStyle w:val="Heading3"/>
      </w:pPr>
      <w:r w:rsidRPr="00A91056">
        <w:t xml:space="preserve">i. </w:t>
      </w:r>
      <w:r w:rsidR="005B6564" w:rsidRPr="00A91056">
        <w:t>Statistical Analys</w:t>
      </w:r>
      <w:r w:rsidR="004B3255" w:rsidRPr="00A91056">
        <w:t>i</w:t>
      </w:r>
      <w:r w:rsidR="005B6564" w:rsidRPr="00A91056">
        <w:t>s</w:t>
      </w:r>
    </w:p>
    <w:p w14:paraId="42B7F206" w14:textId="34689D62" w:rsidR="005A6C3A" w:rsidRPr="00A91056" w:rsidRDefault="005A6C3A" w:rsidP="000A7912">
      <w:pPr>
        <w:autoSpaceDE w:val="0"/>
        <w:autoSpaceDN w:val="0"/>
        <w:adjustRightInd w:val="0"/>
        <w:rPr>
          <w:rFonts w:cs="Arial"/>
          <w:szCs w:val="24"/>
        </w:rPr>
      </w:pPr>
      <w:r w:rsidRPr="00A91056">
        <w:rPr>
          <w:rFonts w:cs="Arial"/>
          <w:szCs w:val="24"/>
        </w:rPr>
        <w:t xml:space="preserve">Results are presented as mean ± SD. Statistical analyses </w:t>
      </w:r>
      <w:r w:rsidR="005575E3" w:rsidRPr="00A91056">
        <w:rPr>
          <w:rFonts w:cs="Arial"/>
          <w:szCs w:val="24"/>
        </w:rPr>
        <w:t>we</w:t>
      </w:r>
      <w:r w:rsidR="00B703C1" w:rsidRPr="00A91056">
        <w:rPr>
          <w:rFonts w:cs="Arial"/>
          <w:szCs w:val="24"/>
        </w:rPr>
        <w:t>re</w:t>
      </w:r>
      <w:r w:rsidR="008E0D81" w:rsidRPr="00A91056">
        <w:rPr>
          <w:rFonts w:cs="Arial"/>
          <w:szCs w:val="24"/>
        </w:rPr>
        <w:t xml:space="preserve"> </w:t>
      </w:r>
      <w:r w:rsidRPr="00A91056">
        <w:rPr>
          <w:rFonts w:cs="Arial"/>
          <w:szCs w:val="24"/>
        </w:rPr>
        <w:t xml:space="preserve">performed using </w:t>
      </w:r>
      <w:proofErr w:type="spellStart"/>
      <w:r w:rsidRPr="00A91056">
        <w:rPr>
          <w:rFonts w:cs="Arial"/>
          <w:szCs w:val="24"/>
        </w:rPr>
        <w:t>SigmaStat</w:t>
      </w:r>
      <w:proofErr w:type="spellEnd"/>
      <w:r w:rsidRPr="00A91056">
        <w:rPr>
          <w:rFonts w:cs="Arial"/>
          <w:szCs w:val="24"/>
        </w:rPr>
        <w:t xml:space="preserve"> software v</w:t>
      </w:r>
      <w:r w:rsidR="00E82D08" w:rsidRPr="00A91056">
        <w:rPr>
          <w:rFonts w:cs="Arial"/>
          <w:szCs w:val="24"/>
        </w:rPr>
        <w:t>.</w:t>
      </w:r>
      <w:r w:rsidRPr="00A91056">
        <w:rPr>
          <w:rFonts w:cs="Arial"/>
          <w:szCs w:val="24"/>
        </w:rPr>
        <w:t xml:space="preserve"> 3.11.0 (</w:t>
      </w:r>
      <w:proofErr w:type="spellStart"/>
      <w:r w:rsidRPr="00A91056">
        <w:rPr>
          <w:rFonts w:cs="Arial"/>
          <w:szCs w:val="24"/>
        </w:rPr>
        <w:t>Systat</w:t>
      </w:r>
      <w:proofErr w:type="spellEnd"/>
      <w:r w:rsidRPr="00A91056">
        <w:rPr>
          <w:rFonts w:cs="Arial"/>
          <w:szCs w:val="24"/>
        </w:rPr>
        <w:t xml:space="preserve"> Software</w:t>
      </w:r>
      <w:r w:rsidR="003612B5" w:rsidRPr="00A91056">
        <w:rPr>
          <w:rFonts w:cs="Arial"/>
          <w:szCs w:val="24"/>
        </w:rPr>
        <w:t xml:space="preserve"> </w:t>
      </w:r>
      <w:r w:rsidRPr="00A91056">
        <w:rPr>
          <w:rFonts w:cs="Arial"/>
          <w:szCs w:val="24"/>
        </w:rPr>
        <w:t>Inc., Chicago, IL), with the most appropriate statistical analysis of</w:t>
      </w:r>
      <w:r w:rsidR="003612B5" w:rsidRPr="00A91056">
        <w:rPr>
          <w:rFonts w:cs="Arial"/>
          <w:szCs w:val="24"/>
        </w:rPr>
        <w:t xml:space="preserve"> </w:t>
      </w:r>
      <w:r w:rsidRPr="00A91056">
        <w:rPr>
          <w:rFonts w:cs="Arial"/>
          <w:szCs w:val="24"/>
        </w:rPr>
        <w:t>the data sets, which included the one-way analysis of variance with the</w:t>
      </w:r>
      <w:r w:rsidR="003612B5" w:rsidRPr="00A91056">
        <w:rPr>
          <w:rFonts w:cs="Arial"/>
          <w:szCs w:val="24"/>
        </w:rPr>
        <w:t xml:space="preserve"> </w:t>
      </w:r>
      <w:r w:rsidRPr="00A91056">
        <w:rPr>
          <w:rFonts w:cs="Arial"/>
          <w:szCs w:val="24"/>
        </w:rPr>
        <w:t>pairwise multiple comparison being made by Tukey's method. Linear</w:t>
      </w:r>
      <w:r w:rsidR="003612B5" w:rsidRPr="00A91056">
        <w:rPr>
          <w:rFonts w:cs="Arial"/>
          <w:szCs w:val="24"/>
        </w:rPr>
        <w:t xml:space="preserve"> </w:t>
      </w:r>
      <w:r w:rsidRPr="00A91056">
        <w:rPr>
          <w:rFonts w:cs="Arial"/>
          <w:szCs w:val="24"/>
        </w:rPr>
        <w:t xml:space="preserve">regression analysis </w:t>
      </w:r>
      <w:r w:rsidR="005133EE" w:rsidRPr="00A91056">
        <w:rPr>
          <w:rFonts w:cs="Arial"/>
          <w:szCs w:val="24"/>
        </w:rPr>
        <w:t>wa</w:t>
      </w:r>
      <w:r w:rsidRPr="00A91056">
        <w:rPr>
          <w:rFonts w:cs="Arial"/>
          <w:szCs w:val="24"/>
        </w:rPr>
        <w:t>s used to determine dose-related trends. P values</w:t>
      </w:r>
      <w:r w:rsidR="003612B5" w:rsidRPr="00A91056">
        <w:rPr>
          <w:rFonts w:cs="Arial"/>
          <w:szCs w:val="24"/>
        </w:rPr>
        <w:t xml:space="preserve"> </w:t>
      </w:r>
      <w:r w:rsidRPr="00A91056">
        <w:rPr>
          <w:rFonts w:cs="Arial"/>
          <w:szCs w:val="24"/>
          <w:u w:val="single"/>
        </w:rPr>
        <w:t>&lt;</w:t>
      </w:r>
      <w:r w:rsidRPr="00A91056">
        <w:rPr>
          <w:rFonts w:cs="Arial"/>
          <w:szCs w:val="24"/>
        </w:rPr>
        <w:t xml:space="preserve"> 0.05 </w:t>
      </w:r>
      <w:r w:rsidR="005133EE" w:rsidRPr="00A91056">
        <w:rPr>
          <w:rFonts w:cs="Arial"/>
          <w:szCs w:val="24"/>
        </w:rPr>
        <w:t>we</w:t>
      </w:r>
      <w:r w:rsidRPr="00A91056">
        <w:rPr>
          <w:rFonts w:cs="Arial"/>
          <w:szCs w:val="24"/>
        </w:rPr>
        <w:t>re considered significant.</w:t>
      </w:r>
    </w:p>
    <w:p w14:paraId="25CCB110" w14:textId="5B17A0DD" w:rsidR="005A6C3A" w:rsidRPr="00A91056" w:rsidRDefault="0053431D" w:rsidP="00C3560C">
      <w:pPr>
        <w:pStyle w:val="Heading3"/>
      </w:pPr>
      <w:r w:rsidRPr="00A91056">
        <w:t xml:space="preserve">ii. </w:t>
      </w:r>
      <w:r w:rsidR="005A6C3A" w:rsidRPr="00A91056">
        <w:t xml:space="preserve">Interpretation of </w:t>
      </w:r>
      <w:r w:rsidR="00C3560C" w:rsidRPr="00A91056">
        <w:t xml:space="preserve">the </w:t>
      </w:r>
      <w:r w:rsidR="007F3A3B" w:rsidRPr="00A91056">
        <w:t>R</w:t>
      </w:r>
      <w:r w:rsidR="005A6C3A" w:rsidRPr="00A91056">
        <w:t>esults</w:t>
      </w:r>
    </w:p>
    <w:p w14:paraId="17922F1A" w14:textId="41CCC483" w:rsidR="00306125" w:rsidRPr="00A91056" w:rsidRDefault="0053431D" w:rsidP="007C17AD">
      <w:pPr>
        <w:autoSpaceDE w:val="0"/>
        <w:autoSpaceDN w:val="0"/>
        <w:adjustRightInd w:val="0"/>
        <w:rPr>
          <w:rFonts w:cs="Arial"/>
          <w:szCs w:val="24"/>
        </w:rPr>
      </w:pPr>
      <w:r w:rsidRPr="00A91056">
        <w:rPr>
          <w:rFonts w:cs="Arial"/>
          <w:szCs w:val="24"/>
        </w:rPr>
        <w:t xml:space="preserve">Interpretation of the results of NPL assay </w:t>
      </w:r>
      <w:r w:rsidR="00071624" w:rsidRPr="00A91056">
        <w:rPr>
          <w:rFonts w:cs="Arial"/>
          <w:szCs w:val="24"/>
        </w:rPr>
        <w:t>wa</w:t>
      </w:r>
      <w:r w:rsidRPr="00A91056">
        <w:rPr>
          <w:rFonts w:cs="Arial"/>
          <w:szCs w:val="24"/>
        </w:rPr>
        <w:t xml:space="preserve">s done by visual comparison of the </w:t>
      </w:r>
      <w:r w:rsidRPr="00A91056">
        <w:rPr>
          <w:rFonts w:cs="Arial"/>
          <w:szCs w:val="24"/>
        </w:rPr>
        <w:lastRenderedPageBreak/>
        <w:t>chromatograms from dosed groups with corresponding negative control group</w:t>
      </w:r>
      <w:r w:rsidR="00C244BD" w:rsidRPr="00A91056">
        <w:rPr>
          <w:rFonts w:cs="Arial"/>
          <w:szCs w:val="24"/>
        </w:rPr>
        <w:t>s</w:t>
      </w:r>
      <w:r w:rsidRPr="00A91056">
        <w:rPr>
          <w:rFonts w:cs="Arial"/>
          <w:szCs w:val="24"/>
        </w:rPr>
        <w:t>, and, if available, positive control group</w:t>
      </w:r>
      <w:r w:rsidR="001E74F5" w:rsidRPr="00A91056">
        <w:rPr>
          <w:rFonts w:cs="Arial"/>
          <w:szCs w:val="24"/>
        </w:rPr>
        <w:t>s</w:t>
      </w:r>
      <w:r w:rsidRPr="00A91056">
        <w:rPr>
          <w:rFonts w:cs="Arial"/>
          <w:szCs w:val="24"/>
        </w:rPr>
        <w:t xml:space="preserve">, </w:t>
      </w:r>
      <w:r w:rsidR="00C244BD" w:rsidRPr="00A91056">
        <w:rPr>
          <w:rFonts w:cs="Arial"/>
          <w:szCs w:val="24"/>
        </w:rPr>
        <w:t xml:space="preserve">which </w:t>
      </w:r>
      <w:r w:rsidR="00071624" w:rsidRPr="00A91056">
        <w:rPr>
          <w:rFonts w:cs="Arial"/>
          <w:szCs w:val="24"/>
        </w:rPr>
        <w:t>we</w:t>
      </w:r>
      <w:r w:rsidR="00C244BD" w:rsidRPr="00A91056">
        <w:rPr>
          <w:rFonts w:cs="Arial"/>
          <w:szCs w:val="24"/>
        </w:rPr>
        <w:t>re run simultaneously</w:t>
      </w:r>
      <w:r w:rsidRPr="00A91056">
        <w:rPr>
          <w:rFonts w:cs="Arial"/>
          <w:szCs w:val="24"/>
        </w:rPr>
        <w:t xml:space="preserve">. A positive result </w:t>
      </w:r>
      <w:r w:rsidR="00071624" w:rsidRPr="00A91056">
        <w:rPr>
          <w:rFonts w:cs="Arial"/>
          <w:szCs w:val="24"/>
        </w:rPr>
        <w:t>wa</w:t>
      </w:r>
      <w:r w:rsidRPr="00A91056">
        <w:rPr>
          <w:rFonts w:cs="Arial"/>
          <w:szCs w:val="24"/>
        </w:rPr>
        <w:t xml:space="preserve">s recorded if the chromatogram from exposed samples displayed any extra spot(s) compared to the negative control group. A negative result </w:t>
      </w:r>
      <w:r w:rsidR="00071624" w:rsidRPr="00A91056">
        <w:rPr>
          <w:rFonts w:cs="Arial"/>
          <w:szCs w:val="24"/>
        </w:rPr>
        <w:t>wa</w:t>
      </w:r>
      <w:r w:rsidRPr="00A91056">
        <w:rPr>
          <w:rFonts w:cs="Arial"/>
          <w:szCs w:val="24"/>
        </w:rPr>
        <w:t xml:space="preserve">s recorded if there were no other spot(s) than the naturally occurring ones in the controls. </w:t>
      </w:r>
      <w:r w:rsidR="005A6C3A" w:rsidRPr="00A91056">
        <w:rPr>
          <w:rFonts w:cs="Arial"/>
          <w:szCs w:val="24"/>
        </w:rPr>
        <w:t xml:space="preserve">A positive outcome in the NPL assay provides </w:t>
      </w:r>
      <w:r w:rsidR="008475C1" w:rsidRPr="00A91056">
        <w:rPr>
          <w:rFonts w:cs="Arial"/>
          <w:szCs w:val="24"/>
        </w:rPr>
        <w:t>robust evidence</w:t>
      </w:r>
      <w:r w:rsidR="005A6C3A" w:rsidRPr="00A91056">
        <w:rPr>
          <w:rFonts w:cs="Arial"/>
          <w:szCs w:val="24"/>
        </w:rPr>
        <w:t xml:space="preserve"> for chemical</w:t>
      </w:r>
      <w:r w:rsidR="008475C1" w:rsidRPr="00A91056">
        <w:rPr>
          <w:rFonts w:cs="Arial"/>
          <w:szCs w:val="24"/>
        </w:rPr>
        <w:t>-induced</w:t>
      </w:r>
      <w:r w:rsidR="00FA4C64" w:rsidRPr="00A91056">
        <w:rPr>
          <w:rFonts w:cs="Arial"/>
          <w:szCs w:val="24"/>
        </w:rPr>
        <w:t xml:space="preserve"> </w:t>
      </w:r>
      <w:r w:rsidR="005A6C3A" w:rsidRPr="00A91056">
        <w:rPr>
          <w:rFonts w:cs="Arial"/>
          <w:szCs w:val="24"/>
        </w:rPr>
        <w:t>DNA damage since, owing to the multiple enzyme steps involved in the</w:t>
      </w:r>
      <w:r w:rsidR="00FA4C64" w:rsidRPr="00A91056">
        <w:rPr>
          <w:rFonts w:cs="Arial"/>
          <w:szCs w:val="24"/>
        </w:rPr>
        <w:t xml:space="preserve"> </w:t>
      </w:r>
      <w:r w:rsidR="005A6C3A" w:rsidRPr="00A91056">
        <w:rPr>
          <w:rFonts w:cs="Arial"/>
          <w:szCs w:val="24"/>
        </w:rPr>
        <w:t>digestion of the purified DNA and kinase reaction of the resulting</w:t>
      </w:r>
      <w:r w:rsidR="00FA4C64" w:rsidRPr="00A91056">
        <w:rPr>
          <w:rFonts w:cs="Arial"/>
          <w:szCs w:val="24"/>
        </w:rPr>
        <w:t xml:space="preserve"> </w:t>
      </w:r>
      <w:r w:rsidR="005A6C3A" w:rsidRPr="00A91056">
        <w:rPr>
          <w:rFonts w:cs="Arial"/>
          <w:szCs w:val="24"/>
        </w:rPr>
        <w:t>deoxyribonucleoside 3</w:t>
      </w:r>
      <w:r w:rsidR="005A6C3A" w:rsidRPr="00A91056">
        <w:rPr>
          <w:rFonts w:eastAsia="AdvOT596495f2+20" w:cs="Arial"/>
          <w:szCs w:val="24"/>
        </w:rPr>
        <w:t>′</w:t>
      </w:r>
      <w:r w:rsidR="005A6C3A" w:rsidRPr="00A91056">
        <w:rPr>
          <w:rFonts w:cs="Arial"/>
          <w:szCs w:val="24"/>
        </w:rPr>
        <w:t>-phosphates, few false positives occur. Thus, a</w:t>
      </w:r>
      <w:r w:rsidR="00FA4C64" w:rsidRPr="00A91056">
        <w:rPr>
          <w:rFonts w:cs="Arial"/>
          <w:szCs w:val="24"/>
        </w:rPr>
        <w:t xml:space="preserve"> </w:t>
      </w:r>
      <w:r w:rsidR="005A6C3A" w:rsidRPr="00A91056">
        <w:rPr>
          <w:rFonts w:cs="Arial"/>
          <w:szCs w:val="24"/>
        </w:rPr>
        <w:t xml:space="preserve">compound positive in the NPL assay is considered positive in </w:t>
      </w:r>
      <w:r w:rsidRPr="00A91056">
        <w:rPr>
          <w:rFonts w:cs="Arial"/>
          <w:szCs w:val="24"/>
        </w:rPr>
        <w:t>the</w:t>
      </w:r>
      <w:r w:rsidR="00306125" w:rsidRPr="00A91056">
        <w:rPr>
          <w:rFonts w:cs="Arial"/>
          <w:szCs w:val="24"/>
        </w:rPr>
        <w:t xml:space="preserve"> FAEFL/DDA</w:t>
      </w:r>
      <w:r w:rsidR="005A6C3A" w:rsidRPr="00A91056">
        <w:rPr>
          <w:rFonts w:cs="Arial"/>
          <w:szCs w:val="24"/>
        </w:rPr>
        <w:t>.</w:t>
      </w:r>
      <w:r w:rsidR="00FA4C64" w:rsidRPr="00A91056">
        <w:rPr>
          <w:rFonts w:cs="Arial"/>
          <w:szCs w:val="24"/>
        </w:rPr>
        <w:t xml:space="preserve"> </w:t>
      </w:r>
      <w:r w:rsidR="005A6C3A" w:rsidRPr="00A91056">
        <w:rPr>
          <w:rFonts w:cs="Arial"/>
          <w:szCs w:val="24"/>
        </w:rPr>
        <w:t xml:space="preserve">However, </w:t>
      </w:r>
      <w:r w:rsidR="00FE4143" w:rsidRPr="00A91056">
        <w:rPr>
          <w:rFonts w:cs="Arial"/>
          <w:szCs w:val="24"/>
        </w:rPr>
        <w:t>certain</w:t>
      </w:r>
      <w:r w:rsidR="005A6C3A" w:rsidRPr="00A91056">
        <w:rPr>
          <w:rFonts w:cs="Arial"/>
          <w:szCs w:val="24"/>
        </w:rPr>
        <w:t xml:space="preserve"> DNA adducts do not kinase well or are difficult to separate</w:t>
      </w:r>
      <w:r w:rsidR="00FA4C64" w:rsidRPr="00A91056">
        <w:rPr>
          <w:rFonts w:cs="Arial"/>
          <w:szCs w:val="24"/>
        </w:rPr>
        <w:t xml:space="preserve"> </w:t>
      </w:r>
      <w:r w:rsidR="005A6C3A" w:rsidRPr="00A91056">
        <w:rPr>
          <w:rFonts w:cs="Arial"/>
          <w:szCs w:val="24"/>
        </w:rPr>
        <w:t>from the normal nucleotides present. For compounds negative in</w:t>
      </w:r>
      <w:r w:rsidR="00FA4C64" w:rsidRPr="00A91056">
        <w:rPr>
          <w:rFonts w:cs="Arial"/>
          <w:szCs w:val="24"/>
        </w:rPr>
        <w:t xml:space="preserve"> </w:t>
      </w:r>
      <w:r w:rsidR="005A6C3A" w:rsidRPr="00A91056">
        <w:rPr>
          <w:rFonts w:cs="Arial"/>
          <w:szCs w:val="24"/>
        </w:rPr>
        <w:t>the NPL assay, a subsequent comet assay is taken into consideration.</w:t>
      </w:r>
      <w:r w:rsidR="00FA4C64" w:rsidRPr="00A91056">
        <w:rPr>
          <w:rFonts w:cs="Arial"/>
          <w:szCs w:val="24"/>
        </w:rPr>
        <w:t xml:space="preserve"> </w:t>
      </w:r>
    </w:p>
    <w:p w14:paraId="5F935D58" w14:textId="351C3AD0" w:rsidR="00A905AA" w:rsidRPr="00A91056" w:rsidRDefault="00085D06" w:rsidP="007C17AD">
      <w:pPr>
        <w:autoSpaceDE w:val="0"/>
        <w:autoSpaceDN w:val="0"/>
        <w:adjustRightInd w:val="0"/>
        <w:rPr>
          <w:rFonts w:cs="Arial"/>
          <w:szCs w:val="24"/>
        </w:rPr>
      </w:pPr>
      <w:r w:rsidRPr="00A91056">
        <w:rPr>
          <w:rFonts w:cs="Arial"/>
          <w:szCs w:val="24"/>
        </w:rPr>
        <w:t xml:space="preserve">The evaluation criteria for determining positive results in the comet assay includes the following </w:t>
      </w:r>
      <w:r w:rsidR="00C4016A" w:rsidRPr="00A91056">
        <w:rPr>
          <w:rFonts w:cs="Arial"/>
          <w:szCs w:val="24"/>
        </w:rPr>
        <w:t>(Tug et al. 2024; van der Leede et al. 2014)</w:t>
      </w:r>
      <w:r w:rsidRPr="00A91056">
        <w:rPr>
          <w:rFonts w:cs="Arial"/>
          <w:szCs w:val="24"/>
        </w:rPr>
        <w:t xml:space="preserve">: a statistically significant increase in the percentage of DNA-in-tail in dose group(s) compared with corresponding vehicle control group; a dose-related increase in DNA damage determined by linear regression analysis; the percentage of DNA-in-tail in dose group(s) should be outside of the historical vehicle control range established in the laboratory (for 20% HS, a 95% CI is </w:t>
      </w:r>
      <w:r w:rsidR="00F83FB2" w:rsidRPr="00A91056">
        <w:rPr>
          <w:rFonts w:cs="Arial"/>
          <w:szCs w:val="24"/>
        </w:rPr>
        <w:t xml:space="preserve">7.3 – 8.2 in CEGA and </w:t>
      </w:r>
      <w:r w:rsidRPr="00A91056">
        <w:rPr>
          <w:rFonts w:cs="Arial"/>
          <w:szCs w:val="24"/>
        </w:rPr>
        <w:t>9.86</w:t>
      </w:r>
      <w:r w:rsidR="00F83FB2" w:rsidRPr="00A91056">
        <w:rPr>
          <w:rFonts w:cs="Arial"/>
          <w:szCs w:val="24"/>
        </w:rPr>
        <w:t xml:space="preserve"> </w:t>
      </w:r>
      <w:r w:rsidRPr="00A91056">
        <w:rPr>
          <w:rFonts w:eastAsia="AdvOT596495f2+20" w:cs="Arial"/>
          <w:szCs w:val="24"/>
        </w:rPr>
        <w:t>–</w:t>
      </w:r>
      <w:r w:rsidR="00F83FB2" w:rsidRPr="00A91056">
        <w:rPr>
          <w:rFonts w:eastAsia="AdvOT596495f2+20" w:cs="Arial"/>
          <w:szCs w:val="24"/>
        </w:rPr>
        <w:t xml:space="preserve"> </w:t>
      </w:r>
      <w:r w:rsidRPr="00A91056">
        <w:rPr>
          <w:rFonts w:cs="Arial"/>
          <w:szCs w:val="24"/>
        </w:rPr>
        <w:t>11.63</w:t>
      </w:r>
      <w:r w:rsidR="00F83FB2" w:rsidRPr="00A91056">
        <w:rPr>
          <w:rFonts w:cs="Arial"/>
          <w:szCs w:val="24"/>
        </w:rPr>
        <w:t xml:space="preserve"> in TEGA</w:t>
      </w:r>
      <w:r w:rsidRPr="00A91056">
        <w:rPr>
          <w:rFonts w:cs="Arial"/>
          <w:szCs w:val="24"/>
        </w:rPr>
        <w:t>).</w:t>
      </w:r>
      <w:r w:rsidR="00F83FB2" w:rsidRPr="00A91056">
        <w:rPr>
          <w:rFonts w:cs="Arial"/>
          <w:szCs w:val="24"/>
        </w:rPr>
        <w:t xml:space="preserve"> </w:t>
      </w:r>
      <w:r w:rsidR="005A6C3A" w:rsidRPr="00A91056">
        <w:rPr>
          <w:rFonts w:cs="Arial"/>
          <w:szCs w:val="24"/>
        </w:rPr>
        <w:t xml:space="preserve">Compounds that produce positive comet results </w:t>
      </w:r>
      <w:r w:rsidR="00F83FB2" w:rsidRPr="00A91056">
        <w:rPr>
          <w:rFonts w:cs="Arial"/>
          <w:szCs w:val="24"/>
        </w:rPr>
        <w:t>are</w:t>
      </w:r>
      <w:r w:rsidR="005A6C3A" w:rsidRPr="00A91056">
        <w:rPr>
          <w:rFonts w:cs="Arial"/>
          <w:szCs w:val="24"/>
        </w:rPr>
        <w:t xml:space="preserve"> assumed to be positive in </w:t>
      </w:r>
      <w:r w:rsidR="00F83FB2" w:rsidRPr="00A91056">
        <w:rPr>
          <w:rFonts w:cs="Arial"/>
          <w:szCs w:val="24"/>
        </w:rPr>
        <w:t>FAEFL/DDA</w:t>
      </w:r>
      <w:r w:rsidR="005A6C3A" w:rsidRPr="00A91056">
        <w:rPr>
          <w:rFonts w:cs="Arial"/>
          <w:szCs w:val="24"/>
        </w:rPr>
        <w:t>, with the caveat that a</w:t>
      </w:r>
      <w:r w:rsidR="00FA4C64" w:rsidRPr="00A91056">
        <w:rPr>
          <w:rFonts w:cs="Arial"/>
          <w:szCs w:val="24"/>
        </w:rPr>
        <w:t xml:space="preserve"> </w:t>
      </w:r>
      <w:r w:rsidR="005A6C3A" w:rsidRPr="00A91056">
        <w:rPr>
          <w:rFonts w:cs="Arial"/>
          <w:szCs w:val="24"/>
        </w:rPr>
        <w:t>positive comet outcome may indicate either direct or indirect</w:t>
      </w:r>
      <w:r w:rsidR="00F83FB2" w:rsidRPr="00A91056">
        <w:rPr>
          <w:rFonts w:cs="Arial"/>
          <w:szCs w:val="24"/>
        </w:rPr>
        <w:t xml:space="preserve"> (e.g., oxidative stress)</w:t>
      </w:r>
      <w:r w:rsidR="005A6C3A" w:rsidRPr="00A91056">
        <w:rPr>
          <w:rFonts w:cs="Arial"/>
          <w:szCs w:val="24"/>
        </w:rPr>
        <w:t xml:space="preserve"> genotoxic</w:t>
      </w:r>
      <w:r w:rsidR="00FA4C64" w:rsidRPr="00A91056">
        <w:rPr>
          <w:rFonts w:cs="Arial"/>
          <w:szCs w:val="24"/>
        </w:rPr>
        <w:t xml:space="preserve"> </w:t>
      </w:r>
      <w:r w:rsidR="005A6C3A" w:rsidRPr="00A91056">
        <w:rPr>
          <w:rFonts w:cs="Arial"/>
          <w:szCs w:val="24"/>
        </w:rPr>
        <w:t>potential of the compound.</w:t>
      </w:r>
      <w:r w:rsidR="00593448" w:rsidRPr="00A91056">
        <w:rPr>
          <w:rFonts w:cs="Arial"/>
          <w:szCs w:val="24"/>
        </w:rPr>
        <w:t xml:space="preserve"> </w:t>
      </w:r>
      <w:r w:rsidR="00E566C7">
        <w:rPr>
          <w:rFonts w:cs="Arial"/>
          <w:szCs w:val="24"/>
        </w:rPr>
        <w:t>An</w:t>
      </w:r>
      <w:r w:rsidR="009D5789" w:rsidRPr="00A91056">
        <w:rPr>
          <w:rFonts w:cs="Arial"/>
          <w:szCs w:val="24"/>
        </w:rPr>
        <w:t xml:space="preserve"> e</w:t>
      </w:r>
      <w:r w:rsidR="002F54BF" w:rsidRPr="00A91056">
        <w:rPr>
          <w:rFonts w:cs="Arial"/>
          <w:szCs w:val="24"/>
        </w:rPr>
        <w:t xml:space="preserve">quivocal </w:t>
      </w:r>
      <w:r w:rsidR="009D5789" w:rsidRPr="00A91056">
        <w:rPr>
          <w:rFonts w:cs="Arial"/>
          <w:szCs w:val="24"/>
        </w:rPr>
        <w:t xml:space="preserve">call </w:t>
      </w:r>
      <w:r w:rsidR="005940A7" w:rsidRPr="00A91056">
        <w:rPr>
          <w:rFonts w:cs="Arial"/>
          <w:szCs w:val="24"/>
        </w:rPr>
        <w:t>i</w:t>
      </w:r>
      <w:r w:rsidR="009D5789" w:rsidRPr="00A91056">
        <w:rPr>
          <w:rFonts w:cs="Arial"/>
          <w:szCs w:val="24"/>
        </w:rPr>
        <w:t xml:space="preserve">s </w:t>
      </w:r>
      <w:r w:rsidR="00FA7BEA">
        <w:rPr>
          <w:rFonts w:cs="Arial"/>
          <w:szCs w:val="24"/>
        </w:rPr>
        <w:t>made</w:t>
      </w:r>
      <w:r w:rsidR="009D5789" w:rsidRPr="00A91056">
        <w:rPr>
          <w:rFonts w:cs="Arial"/>
          <w:szCs w:val="24"/>
        </w:rPr>
        <w:t xml:space="preserve"> when a clear positive or negative outcome cannot be </w:t>
      </w:r>
      <w:r w:rsidR="00183CBE" w:rsidRPr="00A91056">
        <w:rPr>
          <w:rFonts w:cs="Arial"/>
          <w:szCs w:val="24"/>
        </w:rPr>
        <w:t>concluded,</w:t>
      </w:r>
      <w:r w:rsidR="009D5789" w:rsidRPr="00A91056">
        <w:rPr>
          <w:rFonts w:cs="Arial"/>
          <w:szCs w:val="24"/>
        </w:rPr>
        <w:t xml:space="preserve"> or response</w:t>
      </w:r>
      <w:r w:rsidR="00FA7BEA">
        <w:rPr>
          <w:rFonts w:cs="Arial"/>
          <w:szCs w:val="24"/>
        </w:rPr>
        <w:t>s</w:t>
      </w:r>
      <w:r w:rsidR="009D5789" w:rsidRPr="00A91056">
        <w:rPr>
          <w:rFonts w:cs="Arial"/>
          <w:szCs w:val="24"/>
        </w:rPr>
        <w:t xml:space="preserve"> </w:t>
      </w:r>
      <w:r w:rsidR="00FA7BEA">
        <w:rPr>
          <w:rFonts w:cs="Arial"/>
          <w:szCs w:val="24"/>
        </w:rPr>
        <w:t>are</w:t>
      </w:r>
      <w:r w:rsidR="009D5789" w:rsidRPr="00A91056">
        <w:rPr>
          <w:rFonts w:cs="Arial"/>
          <w:szCs w:val="24"/>
        </w:rPr>
        <w:t xml:space="preserve"> inconsistent between experiments</w:t>
      </w:r>
      <w:bookmarkStart w:id="4" w:name="_Hlk183598571"/>
      <w:r w:rsidR="006D52ED" w:rsidRPr="00A91056">
        <w:rPr>
          <w:rFonts w:cs="Arial"/>
          <w:szCs w:val="24"/>
        </w:rPr>
        <w:t>.</w:t>
      </w:r>
    </w:p>
    <w:p w14:paraId="72BF3017" w14:textId="294F665C" w:rsidR="004B3255" w:rsidRPr="00A91056" w:rsidRDefault="004B3255" w:rsidP="004B3255">
      <w:pPr>
        <w:pStyle w:val="Heading3"/>
      </w:pPr>
      <w:r w:rsidRPr="00A91056">
        <w:lastRenderedPageBreak/>
        <w:t xml:space="preserve">iii. </w:t>
      </w:r>
      <w:r w:rsidR="00B8430E" w:rsidRPr="00A91056">
        <w:t>Concordance</w:t>
      </w:r>
      <w:r w:rsidRPr="00A91056">
        <w:t xml:space="preserve"> Analysis</w:t>
      </w:r>
    </w:p>
    <w:p w14:paraId="1FE9E7A3" w14:textId="4BCCDD87" w:rsidR="003F363C" w:rsidRPr="00A91056" w:rsidRDefault="005B2035" w:rsidP="007F3A3B">
      <w:pPr>
        <w:autoSpaceDE w:val="0"/>
        <w:autoSpaceDN w:val="0"/>
        <w:adjustRightInd w:val="0"/>
        <w:rPr>
          <w:rFonts w:cs="Arial"/>
          <w:szCs w:val="24"/>
        </w:rPr>
      </w:pPr>
      <w:r w:rsidRPr="00A91056">
        <w:rPr>
          <w:rFonts w:cs="Arial"/>
          <w:szCs w:val="24"/>
        </w:rPr>
        <w:t xml:space="preserve">To </w:t>
      </w:r>
      <w:r w:rsidR="006B3D22" w:rsidRPr="00A91056">
        <w:rPr>
          <w:rFonts w:cs="Arial"/>
          <w:szCs w:val="24"/>
        </w:rPr>
        <w:t>compare the outcomes</w:t>
      </w:r>
      <w:r w:rsidRPr="00A91056">
        <w:rPr>
          <w:rFonts w:cs="Arial"/>
          <w:szCs w:val="24"/>
        </w:rPr>
        <w:t xml:space="preserve"> observed in </w:t>
      </w:r>
      <w:r w:rsidRPr="00A91056">
        <w:rPr>
          <w:rFonts w:cs="Arial"/>
          <w:i/>
          <w:iCs/>
          <w:szCs w:val="24"/>
        </w:rPr>
        <w:t xml:space="preserve">in </w:t>
      </w:r>
      <w:proofErr w:type="spellStart"/>
      <w:r w:rsidRPr="00A91056">
        <w:rPr>
          <w:rFonts w:cs="Arial"/>
          <w:i/>
          <w:iCs/>
          <w:szCs w:val="24"/>
        </w:rPr>
        <w:t>ovo</w:t>
      </w:r>
      <w:proofErr w:type="spellEnd"/>
      <w:r w:rsidRPr="00A91056">
        <w:rPr>
          <w:rFonts w:cs="Arial"/>
          <w:szCs w:val="24"/>
        </w:rPr>
        <w:t xml:space="preserve"> models </w:t>
      </w:r>
      <w:r w:rsidR="006B3D22" w:rsidRPr="00A91056">
        <w:rPr>
          <w:rFonts w:cs="Arial"/>
          <w:szCs w:val="24"/>
        </w:rPr>
        <w:t xml:space="preserve">with </w:t>
      </w:r>
      <w:r w:rsidRPr="00A91056">
        <w:rPr>
          <w:rFonts w:cs="Arial"/>
          <w:szCs w:val="24"/>
        </w:rPr>
        <w:t xml:space="preserve">those from corresponding in vitro and in vivo genotoxicity and carcinogenicity assays, </w:t>
      </w:r>
      <w:r w:rsidR="00AC6545" w:rsidRPr="00A91056">
        <w:rPr>
          <w:rFonts w:cs="Arial"/>
          <w:szCs w:val="24"/>
        </w:rPr>
        <w:t>results were categorized</w:t>
      </w:r>
      <w:r w:rsidR="0014603C" w:rsidRPr="00A91056">
        <w:rPr>
          <w:rFonts w:cs="Arial"/>
          <w:szCs w:val="24"/>
        </w:rPr>
        <w:t xml:space="preserve"> as follows</w:t>
      </w:r>
      <w:r w:rsidR="00C60FF0" w:rsidRPr="00A91056">
        <w:rPr>
          <w:rFonts w:cs="Arial"/>
          <w:szCs w:val="24"/>
        </w:rPr>
        <w:t xml:space="preserve"> based on their </w:t>
      </w:r>
      <w:r w:rsidR="00D333E5" w:rsidRPr="00A91056">
        <w:rPr>
          <w:rFonts w:cs="Arial"/>
          <w:szCs w:val="24"/>
        </w:rPr>
        <w:t>alignment</w:t>
      </w:r>
      <w:r w:rsidR="00F05FDC" w:rsidRPr="00A91056">
        <w:rPr>
          <w:rFonts w:cs="Arial"/>
          <w:szCs w:val="24"/>
        </w:rPr>
        <w:t>:</w:t>
      </w:r>
    </w:p>
    <w:p w14:paraId="1352FD1E" w14:textId="0DFE598C" w:rsidR="0014603C" w:rsidRPr="00A91056" w:rsidRDefault="006B6552" w:rsidP="00F05FDC">
      <w:pPr>
        <w:pStyle w:val="ListParagraph"/>
        <w:numPr>
          <w:ilvl w:val="0"/>
          <w:numId w:val="14"/>
        </w:numPr>
        <w:autoSpaceDE w:val="0"/>
        <w:autoSpaceDN w:val="0"/>
        <w:adjustRightInd w:val="0"/>
        <w:rPr>
          <w:rFonts w:cs="Arial"/>
          <w:szCs w:val="24"/>
        </w:rPr>
      </w:pPr>
      <w:r w:rsidRPr="00A91056">
        <w:rPr>
          <w:rFonts w:cs="Arial"/>
          <w:szCs w:val="24"/>
        </w:rPr>
        <w:t>o</w:t>
      </w:r>
      <w:r w:rsidR="00C72468" w:rsidRPr="00A91056">
        <w:rPr>
          <w:rFonts w:cs="Arial"/>
          <w:szCs w:val="24"/>
        </w:rPr>
        <w:t>verall p</w:t>
      </w:r>
      <w:r w:rsidR="00A71C7D" w:rsidRPr="00A91056">
        <w:rPr>
          <w:rFonts w:cs="Arial"/>
          <w:szCs w:val="24"/>
        </w:rPr>
        <w:t xml:space="preserve">ositive of negative </w:t>
      </w:r>
      <w:r w:rsidR="00C72468" w:rsidRPr="00A91056">
        <w:rPr>
          <w:rFonts w:cs="Arial"/>
          <w:szCs w:val="24"/>
        </w:rPr>
        <w:t xml:space="preserve">call in the </w:t>
      </w:r>
      <w:r w:rsidR="00C72468" w:rsidRPr="00A91056">
        <w:rPr>
          <w:rFonts w:cs="Arial"/>
          <w:i/>
          <w:iCs/>
          <w:szCs w:val="24"/>
        </w:rPr>
        <w:t>i</w:t>
      </w:r>
      <w:r w:rsidR="00F05FDC" w:rsidRPr="00A91056">
        <w:rPr>
          <w:rFonts w:cs="Arial"/>
          <w:i/>
          <w:iCs/>
          <w:szCs w:val="24"/>
        </w:rPr>
        <w:t xml:space="preserve">n </w:t>
      </w:r>
      <w:proofErr w:type="spellStart"/>
      <w:r w:rsidR="00F05FDC" w:rsidRPr="00A91056">
        <w:rPr>
          <w:rFonts w:cs="Arial"/>
          <w:i/>
          <w:iCs/>
          <w:szCs w:val="24"/>
        </w:rPr>
        <w:t>ovo</w:t>
      </w:r>
      <w:proofErr w:type="spellEnd"/>
      <w:r w:rsidR="00F05FDC" w:rsidRPr="00A91056">
        <w:rPr>
          <w:rFonts w:cs="Arial"/>
          <w:szCs w:val="24"/>
        </w:rPr>
        <w:t xml:space="preserve"> </w:t>
      </w:r>
      <w:r w:rsidR="00C72468" w:rsidRPr="00A91056">
        <w:rPr>
          <w:rFonts w:cs="Arial"/>
          <w:szCs w:val="24"/>
        </w:rPr>
        <w:t>assay</w:t>
      </w:r>
      <w:r w:rsidR="00F05FDC" w:rsidRPr="00A91056">
        <w:rPr>
          <w:rFonts w:cs="Arial"/>
          <w:szCs w:val="24"/>
        </w:rPr>
        <w:t xml:space="preserve"> which w</w:t>
      </w:r>
      <w:r w:rsidR="00C72468" w:rsidRPr="00A91056">
        <w:rPr>
          <w:rFonts w:cs="Arial"/>
          <w:szCs w:val="24"/>
        </w:rPr>
        <w:t>as</w:t>
      </w:r>
      <w:r w:rsidR="00F05FDC" w:rsidRPr="00A91056">
        <w:rPr>
          <w:rFonts w:cs="Arial"/>
          <w:szCs w:val="24"/>
        </w:rPr>
        <w:t xml:space="preserve"> consistent with </w:t>
      </w:r>
      <w:r w:rsidR="009C125C" w:rsidRPr="00A91056">
        <w:rPr>
          <w:rFonts w:cs="Arial"/>
          <w:szCs w:val="24"/>
        </w:rPr>
        <w:t xml:space="preserve">results from </w:t>
      </w:r>
      <w:r w:rsidR="00C72468" w:rsidRPr="00A91056">
        <w:rPr>
          <w:rFonts w:cs="Arial"/>
          <w:szCs w:val="24"/>
        </w:rPr>
        <w:t>another</w:t>
      </w:r>
      <w:r w:rsidR="009C125C" w:rsidRPr="00A91056">
        <w:rPr>
          <w:rFonts w:cs="Arial"/>
          <w:szCs w:val="24"/>
        </w:rPr>
        <w:t xml:space="preserve"> endpoint in vitro or in vivo w</w:t>
      </w:r>
      <w:r w:rsidR="00C72468" w:rsidRPr="00A91056">
        <w:rPr>
          <w:rFonts w:cs="Arial"/>
          <w:szCs w:val="24"/>
        </w:rPr>
        <w:t>as</w:t>
      </w:r>
      <w:r w:rsidR="009C125C" w:rsidRPr="00A91056">
        <w:rPr>
          <w:rFonts w:cs="Arial"/>
          <w:szCs w:val="24"/>
        </w:rPr>
        <w:t xml:space="preserve"> considered </w:t>
      </w:r>
      <w:r w:rsidR="00AA1285" w:rsidRPr="00A91056">
        <w:rPr>
          <w:rFonts w:cs="Arial"/>
          <w:szCs w:val="24"/>
        </w:rPr>
        <w:t xml:space="preserve">respectively </w:t>
      </w:r>
      <w:r w:rsidR="009C125C" w:rsidRPr="00A91056">
        <w:rPr>
          <w:rFonts w:cs="Arial"/>
          <w:szCs w:val="24"/>
        </w:rPr>
        <w:t>as either true positive (TP) or true negative (TN)</w:t>
      </w:r>
    </w:p>
    <w:p w14:paraId="5D4DFD43" w14:textId="61A7955F" w:rsidR="006B6552" w:rsidRPr="00A91056" w:rsidRDefault="003B48A5" w:rsidP="00F05FDC">
      <w:pPr>
        <w:pStyle w:val="ListParagraph"/>
        <w:numPr>
          <w:ilvl w:val="0"/>
          <w:numId w:val="14"/>
        </w:numPr>
        <w:autoSpaceDE w:val="0"/>
        <w:autoSpaceDN w:val="0"/>
        <w:adjustRightInd w:val="0"/>
        <w:rPr>
          <w:rFonts w:cs="Arial"/>
          <w:szCs w:val="24"/>
        </w:rPr>
      </w:pPr>
      <w:r w:rsidRPr="00A91056">
        <w:rPr>
          <w:rFonts w:cs="Arial"/>
          <w:szCs w:val="24"/>
        </w:rPr>
        <w:t xml:space="preserve">negative outcome </w:t>
      </w:r>
      <w:r w:rsidRPr="00A91056">
        <w:rPr>
          <w:rFonts w:cs="Arial"/>
          <w:i/>
          <w:iCs/>
          <w:szCs w:val="24"/>
        </w:rPr>
        <w:t xml:space="preserve">in </w:t>
      </w:r>
      <w:proofErr w:type="spellStart"/>
      <w:r w:rsidRPr="00A91056">
        <w:rPr>
          <w:rFonts w:cs="Arial"/>
          <w:i/>
          <w:iCs/>
          <w:szCs w:val="24"/>
        </w:rPr>
        <w:t>ovo</w:t>
      </w:r>
      <w:proofErr w:type="spellEnd"/>
      <w:r w:rsidRPr="00A91056">
        <w:rPr>
          <w:rFonts w:cs="Arial"/>
          <w:szCs w:val="24"/>
        </w:rPr>
        <w:t xml:space="preserve"> for a compound that </w:t>
      </w:r>
      <w:r w:rsidR="00296DC5" w:rsidRPr="00A91056">
        <w:rPr>
          <w:rFonts w:cs="Arial"/>
          <w:szCs w:val="24"/>
        </w:rPr>
        <w:t>produces</w:t>
      </w:r>
      <w:r w:rsidRPr="00A91056">
        <w:rPr>
          <w:rFonts w:cs="Arial"/>
          <w:szCs w:val="24"/>
        </w:rPr>
        <w:t xml:space="preserve"> a positive outcome in another assay was considered as false negative (FN)</w:t>
      </w:r>
      <w:r w:rsidR="00D36537" w:rsidRPr="00A91056">
        <w:rPr>
          <w:rFonts w:cs="Arial"/>
          <w:szCs w:val="24"/>
        </w:rPr>
        <w:t>;</w:t>
      </w:r>
      <w:r w:rsidRPr="00A91056">
        <w:rPr>
          <w:rFonts w:cs="Arial"/>
          <w:szCs w:val="24"/>
        </w:rPr>
        <w:t xml:space="preserve"> a</w:t>
      </w:r>
      <w:r w:rsidR="00AA1285" w:rsidRPr="00A91056">
        <w:rPr>
          <w:rFonts w:cs="Arial"/>
          <w:szCs w:val="24"/>
        </w:rPr>
        <w:t xml:space="preserve">ccordingly, positive outcome </w:t>
      </w:r>
      <w:r w:rsidR="00AA1285" w:rsidRPr="00A91056">
        <w:rPr>
          <w:rFonts w:cs="Arial"/>
          <w:i/>
          <w:iCs/>
          <w:szCs w:val="24"/>
        </w:rPr>
        <w:t xml:space="preserve">in </w:t>
      </w:r>
      <w:proofErr w:type="spellStart"/>
      <w:r w:rsidR="00AA1285" w:rsidRPr="00A91056">
        <w:rPr>
          <w:rFonts w:cs="Arial"/>
          <w:i/>
          <w:iCs/>
          <w:szCs w:val="24"/>
        </w:rPr>
        <w:t>ovo</w:t>
      </w:r>
      <w:proofErr w:type="spellEnd"/>
      <w:r w:rsidR="00AA1285" w:rsidRPr="00A91056">
        <w:rPr>
          <w:rFonts w:cs="Arial"/>
          <w:szCs w:val="24"/>
        </w:rPr>
        <w:t xml:space="preserve"> for a compound that was negative in another </w:t>
      </w:r>
      <w:r w:rsidR="00D128DE" w:rsidRPr="00A91056">
        <w:rPr>
          <w:rFonts w:cs="Arial"/>
          <w:szCs w:val="24"/>
        </w:rPr>
        <w:t xml:space="preserve">assay was considered as false positive (FP). </w:t>
      </w:r>
    </w:p>
    <w:p w14:paraId="17096FFF" w14:textId="43F61D3E" w:rsidR="00967AE9" w:rsidRPr="00A91056" w:rsidRDefault="007E1DB4" w:rsidP="00967AE9">
      <w:pPr>
        <w:autoSpaceDE w:val="0"/>
        <w:autoSpaceDN w:val="0"/>
        <w:adjustRightInd w:val="0"/>
        <w:rPr>
          <w:rFonts w:cs="Arial"/>
          <w:szCs w:val="24"/>
        </w:rPr>
      </w:pPr>
      <w:r w:rsidRPr="00A91056">
        <w:rPr>
          <w:rFonts w:cs="Arial"/>
          <w:szCs w:val="24"/>
        </w:rPr>
        <w:t xml:space="preserve">A conservative approach was applied when comparing </w:t>
      </w:r>
      <w:r w:rsidRPr="00A91056">
        <w:rPr>
          <w:rFonts w:cs="Arial"/>
          <w:i/>
          <w:iCs/>
          <w:szCs w:val="24"/>
        </w:rPr>
        <w:t xml:space="preserve">in </w:t>
      </w:r>
      <w:proofErr w:type="spellStart"/>
      <w:r w:rsidRPr="00A91056">
        <w:rPr>
          <w:rFonts w:cs="Arial"/>
          <w:i/>
          <w:iCs/>
          <w:szCs w:val="24"/>
        </w:rPr>
        <w:t>ovo</w:t>
      </w:r>
      <w:proofErr w:type="spellEnd"/>
      <w:r w:rsidRPr="00A91056">
        <w:rPr>
          <w:rFonts w:cs="Arial"/>
          <w:szCs w:val="24"/>
        </w:rPr>
        <w:t xml:space="preserve"> outcomes with available in vitro and in vivo data, treating equivocal results as positive</w:t>
      </w:r>
      <w:r w:rsidR="00967AE9" w:rsidRPr="00A91056">
        <w:rPr>
          <w:rFonts w:cs="Arial"/>
          <w:szCs w:val="24"/>
        </w:rPr>
        <w:t xml:space="preserve">. </w:t>
      </w:r>
    </w:p>
    <w:p w14:paraId="67E21F0A" w14:textId="0636E2E5" w:rsidR="007F3A3B" w:rsidRPr="00A91056" w:rsidRDefault="003C3A06" w:rsidP="006F00BB">
      <w:pPr>
        <w:autoSpaceDE w:val="0"/>
        <w:autoSpaceDN w:val="0"/>
        <w:adjustRightInd w:val="0"/>
        <w:rPr>
          <w:rFonts w:cs="Arial"/>
          <w:szCs w:val="24"/>
        </w:rPr>
      </w:pPr>
      <w:r w:rsidRPr="00A91056">
        <w:rPr>
          <w:rFonts w:cs="Arial"/>
          <w:szCs w:val="24"/>
        </w:rPr>
        <w:t>The</w:t>
      </w:r>
      <w:r w:rsidR="006B3D22" w:rsidRPr="00A91056">
        <w:rPr>
          <w:rFonts w:cs="Arial"/>
          <w:szCs w:val="24"/>
        </w:rPr>
        <w:t xml:space="preserve"> concordance</w:t>
      </w:r>
      <w:r w:rsidRPr="00A91056">
        <w:rPr>
          <w:rFonts w:cs="Arial"/>
          <w:szCs w:val="24"/>
        </w:rPr>
        <w:t xml:space="preserve"> was </w:t>
      </w:r>
      <w:r w:rsidR="006F00BB" w:rsidRPr="00A91056">
        <w:rPr>
          <w:rFonts w:cs="Arial"/>
          <w:szCs w:val="24"/>
        </w:rPr>
        <w:t>quantified</w:t>
      </w:r>
      <w:r w:rsidRPr="00A91056">
        <w:rPr>
          <w:rFonts w:cs="Arial"/>
          <w:szCs w:val="24"/>
        </w:rPr>
        <w:t xml:space="preserve"> using the following metrics</w:t>
      </w:r>
      <w:r w:rsidR="007F3A3B" w:rsidRPr="00A91056">
        <w:rPr>
          <w:rFonts w:cs="Arial"/>
          <w:szCs w:val="24"/>
        </w:rPr>
        <w:t>:</w:t>
      </w:r>
    </w:p>
    <w:p w14:paraId="68CDB199" w14:textId="776E72B1" w:rsidR="007F3A3B" w:rsidRPr="00A91056" w:rsidRDefault="007F3A3B" w:rsidP="008A5F6B">
      <w:pPr>
        <w:autoSpaceDE w:val="0"/>
        <w:autoSpaceDN w:val="0"/>
        <w:adjustRightInd w:val="0"/>
        <w:ind w:firstLine="720"/>
        <w:rPr>
          <w:rFonts w:cs="Arial"/>
          <w:szCs w:val="24"/>
        </w:rPr>
      </w:pPr>
      <w:r w:rsidRPr="00A91056">
        <w:rPr>
          <w:rFonts w:cs="Arial"/>
          <w:szCs w:val="24"/>
        </w:rPr>
        <w:t>Sensitivity = TP / (TP + FN)</w:t>
      </w:r>
    </w:p>
    <w:p w14:paraId="36233B29" w14:textId="6332D6E1" w:rsidR="007F3A3B" w:rsidRPr="00A91056" w:rsidRDefault="007F3A3B" w:rsidP="008A5F6B">
      <w:pPr>
        <w:autoSpaceDE w:val="0"/>
        <w:autoSpaceDN w:val="0"/>
        <w:adjustRightInd w:val="0"/>
        <w:ind w:firstLine="720"/>
        <w:rPr>
          <w:rFonts w:cs="Arial"/>
          <w:szCs w:val="24"/>
        </w:rPr>
      </w:pPr>
      <w:r w:rsidRPr="00A91056">
        <w:rPr>
          <w:rFonts w:cs="Arial"/>
          <w:szCs w:val="24"/>
        </w:rPr>
        <w:t xml:space="preserve">Specificity = TN / (TN + FP) </w:t>
      </w:r>
    </w:p>
    <w:p w14:paraId="00A1620D" w14:textId="306A59C5" w:rsidR="007F3A3B" w:rsidRPr="00A91056" w:rsidRDefault="007F3A3B" w:rsidP="008A5F6B">
      <w:pPr>
        <w:autoSpaceDE w:val="0"/>
        <w:autoSpaceDN w:val="0"/>
        <w:adjustRightInd w:val="0"/>
        <w:ind w:firstLine="720"/>
        <w:rPr>
          <w:rFonts w:cs="Arial"/>
          <w:szCs w:val="24"/>
        </w:rPr>
      </w:pPr>
      <w:r w:rsidRPr="00A91056">
        <w:rPr>
          <w:rFonts w:cs="Arial"/>
          <w:szCs w:val="24"/>
        </w:rPr>
        <w:t xml:space="preserve">Positive predictive value (PPV) = TP / (TP + FP) </w:t>
      </w:r>
    </w:p>
    <w:p w14:paraId="4A3B2B25" w14:textId="7B02A0D9" w:rsidR="007F3A3B" w:rsidRPr="00A91056" w:rsidRDefault="007F3A3B" w:rsidP="008A5F6B">
      <w:pPr>
        <w:autoSpaceDE w:val="0"/>
        <w:autoSpaceDN w:val="0"/>
        <w:adjustRightInd w:val="0"/>
        <w:ind w:firstLine="720"/>
        <w:rPr>
          <w:rFonts w:cs="Arial"/>
          <w:szCs w:val="24"/>
        </w:rPr>
      </w:pPr>
      <w:r w:rsidRPr="00A91056">
        <w:rPr>
          <w:rFonts w:cs="Arial"/>
          <w:szCs w:val="24"/>
        </w:rPr>
        <w:t xml:space="preserve">Negative predictive value (NPV) = TN / (TN + FP) </w:t>
      </w:r>
    </w:p>
    <w:p w14:paraId="36A2B417" w14:textId="77777777" w:rsidR="00AC49CF" w:rsidRPr="00A91056" w:rsidRDefault="00AC49CF" w:rsidP="00AC49CF">
      <w:pPr>
        <w:autoSpaceDE w:val="0"/>
        <w:autoSpaceDN w:val="0"/>
        <w:adjustRightInd w:val="0"/>
        <w:ind w:left="432" w:firstLine="288"/>
        <w:rPr>
          <w:rFonts w:cs="Arial"/>
          <w:szCs w:val="24"/>
        </w:rPr>
      </w:pPr>
      <w:r w:rsidRPr="00A91056">
        <w:rPr>
          <w:rFonts w:cs="Arial"/>
          <w:szCs w:val="24"/>
        </w:rPr>
        <w:t>Accuracy = (TP + TN) / (TP + TN + FP + FN)</w:t>
      </w:r>
    </w:p>
    <w:p w14:paraId="36826C1B" w14:textId="2EE18D35" w:rsidR="007F3A3B" w:rsidRDefault="007F3A3B" w:rsidP="008A5F6B">
      <w:pPr>
        <w:autoSpaceDE w:val="0"/>
        <w:autoSpaceDN w:val="0"/>
        <w:adjustRightInd w:val="0"/>
        <w:ind w:left="432" w:firstLine="288"/>
        <w:rPr>
          <w:rFonts w:cs="Arial"/>
          <w:szCs w:val="24"/>
        </w:rPr>
      </w:pPr>
      <w:r w:rsidRPr="00A91056">
        <w:rPr>
          <w:rFonts w:cs="Arial"/>
          <w:szCs w:val="24"/>
        </w:rPr>
        <w:t>False Discovery Rate (FDR) = FP / (FP + TP)</w:t>
      </w:r>
    </w:p>
    <w:bookmarkEnd w:id="4"/>
    <w:p w14:paraId="3C8B38D9" w14:textId="4766A0B4" w:rsidR="005A6C3A" w:rsidRPr="00A91056" w:rsidRDefault="004F5DBB" w:rsidP="004F5DBB">
      <w:pPr>
        <w:pStyle w:val="Heading1"/>
      </w:pPr>
      <w:r w:rsidRPr="00A91056">
        <w:t>4. Results</w:t>
      </w:r>
    </w:p>
    <w:p w14:paraId="0CC67868" w14:textId="75CCDC27" w:rsidR="00A46949" w:rsidRPr="00A91056" w:rsidRDefault="00DD0B13" w:rsidP="00A46949">
      <w:pPr>
        <w:rPr>
          <w:sz w:val="20"/>
          <w:szCs w:val="20"/>
        </w:rPr>
      </w:pPr>
      <w:r w:rsidRPr="00A91056">
        <w:rPr>
          <w:rFonts w:cs="Arial"/>
          <w:szCs w:val="24"/>
        </w:rPr>
        <w:t xml:space="preserve">Currently, </w:t>
      </w:r>
      <w:r w:rsidR="00365B14">
        <w:rPr>
          <w:rFonts w:cs="Arial"/>
          <w:szCs w:val="24"/>
        </w:rPr>
        <w:t xml:space="preserve">the </w:t>
      </w:r>
      <w:r w:rsidR="001129A7" w:rsidRPr="00A91056">
        <w:rPr>
          <w:rFonts w:cs="Arial"/>
          <w:szCs w:val="24"/>
        </w:rPr>
        <w:t>genotoxic potential</w:t>
      </w:r>
      <w:r w:rsidR="00365B14">
        <w:rPr>
          <w:rFonts w:cs="Arial"/>
          <w:szCs w:val="24"/>
        </w:rPr>
        <w:t>s</w:t>
      </w:r>
      <w:r w:rsidR="001129A7" w:rsidRPr="00A91056">
        <w:rPr>
          <w:rFonts w:cs="Arial"/>
          <w:szCs w:val="24"/>
        </w:rPr>
        <w:t xml:space="preserve"> of </w:t>
      </w:r>
      <w:r w:rsidR="00041A4F" w:rsidRPr="00A91056">
        <w:rPr>
          <w:rFonts w:cs="Arial"/>
          <w:szCs w:val="24"/>
        </w:rPr>
        <w:t>12</w:t>
      </w:r>
      <w:r w:rsidR="00BB44A1" w:rsidRPr="00A91056">
        <w:rPr>
          <w:rFonts w:cs="Arial"/>
          <w:szCs w:val="24"/>
        </w:rPr>
        <w:t>5</w:t>
      </w:r>
      <w:r w:rsidR="001129A7" w:rsidRPr="00A91056">
        <w:rPr>
          <w:rFonts w:cs="Arial"/>
          <w:szCs w:val="24"/>
        </w:rPr>
        <w:t xml:space="preserve"> compounds </w:t>
      </w:r>
      <w:r w:rsidR="00365B14">
        <w:rPr>
          <w:rFonts w:cs="Arial"/>
          <w:szCs w:val="24"/>
        </w:rPr>
        <w:t>were</w:t>
      </w:r>
      <w:r w:rsidR="001129A7" w:rsidRPr="00A91056">
        <w:rPr>
          <w:rFonts w:cs="Arial"/>
          <w:szCs w:val="24"/>
        </w:rPr>
        <w:t xml:space="preserve"> </w:t>
      </w:r>
      <w:r w:rsidR="005C7DB6" w:rsidRPr="00A91056">
        <w:rPr>
          <w:rFonts w:cs="Arial"/>
          <w:szCs w:val="24"/>
        </w:rPr>
        <w:t>evaluated</w:t>
      </w:r>
      <w:r w:rsidR="001129A7" w:rsidRPr="00A91056">
        <w:rPr>
          <w:rFonts w:cs="Arial"/>
          <w:szCs w:val="24"/>
        </w:rPr>
        <w:t xml:space="preserve"> </w:t>
      </w:r>
      <w:r w:rsidR="001129A7" w:rsidRPr="00A91056">
        <w:rPr>
          <w:rFonts w:cs="Arial"/>
          <w:i/>
          <w:iCs/>
          <w:szCs w:val="24"/>
        </w:rPr>
        <w:t xml:space="preserve">in </w:t>
      </w:r>
      <w:proofErr w:type="spellStart"/>
      <w:r w:rsidR="001129A7" w:rsidRPr="00A91056">
        <w:rPr>
          <w:rFonts w:cs="Arial"/>
          <w:i/>
          <w:iCs/>
          <w:szCs w:val="24"/>
        </w:rPr>
        <w:t>ov</w:t>
      </w:r>
      <w:r w:rsidR="00041A4F" w:rsidRPr="00A91056">
        <w:rPr>
          <w:rFonts w:cs="Arial"/>
          <w:i/>
          <w:iCs/>
          <w:szCs w:val="24"/>
        </w:rPr>
        <w:t>o</w:t>
      </w:r>
      <w:proofErr w:type="spellEnd"/>
      <w:r w:rsidR="008F3897">
        <w:rPr>
          <w:rFonts w:cs="Arial"/>
          <w:szCs w:val="24"/>
        </w:rPr>
        <w:t xml:space="preserve"> in the </w:t>
      </w:r>
      <w:r w:rsidR="008F3897">
        <w:rPr>
          <w:rFonts w:cs="Arial"/>
          <w:szCs w:val="24"/>
        </w:rPr>
        <w:lastRenderedPageBreak/>
        <w:t>chicken or turkey</w:t>
      </w:r>
      <w:r w:rsidR="00B45F87" w:rsidRPr="00B45F87">
        <w:rPr>
          <w:rFonts w:cs="Arial"/>
          <w:szCs w:val="24"/>
        </w:rPr>
        <w:t xml:space="preserve"> </w:t>
      </w:r>
      <w:r w:rsidR="00B45F87" w:rsidRPr="00A91056">
        <w:rPr>
          <w:rFonts w:cs="Arial"/>
          <w:szCs w:val="24"/>
        </w:rPr>
        <w:t>FAEFL/DDA</w:t>
      </w:r>
      <w:r w:rsidR="00B45F87">
        <w:rPr>
          <w:rFonts w:cs="Arial"/>
          <w:szCs w:val="24"/>
        </w:rPr>
        <w:t>.</w:t>
      </w:r>
      <w:r w:rsidR="008F3897">
        <w:rPr>
          <w:rFonts w:cs="Arial"/>
          <w:szCs w:val="24"/>
        </w:rPr>
        <w:t xml:space="preserve"> </w:t>
      </w:r>
      <w:r w:rsidR="00F5434A">
        <w:rPr>
          <w:rFonts w:cs="Arial"/>
          <w:szCs w:val="24"/>
        </w:rPr>
        <w:t>S</w:t>
      </w:r>
      <w:r w:rsidR="001A1CB5" w:rsidRPr="00A91056">
        <w:rPr>
          <w:rFonts w:cs="Arial"/>
          <w:szCs w:val="24"/>
        </w:rPr>
        <w:t>ixty-</w:t>
      </w:r>
      <w:r w:rsidR="00BB44A1" w:rsidRPr="00A91056">
        <w:rPr>
          <w:rFonts w:cs="Arial"/>
          <w:szCs w:val="24"/>
        </w:rPr>
        <w:t>six</w:t>
      </w:r>
      <w:r w:rsidR="00E94800" w:rsidRPr="00A91056">
        <w:rPr>
          <w:rFonts w:cs="Arial"/>
          <w:szCs w:val="24"/>
        </w:rPr>
        <w:t xml:space="preserve"> (6</w:t>
      </w:r>
      <w:r w:rsidR="00BB44A1" w:rsidRPr="00A91056">
        <w:rPr>
          <w:rFonts w:cs="Arial"/>
          <w:szCs w:val="24"/>
        </w:rPr>
        <w:t>6</w:t>
      </w:r>
      <w:r w:rsidR="00E94800" w:rsidRPr="00A91056">
        <w:rPr>
          <w:rFonts w:cs="Arial"/>
          <w:szCs w:val="24"/>
        </w:rPr>
        <w:t>)</w:t>
      </w:r>
      <w:r w:rsidRPr="00A91056">
        <w:rPr>
          <w:rFonts w:cs="Arial"/>
          <w:szCs w:val="24"/>
        </w:rPr>
        <w:t xml:space="preserve"> compounds tested</w:t>
      </w:r>
      <w:r w:rsidR="00027C75" w:rsidRPr="00A91056">
        <w:rPr>
          <w:rFonts w:cs="Arial"/>
          <w:szCs w:val="24"/>
        </w:rPr>
        <w:t xml:space="preserve"> </w:t>
      </w:r>
      <w:r w:rsidR="004A4B06" w:rsidRPr="00A91056">
        <w:rPr>
          <w:rFonts w:cs="Arial"/>
          <w:szCs w:val="24"/>
        </w:rPr>
        <w:t>exclusively</w:t>
      </w:r>
      <w:r w:rsidRPr="00A91056">
        <w:rPr>
          <w:rFonts w:cs="Arial"/>
          <w:szCs w:val="24"/>
        </w:rPr>
        <w:t xml:space="preserve"> in the chicken </w:t>
      </w:r>
      <w:r w:rsidR="000F0F47">
        <w:rPr>
          <w:rFonts w:cs="Arial"/>
          <w:szCs w:val="24"/>
        </w:rPr>
        <w:t>embryo-fetal livers</w:t>
      </w:r>
      <w:r w:rsidRPr="00A91056">
        <w:rPr>
          <w:rFonts w:cs="Arial"/>
          <w:szCs w:val="24"/>
        </w:rPr>
        <w:t xml:space="preserve">, </w:t>
      </w:r>
      <w:r w:rsidR="00C3742C" w:rsidRPr="00A91056">
        <w:rPr>
          <w:rFonts w:cs="Arial"/>
          <w:szCs w:val="24"/>
        </w:rPr>
        <w:t>thirty-eight</w:t>
      </w:r>
      <w:r w:rsidR="00383DC1" w:rsidRPr="00A91056">
        <w:rPr>
          <w:rFonts w:cs="Arial"/>
          <w:szCs w:val="24"/>
        </w:rPr>
        <w:t xml:space="preserve"> (3</w:t>
      </w:r>
      <w:r w:rsidR="00C3742C" w:rsidRPr="00A91056">
        <w:rPr>
          <w:rFonts w:cs="Arial"/>
          <w:szCs w:val="24"/>
        </w:rPr>
        <w:t>8</w:t>
      </w:r>
      <w:r w:rsidR="00383DC1" w:rsidRPr="00A91056">
        <w:rPr>
          <w:rFonts w:cs="Arial"/>
          <w:szCs w:val="24"/>
        </w:rPr>
        <w:t>)</w:t>
      </w:r>
      <w:r w:rsidRPr="00A91056">
        <w:rPr>
          <w:rFonts w:cs="Arial"/>
          <w:szCs w:val="24"/>
        </w:rPr>
        <w:t xml:space="preserve"> </w:t>
      </w:r>
      <w:r w:rsidR="00027C75" w:rsidRPr="00A91056">
        <w:rPr>
          <w:rFonts w:cs="Arial"/>
          <w:szCs w:val="24"/>
        </w:rPr>
        <w:t xml:space="preserve">only </w:t>
      </w:r>
      <w:r w:rsidRPr="00A91056">
        <w:rPr>
          <w:rFonts w:cs="Arial"/>
          <w:szCs w:val="24"/>
        </w:rPr>
        <w:t xml:space="preserve">in turkey </w:t>
      </w:r>
      <w:r w:rsidR="000F0F47">
        <w:rPr>
          <w:rFonts w:cs="Arial"/>
          <w:szCs w:val="24"/>
        </w:rPr>
        <w:t>fetal livers</w:t>
      </w:r>
      <w:r w:rsidR="005F1E7C" w:rsidRPr="00A91056">
        <w:rPr>
          <w:rFonts w:cs="Arial"/>
          <w:szCs w:val="24"/>
        </w:rPr>
        <w:t xml:space="preserve"> </w:t>
      </w:r>
      <w:r w:rsidRPr="00A91056">
        <w:rPr>
          <w:rFonts w:cs="Arial"/>
          <w:szCs w:val="24"/>
        </w:rPr>
        <w:t xml:space="preserve">and </w:t>
      </w:r>
      <w:r w:rsidR="00D72F62" w:rsidRPr="00A91056">
        <w:rPr>
          <w:rFonts w:cs="Arial"/>
          <w:szCs w:val="24"/>
        </w:rPr>
        <w:t>twenty-one</w:t>
      </w:r>
      <w:r w:rsidR="00383DC1" w:rsidRPr="00A91056">
        <w:rPr>
          <w:rFonts w:cs="Arial"/>
          <w:szCs w:val="24"/>
        </w:rPr>
        <w:t xml:space="preserve"> (</w:t>
      </w:r>
      <w:r w:rsidR="00DA55FB" w:rsidRPr="00A91056">
        <w:rPr>
          <w:rFonts w:cs="Arial"/>
          <w:szCs w:val="24"/>
        </w:rPr>
        <w:t>21</w:t>
      </w:r>
      <w:r w:rsidR="00383DC1" w:rsidRPr="00A91056">
        <w:rPr>
          <w:rFonts w:cs="Arial"/>
          <w:szCs w:val="24"/>
        </w:rPr>
        <w:t>)</w:t>
      </w:r>
      <w:r w:rsidRPr="00A91056">
        <w:rPr>
          <w:rFonts w:cs="Arial"/>
          <w:szCs w:val="24"/>
        </w:rPr>
        <w:t xml:space="preserve"> in both </w:t>
      </w:r>
      <w:r w:rsidR="00DA106A" w:rsidRPr="00A91056">
        <w:rPr>
          <w:rFonts w:cs="Arial"/>
          <w:szCs w:val="24"/>
        </w:rPr>
        <w:t>species</w:t>
      </w:r>
      <w:r w:rsidRPr="00A91056">
        <w:rPr>
          <w:rFonts w:cs="Arial"/>
          <w:szCs w:val="24"/>
        </w:rPr>
        <w:t xml:space="preserve">. The results for these evaluations are </w:t>
      </w:r>
      <w:r w:rsidR="005F1E7C" w:rsidRPr="00A91056">
        <w:rPr>
          <w:rFonts w:cs="Arial"/>
          <w:szCs w:val="24"/>
        </w:rPr>
        <w:t>summarized</w:t>
      </w:r>
      <w:r w:rsidRPr="00A91056">
        <w:rPr>
          <w:rFonts w:cs="Arial"/>
          <w:szCs w:val="24"/>
        </w:rPr>
        <w:t xml:space="preserve"> in </w:t>
      </w:r>
      <w:r w:rsidRPr="00A91056">
        <w:rPr>
          <w:rFonts w:cs="Arial"/>
          <w:b/>
          <w:bCs/>
          <w:szCs w:val="24"/>
        </w:rPr>
        <w:t>Table</w:t>
      </w:r>
      <w:r w:rsidR="00041A4F" w:rsidRPr="00A91056">
        <w:rPr>
          <w:rFonts w:cs="Arial"/>
          <w:b/>
          <w:bCs/>
          <w:szCs w:val="24"/>
        </w:rPr>
        <w:t>s 1-3</w:t>
      </w:r>
      <w:r w:rsidRPr="00A91056">
        <w:rPr>
          <w:rFonts w:cs="Arial"/>
          <w:szCs w:val="24"/>
        </w:rPr>
        <w:t xml:space="preserve">. </w:t>
      </w:r>
    </w:p>
    <w:p w14:paraId="3A8E6838" w14:textId="71D8FDA3" w:rsidR="004858AE" w:rsidRPr="00A91056" w:rsidRDefault="004858AE" w:rsidP="004858AE">
      <w:pPr>
        <w:pStyle w:val="Heading2"/>
        <w:rPr>
          <w:rFonts w:cs="Arial"/>
          <w:szCs w:val="24"/>
        </w:rPr>
      </w:pPr>
      <w:r w:rsidRPr="00A91056">
        <w:t xml:space="preserve">A. </w:t>
      </w:r>
      <w:r w:rsidR="009E6015" w:rsidRPr="00A91056">
        <w:t xml:space="preserve">Outcomes in the </w:t>
      </w:r>
      <w:r w:rsidRPr="00A91056">
        <w:t>Fertilized Chicken Egg Fetal Liver Assay</w:t>
      </w:r>
    </w:p>
    <w:p w14:paraId="7660F273" w14:textId="033E51B1" w:rsidR="00BA3AD1" w:rsidRPr="00A91056" w:rsidRDefault="00E92A35" w:rsidP="00B27A52">
      <w:pPr>
        <w:rPr>
          <w:rFonts w:cs="Arial"/>
          <w:szCs w:val="24"/>
        </w:rPr>
      </w:pPr>
      <w:r w:rsidRPr="00A91056">
        <w:rPr>
          <w:rFonts w:cs="Arial"/>
          <w:szCs w:val="24"/>
        </w:rPr>
        <w:t xml:space="preserve">Out of </w:t>
      </w:r>
      <w:r w:rsidR="00620EFF" w:rsidRPr="00A91056">
        <w:rPr>
          <w:rFonts w:cs="Arial"/>
          <w:szCs w:val="24"/>
        </w:rPr>
        <w:t>eighty-seven</w:t>
      </w:r>
      <w:r w:rsidR="008010B9" w:rsidRPr="00A91056">
        <w:rPr>
          <w:rFonts w:cs="Arial"/>
          <w:szCs w:val="24"/>
        </w:rPr>
        <w:t xml:space="preserve"> (87) compounds tested i</w:t>
      </w:r>
      <w:r w:rsidR="00DA106A" w:rsidRPr="00A91056">
        <w:rPr>
          <w:rFonts w:cs="Arial"/>
          <w:szCs w:val="24"/>
        </w:rPr>
        <w:t>n CEGA,</w:t>
      </w:r>
      <w:r w:rsidR="00F81F3E" w:rsidRPr="00A91056">
        <w:rPr>
          <w:rFonts w:cs="Arial"/>
          <w:szCs w:val="24"/>
        </w:rPr>
        <w:t xml:space="preserve"> twenty (</w:t>
      </w:r>
      <w:r w:rsidR="006E69FC" w:rsidRPr="00A91056">
        <w:rPr>
          <w:rFonts w:cs="Arial"/>
          <w:szCs w:val="24"/>
        </w:rPr>
        <w:t>20</w:t>
      </w:r>
      <w:r w:rsidR="00F81F3E" w:rsidRPr="00A91056">
        <w:rPr>
          <w:rFonts w:cs="Arial"/>
          <w:szCs w:val="24"/>
        </w:rPr>
        <w:t>)</w:t>
      </w:r>
      <w:r w:rsidR="006E69FC" w:rsidRPr="00A91056">
        <w:rPr>
          <w:rFonts w:cs="Arial"/>
          <w:szCs w:val="24"/>
        </w:rPr>
        <w:t xml:space="preserve"> c</w:t>
      </w:r>
      <w:r w:rsidR="008010B9" w:rsidRPr="00A91056">
        <w:rPr>
          <w:rFonts w:cs="Arial"/>
          <w:szCs w:val="24"/>
        </w:rPr>
        <w:t>hemicals</w:t>
      </w:r>
      <w:r w:rsidR="006E69FC" w:rsidRPr="00A91056">
        <w:rPr>
          <w:rFonts w:cs="Arial"/>
          <w:szCs w:val="24"/>
        </w:rPr>
        <w:t xml:space="preserve"> (</w:t>
      </w:r>
      <w:r w:rsidR="00F81F3E" w:rsidRPr="00A91056">
        <w:rPr>
          <w:rFonts w:cs="Arial"/>
          <w:szCs w:val="24"/>
        </w:rPr>
        <w:t xml:space="preserve">23%) were positive in </w:t>
      </w:r>
      <w:r w:rsidR="003E2641" w:rsidRPr="00A91056">
        <w:rPr>
          <w:rFonts w:cs="Arial"/>
          <w:szCs w:val="24"/>
        </w:rPr>
        <w:t>both</w:t>
      </w:r>
      <w:r w:rsidR="00F81F3E" w:rsidRPr="00A91056">
        <w:rPr>
          <w:rFonts w:cs="Arial"/>
          <w:szCs w:val="24"/>
        </w:rPr>
        <w:t xml:space="preserve"> </w:t>
      </w:r>
      <w:r w:rsidR="00BF6294" w:rsidRPr="00A91056">
        <w:rPr>
          <w:rFonts w:cs="Arial"/>
          <w:szCs w:val="24"/>
        </w:rPr>
        <w:t xml:space="preserve">the </w:t>
      </w:r>
      <w:r w:rsidR="00F81F3E" w:rsidRPr="00A91056">
        <w:rPr>
          <w:rFonts w:cs="Arial"/>
          <w:szCs w:val="24"/>
        </w:rPr>
        <w:t>NPL and comet assays</w:t>
      </w:r>
      <w:r w:rsidR="00ED1311" w:rsidRPr="00A91056">
        <w:rPr>
          <w:rFonts w:cs="Arial"/>
          <w:szCs w:val="24"/>
        </w:rPr>
        <w:t xml:space="preserve"> and t</w:t>
      </w:r>
      <w:r w:rsidR="00B673A9" w:rsidRPr="00A91056">
        <w:rPr>
          <w:rFonts w:cs="Arial"/>
          <w:szCs w:val="24"/>
        </w:rPr>
        <w:t>hirty (30) compounds (34.5%) were either positive or equivocal in either NPL or comet assay in chicken embryo-fetal  livers.</w:t>
      </w:r>
      <w:r w:rsidR="00FF386F" w:rsidRPr="00A91056">
        <w:rPr>
          <w:rFonts w:cs="Arial"/>
          <w:szCs w:val="24"/>
        </w:rPr>
        <w:t xml:space="preserve"> </w:t>
      </w:r>
      <w:r w:rsidR="007B5C80" w:rsidRPr="00A91056">
        <w:rPr>
          <w:rFonts w:cs="Arial"/>
          <w:szCs w:val="24"/>
        </w:rPr>
        <w:t>Of these,</w:t>
      </w:r>
      <w:r w:rsidR="00BA3AD1" w:rsidRPr="00A91056">
        <w:rPr>
          <w:rFonts w:cs="Arial"/>
          <w:szCs w:val="24"/>
        </w:rPr>
        <w:t xml:space="preserve"> </w:t>
      </w:r>
      <w:r w:rsidR="00234127" w:rsidRPr="00A91056">
        <w:rPr>
          <w:rFonts w:cs="Arial"/>
          <w:szCs w:val="24"/>
        </w:rPr>
        <w:t>forty-eight</w:t>
      </w:r>
      <w:r w:rsidR="007B5C80" w:rsidRPr="00A91056">
        <w:rPr>
          <w:rFonts w:cs="Arial"/>
          <w:szCs w:val="24"/>
        </w:rPr>
        <w:t xml:space="preserve"> (</w:t>
      </w:r>
      <w:r w:rsidR="00234127" w:rsidRPr="00A91056">
        <w:rPr>
          <w:rFonts w:cs="Arial"/>
          <w:szCs w:val="24"/>
        </w:rPr>
        <w:t>48</w:t>
      </w:r>
      <w:r w:rsidR="007B5C80" w:rsidRPr="00A91056">
        <w:rPr>
          <w:rFonts w:cs="Arial"/>
          <w:szCs w:val="24"/>
        </w:rPr>
        <w:t xml:space="preserve">) compounds were also assessed for genotoxicity in vitro </w:t>
      </w:r>
      <w:r w:rsidR="00234127" w:rsidRPr="00A91056">
        <w:rPr>
          <w:rFonts w:cs="Arial"/>
          <w:szCs w:val="24"/>
        </w:rPr>
        <w:t xml:space="preserve">and </w:t>
      </w:r>
      <w:r w:rsidR="00CC0CF3" w:rsidRPr="00A91056">
        <w:rPr>
          <w:rFonts w:cs="Arial"/>
          <w:szCs w:val="24"/>
        </w:rPr>
        <w:t>forty-two (42)</w:t>
      </w:r>
      <w:r w:rsidR="00F16D8A" w:rsidRPr="00A91056">
        <w:rPr>
          <w:rFonts w:cs="Arial"/>
          <w:szCs w:val="24"/>
        </w:rPr>
        <w:t xml:space="preserve"> in vivo.</w:t>
      </w:r>
      <w:r w:rsidR="00BE5D9E" w:rsidRPr="00A91056">
        <w:rPr>
          <w:rFonts w:cs="Arial"/>
          <w:szCs w:val="24"/>
        </w:rPr>
        <w:t xml:space="preserve"> Approximately 90% of these compounds (</w:t>
      </w:r>
      <w:r w:rsidR="00F446DA" w:rsidRPr="00A91056">
        <w:rPr>
          <w:rFonts w:cs="Arial"/>
          <w:szCs w:val="24"/>
        </w:rPr>
        <w:t>42</w:t>
      </w:r>
      <w:r w:rsidR="00BE5D9E" w:rsidRPr="00A91056">
        <w:rPr>
          <w:rFonts w:cs="Arial"/>
          <w:szCs w:val="24"/>
        </w:rPr>
        <w:t>/</w:t>
      </w:r>
      <w:r w:rsidR="00F446DA" w:rsidRPr="00A91056">
        <w:rPr>
          <w:rFonts w:cs="Arial"/>
          <w:szCs w:val="24"/>
        </w:rPr>
        <w:t>48</w:t>
      </w:r>
      <w:r w:rsidR="00BE5D9E" w:rsidRPr="00A91056">
        <w:rPr>
          <w:rFonts w:cs="Arial"/>
          <w:szCs w:val="24"/>
        </w:rPr>
        <w:t xml:space="preserve"> in vitro and </w:t>
      </w:r>
      <w:r w:rsidR="006A7DF1" w:rsidRPr="00A91056">
        <w:rPr>
          <w:rFonts w:cs="Arial"/>
          <w:szCs w:val="24"/>
        </w:rPr>
        <w:t>37</w:t>
      </w:r>
      <w:r w:rsidR="00BE5D9E" w:rsidRPr="00A91056">
        <w:rPr>
          <w:rFonts w:cs="Arial"/>
          <w:szCs w:val="24"/>
        </w:rPr>
        <w:t>/</w:t>
      </w:r>
      <w:r w:rsidR="006A7DF1" w:rsidRPr="00A91056">
        <w:rPr>
          <w:rFonts w:cs="Arial"/>
          <w:szCs w:val="24"/>
        </w:rPr>
        <w:t>42</w:t>
      </w:r>
      <w:r w:rsidR="00BE5D9E" w:rsidRPr="00A91056">
        <w:rPr>
          <w:rFonts w:cs="Arial"/>
          <w:szCs w:val="24"/>
        </w:rPr>
        <w:t xml:space="preserve"> in vivo) </w:t>
      </w:r>
      <w:r w:rsidR="008E462F" w:rsidRPr="00A91056">
        <w:rPr>
          <w:rFonts w:cs="Arial"/>
          <w:szCs w:val="24"/>
        </w:rPr>
        <w:t>produced</w:t>
      </w:r>
      <w:r w:rsidR="00BE5D9E" w:rsidRPr="00A91056">
        <w:rPr>
          <w:rFonts w:cs="Arial"/>
          <w:szCs w:val="24"/>
        </w:rPr>
        <w:t xml:space="preserve"> positive results in at least one of the assays (</w:t>
      </w:r>
      <w:r w:rsidR="00BE5D9E" w:rsidRPr="00A91056">
        <w:rPr>
          <w:rFonts w:cs="Arial"/>
          <w:b/>
          <w:bCs/>
          <w:szCs w:val="24"/>
        </w:rPr>
        <w:t>Table 1</w:t>
      </w:r>
      <w:r w:rsidR="00BE5D9E" w:rsidRPr="00A91056">
        <w:rPr>
          <w:rFonts w:cs="Arial"/>
          <w:szCs w:val="24"/>
        </w:rPr>
        <w:t>).</w:t>
      </w:r>
      <w:r w:rsidR="00A0137F" w:rsidRPr="00A91056">
        <w:rPr>
          <w:rFonts w:cs="Arial"/>
          <w:szCs w:val="24"/>
        </w:rPr>
        <w:t xml:space="preserve"> Out of </w:t>
      </w:r>
      <w:r w:rsidR="00A95BA8">
        <w:rPr>
          <w:rFonts w:cs="Arial"/>
          <w:szCs w:val="24"/>
        </w:rPr>
        <w:t>forty</w:t>
      </w:r>
      <w:r w:rsidR="00A0137F" w:rsidRPr="00A91056">
        <w:rPr>
          <w:rFonts w:cs="Arial"/>
          <w:szCs w:val="24"/>
        </w:rPr>
        <w:t xml:space="preserve"> (</w:t>
      </w:r>
      <w:r w:rsidR="00A95BA8">
        <w:rPr>
          <w:rFonts w:cs="Arial"/>
          <w:szCs w:val="24"/>
        </w:rPr>
        <w:t>40</w:t>
      </w:r>
      <w:r w:rsidR="00A0137F" w:rsidRPr="00A91056">
        <w:rPr>
          <w:rFonts w:cs="Arial"/>
          <w:szCs w:val="24"/>
        </w:rPr>
        <w:t xml:space="preserve">) compounds with available carcinogenicity data, </w:t>
      </w:r>
      <w:r w:rsidR="00065535" w:rsidRPr="00A91056">
        <w:rPr>
          <w:rFonts w:cs="Arial"/>
          <w:szCs w:val="24"/>
        </w:rPr>
        <w:t>thirty-</w:t>
      </w:r>
      <w:r w:rsidR="00D675A1" w:rsidRPr="00A91056">
        <w:rPr>
          <w:rFonts w:cs="Arial"/>
          <w:szCs w:val="24"/>
        </w:rPr>
        <w:t>s</w:t>
      </w:r>
      <w:r w:rsidR="00D95BCC">
        <w:rPr>
          <w:rFonts w:cs="Arial"/>
          <w:szCs w:val="24"/>
        </w:rPr>
        <w:t>even</w:t>
      </w:r>
      <w:r w:rsidR="00A0137F" w:rsidRPr="00A91056">
        <w:rPr>
          <w:rFonts w:cs="Arial"/>
          <w:szCs w:val="24"/>
        </w:rPr>
        <w:t xml:space="preserve"> (</w:t>
      </w:r>
      <w:r w:rsidR="00D675A1" w:rsidRPr="00A91056">
        <w:rPr>
          <w:rFonts w:cs="Arial"/>
          <w:szCs w:val="24"/>
        </w:rPr>
        <w:t>3</w:t>
      </w:r>
      <w:r w:rsidR="00D95BCC">
        <w:rPr>
          <w:rFonts w:cs="Arial"/>
          <w:szCs w:val="24"/>
        </w:rPr>
        <w:t>7</w:t>
      </w:r>
      <w:r w:rsidR="00A0137F" w:rsidRPr="00A91056">
        <w:rPr>
          <w:rFonts w:cs="Arial"/>
          <w:szCs w:val="24"/>
        </w:rPr>
        <w:t>) compounds (</w:t>
      </w:r>
      <w:r w:rsidR="00F50B28" w:rsidRPr="00A91056">
        <w:rPr>
          <w:rFonts w:cs="Arial"/>
          <w:szCs w:val="24"/>
        </w:rPr>
        <w:t>9</w:t>
      </w:r>
      <w:r w:rsidR="00602BD1" w:rsidRPr="00A91056">
        <w:rPr>
          <w:rFonts w:cs="Arial"/>
          <w:szCs w:val="24"/>
        </w:rPr>
        <w:t>2</w:t>
      </w:r>
      <w:r w:rsidR="009C6EB0">
        <w:rPr>
          <w:rFonts w:cs="Arial"/>
          <w:szCs w:val="24"/>
        </w:rPr>
        <w:t>.5</w:t>
      </w:r>
      <w:r w:rsidR="00A0137F" w:rsidRPr="00A91056">
        <w:rPr>
          <w:rFonts w:cs="Arial"/>
          <w:szCs w:val="24"/>
        </w:rPr>
        <w:t>%) were established rodent carcinogens, and two (</w:t>
      </w:r>
      <w:r w:rsidR="00CC7946" w:rsidRPr="00A91056">
        <w:rPr>
          <w:rFonts w:cs="Arial"/>
          <w:szCs w:val="24"/>
        </w:rPr>
        <w:t>5</w:t>
      </w:r>
      <w:r w:rsidR="00A0137F" w:rsidRPr="00A91056">
        <w:rPr>
          <w:rFonts w:cs="Arial"/>
          <w:szCs w:val="24"/>
        </w:rPr>
        <w:t>%) produced equivocal carcinogenic outcomes (</w:t>
      </w:r>
      <w:r w:rsidR="00A0137F" w:rsidRPr="00A91056">
        <w:rPr>
          <w:rFonts w:cs="Arial"/>
          <w:b/>
          <w:bCs/>
          <w:szCs w:val="24"/>
        </w:rPr>
        <w:t>Table 1</w:t>
      </w:r>
      <w:r w:rsidR="00A0137F" w:rsidRPr="00A91056">
        <w:rPr>
          <w:rFonts w:cs="Arial"/>
          <w:szCs w:val="24"/>
        </w:rPr>
        <w:t>).</w:t>
      </w:r>
      <w:r w:rsidR="00E26553">
        <w:rPr>
          <w:rFonts w:cs="Arial"/>
          <w:szCs w:val="24"/>
        </w:rPr>
        <w:t xml:space="preserve"> </w:t>
      </w:r>
      <w:r w:rsidR="00D31D63">
        <w:rPr>
          <w:rFonts w:cs="Arial"/>
          <w:szCs w:val="24"/>
        </w:rPr>
        <w:t xml:space="preserve">Out of </w:t>
      </w:r>
      <w:r w:rsidR="00313F5B" w:rsidRPr="00A91056">
        <w:rPr>
          <w:rFonts w:cs="Arial"/>
          <w:szCs w:val="24"/>
        </w:rPr>
        <w:t xml:space="preserve">thirty-seven </w:t>
      </w:r>
      <w:r w:rsidR="00313F5B">
        <w:rPr>
          <w:rFonts w:cs="Arial"/>
          <w:szCs w:val="24"/>
        </w:rPr>
        <w:t>(</w:t>
      </w:r>
      <w:r w:rsidR="00D31D63">
        <w:rPr>
          <w:rFonts w:cs="Arial"/>
          <w:szCs w:val="24"/>
        </w:rPr>
        <w:t>3</w:t>
      </w:r>
      <w:r w:rsidR="004D7398">
        <w:rPr>
          <w:rFonts w:cs="Arial"/>
          <w:szCs w:val="24"/>
        </w:rPr>
        <w:t>7</w:t>
      </w:r>
      <w:r w:rsidR="00313F5B">
        <w:rPr>
          <w:rFonts w:cs="Arial"/>
          <w:szCs w:val="24"/>
        </w:rPr>
        <w:t>) rodent</w:t>
      </w:r>
      <w:r w:rsidR="00D31D63">
        <w:rPr>
          <w:rFonts w:cs="Arial"/>
          <w:szCs w:val="24"/>
        </w:rPr>
        <w:t xml:space="preserve"> carcinogens</w:t>
      </w:r>
      <w:r w:rsidR="004D7398">
        <w:rPr>
          <w:rFonts w:cs="Arial"/>
          <w:szCs w:val="24"/>
        </w:rPr>
        <w:t xml:space="preserve"> that produced positive results in CEGA</w:t>
      </w:r>
      <w:r w:rsidR="00D31D63">
        <w:rPr>
          <w:rFonts w:cs="Arial"/>
          <w:szCs w:val="24"/>
        </w:rPr>
        <w:t xml:space="preserve">, </w:t>
      </w:r>
      <w:r w:rsidR="008F63F2">
        <w:rPr>
          <w:rFonts w:cs="Arial"/>
          <w:szCs w:val="24"/>
        </w:rPr>
        <w:t xml:space="preserve">approximately </w:t>
      </w:r>
      <w:r w:rsidR="00313F5B" w:rsidRPr="00A91056">
        <w:rPr>
          <w:rFonts w:cs="Arial"/>
          <w:szCs w:val="24"/>
        </w:rPr>
        <w:t>thirty-</w:t>
      </w:r>
      <w:r w:rsidR="00313F5B">
        <w:rPr>
          <w:rFonts w:cs="Arial"/>
          <w:szCs w:val="24"/>
        </w:rPr>
        <w:t>two (</w:t>
      </w:r>
      <w:r w:rsidR="008F63F2">
        <w:rPr>
          <w:rFonts w:cs="Arial"/>
          <w:szCs w:val="24"/>
        </w:rPr>
        <w:t>32</w:t>
      </w:r>
      <w:r w:rsidR="00313F5B">
        <w:rPr>
          <w:rFonts w:cs="Arial"/>
          <w:szCs w:val="24"/>
        </w:rPr>
        <w:t>)</w:t>
      </w:r>
      <w:r w:rsidR="00614D76">
        <w:rPr>
          <w:rFonts w:cs="Arial"/>
          <w:szCs w:val="24"/>
        </w:rPr>
        <w:t xml:space="preserve"> (</w:t>
      </w:r>
      <w:r w:rsidR="007137D9">
        <w:rPr>
          <w:rFonts w:cs="Arial"/>
          <w:szCs w:val="24"/>
        </w:rPr>
        <w:t>86.5</w:t>
      </w:r>
      <w:r w:rsidR="00614D76">
        <w:rPr>
          <w:rFonts w:cs="Arial"/>
          <w:szCs w:val="24"/>
        </w:rPr>
        <w:t>%)</w:t>
      </w:r>
      <w:r w:rsidR="00D31D63">
        <w:rPr>
          <w:rFonts w:cs="Arial"/>
          <w:szCs w:val="24"/>
        </w:rPr>
        <w:t xml:space="preserve"> </w:t>
      </w:r>
      <w:r w:rsidR="000F3E2D" w:rsidRPr="000F3E2D">
        <w:rPr>
          <w:rFonts w:cs="Arial"/>
          <w:szCs w:val="24"/>
        </w:rPr>
        <w:t xml:space="preserve">have demonstrated the potential to </w:t>
      </w:r>
      <w:r w:rsidR="000F3E2D">
        <w:rPr>
          <w:rFonts w:cs="Arial"/>
          <w:szCs w:val="24"/>
        </w:rPr>
        <w:t>pro</w:t>
      </w:r>
      <w:r w:rsidR="000F3E2D" w:rsidRPr="000F3E2D">
        <w:rPr>
          <w:rFonts w:cs="Arial"/>
          <w:szCs w:val="24"/>
        </w:rPr>
        <w:t>duce tumors in</w:t>
      </w:r>
      <w:r w:rsidR="000F3E2D">
        <w:rPr>
          <w:rFonts w:cs="Arial"/>
          <w:szCs w:val="24"/>
        </w:rPr>
        <w:t xml:space="preserve"> rodent</w:t>
      </w:r>
      <w:r w:rsidR="00614D76">
        <w:rPr>
          <w:rFonts w:cs="Arial"/>
          <w:szCs w:val="24"/>
        </w:rPr>
        <w:t xml:space="preserve"> liver</w:t>
      </w:r>
      <w:r w:rsidR="000F3E2D">
        <w:rPr>
          <w:rFonts w:cs="Arial"/>
          <w:szCs w:val="24"/>
        </w:rPr>
        <w:t>s.</w:t>
      </w:r>
      <w:r w:rsidR="00B37ABF" w:rsidRPr="00B37ABF">
        <w:rPr>
          <w:rFonts w:cs="Arial"/>
          <w:szCs w:val="24"/>
        </w:rPr>
        <w:t xml:space="preserve"> </w:t>
      </w:r>
      <w:r w:rsidR="00B37ABF">
        <w:rPr>
          <w:rFonts w:cs="Arial"/>
          <w:szCs w:val="24"/>
        </w:rPr>
        <w:t>These included 2-acetylaminfluorene, 4-aminobiphenyl, aflatoxin B</w:t>
      </w:r>
      <w:r w:rsidR="00B37ABF" w:rsidRPr="008339F3">
        <w:rPr>
          <w:rFonts w:cs="Arial"/>
          <w:szCs w:val="24"/>
          <w:vertAlign w:val="subscript"/>
        </w:rPr>
        <w:t>1</w:t>
      </w:r>
      <w:r w:rsidR="00B37ABF">
        <w:rPr>
          <w:rFonts w:cs="Arial"/>
          <w:szCs w:val="24"/>
        </w:rPr>
        <w:t xml:space="preserve"> and B</w:t>
      </w:r>
      <w:r w:rsidR="00B37ABF" w:rsidRPr="008339F3">
        <w:rPr>
          <w:rFonts w:cs="Arial"/>
          <w:szCs w:val="24"/>
          <w:vertAlign w:val="subscript"/>
        </w:rPr>
        <w:t>2</w:t>
      </w:r>
      <w:r w:rsidR="00B37ABF">
        <w:rPr>
          <w:rFonts w:cs="Arial"/>
          <w:szCs w:val="24"/>
        </w:rPr>
        <w:t xml:space="preserve">, </w:t>
      </w:r>
      <w:r w:rsidR="00B37ABF" w:rsidRPr="008D49B6">
        <w:rPr>
          <w:rFonts w:cs="Arial"/>
          <w:szCs w:val="24"/>
        </w:rPr>
        <w:t>N-methyl-N'-nitro-N-nitrosoguanidine</w:t>
      </w:r>
      <w:r w:rsidR="00B37ABF">
        <w:rPr>
          <w:rFonts w:cs="Arial"/>
          <w:szCs w:val="24"/>
        </w:rPr>
        <w:t xml:space="preserve">, </w:t>
      </w:r>
      <w:r w:rsidR="00B37ABF" w:rsidRPr="004630F4">
        <w:rPr>
          <w:rFonts w:cs="Arial"/>
          <w:i/>
          <w:iCs/>
          <w:szCs w:val="24"/>
        </w:rPr>
        <w:t>o</w:t>
      </w:r>
      <w:r w:rsidR="00B37ABF">
        <w:rPr>
          <w:rFonts w:cs="Arial"/>
          <w:szCs w:val="24"/>
        </w:rPr>
        <w:t>-toluidine, safrole, riddelliine, tamoxifen.</w:t>
      </w:r>
    </w:p>
    <w:p w14:paraId="0304AA04" w14:textId="7ED7D0C0" w:rsidR="00711E98" w:rsidRPr="00A91056" w:rsidRDefault="005B1164" w:rsidP="00D234A8">
      <w:pPr>
        <w:rPr>
          <w:rFonts w:cs="Arial"/>
          <w:szCs w:val="24"/>
        </w:rPr>
      </w:pPr>
      <w:r w:rsidRPr="00A91056">
        <w:rPr>
          <w:rFonts w:cs="Arial"/>
          <w:szCs w:val="24"/>
        </w:rPr>
        <w:t xml:space="preserve">The remaining </w:t>
      </w:r>
      <w:r w:rsidR="00C3742C" w:rsidRPr="00A91056">
        <w:rPr>
          <w:rFonts w:cs="Arial"/>
          <w:szCs w:val="24"/>
        </w:rPr>
        <w:t>thirty-seven</w:t>
      </w:r>
      <w:r w:rsidR="00C206B4" w:rsidRPr="00A91056">
        <w:rPr>
          <w:rFonts w:cs="Arial"/>
          <w:szCs w:val="24"/>
        </w:rPr>
        <w:t xml:space="preserve"> (37) compounds </w:t>
      </w:r>
      <w:r w:rsidR="00316481" w:rsidRPr="00A91056">
        <w:rPr>
          <w:rFonts w:cs="Arial"/>
          <w:szCs w:val="24"/>
        </w:rPr>
        <w:t>(42</w:t>
      </w:r>
      <w:r w:rsidR="0000646B" w:rsidRPr="00A91056">
        <w:rPr>
          <w:rFonts w:cs="Arial"/>
          <w:szCs w:val="24"/>
        </w:rPr>
        <w:t>.5</w:t>
      </w:r>
      <w:r w:rsidR="00316481" w:rsidRPr="00A91056">
        <w:rPr>
          <w:rFonts w:cs="Arial"/>
          <w:szCs w:val="24"/>
        </w:rPr>
        <w:t xml:space="preserve">%) were negative in both </w:t>
      </w:r>
      <w:r w:rsidR="00BF6294" w:rsidRPr="00A91056">
        <w:rPr>
          <w:rFonts w:cs="Arial"/>
          <w:szCs w:val="24"/>
        </w:rPr>
        <w:t xml:space="preserve">the </w:t>
      </w:r>
      <w:r w:rsidRPr="00A91056">
        <w:rPr>
          <w:rFonts w:cs="Arial"/>
          <w:szCs w:val="24"/>
        </w:rPr>
        <w:t xml:space="preserve">NPL and comet </w:t>
      </w:r>
      <w:r w:rsidR="00316481" w:rsidRPr="00A91056">
        <w:rPr>
          <w:rFonts w:cs="Arial"/>
          <w:szCs w:val="24"/>
        </w:rPr>
        <w:t>assays</w:t>
      </w:r>
      <w:r w:rsidRPr="00A91056">
        <w:rPr>
          <w:rFonts w:cs="Arial"/>
          <w:szCs w:val="24"/>
        </w:rPr>
        <w:t xml:space="preserve"> in CEGA.</w:t>
      </w:r>
      <w:r w:rsidR="005F0D30" w:rsidRPr="00A91056">
        <w:rPr>
          <w:rFonts w:cs="Arial"/>
          <w:szCs w:val="24"/>
        </w:rPr>
        <w:t xml:space="preserve"> </w:t>
      </w:r>
      <w:r w:rsidR="00C45613" w:rsidRPr="00A91056">
        <w:rPr>
          <w:rFonts w:cs="Arial"/>
          <w:szCs w:val="24"/>
        </w:rPr>
        <w:t>Data from in vitro and in vivo genotoxicity assays w</w:t>
      </w:r>
      <w:r w:rsidR="00375F8F" w:rsidRPr="00A91056">
        <w:rPr>
          <w:rFonts w:cs="Arial"/>
          <w:szCs w:val="24"/>
        </w:rPr>
        <w:t>ere</w:t>
      </w:r>
      <w:r w:rsidR="00C45613" w:rsidRPr="00A91056">
        <w:rPr>
          <w:rFonts w:cs="Arial"/>
          <w:szCs w:val="24"/>
        </w:rPr>
        <w:t xml:space="preserve"> available for </w:t>
      </w:r>
      <w:r w:rsidR="00711E98" w:rsidRPr="00A91056">
        <w:rPr>
          <w:rFonts w:cs="Arial"/>
          <w:szCs w:val="24"/>
        </w:rPr>
        <w:t>t</w:t>
      </w:r>
      <w:r w:rsidR="005F0D30" w:rsidRPr="00A91056">
        <w:rPr>
          <w:rFonts w:cs="Arial"/>
          <w:szCs w:val="24"/>
        </w:rPr>
        <w:t>hirty</w:t>
      </w:r>
      <w:r w:rsidR="00815EAA" w:rsidRPr="00A91056">
        <w:rPr>
          <w:rFonts w:cs="Arial"/>
          <w:szCs w:val="24"/>
        </w:rPr>
        <w:t>-</w:t>
      </w:r>
      <w:r w:rsidR="005F0D30" w:rsidRPr="00A91056">
        <w:rPr>
          <w:rFonts w:cs="Arial"/>
          <w:szCs w:val="24"/>
        </w:rPr>
        <w:t>six</w:t>
      </w:r>
      <w:r w:rsidR="00711E98" w:rsidRPr="00A91056">
        <w:rPr>
          <w:rFonts w:cs="Arial"/>
          <w:szCs w:val="24"/>
        </w:rPr>
        <w:t xml:space="preserve"> (36) and thirty-one (31) of these compounds, respectively</w:t>
      </w:r>
      <w:r w:rsidR="00920CDC" w:rsidRPr="00A91056">
        <w:rPr>
          <w:rFonts w:cs="Arial"/>
          <w:szCs w:val="24"/>
        </w:rPr>
        <w:t xml:space="preserve"> (</w:t>
      </w:r>
      <w:r w:rsidR="00920CDC" w:rsidRPr="00A91056">
        <w:rPr>
          <w:rFonts w:cs="Arial"/>
          <w:b/>
          <w:bCs/>
          <w:szCs w:val="24"/>
        </w:rPr>
        <w:t>Table 1</w:t>
      </w:r>
      <w:r w:rsidR="00920CDC" w:rsidRPr="00A91056">
        <w:rPr>
          <w:rFonts w:cs="Arial"/>
          <w:szCs w:val="24"/>
        </w:rPr>
        <w:t>)</w:t>
      </w:r>
      <w:r w:rsidR="00711E98" w:rsidRPr="00A91056">
        <w:rPr>
          <w:rFonts w:cs="Arial"/>
          <w:szCs w:val="24"/>
        </w:rPr>
        <w:t xml:space="preserve">. While </w:t>
      </w:r>
      <w:r w:rsidR="0088398F" w:rsidRPr="00A91056">
        <w:rPr>
          <w:rFonts w:cs="Arial"/>
          <w:szCs w:val="24"/>
        </w:rPr>
        <w:t>86% (</w:t>
      </w:r>
      <w:r w:rsidR="00711E98" w:rsidRPr="00A91056">
        <w:rPr>
          <w:rFonts w:cs="Arial"/>
          <w:szCs w:val="24"/>
        </w:rPr>
        <w:t>31</w:t>
      </w:r>
      <w:r w:rsidR="0088398F" w:rsidRPr="00A91056">
        <w:rPr>
          <w:rFonts w:cs="Arial"/>
          <w:szCs w:val="24"/>
        </w:rPr>
        <w:t>/36</w:t>
      </w:r>
      <w:r w:rsidR="009F05A1" w:rsidRPr="00A91056">
        <w:rPr>
          <w:rFonts w:cs="Arial"/>
          <w:szCs w:val="24"/>
        </w:rPr>
        <w:t>)</w:t>
      </w:r>
      <w:r w:rsidR="0088398F" w:rsidRPr="00A91056">
        <w:rPr>
          <w:rFonts w:cs="Arial"/>
          <w:szCs w:val="24"/>
        </w:rPr>
        <w:t xml:space="preserve"> </w:t>
      </w:r>
      <w:r w:rsidR="00EE43DA">
        <w:rPr>
          <w:rFonts w:cs="Arial"/>
          <w:szCs w:val="24"/>
        </w:rPr>
        <w:t xml:space="preserve">of these </w:t>
      </w:r>
      <w:r w:rsidR="0088398F" w:rsidRPr="00A91056">
        <w:rPr>
          <w:rFonts w:cs="Arial"/>
          <w:szCs w:val="24"/>
        </w:rPr>
        <w:t xml:space="preserve">compounds were positive in at least one of the </w:t>
      </w:r>
      <w:r w:rsidR="008F6B2D" w:rsidRPr="00A91056">
        <w:rPr>
          <w:rFonts w:cs="Arial"/>
          <w:szCs w:val="24"/>
        </w:rPr>
        <w:t xml:space="preserve">in vitro </w:t>
      </w:r>
      <w:r w:rsidR="0088398F" w:rsidRPr="00A91056">
        <w:rPr>
          <w:rFonts w:cs="Arial"/>
          <w:szCs w:val="24"/>
        </w:rPr>
        <w:t xml:space="preserve">assays, only </w:t>
      </w:r>
      <w:r w:rsidR="00920CDC" w:rsidRPr="00A91056">
        <w:rPr>
          <w:rFonts w:cs="Arial"/>
          <w:szCs w:val="24"/>
        </w:rPr>
        <w:t>39% (12/31</w:t>
      </w:r>
      <w:r w:rsidR="009F05A1" w:rsidRPr="00A91056">
        <w:rPr>
          <w:rFonts w:cs="Arial"/>
          <w:szCs w:val="24"/>
        </w:rPr>
        <w:t>)</w:t>
      </w:r>
      <w:r w:rsidR="00920CDC" w:rsidRPr="00A91056">
        <w:rPr>
          <w:rFonts w:cs="Arial"/>
          <w:szCs w:val="24"/>
        </w:rPr>
        <w:t xml:space="preserve"> compounds produced positive outcomes in vivo. With regard to carcinogenicity, </w:t>
      </w:r>
      <w:r w:rsidR="00D765A4" w:rsidRPr="00A91056">
        <w:rPr>
          <w:rFonts w:cs="Arial"/>
          <w:szCs w:val="24"/>
        </w:rPr>
        <w:t>twelve</w:t>
      </w:r>
      <w:r w:rsidR="004242E0" w:rsidRPr="00A91056">
        <w:rPr>
          <w:rFonts w:cs="Arial"/>
          <w:szCs w:val="24"/>
        </w:rPr>
        <w:t xml:space="preserve"> (1</w:t>
      </w:r>
      <w:r w:rsidR="00D765A4" w:rsidRPr="00A91056">
        <w:rPr>
          <w:rFonts w:cs="Arial"/>
          <w:szCs w:val="24"/>
        </w:rPr>
        <w:t>2)</w:t>
      </w:r>
      <w:r w:rsidR="004242E0" w:rsidRPr="00A91056">
        <w:rPr>
          <w:rFonts w:cs="Arial"/>
          <w:szCs w:val="24"/>
        </w:rPr>
        <w:t xml:space="preserve"> </w:t>
      </w:r>
      <w:r w:rsidR="00920CDC" w:rsidRPr="00A91056">
        <w:rPr>
          <w:rFonts w:cs="Arial"/>
          <w:szCs w:val="24"/>
        </w:rPr>
        <w:t xml:space="preserve">out of </w:t>
      </w:r>
      <w:r w:rsidR="00D00D50" w:rsidRPr="00A91056">
        <w:rPr>
          <w:rFonts w:cs="Arial"/>
          <w:szCs w:val="24"/>
        </w:rPr>
        <w:t xml:space="preserve">twenty-six </w:t>
      </w:r>
      <w:r w:rsidR="004242E0" w:rsidRPr="00A91056">
        <w:rPr>
          <w:rFonts w:cs="Arial"/>
          <w:szCs w:val="24"/>
        </w:rPr>
        <w:t>(</w:t>
      </w:r>
      <w:r w:rsidR="00D00D50" w:rsidRPr="00A91056">
        <w:rPr>
          <w:rFonts w:cs="Arial"/>
          <w:szCs w:val="24"/>
        </w:rPr>
        <w:t>26</w:t>
      </w:r>
      <w:r w:rsidR="004242E0" w:rsidRPr="00A91056">
        <w:rPr>
          <w:rFonts w:cs="Arial"/>
          <w:szCs w:val="24"/>
        </w:rPr>
        <w:t>)</w:t>
      </w:r>
      <w:r w:rsidR="00D00D50" w:rsidRPr="00A91056">
        <w:rPr>
          <w:rFonts w:cs="Arial"/>
          <w:szCs w:val="24"/>
        </w:rPr>
        <w:t xml:space="preserve"> compounds </w:t>
      </w:r>
      <w:r w:rsidR="00D765A4" w:rsidRPr="00A91056">
        <w:rPr>
          <w:rFonts w:cs="Arial"/>
          <w:szCs w:val="24"/>
        </w:rPr>
        <w:t xml:space="preserve">(46%) </w:t>
      </w:r>
      <w:r w:rsidR="00A37019" w:rsidRPr="00A91056">
        <w:rPr>
          <w:rFonts w:cs="Arial"/>
          <w:szCs w:val="24"/>
        </w:rPr>
        <w:t xml:space="preserve">were negative in </w:t>
      </w:r>
      <w:r w:rsidR="00A37019" w:rsidRPr="00A91056">
        <w:rPr>
          <w:rFonts w:cs="Arial"/>
          <w:szCs w:val="24"/>
        </w:rPr>
        <w:lastRenderedPageBreak/>
        <w:t>rodent bioassays</w:t>
      </w:r>
      <w:r w:rsidR="009F05A1" w:rsidRPr="00A91056">
        <w:rPr>
          <w:rFonts w:cs="Arial"/>
          <w:szCs w:val="24"/>
        </w:rPr>
        <w:t xml:space="preserve"> (</w:t>
      </w:r>
      <w:r w:rsidR="009F05A1" w:rsidRPr="00A91056">
        <w:rPr>
          <w:rFonts w:cs="Arial"/>
          <w:b/>
          <w:bCs/>
          <w:szCs w:val="24"/>
        </w:rPr>
        <w:t>Table 1</w:t>
      </w:r>
      <w:r w:rsidR="009F05A1" w:rsidRPr="00A91056">
        <w:rPr>
          <w:rFonts w:cs="Arial"/>
          <w:szCs w:val="24"/>
        </w:rPr>
        <w:t>)</w:t>
      </w:r>
      <w:r w:rsidR="00A37019" w:rsidRPr="00A91056">
        <w:rPr>
          <w:rFonts w:cs="Arial"/>
          <w:szCs w:val="24"/>
        </w:rPr>
        <w:t>.</w:t>
      </w:r>
    </w:p>
    <w:p w14:paraId="6240F81C" w14:textId="5C313EDD" w:rsidR="00BE6C66" w:rsidRPr="00A91056" w:rsidRDefault="00EC2F0A" w:rsidP="00BE6C66">
      <w:pPr>
        <w:pStyle w:val="Heading2"/>
        <w:rPr>
          <w:rFonts w:cs="Arial"/>
          <w:szCs w:val="24"/>
        </w:rPr>
      </w:pPr>
      <w:r w:rsidRPr="00A91056">
        <w:t>B</w:t>
      </w:r>
      <w:r w:rsidR="00BE6C66" w:rsidRPr="00A91056">
        <w:t xml:space="preserve">. </w:t>
      </w:r>
      <w:r w:rsidRPr="00A91056">
        <w:t xml:space="preserve">Outcomes in the </w:t>
      </w:r>
      <w:r w:rsidR="00BE6C66" w:rsidRPr="00A91056">
        <w:t>Fertilized Turkey Egg Fetal Liver Assay</w:t>
      </w:r>
    </w:p>
    <w:p w14:paraId="01D13CDF" w14:textId="3056B2CE" w:rsidR="00AB2AB6" w:rsidRDefault="005E4867" w:rsidP="00AB2AB6">
      <w:pPr>
        <w:rPr>
          <w:rFonts w:cs="Arial"/>
          <w:szCs w:val="24"/>
        </w:rPr>
      </w:pPr>
      <w:r w:rsidRPr="00A91056">
        <w:rPr>
          <w:rFonts w:cs="Arial"/>
          <w:szCs w:val="24"/>
        </w:rPr>
        <w:t>Out of fifty-nine (59) compounds tested i</w:t>
      </w:r>
      <w:r w:rsidR="001657CB" w:rsidRPr="00A91056">
        <w:rPr>
          <w:rFonts w:cs="Arial"/>
          <w:szCs w:val="24"/>
        </w:rPr>
        <w:t xml:space="preserve">n TEGA, </w:t>
      </w:r>
      <w:r w:rsidR="00D67763" w:rsidRPr="00A91056">
        <w:rPr>
          <w:rFonts w:cs="Arial"/>
          <w:szCs w:val="24"/>
        </w:rPr>
        <w:t>eight</w:t>
      </w:r>
      <w:r w:rsidR="001657CB" w:rsidRPr="00A91056">
        <w:rPr>
          <w:rFonts w:cs="Arial"/>
          <w:szCs w:val="24"/>
        </w:rPr>
        <w:t xml:space="preserve"> (</w:t>
      </w:r>
      <w:r w:rsidR="009828DE" w:rsidRPr="00A91056">
        <w:rPr>
          <w:rFonts w:cs="Arial"/>
          <w:szCs w:val="24"/>
        </w:rPr>
        <w:t>8</w:t>
      </w:r>
      <w:r w:rsidR="001657CB" w:rsidRPr="00A91056">
        <w:rPr>
          <w:rFonts w:cs="Arial"/>
          <w:szCs w:val="24"/>
        </w:rPr>
        <w:t>) compou</w:t>
      </w:r>
      <w:r w:rsidR="00D72F62" w:rsidRPr="00A91056">
        <w:rPr>
          <w:rFonts w:cs="Arial"/>
          <w:szCs w:val="24"/>
        </w:rPr>
        <w:t>n</w:t>
      </w:r>
      <w:r w:rsidR="001657CB" w:rsidRPr="00A91056">
        <w:rPr>
          <w:rFonts w:cs="Arial"/>
          <w:szCs w:val="24"/>
        </w:rPr>
        <w:t xml:space="preserve">ds </w:t>
      </w:r>
      <w:r w:rsidR="00B822EF" w:rsidRPr="00A91056">
        <w:rPr>
          <w:rFonts w:cs="Arial"/>
          <w:szCs w:val="24"/>
        </w:rPr>
        <w:t>(1</w:t>
      </w:r>
      <w:r w:rsidR="00AF59FE" w:rsidRPr="00A91056">
        <w:rPr>
          <w:rFonts w:cs="Arial"/>
          <w:szCs w:val="24"/>
        </w:rPr>
        <w:t>3.5</w:t>
      </w:r>
      <w:r w:rsidR="00B822EF" w:rsidRPr="00A91056">
        <w:rPr>
          <w:rFonts w:cs="Arial"/>
          <w:szCs w:val="24"/>
        </w:rPr>
        <w:t>%)</w:t>
      </w:r>
      <w:r w:rsidR="003A5AC2" w:rsidRPr="00A91056">
        <w:rPr>
          <w:rFonts w:cs="Arial"/>
          <w:szCs w:val="24"/>
        </w:rPr>
        <w:t xml:space="preserve"> were positive in </w:t>
      </w:r>
      <w:r w:rsidR="006F00BB" w:rsidRPr="00A91056">
        <w:rPr>
          <w:rFonts w:cs="Arial"/>
          <w:szCs w:val="24"/>
        </w:rPr>
        <w:t>both</w:t>
      </w:r>
      <w:r w:rsidR="003A5AC2" w:rsidRPr="00A91056">
        <w:rPr>
          <w:rFonts w:cs="Arial"/>
          <w:szCs w:val="24"/>
        </w:rPr>
        <w:t xml:space="preserve"> </w:t>
      </w:r>
      <w:r w:rsidR="005B434A" w:rsidRPr="00A91056">
        <w:rPr>
          <w:rFonts w:cs="Arial"/>
          <w:szCs w:val="24"/>
        </w:rPr>
        <w:t xml:space="preserve">the </w:t>
      </w:r>
      <w:r w:rsidR="003A5AC2" w:rsidRPr="00A91056">
        <w:rPr>
          <w:rFonts w:cs="Arial"/>
          <w:szCs w:val="24"/>
        </w:rPr>
        <w:t>NPL and comet assays</w:t>
      </w:r>
      <w:r w:rsidR="000805B0" w:rsidRPr="00A91056">
        <w:rPr>
          <w:rFonts w:cs="Arial"/>
          <w:szCs w:val="24"/>
        </w:rPr>
        <w:t xml:space="preserve"> and twenty-three (23) compounds (39%) were either positive or equivocal in either NPL or comet assay in turkey fetal livers.</w:t>
      </w:r>
      <w:r w:rsidR="008710DF" w:rsidRPr="00A91056">
        <w:rPr>
          <w:rFonts w:cs="Arial"/>
          <w:szCs w:val="24"/>
        </w:rPr>
        <w:t xml:space="preserve"> Among these, </w:t>
      </w:r>
      <w:r w:rsidR="00E61051" w:rsidRPr="00A91056">
        <w:rPr>
          <w:rFonts w:cs="Arial"/>
          <w:szCs w:val="24"/>
        </w:rPr>
        <w:t xml:space="preserve">thirty (30) compounds had available in vitro genotoxicity data and twenty-five (25) </w:t>
      </w:r>
      <w:r w:rsidR="00763A09" w:rsidRPr="00A91056">
        <w:rPr>
          <w:rFonts w:cs="Arial"/>
          <w:szCs w:val="24"/>
        </w:rPr>
        <w:t xml:space="preserve">were also </w:t>
      </w:r>
      <w:r w:rsidR="00943FEE" w:rsidRPr="00A91056">
        <w:rPr>
          <w:rFonts w:cs="Arial"/>
          <w:szCs w:val="24"/>
        </w:rPr>
        <w:t>evaluated</w:t>
      </w:r>
      <w:r w:rsidR="00763A09" w:rsidRPr="00A91056">
        <w:rPr>
          <w:rFonts w:cs="Arial"/>
          <w:szCs w:val="24"/>
        </w:rPr>
        <w:t xml:space="preserve"> </w:t>
      </w:r>
      <w:r w:rsidR="00DD2C61" w:rsidRPr="00A91056">
        <w:rPr>
          <w:rFonts w:cs="Arial"/>
          <w:szCs w:val="24"/>
        </w:rPr>
        <w:t>in vivo</w:t>
      </w:r>
      <w:r w:rsidR="00943FEE" w:rsidRPr="00A91056">
        <w:rPr>
          <w:rFonts w:cs="Arial"/>
          <w:szCs w:val="24"/>
        </w:rPr>
        <w:t>.</w:t>
      </w:r>
      <w:r w:rsidR="00DD2C61" w:rsidRPr="00A91056">
        <w:rPr>
          <w:rFonts w:cs="Arial"/>
          <w:szCs w:val="24"/>
        </w:rPr>
        <w:t xml:space="preserve"> </w:t>
      </w:r>
      <w:r w:rsidR="006D513D" w:rsidRPr="00A91056">
        <w:rPr>
          <w:rFonts w:cs="Arial"/>
          <w:szCs w:val="24"/>
        </w:rPr>
        <w:t xml:space="preserve">In vitro, </w:t>
      </w:r>
      <w:r w:rsidR="00B904A5">
        <w:rPr>
          <w:rFonts w:cs="Arial"/>
          <w:szCs w:val="24"/>
        </w:rPr>
        <w:t>76</w:t>
      </w:r>
      <w:r w:rsidR="006D513D" w:rsidRPr="00A91056">
        <w:rPr>
          <w:rFonts w:cs="Arial"/>
          <w:szCs w:val="24"/>
        </w:rPr>
        <w:t>% of the compounds (</w:t>
      </w:r>
      <w:r w:rsidR="007C591B" w:rsidRPr="00A91056">
        <w:rPr>
          <w:rFonts w:cs="Arial"/>
          <w:szCs w:val="24"/>
        </w:rPr>
        <w:t>2</w:t>
      </w:r>
      <w:r w:rsidR="00261D8A">
        <w:rPr>
          <w:rFonts w:cs="Arial"/>
          <w:szCs w:val="24"/>
        </w:rPr>
        <w:t>3</w:t>
      </w:r>
      <w:r w:rsidR="006D513D" w:rsidRPr="00A91056">
        <w:rPr>
          <w:rFonts w:cs="Arial"/>
          <w:szCs w:val="24"/>
        </w:rPr>
        <w:t>/</w:t>
      </w:r>
      <w:r w:rsidR="007C591B" w:rsidRPr="00A91056">
        <w:rPr>
          <w:rFonts w:cs="Arial"/>
          <w:szCs w:val="24"/>
        </w:rPr>
        <w:t>30</w:t>
      </w:r>
      <w:r w:rsidR="006D513D" w:rsidRPr="00A91056">
        <w:rPr>
          <w:rFonts w:cs="Arial"/>
          <w:szCs w:val="24"/>
        </w:rPr>
        <w:t xml:space="preserve">) were positive in at least one of the assays, and </w:t>
      </w:r>
      <w:r w:rsidR="00AB2AB6" w:rsidRPr="00A91056">
        <w:rPr>
          <w:rFonts w:cs="Arial"/>
          <w:szCs w:val="24"/>
        </w:rPr>
        <w:t>72</w:t>
      </w:r>
      <w:r w:rsidR="006D513D" w:rsidRPr="00A91056">
        <w:rPr>
          <w:rFonts w:cs="Arial"/>
          <w:szCs w:val="24"/>
        </w:rPr>
        <w:t>% (1</w:t>
      </w:r>
      <w:r w:rsidR="006418C5" w:rsidRPr="00A91056">
        <w:rPr>
          <w:rFonts w:cs="Arial"/>
          <w:szCs w:val="24"/>
        </w:rPr>
        <w:t>8</w:t>
      </w:r>
      <w:r w:rsidR="006D513D" w:rsidRPr="00A91056">
        <w:rPr>
          <w:rFonts w:cs="Arial"/>
          <w:szCs w:val="24"/>
        </w:rPr>
        <w:t>/2</w:t>
      </w:r>
      <w:r w:rsidR="006418C5" w:rsidRPr="00A91056">
        <w:rPr>
          <w:rFonts w:cs="Arial"/>
          <w:szCs w:val="24"/>
        </w:rPr>
        <w:t>5</w:t>
      </w:r>
      <w:r w:rsidR="006D513D" w:rsidRPr="00A91056">
        <w:rPr>
          <w:rFonts w:cs="Arial"/>
          <w:szCs w:val="24"/>
        </w:rPr>
        <w:t>) produced genotoxic responses in vivo (</w:t>
      </w:r>
      <w:r w:rsidR="006D513D" w:rsidRPr="00A91056">
        <w:rPr>
          <w:rFonts w:cs="Arial"/>
          <w:b/>
          <w:bCs/>
          <w:szCs w:val="24"/>
        </w:rPr>
        <w:t>Table 2</w:t>
      </w:r>
      <w:r w:rsidR="006D513D" w:rsidRPr="00A91056">
        <w:rPr>
          <w:rFonts w:cs="Arial"/>
          <w:szCs w:val="24"/>
        </w:rPr>
        <w:t>).</w:t>
      </w:r>
      <w:r w:rsidR="00AB2AB6" w:rsidRPr="00A91056">
        <w:rPr>
          <w:rFonts w:cs="Arial"/>
          <w:szCs w:val="24"/>
        </w:rPr>
        <w:t xml:space="preserve"> Carcinogenicity data were available for twenty (20) of the compounds, with </w:t>
      </w:r>
      <w:r w:rsidR="00BD3F8C" w:rsidRPr="00A91056">
        <w:rPr>
          <w:rFonts w:cs="Arial"/>
          <w:szCs w:val="24"/>
        </w:rPr>
        <w:t>80</w:t>
      </w:r>
      <w:r w:rsidR="00AB2AB6" w:rsidRPr="00A91056">
        <w:rPr>
          <w:rFonts w:cs="Arial"/>
          <w:szCs w:val="24"/>
        </w:rPr>
        <w:t>% (1</w:t>
      </w:r>
      <w:r w:rsidR="00BD3F8C" w:rsidRPr="00A91056">
        <w:rPr>
          <w:rFonts w:cs="Arial"/>
          <w:szCs w:val="24"/>
        </w:rPr>
        <w:t>6</w:t>
      </w:r>
      <w:r w:rsidR="00AB2AB6" w:rsidRPr="00A91056">
        <w:rPr>
          <w:rFonts w:cs="Arial"/>
          <w:szCs w:val="24"/>
        </w:rPr>
        <w:t>/</w:t>
      </w:r>
      <w:r w:rsidR="00BD3F8C" w:rsidRPr="00A91056">
        <w:rPr>
          <w:rFonts w:cs="Arial"/>
          <w:szCs w:val="24"/>
        </w:rPr>
        <w:t>20</w:t>
      </w:r>
      <w:r w:rsidR="00AB2AB6" w:rsidRPr="00A91056">
        <w:rPr>
          <w:rFonts w:cs="Arial"/>
          <w:szCs w:val="24"/>
        </w:rPr>
        <w:t xml:space="preserve">) being positive and </w:t>
      </w:r>
      <w:r w:rsidR="003B450E" w:rsidRPr="00A91056">
        <w:rPr>
          <w:rFonts w:cs="Arial"/>
          <w:szCs w:val="24"/>
        </w:rPr>
        <w:t>5</w:t>
      </w:r>
      <w:r w:rsidR="00AB2AB6" w:rsidRPr="00A91056">
        <w:rPr>
          <w:rFonts w:cs="Arial"/>
          <w:szCs w:val="24"/>
        </w:rPr>
        <w:t>% (1/</w:t>
      </w:r>
      <w:r w:rsidR="00BD3F8C" w:rsidRPr="00A91056">
        <w:rPr>
          <w:rFonts w:cs="Arial"/>
          <w:szCs w:val="24"/>
        </w:rPr>
        <w:t>20</w:t>
      </w:r>
      <w:r w:rsidR="00AB2AB6" w:rsidRPr="00A91056">
        <w:rPr>
          <w:rFonts w:cs="Arial"/>
          <w:szCs w:val="24"/>
        </w:rPr>
        <w:t>) equivocal (</w:t>
      </w:r>
      <w:r w:rsidR="00AB2AB6" w:rsidRPr="00A91056">
        <w:rPr>
          <w:rFonts w:cs="Arial"/>
          <w:b/>
          <w:bCs/>
          <w:szCs w:val="24"/>
        </w:rPr>
        <w:t>Table 2</w:t>
      </w:r>
      <w:r w:rsidR="00AB2AB6" w:rsidRPr="00A91056">
        <w:rPr>
          <w:rFonts w:cs="Arial"/>
          <w:szCs w:val="24"/>
        </w:rPr>
        <w:t>).</w:t>
      </w:r>
      <w:r w:rsidR="00BA0103">
        <w:rPr>
          <w:rFonts w:cs="Arial"/>
          <w:szCs w:val="24"/>
        </w:rPr>
        <w:t xml:space="preserve"> </w:t>
      </w:r>
      <w:r w:rsidR="009E02D9">
        <w:rPr>
          <w:rFonts w:cs="Arial"/>
          <w:szCs w:val="24"/>
        </w:rPr>
        <w:t xml:space="preserve">Out of </w:t>
      </w:r>
      <w:r w:rsidR="00AD41C8">
        <w:rPr>
          <w:rFonts w:cs="Arial"/>
          <w:szCs w:val="24"/>
        </w:rPr>
        <w:t>sixteen (</w:t>
      </w:r>
      <w:r w:rsidR="0019522C">
        <w:rPr>
          <w:rFonts w:cs="Arial"/>
          <w:szCs w:val="24"/>
        </w:rPr>
        <w:t>16</w:t>
      </w:r>
      <w:r w:rsidR="00AD41C8">
        <w:rPr>
          <w:rFonts w:cs="Arial"/>
          <w:szCs w:val="24"/>
        </w:rPr>
        <w:t>)</w:t>
      </w:r>
      <w:r w:rsidR="0019522C">
        <w:rPr>
          <w:rFonts w:cs="Arial"/>
          <w:szCs w:val="24"/>
        </w:rPr>
        <w:t xml:space="preserve"> rodent carcinogens which tested positive in TEGA, </w:t>
      </w:r>
      <w:r w:rsidR="00AD41C8">
        <w:rPr>
          <w:rFonts w:cs="Arial"/>
          <w:szCs w:val="24"/>
        </w:rPr>
        <w:t>fourteen (</w:t>
      </w:r>
      <w:r w:rsidR="009A1A26">
        <w:rPr>
          <w:rFonts w:cs="Arial"/>
          <w:szCs w:val="24"/>
        </w:rPr>
        <w:t>14</w:t>
      </w:r>
      <w:r w:rsidR="00AD41C8">
        <w:rPr>
          <w:rFonts w:cs="Arial"/>
          <w:szCs w:val="24"/>
        </w:rPr>
        <w:t>)</w:t>
      </w:r>
      <w:r w:rsidR="009A1A26">
        <w:rPr>
          <w:rFonts w:cs="Arial"/>
          <w:szCs w:val="24"/>
        </w:rPr>
        <w:t xml:space="preserve"> (87.5%)</w:t>
      </w:r>
      <w:r w:rsidR="00AD41C8">
        <w:rPr>
          <w:rFonts w:cs="Arial"/>
          <w:szCs w:val="24"/>
        </w:rPr>
        <w:t xml:space="preserve"> </w:t>
      </w:r>
      <w:r w:rsidR="00851190">
        <w:rPr>
          <w:rFonts w:cs="Arial"/>
          <w:szCs w:val="24"/>
        </w:rPr>
        <w:t xml:space="preserve">(e.g., estragole, safrole, methyl eugenol, </w:t>
      </w:r>
      <w:r w:rsidR="0029467E">
        <w:rPr>
          <w:rFonts w:cs="Arial"/>
          <w:szCs w:val="24"/>
        </w:rPr>
        <w:t>2-acetylaminofluorene</w:t>
      </w:r>
      <w:r w:rsidR="008A2BB1">
        <w:rPr>
          <w:rFonts w:cs="Arial"/>
          <w:szCs w:val="24"/>
        </w:rPr>
        <w:t>, aflatoxin B</w:t>
      </w:r>
      <w:r w:rsidR="008A2BB1" w:rsidRPr="008A2BB1">
        <w:rPr>
          <w:rFonts w:cs="Arial"/>
          <w:szCs w:val="24"/>
          <w:vertAlign w:val="subscript"/>
        </w:rPr>
        <w:t>1</w:t>
      </w:r>
      <w:r w:rsidR="008A2BB1">
        <w:rPr>
          <w:rFonts w:cs="Arial"/>
          <w:szCs w:val="24"/>
        </w:rPr>
        <w:t xml:space="preserve">) </w:t>
      </w:r>
      <w:r w:rsidR="00F222A2">
        <w:rPr>
          <w:rFonts w:cs="Arial"/>
          <w:szCs w:val="24"/>
        </w:rPr>
        <w:t xml:space="preserve">were demonstrated to produce tumors in </w:t>
      </w:r>
      <w:r w:rsidR="00851190">
        <w:rPr>
          <w:rFonts w:cs="Arial"/>
          <w:szCs w:val="24"/>
        </w:rPr>
        <w:t xml:space="preserve">the livers of rodents. </w:t>
      </w:r>
    </w:p>
    <w:p w14:paraId="29861CE8" w14:textId="6ED9D3E1" w:rsidR="004B2F68" w:rsidRPr="00A91056" w:rsidRDefault="004B2F68" w:rsidP="00AB2AB6">
      <w:pPr>
        <w:rPr>
          <w:rFonts w:cs="Arial"/>
          <w:szCs w:val="24"/>
        </w:rPr>
      </w:pPr>
      <w:r>
        <w:rPr>
          <w:rFonts w:cs="Arial"/>
          <w:szCs w:val="24"/>
        </w:rPr>
        <w:t>Nutmeg and pimento</w:t>
      </w:r>
      <w:r w:rsidR="00170D97">
        <w:rPr>
          <w:rFonts w:cs="Arial"/>
          <w:szCs w:val="24"/>
        </w:rPr>
        <w:t xml:space="preserve"> berry</w:t>
      </w:r>
      <w:r>
        <w:rPr>
          <w:rFonts w:cs="Arial"/>
          <w:szCs w:val="24"/>
        </w:rPr>
        <w:t xml:space="preserve"> oils </w:t>
      </w:r>
      <w:r w:rsidR="00DB370E">
        <w:rPr>
          <w:rFonts w:cs="Arial"/>
          <w:szCs w:val="24"/>
        </w:rPr>
        <w:t xml:space="preserve">are complex mixtures </w:t>
      </w:r>
      <w:r w:rsidR="00967BE2">
        <w:rPr>
          <w:rFonts w:cs="Arial"/>
          <w:szCs w:val="24"/>
        </w:rPr>
        <w:t>which</w:t>
      </w:r>
      <w:r w:rsidR="00EE43DA">
        <w:rPr>
          <w:rFonts w:cs="Arial"/>
          <w:szCs w:val="24"/>
        </w:rPr>
        <w:t>,</w:t>
      </w:r>
      <w:r w:rsidR="00DB370E">
        <w:rPr>
          <w:rFonts w:cs="Arial"/>
          <w:szCs w:val="24"/>
        </w:rPr>
        <w:t xml:space="preserve"> </w:t>
      </w:r>
      <w:r w:rsidR="00EF2E65">
        <w:rPr>
          <w:rFonts w:cs="Arial"/>
          <w:szCs w:val="24"/>
        </w:rPr>
        <w:t>among other constituents</w:t>
      </w:r>
      <w:r w:rsidR="00EE43DA">
        <w:rPr>
          <w:rFonts w:cs="Arial"/>
          <w:szCs w:val="24"/>
        </w:rPr>
        <w:t>,</w:t>
      </w:r>
      <w:r w:rsidR="00EF2E65">
        <w:rPr>
          <w:rFonts w:cs="Arial"/>
          <w:szCs w:val="24"/>
        </w:rPr>
        <w:t xml:space="preserve"> contain </w:t>
      </w:r>
      <w:r w:rsidR="00AD2B9A">
        <w:rPr>
          <w:rFonts w:cs="Arial"/>
          <w:szCs w:val="24"/>
        </w:rPr>
        <w:t xml:space="preserve">genotoxic </w:t>
      </w:r>
      <w:r w:rsidR="00B51674">
        <w:rPr>
          <w:rFonts w:cs="Arial"/>
          <w:szCs w:val="24"/>
        </w:rPr>
        <w:t>carcinogens</w:t>
      </w:r>
      <w:r w:rsidR="00572B58">
        <w:rPr>
          <w:rFonts w:cs="Arial"/>
          <w:szCs w:val="24"/>
        </w:rPr>
        <w:t xml:space="preserve"> such as </w:t>
      </w:r>
      <w:r w:rsidR="00572B58" w:rsidRPr="00572B58">
        <w:rPr>
          <w:rFonts w:cs="Arial"/>
          <w:szCs w:val="24"/>
        </w:rPr>
        <w:t>myristicin, elemicin, safrole, methyl eugenol</w:t>
      </w:r>
      <w:r w:rsidR="0085015A">
        <w:rPr>
          <w:rFonts w:cs="Arial"/>
          <w:szCs w:val="24"/>
        </w:rPr>
        <w:t>,</w:t>
      </w:r>
      <w:r w:rsidR="00572B58">
        <w:rPr>
          <w:rFonts w:cs="Arial"/>
          <w:szCs w:val="24"/>
        </w:rPr>
        <w:t xml:space="preserve"> </w:t>
      </w:r>
      <w:r w:rsidR="00AD2B9A">
        <w:rPr>
          <w:rFonts w:cs="Arial"/>
          <w:szCs w:val="24"/>
        </w:rPr>
        <w:t xml:space="preserve">and </w:t>
      </w:r>
      <w:r w:rsidR="00572B58">
        <w:rPr>
          <w:rFonts w:cs="Arial"/>
          <w:szCs w:val="24"/>
        </w:rPr>
        <w:t>estragole</w:t>
      </w:r>
      <w:r w:rsidR="00AD2B9A">
        <w:rPr>
          <w:rFonts w:cs="Arial"/>
          <w:szCs w:val="24"/>
        </w:rPr>
        <w:t xml:space="preserve"> </w:t>
      </w:r>
      <w:r w:rsidR="00C4016A">
        <w:rPr>
          <w:rFonts w:cs="Arial"/>
          <w:noProof/>
          <w:szCs w:val="24"/>
        </w:rPr>
        <w:t>(Eisenreich et al. 2021)</w:t>
      </w:r>
      <w:r w:rsidR="00572B58">
        <w:rPr>
          <w:rFonts w:cs="Arial"/>
          <w:szCs w:val="24"/>
        </w:rPr>
        <w:t xml:space="preserve">. </w:t>
      </w:r>
      <w:r w:rsidR="00AD2B9A">
        <w:rPr>
          <w:rFonts w:cs="Arial"/>
          <w:szCs w:val="24"/>
        </w:rPr>
        <w:t>The oils were positive in TEGA, as were the consti</w:t>
      </w:r>
      <w:r w:rsidR="002F4320">
        <w:rPr>
          <w:rFonts w:cs="Arial"/>
          <w:szCs w:val="24"/>
        </w:rPr>
        <w:t xml:space="preserve">tuent </w:t>
      </w:r>
      <w:proofErr w:type="spellStart"/>
      <w:r w:rsidR="002F4320">
        <w:rPr>
          <w:rFonts w:cs="Arial"/>
          <w:szCs w:val="24"/>
        </w:rPr>
        <w:t>alkenylbenzenes</w:t>
      </w:r>
      <w:proofErr w:type="spellEnd"/>
      <w:r w:rsidR="002F4320">
        <w:rPr>
          <w:rFonts w:cs="Arial"/>
          <w:szCs w:val="24"/>
        </w:rPr>
        <w:t xml:space="preserve">. </w:t>
      </w:r>
    </w:p>
    <w:p w14:paraId="3841E203" w14:textId="07C51A48" w:rsidR="00BA696E" w:rsidRPr="00A91056" w:rsidRDefault="00C54926" w:rsidP="002F4320">
      <w:pPr>
        <w:rPr>
          <w:rFonts w:cs="Arial"/>
          <w:szCs w:val="24"/>
        </w:rPr>
      </w:pPr>
      <w:r w:rsidRPr="00A91056">
        <w:rPr>
          <w:rFonts w:cs="Arial"/>
          <w:szCs w:val="24"/>
        </w:rPr>
        <w:t>T</w:t>
      </w:r>
      <w:r w:rsidR="002B78AF" w:rsidRPr="00A91056">
        <w:rPr>
          <w:rFonts w:cs="Arial"/>
          <w:szCs w:val="24"/>
        </w:rPr>
        <w:t>he remaining</w:t>
      </w:r>
      <w:r w:rsidR="003A5AC2" w:rsidRPr="00A91056">
        <w:rPr>
          <w:rFonts w:cs="Arial"/>
          <w:szCs w:val="24"/>
        </w:rPr>
        <w:t xml:space="preserve"> </w:t>
      </w:r>
      <w:r w:rsidR="00877FD6" w:rsidRPr="00A91056">
        <w:rPr>
          <w:rFonts w:cs="Arial"/>
          <w:szCs w:val="24"/>
        </w:rPr>
        <w:t>twenty-eight</w:t>
      </w:r>
      <w:r w:rsidR="009967A2" w:rsidRPr="00A91056">
        <w:rPr>
          <w:rFonts w:cs="Arial"/>
          <w:szCs w:val="24"/>
        </w:rPr>
        <w:t xml:space="preserve"> (</w:t>
      </w:r>
      <w:r w:rsidR="00877FD6" w:rsidRPr="00A91056">
        <w:rPr>
          <w:rFonts w:cs="Arial"/>
          <w:szCs w:val="24"/>
        </w:rPr>
        <w:t>28</w:t>
      </w:r>
      <w:r w:rsidR="009967A2" w:rsidRPr="00A91056">
        <w:rPr>
          <w:rFonts w:cs="Arial"/>
          <w:szCs w:val="24"/>
        </w:rPr>
        <w:t>) compounds</w:t>
      </w:r>
      <w:r w:rsidR="00313B0B" w:rsidRPr="00A91056">
        <w:rPr>
          <w:rFonts w:cs="Arial"/>
          <w:szCs w:val="24"/>
        </w:rPr>
        <w:t xml:space="preserve"> (</w:t>
      </w:r>
      <w:r w:rsidR="00690778" w:rsidRPr="00A91056">
        <w:rPr>
          <w:rFonts w:cs="Arial"/>
          <w:szCs w:val="24"/>
        </w:rPr>
        <w:t>47</w:t>
      </w:r>
      <w:r w:rsidR="0054045F" w:rsidRPr="00A91056">
        <w:rPr>
          <w:rFonts w:cs="Arial"/>
          <w:szCs w:val="24"/>
        </w:rPr>
        <w:t>.5</w:t>
      </w:r>
      <w:r w:rsidRPr="00A91056">
        <w:rPr>
          <w:rFonts w:cs="Arial"/>
          <w:szCs w:val="24"/>
        </w:rPr>
        <w:t>%</w:t>
      </w:r>
      <w:r w:rsidR="00313B0B" w:rsidRPr="00A91056">
        <w:rPr>
          <w:rFonts w:cs="Arial"/>
          <w:szCs w:val="24"/>
        </w:rPr>
        <w:t xml:space="preserve">) were negative in both </w:t>
      </w:r>
      <w:r w:rsidR="00E46C47" w:rsidRPr="00A91056">
        <w:rPr>
          <w:rFonts w:cs="Arial"/>
          <w:szCs w:val="24"/>
        </w:rPr>
        <w:t xml:space="preserve">the </w:t>
      </w:r>
      <w:r w:rsidRPr="00A91056">
        <w:rPr>
          <w:rFonts w:cs="Arial"/>
          <w:szCs w:val="24"/>
        </w:rPr>
        <w:t xml:space="preserve">NPL and comet </w:t>
      </w:r>
      <w:r w:rsidR="00313B0B" w:rsidRPr="00A91056">
        <w:rPr>
          <w:rFonts w:cs="Arial"/>
          <w:szCs w:val="24"/>
        </w:rPr>
        <w:t>assays</w:t>
      </w:r>
      <w:r w:rsidRPr="00A91056">
        <w:rPr>
          <w:rFonts w:cs="Arial"/>
          <w:szCs w:val="24"/>
        </w:rPr>
        <w:t xml:space="preserve"> in TEGA</w:t>
      </w:r>
      <w:r w:rsidR="00B43FE7" w:rsidRPr="00A91056">
        <w:rPr>
          <w:rFonts w:cs="Arial"/>
          <w:szCs w:val="24"/>
        </w:rPr>
        <w:t>.</w:t>
      </w:r>
      <w:r w:rsidR="0040319E" w:rsidRPr="00A91056">
        <w:rPr>
          <w:rFonts w:cs="Arial"/>
          <w:szCs w:val="24"/>
        </w:rPr>
        <w:t xml:space="preserve"> All </w:t>
      </w:r>
      <w:r w:rsidR="0078499C" w:rsidRPr="00A91056">
        <w:rPr>
          <w:rFonts w:cs="Arial"/>
          <w:szCs w:val="24"/>
        </w:rPr>
        <w:t xml:space="preserve">of these were also previously </w:t>
      </w:r>
      <w:r w:rsidR="00BF05E0" w:rsidRPr="00A91056">
        <w:rPr>
          <w:rFonts w:cs="Arial"/>
          <w:szCs w:val="24"/>
        </w:rPr>
        <w:t>assessed</w:t>
      </w:r>
      <w:r w:rsidR="0078499C" w:rsidRPr="00A91056">
        <w:rPr>
          <w:rFonts w:cs="Arial"/>
          <w:szCs w:val="24"/>
        </w:rPr>
        <w:t xml:space="preserve"> in vitro, with eighteen (</w:t>
      </w:r>
      <w:r w:rsidR="0040319E" w:rsidRPr="00A91056">
        <w:rPr>
          <w:rFonts w:cs="Arial"/>
          <w:szCs w:val="24"/>
        </w:rPr>
        <w:t>18</w:t>
      </w:r>
      <w:r w:rsidR="0078499C" w:rsidRPr="00A91056">
        <w:rPr>
          <w:rFonts w:cs="Arial"/>
          <w:szCs w:val="24"/>
        </w:rPr>
        <w:t>) compounds</w:t>
      </w:r>
      <w:r w:rsidR="00553AB5" w:rsidRPr="00A91056">
        <w:rPr>
          <w:rFonts w:cs="Arial"/>
          <w:szCs w:val="24"/>
        </w:rPr>
        <w:t xml:space="preserve"> (</w:t>
      </w:r>
      <w:r w:rsidR="005B29D2" w:rsidRPr="00A91056">
        <w:rPr>
          <w:rFonts w:cs="Arial"/>
          <w:szCs w:val="24"/>
        </w:rPr>
        <w:t>64%</w:t>
      </w:r>
      <w:r w:rsidR="00553AB5" w:rsidRPr="00A91056">
        <w:rPr>
          <w:rFonts w:cs="Arial"/>
          <w:szCs w:val="24"/>
        </w:rPr>
        <w:t>) producing positive outcomes in at least one of the assay</w:t>
      </w:r>
      <w:r w:rsidR="00AA776B" w:rsidRPr="00A91056">
        <w:rPr>
          <w:rFonts w:cs="Arial"/>
          <w:szCs w:val="24"/>
        </w:rPr>
        <w:t>s</w:t>
      </w:r>
      <w:r w:rsidR="003342D0" w:rsidRPr="00A91056">
        <w:rPr>
          <w:rFonts w:cs="Arial"/>
          <w:szCs w:val="24"/>
        </w:rPr>
        <w:t>.</w:t>
      </w:r>
      <w:r w:rsidR="00612074" w:rsidRPr="00A91056">
        <w:rPr>
          <w:rFonts w:cs="Arial"/>
          <w:szCs w:val="24"/>
        </w:rPr>
        <w:t xml:space="preserve"> </w:t>
      </w:r>
      <w:r w:rsidR="003342D0" w:rsidRPr="00A91056">
        <w:rPr>
          <w:rFonts w:cs="Arial"/>
          <w:szCs w:val="24"/>
        </w:rPr>
        <w:t>Among</w:t>
      </w:r>
      <w:r w:rsidR="00612074" w:rsidRPr="00A91056">
        <w:rPr>
          <w:rFonts w:cs="Arial"/>
          <w:szCs w:val="24"/>
        </w:rPr>
        <w:t xml:space="preserve"> </w:t>
      </w:r>
      <w:r w:rsidR="00AA776B" w:rsidRPr="00A91056">
        <w:rPr>
          <w:rFonts w:cs="Arial"/>
          <w:szCs w:val="24"/>
        </w:rPr>
        <w:t>twenty-seven</w:t>
      </w:r>
      <w:r w:rsidR="00DE6A6D" w:rsidRPr="00A91056">
        <w:rPr>
          <w:rFonts w:cs="Arial"/>
          <w:szCs w:val="24"/>
        </w:rPr>
        <w:t xml:space="preserve"> (27) compounds tested in vivo, only </w:t>
      </w:r>
      <w:r w:rsidR="00364CE6" w:rsidRPr="00A91056">
        <w:rPr>
          <w:rFonts w:cs="Arial"/>
          <w:szCs w:val="24"/>
        </w:rPr>
        <w:t xml:space="preserve">nine (9) </w:t>
      </w:r>
      <w:r w:rsidR="00A57A90" w:rsidRPr="00A91056">
        <w:rPr>
          <w:rFonts w:cs="Arial"/>
          <w:szCs w:val="24"/>
        </w:rPr>
        <w:t>(33%) were positive</w:t>
      </w:r>
      <w:r w:rsidR="00173E20" w:rsidRPr="00A91056">
        <w:rPr>
          <w:rFonts w:cs="Arial"/>
          <w:szCs w:val="24"/>
        </w:rPr>
        <w:t xml:space="preserve"> (</w:t>
      </w:r>
      <w:r w:rsidR="00173E20" w:rsidRPr="00A91056">
        <w:rPr>
          <w:rFonts w:cs="Arial"/>
          <w:b/>
          <w:bCs/>
          <w:szCs w:val="24"/>
        </w:rPr>
        <w:t>Table 2</w:t>
      </w:r>
      <w:r w:rsidR="00173E20" w:rsidRPr="00A91056">
        <w:rPr>
          <w:rFonts w:cs="Arial"/>
          <w:szCs w:val="24"/>
        </w:rPr>
        <w:t>)</w:t>
      </w:r>
      <w:r w:rsidR="00A57A90" w:rsidRPr="00A91056">
        <w:rPr>
          <w:rFonts w:cs="Arial"/>
          <w:szCs w:val="24"/>
        </w:rPr>
        <w:t xml:space="preserve">. </w:t>
      </w:r>
      <w:r w:rsidR="00A434D9" w:rsidRPr="00A91056">
        <w:rPr>
          <w:rFonts w:cs="Arial"/>
          <w:szCs w:val="24"/>
        </w:rPr>
        <w:t xml:space="preserve">Finally, </w:t>
      </w:r>
      <w:r w:rsidR="00172D77" w:rsidRPr="00A91056">
        <w:rPr>
          <w:rFonts w:cs="Arial"/>
          <w:szCs w:val="24"/>
        </w:rPr>
        <w:t xml:space="preserve">out of eighteen (18) compounds </w:t>
      </w:r>
      <w:r w:rsidR="00BF05E0" w:rsidRPr="00A91056">
        <w:rPr>
          <w:rFonts w:cs="Arial"/>
          <w:szCs w:val="24"/>
        </w:rPr>
        <w:t>assessed</w:t>
      </w:r>
      <w:r w:rsidR="00172D77" w:rsidRPr="00A91056">
        <w:rPr>
          <w:rFonts w:cs="Arial"/>
          <w:szCs w:val="24"/>
        </w:rPr>
        <w:t xml:space="preserve"> for </w:t>
      </w:r>
      <w:r w:rsidR="00A434D9" w:rsidRPr="00A91056">
        <w:rPr>
          <w:rFonts w:cs="Arial"/>
          <w:szCs w:val="24"/>
        </w:rPr>
        <w:t>carcinogenic</w:t>
      </w:r>
      <w:r w:rsidR="00172D77" w:rsidRPr="00A91056">
        <w:rPr>
          <w:rFonts w:cs="Arial"/>
          <w:szCs w:val="24"/>
        </w:rPr>
        <w:t xml:space="preserve"> potential</w:t>
      </w:r>
      <w:r w:rsidR="00614AE8" w:rsidRPr="00A91056">
        <w:rPr>
          <w:rFonts w:cs="Arial"/>
          <w:szCs w:val="24"/>
        </w:rPr>
        <w:t>, twelve (12) (66.5%) were positive and one (1</w:t>
      </w:r>
      <w:r w:rsidR="008B756C" w:rsidRPr="00A91056">
        <w:rPr>
          <w:rFonts w:cs="Arial"/>
          <w:szCs w:val="24"/>
        </w:rPr>
        <w:t>) (5.5%) equivocal.</w:t>
      </w:r>
      <w:r w:rsidR="00172D77" w:rsidRPr="00A91056">
        <w:rPr>
          <w:rFonts w:cs="Arial"/>
          <w:szCs w:val="24"/>
        </w:rPr>
        <w:t xml:space="preserve"> </w:t>
      </w:r>
      <w:r w:rsidR="00BA696E" w:rsidRPr="00A91056">
        <w:rPr>
          <w:rFonts w:cs="Arial"/>
          <w:szCs w:val="24"/>
        </w:rPr>
        <w:br w:type="page"/>
      </w:r>
    </w:p>
    <w:p w14:paraId="325736C7" w14:textId="77777777" w:rsidR="00111089" w:rsidRPr="00A91056" w:rsidRDefault="00111089" w:rsidP="00BA696E">
      <w:pPr>
        <w:ind w:firstLine="0"/>
        <w:sectPr w:rsidR="00111089" w:rsidRPr="00A91056" w:rsidSect="00C52F5B">
          <w:footerReference w:type="default" r:id="rId14"/>
          <w:pgSz w:w="12240" w:h="15840"/>
          <w:pgMar w:top="1440" w:right="1440" w:bottom="1440" w:left="1440" w:header="720" w:footer="720" w:gutter="0"/>
          <w:lnNumType w:countBy="1" w:restart="continuous"/>
          <w:cols w:space="720"/>
          <w:docGrid w:linePitch="360"/>
        </w:sectPr>
      </w:pPr>
    </w:p>
    <w:p w14:paraId="1CA7182A" w14:textId="003B0E91" w:rsidR="00BA696E" w:rsidRPr="00A91056" w:rsidRDefault="002E3685" w:rsidP="002E3685">
      <w:pPr>
        <w:pStyle w:val="Caption"/>
      </w:pPr>
      <w:r w:rsidRPr="00A91056">
        <w:rPr>
          <w:b w:val="0"/>
          <w:bCs/>
        </w:rPr>
        <w:lastRenderedPageBreak/>
        <w:t xml:space="preserve">Table </w:t>
      </w:r>
      <w:r w:rsidRPr="00A91056">
        <w:rPr>
          <w:b w:val="0"/>
          <w:bCs/>
        </w:rPr>
        <w:fldChar w:fldCharType="begin"/>
      </w:r>
      <w:r w:rsidRPr="00A91056">
        <w:rPr>
          <w:b w:val="0"/>
          <w:bCs/>
        </w:rPr>
        <w:instrText xml:space="preserve"> SEQ Table \* ARABIC </w:instrText>
      </w:r>
      <w:r w:rsidRPr="00A91056">
        <w:rPr>
          <w:b w:val="0"/>
          <w:bCs/>
        </w:rPr>
        <w:fldChar w:fldCharType="separate"/>
      </w:r>
      <w:r w:rsidR="00B51674">
        <w:rPr>
          <w:b w:val="0"/>
          <w:bCs/>
          <w:noProof/>
        </w:rPr>
        <w:t>1</w:t>
      </w:r>
      <w:r w:rsidRPr="00A91056">
        <w:rPr>
          <w:b w:val="0"/>
          <w:bCs/>
        </w:rPr>
        <w:fldChar w:fldCharType="end"/>
      </w:r>
      <w:r w:rsidR="00BA696E" w:rsidRPr="00A91056">
        <w:t xml:space="preserve">. Outcomes in the </w:t>
      </w:r>
      <w:r w:rsidRPr="00A91056">
        <w:t>C</w:t>
      </w:r>
      <w:r w:rsidR="00BA696E" w:rsidRPr="00A91056">
        <w:t xml:space="preserve">hicken </w:t>
      </w:r>
      <w:r w:rsidRPr="00A91056">
        <w:t>E</w:t>
      </w:r>
      <w:r w:rsidR="00BA696E" w:rsidRPr="00A91056">
        <w:t xml:space="preserve">gg </w:t>
      </w:r>
      <w:r w:rsidRPr="00A91056">
        <w:t>Genotoxicity A</w:t>
      </w:r>
      <w:r w:rsidR="00BA696E" w:rsidRPr="00A91056">
        <w:t>ssay</w:t>
      </w:r>
      <w:r w:rsidR="004C33F8" w:rsidRPr="00A91056">
        <w:t xml:space="preserve"> (CEGA) compared </w:t>
      </w:r>
      <w:r w:rsidR="0012706A">
        <w:t xml:space="preserve">to </w:t>
      </w:r>
      <w:r w:rsidR="004C33F8" w:rsidRPr="00A91056">
        <w:t>selected in vitro and vivo genotoxicity data and carcinogenicity in rodents</w:t>
      </w:r>
      <w:r w:rsidR="00C056C9" w:rsidRPr="00A91056">
        <w:t>.</w:t>
      </w:r>
    </w:p>
    <w:tbl>
      <w:tblPr>
        <w:tblW w:w="5000" w:type="pct"/>
        <w:tblBorders>
          <w:top w:val="single" w:sz="4" w:space="0" w:color="auto"/>
          <w:insideH w:val="single" w:sz="4" w:space="0" w:color="auto"/>
        </w:tblBorders>
        <w:tblLayout w:type="fixed"/>
        <w:tblCellMar>
          <w:left w:w="43" w:type="dxa"/>
          <w:right w:w="43" w:type="dxa"/>
        </w:tblCellMar>
        <w:tblLook w:val="04A0" w:firstRow="1" w:lastRow="0" w:firstColumn="1" w:lastColumn="0" w:noHBand="0" w:noVBand="1"/>
      </w:tblPr>
      <w:tblGrid>
        <w:gridCol w:w="2432"/>
        <w:gridCol w:w="1078"/>
        <w:gridCol w:w="1441"/>
        <w:gridCol w:w="455"/>
        <w:gridCol w:w="717"/>
        <w:gridCol w:w="452"/>
        <w:gridCol w:w="809"/>
        <w:gridCol w:w="631"/>
        <w:gridCol w:w="720"/>
        <w:gridCol w:w="452"/>
        <w:gridCol w:w="449"/>
        <w:gridCol w:w="720"/>
        <w:gridCol w:w="631"/>
        <w:gridCol w:w="107"/>
        <w:gridCol w:w="524"/>
        <w:gridCol w:w="539"/>
        <w:gridCol w:w="449"/>
        <w:gridCol w:w="452"/>
        <w:gridCol w:w="720"/>
        <w:gridCol w:w="622"/>
      </w:tblGrid>
      <w:tr w:rsidR="0007664D" w:rsidRPr="00A91056" w14:paraId="5AE405A9" w14:textId="77777777" w:rsidTr="009E4782">
        <w:trPr>
          <w:trHeight w:val="300"/>
          <w:tblHeader/>
        </w:trPr>
        <w:tc>
          <w:tcPr>
            <w:tcW w:w="844" w:type="pct"/>
            <w:vMerge w:val="restart"/>
            <w:shd w:val="clear" w:color="auto" w:fill="auto"/>
            <w:vAlign w:val="center"/>
            <w:hideMark/>
          </w:tcPr>
          <w:p w14:paraId="06C90074" w14:textId="208294A5" w:rsidR="003577C4" w:rsidRPr="00A91056" w:rsidRDefault="003577C4" w:rsidP="004326DC">
            <w:pPr>
              <w:widowControl/>
              <w:spacing w:line="240" w:lineRule="auto"/>
              <w:ind w:firstLine="0"/>
              <w:rPr>
                <w:rFonts w:eastAsia="Times New Roman" w:cs="Arial"/>
                <w:b/>
                <w:bCs/>
                <w:color w:val="000000"/>
                <w:sz w:val="18"/>
                <w:szCs w:val="18"/>
              </w:rPr>
            </w:pPr>
            <w:r w:rsidRPr="00A91056">
              <w:rPr>
                <w:rFonts w:eastAsia="Times New Roman" w:cs="Arial"/>
                <w:b/>
                <w:bCs/>
                <w:color w:val="000000"/>
                <w:sz w:val="18"/>
                <w:szCs w:val="18"/>
              </w:rPr>
              <w:t>Compound</w:t>
            </w:r>
          </w:p>
        </w:tc>
        <w:tc>
          <w:tcPr>
            <w:tcW w:w="374" w:type="pct"/>
            <w:vMerge w:val="restart"/>
            <w:shd w:val="clear" w:color="auto" w:fill="auto"/>
            <w:vAlign w:val="center"/>
            <w:hideMark/>
          </w:tcPr>
          <w:p w14:paraId="68231D1B" w14:textId="0DE63D0B" w:rsidR="003577C4" w:rsidRPr="00A91056" w:rsidRDefault="003577C4" w:rsidP="00E329EF">
            <w:pPr>
              <w:widowControl/>
              <w:spacing w:line="240" w:lineRule="auto"/>
              <w:ind w:firstLine="0"/>
              <w:jc w:val="center"/>
              <w:rPr>
                <w:rFonts w:eastAsia="Times New Roman" w:cs="Arial"/>
                <w:b/>
                <w:bCs/>
                <w:color w:val="000000"/>
                <w:sz w:val="18"/>
                <w:szCs w:val="18"/>
              </w:rPr>
            </w:pPr>
            <w:r w:rsidRPr="00A91056">
              <w:rPr>
                <w:rFonts w:eastAsia="Times New Roman" w:cs="Arial"/>
                <w:b/>
                <w:bCs/>
                <w:color w:val="000000"/>
                <w:sz w:val="18"/>
                <w:szCs w:val="18"/>
              </w:rPr>
              <w:t>CAS #</w:t>
            </w:r>
          </w:p>
        </w:tc>
        <w:tc>
          <w:tcPr>
            <w:tcW w:w="1064" w:type="pct"/>
            <w:gridSpan w:val="4"/>
            <w:shd w:val="clear" w:color="auto" w:fill="auto"/>
            <w:vAlign w:val="center"/>
          </w:tcPr>
          <w:p w14:paraId="2C3FA797" w14:textId="33595FD6" w:rsidR="003577C4" w:rsidRPr="00A91056" w:rsidRDefault="003577C4" w:rsidP="00E329EF">
            <w:pPr>
              <w:widowControl/>
              <w:spacing w:line="240" w:lineRule="auto"/>
              <w:ind w:firstLine="0"/>
              <w:jc w:val="center"/>
              <w:rPr>
                <w:rFonts w:eastAsia="Times New Roman" w:cs="Arial"/>
                <w:b/>
                <w:bCs/>
                <w:color w:val="000000"/>
                <w:sz w:val="18"/>
                <w:szCs w:val="18"/>
              </w:rPr>
            </w:pPr>
            <w:r w:rsidRPr="00A91056">
              <w:rPr>
                <w:rFonts w:eastAsia="Times New Roman" w:cs="Arial"/>
                <w:b/>
                <w:bCs/>
                <w:color w:val="000000"/>
                <w:sz w:val="18"/>
                <w:szCs w:val="18"/>
              </w:rPr>
              <w:t>CEGA</w:t>
            </w:r>
          </w:p>
        </w:tc>
        <w:tc>
          <w:tcPr>
            <w:tcW w:w="281" w:type="pct"/>
            <w:vMerge w:val="restart"/>
            <w:shd w:val="clear" w:color="auto" w:fill="auto"/>
            <w:vAlign w:val="center"/>
            <w:hideMark/>
          </w:tcPr>
          <w:p w14:paraId="210D22ED" w14:textId="1C190913" w:rsidR="003577C4" w:rsidRPr="00A91056" w:rsidRDefault="003577C4" w:rsidP="00E329EF">
            <w:pPr>
              <w:spacing w:line="240" w:lineRule="auto"/>
              <w:ind w:firstLine="0"/>
              <w:jc w:val="center"/>
              <w:rPr>
                <w:rFonts w:eastAsia="Times New Roman" w:cs="Arial"/>
                <w:b/>
                <w:bCs/>
                <w:color w:val="000000"/>
                <w:sz w:val="18"/>
                <w:szCs w:val="18"/>
              </w:rPr>
            </w:pPr>
            <w:r w:rsidRPr="00A91056">
              <w:rPr>
                <w:rFonts w:eastAsia="Times New Roman" w:cs="Arial"/>
                <w:b/>
                <w:bCs/>
                <w:color w:val="000000"/>
                <w:sz w:val="18"/>
                <w:szCs w:val="18"/>
              </w:rPr>
              <w:t xml:space="preserve">DNA </w:t>
            </w:r>
            <w:r w:rsidR="00273A83" w:rsidRPr="00A91056">
              <w:rPr>
                <w:rFonts w:eastAsia="Times New Roman" w:cs="Arial"/>
                <w:b/>
                <w:bCs/>
                <w:color w:val="000000"/>
                <w:sz w:val="18"/>
                <w:szCs w:val="18"/>
              </w:rPr>
              <w:t>a</w:t>
            </w:r>
            <w:r w:rsidRPr="00A91056">
              <w:rPr>
                <w:rFonts w:eastAsia="Times New Roman" w:cs="Arial"/>
                <w:b/>
                <w:bCs/>
                <w:color w:val="000000"/>
                <w:sz w:val="18"/>
                <w:szCs w:val="18"/>
              </w:rPr>
              <w:t>dducts</w:t>
            </w:r>
          </w:p>
        </w:tc>
        <w:tc>
          <w:tcPr>
            <w:tcW w:w="1251" w:type="pct"/>
            <w:gridSpan w:val="6"/>
            <w:shd w:val="clear" w:color="auto" w:fill="auto"/>
            <w:vAlign w:val="center"/>
            <w:hideMark/>
          </w:tcPr>
          <w:p w14:paraId="206234DB" w14:textId="355CFCC7" w:rsidR="003577C4" w:rsidRPr="00A91056" w:rsidRDefault="003577C4" w:rsidP="00E329EF">
            <w:pPr>
              <w:widowControl/>
              <w:spacing w:line="240" w:lineRule="auto"/>
              <w:ind w:firstLine="0"/>
              <w:jc w:val="center"/>
              <w:rPr>
                <w:rFonts w:eastAsia="Times New Roman" w:cs="Arial"/>
                <w:b/>
                <w:bCs/>
                <w:color w:val="000000"/>
                <w:sz w:val="18"/>
                <w:szCs w:val="18"/>
              </w:rPr>
            </w:pPr>
            <w:r w:rsidRPr="00A91056">
              <w:rPr>
                <w:rFonts w:eastAsia="Times New Roman" w:cs="Arial"/>
                <w:b/>
                <w:bCs/>
                <w:color w:val="000000"/>
                <w:sz w:val="18"/>
                <w:szCs w:val="18"/>
              </w:rPr>
              <w:t xml:space="preserve">In vitro genotoxicity </w:t>
            </w:r>
            <w:r w:rsidRPr="00A91056">
              <w:rPr>
                <w:rFonts w:eastAsia="Times New Roman" w:cs="Arial"/>
                <w:b/>
                <w:bCs/>
                <w:color w:val="000000"/>
                <w:sz w:val="18"/>
                <w:szCs w:val="18"/>
                <w:vertAlign w:val="superscript"/>
              </w:rPr>
              <w:t>c, d</w:t>
            </w:r>
          </w:p>
        </w:tc>
        <w:tc>
          <w:tcPr>
            <w:tcW w:w="37" w:type="pct"/>
            <w:tcBorders>
              <w:bottom w:val="nil"/>
            </w:tcBorders>
            <w:shd w:val="clear" w:color="auto" w:fill="auto"/>
            <w:vAlign w:val="center"/>
            <w:hideMark/>
          </w:tcPr>
          <w:p w14:paraId="737C826B" w14:textId="77777777" w:rsidR="003577C4" w:rsidRPr="00A91056" w:rsidRDefault="003577C4" w:rsidP="00E329EF">
            <w:pPr>
              <w:widowControl/>
              <w:spacing w:line="240" w:lineRule="auto"/>
              <w:ind w:firstLine="0"/>
              <w:jc w:val="center"/>
              <w:rPr>
                <w:rFonts w:eastAsia="Times New Roman" w:cs="Arial"/>
                <w:b/>
                <w:bCs/>
                <w:color w:val="000000"/>
                <w:sz w:val="18"/>
                <w:szCs w:val="18"/>
              </w:rPr>
            </w:pPr>
          </w:p>
        </w:tc>
        <w:tc>
          <w:tcPr>
            <w:tcW w:w="932" w:type="pct"/>
            <w:gridSpan w:val="5"/>
            <w:shd w:val="clear" w:color="auto" w:fill="auto"/>
            <w:vAlign w:val="center"/>
          </w:tcPr>
          <w:p w14:paraId="1F0EC52D" w14:textId="61DEBDB8" w:rsidR="003577C4" w:rsidRPr="00A91056" w:rsidRDefault="003577C4" w:rsidP="00E329EF">
            <w:pPr>
              <w:widowControl/>
              <w:spacing w:line="240" w:lineRule="auto"/>
              <w:ind w:firstLine="0"/>
              <w:jc w:val="center"/>
              <w:rPr>
                <w:rFonts w:eastAsia="Times New Roman" w:cs="Arial"/>
                <w:b/>
                <w:bCs/>
                <w:color w:val="000000"/>
                <w:sz w:val="18"/>
                <w:szCs w:val="18"/>
              </w:rPr>
            </w:pPr>
            <w:r w:rsidRPr="00A91056">
              <w:rPr>
                <w:rFonts w:eastAsia="Times New Roman" w:cs="Arial"/>
                <w:b/>
                <w:bCs/>
                <w:color w:val="000000"/>
                <w:sz w:val="18"/>
                <w:szCs w:val="18"/>
              </w:rPr>
              <w:t xml:space="preserve">In vivo genotoxicity </w:t>
            </w:r>
            <w:r w:rsidRPr="00A91056">
              <w:rPr>
                <w:rFonts w:eastAsia="Times New Roman" w:cs="Arial"/>
                <w:b/>
                <w:bCs/>
                <w:color w:val="000000"/>
                <w:sz w:val="18"/>
                <w:szCs w:val="18"/>
                <w:vertAlign w:val="superscript"/>
              </w:rPr>
              <w:t>c</w:t>
            </w:r>
          </w:p>
        </w:tc>
        <w:tc>
          <w:tcPr>
            <w:tcW w:w="216" w:type="pct"/>
            <w:vMerge w:val="restart"/>
            <w:shd w:val="clear" w:color="auto" w:fill="auto"/>
            <w:vAlign w:val="center"/>
            <w:hideMark/>
          </w:tcPr>
          <w:p w14:paraId="1BE92959" w14:textId="1D1FFC83" w:rsidR="003577C4" w:rsidRPr="00A91056" w:rsidRDefault="003577C4" w:rsidP="00E329EF">
            <w:pPr>
              <w:widowControl/>
              <w:spacing w:line="240" w:lineRule="auto"/>
              <w:ind w:firstLine="0"/>
              <w:jc w:val="center"/>
              <w:rPr>
                <w:rFonts w:eastAsia="Times New Roman" w:cs="Arial"/>
                <w:b/>
                <w:bCs/>
                <w:color w:val="000000"/>
                <w:sz w:val="18"/>
                <w:szCs w:val="18"/>
              </w:rPr>
            </w:pPr>
            <w:r w:rsidRPr="00A91056">
              <w:rPr>
                <w:rFonts w:eastAsia="Times New Roman" w:cs="Arial"/>
                <w:b/>
                <w:bCs/>
                <w:color w:val="000000"/>
                <w:sz w:val="18"/>
                <w:szCs w:val="18"/>
              </w:rPr>
              <w:t xml:space="preserve">CARC </w:t>
            </w:r>
            <w:r w:rsidRPr="00A91056">
              <w:rPr>
                <w:rFonts w:eastAsia="Times New Roman" w:cs="Arial"/>
                <w:b/>
                <w:bCs/>
                <w:color w:val="000000"/>
                <w:sz w:val="18"/>
                <w:szCs w:val="18"/>
                <w:vertAlign w:val="superscript"/>
              </w:rPr>
              <w:t>c, e</w:t>
            </w:r>
          </w:p>
        </w:tc>
      </w:tr>
      <w:tr w:rsidR="0007664D" w:rsidRPr="00A91056" w14:paraId="068826EE" w14:textId="77777777" w:rsidTr="00A576CB">
        <w:trPr>
          <w:trHeight w:val="330"/>
          <w:tblHeader/>
        </w:trPr>
        <w:tc>
          <w:tcPr>
            <w:tcW w:w="844" w:type="pct"/>
            <w:vMerge/>
            <w:shd w:val="clear" w:color="auto" w:fill="auto"/>
            <w:vAlign w:val="center"/>
            <w:hideMark/>
          </w:tcPr>
          <w:p w14:paraId="78BA056C" w14:textId="77777777" w:rsidR="00F7022B" w:rsidRPr="00A91056" w:rsidRDefault="00F7022B" w:rsidP="00440A6C">
            <w:pPr>
              <w:widowControl/>
              <w:spacing w:line="240" w:lineRule="auto"/>
              <w:ind w:firstLine="0"/>
              <w:rPr>
                <w:rFonts w:eastAsia="Times New Roman" w:cs="Arial"/>
                <w:b/>
                <w:bCs/>
                <w:color w:val="000000"/>
                <w:sz w:val="18"/>
                <w:szCs w:val="18"/>
              </w:rPr>
            </w:pPr>
          </w:p>
        </w:tc>
        <w:tc>
          <w:tcPr>
            <w:tcW w:w="374" w:type="pct"/>
            <w:vMerge/>
            <w:shd w:val="clear" w:color="auto" w:fill="auto"/>
            <w:vAlign w:val="center"/>
            <w:hideMark/>
          </w:tcPr>
          <w:p w14:paraId="136F090E" w14:textId="77777777" w:rsidR="00F7022B" w:rsidRPr="00A91056" w:rsidRDefault="00F7022B" w:rsidP="00E329EF">
            <w:pPr>
              <w:widowControl/>
              <w:spacing w:line="240" w:lineRule="auto"/>
              <w:ind w:firstLine="0"/>
              <w:jc w:val="center"/>
              <w:rPr>
                <w:rFonts w:eastAsia="Times New Roman" w:cs="Arial"/>
                <w:sz w:val="18"/>
                <w:szCs w:val="18"/>
              </w:rPr>
            </w:pPr>
          </w:p>
        </w:tc>
        <w:tc>
          <w:tcPr>
            <w:tcW w:w="500" w:type="pct"/>
            <w:shd w:val="clear" w:color="auto" w:fill="auto"/>
            <w:vAlign w:val="center"/>
            <w:hideMark/>
          </w:tcPr>
          <w:p w14:paraId="25BB2BA3" w14:textId="56E36238" w:rsidR="00F7022B" w:rsidRPr="00A91056" w:rsidRDefault="00F7022B" w:rsidP="00E329EF">
            <w:pPr>
              <w:widowControl/>
              <w:spacing w:line="240" w:lineRule="auto"/>
              <w:ind w:firstLine="0"/>
              <w:jc w:val="center"/>
              <w:rPr>
                <w:rFonts w:eastAsia="Times New Roman" w:cs="Arial"/>
                <w:sz w:val="18"/>
                <w:szCs w:val="18"/>
              </w:rPr>
            </w:pPr>
            <w:r w:rsidRPr="00A91056">
              <w:rPr>
                <w:rFonts w:eastAsia="Times New Roman" w:cs="Arial"/>
                <w:b/>
                <w:bCs/>
                <w:color w:val="000000"/>
                <w:sz w:val="18"/>
                <w:szCs w:val="18"/>
              </w:rPr>
              <w:t>Tested dosages, mg/egg</w:t>
            </w:r>
          </w:p>
        </w:tc>
        <w:tc>
          <w:tcPr>
            <w:tcW w:w="158" w:type="pct"/>
            <w:shd w:val="clear" w:color="auto" w:fill="auto"/>
            <w:vAlign w:val="center"/>
            <w:hideMark/>
          </w:tcPr>
          <w:p w14:paraId="1885E5FB" w14:textId="77777777" w:rsidR="00F7022B" w:rsidRPr="00A91056" w:rsidRDefault="00F7022B" w:rsidP="00E329EF">
            <w:pPr>
              <w:widowControl/>
              <w:spacing w:line="240" w:lineRule="auto"/>
              <w:ind w:firstLine="0"/>
              <w:jc w:val="center"/>
              <w:rPr>
                <w:rFonts w:eastAsia="Times New Roman" w:cs="Arial"/>
                <w:b/>
                <w:bCs/>
                <w:color w:val="000000"/>
                <w:sz w:val="18"/>
                <w:szCs w:val="18"/>
              </w:rPr>
            </w:pPr>
            <w:r w:rsidRPr="00A91056">
              <w:rPr>
                <w:rFonts w:eastAsia="Times New Roman" w:cs="Arial"/>
                <w:b/>
                <w:bCs/>
                <w:color w:val="000000"/>
                <w:sz w:val="18"/>
                <w:szCs w:val="18"/>
              </w:rPr>
              <w:t>NPL</w:t>
            </w:r>
          </w:p>
        </w:tc>
        <w:tc>
          <w:tcPr>
            <w:tcW w:w="249" w:type="pct"/>
            <w:shd w:val="clear" w:color="auto" w:fill="auto"/>
            <w:vAlign w:val="center"/>
            <w:hideMark/>
          </w:tcPr>
          <w:p w14:paraId="63D498E3" w14:textId="76D834ED" w:rsidR="00F7022B" w:rsidRPr="00A91056" w:rsidRDefault="00F7022B" w:rsidP="00E329EF">
            <w:pPr>
              <w:widowControl/>
              <w:spacing w:line="240" w:lineRule="auto"/>
              <w:ind w:firstLine="0"/>
              <w:jc w:val="center"/>
              <w:rPr>
                <w:rFonts w:eastAsia="Times New Roman" w:cs="Arial"/>
                <w:b/>
                <w:bCs/>
                <w:color w:val="000000"/>
                <w:sz w:val="18"/>
                <w:szCs w:val="18"/>
              </w:rPr>
            </w:pPr>
            <w:r w:rsidRPr="00A91056">
              <w:rPr>
                <w:rFonts w:eastAsia="Times New Roman" w:cs="Arial"/>
                <w:b/>
                <w:bCs/>
                <w:color w:val="000000"/>
                <w:sz w:val="18"/>
                <w:szCs w:val="18"/>
              </w:rPr>
              <w:t>Comet</w:t>
            </w:r>
          </w:p>
        </w:tc>
        <w:tc>
          <w:tcPr>
            <w:tcW w:w="157" w:type="pct"/>
            <w:shd w:val="clear" w:color="auto" w:fill="auto"/>
            <w:vAlign w:val="center"/>
            <w:hideMark/>
          </w:tcPr>
          <w:p w14:paraId="6DFA19F9" w14:textId="2C248D7D" w:rsidR="00F7022B" w:rsidRPr="00A91056" w:rsidRDefault="00F7022B" w:rsidP="00E329EF">
            <w:pPr>
              <w:widowControl/>
              <w:spacing w:line="240" w:lineRule="auto"/>
              <w:ind w:firstLine="0"/>
              <w:jc w:val="center"/>
              <w:rPr>
                <w:rFonts w:eastAsia="Times New Roman" w:cs="Arial"/>
                <w:b/>
                <w:bCs/>
                <w:color w:val="000000"/>
                <w:sz w:val="18"/>
                <w:szCs w:val="18"/>
              </w:rPr>
            </w:pPr>
            <w:r w:rsidRPr="00A91056">
              <w:rPr>
                <w:rFonts w:eastAsia="Times New Roman" w:cs="Arial"/>
                <w:b/>
                <w:bCs/>
                <w:color w:val="000000"/>
                <w:sz w:val="18"/>
                <w:szCs w:val="18"/>
              </w:rPr>
              <w:t>Ref</w:t>
            </w:r>
          </w:p>
        </w:tc>
        <w:tc>
          <w:tcPr>
            <w:tcW w:w="281" w:type="pct"/>
            <w:vMerge/>
            <w:shd w:val="clear" w:color="auto" w:fill="auto"/>
            <w:vAlign w:val="center"/>
            <w:hideMark/>
          </w:tcPr>
          <w:p w14:paraId="2EC359AC" w14:textId="0179F3AB" w:rsidR="00F7022B" w:rsidRPr="00A91056" w:rsidRDefault="00F7022B" w:rsidP="00E329EF">
            <w:pPr>
              <w:widowControl/>
              <w:spacing w:line="240" w:lineRule="auto"/>
              <w:ind w:firstLine="0"/>
              <w:jc w:val="center"/>
              <w:rPr>
                <w:rFonts w:eastAsia="Times New Roman" w:cs="Arial"/>
                <w:b/>
                <w:bCs/>
                <w:color w:val="000000"/>
                <w:sz w:val="18"/>
                <w:szCs w:val="18"/>
              </w:rPr>
            </w:pPr>
          </w:p>
        </w:tc>
        <w:tc>
          <w:tcPr>
            <w:tcW w:w="219" w:type="pct"/>
            <w:shd w:val="clear" w:color="auto" w:fill="auto"/>
            <w:vAlign w:val="center"/>
            <w:hideMark/>
          </w:tcPr>
          <w:p w14:paraId="1753EAD6" w14:textId="10B051F8" w:rsidR="00F7022B" w:rsidRPr="00A91056" w:rsidRDefault="00C20E23" w:rsidP="00E329EF">
            <w:pPr>
              <w:widowControl/>
              <w:spacing w:line="240" w:lineRule="auto"/>
              <w:ind w:firstLine="0"/>
              <w:jc w:val="center"/>
              <w:rPr>
                <w:rFonts w:eastAsia="Times New Roman" w:cs="Arial"/>
                <w:b/>
                <w:bCs/>
                <w:color w:val="000000"/>
                <w:sz w:val="18"/>
                <w:szCs w:val="18"/>
              </w:rPr>
            </w:pPr>
            <w:r>
              <w:rPr>
                <w:rFonts w:eastAsia="Times New Roman" w:cs="Arial"/>
                <w:b/>
                <w:bCs/>
                <w:color w:val="000000"/>
                <w:sz w:val="18"/>
                <w:szCs w:val="18"/>
              </w:rPr>
              <w:t>Ames</w:t>
            </w:r>
          </w:p>
        </w:tc>
        <w:tc>
          <w:tcPr>
            <w:tcW w:w="250" w:type="pct"/>
            <w:shd w:val="clear" w:color="auto" w:fill="auto"/>
            <w:vAlign w:val="center"/>
            <w:hideMark/>
          </w:tcPr>
          <w:p w14:paraId="0964D4EF" w14:textId="77777777" w:rsidR="00F7022B" w:rsidRPr="00A91056" w:rsidRDefault="00F7022B" w:rsidP="00E329EF">
            <w:pPr>
              <w:widowControl/>
              <w:spacing w:line="240" w:lineRule="auto"/>
              <w:ind w:firstLine="0"/>
              <w:jc w:val="center"/>
              <w:rPr>
                <w:rFonts w:eastAsia="Times New Roman" w:cs="Arial"/>
                <w:b/>
                <w:bCs/>
                <w:color w:val="000000"/>
                <w:sz w:val="18"/>
                <w:szCs w:val="18"/>
              </w:rPr>
            </w:pPr>
            <w:r w:rsidRPr="00A91056">
              <w:rPr>
                <w:rFonts w:eastAsia="Times New Roman" w:cs="Arial"/>
                <w:b/>
                <w:bCs/>
                <w:color w:val="000000"/>
                <w:sz w:val="18"/>
                <w:szCs w:val="18"/>
              </w:rPr>
              <w:t>MCGM</w:t>
            </w:r>
          </w:p>
        </w:tc>
        <w:tc>
          <w:tcPr>
            <w:tcW w:w="157" w:type="pct"/>
            <w:shd w:val="clear" w:color="auto" w:fill="auto"/>
            <w:vAlign w:val="center"/>
            <w:hideMark/>
          </w:tcPr>
          <w:p w14:paraId="7C498958" w14:textId="0BB75846" w:rsidR="00F7022B" w:rsidRPr="00A91056" w:rsidRDefault="00F7022B" w:rsidP="00E329EF">
            <w:pPr>
              <w:widowControl/>
              <w:spacing w:line="240" w:lineRule="auto"/>
              <w:ind w:firstLine="0"/>
              <w:jc w:val="center"/>
              <w:rPr>
                <w:rFonts w:eastAsia="Times New Roman" w:cs="Arial"/>
                <w:b/>
                <w:bCs/>
                <w:color w:val="000000"/>
                <w:sz w:val="18"/>
                <w:szCs w:val="18"/>
              </w:rPr>
            </w:pPr>
            <w:r w:rsidRPr="00A91056">
              <w:rPr>
                <w:rFonts w:eastAsia="Times New Roman" w:cs="Arial"/>
                <w:b/>
                <w:bCs/>
                <w:color w:val="000000"/>
                <w:sz w:val="18"/>
                <w:szCs w:val="18"/>
              </w:rPr>
              <w:t>MN</w:t>
            </w:r>
          </w:p>
        </w:tc>
        <w:tc>
          <w:tcPr>
            <w:tcW w:w="156" w:type="pct"/>
            <w:shd w:val="clear" w:color="auto" w:fill="auto"/>
            <w:vAlign w:val="center"/>
            <w:hideMark/>
          </w:tcPr>
          <w:p w14:paraId="2C2701D6" w14:textId="77777777" w:rsidR="00F7022B" w:rsidRPr="00A91056" w:rsidRDefault="00F7022B" w:rsidP="00E329EF">
            <w:pPr>
              <w:widowControl/>
              <w:spacing w:line="240" w:lineRule="auto"/>
              <w:ind w:firstLine="0"/>
              <w:jc w:val="center"/>
              <w:rPr>
                <w:rFonts w:eastAsia="Times New Roman" w:cs="Arial"/>
                <w:b/>
                <w:bCs/>
                <w:color w:val="000000"/>
                <w:sz w:val="18"/>
                <w:szCs w:val="18"/>
              </w:rPr>
            </w:pPr>
            <w:r w:rsidRPr="00A91056">
              <w:rPr>
                <w:rFonts w:eastAsia="Times New Roman" w:cs="Arial"/>
                <w:b/>
                <w:bCs/>
                <w:color w:val="000000"/>
                <w:sz w:val="18"/>
                <w:szCs w:val="18"/>
              </w:rPr>
              <w:t>CA</w:t>
            </w:r>
          </w:p>
        </w:tc>
        <w:tc>
          <w:tcPr>
            <w:tcW w:w="250" w:type="pct"/>
            <w:shd w:val="clear" w:color="auto" w:fill="auto"/>
            <w:vAlign w:val="center"/>
            <w:hideMark/>
          </w:tcPr>
          <w:p w14:paraId="6F7E34CC" w14:textId="77777777" w:rsidR="00F7022B" w:rsidRPr="00A91056" w:rsidRDefault="00F7022B" w:rsidP="00E329EF">
            <w:pPr>
              <w:widowControl/>
              <w:spacing w:line="240" w:lineRule="auto"/>
              <w:ind w:firstLine="0"/>
              <w:jc w:val="center"/>
              <w:rPr>
                <w:rFonts w:eastAsia="Times New Roman" w:cs="Arial"/>
                <w:b/>
                <w:bCs/>
                <w:color w:val="000000"/>
                <w:sz w:val="18"/>
                <w:szCs w:val="18"/>
              </w:rPr>
            </w:pPr>
            <w:r w:rsidRPr="00A91056">
              <w:rPr>
                <w:rFonts w:eastAsia="Times New Roman" w:cs="Arial"/>
                <w:b/>
                <w:bCs/>
                <w:color w:val="000000"/>
                <w:sz w:val="18"/>
                <w:szCs w:val="18"/>
              </w:rPr>
              <w:t>Comet</w:t>
            </w:r>
          </w:p>
        </w:tc>
        <w:tc>
          <w:tcPr>
            <w:tcW w:w="219" w:type="pct"/>
            <w:shd w:val="clear" w:color="auto" w:fill="auto"/>
            <w:vAlign w:val="center"/>
            <w:hideMark/>
          </w:tcPr>
          <w:p w14:paraId="731F57E0" w14:textId="2E3AF2F7" w:rsidR="00F7022B" w:rsidRPr="00A91056" w:rsidRDefault="00F7022B" w:rsidP="00E329EF">
            <w:pPr>
              <w:widowControl/>
              <w:spacing w:line="240" w:lineRule="auto"/>
              <w:ind w:firstLine="0"/>
              <w:jc w:val="center"/>
              <w:rPr>
                <w:rFonts w:eastAsia="Times New Roman" w:cs="Arial"/>
                <w:b/>
                <w:bCs/>
                <w:color w:val="000000"/>
                <w:sz w:val="18"/>
                <w:szCs w:val="18"/>
              </w:rPr>
            </w:pPr>
            <w:r w:rsidRPr="00A91056">
              <w:rPr>
                <w:rFonts w:eastAsia="Times New Roman" w:cs="Arial"/>
                <w:b/>
                <w:bCs/>
                <w:color w:val="000000"/>
                <w:sz w:val="18"/>
                <w:szCs w:val="18"/>
              </w:rPr>
              <w:t xml:space="preserve">Rat HPC/DRA </w:t>
            </w:r>
            <w:r w:rsidR="003152B6" w:rsidRPr="00A91056">
              <w:rPr>
                <w:rFonts w:eastAsia="Times New Roman" w:cs="Arial"/>
                <w:b/>
                <w:bCs/>
                <w:color w:val="000000"/>
                <w:sz w:val="18"/>
                <w:szCs w:val="18"/>
                <w:vertAlign w:val="superscript"/>
              </w:rPr>
              <w:t>f</w:t>
            </w:r>
          </w:p>
        </w:tc>
        <w:tc>
          <w:tcPr>
            <w:tcW w:w="37" w:type="pct"/>
            <w:tcBorders>
              <w:top w:val="nil"/>
              <w:bottom w:val="nil"/>
            </w:tcBorders>
            <w:shd w:val="clear" w:color="auto" w:fill="auto"/>
            <w:vAlign w:val="center"/>
            <w:hideMark/>
          </w:tcPr>
          <w:p w14:paraId="4FBF132C" w14:textId="43834430" w:rsidR="00F7022B" w:rsidRPr="00A91056" w:rsidRDefault="00F7022B" w:rsidP="00E329EF">
            <w:pPr>
              <w:widowControl/>
              <w:spacing w:line="240" w:lineRule="auto"/>
              <w:ind w:firstLine="0"/>
              <w:jc w:val="center"/>
              <w:rPr>
                <w:rFonts w:eastAsia="Times New Roman" w:cs="Arial"/>
                <w:b/>
                <w:bCs/>
                <w:color w:val="000000"/>
                <w:sz w:val="18"/>
                <w:szCs w:val="18"/>
              </w:rPr>
            </w:pPr>
          </w:p>
        </w:tc>
        <w:tc>
          <w:tcPr>
            <w:tcW w:w="182" w:type="pct"/>
            <w:shd w:val="clear" w:color="auto" w:fill="auto"/>
            <w:vAlign w:val="center"/>
          </w:tcPr>
          <w:p w14:paraId="51703DDC" w14:textId="1DDBBF4C" w:rsidR="00F7022B" w:rsidRPr="00A91056" w:rsidRDefault="00F7022B" w:rsidP="00E329EF">
            <w:pPr>
              <w:widowControl/>
              <w:spacing w:line="240" w:lineRule="auto"/>
              <w:ind w:firstLine="0"/>
              <w:jc w:val="center"/>
              <w:rPr>
                <w:rFonts w:eastAsia="Times New Roman" w:cs="Arial"/>
                <w:b/>
                <w:bCs/>
                <w:color w:val="000000"/>
                <w:sz w:val="18"/>
                <w:szCs w:val="18"/>
              </w:rPr>
            </w:pPr>
            <w:r w:rsidRPr="00A91056">
              <w:rPr>
                <w:rFonts w:eastAsia="Times New Roman" w:cs="Arial"/>
                <w:b/>
                <w:bCs/>
                <w:color w:val="000000"/>
                <w:sz w:val="18"/>
                <w:szCs w:val="18"/>
              </w:rPr>
              <w:t>UDS</w:t>
            </w:r>
          </w:p>
        </w:tc>
        <w:tc>
          <w:tcPr>
            <w:tcW w:w="187" w:type="pct"/>
            <w:shd w:val="clear" w:color="auto" w:fill="auto"/>
            <w:vAlign w:val="center"/>
            <w:hideMark/>
          </w:tcPr>
          <w:p w14:paraId="5A01F3CB" w14:textId="77777777" w:rsidR="00F7022B" w:rsidRPr="00A91056" w:rsidRDefault="00F7022B" w:rsidP="00E329EF">
            <w:pPr>
              <w:widowControl/>
              <w:spacing w:line="240" w:lineRule="auto"/>
              <w:ind w:firstLine="0"/>
              <w:jc w:val="center"/>
              <w:rPr>
                <w:rFonts w:eastAsia="Times New Roman" w:cs="Arial"/>
                <w:b/>
                <w:bCs/>
                <w:color w:val="000000"/>
                <w:sz w:val="18"/>
                <w:szCs w:val="18"/>
              </w:rPr>
            </w:pPr>
            <w:r w:rsidRPr="00A91056">
              <w:rPr>
                <w:rFonts w:eastAsia="Times New Roman" w:cs="Arial"/>
                <w:b/>
                <w:bCs/>
                <w:color w:val="000000"/>
                <w:sz w:val="18"/>
                <w:szCs w:val="18"/>
              </w:rPr>
              <w:t>TGR</w:t>
            </w:r>
          </w:p>
        </w:tc>
        <w:tc>
          <w:tcPr>
            <w:tcW w:w="156" w:type="pct"/>
            <w:shd w:val="clear" w:color="auto" w:fill="auto"/>
            <w:vAlign w:val="center"/>
            <w:hideMark/>
          </w:tcPr>
          <w:p w14:paraId="17F2888B" w14:textId="515DF24E" w:rsidR="00F7022B" w:rsidRPr="00A91056" w:rsidRDefault="00F7022B" w:rsidP="00E329EF">
            <w:pPr>
              <w:widowControl/>
              <w:spacing w:line="240" w:lineRule="auto"/>
              <w:ind w:firstLine="0"/>
              <w:jc w:val="center"/>
              <w:rPr>
                <w:rFonts w:eastAsia="Times New Roman" w:cs="Arial"/>
                <w:b/>
                <w:bCs/>
                <w:color w:val="000000"/>
                <w:sz w:val="18"/>
                <w:szCs w:val="18"/>
              </w:rPr>
            </w:pPr>
            <w:r w:rsidRPr="00A91056">
              <w:rPr>
                <w:rFonts w:eastAsia="Times New Roman" w:cs="Arial"/>
                <w:b/>
                <w:bCs/>
                <w:color w:val="000000"/>
                <w:sz w:val="18"/>
                <w:szCs w:val="18"/>
              </w:rPr>
              <w:t>MN</w:t>
            </w:r>
          </w:p>
        </w:tc>
        <w:tc>
          <w:tcPr>
            <w:tcW w:w="157" w:type="pct"/>
            <w:shd w:val="clear" w:color="auto" w:fill="auto"/>
            <w:vAlign w:val="center"/>
            <w:hideMark/>
          </w:tcPr>
          <w:p w14:paraId="4E6CEF26" w14:textId="77777777" w:rsidR="00F7022B" w:rsidRPr="00A91056" w:rsidRDefault="00F7022B" w:rsidP="00E329EF">
            <w:pPr>
              <w:widowControl/>
              <w:spacing w:line="240" w:lineRule="auto"/>
              <w:ind w:firstLine="0"/>
              <w:jc w:val="center"/>
              <w:rPr>
                <w:rFonts w:eastAsia="Times New Roman" w:cs="Arial"/>
                <w:b/>
                <w:bCs/>
                <w:color w:val="000000"/>
                <w:sz w:val="18"/>
                <w:szCs w:val="18"/>
              </w:rPr>
            </w:pPr>
            <w:r w:rsidRPr="00A91056">
              <w:rPr>
                <w:rFonts w:eastAsia="Times New Roman" w:cs="Arial"/>
                <w:b/>
                <w:bCs/>
                <w:color w:val="000000"/>
                <w:sz w:val="18"/>
                <w:szCs w:val="18"/>
              </w:rPr>
              <w:t>CA</w:t>
            </w:r>
          </w:p>
        </w:tc>
        <w:tc>
          <w:tcPr>
            <w:tcW w:w="250" w:type="pct"/>
            <w:shd w:val="clear" w:color="auto" w:fill="auto"/>
            <w:vAlign w:val="center"/>
            <w:hideMark/>
          </w:tcPr>
          <w:p w14:paraId="441F568D" w14:textId="77777777" w:rsidR="00F7022B" w:rsidRPr="00A91056" w:rsidRDefault="00F7022B" w:rsidP="00E329EF">
            <w:pPr>
              <w:widowControl/>
              <w:spacing w:line="240" w:lineRule="auto"/>
              <w:ind w:firstLine="0"/>
              <w:jc w:val="center"/>
              <w:rPr>
                <w:rFonts w:eastAsia="Times New Roman" w:cs="Arial"/>
                <w:b/>
                <w:bCs/>
                <w:color w:val="000000"/>
                <w:sz w:val="18"/>
                <w:szCs w:val="18"/>
              </w:rPr>
            </w:pPr>
            <w:r w:rsidRPr="00A91056">
              <w:rPr>
                <w:rFonts w:eastAsia="Times New Roman" w:cs="Arial"/>
                <w:b/>
                <w:bCs/>
                <w:color w:val="000000"/>
                <w:sz w:val="18"/>
                <w:szCs w:val="18"/>
              </w:rPr>
              <w:t>Comet</w:t>
            </w:r>
          </w:p>
        </w:tc>
        <w:tc>
          <w:tcPr>
            <w:tcW w:w="216" w:type="pct"/>
            <w:vMerge/>
            <w:shd w:val="clear" w:color="auto" w:fill="auto"/>
            <w:vAlign w:val="center"/>
            <w:hideMark/>
          </w:tcPr>
          <w:p w14:paraId="4BBC013C" w14:textId="0E32E9D0" w:rsidR="00F7022B" w:rsidRPr="00A91056" w:rsidRDefault="00F7022B" w:rsidP="00E329EF">
            <w:pPr>
              <w:widowControl/>
              <w:spacing w:line="240" w:lineRule="auto"/>
              <w:ind w:firstLine="0"/>
              <w:jc w:val="center"/>
              <w:rPr>
                <w:rFonts w:eastAsia="Times New Roman" w:cs="Arial"/>
                <w:b/>
                <w:bCs/>
                <w:color w:val="000000"/>
                <w:sz w:val="18"/>
                <w:szCs w:val="18"/>
              </w:rPr>
            </w:pPr>
          </w:p>
        </w:tc>
      </w:tr>
      <w:tr w:rsidR="0007664D" w:rsidRPr="00A91056" w14:paraId="00D3ED2F" w14:textId="77777777" w:rsidTr="00A576CB">
        <w:trPr>
          <w:trHeight w:val="288"/>
        </w:trPr>
        <w:tc>
          <w:tcPr>
            <w:tcW w:w="844" w:type="pct"/>
            <w:shd w:val="clear" w:color="auto" w:fill="auto"/>
            <w:noWrap/>
            <w:vAlign w:val="center"/>
            <w:hideMark/>
          </w:tcPr>
          <w:p w14:paraId="304A2605"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 xml:space="preserve"> α-</w:t>
            </w:r>
            <w:proofErr w:type="spellStart"/>
            <w:r w:rsidRPr="00A91056">
              <w:rPr>
                <w:rFonts w:eastAsia="Times New Roman" w:cs="Arial"/>
                <w:color w:val="000000"/>
                <w:sz w:val="18"/>
                <w:szCs w:val="18"/>
              </w:rPr>
              <w:t>Asarone</w:t>
            </w:r>
            <w:proofErr w:type="spellEnd"/>
          </w:p>
        </w:tc>
        <w:tc>
          <w:tcPr>
            <w:tcW w:w="374" w:type="pct"/>
            <w:shd w:val="clear" w:color="auto" w:fill="auto"/>
            <w:noWrap/>
            <w:vAlign w:val="center"/>
            <w:hideMark/>
          </w:tcPr>
          <w:p w14:paraId="27A15214"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2883-98-9</w:t>
            </w:r>
          </w:p>
        </w:tc>
        <w:tc>
          <w:tcPr>
            <w:tcW w:w="500" w:type="pct"/>
            <w:shd w:val="clear" w:color="auto" w:fill="auto"/>
            <w:vAlign w:val="center"/>
            <w:hideMark/>
          </w:tcPr>
          <w:p w14:paraId="72D68EF2"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2 - 8</w:t>
            </w:r>
          </w:p>
        </w:tc>
        <w:tc>
          <w:tcPr>
            <w:tcW w:w="158" w:type="pct"/>
            <w:shd w:val="clear" w:color="auto" w:fill="auto"/>
            <w:noWrap/>
            <w:vAlign w:val="center"/>
            <w:hideMark/>
          </w:tcPr>
          <w:p w14:paraId="2C36D745" w14:textId="7ABE21B2"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49" w:type="pct"/>
            <w:shd w:val="clear" w:color="auto" w:fill="auto"/>
            <w:noWrap/>
            <w:vAlign w:val="center"/>
            <w:hideMark/>
          </w:tcPr>
          <w:p w14:paraId="4EED478F" w14:textId="353B040F"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7FDF1C73" w14:textId="7CCCC6A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w:t>
            </w:r>
          </w:p>
        </w:tc>
        <w:tc>
          <w:tcPr>
            <w:tcW w:w="281" w:type="pct"/>
            <w:shd w:val="clear" w:color="auto" w:fill="auto"/>
            <w:noWrap/>
            <w:vAlign w:val="center"/>
            <w:hideMark/>
          </w:tcPr>
          <w:p w14:paraId="2D537060" w14:textId="05972CF0"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 in vitro</w:t>
            </w:r>
          </w:p>
        </w:tc>
        <w:tc>
          <w:tcPr>
            <w:tcW w:w="219" w:type="pct"/>
            <w:shd w:val="clear" w:color="auto" w:fill="auto"/>
            <w:noWrap/>
            <w:vAlign w:val="center"/>
            <w:hideMark/>
          </w:tcPr>
          <w:p w14:paraId="750ACB71" w14:textId="0AC73C35" w:rsidR="00440A6C" w:rsidRPr="00A91056" w:rsidRDefault="00440A6C" w:rsidP="00E329EF">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250" w:type="pct"/>
            <w:shd w:val="clear" w:color="auto" w:fill="auto"/>
            <w:noWrap/>
            <w:vAlign w:val="center"/>
            <w:hideMark/>
          </w:tcPr>
          <w:p w14:paraId="3A2BB393"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7" w:type="pct"/>
            <w:shd w:val="clear" w:color="auto" w:fill="auto"/>
            <w:noWrap/>
            <w:vAlign w:val="center"/>
            <w:hideMark/>
          </w:tcPr>
          <w:p w14:paraId="3994DC41" w14:textId="52111ABF"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6" w:type="pct"/>
            <w:shd w:val="clear" w:color="auto" w:fill="auto"/>
            <w:noWrap/>
            <w:vAlign w:val="center"/>
            <w:hideMark/>
          </w:tcPr>
          <w:p w14:paraId="1ED278E4"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50" w:type="pct"/>
            <w:shd w:val="clear" w:color="auto" w:fill="auto"/>
            <w:noWrap/>
            <w:vAlign w:val="center"/>
            <w:hideMark/>
          </w:tcPr>
          <w:p w14:paraId="0B747D0D" w14:textId="1615293F"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vAlign w:val="center"/>
            <w:hideMark/>
          </w:tcPr>
          <w:p w14:paraId="5E904046"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gridSpan w:val="2"/>
            <w:shd w:val="clear" w:color="auto" w:fill="auto"/>
            <w:noWrap/>
            <w:vAlign w:val="center"/>
            <w:hideMark/>
          </w:tcPr>
          <w:p w14:paraId="6B4DFD96"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2A0648CC"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4E2383C3" w14:textId="77777777" w:rsidR="00440A6C" w:rsidRPr="00A91056" w:rsidRDefault="00440A6C" w:rsidP="00E329EF">
            <w:pPr>
              <w:widowControl/>
              <w:spacing w:line="240" w:lineRule="auto"/>
              <w:ind w:firstLine="0"/>
              <w:jc w:val="center"/>
              <w:rPr>
                <w:rFonts w:eastAsia="Times New Roman" w:cs="Arial"/>
                <w:sz w:val="18"/>
                <w:szCs w:val="18"/>
              </w:rPr>
            </w:pPr>
          </w:p>
        </w:tc>
        <w:tc>
          <w:tcPr>
            <w:tcW w:w="157" w:type="pct"/>
            <w:shd w:val="clear" w:color="auto" w:fill="auto"/>
            <w:noWrap/>
            <w:vAlign w:val="center"/>
            <w:hideMark/>
          </w:tcPr>
          <w:p w14:paraId="4382BEE2" w14:textId="77777777" w:rsidR="00440A6C" w:rsidRPr="00A91056" w:rsidRDefault="00440A6C" w:rsidP="00E329EF">
            <w:pPr>
              <w:widowControl/>
              <w:spacing w:line="240" w:lineRule="auto"/>
              <w:ind w:firstLine="0"/>
              <w:jc w:val="center"/>
              <w:rPr>
                <w:rFonts w:eastAsia="Times New Roman" w:cs="Arial"/>
                <w:sz w:val="18"/>
                <w:szCs w:val="18"/>
              </w:rPr>
            </w:pPr>
          </w:p>
        </w:tc>
        <w:tc>
          <w:tcPr>
            <w:tcW w:w="250" w:type="pct"/>
            <w:shd w:val="clear" w:color="auto" w:fill="auto"/>
            <w:noWrap/>
            <w:vAlign w:val="center"/>
            <w:hideMark/>
          </w:tcPr>
          <w:p w14:paraId="09E1C54A" w14:textId="77777777" w:rsidR="00440A6C" w:rsidRPr="00A91056" w:rsidRDefault="00440A6C" w:rsidP="00E329EF">
            <w:pPr>
              <w:widowControl/>
              <w:spacing w:line="240" w:lineRule="auto"/>
              <w:ind w:firstLine="0"/>
              <w:jc w:val="center"/>
              <w:rPr>
                <w:rFonts w:eastAsia="Times New Roman" w:cs="Arial"/>
                <w:sz w:val="18"/>
                <w:szCs w:val="18"/>
              </w:rPr>
            </w:pPr>
          </w:p>
        </w:tc>
        <w:tc>
          <w:tcPr>
            <w:tcW w:w="216" w:type="pct"/>
            <w:shd w:val="clear" w:color="auto" w:fill="auto"/>
            <w:noWrap/>
            <w:vAlign w:val="center"/>
            <w:hideMark/>
          </w:tcPr>
          <w:p w14:paraId="64112561" w14:textId="49A1F7F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07664D" w:rsidRPr="00A91056" w14:paraId="40AF6250" w14:textId="77777777" w:rsidTr="00A576CB">
        <w:trPr>
          <w:trHeight w:val="288"/>
        </w:trPr>
        <w:tc>
          <w:tcPr>
            <w:tcW w:w="844" w:type="pct"/>
            <w:shd w:val="clear" w:color="auto" w:fill="auto"/>
            <w:noWrap/>
            <w:vAlign w:val="center"/>
            <w:hideMark/>
          </w:tcPr>
          <w:p w14:paraId="5D3EC99D"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β-</w:t>
            </w:r>
            <w:proofErr w:type="spellStart"/>
            <w:r w:rsidRPr="00A91056">
              <w:rPr>
                <w:rFonts w:eastAsia="Times New Roman" w:cs="Arial"/>
                <w:color w:val="000000"/>
                <w:sz w:val="18"/>
                <w:szCs w:val="18"/>
              </w:rPr>
              <w:t>Asarone</w:t>
            </w:r>
            <w:proofErr w:type="spellEnd"/>
          </w:p>
        </w:tc>
        <w:tc>
          <w:tcPr>
            <w:tcW w:w="374" w:type="pct"/>
            <w:shd w:val="clear" w:color="auto" w:fill="auto"/>
            <w:noWrap/>
            <w:vAlign w:val="center"/>
            <w:hideMark/>
          </w:tcPr>
          <w:p w14:paraId="4CC965F3"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5273-86-9</w:t>
            </w:r>
          </w:p>
        </w:tc>
        <w:tc>
          <w:tcPr>
            <w:tcW w:w="500" w:type="pct"/>
            <w:shd w:val="clear" w:color="auto" w:fill="auto"/>
            <w:vAlign w:val="center"/>
            <w:hideMark/>
          </w:tcPr>
          <w:p w14:paraId="6558FF61" w14:textId="77777777" w:rsidR="00440A6C" w:rsidRPr="00A91056" w:rsidRDefault="00440A6C" w:rsidP="00E329EF">
            <w:pPr>
              <w:widowControl/>
              <w:spacing w:line="240" w:lineRule="auto"/>
              <w:ind w:firstLine="0"/>
              <w:jc w:val="center"/>
              <w:rPr>
                <w:rFonts w:eastAsia="Times New Roman" w:cs="Arial"/>
                <w:sz w:val="18"/>
                <w:szCs w:val="18"/>
              </w:rPr>
            </w:pPr>
            <w:r w:rsidRPr="00A91056">
              <w:rPr>
                <w:rFonts w:eastAsia="Times New Roman" w:cs="Arial"/>
                <w:sz w:val="18"/>
                <w:szCs w:val="18"/>
              </w:rPr>
              <w:t>0.12 - 0.5 ª</w:t>
            </w:r>
          </w:p>
        </w:tc>
        <w:tc>
          <w:tcPr>
            <w:tcW w:w="158" w:type="pct"/>
            <w:shd w:val="clear" w:color="auto" w:fill="auto"/>
            <w:noWrap/>
            <w:vAlign w:val="center"/>
            <w:hideMark/>
          </w:tcPr>
          <w:p w14:paraId="224A1FDB" w14:textId="1AD42921"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49" w:type="pct"/>
            <w:shd w:val="clear" w:color="auto" w:fill="auto"/>
            <w:vAlign w:val="center"/>
            <w:hideMark/>
          </w:tcPr>
          <w:p w14:paraId="10B4D274" w14:textId="5AE4319F"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03FA60F8" w14:textId="26D476C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w:t>
            </w:r>
          </w:p>
        </w:tc>
        <w:tc>
          <w:tcPr>
            <w:tcW w:w="281" w:type="pct"/>
            <w:shd w:val="clear" w:color="auto" w:fill="auto"/>
            <w:noWrap/>
            <w:vAlign w:val="center"/>
            <w:hideMark/>
          </w:tcPr>
          <w:p w14:paraId="3766BFBE" w14:textId="513C4C6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 in vitro</w:t>
            </w:r>
          </w:p>
        </w:tc>
        <w:tc>
          <w:tcPr>
            <w:tcW w:w="219" w:type="pct"/>
            <w:shd w:val="clear" w:color="auto" w:fill="auto"/>
            <w:noWrap/>
            <w:vAlign w:val="center"/>
            <w:hideMark/>
          </w:tcPr>
          <w:p w14:paraId="7BD6B7F5" w14:textId="45069455" w:rsidR="00440A6C" w:rsidRPr="00A91056" w:rsidRDefault="00440A6C" w:rsidP="00E329EF">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250" w:type="pct"/>
            <w:shd w:val="clear" w:color="auto" w:fill="auto"/>
            <w:noWrap/>
            <w:vAlign w:val="center"/>
            <w:hideMark/>
          </w:tcPr>
          <w:p w14:paraId="775C2D55"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7" w:type="pct"/>
            <w:shd w:val="clear" w:color="auto" w:fill="auto"/>
            <w:noWrap/>
            <w:vAlign w:val="center"/>
            <w:hideMark/>
          </w:tcPr>
          <w:p w14:paraId="2644157C" w14:textId="38FDD854"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1CF8F66A"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50" w:type="pct"/>
            <w:shd w:val="clear" w:color="auto" w:fill="auto"/>
            <w:noWrap/>
            <w:vAlign w:val="center"/>
            <w:hideMark/>
          </w:tcPr>
          <w:p w14:paraId="1611F51C" w14:textId="06D35E5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56325E18"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gridSpan w:val="2"/>
            <w:shd w:val="clear" w:color="auto" w:fill="auto"/>
            <w:noWrap/>
            <w:vAlign w:val="center"/>
            <w:hideMark/>
          </w:tcPr>
          <w:p w14:paraId="5F1381F7"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0A6DD0E7"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31F3DE2C" w14:textId="77777777" w:rsidR="00440A6C" w:rsidRPr="00A91056" w:rsidRDefault="00440A6C" w:rsidP="00E329EF">
            <w:pPr>
              <w:widowControl/>
              <w:spacing w:line="240" w:lineRule="auto"/>
              <w:ind w:firstLine="0"/>
              <w:jc w:val="center"/>
              <w:rPr>
                <w:rFonts w:eastAsia="Times New Roman" w:cs="Arial"/>
                <w:sz w:val="18"/>
                <w:szCs w:val="18"/>
              </w:rPr>
            </w:pPr>
          </w:p>
        </w:tc>
        <w:tc>
          <w:tcPr>
            <w:tcW w:w="157" w:type="pct"/>
            <w:shd w:val="clear" w:color="auto" w:fill="auto"/>
            <w:noWrap/>
            <w:vAlign w:val="center"/>
            <w:hideMark/>
          </w:tcPr>
          <w:p w14:paraId="739F16EC" w14:textId="77777777" w:rsidR="00440A6C" w:rsidRPr="00A91056" w:rsidRDefault="00440A6C" w:rsidP="00E329EF">
            <w:pPr>
              <w:widowControl/>
              <w:spacing w:line="240" w:lineRule="auto"/>
              <w:ind w:firstLine="0"/>
              <w:jc w:val="center"/>
              <w:rPr>
                <w:rFonts w:eastAsia="Times New Roman" w:cs="Arial"/>
                <w:sz w:val="18"/>
                <w:szCs w:val="18"/>
              </w:rPr>
            </w:pPr>
          </w:p>
        </w:tc>
        <w:tc>
          <w:tcPr>
            <w:tcW w:w="250" w:type="pct"/>
            <w:shd w:val="clear" w:color="auto" w:fill="auto"/>
            <w:noWrap/>
            <w:vAlign w:val="center"/>
            <w:hideMark/>
          </w:tcPr>
          <w:p w14:paraId="393F4CE0" w14:textId="77777777" w:rsidR="00440A6C" w:rsidRPr="00A91056" w:rsidRDefault="00440A6C" w:rsidP="00E329EF">
            <w:pPr>
              <w:widowControl/>
              <w:spacing w:line="240" w:lineRule="auto"/>
              <w:ind w:firstLine="0"/>
              <w:jc w:val="center"/>
              <w:rPr>
                <w:rFonts w:eastAsia="Times New Roman" w:cs="Arial"/>
                <w:sz w:val="18"/>
                <w:szCs w:val="18"/>
              </w:rPr>
            </w:pPr>
          </w:p>
        </w:tc>
        <w:tc>
          <w:tcPr>
            <w:tcW w:w="216" w:type="pct"/>
            <w:shd w:val="clear" w:color="auto" w:fill="auto"/>
            <w:noWrap/>
            <w:vAlign w:val="center"/>
            <w:hideMark/>
          </w:tcPr>
          <w:p w14:paraId="42408808" w14:textId="6C1E286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07664D" w:rsidRPr="00A91056" w14:paraId="58FC83E5" w14:textId="77777777" w:rsidTr="00A576CB">
        <w:trPr>
          <w:trHeight w:val="288"/>
        </w:trPr>
        <w:tc>
          <w:tcPr>
            <w:tcW w:w="844" w:type="pct"/>
            <w:shd w:val="clear" w:color="auto" w:fill="auto"/>
            <w:vAlign w:val="center"/>
            <w:hideMark/>
          </w:tcPr>
          <w:p w14:paraId="235B74E0"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1-Aminofluorene</w:t>
            </w:r>
          </w:p>
        </w:tc>
        <w:tc>
          <w:tcPr>
            <w:tcW w:w="374" w:type="pct"/>
            <w:shd w:val="clear" w:color="auto" w:fill="auto"/>
            <w:vAlign w:val="center"/>
            <w:hideMark/>
          </w:tcPr>
          <w:p w14:paraId="069F78BD"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6344-63-4</w:t>
            </w:r>
          </w:p>
        </w:tc>
        <w:tc>
          <w:tcPr>
            <w:tcW w:w="500" w:type="pct"/>
            <w:shd w:val="clear" w:color="auto" w:fill="auto"/>
            <w:vAlign w:val="center"/>
            <w:hideMark/>
          </w:tcPr>
          <w:p w14:paraId="2EE7A974"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0.6 - 2.4</w:t>
            </w:r>
            <w:r w:rsidRPr="00A91056">
              <w:rPr>
                <w:rFonts w:eastAsia="Times New Roman" w:cs="Arial"/>
                <w:color w:val="000000"/>
                <w:sz w:val="18"/>
                <w:szCs w:val="18"/>
                <w:vertAlign w:val="superscript"/>
              </w:rPr>
              <w:t xml:space="preserve"> b</w:t>
            </w:r>
          </w:p>
        </w:tc>
        <w:tc>
          <w:tcPr>
            <w:tcW w:w="158" w:type="pct"/>
            <w:shd w:val="clear" w:color="auto" w:fill="auto"/>
            <w:vAlign w:val="center"/>
            <w:hideMark/>
          </w:tcPr>
          <w:p w14:paraId="085C82DD" w14:textId="225251C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49" w:type="pct"/>
            <w:shd w:val="clear" w:color="auto" w:fill="auto"/>
            <w:vAlign w:val="center"/>
            <w:hideMark/>
          </w:tcPr>
          <w:p w14:paraId="601502D8" w14:textId="14D741FA"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211AF8E7" w14:textId="1624A1C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w:t>
            </w:r>
          </w:p>
        </w:tc>
        <w:tc>
          <w:tcPr>
            <w:tcW w:w="281" w:type="pct"/>
            <w:shd w:val="clear" w:color="auto" w:fill="auto"/>
            <w:noWrap/>
            <w:vAlign w:val="center"/>
            <w:hideMark/>
          </w:tcPr>
          <w:p w14:paraId="22CB86FE"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75068647" w14:textId="35DFDC8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165A40FD"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7" w:type="pct"/>
            <w:shd w:val="clear" w:color="auto" w:fill="auto"/>
            <w:noWrap/>
            <w:vAlign w:val="center"/>
            <w:hideMark/>
          </w:tcPr>
          <w:p w14:paraId="1F7BF2AB"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71194BE8" w14:textId="77777777" w:rsidR="00440A6C" w:rsidRPr="00A91056" w:rsidRDefault="00440A6C" w:rsidP="00E329EF">
            <w:pPr>
              <w:widowControl/>
              <w:spacing w:line="240" w:lineRule="auto"/>
              <w:ind w:firstLine="0"/>
              <w:jc w:val="center"/>
              <w:rPr>
                <w:rFonts w:eastAsia="Times New Roman" w:cs="Arial"/>
                <w:sz w:val="18"/>
                <w:szCs w:val="18"/>
              </w:rPr>
            </w:pPr>
          </w:p>
        </w:tc>
        <w:tc>
          <w:tcPr>
            <w:tcW w:w="250" w:type="pct"/>
            <w:shd w:val="clear" w:color="auto" w:fill="auto"/>
            <w:noWrap/>
            <w:vAlign w:val="center"/>
            <w:hideMark/>
          </w:tcPr>
          <w:p w14:paraId="7281EF8D"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shd w:val="clear" w:color="auto" w:fill="auto"/>
            <w:noWrap/>
            <w:vAlign w:val="center"/>
            <w:hideMark/>
          </w:tcPr>
          <w:p w14:paraId="2AD8AE44"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gridSpan w:val="2"/>
            <w:shd w:val="clear" w:color="auto" w:fill="auto"/>
            <w:noWrap/>
            <w:vAlign w:val="center"/>
            <w:hideMark/>
          </w:tcPr>
          <w:p w14:paraId="47D5DCBE"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72824B26"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0B89E0C0" w14:textId="77777777" w:rsidR="00440A6C" w:rsidRPr="00A91056" w:rsidRDefault="00440A6C" w:rsidP="00E329EF">
            <w:pPr>
              <w:widowControl/>
              <w:spacing w:line="240" w:lineRule="auto"/>
              <w:ind w:firstLine="0"/>
              <w:jc w:val="center"/>
              <w:rPr>
                <w:rFonts w:eastAsia="Times New Roman" w:cs="Arial"/>
                <w:sz w:val="18"/>
                <w:szCs w:val="18"/>
              </w:rPr>
            </w:pPr>
          </w:p>
        </w:tc>
        <w:tc>
          <w:tcPr>
            <w:tcW w:w="157" w:type="pct"/>
            <w:shd w:val="clear" w:color="auto" w:fill="auto"/>
            <w:noWrap/>
            <w:vAlign w:val="center"/>
            <w:hideMark/>
          </w:tcPr>
          <w:p w14:paraId="437FE79D" w14:textId="77777777" w:rsidR="00440A6C" w:rsidRPr="00A91056" w:rsidRDefault="00440A6C" w:rsidP="00E329EF">
            <w:pPr>
              <w:widowControl/>
              <w:spacing w:line="240" w:lineRule="auto"/>
              <w:ind w:firstLine="0"/>
              <w:jc w:val="center"/>
              <w:rPr>
                <w:rFonts w:eastAsia="Times New Roman" w:cs="Arial"/>
                <w:sz w:val="18"/>
                <w:szCs w:val="18"/>
              </w:rPr>
            </w:pPr>
          </w:p>
        </w:tc>
        <w:tc>
          <w:tcPr>
            <w:tcW w:w="250" w:type="pct"/>
            <w:shd w:val="clear" w:color="auto" w:fill="auto"/>
            <w:noWrap/>
            <w:vAlign w:val="center"/>
            <w:hideMark/>
          </w:tcPr>
          <w:p w14:paraId="1CE53EEA" w14:textId="77777777" w:rsidR="00440A6C" w:rsidRPr="00A91056" w:rsidRDefault="00440A6C" w:rsidP="00E329EF">
            <w:pPr>
              <w:widowControl/>
              <w:spacing w:line="240" w:lineRule="auto"/>
              <w:ind w:firstLine="0"/>
              <w:jc w:val="center"/>
              <w:rPr>
                <w:rFonts w:eastAsia="Times New Roman" w:cs="Arial"/>
                <w:sz w:val="18"/>
                <w:szCs w:val="18"/>
              </w:rPr>
            </w:pPr>
          </w:p>
        </w:tc>
        <w:tc>
          <w:tcPr>
            <w:tcW w:w="216" w:type="pct"/>
            <w:shd w:val="clear" w:color="auto" w:fill="auto"/>
            <w:noWrap/>
            <w:vAlign w:val="center"/>
            <w:hideMark/>
          </w:tcPr>
          <w:p w14:paraId="456BF0AA" w14:textId="77777777" w:rsidR="00440A6C" w:rsidRPr="00A91056" w:rsidRDefault="00440A6C" w:rsidP="00E329EF">
            <w:pPr>
              <w:widowControl/>
              <w:spacing w:line="240" w:lineRule="auto"/>
              <w:ind w:firstLine="0"/>
              <w:jc w:val="center"/>
              <w:rPr>
                <w:rFonts w:eastAsia="Times New Roman" w:cs="Arial"/>
                <w:sz w:val="18"/>
                <w:szCs w:val="18"/>
              </w:rPr>
            </w:pPr>
          </w:p>
        </w:tc>
      </w:tr>
      <w:tr w:rsidR="0007664D" w:rsidRPr="00A91056" w14:paraId="5C073885" w14:textId="77777777" w:rsidTr="00A576CB">
        <w:trPr>
          <w:trHeight w:val="288"/>
        </w:trPr>
        <w:tc>
          <w:tcPr>
            <w:tcW w:w="844" w:type="pct"/>
            <w:shd w:val="clear" w:color="auto" w:fill="auto"/>
            <w:vAlign w:val="center"/>
            <w:hideMark/>
          </w:tcPr>
          <w:p w14:paraId="6A5CD5BC"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1-Naphthylamine</w:t>
            </w:r>
          </w:p>
        </w:tc>
        <w:tc>
          <w:tcPr>
            <w:tcW w:w="374" w:type="pct"/>
            <w:shd w:val="clear" w:color="auto" w:fill="auto"/>
            <w:vAlign w:val="center"/>
            <w:hideMark/>
          </w:tcPr>
          <w:p w14:paraId="06807C92"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134-32-7</w:t>
            </w:r>
          </w:p>
        </w:tc>
        <w:tc>
          <w:tcPr>
            <w:tcW w:w="500" w:type="pct"/>
            <w:shd w:val="clear" w:color="auto" w:fill="auto"/>
            <w:vAlign w:val="center"/>
            <w:hideMark/>
          </w:tcPr>
          <w:p w14:paraId="0A379667"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0.6 - 2.4</w:t>
            </w:r>
            <w:r w:rsidRPr="00A91056">
              <w:rPr>
                <w:rFonts w:eastAsia="Times New Roman" w:cs="Arial"/>
                <w:color w:val="000000"/>
                <w:sz w:val="18"/>
                <w:szCs w:val="18"/>
                <w:vertAlign w:val="superscript"/>
              </w:rPr>
              <w:t xml:space="preserve"> b</w:t>
            </w:r>
          </w:p>
        </w:tc>
        <w:tc>
          <w:tcPr>
            <w:tcW w:w="158" w:type="pct"/>
            <w:shd w:val="clear" w:color="auto" w:fill="auto"/>
            <w:vAlign w:val="center"/>
            <w:hideMark/>
          </w:tcPr>
          <w:p w14:paraId="1191AB16" w14:textId="1A5F95F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vAlign w:val="center"/>
            <w:hideMark/>
          </w:tcPr>
          <w:p w14:paraId="1C5D3147" w14:textId="53EFDAA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3E3832CE" w14:textId="407F28A4"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w:t>
            </w:r>
          </w:p>
        </w:tc>
        <w:tc>
          <w:tcPr>
            <w:tcW w:w="281" w:type="pct"/>
            <w:shd w:val="clear" w:color="auto" w:fill="auto"/>
            <w:noWrap/>
            <w:vAlign w:val="center"/>
            <w:hideMark/>
          </w:tcPr>
          <w:p w14:paraId="0D01E3A7" w14:textId="3619916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1C8736D7" w14:textId="3BE0EE9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0A4FA04A" w14:textId="4650FB8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2BC4E39E" w14:textId="2F8E56D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3B5CE8BC" w14:textId="384BD0B2"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765940F2"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5B56F0BF"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gridSpan w:val="2"/>
            <w:shd w:val="clear" w:color="auto" w:fill="auto"/>
            <w:noWrap/>
            <w:vAlign w:val="center"/>
            <w:hideMark/>
          </w:tcPr>
          <w:p w14:paraId="1985F11D" w14:textId="2F5FBF1B"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87" w:type="pct"/>
            <w:shd w:val="clear" w:color="auto" w:fill="auto"/>
            <w:noWrap/>
            <w:vAlign w:val="center"/>
            <w:hideMark/>
          </w:tcPr>
          <w:p w14:paraId="427FA047"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6" w:type="pct"/>
            <w:shd w:val="clear" w:color="auto" w:fill="auto"/>
            <w:noWrap/>
            <w:vAlign w:val="center"/>
            <w:hideMark/>
          </w:tcPr>
          <w:p w14:paraId="3534AD38" w14:textId="516648CB" w:rsidR="00440A6C" w:rsidRPr="00A91056" w:rsidRDefault="00440A6C" w:rsidP="00E329EF">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157" w:type="pct"/>
            <w:shd w:val="clear" w:color="auto" w:fill="auto"/>
            <w:noWrap/>
            <w:vAlign w:val="center"/>
            <w:hideMark/>
          </w:tcPr>
          <w:p w14:paraId="40E606A0"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50" w:type="pct"/>
            <w:shd w:val="clear" w:color="auto" w:fill="auto"/>
            <w:noWrap/>
            <w:vAlign w:val="center"/>
            <w:hideMark/>
          </w:tcPr>
          <w:p w14:paraId="5398F454" w14:textId="09D7ED72"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6" w:type="pct"/>
            <w:shd w:val="clear" w:color="auto" w:fill="auto"/>
            <w:noWrap/>
            <w:vAlign w:val="center"/>
            <w:hideMark/>
          </w:tcPr>
          <w:p w14:paraId="53A42AB5" w14:textId="0965D6D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r>
      <w:tr w:rsidR="0007664D" w:rsidRPr="00A91056" w14:paraId="5ED1851F" w14:textId="77777777" w:rsidTr="00A576CB">
        <w:trPr>
          <w:trHeight w:val="288"/>
        </w:trPr>
        <w:tc>
          <w:tcPr>
            <w:tcW w:w="844" w:type="pct"/>
            <w:shd w:val="clear" w:color="auto" w:fill="auto"/>
            <w:noWrap/>
            <w:vAlign w:val="center"/>
            <w:hideMark/>
          </w:tcPr>
          <w:p w14:paraId="1C102D32"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2,4-Diaminotoluene</w:t>
            </w:r>
          </w:p>
        </w:tc>
        <w:tc>
          <w:tcPr>
            <w:tcW w:w="374" w:type="pct"/>
            <w:shd w:val="clear" w:color="auto" w:fill="auto"/>
            <w:noWrap/>
            <w:vAlign w:val="center"/>
            <w:hideMark/>
          </w:tcPr>
          <w:p w14:paraId="33A299B4"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95-80-7</w:t>
            </w:r>
          </w:p>
        </w:tc>
        <w:tc>
          <w:tcPr>
            <w:tcW w:w="500" w:type="pct"/>
            <w:shd w:val="clear" w:color="auto" w:fill="auto"/>
            <w:vAlign w:val="center"/>
            <w:hideMark/>
          </w:tcPr>
          <w:p w14:paraId="7FEF4D40"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5 -15</w:t>
            </w:r>
          </w:p>
        </w:tc>
        <w:tc>
          <w:tcPr>
            <w:tcW w:w="158" w:type="pct"/>
            <w:shd w:val="clear" w:color="auto" w:fill="auto"/>
            <w:noWrap/>
            <w:vAlign w:val="center"/>
            <w:hideMark/>
          </w:tcPr>
          <w:p w14:paraId="1A739FAA" w14:textId="021E39A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49" w:type="pct"/>
            <w:shd w:val="clear" w:color="auto" w:fill="auto"/>
            <w:noWrap/>
            <w:vAlign w:val="center"/>
            <w:hideMark/>
          </w:tcPr>
          <w:p w14:paraId="60C109B5" w14:textId="79DAC87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689E537F" w14:textId="5F4DDD8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w:t>
            </w:r>
          </w:p>
        </w:tc>
        <w:tc>
          <w:tcPr>
            <w:tcW w:w="281" w:type="pct"/>
            <w:shd w:val="clear" w:color="auto" w:fill="auto"/>
            <w:noWrap/>
            <w:vAlign w:val="center"/>
            <w:hideMark/>
          </w:tcPr>
          <w:p w14:paraId="1CF61AD0" w14:textId="189C900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286F51B7" w14:textId="50E3975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519E9D24" w14:textId="03F5816F"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4CFF48BE" w14:textId="6B484A71"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7896729E" w14:textId="3672C0C2"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3EB8102F" w14:textId="692EDCD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7676D39C"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gridSpan w:val="2"/>
            <w:shd w:val="clear" w:color="auto" w:fill="auto"/>
            <w:noWrap/>
            <w:vAlign w:val="center"/>
            <w:hideMark/>
          </w:tcPr>
          <w:p w14:paraId="062B3FF9" w14:textId="24323E9A"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87" w:type="pct"/>
            <w:shd w:val="clear" w:color="auto" w:fill="auto"/>
            <w:noWrap/>
            <w:vAlign w:val="center"/>
            <w:hideMark/>
          </w:tcPr>
          <w:p w14:paraId="4441E6B5" w14:textId="10EC7FB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2F3C90E3" w14:textId="0FCC19F5"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418F13DB"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50" w:type="pct"/>
            <w:shd w:val="clear" w:color="auto" w:fill="auto"/>
            <w:noWrap/>
            <w:vAlign w:val="center"/>
            <w:hideMark/>
          </w:tcPr>
          <w:p w14:paraId="28F985A9" w14:textId="10608DE4"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6" w:type="pct"/>
            <w:shd w:val="clear" w:color="auto" w:fill="auto"/>
            <w:noWrap/>
            <w:vAlign w:val="center"/>
            <w:hideMark/>
          </w:tcPr>
          <w:p w14:paraId="40357B8C" w14:textId="3D75B05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07664D" w:rsidRPr="00A91056" w14:paraId="1D36319F" w14:textId="77777777" w:rsidTr="00A576CB">
        <w:trPr>
          <w:trHeight w:val="288"/>
        </w:trPr>
        <w:tc>
          <w:tcPr>
            <w:tcW w:w="844" w:type="pct"/>
            <w:shd w:val="clear" w:color="auto" w:fill="auto"/>
            <w:noWrap/>
            <w:vAlign w:val="center"/>
            <w:hideMark/>
          </w:tcPr>
          <w:p w14:paraId="26ECD93E"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2,4-Dinitrotoluene</w:t>
            </w:r>
          </w:p>
        </w:tc>
        <w:tc>
          <w:tcPr>
            <w:tcW w:w="374" w:type="pct"/>
            <w:shd w:val="clear" w:color="auto" w:fill="auto"/>
            <w:noWrap/>
            <w:vAlign w:val="center"/>
            <w:hideMark/>
          </w:tcPr>
          <w:p w14:paraId="6756F756"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121-14-2</w:t>
            </w:r>
          </w:p>
        </w:tc>
        <w:tc>
          <w:tcPr>
            <w:tcW w:w="500" w:type="pct"/>
            <w:shd w:val="clear" w:color="auto" w:fill="auto"/>
            <w:vAlign w:val="center"/>
            <w:hideMark/>
          </w:tcPr>
          <w:p w14:paraId="0E5B99F4"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1 - 5</w:t>
            </w:r>
          </w:p>
        </w:tc>
        <w:tc>
          <w:tcPr>
            <w:tcW w:w="158" w:type="pct"/>
            <w:shd w:val="clear" w:color="auto" w:fill="auto"/>
            <w:noWrap/>
            <w:vAlign w:val="center"/>
            <w:hideMark/>
          </w:tcPr>
          <w:p w14:paraId="6B2DD4D8" w14:textId="46F7B8BB"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49" w:type="pct"/>
            <w:shd w:val="clear" w:color="auto" w:fill="auto"/>
            <w:noWrap/>
            <w:vAlign w:val="center"/>
            <w:hideMark/>
          </w:tcPr>
          <w:p w14:paraId="584B4CF1" w14:textId="6DF932A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5BD397BC" w14:textId="3C16395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w:t>
            </w:r>
          </w:p>
        </w:tc>
        <w:tc>
          <w:tcPr>
            <w:tcW w:w="281" w:type="pct"/>
            <w:shd w:val="clear" w:color="auto" w:fill="auto"/>
            <w:noWrap/>
            <w:vAlign w:val="center"/>
            <w:hideMark/>
          </w:tcPr>
          <w:p w14:paraId="5F70ED7F" w14:textId="37F9EBDF"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0A54180D" w14:textId="2173EEE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572B6850" w14:textId="6AD5447A" w:rsidR="00440A6C" w:rsidRPr="00A91056" w:rsidRDefault="00440A6C" w:rsidP="00E329EF">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157" w:type="pct"/>
            <w:shd w:val="clear" w:color="auto" w:fill="auto"/>
            <w:noWrap/>
            <w:vAlign w:val="center"/>
            <w:hideMark/>
          </w:tcPr>
          <w:p w14:paraId="374DAABE"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6" w:type="pct"/>
            <w:shd w:val="clear" w:color="auto" w:fill="auto"/>
            <w:noWrap/>
            <w:vAlign w:val="center"/>
            <w:hideMark/>
          </w:tcPr>
          <w:p w14:paraId="399C0128" w14:textId="29CBFE5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50" w:type="pct"/>
            <w:shd w:val="clear" w:color="auto" w:fill="auto"/>
            <w:noWrap/>
            <w:vAlign w:val="center"/>
            <w:hideMark/>
          </w:tcPr>
          <w:p w14:paraId="30E535F9"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1146E698"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gridSpan w:val="2"/>
            <w:shd w:val="clear" w:color="auto" w:fill="auto"/>
            <w:noWrap/>
            <w:vAlign w:val="center"/>
            <w:hideMark/>
          </w:tcPr>
          <w:p w14:paraId="3C54D535" w14:textId="22367175"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87" w:type="pct"/>
            <w:shd w:val="clear" w:color="auto" w:fill="auto"/>
            <w:noWrap/>
            <w:vAlign w:val="center"/>
            <w:hideMark/>
          </w:tcPr>
          <w:p w14:paraId="1D843935"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6" w:type="pct"/>
            <w:shd w:val="clear" w:color="auto" w:fill="auto"/>
            <w:noWrap/>
            <w:vAlign w:val="center"/>
            <w:hideMark/>
          </w:tcPr>
          <w:p w14:paraId="74936FC1" w14:textId="4F9CF10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57334695"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50" w:type="pct"/>
            <w:shd w:val="clear" w:color="auto" w:fill="auto"/>
            <w:noWrap/>
            <w:vAlign w:val="center"/>
            <w:hideMark/>
          </w:tcPr>
          <w:p w14:paraId="6527AB8D" w14:textId="3AD4D9A1"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16" w:type="pct"/>
            <w:shd w:val="clear" w:color="auto" w:fill="auto"/>
            <w:noWrap/>
            <w:vAlign w:val="center"/>
            <w:hideMark/>
          </w:tcPr>
          <w:p w14:paraId="4F5223DA" w14:textId="06C4048A"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07664D" w:rsidRPr="00A91056" w14:paraId="1483E848" w14:textId="77777777" w:rsidTr="00A576CB">
        <w:trPr>
          <w:trHeight w:val="288"/>
        </w:trPr>
        <w:tc>
          <w:tcPr>
            <w:tcW w:w="844" w:type="pct"/>
            <w:shd w:val="clear" w:color="auto" w:fill="auto"/>
            <w:noWrap/>
            <w:vAlign w:val="center"/>
            <w:hideMark/>
          </w:tcPr>
          <w:p w14:paraId="431A68EB"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2,6-Diaminotoluene</w:t>
            </w:r>
          </w:p>
        </w:tc>
        <w:tc>
          <w:tcPr>
            <w:tcW w:w="374" w:type="pct"/>
            <w:shd w:val="clear" w:color="auto" w:fill="auto"/>
            <w:noWrap/>
            <w:vAlign w:val="center"/>
            <w:hideMark/>
          </w:tcPr>
          <w:p w14:paraId="6737D623"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823-40-5</w:t>
            </w:r>
          </w:p>
        </w:tc>
        <w:tc>
          <w:tcPr>
            <w:tcW w:w="500" w:type="pct"/>
            <w:shd w:val="clear" w:color="auto" w:fill="auto"/>
            <w:vAlign w:val="center"/>
            <w:hideMark/>
          </w:tcPr>
          <w:p w14:paraId="641EE397"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5 - 15</w:t>
            </w:r>
          </w:p>
        </w:tc>
        <w:tc>
          <w:tcPr>
            <w:tcW w:w="158" w:type="pct"/>
            <w:shd w:val="clear" w:color="auto" w:fill="auto"/>
            <w:noWrap/>
            <w:vAlign w:val="center"/>
            <w:hideMark/>
          </w:tcPr>
          <w:p w14:paraId="100E00C2" w14:textId="6DC1F0A0"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49" w:type="pct"/>
            <w:shd w:val="clear" w:color="auto" w:fill="auto"/>
            <w:noWrap/>
            <w:vAlign w:val="center"/>
            <w:hideMark/>
          </w:tcPr>
          <w:p w14:paraId="043FD158" w14:textId="5E8FDC0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1F4EDFA8" w14:textId="08F300A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w:t>
            </w:r>
          </w:p>
        </w:tc>
        <w:tc>
          <w:tcPr>
            <w:tcW w:w="281" w:type="pct"/>
            <w:shd w:val="clear" w:color="auto" w:fill="auto"/>
            <w:noWrap/>
            <w:vAlign w:val="center"/>
            <w:hideMark/>
          </w:tcPr>
          <w:p w14:paraId="2FE6FCD6" w14:textId="404E973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4B7E5830" w14:textId="68FDB55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4909F6FD"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7" w:type="pct"/>
            <w:shd w:val="clear" w:color="auto" w:fill="auto"/>
            <w:noWrap/>
            <w:vAlign w:val="center"/>
            <w:hideMark/>
          </w:tcPr>
          <w:p w14:paraId="1E5521AD" w14:textId="7F76882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42F9B48D" w14:textId="33DF3E2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009062BD" w14:textId="0978E68B"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19" w:type="pct"/>
            <w:shd w:val="clear" w:color="auto" w:fill="auto"/>
            <w:noWrap/>
            <w:vAlign w:val="center"/>
            <w:hideMark/>
          </w:tcPr>
          <w:p w14:paraId="35C84515"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gridSpan w:val="2"/>
            <w:shd w:val="clear" w:color="auto" w:fill="auto"/>
            <w:noWrap/>
            <w:vAlign w:val="center"/>
            <w:hideMark/>
          </w:tcPr>
          <w:p w14:paraId="5CF2600E" w14:textId="3C822EED" w:rsidR="00440A6C" w:rsidRPr="00A91056" w:rsidRDefault="00440A6C" w:rsidP="00E329EF">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187" w:type="pct"/>
            <w:shd w:val="clear" w:color="auto" w:fill="auto"/>
            <w:noWrap/>
            <w:vAlign w:val="center"/>
            <w:hideMark/>
          </w:tcPr>
          <w:p w14:paraId="595BCE81" w14:textId="19BCAFD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6" w:type="pct"/>
            <w:shd w:val="clear" w:color="auto" w:fill="auto"/>
            <w:noWrap/>
            <w:vAlign w:val="center"/>
            <w:hideMark/>
          </w:tcPr>
          <w:p w14:paraId="320E0767" w14:textId="5B1C1F4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5F3EBA68" w14:textId="6B55AA31"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50" w:type="pct"/>
            <w:shd w:val="clear" w:color="auto" w:fill="auto"/>
            <w:noWrap/>
            <w:vAlign w:val="center"/>
            <w:hideMark/>
          </w:tcPr>
          <w:p w14:paraId="04820645" w14:textId="4C93E02B"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6" w:type="pct"/>
            <w:shd w:val="clear" w:color="auto" w:fill="auto"/>
            <w:vAlign w:val="center"/>
            <w:hideMark/>
          </w:tcPr>
          <w:p w14:paraId="60C8DAEF" w14:textId="28A55C6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r>
      <w:tr w:rsidR="0007664D" w:rsidRPr="00A91056" w14:paraId="1E3D4E77" w14:textId="77777777" w:rsidTr="00A576CB">
        <w:trPr>
          <w:trHeight w:val="288"/>
        </w:trPr>
        <w:tc>
          <w:tcPr>
            <w:tcW w:w="844" w:type="pct"/>
            <w:shd w:val="clear" w:color="auto" w:fill="auto"/>
            <w:noWrap/>
            <w:vAlign w:val="center"/>
            <w:hideMark/>
          </w:tcPr>
          <w:p w14:paraId="2372C363"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2,6-Dinitrotoluene</w:t>
            </w:r>
          </w:p>
        </w:tc>
        <w:tc>
          <w:tcPr>
            <w:tcW w:w="374" w:type="pct"/>
            <w:shd w:val="clear" w:color="auto" w:fill="auto"/>
            <w:noWrap/>
            <w:vAlign w:val="center"/>
            <w:hideMark/>
          </w:tcPr>
          <w:p w14:paraId="04BE6D68"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606-20-2</w:t>
            </w:r>
          </w:p>
        </w:tc>
        <w:tc>
          <w:tcPr>
            <w:tcW w:w="500" w:type="pct"/>
            <w:shd w:val="clear" w:color="auto" w:fill="auto"/>
            <w:vAlign w:val="center"/>
            <w:hideMark/>
          </w:tcPr>
          <w:p w14:paraId="1877EA5A"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1 - 5</w:t>
            </w:r>
          </w:p>
        </w:tc>
        <w:tc>
          <w:tcPr>
            <w:tcW w:w="158" w:type="pct"/>
            <w:shd w:val="clear" w:color="auto" w:fill="auto"/>
            <w:noWrap/>
            <w:vAlign w:val="center"/>
            <w:hideMark/>
          </w:tcPr>
          <w:p w14:paraId="4B6641AE" w14:textId="511004C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49" w:type="pct"/>
            <w:shd w:val="clear" w:color="auto" w:fill="auto"/>
            <w:noWrap/>
            <w:vAlign w:val="center"/>
            <w:hideMark/>
          </w:tcPr>
          <w:p w14:paraId="2CF298E3" w14:textId="4F15861C" w:rsidR="00440A6C" w:rsidRPr="00A91056" w:rsidRDefault="00440A6C" w:rsidP="00E329EF">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157" w:type="pct"/>
            <w:shd w:val="clear" w:color="auto" w:fill="auto"/>
            <w:noWrap/>
            <w:vAlign w:val="center"/>
            <w:hideMark/>
          </w:tcPr>
          <w:p w14:paraId="71E00CC9" w14:textId="1DE3AD6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w:t>
            </w:r>
          </w:p>
        </w:tc>
        <w:tc>
          <w:tcPr>
            <w:tcW w:w="281" w:type="pct"/>
            <w:shd w:val="clear" w:color="auto" w:fill="auto"/>
            <w:noWrap/>
            <w:vAlign w:val="center"/>
            <w:hideMark/>
          </w:tcPr>
          <w:p w14:paraId="3B57706F" w14:textId="7047BAD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24811E14" w14:textId="7B3DE18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086BB13F"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7" w:type="pct"/>
            <w:shd w:val="clear" w:color="auto" w:fill="auto"/>
            <w:noWrap/>
            <w:vAlign w:val="center"/>
            <w:hideMark/>
          </w:tcPr>
          <w:p w14:paraId="267B7868"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69C7024C" w14:textId="77777777" w:rsidR="00440A6C" w:rsidRPr="00A91056" w:rsidRDefault="00440A6C" w:rsidP="00E329EF">
            <w:pPr>
              <w:widowControl/>
              <w:spacing w:line="240" w:lineRule="auto"/>
              <w:ind w:firstLine="0"/>
              <w:jc w:val="center"/>
              <w:rPr>
                <w:rFonts w:eastAsia="Times New Roman" w:cs="Arial"/>
                <w:sz w:val="18"/>
                <w:szCs w:val="18"/>
              </w:rPr>
            </w:pPr>
          </w:p>
        </w:tc>
        <w:tc>
          <w:tcPr>
            <w:tcW w:w="250" w:type="pct"/>
            <w:shd w:val="clear" w:color="auto" w:fill="auto"/>
            <w:noWrap/>
            <w:vAlign w:val="center"/>
            <w:hideMark/>
          </w:tcPr>
          <w:p w14:paraId="12B0199E"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shd w:val="clear" w:color="auto" w:fill="auto"/>
            <w:noWrap/>
            <w:vAlign w:val="center"/>
            <w:hideMark/>
          </w:tcPr>
          <w:p w14:paraId="36E75B4F"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gridSpan w:val="2"/>
            <w:shd w:val="clear" w:color="auto" w:fill="auto"/>
            <w:noWrap/>
            <w:vAlign w:val="center"/>
            <w:hideMark/>
          </w:tcPr>
          <w:p w14:paraId="6CEC38D8" w14:textId="36893B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87" w:type="pct"/>
            <w:shd w:val="clear" w:color="auto" w:fill="auto"/>
            <w:noWrap/>
            <w:vAlign w:val="center"/>
            <w:hideMark/>
          </w:tcPr>
          <w:p w14:paraId="3D4DABCF"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6" w:type="pct"/>
            <w:shd w:val="clear" w:color="auto" w:fill="auto"/>
            <w:noWrap/>
            <w:vAlign w:val="center"/>
            <w:hideMark/>
          </w:tcPr>
          <w:p w14:paraId="67C4E90E" w14:textId="28FF1B6A"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082DBB85"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50" w:type="pct"/>
            <w:shd w:val="clear" w:color="auto" w:fill="auto"/>
            <w:noWrap/>
            <w:vAlign w:val="center"/>
            <w:hideMark/>
          </w:tcPr>
          <w:p w14:paraId="5D7F9357" w14:textId="608336FB"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6" w:type="pct"/>
            <w:shd w:val="clear" w:color="auto" w:fill="auto"/>
            <w:noWrap/>
            <w:vAlign w:val="center"/>
            <w:hideMark/>
          </w:tcPr>
          <w:p w14:paraId="10B22B8C" w14:textId="106C5C1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07664D" w:rsidRPr="00A91056" w14:paraId="2E61AAC9" w14:textId="77777777" w:rsidTr="00A576CB">
        <w:trPr>
          <w:trHeight w:val="288"/>
        </w:trPr>
        <w:tc>
          <w:tcPr>
            <w:tcW w:w="844" w:type="pct"/>
            <w:shd w:val="clear" w:color="auto" w:fill="auto"/>
            <w:vAlign w:val="center"/>
            <w:hideMark/>
          </w:tcPr>
          <w:p w14:paraId="30F7E2FA"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2,6-Xylidine</w:t>
            </w:r>
          </w:p>
        </w:tc>
        <w:tc>
          <w:tcPr>
            <w:tcW w:w="374" w:type="pct"/>
            <w:shd w:val="clear" w:color="auto" w:fill="auto"/>
            <w:vAlign w:val="center"/>
            <w:hideMark/>
          </w:tcPr>
          <w:p w14:paraId="30CB700E"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87-62-7</w:t>
            </w:r>
          </w:p>
        </w:tc>
        <w:tc>
          <w:tcPr>
            <w:tcW w:w="500" w:type="pct"/>
            <w:shd w:val="clear" w:color="auto" w:fill="auto"/>
            <w:vAlign w:val="center"/>
            <w:hideMark/>
          </w:tcPr>
          <w:p w14:paraId="07969DC2"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5 - 10 ª</w:t>
            </w:r>
          </w:p>
        </w:tc>
        <w:tc>
          <w:tcPr>
            <w:tcW w:w="158" w:type="pct"/>
            <w:shd w:val="clear" w:color="auto" w:fill="auto"/>
            <w:vAlign w:val="center"/>
            <w:hideMark/>
          </w:tcPr>
          <w:p w14:paraId="382ED8B2" w14:textId="016E581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49" w:type="pct"/>
            <w:shd w:val="clear" w:color="auto" w:fill="auto"/>
            <w:vAlign w:val="center"/>
            <w:hideMark/>
          </w:tcPr>
          <w:p w14:paraId="783BE77F" w14:textId="319432F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2D2CF43D" w14:textId="4F8880C2"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w:t>
            </w:r>
          </w:p>
        </w:tc>
        <w:tc>
          <w:tcPr>
            <w:tcW w:w="281" w:type="pct"/>
            <w:shd w:val="clear" w:color="auto" w:fill="auto"/>
            <w:noWrap/>
            <w:vAlign w:val="center"/>
            <w:hideMark/>
          </w:tcPr>
          <w:p w14:paraId="30A2A0CD" w14:textId="7F6FD18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69FFADBD" w14:textId="19565E9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50" w:type="pct"/>
            <w:shd w:val="clear" w:color="auto" w:fill="auto"/>
            <w:noWrap/>
            <w:vAlign w:val="center"/>
            <w:hideMark/>
          </w:tcPr>
          <w:p w14:paraId="10B920A0" w14:textId="263763EE" w:rsidR="00440A6C" w:rsidRPr="00A91056" w:rsidRDefault="00440A6C" w:rsidP="00E329EF">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157" w:type="pct"/>
            <w:shd w:val="clear" w:color="auto" w:fill="auto"/>
            <w:noWrap/>
            <w:vAlign w:val="center"/>
            <w:hideMark/>
          </w:tcPr>
          <w:p w14:paraId="2925625C"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6" w:type="pct"/>
            <w:shd w:val="clear" w:color="auto" w:fill="auto"/>
            <w:noWrap/>
            <w:vAlign w:val="center"/>
            <w:hideMark/>
          </w:tcPr>
          <w:p w14:paraId="1A3B1ACC" w14:textId="7001205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687FC080"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564AA8A3"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gridSpan w:val="2"/>
            <w:shd w:val="clear" w:color="auto" w:fill="auto"/>
            <w:noWrap/>
            <w:vAlign w:val="center"/>
            <w:hideMark/>
          </w:tcPr>
          <w:p w14:paraId="35FAA712" w14:textId="1EEB2A1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87" w:type="pct"/>
            <w:shd w:val="clear" w:color="auto" w:fill="auto"/>
            <w:noWrap/>
            <w:vAlign w:val="center"/>
            <w:hideMark/>
          </w:tcPr>
          <w:p w14:paraId="6BE82CBC" w14:textId="39CB08C5"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45092846" w14:textId="003FBA3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0B5AE890"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50" w:type="pct"/>
            <w:shd w:val="clear" w:color="auto" w:fill="auto"/>
            <w:noWrap/>
            <w:vAlign w:val="center"/>
            <w:hideMark/>
          </w:tcPr>
          <w:p w14:paraId="39989BB4" w14:textId="1459147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6" w:type="pct"/>
            <w:shd w:val="clear" w:color="auto" w:fill="auto"/>
            <w:noWrap/>
            <w:vAlign w:val="center"/>
            <w:hideMark/>
          </w:tcPr>
          <w:p w14:paraId="68375917" w14:textId="54DAC07B"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07664D" w:rsidRPr="00A91056" w14:paraId="7EEFB3B3" w14:textId="77777777" w:rsidTr="00A576CB">
        <w:trPr>
          <w:trHeight w:val="288"/>
        </w:trPr>
        <w:tc>
          <w:tcPr>
            <w:tcW w:w="844" w:type="pct"/>
            <w:shd w:val="clear" w:color="auto" w:fill="auto"/>
            <w:noWrap/>
            <w:vAlign w:val="center"/>
            <w:hideMark/>
          </w:tcPr>
          <w:p w14:paraId="73E1BC48"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2-Acetylaminofluorene</w:t>
            </w:r>
          </w:p>
        </w:tc>
        <w:tc>
          <w:tcPr>
            <w:tcW w:w="374" w:type="pct"/>
            <w:shd w:val="clear" w:color="auto" w:fill="auto"/>
            <w:noWrap/>
            <w:vAlign w:val="center"/>
            <w:hideMark/>
          </w:tcPr>
          <w:p w14:paraId="3600F923"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53-96-3</w:t>
            </w:r>
          </w:p>
        </w:tc>
        <w:tc>
          <w:tcPr>
            <w:tcW w:w="500" w:type="pct"/>
            <w:shd w:val="clear" w:color="auto" w:fill="auto"/>
            <w:vAlign w:val="center"/>
            <w:hideMark/>
          </w:tcPr>
          <w:p w14:paraId="5E628B9B"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 xml:space="preserve">0.02 - 0.6 </w:t>
            </w:r>
            <w:r w:rsidRPr="00A91056">
              <w:rPr>
                <w:rFonts w:eastAsia="Times New Roman" w:cs="Arial"/>
                <w:color w:val="000000"/>
                <w:sz w:val="18"/>
                <w:szCs w:val="18"/>
                <w:vertAlign w:val="superscript"/>
              </w:rPr>
              <w:t>b</w:t>
            </w:r>
          </w:p>
        </w:tc>
        <w:tc>
          <w:tcPr>
            <w:tcW w:w="158" w:type="pct"/>
            <w:shd w:val="clear" w:color="auto" w:fill="auto"/>
            <w:vAlign w:val="center"/>
            <w:hideMark/>
          </w:tcPr>
          <w:p w14:paraId="059295A0" w14:textId="7BF933F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49" w:type="pct"/>
            <w:shd w:val="clear" w:color="auto" w:fill="auto"/>
            <w:vAlign w:val="center"/>
            <w:hideMark/>
          </w:tcPr>
          <w:p w14:paraId="6382C635" w14:textId="478AFFA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2AFACA1A" w14:textId="6DAE929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[3]</w:t>
            </w:r>
          </w:p>
        </w:tc>
        <w:tc>
          <w:tcPr>
            <w:tcW w:w="281" w:type="pct"/>
            <w:shd w:val="clear" w:color="auto" w:fill="auto"/>
            <w:noWrap/>
            <w:vAlign w:val="center"/>
            <w:hideMark/>
          </w:tcPr>
          <w:p w14:paraId="72282208" w14:textId="28C8FBD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08AE7DE7" w14:textId="7A93DE14"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2920B719" w14:textId="57EABF3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671D0C0D" w14:textId="1501533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606443FC" w14:textId="1B4B9FF5"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0190FEA8" w14:textId="39CA68BB"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5D9D30A0" w14:textId="6E81033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gridSpan w:val="2"/>
            <w:shd w:val="clear" w:color="auto" w:fill="auto"/>
            <w:noWrap/>
            <w:vAlign w:val="center"/>
            <w:hideMark/>
          </w:tcPr>
          <w:p w14:paraId="4DAC2643" w14:textId="7BACA8C5"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87" w:type="pct"/>
            <w:shd w:val="clear" w:color="auto" w:fill="auto"/>
            <w:noWrap/>
            <w:vAlign w:val="center"/>
            <w:hideMark/>
          </w:tcPr>
          <w:p w14:paraId="6044A4FD" w14:textId="325D42A0"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447A7725" w14:textId="0EF48FA4"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29399C3C" w14:textId="0027B551"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222B82D0" w14:textId="1F11DBB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6" w:type="pct"/>
            <w:shd w:val="clear" w:color="auto" w:fill="auto"/>
            <w:noWrap/>
            <w:vAlign w:val="center"/>
            <w:hideMark/>
          </w:tcPr>
          <w:p w14:paraId="72C4B20E" w14:textId="3309F58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07664D" w:rsidRPr="00A91056" w14:paraId="42D42C23" w14:textId="77777777" w:rsidTr="00A576CB">
        <w:trPr>
          <w:trHeight w:val="288"/>
        </w:trPr>
        <w:tc>
          <w:tcPr>
            <w:tcW w:w="844" w:type="pct"/>
            <w:shd w:val="clear" w:color="auto" w:fill="auto"/>
            <w:vAlign w:val="center"/>
            <w:hideMark/>
          </w:tcPr>
          <w:p w14:paraId="4CCDDA87"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 xml:space="preserve">2-Aminofluorene </w:t>
            </w:r>
          </w:p>
        </w:tc>
        <w:tc>
          <w:tcPr>
            <w:tcW w:w="374" w:type="pct"/>
            <w:shd w:val="clear" w:color="auto" w:fill="auto"/>
            <w:vAlign w:val="center"/>
            <w:hideMark/>
          </w:tcPr>
          <w:p w14:paraId="10455AAB"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153-78-6</w:t>
            </w:r>
          </w:p>
        </w:tc>
        <w:tc>
          <w:tcPr>
            <w:tcW w:w="500" w:type="pct"/>
            <w:shd w:val="clear" w:color="auto" w:fill="auto"/>
            <w:vAlign w:val="center"/>
            <w:hideMark/>
          </w:tcPr>
          <w:p w14:paraId="4FB3FBA1"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0.3 - 1.2</w:t>
            </w:r>
          </w:p>
        </w:tc>
        <w:tc>
          <w:tcPr>
            <w:tcW w:w="158" w:type="pct"/>
            <w:shd w:val="clear" w:color="auto" w:fill="auto"/>
            <w:vAlign w:val="center"/>
            <w:hideMark/>
          </w:tcPr>
          <w:p w14:paraId="46C94174" w14:textId="190DD78F"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49" w:type="pct"/>
            <w:shd w:val="clear" w:color="auto" w:fill="auto"/>
            <w:vAlign w:val="center"/>
            <w:hideMark/>
          </w:tcPr>
          <w:p w14:paraId="31E0E38C" w14:textId="543E508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1B86349F" w14:textId="15AB911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w:t>
            </w:r>
          </w:p>
        </w:tc>
        <w:tc>
          <w:tcPr>
            <w:tcW w:w="281" w:type="pct"/>
            <w:shd w:val="clear" w:color="auto" w:fill="auto"/>
            <w:noWrap/>
            <w:vAlign w:val="center"/>
            <w:hideMark/>
          </w:tcPr>
          <w:p w14:paraId="069D8B89" w14:textId="5BDC25F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64FEBD17" w14:textId="46074ED2"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1BA90FA6" w14:textId="213F44F0"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3FCA032F" w14:textId="434096CA"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43E8FE89"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50" w:type="pct"/>
            <w:shd w:val="clear" w:color="auto" w:fill="auto"/>
            <w:noWrap/>
            <w:vAlign w:val="center"/>
            <w:hideMark/>
          </w:tcPr>
          <w:p w14:paraId="5C79AD27"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shd w:val="clear" w:color="auto" w:fill="auto"/>
            <w:noWrap/>
            <w:vAlign w:val="center"/>
            <w:hideMark/>
          </w:tcPr>
          <w:p w14:paraId="3BD5EE45" w14:textId="45FE6EB1"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gridSpan w:val="2"/>
            <w:shd w:val="clear" w:color="auto" w:fill="auto"/>
            <w:noWrap/>
            <w:vAlign w:val="center"/>
            <w:hideMark/>
          </w:tcPr>
          <w:p w14:paraId="5E142A5D"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46AA0781"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03EEB1EA" w14:textId="2D02471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772C0D82" w14:textId="7D5F8D82"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700F3A92"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6" w:type="pct"/>
            <w:shd w:val="clear" w:color="auto" w:fill="auto"/>
            <w:noWrap/>
            <w:vAlign w:val="center"/>
            <w:hideMark/>
          </w:tcPr>
          <w:p w14:paraId="221CB839" w14:textId="4C3DD92B"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07664D" w:rsidRPr="00A91056" w14:paraId="5289CEE2" w14:textId="77777777" w:rsidTr="00A576CB">
        <w:trPr>
          <w:trHeight w:val="288"/>
        </w:trPr>
        <w:tc>
          <w:tcPr>
            <w:tcW w:w="844" w:type="pct"/>
            <w:shd w:val="clear" w:color="auto" w:fill="auto"/>
            <w:vAlign w:val="center"/>
            <w:hideMark/>
          </w:tcPr>
          <w:p w14:paraId="60AE14DA"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2-Methyl-2-pentanal</w:t>
            </w:r>
          </w:p>
        </w:tc>
        <w:tc>
          <w:tcPr>
            <w:tcW w:w="374" w:type="pct"/>
            <w:shd w:val="clear" w:color="auto" w:fill="auto"/>
            <w:noWrap/>
            <w:vAlign w:val="center"/>
            <w:hideMark/>
          </w:tcPr>
          <w:p w14:paraId="1162DCBE"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623-36-9</w:t>
            </w:r>
          </w:p>
        </w:tc>
        <w:tc>
          <w:tcPr>
            <w:tcW w:w="500" w:type="pct"/>
            <w:shd w:val="clear" w:color="auto" w:fill="auto"/>
            <w:vAlign w:val="center"/>
            <w:hideMark/>
          </w:tcPr>
          <w:p w14:paraId="18BB2DEE" w14:textId="77777777" w:rsidR="00440A6C" w:rsidRPr="00A91056" w:rsidRDefault="00440A6C" w:rsidP="00E329EF">
            <w:pPr>
              <w:widowControl/>
              <w:spacing w:line="240" w:lineRule="auto"/>
              <w:ind w:firstLine="0"/>
              <w:jc w:val="center"/>
              <w:rPr>
                <w:rFonts w:eastAsia="Times New Roman" w:cs="Arial"/>
                <w:sz w:val="18"/>
                <w:szCs w:val="18"/>
              </w:rPr>
            </w:pPr>
            <w:r w:rsidRPr="00A91056">
              <w:rPr>
                <w:rFonts w:eastAsia="Times New Roman" w:cs="Arial"/>
                <w:sz w:val="18"/>
                <w:szCs w:val="18"/>
              </w:rPr>
              <w:t>7 - 10  ª</w:t>
            </w:r>
          </w:p>
        </w:tc>
        <w:tc>
          <w:tcPr>
            <w:tcW w:w="158" w:type="pct"/>
            <w:shd w:val="clear" w:color="auto" w:fill="auto"/>
            <w:vAlign w:val="center"/>
            <w:hideMark/>
          </w:tcPr>
          <w:p w14:paraId="5FDDD32F" w14:textId="3C770FF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vAlign w:val="center"/>
            <w:hideMark/>
          </w:tcPr>
          <w:p w14:paraId="5BFB961A" w14:textId="11BEE79A"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5DBA5017" w14:textId="55A5CFC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[4]</w:t>
            </w:r>
          </w:p>
        </w:tc>
        <w:tc>
          <w:tcPr>
            <w:tcW w:w="281" w:type="pct"/>
            <w:shd w:val="clear" w:color="auto" w:fill="auto"/>
            <w:noWrap/>
            <w:vAlign w:val="center"/>
            <w:hideMark/>
          </w:tcPr>
          <w:p w14:paraId="4F9F6ABB"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31CE62BF" w14:textId="02EBBEA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50" w:type="pct"/>
            <w:shd w:val="clear" w:color="auto" w:fill="auto"/>
            <w:noWrap/>
            <w:vAlign w:val="center"/>
            <w:hideMark/>
          </w:tcPr>
          <w:p w14:paraId="55AF18EB"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7" w:type="pct"/>
            <w:shd w:val="clear" w:color="auto" w:fill="auto"/>
            <w:noWrap/>
            <w:vAlign w:val="center"/>
            <w:hideMark/>
          </w:tcPr>
          <w:p w14:paraId="395BDFEA" w14:textId="536F3D0F"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14A9E71B"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50" w:type="pct"/>
            <w:shd w:val="clear" w:color="auto" w:fill="auto"/>
            <w:noWrap/>
            <w:vAlign w:val="center"/>
            <w:hideMark/>
          </w:tcPr>
          <w:p w14:paraId="5513BB24"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shd w:val="clear" w:color="auto" w:fill="auto"/>
            <w:noWrap/>
            <w:vAlign w:val="center"/>
            <w:hideMark/>
          </w:tcPr>
          <w:p w14:paraId="0C573698"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gridSpan w:val="2"/>
            <w:shd w:val="clear" w:color="auto" w:fill="auto"/>
            <w:noWrap/>
            <w:vAlign w:val="center"/>
            <w:hideMark/>
          </w:tcPr>
          <w:p w14:paraId="17E8BD10"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56A9D851"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4CDC7C88" w14:textId="51BB4D4A"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41A256D5"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50" w:type="pct"/>
            <w:shd w:val="clear" w:color="auto" w:fill="auto"/>
            <w:noWrap/>
            <w:vAlign w:val="center"/>
            <w:hideMark/>
          </w:tcPr>
          <w:p w14:paraId="0BE9F2AA" w14:textId="66D9361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16" w:type="pct"/>
            <w:shd w:val="clear" w:color="auto" w:fill="auto"/>
            <w:noWrap/>
            <w:vAlign w:val="center"/>
            <w:hideMark/>
          </w:tcPr>
          <w:p w14:paraId="40F00202" w14:textId="77777777" w:rsidR="00440A6C" w:rsidRPr="00A91056" w:rsidRDefault="00440A6C" w:rsidP="00E329EF">
            <w:pPr>
              <w:widowControl/>
              <w:spacing w:line="240" w:lineRule="auto"/>
              <w:ind w:firstLine="0"/>
              <w:jc w:val="center"/>
              <w:rPr>
                <w:rFonts w:eastAsia="Times New Roman" w:cs="Arial"/>
                <w:color w:val="000000"/>
                <w:sz w:val="18"/>
                <w:szCs w:val="18"/>
              </w:rPr>
            </w:pPr>
          </w:p>
        </w:tc>
      </w:tr>
      <w:tr w:rsidR="0007664D" w:rsidRPr="00A91056" w14:paraId="4F234FF9" w14:textId="77777777" w:rsidTr="00A576CB">
        <w:trPr>
          <w:trHeight w:val="288"/>
        </w:trPr>
        <w:tc>
          <w:tcPr>
            <w:tcW w:w="844" w:type="pct"/>
            <w:shd w:val="clear" w:color="auto" w:fill="auto"/>
            <w:vAlign w:val="center"/>
            <w:hideMark/>
          </w:tcPr>
          <w:p w14:paraId="0BD28ADF"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 xml:space="preserve">2-Naphthylamine </w:t>
            </w:r>
          </w:p>
        </w:tc>
        <w:tc>
          <w:tcPr>
            <w:tcW w:w="374" w:type="pct"/>
            <w:shd w:val="clear" w:color="auto" w:fill="auto"/>
            <w:vAlign w:val="center"/>
            <w:hideMark/>
          </w:tcPr>
          <w:p w14:paraId="27264D87"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91-59-8</w:t>
            </w:r>
          </w:p>
        </w:tc>
        <w:tc>
          <w:tcPr>
            <w:tcW w:w="500" w:type="pct"/>
            <w:shd w:val="clear" w:color="auto" w:fill="auto"/>
            <w:vAlign w:val="center"/>
            <w:hideMark/>
          </w:tcPr>
          <w:p w14:paraId="0378F695"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0.3 - 1.2 ª</w:t>
            </w:r>
          </w:p>
        </w:tc>
        <w:tc>
          <w:tcPr>
            <w:tcW w:w="158" w:type="pct"/>
            <w:shd w:val="clear" w:color="auto" w:fill="auto"/>
            <w:vAlign w:val="center"/>
            <w:hideMark/>
          </w:tcPr>
          <w:p w14:paraId="529870FE" w14:textId="35B9A5C4"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49" w:type="pct"/>
            <w:shd w:val="clear" w:color="auto" w:fill="auto"/>
            <w:vAlign w:val="center"/>
            <w:hideMark/>
          </w:tcPr>
          <w:p w14:paraId="3D33A953" w14:textId="1588C404"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01F3A1F5" w14:textId="0FBD3025"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w:t>
            </w:r>
          </w:p>
        </w:tc>
        <w:tc>
          <w:tcPr>
            <w:tcW w:w="281" w:type="pct"/>
            <w:shd w:val="clear" w:color="auto" w:fill="auto"/>
            <w:noWrap/>
            <w:vAlign w:val="center"/>
            <w:hideMark/>
          </w:tcPr>
          <w:p w14:paraId="7A98EE72" w14:textId="08BB959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58007F54" w14:textId="440D0CA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2621AA49"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7" w:type="pct"/>
            <w:shd w:val="clear" w:color="auto" w:fill="auto"/>
            <w:noWrap/>
            <w:vAlign w:val="center"/>
            <w:hideMark/>
          </w:tcPr>
          <w:p w14:paraId="748E7427"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180B00DE" w14:textId="3993FB7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792D127F" w14:textId="36677E04"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0E0497AA" w14:textId="0D0A5E4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19" w:type="pct"/>
            <w:gridSpan w:val="2"/>
            <w:shd w:val="clear" w:color="auto" w:fill="auto"/>
            <w:noWrap/>
            <w:vAlign w:val="center"/>
            <w:hideMark/>
          </w:tcPr>
          <w:p w14:paraId="3394B67E" w14:textId="17B408B4"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87" w:type="pct"/>
            <w:shd w:val="clear" w:color="auto" w:fill="auto"/>
            <w:noWrap/>
            <w:vAlign w:val="center"/>
            <w:hideMark/>
          </w:tcPr>
          <w:p w14:paraId="6B29CA1A"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6" w:type="pct"/>
            <w:shd w:val="clear" w:color="auto" w:fill="auto"/>
            <w:noWrap/>
            <w:vAlign w:val="center"/>
            <w:hideMark/>
          </w:tcPr>
          <w:p w14:paraId="3D3B287A" w14:textId="5C72C286" w:rsidR="00440A6C" w:rsidRPr="00A91056" w:rsidRDefault="00440A6C" w:rsidP="00E329EF">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157" w:type="pct"/>
            <w:shd w:val="clear" w:color="auto" w:fill="auto"/>
            <w:noWrap/>
            <w:vAlign w:val="center"/>
            <w:hideMark/>
          </w:tcPr>
          <w:p w14:paraId="218CB2DA"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50" w:type="pct"/>
            <w:shd w:val="clear" w:color="auto" w:fill="auto"/>
            <w:noWrap/>
            <w:vAlign w:val="center"/>
            <w:hideMark/>
          </w:tcPr>
          <w:p w14:paraId="2DB62991" w14:textId="680CF8F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6" w:type="pct"/>
            <w:shd w:val="clear" w:color="auto" w:fill="auto"/>
            <w:noWrap/>
            <w:vAlign w:val="center"/>
            <w:hideMark/>
          </w:tcPr>
          <w:p w14:paraId="0D3BEDED" w14:textId="6A93B54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07664D" w:rsidRPr="00A91056" w14:paraId="282CAC62" w14:textId="77777777" w:rsidTr="00A576CB">
        <w:trPr>
          <w:trHeight w:val="288"/>
        </w:trPr>
        <w:tc>
          <w:tcPr>
            <w:tcW w:w="844" w:type="pct"/>
            <w:shd w:val="clear" w:color="auto" w:fill="auto"/>
            <w:vAlign w:val="center"/>
            <w:hideMark/>
          </w:tcPr>
          <w:p w14:paraId="18BFEA1D"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 xml:space="preserve">2-Nitrofluorene </w:t>
            </w:r>
          </w:p>
        </w:tc>
        <w:tc>
          <w:tcPr>
            <w:tcW w:w="374" w:type="pct"/>
            <w:shd w:val="clear" w:color="auto" w:fill="auto"/>
            <w:vAlign w:val="center"/>
            <w:hideMark/>
          </w:tcPr>
          <w:p w14:paraId="1585082B"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607-57-8</w:t>
            </w:r>
          </w:p>
        </w:tc>
        <w:tc>
          <w:tcPr>
            <w:tcW w:w="500" w:type="pct"/>
            <w:shd w:val="clear" w:color="auto" w:fill="auto"/>
            <w:vAlign w:val="center"/>
            <w:hideMark/>
          </w:tcPr>
          <w:p w14:paraId="2B9724DA"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0.3 - 1.2</w:t>
            </w:r>
          </w:p>
        </w:tc>
        <w:tc>
          <w:tcPr>
            <w:tcW w:w="158" w:type="pct"/>
            <w:shd w:val="clear" w:color="auto" w:fill="auto"/>
            <w:vAlign w:val="center"/>
            <w:hideMark/>
          </w:tcPr>
          <w:p w14:paraId="606D80C2" w14:textId="39B5266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49" w:type="pct"/>
            <w:shd w:val="clear" w:color="auto" w:fill="auto"/>
            <w:vAlign w:val="center"/>
            <w:hideMark/>
          </w:tcPr>
          <w:p w14:paraId="63F169D7" w14:textId="0418FCC5"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3F76555E" w14:textId="009FE0C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w:t>
            </w:r>
          </w:p>
        </w:tc>
        <w:tc>
          <w:tcPr>
            <w:tcW w:w="281" w:type="pct"/>
            <w:shd w:val="clear" w:color="auto" w:fill="auto"/>
            <w:noWrap/>
            <w:vAlign w:val="center"/>
            <w:hideMark/>
          </w:tcPr>
          <w:p w14:paraId="39B5BF15" w14:textId="6A5A161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0C704A7F" w14:textId="716B17B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4AE690A6" w14:textId="4B7645F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0A481815" w14:textId="18BFE63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0AD0A710" w14:textId="2D1CD8FA"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01A5C498"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2135F48B"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gridSpan w:val="2"/>
            <w:shd w:val="clear" w:color="auto" w:fill="auto"/>
            <w:noWrap/>
            <w:vAlign w:val="center"/>
            <w:hideMark/>
          </w:tcPr>
          <w:p w14:paraId="651E7ECD" w14:textId="4E77261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87" w:type="pct"/>
            <w:shd w:val="clear" w:color="auto" w:fill="auto"/>
            <w:noWrap/>
            <w:vAlign w:val="center"/>
            <w:hideMark/>
          </w:tcPr>
          <w:p w14:paraId="5DF35A68"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6" w:type="pct"/>
            <w:shd w:val="clear" w:color="auto" w:fill="auto"/>
            <w:noWrap/>
            <w:vAlign w:val="center"/>
            <w:hideMark/>
          </w:tcPr>
          <w:p w14:paraId="5BE0431D" w14:textId="77777777" w:rsidR="00440A6C" w:rsidRPr="00A91056" w:rsidRDefault="00440A6C" w:rsidP="00E329EF">
            <w:pPr>
              <w:widowControl/>
              <w:spacing w:line="240" w:lineRule="auto"/>
              <w:ind w:firstLine="0"/>
              <w:jc w:val="center"/>
              <w:rPr>
                <w:rFonts w:eastAsia="Times New Roman" w:cs="Arial"/>
                <w:sz w:val="18"/>
                <w:szCs w:val="18"/>
              </w:rPr>
            </w:pPr>
          </w:p>
        </w:tc>
        <w:tc>
          <w:tcPr>
            <w:tcW w:w="157" w:type="pct"/>
            <w:shd w:val="clear" w:color="auto" w:fill="auto"/>
            <w:noWrap/>
            <w:vAlign w:val="center"/>
            <w:hideMark/>
          </w:tcPr>
          <w:p w14:paraId="457B88A0" w14:textId="77777777" w:rsidR="00440A6C" w:rsidRPr="00A91056" w:rsidRDefault="00440A6C" w:rsidP="00E329EF">
            <w:pPr>
              <w:widowControl/>
              <w:spacing w:line="240" w:lineRule="auto"/>
              <w:ind w:firstLine="0"/>
              <w:jc w:val="center"/>
              <w:rPr>
                <w:rFonts w:eastAsia="Times New Roman" w:cs="Arial"/>
                <w:sz w:val="18"/>
                <w:szCs w:val="18"/>
              </w:rPr>
            </w:pPr>
          </w:p>
        </w:tc>
        <w:tc>
          <w:tcPr>
            <w:tcW w:w="250" w:type="pct"/>
            <w:shd w:val="clear" w:color="auto" w:fill="auto"/>
            <w:noWrap/>
            <w:vAlign w:val="center"/>
            <w:hideMark/>
          </w:tcPr>
          <w:p w14:paraId="2F353AD7" w14:textId="77777777" w:rsidR="00440A6C" w:rsidRPr="00A91056" w:rsidRDefault="00440A6C" w:rsidP="00E329EF">
            <w:pPr>
              <w:widowControl/>
              <w:spacing w:line="240" w:lineRule="auto"/>
              <w:ind w:firstLine="0"/>
              <w:jc w:val="center"/>
              <w:rPr>
                <w:rFonts w:eastAsia="Times New Roman" w:cs="Arial"/>
                <w:sz w:val="18"/>
                <w:szCs w:val="18"/>
              </w:rPr>
            </w:pPr>
          </w:p>
        </w:tc>
        <w:tc>
          <w:tcPr>
            <w:tcW w:w="216" w:type="pct"/>
            <w:shd w:val="clear" w:color="auto" w:fill="auto"/>
            <w:noWrap/>
            <w:vAlign w:val="center"/>
            <w:hideMark/>
          </w:tcPr>
          <w:p w14:paraId="4E0EC872" w14:textId="113293B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07664D" w:rsidRPr="00A91056" w14:paraId="13FE2E68" w14:textId="77777777" w:rsidTr="00A576CB">
        <w:trPr>
          <w:trHeight w:val="288"/>
        </w:trPr>
        <w:tc>
          <w:tcPr>
            <w:tcW w:w="844" w:type="pct"/>
            <w:shd w:val="clear" w:color="auto" w:fill="auto"/>
            <w:vAlign w:val="center"/>
            <w:hideMark/>
          </w:tcPr>
          <w:p w14:paraId="54DE05D0"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2-Phenyl-2-butenal</w:t>
            </w:r>
          </w:p>
        </w:tc>
        <w:tc>
          <w:tcPr>
            <w:tcW w:w="374" w:type="pct"/>
            <w:shd w:val="clear" w:color="auto" w:fill="auto"/>
            <w:noWrap/>
            <w:vAlign w:val="center"/>
            <w:hideMark/>
          </w:tcPr>
          <w:p w14:paraId="6491F113"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4411-89-6</w:t>
            </w:r>
          </w:p>
        </w:tc>
        <w:tc>
          <w:tcPr>
            <w:tcW w:w="500" w:type="pct"/>
            <w:shd w:val="clear" w:color="auto" w:fill="auto"/>
            <w:vAlign w:val="center"/>
            <w:hideMark/>
          </w:tcPr>
          <w:p w14:paraId="4DDA510D"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1 - 5 ª</w:t>
            </w:r>
          </w:p>
        </w:tc>
        <w:tc>
          <w:tcPr>
            <w:tcW w:w="158" w:type="pct"/>
            <w:shd w:val="clear" w:color="auto" w:fill="auto"/>
            <w:vAlign w:val="center"/>
            <w:hideMark/>
          </w:tcPr>
          <w:p w14:paraId="4B642FD2" w14:textId="00D7E72F"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vAlign w:val="center"/>
            <w:hideMark/>
          </w:tcPr>
          <w:p w14:paraId="5D8B6BCC" w14:textId="48D0698A"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48B34926" w14:textId="79E68DA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[4]</w:t>
            </w:r>
          </w:p>
        </w:tc>
        <w:tc>
          <w:tcPr>
            <w:tcW w:w="281" w:type="pct"/>
            <w:shd w:val="clear" w:color="auto" w:fill="auto"/>
            <w:noWrap/>
            <w:vAlign w:val="center"/>
            <w:hideMark/>
          </w:tcPr>
          <w:p w14:paraId="210A210E"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1CA2DF4B" w14:textId="52AE05D1"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2F5D057B"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7" w:type="pct"/>
            <w:shd w:val="clear" w:color="auto" w:fill="auto"/>
            <w:noWrap/>
            <w:vAlign w:val="center"/>
            <w:hideMark/>
          </w:tcPr>
          <w:p w14:paraId="1EA8133B"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30F68637" w14:textId="77777777" w:rsidR="00440A6C" w:rsidRPr="00A91056" w:rsidRDefault="00440A6C" w:rsidP="00E329EF">
            <w:pPr>
              <w:widowControl/>
              <w:spacing w:line="240" w:lineRule="auto"/>
              <w:ind w:firstLine="0"/>
              <w:jc w:val="center"/>
              <w:rPr>
                <w:rFonts w:eastAsia="Times New Roman" w:cs="Arial"/>
                <w:sz w:val="18"/>
                <w:szCs w:val="18"/>
              </w:rPr>
            </w:pPr>
          </w:p>
        </w:tc>
        <w:tc>
          <w:tcPr>
            <w:tcW w:w="250" w:type="pct"/>
            <w:shd w:val="clear" w:color="auto" w:fill="auto"/>
            <w:noWrap/>
            <w:vAlign w:val="center"/>
            <w:hideMark/>
          </w:tcPr>
          <w:p w14:paraId="7C87C644"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shd w:val="clear" w:color="auto" w:fill="auto"/>
            <w:noWrap/>
            <w:vAlign w:val="center"/>
            <w:hideMark/>
          </w:tcPr>
          <w:p w14:paraId="20CF641A"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gridSpan w:val="2"/>
            <w:shd w:val="clear" w:color="auto" w:fill="auto"/>
            <w:noWrap/>
            <w:vAlign w:val="center"/>
            <w:hideMark/>
          </w:tcPr>
          <w:p w14:paraId="66CC393A"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43BC4BC0"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29B2CAE2" w14:textId="26BFCA54"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4B1E1A8A"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50" w:type="pct"/>
            <w:shd w:val="clear" w:color="auto" w:fill="auto"/>
            <w:noWrap/>
            <w:vAlign w:val="center"/>
            <w:hideMark/>
          </w:tcPr>
          <w:p w14:paraId="5CED0330" w14:textId="6FE17614"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16" w:type="pct"/>
            <w:shd w:val="clear" w:color="auto" w:fill="auto"/>
            <w:noWrap/>
            <w:vAlign w:val="center"/>
            <w:hideMark/>
          </w:tcPr>
          <w:p w14:paraId="1A0D86EF" w14:textId="77777777" w:rsidR="00440A6C" w:rsidRPr="00A91056" w:rsidRDefault="00440A6C" w:rsidP="00E329EF">
            <w:pPr>
              <w:widowControl/>
              <w:spacing w:line="240" w:lineRule="auto"/>
              <w:ind w:firstLine="0"/>
              <w:jc w:val="center"/>
              <w:rPr>
                <w:rFonts w:eastAsia="Times New Roman" w:cs="Arial"/>
                <w:color w:val="000000"/>
                <w:sz w:val="18"/>
                <w:szCs w:val="18"/>
              </w:rPr>
            </w:pPr>
          </w:p>
        </w:tc>
      </w:tr>
      <w:tr w:rsidR="0007664D" w:rsidRPr="00A91056" w14:paraId="2CB63B85" w14:textId="77777777" w:rsidTr="00A576CB">
        <w:trPr>
          <w:trHeight w:val="288"/>
        </w:trPr>
        <w:tc>
          <w:tcPr>
            <w:tcW w:w="844" w:type="pct"/>
            <w:shd w:val="clear" w:color="auto" w:fill="auto"/>
            <w:vAlign w:val="center"/>
            <w:hideMark/>
          </w:tcPr>
          <w:p w14:paraId="19470C5F"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 xml:space="preserve">3,2’-Dimethyl-4-aminobiphenyl </w:t>
            </w:r>
          </w:p>
        </w:tc>
        <w:tc>
          <w:tcPr>
            <w:tcW w:w="374" w:type="pct"/>
            <w:shd w:val="clear" w:color="auto" w:fill="auto"/>
            <w:vAlign w:val="center"/>
            <w:hideMark/>
          </w:tcPr>
          <w:p w14:paraId="55B26204"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58109-32-3</w:t>
            </w:r>
          </w:p>
        </w:tc>
        <w:tc>
          <w:tcPr>
            <w:tcW w:w="500" w:type="pct"/>
            <w:shd w:val="clear" w:color="auto" w:fill="auto"/>
            <w:vAlign w:val="center"/>
            <w:hideMark/>
          </w:tcPr>
          <w:p w14:paraId="37671490"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0.3 - 7</w:t>
            </w:r>
          </w:p>
        </w:tc>
        <w:tc>
          <w:tcPr>
            <w:tcW w:w="158" w:type="pct"/>
            <w:shd w:val="clear" w:color="auto" w:fill="auto"/>
            <w:vAlign w:val="center"/>
            <w:hideMark/>
          </w:tcPr>
          <w:p w14:paraId="088C9B61" w14:textId="0D6F1530"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49" w:type="pct"/>
            <w:shd w:val="clear" w:color="auto" w:fill="auto"/>
            <w:vAlign w:val="center"/>
            <w:hideMark/>
          </w:tcPr>
          <w:p w14:paraId="15317B28" w14:textId="20AC402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264E79BC" w14:textId="21DADCEF"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w:t>
            </w:r>
          </w:p>
        </w:tc>
        <w:tc>
          <w:tcPr>
            <w:tcW w:w="281" w:type="pct"/>
            <w:shd w:val="clear" w:color="auto" w:fill="auto"/>
            <w:noWrap/>
            <w:vAlign w:val="center"/>
            <w:hideMark/>
          </w:tcPr>
          <w:p w14:paraId="2BA0F0B9" w14:textId="486ED7A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583FB15D" w14:textId="3D758DB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1E84138E"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7" w:type="pct"/>
            <w:shd w:val="clear" w:color="auto" w:fill="auto"/>
            <w:noWrap/>
            <w:vAlign w:val="center"/>
            <w:hideMark/>
          </w:tcPr>
          <w:p w14:paraId="4BEEEF19"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28577AFC" w14:textId="77777777" w:rsidR="00440A6C" w:rsidRPr="00A91056" w:rsidRDefault="00440A6C" w:rsidP="00E329EF">
            <w:pPr>
              <w:widowControl/>
              <w:spacing w:line="240" w:lineRule="auto"/>
              <w:ind w:firstLine="0"/>
              <w:jc w:val="center"/>
              <w:rPr>
                <w:rFonts w:eastAsia="Times New Roman" w:cs="Arial"/>
                <w:sz w:val="18"/>
                <w:szCs w:val="18"/>
              </w:rPr>
            </w:pPr>
          </w:p>
        </w:tc>
        <w:tc>
          <w:tcPr>
            <w:tcW w:w="250" w:type="pct"/>
            <w:shd w:val="clear" w:color="auto" w:fill="auto"/>
            <w:noWrap/>
            <w:vAlign w:val="center"/>
            <w:hideMark/>
          </w:tcPr>
          <w:p w14:paraId="3F15D469"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shd w:val="clear" w:color="auto" w:fill="auto"/>
            <w:noWrap/>
            <w:vAlign w:val="center"/>
            <w:hideMark/>
          </w:tcPr>
          <w:p w14:paraId="06A1AFF8" w14:textId="2D6FA1E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gridSpan w:val="2"/>
            <w:shd w:val="clear" w:color="auto" w:fill="auto"/>
            <w:noWrap/>
            <w:vAlign w:val="center"/>
            <w:hideMark/>
          </w:tcPr>
          <w:p w14:paraId="083EB6B0" w14:textId="3381F0A5"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87" w:type="pct"/>
            <w:shd w:val="clear" w:color="auto" w:fill="auto"/>
            <w:noWrap/>
            <w:vAlign w:val="center"/>
            <w:hideMark/>
          </w:tcPr>
          <w:p w14:paraId="68F33156"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6" w:type="pct"/>
            <w:shd w:val="clear" w:color="auto" w:fill="auto"/>
            <w:noWrap/>
            <w:vAlign w:val="center"/>
            <w:hideMark/>
          </w:tcPr>
          <w:p w14:paraId="54B8A14F" w14:textId="77777777" w:rsidR="00440A6C" w:rsidRPr="00A91056" w:rsidRDefault="00440A6C" w:rsidP="00E329EF">
            <w:pPr>
              <w:widowControl/>
              <w:spacing w:line="240" w:lineRule="auto"/>
              <w:ind w:firstLine="0"/>
              <w:jc w:val="center"/>
              <w:rPr>
                <w:rFonts w:eastAsia="Times New Roman" w:cs="Arial"/>
                <w:sz w:val="18"/>
                <w:szCs w:val="18"/>
              </w:rPr>
            </w:pPr>
          </w:p>
        </w:tc>
        <w:tc>
          <w:tcPr>
            <w:tcW w:w="157" w:type="pct"/>
            <w:shd w:val="clear" w:color="auto" w:fill="auto"/>
            <w:noWrap/>
            <w:vAlign w:val="center"/>
            <w:hideMark/>
          </w:tcPr>
          <w:p w14:paraId="4A113136" w14:textId="77777777" w:rsidR="00440A6C" w:rsidRPr="00A91056" w:rsidRDefault="00440A6C" w:rsidP="00E329EF">
            <w:pPr>
              <w:widowControl/>
              <w:spacing w:line="240" w:lineRule="auto"/>
              <w:ind w:firstLine="0"/>
              <w:jc w:val="center"/>
              <w:rPr>
                <w:rFonts w:eastAsia="Times New Roman" w:cs="Arial"/>
                <w:sz w:val="18"/>
                <w:szCs w:val="18"/>
              </w:rPr>
            </w:pPr>
          </w:p>
        </w:tc>
        <w:tc>
          <w:tcPr>
            <w:tcW w:w="250" w:type="pct"/>
            <w:shd w:val="clear" w:color="auto" w:fill="auto"/>
            <w:noWrap/>
            <w:vAlign w:val="center"/>
            <w:hideMark/>
          </w:tcPr>
          <w:p w14:paraId="1099B279" w14:textId="77777777" w:rsidR="00440A6C" w:rsidRPr="00A91056" w:rsidRDefault="00440A6C" w:rsidP="00E329EF">
            <w:pPr>
              <w:widowControl/>
              <w:spacing w:line="240" w:lineRule="auto"/>
              <w:ind w:firstLine="0"/>
              <w:jc w:val="center"/>
              <w:rPr>
                <w:rFonts w:eastAsia="Times New Roman" w:cs="Arial"/>
                <w:sz w:val="18"/>
                <w:szCs w:val="18"/>
              </w:rPr>
            </w:pPr>
          </w:p>
        </w:tc>
        <w:tc>
          <w:tcPr>
            <w:tcW w:w="216" w:type="pct"/>
            <w:shd w:val="clear" w:color="auto" w:fill="auto"/>
            <w:noWrap/>
            <w:vAlign w:val="center"/>
            <w:hideMark/>
          </w:tcPr>
          <w:p w14:paraId="5670493B" w14:textId="510FD84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07664D" w:rsidRPr="00A91056" w14:paraId="3AAA9977" w14:textId="77777777" w:rsidTr="00A576CB">
        <w:trPr>
          <w:trHeight w:val="288"/>
        </w:trPr>
        <w:tc>
          <w:tcPr>
            <w:tcW w:w="844" w:type="pct"/>
            <w:shd w:val="clear" w:color="auto" w:fill="auto"/>
            <w:noWrap/>
            <w:vAlign w:val="center"/>
            <w:hideMark/>
          </w:tcPr>
          <w:p w14:paraId="6616240C"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3,4-Dimethylaniline</w:t>
            </w:r>
          </w:p>
        </w:tc>
        <w:tc>
          <w:tcPr>
            <w:tcW w:w="374" w:type="pct"/>
            <w:shd w:val="clear" w:color="auto" w:fill="auto"/>
            <w:noWrap/>
            <w:vAlign w:val="center"/>
            <w:hideMark/>
          </w:tcPr>
          <w:p w14:paraId="7A71CC2E"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95-64-7</w:t>
            </w:r>
          </w:p>
        </w:tc>
        <w:tc>
          <w:tcPr>
            <w:tcW w:w="500" w:type="pct"/>
            <w:shd w:val="clear" w:color="auto" w:fill="auto"/>
            <w:vAlign w:val="center"/>
            <w:hideMark/>
          </w:tcPr>
          <w:p w14:paraId="7AB2E928"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5 - 10 ª</w:t>
            </w:r>
          </w:p>
        </w:tc>
        <w:tc>
          <w:tcPr>
            <w:tcW w:w="158" w:type="pct"/>
            <w:shd w:val="clear" w:color="auto" w:fill="auto"/>
            <w:vAlign w:val="center"/>
            <w:hideMark/>
          </w:tcPr>
          <w:p w14:paraId="3CA7ABD4" w14:textId="6EA2CAC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49" w:type="pct"/>
            <w:shd w:val="clear" w:color="auto" w:fill="auto"/>
            <w:vAlign w:val="center"/>
            <w:hideMark/>
          </w:tcPr>
          <w:p w14:paraId="0777A715" w14:textId="3DD1C7F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1451738C" w14:textId="7ED4D1A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w:t>
            </w:r>
          </w:p>
        </w:tc>
        <w:tc>
          <w:tcPr>
            <w:tcW w:w="281" w:type="pct"/>
            <w:shd w:val="clear" w:color="auto" w:fill="auto"/>
            <w:noWrap/>
            <w:vAlign w:val="center"/>
            <w:hideMark/>
          </w:tcPr>
          <w:p w14:paraId="13CA8E11" w14:textId="64F6926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 in vitro</w:t>
            </w:r>
          </w:p>
        </w:tc>
        <w:tc>
          <w:tcPr>
            <w:tcW w:w="219" w:type="pct"/>
            <w:shd w:val="clear" w:color="auto" w:fill="auto"/>
            <w:noWrap/>
            <w:vAlign w:val="center"/>
            <w:hideMark/>
          </w:tcPr>
          <w:p w14:paraId="5CB8CB3C" w14:textId="6E6BEB5B"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3859AB51"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7" w:type="pct"/>
            <w:shd w:val="clear" w:color="auto" w:fill="auto"/>
            <w:noWrap/>
            <w:vAlign w:val="center"/>
            <w:hideMark/>
          </w:tcPr>
          <w:p w14:paraId="630E1931"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2EE953AE" w14:textId="1B89DD9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50" w:type="pct"/>
            <w:shd w:val="clear" w:color="auto" w:fill="auto"/>
            <w:noWrap/>
            <w:vAlign w:val="center"/>
            <w:hideMark/>
          </w:tcPr>
          <w:p w14:paraId="483BFCBF"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26F64016"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gridSpan w:val="2"/>
            <w:shd w:val="clear" w:color="auto" w:fill="auto"/>
            <w:noWrap/>
            <w:vAlign w:val="center"/>
            <w:hideMark/>
          </w:tcPr>
          <w:p w14:paraId="782C448D"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554EC923"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4A871D8E" w14:textId="021BDD0B"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3C85A242"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50" w:type="pct"/>
            <w:shd w:val="clear" w:color="auto" w:fill="auto"/>
            <w:noWrap/>
            <w:vAlign w:val="center"/>
            <w:hideMark/>
          </w:tcPr>
          <w:p w14:paraId="6DAE975D" w14:textId="2D63EFD5"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6" w:type="pct"/>
            <w:shd w:val="clear" w:color="auto" w:fill="auto"/>
            <w:noWrap/>
            <w:vAlign w:val="center"/>
            <w:hideMark/>
          </w:tcPr>
          <w:p w14:paraId="1E4791A1" w14:textId="77777777" w:rsidR="00440A6C" w:rsidRPr="00A91056" w:rsidRDefault="00440A6C" w:rsidP="00E329EF">
            <w:pPr>
              <w:widowControl/>
              <w:spacing w:line="240" w:lineRule="auto"/>
              <w:ind w:firstLine="0"/>
              <w:jc w:val="center"/>
              <w:rPr>
                <w:rFonts w:eastAsia="Times New Roman" w:cs="Arial"/>
                <w:color w:val="000000"/>
                <w:sz w:val="18"/>
                <w:szCs w:val="18"/>
              </w:rPr>
            </w:pPr>
          </w:p>
        </w:tc>
      </w:tr>
      <w:tr w:rsidR="0007664D" w:rsidRPr="00A91056" w14:paraId="7D0A6443" w14:textId="77777777" w:rsidTr="00A576CB">
        <w:trPr>
          <w:trHeight w:val="288"/>
        </w:trPr>
        <w:tc>
          <w:tcPr>
            <w:tcW w:w="844" w:type="pct"/>
            <w:shd w:val="clear" w:color="auto" w:fill="auto"/>
            <w:noWrap/>
            <w:vAlign w:val="center"/>
            <w:hideMark/>
          </w:tcPr>
          <w:p w14:paraId="3DCE4B1D"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4(5)-Methylimidazole</w:t>
            </w:r>
          </w:p>
        </w:tc>
        <w:tc>
          <w:tcPr>
            <w:tcW w:w="374" w:type="pct"/>
            <w:shd w:val="clear" w:color="auto" w:fill="auto"/>
            <w:noWrap/>
            <w:vAlign w:val="center"/>
            <w:hideMark/>
          </w:tcPr>
          <w:p w14:paraId="2E246C0E"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822-36-6</w:t>
            </w:r>
          </w:p>
        </w:tc>
        <w:tc>
          <w:tcPr>
            <w:tcW w:w="500" w:type="pct"/>
            <w:shd w:val="clear" w:color="auto" w:fill="auto"/>
            <w:vAlign w:val="center"/>
            <w:hideMark/>
          </w:tcPr>
          <w:p w14:paraId="46522ABB"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1 - 5</w:t>
            </w:r>
          </w:p>
        </w:tc>
        <w:tc>
          <w:tcPr>
            <w:tcW w:w="158" w:type="pct"/>
            <w:shd w:val="clear" w:color="auto" w:fill="auto"/>
            <w:vAlign w:val="center"/>
            <w:hideMark/>
          </w:tcPr>
          <w:p w14:paraId="593E1303" w14:textId="4EB7FEFF"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vAlign w:val="center"/>
            <w:hideMark/>
          </w:tcPr>
          <w:p w14:paraId="3D6C3414" w14:textId="390B0C5B"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vAlign w:val="center"/>
            <w:hideMark/>
          </w:tcPr>
          <w:p w14:paraId="7B16C2DF" w14:textId="457BB65B" w:rsidR="00440A6C" w:rsidRPr="00A91056" w:rsidRDefault="00440A6C" w:rsidP="00E329EF">
            <w:pPr>
              <w:widowControl/>
              <w:spacing w:line="240" w:lineRule="auto"/>
              <w:ind w:firstLine="0"/>
              <w:jc w:val="center"/>
              <w:rPr>
                <w:rFonts w:eastAsia="Times New Roman" w:cs="Arial"/>
                <w:color w:val="000000"/>
                <w:sz w:val="18"/>
                <w:szCs w:val="18"/>
              </w:rPr>
            </w:pPr>
          </w:p>
        </w:tc>
        <w:tc>
          <w:tcPr>
            <w:tcW w:w="281" w:type="pct"/>
            <w:shd w:val="clear" w:color="auto" w:fill="auto"/>
            <w:noWrap/>
            <w:vAlign w:val="center"/>
            <w:hideMark/>
          </w:tcPr>
          <w:p w14:paraId="333EDC86"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0D9ECFBC" w14:textId="50F8E145"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50" w:type="pct"/>
            <w:shd w:val="clear" w:color="auto" w:fill="auto"/>
            <w:noWrap/>
            <w:vAlign w:val="center"/>
            <w:hideMark/>
          </w:tcPr>
          <w:p w14:paraId="2094049D"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7" w:type="pct"/>
            <w:shd w:val="clear" w:color="auto" w:fill="auto"/>
            <w:noWrap/>
            <w:vAlign w:val="center"/>
            <w:hideMark/>
          </w:tcPr>
          <w:p w14:paraId="6981C00B" w14:textId="165856E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31B14B00"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50" w:type="pct"/>
            <w:shd w:val="clear" w:color="auto" w:fill="auto"/>
            <w:noWrap/>
            <w:vAlign w:val="center"/>
            <w:hideMark/>
          </w:tcPr>
          <w:p w14:paraId="79971324"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shd w:val="clear" w:color="auto" w:fill="auto"/>
            <w:noWrap/>
            <w:vAlign w:val="center"/>
            <w:hideMark/>
          </w:tcPr>
          <w:p w14:paraId="594F5924"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gridSpan w:val="2"/>
            <w:shd w:val="clear" w:color="auto" w:fill="auto"/>
            <w:noWrap/>
            <w:vAlign w:val="center"/>
            <w:hideMark/>
          </w:tcPr>
          <w:p w14:paraId="42DAFAF7"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65DA9B90"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0E8EC83F" w14:textId="6E3766D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16A4BFB4"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50" w:type="pct"/>
            <w:shd w:val="clear" w:color="auto" w:fill="auto"/>
            <w:noWrap/>
            <w:vAlign w:val="center"/>
            <w:hideMark/>
          </w:tcPr>
          <w:p w14:paraId="495B1350" w14:textId="77777777" w:rsidR="00440A6C" w:rsidRPr="00A91056" w:rsidRDefault="00440A6C" w:rsidP="00E329EF">
            <w:pPr>
              <w:widowControl/>
              <w:spacing w:line="240" w:lineRule="auto"/>
              <w:ind w:firstLine="0"/>
              <w:jc w:val="center"/>
              <w:rPr>
                <w:rFonts w:eastAsia="Times New Roman" w:cs="Arial"/>
                <w:sz w:val="18"/>
                <w:szCs w:val="18"/>
              </w:rPr>
            </w:pPr>
          </w:p>
        </w:tc>
        <w:tc>
          <w:tcPr>
            <w:tcW w:w="216" w:type="pct"/>
            <w:shd w:val="clear" w:color="auto" w:fill="auto"/>
            <w:noWrap/>
            <w:vAlign w:val="center"/>
            <w:hideMark/>
          </w:tcPr>
          <w:p w14:paraId="2653EF27" w14:textId="71F6570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07664D" w:rsidRPr="00A91056" w14:paraId="19A82650" w14:textId="77777777" w:rsidTr="00A576CB">
        <w:trPr>
          <w:trHeight w:val="288"/>
        </w:trPr>
        <w:tc>
          <w:tcPr>
            <w:tcW w:w="844" w:type="pct"/>
            <w:shd w:val="clear" w:color="auto" w:fill="auto"/>
            <w:noWrap/>
            <w:vAlign w:val="center"/>
            <w:hideMark/>
          </w:tcPr>
          <w:p w14:paraId="12B547EB"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4-(</w:t>
            </w:r>
            <w:proofErr w:type="spellStart"/>
            <w:r w:rsidRPr="00A91056">
              <w:rPr>
                <w:rFonts w:eastAsia="Times New Roman" w:cs="Arial"/>
                <w:color w:val="000000"/>
                <w:sz w:val="18"/>
                <w:szCs w:val="18"/>
              </w:rPr>
              <w:t>Dimethylamino</w:t>
            </w:r>
            <w:proofErr w:type="spellEnd"/>
            <w:r w:rsidRPr="00A91056">
              <w:rPr>
                <w:rFonts w:eastAsia="Times New Roman" w:cs="Arial"/>
                <w:color w:val="000000"/>
                <w:sz w:val="18"/>
                <w:szCs w:val="18"/>
              </w:rPr>
              <w:t>)benzene-1-carbohydrazide</w:t>
            </w:r>
          </w:p>
        </w:tc>
        <w:tc>
          <w:tcPr>
            <w:tcW w:w="374" w:type="pct"/>
            <w:shd w:val="clear" w:color="auto" w:fill="auto"/>
            <w:noWrap/>
            <w:vAlign w:val="center"/>
            <w:hideMark/>
          </w:tcPr>
          <w:p w14:paraId="4F94B34C" w14:textId="52409B31"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19353-92-5</w:t>
            </w:r>
          </w:p>
        </w:tc>
        <w:tc>
          <w:tcPr>
            <w:tcW w:w="500" w:type="pct"/>
            <w:shd w:val="clear" w:color="auto" w:fill="auto"/>
            <w:vAlign w:val="center"/>
            <w:hideMark/>
          </w:tcPr>
          <w:p w14:paraId="16AF5BE7"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 xml:space="preserve">0.15 - 1.25 </w:t>
            </w:r>
            <w:r w:rsidRPr="00A91056">
              <w:rPr>
                <w:rFonts w:eastAsia="Times New Roman" w:cs="Arial"/>
                <w:color w:val="000000"/>
                <w:sz w:val="18"/>
                <w:szCs w:val="18"/>
                <w:vertAlign w:val="superscript"/>
              </w:rPr>
              <w:t>b</w:t>
            </w:r>
          </w:p>
        </w:tc>
        <w:tc>
          <w:tcPr>
            <w:tcW w:w="158" w:type="pct"/>
            <w:shd w:val="clear" w:color="auto" w:fill="auto"/>
            <w:vAlign w:val="center"/>
            <w:hideMark/>
          </w:tcPr>
          <w:p w14:paraId="606578F8" w14:textId="3D6DA6E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vAlign w:val="center"/>
            <w:hideMark/>
          </w:tcPr>
          <w:p w14:paraId="2FDEA9F2" w14:textId="0F9216D5"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vAlign w:val="center"/>
            <w:hideMark/>
          </w:tcPr>
          <w:p w14:paraId="0C2A7951" w14:textId="360F8E03" w:rsidR="00440A6C" w:rsidRPr="00A91056" w:rsidRDefault="00440A6C" w:rsidP="00E329EF">
            <w:pPr>
              <w:widowControl/>
              <w:spacing w:line="240" w:lineRule="auto"/>
              <w:ind w:firstLine="0"/>
              <w:jc w:val="center"/>
              <w:rPr>
                <w:rFonts w:eastAsia="Times New Roman" w:cs="Arial"/>
                <w:color w:val="000000"/>
                <w:sz w:val="18"/>
                <w:szCs w:val="18"/>
              </w:rPr>
            </w:pPr>
          </w:p>
        </w:tc>
        <w:tc>
          <w:tcPr>
            <w:tcW w:w="281" w:type="pct"/>
            <w:shd w:val="clear" w:color="auto" w:fill="auto"/>
            <w:noWrap/>
            <w:vAlign w:val="center"/>
            <w:hideMark/>
          </w:tcPr>
          <w:p w14:paraId="547CC814"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5214952F" w14:textId="77777777" w:rsidR="00440A6C" w:rsidRPr="00A91056" w:rsidRDefault="00440A6C" w:rsidP="00E329EF">
            <w:pPr>
              <w:widowControl/>
              <w:spacing w:line="240" w:lineRule="auto"/>
              <w:ind w:firstLine="0"/>
              <w:jc w:val="center"/>
              <w:rPr>
                <w:rFonts w:eastAsia="Times New Roman" w:cs="Arial"/>
                <w:sz w:val="18"/>
                <w:szCs w:val="18"/>
              </w:rPr>
            </w:pPr>
          </w:p>
        </w:tc>
        <w:tc>
          <w:tcPr>
            <w:tcW w:w="250" w:type="pct"/>
            <w:shd w:val="clear" w:color="auto" w:fill="auto"/>
            <w:noWrap/>
            <w:vAlign w:val="center"/>
            <w:hideMark/>
          </w:tcPr>
          <w:p w14:paraId="7AAC17D1" w14:textId="77777777" w:rsidR="00440A6C" w:rsidRPr="00A91056" w:rsidRDefault="00440A6C" w:rsidP="00E329EF">
            <w:pPr>
              <w:widowControl/>
              <w:spacing w:line="240" w:lineRule="auto"/>
              <w:ind w:firstLine="0"/>
              <w:jc w:val="center"/>
              <w:rPr>
                <w:rFonts w:eastAsia="Times New Roman" w:cs="Arial"/>
                <w:sz w:val="18"/>
                <w:szCs w:val="18"/>
              </w:rPr>
            </w:pPr>
          </w:p>
        </w:tc>
        <w:tc>
          <w:tcPr>
            <w:tcW w:w="157" w:type="pct"/>
            <w:shd w:val="clear" w:color="auto" w:fill="auto"/>
            <w:noWrap/>
            <w:vAlign w:val="center"/>
            <w:hideMark/>
          </w:tcPr>
          <w:p w14:paraId="371AB4C6"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1695CF8C" w14:textId="77777777" w:rsidR="00440A6C" w:rsidRPr="00A91056" w:rsidRDefault="00440A6C" w:rsidP="00E329EF">
            <w:pPr>
              <w:widowControl/>
              <w:spacing w:line="240" w:lineRule="auto"/>
              <w:ind w:firstLine="0"/>
              <w:jc w:val="center"/>
              <w:rPr>
                <w:rFonts w:eastAsia="Times New Roman" w:cs="Arial"/>
                <w:sz w:val="18"/>
                <w:szCs w:val="18"/>
              </w:rPr>
            </w:pPr>
          </w:p>
        </w:tc>
        <w:tc>
          <w:tcPr>
            <w:tcW w:w="250" w:type="pct"/>
            <w:shd w:val="clear" w:color="auto" w:fill="auto"/>
            <w:noWrap/>
            <w:vAlign w:val="center"/>
            <w:hideMark/>
          </w:tcPr>
          <w:p w14:paraId="0C47E981"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shd w:val="clear" w:color="auto" w:fill="auto"/>
            <w:noWrap/>
            <w:vAlign w:val="center"/>
            <w:hideMark/>
          </w:tcPr>
          <w:p w14:paraId="4CC60D7B"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gridSpan w:val="2"/>
            <w:shd w:val="clear" w:color="auto" w:fill="auto"/>
            <w:noWrap/>
            <w:vAlign w:val="center"/>
            <w:hideMark/>
          </w:tcPr>
          <w:p w14:paraId="4AE89321" w14:textId="77777777" w:rsidR="00440A6C" w:rsidRPr="00A91056" w:rsidRDefault="00440A6C" w:rsidP="00E329EF">
            <w:pPr>
              <w:widowControl/>
              <w:spacing w:line="240" w:lineRule="auto"/>
              <w:ind w:firstLine="0"/>
              <w:jc w:val="center"/>
              <w:rPr>
                <w:rFonts w:eastAsia="Times New Roman" w:cs="Arial"/>
                <w:sz w:val="18"/>
                <w:szCs w:val="18"/>
              </w:rPr>
            </w:pPr>
          </w:p>
        </w:tc>
        <w:tc>
          <w:tcPr>
            <w:tcW w:w="187" w:type="pct"/>
            <w:shd w:val="clear" w:color="auto" w:fill="auto"/>
            <w:noWrap/>
            <w:vAlign w:val="center"/>
            <w:hideMark/>
          </w:tcPr>
          <w:p w14:paraId="5761366C"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4771BA7B" w14:textId="77777777" w:rsidR="00440A6C" w:rsidRPr="00A91056" w:rsidRDefault="00440A6C" w:rsidP="00E329EF">
            <w:pPr>
              <w:widowControl/>
              <w:spacing w:line="240" w:lineRule="auto"/>
              <w:ind w:firstLine="0"/>
              <w:jc w:val="center"/>
              <w:rPr>
                <w:rFonts w:eastAsia="Times New Roman" w:cs="Arial"/>
                <w:sz w:val="18"/>
                <w:szCs w:val="18"/>
              </w:rPr>
            </w:pPr>
          </w:p>
        </w:tc>
        <w:tc>
          <w:tcPr>
            <w:tcW w:w="157" w:type="pct"/>
            <w:shd w:val="clear" w:color="auto" w:fill="auto"/>
            <w:noWrap/>
            <w:vAlign w:val="center"/>
            <w:hideMark/>
          </w:tcPr>
          <w:p w14:paraId="710BD413" w14:textId="77777777" w:rsidR="00440A6C" w:rsidRPr="00A91056" w:rsidRDefault="00440A6C" w:rsidP="00E329EF">
            <w:pPr>
              <w:widowControl/>
              <w:spacing w:line="240" w:lineRule="auto"/>
              <w:ind w:firstLine="0"/>
              <w:jc w:val="center"/>
              <w:rPr>
                <w:rFonts w:eastAsia="Times New Roman" w:cs="Arial"/>
                <w:sz w:val="18"/>
                <w:szCs w:val="18"/>
              </w:rPr>
            </w:pPr>
          </w:p>
        </w:tc>
        <w:tc>
          <w:tcPr>
            <w:tcW w:w="250" w:type="pct"/>
            <w:shd w:val="clear" w:color="auto" w:fill="auto"/>
            <w:noWrap/>
            <w:vAlign w:val="center"/>
            <w:hideMark/>
          </w:tcPr>
          <w:p w14:paraId="6DD3E379" w14:textId="77777777" w:rsidR="00440A6C" w:rsidRPr="00A91056" w:rsidRDefault="00440A6C" w:rsidP="00E329EF">
            <w:pPr>
              <w:widowControl/>
              <w:spacing w:line="240" w:lineRule="auto"/>
              <w:ind w:firstLine="0"/>
              <w:jc w:val="center"/>
              <w:rPr>
                <w:rFonts w:eastAsia="Times New Roman" w:cs="Arial"/>
                <w:sz w:val="18"/>
                <w:szCs w:val="18"/>
              </w:rPr>
            </w:pPr>
          </w:p>
        </w:tc>
        <w:tc>
          <w:tcPr>
            <w:tcW w:w="216" w:type="pct"/>
            <w:shd w:val="clear" w:color="auto" w:fill="auto"/>
            <w:noWrap/>
            <w:vAlign w:val="center"/>
            <w:hideMark/>
          </w:tcPr>
          <w:p w14:paraId="16F03EDB" w14:textId="77777777" w:rsidR="00440A6C" w:rsidRPr="00A91056" w:rsidRDefault="00440A6C" w:rsidP="00E329EF">
            <w:pPr>
              <w:widowControl/>
              <w:spacing w:line="240" w:lineRule="auto"/>
              <w:ind w:firstLine="0"/>
              <w:jc w:val="center"/>
              <w:rPr>
                <w:rFonts w:eastAsia="Times New Roman" w:cs="Arial"/>
                <w:sz w:val="18"/>
                <w:szCs w:val="18"/>
              </w:rPr>
            </w:pPr>
          </w:p>
        </w:tc>
      </w:tr>
      <w:tr w:rsidR="0007664D" w:rsidRPr="00A91056" w14:paraId="0FC812A7" w14:textId="77777777" w:rsidTr="00A576CB">
        <w:trPr>
          <w:trHeight w:val="288"/>
        </w:trPr>
        <w:tc>
          <w:tcPr>
            <w:tcW w:w="844" w:type="pct"/>
            <w:shd w:val="clear" w:color="auto" w:fill="auto"/>
            <w:vAlign w:val="center"/>
            <w:hideMark/>
          </w:tcPr>
          <w:p w14:paraId="62D27ADD"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4-Aminobiphenyl</w:t>
            </w:r>
          </w:p>
        </w:tc>
        <w:tc>
          <w:tcPr>
            <w:tcW w:w="374" w:type="pct"/>
            <w:shd w:val="clear" w:color="auto" w:fill="auto"/>
            <w:vAlign w:val="center"/>
            <w:hideMark/>
          </w:tcPr>
          <w:p w14:paraId="3FC06C24"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92-67-1</w:t>
            </w:r>
          </w:p>
        </w:tc>
        <w:tc>
          <w:tcPr>
            <w:tcW w:w="500" w:type="pct"/>
            <w:shd w:val="clear" w:color="auto" w:fill="auto"/>
            <w:vAlign w:val="center"/>
            <w:hideMark/>
          </w:tcPr>
          <w:p w14:paraId="54018495"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0.15 - 0.3 ª</w:t>
            </w:r>
          </w:p>
        </w:tc>
        <w:tc>
          <w:tcPr>
            <w:tcW w:w="158" w:type="pct"/>
            <w:shd w:val="clear" w:color="auto" w:fill="auto"/>
            <w:vAlign w:val="center"/>
            <w:hideMark/>
          </w:tcPr>
          <w:p w14:paraId="59482A5C" w14:textId="3382FBB2"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49" w:type="pct"/>
            <w:shd w:val="clear" w:color="auto" w:fill="auto"/>
            <w:vAlign w:val="center"/>
            <w:hideMark/>
          </w:tcPr>
          <w:p w14:paraId="408DEA48" w14:textId="3D4FCC8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1F61A459" w14:textId="45BBD444"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w:t>
            </w:r>
          </w:p>
        </w:tc>
        <w:tc>
          <w:tcPr>
            <w:tcW w:w="281" w:type="pct"/>
            <w:shd w:val="clear" w:color="auto" w:fill="auto"/>
            <w:noWrap/>
            <w:vAlign w:val="center"/>
            <w:hideMark/>
          </w:tcPr>
          <w:p w14:paraId="7FEABC26" w14:textId="1904F522"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6B410B7E" w14:textId="2CE3FA31"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3962CD32" w14:textId="00D4AFF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1E66CAB6"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6" w:type="pct"/>
            <w:shd w:val="clear" w:color="auto" w:fill="auto"/>
            <w:noWrap/>
            <w:vAlign w:val="center"/>
            <w:hideMark/>
          </w:tcPr>
          <w:p w14:paraId="687B6FE5" w14:textId="36FE1CB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6280A4D7" w14:textId="064FE55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5C35AC84" w14:textId="17A423D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gridSpan w:val="2"/>
            <w:shd w:val="clear" w:color="auto" w:fill="auto"/>
            <w:noWrap/>
            <w:vAlign w:val="center"/>
            <w:hideMark/>
          </w:tcPr>
          <w:p w14:paraId="2C67143E" w14:textId="0B643D2F"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87" w:type="pct"/>
            <w:shd w:val="clear" w:color="auto" w:fill="auto"/>
            <w:noWrap/>
            <w:vAlign w:val="center"/>
            <w:hideMark/>
          </w:tcPr>
          <w:p w14:paraId="09804DD7" w14:textId="58133D4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1A36F73E" w14:textId="7524DC7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49B7B999" w14:textId="436CBB0A"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285805A4" w14:textId="4A13517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6" w:type="pct"/>
            <w:shd w:val="clear" w:color="auto" w:fill="auto"/>
            <w:noWrap/>
            <w:vAlign w:val="center"/>
            <w:hideMark/>
          </w:tcPr>
          <w:p w14:paraId="64AE5A38" w14:textId="45A3BDF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07664D" w:rsidRPr="00A91056" w14:paraId="4B68922B" w14:textId="77777777" w:rsidTr="00A576CB">
        <w:trPr>
          <w:trHeight w:val="288"/>
        </w:trPr>
        <w:tc>
          <w:tcPr>
            <w:tcW w:w="844" w:type="pct"/>
            <w:shd w:val="clear" w:color="auto" w:fill="auto"/>
            <w:vAlign w:val="center"/>
            <w:hideMark/>
          </w:tcPr>
          <w:p w14:paraId="09805143"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4-Chloro-ortho-toluidine</w:t>
            </w:r>
          </w:p>
        </w:tc>
        <w:tc>
          <w:tcPr>
            <w:tcW w:w="374" w:type="pct"/>
            <w:shd w:val="clear" w:color="auto" w:fill="auto"/>
            <w:vAlign w:val="center"/>
            <w:hideMark/>
          </w:tcPr>
          <w:p w14:paraId="1ABA1A7C"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95-69-2</w:t>
            </w:r>
          </w:p>
        </w:tc>
        <w:tc>
          <w:tcPr>
            <w:tcW w:w="500" w:type="pct"/>
            <w:shd w:val="clear" w:color="auto" w:fill="auto"/>
            <w:vAlign w:val="center"/>
            <w:hideMark/>
          </w:tcPr>
          <w:p w14:paraId="7096C1CA" w14:textId="77777777" w:rsidR="00440A6C" w:rsidRPr="00A91056" w:rsidRDefault="00440A6C" w:rsidP="00E329EF">
            <w:pPr>
              <w:widowControl/>
              <w:spacing w:line="240" w:lineRule="auto"/>
              <w:ind w:firstLine="0"/>
              <w:jc w:val="center"/>
              <w:rPr>
                <w:rFonts w:eastAsia="Times New Roman" w:cs="Arial"/>
                <w:sz w:val="18"/>
                <w:szCs w:val="18"/>
              </w:rPr>
            </w:pPr>
            <w:r w:rsidRPr="00A91056">
              <w:rPr>
                <w:rFonts w:eastAsia="Times New Roman" w:cs="Arial"/>
                <w:sz w:val="18"/>
                <w:szCs w:val="18"/>
              </w:rPr>
              <w:t>0.63 - 5 ª</w:t>
            </w:r>
          </w:p>
        </w:tc>
        <w:tc>
          <w:tcPr>
            <w:tcW w:w="158" w:type="pct"/>
            <w:shd w:val="clear" w:color="auto" w:fill="auto"/>
            <w:vAlign w:val="center"/>
            <w:hideMark/>
          </w:tcPr>
          <w:p w14:paraId="62954BCE" w14:textId="1497221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49" w:type="pct"/>
            <w:shd w:val="clear" w:color="auto" w:fill="auto"/>
            <w:noWrap/>
            <w:vAlign w:val="center"/>
            <w:hideMark/>
          </w:tcPr>
          <w:p w14:paraId="148A0D8F" w14:textId="13744228" w:rsidR="00440A6C" w:rsidRPr="00A91056" w:rsidRDefault="00440A6C" w:rsidP="00E329EF">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157" w:type="pct"/>
            <w:shd w:val="clear" w:color="auto" w:fill="auto"/>
            <w:noWrap/>
            <w:vAlign w:val="center"/>
            <w:hideMark/>
          </w:tcPr>
          <w:p w14:paraId="0F36D3C2" w14:textId="76139B00"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w:t>
            </w:r>
          </w:p>
        </w:tc>
        <w:tc>
          <w:tcPr>
            <w:tcW w:w="281" w:type="pct"/>
            <w:shd w:val="clear" w:color="auto" w:fill="auto"/>
            <w:noWrap/>
            <w:vAlign w:val="center"/>
            <w:hideMark/>
          </w:tcPr>
          <w:p w14:paraId="456684C8" w14:textId="0EF5498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0900B531" w14:textId="2EDC5FCA" w:rsidR="00440A6C" w:rsidRPr="00A91056" w:rsidRDefault="00440A6C" w:rsidP="00E329EF">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250" w:type="pct"/>
            <w:shd w:val="clear" w:color="auto" w:fill="auto"/>
            <w:noWrap/>
            <w:vAlign w:val="center"/>
            <w:hideMark/>
          </w:tcPr>
          <w:p w14:paraId="7B33C5AE"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7" w:type="pct"/>
            <w:shd w:val="clear" w:color="auto" w:fill="auto"/>
            <w:noWrap/>
            <w:vAlign w:val="center"/>
            <w:hideMark/>
          </w:tcPr>
          <w:p w14:paraId="0C339CD9"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3314F564" w14:textId="3A4A6702"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4616DEE2" w14:textId="6A71227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7907D75F"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gridSpan w:val="2"/>
            <w:shd w:val="clear" w:color="auto" w:fill="auto"/>
            <w:noWrap/>
            <w:vAlign w:val="center"/>
            <w:hideMark/>
          </w:tcPr>
          <w:p w14:paraId="3722ECE3"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51E6870C"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13D7B53F" w14:textId="0676BAF5"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5550FC37"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50" w:type="pct"/>
            <w:shd w:val="clear" w:color="auto" w:fill="auto"/>
            <w:noWrap/>
            <w:vAlign w:val="center"/>
            <w:hideMark/>
          </w:tcPr>
          <w:p w14:paraId="1EE8AB04" w14:textId="515617F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6" w:type="pct"/>
            <w:shd w:val="clear" w:color="auto" w:fill="auto"/>
            <w:noWrap/>
            <w:vAlign w:val="center"/>
            <w:hideMark/>
          </w:tcPr>
          <w:p w14:paraId="0984EC44" w14:textId="35B2410A"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07664D" w:rsidRPr="00A91056" w14:paraId="2051CCAB" w14:textId="77777777" w:rsidTr="00A576CB">
        <w:trPr>
          <w:trHeight w:val="288"/>
        </w:trPr>
        <w:tc>
          <w:tcPr>
            <w:tcW w:w="844" w:type="pct"/>
            <w:shd w:val="clear" w:color="auto" w:fill="auto"/>
            <w:noWrap/>
            <w:vAlign w:val="center"/>
            <w:hideMark/>
          </w:tcPr>
          <w:p w14:paraId="05BC4E92"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4-Dimethylaminoazobenzene</w:t>
            </w:r>
          </w:p>
        </w:tc>
        <w:tc>
          <w:tcPr>
            <w:tcW w:w="374" w:type="pct"/>
            <w:shd w:val="clear" w:color="auto" w:fill="auto"/>
            <w:noWrap/>
            <w:vAlign w:val="center"/>
            <w:hideMark/>
          </w:tcPr>
          <w:p w14:paraId="241EED70"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60-11-7</w:t>
            </w:r>
          </w:p>
        </w:tc>
        <w:tc>
          <w:tcPr>
            <w:tcW w:w="500" w:type="pct"/>
            <w:shd w:val="clear" w:color="auto" w:fill="auto"/>
            <w:vAlign w:val="center"/>
            <w:hideMark/>
          </w:tcPr>
          <w:p w14:paraId="5187B695" w14:textId="77777777" w:rsidR="00440A6C" w:rsidRPr="00A91056" w:rsidRDefault="00440A6C" w:rsidP="00E329EF">
            <w:pPr>
              <w:widowControl/>
              <w:spacing w:line="240" w:lineRule="auto"/>
              <w:ind w:firstLine="0"/>
              <w:jc w:val="center"/>
              <w:rPr>
                <w:rFonts w:eastAsia="Times New Roman" w:cs="Arial"/>
                <w:sz w:val="18"/>
                <w:szCs w:val="18"/>
              </w:rPr>
            </w:pPr>
            <w:r w:rsidRPr="00A91056">
              <w:rPr>
                <w:rFonts w:eastAsia="Times New Roman" w:cs="Arial"/>
                <w:sz w:val="18"/>
                <w:szCs w:val="18"/>
              </w:rPr>
              <w:t xml:space="preserve">0.63 - 2.5 </w:t>
            </w:r>
            <w:r w:rsidRPr="00A91056">
              <w:rPr>
                <w:rFonts w:eastAsia="Times New Roman" w:cs="Arial"/>
                <w:sz w:val="18"/>
                <w:szCs w:val="18"/>
                <w:vertAlign w:val="superscript"/>
              </w:rPr>
              <w:t>b</w:t>
            </w:r>
          </w:p>
        </w:tc>
        <w:tc>
          <w:tcPr>
            <w:tcW w:w="158" w:type="pct"/>
            <w:shd w:val="clear" w:color="auto" w:fill="auto"/>
            <w:vAlign w:val="center"/>
            <w:hideMark/>
          </w:tcPr>
          <w:p w14:paraId="5E744440" w14:textId="500AADD2"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vAlign w:val="center"/>
            <w:hideMark/>
          </w:tcPr>
          <w:p w14:paraId="2D6B2816" w14:textId="5DC847C2"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02EDAFDC" w14:textId="30C0EE4A"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w:t>
            </w:r>
          </w:p>
        </w:tc>
        <w:tc>
          <w:tcPr>
            <w:tcW w:w="281" w:type="pct"/>
            <w:shd w:val="clear" w:color="auto" w:fill="auto"/>
            <w:noWrap/>
            <w:vAlign w:val="center"/>
            <w:hideMark/>
          </w:tcPr>
          <w:p w14:paraId="7380328E"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1820752A" w14:textId="2DBB056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303B9550"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7" w:type="pct"/>
            <w:shd w:val="clear" w:color="auto" w:fill="auto"/>
            <w:noWrap/>
            <w:vAlign w:val="center"/>
            <w:hideMark/>
          </w:tcPr>
          <w:p w14:paraId="78DBFBB8"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2A54C3FF" w14:textId="76D37B1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10EFD4BF"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2558F500" w14:textId="15DC25F0"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19" w:type="pct"/>
            <w:gridSpan w:val="2"/>
            <w:shd w:val="clear" w:color="auto" w:fill="auto"/>
            <w:noWrap/>
            <w:vAlign w:val="center"/>
            <w:hideMark/>
          </w:tcPr>
          <w:p w14:paraId="1D800D0E" w14:textId="02BE28FA"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87" w:type="pct"/>
            <w:shd w:val="clear" w:color="auto" w:fill="auto"/>
            <w:noWrap/>
            <w:vAlign w:val="center"/>
            <w:hideMark/>
          </w:tcPr>
          <w:p w14:paraId="54818257"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6" w:type="pct"/>
            <w:shd w:val="clear" w:color="auto" w:fill="auto"/>
            <w:noWrap/>
            <w:vAlign w:val="center"/>
            <w:hideMark/>
          </w:tcPr>
          <w:p w14:paraId="07721C8D" w14:textId="4E6EE14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3FBDF1A3"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50" w:type="pct"/>
            <w:shd w:val="clear" w:color="auto" w:fill="auto"/>
            <w:noWrap/>
            <w:vAlign w:val="center"/>
            <w:hideMark/>
          </w:tcPr>
          <w:p w14:paraId="74EBDEB1" w14:textId="5B3A2A0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6" w:type="pct"/>
            <w:shd w:val="clear" w:color="auto" w:fill="auto"/>
            <w:noWrap/>
            <w:vAlign w:val="center"/>
            <w:hideMark/>
          </w:tcPr>
          <w:p w14:paraId="660D1E57" w14:textId="2AF9D725"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07664D" w:rsidRPr="00A91056" w14:paraId="7D6A3E42" w14:textId="77777777" w:rsidTr="00A576CB">
        <w:trPr>
          <w:trHeight w:val="288"/>
        </w:trPr>
        <w:tc>
          <w:tcPr>
            <w:tcW w:w="844" w:type="pct"/>
            <w:shd w:val="clear" w:color="auto" w:fill="auto"/>
            <w:vAlign w:val="center"/>
            <w:hideMark/>
          </w:tcPr>
          <w:p w14:paraId="7D258685"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6-Nitrochrysene</w:t>
            </w:r>
          </w:p>
        </w:tc>
        <w:tc>
          <w:tcPr>
            <w:tcW w:w="374" w:type="pct"/>
            <w:shd w:val="clear" w:color="auto" w:fill="auto"/>
            <w:noWrap/>
            <w:vAlign w:val="center"/>
            <w:hideMark/>
          </w:tcPr>
          <w:p w14:paraId="23A6AAAF"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7496-02-8</w:t>
            </w:r>
          </w:p>
        </w:tc>
        <w:tc>
          <w:tcPr>
            <w:tcW w:w="500" w:type="pct"/>
            <w:shd w:val="clear" w:color="auto" w:fill="auto"/>
            <w:vAlign w:val="center"/>
            <w:hideMark/>
          </w:tcPr>
          <w:p w14:paraId="4BEEB38C"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0.3 - 0.6</w:t>
            </w:r>
          </w:p>
        </w:tc>
        <w:tc>
          <w:tcPr>
            <w:tcW w:w="158" w:type="pct"/>
            <w:shd w:val="clear" w:color="auto" w:fill="auto"/>
            <w:vAlign w:val="center"/>
            <w:hideMark/>
          </w:tcPr>
          <w:p w14:paraId="1F6ACFA3" w14:textId="41F1D225"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vAlign w:val="center"/>
            <w:hideMark/>
          </w:tcPr>
          <w:p w14:paraId="5FAC6885" w14:textId="294767D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vAlign w:val="center"/>
            <w:hideMark/>
          </w:tcPr>
          <w:p w14:paraId="74329B04" w14:textId="74826D3D" w:rsidR="00440A6C" w:rsidRPr="00A91056" w:rsidRDefault="00440A6C" w:rsidP="00E329EF">
            <w:pPr>
              <w:widowControl/>
              <w:spacing w:line="240" w:lineRule="auto"/>
              <w:ind w:firstLine="0"/>
              <w:jc w:val="center"/>
              <w:rPr>
                <w:rFonts w:eastAsia="Times New Roman" w:cs="Arial"/>
                <w:color w:val="000000"/>
                <w:sz w:val="18"/>
                <w:szCs w:val="18"/>
              </w:rPr>
            </w:pPr>
          </w:p>
        </w:tc>
        <w:tc>
          <w:tcPr>
            <w:tcW w:w="281" w:type="pct"/>
            <w:shd w:val="clear" w:color="auto" w:fill="auto"/>
            <w:noWrap/>
            <w:vAlign w:val="center"/>
            <w:hideMark/>
          </w:tcPr>
          <w:p w14:paraId="5471ED73" w14:textId="5984379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31AF3E81" w14:textId="4547402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2AFD99A8" w14:textId="0136CC82"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5DFC7DBF"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6" w:type="pct"/>
            <w:shd w:val="clear" w:color="auto" w:fill="auto"/>
            <w:noWrap/>
            <w:vAlign w:val="center"/>
            <w:hideMark/>
          </w:tcPr>
          <w:p w14:paraId="3A70FFAC" w14:textId="77777777" w:rsidR="00440A6C" w:rsidRPr="00A91056" w:rsidRDefault="00440A6C" w:rsidP="00E329EF">
            <w:pPr>
              <w:widowControl/>
              <w:spacing w:line="240" w:lineRule="auto"/>
              <w:ind w:firstLine="0"/>
              <w:jc w:val="center"/>
              <w:rPr>
                <w:rFonts w:eastAsia="Times New Roman" w:cs="Arial"/>
                <w:sz w:val="18"/>
                <w:szCs w:val="18"/>
              </w:rPr>
            </w:pPr>
          </w:p>
        </w:tc>
        <w:tc>
          <w:tcPr>
            <w:tcW w:w="250" w:type="pct"/>
            <w:shd w:val="clear" w:color="auto" w:fill="auto"/>
            <w:noWrap/>
            <w:vAlign w:val="center"/>
            <w:hideMark/>
          </w:tcPr>
          <w:p w14:paraId="1C0D49EB"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shd w:val="clear" w:color="auto" w:fill="auto"/>
            <w:noWrap/>
            <w:vAlign w:val="center"/>
            <w:hideMark/>
          </w:tcPr>
          <w:p w14:paraId="6914166B"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gridSpan w:val="2"/>
            <w:shd w:val="clear" w:color="auto" w:fill="auto"/>
            <w:noWrap/>
            <w:vAlign w:val="center"/>
            <w:hideMark/>
          </w:tcPr>
          <w:p w14:paraId="0068B2EF"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4BA53C9C" w14:textId="59C1A7E4"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1D1318F2"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7" w:type="pct"/>
            <w:shd w:val="clear" w:color="auto" w:fill="auto"/>
            <w:noWrap/>
            <w:vAlign w:val="center"/>
            <w:hideMark/>
          </w:tcPr>
          <w:p w14:paraId="00B0CFD7" w14:textId="77777777" w:rsidR="00440A6C" w:rsidRPr="00A91056" w:rsidRDefault="00440A6C" w:rsidP="00E329EF">
            <w:pPr>
              <w:widowControl/>
              <w:spacing w:line="240" w:lineRule="auto"/>
              <w:ind w:firstLine="0"/>
              <w:jc w:val="center"/>
              <w:rPr>
                <w:rFonts w:eastAsia="Times New Roman" w:cs="Arial"/>
                <w:sz w:val="18"/>
                <w:szCs w:val="18"/>
              </w:rPr>
            </w:pPr>
          </w:p>
        </w:tc>
        <w:tc>
          <w:tcPr>
            <w:tcW w:w="250" w:type="pct"/>
            <w:shd w:val="clear" w:color="auto" w:fill="auto"/>
            <w:noWrap/>
            <w:vAlign w:val="center"/>
            <w:hideMark/>
          </w:tcPr>
          <w:p w14:paraId="1A220901" w14:textId="77777777" w:rsidR="00440A6C" w:rsidRPr="00A91056" w:rsidRDefault="00440A6C" w:rsidP="00E329EF">
            <w:pPr>
              <w:widowControl/>
              <w:spacing w:line="240" w:lineRule="auto"/>
              <w:ind w:firstLine="0"/>
              <w:jc w:val="center"/>
              <w:rPr>
                <w:rFonts w:eastAsia="Times New Roman" w:cs="Arial"/>
                <w:sz w:val="18"/>
                <w:szCs w:val="18"/>
              </w:rPr>
            </w:pPr>
          </w:p>
        </w:tc>
        <w:tc>
          <w:tcPr>
            <w:tcW w:w="216" w:type="pct"/>
            <w:shd w:val="clear" w:color="auto" w:fill="auto"/>
            <w:noWrap/>
            <w:vAlign w:val="center"/>
            <w:hideMark/>
          </w:tcPr>
          <w:p w14:paraId="36267BDB" w14:textId="70450DF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07664D" w:rsidRPr="00A91056" w14:paraId="62239422" w14:textId="77777777" w:rsidTr="00A576CB">
        <w:trPr>
          <w:trHeight w:val="288"/>
        </w:trPr>
        <w:tc>
          <w:tcPr>
            <w:tcW w:w="844" w:type="pct"/>
            <w:shd w:val="clear" w:color="auto" w:fill="auto"/>
            <w:vAlign w:val="center"/>
            <w:hideMark/>
          </w:tcPr>
          <w:p w14:paraId="6FE36D40"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6-Thioguanine</w:t>
            </w:r>
          </w:p>
        </w:tc>
        <w:tc>
          <w:tcPr>
            <w:tcW w:w="374" w:type="pct"/>
            <w:shd w:val="clear" w:color="auto" w:fill="auto"/>
            <w:vAlign w:val="center"/>
            <w:hideMark/>
          </w:tcPr>
          <w:p w14:paraId="02E31316"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154-42-7</w:t>
            </w:r>
          </w:p>
        </w:tc>
        <w:tc>
          <w:tcPr>
            <w:tcW w:w="500" w:type="pct"/>
            <w:shd w:val="clear" w:color="auto" w:fill="auto"/>
            <w:vAlign w:val="center"/>
            <w:hideMark/>
          </w:tcPr>
          <w:p w14:paraId="5C5FD695"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1 - 6</w:t>
            </w:r>
          </w:p>
        </w:tc>
        <w:tc>
          <w:tcPr>
            <w:tcW w:w="158" w:type="pct"/>
            <w:shd w:val="clear" w:color="auto" w:fill="auto"/>
            <w:vAlign w:val="center"/>
            <w:hideMark/>
          </w:tcPr>
          <w:p w14:paraId="63B7F6AF" w14:textId="44D0502A"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vAlign w:val="center"/>
            <w:hideMark/>
          </w:tcPr>
          <w:p w14:paraId="237F7F47" w14:textId="49B4C22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6D428940" w14:textId="5102C5B1"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w:t>
            </w:r>
          </w:p>
        </w:tc>
        <w:tc>
          <w:tcPr>
            <w:tcW w:w="281" w:type="pct"/>
            <w:shd w:val="clear" w:color="auto" w:fill="auto"/>
            <w:noWrap/>
            <w:vAlign w:val="center"/>
            <w:hideMark/>
          </w:tcPr>
          <w:p w14:paraId="2C9860E0"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6CC93854" w14:textId="77777777" w:rsidR="00440A6C" w:rsidRPr="00A91056" w:rsidRDefault="00440A6C" w:rsidP="00E329EF">
            <w:pPr>
              <w:widowControl/>
              <w:spacing w:line="240" w:lineRule="auto"/>
              <w:ind w:firstLine="0"/>
              <w:jc w:val="center"/>
              <w:rPr>
                <w:rFonts w:eastAsia="Times New Roman" w:cs="Arial"/>
                <w:sz w:val="18"/>
                <w:szCs w:val="18"/>
              </w:rPr>
            </w:pPr>
          </w:p>
        </w:tc>
        <w:tc>
          <w:tcPr>
            <w:tcW w:w="250" w:type="pct"/>
            <w:shd w:val="clear" w:color="auto" w:fill="auto"/>
            <w:noWrap/>
            <w:vAlign w:val="center"/>
            <w:hideMark/>
          </w:tcPr>
          <w:p w14:paraId="7E82EF3D" w14:textId="77777777" w:rsidR="00440A6C" w:rsidRPr="00A91056" w:rsidRDefault="00440A6C" w:rsidP="00E329EF">
            <w:pPr>
              <w:widowControl/>
              <w:spacing w:line="240" w:lineRule="auto"/>
              <w:ind w:firstLine="0"/>
              <w:jc w:val="center"/>
              <w:rPr>
                <w:rFonts w:eastAsia="Times New Roman" w:cs="Arial"/>
                <w:sz w:val="18"/>
                <w:szCs w:val="18"/>
              </w:rPr>
            </w:pPr>
          </w:p>
        </w:tc>
        <w:tc>
          <w:tcPr>
            <w:tcW w:w="157" w:type="pct"/>
            <w:shd w:val="clear" w:color="auto" w:fill="auto"/>
            <w:noWrap/>
            <w:vAlign w:val="center"/>
            <w:hideMark/>
          </w:tcPr>
          <w:p w14:paraId="0020F9C4"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0C1A7866" w14:textId="6D89035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6E898A44" w14:textId="2BEE480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2A7373DE"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gridSpan w:val="2"/>
            <w:shd w:val="clear" w:color="auto" w:fill="auto"/>
            <w:noWrap/>
            <w:vAlign w:val="center"/>
            <w:hideMark/>
          </w:tcPr>
          <w:p w14:paraId="3014A744"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2361A6C9"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744820A4" w14:textId="77777777" w:rsidR="00440A6C" w:rsidRPr="00A91056" w:rsidRDefault="00440A6C" w:rsidP="00E329EF">
            <w:pPr>
              <w:widowControl/>
              <w:spacing w:line="240" w:lineRule="auto"/>
              <w:ind w:firstLine="0"/>
              <w:jc w:val="center"/>
              <w:rPr>
                <w:rFonts w:eastAsia="Times New Roman" w:cs="Arial"/>
                <w:sz w:val="18"/>
                <w:szCs w:val="18"/>
              </w:rPr>
            </w:pPr>
          </w:p>
        </w:tc>
        <w:tc>
          <w:tcPr>
            <w:tcW w:w="157" w:type="pct"/>
            <w:shd w:val="clear" w:color="auto" w:fill="auto"/>
            <w:noWrap/>
            <w:vAlign w:val="center"/>
            <w:hideMark/>
          </w:tcPr>
          <w:p w14:paraId="0E19398E" w14:textId="77777777" w:rsidR="00440A6C" w:rsidRPr="00A91056" w:rsidRDefault="00440A6C" w:rsidP="00E329EF">
            <w:pPr>
              <w:widowControl/>
              <w:spacing w:line="240" w:lineRule="auto"/>
              <w:ind w:firstLine="0"/>
              <w:jc w:val="center"/>
              <w:rPr>
                <w:rFonts w:eastAsia="Times New Roman" w:cs="Arial"/>
                <w:sz w:val="18"/>
                <w:szCs w:val="18"/>
              </w:rPr>
            </w:pPr>
          </w:p>
        </w:tc>
        <w:tc>
          <w:tcPr>
            <w:tcW w:w="250" w:type="pct"/>
            <w:shd w:val="clear" w:color="auto" w:fill="auto"/>
            <w:noWrap/>
            <w:vAlign w:val="center"/>
            <w:hideMark/>
          </w:tcPr>
          <w:p w14:paraId="78C1A75E" w14:textId="77777777" w:rsidR="00440A6C" w:rsidRPr="00A91056" w:rsidRDefault="00440A6C" w:rsidP="00E329EF">
            <w:pPr>
              <w:widowControl/>
              <w:spacing w:line="240" w:lineRule="auto"/>
              <w:ind w:firstLine="0"/>
              <w:jc w:val="center"/>
              <w:rPr>
                <w:rFonts w:eastAsia="Times New Roman" w:cs="Arial"/>
                <w:sz w:val="18"/>
                <w:szCs w:val="18"/>
              </w:rPr>
            </w:pPr>
          </w:p>
        </w:tc>
        <w:tc>
          <w:tcPr>
            <w:tcW w:w="216" w:type="pct"/>
            <w:shd w:val="clear" w:color="auto" w:fill="auto"/>
            <w:noWrap/>
            <w:vAlign w:val="center"/>
            <w:hideMark/>
          </w:tcPr>
          <w:p w14:paraId="58EB9E45" w14:textId="77777777" w:rsidR="00440A6C" w:rsidRPr="00A91056" w:rsidRDefault="00440A6C" w:rsidP="00E329EF">
            <w:pPr>
              <w:widowControl/>
              <w:spacing w:line="240" w:lineRule="auto"/>
              <w:ind w:firstLine="0"/>
              <w:jc w:val="center"/>
              <w:rPr>
                <w:rFonts w:eastAsia="Times New Roman" w:cs="Arial"/>
                <w:sz w:val="18"/>
                <w:szCs w:val="18"/>
              </w:rPr>
            </w:pPr>
          </w:p>
        </w:tc>
      </w:tr>
      <w:tr w:rsidR="0007664D" w:rsidRPr="00A91056" w14:paraId="5255EFFC" w14:textId="77777777" w:rsidTr="00A576CB">
        <w:trPr>
          <w:trHeight w:val="288"/>
        </w:trPr>
        <w:tc>
          <w:tcPr>
            <w:tcW w:w="844" w:type="pct"/>
            <w:shd w:val="clear" w:color="auto" w:fill="auto"/>
            <w:noWrap/>
            <w:vAlign w:val="center"/>
            <w:hideMark/>
          </w:tcPr>
          <w:p w14:paraId="09F6B8BE"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lastRenderedPageBreak/>
              <w:t>8-Hydroxyquinoline</w:t>
            </w:r>
          </w:p>
        </w:tc>
        <w:tc>
          <w:tcPr>
            <w:tcW w:w="374" w:type="pct"/>
            <w:shd w:val="clear" w:color="auto" w:fill="auto"/>
            <w:noWrap/>
            <w:vAlign w:val="center"/>
            <w:hideMark/>
          </w:tcPr>
          <w:p w14:paraId="591A0313"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148-24-3</w:t>
            </w:r>
          </w:p>
        </w:tc>
        <w:tc>
          <w:tcPr>
            <w:tcW w:w="500" w:type="pct"/>
            <w:shd w:val="clear" w:color="auto" w:fill="auto"/>
            <w:vAlign w:val="center"/>
            <w:hideMark/>
          </w:tcPr>
          <w:p w14:paraId="55F4D6A1"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0.25 - 1</w:t>
            </w:r>
          </w:p>
        </w:tc>
        <w:tc>
          <w:tcPr>
            <w:tcW w:w="158" w:type="pct"/>
            <w:shd w:val="clear" w:color="auto" w:fill="auto"/>
            <w:vAlign w:val="center"/>
            <w:hideMark/>
          </w:tcPr>
          <w:p w14:paraId="2CDAB974" w14:textId="2630763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vAlign w:val="center"/>
            <w:hideMark/>
          </w:tcPr>
          <w:p w14:paraId="5E095E3F" w14:textId="6BAA8960"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vAlign w:val="center"/>
            <w:hideMark/>
          </w:tcPr>
          <w:p w14:paraId="28717F30" w14:textId="7266E6B9" w:rsidR="00440A6C" w:rsidRPr="00A91056" w:rsidRDefault="00440A6C" w:rsidP="00E329EF">
            <w:pPr>
              <w:widowControl/>
              <w:spacing w:line="240" w:lineRule="auto"/>
              <w:ind w:firstLine="0"/>
              <w:jc w:val="center"/>
              <w:rPr>
                <w:rFonts w:eastAsia="Times New Roman" w:cs="Arial"/>
                <w:color w:val="000000"/>
                <w:sz w:val="18"/>
                <w:szCs w:val="18"/>
              </w:rPr>
            </w:pPr>
          </w:p>
        </w:tc>
        <w:tc>
          <w:tcPr>
            <w:tcW w:w="281" w:type="pct"/>
            <w:shd w:val="clear" w:color="auto" w:fill="auto"/>
            <w:noWrap/>
            <w:vAlign w:val="center"/>
            <w:hideMark/>
          </w:tcPr>
          <w:p w14:paraId="25292849"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36FB35D0" w14:textId="27410A91"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5E4C365E"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7" w:type="pct"/>
            <w:shd w:val="clear" w:color="auto" w:fill="auto"/>
            <w:noWrap/>
            <w:vAlign w:val="center"/>
            <w:hideMark/>
          </w:tcPr>
          <w:p w14:paraId="2CCE8AC4"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0AAE5A26" w14:textId="600AD1F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5DC50838" w14:textId="225B20B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2932D862" w14:textId="2A7A7E6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19" w:type="pct"/>
            <w:gridSpan w:val="2"/>
            <w:shd w:val="clear" w:color="auto" w:fill="auto"/>
            <w:noWrap/>
            <w:vAlign w:val="center"/>
            <w:hideMark/>
          </w:tcPr>
          <w:p w14:paraId="13512F50"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2C90DA78"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4C19EF3B" w14:textId="7354BDE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19FB88C5"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50" w:type="pct"/>
            <w:shd w:val="clear" w:color="auto" w:fill="auto"/>
            <w:noWrap/>
            <w:vAlign w:val="center"/>
            <w:hideMark/>
          </w:tcPr>
          <w:p w14:paraId="61BABB57" w14:textId="77777777" w:rsidR="00440A6C" w:rsidRPr="00A91056" w:rsidRDefault="00440A6C" w:rsidP="00E329EF">
            <w:pPr>
              <w:widowControl/>
              <w:spacing w:line="240" w:lineRule="auto"/>
              <w:ind w:firstLine="0"/>
              <w:jc w:val="center"/>
              <w:rPr>
                <w:rFonts w:eastAsia="Times New Roman" w:cs="Arial"/>
                <w:sz w:val="18"/>
                <w:szCs w:val="18"/>
              </w:rPr>
            </w:pPr>
          </w:p>
        </w:tc>
        <w:tc>
          <w:tcPr>
            <w:tcW w:w="216" w:type="pct"/>
            <w:shd w:val="clear" w:color="auto" w:fill="auto"/>
            <w:noWrap/>
            <w:vAlign w:val="center"/>
            <w:hideMark/>
          </w:tcPr>
          <w:p w14:paraId="6B024D22" w14:textId="64B23E5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r>
      <w:tr w:rsidR="0007664D" w:rsidRPr="00A91056" w14:paraId="4736B2C1" w14:textId="77777777" w:rsidTr="00A576CB">
        <w:trPr>
          <w:trHeight w:val="288"/>
        </w:trPr>
        <w:tc>
          <w:tcPr>
            <w:tcW w:w="844" w:type="pct"/>
            <w:shd w:val="clear" w:color="auto" w:fill="auto"/>
            <w:vAlign w:val="center"/>
            <w:hideMark/>
          </w:tcPr>
          <w:p w14:paraId="45E48045"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Acetaminophen</w:t>
            </w:r>
          </w:p>
        </w:tc>
        <w:tc>
          <w:tcPr>
            <w:tcW w:w="374" w:type="pct"/>
            <w:shd w:val="clear" w:color="auto" w:fill="auto"/>
            <w:vAlign w:val="center"/>
            <w:hideMark/>
          </w:tcPr>
          <w:p w14:paraId="6A19BC38"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103-90-2</w:t>
            </w:r>
          </w:p>
        </w:tc>
        <w:tc>
          <w:tcPr>
            <w:tcW w:w="500" w:type="pct"/>
            <w:shd w:val="clear" w:color="auto" w:fill="auto"/>
            <w:vAlign w:val="center"/>
            <w:hideMark/>
          </w:tcPr>
          <w:p w14:paraId="7856926C"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 xml:space="preserve">2 - 8 </w:t>
            </w:r>
            <w:r w:rsidRPr="00A91056">
              <w:rPr>
                <w:rFonts w:eastAsia="Times New Roman" w:cs="Arial"/>
                <w:color w:val="000000"/>
                <w:sz w:val="18"/>
                <w:szCs w:val="18"/>
                <w:vertAlign w:val="superscript"/>
              </w:rPr>
              <w:t>b</w:t>
            </w:r>
          </w:p>
        </w:tc>
        <w:tc>
          <w:tcPr>
            <w:tcW w:w="158" w:type="pct"/>
            <w:shd w:val="clear" w:color="auto" w:fill="auto"/>
            <w:vAlign w:val="center"/>
            <w:hideMark/>
          </w:tcPr>
          <w:p w14:paraId="2C3C3086" w14:textId="364BDC70"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vAlign w:val="center"/>
            <w:hideMark/>
          </w:tcPr>
          <w:p w14:paraId="1C1E3EC0" w14:textId="21DE435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4F5A1CD2" w14:textId="664FF76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w:t>
            </w:r>
          </w:p>
        </w:tc>
        <w:tc>
          <w:tcPr>
            <w:tcW w:w="281" w:type="pct"/>
            <w:shd w:val="clear" w:color="auto" w:fill="auto"/>
            <w:noWrap/>
            <w:vAlign w:val="center"/>
            <w:hideMark/>
          </w:tcPr>
          <w:p w14:paraId="4F1092A8" w14:textId="16F4EB3A"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19" w:type="pct"/>
            <w:shd w:val="clear" w:color="auto" w:fill="auto"/>
            <w:noWrap/>
            <w:vAlign w:val="center"/>
            <w:hideMark/>
          </w:tcPr>
          <w:p w14:paraId="49D72639" w14:textId="4C11BD74"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50" w:type="pct"/>
            <w:shd w:val="clear" w:color="auto" w:fill="auto"/>
            <w:noWrap/>
            <w:vAlign w:val="center"/>
            <w:hideMark/>
          </w:tcPr>
          <w:p w14:paraId="5DE247D3" w14:textId="470D26D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4CEA51CD" w14:textId="27CA163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545111BE" w14:textId="6FE92B4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452291EC"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1D7DCA0C" w14:textId="05277A8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19" w:type="pct"/>
            <w:gridSpan w:val="2"/>
            <w:shd w:val="clear" w:color="auto" w:fill="auto"/>
            <w:noWrap/>
            <w:vAlign w:val="center"/>
            <w:hideMark/>
          </w:tcPr>
          <w:p w14:paraId="527B5D0D" w14:textId="19243C4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87" w:type="pct"/>
            <w:shd w:val="clear" w:color="auto" w:fill="auto"/>
            <w:noWrap/>
            <w:vAlign w:val="center"/>
            <w:hideMark/>
          </w:tcPr>
          <w:p w14:paraId="61AD9D0E" w14:textId="31EEF28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6" w:type="pct"/>
            <w:shd w:val="clear" w:color="auto" w:fill="auto"/>
            <w:noWrap/>
            <w:vAlign w:val="center"/>
            <w:hideMark/>
          </w:tcPr>
          <w:p w14:paraId="5C6EFA0D" w14:textId="0F5EDD01"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287BA801" w14:textId="53B84F07" w:rsidR="00440A6C" w:rsidRPr="00A91056" w:rsidRDefault="00440A6C" w:rsidP="00E329EF">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250" w:type="pct"/>
            <w:shd w:val="clear" w:color="auto" w:fill="auto"/>
            <w:noWrap/>
            <w:vAlign w:val="center"/>
            <w:hideMark/>
          </w:tcPr>
          <w:p w14:paraId="2AE8FBB1" w14:textId="4040A02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6" w:type="pct"/>
            <w:shd w:val="clear" w:color="auto" w:fill="auto"/>
            <w:noWrap/>
            <w:vAlign w:val="center"/>
            <w:hideMark/>
          </w:tcPr>
          <w:p w14:paraId="44B74DF6" w14:textId="6B849DBB"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r>
      <w:tr w:rsidR="0007664D" w:rsidRPr="00A91056" w14:paraId="3591941E" w14:textId="77777777" w:rsidTr="00A576CB">
        <w:trPr>
          <w:trHeight w:val="288"/>
        </w:trPr>
        <w:tc>
          <w:tcPr>
            <w:tcW w:w="844" w:type="pct"/>
            <w:shd w:val="clear" w:color="auto" w:fill="auto"/>
            <w:noWrap/>
            <w:vAlign w:val="center"/>
            <w:hideMark/>
          </w:tcPr>
          <w:p w14:paraId="18746E88"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Aflatoxin B</w:t>
            </w:r>
            <w:r w:rsidRPr="00A91056">
              <w:rPr>
                <w:rFonts w:eastAsia="Times New Roman" w:cs="Arial"/>
                <w:color w:val="000000"/>
                <w:sz w:val="18"/>
                <w:szCs w:val="18"/>
                <w:vertAlign w:val="subscript"/>
              </w:rPr>
              <w:t>1</w:t>
            </w:r>
            <w:r w:rsidRPr="00A91056">
              <w:rPr>
                <w:rFonts w:eastAsia="Times New Roman" w:cs="Arial"/>
                <w:color w:val="000000"/>
                <w:sz w:val="18"/>
                <w:szCs w:val="18"/>
              </w:rPr>
              <w:t xml:space="preserve"> </w:t>
            </w:r>
          </w:p>
        </w:tc>
        <w:tc>
          <w:tcPr>
            <w:tcW w:w="374" w:type="pct"/>
            <w:shd w:val="clear" w:color="auto" w:fill="auto"/>
            <w:noWrap/>
            <w:vAlign w:val="center"/>
            <w:hideMark/>
          </w:tcPr>
          <w:p w14:paraId="45C117C5"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1162-65-8</w:t>
            </w:r>
          </w:p>
        </w:tc>
        <w:tc>
          <w:tcPr>
            <w:tcW w:w="500" w:type="pct"/>
            <w:shd w:val="clear" w:color="auto" w:fill="auto"/>
            <w:vAlign w:val="center"/>
            <w:hideMark/>
          </w:tcPr>
          <w:p w14:paraId="1BB9BB88"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0.0002 -  0.003 ª</w:t>
            </w:r>
          </w:p>
        </w:tc>
        <w:tc>
          <w:tcPr>
            <w:tcW w:w="158" w:type="pct"/>
            <w:shd w:val="clear" w:color="auto" w:fill="auto"/>
            <w:vAlign w:val="center"/>
            <w:hideMark/>
          </w:tcPr>
          <w:p w14:paraId="3F5C1783" w14:textId="0339623F"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vAlign w:val="center"/>
            <w:hideMark/>
          </w:tcPr>
          <w:p w14:paraId="4AFEE4E4" w14:textId="3D61B8EB"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2F9FD2AD" w14:textId="5CD9028F"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[3]</w:t>
            </w:r>
          </w:p>
        </w:tc>
        <w:tc>
          <w:tcPr>
            <w:tcW w:w="281" w:type="pct"/>
            <w:shd w:val="clear" w:color="auto" w:fill="auto"/>
            <w:noWrap/>
            <w:vAlign w:val="center"/>
            <w:hideMark/>
          </w:tcPr>
          <w:p w14:paraId="2161F424" w14:textId="3D26C85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45DFD2E2" w14:textId="289762F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36A9FEB8"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7" w:type="pct"/>
            <w:shd w:val="clear" w:color="auto" w:fill="auto"/>
            <w:noWrap/>
            <w:vAlign w:val="center"/>
            <w:hideMark/>
          </w:tcPr>
          <w:p w14:paraId="329DB1C9" w14:textId="3C9E89B2"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66BA36CC" w14:textId="2DB70B4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10D51497"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2BCD8024" w14:textId="4ADC01E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gridSpan w:val="2"/>
            <w:shd w:val="clear" w:color="auto" w:fill="auto"/>
            <w:noWrap/>
            <w:vAlign w:val="center"/>
            <w:hideMark/>
          </w:tcPr>
          <w:p w14:paraId="4259A97B"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04C7BBB0" w14:textId="078F46C1"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7D7806E8" w14:textId="16A0B030"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00ADE66D" w14:textId="1A873041"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2A6D85B1" w14:textId="3936052B"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16" w:type="pct"/>
            <w:shd w:val="clear" w:color="auto" w:fill="auto"/>
            <w:noWrap/>
            <w:vAlign w:val="center"/>
            <w:hideMark/>
          </w:tcPr>
          <w:p w14:paraId="34C646A9" w14:textId="723CDE4A"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07664D" w:rsidRPr="00A91056" w14:paraId="3E41551C" w14:textId="77777777" w:rsidTr="00A576CB">
        <w:trPr>
          <w:trHeight w:val="288"/>
        </w:trPr>
        <w:tc>
          <w:tcPr>
            <w:tcW w:w="844" w:type="pct"/>
            <w:shd w:val="clear" w:color="auto" w:fill="auto"/>
            <w:noWrap/>
            <w:vAlign w:val="center"/>
            <w:hideMark/>
          </w:tcPr>
          <w:p w14:paraId="2CEC0AC2"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Aflatoxin B</w:t>
            </w:r>
            <w:r w:rsidRPr="00A91056">
              <w:rPr>
                <w:rFonts w:eastAsia="Times New Roman" w:cs="Arial"/>
                <w:color w:val="000000"/>
                <w:sz w:val="18"/>
                <w:szCs w:val="18"/>
                <w:vertAlign w:val="subscript"/>
              </w:rPr>
              <w:t>2</w:t>
            </w:r>
            <w:r w:rsidRPr="00A91056">
              <w:rPr>
                <w:rFonts w:eastAsia="Times New Roman" w:cs="Arial"/>
                <w:color w:val="000000"/>
                <w:sz w:val="18"/>
                <w:szCs w:val="18"/>
              </w:rPr>
              <w:t xml:space="preserve"> </w:t>
            </w:r>
          </w:p>
        </w:tc>
        <w:tc>
          <w:tcPr>
            <w:tcW w:w="374" w:type="pct"/>
            <w:shd w:val="clear" w:color="auto" w:fill="auto"/>
            <w:noWrap/>
            <w:vAlign w:val="center"/>
            <w:hideMark/>
          </w:tcPr>
          <w:p w14:paraId="76656F5E"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7220-81-7</w:t>
            </w:r>
          </w:p>
        </w:tc>
        <w:tc>
          <w:tcPr>
            <w:tcW w:w="500" w:type="pct"/>
            <w:shd w:val="clear" w:color="auto" w:fill="auto"/>
            <w:vAlign w:val="center"/>
            <w:hideMark/>
          </w:tcPr>
          <w:p w14:paraId="2C6E6083"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0.0016 - 0.006</w:t>
            </w:r>
          </w:p>
        </w:tc>
        <w:tc>
          <w:tcPr>
            <w:tcW w:w="158" w:type="pct"/>
            <w:shd w:val="clear" w:color="auto" w:fill="auto"/>
            <w:vAlign w:val="center"/>
            <w:hideMark/>
          </w:tcPr>
          <w:p w14:paraId="217942B4" w14:textId="47BD1FD4"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vAlign w:val="center"/>
            <w:hideMark/>
          </w:tcPr>
          <w:p w14:paraId="4400C74F" w14:textId="2E45BF9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6CEB0C52" w14:textId="292AA6D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[3]</w:t>
            </w:r>
          </w:p>
        </w:tc>
        <w:tc>
          <w:tcPr>
            <w:tcW w:w="281" w:type="pct"/>
            <w:shd w:val="clear" w:color="auto" w:fill="auto"/>
            <w:noWrap/>
            <w:vAlign w:val="center"/>
            <w:hideMark/>
          </w:tcPr>
          <w:p w14:paraId="104491D7" w14:textId="06054DE5"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319B95E3" w14:textId="0DD52F4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50" w:type="pct"/>
            <w:shd w:val="clear" w:color="auto" w:fill="auto"/>
            <w:noWrap/>
            <w:vAlign w:val="center"/>
            <w:hideMark/>
          </w:tcPr>
          <w:p w14:paraId="38D1E275"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7" w:type="pct"/>
            <w:shd w:val="clear" w:color="auto" w:fill="auto"/>
            <w:noWrap/>
            <w:vAlign w:val="center"/>
            <w:hideMark/>
          </w:tcPr>
          <w:p w14:paraId="66E976CC"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257F5736" w14:textId="77777777" w:rsidR="00440A6C" w:rsidRPr="00A91056" w:rsidRDefault="00440A6C" w:rsidP="00E329EF">
            <w:pPr>
              <w:widowControl/>
              <w:spacing w:line="240" w:lineRule="auto"/>
              <w:ind w:firstLine="0"/>
              <w:jc w:val="center"/>
              <w:rPr>
                <w:rFonts w:eastAsia="Times New Roman" w:cs="Arial"/>
                <w:sz w:val="18"/>
                <w:szCs w:val="18"/>
              </w:rPr>
            </w:pPr>
          </w:p>
        </w:tc>
        <w:tc>
          <w:tcPr>
            <w:tcW w:w="250" w:type="pct"/>
            <w:shd w:val="clear" w:color="auto" w:fill="auto"/>
            <w:noWrap/>
            <w:vAlign w:val="center"/>
            <w:hideMark/>
          </w:tcPr>
          <w:p w14:paraId="21418A10"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shd w:val="clear" w:color="auto" w:fill="auto"/>
            <w:noWrap/>
            <w:vAlign w:val="center"/>
            <w:hideMark/>
          </w:tcPr>
          <w:p w14:paraId="227BF93D" w14:textId="4885A9F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gridSpan w:val="2"/>
            <w:shd w:val="clear" w:color="auto" w:fill="auto"/>
            <w:noWrap/>
            <w:vAlign w:val="center"/>
            <w:hideMark/>
          </w:tcPr>
          <w:p w14:paraId="1360216A"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69EE8C50"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7F89CABA" w14:textId="382CA2F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64333076" w14:textId="6F7CDF9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1AD7187A"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6" w:type="pct"/>
            <w:shd w:val="clear" w:color="auto" w:fill="auto"/>
            <w:noWrap/>
            <w:vAlign w:val="center"/>
            <w:hideMark/>
          </w:tcPr>
          <w:p w14:paraId="5AE5D5A1" w14:textId="6153034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07664D" w:rsidRPr="00A91056" w14:paraId="5F9AA842" w14:textId="77777777" w:rsidTr="00A576CB">
        <w:trPr>
          <w:trHeight w:val="288"/>
        </w:trPr>
        <w:tc>
          <w:tcPr>
            <w:tcW w:w="844" w:type="pct"/>
            <w:shd w:val="clear" w:color="auto" w:fill="auto"/>
            <w:vAlign w:val="center"/>
            <w:hideMark/>
          </w:tcPr>
          <w:p w14:paraId="6B6AE1EB"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Aniline</w:t>
            </w:r>
          </w:p>
        </w:tc>
        <w:tc>
          <w:tcPr>
            <w:tcW w:w="374" w:type="pct"/>
            <w:shd w:val="clear" w:color="auto" w:fill="auto"/>
            <w:vAlign w:val="center"/>
            <w:hideMark/>
          </w:tcPr>
          <w:p w14:paraId="7E69F0E6"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62-53-3</w:t>
            </w:r>
          </w:p>
        </w:tc>
        <w:tc>
          <w:tcPr>
            <w:tcW w:w="500" w:type="pct"/>
            <w:shd w:val="clear" w:color="auto" w:fill="auto"/>
            <w:vAlign w:val="center"/>
            <w:hideMark/>
          </w:tcPr>
          <w:p w14:paraId="414BA390"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5 - 20 ª</w:t>
            </w:r>
          </w:p>
        </w:tc>
        <w:tc>
          <w:tcPr>
            <w:tcW w:w="158" w:type="pct"/>
            <w:shd w:val="clear" w:color="auto" w:fill="auto"/>
            <w:vAlign w:val="center"/>
            <w:hideMark/>
          </w:tcPr>
          <w:p w14:paraId="0DCE9678" w14:textId="048293B1"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vAlign w:val="center"/>
            <w:hideMark/>
          </w:tcPr>
          <w:p w14:paraId="496F3430" w14:textId="698ADCDA"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4A31F0ED" w14:textId="76CD093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w:t>
            </w:r>
          </w:p>
        </w:tc>
        <w:tc>
          <w:tcPr>
            <w:tcW w:w="281" w:type="pct"/>
            <w:shd w:val="clear" w:color="auto" w:fill="auto"/>
            <w:noWrap/>
            <w:vAlign w:val="center"/>
            <w:hideMark/>
          </w:tcPr>
          <w:p w14:paraId="78F4859E"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57B6F037" w14:textId="433E12A4"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50" w:type="pct"/>
            <w:shd w:val="clear" w:color="auto" w:fill="auto"/>
            <w:noWrap/>
            <w:vAlign w:val="center"/>
            <w:hideMark/>
          </w:tcPr>
          <w:p w14:paraId="202A4486" w14:textId="1085511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10939AA8" w14:textId="2F00ED81"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09A0C792" w14:textId="21B0EBF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7814E9C7"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62672A9C" w14:textId="70749D8F"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19" w:type="pct"/>
            <w:gridSpan w:val="2"/>
            <w:shd w:val="clear" w:color="auto" w:fill="auto"/>
            <w:noWrap/>
            <w:vAlign w:val="center"/>
            <w:hideMark/>
          </w:tcPr>
          <w:p w14:paraId="1C2690E9"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0E91F099"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0FC7C8AB" w14:textId="18DF8AD0"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7E6A0C9A" w14:textId="048EC20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457270E6" w14:textId="29DDD40F"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6" w:type="pct"/>
            <w:shd w:val="clear" w:color="auto" w:fill="auto"/>
            <w:noWrap/>
            <w:vAlign w:val="center"/>
            <w:hideMark/>
          </w:tcPr>
          <w:p w14:paraId="1297AB7D" w14:textId="5680D53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07664D" w:rsidRPr="00A91056" w14:paraId="37A093ED" w14:textId="77777777" w:rsidTr="00A576CB">
        <w:trPr>
          <w:trHeight w:val="288"/>
        </w:trPr>
        <w:tc>
          <w:tcPr>
            <w:tcW w:w="844" w:type="pct"/>
            <w:shd w:val="clear" w:color="auto" w:fill="auto"/>
            <w:noWrap/>
            <w:vAlign w:val="center"/>
            <w:hideMark/>
          </w:tcPr>
          <w:p w14:paraId="4B35E19D"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Benzene</w:t>
            </w:r>
          </w:p>
        </w:tc>
        <w:tc>
          <w:tcPr>
            <w:tcW w:w="374" w:type="pct"/>
            <w:shd w:val="clear" w:color="auto" w:fill="auto"/>
            <w:noWrap/>
            <w:vAlign w:val="center"/>
            <w:hideMark/>
          </w:tcPr>
          <w:p w14:paraId="6D1D249E"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71-43-2</w:t>
            </w:r>
          </w:p>
        </w:tc>
        <w:tc>
          <w:tcPr>
            <w:tcW w:w="500" w:type="pct"/>
            <w:shd w:val="clear" w:color="auto" w:fill="auto"/>
            <w:vAlign w:val="center"/>
            <w:hideMark/>
          </w:tcPr>
          <w:p w14:paraId="1212A069"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1.25 - 15</w:t>
            </w:r>
          </w:p>
        </w:tc>
        <w:tc>
          <w:tcPr>
            <w:tcW w:w="158" w:type="pct"/>
            <w:shd w:val="clear" w:color="auto" w:fill="auto"/>
            <w:vAlign w:val="center"/>
            <w:hideMark/>
          </w:tcPr>
          <w:p w14:paraId="6FA09BE8" w14:textId="6ED4346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vAlign w:val="center"/>
            <w:hideMark/>
          </w:tcPr>
          <w:p w14:paraId="7F8A0338" w14:textId="1098D982"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6CAA89EE" w14:textId="03AC9D8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w:t>
            </w:r>
          </w:p>
        </w:tc>
        <w:tc>
          <w:tcPr>
            <w:tcW w:w="281" w:type="pct"/>
            <w:shd w:val="clear" w:color="auto" w:fill="auto"/>
            <w:noWrap/>
            <w:vAlign w:val="center"/>
            <w:hideMark/>
          </w:tcPr>
          <w:p w14:paraId="657A62C6" w14:textId="0761D9D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232C34C0" w14:textId="1E745D2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50" w:type="pct"/>
            <w:shd w:val="clear" w:color="auto" w:fill="auto"/>
            <w:noWrap/>
            <w:vAlign w:val="center"/>
            <w:hideMark/>
          </w:tcPr>
          <w:p w14:paraId="71F07606" w14:textId="0F43DA8D" w:rsidR="00440A6C" w:rsidRPr="00A91056" w:rsidRDefault="00440A6C" w:rsidP="00E329EF">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157" w:type="pct"/>
            <w:shd w:val="clear" w:color="auto" w:fill="auto"/>
            <w:noWrap/>
            <w:vAlign w:val="center"/>
            <w:hideMark/>
          </w:tcPr>
          <w:p w14:paraId="30ECC0F0" w14:textId="3843FA21"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05B27B4D" w14:textId="7549BB9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2B30F0B9"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1449ADF0" w14:textId="75314504"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19" w:type="pct"/>
            <w:gridSpan w:val="2"/>
            <w:shd w:val="clear" w:color="auto" w:fill="auto"/>
            <w:noWrap/>
            <w:vAlign w:val="center"/>
            <w:hideMark/>
          </w:tcPr>
          <w:p w14:paraId="1C17919F"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4F3A3523" w14:textId="505EB85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07155849" w14:textId="47665BA5"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58E89075" w14:textId="130CCED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6CFAAB39"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6" w:type="pct"/>
            <w:shd w:val="clear" w:color="auto" w:fill="auto"/>
            <w:noWrap/>
            <w:vAlign w:val="center"/>
            <w:hideMark/>
          </w:tcPr>
          <w:p w14:paraId="57DC406E" w14:textId="2DE0AA5F"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07664D" w:rsidRPr="00A91056" w14:paraId="51DC3558" w14:textId="77777777" w:rsidTr="00A576CB">
        <w:trPr>
          <w:trHeight w:val="288"/>
        </w:trPr>
        <w:tc>
          <w:tcPr>
            <w:tcW w:w="844" w:type="pct"/>
            <w:shd w:val="clear" w:color="auto" w:fill="auto"/>
            <w:vAlign w:val="center"/>
            <w:hideMark/>
          </w:tcPr>
          <w:p w14:paraId="2657CE61"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Benzidine</w:t>
            </w:r>
          </w:p>
        </w:tc>
        <w:tc>
          <w:tcPr>
            <w:tcW w:w="374" w:type="pct"/>
            <w:shd w:val="clear" w:color="auto" w:fill="auto"/>
            <w:vAlign w:val="center"/>
            <w:hideMark/>
          </w:tcPr>
          <w:p w14:paraId="11952C91"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92-87-5</w:t>
            </w:r>
          </w:p>
        </w:tc>
        <w:tc>
          <w:tcPr>
            <w:tcW w:w="500" w:type="pct"/>
            <w:shd w:val="clear" w:color="auto" w:fill="auto"/>
            <w:vAlign w:val="center"/>
            <w:hideMark/>
          </w:tcPr>
          <w:p w14:paraId="22DB7B89"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1.25 - 5</w:t>
            </w:r>
          </w:p>
        </w:tc>
        <w:tc>
          <w:tcPr>
            <w:tcW w:w="158" w:type="pct"/>
            <w:shd w:val="clear" w:color="auto" w:fill="auto"/>
            <w:vAlign w:val="center"/>
            <w:hideMark/>
          </w:tcPr>
          <w:p w14:paraId="591F0DD6" w14:textId="328FC132"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49" w:type="pct"/>
            <w:shd w:val="clear" w:color="auto" w:fill="auto"/>
            <w:vAlign w:val="center"/>
            <w:hideMark/>
          </w:tcPr>
          <w:p w14:paraId="1762A722" w14:textId="48164D7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3EB27567" w14:textId="6D96F905"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w:t>
            </w:r>
          </w:p>
        </w:tc>
        <w:tc>
          <w:tcPr>
            <w:tcW w:w="281" w:type="pct"/>
            <w:shd w:val="clear" w:color="auto" w:fill="auto"/>
            <w:noWrap/>
            <w:vAlign w:val="center"/>
            <w:hideMark/>
          </w:tcPr>
          <w:p w14:paraId="5F4ED725" w14:textId="0C10CC9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6EA08167" w14:textId="443CB7B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1E9139E4" w14:textId="5FD75BA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4466A1D7" w14:textId="2499DB0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305B8FEB" w14:textId="57FC0F5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43AD09E8" w14:textId="4FE09C0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23FA28F7" w14:textId="0CA2286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gridSpan w:val="2"/>
            <w:shd w:val="clear" w:color="auto" w:fill="auto"/>
            <w:noWrap/>
            <w:vAlign w:val="center"/>
            <w:hideMark/>
          </w:tcPr>
          <w:p w14:paraId="26C668D4" w14:textId="235A13A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87" w:type="pct"/>
            <w:shd w:val="clear" w:color="auto" w:fill="auto"/>
            <w:noWrap/>
            <w:vAlign w:val="center"/>
            <w:hideMark/>
          </w:tcPr>
          <w:p w14:paraId="24B05FE3"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6" w:type="pct"/>
            <w:shd w:val="clear" w:color="auto" w:fill="auto"/>
            <w:noWrap/>
            <w:vAlign w:val="center"/>
            <w:hideMark/>
          </w:tcPr>
          <w:p w14:paraId="1D5B5D43" w14:textId="7D6B396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551585FE" w14:textId="5BE07854"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35C23305"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6" w:type="pct"/>
            <w:shd w:val="clear" w:color="auto" w:fill="auto"/>
            <w:noWrap/>
            <w:vAlign w:val="center"/>
            <w:hideMark/>
          </w:tcPr>
          <w:p w14:paraId="16E7B374" w14:textId="2077306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07664D" w:rsidRPr="00A91056" w14:paraId="3901A1B7" w14:textId="77777777" w:rsidTr="00A576CB">
        <w:trPr>
          <w:trHeight w:val="288"/>
        </w:trPr>
        <w:tc>
          <w:tcPr>
            <w:tcW w:w="844" w:type="pct"/>
            <w:shd w:val="clear" w:color="auto" w:fill="auto"/>
            <w:noWrap/>
            <w:vAlign w:val="center"/>
            <w:hideMark/>
          </w:tcPr>
          <w:p w14:paraId="07F74066"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 xml:space="preserve">Benzo[a]pyrene </w:t>
            </w:r>
          </w:p>
        </w:tc>
        <w:tc>
          <w:tcPr>
            <w:tcW w:w="374" w:type="pct"/>
            <w:shd w:val="clear" w:color="auto" w:fill="auto"/>
            <w:noWrap/>
            <w:vAlign w:val="center"/>
            <w:hideMark/>
          </w:tcPr>
          <w:p w14:paraId="336E2AD9"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50-32-8</w:t>
            </w:r>
          </w:p>
        </w:tc>
        <w:tc>
          <w:tcPr>
            <w:tcW w:w="500" w:type="pct"/>
            <w:shd w:val="clear" w:color="auto" w:fill="auto"/>
            <w:vAlign w:val="center"/>
            <w:hideMark/>
          </w:tcPr>
          <w:p w14:paraId="246E9D9A"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0.03 - 0.5</w:t>
            </w:r>
          </w:p>
        </w:tc>
        <w:tc>
          <w:tcPr>
            <w:tcW w:w="158" w:type="pct"/>
            <w:shd w:val="clear" w:color="auto" w:fill="auto"/>
            <w:vAlign w:val="center"/>
            <w:hideMark/>
          </w:tcPr>
          <w:p w14:paraId="42A0DD75" w14:textId="0BAF70DA"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49" w:type="pct"/>
            <w:shd w:val="clear" w:color="auto" w:fill="auto"/>
            <w:vAlign w:val="center"/>
            <w:hideMark/>
          </w:tcPr>
          <w:p w14:paraId="305CBA68" w14:textId="788913B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7067E6A5" w14:textId="41C57452"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[3]</w:t>
            </w:r>
          </w:p>
        </w:tc>
        <w:tc>
          <w:tcPr>
            <w:tcW w:w="281" w:type="pct"/>
            <w:shd w:val="clear" w:color="auto" w:fill="auto"/>
            <w:noWrap/>
            <w:vAlign w:val="center"/>
            <w:hideMark/>
          </w:tcPr>
          <w:p w14:paraId="5D0830FD" w14:textId="7A436C6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1E4C4D3A" w14:textId="6F4C7131"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703B7273" w14:textId="14E1EC7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33A29173" w14:textId="6E31490B"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7EB2C35D" w14:textId="78FB8835"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2AFDB7C7" w14:textId="3523BDB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68EB9AB6" w14:textId="2F9DB611"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gridSpan w:val="2"/>
            <w:shd w:val="clear" w:color="auto" w:fill="auto"/>
            <w:noWrap/>
            <w:vAlign w:val="center"/>
            <w:hideMark/>
          </w:tcPr>
          <w:p w14:paraId="2928C658" w14:textId="548B442B" w:rsidR="00440A6C" w:rsidRPr="00A91056" w:rsidRDefault="00440A6C" w:rsidP="00E329EF">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187" w:type="pct"/>
            <w:shd w:val="clear" w:color="auto" w:fill="auto"/>
            <w:noWrap/>
            <w:vAlign w:val="center"/>
            <w:hideMark/>
          </w:tcPr>
          <w:p w14:paraId="1C4DEB39" w14:textId="3DD4B7C5"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7445A798" w14:textId="64F5CB3A"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2F3B73C5" w14:textId="565735EF"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16D528A8" w14:textId="6FBD46FE" w:rsidR="00440A6C" w:rsidRPr="00A91056" w:rsidRDefault="00440A6C" w:rsidP="00E329EF">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216" w:type="pct"/>
            <w:shd w:val="clear" w:color="auto" w:fill="auto"/>
            <w:noWrap/>
            <w:vAlign w:val="center"/>
            <w:hideMark/>
          </w:tcPr>
          <w:p w14:paraId="3C62E540" w14:textId="2E98FFA5"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07664D" w:rsidRPr="00A91056" w14:paraId="69508607" w14:textId="77777777" w:rsidTr="00A576CB">
        <w:trPr>
          <w:trHeight w:val="288"/>
        </w:trPr>
        <w:tc>
          <w:tcPr>
            <w:tcW w:w="844" w:type="pct"/>
            <w:shd w:val="clear" w:color="auto" w:fill="auto"/>
            <w:noWrap/>
            <w:vAlign w:val="center"/>
            <w:hideMark/>
          </w:tcPr>
          <w:p w14:paraId="0EA5BEAD"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 xml:space="preserve">Benzo[e]pyrene </w:t>
            </w:r>
          </w:p>
        </w:tc>
        <w:tc>
          <w:tcPr>
            <w:tcW w:w="374" w:type="pct"/>
            <w:shd w:val="clear" w:color="auto" w:fill="auto"/>
            <w:noWrap/>
            <w:vAlign w:val="center"/>
            <w:hideMark/>
          </w:tcPr>
          <w:p w14:paraId="0790BA7C"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192-97-2</w:t>
            </w:r>
          </w:p>
        </w:tc>
        <w:tc>
          <w:tcPr>
            <w:tcW w:w="500" w:type="pct"/>
            <w:shd w:val="clear" w:color="auto" w:fill="auto"/>
            <w:vAlign w:val="center"/>
            <w:hideMark/>
          </w:tcPr>
          <w:p w14:paraId="564ECD09"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0.25 - 0.5</w:t>
            </w:r>
          </w:p>
        </w:tc>
        <w:tc>
          <w:tcPr>
            <w:tcW w:w="158" w:type="pct"/>
            <w:shd w:val="clear" w:color="auto" w:fill="auto"/>
            <w:vAlign w:val="center"/>
            <w:hideMark/>
          </w:tcPr>
          <w:p w14:paraId="281CAFA2" w14:textId="5490E4A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vAlign w:val="center"/>
            <w:hideMark/>
          </w:tcPr>
          <w:p w14:paraId="6F8A99C3" w14:textId="0E6DF11B"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3339CBB8" w14:textId="23B1EDD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[3]</w:t>
            </w:r>
          </w:p>
        </w:tc>
        <w:tc>
          <w:tcPr>
            <w:tcW w:w="281" w:type="pct"/>
            <w:shd w:val="clear" w:color="auto" w:fill="auto"/>
            <w:noWrap/>
            <w:vAlign w:val="center"/>
            <w:hideMark/>
          </w:tcPr>
          <w:p w14:paraId="4B4931AD"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52039FE6" w14:textId="39424FA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701A2387" w14:textId="6E9775A6" w:rsidR="00440A6C" w:rsidRPr="00A91056" w:rsidRDefault="00440A6C" w:rsidP="00E329EF">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157" w:type="pct"/>
            <w:shd w:val="clear" w:color="auto" w:fill="auto"/>
            <w:noWrap/>
            <w:vAlign w:val="center"/>
            <w:hideMark/>
          </w:tcPr>
          <w:p w14:paraId="35D1DE3E" w14:textId="0893E83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4F47AF17"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50" w:type="pct"/>
            <w:shd w:val="clear" w:color="auto" w:fill="auto"/>
            <w:noWrap/>
            <w:vAlign w:val="center"/>
            <w:hideMark/>
          </w:tcPr>
          <w:p w14:paraId="0C14D289"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shd w:val="clear" w:color="auto" w:fill="auto"/>
            <w:noWrap/>
            <w:vAlign w:val="center"/>
            <w:hideMark/>
          </w:tcPr>
          <w:p w14:paraId="6ED1CD9B" w14:textId="1D0FC5C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19" w:type="pct"/>
            <w:gridSpan w:val="2"/>
            <w:shd w:val="clear" w:color="auto" w:fill="auto"/>
            <w:noWrap/>
            <w:vAlign w:val="center"/>
            <w:hideMark/>
          </w:tcPr>
          <w:p w14:paraId="323D773C"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7B1402FA"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49C31AEB" w14:textId="77777777" w:rsidR="00440A6C" w:rsidRPr="00A91056" w:rsidRDefault="00440A6C" w:rsidP="00E329EF">
            <w:pPr>
              <w:widowControl/>
              <w:spacing w:line="240" w:lineRule="auto"/>
              <w:ind w:firstLine="0"/>
              <w:jc w:val="center"/>
              <w:rPr>
                <w:rFonts w:eastAsia="Times New Roman" w:cs="Arial"/>
                <w:sz w:val="18"/>
                <w:szCs w:val="18"/>
              </w:rPr>
            </w:pPr>
          </w:p>
        </w:tc>
        <w:tc>
          <w:tcPr>
            <w:tcW w:w="157" w:type="pct"/>
            <w:shd w:val="clear" w:color="auto" w:fill="auto"/>
            <w:noWrap/>
            <w:vAlign w:val="center"/>
            <w:hideMark/>
          </w:tcPr>
          <w:p w14:paraId="5CEC8B00" w14:textId="77777777" w:rsidR="00440A6C" w:rsidRPr="00A91056" w:rsidRDefault="00440A6C" w:rsidP="00E329EF">
            <w:pPr>
              <w:widowControl/>
              <w:spacing w:line="240" w:lineRule="auto"/>
              <w:ind w:firstLine="0"/>
              <w:jc w:val="center"/>
              <w:rPr>
                <w:rFonts w:eastAsia="Times New Roman" w:cs="Arial"/>
                <w:sz w:val="18"/>
                <w:szCs w:val="18"/>
              </w:rPr>
            </w:pPr>
          </w:p>
        </w:tc>
        <w:tc>
          <w:tcPr>
            <w:tcW w:w="250" w:type="pct"/>
            <w:shd w:val="clear" w:color="auto" w:fill="auto"/>
            <w:noWrap/>
            <w:vAlign w:val="center"/>
            <w:hideMark/>
          </w:tcPr>
          <w:p w14:paraId="799D72D6" w14:textId="77777777" w:rsidR="00440A6C" w:rsidRPr="00A91056" w:rsidRDefault="00440A6C" w:rsidP="00E329EF">
            <w:pPr>
              <w:widowControl/>
              <w:spacing w:line="240" w:lineRule="auto"/>
              <w:ind w:firstLine="0"/>
              <w:jc w:val="center"/>
              <w:rPr>
                <w:rFonts w:eastAsia="Times New Roman" w:cs="Arial"/>
                <w:sz w:val="18"/>
                <w:szCs w:val="18"/>
              </w:rPr>
            </w:pPr>
          </w:p>
        </w:tc>
        <w:tc>
          <w:tcPr>
            <w:tcW w:w="216" w:type="pct"/>
            <w:shd w:val="clear" w:color="auto" w:fill="auto"/>
            <w:noWrap/>
            <w:vAlign w:val="center"/>
            <w:hideMark/>
          </w:tcPr>
          <w:p w14:paraId="71D090D1" w14:textId="3CB41824"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r>
      <w:tr w:rsidR="0007664D" w:rsidRPr="00A91056" w14:paraId="501E9F3F" w14:textId="77777777" w:rsidTr="00A576CB">
        <w:trPr>
          <w:trHeight w:val="288"/>
        </w:trPr>
        <w:tc>
          <w:tcPr>
            <w:tcW w:w="844" w:type="pct"/>
            <w:shd w:val="clear" w:color="auto" w:fill="auto"/>
            <w:vAlign w:val="center"/>
            <w:hideMark/>
          </w:tcPr>
          <w:p w14:paraId="5132AE28"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Biphenyl</w:t>
            </w:r>
          </w:p>
        </w:tc>
        <w:tc>
          <w:tcPr>
            <w:tcW w:w="374" w:type="pct"/>
            <w:shd w:val="clear" w:color="auto" w:fill="auto"/>
            <w:vAlign w:val="center"/>
            <w:hideMark/>
          </w:tcPr>
          <w:p w14:paraId="205018CA"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92-52-4</w:t>
            </w:r>
          </w:p>
        </w:tc>
        <w:tc>
          <w:tcPr>
            <w:tcW w:w="500" w:type="pct"/>
            <w:shd w:val="clear" w:color="auto" w:fill="auto"/>
            <w:vAlign w:val="center"/>
            <w:hideMark/>
          </w:tcPr>
          <w:p w14:paraId="3BD3B235"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0.625 - 1.25</w:t>
            </w:r>
            <w:r w:rsidRPr="00A91056">
              <w:rPr>
                <w:rFonts w:eastAsia="Times New Roman" w:cs="Arial"/>
                <w:color w:val="000000"/>
                <w:sz w:val="18"/>
                <w:szCs w:val="18"/>
                <w:vertAlign w:val="superscript"/>
              </w:rPr>
              <w:t xml:space="preserve"> b</w:t>
            </w:r>
          </w:p>
        </w:tc>
        <w:tc>
          <w:tcPr>
            <w:tcW w:w="158" w:type="pct"/>
            <w:shd w:val="clear" w:color="auto" w:fill="auto"/>
            <w:vAlign w:val="center"/>
            <w:hideMark/>
          </w:tcPr>
          <w:p w14:paraId="43687744" w14:textId="2C181E8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vAlign w:val="center"/>
            <w:hideMark/>
          </w:tcPr>
          <w:p w14:paraId="19B447A5" w14:textId="386CCC9B"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342D338C" w14:textId="659EFF9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w:t>
            </w:r>
          </w:p>
        </w:tc>
        <w:tc>
          <w:tcPr>
            <w:tcW w:w="281" w:type="pct"/>
            <w:shd w:val="clear" w:color="auto" w:fill="auto"/>
            <w:noWrap/>
            <w:vAlign w:val="center"/>
            <w:hideMark/>
          </w:tcPr>
          <w:p w14:paraId="451F5AF3" w14:textId="243F89B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19" w:type="pct"/>
            <w:shd w:val="clear" w:color="auto" w:fill="auto"/>
            <w:noWrap/>
            <w:vAlign w:val="center"/>
            <w:hideMark/>
          </w:tcPr>
          <w:p w14:paraId="5EF0F4FE" w14:textId="1091F97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50" w:type="pct"/>
            <w:shd w:val="clear" w:color="auto" w:fill="auto"/>
            <w:noWrap/>
            <w:vAlign w:val="center"/>
            <w:hideMark/>
          </w:tcPr>
          <w:p w14:paraId="5CF39082" w14:textId="140D7C4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06FBBC13"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6" w:type="pct"/>
            <w:shd w:val="clear" w:color="auto" w:fill="auto"/>
            <w:noWrap/>
            <w:vAlign w:val="center"/>
            <w:hideMark/>
          </w:tcPr>
          <w:p w14:paraId="026AC726" w14:textId="2521ABC0"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5566B0A7" w14:textId="3D6B057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48B245DC" w14:textId="729A9845"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19" w:type="pct"/>
            <w:gridSpan w:val="2"/>
            <w:shd w:val="clear" w:color="auto" w:fill="auto"/>
            <w:noWrap/>
            <w:vAlign w:val="center"/>
            <w:hideMark/>
          </w:tcPr>
          <w:p w14:paraId="76AC62C1"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4E558484"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41C9A647" w14:textId="6E01283A"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6FFCC1F7" w14:textId="38B5468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50" w:type="pct"/>
            <w:shd w:val="clear" w:color="auto" w:fill="auto"/>
            <w:noWrap/>
            <w:vAlign w:val="center"/>
            <w:hideMark/>
          </w:tcPr>
          <w:p w14:paraId="4EAA0835" w14:textId="6D61D80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6" w:type="pct"/>
            <w:shd w:val="clear" w:color="auto" w:fill="auto"/>
            <w:noWrap/>
            <w:vAlign w:val="center"/>
            <w:hideMark/>
          </w:tcPr>
          <w:p w14:paraId="4A483B7A" w14:textId="70D5F9D5"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07664D" w:rsidRPr="00A91056" w14:paraId="5F249BD1" w14:textId="77777777" w:rsidTr="00A576CB">
        <w:trPr>
          <w:trHeight w:val="288"/>
        </w:trPr>
        <w:tc>
          <w:tcPr>
            <w:tcW w:w="844" w:type="pct"/>
            <w:shd w:val="clear" w:color="auto" w:fill="auto"/>
            <w:noWrap/>
            <w:vAlign w:val="center"/>
            <w:hideMark/>
          </w:tcPr>
          <w:p w14:paraId="41D00B41"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Caffeine</w:t>
            </w:r>
          </w:p>
        </w:tc>
        <w:tc>
          <w:tcPr>
            <w:tcW w:w="374" w:type="pct"/>
            <w:shd w:val="clear" w:color="auto" w:fill="auto"/>
            <w:noWrap/>
            <w:vAlign w:val="center"/>
            <w:hideMark/>
          </w:tcPr>
          <w:p w14:paraId="654C8E82"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58-08-2</w:t>
            </w:r>
          </w:p>
        </w:tc>
        <w:tc>
          <w:tcPr>
            <w:tcW w:w="500" w:type="pct"/>
            <w:shd w:val="clear" w:color="auto" w:fill="auto"/>
            <w:vAlign w:val="center"/>
            <w:hideMark/>
          </w:tcPr>
          <w:p w14:paraId="4503FF85"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2.5 - 5</w:t>
            </w:r>
          </w:p>
        </w:tc>
        <w:tc>
          <w:tcPr>
            <w:tcW w:w="158" w:type="pct"/>
            <w:shd w:val="clear" w:color="auto" w:fill="auto"/>
            <w:vAlign w:val="center"/>
            <w:hideMark/>
          </w:tcPr>
          <w:p w14:paraId="456E798B" w14:textId="7B1DFD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vAlign w:val="center"/>
            <w:hideMark/>
          </w:tcPr>
          <w:p w14:paraId="3A399660" w14:textId="183B318F"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vAlign w:val="center"/>
            <w:hideMark/>
          </w:tcPr>
          <w:p w14:paraId="4E4AA249" w14:textId="1FC0099E" w:rsidR="00440A6C" w:rsidRPr="00A91056" w:rsidRDefault="00440A6C" w:rsidP="00E329EF">
            <w:pPr>
              <w:widowControl/>
              <w:spacing w:line="240" w:lineRule="auto"/>
              <w:ind w:firstLine="0"/>
              <w:jc w:val="center"/>
              <w:rPr>
                <w:rFonts w:eastAsia="Times New Roman" w:cs="Arial"/>
                <w:color w:val="000000"/>
                <w:sz w:val="18"/>
                <w:szCs w:val="18"/>
              </w:rPr>
            </w:pPr>
          </w:p>
        </w:tc>
        <w:tc>
          <w:tcPr>
            <w:tcW w:w="281" w:type="pct"/>
            <w:shd w:val="clear" w:color="auto" w:fill="auto"/>
            <w:noWrap/>
            <w:vAlign w:val="center"/>
            <w:hideMark/>
          </w:tcPr>
          <w:p w14:paraId="2040BA51"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6E386933" w14:textId="0F892671"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50" w:type="pct"/>
            <w:shd w:val="clear" w:color="auto" w:fill="auto"/>
            <w:noWrap/>
            <w:vAlign w:val="center"/>
            <w:hideMark/>
          </w:tcPr>
          <w:p w14:paraId="0528B714" w14:textId="2A3D4AB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06041CF6" w14:textId="35B1726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66D7C0AA" w14:textId="7AB399FA"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7E07158B"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5228A629"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gridSpan w:val="2"/>
            <w:shd w:val="clear" w:color="auto" w:fill="auto"/>
            <w:noWrap/>
            <w:vAlign w:val="center"/>
            <w:hideMark/>
          </w:tcPr>
          <w:p w14:paraId="20F69D13"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2FF4AB42"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585AD625" w14:textId="0FDCD5BE" w:rsidR="00440A6C" w:rsidRPr="00A91056" w:rsidRDefault="00440A6C" w:rsidP="00E329EF">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157" w:type="pct"/>
            <w:shd w:val="clear" w:color="auto" w:fill="auto"/>
            <w:noWrap/>
            <w:vAlign w:val="center"/>
            <w:hideMark/>
          </w:tcPr>
          <w:p w14:paraId="2FD63B1C" w14:textId="7C612EC4"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50" w:type="pct"/>
            <w:shd w:val="clear" w:color="auto" w:fill="auto"/>
            <w:noWrap/>
            <w:vAlign w:val="center"/>
            <w:hideMark/>
          </w:tcPr>
          <w:p w14:paraId="48A669B4"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6" w:type="pct"/>
            <w:shd w:val="clear" w:color="auto" w:fill="auto"/>
            <w:noWrap/>
            <w:vAlign w:val="center"/>
            <w:hideMark/>
          </w:tcPr>
          <w:p w14:paraId="1E0FCC7D" w14:textId="42A0230F"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r>
      <w:tr w:rsidR="0007664D" w:rsidRPr="00A91056" w14:paraId="1AEAA61E" w14:textId="77777777" w:rsidTr="00A576CB">
        <w:trPr>
          <w:trHeight w:val="288"/>
        </w:trPr>
        <w:tc>
          <w:tcPr>
            <w:tcW w:w="844" w:type="pct"/>
            <w:shd w:val="clear" w:color="auto" w:fill="auto"/>
            <w:noWrap/>
            <w:vAlign w:val="center"/>
            <w:hideMark/>
          </w:tcPr>
          <w:p w14:paraId="1A7A9AE9"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Chrysene</w:t>
            </w:r>
          </w:p>
        </w:tc>
        <w:tc>
          <w:tcPr>
            <w:tcW w:w="374" w:type="pct"/>
            <w:shd w:val="clear" w:color="auto" w:fill="auto"/>
            <w:noWrap/>
            <w:vAlign w:val="center"/>
            <w:hideMark/>
          </w:tcPr>
          <w:p w14:paraId="6C95AB64"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218-01-9</w:t>
            </w:r>
          </w:p>
        </w:tc>
        <w:tc>
          <w:tcPr>
            <w:tcW w:w="500" w:type="pct"/>
            <w:shd w:val="clear" w:color="auto" w:fill="auto"/>
            <w:vAlign w:val="center"/>
            <w:hideMark/>
          </w:tcPr>
          <w:p w14:paraId="44DD17DC"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0.6 - 2.4</w:t>
            </w:r>
          </w:p>
        </w:tc>
        <w:tc>
          <w:tcPr>
            <w:tcW w:w="158" w:type="pct"/>
            <w:shd w:val="clear" w:color="auto" w:fill="auto"/>
            <w:vAlign w:val="center"/>
            <w:hideMark/>
          </w:tcPr>
          <w:p w14:paraId="70E92890" w14:textId="563DDD2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vAlign w:val="center"/>
            <w:hideMark/>
          </w:tcPr>
          <w:p w14:paraId="3BC60DC1" w14:textId="673C880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vAlign w:val="center"/>
            <w:hideMark/>
          </w:tcPr>
          <w:p w14:paraId="380A7F41" w14:textId="253DA9FF" w:rsidR="00440A6C" w:rsidRPr="00A91056" w:rsidRDefault="00440A6C" w:rsidP="00E329EF">
            <w:pPr>
              <w:widowControl/>
              <w:spacing w:line="240" w:lineRule="auto"/>
              <w:ind w:firstLine="0"/>
              <w:jc w:val="center"/>
              <w:rPr>
                <w:rFonts w:eastAsia="Times New Roman" w:cs="Arial"/>
                <w:color w:val="000000"/>
                <w:sz w:val="18"/>
                <w:szCs w:val="18"/>
              </w:rPr>
            </w:pPr>
          </w:p>
        </w:tc>
        <w:tc>
          <w:tcPr>
            <w:tcW w:w="281" w:type="pct"/>
            <w:shd w:val="clear" w:color="auto" w:fill="auto"/>
            <w:noWrap/>
            <w:vAlign w:val="center"/>
            <w:hideMark/>
          </w:tcPr>
          <w:p w14:paraId="05C0A7CD"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4AF20604" w14:textId="12344D2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41DD972D" w14:textId="321C4D9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6CFD7D60" w14:textId="73C0E30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53BFB885"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50" w:type="pct"/>
            <w:shd w:val="clear" w:color="auto" w:fill="auto"/>
            <w:noWrap/>
            <w:vAlign w:val="center"/>
            <w:hideMark/>
          </w:tcPr>
          <w:p w14:paraId="7D16AED7"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shd w:val="clear" w:color="auto" w:fill="auto"/>
            <w:noWrap/>
            <w:vAlign w:val="center"/>
            <w:hideMark/>
          </w:tcPr>
          <w:p w14:paraId="7496E6FF" w14:textId="4513BF2F"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19" w:type="pct"/>
            <w:gridSpan w:val="2"/>
            <w:shd w:val="clear" w:color="auto" w:fill="auto"/>
            <w:noWrap/>
            <w:vAlign w:val="center"/>
            <w:hideMark/>
          </w:tcPr>
          <w:p w14:paraId="22EEDF9C"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410533D8" w14:textId="34A66620"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7FA2CCF1"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7" w:type="pct"/>
            <w:shd w:val="clear" w:color="auto" w:fill="auto"/>
            <w:noWrap/>
            <w:vAlign w:val="center"/>
            <w:hideMark/>
          </w:tcPr>
          <w:p w14:paraId="239D33D6" w14:textId="54E63CD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50" w:type="pct"/>
            <w:shd w:val="clear" w:color="auto" w:fill="auto"/>
            <w:noWrap/>
            <w:vAlign w:val="center"/>
            <w:hideMark/>
          </w:tcPr>
          <w:p w14:paraId="60DA5D00"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6" w:type="pct"/>
            <w:shd w:val="clear" w:color="auto" w:fill="auto"/>
            <w:noWrap/>
            <w:vAlign w:val="center"/>
            <w:hideMark/>
          </w:tcPr>
          <w:p w14:paraId="7EE46459" w14:textId="3F82EF5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07664D" w:rsidRPr="00A91056" w14:paraId="0BA56934" w14:textId="77777777" w:rsidTr="00A576CB">
        <w:trPr>
          <w:trHeight w:val="288"/>
        </w:trPr>
        <w:tc>
          <w:tcPr>
            <w:tcW w:w="844" w:type="pct"/>
            <w:shd w:val="clear" w:color="auto" w:fill="auto"/>
            <w:noWrap/>
            <w:vAlign w:val="center"/>
            <w:hideMark/>
          </w:tcPr>
          <w:p w14:paraId="36F38313"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Ciprofloxacin</w:t>
            </w:r>
          </w:p>
        </w:tc>
        <w:tc>
          <w:tcPr>
            <w:tcW w:w="374" w:type="pct"/>
            <w:shd w:val="clear" w:color="auto" w:fill="auto"/>
            <w:noWrap/>
            <w:vAlign w:val="center"/>
            <w:hideMark/>
          </w:tcPr>
          <w:p w14:paraId="36F82FE4"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85721-33-1</w:t>
            </w:r>
          </w:p>
        </w:tc>
        <w:tc>
          <w:tcPr>
            <w:tcW w:w="500" w:type="pct"/>
            <w:shd w:val="clear" w:color="auto" w:fill="auto"/>
            <w:vAlign w:val="center"/>
            <w:hideMark/>
          </w:tcPr>
          <w:p w14:paraId="6A521C4F"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 xml:space="preserve">1.25 - 5 </w:t>
            </w:r>
            <w:r w:rsidRPr="00A91056">
              <w:rPr>
                <w:rFonts w:eastAsia="Times New Roman" w:cs="Arial"/>
                <w:color w:val="000000"/>
                <w:sz w:val="18"/>
                <w:szCs w:val="18"/>
                <w:vertAlign w:val="superscript"/>
              </w:rPr>
              <w:t>b</w:t>
            </w:r>
          </w:p>
        </w:tc>
        <w:tc>
          <w:tcPr>
            <w:tcW w:w="158" w:type="pct"/>
            <w:shd w:val="clear" w:color="auto" w:fill="auto"/>
            <w:vAlign w:val="center"/>
            <w:hideMark/>
          </w:tcPr>
          <w:p w14:paraId="6B1504C6" w14:textId="20D4AEF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vAlign w:val="center"/>
            <w:hideMark/>
          </w:tcPr>
          <w:p w14:paraId="2065065C" w14:textId="21CE5A22"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5EB1B696" w14:textId="69F2E9B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w:t>
            </w:r>
          </w:p>
        </w:tc>
        <w:tc>
          <w:tcPr>
            <w:tcW w:w="281" w:type="pct"/>
            <w:shd w:val="clear" w:color="auto" w:fill="auto"/>
            <w:noWrap/>
            <w:vAlign w:val="center"/>
            <w:hideMark/>
          </w:tcPr>
          <w:p w14:paraId="62B6770D"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0D021068" w14:textId="2063E6D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233C21BA" w14:textId="0D6977A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54E69C09" w14:textId="6196504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2DFCD957" w14:textId="62C49D0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582AB0CD"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008B578A"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gridSpan w:val="2"/>
            <w:shd w:val="clear" w:color="auto" w:fill="auto"/>
            <w:noWrap/>
            <w:vAlign w:val="center"/>
            <w:hideMark/>
          </w:tcPr>
          <w:p w14:paraId="1E97D201" w14:textId="5DDB007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87" w:type="pct"/>
            <w:shd w:val="clear" w:color="auto" w:fill="auto"/>
            <w:noWrap/>
            <w:vAlign w:val="center"/>
            <w:hideMark/>
          </w:tcPr>
          <w:p w14:paraId="41603B84"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6" w:type="pct"/>
            <w:shd w:val="clear" w:color="auto" w:fill="auto"/>
            <w:noWrap/>
            <w:vAlign w:val="center"/>
            <w:hideMark/>
          </w:tcPr>
          <w:p w14:paraId="23D817EA" w14:textId="6B0F7BE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341A2122" w14:textId="4FA2E62E" w:rsidR="00440A6C" w:rsidRPr="00A91056" w:rsidRDefault="00440A6C" w:rsidP="00E329EF">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250" w:type="pct"/>
            <w:shd w:val="clear" w:color="auto" w:fill="auto"/>
            <w:noWrap/>
            <w:vAlign w:val="center"/>
            <w:hideMark/>
          </w:tcPr>
          <w:p w14:paraId="6975E6DF"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6" w:type="pct"/>
            <w:shd w:val="clear" w:color="auto" w:fill="auto"/>
            <w:noWrap/>
            <w:vAlign w:val="center"/>
            <w:hideMark/>
          </w:tcPr>
          <w:p w14:paraId="4F0B9D7B" w14:textId="4D11D2F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r>
      <w:tr w:rsidR="0007664D" w:rsidRPr="00A91056" w14:paraId="71037FD0" w14:textId="77777777" w:rsidTr="00A576CB">
        <w:trPr>
          <w:trHeight w:val="288"/>
        </w:trPr>
        <w:tc>
          <w:tcPr>
            <w:tcW w:w="844" w:type="pct"/>
            <w:shd w:val="clear" w:color="auto" w:fill="auto"/>
            <w:noWrap/>
            <w:vAlign w:val="center"/>
            <w:hideMark/>
          </w:tcPr>
          <w:p w14:paraId="63C1AA7C"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Clofibrate</w:t>
            </w:r>
          </w:p>
        </w:tc>
        <w:tc>
          <w:tcPr>
            <w:tcW w:w="374" w:type="pct"/>
            <w:shd w:val="clear" w:color="auto" w:fill="auto"/>
            <w:noWrap/>
            <w:vAlign w:val="center"/>
            <w:hideMark/>
          </w:tcPr>
          <w:p w14:paraId="17B63289"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637-07-0</w:t>
            </w:r>
          </w:p>
        </w:tc>
        <w:tc>
          <w:tcPr>
            <w:tcW w:w="500" w:type="pct"/>
            <w:shd w:val="clear" w:color="auto" w:fill="auto"/>
            <w:vAlign w:val="center"/>
            <w:hideMark/>
          </w:tcPr>
          <w:p w14:paraId="43BD834B"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5 - 10</w:t>
            </w:r>
          </w:p>
        </w:tc>
        <w:tc>
          <w:tcPr>
            <w:tcW w:w="158" w:type="pct"/>
            <w:shd w:val="clear" w:color="auto" w:fill="auto"/>
            <w:vAlign w:val="center"/>
            <w:hideMark/>
          </w:tcPr>
          <w:p w14:paraId="58629FB3" w14:textId="3864284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vAlign w:val="center"/>
            <w:hideMark/>
          </w:tcPr>
          <w:p w14:paraId="5A956C7E" w14:textId="648DFEB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31700F24" w14:textId="6DF41FD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w:t>
            </w:r>
          </w:p>
        </w:tc>
        <w:tc>
          <w:tcPr>
            <w:tcW w:w="281" w:type="pct"/>
            <w:shd w:val="clear" w:color="auto" w:fill="auto"/>
            <w:noWrap/>
            <w:vAlign w:val="center"/>
            <w:hideMark/>
          </w:tcPr>
          <w:p w14:paraId="3301AB1A" w14:textId="646DB2D2"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19" w:type="pct"/>
            <w:shd w:val="clear" w:color="auto" w:fill="auto"/>
            <w:noWrap/>
            <w:vAlign w:val="center"/>
            <w:hideMark/>
          </w:tcPr>
          <w:p w14:paraId="620DC1CF" w14:textId="32F38EE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50" w:type="pct"/>
            <w:shd w:val="clear" w:color="auto" w:fill="auto"/>
            <w:noWrap/>
            <w:vAlign w:val="center"/>
            <w:hideMark/>
          </w:tcPr>
          <w:p w14:paraId="44D11956" w14:textId="2F5DD17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24C5CABD" w14:textId="60DE2CF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6" w:type="pct"/>
            <w:shd w:val="clear" w:color="auto" w:fill="auto"/>
            <w:noWrap/>
            <w:vAlign w:val="center"/>
            <w:hideMark/>
          </w:tcPr>
          <w:p w14:paraId="52FF8DF9" w14:textId="76F618A6" w:rsidR="00440A6C" w:rsidRPr="00A91056" w:rsidRDefault="00440A6C" w:rsidP="00E329EF">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250" w:type="pct"/>
            <w:shd w:val="clear" w:color="auto" w:fill="auto"/>
            <w:noWrap/>
            <w:vAlign w:val="center"/>
            <w:hideMark/>
          </w:tcPr>
          <w:p w14:paraId="30F67714"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78E8D2AD" w14:textId="14CBD3B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19" w:type="pct"/>
            <w:gridSpan w:val="2"/>
            <w:shd w:val="clear" w:color="auto" w:fill="auto"/>
            <w:noWrap/>
            <w:vAlign w:val="center"/>
            <w:hideMark/>
          </w:tcPr>
          <w:p w14:paraId="40CFED1B" w14:textId="315278EA"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87" w:type="pct"/>
            <w:shd w:val="clear" w:color="auto" w:fill="auto"/>
            <w:noWrap/>
            <w:vAlign w:val="center"/>
            <w:hideMark/>
          </w:tcPr>
          <w:p w14:paraId="03C7FB6E" w14:textId="3D47A964"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6" w:type="pct"/>
            <w:shd w:val="clear" w:color="auto" w:fill="auto"/>
            <w:noWrap/>
            <w:vAlign w:val="center"/>
            <w:hideMark/>
          </w:tcPr>
          <w:p w14:paraId="2A055D8A" w14:textId="32728CF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2AE241EA"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50" w:type="pct"/>
            <w:shd w:val="clear" w:color="auto" w:fill="auto"/>
            <w:noWrap/>
            <w:vAlign w:val="center"/>
            <w:hideMark/>
          </w:tcPr>
          <w:p w14:paraId="45076C20" w14:textId="2A33DF42"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16" w:type="pct"/>
            <w:shd w:val="clear" w:color="auto" w:fill="auto"/>
            <w:noWrap/>
            <w:vAlign w:val="center"/>
            <w:hideMark/>
          </w:tcPr>
          <w:p w14:paraId="4E2B5FB5" w14:textId="285F9A3A"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8D460F" w:rsidRPr="00A91056" w14:paraId="200CEC08" w14:textId="77777777" w:rsidTr="00A576CB">
        <w:trPr>
          <w:trHeight w:val="288"/>
        </w:trPr>
        <w:tc>
          <w:tcPr>
            <w:tcW w:w="844" w:type="pct"/>
            <w:vMerge w:val="restart"/>
            <w:shd w:val="clear" w:color="auto" w:fill="auto"/>
            <w:noWrap/>
            <w:vAlign w:val="center"/>
            <w:hideMark/>
          </w:tcPr>
          <w:p w14:paraId="2E4B3F55" w14:textId="2213BA8A" w:rsidR="008D460F" w:rsidRPr="00A91056" w:rsidRDefault="008D460F" w:rsidP="008D460F">
            <w:pPr>
              <w:widowControl/>
              <w:spacing w:line="240" w:lineRule="auto"/>
              <w:ind w:firstLine="0"/>
              <w:rPr>
                <w:rFonts w:eastAsia="Times New Roman" w:cs="Arial"/>
                <w:color w:val="000000"/>
                <w:sz w:val="18"/>
                <w:szCs w:val="18"/>
              </w:rPr>
            </w:pPr>
            <w:proofErr w:type="spellStart"/>
            <w:r w:rsidRPr="00A91056">
              <w:rPr>
                <w:rFonts w:eastAsia="Times New Roman" w:cs="Arial"/>
                <w:color w:val="000000"/>
                <w:sz w:val="18"/>
                <w:szCs w:val="18"/>
              </w:rPr>
              <w:t>Clofibric</w:t>
            </w:r>
            <w:proofErr w:type="spellEnd"/>
            <w:r w:rsidRPr="00A91056">
              <w:rPr>
                <w:rFonts w:eastAsia="Times New Roman" w:cs="Arial"/>
                <w:color w:val="000000"/>
                <w:sz w:val="18"/>
                <w:szCs w:val="18"/>
              </w:rPr>
              <w:t xml:space="preserve"> acid</w:t>
            </w:r>
          </w:p>
        </w:tc>
        <w:tc>
          <w:tcPr>
            <w:tcW w:w="374" w:type="pct"/>
            <w:vMerge w:val="restart"/>
            <w:shd w:val="clear" w:color="auto" w:fill="auto"/>
            <w:noWrap/>
            <w:vAlign w:val="center"/>
            <w:hideMark/>
          </w:tcPr>
          <w:p w14:paraId="17C96198" w14:textId="6A3256B4" w:rsidR="008D460F" w:rsidRPr="00A91056" w:rsidRDefault="008D460F" w:rsidP="008D460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882-09-7</w:t>
            </w:r>
          </w:p>
        </w:tc>
        <w:tc>
          <w:tcPr>
            <w:tcW w:w="500" w:type="pct"/>
            <w:shd w:val="clear" w:color="auto" w:fill="auto"/>
            <w:vAlign w:val="center"/>
            <w:hideMark/>
          </w:tcPr>
          <w:p w14:paraId="23B1C329" w14:textId="77777777" w:rsidR="008D460F" w:rsidRPr="00A91056" w:rsidRDefault="008D460F"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0.1 - 1.5</w:t>
            </w:r>
          </w:p>
        </w:tc>
        <w:tc>
          <w:tcPr>
            <w:tcW w:w="158" w:type="pct"/>
            <w:shd w:val="clear" w:color="auto" w:fill="auto"/>
            <w:vAlign w:val="center"/>
            <w:hideMark/>
          </w:tcPr>
          <w:p w14:paraId="7598C58C" w14:textId="50861C3B" w:rsidR="008D460F" w:rsidRPr="00A91056" w:rsidRDefault="008D460F"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vAlign w:val="center"/>
            <w:hideMark/>
          </w:tcPr>
          <w:p w14:paraId="00DF7AE8" w14:textId="4D4474ED" w:rsidR="008D460F" w:rsidRPr="00A91056" w:rsidRDefault="008D460F"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vMerge w:val="restart"/>
            <w:shd w:val="clear" w:color="auto" w:fill="auto"/>
            <w:noWrap/>
            <w:vAlign w:val="center"/>
            <w:hideMark/>
          </w:tcPr>
          <w:p w14:paraId="187AD141" w14:textId="47D7C3B5" w:rsidR="008D460F" w:rsidRPr="00A91056" w:rsidRDefault="008D460F" w:rsidP="008D460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[6]</w:t>
            </w:r>
          </w:p>
        </w:tc>
        <w:tc>
          <w:tcPr>
            <w:tcW w:w="281" w:type="pct"/>
            <w:vMerge w:val="restart"/>
            <w:shd w:val="clear" w:color="auto" w:fill="auto"/>
            <w:noWrap/>
            <w:vAlign w:val="center"/>
            <w:hideMark/>
          </w:tcPr>
          <w:p w14:paraId="3ABA5C38" w14:textId="77777777" w:rsidR="008D460F" w:rsidRPr="00A91056" w:rsidRDefault="008D460F" w:rsidP="00E329EF">
            <w:pPr>
              <w:widowControl/>
              <w:spacing w:line="240" w:lineRule="auto"/>
              <w:ind w:firstLine="0"/>
              <w:jc w:val="center"/>
              <w:rPr>
                <w:rFonts w:eastAsia="Times New Roman" w:cs="Arial"/>
                <w:color w:val="000000"/>
                <w:sz w:val="18"/>
                <w:szCs w:val="18"/>
              </w:rPr>
            </w:pPr>
          </w:p>
        </w:tc>
        <w:tc>
          <w:tcPr>
            <w:tcW w:w="219" w:type="pct"/>
            <w:vMerge w:val="restart"/>
            <w:shd w:val="clear" w:color="auto" w:fill="auto"/>
            <w:noWrap/>
            <w:vAlign w:val="center"/>
            <w:hideMark/>
          </w:tcPr>
          <w:p w14:paraId="1A7098C4" w14:textId="77777777" w:rsidR="008D460F" w:rsidRPr="00A91056" w:rsidRDefault="008D460F" w:rsidP="00E329EF">
            <w:pPr>
              <w:widowControl/>
              <w:spacing w:line="240" w:lineRule="auto"/>
              <w:ind w:firstLine="0"/>
              <w:jc w:val="center"/>
              <w:rPr>
                <w:rFonts w:eastAsia="Times New Roman" w:cs="Arial"/>
                <w:sz w:val="18"/>
                <w:szCs w:val="18"/>
              </w:rPr>
            </w:pPr>
          </w:p>
        </w:tc>
        <w:tc>
          <w:tcPr>
            <w:tcW w:w="250" w:type="pct"/>
            <w:vMerge w:val="restart"/>
            <w:shd w:val="clear" w:color="auto" w:fill="auto"/>
            <w:noWrap/>
            <w:vAlign w:val="center"/>
            <w:hideMark/>
          </w:tcPr>
          <w:p w14:paraId="6CA14CD9" w14:textId="77777777" w:rsidR="008D460F" w:rsidRPr="00A91056" w:rsidRDefault="008D460F" w:rsidP="00E329EF">
            <w:pPr>
              <w:widowControl/>
              <w:spacing w:line="240" w:lineRule="auto"/>
              <w:ind w:firstLine="0"/>
              <w:jc w:val="center"/>
              <w:rPr>
                <w:rFonts w:eastAsia="Times New Roman" w:cs="Arial"/>
                <w:sz w:val="18"/>
                <w:szCs w:val="18"/>
              </w:rPr>
            </w:pPr>
          </w:p>
        </w:tc>
        <w:tc>
          <w:tcPr>
            <w:tcW w:w="157" w:type="pct"/>
            <w:vMerge w:val="restart"/>
            <w:shd w:val="clear" w:color="auto" w:fill="auto"/>
            <w:noWrap/>
            <w:vAlign w:val="center"/>
            <w:hideMark/>
          </w:tcPr>
          <w:p w14:paraId="030E2323" w14:textId="77777777" w:rsidR="008D460F" w:rsidRPr="00A91056" w:rsidRDefault="008D460F" w:rsidP="00E329EF">
            <w:pPr>
              <w:widowControl/>
              <w:spacing w:line="240" w:lineRule="auto"/>
              <w:ind w:firstLine="0"/>
              <w:jc w:val="center"/>
              <w:rPr>
                <w:rFonts w:eastAsia="Times New Roman" w:cs="Arial"/>
                <w:sz w:val="18"/>
                <w:szCs w:val="18"/>
              </w:rPr>
            </w:pPr>
          </w:p>
        </w:tc>
        <w:tc>
          <w:tcPr>
            <w:tcW w:w="156" w:type="pct"/>
            <w:vMerge w:val="restart"/>
            <w:shd w:val="clear" w:color="auto" w:fill="auto"/>
            <w:noWrap/>
            <w:vAlign w:val="center"/>
            <w:hideMark/>
          </w:tcPr>
          <w:p w14:paraId="5066A465" w14:textId="77777777" w:rsidR="008D460F" w:rsidRPr="00A91056" w:rsidRDefault="008D460F" w:rsidP="00E329EF">
            <w:pPr>
              <w:widowControl/>
              <w:spacing w:line="240" w:lineRule="auto"/>
              <w:ind w:firstLine="0"/>
              <w:jc w:val="center"/>
              <w:rPr>
                <w:rFonts w:eastAsia="Times New Roman" w:cs="Arial"/>
                <w:sz w:val="18"/>
                <w:szCs w:val="18"/>
              </w:rPr>
            </w:pPr>
          </w:p>
        </w:tc>
        <w:tc>
          <w:tcPr>
            <w:tcW w:w="250" w:type="pct"/>
            <w:vMerge w:val="restart"/>
            <w:shd w:val="clear" w:color="auto" w:fill="auto"/>
            <w:noWrap/>
            <w:vAlign w:val="center"/>
            <w:hideMark/>
          </w:tcPr>
          <w:p w14:paraId="0CBD96C1" w14:textId="68A0751E" w:rsidR="008D460F" w:rsidRPr="00A91056" w:rsidRDefault="008D460F"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vMerge w:val="restart"/>
            <w:shd w:val="clear" w:color="auto" w:fill="auto"/>
            <w:noWrap/>
            <w:vAlign w:val="center"/>
            <w:hideMark/>
          </w:tcPr>
          <w:p w14:paraId="0C1E3CE1" w14:textId="77777777" w:rsidR="008D460F" w:rsidRPr="00A91056" w:rsidRDefault="008D460F" w:rsidP="00E329EF">
            <w:pPr>
              <w:widowControl/>
              <w:spacing w:line="240" w:lineRule="auto"/>
              <w:ind w:firstLine="0"/>
              <w:jc w:val="center"/>
              <w:rPr>
                <w:rFonts w:eastAsia="Times New Roman" w:cs="Arial"/>
                <w:sz w:val="18"/>
                <w:szCs w:val="18"/>
              </w:rPr>
            </w:pPr>
          </w:p>
        </w:tc>
        <w:tc>
          <w:tcPr>
            <w:tcW w:w="219" w:type="pct"/>
            <w:gridSpan w:val="2"/>
            <w:vMerge w:val="restart"/>
            <w:shd w:val="clear" w:color="auto" w:fill="auto"/>
            <w:noWrap/>
            <w:vAlign w:val="center"/>
            <w:hideMark/>
          </w:tcPr>
          <w:p w14:paraId="7BE8079A" w14:textId="77777777" w:rsidR="008D460F" w:rsidRPr="00A91056" w:rsidRDefault="008D460F" w:rsidP="00E329EF">
            <w:pPr>
              <w:widowControl/>
              <w:spacing w:line="240" w:lineRule="auto"/>
              <w:ind w:firstLine="0"/>
              <w:jc w:val="center"/>
              <w:rPr>
                <w:rFonts w:eastAsia="Times New Roman" w:cs="Arial"/>
                <w:sz w:val="18"/>
                <w:szCs w:val="18"/>
              </w:rPr>
            </w:pPr>
          </w:p>
        </w:tc>
        <w:tc>
          <w:tcPr>
            <w:tcW w:w="187" w:type="pct"/>
            <w:vMerge w:val="restart"/>
            <w:shd w:val="clear" w:color="auto" w:fill="auto"/>
            <w:noWrap/>
            <w:vAlign w:val="center"/>
            <w:hideMark/>
          </w:tcPr>
          <w:p w14:paraId="0F789A81" w14:textId="77777777" w:rsidR="008D460F" w:rsidRPr="00A91056" w:rsidRDefault="008D460F" w:rsidP="00E329EF">
            <w:pPr>
              <w:widowControl/>
              <w:spacing w:line="240" w:lineRule="auto"/>
              <w:ind w:firstLine="0"/>
              <w:jc w:val="center"/>
              <w:rPr>
                <w:rFonts w:eastAsia="Times New Roman" w:cs="Arial"/>
                <w:sz w:val="18"/>
                <w:szCs w:val="18"/>
              </w:rPr>
            </w:pPr>
          </w:p>
        </w:tc>
        <w:tc>
          <w:tcPr>
            <w:tcW w:w="156" w:type="pct"/>
            <w:vMerge w:val="restart"/>
            <w:shd w:val="clear" w:color="auto" w:fill="auto"/>
            <w:noWrap/>
            <w:vAlign w:val="center"/>
            <w:hideMark/>
          </w:tcPr>
          <w:p w14:paraId="20CC0E92" w14:textId="77777777" w:rsidR="008D460F" w:rsidRPr="00A91056" w:rsidRDefault="008D460F" w:rsidP="00E329EF">
            <w:pPr>
              <w:widowControl/>
              <w:spacing w:line="240" w:lineRule="auto"/>
              <w:ind w:firstLine="0"/>
              <w:jc w:val="center"/>
              <w:rPr>
                <w:rFonts w:eastAsia="Times New Roman" w:cs="Arial"/>
                <w:sz w:val="18"/>
                <w:szCs w:val="18"/>
              </w:rPr>
            </w:pPr>
          </w:p>
        </w:tc>
        <w:tc>
          <w:tcPr>
            <w:tcW w:w="157" w:type="pct"/>
            <w:vMerge w:val="restart"/>
            <w:shd w:val="clear" w:color="auto" w:fill="auto"/>
            <w:noWrap/>
            <w:vAlign w:val="center"/>
            <w:hideMark/>
          </w:tcPr>
          <w:p w14:paraId="4F57CA5C" w14:textId="77777777" w:rsidR="008D460F" w:rsidRPr="00A91056" w:rsidRDefault="008D460F" w:rsidP="00E329EF">
            <w:pPr>
              <w:widowControl/>
              <w:spacing w:line="240" w:lineRule="auto"/>
              <w:ind w:firstLine="0"/>
              <w:jc w:val="center"/>
              <w:rPr>
                <w:rFonts w:eastAsia="Times New Roman" w:cs="Arial"/>
                <w:sz w:val="18"/>
                <w:szCs w:val="18"/>
              </w:rPr>
            </w:pPr>
          </w:p>
        </w:tc>
        <w:tc>
          <w:tcPr>
            <w:tcW w:w="250" w:type="pct"/>
            <w:vMerge w:val="restart"/>
            <w:shd w:val="clear" w:color="auto" w:fill="auto"/>
            <w:noWrap/>
            <w:vAlign w:val="center"/>
            <w:hideMark/>
          </w:tcPr>
          <w:p w14:paraId="75FB04A9" w14:textId="77777777" w:rsidR="008D460F" w:rsidRPr="00A91056" w:rsidRDefault="008D460F" w:rsidP="00E329EF">
            <w:pPr>
              <w:widowControl/>
              <w:spacing w:line="240" w:lineRule="auto"/>
              <w:ind w:firstLine="0"/>
              <w:jc w:val="center"/>
              <w:rPr>
                <w:rFonts w:eastAsia="Times New Roman" w:cs="Arial"/>
                <w:sz w:val="18"/>
                <w:szCs w:val="18"/>
              </w:rPr>
            </w:pPr>
          </w:p>
        </w:tc>
        <w:tc>
          <w:tcPr>
            <w:tcW w:w="216" w:type="pct"/>
            <w:vMerge w:val="restart"/>
            <w:shd w:val="clear" w:color="auto" w:fill="auto"/>
            <w:noWrap/>
            <w:vAlign w:val="center"/>
            <w:hideMark/>
          </w:tcPr>
          <w:p w14:paraId="1497D682" w14:textId="6EB44D5C" w:rsidR="008D460F" w:rsidRPr="00A91056" w:rsidRDefault="008D460F"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8D460F" w:rsidRPr="00A91056" w14:paraId="40E5D1C5" w14:textId="77777777" w:rsidTr="00A576CB">
        <w:trPr>
          <w:trHeight w:val="288"/>
        </w:trPr>
        <w:tc>
          <w:tcPr>
            <w:tcW w:w="844" w:type="pct"/>
            <w:vMerge/>
            <w:shd w:val="clear" w:color="auto" w:fill="auto"/>
            <w:noWrap/>
            <w:vAlign w:val="center"/>
            <w:hideMark/>
          </w:tcPr>
          <w:p w14:paraId="2AC7A83A" w14:textId="3233A49F" w:rsidR="008D460F" w:rsidRPr="00A91056" w:rsidRDefault="008D460F" w:rsidP="00440A6C">
            <w:pPr>
              <w:widowControl/>
              <w:spacing w:line="240" w:lineRule="auto"/>
              <w:ind w:firstLine="0"/>
              <w:rPr>
                <w:rFonts w:eastAsia="Times New Roman" w:cs="Arial"/>
                <w:color w:val="000000"/>
                <w:sz w:val="18"/>
                <w:szCs w:val="18"/>
              </w:rPr>
            </w:pPr>
          </w:p>
        </w:tc>
        <w:tc>
          <w:tcPr>
            <w:tcW w:w="374" w:type="pct"/>
            <w:vMerge/>
            <w:shd w:val="clear" w:color="auto" w:fill="auto"/>
            <w:noWrap/>
            <w:vAlign w:val="center"/>
            <w:hideMark/>
          </w:tcPr>
          <w:p w14:paraId="488D9130" w14:textId="21A808B5" w:rsidR="008D460F" w:rsidRPr="00A91056" w:rsidRDefault="008D460F" w:rsidP="00E329EF">
            <w:pPr>
              <w:widowControl/>
              <w:spacing w:line="240" w:lineRule="auto"/>
              <w:ind w:firstLine="0"/>
              <w:jc w:val="center"/>
              <w:rPr>
                <w:rFonts w:eastAsia="Times New Roman" w:cs="Arial"/>
                <w:color w:val="000000"/>
                <w:sz w:val="18"/>
                <w:szCs w:val="18"/>
              </w:rPr>
            </w:pPr>
          </w:p>
        </w:tc>
        <w:tc>
          <w:tcPr>
            <w:tcW w:w="500" w:type="pct"/>
            <w:shd w:val="clear" w:color="auto" w:fill="auto"/>
            <w:vAlign w:val="center"/>
            <w:hideMark/>
          </w:tcPr>
          <w:p w14:paraId="7A07A94A" w14:textId="77777777" w:rsidR="008D460F" w:rsidRPr="00A91056" w:rsidRDefault="008D460F"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0.4 - 1.5</w:t>
            </w:r>
          </w:p>
        </w:tc>
        <w:tc>
          <w:tcPr>
            <w:tcW w:w="158" w:type="pct"/>
            <w:shd w:val="clear" w:color="auto" w:fill="auto"/>
            <w:noWrap/>
            <w:vAlign w:val="center"/>
            <w:hideMark/>
          </w:tcPr>
          <w:p w14:paraId="12F66755" w14:textId="77777777" w:rsidR="008D460F" w:rsidRPr="00A91056" w:rsidRDefault="008D460F" w:rsidP="00E329EF">
            <w:pPr>
              <w:widowControl/>
              <w:spacing w:line="240" w:lineRule="auto"/>
              <w:ind w:firstLine="0"/>
              <w:jc w:val="center"/>
              <w:rPr>
                <w:rFonts w:eastAsia="Times New Roman" w:cs="Arial"/>
                <w:color w:val="000000"/>
                <w:sz w:val="18"/>
                <w:szCs w:val="18"/>
              </w:rPr>
            </w:pPr>
          </w:p>
        </w:tc>
        <w:tc>
          <w:tcPr>
            <w:tcW w:w="249" w:type="pct"/>
            <w:shd w:val="clear" w:color="auto" w:fill="auto"/>
            <w:vAlign w:val="center"/>
            <w:hideMark/>
          </w:tcPr>
          <w:p w14:paraId="11E6EDA4" w14:textId="7A6C5A90" w:rsidR="008D460F" w:rsidRPr="00A91056" w:rsidRDefault="008D460F"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 xml:space="preserve">Pos </w:t>
            </w:r>
            <w:r w:rsidRPr="00A91056">
              <w:rPr>
                <w:rFonts w:eastAsia="Times New Roman" w:cs="Arial"/>
                <w:color w:val="000000"/>
                <w:sz w:val="18"/>
                <w:szCs w:val="18"/>
              </w:rPr>
              <w:br/>
              <w:t>+ FPG, hOGG</w:t>
            </w:r>
            <w:r w:rsidRPr="00A91056">
              <w:rPr>
                <w:rFonts w:eastAsia="Times New Roman" w:cs="Arial"/>
                <w:color w:val="000000"/>
                <w:sz w:val="18"/>
                <w:szCs w:val="18"/>
                <w:vertAlign w:val="subscript"/>
              </w:rPr>
              <w:t>1</w:t>
            </w:r>
          </w:p>
        </w:tc>
        <w:tc>
          <w:tcPr>
            <w:tcW w:w="157" w:type="pct"/>
            <w:vMerge/>
            <w:shd w:val="clear" w:color="auto" w:fill="auto"/>
            <w:noWrap/>
            <w:vAlign w:val="center"/>
            <w:hideMark/>
          </w:tcPr>
          <w:p w14:paraId="6337642C" w14:textId="393FC2CF" w:rsidR="008D460F" w:rsidRPr="00A91056" w:rsidRDefault="008D460F" w:rsidP="00E329EF">
            <w:pPr>
              <w:widowControl/>
              <w:spacing w:line="240" w:lineRule="auto"/>
              <w:ind w:firstLine="0"/>
              <w:jc w:val="center"/>
              <w:rPr>
                <w:rFonts w:eastAsia="Times New Roman" w:cs="Arial"/>
                <w:color w:val="000000"/>
                <w:sz w:val="18"/>
                <w:szCs w:val="18"/>
              </w:rPr>
            </w:pPr>
          </w:p>
        </w:tc>
        <w:tc>
          <w:tcPr>
            <w:tcW w:w="281" w:type="pct"/>
            <w:vMerge/>
            <w:shd w:val="clear" w:color="auto" w:fill="auto"/>
            <w:noWrap/>
            <w:vAlign w:val="center"/>
            <w:hideMark/>
          </w:tcPr>
          <w:p w14:paraId="5F0AE3A5" w14:textId="77777777" w:rsidR="008D460F" w:rsidRPr="00A91056" w:rsidRDefault="008D460F" w:rsidP="00E329EF">
            <w:pPr>
              <w:widowControl/>
              <w:spacing w:line="240" w:lineRule="auto"/>
              <w:ind w:firstLine="0"/>
              <w:jc w:val="center"/>
              <w:rPr>
                <w:rFonts w:eastAsia="Times New Roman" w:cs="Arial"/>
                <w:color w:val="000000"/>
                <w:sz w:val="18"/>
                <w:szCs w:val="18"/>
              </w:rPr>
            </w:pPr>
          </w:p>
        </w:tc>
        <w:tc>
          <w:tcPr>
            <w:tcW w:w="219" w:type="pct"/>
            <w:vMerge/>
            <w:shd w:val="clear" w:color="auto" w:fill="auto"/>
            <w:noWrap/>
            <w:vAlign w:val="center"/>
            <w:hideMark/>
          </w:tcPr>
          <w:p w14:paraId="3FCC0DDA" w14:textId="77777777" w:rsidR="008D460F" w:rsidRPr="00A91056" w:rsidRDefault="008D460F" w:rsidP="00E329EF">
            <w:pPr>
              <w:widowControl/>
              <w:spacing w:line="240" w:lineRule="auto"/>
              <w:ind w:firstLine="0"/>
              <w:jc w:val="center"/>
              <w:rPr>
                <w:rFonts w:eastAsia="Times New Roman" w:cs="Arial"/>
                <w:sz w:val="18"/>
                <w:szCs w:val="18"/>
              </w:rPr>
            </w:pPr>
          </w:p>
        </w:tc>
        <w:tc>
          <w:tcPr>
            <w:tcW w:w="250" w:type="pct"/>
            <w:vMerge/>
            <w:shd w:val="clear" w:color="auto" w:fill="auto"/>
            <w:noWrap/>
            <w:vAlign w:val="center"/>
            <w:hideMark/>
          </w:tcPr>
          <w:p w14:paraId="123C4707" w14:textId="77777777" w:rsidR="008D460F" w:rsidRPr="00A91056" w:rsidRDefault="008D460F" w:rsidP="00E329EF">
            <w:pPr>
              <w:widowControl/>
              <w:spacing w:line="240" w:lineRule="auto"/>
              <w:ind w:firstLine="0"/>
              <w:jc w:val="center"/>
              <w:rPr>
                <w:rFonts w:eastAsia="Times New Roman" w:cs="Arial"/>
                <w:sz w:val="18"/>
                <w:szCs w:val="18"/>
              </w:rPr>
            </w:pPr>
          </w:p>
        </w:tc>
        <w:tc>
          <w:tcPr>
            <w:tcW w:w="157" w:type="pct"/>
            <w:vMerge/>
            <w:shd w:val="clear" w:color="auto" w:fill="auto"/>
            <w:noWrap/>
            <w:vAlign w:val="center"/>
            <w:hideMark/>
          </w:tcPr>
          <w:p w14:paraId="2D7DA16C" w14:textId="77777777" w:rsidR="008D460F" w:rsidRPr="00A91056" w:rsidRDefault="008D460F" w:rsidP="00E329EF">
            <w:pPr>
              <w:widowControl/>
              <w:spacing w:line="240" w:lineRule="auto"/>
              <w:ind w:firstLine="0"/>
              <w:jc w:val="center"/>
              <w:rPr>
                <w:rFonts w:eastAsia="Times New Roman" w:cs="Arial"/>
                <w:sz w:val="18"/>
                <w:szCs w:val="18"/>
              </w:rPr>
            </w:pPr>
          </w:p>
        </w:tc>
        <w:tc>
          <w:tcPr>
            <w:tcW w:w="156" w:type="pct"/>
            <w:vMerge/>
            <w:shd w:val="clear" w:color="auto" w:fill="auto"/>
            <w:noWrap/>
            <w:vAlign w:val="center"/>
            <w:hideMark/>
          </w:tcPr>
          <w:p w14:paraId="47A689D2" w14:textId="77777777" w:rsidR="008D460F" w:rsidRPr="00A91056" w:rsidRDefault="008D460F" w:rsidP="00E329EF">
            <w:pPr>
              <w:widowControl/>
              <w:spacing w:line="240" w:lineRule="auto"/>
              <w:ind w:firstLine="0"/>
              <w:jc w:val="center"/>
              <w:rPr>
                <w:rFonts w:eastAsia="Times New Roman" w:cs="Arial"/>
                <w:sz w:val="18"/>
                <w:szCs w:val="18"/>
              </w:rPr>
            </w:pPr>
          </w:p>
        </w:tc>
        <w:tc>
          <w:tcPr>
            <w:tcW w:w="250" w:type="pct"/>
            <w:vMerge/>
            <w:shd w:val="clear" w:color="auto" w:fill="auto"/>
            <w:noWrap/>
            <w:vAlign w:val="center"/>
            <w:hideMark/>
          </w:tcPr>
          <w:p w14:paraId="5B02121B" w14:textId="77777777" w:rsidR="008D460F" w:rsidRPr="00A91056" w:rsidRDefault="008D460F" w:rsidP="00E329EF">
            <w:pPr>
              <w:widowControl/>
              <w:spacing w:line="240" w:lineRule="auto"/>
              <w:ind w:firstLine="0"/>
              <w:jc w:val="center"/>
              <w:rPr>
                <w:rFonts w:eastAsia="Times New Roman" w:cs="Arial"/>
                <w:sz w:val="18"/>
                <w:szCs w:val="18"/>
              </w:rPr>
            </w:pPr>
          </w:p>
        </w:tc>
        <w:tc>
          <w:tcPr>
            <w:tcW w:w="219" w:type="pct"/>
            <w:vMerge/>
            <w:shd w:val="clear" w:color="auto" w:fill="auto"/>
            <w:noWrap/>
            <w:vAlign w:val="center"/>
            <w:hideMark/>
          </w:tcPr>
          <w:p w14:paraId="5FBD5C1C" w14:textId="77777777" w:rsidR="008D460F" w:rsidRPr="00A91056" w:rsidRDefault="008D460F" w:rsidP="00E329EF">
            <w:pPr>
              <w:widowControl/>
              <w:spacing w:line="240" w:lineRule="auto"/>
              <w:ind w:firstLine="0"/>
              <w:jc w:val="center"/>
              <w:rPr>
                <w:rFonts w:eastAsia="Times New Roman" w:cs="Arial"/>
                <w:sz w:val="18"/>
                <w:szCs w:val="18"/>
              </w:rPr>
            </w:pPr>
          </w:p>
        </w:tc>
        <w:tc>
          <w:tcPr>
            <w:tcW w:w="219" w:type="pct"/>
            <w:gridSpan w:val="2"/>
            <w:vMerge/>
            <w:shd w:val="clear" w:color="auto" w:fill="auto"/>
            <w:noWrap/>
            <w:vAlign w:val="center"/>
            <w:hideMark/>
          </w:tcPr>
          <w:p w14:paraId="14E4D9A9" w14:textId="77777777" w:rsidR="008D460F" w:rsidRPr="00A91056" w:rsidRDefault="008D460F" w:rsidP="00E329EF">
            <w:pPr>
              <w:widowControl/>
              <w:spacing w:line="240" w:lineRule="auto"/>
              <w:ind w:firstLine="0"/>
              <w:jc w:val="center"/>
              <w:rPr>
                <w:rFonts w:eastAsia="Times New Roman" w:cs="Arial"/>
                <w:sz w:val="18"/>
                <w:szCs w:val="18"/>
              </w:rPr>
            </w:pPr>
          </w:p>
        </w:tc>
        <w:tc>
          <w:tcPr>
            <w:tcW w:w="187" w:type="pct"/>
            <w:vMerge/>
            <w:shd w:val="clear" w:color="auto" w:fill="auto"/>
            <w:noWrap/>
            <w:vAlign w:val="center"/>
            <w:hideMark/>
          </w:tcPr>
          <w:p w14:paraId="2A7EEBC2" w14:textId="77777777" w:rsidR="008D460F" w:rsidRPr="00A91056" w:rsidRDefault="008D460F" w:rsidP="00E329EF">
            <w:pPr>
              <w:widowControl/>
              <w:spacing w:line="240" w:lineRule="auto"/>
              <w:ind w:firstLine="0"/>
              <w:jc w:val="center"/>
              <w:rPr>
                <w:rFonts w:eastAsia="Times New Roman" w:cs="Arial"/>
                <w:sz w:val="18"/>
                <w:szCs w:val="18"/>
              </w:rPr>
            </w:pPr>
          </w:p>
        </w:tc>
        <w:tc>
          <w:tcPr>
            <w:tcW w:w="156" w:type="pct"/>
            <w:vMerge/>
            <w:shd w:val="clear" w:color="auto" w:fill="auto"/>
            <w:noWrap/>
            <w:vAlign w:val="center"/>
            <w:hideMark/>
          </w:tcPr>
          <w:p w14:paraId="62273044" w14:textId="77777777" w:rsidR="008D460F" w:rsidRPr="00A91056" w:rsidRDefault="008D460F" w:rsidP="00E329EF">
            <w:pPr>
              <w:widowControl/>
              <w:spacing w:line="240" w:lineRule="auto"/>
              <w:ind w:firstLine="0"/>
              <w:jc w:val="center"/>
              <w:rPr>
                <w:rFonts w:eastAsia="Times New Roman" w:cs="Arial"/>
                <w:sz w:val="18"/>
                <w:szCs w:val="18"/>
              </w:rPr>
            </w:pPr>
          </w:p>
        </w:tc>
        <w:tc>
          <w:tcPr>
            <w:tcW w:w="157" w:type="pct"/>
            <w:vMerge/>
            <w:shd w:val="clear" w:color="auto" w:fill="auto"/>
            <w:noWrap/>
            <w:vAlign w:val="center"/>
            <w:hideMark/>
          </w:tcPr>
          <w:p w14:paraId="147382CA" w14:textId="77777777" w:rsidR="008D460F" w:rsidRPr="00A91056" w:rsidRDefault="008D460F" w:rsidP="00E329EF">
            <w:pPr>
              <w:widowControl/>
              <w:spacing w:line="240" w:lineRule="auto"/>
              <w:ind w:firstLine="0"/>
              <w:jc w:val="center"/>
              <w:rPr>
                <w:rFonts w:eastAsia="Times New Roman" w:cs="Arial"/>
                <w:sz w:val="18"/>
                <w:szCs w:val="18"/>
              </w:rPr>
            </w:pPr>
          </w:p>
        </w:tc>
        <w:tc>
          <w:tcPr>
            <w:tcW w:w="250" w:type="pct"/>
            <w:vMerge/>
            <w:shd w:val="clear" w:color="auto" w:fill="auto"/>
            <w:noWrap/>
            <w:vAlign w:val="center"/>
            <w:hideMark/>
          </w:tcPr>
          <w:p w14:paraId="2E6D29F2" w14:textId="77777777" w:rsidR="008D460F" w:rsidRPr="00A91056" w:rsidRDefault="008D460F" w:rsidP="00E329EF">
            <w:pPr>
              <w:widowControl/>
              <w:spacing w:line="240" w:lineRule="auto"/>
              <w:ind w:firstLine="0"/>
              <w:jc w:val="center"/>
              <w:rPr>
                <w:rFonts w:eastAsia="Times New Roman" w:cs="Arial"/>
                <w:sz w:val="18"/>
                <w:szCs w:val="18"/>
              </w:rPr>
            </w:pPr>
          </w:p>
        </w:tc>
        <w:tc>
          <w:tcPr>
            <w:tcW w:w="216" w:type="pct"/>
            <w:vMerge/>
            <w:shd w:val="clear" w:color="auto" w:fill="auto"/>
            <w:noWrap/>
            <w:vAlign w:val="center"/>
            <w:hideMark/>
          </w:tcPr>
          <w:p w14:paraId="6386AE9E" w14:textId="6FB185D8" w:rsidR="008D460F" w:rsidRPr="00A91056" w:rsidRDefault="008D460F" w:rsidP="00E329EF">
            <w:pPr>
              <w:widowControl/>
              <w:spacing w:line="240" w:lineRule="auto"/>
              <w:ind w:firstLine="0"/>
              <w:jc w:val="center"/>
              <w:rPr>
                <w:rFonts w:eastAsia="Times New Roman" w:cs="Arial"/>
                <w:color w:val="000000"/>
                <w:sz w:val="18"/>
                <w:szCs w:val="18"/>
              </w:rPr>
            </w:pPr>
          </w:p>
        </w:tc>
      </w:tr>
      <w:tr w:rsidR="0007664D" w:rsidRPr="00A91056" w14:paraId="011691A4" w14:textId="77777777" w:rsidTr="00A576CB">
        <w:trPr>
          <w:trHeight w:val="288"/>
        </w:trPr>
        <w:tc>
          <w:tcPr>
            <w:tcW w:w="844" w:type="pct"/>
            <w:shd w:val="clear" w:color="auto" w:fill="auto"/>
            <w:noWrap/>
            <w:vAlign w:val="center"/>
            <w:hideMark/>
          </w:tcPr>
          <w:p w14:paraId="4BAD3B65"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Colchicine</w:t>
            </w:r>
          </w:p>
        </w:tc>
        <w:tc>
          <w:tcPr>
            <w:tcW w:w="374" w:type="pct"/>
            <w:shd w:val="clear" w:color="auto" w:fill="auto"/>
            <w:noWrap/>
            <w:vAlign w:val="center"/>
            <w:hideMark/>
          </w:tcPr>
          <w:p w14:paraId="4FCC80CF"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64-86-8</w:t>
            </w:r>
          </w:p>
        </w:tc>
        <w:tc>
          <w:tcPr>
            <w:tcW w:w="500" w:type="pct"/>
            <w:shd w:val="clear" w:color="auto" w:fill="auto"/>
            <w:vAlign w:val="center"/>
            <w:hideMark/>
          </w:tcPr>
          <w:p w14:paraId="73766D59"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0.025 ª</w:t>
            </w:r>
          </w:p>
        </w:tc>
        <w:tc>
          <w:tcPr>
            <w:tcW w:w="158" w:type="pct"/>
            <w:shd w:val="clear" w:color="auto" w:fill="auto"/>
            <w:vAlign w:val="center"/>
            <w:hideMark/>
          </w:tcPr>
          <w:p w14:paraId="214DDB9B" w14:textId="6611690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vAlign w:val="center"/>
            <w:hideMark/>
          </w:tcPr>
          <w:p w14:paraId="42EE8EEB" w14:textId="73773B7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54ED9D65" w14:textId="3708EA6B"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w:t>
            </w:r>
          </w:p>
        </w:tc>
        <w:tc>
          <w:tcPr>
            <w:tcW w:w="281" w:type="pct"/>
            <w:shd w:val="clear" w:color="auto" w:fill="auto"/>
            <w:noWrap/>
            <w:vAlign w:val="center"/>
            <w:hideMark/>
          </w:tcPr>
          <w:p w14:paraId="3ABC053B"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5A218498" w14:textId="351F63F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50" w:type="pct"/>
            <w:shd w:val="clear" w:color="auto" w:fill="auto"/>
            <w:noWrap/>
            <w:vAlign w:val="center"/>
            <w:hideMark/>
          </w:tcPr>
          <w:p w14:paraId="52E8A517" w14:textId="0724899B"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42125672" w14:textId="17A8014A"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548B2D41" w14:textId="580FC72F"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7A53E848"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10D2E5F3"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gridSpan w:val="2"/>
            <w:shd w:val="clear" w:color="auto" w:fill="auto"/>
            <w:noWrap/>
            <w:vAlign w:val="center"/>
            <w:hideMark/>
          </w:tcPr>
          <w:p w14:paraId="08E50DE6"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5652EBEF"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46321AEF" w14:textId="2A5EC0D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0B402296"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50" w:type="pct"/>
            <w:shd w:val="clear" w:color="auto" w:fill="auto"/>
            <w:noWrap/>
            <w:vAlign w:val="center"/>
            <w:hideMark/>
          </w:tcPr>
          <w:p w14:paraId="367B8D37" w14:textId="77777777" w:rsidR="00440A6C" w:rsidRPr="00A91056" w:rsidRDefault="00440A6C" w:rsidP="00E329EF">
            <w:pPr>
              <w:widowControl/>
              <w:spacing w:line="240" w:lineRule="auto"/>
              <w:ind w:firstLine="0"/>
              <w:jc w:val="center"/>
              <w:rPr>
                <w:rFonts w:eastAsia="Times New Roman" w:cs="Arial"/>
                <w:sz w:val="18"/>
                <w:szCs w:val="18"/>
              </w:rPr>
            </w:pPr>
          </w:p>
        </w:tc>
        <w:tc>
          <w:tcPr>
            <w:tcW w:w="216" w:type="pct"/>
            <w:shd w:val="clear" w:color="auto" w:fill="auto"/>
            <w:noWrap/>
            <w:vAlign w:val="center"/>
            <w:hideMark/>
          </w:tcPr>
          <w:p w14:paraId="417D5AF0" w14:textId="77777777" w:rsidR="00440A6C" w:rsidRPr="00A91056" w:rsidRDefault="00440A6C" w:rsidP="00E329EF">
            <w:pPr>
              <w:widowControl/>
              <w:spacing w:line="240" w:lineRule="auto"/>
              <w:ind w:firstLine="0"/>
              <w:jc w:val="center"/>
              <w:rPr>
                <w:rFonts w:eastAsia="Times New Roman" w:cs="Arial"/>
                <w:color w:val="000000"/>
                <w:sz w:val="18"/>
                <w:szCs w:val="18"/>
              </w:rPr>
            </w:pPr>
          </w:p>
        </w:tc>
      </w:tr>
      <w:tr w:rsidR="0007664D" w:rsidRPr="00A91056" w14:paraId="0BA35C5E" w14:textId="77777777" w:rsidTr="00A576CB">
        <w:trPr>
          <w:trHeight w:val="288"/>
        </w:trPr>
        <w:tc>
          <w:tcPr>
            <w:tcW w:w="844" w:type="pct"/>
            <w:shd w:val="clear" w:color="auto" w:fill="auto"/>
            <w:noWrap/>
            <w:vAlign w:val="center"/>
            <w:hideMark/>
          </w:tcPr>
          <w:p w14:paraId="59DDFBFF"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Cyclophosphamide</w:t>
            </w:r>
          </w:p>
        </w:tc>
        <w:tc>
          <w:tcPr>
            <w:tcW w:w="374" w:type="pct"/>
            <w:shd w:val="clear" w:color="auto" w:fill="auto"/>
            <w:noWrap/>
            <w:vAlign w:val="center"/>
            <w:hideMark/>
          </w:tcPr>
          <w:p w14:paraId="3419410D"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6055-19-2</w:t>
            </w:r>
          </w:p>
        </w:tc>
        <w:tc>
          <w:tcPr>
            <w:tcW w:w="500" w:type="pct"/>
            <w:shd w:val="clear" w:color="auto" w:fill="auto"/>
            <w:vAlign w:val="center"/>
            <w:hideMark/>
          </w:tcPr>
          <w:p w14:paraId="47E165BD"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0.5 - 3</w:t>
            </w:r>
          </w:p>
        </w:tc>
        <w:tc>
          <w:tcPr>
            <w:tcW w:w="158" w:type="pct"/>
            <w:shd w:val="clear" w:color="auto" w:fill="auto"/>
            <w:vAlign w:val="center"/>
            <w:hideMark/>
          </w:tcPr>
          <w:p w14:paraId="2D08F195" w14:textId="65C58CC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vAlign w:val="center"/>
            <w:hideMark/>
          </w:tcPr>
          <w:p w14:paraId="4B28A683" w14:textId="034C5522"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7188D112" w14:textId="1F7545F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w:t>
            </w:r>
          </w:p>
        </w:tc>
        <w:tc>
          <w:tcPr>
            <w:tcW w:w="281" w:type="pct"/>
            <w:shd w:val="clear" w:color="auto" w:fill="auto"/>
            <w:noWrap/>
            <w:vAlign w:val="center"/>
            <w:hideMark/>
          </w:tcPr>
          <w:p w14:paraId="28C98571" w14:textId="6EF6EF6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56111B16" w14:textId="6349272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69490F6E" w14:textId="6584A212"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32E1D324" w14:textId="3E51BCE2"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1C6DE04D" w14:textId="7449265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3E42A3BE" w14:textId="0580471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4D47D1FB" w14:textId="6FD45435"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19" w:type="pct"/>
            <w:gridSpan w:val="2"/>
            <w:shd w:val="clear" w:color="auto" w:fill="auto"/>
            <w:noWrap/>
            <w:vAlign w:val="center"/>
            <w:hideMark/>
          </w:tcPr>
          <w:p w14:paraId="1EB6C995"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6560209C" w14:textId="4A003241"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33CFE574" w14:textId="575E8CE0"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49A25261"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50" w:type="pct"/>
            <w:shd w:val="clear" w:color="auto" w:fill="auto"/>
            <w:noWrap/>
            <w:vAlign w:val="center"/>
            <w:hideMark/>
          </w:tcPr>
          <w:p w14:paraId="733F38C3" w14:textId="3B23A6D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6" w:type="pct"/>
            <w:shd w:val="clear" w:color="auto" w:fill="auto"/>
            <w:noWrap/>
            <w:vAlign w:val="center"/>
            <w:hideMark/>
          </w:tcPr>
          <w:p w14:paraId="2F8B3CAC" w14:textId="4F8D439B"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07664D" w:rsidRPr="00A91056" w14:paraId="33AC2DEB" w14:textId="77777777" w:rsidTr="00A576CB">
        <w:trPr>
          <w:trHeight w:val="288"/>
        </w:trPr>
        <w:tc>
          <w:tcPr>
            <w:tcW w:w="844" w:type="pct"/>
            <w:shd w:val="clear" w:color="auto" w:fill="auto"/>
            <w:noWrap/>
            <w:vAlign w:val="center"/>
            <w:hideMark/>
          </w:tcPr>
          <w:p w14:paraId="151B3960" w14:textId="77777777" w:rsidR="00440A6C" w:rsidRPr="00A91056" w:rsidRDefault="00440A6C" w:rsidP="00440A6C">
            <w:pPr>
              <w:widowControl/>
              <w:spacing w:line="240" w:lineRule="auto"/>
              <w:ind w:firstLine="0"/>
              <w:rPr>
                <w:rFonts w:eastAsia="Times New Roman" w:cs="Arial"/>
                <w:color w:val="000000"/>
                <w:sz w:val="18"/>
                <w:szCs w:val="18"/>
              </w:rPr>
            </w:pPr>
            <w:proofErr w:type="spellStart"/>
            <w:r w:rsidRPr="00A91056">
              <w:rPr>
                <w:rFonts w:eastAsia="Times New Roman" w:cs="Arial"/>
                <w:color w:val="000000"/>
                <w:sz w:val="18"/>
                <w:szCs w:val="18"/>
              </w:rPr>
              <w:t>Dibutylamine</w:t>
            </w:r>
            <w:proofErr w:type="spellEnd"/>
            <w:r w:rsidRPr="00A91056">
              <w:rPr>
                <w:rFonts w:eastAsia="Times New Roman" w:cs="Arial"/>
                <w:color w:val="000000"/>
                <w:sz w:val="18"/>
                <w:szCs w:val="18"/>
              </w:rPr>
              <w:t xml:space="preserve"> </w:t>
            </w:r>
          </w:p>
        </w:tc>
        <w:tc>
          <w:tcPr>
            <w:tcW w:w="374" w:type="pct"/>
            <w:shd w:val="clear" w:color="auto" w:fill="auto"/>
            <w:noWrap/>
            <w:vAlign w:val="center"/>
            <w:hideMark/>
          </w:tcPr>
          <w:p w14:paraId="5074C654"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111-92-2</w:t>
            </w:r>
          </w:p>
        </w:tc>
        <w:tc>
          <w:tcPr>
            <w:tcW w:w="500" w:type="pct"/>
            <w:shd w:val="clear" w:color="auto" w:fill="auto"/>
            <w:vAlign w:val="center"/>
            <w:hideMark/>
          </w:tcPr>
          <w:p w14:paraId="2AE97609"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1 - 2</w:t>
            </w:r>
          </w:p>
        </w:tc>
        <w:tc>
          <w:tcPr>
            <w:tcW w:w="158" w:type="pct"/>
            <w:shd w:val="clear" w:color="auto" w:fill="auto"/>
            <w:vAlign w:val="center"/>
            <w:hideMark/>
          </w:tcPr>
          <w:p w14:paraId="5961F1DD" w14:textId="1349572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vAlign w:val="center"/>
            <w:hideMark/>
          </w:tcPr>
          <w:p w14:paraId="1D8886C6" w14:textId="6A19D72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vAlign w:val="center"/>
            <w:hideMark/>
          </w:tcPr>
          <w:p w14:paraId="19A72B74" w14:textId="710A1AED" w:rsidR="00440A6C" w:rsidRPr="00A91056" w:rsidRDefault="00440A6C" w:rsidP="00E329EF">
            <w:pPr>
              <w:widowControl/>
              <w:spacing w:line="240" w:lineRule="auto"/>
              <w:ind w:firstLine="0"/>
              <w:jc w:val="center"/>
              <w:rPr>
                <w:rFonts w:eastAsia="Times New Roman" w:cs="Arial"/>
                <w:color w:val="000000"/>
                <w:sz w:val="18"/>
                <w:szCs w:val="18"/>
              </w:rPr>
            </w:pPr>
          </w:p>
        </w:tc>
        <w:tc>
          <w:tcPr>
            <w:tcW w:w="281" w:type="pct"/>
            <w:shd w:val="clear" w:color="auto" w:fill="auto"/>
            <w:noWrap/>
            <w:vAlign w:val="center"/>
            <w:hideMark/>
          </w:tcPr>
          <w:p w14:paraId="3D3ACC98"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13C7B9B0" w14:textId="646BFD7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50" w:type="pct"/>
            <w:shd w:val="clear" w:color="auto" w:fill="auto"/>
            <w:noWrap/>
            <w:vAlign w:val="center"/>
            <w:hideMark/>
          </w:tcPr>
          <w:p w14:paraId="702B5FF0" w14:textId="76ED80B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4B0C7392"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6" w:type="pct"/>
            <w:shd w:val="clear" w:color="auto" w:fill="auto"/>
            <w:noWrap/>
            <w:vAlign w:val="center"/>
            <w:hideMark/>
          </w:tcPr>
          <w:p w14:paraId="37BA8BC5" w14:textId="275514C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0A90D558" w14:textId="78053746" w:rsidR="00440A6C" w:rsidRPr="00A91056" w:rsidRDefault="00440A6C" w:rsidP="00E329EF">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219" w:type="pct"/>
            <w:shd w:val="clear" w:color="auto" w:fill="auto"/>
            <w:noWrap/>
            <w:vAlign w:val="center"/>
            <w:hideMark/>
          </w:tcPr>
          <w:p w14:paraId="6E15E7C2"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gridSpan w:val="2"/>
            <w:shd w:val="clear" w:color="auto" w:fill="auto"/>
            <w:noWrap/>
            <w:vAlign w:val="center"/>
            <w:hideMark/>
          </w:tcPr>
          <w:p w14:paraId="290FEE08"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632B7B7A"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162CD79B" w14:textId="0A653944"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51581872"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50" w:type="pct"/>
            <w:shd w:val="clear" w:color="auto" w:fill="auto"/>
            <w:noWrap/>
            <w:vAlign w:val="center"/>
            <w:hideMark/>
          </w:tcPr>
          <w:p w14:paraId="3BAE9DAA" w14:textId="77777777" w:rsidR="00440A6C" w:rsidRPr="00A91056" w:rsidRDefault="00440A6C" w:rsidP="00E329EF">
            <w:pPr>
              <w:widowControl/>
              <w:spacing w:line="240" w:lineRule="auto"/>
              <w:ind w:firstLine="0"/>
              <w:jc w:val="center"/>
              <w:rPr>
                <w:rFonts w:eastAsia="Times New Roman" w:cs="Arial"/>
                <w:sz w:val="18"/>
                <w:szCs w:val="18"/>
              </w:rPr>
            </w:pPr>
          </w:p>
        </w:tc>
        <w:tc>
          <w:tcPr>
            <w:tcW w:w="216" w:type="pct"/>
            <w:shd w:val="clear" w:color="auto" w:fill="auto"/>
            <w:noWrap/>
            <w:vAlign w:val="center"/>
            <w:hideMark/>
          </w:tcPr>
          <w:p w14:paraId="0EBAE9E8" w14:textId="77777777" w:rsidR="00440A6C" w:rsidRPr="00A91056" w:rsidRDefault="00440A6C" w:rsidP="00E329EF">
            <w:pPr>
              <w:widowControl/>
              <w:spacing w:line="240" w:lineRule="auto"/>
              <w:ind w:firstLine="0"/>
              <w:jc w:val="center"/>
              <w:rPr>
                <w:rFonts w:eastAsia="Times New Roman" w:cs="Arial"/>
                <w:color w:val="000000"/>
                <w:sz w:val="18"/>
                <w:szCs w:val="18"/>
              </w:rPr>
            </w:pPr>
          </w:p>
        </w:tc>
      </w:tr>
      <w:tr w:rsidR="0007664D" w:rsidRPr="00A91056" w14:paraId="6574454A" w14:textId="77777777" w:rsidTr="00A576CB">
        <w:trPr>
          <w:trHeight w:val="288"/>
        </w:trPr>
        <w:tc>
          <w:tcPr>
            <w:tcW w:w="844" w:type="pct"/>
            <w:shd w:val="clear" w:color="auto" w:fill="auto"/>
            <w:noWrap/>
            <w:vAlign w:val="center"/>
            <w:hideMark/>
          </w:tcPr>
          <w:p w14:paraId="6F6A5288" w14:textId="77777777" w:rsidR="00440A6C" w:rsidRPr="00A91056" w:rsidRDefault="00440A6C" w:rsidP="00440A6C">
            <w:pPr>
              <w:widowControl/>
              <w:spacing w:line="240" w:lineRule="auto"/>
              <w:ind w:firstLine="0"/>
              <w:rPr>
                <w:rFonts w:eastAsia="Times New Roman" w:cs="Arial"/>
                <w:color w:val="000000"/>
                <w:sz w:val="18"/>
                <w:szCs w:val="18"/>
              </w:rPr>
            </w:pPr>
            <w:proofErr w:type="spellStart"/>
            <w:r w:rsidRPr="00A91056">
              <w:rPr>
                <w:rFonts w:eastAsia="Times New Roman" w:cs="Arial"/>
                <w:color w:val="000000"/>
                <w:sz w:val="18"/>
                <w:szCs w:val="18"/>
              </w:rPr>
              <w:t>Diethylnitrosamine</w:t>
            </w:r>
            <w:proofErr w:type="spellEnd"/>
          </w:p>
        </w:tc>
        <w:tc>
          <w:tcPr>
            <w:tcW w:w="374" w:type="pct"/>
            <w:shd w:val="clear" w:color="auto" w:fill="auto"/>
            <w:noWrap/>
            <w:vAlign w:val="center"/>
            <w:hideMark/>
          </w:tcPr>
          <w:p w14:paraId="5CED1428"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55-18-5</w:t>
            </w:r>
          </w:p>
        </w:tc>
        <w:tc>
          <w:tcPr>
            <w:tcW w:w="500" w:type="pct"/>
            <w:shd w:val="clear" w:color="auto" w:fill="auto"/>
            <w:vAlign w:val="center"/>
            <w:hideMark/>
          </w:tcPr>
          <w:p w14:paraId="0E2B19FA"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0.25 - 4</w:t>
            </w:r>
          </w:p>
        </w:tc>
        <w:tc>
          <w:tcPr>
            <w:tcW w:w="158" w:type="pct"/>
            <w:shd w:val="clear" w:color="auto" w:fill="auto"/>
            <w:vAlign w:val="center"/>
            <w:hideMark/>
          </w:tcPr>
          <w:p w14:paraId="26903E53" w14:textId="2E2497A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vAlign w:val="center"/>
            <w:hideMark/>
          </w:tcPr>
          <w:p w14:paraId="06B3B9F7" w14:textId="026E9854"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37F1FAF8" w14:textId="478586E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[3]</w:t>
            </w:r>
          </w:p>
        </w:tc>
        <w:tc>
          <w:tcPr>
            <w:tcW w:w="281" w:type="pct"/>
            <w:shd w:val="clear" w:color="auto" w:fill="auto"/>
            <w:noWrap/>
            <w:vAlign w:val="center"/>
            <w:hideMark/>
          </w:tcPr>
          <w:p w14:paraId="5935C573" w14:textId="2CCF8D3B"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7EE49FF2" w14:textId="468F99A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23D8F895" w14:textId="124AD19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55C534BC" w14:textId="3BABFFF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0984EA84" w14:textId="15E16A3A"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4B2571BD"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0C07B74D" w14:textId="4EC6917A"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gridSpan w:val="2"/>
            <w:shd w:val="clear" w:color="auto" w:fill="auto"/>
            <w:noWrap/>
            <w:vAlign w:val="center"/>
            <w:hideMark/>
          </w:tcPr>
          <w:p w14:paraId="3A2699CF" w14:textId="39150A8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87" w:type="pct"/>
            <w:shd w:val="clear" w:color="auto" w:fill="auto"/>
            <w:noWrap/>
            <w:vAlign w:val="center"/>
            <w:hideMark/>
          </w:tcPr>
          <w:p w14:paraId="75E78053" w14:textId="30428011"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4D32E018" w14:textId="33359382"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33CBE0F2"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50" w:type="pct"/>
            <w:shd w:val="clear" w:color="auto" w:fill="auto"/>
            <w:noWrap/>
            <w:vAlign w:val="center"/>
            <w:hideMark/>
          </w:tcPr>
          <w:p w14:paraId="2F8170CB" w14:textId="31740751"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6" w:type="pct"/>
            <w:shd w:val="clear" w:color="auto" w:fill="auto"/>
            <w:noWrap/>
            <w:vAlign w:val="center"/>
            <w:hideMark/>
          </w:tcPr>
          <w:p w14:paraId="4EC13753" w14:textId="10E5C1B5"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07664D" w:rsidRPr="00A91056" w14:paraId="57B42A30" w14:textId="77777777" w:rsidTr="00A576CB">
        <w:trPr>
          <w:trHeight w:val="288"/>
        </w:trPr>
        <w:tc>
          <w:tcPr>
            <w:tcW w:w="844" w:type="pct"/>
            <w:shd w:val="clear" w:color="auto" w:fill="auto"/>
            <w:noWrap/>
            <w:vAlign w:val="center"/>
            <w:hideMark/>
          </w:tcPr>
          <w:p w14:paraId="3893156E"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Diethylstilbestrol</w:t>
            </w:r>
          </w:p>
        </w:tc>
        <w:tc>
          <w:tcPr>
            <w:tcW w:w="374" w:type="pct"/>
            <w:shd w:val="clear" w:color="auto" w:fill="auto"/>
            <w:noWrap/>
            <w:vAlign w:val="center"/>
            <w:hideMark/>
          </w:tcPr>
          <w:p w14:paraId="7DA9E5DD"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56-53-1</w:t>
            </w:r>
          </w:p>
        </w:tc>
        <w:tc>
          <w:tcPr>
            <w:tcW w:w="500" w:type="pct"/>
            <w:shd w:val="clear" w:color="auto" w:fill="auto"/>
            <w:vAlign w:val="center"/>
            <w:hideMark/>
          </w:tcPr>
          <w:p w14:paraId="79E4455E"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 xml:space="preserve">0.25 - 0.5 </w:t>
            </w:r>
            <w:r w:rsidRPr="00A91056">
              <w:rPr>
                <w:rFonts w:eastAsia="Times New Roman" w:cs="Arial"/>
                <w:color w:val="000000"/>
                <w:sz w:val="18"/>
                <w:szCs w:val="18"/>
                <w:vertAlign w:val="superscript"/>
              </w:rPr>
              <w:t>b</w:t>
            </w:r>
          </w:p>
        </w:tc>
        <w:tc>
          <w:tcPr>
            <w:tcW w:w="158" w:type="pct"/>
            <w:shd w:val="clear" w:color="auto" w:fill="auto"/>
            <w:vAlign w:val="center"/>
            <w:hideMark/>
          </w:tcPr>
          <w:p w14:paraId="4546318A" w14:textId="43E38310"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49" w:type="pct"/>
            <w:shd w:val="clear" w:color="auto" w:fill="auto"/>
            <w:vAlign w:val="center"/>
            <w:hideMark/>
          </w:tcPr>
          <w:p w14:paraId="30E767DB" w14:textId="36E0E524"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3888058A" w14:textId="642BB01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w:t>
            </w:r>
          </w:p>
        </w:tc>
        <w:tc>
          <w:tcPr>
            <w:tcW w:w="281" w:type="pct"/>
            <w:shd w:val="clear" w:color="auto" w:fill="auto"/>
            <w:noWrap/>
            <w:vAlign w:val="center"/>
            <w:hideMark/>
          </w:tcPr>
          <w:p w14:paraId="554955D3" w14:textId="1EF18FD5"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796E5F8F" w14:textId="6F85F40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50" w:type="pct"/>
            <w:shd w:val="clear" w:color="auto" w:fill="auto"/>
            <w:noWrap/>
            <w:vAlign w:val="center"/>
            <w:hideMark/>
          </w:tcPr>
          <w:p w14:paraId="1A54DDF9"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7" w:type="pct"/>
            <w:shd w:val="clear" w:color="auto" w:fill="auto"/>
            <w:noWrap/>
            <w:vAlign w:val="center"/>
            <w:hideMark/>
          </w:tcPr>
          <w:p w14:paraId="44D45806" w14:textId="0F63792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2141AB5C" w14:textId="08503FC0"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6F579F57"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0EF7C96F" w14:textId="68E89FFF"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19" w:type="pct"/>
            <w:gridSpan w:val="2"/>
            <w:shd w:val="clear" w:color="auto" w:fill="auto"/>
            <w:noWrap/>
            <w:vAlign w:val="center"/>
            <w:hideMark/>
          </w:tcPr>
          <w:p w14:paraId="773AD271"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26A836A2"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1E44A8D0" w14:textId="52580FD9" w:rsidR="00440A6C" w:rsidRPr="00A91056" w:rsidRDefault="00440A6C" w:rsidP="00E329EF">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157" w:type="pct"/>
            <w:shd w:val="clear" w:color="auto" w:fill="auto"/>
            <w:noWrap/>
            <w:vAlign w:val="center"/>
            <w:hideMark/>
          </w:tcPr>
          <w:p w14:paraId="4B0D03BC" w14:textId="12C3BA0A"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4D552AC6" w14:textId="0B5AA56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16" w:type="pct"/>
            <w:shd w:val="clear" w:color="auto" w:fill="auto"/>
            <w:noWrap/>
            <w:vAlign w:val="center"/>
            <w:hideMark/>
          </w:tcPr>
          <w:p w14:paraId="36578C75" w14:textId="01C62C50"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07664D" w:rsidRPr="00A91056" w14:paraId="62DEFCD6" w14:textId="77777777" w:rsidTr="00A576CB">
        <w:trPr>
          <w:trHeight w:val="288"/>
        </w:trPr>
        <w:tc>
          <w:tcPr>
            <w:tcW w:w="844" w:type="pct"/>
            <w:shd w:val="clear" w:color="auto" w:fill="auto"/>
            <w:noWrap/>
            <w:vAlign w:val="center"/>
            <w:hideMark/>
          </w:tcPr>
          <w:p w14:paraId="35C34A6E"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 xml:space="preserve">Diphenhydramine </w:t>
            </w:r>
            <w:proofErr w:type="spellStart"/>
            <w:r w:rsidRPr="00A91056">
              <w:rPr>
                <w:rFonts w:eastAsia="Times New Roman" w:cs="Arial"/>
                <w:color w:val="000000"/>
                <w:sz w:val="18"/>
                <w:szCs w:val="18"/>
              </w:rPr>
              <w:t>hcl</w:t>
            </w:r>
            <w:proofErr w:type="spellEnd"/>
          </w:p>
        </w:tc>
        <w:tc>
          <w:tcPr>
            <w:tcW w:w="374" w:type="pct"/>
            <w:shd w:val="clear" w:color="auto" w:fill="auto"/>
            <w:noWrap/>
            <w:vAlign w:val="center"/>
            <w:hideMark/>
          </w:tcPr>
          <w:p w14:paraId="200B3362"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147-24-0</w:t>
            </w:r>
          </w:p>
        </w:tc>
        <w:tc>
          <w:tcPr>
            <w:tcW w:w="500" w:type="pct"/>
            <w:shd w:val="clear" w:color="auto" w:fill="auto"/>
            <w:vAlign w:val="center"/>
            <w:hideMark/>
          </w:tcPr>
          <w:p w14:paraId="68BEECC6"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0.63 - 2.5 ª</w:t>
            </w:r>
          </w:p>
        </w:tc>
        <w:tc>
          <w:tcPr>
            <w:tcW w:w="158" w:type="pct"/>
            <w:shd w:val="clear" w:color="auto" w:fill="auto"/>
            <w:vAlign w:val="center"/>
            <w:hideMark/>
          </w:tcPr>
          <w:p w14:paraId="7F8E4E47" w14:textId="22DE0C5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vAlign w:val="center"/>
            <w:hideMark/>
          </w:tcPr>
          <w:p w14:paraId="115DFEA5" w14:textId="2D1AC8A4"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5DFEB55D" w14:textId="3EB9FEA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w:t>
            </w:r>
          </w:p>
        </w:tc>
        <w:tc>
          <w:tcPr>
            <w:tcW w:w="281" w:type="pct"/>
            <w:shd w:val="clear" w:color="auto" w:fill="auto"/>
            <w:noWrap/>
            <w:vAlign w:val="center"/>
            <w:hideMark/>
          </w:tcPr>
          <w:p w14:paraId="0F809E2F"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54412C0B" w14:textId="6A25C2F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50" w:type="pct"/>
            <w:shd w:val="clear" w:color="auto" w:fill="auto"/>
            <w:noWrap/>
            <w:vAlign w:val="center"/>
            <w:hideMark/>
          </w:tcPr>
          <w:p w14:paraId="634379F6" w14:textId="7A0190B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2EAAB5A6"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6" w:type="pct"/>
            <w:shd w:val="clear" w:color="auto" w:fill="auto"/>
            <w:noWrap/>
            <w:vAlign w:val="center"/>
            <w:hideMark/>
          </w:tcPr>
          <w:p w14:paraId="66076EA1" w14:textId="58AAF6E0" w:rsidR="00440A6C" w:rsidRPr="00A91056" w:rsidRDefault="00440A6C" w:rsidP="00E329EF">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250" w:type="pct"/>
            <w:shd w:val="clear" w:color="auto" w:fill="auto"/>
            <w:noWrap/>
            <w:vAlign w:val="center"/>
            <w:hideMark/>
          </w:tcPr>
          <w:p w14:paraId="462C01B6"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413E3976"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gridSpan w:val="2"/>
            <w:shd w:val="clear" w:color="auto" w:fill="auto"/>
            <w:noWrap/>
            <w:vAlign w:val="center"/>
            <w:hideMark/>
          </w:tcPr>
          <w:p w14:paraId="2E287CE2"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624BC510"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0FD3E449" w14:textId="77777777" w:rsidR="00440A6C" w:rsidRPr="00A91056" w:rsidRDefault="00440A6C" w:rsidP="00E329EF">
            <w:pPr>
              <w:widowControl/>
              <w:spacing w:line="240" w:lineRule="auto"/>
              <w:ind w:firstLine="0"/>
              <w:jc w:val="center"/>
              <w:rPr>
                <w:rFonts w:eastAsia="Times New Roman" w:cs="Arial"/>
                <w:sz w:val="18"/>
                <w:szCs w:val="18"/>
              </w:rPr>
            </w:pPr>
          </w:p>
        </w:tc>
        <w:tc>
          <w:tcPr>
            <w:tcW w:w="157" w:type="pct"/>
            <w:shd w:val="clear" w:color="auto" w:fill="auto"/>
            <w:noWrap/>
            <w:vAlign w:val="center"/>
            <w:hideMark/>
          </w:tcPr>
          <w:p w14:paraId="4EE98675" w14:textId="77777777" w:rsidR="00440A6C" w:rsidRPr="00A91056" w:rsidRDefault="00440A6C" w:rsidP="00E329EF">
            <w:pPr>
              <w:widowControl/>
              <w:spacing w:line="240" w:lineRule="auto"/>
              <w:ind w:firstLine="0"/>
              <w:jc w:val="center"/>
              <w:rPr>
                <w:rFonts w:eastAsia="Times New Roman" w:cs="Arial"/>
                <w:sz w:val="18"/>
                <w:szCs w:val="18"/>
              </w:rPr>
            </w:pPr>
          </w:p>
        </w:tc>
        <w:tc>
          <w:tcPr>
            <w:tcW w:w="250" w:type="pct"/>
            <w:shd w:val="clear" w:color="auto" w:fill="auto"/>
            <w:noWrap/>
            <w:vAlign w:val="center"/>
            <w:hideMark/>
          </w:tcPr>
          <w:p w14:paraId="6FD80A59" w14:textId="77777777" w:rsidR="00440A6C" w:rsidRPr="00A91056" w:rsidRDefault="00440A6C" w:rsidP="00E329EF">
            <w:pPr>
              <w:widowControl/>
              <w:spacing w:line="240" w:lineRule="auto"/>
              <w:ind w:firstLine="0"/>
              <w:jc w:val="center"/>
              <w:rPr>
                <w:rFonts w:eastAsia="Times New Roman" w:cs="Arial"/>
                <w:sz w:val="18"/>
                <w:szCs w:val="18"/>
              </w:rPr>
            </w:pPr>
          </w:p>
        </w:tc>
        <w:tc>
          <w:tcPr>
            <w:tcW w:w="216" w:type="pct"/>
            <w:shd w:val="clear" w:color="auto" w:fill="auto"/>
            <w:noWrap/>
            <w:vAlign w:val="center"/>
            <w:hideMark/>
          </w:tcPr>
          <w:p w14:paraId="1E3142DE" w14:textId="40DD9B6F" w:rsidR="00440A6C" w:rsidRPr="00A91056" w:rsidRDefault="00440A6C" w:rsidP="00E329EF">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r>
      <w:tr w:rsidR="0007664D" w:rsidRPr="00A91056" w14:paraId="09BB0AEF" w14:textId="77777777" w:rsidTr="00A576CB">
        <w:trPr>
          <w:trHeight w:val="288"/>
        </w:trPr>
        <w:tc>
          <w:tcPr>
            <w:tcW w:w="844" w:type="pct"/>
            <w:shd w:val="clear" w:color="auto" w:fill="auto"/>
            <w:noWrap/>
            <w:vAlign w:val="center"/>
            <w:hideMark/>
          </w:tcPr>
          <w:p w14:paraId="1F9694CE"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Diphenylamine</w:t>
            </w:r>
          </w:p>
        </w:tc>
        <w:tc>
          <w:tcPr>
            <w:tcW w:w="374" w:type="pct"/>
            <w:shd w:val="clear" w:color="auto" w:fill="auto"/>
            <w:noWrap/>
            <w:vAlign w:val="center"/>
            <w:hideMark/>
          </w:tcPr>
          <w:p w14:paraId="6ED76E5C"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122-39-4</w:t>
            </w:r>
          </w:p>
        </w:tc>
        <w:tc>
          <w:tcPr>
            <w:tcW w:w="500" w:type="pct"/>
            <w:shd w:val="clear" w:color="auto" w:fill="auto"/>
            <w:vAlign w:val="center"/>
            <w:hideMark/>
          </w:tcPr>
          <w:p w14:paraId="59B1C338"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4 - 8 ª</w:t>
            </w:r>
          </w:p>
        </w:tc>
        <w:tc>
          <w:tcPr>
            <w:tcW w:w="158" w:type="pct"/>
            <w:shd w:val="clear" w:color="auto" w:fill="auto"/>
            <w:vAlign w:val="center"/>
            <w:hideMark/>
          </w:tcPr>
          <w:p w14:paraId="139B28AB" w14:textId="03DB393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vAlign w:val="center"/>
            <w:hideMark/>
          </w:tcPr>
          <w:p w14:paraId="4273DC1F" w14:textId="78EA97A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vAlign w:val="center"/>
            <w:hideMark/>
          </w:tcPr>
          <w:p w14:paraId="71D06D59" w14:textId="006C35C0" w:rsidR="00440A6C" w:rsidRPr="00A91056" w:rsidRDefault="00440A6C" w:rsidP="00E329EF">
            <w:pPr>
              <w:widowControl/>
              <w:spacing w:line="240" w:lineRule="auto"/>
              <w:ind w:firstLine="0"/>
              <w:jc w:val="center"/>
              <w:rPr>
                <w:rFonts w:eastAsia="Times New Roman" w:cs="Arial"/>
                <w:color w:val="000000"/>
                <w:sz w:val="18"/>
                <w:szCs w:val="18"/>
              </w:rPr>
            </w:pPr>
          </w:p>
        </w:tc>
        <w:tc>
          <w:tcPr>
            <w:tcW w:w="281" w:type="pct"/>
            <w:shd w:val="clear" w:color="auto" w:fill="auto"/>
            <w:noWrap/>
            <w:vAlign w:val="center"/>
            <w:hideMark/>
          </w:tcPr>
          <w:p w14:paraId="63FFD23C"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68313F01" w14:textId="4D1BFD3C" w:rsidR="00440A6C" w:rsidRPr="00A91056" w:rsidRDefault="00440A6C" w:rsidP="00E329EF">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250" w:type="pct"/>
            <w:shd w:val="clear" w:color="auto" w:fill="auto"/>
            <w:noWrap/>
            <w:vAlign w:val="center"/>
            <w:hideMark/>
          </w:tcPr>
          <w:p w14:paraId="444B0931" w14:textId="2A983E2B"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0DAC71FF" w14:textId="667A9A15"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2B9E0B45"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50" w:type="pct"/>
            <w:shd w:val="clear" w:color="auto" w:fill="auto"/>
            <w:noWrap/>
            <w:vAlign w:val="center"/>
            <w:hideMark/>
          </w:tcPr>
          <w:p w14:paraId="6923226B" w14:textId="32161F3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19" w:type="pct"/>
            <w:shd w:val="clear" w:color="auto" w:fill="auto"/>
            <w:noWrap/>
            <w:vAlign w:val="center"/>
            <w:hideMark/>
          </w:tcPr>
          <w:p w14:paraId="1968FDB7"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gridSpan w:val="2"/>
            <w:shd w:val="clear" w:color="auto" w:fill="auto"/>
            <w:noWrap/>
            <w:vAlign w:val="center"/>
            <w:hideMark/>
          </w:tcPr>
          <w:p w14:paraId="263D54B0"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19E6A3B4"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4022F9F8" w14:textId="7C562D52"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18DC872C"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50" w:type="pct"/>
            <w:shd w:val="clear" w:color="auto" w:fill="auto"/>
            <w:noWrap/>
            <w:vAlign w:val="center"/>
            <w:hideMark/>
          </w:tcPr>
          <w:p w14:paraId="5F3A61EC" w14:textId="77777777" w:rsidR="00440A6C" w:rsidRPr="00A91056" w:rsidRDefault="00440A6C" w:rsidP="00E329EF">
            <w:pPr>
              <w:widowControl/>
              <w:spacing w:line="240" w:lineRule="auto"/>
              <w:ind w:firstLine="0"/>
              <w:jc w:val="center"/>
              <w:rPr>
                <w:rFonts w:eastAsia="Times New Roman" w:cs="Arial"/>
                <w:sz w:val="18"/>
                <w:szCs w:val="18"/>
              </w:rPr>
            </w:pPr>
          </w:p>
        </w:tc>
        <w:tc>
          <w:tcPr>
            <w:tcW w:w="216" w:type="pct"/>
            <w:shd w:val="clear" w:color="auto" w:fill="auto"/>
            <w:noWrap/>
            <w:vAlign w:val="center"/>
            <w:hideMark/>
          </w:tcPr>
          <w:p w14:paraId="6496D6CB" w14:textId="2CED312F"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07664D" w:rsidRPr="00A91056" w14:paraId="1A2846DB" w14:textId="77777777" w:rsidTr="00A576CB">
        <w:trPr>
          <w:trHeight w:val="288"/>
        </w:trPr>
        <w:tc>
          <w:tcPr>
            <w:tcW w:w="844" w:type="pct"/>
            <w:shd w:val="clear" w:color="auto" w:fill="auto"/>
            <w:noWrap/>
            <w:vAlign w:val="center"/>
            <w:hideMark/>
          </w:tcPr>
          <w:p w14:paraId="679F167D" w14:textId="77777777" w:rsidR="00440A6C" w:rsidRPr="00A91056" w:rsidRDefault="00440A6C" w:rsidP="00440A6C">
            <w:pPr>
              <w:widowControl/>
              <w:spacing w:line="240" w:lineRule="auto"/>
              <w:ind w:firstLine="0"/>
              <w:rPr>
                <w:rFonts w:eastAsia="Times New Roman" w:cs="Arial"/>
                <w:color w:val="000000"/>
                <w:sz w:val="18"/>
                <w:szCs w:val="18"/>
              </w:rPr>
            </w:pPr>
            <w:proofErr w:type="spellStart"/>
            <w:r w:rsidRPr="00A91056">
              <w:rPr>
                <w:rFonts w:eastAsia="Times New Roman" w:cs="Arial"/>
                <w:color w:val="000000"/>
                <w:sz w:val="18"/>
                <w:szCs w:val="18"/>
              </w:rPr>
              <w:t>Dipropylamine</w:t>
            </w:r>
            <w:proofErr w:type="spellEnd"/>
          </w:p>
        </w:tc>
        <w:tc>
          <w:tcPr>
            <w:tcW w:w="374" w:type="pct"/>
            <w:shd w:val="clear" w:color="auto" w:fill="auto"/>
            <w:noWrap/>
            <w:vAlign w:val="center"/>
            <w:hideMark/>
          </w:tcPr>
          <w:p w14:paraId="5D2EA4EE"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142-84-7</w:t>
            </w:r>
          </w:p>
        </w:tc>
        <w:tc>
          <w:tcPr>
            <w:tcW w:w="500" w:type="pct"/>
            <w:shd w:val="clear" w:color="auto" w:fill="auto"/>
            <w:vAlign w:val="center"/>
            <w:hideMark/>
          </w:tcPr>
          <w:p w14:paraId="617A3166"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2 - 4 ª</w:t>
            </w:r>
          </w:p>
        </w:tc>
        <w:tc>
          <w:tcPr>
            <w:tcW w:w="158" w:type="pct"/>
            <w:shd w:val="clear" w:color="auto" w:fill="auto"/>
            <w:vAlign w:val="center"/>
            <w:hideMark/>
          </w:tcPr>
          <w:p w14:paraId="27C60852" w14:textId="5320E3E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vAlign w:val="center"/>
            <w:hideMark/>
          </w:tcPr>
          <w:p w14:paraId="733A0BB3" w14:textId="1532F341"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vAlign w:val="center"/>
            <w:hideMark/>
          </w:tcPr>
          <w:p w14:paraId="14DFD109" w14:textId="5256C6BD" w:rsidR="00440A6C" w:rsidRPr="00A91056" w:rsidRDefault="00440A6C" w:rsidP="00E329EF">
            <w:pPr>
              <w:widowControl/>
              <w:spacing w:line="240" w:lineRule="auto"/>
              <w:ind w:firstLine="0"/>
              <w:jc w:val="center"/>
              <w:rPr>
                <w:rFonts w:eastAsia="Times New Roman" w:cs="Arial"/>
                <w:color w:val="000000"/>
                <w:sz w:val="18"/>
                <w:szCs w:val="18"/>
              </w:rPr>
            </w:pPr>
          </w:p>
        </w:tc>
        <w:tc>
          <w:tcPr>
            <w:tcW w:w="281" w:type="pct"/>
            <w:shd w:val="clear" w:color="auto" w:fill="auto"/>
            <w:noWrap/>
            <w:vAlign w:val="center"/>
            <w:hideMark/>
          </w:tcPr>
          <w:p w14:paraId="6962F53F"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14676DD2" w14:textId="1BFD16A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50" w:type="pct"/>
            <w:shd w:val="clear" w:color="auto" w:fill="auto"/>
            <w:noWrap/>
            <w:vAlign w:val="center"/>
            <w:hideMark/>
          </w:tcPr>
          <w:p w14:paraId="5EECD566"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7" w:type="pct"/>
            <w:shd w:val="clear" w:color="auto" w:fill="auto"/>
            <w:noWrap/>
            <w:vAlign w:val="center"/>
            <w:hideMark/>
          </w:tcPr>
          <w:p w14:paraId="3EC3882A"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6E4B927D" w14:textId="77777777" w:rsidR="00440A6C" w:rsidRPr="00A91056" w:rsidRDefault="00440A6C" w:rsidP="00E329EF">
            <w:pPr>
              <w:widowControl/>
              <w:spacing w:line="240" w:lineRule="auto"/>
              <w:ind w:firstLine="0"/>
              <w:jc w:val="center"/>
              <w:rPr>
                <w:rFonts w:eastAsia="Times New Roman" w:cs="Arial"/>
                <w:sz w:val="18"/>
                <w:szCs w:val="18"/>
              </w:rPr>
            </w:pPr>
          </w:p>
        </w:tc>
        <w:tc>
          <w:tcPr>
            <w:tcW w:w="250" w:type="pct"/>
            <w:shd w:val="clear" w:color="auto" w:fill="auto"/>
            <w:noWrap/>
            <w:vAlign w:val="center"/>
            <w:hideMark/>
          </w:tcPr>
          <w:p w14:paraId="643FC071"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shd w:val="clear" w:color="auto" w:fill="auto"/>
            <w:noWrap/>
            <w:vAlign w:val="center"/>
            <w:hideMark/>
          </w:tcPr>
          <w:p w14:paraId="68F9D36D"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gridSpan w:val="2"/>
            <w:shd w:val="clear" w:color="auto" w:fill="auto"/>
            <w:noWrap/>
            <w:vAlign w:val="center"/>
            <w:hideMark/>
          </w:tcPr>
          <w:p w14:paraId="184B2290"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1579AD55"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77FB4023" w14:textId="77777777" w:rsidR="00440A6C" w:rsidRPr="00A91056" w:rsidRDefault="00440A6C" w:rsidP="00E329EF">
            <w:pPr>
              <w:widowControl/>
              <w:spacing w:line="240" w:lineRule="auto"/>
              <w:ind w:firstLine="0"/>
              <w:jc w:val="center"/>
              <w:rPr>
                <w:rFonts w:eastAsia="Times New Roman" w:cs="Arial"/>
                <w:sz w:val="18"/>
                <w:szCs w:val="18"/>
              </w:rPr>
            </w:pPr>
          </w:p>
        </w:tc>
        <w:tc>
          <w:tcPr>
            <w:tcW w:w="157" w:type="pct"/>
            <w:shd w:val="clear" w:color="auto" w:fill="auto"/>
            <w:noWrap/>
            <w:vAlign w:val="center"/>
            <w:hideMark/>
          </w:tcPr>
          <w:p w14:paraId="7CD869A2" w14:textId="77777777" w:rsidR="00440A6C" w:rsidRPr="00A91056" w:rsidRDefault="00440A6C" w:rsidP="00E329EF">
            <w:pPr>
              <w:widowControl/>
              <w:spacing w:line="240" w:lineRule="auto"/>
              <w:ind w:firstLine="0"/>
              <w:jc w:val="center"/>
              <w:rPr>
                <w:rFonts w:eastAsia="Times New Roman" w:cs="Arial"/>
                <w:sz w:val="18"/>
                <w:szCs w:val="18"/>
              </w:rPr>
            </w:pPr>
          </w:p>
        </w:tc>
        <w:tc>
          <w:tcPr>
            <w:tcW w:w="250" w:type="pct"/>
            <w:shd w:val="clear" w:color="auto" w:fill="auto"/>
            <w:noWrap/>
            <w:vAlign w:val="center"/>
            <w:hideMark/>
          </w:tcPr>
          <w:p w14:paraId="155973D9" w14:textId="77777777" w:rsidR="00440A6C" w:rsidRPr="00A91056" w:rsidRDefault="00440A6C" w:rsidP="00E329EF">
            <w:pPr>
              <w:widowControl/>
              <w:spacing w:line="240" w:lineRule="auto"/>
              <w:ind w:firstLine="0"/>
              <w:jc w:val="center"/>
              <w:rPr>
                <w:rFonts w:eastAsia="Times New Roman" w:cs="Arial"/>
                <w:sz w:val="18"/>
                <w:szCs w:val="18"/>
              </w:rPr>
            </w:pPr>
          </w:p>
        </w:tc>
        <w:tc>
          <w:tcPr>
            <w:tcW w:w="216" w:type="pct"/>
            <w:shd w:val="clear" w:color="auto" w:fill="auto"/>
            <w:noWrap/>
            <w:vAlign w:val="center"/>
            <w:hideMark/>
          </w:tcPr>
          <w:p w14:paraId="4EE09E5D" w14:textId="77777777" w:rsidR="00440A6C" w:rsidRPr="00A91056" w:rsidRDefault="00440A6C" w:rsidP="00E329EF">
            <w:pPr>
              <w:widowControl/>
              <w:spacing w:line="240" w:lineRule="auto"/>
              <w:ind w:firstLine="0"/>
              <w:jc w:val="center"/>
              <w:rPr>
                <w:rFonts w:eastAsia="Times New Roman" w:cs="Arial"/>
                <w:sz w:val="18"/>
                <w:szCs w:val="18"/>
              </w:rPr>
            </w:pPr>
          </w:p>
        </w:tc>
      </w:tr>
      <w:tr w:rsidR="0007664D" w:rsidRPr="00A91056" w14:paraId="5D4BB6F6" w14:textId="77777777" w:rsidTr="00A576CB">
        <w:trPr>
          <w:trHeight w:val="288"/>
        </w:trPr>
        <w:tc>
          <w:tcPr>
            <w:tcW w:w="844" w:type="pct"/>
            <w:shd w:val="clear" w:color="auto" w:fill="auto"/>
            <w:noWrap/>
            <w:vAlign w:val="center"/>
            <w:hideMark/>
          </w:tcPr>
          <w:p w14:paraId="1632F6B5"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D-Mannitol</w:t>
            </w:r>
          </w:p>
        </w:tc>
        <w:tc>
          <w:tcPr>
            <w:tcW w:w="374" w:type="pct"/>
            <w:shd w:val="clear" w:color="auto" w:fill="auto"/>
            <w:noWrap/>
            <w:vAlign w:val="center"/>
            <w:hideMark/>
          </w:tcPr>
          <w:p w14:paraId="3C2F4B9B"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69-65-8</w:t>
            </w:r>
          </w:p>
        </w:tc>
        <w:tc>
          <w:tcPr>
            <w:tcW w:w="500" w:type="pct"/>
            <w:shd w:val="clear" w:color="auto" w:fill="auto"/>
            <w:vAlign w:val="center"/>
            <w:hideMark/>
          </w:tcPr>
          <w:p w14:paraId="7D744894"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5.6 - 45</w:t>
            </w:r>
          </w:p>
        </w:tc>
        <w:tc>
          <w:tcPr>
            <w:tcW w:w="158" w:type="pct"/>
            <w:shd w:val="clear" w:color="auto" w:fill="auto"/>
            <w:vAlign w:val="center"/>
            <w:hideMark/>
          </w:tcPr>
          <w:p w14:paraId="71115CB5" w14:textId="6A3B73D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vAlign w:val="center"/>
            <w:hideMark/>
          </w:tcPr>
          <w:p w14:paraId="421E9134" w14:textId="6DC8F3F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29B53EB3" w14:textId="069EB59F"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[6]</w:t>
            </w:r>
          </w:p>
        </w:tc>
        <w:tc>
          <w:tcPr>
            <w:tcW w:w="281" w:type="pct"/>
            <w:shd w:val="clear" w:color="auto" w:fill="auto"/>
            <w:noWrap/>
            <w:vAlign w:val="center"/>
            <w:hideMark/>
          </w:tcPr>
          <w:p w14:paraId="29332575"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2A30B779" w14:textId="69FACEE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50" w:type="pct"/>
            <w:shd w:val="clear" w:color="auto" w:fill="auto"/>
            <w:noWrap/>
            <w:vAlign w:val="center"/>
            <w:hideMark/>
          </w:tcPr>
          <w:p w14:paraId="29FB58C0"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7" w:type="pct"/>
            <w:shd w:val="clear" w:color="auto" w:fill="auto"/>
            <w:noWrap/>
            <w:vAlign w:val="center"/>
            <w:hideMark/>
          </w:tcPr>
          <w:p w14:paraId="2A8895A4"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54E190E4" w14:textId="45150252"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50" w:type="pct"/>
            <w:shd w:val="clear" w:color="auto" w:fill="auto"/>
            <w:noWrap/>
            <w:vAlign w:val="center"/>
            <w:hideMark/>
          </w:tcPr>
          <w:p w14:paraId="6C804C46" w14:textId="6C741B0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19" w:type="pct"/>
            <w:shd w:val="clear" w:color="auto" w:fill="auto"/>
            <w:noWrap/>
            <w:vAlign w:val="center"/>
            <w:hideMark/>
          </w:tcPr>
          <w:p w14:paraId="08DFF289"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gridSpan w:val="2"/>
            <w:shd w:val="clear" w:color="auto" w:fill="auto"/>
            <w:noWrap/>
            <w:vAlign w:val="center"/>
            <w:hideMark/>
          </w:tcPr>
          <w:p w14:paraId="4038D5C2"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5F6D4632"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7E2ADA61" w14:textId="0874A81A"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4D08C2DC" w14:textId="01DA75BF"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50" w:type="pct"/>
            <w:shd w:val="clear" w:color="auto" w:fill="auto"/>
            <w:noWrap/>
            <w:vAlign w:val="center"/>
            <w:hideMark/>
          </w:tcPr>
          <w:p w14:paraId="64284311"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6" w:type="pct"/>
            <w:shd w:val="clear" w:color="auto" w:fill="auto"/>
            <w:noWrap/>
            <w:vAlign w:val="center"/>
            <w:hideMark/>
          </w:tcPr>
          <w:p w14:paraId="16FC04AA" w14:textId="077F3994"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r>
      <w:tr w:rsidR="0007664D" w:rsidRPr="00A91056" w14:paraId="38166107" w14:textId="77777777" w:rsidTr="00A576CB">
        <w:trPr>
          <w:trHeight w:val="288"/>
        </w:trPr>
        <w:tc>
          <w:tcPr>
            <w:tcW w:w="844" w:type="pct"/>
            <w:shd w:val="clear" w:color="auto" w:fill="auto"/>
            <w:noWrap/>
            <w:vAlign w:val="center"/>
            <w:hideMark/>
          </w:tcPr>
          <w:p w14:paraId="3CB6E6F7"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Doxylamine</w:t>
            </w:r>
          </w:p>
        </w:tc>
        <w:tc>
          <w:tcPr>
            <w:tcW w:w="374" w:type="pct"/>
            <w:shd w:val="clear" w:color="auto" w:fill="auto"/>
            <w:noWrap/>
            <w:vAlign w:val="center"/>
            <w:hideMark/>
          </w:tcPr>
          <w:p w14:paraId="4FC76546"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562-10-7</w:t>
            </w:r>
          </w:p>
        </w:tc>
        <w:tc>
          <w:tcPr>
            <w:tcW w:w="500" w:type="pct"/>
            <w:shd w:val="clear" w:color="auto" w:fill="auto"/>
            <w:vAlign w:val="center"/>
            <w:hideMark/>
          </w:tcPr>
          <w:p w14:paraId="2F851C93"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2.5 -10</w:t>
            </w:r>
          </w:p>
        </w:tc>
        <w:tc>
          <w:tcPr>
            <w:tcW w:w="158" w:type="pct"/>
            <w:shd w:val="clear" w:color="auto" w:fill="auto"/>
            <w:vAlign w:val="center"/>
            <w:hideMark/>
          </w:tcPr>
          <w:p w14:paraId="20A60DB1" w14:textId="79886C8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vAlign w:val="center"/>
            <w:hideMark/>
          </w:tcPr>
          <w:p w14:paraId="1D68146C" w14:textId="46661E1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3CE433E6" w14:textId="4D5175F1"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w:t>
            </w:r>
          </w:p>
        </w:tc>
        <w:tc>
          <w:tcPr>
            <w:tcW w:w="281" w:type="pct"/>
            <w:shd w:val="clear" w:color="auto" w:fill="auto"/>
            <w:noWrap/>
            <w:vAlign w:val="center"/>
            <w:hideMark/>
          </w:tcPr>
          <w:p w14:paraId="19A7CF08"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55BE1C87" w14:textId="6C7DF894"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50" w:type="pct"/>
            <w:shd w:val="clear" w:color="auto" w:fill="auto"/>
            <w:noWrap/>
            <w:vAlign w:val="center"/>
            <w:hideMark/>
          </w:tcPr>
          <w:p w14:paraId="795950D7"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7" w:type="pct"/>
            <w:shd w:val="clear" w:color="auto" w:fill="auto"/>
            <w:noWrap/>
            <w:vAlign w:val="center"/>
            <w:hideMark/>
          </w:tcPr>
          <w:p w14:paraId="727F3439"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1503731C" w14:textId="77777777" w:rsidR="00440A6C" w:rsidRPr="00A91056" w:rsidRDefault="00440A6C" w:rsidP="00E329EF">
            <w:pPr>
              <w:widowControl/>
              <w:spacing w:line="240" w:lineRule="auto"/>
              <w:ind w:firstLine="0"/>
              <w:jc w:val="center"/>
              <w:rPr>
                <w:rFonts w:eastAsia="Times New Roman" w:cs="Arial"/>
                <w:sz w:val="18"/>
                <w:szCs w:val="18"/>
              </w:rPr>
            </w:pPr>
          </w:p>
        </w:tc>
        <w:tc>
          <w:tcPr>
            <w:tcW w:w="250" w:type="pct"/>
            <w:shd w:val="clear" w:color="auto" w:fill="auto"/>
            <w:noWrap/>
            <w:vAlign w:val="center"/>
            <w:hideMark/>
          </w:tcPr>
          <w:p w14:paraId="4063AB26" w14:textId="66C98B49" w:rsidR="00440A6C" w:rsidRPr="00A91056" w:rsidRDefault="00440A6C" w:rsidP="00E329EF">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219" w:type="pct"/>
            <w:shd w:val="clear" w:color="auto" w:fill="auto"/>
            <w:noWrap/>
            <w:vAlign w:val="center"/>
            <w:hideMark/>
          </w:tcPr>
          <w:p w14:paraId="6AE76365"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gridSpan w:val="2"/>
            <w:shd w:val="clear" w:color="auto" w:fill="auto"/>
            <w:noWrap/>
            <w:vAlign w:val="center"/>
            <w:hideMark/>
          </w:tcPr>
          <w:p w14:paraId="3F5A38D7"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0343788F"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4E74C15E" w14:textId="34A885C5"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702B0E90" w14:textId="3E78D5D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3EDA8BDF"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6" w:type="pct"/>
            <w:shd w:val="clear" w:color="auto" w:fill="auto"/>
            <w:noWrap/>
            <w:vAlign w:val="center"/>
            <w:hideMark/>
          </w:tcPr>
          <w:p w14:paraId="3D6A74FA" w14:textId="15FC3A4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07664D" w:rsidRPr="00A91056" w14:paraId="61E1BD47" w14:textId="77777777" w:rsidTr="00A576CB">
        <w:trPr>
          <w:trHeight w:val="288"/>
        </w:trPr>
        <w:tc>
          <w:tcPr>
            <w:tcW w:w="844" w:type="pct"/>
            <w:shd w:val="clear" w:color="auto" w:fill="auto"/>
            <w:noWrap/>
            <w:vAlign w:val="center"/>
            <w:hideMark/>
          </w:tcPr>
          <w:p w14:paraId="4D952AF3"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Ethylbenzene</w:t>
            </w:r>
          </w:p>
        </w:tc>
        <w:tc>
          <w:tcPr>
            <w:tcW w:w="374" w:type="pct"/>
            <w:shd w:val="clear" w:color="auto" w:fill="auto"/>
            <w:noWrap/>
            <w:vAlign w:val="center"/>
            <w:hideMark/>
          </w:tcPr>
          <w:p w14:paraId="6E9D8B35"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100-41-4</w:t>
            </w:r>
          </w:p>
        </w:tc>
        <w:tc>
          <w:tcPr>
            <w:tcW w:w="500" w:type="pct"/>
            <w:shd w:val="clear" w:color="auto" w:fill="auto"/>
            <w:vAlign w:val="center"/>
            <w:hideMark/>
          </w:tcPr>
          <w:p w14:paraId="2CF275C7"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2.5 - 5 ª</w:t>
            </w:r>
          </w:p>
        </w:tc>
        <w:tc>
          <w:tcPr>
            <w:tcW w:w="158" w:type="pct"/>
            <w:shd w:val="clear" w:color="auto" w:fill="auto"/>
            <w:vAlign w:val="center"/>
            <w:hideMark/>
          </w:tcPr>
          <w:p w14:paraId="6C9D2124" w14:textId="27AB0102"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vAlign w:val="center"/>
            <w:hideMark/>
          </w:tcPr>
          <w:p w14:paraId="630D57B7" w14:textId="068583B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vAlign w:val="center"/>
            <w:hideMark/>
          </w:tcPr>
          <w:p w14:paraId="11EAE837" w14:textId="49268919" w:rsidR="00440A6C" w:rsidRPr="00A91056" w:rsidRDefault="00440A6C" w:rsidP="00E329EF">
            <w:pPr>
              <w:widowControl/>
              <w:spacing w:line="240" w:lineRule="auto"/>
              <w:ind w:firstLine="0"/>
              <w:jc w:val="center"/>
              <w:rPr>
                <w:rFonts w:eastAsia="Times New Roman" w:cs="Arial"/>
                <w:color w:val="000000"/>
                <w:sz w:val="18"/>
                <w:szCs w:val="18"/>
              </w:rPr>
            </w:pPr>
          </w:p>
        </w:tc>
        <w:tc>
          <w:tcPr>
            <w:tcW w:w="281" w:type="pct"/>
            <w:shd w:val="clear" w:color="auto" w:fill="auto"/>
            <w:noWrap/>
            <w:vAlign w:val="center"/>
            <w:hideMark/>
          </w:tcPr>
          <w:p w14:paraId="7BDB4C8F" w14:textId="14B9758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19" w:type="pct"/>
            <w:shd w:val="clear" w:color="auto" w:fill="auto"/>
            <w:noWrap/>
            <w:vAlign w:val="center"/>
            <w:hideMark/>
          </w:tcPr>
          <w:p w14:paraId="27150E33" w14:textId="559FB08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50" w:type="pct"/>
            <w:shd w:val="clear" w:color="auto" w:fill="auto"/>
            <w:noWrap/>
            <w:vAlign w:val="center"/>
            <w:hideMark/>
          </w:tcPr>
          <w:p w14:paraId="6DCE84EE" w14:textId="53EE450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26CE8677" w14:textId="6B2BD65B"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6" w:type="pct"/>
            <w:shd w:val="clear" w:color="auto" w:fill="auto"/>
            <w:noWrap/>
            <w:vAlign w:val="center"/>
            <w:hideMark/>
          </w:tcPr>
          <w:p w14:paraId="5C093B33"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50" w:type="pct"/>
            <w:shd w:val="clear" w:color="auto" w:fill="auto"/>
            <w:noWrap/>
            <w:vAlign w:val="center"/>
            <w:hideMark/>
          </w:tcPr>
          <w:p w14:paraId="693107AA" w14:textId="0F4613C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19" w:type="pct"/>
            <w:shd w:val="clear" w:color="auto" w:fill="auto"/>
            <w:noWrap/>
            <w:vAlign w:val="center"/>
            <w:hideMark/>
          </w:tcPr>
          <w:p w14:paraId="2E2A814D" w14:textId="584BA7B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gridSpan w:val="2"/>
            <w:shd w:val="clear" w:color="auto" w:fill="auto"/>
            <w:noWrap/>
            <w:vAlign w:val="center"/>
            <w:hideMark/>
          </w:tcPr>
          <w:p w14:paraId="720E34F4" w14:textId="63E263E0"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87" w:type="pct"/>
            <w:shd w:val="clear" w:color="auto" w:fill="auto"/>
            <w:noWrap/>
            <w:vAlign w:val="center"/>
            <w:hideMark/>
          </w:tcPr>
          <w:p w14:paraId="26127931"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6" w:type="pct"/>
            <w:shd w:val="clear" w:color="auto" w:fill="auto"/>
            <w:noWrap/>
            <w:vAlign w:val="center"/>
            <w:hideMark/>
          </w:tcPr>
          <w:p w14:paraId="2DC00CB7" w14:textId="4E6AE9F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3BB49FFF"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50" w:type="pct"/>
            <w:shd w:val="clear" w:color="auto" w:fill="auto"/>
            <w:noWrap/>
            <w:vAlign w:val="center"/>
            <w:hideMark/>
          </w:tcPr>
          <w:p w14:paraId="1B6AD979" w14:textId="77777777" w:rsidR="00440A6C" w:rsidRPr="00A91056" w:rsidRDefault="00440A6C" w:rsidP="00E329EF">
            <w:pPr>
              <w:widowControl/>
              <w:spacing w:line="240" w:lineRule="auto"/>
              <w:ind w:firstLine="0"/>
              <w:jc w:val="center"/>
              <w:rPr>
                <w:rFonts w:eastAsia="Times New Roman" w:cs="Arial"/>
                <w:sz w:val="18"/>
                <w:szCs w:val="18"/>
              </w:rPr>
            </w:pPr>
          </w:p>
        </w:tc>
        <w:tc>
          <w:tcPr>
            <w:tcW w:w="216" w:type="pct"/>
            <w:shd w:val="clear" w:color="auto" w:fill="auto"/>
            <w:noWrap/>
            <w:vAlign w:val="center"/>
            <w:hideMark/>
          </w:tcPr>
          <w:p w14:paraId="5ADCC0EA" w14:textId="622F5DF1"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07664D" w:rsidRPr="00A91056" w14:paraId="3C3DA6CB" w14:textId="77777777" w:rsidTr="00A576CB">
        <w:trPr>
          <w:trHeight w:val="288"/>
        </w:trPr>
        <w:tc>
          <w:tcPr>
            <w:tcW w:w="844" w:type="pct"/>
            <w:shd w:val="clear" w:color="auto" w:fill="auto"/>
            <w:noWrap/>
            <w:vAlign w:val="center"/>
            <w:hideMark/>
          </w:tcPr>
          <w:p w14:paraId="2C2738B1"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lastRenderedPageBreak/>
              <w:t>Etoposide</w:t>
            </w:r>
          </w:p>
        </w:tc>
        <w:tc>
          <w:tcPr>
            <w:tcW w:w="374" w:type="pct"/>
            <w:shd w:val="clear" w:color="auto" w:fill="auto"/>
            <w:noWrap/>
            <w:vAlign w:val="center"/>
            <w:hideMark/>
          </w:tcPr>
          <w:p w14:paraId="77B6A75A"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33419-42-0</w:t>
            </w:r>
          </w:p>
        </w:tc>
        <w:tc>
          <w:tcPr>
            <w:tcW w:w="500" w:type="pct"/>
            <w:shd w:val="clear" w:color="auto" w:fill="auto"/>
            <w:vAlign w:val="center"/>
            <w:hideMark/>
          </w:tcPr>
          <w:p w14:paraId="353F2BB8"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1 - 2</w:t>
            </w:r>
          </w:p>
        </w:tc>
        <w:tc>
          <w:tcPr>
            <w:tcW w:w="158" w:type="pct"/>
            <w:shd w:val="clear" w:color="auto" w:fill="auto"/>
            <w:vAlign w:val="center"/>
            <w:hideMark/>
          </w:tcPr>
          <w:p w14:paraId="537D0DC8" w14:textId="37425622"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vAlign w:val="center"/>
            <w:hideMark/>
          </w:tcPr>
          <w:p w14:paraId="7F86869F" w14:textId="1EB1752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66E78136" w14:textId="01DD250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w:t>
            </w:r>
          </w:p>
        </w:tc>
        <w:tc>
          <w:tcPr>
            <w:tcW w:w="281" w:type="pct"/>
            <w:shd w:val="clear" w:color="auto" w:fill="auto"/>
            <w:noWrap/>
            <w:vAlign w:val="center"/>
            <w:hideMark/>
          </w:tcPr>
          <w:p w14:paraId="5A54F3C5"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0818AFC6" w14:textId="1917692B"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361C054A" w14:textId="1D01A064"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6C03B0DC" w14:textId="6DD3B2E1"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64A4E4FA" w14:textId="3BA406F0"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24F12ACE" w14:textId="22C12D4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58E00599"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gridSpan w:val="2"/>
            <w:shd w:val="clear" w:color="auto" w:fill="auto"/>
            <w:noWrap/>
            <w:vAlign w:val="center"/>
            <w:hideMark/>
          </w:tcPr>
          <w:p w14:paraId="301837EE"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2C266FCB" w14:textId="096EEDF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6" w:type="pct"/>
            <w:shd w:val="clear" w:color="auto" w:fill="auto"/>
            <w:noWrap/>
            <w:vAlign w:val="center"/>
            <w:hideMark/>
          </w:tcPr>
          <w:p w14:paraId="599B796A" w14:textId="00397215"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3C8DB9F7" w14:textId="6C98482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24240622" w14:textId="0CF6EB8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6" w:type="pct"/>
            <w:shd w:val="clear" w:color="auto" w:fill="auto"/>
            <w:noWrap/>
            <w:vAlign w:val="center"/>
            <w:hideMark/>
          </w:tcPr>
          <w:p w14:paraId="0B2241A9" w14:textId="77777777" w:rsidR="00440A6C" w:rsidRPr="00A91056" w:rsidRDefault="00440A6C" w:rsidP="00E329EF">
            <w:pPr>
              <w:widowControl/>
              <w:spacing w:line="240" w:lineRule="auto"/>
              <w:ind w:firstLine="0"/>
              <w:jc w:val="center"/>
              <w:rPr>
                <w:rFonts w:eastAsia="Times New Roman" w:cs="Arial"/>
                <w:color w:val="000000"/>
                <w:sz w:val="18"/>
                <w:szCs w:val="18"/>
              </w:rPr>
            </w:pPr>
          </w:p>
        </w:tc>
      </w:tr>
      <w:tr w:rsidR="0007664D" w:rsidRPr="00A91056" w14:paraId="50AFA75F" w14:textId="77777777" w:rsidTr="00A576CB">
        <w:trPr>
          <w:trHeight w:val="288"/>
        </w:trPr>
        <w:tc>
          <w:tcPr>
            <w:tcW w:w="844" w:type="pct"/>
            <w:shd w:val="clear" w:color="auto" w:fill="auto"/>
            <w:noWrap/>
            <w:vAlign w:val="center"/>
            <w:hideMark/>
          </w:tcPr>
          <w:p w14:paraId="24348EA4"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Eugenol</w:t>
            </w:r>
          </w:p>
        </w:tc>
        <w:tc>
          <w:tcPr>
            <w:tcW w:w="374" w:type="pct"/>
            <w:shd w:val="clear" w:color="auto" w:fill="auto"/>
            <w:noWrap/>
            <w:vAlign w:val="center"/>
            <w:hideMark/>
          </w:tcPr>
          <w:p w14:paraId="0F50FBB4"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97-53-0</w:t>
            </w:r>
          </w:p>
        </w:tc>
        <w:tc>
          <w:tcPr>
            <w:tcW w:w="500" w:type="pct"/>
            <w:shd w:val="clear" w:color="auto" w:fill="auto"/>
            <w:vAlign w:val="center"/>
            <w:hideMark/>
          </w:tcPr>
          <w:p w14:paraId="30D4DEDD"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1.5 - 3 ª</w:t>
            </w:r>
          </w:p>
        </w:tc>
        <w:tc>
          <w:tcPr>
            <w:tcW w:w="158" w:type="pct"/>
            <w:shd w:val="clear" w:color="auto" w:fill="auto"/>
            <w:vAlign w:val="center"/>
            <w:hideMark/>
          </w:tcPr>
          <w:p w14:paraId="7176A025" w14:textId="57143C9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vAlign w:val="center"/>
            <w:hideMark/>
          </w:tcPr>
          <w:p w14:paraId="6EEA9FCD" w14:textId="47937A31"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3A017F1F" w14:textId="37C86FA1"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w:t>
            </w:r>
          </w:p>
        </w:tc>
        <w:tc>
          <w:tcPr>
            <w:tcW w:w="281" w:type="pct"/>
            <w:shd w:val="clear" w:color="auto" w:fill="auto"/>
            <w:noWrap/>
            <w:vAlign w:val="center"/>
            <w:hideMark/>
          </w:tcPr>
          <w:p w14:paraId="6676A7A5" w14:textId="08A41304"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19" w:type="pct"/>
            <w:shd w:val="clear" w:color="auto" w:fill="auto"/>
            <w:noWrap/>
            <w:vAlign w:val="center"/>
            <w:hideMark/>
          </w:tcPr>
          <w:p w14:paraId="710A478B" w14:textId="7F9189DB"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50" w:type="pct"/>
            <w:shd w:val="clear" w:color="auto" w:fill="auto"/>
            <w:noWrap/>
            <w:vAlign w:val="center"/>
            <w:hideMark/>
          </w:tcPr>
          <w:p w14:paraId="3267A133" w14:textId="17CBE4C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4C9FE530" w14:textId="24E5A31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2D283D1A" w14:textId="036E994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7BBCE00A" w14:textId="0BC8375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19" w:type="pct"/>
            <w:shd w:val="clear" w:color="auto" w:fill="auto"/>
            <w:noWrap/>
            <w:vAlign w:val="center"/>
            <w:hideMark/>
          </w:tcPr>
          <w:p w14:paraId="4DDA5337"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gridSpan w:val="2"/>
            <w:shd w:val="clear" w:color="auto" w:fill="auto"/>
            <w:noWrap/>
            <w:vAlign w:val="center"/>
            <w:hideMark/>
          </w:tcPr>
          <w:p w14:paraId="5386C6B5" w14:textId="4797800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87" w:type="pct"/>
            <w:shd w:val="clear" w:color="auto" w:fill="auto"/>
            <w:noWrap/>
            <w:vAlign w:val="center"/>
            <w:hideMark/>
          </w:tcPr>
          <w:p w14:paraId="7481DCE0" w14:textId="2E9A8061"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6" w:type="pct"/>
            <w:shd w:val="clear" w:color="auto" w:fill="auto"/>
            <w:noWrap/>
            <w:vAlign w:val="center"/>
            <w:hideMark/>
          </w:tcPr>
          <w:p w14:paraId="35037663" w14:textId="28199AC4"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60E174ED"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50" w:type="pct"/>
            <w:shd w:val="clear" w:color="auto" w:fill="auto"/>
            <w:noWrap/>
            <w:vAlign w:val="center"/>
            <w:hideMark/>
          </w:tcPr>
          <w:p w14:paraId="444F9472" w14:textId="77777777" w:rsidR="00440A6C" w:rsidRPr="00A91056" w:rsidRDefault="00440A6C" w:rsidP="00E329EF">
            <w:pPr>
              <w:widowControl/>
              <w:spacing w:line="240" w:lineRule="auto"/>
              <w:ind w:firstLine="0"/>
              <w:jc w:val="center"/>
              <w:rPr>
                <w:rFonts w:eastAsia="Times New Roman" w:cs="Arial"/>
                <w:sz w:val="18"/>
                <w:szCs w:val="18"/>
              </w:rPr>
            </w:pPr>
          </w:p>
        </w:tc>
        <w:tc>
          <w:tcPr>
            <w:tcW w:w="216" w:type="pct"/>
            <w:shd w:val="clear" w:color="auto" w:fill="auto"/>
            <w:noWrap/>
            <w:vAlign w:val="center"/>
            <w:hideMark/>
          </w:tcPr>
          <w:p w14:paraId="332FED4E" w14:textId="7177787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r>
      <w:tr w:rsidR="0007664D" w:rsidRPr="00A91056" w14:paraId="0FA05CC3" w14:textId="77777777" w:rsidTr="00A576CB">
        <w:trPr>
          <w:trHeight w:val="288"/>
        </w:trPr>
        <w:tc>
          <w:tcPr>
            <w:tcW w:w="844" w:type="pct"/>
            <w:shd w:val="clear" w:color="auto" w:fill="auto"/>
            <w:noWrap/>
            <w:vAlign w:val="center"/>
            <w:hideMark/>
          </w:tcPr>
          <w:p w14:paraId="7DB4BFC6"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Fluorene</w:t>
            </w:r>
          </w:p>
        </w:tc>
        <w:tc>
          <w:tcPr>
            <w:tcW w:w="374" w:type="pct"/>
            <w:shd w:val="clear" w:color="auto" w:fill="auto"/>
            <w:noWrap/>
            <w:vAlign w:val="center"/>
            <w:hideMark/>
          </w:tcPr>
          <w:p w14:paraId="1A2E0E16"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86-73-7</w:t>
            </w:r>
          </w:p>
        </w:tc>
        <w:tc>
          <w:tcPr>
            <w:tcW w:w="500" w:type="pct"/>
            <w:shd w:val="clear" w:color="auto" w:fill="auto"/>
            <w:vAlign w:val="center"/>
            <w:hideMark/>
          </w:tcPr>
          <w:p w14:paraId="73DF1EE8"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 xml:space="preserve">0.2 - 1.4 </w:t>
            </w:r>
            <w:r w:rsidRPr="00A91056">
              <w:rPr>
                <w:rFonts w:eastAsia="Times New Roman" w:cs="Arial"/>
                <w:color w:val="000000"/>
                <w:sz w:val="18"/>
                <w:szCs w:val="18"/>
                <w:vertAlign w:val="superscript"/>
              </w:rPr>
              <w:t>b</w:t>
            </w:r>
          </w:p>
        </w:tc>
        <w:tc>
          <w:tcPr>
            <w:tcW w:w="158" w:type="pct"/>
            <w:shd w:val="clear" w:color="auto" w:fill="auto"/>
            <w:vAlign w:val="center"/>
            <w:hideMark/>
          </w:tcPr>
          <w:p w14:paraId="51B19DF8" w14:textId="00B81E6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vAlign w:val="center"/>
            <w:hideMark/>
          </w:tcPr>
          <w:p w14:paraId="26061E51" w14:textId="1BC5C3E0"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vAlign w:val="center"/>
            <w:hideMark/>
          </w:tcPr>
          <w:p w14:paraId="53C5E07E" w14:textId="08DFE4C1"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[2,3]</w:t>
            </w:r>
          </w:p>
        </w:tc>
        <w:tc>
          <w:tcPr>
            <w:tcW w:w="281" w:type="pct"/>
            <w:shd w:val="clear" w:color="auto" w:fill="auto"/>
            <w:noWrap/>
            <w:vAlign w:val="center"/>
            <w:hideMark/>
          </w:tcPr>
          <w:p w14:paraId="69421E28"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288BE350" w14:textId="0E7599BA"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50" w:type="pct"/>
            <w:shd w:val="clear" w:color="auto" w:fill="auto"/>
            <w:noWrap/>
            <w:vAlign w:val="center"/>
            <w:hideMark/>
          </w:tcPr>
          <w:p w14:paraId="199C346E" w14:textId="549CE6D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18941490" w14:textId="2D25E4B4" w:rsidR="00440A6C" w:rsidRPr="00A91056" w:rsidRDefault="00440A6C" w:rsidP="00E329EF">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156" w:type="pct"/>
            <w:shd w:val="clear" w:color="auto" w:fill="auto"/>
            <w:noWrap/>
            <w:vAlign w:val="center"/>
            <w:hideMark/>
          </w:tcPr>
          <w:p w14:paraId="03E59F6C" w14:textId="6721D490" w:rsidR="00440A6C" w:rsidRPr="00A91056" w:rsidRDefault="00440A6C" w:rsidP="00E329EF">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250" w:type="pct"/>
            <w:shd w:val="clear" w:color="auto" w:fill="auto"/>
            <w:noWrap/>
            <w:vAlign w:val="center"/>
            <w:hideMark/>
          </w:tcPr>
          <w:p w14:paraId="1B21B42D"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4E76DBAB" w14:textId="3773F4D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19" w:type="pct"/>
            <w:gridSpan w:val="2"/>
            <w:shd w:val="clear" w:color="auto" w:fill="auto"/>
            <w:noWrap/>
            <w:vAlign w:val="center"/>
            <w:hideMark/>
          </w:tcPr>
          <w:p w14:paraId="7180F03D"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7A8D4B38"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198B9550" w14:textId="77777777" w:rsidR="00440A6C" w:rsidRPr="00A91056" w:rsidRDefault="00440A6C" w:rsidP="00E329EF">
            <w:pPr>
              <w:widowControl/>
              <w:spacing w:line="240" w:lineRule="auto"/>
              <w:ind w:firstLine="0"/>
              <w:jc w:val="center"/>
              <w:rPr>
                <w:rFonts w:eastAsia="Times New Roman" w:cs="Arial"/>
                <w:sz w:val="18"/>
                <w:szCs w:val="18"/>
              </w:rPr>
            </w:pPr>
          </w:p>
        </w:tc>
        <w:tc>
          <w:tcPr>
            <w:tcW w:w="157" w:type="pct"/>
            <w:shd w:val="clear" w:color="auto" w:fill="auto"/>
            <w:noWrap/>
            <w:vAlign w:val="center"/>
            <w:hideMark/>
          </w:tcPr>
          <w:p w14:paraId="1AEBDC2E" w14:textId="77777777" w:rsidR="00440A6C" w:rsidRPr="00A91056" w:rsidRDefault="00440A6C" w:rsidP="00E329EF">
            <w:pPr>
              <w:widowControl/>
              <w:spacing w:line="240" w:lineRule="auto"/>
              <w:ind w:firstLine="0"/>
              <w:jc w:val="center"/>
              <w:rPr>
                <w:rFonts w:eastAsia="Times New Roman" w:cs="Arial"/>
                <w:sz w:val="18"/>
                <w:szCs w:val="18"/>
              </w:rPr>
            </w:pPr>
          </w:p>
        </w:tc>
        <w:tc>
          <w:tcPr>
            <w:tcW w:w="250" w:type="pct"/>
            <w:shd w:val="clear" w:color="auto" w:fill="auto"/>
            <w:noWrap/>
            <w:vAlign w:val="center"/>
            <w:hideMark/>
          </w:tcPr>
          <w:p w14:paraId="656A9A70" w14:textId="77777777" w:rsidR="00440A6C" w:rsidRPr="00A91056" w:rsidRDefault="00440A6C" w:rsidP="00E329EF">
            <w:pPr>
              <w:widowControl/>
              <w:spacing w:line="240" w:lineRule="auto"/>
              <w:ind w:firstLine="0"/>
              <w:jc w:val="center"/>
              <w:rPr>
                <w:rFonts w:eastAsia="Times New Roman" w:cs="Arial"/>
                <w:sz w:val="18"/>
                <w:szCs w:val="18"/>
              </w:rPr>
            </w:pPr>
          </w:p>
        </w:tc>
        <w:tc>
          <w:tcPr>
            <w:tcW w:w="216" w:type="pct"/>
            <w:shd w:val="clear" w:color="auto" w:fill="auto"/>
            <w:noWrap/>
            <w:vAlign w:val="center"/>
            <w:hideMark/>
          </w:tcPr>
          <w:p w14:paraId="198EA017" w14:textId="7723811B"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r>
      <w:tr w:rsidR="0007664D" w:rsidRPr="00A91056" w14:paraId="1302C59B" w14:textId="77777777" w:rsidTr="00A576CB">
        <w:trPr>
          <w:trHeight w:val="288"/>
        </w:trPr>
        <w:tc>
          <w:tcPr>
            <w:tcW w:w="844" w:type="pct"/>
            <w:shd w:val="clear" w:color="auto" w:fill="auto"/>
            <w:noWrap/>
            <w:vAlign w:val="center"/>
            <w:hideMark/>
          </w:tcPr>
          <w:p w14:paraId="1613667B"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Griseofulvin</w:t>
            </w:r>
          </w:p>
        </w:tc>
        <w:tc>
          <w:tcPr>
            <w:tcW w:w="374" w:type="pct"/>
            <w:shd w:val="clear" w:color="auto" w:fill="auto"/>
            <w:noWrap/>
            <w:vAlign w:val="center"/>
            <w:hideMark/>
          </w:tcPr>
          <w:p w14:paraId="014F34A9"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126-07-8</w:t>
            </w:r>
          </w:p>
        </w:tc>
        <w:tc>
          <w:tcPr>
            <w:tcW w:w="500" w:type="pct"/>
            <w:shd w:val="clear" w:color="auto" w:fill="auto"/>
            <w:vAlign w:val="center"/>
            <w:hideMark/>
          </w:tcPr>
          <w:p w14:paraId="56A3DECE" w14:textId="138E7D5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0.1 - 0.4</w:t>
            </w:r>
          </w:p>
        </w:tc>
        <w:tc>
          <w:tcPr>
            <w:tcW w:w="158" w:type="pct"/>
            <w:shd w:val="clear" w:color="auto" w:fill="auto"/>
            <w:vAlign w:val="center"/>
            <w:hideMark/>
          </w:tcPr>
          <w:p w14:paraId="67A77381" w14:textId="77BC6E7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vAlign w:val="center"/>
            <w:hideMark/>
          </w:tcPr>
          <w:p w14:paraId="1E070C09" w14:textId="5DCC436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0F656587" w14:textId="0905367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w:t>
            </w:r>
          </w:p>
        </w:tc>
        <w:tc>
          <w:tcPr>
            <w:tcW w:w="281" w:type="pct"/>
            <w:shd w:val="clear" w:color="auto" w:fill="auto"/>
            <w:noWrap/>
            <w:vAlign w:val="center"/>
            <w:hideMark/>
          </w:tcPr>
          <w:p w14:paraId="3FF49E9F"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2676048B" w14:textId="1314234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50" w:type="pct"/>
            <w:shd w:val="clear" w:color="auto" w:fill="auto"/>
            <w:noWrap/>
            <w:vAlign w:val="center"/>
            <w:hideMark/>
          </w:tcPr>
          <w:p w14:paraId="1899069D" w14:textId="06D963AF"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419F7EC4" w14:textId="7BD258AA"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1ECEF4DB" w14:textId="5838480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04942C43"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20FF333E" w14:textId="71F33CA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19" w:type="pct"/>
            <w:gridSpan w:val="2"/>
            <w:shd w:val="clear" w:color="auto" w:fill="auto"/>
            <w:noWrap/>
            <w:vAlign w:val="center"/>
            <w:hideMark/>
          </w:tcPr>
          <w:p w14:paraId="14709AEA"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3EF3CB77"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29D16082" w14:textId="55AB00C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6070319E" w14:textId="746E722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4B2C64CC"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6" w:type="pct"/>
            <w:shd w:val="clear" w:color="auto" w:fill="auto"/>
            <w:noWrap/>
            <w:vAlign w:val="center"/>
            <w:hideMark/>
          </w:tcPr>
          <w:p w14:paraId="5320239B" w14:textId="00977D4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07664D" w:rsidRPr="00A91056" w14:paraId="53A2207C" w14:textId="77777777" w:rsidTr="00A576CB">
        <w:trPr>
          <w:trHeight w:val="288"/>
        </w:trPr>
        <w:tc>
          <w:tcPr>
            <w:tcW w:w="844" w:type="pct"/>
            <w:shd w:val="clear" w:color="auto" w:fill="auto"/>
            <w:noWrap/>
            <w:vAlign w:val="center"/>
            <w:hideMark/>
          </w:tcPr>
          <w:p w14:paraId="6C639782" w14:textId="77777777" w:rsidR="00440A6C" w:rsidRPr="00A91056" w:rsidRDefault="00440A6C" w:rsidP="00440A6C">
            <w:pPr>
              <w:widowControl/>
              <w:spacing w:line="240" w:lineRule="auto"/>
              <w:ind w:firstLine="0"/>
              <w:rPr>
                <w:rFonts w:eastAsia="Times New Roman" w:cs="Arial"/>
                <w:color w:val="000000"/>
                <w:sz w:val="18"/>
                <w:szCs w:val="18"/>
              </w:rPr>
            </w:pPr>
            <w:proofErr w:type="spellStart"/>
            <w:r w:rsidRPr="00A91056">
              <w:rPr>
                <w:rFonts w:eastAsia="Times New Roman" w:cs="Arial"/>
                <w:color w:val="000000"/>
                <w:sz w:val="18"/>
                <w:szCs w:val="18"/>
              </w:rPr>
              <w:t>Heliotrine</w:t>
            </w:r>
            <w:proofErr w:type="spellEnd"/>
          </w:p>
        </w:tc>
        <w:tc>
          <w:tcPr>
            <w:tcW w:w="374" w:type="pct"/>
            <w:shd w:val="clear" w:color="auto" w:fill="auto"/>
            <w:noWrap/>
            <w:vAlign w:val="center"/>
            <w:hideMark/>
          </w:tcPr>
          <w:p w14:paraId="43B84C04"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303-33-3</w:t>
            </w:r>
          </w:p>
        </w:tc>
        <w:tc>
          <w:tcPr>
            <w:tcW w:w="500" w:type="pct"/>
            <w:shd w:val="clear" w:color="auto" w:fill="auto"/>
            <w:vAlign w:val="center"/>
            <w:hideMark/>
          </w:tcPr>
          <w:p w14:paraId="1048FD9D"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1 - 3 ª</w:t>
            </w:r>
          </w:p>
        </w:tc>
        <w:tc>
          <w:tcPr>
            <w:tcW w:w="158" w:type="pct"/>
            <w:shd w:val="clear" w:color="auto" w:fill="auto"/>
            <w:vAlign w:val="center"/>
            <w:hideMark/>
          </w:tcPr>
          <w:p w14:paraId="5B362070" w14:textId="1B5730E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vAlign w:val="center"/>
            <w:hideMark/>
          </w:tcPr>
          <w:p w14:paraId="46874F90" w14:textId="44A51E6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vAlign w:val="center"/>
            <w:hideMark/>
          </w:tcPr>
          <w:p w14:paraId="50043036" w14:textId="2807E1CE" w:rsidR="00440A6C" w:rsidRPr="00A91056" w:rsidRDefault="00440A6C" w:rsidP="00E329EF">
            <w:pPr>
              <w:widowControl/>
              <w:spacing w:line="240" w:lineRule="auto"/>
              <w:ind w:firstLine="0"/>
              <w:jc w:val="center"/>
              <w:rPr>
                <w:rFonts w:eastAsia="Times New Roman" w:cs="Arial"/>
                <w:color w:val="000000"/>
                <w:sz w:val="18"/>
                <w:szCs w:val="18"/>
              </w:rPr>
            </w:pPr>
          </w:p>
        </w:tc>
        <w:tc>
          <w:tcPr>
            <w:tcW w:w="281" w:type="pct"/>
            <w:shd w:val="clear" w:color="auto" w:fill="auto"/>
            <w:noWrap/>
            <w:vAlign w:val="center"/>
            <w:hideMark/>
          </w:tcPr>
          <w:p w14:paraId="4BBA6CD8" w14:textId="74617D7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49EE8385" w14:textId="48A8E820"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5E38521E"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7" w:type="pct"/>
            <w:shd w:val="clear" w:color="auto" w:fill="auto"/>
            <w:noWrap/>
            <w:vAlign w:val="center"/>
            <w:hideMark/>
          </w:tcPr>
          <w:p w14:paraId="31B329B5"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4153D24E" w14:textId="68A94BDB"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47B7D41A" w14:textId="6251665A"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1D1BF351"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gridSpan w:val="2"/>
            <w:shd w:val="clear" w:color="auto" w:fill="auto"/>
            <w:noWrap/>
            <w:vAlign w:val="center"/>
            <w:hideMark/>
          </w:tcPr>
          <w:p w14:paraId="7145CB10"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1D8C2BC3"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25779090" w14:textId="4300B2A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76F1AB0B"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50" w:type="pct"/>
            <w:shd w:val="clear" w:color="auto" w:fill="auto"/>
            <w:noWrap/>
            <w:vAlign w:val="center"/>
            <w:hideMark/>
          </w:tcPr>
          <w:p w14:paraId="303BB0D2" w14:textId="77777777" w:rsidR="00440A6C" w:rsidRPr="00A91056" w:rsidRDefault="00440A6C" w:rsidP="00E329EF">
            <w:pPr>
              <w:widowControl/>
              <w:spacing w:line="240" w:lineRule="auto"/>
              <w:ind w:firstLine="0"/>
              <w:jc w:val="center"/>
              <w:rPr>
                <w:rFonts w:eastAsia="Times New Roman" w:cs="Arial"/>
                <w:sz w:val="18"/>
                <w:szCs w:val="18"/>
              </w:rPr>
            </w:pPr>
          </w:p>
        </w:tc>
        <w:tc>
          <w:tcPr>
            <w:tcW w:w="216" w:type="pct"/>
            <w:shd w:val="clear" w:color="auto" w:fill="auto"/>
            <w:noWrap/>
            <w:vAlign w:val="center"/>
            <w:hideMark/>
          </w:tcPr>
          <w:p w14:paraId="4A986687" w14:textId="77777777" w:rsidR="00440A6C" w:rsidRPr="00A91056" w:rsidRDefault="00440A6C" w:rsidP="00E329EF">
            <w:pPr>
              <w:widowControl/>
              <w:spacing w:line="240" w:lineRule="auto"/>
              <w:ind w:firstLine="0"/>
              <w:jc w:val="center"/>
              <w:rPr>
                <w:rFonts w:eastAsia="Times New Roman" w:cs="Arial"/>
                <w:color w:val="000000"/>
                <w:sz w:val="18"/>
                <w:szCs w:val="18"/>
              </w:rPr>
            </w:pPr>
          </w:p>
        </w:tc>
      </w:tr>
      <w:tr w:rsidR="0007664D" w:rsidRPr="00A91056" w14:paraId="1C897583" w14:textId="77777777" w:rsidTr="00A576CB">
        <w:trPr>
          <w:trHeight w:val="288"/>
        </w:trPr>
        <w:tc>
          <w:tcPr>
            <w:tcW w:w="844" w:type="pct"/>
            <w:shd w:val="clear" w:color="auto" w:fill="auto"/>
            <w:noWrap/>
            <w:vAlign w:val="center"/>
            <w:hideMark/>
          </w:tcPr>
          <w:p w14:paraId="0DC50DEA"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Hexanal</w:t>
            </w:r>
          </w:p>
        </w:tc>
        <w:tc>
          <w:tcPr>
            <w:tcW w:w="374" w:type="pct"/>
            <w:shd w:val="clear" w:color="auto" w:fill="auto"/>
            <w:noWrap/>
            <w:vAlign w:val="center"/>
            <w:hideMark/>
          </w:tcPr>
          <w:p w14:paraId="5BB38DD1"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66-25-1</w:t>
            </w:r>
          </w:p>
        </w:tc>
        <w:tc>
          <w:tcPr>
            <w:tcW w:w="500" w:type="pct"/>
            <w:shd w:val="clear" w:color="auto" w:fill="auto"/>
            <w:vAlign w:val="center"/>
            <w:hideMark/>
          </w:tcPr>
          <w:p w14:paraId="12547387"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1 - 5 ª</w:t>
            </w:r>
          </w:p>
        </w:tc>
        <w:tc>
          <w:tcPr>
            <w:tcW w:w="158" w:type="pct"/>
            <w:shd w:val="clear" w:color="auto" w:fill="auto"/>
            <w:vAlign w:val="center"/>
            <w:hideMark/>
          </w:tcPr>
          <w:p w14:paraId="4CE0CB66" w14:textId="2BEBBD7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vAlign w:val="center"/>
            <w:hideMark/>
          </w:tcPr>
          <w:p w14:paraId="66E7DB39" w14:textId="143B86BB"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vAlign w:val="center"/>
            <w:hideMark/>
          </w:tcPr>
          <w:p w14:paraId="67D20B5F" w14:textId="516E5C80" w:rsidR="00440A6C" w:rsidRPr="00A91056" w:rsidRDefault="00440A6C" w:rsidP="00E329EF">
            <w:pPr>
              <w:widowControl/>
              <w:spacing w:line="240" w:lineRule="auto"/>
              <w:ind w:firstLine="0"/>
              <w:jc w:val="center"/>
              <w:rPr>
                <w:rFonts w:eastAsia="Times New Roman" w:cs="Arial"/>
                <w:color w:val="000000"/>
                <w:sz w:val="18"/>
                <w:szCs w:val="18"/>
              </w:rPr>
            </w:pPr>
          </w:p>
        </w:tc>
        <w:tc>
          <w:tcPr>
            <w:tcW w:w="281" w:type="pct"/>
            <w:shd w:val="clear" w:color="auto" w:fill="auto"/>
            <w:noWrap/>
            <w:vAlign w:val="center"/>
            <w:hideMark/>
          </w:tcPr>
          <w:p w14:paraId="000B2A69"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4766AB07" w14:textId="063176D4"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48BBFDD1" w14:textId="01AE730F"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6F050CF8"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6" w:type="pct"/>
            <w:shd w:val="clear" w:color="auto" w:fill="auto"/>
            <w:noWrap/>
            <w:vAlign w:val="center"/>
            <w:hideMark/>
          </w:tcPr>
          <w:p w14:paraId="2FCF8254" w14:textId="0FF0FBB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46C78A49"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548A741E"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gridSpan w:val="2"/>
            <w:shd w:val="clear" w:color="auto" w:fill="auto"/>
            <w:noWrap/>
            <w:vAlign w:val="center"/>
            <w:hideMark/>
          </w:tcPr>
          <w:p w14:paraId="2ADBCDEF"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4D780D2F"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119EA93B" w14:textId="77777777" w:rsidR="00440A6C" w:rsidRPr="00A91056" w:rsidRDefault="00440A6C" w:rsidP="00E329EF">
            <w:pPr>
              <w:widowControl/>
              <w:spacing w:line="240" w:lineRule="auto"/>
              <w:ind w:firstLine="0"/>
              <w:jc w:val="center"/>
              <w:rPr>
                <w:rFonts w:eastAsia="Times New Roman" w:cs="Arial"/>
                <w:sz w:val="18"/>
                <w:szCs w:val="18"/>
              </w:rPr>
            </w:pPr>
          </w:p>
        </w:tc>
        <w:tc>
          <w:tcPr>
            <w:tcW w:w="157" w:type="pct"/>
            <w:shd w:val="clear" w:color="auto" w:fill="auto"/>
            <w:noWrap/>
            <w:vAlign w:val="center"/>
            <w:hideMark/>
          </w:tcPr>
          <w:p w14:paraId="0ECEF828" w14:textId="77777777" w:rsidR="00440A6C" w:rsidRPr="00A91056" w:rsidRDefault="00440A6C" w:rsidP="00E329EF">
            <w:pPr>
              <w:widowControl/>
              <w:spacing w:line="240" w:lineRule="auto"/>
              <w:ind w:firstLine="0"/>
              <w:jc w:val="center"/>
              <w:rPr>
                <w:rFonts w:eastAsia="Times New Roman" w:cs="Arial"/>
                <w:sz w:val="18"/>
                <w:szCs w:val="18"/>
              </w:rPr>
            </w:pPr>
          </w:p>
        </w:tc>
        <w:tc>
          <w:tcPr>
            <w:tcW w:w="250" w:type="pct"/>
            <w:shd w:val="clear" w:color="auto" w:fill="auto"/>
            <w:noWrap/>
            <w:vAlign w:val="center"/>
            <w:hideMark/>
          </w:tcPr>
          <w:p w14:paraId="3512C117" w14:textId="23AE72F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16" w:type="pct"/>
            <w:shd w:val="clear" w:color="auto" w:fill="auto"/>
            <w:noWrap/>
            <w:vAlign w:val="center"/>
            <w:hideMark/>
          </w:tcPr>
          <w:p w14:paraId="5F7B6974" w14:textId="77777777" w:rsidR="00440A6C" w:rsidRPr="00A91056" w:rsidRDefault="00440A6C" w:rsidP="00E329EF">
            <w:pPr>
              <w:widowControl/>
              <w:spacing w:line="240" w:lineRule="auto"/>
              <w:ind w:firstLine="0"/>
              <w:jc w:val="center"/>
              <w:rPr>
                <w:rFonts w:eastAsia="Times New Roman" w:cs="Arial"/>
                <w:color w:val="000000"/>
                <w:sz w:val="18"/>
                <w:szCs w:val="18"/>
              </w:rPr>
            </w:pPr>
          </w:p>
        </w:tc>
      </w:tr>
      <w:tr w:rsidR="0007664D" w:rsidRPr="00A91056" w14:paraId="07CF175C" w14:textId="77777777" w:rsidTr="00A576CB">
        <w:trPr>
          <w:trHeight w:val="288"/>
        </w:trPr>
        <w:tc>
          <w:tcPr>
            <w:tcW w:w="844" w:type="pct"/>
            <w:shd w:val="clear" w:color="auto" w:fill="auto"/>
            <w:noWrap/>
            <w:vAlign w:val="center"/>
            <w:hideMark/>
          </w:tcPr>
          <w:p w14:paraId="606DEB6B"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 xml:space="preserve">Hydralazine </w:t>
            </w:r>
            <w:proofErr w:type="spellStart"/>
            <w:r w:rsidRPr="00A91056">
              <w:rPr>
                <w:rFonts w:eastAsia="Times New Roman" w:cs="Arial"/>
                <w:color w:val="000000"/>
                <w:sz w:val="18"/>
                <w:szCs w:val="18"/>
              </w:rPr>
              <w:t>hcl</w:t>
            </w:r>
            <w:proofErr w:type="spellEnd"/>
          </w:p>
        </w:tc>
        <w:tc>
          <w:tcPr>
            <w:tcW w:w="374" w:type="pct"/>
            <w:shd w:val="clear" w:color="auto" w:fill="auto"/>
            <w:noWrap/>
            <w:vAlign w:val="center"/>
            <w:hideMark/>
          </w:tcPr>
          <w:p w14:paraId="73ED56FD"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304-20-1</w:t>
            </w:r>
          </w:p>
        </w:tc>
        <w:tc>
          <w:tcPr>
            <w:tcW w:w="500" w:type="pct"/>
            <w:shd w:val="clear" w:color="auto" w:fill="auto"/>
            <w:vAlign w:val="center"/>
            <w:hideMark/>
          </w:tcPr>
          <w:p w14:paraId="732F100F"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 xml:space="preserve">1.5 - 6 </w:t>
            </w:r>
            <w:r w:rsidRPr="00A91056">
              <w:rPr>
                <w:rFonts w:eastAsia="Times New Roman" w:cs="Arial"/>
                <w:color w:val="000000"/>
                <w:sz w:val="18"/>
                <w:szCs w:val="18"/>
                <w:vertAlign w:val="superscript"/>
              </w:rPr>
              <w:t>b</w:t>
            </w:r>
          </w:p>
        </w:tc>
        <w:tc>
          <w:tcPr>
            <w:tcW w:w="158" w:type="pct"/>
            <w:shd w:val="clear" w:color="auto" w:fill="auto"/>
            <w:vAlign w:val="center"/>
            <w:hideMark/>
          </w:tcPr>
          <w:p w14:paraId="6F87FBDE" w14:textId="3F020FF1"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noWrap/>
            <w:vAlign w:val="center"/>
            <w:hideMark/>
          </w:tcPr>
          <w:p w14:paraId="4ED66D8E" w14:textId="6C3DF2A8" w:rsidR="00440A6C" w:rsidRPr="00A91056" w:rsidRDefault="00440A6C" w:rsidP="00E329EF">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157" w:type="pct"/>
            <w:shd w:val="clear" w:color="auto" w:fill="auto"/>
            <w:noWrap/>
            <w:vAlign w:val="center"/>
            <w:hideMark/>
          </w:tcPr>
          <w:p w14:paraId="1335CECF" w14:textId="4317AF71"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w:t>
            </w:r>
          </w:p>
        </w:tc>
        <w:tc>
          <w:tcPr>
            <w:tcW w:w="281" w:type="pct"/>
            <w:shd w:val="clear" w:color="auto" w:fill="auto"/>
            <w:noWrap/>
            <w:vAlign w:val="center"/>
            <w:hideMark/>
          </w:tcPr>
          <w:p w14:paraId="124B9619" w14:textId="67A7794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 in vitro</w:t>
            </w:r>
          </w:p>
        </w:tc>
        <w:tc>
          <w:tcPr>
            <w:tcW w:w="219" w:type="pct"/>
            <w:shd w:val="clear" w:color="auto" w:fill="auto"/>
            <w:noWrap/>
            <w:vAlign w:val="center"/>
            <w:hideMark/>
          </w:tcPr>
          <w:p w14:paraId="78C9E7B7" w14:textId="4AF2428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74CB3EE1"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7" w:type="pct"/>
            <w:shd w:val="clear" w:color="auto" w:fill="auto"/>
            <w:noWrap/>
            <w:vAlign w:val="center"/>
            <w:hideMark/>
          </w:tcPr>
          <w:p w14:paraId="3438310E"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6ABEAE8A" w14:textId="77777777" w:rsidR="00440A6C" w:rsidRPr="00A91056" w:rsidRDefault="00440A6C" w:rsidP="00E329EF">
            <w:pPr>
              <w:widowControl/>
              <w:spacing w:line="240" w:lineRule="auto"/>
              <w:ind w:firstLine="0"/>
              <w:jc w:val="center"/>
              <w:rPr>
                <w:rFonts w:eastAsia="Times New Roman" w:cs="Arial"/>
                <w:sz w:val="18"/>
                <w:szCs w:val="18"/>
              </w:rPr>
            </w:pPr>
          </w:p>
        </w:tc>
        <w:tc>
          <w:tcPr>
            <w:tcW w:w="250" w:type="pct"/>
            <w:shd w:val="clear" w:color="auto" w:fill="auto"/>
            <w:noWrap/>
            <w:vAlign w:val="center"/>
            <w:hideMark/>
          </w:tcPr>
          <w:p w14:paraId="303AD6C6" w14:textId="6D779395"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41067430" w14:textId="1D465840"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gridSpan w:val="2"/>
            <w:shd w:val="clear" w:color="auto" w:fill="auto"/>
            <w:noWrap/>
            <w:vAlign w:val="center"/>
            <w:hideMark/>
          </w:tcPr>
          <w:p w14:paraId="484F0D1F"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1BB7328F"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5E1B58B0" w14:textId="57CC249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5A262F61"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50" w:type="pct"/>
            <w:shd w:val="clear" w:color="auto" w:fill="auto"/>
            <w:noWrap/>
            <w:vAlign w:val="center"/>
            <w:hideMark/>
          </w:tcPr>
          <w:p w14:paraId="05F4751B" w14:textId="77777777" w:rsidR="00440A6C" w:rsidRPr="00A91056" w:rsidRDefault="00440A6C" w:rsidP="00E329EF">
            <w:pPr>
              <w:widowControl/>
              <w:spacing w:line="240" w:lineRule="auto"/>
              <w:ind w:firstLine="0"/>
              <w:jc w:val="center"/>
              <w:rPr>
                <w:rFonts w:eastAsia="Times New Roman" w:cs="Arial"/>
                <w:sz w:val="18"/>
                <w:szCs w:val="18"/>
              </w:rPr>
            </w:pPr>
          </w:p>
        </w:tc>
        <w:tc>
          <w:tcPr>
            <w:tcW w:w="216" w:type="pct"/>
            <w:shd w:val="clear" w:color="auto" w:fill="auto"/>
            <w:noWrap/>
            <w:vAlign w:val="center"/>
            <w:hideMark/>
          </w:tcPr>
          <w:p w14:paraId="614AA5FF" w14:textId="1F1A783A" w:rsidR="00440A6C" w:rsidRPr="00A91056" w:rsidRDefault="00440A6C" w:rsidP="00E329EF">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r>
      <w:tr w:rsidR="0007664D" w:rsidRPr="00A91056" w14:paraId="7706B4A9" w14:textId="77777777" w:rsidTr="00A576CB">
        <w:trPr>
          <w:trHeight w:val="288"/>
        </w:trPr>
        <w:tc>
          <w:tcPr>
            <w:tcW w:w="844" w:type="pct"/>
            <w:shd w:val="clear" w:color="auto" w:fill="auto"/>
            <w:noWrap/>
            <w:vAlign w:val="center"/>
            <w:hideMark/>
          </w:tcPr>
          <w:p w14:paraId="2EBFD13B"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Ibuprofen</w:t>
            </w:r>
          </w:p>
        </w:tc>
        <w:tc>
          <w:tcPr>
            <w:tcW w:w="374" w:type="pct"/>
            <w:shd w:val="clear" w:color="auto" w:fill="auto"/>
            <w:noWrap/>
            <w:vAlign w:val="center"/>
            <w:hideMark/>
          </w:tcPr>
          <w:p w14:paraId="0FCA8FBD"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15687-27-1</w:t>
            </w:r>
          </w:p>
        </w:tc>
        <w:tc>
          <w:tcPr>
            <w:tcW w:w="500" w:type="pct"/>
            <w:shd w:val="clear" w:color="auto" w:fill="auto"/>
            <w:vAlign w:val="center"/>
            <w:hideMark/>
          </w:tcPr>
          <w:p w14:paraId="68F90E30"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 xml:space="preserve">3 - 5 </w:t>
            </w:r>
            <w:r w:rsidRPr="00A91056">
              <w:rPr>
                <w:rFonts w:eastAsia="Times New Roman" w:cs="Arial"/>
                <w:color w:val="000000"/>
                <w:sz w:val="18"/>
                <w:szCs w:val="18"/>
                <w:vertAlign w:val="superscript"/>
              </w:rPr>
              <w:t>b</w:t>
            </w:r>
          </w:p>
        </w:tc>
        <w:tc>
          <w:tcPr>
            <w:tcW w:w="158" w:type="pct"/>
            <w:shd w:val="clear" w:color="auto" w:fill="auto"/>
            <w:vAlign w:val="center"/>
            <w:hideMark/>
          </w:tcPr>
          <w:p w14:paraId="35A2410C" w14:textId="21A004A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vAlign w:val="center"/>
            <w:hideMark/>
          </w:tcPr>
          <w:p w14:paraId="2CA63BA2" w14:textId="38F72BA5"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004A7A44" w14:textId="1DE04FF5"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w:t>
            </w:r>
          </w:p>
        </w:tc>
        <w:tc>
          <w:tcPr>
            <w:tcW w:w="281" w:type="pct"/>
            <w:shd w:val="clear" w:color="auto" w:fill="auto"/>
            <w:noWrap/>
            <w:vAlign w:val="center"/>
            <w:hideMark/>
          </w:tcPr>
          <w:p w14:paraId="44412FF6"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13D9BF1F" w14:textId="546D601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50" w:type="pct"/>
            <w:shd w:val="clear" w:color="auto" w:fill="auto"/>
            <w:noWrap/>
            <w:vAlign w:val="center"/>
            <w:hideMark/>
          </w:tcPr>
          <w:p w14:paraId="2385C674"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7" w:type="pct"/>
            <w:shd w:val="clear" w:color="auto" w:fill="auto"/>
            <w:noWrap/>
            <w:vAlign w:val="center"/>
            <w:hideMark/>
          </w:tcPr>
          <w:p w14:paraId="5E1B20D6"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51C7A3A2" w14:textId="77777777" w:rsidR="00440A6C" w:rsidRPr="00A91056" w:rsidRDefault="00440A6C" w:rsidP="00E329EF">
            <w:pPr>
              <w:widowControl/>
              <w:spacing w:line="240" w:lineRule="auto"/>
              <w:ind w:firstLine="0"/>
              <w:jc w:val="center"/>
              <w:rPr>
                <w:rFonts w:eastAsia="Times New Roman" w:cs="Arial"/>
                <w:sz w:val="18"/>
                <w:szCs w:val="18"/>
              </w:rPr>
            </w:pPr>
          </w:p>
        </w:tc>
        <w:tc>
          <w:tcPr>
            <w:tcW w:w="250" w:type="pct"/>
            <w:shd w:val="clear" w:color="auto" w:fill="auto"/>
            <w:noWrap/>
            <w:vAlign w:val="center"/>
            <w:hideMark/>
          </w:tcPr>
          <w:p w14:paraId="72DD5B49"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shd w:val="clear" w:color="auto" w:fill="auto"/>
            <w:noWrap/>
            <w:vAlign w:val="center"/>
            <w:hideMark/>
          </w:tcPr>
          <w:p w14:paraId="7E9EEEBF"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gridSpan w:val="2"/>
            <w:shd w:val="clear" w:color="auto" w:fill="auto"/>
            <w:noWrap/>
            <w:vAlign w:val="center"/>
            <w:hideMark/>
          </w:tcPr>
          <w:p w14:paraId="76A652D7"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65C50B86"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5357F29D" w14:textId="77777777" w:rsidR="00440A6C" w:rsidRPr="00A91056" w:rsidRDefault="00440A6C" w:rsidP="00E329EF">
            <w:pPr>
              <w:widowControl/>
              <w:spacing w:line="240" w:lineRule="auto"/>
              <w:ind w:firstLine="0"/>
              <w:jc w:val="center"/>
              <w:rPr>
                <w:rFonts w:eastAsia="Times New Roman" w:cs="Arial"/>
                <w:sz w:val="18"/>
                <w:szCs w:val="18"/>
              </w:rPr>
            </w:pPr>
          </w:p>
        </w:tc>
        <w:tc>
          <w:tcPr>
            <w:tcW w:w="157" w:type="pct"/>
            <w:shd w:val="clear" w:color="auto" w:fill="auto"/>
            <w:noWrap/>
            <w:vAlign w:val="center"/>
            <w:hideMark/>
          </w:tcPr>
          <w:p w14:paraId="70035031" w14:textId="0F2ED6E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4A285BDD"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6" w:type="pct"/>
            <w:shd w:val="clear" w:color="auto" w:fill="auto"/>
            <w:noWrap/>
            <w:vAlign w:val="center"/>
            <w:hideMark/>
          </w:tcPr>
          <w:p w14:paraId="3989D03E" w14:textId="439ED72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r>
      <w:tr w:rsidR="0007664D" w:rsidRPr="00A91056" w14:paraId="7910DD68" w14:textId="77777777" w:rsidTr="00A576CB">
        <w:trPr>
          <w:trHeight w:val="288"/>
        </w:trPr>
        <w:tc>
          <w:tcPr>
            <w:tcW w:w="844" w:type="pct"/>
            <w:shd w:val="clear" w:color="auto" w:fill="auto"/>
            <w:noWrap/>
            <w:vAlign w:val="center"/>
            <w:hideMark/>
          </w:tcPr>
          <w:p w14:paraId="574DA4F0" w14:textId="77777777" w:rsidR="00440A6C" w:rsidRPr="00A91056" w:rsidRDefault="00440A6C" w:rsidP="00440A6C">
            <w:pPr>
              <w:widowControl/>
              <w:spacing w:line="240" w:lineRule="auto"/>
              <w:ind w:firstLine="0"/>
              <w:rPr>
                <w:rFonts w:eastAsia="Times New Roman" w:cs="Arial"/>
                <w:color w:val="000000"/>
                <w:sz w:val="18"/>
                <w:szCs w:val="18"/>
              </w:rPr>
            </w:pPr>
            <w:proofErr w:type="spellStart"/>
            <w:r w:rsidRPr="00A91056">
              <w:rPr>
                <w:rFonts w:eastAsia="Times New Roman" w:cs="Arial"/>
                <w:color w:val="000000"/>
                <w:sz w:val="18"/>
                <w:szCs w:val="18"/>
              </w:rPr>
              <w:t>Isoquinoline</w:t>
            </w:r>
            <w:proofErr w:type="spellEnd"/>
          </w:p>
        </w:tc>
        <w:tc>
          <w:tcPr>
            <w:tcW w:w="374" w:type="pct"/>
            <w:shd w:val="clear" w:color="auto" w:fill="auto"/>
            <w:noWrap/>
            <w:vAlign w:val="center"/>
            <w:hideMark/>
          </w:tcPr>
          <w:p w14:paraId="58BD7A9B"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119-65-3</w:t>
            </w:r>
          </w:p>
        </w:tc>
        <w:tc>
          <w:tcPr>
            <w:tcW w:w="500" w:type="pct"/>
            <w:shd w:val="clear" w:color="auto" w:fill="auto"/>
            <w:vAlign w:val="center"/>
            <w:hideMark/>
          </w:tcPr>
          <w:p w14:paraId="781569F7"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2 - 4 ª</w:t>
            </w:r>
          </w:p>
        </w:tc>
        <w:tc>
          <w:tcPr>
            <w:tcW w:w="158" w:type="pct"/>
            <w:shd w:val="clear" w:color="auto" w:fill="auto"/>
            <w:vAlign w:val="center"/>
            <w:hideMark/>
          </w:tcPr>
          <w:p w14:paraId="688F2AE1" w14:textId="78D02445"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49" w:type="pct"/>
            <w:shd w:val="clear" w:color="auto" w:fill="auto"/>
            <w:vAlign w:val="center"/>
            <w:hideMark/>
          </w:tcPr>
          <w:p w14:paraId="576CE735" w14:textId="4D00166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vAlign w:val="center"/>
            <w:hideMark/>
          </w:tcPr>
          <w:p w14:paraId="07EEC48F" w14:textId="416821AD" w:rsidR="00440A6C" w:rsidRPr="00A91056" w:rsidRDefault="00440A6C" w:rsidP="00E329EF">
            <w:pPr>
              <w:widowControl/>
              <w:spacing w:line="240" w:lineRule="auto"/>
              <w:ind w:firstLine="0"/>
              <w:jc w:val="center"/>
              <w:rPr>
                <w:rFonts w:eastAsia="Times New Roman" w:cs="Arial"/>
                <w:color w:val="000000"/>
                <w:sz w:val="18"/>
                <w:szCs w:val="18"/>
              </w:rPr>
            </w:pPr>
          </w:p>
        </w:tc>
        <w:tc>
          <w:tcPr>
            <w:tcW w:w="281" w:type="pct"/>
            <w:shd w:val="clear" w:color="auto" w:fill="auto"/>
            <w:noWrap/>
            <w:vAlign w:val="center"/>
            <w:hideMark/>
          </w:tcPr>
          <w:p w14:paraId="6DF74F6E"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43AF129E" w14:textId="44B6E6F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50" w:type="pct"/>
            <w:shd w:val="clear" w:color="auto" w:fill="auto"/>
            <w:noWrap/>
            <w:vAlign w:val="center"/>
            <w:hideMark/>
          </w:tcPr>
          <w:p w14:paraId="2E6A015B"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7" w:type="pct"/>
            <w:shd w:val="clear" w:color="auto" w:fill="auto"/>
            <w:noWrap/>
            <w:vAlign w:val="center"/>
            <w:hideMark/>
          </w:tcPr>
          <w:p w14:paraId="33C2BE40"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51096DF2" w14:textId="77777777" w:rsidR="00440A6C" w:rsidRPr="00A91056" w:rsidRDefault="00440A6C" w:rsidP="00E329EF">
            <w:pPr>
              <w:widowControl/>
              <w:spacing w:line="240" w:lineRule="auto"/>
              <w:ind w:firstLine="0"/>
              <w:jc w:val="center"/>
              <w:rPr>
                <w:rFonts w:eastAsia="Times New Roman" w:cs="Arial"/>
                <w:sz w:val="18"/>
                <w:szCs w:val="18"/>
              </w:rPr>
            </w:pPr>
          </w:p>
        </w:tc>
        <w:tc>
          <w:tcPr>
            <w:tcW w:w="250" w:type="pct"/>
            <w:shd w:val="clear" w:color="auto" w:fill="auto"/>
            <w:noWrap/>
            <w:vAlign w:val="center"/>
            <w:hideMark/>
          </w:tcPr>
          <w:p w14:paraId="71CBCECD"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shd w:val="clear" w:color="auto" w:fill="auto"/>
            <w:noWrap/>
            <w:vAlign w:val="center"/>
            <w:hideMark/>
          </w:tcPr>
          <w:p w14:paraId="79FD4E62" w14:textId="1EFCF5FF"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19" w:type="pct"/>
            <w:gridSpan w:val="2"/>
            <w:shd w:val="clear" w:color="auto" w:fill="auto"/>
            <w:noWrap/>
            <w:vAlign w:val="center"/>
            <w:hideMark/>
          </w:tcPr>
          <w:p w14:paraId="0CC0A0C1"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54E3D697"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43AC4DD3" w14:textId="77777777" w:rsidR="00440A6C" w:rsidRPr="00A91056" w:rsidRDefault="00440A6C" w:rsidP="00E329EF">
            <w:pPr>
              <w:widowControl/>
              <w:spacing w:line="240" w:lineRule="auto"/>
              <w:ind w:firstLine="0"/>
              <w:jc w:val="center"/>
              <w:rPr>
                <w:rFonts w:eastAsia="Times New Roman" w:cs="Arial"/>
                <w:sz w:val="18"/>
                <w:szCs w:val="18"/>
              </w:rPr>
            </w:pPr>
          </w:p>
        </w:tc>
        <w:tc>
          <w:tcPr>
            <w:tcW w:w="157" w:type="pct"/>
            <w:shd w:val="clear" w:color="auto" w:fill="auto"/>
            <w:noWrap/>
            <w:vAlign w:val="center"/>
            <w:hideMark/>
          </w:tcPr>
          <w:p w14:paraId="443271DE" w14:textId="77777777" w:rsidR="00440A6C" w:rsidRPr="00A91056" w:rsidRDefault="00440A6C" w:rsidP="00E329EF">
            <w:pPr>
              <w:widowControl/>
              <w:spacing w:line="240" w:lineRule="auto"/>
              <w:ind w:firstLine="0"/>
              <w:jc w:val="center"/>
              <w:rPr>
                <w:rFonts w:eastAsia="Times New Roman" w:cs="Arial"/>
                <w:sz w:val="18"/>
                <w:szCs w:val="18"/>
              </w:rPr>
            </w:pPr>
          </w:p>
        </w:tc>
        <w:tc>
          <w:tcPr>
            <w:tcW w:w="250" w:type="pct"/>
            <w:shd w:val="clear" w:color="auto" w:fill="auto"/>
            <w:noWrap/>
            <w:vAlign w:val="center"/>
            <w:hideMark/>
          </w:tcPr>
          <w:p w14:paraId="5E471FCC" w14:textId="77777777" w:rsidR="00440A6C" w:rsidRPr="00A91056" w:rsidRDefault="00440A6C" w:rsidP="00E329EF">
            <w:pPr>
              <w:widowControl/>
              <w:spacing w:line="240" w:lineRule="auto"/>
              <w:ind w:firstLine="0"/>
              <w:jc w:val="center"/>
              <w:rPr>
                <w:rFonts w:eastAsia="Times New Roman" w:cs="Arial"/>
                <w:sz w:val="18"/>
                <w:szCs w:val="18"/>
              </w:rPr>
            </w:pPr>
          </w:p>
        </w:tc>
        <w:tc>
          <w:tcPr>
            <w:tcW w:w="216" w:type="pct"/>
            <w:shd w:val="clear" w:color="auto" w:fill="auto"/>
            <w:noWrap/>
            <w:vAlign w:val="center"/>
            <w:hideMark/>
          </w:tcPr>
          <w:p w14:paraId="172B7414" w14:textId="77777777" w:rsidR="00440A6C" w:rsidRPr="00A91056" w:rsidRDefault="00440A6C" w:rsidP="00E329EF">
            <w:pPr>
              <w:widowControl/>
              <w:spacing w:line="240" w:lineRule="auto"/>
              <w:ind w:firstLine="0"/>
              <w:jc w:val="center"/>
              <w:rPr>
                <w:rFonts w:eastAsia="Times New Roman" w:cs="Arial"/>
                <w:sz w:val="18"/>
                <w:szCs w:val="18"/>
              </w:rPr>
            </w:pPr>
          </w:p>
        </w:tc>
      </w:tr>
      <w:tr w:rsidR="0007664D" w:rsidRPr="00A91056" w14:paraId="39665554" w14:textId="77777777" w:rsidTr="00A576CB">
        <w:trPr>
          <w:trHeight w:val="288"/>
        </w:trPr>
        <w:tc>
          <w:tcPr>
            <w:tcW w:w="844" w:type="pct"/>
            <w:shd w:val="clear" w:color="auto" w:fill="auto"/>
            <w:noWrap/>
            <w:vAlign w:val="center"/>
            <w:hideMark/>
          </w:tcPr>
          <w:p w14:paraId="170ADD30" w14:textId="77777777" w:rsidR="00440A6C" w:rsidRPr="00A91056" w:rsidRDefault="00440A6C" w:rsidP="00440A6C">
            <w:pPr>
              <w:widowControl/>
              <w:spacing w:line="240" w:lineRule="auto"/>
              <w:ind w:firstLine="0"/>
              <w:rPr>
                <w:rFonts w:eastAsia="Times New Roman" w:cs="Arial"/>
                <w:color w:val="000000"/>
                <w:sz w:val="18"/>
                <w:szCs w:val="18"/>
              </w:rPr>
            </w:pPr>
            <w:proofErr w:type="spellStart"/>
            <w:r w:rsidRPr="00A91056">
              <w:rPr>
                <w:rFonts w:eastAsia="Times New Roman" w:cs="Arial"/>
                <w:color w:val="000000"/>
                <w:sz w:val="18"/>
                <w:szCs w:val="18"/>
              </w:rPr>
              <w:t>Lasiocarpine</w:t>
            </w:r>
            <w:proofErr w:type="spellEnd"/>
          </w:p>
        </w:tc>
        <w:tc>
          <w:tcPr>
            <w:tcW w:w="374" w:type="pct"/>
            <w:shd w:val="clear" w:color="auto" w:fill="auto"/>
            <w:noWrap/>
            <w:vAlign w:val="center"/>
            <w:hideMark/>
          </w:tcPr>
          <w:p w14:paraId="16D43E66"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303-34-4</w:t>
            </w:r>
          </w:p>
        </w:tc>
        <w:tc>
          <w:tcPr>
            <w:tcW w:w="500" w:type="pct"/>
            <w:shd w:val="clear" w:color="auto" w:fill="auto"/>
            <w:vAlign w:val="center"/>
            <w:hideMark/>
          </w:tcPr>
          <w:p w14:paraId="676A9F3A"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0.25 - 0.5 ª</w:t>
            </w:r>
          </w:p>
        </w:tc>
        <w:tc>
          <w:tcPr>
            <w:tcW w:w="158" w:type="pct"/>
            <w:shd w:val="clear" w:color="auto" w:fill="auto"/>
            <w:vAlign w:val="center"/>
            <w:hideMark/>
          </w:tcPr>
          <w:p w14:paraId="006B5B8D" w14:textId="6E394D24"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vAlign w:val="center"/>
            <w:hideMark/>
          </w:tcPr>
          <w:p w14:paraId="31A3DDC8" w14:textId="75C07750"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vAlign w:val="center"/>
            <w:hideMark/>
          </w:tcPr>
          <w:p w14:paraId="768005EA" w14:textId="52E0C21D" w:rsidR="00440A6C" w:rsidRPr="00A91056" w:rsidRDefault="00440A6C" w:rsidP="00E329EF">
            <w:pPr>
              <w:widowControl/>
              <w:spacing w:line="240" w:lineRule="auto"/>
              <w:ind w:firstLine="0"/>
              <w:jc w:val="center"/>
              <w:rPr>
                <w:rFonts w:eastAsia="Times New Roman" w:cs="Arial"/>
                <w:color w:val="000000"/>
                <w:sz w:val="18"/>
                <w:szCs w:val="18"/>
              </w:rPr>
            </w:pPr>
          </w:p>
        </w:tc>
        <w:tc>
          <w:tcPr>
            <w:tcW w:w="281" w:type="pct"/>
            <w:shd w:val="clear" w:color="auto" w:fill="auto"/>
            <w:noWrap/>
            <w:vAlign w:val="center"/>
            <w:hideMark/>
          </w:tcPr>
          <w:p w14:paraId="286FD98F" w14:textId="21C56091"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65FA0243" w14:textId="6F98962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4335B0D6"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7" w:type="pct"/>
            <w:shd w:val="clear" w:color="auto" w:fill="auto"/>
            <w:noWrap/>
            <w:vAlign w:val="center"/>
            <w:hideMark/>
          </w:tcPr>
          <w:p w14:paraId="7DCDDC2D"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5D84B3C4" w14:textId="552BB992"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46F14523" w14:textId="4ADE8D1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6F711513" w14:textId="29FA48D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gridSpan w:val="2"/>
            <w:shd w:val="clear" w:color="auto" w:fill="auto"/>
            <w:noWrap/>
            <w:vAlign w:val="center"/>
            <w:hideMark/>
          </w:tcPr>
          <w:p w14:paraId="6DA739C4"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436018D4"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58A543F9" w14:textId="1CBB8D61"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572D81D2"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50" w:type="pct"/>
            <w:shd w:val="clear" w:color="auto" w:fill="auto"/>
            <w:noWrap/>
            <w:vAlign w:val="center"/>
            <w:hideMark/>
          </w:tcPr>
          <w:p w14:paraId="07DA3161" w14:textId="77777777" w:rsidR="00440A6C" w:rsidRPr="00A91056" w:rsidRDefault="00440A6C" w:rsidP="00E329EF">
            <w:pPr>
              <w:widowControl/>
              <w:spacing w:line="240" w:lineRule="auto"/>
              <w:ind w:firstLine="0"/>
              <w:jc w:val="center"/>
              <w:rPr>
                <w:rFonts w:eastAsia="Times New Roman" w:cs="Arial"/>
                <w:sz w:val="18"/>
                <w:szCs w:val="18"/>
              </w:rPr>
            </w:pPr>
          </w:p>
        </w:tc>
        <w:tc>
          <w:tcPr>
            <w:tcW w:w="216" w:type="pct"/>
            <w:shd w:val="clear" w:color="auto" w:fill="auto"/>
            <w:noWrap/>
            <w:vAlign w:val="center"/>
            <w:hideMark/>
          </w:tcPr>
          <w:p w14:paraId="4FCE5381" w14:textId="4AAD00A5"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07664D" w:rsidRPr="00A91056" w14:paraId="1A276A91" w14:textId="77777777" w:rsidTr="00A576CB">
        <w:trPr>
          <w:trHeight w:val="288"/>
        </w:trPr>
        <w:tc>
          <w:tcPr>
            <w:tcW w:w="844" w:type="pct"/>
            <w:shd w:val="clear" w:color="auto" w:fill="auto"/>
            <w:vAlign w:val="center"/>
            <w:hideMark/>
          </w:tcPr>
          <w:p w14:paraId="25E44CB6"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Lidocaine</w:t>
            </w:r>
          </w:p>
        </w:tc>
        <w:tc>
          <w:tcPr>
            <w:tcW w:w="374" w:type="pct"/>
            <w:shd w:val="clear" w:color="auto" w:fill="auto"/>
            <w:vAlign w:val="center"/>
            <w:hideMark/>
          </w:tcPr>
          <w:p w14:paraId="425FA9C0"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6108-05-0</w:t>
            </w:r>
          </w:p>
        </w:tc>
        <w:tc>
          <w:tcPr>
            <w:tcW w:w="500" w:type="pct"/>
            <w:shd w:val="clear" w:color="auto" w:fill="auto"/>
            <w:vAlign w:val="center"/>
            <w:hideMark/>
          </w:tcPr>
          <w:p w14:paraId="6AFFF71A"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5 - 15 ª</w:t>
            </w:r>
          </w:p>
        </w:tc>
        <w:tc>
          <w:tcPr>
            <w:tcW w:w="158" w:type="pct"/>
            <w:shd w:val="clear" w:color="auto" w:fill="auto"/>
            <w:vAlign w:val="center"/>
            <w:hideMark/>
          </w:tcPr>
          <w:p w14:paraId="78B77DCE" w14:textId="66BD2E3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49" w:type="pct"/>
            <w:shd w:val="clear" w:color="auto" w:fill="auto"/>
            <w:vAlign w:val="center"/>
            <w:hideMark/>
          </w:tcPr>
          <w:p w14:paraId="32622E44" w14:textId="4899E35F"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7B95A5DD" w14:textId="3D50725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w:t>
            </w:r>
          </w:p>
        </w:tc>
        <w:tc>
          <w:tcPr>
            <w:tcW w:w="281" w:type="pct"/>
            <w:shd w:val="clear" w:color="auto" w:fill="auto"/>
            <w:noWrap/>
            <w:vAlign w:val="center"/>
            <w:hideMark/>
          </w:tcPr>
          <w:p w14:paraId="37091435" w14:textId="761801EA"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72591815" w14:textId="4F56376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50" w:type="pct"/>
            <w:shd w:val="clear" w:color="auto" w:fill="auto"/>
            <w:noWrap/>
            <w:vAlign w:val="center"/>
            <w:hideMark/>
          </w:tcPr>
          <w:p w14:paraId="5EFDCDDF"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7" w:type="pct"/>
            <w:shd w:val="clear" w:color="auto" w:fill="auto"/>
            <w:noWrap/>
            <w:vAlign w:val="center"/>
            <w:hideMark/>
          </w:tcPr>
          <w:p w14:paraId="49CFC1BF"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42489F24" w14:textId="1E40AF0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50" w:type="pct"/>
            <w:shd w:val="clear" w:color="auto" w:fill="auto"/>
            <w:noWrap/>
            <w:vAlign w:val="center"/>
            <w:hideMark/>
          </w:tcPr>
          <w:p w14:paraId="770E1159"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693CC2DC"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gridSpan w:val="2"/>
            <w:shd w:val="clear" w:color="auto" w:fill="auto"/>
            <w:noWrap/>
            <w:vAlign w:val="center"/>
            <w:hideMark/>
          </w:tcPr>
          <w:p w14:paraId="05D99A71"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0806902F"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7ED61836" w14:textId="77777777" w:rsidR="00440A6C" w:rsidRPr="00A91056" w:rsidRDefault="00440A6C" w:rsidP="00E329EF">
            <w:pPr>
              <w:widowControl/>
              <w:spacing w:line="240" w:lineRule="auto"/>
              <w:ind w:firstLine="0"/>
              <w:jc w:val="center"/>
              <w:rPr>
                <w:rFonts w:eastAsia="Times New Roman" w:cs="Arial"/>
                <w:sz w:val="18"/>
                <w:szCs w:val="18"/>
              </w:rPr>
            </w:pPr>
          </w:p>
        </w:tc>
        <w:tc>
          <w:tcPr>
            <w:tcW w:w="157" w:type="pct"/>
            <w:shd w:val="clear" w:color="auto" w:fill="auto"/>
            <w:noWrap/>
            <w:vAlign w:val="center"/>
            <w:hideMark/>
          </w:tcPr>
          <w:p w14:paraId="766BD835" w14:textId="0CB9964B"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50" w:type="pct"/>
            <w:shd w:val="clear" w:color="auto" w:fill="auto"/>
            <w:noWrap/>
            <w:vAlign w:val="center"/>
            <w:hideMark/>
          </w:tcPr>
          <w:p w14:paraId="22526E8E"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6" w:type="pct"/>
            <w:shd w:val="clear" w:color="auto" w:fill="auto"/>
            <w:noWrap/>
            <w:vAlign w:val="center"/>
            <w:hideMark/>
          </w:tcPr>
          <w:p w14:paraId="6266BB2C" w14:textId="77777777" w:rsidR="00440A6C" w:rsidRPr="00A91056" w:rsidRDefault="00440A6C" w:rsidP="00E329EF">
            <w:pPr>
              <w:widowControl/>
              <w:spacing w:line="240" w:lineRule="auto"/>
              <w:ind w:firstLine="0"/>
              <w:jc w:val="center"/>
              <w:rPr>
                <w:rFonts w:eastAsia="Times New Roman" w:cs="Arial"/>
                <w:color w:val="000000"/>
                <w:sz w:val="18"/>
                <w:szCs w:val="18"/>
              </w:rPr>
            </w:pPr>
          </w:p>
        </w:tc>
      </w:tr>
      <w:tr w:rsidR="0007664D" w:rsidRPr="00A91056" w14:paraId="3815198D" w14:textId="77777777" w:rsidTr="00A576CB">
        <w:trPr>
          <w:trHeight w:val="288"/>
        </w:trPr>
        <w:tc>
          <w:tcPr>
            <w:tcW w:w="844" w:type="pct"/>
            <w:shd w:val="clear" w:color="auto" w:fill="auto"/>
            <w:noWrap/>
            <w:vAlign w:val="center"/>
            <w:hideMark/>
          </w:tcPr>
          <w:p w14:paraId="752FFF82"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L-Proline</w:t>
            </w:r>
          </w:p>
        </w:tc>
        <w:tc>
          <w:tcPr>
            <w:tcW w:w="374" w:type="pct"/>
            <w:shd w:val="clear" w:color="auto" w:fill="auto"/>
            <w:noWrap/>
            <w:vAlign w:val="center"/>
            <w:hideMark/>
          </w:tcPr>
          <w:p w14:paraId="4D6A1F54"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145-85-3</w:t>
            </w:r>
          </w:p>
        </w:tc>
        <w:tc>
          <w:tcPr>
            <w:tcW w:w="500" w:type="pct"/>
            <w:shd w:val="clear" w:color="auto" w:fill="auto"/>
            <w:vAlign w:val="center"/>
            <w:hideMark/>
          </w:tcPr>
          <w:p w14:paraId="7B40B227"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8 - 16</w:t>
            </w:r>
          </w:p>
        </w:tc>
        <w:tc>
          <w:tcPr>
            <w:tcW w:w="158" w:type="pct"/>
            <w:shd w:val="clear" w:color="auto" w:fill="auto"/>
            <w:vAlign w:val="center"/>
            <w:hideMark/>
          </w:tcPr>
          <w:p w14:paraId="7BFF7DCC" w14:textId="06CBEE0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vAlign w:val="center"/>
            <w:hideMark/>
          </w:tcPr>
          <w:p w14:paraId="1389F03A" w14:textId="0D33038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vAlign w:val="center"/>
            <w:hideMark/>
          </w:tcPr>
          <w:p w14:paraId="2DD190F3" w14:textId="523FF9C7" w:rsidR="00440A6C" w:rsidRPr="00A91056" w:rsidRDefault="00440A6C" w:rsidP="00E329EF">
            <w:pPr>
              <w:widowControl/>
              <w:spacing w:line="240" w:lineRule="auto"/>
              <w:ind w:firstLine="0"/>
              <w:jc w:val="center"/>
              <w:rPr>
                <w:rFonts w:eastAsia="Times New Roman" w:cs="Arial"/>
                <w:color w:val="000000"/>
                <w:sz w:val="18"/>
                <w:szCs w:val="18"/>
              </w:rPr>
            </w:pPr>
          </w:p>
        </w:tc>
        <w:tc>
          <w:tcPr>
            <w:tcW w:w="281" w:type="pct"/>
            <w:shd w:val="clear" w:color="auto" w:fill="auto"/>
            <w:noWrap/>
            <w:vAlign w:val="center"/>
            <w:hideMark/>
          </w:tcPr>
          <w:p w14:paraId="5BB296BD"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6D4DB00B" w14:textId="77777777" w:rsidR="00440A6C" w:rsidRPr="00A91056" w:rsidRDefault="00440A6C" w:rsidP="00E329EF">
            <w:pPr>
              <w:widowControl/>
              <w:spacing w:line="240" w:lineRule="auto"/>
              <w:ind w:firstLine="0"/>
              <w:jc w:val="center"/>
              <w:rPr>
                <w:rFonts w:eastAsia="Times New Roman" w:cs="Arial"/>
                <w:sz w:val="18"/>
                <w:szCs w:val="18"/>
              </w:rPr>
            </w:pPr>
          </w:p>
        </w:tc>
        <w:tc>
          <w:tcPr>
            <w:tcW w:w="250" w:type="pct"/>
            <w:shd w:val="clear" w:color="auto" w:fill="auto"/>
            <w:noWrap/>
            <w:vAlign w:val="center"/>
            <w:hideMark/>
          </w:tcPr>
          <w:p w14:paraId="5867789A" w14:textId="77777777" w:rsidR="00440A6C" w:rsidRPr="00A91056" w:rsidRDefault="00440A6C" w:rsidP="00E329EF">
            <w:pPr>
              <w:widowControl/>
              <w:spacing w:line="240" w:lineRule="auto"/>
              <w:ind w:firstLine="0"/>
              <w:jc w:val="center"/>
              <w:rPr>
                <w:rFonts w:eastAsia="Times New Roman" w:cs="Arial"/>
                <w:sz w:val="18"/>
                <w:szCs w:val="18"/>
              </w:rPr>
            </w:pPr>
          </w:p>
        </w:tc>
        <w:tc>
          <w:tcPr>
            <w:tcW w:w="157" w:type="pct"/>
            <w:shd w:val="clear" w:color="auto" w:fill="auto"/>
            <w:noWrap/>
            <w:vAlign w:val="center"/>
            <w:hideMark/>
          </w:tcPr>
          <w:p w14:paraId="148A8749"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2174BF1B" w14:textId="77777777" w:rsidR="00440A6C" w:rsidRPr="00A91056" w:rsidRDefault="00440A6C" w:rsidP="00E329EF">
            <w:pPr>
              <w:widowControl/>
              <w:spacing w:line="240" w:lineRule="auto"/>
              <w:ind w:firstLine="0"/>
              <w:jc w:val="center"/>
              <w:rPr>
                <w:rFonts w:eastAsia="Times New Roman" w:cs="Arial"/>
                <w:sz w:val="18"/>
                <w:szCs w:val="18"/>
              </w:rPr>
            </w:pPr>
          </w:p>
        </w:tc>
        <w:tc>
          <w:tcPr>
            <w:tcW w:w="250" w:type="pct"/>
            <w:shd w:val="clear" w:color="auto" w:fill="auto"/>
            <w:noWrap/>
            <w:vAlign w:val="center"/>
            <w:hideMark/>
          </w:tcPr>
          <w:p w14:paraId="16D44282"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shd w:val="clear" w:color="auto" w:fill="auto"/>
            <w:noWrap/>
            <w:vAlign w:val="center"/>
            <w:hideMark/>
          </w:tcPr>
          <w:p w14:paraId="1B703A2E"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gridSpan w:val="2"/>
            <w:shd w:val="clear" w:color="auto" w:fill="auto"/>
            <w:noWrap/>
            <w:vAlign w:val="center"/>
            <w:hideMark/>
          </w:tcPr>
          <w:p w14:paraId="05196BF8" w14:textId="77777777" w:rsidR="00440A6C" w:rsidRPr="00A91056" w:rsidRDefault="00440A6C" w:rsidP="00E329EF">
            <w:pPr>
              <w:widowControl/>
              <w:spacing w:line="240" w:lineRule="auto"/>
              <w:ind w:firstLine="0"/>
              <w:jc w:val="center"/>
              <w:rPr>
                <w:rFonts w:eastAsia="Times New Roman" w:cs="Arial"/>
                <w:sz w:val="18"/>
                <w:szCs w:val="18"/>
              </w:rPr>
            </w:pPr>
          </w:p>
        </w:tc>
        <w:tc>
          <w:tcPr>
            <w:tcW w:w="187" w:type="pct"/>
            <w:shd w:val="clear" w:color="auto" w:fill="auto"/>
            <w:noWrap/>
            <w:vAlign w:val="center"/>
            <w:hideMark/>
          </w:tcPr>
          <w:p w14:paraId="3B4FB05B"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7B2D73CA" w14:textId="77777777" w:rsidR="00440A6C" w:rsidRPr="00A91056" w:rsidRDefault="00440A6C" w:rsidP="00E329EF">
            <w:pPr>
              <w:widowControl/>
              <w:spacing w:line="240" w:lineRule="auto"/>
              <w:ind w:firstLine="0"/>
              <w:jc w:val="center"/>
              <w:rPr>
                <w:rFonts w:eastAsia="Times New Roman" w:cs="Arial"/>
                <w:sz w:val="18"/>
                <w:szCs w:val="18"/>
              </w:rPr>
            </w:pPr>
          </w:p>
        </w:tc>
        <w:tc>
          <w:tcPr>
            <w:tcW w:w="157" w:type="pct"/>
            <w:shd w:val="clear" w:color="auto" w:fill="auto"/>
            <w:noWrap/>
            <w:vAlign w:val="center"/>
            <w:hideMark/>
          </w:tcPr>
          <w:p w14:paraId="19BFF955" w14:textId="77777777" w:rsidR="00440A6C" w:rsidRPr="00A91056" w:rsidRDefault="00440A6C" w:rsidP="00E329EF">
            <w:pPr>
              <w:widowControl/>
              <w:spacing w:line="240" w:lineRule="auto"/>
              <w:ind w:firstLine="0"/>
              <w:jc w:val="center"/>
              <w:rPr>
                <w:rFonts w:eastAsia="Times New Roman" w:cs="Arial"/>
                <w:sz w:val="18"/>
                <w:szCs w:val="18"/>
              </w:rPr>
            </w:pPr>
          </w:p>
        </w:tc>
        <w:tc>
          <w:tcPr>
            <w:tcW w:w="250" w:type="pct"/>
            <w:shd w:val="clear" w:color="auto" w:fill="auto"/>
            <w:noWrap/>
            <w:vAlign w:val="center"/>
            <w:hideMark/>
          </w:tcPr>
          <w:p w14:paraId="74CCE98C" w14:textId="77777777" w:rsidR="00440A6C" w:rsidRPr="00A91056" w:rsidRDefault="00440A6C" w:rsidP="00E329EF">
            <w:pPr>
              <w:widowControl/>
              <w:spacing w:line="240" w:lineRule="auto"/>
              <w:ind w:firstLine="0"/>
              <w:jc w:val="center"/>
              <w:rPr>
                <w:rFonts w:eastAsia="Times New Roman" w:cs="Arial"/>
                <w:sz w:val="18"/>
                <w:szCs w:val="18"/>
              </w:rPr>
            </w:pPr>
          </w:p>
        </w:tc>
        <w:tc>
          <w:tcPr>
            <w:tcW w:w="216" w:type="pct"/>
            <w:shd w:val="clear" w:color="auto" w:fill="auto"/>
            <w:noWrap/>
            <w:vAlign w:val="center"/>
            <w:hideMark/>
          </w:tcPr>
          <w:p w14:paraId="5554FA59" w14:textId="77777777" w:rsidR="00440A6C" w:rsidRPr="00A91056" w:rsidRDefault="00440A6C" w:rsidP="00E329EF">
            <w:pPr>
              <w:widowControl/>
              <w:spacing w:line="240" w:lineRule="auto"/>
              <w:ind w:firstLine="0"/>
              <w:jc w:val="center"/>
              <w:rPr>
                <w:rFonts w:eastAsia="Times New Roman" w:cs="Arial"/>
                <w:sz w:val="18"/>
                <w:szCs w:val="18"/>
              </w:rPr>
            </w:pPr>
          </w:p>
        </w:tc>
      </w:tr>
      <w:tr w:rsidR="0007664D" w:rsidRPr="00A91056" w14:paraId="6F18D05B" w14:textId="77777777" w:rsidTr="00A576CB">
        <w:trPr>
          <w:trHeight w:val="288"/>
        </w:trPr>
        <w:tc>
          <w:tcPr>
            <w:tcW w:w="844" w:type="pct"/>
            <w:shd w:val="clear" w:color="auto" w:fill="auto"/>
            <w:noWrap/>
            <w:vAlign w:val="center"/>
            <w:hideMark/>
          </w:tcPr>
          <w:p w14:paraId="1C81FB4F"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Methyl eugenol</w:t>
            </w:r>
          </w:p>
        </w:tc>
        <w:tc>
          <w:tcPr>
            <w:tcW w:w="374" w:type="pct"/>
            <w:shd w:val="clear" w:color="auto" w:fill="auto"/>
            <w:noWrap/>
            <w:vAlign w:val="center"/>
            <w:hideMark/>
          </w:tcPr>
          <w:p w14:paraId="4192CB4F"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93-15-2</w:t>
            </w:r>
          </w:p>
        </w:tc>
        <w:tc>
          <w:tcPr>
            <w:tcW w:w="500" w:type="pct"/>
            <w:shd w:val="clear" w:color="auto" w:fill="auto"/>
            <w:vAlign w:val="center"/>
            <w:hideMark/>
          </w:tcPr>
          <w:p w14:paraId="378E65B9"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1 -  2</w:t>
            </w:r>
          </w:p>
        </w:tc>
        <w:tc>
          <w:tcPr>
            <w:tcW w:w="158" w:type="pct"/>
            <w:shd w:val="clear" w:color="auto" w:fill="auto"/>
            <w:vAlign w:val="center"/>
            <w:hideMark/>
          </w:tcPr>
          <w:p w14:paraId="6CE143BE" w14:textId="4536685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49" w:type="pct"/>
            <w:shd w:val="clear" w:color="auto" w:fill="auto"/>
            <w:vAlign w:val="center"/>
            <w:hideMark/>
          </w:tcPr>
          <w:p w14:paraId="18F0D28D" w14:textId="625E83A0"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69CA2EE1" w14:textId="6862E1E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w:t>
            </w:r>
          </w:p>
        </w:tc>
        <w:tc>
          <w:tcPr>
            <w:tcW w:w="281" w:type="pct"/>
            <w:shd w:val="clear" w:color="auto" w:fill="auto"/>
            <w:noWrap/>
            <w:vAlign w:val="center"/>
            <w:hideMark/>
          </w:tcPr>
          <w:p w14:paraId="0C756EC5" w14:textId="333444D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102726CE" w14:textId="2B7FC9B5"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50" w:type="pct"/>
            <w:shd w:val="clear" w:color="auto" w:fill="auto"/>
            <w:noWrap/>
            <w:vAlign w:val="center"/>
            <w:hideMark/>
          </w:tcPr>
          <w:p w14:paraId="490858E5" w14:textId="5BDD6FF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60471B89" w14:textId="4B1499C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6" w:type="pct"/>
            <w:shd w:val="clear" w:color="auto" w:fill="auto"/>
            <w:noWrap/>
            <w:vAlign w:val="center"/>
            <w:hideMark/>
          </w:tcPr>
          <w:p w14:paraId="22F84883" w14:textId="4509C81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50" w:type="pct"/>
            <w:shd w:val="clear" w:color="auto" w:fill="auto"/>
            <w:noWrap/>
            <w:vAlign w:val="center"/>
            <w:hideMark/>
          </w:tcPr>
          <w:p w14:paraId="2A029917"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67ABFF54"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gridSpan w:val="2"/>
            <w:shd w:val="clear" w:color="auto" w:fill="auto"/>
            <w:noWrap/>
            <w:vAlign w:val="center"/>
            <w:hideMark/>
          </w:tcPr>
          <w:p w14:paraId="5E48E494"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2D75F8C1" w14:textId="68238DC4"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21D4C8AD" w14:textId="74D5168B"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7B23500A"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50" w:type="pct"/>
            <w:shd w:val="clear" w:color="auto" w:fill="auto"/>
            <w:noWrap/>
            <w:vAlign w:val="center"/>
            <w:hideMark/>
          </w:tcPr>
          <w:p w14:paraId="14C27C82" w14:textId="7105FF5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6" w:type="pct"/>
            <w:shd w:val="clear" w:color="auto" w:fill="auto"/>
            <w:noWrap/>
            <w:vAlign w:val="center"/>
            <w:hideMark/>
          </w:tcPr>
          <w:p w14:paraId="227EA1FB" w14:textId="0146AFD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07664D" w:rsidRPr="00A91056" w14:paraId="4608303A" w14:textId="77777777" w:rsidTr="00A576CB">
        <w:trPr>
          <w:trHeight w:val="288"/>
        </w:trPr>
        <w:tc>
          <w:tcPr>
            <w:tcW w:w="844" w:type="pct"/>
            <w:shd w:val="clear" w:color="auto" w:fill="auto"/>
            <w:vAlign w:val="center"/>
            <w:hideMark/>
          </w:tcPr>
          <w:p w14:paraId="25FE196A"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Methyl methane sulfonate</w:t>
            </w:r>
          </w:p>
        </w:tc>
        <w:tc>
          <w:tcPr>
            <w:tcW w:w="374" w:type="pct"/>
            <w:shd w:val="clear" w:color="auto" w:fill="auto"/>
            <w:noWrap/>
            <w:vAlign w:val="center"/>
            <w:hideMark/>
          </w:tcPr>
          <w:p w14:paraId="2021AFC8"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66-27-3</w:t>
            </w:r>
          </w:p>
        </w:tc>
        <w:tc>
          <w:tcPr>
            <w:tcW w:w="500" w:type="pct"/>
            <w:shd w:val="clear" w:color="auto" w:fill="auto"/>
            <w:vAlign w:val="center"/>
            <w:hideMark/>
          </w:tcPr>
          <w:p w14:paraId="47614EF1"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2.5 ª</w:t>
            </w:r>
          </w:p>
        </w:tc>
        <w:tc>
          <w:tcPr>
            <w:tcW w:w="158" w:type="pct"/>
            <w:shd w:val="clear" w:color="auto" w:fill="auto"/>
            <w:vAlign w:val="center"/>
            <w:hideMark/>
          </w:tcPr>
          <w:p w14:paraId="7B1E51BB" w14:textId="73ECABD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vAlign w:val="center"/>
            <w:hideMark/>
          </w:tcPr>
          <w:p w14:paraId="55327F80" w14:textId="6A7FE384"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vAlign w:val="center"/>
            <w:hideMark/>
          </w:tcPr>
          <w:p w14:paraId="0D52220D" w14:textId="34816144" w:rsidR="00440A6C" w:rsidRPr="00A91056" w:rsidRDefault="00440A6C" w:rsidP="00E329EF">
            <w:pPr>
              <w:widowControl/>
              <w:spacing w:line="240" w:lineRule="auto"/>
              <w:ind w:firstLine="0"/>
              <w:jc w:val="center"/>
              <w:rPr>
                <w:rFonts w:eastAsia="Times New Roman" w:cs="Arial"/>
                <w:color w:val="000000"/>
                <w:sz w:val="18"/>
                <w:szCs w:val="18"/>
              </w:rPr>
            </w:pPr>
          </w:p>
        </w:tc>
        <w:tc>
          <w:tcPr>
            <w:tcW w:w="281" w:type="pct"/>
            <w:shd w:val="clear" w:color="auto" w:fill="auto"/>
            <w:noWrap/>
            <w:vAlign w:val="center"/>
            <w:hideMark/>
          </w:tcPr>
          <w:p w14:paraId="22F10A51" w14:textId="004EA65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142584BE" w14:textId="65B3334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7E623327" w14:textId="31878064"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18515FF9" w14:textId="02E5E0A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04DB903A" w14:textId="2B181375"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7638C075" w14:textId="3F5015A5"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73D56F7C" w14:textId="08DA12C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gridSpan w:val="2"/>
            <w:shd w:val="clear" w:color="auto" w:fill="auto"/>
            <w:noWrap/>
            <w:vAlign w:val="center"/>
            <w:hideMark/>
          </w:tcPr>
          <w:p w14:paraId="78F31680" w14:textId="4DF92A5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87" w:type="pct"/>
            <w:shd w:val="clear" w:color="auto" w:fill="auto"/>
            <w:noWrap/>
            <w:vAlign w:val="center"/>
            <w:hideMark/>
          </w:tcPr>
          <w:p w14:paraId="20B312B4" w14:textId="39D8FE8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10E153F1" w14:textId="1970BD80"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2F5E0225" w14:textId="6A769C44"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448504C2" w14:textId="6B45B8C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6" w:type="pct"/>
            <w:shd w:val="clear" w:color="auto" w:fill="auto"/>
            <w:noWrap/>
            <w:vAlign w:val="center"/>
            <w:hideMark/>
          </w:tcPr>
          <w:p w14:paraId="2BCBD71D" w14:textId="74AE513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07664D" w:rsidRPr="00A91056" w14:paraId="64257FE4" w14:textId="77777777" w:rsidTr="00A576CB">
        <w:trPr>
          <w:trHeight w:val="288"/>
        </w:trPr>
        <w:tc>
          <w:tcPr>
            <w:tcW w:w="844" w:type="pct"/>
            <w:shd w:val="clear" w:color="auto" w:fill="auto"/>
            <w:noWrap/>
            <w:vAlign w:val="center"/>
            <w:hideMark/>
          </w:tcPr>
          <w:p w14:paraId="432EFFDB"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Mitomycin C</w:t>
            </w:r>
          </w:p>
        </w:tc>
        <w:tc>
          <w:tcPr>
            <w:tcW w:w="374" w:type="pct"/>
            <w:shd w:val="clear" w:color="auto" w:fill="auto"/>
            <w:noWrap/>
            <w:vAlign w:val="center"/>
            <w:hideMark/>
          </w:tcPr>
          <w:p w14:paraId="7D1A45C7"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50-07-7</w:t>
            </w:r>
          </w:p>
        </w:tc>
        <w:tc>
          <w:tcPr>
            <w:tcW w:w="500" w:type="pct"/>
            <w:shd w:val="clear" w:color="auto" w:fill="auto"/>
            <w:vAlign w:val="center"/>
            <w:hideMark/>
          </w:tcPr>
          <w:p w14:paraId="73F3DF99"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0.07 - 0.125 ª</w:t>
            </w:r>
          </w:p>
        </w:tc>
        <w:tc>
          <w:tcPr>
            <w:tcW w:w="158" w:type="pct"/>
            <w:shd w:val="clear" w:color="auto" w:fill="auto"/>
            <w:vAlign w:val="center"/>
            <w:hideMark/>
          </w:tcPr>
          <w:p w14:paraId="6DD5D79B" w14:textId="531DA4B0"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49" w:type="pct"/>
            <w:shd w:val="clear" w:color="auto" w:fill="auto"/>
            <w:noWrap/>
            <w:vAlign w:val="center"/>
            <w:hideMark/>
          </w:tcPr>
          <w:p w14:paraId="3FBD4C38" w14:textId="4BE3B556" w:rsidR="00440A6C" w:rsidRPr="00A91056" w:rsidRDefault="00440A6C" w:rsidP="00E329EF">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157" w:type="pct"/>
            <w:shd w:val="clear" w:color="auto" w:fill="auto"/>
            <w:noWrap/>
            <w:vAlign w:val="center"/>
            <w:hideMark/>
          </w:tcPr>
          <w:p w14:paraId="5C21E45F" w14:textId="7959E63F"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w:t>
            </w:r>
          </w:p>
        </w:tc>
        <w:tc>
          <w:tcPr>
            <w:tcW w:w="281" w:type="pct"/>
            <w:shd w:val="clear" w:color="auto" w:fill="auto"/>
            <w:noWrap/>
            <w:vAlign w:val="center"/>
            <w:hideMark/>
          </w:tcPr>
          <w:p w14:paraId="1B42FD29" w14:textId="00DF3474"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73F6CFE7" w14:textId="3215E59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5E92D218" w14:textId="0F22DE8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4192C241" w14:textId="3A8570E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363301CB" w14:textId="2D7EBEF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5DD89BD7" w14:textId="654083AA"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6C1DB87C" w14:textId="07692E1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gridSpan w:val="2"/>
            <w:shd w:val="clear" w:color="auto" w:fill="auto"/>
            <w:noWrap/>
            <w:vAlign w:val="center"/>
            <w:hideMark/>
          </w:tcPr>
          <w:p w14:paraId="40CFAE19"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7A56DC08" w14:textId="48DB765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71440EC6" w14:textId="0EADCF3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5AF7A31C" w14:textId="5258216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693959A3" w14:textId="69CB499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6" w:type="pct"/>
            <w:shd w:val="clear" w:color="auto" w:fill="auto"/>
            <w:noWrap/>
            <w:vAlign w:val="center"/>
            <w:hideMark/>
          </w:tcPr>
          <w:p w14:paraId="5F914C35" w14:textId="3D62C874"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07664D" w:rsidRPr="00A91056" w14:paraId="17E329DC" w14:textId="77777777" w:rsidTr="00A576CB">
        <w:trPr>
          <w:trHeight w:val="288"/>
        </w:trPr>
        <w:tc>
          <w:tcPr>
            <w:tcW w:w="844" w:type="pct"/>
            <w:shd w:val="clear" w:color="auto" w:fill="auto"/>
            <w:vAlign w:val="center"/>
            <w:hideMark/>
          </w:tcPr>
          <w:p w14:paraId="0DA84A96"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Naphthalene</w:t>
            </w:r>
          </w:p>
        </w:tc>
        <w:tc>
          <w:tcPr>
            <w:tcW w:w="374" w:type="pct"/>
            <w:shd w:val="clear" w:color="auto" w:fill="auto"/>
            <w:vAlign w:val="center"/>
            <w:hideMark/>
          </w:tcPr>
          <w:p w14:paraId="0C422088"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91-20-3</w:t>
            </w:r>
          </w:p>
        </w:tc>
        <w:tc>
          <w:tcPr>
            <w:tcW w:w="500" w:type="pct"/>
            <w:shd w:val="clear" w:color="auto" w:fill="auto"/>
            <w:vAlign w:val="center"/>
            <w:hideMark/>
          </w:tcPr>
          <w:p w14:paraId="5FE6B22F"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 xml:space="preserve">0.63 - 1.25 </w:t>
            </w:r>
            <w:r w:rsidRPr="00A91056">
              <w:rPr>
                <w:rFonts w:eastAsia="Times New Roman" w:cs="Arial"/>
                <w:color w:val="000000"/>
                <w:sz w:val="18"/>
                <w:szCs w:val="18"/>
                <w:vertAlign w:val="superscript"/>
              </w:rPr>
              <w:t>b</w:t>
            </w:r>
          </w:p>
        </w:tc>
        <w:tc>
          <w:tcPr>
            <w:tcW w:w="158" w:type="pct"/>
            <w:shd w:val="clear" w:color="auto" w:fill="auto"/>
            <w:vAlign w:val="center"/>
            <w:hideMark/>
          </w:tcPr>
          <w:p w14:paraId="304E986E" w14:textId="4C434D8B"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vAlign w:val="center"/>
            <w:hideMark/>
          </w:tcPr>
          <w:p w14:paraId="523A8841" w14:textId="78A9AD9F"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2A8A0CB7" w14:textId="047E286B"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w:t>
            </w:r>
          </w:p>
        </w:tc>
        <w:tc>
          <w:tcPr>
            <w:tcW w:w="281" w:type="pct"/>
            <w:shd w:val="clear" w:color="auto" w:fill="auto"/>
            <w:noWrap/>
            <w:vAlign w:val="center"/>
            <w:hideMark/>
          </w:tcPr>
          <w:p w14:paraId="0D169FED" w14:textId="003E7AD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3801F99A" w14:textId="2216BD6F"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50" w:type="pct"/>
            <w:shd w:val="clear" w:color="auto" w:fill="auto"/>
            <w:noWrap/>
            <w:vAlign w:val="center"/>
            <w:hideMark/>
          </w:tcPr>
          <w:p w14:paraId="3ED14CC1" w14:textId="62197605" w:rsidR="00440A6C" w:rsidRPr="00A91056" w:rsidRDefault="00440A6C" w:rsidP="00E329EF">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157" w:type="pct"/>
            <w:shd w:val="clear" w:color="auto" w:fill="auto"/>
            <w:noWrap/>
            <w:vAlign w:val="center"/>
            <w:hideMark/>
          </w:tcPr>
          <w:p w14:paraId="7E7A70B6" w14:textId="5191A690"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3A42E5D6" w14:textId="00562FE5"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337815FD"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4033987C"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gridSpan w:val="2"/>
            <w:shd w:val="clear" w:color="auto" w:fill="auto"/>
            <w:noWrap/>
            <w:vAlign w:val="center"/>
            <w:hideMark/>
          </w:tcPr>
          <w:p w14:paraId="06B98EE0" w14:textId="6B75C9B0"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87" w:type="pct"/>
            <w:shd w:val="clear" w:color="auto" w:fill="auto"/>
            <w:noWrap/>
            <w:vAlign w:val="center"/>
            <w:hideMark/>
          </w:tcPr>
          <w:p w14:paraId="17AAD72F"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6" w:type="pct"/>
            <w:shd w:val="clear" w:color="auto" w:fill="auto"/>
            <w:noWrap/>
            <w:vAlign w:val="center"/>
            <w:hideMark/>
          </w:tcPr>
          <w:p w14:paraId="100DD535" w14:textId="1B432C0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7DB90F64"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50" w:type="pct"/>
            <w:shd w:val="clear" w:color="auto" w:fill="auto"/>
            <w:noWrap/>
            <w:vAlign w:val="center"/>
            <w:hideMark/>
          </w:tcPr>
          <w:p w14:paraId="3F9077EC" w14:textId="77777777" w:rsidR="00440A6C" w:rsidRPr="00A91056" w:rsidRDefault="00440A6C" w:rsidP="00E329EF">
            <w:pPr>
              <w:widowControl/>
              <w:spacing w:line="240" w:lineRule="auto"/>
              <w:ind w:firstLine="0"/>
              <w:jc w:val="center"/>
              <w:rPr>
                <w:rFonts w:eastAsia="Times New Roman" w:cs="Arial"/>
                <w:sz w:val="18"/>
                <w:szCs w:val="18"/>
              </w:rPr>
            </w:pPr>
          </w:p>
        </w:tc>
        <w:tc>
          <w:tcPr>
            <w:tcW w:w="216" w:type="pct"/>
            <w:shd w:val="clear" w:color="auto" w:fill="auto"/>
            <w:noWrap/>
            <w:vAlign w:val="center"/>
            <w:hideMark/>
          </w:tcPr>
          <w:p w14:paraId="7DDCBA47" w14:textId="4018592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07664D" w:rsidRPr="00A91056" w14:paraId="54CD17EA" w14:textId="77777777" w:rsidTr="00A576CB">
        <w:trPr>
          <w:trHeight w:val="288"/>
        </w:trPr>
        <w:tc>
          <w:tcPr>
            <w:tcW w:w="844" w:type="pct"/>
            <w:shd w:val="clear" w:color="auto" w:fill="auto"/>
            <w:vAlign w:val="center"/>
            <w:hideMark/>
          </w:tcPr>
          <w:p w14:paraId="00C99E57"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 xml:space="preserve">N-methyl-N'-nitro-N-nitrosoguanidine </w:t>
            </w:r>
          </w:p>
        </w:tc>
        <w:tc>
          <w:tcPr>
            <w:tcW w:w="374" w:type="pct"/>
            <w:shd w:val="clear" w:color="auto" w:fill="auto"/>
            <w:noWrap/>
            <w:vAlign w:val="center"/>
            <w:hideMark/>
          </w:tcPr>
          <w:p w14:paraId="51CC12AC"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70-25-7</w:t>
            </w:r>
          </w:p>
        </w:tc>
        <w:tc>
          <w:tcPr>
            <w:tcW w:w="500" w:type="pct"/>
            <w:shd w:val="clear" w:color="auto" w:fill="auto"/>
            <w:vAlign w:val="center"/>
            <w:hideMark/>
          </w:tcPr>
          <w:p w14:paraId="1CF52AA0"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0.003</w:t>
            </w:r>
          </w:p>
        </w:tc>
        <w:tc>
          <w:tcPr>
            <w:tcW w:w="158" w:type="pct"/>
            <w:shd w:val="clear" w:color="auto" w:fill="auto"/>
            <w:vAlign w:val="center"/>
            <w:hideMark/>
          </w:tcPr>
          <w:p w14:paraId="04710EC6"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49" w:type="pct"/>
            <w:shd w:val="clear" w:color="auto" w:fill="auto"/>
            <w:vAlign w:val="center"/>
            <w:hideMark/>
          </w:tcPr>
          <w:p w14:paraId="005082D2" w14:textId="5D9A1EC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w:t>
            </w:r>
            <w:r w:rsidR="00EA5C9A" w:rsidRPr="00A91056">
              <w:rPr>
                <w:rFonts w:eastAsia="Times New Roman" w:cs="Arial"/>
                <w:color w:val="000000"/>
                <w:sz w:val="18"/>
                <w:szCs w:val="18"/>
              </w:rPr>
              <w:t>os</w:t>
            </w:r>
            <w:r w:rsidRPr="00A91056">
              <w:rPr>
                <w:rFonts w:eastAsia="Times New Roman" w:cs="Arial"/>
                <w:color w:val="000000"/>
                <w:sz w:val="18"/>
                <w:szCs w:val="18"/>
              </w:rPr>
              <w:t xml:space="preserve"> </w:t>
            </w:r>
            <w:r w:rsidR="007E4A32" w:rsidRPr="00A91056">
              <w:rPr>
                <w:rFonts w:eastAsia="Times New Roman" w:cs="Arial"/>
                <w:color w:val="000000"/>
                <w:sz w:val="18"/>
                <w:szCs w:val="18"/>
                <w:vertAlign w:val="superscript"/>
              </w:rPr>
              <w:t>g</w:t>
            </w:r>
          </w:p>
        </w:tc>
        <w:tc>
          <w:tcPr>
            <w:tcW w:w="157" w:type="pct"/>
            <w:shd w:val="clear" w:color="auto" w:fill="auto"/>
            <w:vAlign w:val="center"/>
            <w:hideMark/>
          </w:tcPr>
          <w:p w14:paraId="2BB7714E" w14:textId="76E142C5" w:rsidR="00440A6C" w:rsidRPr="00A91056" w:rsidRDefault="00440A6C" w:rsidP="00E329EF">
            <w:pPr>
              <w:widowControl/>
              <w:spacing w:line="240" w:lineRule="auto"/>
              <w:ind w:firstLine="0"/>
              <w:jc w:val="center"/>
              <w:rPr>
                <w:rFonts w:eastAsia="Times New Roman" w:cs="Arial"/>
                <w:color w:val="000000"/>
                <w:sz w:val="18"/>
                <w:szCs w:val="18"/>
              </w:rPr>
            </w:pPr>
          </w:p>
        </w:tc>
        <w:tc>
          <w:tcPr>
            <w:tcW w:w="281" w:type="pct"/>
            <w:shd w:val="clear" w:color="auto" w:fill="auto"/>
            <w:noWrap/>
            <w:vAlign w:val="center"/>
            <w:hideMark/>
          </w:tcPr>
          <w:p w14:paraId="37828DF6" w14:textId="0071B12B" w:rsidR="00440A6C" w:rsidRPr="00A91056" w:rsidRDefault="00F44442"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268CE951" w14:textId="22C9DFDB" w:rsidR="00440A6C" w:rsidRPr="00A91056" w:rsidRDefault="00F44442"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06DF7ED4" w14:textId="7CE66469" w:rsidR="00440A6C" w:rsidRPr="00A91056" w:rsidRDefault="00F44442"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4711398C" w14:textId="7A92F5E0" w:rsidR="00440A6C" w:rsidRPr="00A91056" w:rsidRDefault="00F44442"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7AD981FA" w14:textId="6AB4B6A6" w:rsidR="00440A6C" w:rsidRPr="00A91056" w:rsidRDefault="00F44442"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055C5706"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3ED85F15" w14:textId="0ECEC7AB" w:rsidR="00440A6C" w:rsidRPr="00A91056" w:rsidRDefault="00F44442"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gridSpan w:val="2"/>
            <w:shd w:val="clear" w:color="auto" w:fill="auto"/>
            <w:noWrap/>
            <w:vAlign w:val="center"/>
            <w:hideMark/>
          </w:tcPr>
          <w:p w14:paraId="46B1488F" w14:textId="6998F169" w:rsidR="00440A6C" w:rsidRPr="00A91056" w:rsidRDefault="00F44442"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87" w:type="pct"/>
            <w:shd w:val="clear" w:color="auto" w:fill="auto"/>
            <w:noWrap/>
            <w:vAlign w:val="center"/>
            <w:hideMark/>
          </w:tcPr>
          <w:p w14:paraId="1A397230" w14:textId="55336987" w:rsidR="00440A6C" w:rsidRPr="00A91056" w:rsidRDefault="00F44442"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28DE65EB" w14:textId="118E9372" w:rsidR="00440A6C" w:rsidRPr="00A91056" w:rsidRDefault="00F44442"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76F8B0F9" w14:textId="1C92E830" w:rsidR="00440A6C" w:rsidRPr="00A91056" w:rsidRDefault="00F44442"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3DAA4109" w14:textId="63CA88B1" w:rsidR="00440A6C" w:rsidRPr="00A91056" w:rsidRDefault="00F44442"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6" w:type="pct"/>
            <w:shd w:val="clear" w:color="auto" w:fill="auto"/>
            <w:noWrap/>
            <w:vAlign w:val="center"/>
            <w:hideMark/>
          </w:tcPr>
          <w:p w14:paraId="24B52805" w14:textId="2D3A2EA4" w:rsidR="00440A6C" w:rsidRPr="00A91056" w:rsidRDefault="00F44442"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07664D" w:rsidRPr="00A91056" w14:paraId="70F24C88" w14:textId="77777777" w:rsidTr="00A576CB">
        <w:trPr>
          <w:trHeight w:val="288"/>
        </w:trPr>
        <w:tc>
          <w:tcPr>
            <w:tcW w:w="844" w:type="pct"/>
            <w:shd w:val="clear" w:color="auto" w:fill="auto"/>
            <w:noWrap/>
            <w:vAlign w:val="center"/>
            <w:hideMark/>
          </w:tcPr>
          <w:p w14:paraId="5B1B4C84"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N-</w:t>
            </w:r>
            <w:proofErr w:type="spellStart"/>
            <w:r w:rsidRPr="00A91056">
              <w:rPr>
                <w:rFonts w:eastAsia="Times New Roman" w:cs="Arial"/>
                <w:color w:val="000000"/>
                <w:sz w:val="18"/>
                <w:szCs w:val="18"/>
              </w:rPr>
              <w:t>nitrosodiethanolamine</w:t>
            </w:r>
            <w:proofErr w:type="spellEnd"/>
          </w:p>
        </w:tc>
        <w:tc>
          <w:tcPr>
            <w:tcW w:w="374" w:type="pct"/>
            <w:shd w:val="clear" w:color="auto" w:fill="auto"/>
            <w:noWrap/>
            <w:vAlign w:val="center"/>
            <w:hideMark/>
          </w:tcPr>
          <w:p w14:paraId="41533BFE"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1116-54-7</w:t>
            </w:r>
          </w:p>
        </w:tc>
        <w:tc>
          <w:tcPr>
            <w:tcW w:w="500" w:type="pct"/>
            <w:shd w:val="clear" w:color="auto" w:fill="auto"/>
            <w:vAlign w:val="center"/>
            <w:hideMark/>
          </w:tcPr>
          <w:p w14:paraId="31316986"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1 - 4</w:t>
            </w:r>
          </w:p>
        </w:tc>
        <w:tc>
          <w:tcPr>
            <w:tcW w:w="158" w:type="pct"/>
            <w:shd w:val="clear" w:color="auto" w:fill="auto"/>
            <w:vAlign w:val="center"/>
            <w:hideMark/>
          </w:tcPr>
          <w:p w14:paraId="4FAA02E2" w14:textId="76F7F790"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vAlign w:val="center"/>
            <w:hideMark/>
          </w:tcPr>
          <w:p w14:paraId="483D83B3" w14:textId="5854839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7AF23D92" w14:textId="2BC93C20"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[3]</w:t>
            </w:r>
          </w:p>
        </w:tc>
        <w:tc>
          <w:tcPr>
            <w:tcW w:w="281" w:type="pct"/>
            <w:shd w:val="clear" w:color="auto" w:fill="auto"/>
            <w:noWrap/>
            <w:vAlign w:val="center"/>
            <w:hideMark/>
          </w:tcPr>
          <w:p w14:paraId="3A30F82F" w14:textId="45D46315"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03ADFD84" w14:textId="4EF73BE0"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44E36DA5"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7" w:type="pct"/>
            <w:shd w:val="clear" w:color="auto" w:fill="auto"/>
            <w:noWrap/>
            <w:vAlign w:val="center"/>
            <w:hideMark/>
          </w:tcPr>
          <w:p w14:paraId="63F231B9" w14:textId="6BB0F3F1"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5D6A7DCB" w14:textId="425AAC3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5968AAB0" w14:textId="1A295BC5"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1B86DC56"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gridSpan w:val="2"/>
            <w:shd w:val="clear" w:color="auto" w:fill="auto"/>
            <w:noWrap/>
            <w:vAlign w:val="center"/>
            <w:hideMark/>
          </w:tcPr>
          <w:p w14:paraId="121D71F9" w14:textId="3703CE57" w:rsidR="00440A6C" w:rsidRPr="00A91056" w:rsidRDefault="00440A6C" w:rsidP="00E329EF">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187" w:type="pct"/>
            <w:shd w:val="clear" w:color="auto" w:fill="auto"/>
            <w:noWrap/>
            <w:vAlign w:val="center"/>
            <w:hideMark/>
          </w:tcPr>
          <w:p w14:paraId="0EAA26BE"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6" w:type="pct"/>
            <w:shd w:val="clear" w:color="auto" w:fill="auto"/>
            <w:noWrap/>
            <w:vAlign w:val="center"/>
            <w:hideMark/>
          </w:tcPr>
          <w:p w14:paraId="309CECDD" w14:textId="7BF436FB"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0F37A9B6" w14:textId="6A51C0B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50" w:type="pct"/>
            <w:shd w:val="clear" w:color="auto" w:fill="auto"/>
            <w:noWrap/>
            <w:vAlign w:val="center"/>
            <w:hideMark/>
          </w:tcPr>
          <w:p w14:paraId="65767345" w14:textId="18C668E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6" w:type="pct"/>
            <w:shd w:val="clear" w:color="auto" w:fill="auto"/>
            <w:noWrap/>
            <w:vAlign w:val="center"/>
            <w:hideMark/>
          </w:tcPr>
          <w:p w14:paraId="52ED340A" w14:textId="5BCC2E9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07664D" w:rsidRPr="00A91056" w14:paraId="6C44EC8D" w14:textId="77777777" w:rsidTr="00A576CB">
        <w:trPr>
          <w:trHeight w:val="288"/>
        </w:trPr>
        <w:tc>
          <w:tcPr>
            <w:tcW w:w="844" w:type="pct"/>
            <w:shd w:val="clear" w:color="auto" w:fill="auto"/>
            <w:vAlign w:val="center"/>
            <w:hideMark/>
          </w:tcPr>
          <w:p w14:paraId="1A6EE2A3"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 xml:space="preserve">Nona-2 trans- 6-cis-dienal </w:t>
            </w:r>
          </w:p>
        </w:tc>
        <w:tc>
          <w:tcPr>
            <w:tcW w:w="374" w:type="pct"/>
            <w:shd w:val="clear" w:color="auto" w:fill="auto"/>
            <w:noWrap/>
            <w:vAlign w:val="center"/>
            <w:hideMark/>
          </w:tcPr>
          <w:p w14:paraId="2AF949FA"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557-48-2</w:t>
            </w:r>
          </w:p>
        </w:tc>
        <w:tc>
          <w:tcPr>
            <w:tcW w:w="500" w:type="pct"/>
            <w:shd w:val="clear" w:color="auto" w:fill="auto"/>
            <w:vAlign w:val="center"/>
            <w:hideMark/>
          </w:tcPr>
          <w:p w14:paraId="3897CF97"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0.25 - 0.5 ª</w:t>
            </w:r>
          </w:p>
        </w:tc>
        <w:tc>
          <w:tcPr>
            <w:tcW w:w="158" w:type="pct"/>
            <w:shd w:val="clear" w:color="auto" w:fill="auto"/>
            <w:vAlign w:val="center"/>
            <w:hideMark/>
          </w:tcPr>
          <w:p w14:paraId="3303B08B" w14:textId="7DFA42E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vAlign w:val="center"/>
            <w:hideMark/>
          </w:tcPr>
          <w:p w14:paraId="2F98926C" w14:textId="1A4B98E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0B360F7B" w14:textId="4371A980"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[4]</w:t>
            </w:r>
          </w:p>
        </w:tc>
        <w:tc>
          <w:tcPr>
            <w:tcW w:w="281" w:type="pct"/>
            <w:shd w:val="clear" w:color="auto" w:fill="auto"/>
            <w:noWrap/>
            <w:vAlign w:val="center"/>
            <w:hideMark/>
          </w:tcPr>
          <w:p w14:paraId="33FC97C8"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7C57B309" w14:textId="77777777" w:rsidR="00440A6C" w:rsidRPr="00A91056" w:rsidRDefault="00440A6C" w:rsidP="00E329EF">
            <w:pPr>
              <w:widowControl/>
              <w:spacing w:line="240" w:lineRule="auto"/>
              <w:ind w:firstLine="0"/>
              <w:jc w:val="center"/>
              <w:rPr>
                <w:rFonts w:eastAsia="Times New Roman" w:cs="Arial"/>
                <w:sz w:val="18"/>
                <w:szCs w:val="18"/>
              </w:rPr>
            </w:pPr>
          </w:p>
        </w:tc>
        <w:tc>
          <w:tcPr>
            <w:tcW w:w="250" w:type="pct"/>
            <w:shd w:val="clear" w:color="auto" w:fill="auto"/>
            <w:noWrap/>
            <w:vAlign w:val="center"/>
            <w:hideMark/>
          </w:tcPr>
          <w:p w14:paraId="4B7C693D" w14:textId="77777777" w:rsidR="00440A6C" w:rsidRPr="00A91056" w:rsidRDefault="00440A6C" w:rsidP="00E329EF">
            <w:pPr>
              <w:widowControl/>
              <w:spacing w:line="240" w:lineRule="auto"/>
              <w:ind w:firstLine="0"/>
              <w:jc w:val="center"/>
              <w:rPr>
                <w:rFonts w:eastAsia="Times New Roman" w:cs="Arial"/>
                <w:sz w:val="18"/>
                <w:szCs w:val="18"/>
              </w:rPr>
            </w:pPr>
          </w:p>
        </w:tc>
        <w:tc>
          <w:tcPr>
            <w:tcW w:w="157" w:type="pct"/>
            <w:shd w:val="clear" w:color="auto" w:fill="auto"/>
            <w:noWrap/>
            <w:vAlign w:val="center"/>
            <w:hideMark/>
          </w:tcPr>
          <w:p w14:paraId="7EDE247F" w14:textId="055C92C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2B2B0616"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50" w:type="pct"/>
            <w:shd w:val="clear" w:color="auto" w:fill="auto"/>
            <w:noWrap/>
            <w:vAlign w:val="center"/>
            <w:hideMark/>
          </w:tcPr>
          <w:p w14:paraId="2C954DD7"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shd w:val="clear" w:color="auto" w:fill="auto"/>
            <w:noWrap/>
            <w:vAlign w:val="center"/>
            <w:hideMark/>
          </w:tcPr>
          <w:p w14:paraId="54E188DC"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gridSpan w:val="2"/>
            <w:shd w:val="clear" w:color="auto" w:fill="auto"/>
            <w:noWrap/>
            <w:vAlign w:val="center"/>
            <w:hideMark/>
          </w:tcPr>
          <w:p w14:paraId="65D804F1"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2B427E93"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30FE8BE5" w14:textId="52A00B4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30499667"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50" w:type="pct"/>
            <w:shd w:val="clear" w:color="auto" w:fill="auto"/>
            <w:noWrap/>
            <w:vAlign w:val="center"/>
            <w:hideMark/>
          </w:tcPr>
          <w:p w14:paraId="121BA877" w14:textId="4890FBA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16" w:type="pct"/>
            <w:shd w:val="clear" w:color="auto" w:fill="auto"/>
            <w:noWrap/>
            <w:vAlign w:val="center"/>
            <w:hideMark/>
          </w:tcPr>
          <w:p w14:paraId="78F1B8A1" w14:textId="77777777" w:rsidR="00440A6C" w:rsidRPr="00A91056" w:rsidRDefault="00440A6C" w:rsidP="00E329EF">
            <w:pPr>
              <w:widowControl/>
              <w:spacing w:line="240" w:lineRule="auto"/>
              <w:ind w:firstLine="0"/>
              <w:jc w:val="center"/>
              <w:rPr>
                <w:rFonts w:eastAsia="Times New Roman" w:cs="Arial"/>
                <w:color w:val="000000"/>
                <w:sz w:val="18"/>
                <w:szCs w:val="18"/>
              </w:rPr>
            </w:pPr>
          </w:p>
        </w:tc>
      </w:tr>
      <w:tr w:rsidR="0007664D" w:rsidRPr="00A91056" w14:paraId="4FF7BEE1" w14:textId="77777777" w:rsidTr="00A576CB">
        <w:trPr>
          <w:trHeight w:val="288"/>
        </w:trPr>
        <w:tc>
          <w:tcPr>
            <w:tcW w:w="844" w:type="pct"/>
            <w:shd w:val="clear" w:color="auto" w:fill="auto"/>
            <w:vAlign w:val="center"/>
            <w:hideMark/>
          </w:tcPr>
          <w:p w14:paraId="2B33C500"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o-Toluidine</w:t>
            </w:r>
          </w:p>
        </w:tc>
        <w:tc>
          <w:tcPr>
            <w:tcW w:w="374" w:type="pct"/>
            <w:shd w:val="clear" w:color="auto" w:fill="auto"/>
            <w:vAlign w:val="center"/>
            <w:hideMark/>
          </w:tcPr>
          <w:p w14:paraId="7C195A80"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95-53-4</w:t>
            </w:r>
          </w:p>
        </w:tc>
        <w:tc>
          <w:tcPr>
            <w:tcW w:w="500" w:type="pct"/>
            <w:shd w:val="clear" w:color="auto" w:fill="auto"/>
            <w:vAlign w:val="center"/>
            <w:hideMark/>
          </w:tcPr>
          <w:p w14:paraId="73B1E7F8" w14:textId="77777777" w:rsidR="00440A6C" w:rsidRPr="00A91056" w:rsidRDefault="00440A6C" w:rsidP="00E329EF">
            <w:pPr>
              <w:widowControl/>
              <w:spacing w:line="240" w:lineRule="auto"/>
              <w:ind w:firstLine="0"/>
              <w:jc w:val="center"/>
              <w:rPr>
                <w:rFonts w:eastAsia="Times New Roman" w:cs="Arial"/>
                <w:sz w:val="18"/>
                <w:szCs w:val="18"/>
              </w:rPr>
            </w:pPr>
            <w:r w:rsidRPr="00A91056">
              <w:rPr>
                <w:rFonts w:eastAsia="Times New Roman" w:cs="Arial"/>
                <w:sz w:val="18"/>
                <w:szCs w:val="18"/>
              </w:rPr>
              <w:t>5 - 20 ª</w:t>
            </w:r>
          </w:p>
        </w:tc>
        <w:tc>
          <w:tcPr>
            <w:tcW w:w="158" w:type="pct"/>
            <w:shd w:val="clear" w:color="auto" w:fill="auto"/>
            <w:vAlign w:val="center"/>
            <w:hideMark/>
          </w:tcPr>
          <w:p w14:paraId="0B1CFE85" w14:textId="39E0CDE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49" w:type="pct"/>
            <w:shd w:val="clear" w:color="auto" w:fill="auto"/>
            <w:vAlign w:val="center"/>
            <w:hideMark/>
          </w:tcPr>
          <w:p w14:paraId="725CFDAB" w14:textId="0C94745A"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747C82A7" w14:textId="2B851910"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w:t>
            </w:r>
          </w:p>
        </w:tc>
        <w:tc>
          <w:tcPr>
            <w:tcW w:w="281" w:type="pct"/>
            <w:shd w:val="clear" w:color="auto" w:fill="auto"/>
            <w:noWrap/>
            <w:vAlign w:val="center"/>
            <w:hideMark/>
          </w:tcPr>
          <w:p w14:paraId="67AD327B" w14:textId="5F84DE0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7A769596" w14:textId="3BA37952"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325593D4" w14:textId="79DFA1E1"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1814FB11" w14:textId="546C8BC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77F086DA" w14:textId="0C5821F6" w:rsidR="00440A6C" w:rsidRPr="00A91056" w:rsidRDefault="00440A6C" w:rsidP="00E329EF">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250" w:type="pct"/>
            <w:shd w:val="clear" w:color="auto" w:fill="auto"/>
            <w:noWrap/>
            <w:vAlign w:val="center"/>
            <w:hideMark/>
          </w:tcPr>
          <w:p w14:paraId="61724491" w14:textId="39F1F410"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3542EE3A" w14:textId="5C26D1D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19" w:type="pct"/>
            <w:gridSpan w:val="2"/>
            <w:shd w:val="clear" w:color="auto" w:fill="auto"/>
            <w:noWrap/>
            <w:vAlign w:val="center"/>
            <w:hideMark/>
          </w:tcPr>
          <w:p w14:paraId="7109C497"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1EC7CFD1"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727C3B3F" w14:textId="48F57FB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22F9D42D" w14:textId="47F3929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50" w:type="pct"/>
            <w:shd w:val="clear" w:color="auto" w:fill="auto"/>
            <w:noWrap/>
            <w:vAlign w:val="center"/>
            <w:hideMark/>
          </w:tcPr>
          <w:p w14:paraId="654D9897" w14:textId="7B0608A2"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6" w:type="pct"/>
            <w:shd w:val="clear" w:color="auto" w:fill="auto"/>
            <w:noWrap/>
            <w:vAlign w:val="center"/>
            <w:hideMark/>
          </w:tcPr>
          <w:p w14:paraId="76AFC3CE" w14:textId="1FAA1FC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07664D" w:rsidRPr="00A91056" w14:paraId="00E4E1E6" w14:textId="77777777" w:rsidTr="00A576CB">
        <w:trPr>
          <w:trHeight w:val="288"/>
        </w:trPr>
        <w:tc>
          <w:tcPr>
            <w:tcW w:w="844" w:type="pct"/>
            <w:shd w:val="clear" w:color="auto" w:fill="auto"/>
            <w:vAlign w:val="center"/>
            <w:hideMark/>
          </w:tcPr>
          <w:p w14:paraId="6E62A01E"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p-</w:t>
            </w:r>
            <w:proofErr w:type="spellStart"/>
            <w:r w:rsidRPr="00A91056">
              <w:rPr>
                <w:rFonts w:eastAsia="Times New Roman" w:cs="Arial"/>
                <w:color w:val="000000"/>
                <w:sz w:val="18"/>
                <w:szCs w:val="18"/>
              </w:rPr>
              <w:t>Cresidine</w:t>
            </w:r>
            <w:proofErr w:type="spellEnd"/>
            <w:r w:rsidRPr="00A91056">
              <w:rPr>
                <w:rFonts w:eastAsia="Times New Roman" w:cs="Arial"/>
                <w:color w:val="000000"/>
                <w:sz w:val="18"/>
                <w:szCs w:val="18"/>
              </w:rPr>
              <w:t xml:space="preserve"> </w:t>
            </w:r>
          </w:p>
        </w:tc>
        <w:tc>
          <w:tcPr>
            <w:tcW w:w="374" w:type="pct"/>
            <w:shd w:val="clear" w:color="auto" w:fill="auto"/>
            <w:vAlign w:val="center"/>
            <w:hideMark/>
          </w:tcPr>
          <w:p w14:paraId="58A58BB1"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120-71-8</w:t>
            </w:r>
          </w:p>
        </w:tc>
        <w:tc>
          <w:tcPr>
            <w:tcW w:w="500" w:type="pct"/>
            <w:shd w:val="clear" w:color="auto" w:fill="auto"/>
            <w:vAlign w:val="center"/>
            <w:hideMark/>
          </w:tcPr>
          <w:p w14:paraId="61ECFB9C"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 xml:space="preserve">2 - 4 </w:t>
            </w:r>
            <w:r w:rsidRPr="00A91056">
              <w:rPr>
                <w:rFonts w:eastAsia="Times New Roman" w:cs="Arial"/>
                <w:color w:val="000000"/>
                <w:sz w:val="18"/>
                <w:szCs w:val="18"/>
                <w:vertAlign w:val="superscript"/>
              </w:rPr>
              <w:t>b</w:t>
            </w:r>
          </w:p>
        </w:tc>
        <w:tc>
          <w:tcPr>
            <w:tcW w:w="158" w:type="pct"/>
            <w:shd w:val="clear" w:color="auto" w:fill="auto"/>
            <w:vAlign w:val="center"/>
            <w:hideMark/>
          </w:tcPr>
          <w:p w14:paraId="5B7D889B" w14:textId="64ACA73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vAlign w:val="center"/>
            <w:hideMark/>
          </w:tcPr>
          <w:p w14:paraId="79EE8297" w14:textId="5452B73F"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4E14C45B" w14:textId="48CB9EAB"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w:t>
            </w:r>
          </w:p>
        </w:tc>
        <w:tc>
          <w:tcPr>
            <w:tcW w:w="281" w:type="pct"/>
            <w:shd w:val="clear" w:color="auto" w:fill="auto"/>
            <w:noWrap/>
            <w:vAlign w:val="center"/>
            <w:hideMark/>
          </w:tcPr>
          <w:p w14:paraId="0DBDA74F"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3FC849C8" w14:textId="0FA0A9E0"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01C34D76"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7" w:type="pct"/>
            <w:shd w:val="clear" w:color="auto" w:fill="auto"/>
            <w:noWrap/>
            <w:vAlign w:val="center"/>
            <w:hideMark/>
          </w:tcPr>
          <w:p w14:paraId="3C7F4624"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79B2953D" w14:textId="53DDEC45" w:rsidR="00440A6C" w:rsidRPr="00A91056" w:rsidRDefault="00440A6C" w:rsidP="00E329EF">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250" w:type="pct"/>
            <w:shd w:val="clear" w:color="auto" w:fill="auto"/>
            <w:noWrap/>
            <w:vAlign w:val="center"/>
            <w:hideMark/>
          </w:tcPr>
          <w:p w14:paraId="531444E9"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03B4106D" w14:textId="287E2EB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19" w:type="pct"/>
            <w:gridSpan w:val="2"/>
            <w:shd w:val="clear" w:color="auto" w:fill="auto"/>
            <w:noWrap/>
            <w:vAlign w:val="center"/>
            <w:hideMark/>
          </w:tcPr>
          <w:p w14:paraId="09709E9E" w14:textId="3FA3F13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87" w:type="pct"/>
            <w:shd w:val="clear" w:color="auto" w:fill="auto"/>
            <w:noWrap/>
            <w:vAlign w:val="center"/>
            <w:hideMark/>
          </w:tcPr>
          <w:p w14:paraId="4081BE08" w14:textId="4DD73072"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4C64204F" w14:textId="35281784"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383843A7"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50" w:type="pct"/>
            <w:shd w:val="clear" w:color="auto" w:fill="auto"/>
            <w:noWrap/>
            <w:vAlign w:val="center"/>
            <w:hideMark/>
          </w:tcPr>
          <w:p w14:paraId="6188260C" w14:textId="4AF3B9D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6" w:type="pct"/>
            <w:shd w:val="clear" w:color="auto" w:fill="auto"/>
            <w:noWrap/>
            <w:vAlign w:val="center"/>
            <w:hideMark/>
          </w:tcPr>
          <w:p w14:paraId="10AABB6C" w14:textId="403BF6E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07664D" w:rsidRPr="00A91056" w14:paraId="7930E50A" w14:textId="77777777" w:rsidTr="00A576CB">
        <w:trPr>
          <w:trHeight w:val="288"/>
        </w:trPr>
        <w:tc>
          <w:tcPr>
            <w:tcW w:w="844" w:type="pct"/>
            <w:shd w:val="clear" w:color="auto" w:fill="auto"/>
            <w:vAlign w:val="center"/>
            <w:hideMark/>
          </w:tcPr>
          <w:p w14:paraId="67BAE8DA"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Phenacetin</w:t>
            </w:r>
          </w:p>
        </w:tc>
        <w:tc>
          <w:tcPr>
            <w:tcW w:w="374" w:type="pct"/>
            <w:shd w:val="clear" w:color="auto" w:fill="auto"/>
            <w:vAlign w:val="center"/>
            <w:hideMark/>
          </w:tcPr>
          <w:p w14:paraId="0883EB29"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62-44-2</w:t>
            </w:r>
          </w:p>
        </w:tc>
        <w:tc>
          <w:tcPr>
            <w:tcW w:w="500" w:type="pct"/>
            <w:shd w:val="clear" w:color="auto" w:fill="auto"/>
            <w:vAlign w:val="center"/>
            <w:hideMark/>
          </w:tcPr>
          <w:p w14:paraId="47E13B6B"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 xml:space="preserve">1 - 1.5 </w:t>
            </w:r>
            <w:r w:rsidRPr="00A91056">
              <w:rPr>
                <w:rFonts w:eastAsia="Times New Roman" w:cs="Arial"/>
                <w:color w:val="000000"/>
                <w:sz w:val="18"/>
                <w:szCs w:val="18"/>
                <w:vertAlign w:val="superscript"/>
              </w:rPr>
              <w:t>b</w:t>
            </w:r>
          </w:p>
        </w:tc>
        <w:tc>
          <w:tcPr>
            <w:tcW w:w="158" w:type="pct"/>
            <w:shd w:val="clear" w:color="auto" w:fill="auto"/>
            <w:vAlign w:val="center"/>
            <w:hideMark/>
          </w:tcPr>
          <w:p w14:paraId="26B14234" w14:textId="3E9A2C2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vAlign w:val="center"/>
            <w:hideMark/>
          </w:tcPr>
          <w:p w14:paraId="79457F8E" w14:textId="7ED5F911"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7A3B7367" w14:textId="0B33B73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w:t>
            </w:r>
          </w:p>
        </w:tc>
        <w:tc>
          <w:tcPr>
            <w:tcW w:w="281" w:type="pct"/>
            <w:shd w:val="clear" w:color="auto" w:fill="auto"/>
            <w:noWrap/>
            <w:vAlign w:val="center"/>
            <w:hideMark/>
          </w:tcPr>
          <w:p w14:paraId="55C72A55"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54AFD8B8" w14:textId="1489D620"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7919DC83"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7" w:type="pct"/>
            <w:shd w:val="clear" w:color="auto" w:fill="auto"/>
            <w:noWrap/>
            <w:vAlign w:val="center"/>
            <w:hideMark/>
          </w:tcPr>
          <w:p w14:paraId="702D8D57" w14:textId="15017131"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6" w:type="pct"/>
            <w:shd w:val="clear" w:color="auto" w:fill="auto"/>
            <w:noWrap/>
            <w:vAlign w:val="center"/>
            <w:hideMark/>
          </w:tcPr>
          <w:p w14:paraId="1E943745" w14:textId="4987625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371924DD" w14:textId="1C2D1E6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7A3F6C4E"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gridSpan w:val="2"/>
            <w:shd w:val="clear" w:color="auto" w:fill="auto"/>
            <w:noWrap/>
            <w:vAlign w:val="center"/>
            <w:hideMark/>
          </w:tcPr>
          <w:p w14:paraId="7E7C6A91"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06112967"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5B6DF71C" w14:textId="18C30CB1"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24ADCAD6"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50" w:type="pct"/>
            <w:shd w:val="clear" w:color="auto" w:fill="auto"/>
            <w:noWrap/>
            <w:vAlign w:val="center"/>
            <w:hideMark/>
          </w:tcPr>
          <w:p w14:paraId="3A4B292B" w14:textId="32142B9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6" w:type="pct"/>
            <w:shd w:val="clear" w:color="auto" w:fill="auto"/>
            <w:noWrap/>
            <w:vAlign w:val="center"/>
            <w:hideMark/>
          </w:tcPr>
          <w:p w14:paraId="24B97100" w14:textId="2A73FBE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07664D" w:rsidRPr="00A91056" w14:paraId="49C82F43" w14:textId="77777777" w:rsidTr="00A576CB">
        <w:trPr>
          <w:trHeight w:val="288"/>
        </w:trPr>
        <w:tc>
          <w:tcPr>
            <w:tcW w:w="844" w:type="pct"/>
            <w:shd w:val="clear" w:color="auto" w:fill="auto"/>
            <w:noWrap/>
            <w:vAlign w:val="center"/>
            <w:hideMark/>
          </w:tcPr>
          <w:p w14:paraId="63CF9AE1"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 xml:space="preserve">Phenobarbital </w:t>
            </w:r>
          </w:p>
        </w:tc>
        <w:tc>
          <w:tcPr>
            <w:tcW w:w="374" w:type="pct"/>
            <w:shd w:val="clear" w:color="auto" w:fill="auto"/>
            <w:noWrap/>
            <w:vAlign w:val="center"/>
            <w:hideMark/>
          </w:tcPr>
          <w:p w14:paraId="2E759975"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57-30-7</w:t>
            </w:r>
          </w:p>
        </w:tc>
        <w:tc>
          <w:tcPr>
            <w:tcW w:w="500" w:type="pct"/>
            <w:shd w:val="clear" w:color="auto" w:fill="auto"/>
            <w:vAlign w:val="center"/>
            <w:hideMark/>
          </w:tcPr>
          <w:p w14:paraId="708CF0AC"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2.5 - 30 ª</w:t>
            </w:r>
          </w:p>
        </w:tc>
        <w:tc>
          <w:tcPr>
            <w:tcW w:w="158" w:type="pct"/>
            <w:shd w:val="clear" w:color="auto" w:fill="auto"/>
            <w:vAlign w:val="center"/>
            <w:hideMark/>
          </w:tcPr>
          <w:p w14:paraId="69F9E826" w14:textId="3A4744A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vAlign w:val="center"/>
            <w:hideMark/>
          </w:tcPr>
          <w:p w14:paraId="334BE8C6" w14:textId="3B0D2C0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vAlign w:val="center"/>
            <w:hideMark/>
          </w:tcPr>
          <w:p w14:paraId="022DCE26" w14:textId="45B38D77" w:rsidR="00440A6C" w:rsidRPr="00A91056" w:rsidRDefault="009E4782"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[5,6]</w:t>
            </w:r>
          </w:p>
        </w:tc>
        <w:tc>
          <w:tcPr>
            <w:tcW w:w="281" w:type="pct"/>
            <w:shd w:val="clear" w:color="auto" w:fill="auto"/>
            <w:noWrap/>
            <w:vAlign w:val="center"/>
            <w:hideMark/>
          </w:tcPr>
          <w:p w14:paraId="324A2F98" w14:textId="6E71C461"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19" w:type="pct"/>
            <w:shd w:val="clear" w:color="auto" w:fill="auto"/>
            <w:noWrap/>
            <w:vAlign w:val="center"/>
            <w:hideMark/>
          </w:tcPr>
          <w:p w14:paraId="63109F01" w14:textId="77485A2A"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50" w:type="pct"/>
            <w:shd w:val="clear" w:color="auto" w:fill="auto"/>
            <w:noWrap/>
            <w:vAlign w:val="center"/>
            <w:hideMark/>
          </w:tcPr>
          <w:p w14:paraId="0FB0D078" w14:textId="02C074D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0D3A3CAD"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6" w:type="pct"/>
            <w:shd w:val="clear" w:color="auto" w:fill="auto"/>
            <w:noWrap/>
            <w:vAlign w:val="center"/>
            <w:hideMark/>
          </w:tcPr>
          <w:p w14:paraId="0E366B5A" w14:textId="182E6AF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58C11F81" w14:textId="50A92DE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19" w:type="pct"/>
            <w:shd w:val="clear" w:color="auto" w:fill="auto"/>
            <w:vAlign w:val="center"/>
            <w:hideMark/>
          </w:tcPr>
          <w:p w14:paraId="23671E96" w14:textId="3D40471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19" w:type="pct"/>
            <w:gridSpan w:val="2"/>
            <w:shd w:val="clear" w:color="auto" w:fill="auto"/>
            <w:noWrap/>
            <w:vAlign w:val="center"/>
            <w:hideMark/>
          </w:tcPr>
          <w:p w14:paraId="0383CC11"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72384A57"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7488E536" w14:textId="6806D04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42CE4154" w14:textId="00F20D84"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50" w:type="pct"/>
            <w:shd w:val="clear" w:color="auto" w:fill="auto"/>
            <w:noWrap/>
            <w:vAlign w:val="center"/>
            <w:hideMark/>
          </w:tcPr>
          <w:p w14:paraId="7DACFEF7"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6" w:type="pct"/>
            <w:shd w:val="clear" w:color="auto" w:fill="auto"/>
            <w:noWrap/>
            <w:vAlign w:val="center"/>
            <w:hideMark/>
          </w:tcPr>
          <w:p w14:paraId="4EA5CD77" w14:textId="65B3250A"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07664D" w:rsidRPr="00A91056" w14:paraId="2C0962D8" w14:textId="77777777" w:rsidTr="00A576CB">
        <w:trPr>
          <w:trHeight w:val="288"/>
        </w:trPr>
        <w:tc>
          <w:tcPr>
            <w:tcW w:w="844" w:type="pct"/>
            <w:shd w:val="clear" w:color="auto" w:fill="auto"/>
            <w:vAlign w:val="center"/>
            <w:hideMark/>
          </w:tcPr>
          <w:p w14:paraId="1FC9FFCC"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p-</w:t>
            </w:r>
            <w:proofErr w:type="spellStart"/>
            <w:r w:rsidRPr="00A91056">
              <w:rPr>
                <w:rFonts w:eastAsia="Times New Roman" w:cs="Arial"/>
                <w:color w:val="000000"/>
                <w:sz w:val="18"/>
                <w:szCs w:val="18"/>
              </w:rPr>
              <w:t>Methoxycinnamaldehyde</w:t>
            </w:r>
            <w:proofErr w:type="spellEnd"/>
          </w:p>
        </w:tc>
        <w:tc>
          <w:tcPr>
            <w:tcW w:w="374" w:type="pct"/>
            <w:shd w:val="clear" w:color="auto" w:fill="auto"/>
            <w:noWrap/>
            <w:vAlign w:val="center"/>
            <w:hideMark/>
          </w:tcPr>
          <w:p w14:paraId="23670283"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1963-36-6</w:t>
            </w:r>
          </w:p>
        </w:tc>
        <w:tc>
          <w:tcPr>
            <w:tcW w:w="500" w:type="pct"/>
            <w:shd w:val="clear" w:color="auto" w:fill="auto"/>
            <w:vAlign w:val="center"/>
            <w:hideMark/>
          </w:tcPr>
          <w:p w14:paraId="41D8276B"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1.5 - 2.5</w:t>
            </w:r>
          </w:p>
        </w:tc>
        <w:tc>
          <w:tcPr>
            <w:tcW w:w="158" w:type="pct"/>
            <w:shd w:val="clear" w:color="auto" w:fill="auto"/>
            <w:vAlign w:val="center"/>
            <w:hideMark/>
          </w:tcPr>
          <w:p w14:paraId="1C6D06D2" w14:textId="4CE537A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49" w:type="pct"/>
            <w:shd w:val="clear" w:color="auto" w:fill="auto"/>
            <w:vAlign w:val="center"/>
            <w:hideMark/>
          </w:tcPr>
          <w:p w14:paraId="1DAB5CB0" w14:textId="6504C91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520FA0D5" w14:textId="6F077F7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[4]</w:t>
            </w:r>
          </w:p>
        </w:tc>
        <w:tc>
          <w:tcPr>
            <w:tcW w:w="281" w:type="pct"/>
            <w:shd w:val="clear" w:color="auto" w:fill="auto"/>
            <w:noWrap/>
            <w:vAlign w:val="center"/>
            <w:hideMark/>
          </w:tcPr>
          <w:p w14:paraId="3C99DD80"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75D35455" w14:textId="297D733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4757431B"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7" w:type="pct"/>
            <w:shd w:val="clear" w:color="auto" w:fill="auto"/>
            <w:noWrap/>
            <w:vAlign w:val="center"/>
            <w:hideMark/>
          </w:tcPr>
          <w:p w14:paraId="79B630F5" w14:textId="0970AE80"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5D811226"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50" w:type="pct"/>
            <w:shd w:val="clear" w:color="auto" w:fill="auto"/>
            <w:noWrap/>
            <w:vAlign w:val="center"/>
            <w:hideMark/>
          </w:tcPr>
          <w:p w14:paraId="3BA2326B"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shd w:val="clear" w:color="auto" w:fill="auto"/>
            <w:noWrap/>
            <w:vAlign w:val="center"/>
            <w:hideMark/>
          </w:tcPr>
          <w:p w14:paraId="1ACC3271"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gridSpan w:val="2"/>
            <w:shd w:val="clear" w:color="auto" w:fill="auto"/>
            <w:noWrap/>
            <w:vAlign w:val="center"/>
            <w:hideMark/>
          </w:tcPr>
          <w:p w14:paraId="76C06B19"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4ED986D5"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0A1670D3" w14:textId="200FA17B"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19F30128"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50" w:type="pct"/>
            <w:shd w:val="clear" w:color="auto" w:fill="auto"/>
            <w:noWrap/>
            <w:vAlign w:val="center"/>
            <w:hideMark/>
          </w:tcPr>
          <w:p w14:paraId="1A801F58" w14:textId="6DCC68CF"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16" w:type="pct"/>
            <w:shd w:val="clear" w:color="auto" w:fill="auto"/>
            <w:noWrap/>
            <w:vAlign w:val="center"/>
            <w:hideMark/>
          </w:tcPr>
          <w:p w14:paraId="53E8FB9C" w14:textId="77777777" w:rsidR="00440A6C" w:rsidRPr="00A91056" w:rsidRDefault="00440A6C" w:rsidP="00E329EF">
            <w:pPr>
              <w:widowControl/>
              <w:spacing w:line="240" w:lineRule="auto"/>
              <w:ind w:firstLine="0"/>
              <w:jc w:val="center"/>
              <w:rPr>
                <w:rFonts w:eastAsia="Times New Roman" w:cs="Arial"/>
                <w:color w:val="000000"/>
                <w:sz w:val="18"/>
                <w:szCs w:val="18"/>
              </w:rPr>
            </w:pPr>
          </w:p>
        </w:tc>
      </w:tr>
      <w:tr w:rsidR="0007664D" w:rsidRPr="00A91056" w14:paraId="1C78C021" w14:textId="77777777" w:rsidTr="00A576CB">
        <w:trPr>
          <w:trHeight w:val="288"/>
        </w:trPr>
        <w:tc>
          <w:tcPr>
            <w:tcW w:w="844" w:type="pct"/>
            <w:shd w:val="clear" w:color="auto" w:fill="auto"/>
            <w:noWrap/>
            <w:vAlign w:val="center"/>
            <w:hideMark/>
          </w:tcPr>
          <w:p w14:paraId="7F21C3C5"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p-Phenylenediamine</w:t>
            </w:r>
          </w:p>
        </w:tc>
        <w:tc>
          <w:tcPr>
            <w:tcW w:w="374" w:type="pct"/>
            <w:shd w:val="clear" w:color="auto" w:fill="auto"/>
            <w:noWrap/>
            <w:vAlign w:val="center"/>
            <w:hideMark/>
          </w:tcPr>
          <w:p w14:paraId="4D604B76"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106-50-3</w:t>
            </w:r>
          </w:p>
        </w:tc>
        <w:tc>
          <w:tcPr>
            <w:tcW w:w="500" w:type="pct"/>
            <w:shd w:val="clear" w:color="auto" w:fill="auto"/>
            <w:vAlign w:val="center"/>
            <w:hideMark/>
          </w:tcPr>
          <w:p w14:paraId="023BC11E"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1.2 - 5  ª</w:t>
            </w:r>
          </w:p>
        </w:tc>
        <w:tc>
          <w:tcPr>
            <w:tcW w:w="158" w:type="pct"/>
            <w:shd w:val="clear" w:color="auto" w:fill="auto"/>
            <w:vAlign w:val="center"/>
            <w:hideMark/>
          </w:tcPr>
          <w:p w14:paraId="496C47CE" w14:textId="6B9EC57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vAlign w:val="center"/>
            <w:hideMark/>
          </w:tcPr>
          <w:p w14:paraId="5A0B949C" w14:textId="3E8C3984"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09510F4C" w14:textId="1DA671B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w:t>
            </w:r>
          </w:p>
        </w:tc>
        <w:tc>
          <w:tcPr>
            <w:tcW w:w="281" w:type="pct"/>
            <w:shd w:val="clear" w:color="auto" w:fill="auto"/>
            <w:noWrap/>
            <w:vAlign w:val="center"/>
            <w:hideMark/>
          </w:tcPr>
          <w:p w14:paraId="05C49C4C"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62ACC03C" w14:textId="7933033B"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1857B995" w14:textId="3EB01B7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78773F4D" w14:textId="7E114270"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11C45354" w14:textId="59C641A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33BD75CA" w14:textId="17467A92"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vAlign w:val="center"/>
            <w:hideMark/>
          </w:tcPr>
          <w:p w14:paraId="271A434F" w14:textId="715A363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19" w:type="pct"/>
            <w:gridSpan w:val="2"/>
            <w:shd w:val="clear" w:color="auto" w:fill="auto"/>
            <w:noWrap/>
            <w:vAlign w:val="center"/>
            <w:hideMark/>
          </w:tcPr>
          <w:p w14:paraId="2D6997AF" w14:textId="022C89B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87" w:type="pct"/>
            <w:shd w:val="clear" w:color="auto" w:fill="auto"/>
            <w:noWrap/>
            <w:vAlign w:val="center"/>
            <w:hideMark/>
          </w:tcPr>
          <w:p w14:paraId="46ECD22A"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6" w:type="pct"/>
            <w:shd w:val="clear" w:color="auto" w:fill="auto"/>
            <w:noWrap/>
            <w:vAlign w:val="center"/>
            <w:hideMark/>
          </w:tcPr>
          <w:p w14:paraId="06477AF0" w14:textId="39088D5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7F440F51"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50" w:type="pct"/>
            <w:shd w:val="clear" w:color="auto" w:fill="auto"/>
            <w:noWrap/>
            <w:vAlign w:val="center"/>
            <w:hideMark/>
          </w:tcPr>
          <w:p w14:paraId="710C973A" w14:textId="3554FC85"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16" w:type="pct"/>
            <w:shd w:val="clear" w:color="auto" w:fill="auto"/>
            <w:vAlign w:val="center"/>
            <w:hideMark/>
          </w:tcPr>
          <w:p w14:paraId="5D40DD5A" w14:textId="5A291D3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r>
      <w:tr w:rsidR="0007664D" w:rsidRPr="00A91056" w14:paraId="02DA7052" w14:textId="77777777" w:rsidTr="00A576CB">
        <w:trPr>
          <w:trHeight w:val="288"/>
        </w:trPr>
        <w:tc>
          <w:tcPr>
            <w:tcW w:w="844" w:type="pct"/>
            <w:shd w:val="clear" w:color="auto" w:fill="auto"/>
            <w:vAlign w:val="center"/>
            <w:hideMark/>
          </w:tcPr>
          <w:p w14:paraId="5F6F842F"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Prilocaine</w:t>
            </w:r>
          </w:p>
        </w:tc>
        <w:tc>
          <w:tcPr>
            <w:tcW w:w="374" w:type="pct"/>
            <w:shd w:val="clear" w:color="auto" w:fill="auto"/>
            <w:vAlign w:val="center"/>
            <w:hideMark/>
          </w:tcPr>
          <w:p w14:paraId="542EE2E1"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1786-81-8</w:t>
            </w:r>
          </w:p>
        </w:tc>
        <w:tc>
          <w:tcPr>
            <w:tcW w:w="500" w:type="pct"/>
            <w:shd w:val="clear" w:color="auto" w:fill="auto"/>
            <w:vAlign w:val="center"/>
            <w:hideMark/>
          </w:tcPr>
          <w:p w14:paraId="25C2A97B"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5 - 15</w:t>
            </w:r>
          </w:p>
        </w:tc>
        <w:tc>
          <w:tcPr>
            <w:tcW w:w="158" w:type="pct"/>
            <w:shd w:val="clear" w:color="auto" w:fill="auto"/>
            <w:vAlign w:val="center"/>
            <w:hideMark/>
          </w:tcPr>
          <w:p w14:paraId="37ECA20F" w14:textId="56D1796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49" w:type="pct"/>
            <w:shd w:val="clear" w:color="auto" w:fill="auto"/>
            <w:vAlign w:val="center"/>
            <w:hideMark/>
          </w:tcPr>
          <w:p w14:paraId="0C11F324" w14:textId="5E20552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27A96FD1" w14:textId="0AD036A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w:t>
            </w:r>
          </w:p>
        </w:tc>
        <w:tc>
          <w:tcPr>
            <w:tcW w:w="281" w:type="pct"/>
            <w:shd w:val="clear" w:color="auto" w:fill="auto"/>
            <w:noWrap/>
            <w:vAlign w:val="center"/>
            <w:hideMark/>
          </w:tcPr>
          <w:p w14:paraId="2A336032" w14:textId="6F6374F5"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0FFE2BA5"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50" w:type="pct"/>
            <w:shd w:val="clear" w:color="auto" w:fill="auto"/>
            <w:noWrap/>
            <w:vAlign w:val="center"/>
            <w:hideMark/>
          </w:tcPr>
          <w:p w14:paraId="24DD0560" w14:textId="77777777" w:rsidR="00440A6C" w:rsidRPr="00A91056" w:rsidRDefault="00440A6C" w:rsidP="00E329EF">
            <w:pPr>
              <w:widowControl/>
              <w:spacing w:line="240" w:lineRule="auto"/>
              <w:ind w:firstLine="0"/>
              <w:jc w:val="center"/>
              <w:rPr>
                <w:rFonts w:eastAsia="Times New Roman" w:cs="Arial"/>
                <w:sz w:val="18"/>
                <w:szCs w:val="18"/>
              </w:rPr>
            </w:pPr>
          </w:p>
        </w:tc>
        <w:tc>
          <w:tcPr>
            <w:tcW w:w="157" w:type="pct"/>
            <w:shd w:val="clear" w:color="auto" w:fill="auto"/>
            <w:noWrap/>
            <w:vAlign w:val="center"/>
            <w:hideMark/>
          </w:tcPr>
          <w:p w14:paraId="4E2402B3"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56886A2A" w14:textId="77777777" w:rsidR="00440A6C" w:rsidRPr="00A91056" w:rsidRDefault="00440A6C" w:rsidP="00E329EF">
            <w:pPr>
              <w:widowControl/>
              <w:spacing w:line="240" w:lineRule="auto"/>
              <w:ind w:firstLine="0"/>
              <w:jc w:val="center"/>
              <w:rPr>
                <w:rFonts w:eastAsia="Times New Roman" w:cs="Arial"/>
                <w:sz w:val="18"/>
                <w:szCs w:val="18"/>
              </w:rPr>
            </w:pPr>
          </w:p>
        </w:tc>
        <w:tc>
          <w:tcPr>
            <w:tcW w:w="250" w:type="pct"/>
            <w:shd w:val="clear" w:color="auto" w:fill="auto"/>
            <w:noWrap/>
            <w:vAlign w:val="center"/>
            <w:hideMark/>
          </w:tcPr>
          <w:p w14:paraId="4A5D9EA1"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shd w:val="clear" w:color="auto" w:fill="auto"/>
            <w:noWrap/>
            <w:vAlign w:val="center"/>
            <w:hideMark/>
          </w:tcPr>
          <w:p w14:paraId="594C76DB"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gridSpan w:val="2"/>
            <w:shd w:val="clear" w:color="auto" w:fill="auto"/>
            <w:noWrap/>
            <w:vAlign w:val="center"/>
            <w:hideMark/>
          </w:tcPr>
          <w:p w14:paraId="5FA5B869" w14:textId="77777777" w:rsidR="00440A6C" w:rsidRPr="00A91056" w:rsidRDefault="00440A6C" w:rsidP="00E329EF">
            <w:pPr>
              <w:widowControl/>
              <w:spacing w:line="240" w:lineRule="auto"/>
              <w:ind w:firstLine="0"/>
              <w:jc w:val="center"/>
              <w:rPr>
                <w:rFonts w:eastAsia="Times New Roman" w:cs="Arial"/>
                <w:sz w:val="18"/>
                <w:szCs w:val="18"/>
              </w:rPr>
            </w:pPr>
          </w:p>
        </w:tc>
        <w:tc>
          <w:tcPr>
            <w:tcW w:w="187" w:type="pct"/>
            <w:shd w:val="clear" w:color="auto" w:fill="auto"/>
            <w:noWrap/>
            <w:vAlign w:val="center"/>
            <w:hideMark/>
          </w:tcPr>
          <w:p w14:paraId="73A07AB8"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6E90D83B" w14:textId="77777777" w:rsidR="00440A6C" w:rsidRPr="00A91056" w:rsidRDefault="00440A6C" w:rsidP="00E329EF">
            <w:pPr>
              <w:widowControl/>
              <w:spacing w:line="240" w:lineRule="auto"/>
              <w:ind w:firstLine="0"/>
              <w:jc w:val="center"/>
              <w:rPr>
                <w:rFonts w:eastAsia="Times New Roman" w:cs="Arial"/>
                <w:sz w:val="18"/>
                <w:szCs w:val="18"/>
              </w:rPr>
            </w:pPr>
          </w:p>
        </w:tc>
        <w:tc>
          <w:tcPr>
            <w:tcW w:w="157" w:type="pct"/>
            <w:shd w:val="clear" w:color="auto" w:fill="auto"/>
            <w:noWrap/>
            <w:vAlign w:val="center"/>
            <w:hideMark/>
          </w:tcPr>
          <w:p w14:paraId="45C44525" w14:textId="77777777" w:rsidR="00440A6C" w:rsidRPr="00A91056" w:rsidRDefault="00440A6C" w:rsidP="00E329EF">
            <w:pPr>
              <w:widowControl/>
              <w:spacing w:line="240" w:lineRule="auto"/>
              <w:ind w:firstLine="0"/>
              <w:jc w:val="center"/>
              <w:rPr>
                <w:rFonts w:eastAsia="Times New Roman" w:cs="Arial"/>
                <w:sz w:val="18"/>
                <w:szCs w:val="18"/>
              </w:rPr>
            </w:pPr>
          </w:p>
        </w:tc>
        <w:tc>
          <w:tcPr>
            <w:tcW w:w="250" w:type="pct"/>
            <w:shd w:val="clear" w:color="auto" w:fill="auto"/>
            <w:noWrap/>
            <w:vAlign w:val="center"/>
            <w:hideMark/>
          </w:tcPr>
          <w:p w14:paraId="159D8412" w14:textId="77777777" w:rsidR="00440A6C" w:rsidRPr="00A91056" w:rsidRDefault="00440A6C" w:rsidP="00E329EF">
            <w:pPr>
              <w:widowControl/>
              <w:spacing w:line="240" w:lineRule="auto"/>
              <w:ind w:firstLine="0"/>
              <w:jc w:val="center"/>
              <w:rPr>
                <w:rFonts w:eastAsia="Times New Roman" w:cs="Arial"/>
                <w:sz w:val="18"/>
                <w:szCs w:val="18"/>
              </w:rPr>
            </w:pPr>
          </w:p>
        </w:tc>
        <w:tc>
          <w:tcPr>
            <w:tcW w:w="216" w:type="pct"/>
            <w:shd w:val="clear" w:color="auto" w:fill="auto"/>
            <w:noWrap/>
            <w:vAlign w:val="center"/>
            <w:hideMark/>
          </w:tcPr>
          <w:p w14:paraId="791DAF49" w14:textId="77777777" w:rsidR="00440A6C" w:rsidRPr="00A91056" w:rsidRDefault="00440A6C" w:rsidP="00E329EF">
            <w:pPr>
              <w:widowControl/>
              <w:spacing w:line="240" w:lineRule="auto"/>
              <w:ind w:firstLine="0"/>
              <w:jc w:val="center"/>
              <w:rPr>
                <w:rFonts w:eastAsia="Times New Roman" w:cs="Arial"/>
                <w:sz w:val="18"/>
                <w:szCs w:val="18"/>
              </w:rPr>
            </w:pPr>
          </w:p>
        </w:tc>
      </w:tr>
      <w:tr w:rsidR="0007664D" w:rsidRPr="00A91056" w14:paraId="76A3263A" w14:textId="77777777" w:rsidTr="00A576CB">
        <w:trPr>
          <w:trHeight w:val="288"/>
        </w:trPr>
        <w:tc>
          <w:tcPr>
            <w:tcW w:w="844" w:type="pct"/>
            <w:shd w:val="clear" w:color="auto" w:fill="auto"/>
            <w:vAlign w:val="center"/>
            <w:hideMark/>
          </w:tcPr>
          <w:p w14:paraId="1113A361"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Pulegone</w:t>
            </w:r>
          </w:p>
        </w:tc>
        <w:tc>
          <w:tcPr>
            <w:tcW w:w="374" w:type="pct"/>
            <w:shd w:val="clear" w:color="auto" w:fill="auto"/>
            <w:noWrap/>
            <w:vAlign w:val="center"/>
            <w:hideMark/>
          </w:tcPr>
          <w:p w14:paraId="396F6C73"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89-82-7</w:t>
            </w:r>
          </w:p>
        </w:tc>
        <w:tc>
          <w:tcPr>
            <w:tcW w:w="500" w:type="pct"/>
            <w:shd w:val="clear" w:color="auto" w:fill="auto"/>
            <w:vAlign w:val="center"/>
            <w:hideMark/>
          </w:tcPr>
          <w:p w14:paraId="02A048B4"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0.5 - 1 ª</w:t>
            </w:r>
          </w:p>
        </w:tc>
        <w:tc>
          <w:tcPr>
            <w:tcW w:w="158" w:type="pct"/>
            <w:shd w:val="clear" w:color="auto" w:fill="auto"/>
            <w:vAlign w:val="center"/>
            <w:hideMark/>
          </w:tcPr>
          <w:p w14:paraId="5A11DB75" w14:textId="464588D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noWrap/>
            <w:vAlign w:val="center"/>
            <w:hideMark/>
          </w:tcPr>
          <w:p w14:paraId="7A1D0EF0" w14:textId="1DB57F8E" w:rsidR="00440A6C" w:rsidRPr="00A91056" w:rsidRDefault="00440A6C" w:rsidP="00E329EF">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157" w:type="pct"/>
            <w:shd w:val="clear" w:color="auto" w:fill="auto"/>
            <w:vAlign w:val="center"/>
            <w:hideMark/>
          </w:tcPr>
          <w:p w14:paraId="47D3128F" w14:textId="70CE10B0" w:rsidR="00440A6C" w:rsidRPr="00A91056" w:rsidRDefault="00440A6C" w:rsidP="00E329EF">
            <w:pPr>
              <w:widowControl/>
              <w:spacing w:line="240" w:lineRule="auto"/>
              <w:ind w:firstLine="0"/>
              <w:jc w:val="center"/>
              <w:rPr>
                <w:rFonts w:eastAsia="Times New Roman" w:cs="Arial"/>
                <w:color w:val="000000"/>
                <w:sz w:val="18"/>
                <w:szCs w:val="18"/>
              </w:rPr>
            </w:pPr>
          </w:p>
        </w:tc>
        <w:tc>
          <w:tcPr>
            <w:tcW w:w="281" w:type="pct"/>
            <w:shd w:val="clear" w:color="auto" w:fill="auto"/>
            <w:noWrap/>
            <w:vAlign w:val="center"/>
            <w:hideMark/>
          </w:tcPr>
          <w:p w14:paraId="077BDE15"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36036ED9" w14:textId="7BE42CB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50" w:type="pct"/>
            <w:shd w:val="clear" w:color="auto" w:fill="auto"/>
            <w:noWrap/>
            <w:vAlign w:val="center"/>
            <w:hideMark/>
          </w:tcPr>
          <w:p w14:paraId="3CC03C8B"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7" w:type="pct"/>
            <w:shd w:val="clear" w:color="auto" w:fill="auto"/>
            <w:noWrap/>
            <w:vAlign w:val="center"/>
            <w:hideMark/>
          </w:tcPr>
          <w:p w14:paraId="35DF85CD"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5B1CD320" w14:textId="77777777" w:rsidR="00440A6C" w:rsidRPr="00A91056" w:rsidRDefault="00440A6C" w:rsidP="00E329EF">
            <w:pPr>
              <w:widowControl/>
              <w:spacing w:line="240" w:lineRule="auto"/>
              <w:ind w:firstLine="0"/>
              <w:jc w:val="center"/>
              <w:rPr>
                <w:rFonts w:eastAsia="Times New Roman" w:cs="Arial"/>
                <w:sz w:val="18"/>
                <w:szCs w:val="18"/>
              </w:rPr>
            </w:pPr>
          </w:p>
        </w:tc>
        <w:tc>
          <w:tcPr>
            <w:tcW w:w="250" w:type="pct"/>
            <w:shd w:val="clear" w:color="auto" w:fill="auto"/>
            <w:noWrap/>
            <w:vAlign w:val="center"/>
            <w:hideMark/>
          </w:tcPr>
          <w:p w14:paraId="7BDC61AA"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shd w:val="clear" w:color="auto" w:fill="auto"/>
            <w:noWrap/>
            <w:vAlign w:val="center"/>
            <w:hideMark/>
          </w:tcPr>
          <w:p w14:paraId="01E08072"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gridSpan w:val="2"/>
            <w:shd w:val="clear" w:color="auto" w:fill="auto"/>
            <w:noWrap/>
            <w:vAlign w:val="center"/>
            <w:hideMark/>
          </w:tcPr>
          <w:p w14:paraId="16671C2C"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0CB080E8"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6A4DEB3E" w14:textId="01D254C4"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4A4694BF"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50" w:type="pct"/>
            <w:shd w:val="clear" w:color="auto" w:fill="auto"/>
            <w:noWrap/>
            <w:vAlign w:val="center"/>
            <w:hideMark/>
          </w:tcPr>
          <w:p w14:paraId="10C53A75" w14:textId="77777777" w:rsidR="00440A6C" w:rsidRPr="00A91056" w:rsidRDefault="00440A6C" w:rsidP="00E329EF">
            <w:pPr>
              <w:widowControl/>
              <w:spacing w:line="240" w:lineRule="auto"/>
              <w:ind w:firstLine="0"/>
              <w:jc w:val="center"/>
              <w:rPr>
                <w:rFonts w:eastAsia="Times New Roman" w:cs="Arial"/>
                <w:sz w:val="18"/>
                <w:szCs w:val="18"/>
              </w:rPr>
            </w:pPr>
          </w:p>
        </w:tc>
        <w:tc>
          <w:tcPr>
            <w:tcW w:w="216" w:type="pct"/>
            <w:shd w:val="clear" w:color="auto" w:fill="auto"/>
            <w:noWrap/>
            <w:vAlign w:val="center"/>
            <w:hideMark/>
          </w:tcPr>
          <w:p w14:paraId="7EFE2374" w14:textId="4BD5A41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07664D" w:rsidRPr="00A91056" w14:paraId="5DBD70A9" w14:textId="77777777" w:rsidTr="00A576CB">
        <w:trPr>
          <w:trHeight w:val="288"/>
        </w:trPr>
        <w:tc>
          <w:tcPr>
            <w:tcW w:w="844" w:type="pct"/>
            <w:shd w:val="clear" w:color="auto" w:fill="auto"/>
            <w:noWrap/>
            <w:vAlign w:val="center"/>
            <w:hideMark/>
          </w:tcPr>
          <w:p w14:paraId="6BFE8078"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lastRenderedPageBreak/>
              <w:t>Quinoline</w:t>
            </w:r>
          </w:p>
        </w:tc>
        <w:tc>
          <w:tcPr>
            <w:tcW w:w="374" w:type="pct"/>
            <w:shd w:val="clear" w:color="auto" w:fill="auto"/>
            <w:noWrap/>
            <w:vAlign w:val="center"/>
            <w:hideMark/>
          </w:tcPr>
          <w:p w14:paraId="1D93701C"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91-22-5</w:t>
            </w:r>
          </w:p>
        </w:tc>
        <w:tc>
          <w:tcPr>
            <w:tcW w:w="500" w:type="pct"/>
            <w:shd w:val="clear" w:color="auto" w:fill="auto"/>
            <w:vAlign w:val="center"/>
            <w:hideMark/>
          </w:tcPr>
          <w:p w14:paraId="3C40A708"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2 - 5  ª</w:t>
            </w:r>
          </w:p>
        </w:tc>
        <w:tc>
          <w:tcPr>
            <w:tcW w:w="158" w:type="pct"/>
            <w:shd w:val="clear" w:color="auto" w:fill="auto"/>
            <w:vAlign w:val="center"/>
            <w:hideMark/>
          </w:tcPr>
          <w:p w14:paraId="1754B4FA" w14:textId="063A7B30"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49" w:type="pct"/>
            <w:shd w:val="clear" w:color="auto" w:fill="auto"/>
            <w:vAlign w:val="center"/>
            <w:hideMark/>
          </w:tcPr>
          <w:p w14:paraId="27AF90D8" w14:textId="3B85437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vAlign w:val="center"/>
            <w:hideMark/>
          </w:tcPr>
          <w:p w14:paraId="155486E3" w14:textId="2C633696" w:rsidR="00440A6C" w:rsidRPr="00A91056" w:rsidRDefault="00440A6C" w:rsidP="00E329EF">
            <w:pPr>
              <w:widowControl/>
              <w:spacing w:line="240" w:lineRule="auto"/>
              <w:ind w:firstLine="0"/>
              <w:jc w:val="center"/>
              <w:rPr>
                <w:rFonts w:eastAsia="Times New Roman" w:cs="Arial"/>
                <w:color w:val="000000"/>
                <w:sz w:val="18"/>
                <w:szCs w:val="18"/>
              </w:rPr>
            </w:pPr>
          </w:p>
        </w:tc>
        <w:tc>
          <w:tcPr>
            <w:tcW w:w="281" w:type="pct"/>
            <w:shd w:val="clear" w:color="auto" w:fill="auto"/>
            <w:noWrap/>
            <w:vAlign w:val="center"/>
            <w:hideMark/>
          </w:tcPr>
          <w:p w14:paraId="66C772D4" w14:textId="25C15F2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0C8D09FB" w14:textId="7C26EE5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19C4A94B" w14:textId="1B241B30"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289F642F"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6" w:type="pct"/>
            <w:shd w:val="clear" w:color="auto" w:fill="auto"/>
            <w:noWrap/>
            <w:vAlign w:val="center"/>
            <w:hideMark/>
          </w:tcPr>
          <w:p w14:paraId="05D332EC" w14:textId="0361547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12554507"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vAlign w:val="center"/>
            <w:hideMark/>
          </w:tcPr>
          <w:p w14:paraId="50C917F3" w14:textId="397FF06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gridSpan w:val="2"/>
            <w:shd w:val="clear" w:color="auto" w:fill="auto"/>
            <w:noWrap/>
            <w:vAlign w:val="center"/>
            <w:hideMark/>
          </w:tcPr>
          <w:p w14:paraId="58CA951F" w14:textId="70E8394B"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87" w:type="pct"/>
            <w:shd w:val="clear" w:color="auto" w:fill="auto"/>
            <w:noWrap/>
            <w:vAlign w:val="center"/>
            <w:hideMark/>
          </w:tcPr>
          <w:p w14:paraId="6EC7AABD" w14:textId="26C3ACCF"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7CEE04C0" w14:textId="336C263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52392FC3" w14:textId="0B22076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76EA28F9" w14:textId="236201A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6" w:type="pct"/>
            <w:shd w:val="clear" w:color="auto" w:fill="auto"/>
            <w:noWrap/>
            <w:vAlign w:val="center"/>
            <w:hideMark/>
          </w:tcPr>
          <w:p w14:paraId="0869CBD5" w14:textId="4DDAC844"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07664D" w:rsidRPr="00A91056" w14:paraId="379C1C53" w14:textId="77777777" w:rsidTr="00A576CB">
        <w:trPr>
          <w:trHeight w:val="288"/>
        </w:trPr>
        <w:tc>
          <w:tcPr>
            <w:tcW w:w="844" w:type="pct"/>
            <w:shd w:val="clear" w:color="auto" w:fill="auto"/>
            <w:noWrap/>
            <w:vAlign w:val="center"/>
            <w:hideMark/>
          </w:tcPr>
          <w:p w14:paraId="4797EBC5"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Resorcinol</w:t>
            </w:r>
          </w:p>
        </w:tc>
        <w:tc>
          <w:tcPr>
            <w:tcW w:w="374" w:type="pct"/>
            <w:shd w:val="clear" w:color="auto" w:fill="auto"/>
            <w:noWrap/>
            <w:vAlign w:val="center"/>
            <w:hideMark/>
          </w:tcPr>
          <w:p w14:paraId="2A3CBF62"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108-46-3</w:t>
            </w:r>
          </w:p>
        </w:tc>
        <w:tc>
          <w:tcPr>
            <w:tcW w:w="500" w:type="pct"/>
            <w:shd w:val="clear" w:color="auto" w:fill="auto"/>
            <w:vAlign w:val="center"/>
            <w:hideMark/>
          </w:tcPr>
          <w:p w14:paraId="7786CBC5"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2 - 8</w:t>
            </w:r>
          </w:p>
        </w:tc>
        <w:tc>
          <w:tcPr>
            <w:tcW w:w="158" w:type="pct"/>
            <w:shd w:val="clear" w:color="auto" w:fill="auto"/>
            <w:vAlign w:val="center"/>
            <w:hideMark/>
          </w:tcPr>
          <w:p w14:paraId="0944351D" w14:textId="3D73C445"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vAlign w:val="center"/>
            <w:hideMark/>
          </w:tcPr>
          <w:p w14:paraId="18B6466C" w14:textId="57F022F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vAlign w:val="center"/>
            <w:hideMark/>
          </w:tcPr>
          <w:p w14:paraId="23B84925" w14:textId="7531DBB3" w:rsidR="00440A6C" w:rsidRPr="00A91056" w:rsidRDefault="00440A6C" w:rsidP="00E329EF">
            <w:pPr>
              <w:widowControl/>
              <w:spacing w:line="240" w:lineRule="auto"/>
              <w:ind w:firstLine="0"/>
              <w:jc w:val="center"/>
              <w:rPr>
                <w:rFonts w:eastAsia="Times New Roman" w:cs="Arial"/>
                <w:color w:val="000000"/>
                <w:sz w:val="18"/>
                <w:szCs w:val="18"/>
              </w:rPr>
            </w:pPr>
          </w:p>
        </w:tc>
        <w:tc>
          <w:tcPr>
            <w:tcW w:w="281" w:type="pct"/>
            <w:shd w:val="clear" w:color="auto" w:fill="auto"/>
            <w:noWrap/>
            <w:vAlign w:val="center"/>
            <w:hideMark/>
          </w:tcPr>
          <w:p w14:paraId="6FDAD4D9"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392482D1" w14:textId="488EDCB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50" w:type="pct"/>
            <w:shd w:val="clear" w:color="auto" w:fill="auto"/>
            <w:noWrap/>
            <w:vAlign w:val="center"/>
            <w:hideMark/>
          </w:tcPr>
          <w:p w14:paraId="48BB5AAD" w14:textId="236B864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56927504" w14:textId="25577BA2"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4B9FEFF2" w14:textId="2195C804"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51C4FA6B" w14:textId="1788B25B"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65AE6D4D"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gridSpan w:val="2"/>
            <w:shd w:val="clear" w:color="auto" w:fill="auto"/>
            <w:noWrap/>
            <w:vAlign w:val="center"/>
            <w:hideMark/>
          </w:tcPr>
          <w:p w14:paraId="06A709DE"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51324A9C"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11652F05" w14:textId="0FFADC0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noWrap/>
            <w:vAlign w:val="center"/>
            <w:hideMark/>
          </w:tcPr>
          <w:p w14:paraId="71C99F51" w14:textId="647DC1F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50" w:type="pct"/>
            <w:shd w:val="clear" w:color="auto" w:fill="auto"/>
            <w:noWrap/>
            <w:vAlign w:val="center"/>
            <w:hideMark/>
          </w:tcPr>
          <w:p w14:paraId="5EF1D1B9"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6" w:type="pct"/>
            <w:shd w:val="clear" w:color="auto" w:fill="auto"/>
            <w:vAlign w:val="center"/>
            <w:hideMark/>
          </w:tcPr>
          <w:p w14:paraId="016916CB" w14:textId="220882FF"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07664D" w:rsidRPr="00A91056" w14:paraId="7743700B" w14:textId="77777777" w:rsidTr="00A576CB">
        <w:trPr>
          <w:trHeight w:val="288"/>
        </w:trPr>
        <w:tc>
          <w:tcPr>
            <w:tcW w:w="844" w:type="pct"/>
            <w:shd w:val="clear" w:color="auto" w:fill="auto"/>
            <w:noWrap/>
            <w:vAlign w:val="center"/>
            <w:hideMark/>
          </w:tcPr>
          <w:p w14:paraId="7AF766EE"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Riddelliine</w:t>
            </w:r>
          </w:p>
        </w:tc>
        <w:tc>
          <w:tcPr>
            <w:tcW w:w="374" w:type="pct"/>
            <w:shd w:val="clear" w:color="auto" w:fill="auto"/>
            <w:noWrap/>
            <w:vAlign w:val="center"/>
            <w:hideMark/>
          </w:tcPr>
          <w:p w14:paraId="0034A868"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23246-96-0</w:t>
            </w:r>
          </w:p>
        </w:tc>
        <w:tc>
          <w:tcPr>
            <w:tcW w:w="500" w:type="pct"/>
            <w:shd w:val="clear" w:color="auto" w:fill="auto"/>
            <w:vAlign w:val="center"/>
            <w:hideMark/>
          </w:tcPr>
          <w:p w14:paraId="7F2D5FA4"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0.5 - 2</w:t>
            </w:r>
          </w:p>
        </w:tc>
        <w:tc>
          <w:tcPr>
            <w:tcW w:w="158" w:type="pct"/>
            <w:shd w:val="clear" w:color="auto" w:fill="auto"/>
            <w:vAlign w:val="center"/>
            <w:hideMark/>
          </w:tcPr>
          <w:p w14:paraId="0ABB09D3" w14:textId="0DF94FE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49" w:type="pct"/>
            <w:shd w:val="clear" w:color="auto" w:fill="auto"/>
            <w:vAlign w:val="center"/>
            <w:hideMark/>
          </w:tcPr>
          <w:p w14:paraId="44748D16" w14:textId="08F1C0C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vAlign w:val="center"/>
            <w:hideMark/>
          </w:tcPr>
          <w:p w14:paraId="46556FFD" w14:textId="14C65F9C" w:rsidR="00440A6C" w:rsidRPr="00A91056" w:rsidRDefault="00440A6C" w:rsidP="00E329EF">
            <w:pPr>
              <w:widowControl/>
              <w:spacing w:line="240" w:lineRule="auto"/>
              <w:ind w:firstLine="0"/>
              <w:jc w:val="center"/>
              <w:rPr>
                <w:rFonts w:eastAsia="Times New Roman" w:cs="Arial"/>
                <w:color w:val="000000"/>
                <w:sz w:val="18"/>
                <w:szCs w:val="18"/>
              </w:rPr>
            </w:pPr>
          </w:p>
        </w:tc>
        <w:tc>
          <w:tcPr>
            <w:tcW w:w="281" w:type="pct"/>
            <w:shd w:val="clear" w:color="auto" w:fill="auto"/>
            <w:noWrap/>
            <w:vAlign w:val="center"/>
            <w:hideMark/>
          </w:tcPr>
          <w:p w14:paraId="56B6256F" w14:textId="3DD1E955"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24C6FC13" w14:textId="17876AC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00C13C33"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7" w:type="pct"/>
            <w:shd w:val="clear" w:color="auto" w:fill="auto"/>
            <w:noWrap/>
            <w:vAlign w:val="center"/>
            <w:hideMark/>
          </w:tcPr>
          <w:p w14:paraId="102F1518"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794905C5" w14:textId="708AC1B1"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016F49EC" w14:textId="23B45344"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5F1F9E3C"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gridSpan w:val="2"/>
            <w:shd w:val="clear" w:color="auto" w:fill="auto"/>
            <w:noWrap/>
            <w:vAlign w:val="center"/>
            <w:hideMark/>
          </w:tcPr>
          <w:p w14:paraId="1DE28509" w14:textId="7268AF3B"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87" w:type="pct"/>
            <w:shd w:val="clear" w:color="auto" w:fill="auto"/>
            <w:noWrap/>
            <w:vAlign w:val="center"/>
            <w:hideMark/>
          </w:tcPr>
          <w:p w14:paraId="16167CC5" w14:textId="5A5ACF50"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77BD4484" w14:textId="13462FF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32FA6993"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50" w:type="pct"/>
            <w:shd w:val="clear" w:color="auto" w:fill="auto"/>
            <w:noWrap/>
            <w:vAlign w:val="center"/>
            <w:hideMark/>
          </w:tcPr>
          <w:p w14:paraId="4BB0FC5A" w14:textId="77777777" w:rsidR="00440A6C" w:rsidRPr="00A91056" w:rsidRDefault="00440A6C" w:rsidP="00E329EF">
            <w:pPr>
              <w:widowControl/>
              <w:spacing w:line="240" w:lineRule="auto"/>
              <w:ind w:firstLine="0"/>
              <w:jc w:val="center"/>
              <w:rPr>
                <w:rFonts w:eastAsia="Times New Roman" w:cs="Arial"/>
                <w:sz w:val="18"/>
                <w:szCs w:val="18"/>
              </w:rPr>
            </w:pPr>
          </w:p>
        </w:tc>
        <w:tc>
          <w:tcPr>
            <w:tcW w:w="216" w:type="pct"/>
            <w:shd w:val="clear" w:color="auto" w:fill="auto"/>
            <w:noWrap/>
            <w:vAlign w:val="center"/>
            <w:hideMark/>
          </w:tcPr>
          <w:p w14:paraId="77619FFC" w14:textId="1848BA6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07664D" w:rsidRPr="00A91056" w14:paraId="48A95489" w14:textId="77777777" w:rsidTr="00A576CB">
        <w:trPr>
          <w:trHeight w:val="288"/>
        </w:trPr>
        <w:tc>
          <w:tcPr>
            <w:tcW w:w="844" w:type="pct"/>
            <w:shd w:val="clear" w:color="auto" w:fill="auto"/>
            <w:noWrap/>
            <w:vAlign w:val="center"/>
            <w:hideMark/>
          </w:tcPr>
          <w:p w14:paraId="712E4C9B"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Safrole</w:t>
            </w:r>
          </w:p>
        </w:tc>
        <w:tc>
          <w:tcPr>
            <w:tcW w:w="374" w:type="pct"/>
            <w:shd w:val="clear" w:color="auto" w:fill="auto"/>
            <w:noWrap/>
            <w:vAlign w:val="center"/>
            <w:hideMark/>
          </w:tcPr>
          <w:p w14:paraId="183DC4D5"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94-59-7</w:t>
            </w:r>
          </w:p>
        </w:tc>
        <w:tc>
          <w:tcPr>
            <w:tcW w:w="500" w:type="pct"/>
            <w:shd w:val="clear" w:color="auto" w:fill="auto"/>
            <w:vAlign w:val="center"/>
            <w:hideMark/>
          </w:tcPr>
          <w:p w14:paraId="14B4CFDC"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1 - 6</w:t>
            </w:r>
          </w:p>
        </w:tc>
        <w:tc>
          <w:tcPr>
            <w:tcW w:w="158" w:type="pct"/>
            <w:shd w:val="clear" w:color="auto" w:fill="auto"/>
            <w:vAlign w:val="center"/>
            <w:hideMark/>
          </w:tcPr>
          <w:p w14:paraId="7796F267" w14:textId="12E36F9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49" w:type="pct"/>
            <w:shd w:val="clear" w:color="auto" w:fill="auto"/>
            <w:vAlign w:val="center"/>
            <w:hideMark/>
          </w:tcPr>
          <w:p w14:paraId="74DE3E32" w14:textId="4EBC5D02"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0D04E9D8" w14:textId="7981C206"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w:t>
            </w:r>
          </w:p>
        </w:tc>
        <w:tc>
          <w:tcPr>
            <w:tcW w:w="281" w:type="pct"/>
            <w:shd w:val="clear" w:color="auto" w:fill="auto"/>
            <w:noWrap/>
            <w:vAlign w:val="center"/>
            <w:hideMark/>
          </w:tcPr>
          <w:p w14:paraId="108BC9AE" w14:textId="2B379B8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5DC4D341" w14:textId="7BD8F99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50" w:type="pct"/>
            <w:shd w:val="clear" w:color="auto" w:fill="auto"/>
            <w:noWrap/>
            <w:vAlign w:val="center"/>
            <w:hideMark/>
          </w:tcPr>
          <w:p w14:paraId="62E9438C" w14:textId="7C049F5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29D13105" w14:textId="224FAF2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59525A84" w14:textId="095579F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476761A7"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5B29BC08" w14:textId="7DA611E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19" w:type="pct"/>
            <w:gridSpan w:val="2"/>
            <w:shd w:val="clear" w:color="auto" w:fill="auto"/>
            <w:noWrap/>
            <w:vAlign w:val="center"/>
            <w:hideMark/>
          </w:tcPr>
          <w:p w14:paraId="2F8207B2" w14:textId="1F4C53CA"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87" w:type="pct"/>
            <w:shd w:val="clear" w:color="auto" w:fill="auto"/>
            <w:noWrap/>
            <w:vAlign w:val="center"/>
            <w:hideMark/>
          </w:tcPr>
          <w:p w14:paraId="2A6DF5A2"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6" w:type="pct"/>
            <w:shd w:val="clear" w:color="auto" w:fill="auto"/>
            <w:noWrap/>
            <w:vAlign w:val="center"/>
            <w:hideMark/>
          </w:tcPr>
          <w:p w14:paraId="577503A5" w14:textId="77777777" w:rsidR="00440A6C" w:rsidRPr="00A91056" w:rsidRDefault="00440A6C" w:rsidP="00E329EF">
            <w:pPr>
              <w:widowControl/>
              <w:spacing w:line="240" w:lineRule="auto"/>
              <w:ind w:firstLine="0"/>
              <w:jc w:val="center"/>
              <w:rPr>
                <w:rFonts w:eastAsia="Times New Roman" w:cs="Arial"/>
                <w:sz w:val="18"/>
                <w:szCs w:val="18"/>
              </w:rPr>
            </w:pPr>
          </w:p>
        </w:tc>
        <w:tc>
          <w:tcPr>
            <w:tcW w:w="157" w:type="pct"/>
            <w:shd w:val="clear" w:color="auto" w:fill="auto"/>
            <w:noWrap/>
            <w:vAlign w:val="center"/>
            <w:hideMark/>
          </w:tcPr>
          <w:p w14:paraId="3F19A8D5" w14:textId="36940CA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566ECFB1"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6" w:type="pct"/>
            <w:shd w:val="clear" w:color="auto" w:fill="auto"/>
            <w:noWrap/>
            <w:vAlign w:val="center"/>
            <w:hideMark/>
          </w:tcPr>
          <w:p w14:paraId="6C31AC3B" w14:textId="1FFC9192"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07664D" w:rsidRPr="00A91056" w14:paraId="15EFB4B3" w14:textId="77777777" w:rsidTr="00A576CB">
        <w:trPr>
          <w:trHeight w:val="288"/>
        </w:trPr>
        <w:tc>
          <w:tcPr>
            <w:tcW w:w="844" w:type="pct"/>
            <w:shd w:val="clear" w:color="auto" w:fill="auto"/>
            <w:noWrap/>
            <w:vAlign w:val="center"/>
            <w:hideMark/>
          </w:tcPr>
          <w:p w14:paraId="231CE469" w14:textId="77777777" w:rsidR="00440A6C" w:rsidRPr="00A91056" w:rsidRDefault="00440A6C" w:rsidP="00440A6C">
            <w:pPr>
              <w:widowControl/>
              <w:spacing w:line="240" w:lineRule="auto"/>
              <w:ind w:firstLine="0"/>
              <w:rPr>
                <w:rFonts w:eastAsia="Times New Roman" w:cs="Arial"/>
                <w:color w:val="000000"/>
                <w:sz w:val="18"/>
                <w:szCs w:val="18"/>
              </w:rPr>
            </w:pPr>
            <w:proofErr w:type="spellStart"/>
            <w:r w:rsidRPr="00A91056">
              <w:rPr>
                <w:rFonts w:eastAsia="Times New Roman" w:cs="Arial"/>
                <w:color w:val="000000"/>
                <w:sz w:val="18"/>
                <w:szCs w:val="18"/>
              </w:rPr>
              <w:t>Senecionine</w:t>
            </w:r>
            <w:proofErr w:type="spellEnd"/>
          </w:p>
        </w:tc>
        <w:tc>
          <w:tcPr>
            <w:tcW w:w="374" w:type="pct"/>
            <w:shd w:val="clear" w:color="auto" w:fill="auto"/>
            <w:noWrap/>
            <w:vAlign w:val="center"/>
            <w:hideMark/>
          </w:tcPr>
          <w:p w14:paraId="2673656A" w14:textId="5C6B6AF0"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130-01-8</w:t>
            </w:r>
          </w:p>
        </w:tc>
        <w:tc>
          <w:tcPr>
            <w:tcW w:w="500" w:type="pct"/>
            <w:shd w:val="clear" w:color="auto" w:fill="auto"/>
            <w:vAlign w:val="center"/>
            <w:hideMark/>
          </w:tcPr>
          <w:p w14:paraId="3406621C"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 xml:space="preserve">0.75 - 1 </w:t>
            </w:r>
            <w:r w:rsidRPr="00A91056">
              <w:rPr>
                <w:rFonts w:eastAsia="Times New Roman" w:cs="Arial"/>
                <w:color w:val="000000"/>
                <w:sz w:val="18"/>
                <w:szCs w:val="18"/>
                <w:vertAlign w:val="superscript"/>
              </w:rPr>
              <w:t>b</w:t>
            </w:r>
          </w:p>
        </w:tc>
        <w:tc>
          <w:tcPr>
            <w:tcW w:w="158" w:type="pct"/>
            <w:shd w:val="clear" w:color="auto" w:fill="auto"/>
            <w:vAlign w:val="center"/>
            <w:hideMark/>
          </w:tcPr>
          <w:p w14:paraId="73EE9466" w14:textId="5D6A8675"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vAlign w:val="center"/>
            <w:hideMark/>
          </w:tcPr>
          <w:p w14:paraId="22C01128" w14:textId="7279CC85"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shd w:val="clear" w:color="auto" w:fill="auto"/>
            <w:vAlign w:val="center"/>
            <w:hideMark/>
          </w:tcPr>
          <w:p w14:paraId="3D5EE800" w14:textId="01FD47A9" w:rsidR="00440A6C" w:rsidRPr="00A91056" w:rsidRDefault="00440A6C" w:rsidP="00E329EF">
            <w:pPr>
              <w:widowControl/>
              <w:spacing w:line="240" w:lineRule="auto"/>
              <w:ind w:firstLine="0"/>
              <w:jc w:val="center"/>
              <w:rPr>
                <w:rFonts w:eastAsia="Times New Roman" w:cs="Arial"/>
                <w:color w:val="000000"/>
                <w:sz w:val="18"/>
                <w:szCs w:val="18"/>
              </w:rPr>
            </w:pPr>
          </w:p>
        </w:tc>
        <w:tc>
          <w:tcPr>
            <w:tcW w:w="281" w:type="pct"/>
            <w:shd w:val="clear" w:color="auto" w:fill="auto"/>
            <w:noWrap/>
            <w:vAlign w:val="center"/>
            <w:hideMark/>
          </w:tcPr>
          <w:p w14:paraId="7CF711E0" w14:textId="6D71B89F"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2D75C253" w14:textId="156B6981"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50" w:type="pct"/>
            <w:shd w:val="clear" w:color="auto" w:fill="auto"/>
            <w:noWrap/>
            <w:vAlign w:val="center"/>
            <w:hideMark/>
          </w:tcPr>
          <w:p w14:paraId="19ACBF0C"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7" w:type="pct"/>
            <w:shd w:val="clear" w:color="auto" w:fill="auto"/>
            <w:noWrap/>
            <w:vAlign w:val="center"/>
            <w:hideMark/>
          </w:tcPr>
          <w:p w14:paraId="132A017C"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4D87A885" w14:textId="77777777" w:rsidR="00440A6C" w:rsidRPr="00A91056" w:rsidRDefault="00440A6C" w:rsidP="00E329EF">
            <w:pPr>
              <w:widowControl/>
              <w:spacing w:line="240" w:lineRule="auto"/>
              <w:ind w:firstLine="0"/>
              <w:jc w:val="center"/>
              <w:rPr>
                <w:rFonts w:eastAsia="Times New Roman" w:cs="Arial"/>
                <w:sz w:val="18"/>
                <w:szCs w:val="18"/>
              </w:rPr>
            </w:pPr>
          </w:p>
        </w:tc>
        <w:tc>
          <w:tcPr>
            <w:tcW w:w="250" w:type="pct"/>
            <w:shd w:val="clear" w:color="auto" w:fill="auto"/>
            <w:noWrap/>
            <w:vAlign w:val="center"/>
            <w:hideMark/>
          </w:tcPr>
          <w:p w14:paraId="6858D22D" w14:textId="2D00862F"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0C82AF55"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gridSpan w:val="2"/>
            <w:shd w:val="clear" w:color="auto" w:fill="auto"/>
            <w:noWrap/>
            <w:vAlign w:val="center"/>
            <w:hideMark/>
          </w:tcPr>
          <w:p w14:paraId="188D0E52"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766B1882"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05982053" w14:textId="77777777" w:rsidR="00440A6C" w:rsidRPr="00A91056" w:rsidRDefault="00440A6C" w:rsidP="00E329EF">
            <w:pPr>
              <w:widowControl/>
              <w:spacing w:line="240" w:lineRule="auto"/>
              <w:ind w:firstLine="0"/>
              <w:jc w:val="center"/>
              <w:rPr>
                <w:rFonts w:eastAsia="Times New Roman" w:cs="Arial"/>
                <w:sz w:val="18"/>
                <w:szCs w:val="18"/>
              </w:rPr>
            </w:pPr>
          </w:p>
        </w:tc>
        <w:tc>
          <w:tcPr>
            <w:tcW w:w="157" w:type="pct"/>
            <w:shd w:val="clear" w:color="auto" w:fill="auto"/>
            <w:noWrap/>
            <w:vAlign w:val="center"/>
            <w:hideMark/>
          </w:tcPr>
          <w:p w14:paraId="381CD59D" w14:textId="77777777" w:rsidR="00440A6C" w:rsidRPr="00A91056" w:rsidRDefault="00440A6C" w:rsidP="00E329EF">
            <w:pPr>
              <w:widowControl/>
              <w:spacing w:line="240" w:lineRule="auto"/>
              <w:ind w:firstLine="0"/>
              <w:jc w:val="center"/>
              <w:rPr>
                <w:rFonts w:eastAsia="Times New Roman" w:cs="Arial"/>
                <w:sz w:val="18"/>
                <w:szCs w:val="18"/>
              </w:rPr>
            </w:pPr>
          </w:p>
        </w:tc>
        <w:tc>
          <w:tcPr>
            <w:tcW w:w="250" w:type="pct"/>
            <w:shd w:val="clear" w:color="auto" w:fill="auto"/>
            <w:noWrap/>
            <w:vAlign w:val="center"/>
            <w:hideMark/>
          </w:tcPr>
          <w:p w14:paraId="453BAA1F" w14:textId="77777777" w:rsidR="00440A6C" w:rsidRPr="00A91056" w:rsidRDefault="00440A6C" w:rsidP="00E329EF">
            <w:pPr>
              <w:widowControl/>
              <w:spacing w:line="240" w:lineRule="auto"/>
              <w:ind w:firstLine="0"/>
              <w:jc w:val="center"/>
              <w:rPr>
                <w:rFonts w:eastAsia="Times New Roman" w:cs="Arial"/>
                <w:sz w:val="18"/>
                <w:szCs w:val="18"/>
              </w:rPr>
            </w:pPr>
          </w:p>
        </w:tc>
        <w:tc>
          <w:tcPr>
            <w:tcW w:w="216" w:type="pct"/>
            <w:shd w:val="clear" w:color="auto" w:fill="auto"/>
            <w:noWrap/>
            <w:vAlign w:val="center"/>
            <w:hideMark/>
          </w:tcPr>
          <w:p w14:paraId="48D10669" w14:textId="77777777" w:rsidR="00440A6C" w:rsidRPr="00A91056" w:rsidRDefault="00440A6C" w:rsidP="00E329EF">
            <w:pPr>
              <w:widowControl/>
              <w:spacing w:line="240" w:lineRule="auto"/>
              <w:ind w:firstLine="0"/>
              <w:jc w:val="center"/>
              <w:rPr>
                <w:rFonts w:eastAsia="Times New Roman" w:cs="Arial"/>
                <w:sz w:val="18"/>
                <w:szCs w:val="18"/>
              </w:rPr>
            </w:pPr>
          </w:p>
        </w:tc>
      </w:tr>
      <w:tr w:rsidR="0007664D" w:rsidRPr="00A91056" w14:paraId="067F7973" w14:textId="77777777" w:rsidTr="00A576CB">
        <w:trPr>
          <w:trHeight w:val="288"/>
        </w:trPr>
        <w:tc>
          <w:tcPr>
            <w:tcW w:w="844" w:type="pct"/>
            <w:shd w:val="clear" w:color="auto" w:fill="auto"/>
            <w:noWrap/>
            <w:vAlign w:val="center"/>
            <w:hideMark/>
          </w:tcPr>
          <w:p w14:paraId="27F4069A"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Streptozotocin</w:t>
            </w:r>
          </w:p>
        </w:tc>
        <w:tc>
          <w:tcPr>
            <w:tcW w:w="374" w:type="pct"/>
            <w:shd w:val="clear" w:color="auto" w:fill="auto"/>
            <w:noWrap/>
            <w:vAlign w:val="center"/>
            <w:hideMark/>
          </w:tcPr>
          <w:p w14:paraId="57AE1809"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18883-66-4</w:t>
            </w:r>
          </w:p>
        </w:tc>
        <w:tc>
          <w:tcPr>
            <w:tcW w:w="500" w:type="pct"/>
            <w:shd w:val="clear" w:color="auto" w:fill="auto"/>
            <w:vAlign w:val="center"/>
            <w:hideMark/>
          </w:tcPr>
          <w:p w14:paraId="4CDD0628"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2.5 - 10</w:t>
            </w:r>
          </w:p>
        </w:tc>
        <w:tc>
          <w:tcPr>
            <w:tcW w:w="158" w:type="pct"/>
            <w:shd w:val="clear" w:color="auto" w:fill="auto"/>
            <w:vAlign w:val="center"/>
            <w:hideMark/>
          </w:tcPr>
          <w:p w14:paraId="56421428" w14:textId="13743C6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noWrap/>
            <w:vAlign w:val="center"/>
            <w:hideMark/>
          </w:tcPr>
          <w:p w14:paraId="400C2463" w14:textId="7F9D4F59" w:rsidR="00440A6C" w:rsidRPr="00A91056" w:rsidRDefault="00440A6C" w:rsidP="00E329EF">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157" w:type="pct"/>
            <w:shd w:val="clear" w:color="auto" w:fill="auto"/>
            <w:noWrap/>
            <w:vAlign w:val="center"/>
            <w:hideMark/>
          </w:tcPr>
          <w:p w14:paraId="2CDCCC59" w14:textId="2249F3C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w:t>
            </w:r>
          </w:p>
        </w:tc>
        <w:tc>
          <w:tcPr>
            <w:tcW w:w="281" w:type="pct"/>
            <w:shd w:val="clear" w:color="auto" w:fill="auto"/>
            <w:noWrap/>
            <w:vAlign w:val="center"/>
            <w:hideMark/>
          </w:tcPr>
          <w:p w14:paraId="2D9838C4" w14:textId="20783F1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43C68727" w14:textId="3994EA12"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323BB5BD" w14:textId="79EC5FC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37B7F3F2"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6" w:type="pct"/>
            <w:shd w:val="clear" w:color="auto" w:fill="auto"/>
            <w:noWrap/>
            <w:vAlign w:val="center"/>
            <w:hideMark/>
          </w:tcPr>
          <w:p w14:paraId="27164E0D" w14:textId="77777777" w:rsidR="00440A6C" w:rsidRPr="00A91056" w:rsidRDefault="00440A6C" w:rsidP="00E329EF">
            <w:pPr>
              <w:widowControl/>
              <w:spacing w:line="240" w:lineRule="auto"/>
              <w:ind w:firstLine="0"/>
              <w:jc w:val="center"/>
              <w:rPr>
                <w:rFonts w:eastAsia="Times New Roman" w:cs="Arial"/>
                <w:sz w:val="18"/>
                <w:szCs w:val="18"/>
              </w:rPr>
            </w:pPr>
          </w:p>
        </w:tc>
        <w:tc>
          <w:tcPr>
            <w:tcW w:w="250" w:type="pct"/>
            <w:shd w:val="clear" w:color="auto" w:fill="auto"/>
            <w:noWrap/>
            <w:vAlign w:val="center"/>
            <w:hideMark/>
          </w:tcPr>
          <w:p w14:paraId="1DBD18F9" w14:textId="748AC45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48140DEE"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gridSpan w:val="2"/>
            <w:shd w:val="clear" w:color="auto" w:fill="auto"/>
            <w:noWrap/>
            <w:vAlign w:val="center"/>
            <w:hideMark/>
          </w:tcPr>
          <w:p w14:paraId="4A3CA6E6"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13DBAA30" w14:textId="6710A64A"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6D1CA4BD" w14:textId="14E9850A"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7EE8D46D"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50" w:type="pct"/>
            <w:shd w:val="clear" w:color="auto" w:fill="auto"/>
            <w:noWrap/>
            <w:vAlign w:val="center"/>
            <w:hideMark/>
          </w:tcPr>
          <w:p w14:paraId="452A5DD9" w14:textId="1BA031F4"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6" w:type="pct"/>
            <w:shd w:val="clear" w:color="auto" w:fill="auto"/>
            <w:noWrap/>
            <w:vAlign w:val="center"/>
            <w:hideMark/>
          </w:tcPr>
          <w:p w14:paraId="2C319DCD" w14:textId="6CFD4662"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07664D" w:rsidRPr="00A91056" w14:paraId="57E0F1E3" w14:textId="77777777" w:rsidTr="00A576CB">
        <w:trPr>
          <w:trHeight w:val="288"/>
        </w:trPr>
        <w:tc>
          <w:tcPr>
            <w:tcW w:w="844" w:type="pct"/>
            <w:shd w:val="clear" w:color="auto" w:fill="auto"/>
            <w:noWrap/>
            <w:vAlign w:val="center"/>
            <w:hideMark/>
          </w:tcPr>
          <w:p w14:paraId="6362D830"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Tamoxifen</w:t>
            </w:r>
          </w:p>
        </w:tc>
        <w:tc>
          <w:tcPr>
            <w:tcW w:w="374" w:type="pct"/>
            <w:shd w:val="clear" w:color="auto" w:fill="auto"/>
            <w:noWrap/>
            <w:vAlign w:val="center"/>
            <w:hideMark/>
          </w:tcPr>
          <w:p w14:paraId="620C981B"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54965-24-1</w:t>
            </w:r>
          </w:p>
        </w:tc>
        <w:tc>
          <w:tcPr>
            <w:tcW w:w="500" w:type="pct"/>
            <w:shd w:val="clear" w:color="auto" w:fill="auto"/>
            <w:vAlign w:val="center"/>
            <w:hideMark/>
          </w:tcPr>
          <w:p w14:paraId="18342884"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0.25 - 0.5</w:t>
            </w:r>
            <w:r w:rsidRPr="00A91056">
              <w:rPr>
                <w:rFonts w:eastAsia="Times New Roman" w:cs="Arial"/>
                <w:color w:val="000000"/>
                <w:sz w:val="18"/>
                <w:szCs w:val="18"/>
                <w:vertAlign w:val="superscript"/>
              </w:rPr>
              <w:t xml:space="preserve"> b</w:t>
            </w:r>
          </w:p>
        </w:tc>
        <w:tc>
          <w:tcPr>
            <w:tcW w:w="158" w:type="pct"/>
            <w:shd w:val="clear" w:color="auto" w:fill="auto"/>
            <w:vAlign w:val="center"/>
            <w:hideMark/>
          </w:tcPr>
          <w:p w14:paraId="2403083A" w14:textId="5631E27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49" w:type="pct"/>
            <w:shd w:val="clear" w:color="auto" w:fill="auto"/>
            <w:vAlign w:val="center"/>
            <w:hideMark/>
          </w:tcPr>
          <w:p w14:paraId="235F5C5C" w14:textId="0BDE2A72"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1C66ED3F" w14:textId="1AA3754F"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w:t>
            </w:r>
          </w:p>
        </w:tc>
        <w:tc>
          <w:tcPr>
            <w:tcW w:w="281" w:type="pct"/>
            <w:shd w:val="clear" w:color="auto" w:fill="auto"/>
            <w:noWrap/>
            <w:vAlign w:val="center"/>
            <w:hideMark/>
          </w:tcPr>
          <w:p w14:paraId="33A849BA" w14:textId="0B1F15A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5A21351E" w14:textId="6B8A7DC1"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50" w:type="pct"/>
            <w:shd w:val="clear" w:color="auto" w:fill="auto"/>
            <w:noWrap/>
            <w:vAlign w:val="center"/>
            <w:hideMark/>
          </w:tcPr>
          <w:p w14:paraId="46FFA3DA"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7" w:type="pct"/>
            <w:shd w:val="clear" w:color="auto" w:fill="auto"/>
            <w:noWrap/>
            <w:vAlign w:val="center"/>
            <w:hideMark/>
          </w:tcPr>
          <w:p w14:paraId="583DC7DF" w14:textId="23BFB1D5"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5529A282"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50" w:type="pct"/>
            <w:shd w:val="clear" w:color="auto" w:fill="auto"/>
            <w:noWrap/>
            <w:vAlign w:val="center"/>
            <w:hideMark/>
          </w:tcPr>
          <w:p w14:paraId="394C2FAA" w14:textId="429284E0"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76475D58"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gridSpan w:val="2"/>
            <w:shd w:val="clear" w:color="auto" w:fill="auto"/>
            <w:noWrap/>
            <w:vAlign w:val="center"/>
            <w:hideMark/>
          </w:tcPr>
          <w:p w14:paraId="461D4D87"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6D341AFE"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02FC7225" w14:textId="490A0CE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29B3B043" w14:textId="4363768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6D7DC45E"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6" w:type="pct"/>
            <w:shd w:val="clear" w:color="auto" w:fill="auto"/>
            <w:noWrap/>
            <w:vAlign w:val="center"/>
            <w:hideMark/>
          </w:tcPr>
          <w:p w14:paraId="07014C83" w14:textId="2E6BD68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07664D" w:rsidRPr="00A91056" w14:paraId="6E735EF9" w14:textId="77777777" w:rsidTr="00A576CB">
        <w:trPr>
          <w:trHeight w:val="288"/>
        </w:trPr>
        <w:tc>
          <w:tcPr>
            <w:tcW w:w="844" w:type="pct"/>
            <w:shd w:val="clear" w:color="auto" w:fill="auto"/>
            <w:noWrap/>
            <w:vAlign w:val="center"/>
            <w:hideMark/>
          </w:tcPr>
          <w:p w14:paraId="6BAC896C" w14:textId="77777777" w:rsidR="00440A6C" w:rsidRPr="00A91056" w:rsidRDefault="00440A6C" w:rsidP="00440A6C">
            <w:pPr>
              <w:widowControl/>
              <w:spacing w:line="240" w:lineRule="auto"/>
              <w:ind w:firstLine="0"/>
              <w:rPr>
                <w:rFonts w:eastAsia="Times New Roman" w:cs="Arial"/>
                <w:color w:val="000000"/>
                <w:sz w:val="18"/>
                <w:szCs w:val="18"/>
              </w:rPr>
            </w:pPr>
            <w:proofErr w:type="spellStart"/>
            <w:r w:rsidRPr="00A91056">
              <w:rPr>
                <w:rFonts w:eastAsia="Times New Roman" w:cs="Arial"/>
                <w:color w:val="000000"/>
                <w:sz w:val="18"/>
                <w:szCs w:val="18"/>
              </w:rPr>
              <w:t>Teniposide</w:t>
            </w:r>
            <w:proofErr w:type="spellEnd"/>
          </w:p>
        </w:tc>
        <w:tc>
          <w:tcPr>
            <w:tcW w:w="374" w:type="pct"/>
            <w:shd w:val="clear" w:color="auto" w:fill="auto"/>
            <w:noWrap/>
            <w:vAlign w:val="center"/>
            <w:hideMark/>
          </w:tcPr>
          <w:p w14:paraId="5520ED05"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29767-20-2</w:t>
            </w:r>
          </w:p>
        </w:tc>
        <w:tc>
          <w:tcPr>
            <w:tcW w:w="500" w:type="pct"/>
            <w:shd w:val="clear" w:color="auto" w:fill="auto"/>
            <w:vAlign w:val="center"/>
            <w:hideMark/>
          </w:tcPr>
          <w:p w14:paraId="6B31AB29"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0.5 - 0.75</w:t>
            </w:r>
            <w:r w:rsidRPr="00A91056">
              <w:rPr>
                <w:rFonts w:eastAsia="Times New Roman" w:cs="Arial"/>
                <w:color w:val="000000"/>
                <w:sz w:val="18"/>
                <w:szCs w:val="18"/>
                <w:vertAlign w:val="superscript"/>
              </w:rPr>
              <w:t xml:space="preserve"> b</w:t>
            </w:r>
          </w:p>
        </w:tc>
        <w:tc>
          <w:tcPr>
            <w:tcW w:w="158" w:type="pct"/>
            <w:shd w:val="clear" w:color="auto" w:fill="auto"/>
            <w:vAlign w:val="center"/>
            <w:hideMark/>
          </w:tcPr>
          <w:p w14:paraId="6B8035A2" w14:textId="1927560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shd w:val="clear" w:color="auto" w:fill="auto"/>
            <w:vAlign w:val="center"/>
            <w:hideMark/>
          </w:tcPr>
          <w:p w14:paraId="30967DDD" w14:textId="6D34DFC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1867646C" w14:textId="7E42203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w:t>
            </w:r>
          </w:p>
        </w:tc>
        <w:tc>
          <w:tcPr>
            <w:tcW w:w="281" w:type="pct"/>
            <w:shd w:val="clear" w:color="auto" w:fill="auto"/>
            <w:noWrap/>
            <w:vAlign w:val="center"/>
            <w:hideMark/>
          </w:tcPr>
          <w:p w14:paraId="5184549B"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shd w:val="clear" w:color="auto" w:fill="auto"/>
            <w:noWrap/>
            <w:vAlign w:val="center"/>
            <w:hideMark/>
          </w:tcPr>
          <w:p w14:paraId="5CAEA230" w14:textId="65380CCB"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3290EA26" w14:textId="37ED7B8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7C737E0E" w14:textId="4AD52B1B"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shd w:val="clear" w:color="auto" w:fill="auto"/>
            <w:noWrap/>
            <w:vAlign w:val="center"/>
            <w:hideMark/>
          </w:tcPr>
          <w:p w14:paraId="75B7DF83" w14:textId="2AB4F6D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2A068B51" w14:textId="5EF60A6F"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19" w:type="pct"/>
            <w:shd w:val="clear" w:color="auto" w:fill="auto"/>
            <w:noWrap/>
            <w:vAlign w:val="center"/>
            <w:hideMark/>
          </w:tcPr>
          <w:p w14:paraId="31A90C4F"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gridSpan w:val="2"/>
            <w:shd w:val="clear" w:color="auto" w:fill="auto"/>
            <w:noWrap/>
            <w:vAlign w:val="center"/>
            <w:hideMark/>
          </w:tcPr>
          <w:p w14:paraId="589CCC2C"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shd w:val="clear" w:color="auto" w:fill="auto"/>
            <w:noWrap/>
            <w:vAlign w:val="center"/>
            <w:hideMark/>
          </w:tcPr>
          <w:p w14:paraId="1251941F"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shd w:val="clear" w:color="auto" w:fill="auto"/>
            <w:noWrap/>
            <w:vAlign w:val="center"/>
            <w:hideMark/>
          </w:tcPr>
          <w:p w14:paraId="5EAC1E76" w14:textId="044A4EB0"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shd w:val="clear" w:color="auto" w:fill="auto"/>
            <w:noWrap/>
            <w:vAlign w:val="center"/>
            <w:hideMark/>
          </w:tcPr>
          <w:p w14:paraId="0C196D5C" w14:textId="2EB2345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shd w:val="clear" w:color="auto" w:fill="auto"/>
            <w:noWrap/>
            <w:vAlign w:val="center"/>
            <w:hideMark/>
          </w:tcPr>
          <w:p w14:paraId="468529C1"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6" w:type="pct"/>
            <w:shd w:val="clear" w:color="auto" w:fill="auto"/>
            <w:noWrap/>
            <w:vAlign w:val="center"/>
            <w:hideMark/>
          </w:tcPr>
          <w:p w14:paraId="70FB297C" w14:textId="77777777" w:rsidR="00440A6C" w:rsidRPr="00A91056" w:rsidRDefault="00440A6C" w:rsidP="00E329EF">
            <w:pPr>
              <w:widowControl/>
              <w:spacing w:line="240" w:lineRule="auto"/>
              <w:ind w:firstLine="0"/>
              <w:jc w:val="center"/>
              <w:rPr>
                <w:rFonts w:eastAsia="Times New Roman" w:cs="Arial"/>
                <w:color w:val="000000"/>
                <w:sz w:val="18"/>
                <w:szCs w:val="18"/>
              </w:rPr>
            </w:pPr>
          </w:p>
        </w:tc>
      </w:tr>
      <w:tr w:rsidR="0007664D" w:rsidRPr="00A91056" w14:paraId="0FFCD647" w14:textId="77777777" w:rsidTr="00A576CB">
        <w:trPr>
          <w:trHeight w:val="288"/>
        </w:trPr>
        <w:tc>
          <w:tcPr>
            <w:tcW w:w="844" w:type="pct"/>
            <w:tcBorders>
              <w:bottom w:val="single" w:sz="4" w:space="0" w:color="auto"/>
            </w:tcBorders>
            <w:shd w:val="clear" w:color="auto" w:fill="auto"/>
            <w:noWrap/>
            <w:vAlign w:val="center"/>
            <w:hideMark/>
          </w:tcPr>
          <w:p w14:paraId="5B0F6A12"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Trans-2-Hexenal</w:t>
            </w:r>
          </w:p>
        </w:tc>
        <w:tc>
          <w:tcPr>
            <w:tcW w:w="374" w:type="pct"/>
            <w:tcBorders>
              <w:bottom w:val="single" w:sz="4" w:space="0" w:color="auto"/>
            </w:tcBorders>
            <w:shd w:val="clear" w:color="auto" w:fill="auto"/>
            <w:noWrap/>
            <w:vAlign w:val="center"/>
            <w:hideMark/>
          </w:tcPr>
          <w:p w14:paraId="796518DD"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6728-26-3</w:t>
            </w:r>
          </w:p>
        </w:tc>
        <w:tc>
          <w:tcPr>
            <w:tcW w:w="500" w:type="pct"/>
            <w:tcBorders>
              <w:bottom w:val="single" w:sz="4" w:space="0" w:color="auto"/>
            </w:tcBorders>
            <w:shd w:val="clear" w:color="auto" w:fill="auto"/>
            <w:vAlign w:val="center"/>
            <w:hideMark/>
          </w:tcPr>
          <w:p w14:paraId="3677DECE"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0.25 - 1 ª</w:t>
            </w:r>
          </w:p>
        </w:tc>
        <w:tc>
          <w:tcPr>
            <w:tcW w:w="158" w:type="pct"/>
            <w:tcBorders>
              <w:bottom w:val="single" w:sz="4" w:space="0" w:color="auto"/>
            </w:tcBorders>
            <w:shd w:val="clear" w:color="auto" w:fill="auto"/>
            <w:vAlign w:val="center"/>
            <w:hideMark/>
          </w:tcPr>
          <w:p w14:paraId="2FAB5CE1" w14:textId="3B9581C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tcBorders>
              <w:bottom w:val="single" w:sz="4" w:space="0" w:color="auto"/>
            </w:tcBorders>
            <w:shd w:val="clear" w:color="auto" w:fill="auto"/>
            <w:vAlign w:val="center"/>
            <w:hideMark/>
          </w:tcPr>
          <w:p w14:paraId="5C16E79F" w14:textId="41D1AF40"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tcBorders>
              <w:bottom w:val="single" w:sz="4" w:space="0" w:color="auto"/>
            </w:tcBorders>
            <w:shd w:val="clear" w:color="auto" w:fill="auto"/>
            <w:vAlign w:val="center"/>
            <w:hideMark/>
          </w:tcPr>
          <w:p w14:paraId="75C0AE54" w14:textId="49DA48A0" w:rsidR="00440A6C" w:rsidRPr="00A91056" w:rsidRDefault="00440A6C" w:rsidP="00E329EF">
            <w:pPr>
              <w:widowControl/>
              <w:spacing w:line="240" w:lineRule="auto"/>
              <w:ind w:firstLine="0"/>
              <w:jc w:val="center"/>
              <w:rPr>
                <w:rFonts w:eastAsia="Times New Roman" w:cs="Arial"/>
                <w:color w:val="000000"/>
                <w:sz w:val="18"/>
                <w:szCs w:val="18"/>
              </w:rPr>
            </w:pPr>
          </w:p>
        </w:tc>
        <w:tc>
          <w:tcPr>
            <w:tcW w:w="281" w:type="pct"/>
            <w:tcBorders>
              <w:bottom w:val="single" w:sz="4" w:space="0" w:color="auto"/>
            </w:tcBorders>
            <w:shd w:val="clear" w:color="auto" w:fill="auto"/>
            <w:noWrap/>
            <w:vAlign w:val="center"/>
            <w:hideMark/>
          </w:tcPr>
          <w:p w14:paraId="7BECB81C" w14:textId="3C0EB97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 in vitro</w:t>
            </w:r>
          </w:p>
        </w:tc>
        <w:tc>
          <w:tcPr>
            <w:tcW w:w="219" w:type="pct"/>
            <w:tcBorders>
              <w:bottom w:val="single" w:sz="4" w:space="0" w:color="auto"/>
            </w:tcBorders>
            <w:shd w:val="clear" w:color="auto" w:fill="auto"/>
            <w:noWrap/>
            <w:vAlign w:val="center"/>
            <w:hideMark/>
          </w:tcPr>
          <w:p w14:paraId="43600415" w14:textId="7AB8D108"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250" w:type="pct"/>
            <w:tcBorders>
              <w:bottom w:val="single" w:sz="4" w:space="0" w:color="auto"/>
            </w:tcBorders>
            <w:shd w:val="clear" w:color="auto" w:fill="auto"/>
            <w:noWrap/>
            <w:vAlign w:val="center"/>
            <w:hideMark/>
          </w:tcPr>
          <w:p w14:paraId="5589617C" w14:textId="454BF9E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7" w:type="pct"/>
            <w:tcBorders>
              <w:bottom w:val="single" w:sz="4" w:space="0" w:color="auto"/>
            </w:tcBorders>
            <w:shd w:val="clear" w:color="auto" w:fill="auto"/>
            <w:noWrap/>
            <w:vAlign w:val="center"/>
            <w:hideMark/>
          </w:tcPr>
          <w:p w14:paraId="126DB34F" w14:textId="5008E391"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156" w:type="pct"/>
            <w:tcBorders>
              <w:bottom w:val="single" w:sz="4" w:space="0" w:color="auto"/>
            </w:tcBorders>
            <w:shd w:val="clear" w:color="auto" w:fill="auto"/>
            <w:noWrap/>
            <w:vAlign w:val="center"/>
            <w:hideMark/>
          </w:tcPr>
          <w:p w14:paraId="15848856" w14:textId="5DA6A833"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50" w:type="pct"/>
            <w:tcBorders>
              <w:bottom w:val="single" w:sz="4" w:space="0" w:color="auto"/>
            </w:tcBorders>
            <w:shd w:val="clear" w:color="auto" w:fill="auto"/>
            <w:noWrap/>
            <w:vAlign w:val="center"/>
            <w:hideMark/>
          </w:tcPr>
          <w:p w14:paraId="186F0C48"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tcBorders>
              <w:bottom w:val="single" w:sz="4" w:space="0" w:color="auto"/>
            </w:tcBorders>
            <w:shd w:val="clear" w:color="auto" w:fill="auto"/>
            <w:noWrap/>
            <w:vAlign w:val="center"/>
            <w:hideMark/>
          </w:tcPr>
          <w:p w14:paraId="1219418E"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gridSpan w:val="2"/>
            <w:tcBorders>
              <w:bottom w:val="single" w:sz="4" w:space="0" w:color="auto"/>
            </w:tcBorders>
            <w:shd w:val="clear" w:color="auto" w:fill="auto"/>
            <w:noWrap/>
            <w:vAlign w:val="center"/>
            <w:hideMark/>
          </w:tcPr>
          <w:p w14:paraId="5E2C5072" w14:textId="681F6C90"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87" w:type="pct"/>
            <w:tcBorders>
              <w:bottom w:val="single" w:sz="4" w:space="0" w:color="auto"/>
            </w:tcBorders>
            <w:shd w:val="clear" w:color="auto" w:fill="auto"/>
            <w:noWrap/>
            <w:vAlign w:val="center"/>
            <w:hideMark/>
          </w:tcPr>
          <w:p w14:paraId="65170758" w14:textId="2041076E"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6" w:type="pct"/>
            <w:tcBorders>
              <w:bottom w:val="single" w:sz="4" w:space="0" w:color="auto"/>
            </w:tcBorders>
            <w:shd w:val="clear" w:color="auto" w:fill="auto"/>
            <w:noWrap/>
            <w:vAlign w:val="center"/>
            <w:hideMark/>
          </w:tcPr>
          <w:p w14:paraId="3F81A451" w14:textId="58D9C1A0"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tcBorders>
              <w:bottom w:val="single" w:sz="4" w:space="0" w:color="auto"/>
            </w:tcBorders>
            <w:shd w:val="clear" w:color="auto" w:fill="auto"/>
            <w:noWrap/>
            <w:vAlign w:val="center"/>
            <w:hideMark/>
          </w:tcPr>
          <w:p w14:paraId="6B89A019"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50" w:type="pct"/>
            <w:tcBorders>
              <w:bottom w:val="single" w:sz="4" w:space="0" w:color="auto"/>
            </w:tcBorders>
            <w:shd w:val="clear" w:color="auto" w:fill="auto"/>
            <w:noWrap/>
            <w:vAlign w:val="center"/>
            <w:hideMark/>
          </w:tcPr>
          <w:p w14:paraId="19CFD5C5" w14:textId="74C7407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16" w:type="pct"/>
            <w:tcBorders>
              <w:bottom w:val="single" w:sz="4" w:space="0" w:color="auto"/>
            </w:tcBorders>
            <w:shd w:val="clear" w:color="auto" w:fill="auto"/>
            <w:noWrap/>
            <w:vAlign w:val="center"/>
            <w:hideMark/>
          </w:tcPr>
          <w:p w14:paraId="616C3A13" w14:textId="77777777" w:rsidR="00440A6C" w:rsidRPr="00A91056" w:rsidRDefault="00440A6C" w:rsidP="00E329EF">
            <w:pPr>
              <w:widowControl/>
              <w:spacing w:line="240" w:lineRule="auto"/>
              <w:ind w:firstLine="0"/>
              <w:jc w:val="center"/>
              <w:rPr>
                <w:rFonts w:eastAsia="Times New Roman" w:cs="Arial"/>
                <w:color w:val="000000"/>
                <w:sz w:val="18"/>
                <w:szCs w:val="18"/>
              </w:rPr>
            </w:pPr>
          </w:p>
        </w:tc>
      </w:tr>
      <w:tr w:rsidR="0007664D" w:rsidRPr="00A91056" w14:paraId="3E29CAC4" w14:textId="77777777" w:rsidTr="00A576CB">
        <w:trPr>
          <w:trHeight w:val="288"/>
        </w:trPr>
        <w:tc>
          <w:tcPr>
            <w:tcW w:w="844" w:type="pct"/>
            <w:tcBorders>
              <w:bottom w:val="single" w:sz="4" w:space="0" w:color="auto"/>
            </w:tcBorders>
            <w:shd w:val="clear" w:color="auto" w:fill="auto"/>
            <w:noWrap/>
            <w:vAlign w:val="center"/>
            <w:hideMark/>
          </w:tcPr>
          <w:p w14:paraId="71B5206E" w14:textId="77777777" w:rsidR="00440A6C" w:rsidRPr="00A91056" w:rsidRDefault="00440A6C" w:rsidP="00440A6C">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Xylitol</w:t>
            </w:r>
          </w:p>
        </w:tc>
        <w:tc>
          <w:tcPr>
            <w:tcW w:w="374" w:type="pct"/>
            <w:tcBorders>
              <w:bottom w:val="single" w:sz="4" w:space="0" w:color="auto"/>
            </w:tcBorders>
            <w:shd w:val="clear" w:color="auto" w:fill="auto"/>
            <w:noWrap/>
            <w:vAlign w:val="center"/>
            <w:hideMark/>
          </w:tcPr>
          <w:p w14:paraId="4CAA1678"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87-99-0</w:t>
            </w:r>
          </w:p>
        </w:tc>
        <w:tc>
          <w:tcPr>
            <w:tcW w:w="500" w:type="pct"/>
            <w:tcBorders>
              <w:bottom w:val="single" w:sz="4" w:space="0" w:color="auto"/>
            </w:tcBorders>
            <w:shd w:val="clear" w:color="auto" w:fill="auto"/>
            <w:vAlign w:val="center"/>
            <w:hideMark/>
          </w:tcPr>
          <w:p w14:paraId="342CD2D6" w14:textId="77777777"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2 - 4</w:t>
            </w:r>
          </w:p>
        </w:tc>
        <w:tc>
          <w:tcPr>
            <w:tcW w:w="158" w:type="pct"/>
            <w:tcBorders>
              <w:bottom w:val="single" w:sz="4" w:space="0" w:color="auto"/>
            </w:tcBorders>
            <w:shd w:val="clear" w:color="auto" w:fill="auto"/>
            <w:vAlign w:val="center"/>
            <w:hideMark/>
          </w:tcPr>
          <w:p w14:paraId="36A11C08" w14:textId="5F87C602"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49" w:type="pct"/>
            <w:tcBorders>
              <w:bottom w:val="single" w:sz="4" w:space="0" w:color="auto"/>
            </w:tcBorders>
            <w:shd w:val="clear" w:color="auto" w:fill="auto"/>
            <w:vAlign w:val="center"/>
            <w:hideMark/>
          </w:tcPr>
          <w:p w14:paraId="5DBD32E6" w14:textId="5B9DAD1D"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tcBorders>
              <w:bottom w:val="single" w:sz="4" w:space="0" w:color="auto"/>
            </w:tcBorders>
            <w:shd w:val="clear" w:color="auto" w:fill="auto"/>
            <w:vAlign w:val="center"/>
            <w:hideMark/>
          </w:tcPr>
          <w:p w14:paraId="3E569325" w14:textId="562104F4" w:rsidR="00440A6C" w:rsidRPr="00A91056" w:rsidRDefault="00440A6C" w:rsidP="00E329EF">
            <w:pPr>
              <w:widowControl/>
              <w:spacing w:line="240" w:lineRule="auto"/>
              <w:ind w:firstLine="0"/>
              <w:jc w:val="center"/>
              <w:rPr>
                <w:rFonts w:eastAsia="Times New Roman" w:cs="Arial"/>
                <w:color w:val="000000"/>
                <w:sz w:val="18"/>
                <w:szCs w:val="18"/>
              </w:rPr>
            </w:pPr>
          </w:p>
        </w:tc>
        <w:tc>
          <w:tcPr>
            <w:tcW w:w="281" w:type="pct"/>
            <w:tcBorders>
              <w:bottom w:val="single" w:sz="4" w:space="0" w:color="auto"/>
            </w:tcBorders>
            <w:shd w:val="clear" w:color="auto" w:fill="auto"/>
            <w:noWrap/>
            <w:vAlign w:val="center"/>
            <w:hideMark/>
          </w:tcPr>
          <w:p w14:paraId="1A57DA5F"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tcBorders>
              <w:bottom w:val="single" w:sz="4" w:space="0" w:color="auto"/>
            </w:tcBorders>
            <w:shd w:val="clear" w:color="auto" w:fill="auto"/>
            <w:noWrap/>
            <w:vAlign w:val="center"/>
            <w:hideMark/>
          </w:tcPr>
          <w:p w14:paraId="37611F84" w14:textId="30D4541C"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250" w:type="pct"/>
            <w:tcBorders>
              <w:bottom w:val="single" w:sz="4" w:space="0" w:color="auto"/>
            </w:tcBorders>
            <w:shd w:val="clear" w:color="auto" w:fill="auto"/>
            <w:noWrap/>
            <w:vAlign w:val="center"/>
            <w:hideMark/>
          </w:tcPr>
          <w:p w14:paraId="2402DCDA"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57" w:type="pct"/>
            <w:tcBorders>
              <w:bottom w:val="single" w:sz="4" w:space="0" w:color="auto"/>
            </w:tcBorders>
            <w:shd w:val="clear" w:color="auto" w:fill="auto"/>
            <w:noWrap/>
            <w:vAlign w:val="center"/>
            <w:hideMark/>
          </w:tcPr>
          <w:p w14:paraId="1CDF5F21"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tcBorders>
              <w:bottom w:val="single" w:sz="4" w:space="0" w:color="auto"/>
            </w:tcBorders>
            <w:shd w:val="clear" w:color="auto" w:fill="auto"/>
            <w:noWrap/>
            <w:vAlign w:val="center"/>
            <w:hideMark/>
          </w:tcPr>
          <w:p w14:paraId="405136DA" w14:textId="77777777" w:rsidR="00440A6C" w:rsidRPr="00A91056" w:rsidRDefault="00440A6C" w:rsidP="00E329EF">
            <w:pPr>
              <w:widowControl/>
              <w:spacing w:line="240" w:lineRule="auto"/>
              <w:ind w:firstLine="0"/>
              <w:jc w:val="center"/>
              <w:rPr>
                <w:rFonts w:eastAsia="Times New Roman" w:cs="Arial"/>
                <w:sz w:val="18"/>
                <w:szCs w:val="18"/>
              </w:rPr>
            </w:pPr>
          </w:p>
        </w:tc>
        <w:tc>
          <w:tcPr>
            <w:tcW w:w="250" w:type="pct"/>
            <w:tcBorders>
              <w:bottom w:val="single" w:sz="4" w:space="0" w:color="auto"/>
            </w:tcBorders>
            <w:shd w:val="clear" w:color="auto" w:fill="auto"/>
            <w:noWrap/>
            <w:vAlign w:val="center"/>
            <w:hideMark/>
          </w:tcPr>
          <w:p w14:paraId="06B21613" w14:textId="77777777" w:rsidR="00440A6C" w:rsidRPr="00A91056" w:rsidRDefault="00440A6C" w:rsidP="00E329EF">
            <w:pPr>
              <w:widowControl/>
              <w:spacing w:line="240" w:lineRule="auto"/>
              <w:ind w:firstLine="0"/>
              <w:jc w:val="center"/>
              <w:rPr>
                <w:rFonts w:eastAsia="Times New Roman" w:cs="Arial"/>
                <w:sz w:val="18"/>
                <w:szCs w:val="18"/>
              </w:rPr>
            </w:pPr>
          </w:p>
        </w:tc>
        <w:tc>
          <w:tcPr>
            <w:tcW w:w="219" w:type="pct"/>
            <w:tcBorders>
              <w:bottom w:val="single" w:sz="4" w:space="0" w:color="auto"/>
            </w:tcBorders>
            <w:shd w:val="clear" w:color="auto" w:fill="auto"/>
            <w:noWrap/>
            <w:vAlign w:val="center"/>
            <w:hideMark/>
          </w:tcPr>
          <w:p w14:paraId="66B124DA"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19" w:type="pct"/>
            <w:gridSpan w:val="2"/>
            <w:tcBorders>
              <w:bottom w:val="single" w:sz="4" w:space="0" w:color="auto"/>
            </w:tcBorders>
            <w:shd w:val="clear" w:color="auto" w:fill="auto"/>
            <w:noWrap/>
            <w:vAlign w:val="center"/>
            <w:hideMark/>
          </w:tcPr>
          <w:p w14:paraId="06C9FD37"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187" w:type="pct"/>
            <w:tcBorders>
              <w:bottom w:val="single" w:sz="4" w:space="0" w:color="auto"/>
            </w:tcBorders>
            <w:shd w:val="clear" w:color="auto" w:fill="auto"/>
            <w:noWrap/>
            <w:vAlign w:val="center"/>
            <w:hideMark/>
          </w:tcPr>
          <w:p w14:paraId="0E03C987" w14:textId="77777777" w:rsidR="00440A6C" w:rsidRPr="00A91056" w:rsidRDefault="00440A6C" w:rsidP="00E329EF">
            <w:pPr>
              <w:widowControl/>
              <w:spacing w:line="240" w:lineRule="auto"/>
              <w:ind w:firstLine="0"/>
              <w:jc w:val="center"/>
              <w:rPr>
                <w:rFonts w:eastAsia="Times New Roman" w:cs="Arial"/>
                <w:sz w:val="18"/>
                <w:szCs w:val="18"/>
              </w:rPr>
            </w:pPr>
          </w:p>
        </w:tc>
        <w:tc>
          <w:tcPr>
            <w:tcW w:w="156" w:type="pct"/>
            <w:tcBorders>
              <w:bottom w:val="single" w:sz="4" w:space="0" w:color="auto"/>
            </w:tcBorders>
            <w:shd w:val="clear" w:color="auto" w:fill="auto"/>
            <w:noWrap/>
            <w:vAlign w:val="center"/>
            <w:hideMark/>
          </w:tcPr>
          <w:p w14:paraId="4256E967" w14:textId="38CCCDC9"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157" w:type="pct"/>
            <w:tcBorders>
              <w:bottom w:val="single" w:sz="4" w:space="0" w:color="auto"/>
            </w:tcBorders>
            <w:shd w:val="clear" w:color="auto" w:fill="auto"/>
            <w:noWrap/>
            <w:vAlign w:val="center"/>
            <w:hideMark/>
          </w:tcPr>
          <w:p w14:paraId="1B44F873" w14:textId="77777777" w:rsidR="00440A6C" w:rsidRPr="00A91056" w:rsidRDefault="00440A6C" w:rsidP="00E329EF">
            <w:pPr>
              <w:widowControl/>
              <w:spacing w:line="240" w:lineRule="auto"/>
              <w:ind w:firstLine="0"/>
              <w:jc w:val="center"/>
              <w:rPr>
                <w:rFonts w:eastAsia="Times New Roman" w:cs="Arial"/>
                <w:color w:val="000000"/>
                <w:sz w:val="18"/>
                <w:szCs w:val="18"/>
              </w:rPr>
            </w:pPr>
          </w:p>
        </w:tc>
        <w:tc>
          <w:tcPr>
            <w:tcW w:w="250" w:type="pct"/>
            <w:tcBorders>
              <w:bottom w:val="single" w:sz="4" w:space="0" w:color="auto"/>
            </w:tcBorders>
            <w:shd w:val="clear" w:color="auto" w:fill="auto"/>
            <w:noWrap/>
            <w:vAlign w:val="center"/>
            <w:hideMark/>
          </w:tcPr>
          <w:p w14:paraId="3FFC1A0F" w14:textId="77777777" w:rsidR="00440A6C" w:rsidRPr="00A91056" w:rsidRDefault="00440A6C" w:rsidP="00E329EF">
            <w:pPr>
              <w:widowControl/>
              <w:spacing w:line="240" w:lineRule="auto"/>
              <w:ind w:firstLine="0"/>
              <w:jc w:val="center"/>
              <w:rPr>
                <w:rFonts w:eastAsia="Times New Roman" w:cs="Arial"/>
                <w:sz w:val="18"/>
                <w:szCs w:val="18"/>
              </w:rPr>
            </w:pPr>
          </w:p>
        </w:tc>
        <w:tc>
          <w:tcPr>
            <w:tcW w:w="216" w:type="pct"/>
            <w:tcBorders>
              <w:bottom w:val="single" w:sz="4" w:space="0" w:color="auto"/>
            </w:tcBorders>
            <w:shd w:val="clear" w:color="auto" w:fill="auto"/>
            <w:noWrap/>
            <w:vAlign w:val="center"/>
            <w:hideMark/>
          </w:tcPr>
          <w:p w14:paraId="719A0E76" w14:textId="762B77C0" w:rsidR="00440A6C" w:rsidRPr="00A91056" w:rsidRDefault="00440A6C" w:rsidP="00E329EF">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r>
    </w:tbl>
    <w:p w14:paraId="0AD8DDD4" w14:textId="7A78141F" w:rsidR="002E3685" w:rsidRPr="00A91056" w:rsidRDefault="002E3685" w:rsidP="00577E6A">
      <w:pPr>
        <w:pStyle w:val="NoSpacing"/>
        <w:spacing w:before="120"/>
        <w:rPr>
          <w:sz w:val="20"/>
          <w:szCs w:val="20"/>
        </w:rPr>
      </w:pPr>
      <w:r w:rsidRPr="00A91056">
        <w:rPr>
          <w:sz w:val="20"/>
          <w:szCs w:val="20"/>
        </w:rPr>
        <w:t>a,  next dose level reduced viability by over 50%</w:t>
      </w:r>
      <w:r w:rsidR="00401F03" w:rsidRPr="00A91056">
        <w:rPr>
          <w:sz w:val="20"/>
          <w:szCs w:val="20"/>
        </w:rPr>
        <w:t>;</w:t>
      </w:r>
    </w:p>
    <w:p w14:paraId="3CC2CB75" w14:textId="38591F24" w:rsidR="002E3685" w:rsidRPr="00A91056" w:rsidRDefault="002E3685" w:rsidP="002E3685">
      <w:pPr>
        <w:pStyle w:val="NoSpacing"/>
        <w:rPr>
          <w:sz w:val="20"/>
          <w:szCs w:val="20"/>
        </w:rPr>
      </w:pPr>
      <w:r w:rsidRPr="00A91056">
        <w:rPr>
          <w:sz w:val="20"/>
          <w:szCs w:val="20"/>
        </w:rPr>
        <w:t>b, higher dosage could not be achieved due to low solubility</w:t>
      </w:r>
      <w:r w:rsidR="00401F03" w:rsidRPr="00A91056">
        <w:rPr>
          <w:sz w:val="20"/>
          <w:szCs w:val="20"/>
        </w:rPr>
        <w:t>;</w:t>
      </w:r>
    </w:p>
    <w:p w14:paraId="23232113" w14:textId="1A108E90" w:rsidR="00206E51" w:rsidRPr="00A91056" w:rsidRDefault="002E3685" w:rsidP="002E3685">
      <w:pPr>
        <w:pStyle w:val="NoSpacing"/>
        <w:rPr>
          <w:sz w:val="20"/>
          <w:szCs w:val="20"/>
        </w:rPr>
      </w:pPr>
      <w:r w:rsidRPr="00A91056">
        <w:rPr>
          <w:sz w:val="20"/>
          <w:szCs w:val="20"/>
        </w:rPr>
        <w:t>c, data from</w:t>
      </w:r>
      <w:r w:rsidR="00145CAD" w:rsidRPr="00A91056">
        <w:rPr>
          <w:sz w:val="20"/>
          <w:szCs w:val="20"/>
        </w:rPr>
        <w:t xml:space="preserve">: </w:t>
      </w:r>
      <w:r w:rsidR="00C4016A" w:rsidRPr="00A91056">
        <w:rPr>
          <w:sz w:val="20"/>
          <w:szCs w:val="20"/>
        </w:rPr>
        <w:t>(Corvi and Madia 2018; Madia et al. 2020)</w:t>
      </w:r>
      <w:r w:rsidR="00206E51" w:rsidRPr="00A91056">
        <w:rPr>
          <w:sz w:val="20"/>
          <w:szCs w:val="20"/>
        </w:rPr>
        <w:t>;</w:t>
      </w:r>
    </w:p>
    <w:p w14:paraId="05752A8B" w14:textId="0608AEF3" w:rsidR="001F4554" w:rsidRPr="00A91056" w:rsidRDefault="002E3685" w:rsidP="002E3685">
      <w:pPr>
        <w:pStyle w:val="NoSpacing"/>
        <w:rPr>
          <w:sz w:val="20"/>
          <w:szCs w:val="20"/>
        </w:rPr>
      </w:pPr>
      <w:r w:rsidRPr="00A91056">
        <w:rPr>
          <w:sz w:val="20"/>
          <w:szCs w:val="20"/>
        </w:rPr>
        <w:t xml:space="preserve">d, </w:t>
      </w:r>
      <w:r w:rsidR="00206E51" w:rsidRPr="00A91056">
        <w:rPr>
          <w:sz w:val="20"/>
          <w:szCs w:val="20"/>
        </w:rPr>
        <w:t xml:space="preserve">data from the </w:t>
      </w:r>
      <w:r w:rsidRPr="00A91056">
        <w:rPr>
          <w:sz w:val="20"/>
          <w:szCs w:val="20"/>
        </w:rPr>
        <w:t xml:space="preserve">Chemical Carcinogenesis Research Information System </w:t>
      </w:r>
      <w:r w:rsidR="001F4554" w:rsidRPr="00A91056">
        <w:rPr>
          <w:sz w:val="20"/>
          <w:szCs w:val="20"/>
        </w:rPr>
        <w:t>(</w:t>
      </w:r>
      <w:hyperlink r:id="rId15" w:history="1">
        <w:r w:rsidR="001F4554" w:rsidRPr="00A91056">
          <w:rPr>
            <w:rStyle w:val="Hyperlink"/>
            <w:sz w:val="20"/>
            <w:szCs w:val="20"/>
          </w:rPr>
          <w:t>https://www.ncbi.nlm.nih.gov/pcsubstance?term=%22Chemical%20Carcinogenesis%20Research%20Information%20System%20(CCRIS)%22%5BSourceName%5D%20AND%20hasnohold%5Bfilt%5D</w:t>
        </w:r>
      </w:hyperlink>
      <w:r w:rsidR="001F4554" w:rsidRPr="00A91056">
        <w:rPr>
          <w:sz w:val="20"/>
          <w:szCs w:val="20"/>
        </w:rPr>
        <w:t>), last accessed 11/27/2024.</w:t>
      </w:r>
    </w:p>
    <w:p w14:paraId="42894115" w14:textId="17AFA980" w:rsidR="002E3685" w:rsidRPr="00A91056" w:rsidRDefault="002E3685" w:rsidP="002E3685">
      <w:pPr>
        <w:pStyle w:val="NoSpacing"/>
        <w:rPr>
          <w:sz w:val="20"/>
          <w:szCs w:val="20"/>
        </w:rPr>
      </w:pPr>
      <w:r w:rsidRPr="00A91056">
        <w:rPr>
          <w:sz w:val="20"/>
          <w:szCs w:val="20"/>
        </w:rPr>
        <w:t xml:space="preserve">e, data from Lhasa carcinogenicity database </w:t>
      </w:r>
      <w:r w:rsidR="000B2FA7" w:rsidRPr="00A91056">
        <w:rPr>
          <w:sz w:val="20"/>
          <w:szCs w:val="20"/>
        </w:rPr>
        <w:t>(</w:t>
      </w:r>
      <w:hyperlink r:id="rId16" w:history="1">
        <w:r w:rsidR="000B2FA7" w:rsidRPr="00A91056">
          <w:rPr>
            <w:rStyle w:val="Hyperlink"/>
            <w:sz w:val="20"/>
            <w:szCs w:val="20"/>
          </w:rPr>
          <w:t>https://lcdb.lhasacloud.org/study-information/44482914</w:t>
        </w:r>
      </w:hyperlink>
      <w:r w:rsidR="000B2FA7" w:rsidRPr="00A91056">
        <w:rPr>
          <w:sz w:val="20"/>
          <w:szCs w:val="20"/>
        </w:rPr>
        <w:t>), last accessed 11/27/2024.</w:t>
      </w:r>
    </w:p>
    <w:p w14:paraId="4044E5E0" w14:textId="2AEADBAE" w:rsidR="001F4554" w:rsidRPr="00A91056" w:rsidRDefault="002E3685" w:rsidP="002E3685">
      <w:pPr>
        <w:pStyle w:val="NoSpacing"/>
        <w:rPr>
          <w:sz w:val="20"/>
          <w:szCs w:val="20"/>
        </w:rPr>
      </w:pPr>
      <w:r w:rsidRPr="00A91056">
        <w:rPr>
          <w:sz w:val="20"/>
          <w:szCs w:val="20"/>
        </w:rPr>
        <w:t xml:space="preserve">f, </w:t>
      </w:r>
      <w:r w:rsidR="00476D4A" w:rsidRPr="00A91056">
        <w:rPr>
          <w:sz w:val="20"/>
          <w:szCs w:val="20"/>
        </w:rPr>
        <w:t>data from</w:t>
      </w:r>
      <w:r w:rsidR="001F4554" w:rsidRPr="00A91056">
        <w:rPr>
          <w:sz w:val="20"/>
          <w:szCs w:val="20"/>
        </w:rPr>
        <w:t xml:space="preserve">: </w:t>
      </w:r>
      <w:r w:rsidR="00C4016A" w:rsidRPr="00A91056">
        <w:rPr>
          <w:sz w:val="20"/>
          <w:szCs w:val="20"/>
        </w:rPr>
        <w:t>(Williams et al. 1989)</w:t>
      </w:r>
      <w:r w:rsidR="00476D4A" w:rsidRPr="00A91056">
        <w:rPr>
          <w:sz w:val="20"/>
          <w:szCs w:val="20"/>
        </w:rPr>
        <w:t xml:space="preserve"> </w:t>
      </w:r>
    </w:p>
    <w:p w14:paraId="5F1115B7" w14:textId="289EBB5D" w:rsidR="002E3685" w:rsidRPr="00A91056" w:rsidRDefault="001826E0" w:rsidP="006D2CC8">
      <w:pPr>
        <w:pStyle w:val="NoSpacing"/>
        <w:spacing w:after="120"/>
        <w:rPr>
          <w:sz w:val="20"/>
          <w:szCs w:val="20"/>
        </w:rPr>
      </w:pPr>
      <w:r w:rsidRPr="00A91056">
        <w:rPr>
          <w:sz w:val="20"/>
          <w:szCs w:val="20"/>
        </w:rPr>
        <w:t>g</w:t>
      </w:r>
      <w:r w:rsidR="002E3685" w:rsidRPr="00A91056">
        <w:rPr>
          <w:sz w:val="20"/>
          <w:szCs w:val="20"/>
        </w:rPr>
        <w:t xml:space="preserve">, dosing was conducted </w:t>
      </w:r>
      <w:r w:rsidR="00476D4A" w:rsidRPr="00A91056">
        <w:rPr>
          <w:sz w:val="20"/>
          <w:szCs w:val="20"/>
        </w:rPr>
        <w:t>under</w:t>
      </w:r>
      <w:r w:rsidR="002E3685" w:rsidRPr="00A91056">
        <w:rPr>
          <w:sz w:val="20"/>
          <w:szCs w:val="20"/>
        </w:rPr>
        <w:t xml:space="preserve"> </w:t>
      </w:r>
      <w:r w:rsidR="009877AC" w:rsidRPr="00A91056">
        <w:rPr>
          <w:sz w:val="20"/>
          <w:szCs w:val="20"/>
        </w:rPr>
        <w:t xml:space="preserve">a </w:t>
      </w:r>
      <w:r w:rsidR="002E3685" w:rsidRPr="00A91056">
        <w:rPr>
          <w:sz w:val="20"/>
          <w:szCs w:val="20"/>
        </w:rPr>
        <w:t>different protocol</w:t>
      </w:r>
    </w:p>
    <w:p w14:paraId="2044A74B" w14:textId="04D804D4" w:rsidR="00577E6A" w:rsidRPr="006666CC" w:rsidRDefault="004638B3" w:rsidP="00577E6A">
      <w:pPr>
        <w:pStyle w:val="NoSpacing"/>
        <w:spacing w:after="120"/>
        <w:rPr>
          <w:sz w:val="20"/>
          <w:szCs w:val="20"/>
          <w:lang w:val="nl-NL"/>
        </w:rPr>
      </w:pPr>
      <w:r w:rsidRPr="00124636">
        <w:rPr>
          <w:sz w:val="20"/>
          <w:szCs w:val="20"/>
          <w:lang w:val="nl-NL"/>
        </w:rPr>
        <w:t>CEGA References (Ref)</w:t>
      </w:r>
      <w:r w:rsidR="00DF46E2" w:rsidRPr="00124636">
        <w:rPr>
          <w:sz w:val="20"/>
          <w:szCs w:val="20"/>
          <w:lang w:val="nl-NL"/>
        </w:rPr>
        <w:t>:</w:t>
      </w:r>
      <w:r w:rsidR="00F840F6" w:rsidRPr="00124636">
        <w:rPr>
          <w:sz w:val="20"/>
          <w:szCs w:val="20"/>
          <w:lang w:val="nl-NL"/>
        </w:rPr>
        <w:t xml:space="preserve"> </w:t>
      </w:r>
      <w:r w:rsidR="00DF46E2" w:rsidRPr="00124636">
        <w:rPr>
          <w:sz w:val="20"/>
          <w:szCs w:val="20"/>
          <w:lang w:val="nl-NL"/>
        </w:rPr>
        <w:t>[1]</w:t>
      </w:r>
      <w:r w:rsidR="00010F72" w:rsidRPr="00124636">
        <w:rPr>
          <w:sz w:val="20"/>
          <w:szCs w:val="20"/>
          <w:lang w:val="nl-NL"/>
        </w:rPr>
        <w:t xml:space="preserve"> </w:t>
      </w:r>
      <w:r w:rsidR="00C4016A" w:rsidRPr="00124636">
        <w:rPr>
          <w:sz w:val="20"/>
          <w:szCs w:val="20"/>
          <w:lang w:val="nl-NL"/>
        </w:rPr>
        <w:t>(Kobets et al. 2019a)</w:t>
      </w:r>
      <w:r w:rsidR="00F840F6" w:rsidRPr="00124636">
        <w:rPr>
          <w:sz w:val="20"/>
          <w:szCs w:val="20"/>
          <w:lang w:val="nl-NL"/>
        </w:rPr>
        <w:t xml:space="preserve">; </w:t>
      </w:r>
      <w:r w:rsidR="00CC347D" w:rsidRPr="00124636">
        <w:rPr>
          <w:sz w:val="20"/>
          <w:szCs w:val="20"/>
          <w:lang w:val="nl-NL"/>
        </w:rPr>
        <w:t>[2]</w:t>
      </w:r>
      <w:r w:rsidR="00D90B08" w:rsidRPr="00124636">
        <w:rPr>
          <w:sz w:val="20"/>
          <w:szCs w:val="20"/>
          <w:lang w:val="nl-NL"/>
        </w:rPr>
        <w:t xml:space="preserve"> </w:t>
      </w:r>
      <w:r w:rsidR="00C4016A" w:rsidRPr="00124636">
        <w:rPr>
          <w:sz w:val="20"/>
          <w:szCs w:val="20"/>
          <w:lang w:val="nl-NL"/>
        </w:rPr>
        <w:t>(Kobets et al. 2019b)</w:t>
      </w:r>
      <w:r w:rsidR="00F840F6" w:rsidRPr="00124636">
        <w:rPr>
          <w:sz w:val="20"/>
          <w:szCs w:val="20"/>
          <w:lang w:val="nl-NL"/>
        </w:rPr>
        <w:t xml:space="preserve">; </w:t>
      </w:r>
      <w:r w:rsidR="00BB0D78" w:rsidRPr="00124636">
        <w:rPr>
          <w:sz w:val="20"/>
          <w:szCs w:val="20"/>
          <w:lang w:val="nl-NL"/>
        </w:rPr>
        <w:t xml:space="preserve">[3] </w:t>
      </w:r>
      <w:r w:rsidR="00C4016A" w:rsidRPr="00124636">
        <w:rPr>
          <w:sz w:val="20"/>
          <w:szCs w:val="20"/>
          <w:lang w:val="nl-NL"/>
        </w:rPr>
        <w:t>(Williams et al. 2014)</w:t>
      </w:r>
      <w:r w:rsidR="00F840F6" w:rsidRPr="00124636">
        <w:rPr>
          <w:sz w:val="20"/>
          <w:szCs w:val="20"/>
          <w:lang w:val="nl-NL"/>
        </w:rPr>
        <w:t xml:space="preserve">; </w:t>
      </w:r>
      <w:r w:rsidR="00BB0D78" w:rsidRPr="00124636">
        <w:rPr>
          <w:sz w:val="20"/>
          <w:szCs w:val="20"/>
          <w:lang w:val="nl-NL"/>
        </w:rPr>
        <w:t xml:space="preserve">[4] </w:t>
      </w:r>
      <w:r w:rsidR="00C4016A" w:rsidRPr="006666CC">
        <w:rPr>
          <w:sz w:val="20"/>
          <w:szCs w:val="20"/>
          <w:lang w:val="nl-NL"/>
        </w:rPr>
        <w:t>(Thakkar et al. 2024)</w:t>
      </w:r>
      <w:r w:rsidR="00F840F6" w:rsidRPr="006666CC">
        <w:rPr>
          <w:sz w:val="20"/>
          <w:szCs w:val="20"/>
          <w:lang w:val="nl-NL"/>
        </w:rPr>
        <w:t xml:space="preserve">; </w:t>
      </w:r>
      <w:r w:rsidR="00F74A7A" w:rsidRPr="006666CC">
        <w:rPr>
          <w:sz w:val="20"/>
          <w:szCs w:val="20"/>
          <w:lang w:val="nl-NL"/>
        </w:rPr>
        <w:t xml:space="preserve">[5] </w:t>
      </w:r>
      <w:r w:rsidR="00C4016A" w:rsidRPr="006666CC">
        <w:rPr>
          <w:sz w:val="20"/>
          <w:szCs w:val="20"/>
          <w:lang w:val="nl-NL"/>
        </w:rPr>
        <w:t>(Kobets et al. 2022)</w:t>
      </w:r>
      <w:r w:rsidR="00F840F6" w:rsidRPr="006666CC">
        <w:rPr>
          <w:sz w:val="20"/>
          <w:szCs w:val="20"/>
          <w:lang w:val="nl-NL"/>
        </w:rPr>
        <w:t xml:space="preserve">;                </w:t>
      </w:r>
      <w:r w:rsidR="00F74A7A" w:rsidRPr="006666CC">
        <w:rPr>
          <w:sz w:val="20"/>
          <w:szCs w:val="20"/>
          <w:lang w:val="nl-NL"/>
        </w:rPr>
        <w:t xml:space="preserve">[6] </w:t>
      </w:r>
      <w:r w:rsidR="00C4016A" w:rsidRPr="006666CC">
        <w:rPr>
          <w:sz w:val="20"/>
          <w:szCs w:val="20"/>
          <w:lang w:val="nl-NL"/>
        </w:rPr>
        <w:t>(Iatropoulos et al. 2017)</w:t>
      </w:r>
      <w:r w:rsidR="00577E6A" w:rsidRPr="006666CC">
        <w:rPr>
          <w:sz w:val="20"/>
          <w:szCs w:val="20"/>
          <w:lang w:val="nl-NL"/>
        </w:rPr>
        <w:t>.</w:t>
      </w:r>
      <w:r w:rsidR="00577E6A" w:rsidRPr="006666CC">
        <w:rPr>
          <w:sz w:val="20"/>
          <w:szCs w:val="20"/>
          <w:lang w:val="nl-NL"/>
        </w:rPr>
        <w:tab/>
      </w:r>
    </w:p>
    <w:p w14:paraId="0DE70E16" w14:textId="116A726D" w:rsidR="004638B3" w:rsidRPr="006C21D6" w:rsidRDefault="006666CC" w:rsidP="00577E6A">
      <w:pPr>
        <w:pStyle w:val="NoSpacing"/>
        <w:rPr>
          <w:sz w:val="20"/>
          <w:szCs w:val="20"/>
        </w:rPr>
      </w:pPr>
      <w:r w:rsidRPr="006C21D6">
        <w:rPr>
          <w:i/>
          <w:iCs/>
          <w:sz w:val="20"/>
          <w:szCs w:val="20"/>
        </w:rPr>
        <w:t>Abbreviations</w:t>
      </w:r>
      <w:r w:rsidRPr="006C21D6">
        <w:rPr>
          <w:sz w:val="20"/>
          <w:szCs w:val="20"/>
        </w:rPr>
        <w:t xml:space="preserve">: </w:t>
      </w:r>
      <w:r w:rsidR="00727563" w:rsidRPr="006C21D6">
        <w:rPr>
          <w:sz w:val="20"/>
          <w:szCs w:val="20"/>
        </w:rPr>
        <w:t xml:space="preserve">Ames, the bacterial reverse mutation test; CA, chromosome aberration assay; CARC, carcinogenicity (mainly in rodents); Comet, alkaline single cell gel electrophoresis assay; </w:t>
      </w:r>
      <w:proofErr w:type="spellStart"/>
      <w:r w:rsidR="00727563" w:rsidRPr="006C21D6">
        <w:rPr>
          <w:sz w:val="20"/>
          <w:szCs w:val="20"/>
        </w:rPr>
        <w:t>Eqv</w:t>
      </w:r>
      <w:proofErr w:type="spellEnd"/>
      <w:r w:rsidR="00727563" w:rsidRPr="006C21D6">
        <w:rPr>
          <w:sz w:val="20"/>
          <w:szCs w:val="20"/>
        </w:rPr>
        <w:t xml:space="preserve">, equivocal (a clear positive or negative outcome cannot be concluded or response is inconsistent between experiments); </w:t>
      </w:r>
      <w:proofErr w:type="spellStart"/>
      <w:r w:rsidR="00727563" w:rsidRPr="006C21D6">
        <w:rPr>
          <w:sz w:val="20"/>
          <w:szCs w:val="20"/>
        </w:rPr>
        <w:t>hcl</w:t>
      </w:r>
      <w:proofErr w:type="spellEnd"/>
      <w:r w:rsidR="00727563" w:rsidRPr="006C21D6">
        <w:rPr>
          <w:sz w:val="20"/>
          <w:szCs w:val="20"/>
        </w:rPr>
        <w:t xml:space="preserve">, hydrochloride; HPC/DRA, hepatocyte DNA-repair test; MCGM, mammalian cell gene mutation assay (mouse lymphoma Tk+/− mutation assay and </w:t>
      </w:r>
      <w:proofErr w:type="spellStart"/>
      <w:r w:rsidR="00727563" w:rsidRPr="006C21D6">
        <w:rPr>
          <w:sz w:val="20"/>
          <w:szCs w:val="20"/>
        </w:rPr>
        <w:t>Hprt</w:t>
      </w:r>
      <w:proofErr w:type="spellEnd"/>
      <w:r w:rsidR="00727563" w:rsidRPr="006C21D6">
        <w:rPr>
          <w:sz w:val="20"/>
          <w:szCs w:val="20"/>
        </w:rPr>
        <w:t xml:space="preserve"> mutation assay); MN, micronucleus assay; Neg, negative; NPL, </w:t>
      </w:r>
      <w:r w:rsidR="00727563" w:rsidRPr="006C21D6">
        <w:rPr>
          <w:sz w:val="20"/>
          <w:szCs w:val="20"/>
          <w:vertAlign w:val="superscript"/>
        </w:rPr>
        <w:t>32</w:t>
      </w:r>
      <w:r w:rsidR="00727563" w:rsidRPr="006C21D6">
        <w:rPr>
          <w:sz w:val="20"/>
          <w:szCs w:val="20"/>
        </w:rPr>
        <w:t xml:space="preserve">P-nucleotide </w:t>
      </w:r>
      <w:proofErr w:type="spellStart"/>
      <w:r w:rsidR="00727563" w:rsidRPr="006C21D6">
        <w:rPr>
          <w:sz w:val="20"/>
          <w:szCs w:val="20"/>
        </w:rPr>
        <w:t>postlabeling</w:t>
      </w:r>
      <w:proofErr w:type="spellEnd"/>
      <w:r w:rsidR="00727563" w:rsidRPr="006C21D6">
        <w:rPr>
          <w:sz w:val="20"/>
          <w:szCs w:val="20"/>
        </w:rPr>
        <w:t xml:space="preserve"> assay; Pos, positive; TGR,  transgenic rodent gene mutation assays; UDS, unscheduled DNA synthesis</w:t>
      </w:r>
      <w:r w:rsidR="004638B3" w:rsidRPr="006C21D6">
        <w:rPr>
          <w:sz w:val="20"/>
          <w:szCs w:val="20"/>
        </w:rPr>
        <w:tab/>
      </w:r>
      <w:r w:rsidR="004638B3" w:rsidRPr="006C21D6">
        <w:rPr>
          <w:sz w:val="20"/>
          <w:szCs w:val="20"/>
        </w:rPr>
        <w:tab/>
      </w:r>
      <w:r w:rsidR="004638B3" w:rsidRPr="006C21D6">
        <w:rPr>
          <w:sz w:val="20"/>
          <w:szCs w:val="20"/>
        </w:rPr>
        <w:tab/>
      </w:r>
      <w:r w:rsidR="004638B3" w:rsidRPr="006C21D6">
        <w:rPr>
          <w:sz w:val="20"/>
          <w:szCs w:val="20"/>
        </w:rPr>
        <w:tab/>
      </w:r>
      <w:r w:rsidR="004638B3" w:rsidRPr="006C21D6">
        <w:rPr>
          <w:sz w:val="20"/>
          <w:szCs w:val="20"/>
        </w:rPr>
        <w:tab/>
      </w:r>
      <w:r w:rsidR="004638B3" w:rsidRPr="006C21D6">
        <w:rPr>
          <w:sz w:val="20"/>
          <w:szCs w:val="20"/>
        </w:rPr>
        <w:tab/>
      </w:r>
      <w:r w:rsidR="004638B3" w:rsidRPr="006C21D6">
        <w:rPr>
          <w:sz w:val="20"/>
          <w:szCs w:val="20"/>
        </w:rPr>
        <w:tab/>
      </w:r>
      <w:r w:rsidR="004638B3" w:rsidRPr="006C21D6">
        <w:rPr>
          <w:sz w:val="20"/>
          <w:szCs w:val="20"/>
        </w:rPr>
        <w:tab/>
      </w:r>
    </w:p>
    <w:p w14:paraId="74140A00" w14:textId="7FD9DC4E" w:rsidR="004638B3" w:rsidRPr="006C21D6" w:rsidRDefault="004638B3" w:rsidP="004638B3">
      <w:pPr>
        <w:pStyle w:val="NoSpacing"/>
        <w:rPr>
          <w:sz w:val="20"/>
          <w:szCs w:val="20"/>
        </w:rPr>
      </w:pPr>
      <w:r w:rsidRPr="006C21D6">
        <w:rPr>
          <w:sz w:val="20"/>
          <w:szCs w:val="20"/>
        </w:rPr>
        <w:tab/>
      </w:r>
      <w:r w:rsidRPr="006C21D6">
        <w:rPr>
          <w:sz w:val="20"/>
          <w:szCs w:val="20"/>
        </w:rPr>
        <w:tab/>
      </w:r>
      <w:r w:rsidRPr="006C21D6">
        <w:rPr>
          <w:sz w:val="20"/>
          <w:szCs w:val="20"/>
        </w:rPr>
        <w:tab/>
      </w:r>
      <w:r w:rsidRPr="006C21D6">
        <w:rPr>
          <w:sz w:val="20"/>
          <w:szCs w:val="20"/>
        </w:rPr>
        <w:tab/>
      </w:r>
      <w:r w:rsidRPr="006C21D6">
        <w:rPr>
          <w:sz w:val="20"/>
          <w:szCs w:val="20"/>
        </w:rPr>
        <w:tab/>
      </w:r>
      <w:r w:rsidRPr="006C21D6">
        <w:rPr>
          <w:sz w:val="20"/>
          <w:szCs w:val="20"/>
        </w:rPr>
        <w:tab/>
      </w:r>
      <w:r w:rsidRPr="006C21D6">
        <w:rPr>
          <w:sz w:val="20"/>
          <w:szCs w:val="20"/>
        </w:rPr>
        <w:tab/>
      </w:r>
      <w:r w:rsidRPr="006C21D6">
        <w:rPr>
          <w:sz w:val="20"/>
          <w:szCs w:val="20"/>
        </w:rPr>
        <w:tab/>
      </w:r>
      <w:r w:rsidRPr="006C21D6">
        <w:rPr>
          <w:sz w:val="20"/>
          <w:szCs w:val="20"/>
        </w:rPr>
        <w:tab/>
      </w:r>
      <w:r w:rsidRPr="006C21D6">
        <w:rPr>
          <w:sz w:val="20"/>
          <w:szCs w:val="20"/>
        </w:rPr>
        <w:tab/>
      </w:r>
      <w:r w:rsidRPr="006C21D6">
        <w:rPr>
          <w:sz w:val="20"/>
          <w:szCs w:val="20"/>
        </w:rPr>
        <w:tab/>
      </w:r>
    </w:p>
    <w:p w14:paraId="324C63A7" w14:textId="506D0180" w:rsidR="000B4CF5" w:rsidRPr="006C21D6" w:rsidRDefault="004638B3" w:rsidP="004638B3">
      <w:pPr>
        <w:pStyle w:val="NoSpacing"/>
      </w:pPr>
      <w:r w:rsidRPr="006C21D6">
        <w:rPr>
          <w:sz w:val="20"/>
          <w:szCs w:val="20"/>
        </w:rPr>
        <w:tab/>
      </w:r>
      <w:r w:rsidRPr="006C21D6">
        <w:tab/>
      </w:r>
      <w:r w:rsidRPr="006C21D6">
        <w:tab/>
      </w:r>
      <w:r w:rsidRPr="006C21D6">
        <w:tab/>
      </w:r>
      <w:r w:rsidRPr="006C21D6">
        <w:tab/>
      </w:r>
      <w:r w:rsidRPr="006C21D6">
        <w:tab/>
      </w:r>
      <w:r w:rsidRPr="006C21D6">
        <w:tab/>
      </w:r>
      <w:r w:rsidRPr="006C21D6">
        <w:tab/>
      </w:r>
      <w:r w:rsidRPr="006C21D6">
        <w:tab/>
      </w:r>
      <w:r w:rsidRPr="006C21D6">
        <w:tab/>
      </w:r>
      <w:r w:rsidR="000B4CF5" w:rsidRPr="006C21D6">
        <w:br w:type="page"/>
      </w:r>
    </w:p>
    <w:p w14:paraId="3C86F63C" w14:textId="0BBF7651" w:rsidR="00BA696E" w:rsidRPr="00A91056" w:rsidRDefault="00D14564" w:rsidP="00C80BF1">
      <w:pPr>
        <w:pStyle w:val="Caption"/>
        <w:keepNext/>
      </w:pPr>
      <w:r w:rsidRPr="00A91056">
        <w:rPr>
          <w:b w:val="0"/>
          <w:bCs/>
        </w:rPr>
        <w:lastRenderedPageBreak/>
        <w:t xml:space="preserve">Table </w:t>
      </w:r>
      <w:r w:rsidRPr="00A91056">
        <w:rPr>
          <w:b w:val="0"/>
          <w:bCs/>
        </w:rPr>
        <w:fldChar w:fldCharType="begin"/>
      </w:r>
      <w:r w:rsidRPr="00A91056">
        <w:rPr>
          <w:b w:val="0"/>
          <w:bCs/>
        </w:rPr>
        <w:instrText xml:space="preserve"> SEQ Table \* ARABIC </w:instrText>
      </w:r>
      <w:r w:rsidRPr="00A91056">
        <w:rPr>
          <w:b w:val="0"/>
          <w:bCs/>
        </w:rPr>
        <w:fldChar w:fldCharType="separate"/>
      </w:r>
      <w:r w:rsidR="00B51674">
        <w:rPr>
          <w:b w:val="0"/>
          <w:bCs/>
          <w:noProof/>
        </w:rPr>
        <w:t>2</w:t>
      </w:r>
      <w:r w:rsidRPr="00A91056">
        <w:rPr>
          <w:b w:val="0"/>
          <w:bCs/>
        </w:rPr>
        <w:fldChar w:fldCharType="end"/>
      </w:r>
      <w:r w:rsidR="004C33F8" w:rsidRPr="00A91056">
        <w:rPr>
          <w:b w:val="0"/>
          <w:bCs/>
        </w:rPr>
        <w:t>.</w:t>
      </w:r>
      <w:r w:rsidR="004C33F8" w:rsidRPr="00A91056">
        <w:t xml:space="preserve"> </w:t>
      </w:r>
      <w:r w:rsidR="00C056C9" w:rsidRPr="00A91056">
        <w:t xml:space="preserve">Outcomes in the Turkey Egg Genotoxicity Assay (TEGA) compared </w:t>
      </w:r>
      <w:r w:rsidR="00807411">
        <w:t xml:space="preserve">to </w:t>
      </w:r>
      <w:r w:rsidR="00C056C9" w:rsidRPr="00A91056">
        <w:t>selected in vitro and vivo genotoxicity data and carcinogenicity in rodents.</w:t>
      </w:r>
    </w:p>
    <w:tbl>
      <w:tblPr>
        <w:tblW w:w="14395" w:type="dxa"/>
        <w:tblBorders>
          <w:top w:val="single" w:sz="4" w:space="0" w:color="auto"/>
          <w:insideH w:val="single" w:sz="4" w:space="0" w:color="auto"/>
        </w:tblBorders>
        <w:tblLayout w:type="fixed"/>
        <w:tblCellMar>
          <w:left w:w="43" w:type="dxa"/>
          <w:right w:w="43" w:type="dxa"/>
        </w:tblCellMar>
        <w:tblLook w:val="04A0" w:firstRow="1" w:lastRow="0" w:firstColumn="1" w:lastColumn="0" w:noHBand="0" w:noVBand="1"/>
      </w:tblPr>
      <w:tblGrid>
        <w:gridCol w:w="2395"/>
        <w:gridCol w:w="1115"/>
        <w:gridCol w:w="990"/>
        <w:gridCol w:w="450"/>
        <w:gridCol w:w="720"/>
        <w:gridCol w:w="540"/>
        <w:gridCol w:w="810"/>
        <w:gridCol w:w="625"/>
        <w:gridCol w:w="720"/>
        <w:gridCol w:w="630"/>
        <w:gridCol w:w="450"/>
        <w:gridCol w:w="720"/>
        <w:gridCol w:w="613"/>
        <w:gridCol w:w="107"/>
        <w:gridCol w:w="540"/>
        <w:gridCol w:w="540"/>
        <w:gridCol w:w="540"/>
        <w:gridCol w:w="450"/>
        <w:gridCol w:w="720"/>
        <w:gridCol w:w="720"/>
      </w:tblGrid>
      <w:tr w:rsidR="00015195" w:rsidRPr="00A91056" w14:paraId="63E0C638" w14:textId="77777777" w:rsidTr="007D701C">
        <w:trPr>
          <w:trHeight w:val="287"/>
          <w:tblHeader/>
        </w:trPr>
        <w:tc>
          <w:tcPr>
            <w:tcW w:w="2395" w:type="dxa"/>
            <w:vMerge w:val="restart"/>
            <w:tcBorders>
              <w:top w:val="single" w:sz="4" w:space="0" w:color="auto"/>
            </w:tcBorders>
            <w:shd w:val="clear" w:color="auto" w:fill="auto"/>
            <w:vAlign w:val="center"/>
            <w:hideMark/>
          </w:tcPr>
          <w:p w14:paraId="1A0CD814" w14:textId="17C5AB0D" w:rsidR="00015195" w:rsidRPr="00A91056" w:rsidRDefault="00015195" w:rsidP="002D410E">
            <w:pPr>
              <w:widowControl/>
              <w:spacing w:line="240" w:lineRule="auto"/>
              <w:ind w:firstLine="0"/>
              <w:rPr>
                <w:rFonts w:eastAsia="Times New Roman" w:cs="Arial"/>
                <w:b/>
                <w:bCs/>
                <w:color w:val="000000"/>
                <w:sz w:val="18"/>
                <w:szCs w:val="18"/>
              </w:rPr>
            </w:pPr>
            <w:r w:rsidRPr="00A91056">
              <w:rPr>
                <w:rFonts w:eastAsia="Times New Roman" w:cs="Arial"/>
                <w:b/>
                <w:bCs/>
                <w:color w:val="000000"/>
                <w:sz w:val="18"/>
                <w:szCs w:val="18"/>
              </w:rPr>
              <w:t>Compound</w:t>
            </w:r>
          </w:p>
        </w:tc>
        <w:tc>
          <w:tcPr>
            <w:tcW w:w="1115" w:type="dxa"/>
            <w:vMerge w:val="restart"/>
            <w:tcBorders>
              <w:top w:val="single" w:sz="4" w:space="0" w:color="auto"/>
            </w:tcBorders>
            <w:shd w:val="clear" w:color="auto" w:fill="auto"/>
            <w:vAlign w:val="center"/>
            <w:hideMark/>
          </w:tcPr>
          <w:p w14:paraId="79CA3800" w14:textId="77777777" w:rsidR="00015195" w:rsidRPr="00A91056" w:rsidRDefault="00015195" w:rsidP="002D410E">
            <w:pPr>
              <w:widowControl/>
              <w:spacing w:line="240" w:lineRule="auto"/>
              <w:ind w:firstLine="0"/>
              <w:jc w:val="center"/>
              <w:rPr>
                <w:rFonts w:eastAsia="Times New Roman" w:cs="Arial"/>
                <w:b/>
                <w:bCs/>
                <w:color w:val="000000"/>
                <w:sz w:val="18"/>
                <w:szCs w:val="18"/>
              </w:rPr>
            </w:pPr>
            <w:r w:rsidRPr="00A91056">
              <w:rPr>
                <w:rFonts w:eastAsia="Times New Roman" w:cs="Arial"/>
                <w:b/>
                <w:bCs/>
                <w:color w:val="000000"/>
                <w:sz w:val="18"/>
                <w:szCs w:val="18"/>
              </w:rPr>
              <w:t>CAS #</w:t>
            </w:r>
          </w:p>
        </w:tc>
        <w:tc>
          <w:tcPr>
            <w:tcW w:w="990" w:type="dxa"/>
            <w:tcBorders>
              <w:top w:val="single" w:sz="4" w:space="0" w:color="auto"/>
            </w:tcBorders>
            <w:shd w:val="clear" w:color="auto" w:fill="auto"/>
            <w:vAlign w:val="center"/>
            <w:hideMark/>
          </w:tcPr>
          <w:p w14:paraId="5DD355CE" w14:textId="4C402BAB" w:rsidR="00015195" w:rsidRPr="00A91056" w:rsidRDefault="00015195" w:rsidP="002D410E">
            <w:pPr>
              <w:widowControl/>
              <w:spacing w:line="240" w:lineRule="auto"/>
              <w:ind w:firstLine="0"/>
              <w:jc w:val="center"/>
              <w:rPr>
                <w:rFonts w:eastAsia="Times New Roman" w:cs="Arial"/>
                <w:b/>
                <w:bCs/>
                <w:color w:val="000000"/>
                <w:sz w:val="18"/>
                <w:szCs w:val="18"/>
              </w:rPr>
            </w:pPr>
          </w:p>
        </w:tc>
        <w:tc>
          <w:tcPr>
            <w:tcW w:w="1170" w:type="dxa"/>
            <w:gridSpan w:val="2"/>
            <w:tcBorders>
              <w:top w:val="single" w:sz="4" w:space="0" w:color="auto"/>
            </w:tcBorders>
            <w:shd w:val="clear" w:color="auto" w:fill="auto"/>
            <w:noWrap/>
            <w:vAlign w:val="center"/>
            <w:hideMark/>
          </w:tcPr>
          <w:p w14:paraId="0F8F98C7" w14:textId="77777777" w:rsidR="00015195" w:rsidRPr="00A91056" w:rsidRDefault="00015195" w:rsidP="002D410E">
            <w:pPr>
              <w:widowControl/>
              <w:spacing w:line="240" w:lineRule="auto"/>
              <w:ind w:firstLine="0"/>
              <w:jc w:val="center"/>
              <w:rPr>
                <w:rFonts w:eastAsia="Times New Roman" w:cs="Arial"/>
                <w:b/>
                <w:bCs/>
                <w:color w:val="000000"/>
                <w:sz w:val="18"/>
                <w:szCs w:val="18"/>
              </w:rPr>
            </w:pPr>
            <w:r w:rsidRPr="00A91056">
              <w:rPr>
                <w:rFonts w:eastAsia="Times New Roman" w:cs="Arial"/>
                <w:b/>
                <w:bCs/>
                <w:color w:val="000000"/>
                <w:sz w:val="18"/>
                <w:szCs w:val="18"/>
              </w:rPr>
              <w:t>TEGA</w:t>
            </w:r>
          </w:p>
        </w:tc>
        <w:tc>
          <w:tcPr>
            <w:tcW w:w="540" w:type="dxa"/>
            <w:tcBorders>
              <w:top w:val="single" w:sz="4" w:space="0" w:color="auto"/>
            </w:tcBorders>
            <w:shd w:val="clear" w:color="auto" w:fill="auto"/>
            <w:noWrap/>
            <w:vAlign w:val="center"/>
            <w:hideMark/>
          </w:tcPr>
          <w:p w14:paraId="12E4D513" w14:textId="77777777" w:rsidR="00015195" w:rsidRPr="00A91056" w:rsidRDefault="00015195" w:rsidP="002D410E">
            <w:pPr>
              <w:widowControl/>
              <w:spacing w:line="240" w:lineRule="auto"/>
              <w:ind w:firstLine="0"/>
              <w:jc w:val="center"/>
              <w:rPr>
                <w:rFonts w:eastAsia="Times New Roman" w:cs="Arial"/>
                <w:b/>
                <w:bCs/>
                <w:color w:val="000000"/>
                <w:sz w:val="18"/>
                <w:szCs w:val="18"/>
              </w:rPr>
            </w:pPr>
          </w:p>
        </w:tc>
        <w:tc>
          <w:tcPr>
            <w:tcW w:w="810" w:type="dxa"/>
            <w:vMerge w:val="restart"/>
            <w:tcBorders>
              <w:top w:val="single" w:sz="4" w:space="0" w:color="auto"/>
            </w:tcBorders>
            <w:shd w:val="clear" w:color="auto" w:fill="auto"/>
            <w:vAlign w:val="center"/>
            <w:hideMark/>
          </w:tcPr>
          <w:p w14:paraId="6FCEF804" w14:textId="7BF8DFCE" w:rsidR="00015195" w:rsidRPr="00A91056" w:rsidRDefault="00015195" w:rsidP="00015195">
            <w:pPr>
              <w:spacing w:line="240" w:lineRule="auto"/>
              <w:ind w:firstLine="0"/>
              <w:jc w:val="center"/>
              <w:rPr>
                <w:rFonts w:eastAsia="Times New Roman" w:cs="Arial"/>
                <w:b/>
                <w:bCs/>
                <w:color w:val="000000"/>
                <w:sz w:val="18"/>
                <w:szCs w:val="18"/>
              </w:rPr>
            </w:pPr>
            <w:r w:rsidRPr="00A91056">
              <w:rPr>
                <w:rFonts w:eastAsia="Times New Roman" w:cs="Arial"/>
                <w:b/>
                <w:bCs/>
                <w:color w:val="000000"/>
                <w:sz w:val="18"/>
                <w:szCs w:val="18"/>
              </w:rPr>
              <w:t>DNA Adducts</w:t>
            </w:r>
          </w:p>
        </w:tc>
        <w:tc>
          <w:tcPr>
            <w:tcW w:w="3145" w:type="dxa"/>
            <w:gridSpan w:val="5"/>
            <w:tcBorders>
              <w:top w:val="single" w:sz="4" w:space="0" w:color="auto"/>
            </w:tcBorders>
            <w:shd w:val="clear" w:color="auto" w:fill="auto"/>
            <w:vAlign w:val="center"/>
            <w:hideMark/>
          </w:tcPr>
          <w:p w14:paraId="75FE25EB" w14:textId="447D3265" w:rsidR="00015195" w:rsidRPr="00A91056" w:rsidRDefault="00015195" w:rsidP="002D410E">
            <w:pPr>
              <w:widowControl/>
              <w:spacing w:line="240" w:lineRule="auto"/>
              <w:ind w:firstLine="0"/>
              <w:jc w:val="center"/>
              <w:rPr>
                <w:rFonts w:eastAsia="Times New Roman" w:cs="Arial"/>
                <w:b/>
                <w:bCs/>
                <w:color w:val="000000"/>
                <w:sz w:val="18"/>
                <w:szCs w:val="18"/>
              </w:rPr>
            </w:pPr>
            <w:r w:rsidRPr="00A91056">
              <w:rPr>
                <w:rFonts w:eastAsia="Times New Roman" w:cs="Arial"/>
                <w:b/>
                <w:bCs/>
                <w:color w:val="000000"/>
                <w:sz w:val="18"/>
                <w:szCs w:val="18"/>
              </w:rPr>
              <w:t xml:space="preserve">In vitro genotoxicity </w:t>
            </w:r>
            <w:r w:rsidRPr="00A91056">
              <w:rPr>
                <w:rFonts w:eastAsia="Times New Roman" w:cs="Arial"/>
                <w:b/>
                <w:bCs/>
                <w:color w:val="000000"/>
                <w:sz w:val="18"/>
                <w:szCs w:val="18"/>
                <w:vertAlign w:val="superscript"/>
              </w:rPr>
              <w:t>c, d</w:t>
            </w:r>
          </w:p>
        </w:tc>
        <w:tc>
          <w:tcPr>
            <w:tcW w:w="613" w:type="dxa"/>
            <w:tcBorders>
              <w:top w:val="single" w:sz="4" w:space="0" w:color="auto"/>
            </w:tcBorders>
            <w:shd w:val="clear" w:color="auto" w:fill="auto"/>
            <w:vAlign w:val="center"/>
            <w:hideMark/>
          </w:tcPr>
          <w:p w14:paraId="0FFB4783" w14:textId="77777777" w:rsidR="00015195" w:rsidRPr="00A91056" w:rsidRDefault="00015195" w:rsidP="002D410E">
            <w:pPr>
              <w:widowControl/>
              <w:spacing w:line="240" w:lineRule="auto"/>
              <w:ind w:firstLine="0"/>
              <w:jc w:val="center"/>
              <w:rPr>
                <w:rFonts w:eastAsia="Times New Roman" w:cs="Arial"/>
                <w:b/>
                <w:bCs/>
                <w:color w:val="000000"/>
                <w:sz w:val="18"/>
                <w:szCs w:val="18"/>
              </w:rPr>
            </w:pPr>
            <w:r w:rsidRPr="00A91056">
              <w:rPr>
                <w:rFonts w:eastAsia="Times New Roman" w:cs="Arial"/>
                <w:b/>
                <w:bCs/>
                <w:color w:val="000000"/>
                <w:sz w:val="18"/>
                <w:szCs w:val="18"/>
              </w:rPr>
              <w:t> </w:t>
            </w:r>
          </w:p>
        </w:tc>
        <w:tc>
          <w:tcPr>
            <w:tcW w:w="107" w:type="dxa"/>
            <w:tcBorders>
              <w:top w:val="single" w:sz="4" w:space="0" w:color="auto"/>
              <w:bottom w:val="nil"/>
            </w:tcBorders>
            <w:shd w:val="clear" w:color="auto" w:fill="auto"/>
            <w:vAlign w:val="center"/>
            <w:hideMark/>
          </w:tcPr>
          <w:p w14:paraId="749E3266" w14:textId="77777777" w:rsidR="00015195" w:rsidRPr="00A91056" w:rsidRDefault="00015195" w:rsidP="002D410E">
            <w:pPr>
              <w:widowControl/>
              <w:spacing w:line="240" w:lineRule="auto"/>
              <w:ind w:firstLine="0"/>
              <w:rPr>
                <w:rFonts w:eastAsia="Times New Roman" w:cs="Arial"/>
                <w:b/>
                <w:bCs/>
                <w:color w:val="000000"/>
                <w:sz w:val="18"/>
                <w:szCs w:val="18"/>
              </w:rPr>
            </w:pPr>
            <w:r w:rsidRPr="00A91056">
              <w:rPr>
                <w:rFonts w:eastAsia="Times New Roman" w:cs="Arial"/>
                <w:b/>
                <w:bCs/>
                <w:color w:val="000000"/>
                <w:sz w:val="18"/>
                <w:szCs w:val="18"/>
              </w:rPr>
              <w:t> </w:t>
            </w:r>
          </w:p>
        </w:tc>
        <w:tc>
          <w:tcPr>
            <w:tcW w:w="2790" w:type="dxa"/>
            <w:gridSpan w:val="5"/>
            <w:tcBorders>
              <w:top w:val="single" w:sz="4" w:space="0" w:color="auto"/>
            </w:tcBorders>
            <w:shd w:val="clear" w:color="auto" w:fill="auto"/>
            <w:vAlign w:val="center"/>
          </w:tcPr>
          <w:p w14:paraId="691EA0A0" w14:textId="5D9620E9" w:rsidR="00015195" w:rsidRPr="00A91056" w:rsidRDefault="00015195" w:rsidP="001723B7">
            <w:pPr>
              <w:widowControl/>
              <w:spacing w:line="240" w:lineRule="auto"/>
              <w:ind w:firstLine="0"/>
              <w:jc w:val="center"/>
              <w:rPr>
                <w:rFonts w:eastAsia="Times New Roman" w:cs="Arial"/>
                <w:b/>
                <w:bCs/>
                <w:color w:val="000000"/>
                <w:sz w:val="18"/>
                <w:szCs w:val="18"/>
              </w:rPr>
            </w:pPr>
            <w:r w:rsidRPr="00A91056">
              <w:rPr>
                <w:rFonts w:eastAsia="Times New Roman" w:cs="Arial"/>
                <w:b/>
                <w:bCs/>
                <w:color w:val="000000"/>
                <w:sz w:val="18"/>
                <w:szCs w:val="18"/>
              </w:rPr>
              <w:t xml:space="preserve">In vivo genotoxicity </w:t>
            </w:r>
            <w:r w:rsidRPr="00A91056">
              <w:rPr>
                <w:rFonts w:eastAsia="Times New Roman" w:cs="Arial"/>
                <w:b/>
                <w:bCs/>
                <w:color w:val="000000"/>
                <w:sz w:val="18"/>
                <w:szCs w:val="18"/>
                <w:vertAlign w:val="superscript"/>
              </w:rPr>
              <w:t>c</w:t>
            </w:r>
          </w:p>
        </w:tc>
        <w:tc>
          <w:tcPr>
            <w:tcW w:w="720" w:type="dxa"/>
            <w:vMerge w:val="restart"/>
            <w:tcBorders>
              <w:top w:val="single" w:sz="4" w:space="0" w:color="auto"/>
            </w:tcBorders>
            <w:shd w:val="clear" w:color="auto" w:fill="auto"/>
            <w:vAlign w:val="center"/>
            <w:hideMark/>
          </w:tcPr>
          <w:p w14:paraId="75F8C66A" w14:textId="77777777" w:rsidR="00015195" w:rsidRPr="00A91056" w:rsidRDefault="00015195" w:rsidP="002D410E">
            <w:pPr>
              <w:widowControl/>
              <w:spacing w:line="240" w:lineRule="auto"/>
              <w:ind w:firstLine="0"/>
              <w:jc w:val="center"/>
              <w:rPr>
                <w:rFonts w:eastAsia="Times New Roman" w:cs="Arial"/>
                <w:b/>
                <w:bCs/>
                <w:color w:val="000000"/>
                <w:sz w:val="18"/>
                <w:szCs w:val="18"/>
              </w:rPr>
            </w:pPr>
            <w:r w:rsidRPr="00A91056">
              <w:rPr>
                <w:rFonts w:eastAsia="Times New Roman" w:cs="Arial"/>
                <w:b/>
                <w:bCs/>
                <w:color w:val="000000"/>
                <w:sz w:val="18"/>
                <w:szCs w:val="18"/>
              </w:rPr>
              <w:t xml:space="preserve">CARC </w:t>
            </w:r>
            <w:r w:rsidRPr="00A91056">
              <w:rPr>
                <w:rFonts w:eastAsia="Times New Roman" w:cs="Arial"/>
                <w:b/>
                <w:bCs/>
                <w:color w:val="000000"/>
                <w:sz w:val="18"/>
                <w:szCs w:val="18"/>
                <w:vertAlign w:val="superscript"/>
              </w:rPr>
              <w:t>c, e</w:t>
            </w:r>
          </w:p>
        </w:tc>
      </w:tr>
      <w:tr w:rsidR="00015195" w:rsidRPr="00A91056" w14:paraId="57985568" w14:textId="77777777" w:rsidTr="007D701C">
        <w:trPr>
          <w:trHeight w:val="450"/>
          <w:tblHeader/>
        </w:trPr>
        <w:tc>
          <w:tcPr>
            <w:tcW w:w="2395" w:type="dxa"/>
            <w:vMerge/>
            <w:shd w:val="clear" w:color="auto" w:fill="auto"/>
            <w:vAlign w:val="center"/>
            <w:hideMark/>
          </w:tcPr>
          <w:p w14:paraId="412139F8" w14:textId="77777777" w:rsidR="00015195" w:rsidRPr="00A91056" w:rsidRDefault="00015195" w:rsidP="00D91973">
            <w:pPr>
              <w:widowControl/>
              <w:spacing w:line="240" w:lineRule="auto"/>
              <w:ind w:firstLine="0"/>
              <w:rPr>
                <w:rFonts w:eastAsia="Times New Roman" w:cs="Arial"/>
                <w:b/>
                <w:bCs/>
                <w:color w:val="000000"/>
                <w:sz w:val="18"/>
                <w:szCs w:val="18"/>
              </w:rPr>
            </w:pPr>
          </w:p>
        </w:tc>
        <w:tc>
          <w:tcPr>
            <w:tcW w:w="1115" w:type="dxa"/>
            <w:vMerge/>
            <w:shd w:val="clear" w:color="auto" w:fill="auto"/>
            <w:vAlign w:val="center"/>
            <w:hideMark/>
          </w:tcPr>
          <w:p w14:paraId="32B9C0F4" w14:textId="77777777" w:rsidR="00015195" w:rsidRPr="00A91056" w:rsidRDefault="00015195" w:rsidP="00D91973">
            <w:pPr>
              <w:widowControl/>
              <w:spacing w:line="240" w:lineRule="auto"/>
              <w:ind w:firstLine="0"/>
              <w:rPr>
                <w:rFonts w:eastAsia="Times New Roman" w:cs="Arial"/>
                <w:b/>
                <w:bCs/>
                <w:color w:val="000000"/>
                <w:sz w:val="18"/>
                <w:szCs w:val="18"/>
              </w:rPr>
            </w:pPr>
          </w:p>
        </w:tc>
        <w:tc>
          <w:tcPr>
            <w:tcW w:w="990" w:type="dxa"/>
            <w:shd w:val="clear" w:color="auto" w:fill="auto"/>
            <w:vAlign w:val="center"/>
            <w:hideMark/>
          </w:tcPr>
          <w:p w14:paraId="1B2C0CA9" w14:textId="4BA8E39A" w:rsidR="00015195" w:rsidRPr="00A91056" w:rsidRDefault="00015195" w:rsidP="00D91973">
            <w:pPr>
              <w:widowControl/>
              <w:spacing w:line="240" w:lineRule="auto"/>
              <w:ind w:firstLine="0"/>
              <w:jc w:val="center"/>
              <w:rPr>
                <w:rFonts w:eastAsia="Times New Roman" w:cs="Arial"/>
                <w:b/>
                <w:bCs/>
                <w:color w:val="000000"/>
                <w:sz w:val="18"/>
                <w:szCs w:val="18"/>
              </w:rPr>
            </w:pPr>
            <w:r w:rsidRPr="00A91056">
              <w:rPr>
                <w:rFonts w:eastAsia="Times New Roman" w:cs="Arial"/>
                <w:b/>
                <w:bCs/>
                <w:color w:val="000000"/>
                <w:sz w:val="18"/>
                <w:szCs w:val="18"/>
              </w:rPr>
              <w:t>Tested dosages, mg/egg</w:t>
            </w:r>
          </w:p>
        </w:tc>
        <w:tc>
          <w:tcPr>
            <w:tcW w:w="450" w:type="dxa"/>
            <w:shd w:val="clear" w:color="auto" w:fill="auto"/>
            <w:vAlign w:val="center"/>
            <w:hideMark/>
          </w:tcPr>
          <w:p w14:paraId="03EE75D5" w14:textId="77777777" w:rsidR="00015195" w:rsidRPr="00A91056" w:rsidRDefault="00015195" w:rsidP="00D91973">
            <w:pPr>
              <w:widowControl/>
              <w:spacing w:line="240" w:lineRule="auto"/>
              <w:ind w:firstLine="0"/>
              <w:jc w:val="center"/>
              <w:rPr>
                <w:rFonts w:eastAsia="Times New Roman" w:cs="Arial"/>
                <w:b/>
                <w:bCs/>
                <w:color w:val="000000"/>
                <w:sz w:val="18"/>
                <w:szCs w:val="18"/>
              </w:rPr>
            </w:pPr>
            <w:r w:rsidRPr="00A91056">
              <w:rPr>
                <w:rFonts w:eastAsia="Times New Roman" w:cs="Arial"/>
                <w:b/>
                <w:bCs/>
                <w:color w:val="000000"/>
                <w:sz w:val="18"/>
                <w:szCs w:val="18"/>
              </w:rPr>
              <w:t>NPL</w:t>
            </w:r>
          </w:p>
        </w:tc>
        <w:tc>
          <w:tcPr>
            <w:tcW w:w="720" w:type="dxa"/>
            <w:shd w:val="clear" w:color="auto" w:fill="auto"/>
            <w:vAlign w:val="center"/>
            <w:hideMark/>
          </w:tcPr>
          <w:p w14:paraId="6E2B15F6" w14:textId="3BC23848" w:rsidR="00015195" w:rsidRPr="00A91056" w:rsidRDefault="00015195" w:rsidP="00D91973">
            <w:pPr>
              <w:widowControl/>
              <w:spacing w:line="240" w:lineRule="auto"/>
              <w:ind w:firstLine="0"/>
              <w:jc w:val="center"/>
              <w:rPr>
                <w:rFonts w:eastAsia="Times New Roman" w:cs="Arial"/>
                <w:b/>
                <w:bCs/>
                <w:color w:val="000000"/>
                <w:sz w:val="18"/>
                <w:szCs w:val="18"/>
              </w:rPr>
            </w:pPr>
            <w:r w:rsidRPr="00A91056">
              <w:rPr>
                <w:rFonts w:eastAsia="Times New Roman" w:cs="Arial"/>
                <w:b/>
                <w:bCs/>
                <w:color w:val="000000"/>
                <w:sz w:val="18"/>
                <w:szCs w:val="18"/>
              </w:rPr>
              <w:t>Comet</w:t>
            </w:r>
          </w:p>
        </w:tc>
        <w:tc>
          <w:tcPr>
            <w:tcW w:w="540" w:type="dxa"/>
            <w:shd w:val="clear" w:color="auto" w:fill="auto"/>
            <w:vAlign w:val="center"/>
            <w:hideMark/>
          </w:tcPr>
          <w:p w14:paraId="05F6774E" w14:textId="165AD45B" w:rsidR="00015195" w:rsidRPr="00A91056" w:rsidRDefault="00015195" w:rsidP="00D91973">
            <w:pPr>
              <w:widowControl/>
              <w:spacing w:line="240" w:lineRule="auto"/>
              <w:ind w:firstLine="0"/>
              <w:jc w:val="center"/>
              <w:rPr>
                <w:rFonts w:eastAsia="Times New Roman" w:cs="Arial"/>
                <w:b/>
                <w:bCs/>
                <w:color w:val="000000"/>
                <w:sz w:val="18"/>
                <w:szCs w:val="18"/>
              </w:rPr>
            </w:pPr>
            <w:r w:rsidRPr="00A91056">
              <w:rPr>
                <w:rFonts w:eastAsia="Times New Roman" w:cs="Arial"/>
                <w:b/>
                <w:bCs/>
                <w:color w:val="000000"/>
                <w:sz w:val="18"/>
                <w:szCs w:val="18"/>
              </w:rPr>
              <w:t>Ref</w:t>
            </w:r>
          </w:p>
        </w:tc>
        <w:tc>
          <w:tcPr>
            <w:tcW w:w="810" w:type="dxa"/>
            <w:vMerge/>
            <w:shd w:val="clear" w:color="auto" w:fill="auto"/>
            <w:vAlign w:val="center"/>
            <w:hideMark/>
          </w:tcPr>
          <w:p w14:paraId="5B4BA567" w14:textId="4D6E9F9F" w:rsidR="00015195" w:rsidRPr="00A91056" w:rsidRDefault="00015195" w:rsidP="00D91973">
            <w:pPr>
              <w:widowControl/>
              <w:spacing w:line="240" w:lineRule="auto"/>
              <w:ind w:firstLine="0"/>
              <w:jc w:val="center"/>
              <w:rPr>
                <w:rFonts w:eastAsia="Times New Roman" w:cs="Arial"/>
                <w:b/>
                <w:bCs/>
                <w:color w:val="000000"/>
                <w:sz w:val="18"/>
                <w:szCs w:val="18"/>
              </w:rPr>
            </w:pPr>
          </w:p>
        </w:tc>
        <w:tc>
          <w:tcPr>
            <w:tcW w:w="625" w:type="dxa"/>
            <w:shd w:val="clear" w:color="auto" w:fill="auto"/>
            <w:vAlign w:val="center"/>
            <w:hideMark/>
          </w:tcPr>
          <w:p w14:paraId="001557DC" w14:textId="4F58915F" w:rsidR="00015195" w:rsidRPr="00A91056" w:rsidRDefault="00C20E23" w:rsidP="00D91973">
            <w:pPr>
              <w:widowControl/>
              <w:spacing w:line="240" w:lineRule="auto"/>
              <w:ind w:firstLine="0"/>
              <w:jc w:val="center"/>
              <w:rPr>
                <w:rFonts w:eastAsia="Times New Roman" w:cs="Arial"/>
                <w:b/>
                <w:bCs/>
                <w:color w:val="000000"/>
                <w:sz w:val="18"/>
                <w:szCs w:val="18"/>
              </w:rPr>
            </w:pPr>
            <w:r>
              <w:rPr>
                <w:rFonts w:eastAsia="Times New Roman" w:cs="Arial"/>
                <w:b/>
                <w:bCs/>
                <w:color w:val="000000"/>
                <w:sz w:val="18"/>
                <w:szCs w:val="18"/>
              </w:rPr>
              <w:t>Ames</w:t>
            </w:r>
          </w:p>
        </w:tc>
        <w:tc>
          <w:tcPr>
            <w:tcW w:w="720" w:type="dxa"/>
            <w:shd w:val="clear" w:color="auto" w:fill="auto"/>
            <w:vAlign w:val="center"/>
            <w:hideMark/>
          </w:tcPr>
          <w:p w14:paraId="4DD83490" w14:textId="77777777" w:rsidR="00015195" w:rsidRPr="00A91056" w:rsidRDefault="00015195" w:rsidP="00D91973">
            <w:pPr>
              <w:widowControl/>
              <w:spacing w:line="240" w:lineRule="auto"/>
              <w:ind w:firstLine="0"/>
              <w:jc w:val="center"/>
              <w:rPr>
                <w:rFonts w:eastAsia="Times New Roman" w:cs="Arial"/>
                <w:b/>
                <w:bCs/>
                <w:color w:val="000000"/>
                <w:sz w:val="18"/>
                <w:szCs w:val="18"/>
              </w:rPr>
            </w:pPr>
            <w:r w:rsidRPr="00A91056">
              <w:rPr>
                <w:rFonts w:eastAsia="Times New Roman" w:cs="Arial"/>
                <w:b/>
                <w:bCs/>
                <w:color w:val="000000"/>
                <w:sz w:val="18"/>
                <w:szCs w:val="18"/>
              </w:rPr>
              <w:t>MCGM</w:t>
            </w:r>
          </w:p>
        </w:tc>
        <w:tc>
          <w:tcPr>
            <w:tcW w:w="630" w:type="dxa"/>
            <w:shd w:val="clear" w:color="auto" w:fill="auto"/>
            <w:vAlign w:val="center"/>
            <w:hideMark/>
          </w:tcPr>
          <w:p w14:paraId="7A656781" w14:textId="04DABFE7" w:rsidR="00015195" w:rsidRPr="00A91056" w:rsidRDefault="00015195" w:rsidP="00D91973">
            <w:pPr>
              <w:widowControl/>
              <w:spacing w:line="240" w:lineRule="auto"/>
              <w:ind w:firstLine="0"/>
              <w:jc w:val="center"/>
              <w:rPr>
                <w:rFonts w:eastAsia="Times New Roman" w:cs="Arial"/>
                <w:b/>
                <w:bCs/>
                <w:color w:val="000000"/>
                <w:sz w:val="18"/>
                <w:szCs w:val="18"/>
              </w:rPr>
            </w:pPr>
            <w:r w:rsidRPr="00A91056">
              <w:rPr>
                <w:rFonts w:eastAsia="Times New Roman" w:cs="Arial"/>
                <w:b/>
                <w:bCs/>
                <w:color w:val="000000"/>
                <w:sz w:val="18"/>
                <w:szCs w:val="18"/>
              </w:rPr>
              <w:t>MN</w:t>
            </w:r>
          </w:p>
        </w:tc>
        <w:tc>
          <w:tcPr>
            <w:tcW w:w="450" w:type="dxa"/>
            <w:shd w:val="clear" w:color="auto" w:fill="auto"/>
            <w:vAlign w:val="center"/>
            <w:hideMark/>
          </w:tcPr>
          <w:p w14:paraId="1F40BC9F" w14:textId="77777777" w:rsidR="00015195" w:rsidRPr="00A91056" w:rsidRDefault="00015195" w:rsidP="00D91973">
            <w:pPr>
              <w:widowControl/>
              <w:spacing w:line="240" w:lineRule="auto"/>
              <w:ind w:firstLine="0"/>
              <w:jc w:val="center"/>
              <w:rPr>
                <w:rFonts w:eastAsia="Times New Roman" w:cs="Arial"/>
                <w:b/>
                <w:bCs/>
                <w:color w:val="000000"/>
                <w:sz w:val="18"/>
                <w:szCs w:val="18"/>
              </w:rPr>
            </w:pPr>
            <w:r w:rsidRPr="00A91056">
              <w:rPr>
                <w:rFonts w:eastAsia="Times New Roman" w:cs="Arial"/>
                <w:b/>
                <w:bCs/>
                <w:color w:val="000000"/>
                <w:sz w:val="18"/>
                <w:szCs w:val="18"/>
              </w:rPr>
              <w:t>CA</w:t>
            </w:r>
          </w:p>
        </w:tc>
        <w:tc>
          <w:tcPr>
            <w:tcW w:w="720" w:type="dxa"/>
            <w:shd w:val="clear" w:color="auto" w:fill="auto"/>
            <w:vAlign w:val="center"/>
            <w:hideMark/>
          </w:tcPr>
          <w:p w14:paraId="1190E3E0" w14:textId="77777777" w:rsidR="00015195" w:rsidRPr="00A91056" w:rsidRDefault="00015195" w:rsidP="00D91973">
            <w:pPr>
              <w:widowControl/>
              <w:spacing w:line="240" w:lineRule="auto"/>
              <w:ind w:firstLine="0"/>
              <w:jc w:val="center"/>
              <w:rPr>
                <w:rFonts w:eastAsia="Times New Roman" w:cs="Arial"/>
                <w:b/>
                <w:bCs/>
                <w:color w:val="000000"/>
                <w:sz w:val="18"/>
                <w:szCs w:val="18"/>
              </w:rPr>
            </w:pPr>
            <w:r w:rsidRPr="00A91056">
              <w:rPr>
                <w:rFonts w:eastAsia="Times New Roman" w:cs="Arial"/>
                <w:b/>
                <w:bCs/>
                <w:color w:val="000000"/>
                <w:sz w:val="18"/>
                <w:szCs w:val="18"/>
              </w:rPr>
              <w:t>Comet</w:t>
            </w:r>
          </w:p>
        </w:tc>
        <w:tc>
          <w:tcPr>
            <w:tcW w:w="613" w:type="dxa"/>
            <w:shd w:val="clear" w:color="auto" w:fill="auto"/>
            <w:vAlign w:val="center"/>
            <w:hideMark/>
          </w:tcPr>
          <w:p w14:paraId="7911447E" w14:textId="77777777" w:rsidR="00015195" w:rsidRPr="00A91056" w:rsidRDefault="00015195" w:rsidP="00D91973">
            <w:pPr>
              <w:widowControl/>
              <w:spacing w:line="240" w:lineRule="auto"/>
              <w:ind w:firstLine="0"/>
              <w:jc w:val="center"/>
              <w:rPr>
                <w:rFonts w:eastAsia="Times New Roman" w:cs="Arial"/>
                <w:b/>
                <w:bCs/>
                <w:color w:val="000000"/>
                <w:sz w:val="18"/>
                <w:szCs w:val="18"/>
              </w:rPr>
            </w:pPr>
            <w:r w:rsidRPr="00A91056">
              <w:rPr>
                <w:rFonts w:eastAsia="Times New Roman" w:cs="Arial"/>
                <w:b/>
                <w:bCs/>
                <w:color w:val="000000"/>
                <w:sz w:val="18"/>
                <w:szCs w:val="18"/>
              </w:rPr>
              <w:t xml:space="preserve">Rat HPC/DRA </w:t>
            </w:r>
            <w:r w:rsidRPr="00A91056">
              <w:rPr>
                <w:rFonts w:eastAsia="Times New Roman" w:cs="Arial"/>
                <w:b/>
                <w:bCs/>
                <w:color w:val="000000"/>
                <w:sz w:val="18"/>
                <w:szCs w:val="18"/>
                <w:vertAlign w:val="superscript"/>
              </w:rPr>
              <w:t>f</w:t>
            </w:r>
          </w:p>
        </w:tc>
        <w:tc>
          <w:tcPr>
            <w:tcW w:w="107" w:type="dxa"/>
            <w:tcBorders>
              <w:top w:val="nil"/>
              <w:bottom w:val="nil"/>
            </w:tcBorders>
            <w:shd w:val="clear" w:color="auto" w:fill="auto"/>
            <w:vAlign w:val="center"/>
          </w:tcPr>
          <w:p w14:paraId="3C2A2481" w14:textId="50CE7395" w:rsidR="00015195" w:rsidRPr="00A91056" w:rsidRDefault="00015195" w:rsidP="00D91973">
            <w:pPr>
              <w:widowControl/>
              <w:spacing w:line="240" w:lineRule="auto"/>
              <w:ind w:firstLine="0"/>
              <w:jc w:val="center"/>
              <w:rPr>
                <w:rFonts w:eastAsia="Times New Roman" w:cs="Arial"/>
                <w:b/>
                <w:bCs/>
                <w:color w:val="000000"/>
                <w:sz w:val="18"/>
                <w:szCs w:val="18"/>
              </w:rPr>
            </w:pPr>
          </w:p>
        </w:tc>
        <w:tc>
          <w:tcPr>
            <w:tcW w:w="540" w:type="dxa"/>
            <w:shd w:val="clear" w:color="auto" w:fill="auto"/>
            <w:vAlign w:val="center"/>
          </w:tcPr>
          <w:p w14:paraId="3A2BF25D" w14:textId="14AA3EB0" w:rsidR="00015195" w:rsidRPr="00A91056" w:rsidRDefault="00015195" w:rsidP="00D91973">
            <w:pPr>
              <w:widowControl/>
              <w:spacing w:line="240" w:lineRule="auto"/>
              <w:ind w:firstLine="0"/>
              <w:jc w:val="center"/>
              <w:rPr>
                <w:rFonts w:eastAsia="Times New Roman" w:cs="Arial"/>
                <w:b/>
                <w:bCs/>
                <w:color w:val="000000"/>
                <w:sz w:val="18"/>
                <w:szCs w:val="18"/>
              </w:rPr>
            </w:pPr>
            <w:r w:rsidRPr="00A91056">
              <w:rPr>
                <w:rFonts w:eastAsia="Times New Roman" w:cs="Arial"/>
                <w:b/>
                <w:bCs/>
                <w:color w:val="000000"/>
                <w:sz w:val="18"/>
                <w:szCs w:val="18"/>
              </w:rPr>
              <w:t>UDS</w:t>
            </w:r>
          </w:p>
        </w:tc>
        <w:tc>
          <w:tcPr>
            <w:tcW w:w="540" w:type="dxa"/>
            <w:shd w:val="clear" w:color="auto" w:fill="auto"/>
            <w:vAlign w:val="center"/>
            <w:hideMark/>
          </w:tcPr>
          <w:p w14:paraId="42FD9F78" w14:textId="77777777" w:rsidR="00015195" w:rsidRPr="00A91056" w:rsidRDefault="00015195" w:rsidP="00D91973">
            <w:pPr>
              <w:widowControl/>
              <w:spacing w:line="240" w:lineRule="auto"/>
              <w:ind w:firstLine="0"/>
              <w:jc w:val="center"/>
              <w:rPr>
                <w:rFonts w:eastAsia="Times New Roman" w:cs="Arial"/>
                <w:b/>
                <w:bCs/>
                <w:color w:val="000000"/>
                <w:sz w:val="18"/>
                <w:szCs w:val="18"/>
              </w:rPr>
            </w:pPr>
            <w:r w:rsidRPr="00A91056">
              <w:rPr>
                <w:rFonts w:eastAsia="Times New Roman" w:cs="Arial"/>
                <w:b/>
                <w:bCs/>
                <w:color w:val="000000"/>
                <w:sz w:val="18"/>
                <w:szCs w:val="18"/>
              </w:rPr>
              <w:t>TGR</w:t>
            </w:r>
          </w:p>
        </w:tc>
        <w:tc>
          <w:tcPr>
            <w:tcW w:w="540" w:type="dxa"/>
            <w:shd w:val="clear" w:color="auto" w:fill="auto"/>
            <w:vAlign w:val="center"/>
            <w:hideMark/>
          </w:tcPr>
          <w:p w14:paraId="16DB9597" w14:textId="1F5D2C6B" w:rsidR="00015195" w:rsidRPr="00A91056" w:rsidRDefault="00015195" w:rsidP="00D91973">
            <w:pPr>
              <w:widowControl/>
              <w:spacing w:line="240" w:lineRule="auto"/>
              <w:ind w:firstLine="0"/>
              <w:jc w:val="center"/>
              <w:rPr>
                <w:rFonts w:eastAsia="Times New Roman" w:cs="Arial"/>
                <w:b/>
                <w:bCs/>
                <w:color w:val="000000"/>
                <w:sz w:val="18"/>
                <w:szCs w:val="18"/>
              </w:rPr>
            </w:pPr>
            <w:r w:rsidRPr="00A91056">
              <w:rPr>
                <w:rFonts w:eastAsia="Times New Roman" w:cs="Arial"/>
                <w:b/>
                <w:bCs/>
                <w:color w:val="000000"/>
                <w:sz w:val="18"/>
                <w:szCs w:val="18"/>
              </w:rPr>
              <w:t>MN</w:t>
            </w:r>
          </w:p>
        </w:tc>
        <w:tc>
          <w:tcPr>
            <w:tcW w:w="450" w:type="dxa"/>
            <w:shd w:val="clear" w:color="auto" w:fill="auto"/>
            <w:vAlign w:val="center"/>
            <w:hideMark/>
          </w:tcPr>
          <w:p w14:paraId="010670EA" w14:textId="77777777" w:rsidR="00015195" w:rsidRPr="00A91056" w:rsidRDefault="00015195" w:rsidP="00D91973">
            <w:pPr>
              <w:widowControl/>
              <w:spacing w:line="240" w:lineRule="auto"/>
              <w:ind w:firstLine="0"/>
              <w:jc w:val="center"/>
              <w:rPr>
                <w:rFonts w:eastAsia="Times New Roman" w:cs="Arial"/>
                <w:b/>
                <w:bCs/>
                <w:color w:val="000000"/>
                <w:sz w:val="18"/>
                <w:szCs w:val="18"/>
              </w:rPr>
            </w:pPr>
            <w:r w:rsidRPr="00A91056">
              <w:rPr>
                <w:rFonts w:eastAsia="Times New Roman" w:cs="Arial"/>
                <w:b/>
                <w:bCs/>
                <w:color w:val="000000"/>
                <w:sz w:val="18"/>
                <w:szCs w:val="18"/>
              </w:rPr>
              <w:t>CA</w:t>
            </w:r>
          </w:p>
        </w:tc>
        <w:tc>
          <w:tcPr>
            <w:tcW w:w="720" w:type="dxa"/>
            <w:shd w:val="clear" w:color="auto" w:fill="auto"/>
            <w:vAlign w:val="center"/>
            <w:hideMark/>
          </w:tcPr>
          <w:p w14:paraId="6F26772E" w14:textId="77777777" w:rsidR="00015195" w:rsidRPr="00A91056" w:rsidRDefault="00015195" w:rsidP="00D91973">
            <w:pPr>
              <w:widowControl/>
              <w:spacing w:line="240" w:lineRule="auto"/>
              <w:ind w:firstLine="0"/>
              <w:jc w:val="center"/>
              <w:rPr>
                <w:rFonts w:eastAsia="Times New Roman" w:cs="Arial"/>
                <w:b/>
                <w:bCs/>
                <w:color w:val="000000"/>
                <w:sz w:val="18"/>
                <w:szCs w:val="18"/>
              </w:rPr>
            </w:pPr>
            <w:r w:rsidRPr="00A91056">
              <w:rPr>
                <w:rFonts w:eastAsia="Times New Roman" w:cs="Arial"/>
                <w:b/>
                <w:bCs/>
                <w:color w:val="000000"/>
                <w:sz w:val="18"/>
                <w:szCs w:val="18"/>
              </w:rPr>
              <w:t>Comet</w:t>
            </w:r>
          </w:p>
        </w:tc>
        <w:tc>
          <w:tcPr>
            <w:tcW w:w="720" w:type="dxa"/>
            <w:vMerge/>
            <w:shd w:val="clear" w:color="auto" w:fill="auto"/>
            <w:vAlign w:val="center"/>
            <w:hideMark/>
          </w:tcPr>
          <w:p w14:paraId="55707DD6" w14:textId="77777777" w:rsidR="00015195" w:rsidRPr="00A91056" w:rsidRDefault="00015195" w:rsidP="00D91973">
            <w:pPr>
              <w:widowControl/>
              <w:spacing w:line="240" w:lineRule="auto"/>
              <w:ind w:firstLine="0"/>
              <w:rPr>
                <w:rFonts w:eastAsia="Times New Roman" w:cs="Arial"/>
                <w:b/>
                <w:bCs/>
                <w:color w:val="000000"/>
                <w:sz w:val="18"/>
                <w:szCs w:val="18"/>
              </w:rPr>
            </w:pPr>
          </w:p>
        </w:tc>
      </w:tr>
      <w:tr w:rsidR="00F64830" w:rsidRPr="00A91056" w14:paraId="67DF9644" w14:textId="77777777" w:rsidTr="007D701C">
        <w:trPr>
          <w:trHeight w:val="288"/>
        </w:trPr>
        <w:tc>
          <w:tcPr>
            <w:tcW w:w="2395" w:type="dxa"/>
            <w:shd w:val="clear" w:color="auto" w:fill="auto"/>
            <w:noWrap/>
            <w:vAlign w:val="center"/>
            <w:hideMark/>
          </w:tcPr>
          <w:p w14:paraId="0A114862" w14:textId="77777777"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 xml:space="preserve"> α-</w:t>
            </w:r>
            <w:proofErr w:type="spellStart"/>
            <w:r w:rsidRPr="00A91056">
              <w:rPr>
                <w:rFonts w:eastAsia="Times New Roman" w:cs="Arial"/>
                <w:color w:val="000000"/>
                <w:sz w:val="18"/>
                <w:szCs w:val="18"/>
              </w:rPr>
              <w:t>Asarone</w:t>
            </w:r>
            <w:proofErr w:type="spellEnd"/>
          </w:p>
        </w:tc>
        <w:tc>
          <w:tcPr>
            <w:tcW w:w="1115" w:type="dxa"/>
            <w:shd w:val="clear" w:color="auto" w:fill="auto"/>
            <w:noWrap/>
            <w:vAlign w:val="center"/>
            <w:hideMark/>
          </w:tcPr>
          <w:p w14:paraId="541283A9"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2883-98-9</w:t>
            </w:r>
          </w:p>
        </w:tc>
        <w:tc>
          <w:tcPr>
            <w:tcW w:w="990" w:type="dxa"/>
            <w:shd w:val="clear" w:color="auto" w:fill="auto"/>
            <w:vAlign w:val="center"/>
            <w:hideMark/>
          </w:tcPr>
          <w:p w14:paraId="6551BCBD"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5 - 10  ª</w:t>
            </w:r>
          </w:p>
        </w:tc>
        <w:tc>
          <w:tcPr>
            <w:tcW w:w="450" w:type="dxa"/>
            <w:shd w:val="clear" w:color="auto" w:fill="auto"/>
            <w:noWrap/>
            <w:vAlign w:val="center"/>
            <w:hideMark/>
          </w:tcPr>
          <w:p w14:paraId="0BC29068" w14:textId="2C2DAA04"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422A8EEB" w14:textId="292A4CA9"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540" w:type="dxa"/>
            <w:shd w:val="clear" w:color="auto" w:fill="auto"/>
            <w:noWrap/>
            <w:vAlign w:val="center"/>
            <w:hideMark/>
          </w:tcPr>
          <w:p w14:paraId="75B99C7E" w14:textId="27D482B5"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w:t>
            </w:r>
          </w:p>
        </w:tc>
        <w:tc>
          <w:tcPr>
            <w:tcW w:w="810" w:type="dxa"/>
            <w:shd w:val="clear" w:color="auto" w:fill="auto"/>
            <w:noWrap/>
            <w:vAlign w:val="center"/>
            <w:hideMark/>
          </w:tcPr>
          <w:p w14:paraId="6CB586C8" w14:textId="61BD626F"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 in vitro</w:t>
            </w:r>
          </w:p>
        </w:tc>
        <w:tc>
          <w:tcPr>
            <w:tcW w:w="625" w:type="dxa"/>
            <w:shd w:val="clear" w:color="auto" w:fill="auto"/>
            <w:noWrap/>
            <w:vAlign w:val="center"/>
            <w:hideMark/>
          </w:tcPr>
          <w:p w14:paraId="0B008DFC" w14:textId="05A133E1" w:rsidR="00D91973" w:rsidRPr="00A91056" w:rsidRDefault="00D91973" w:rsidP="00D91973">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720" w:type="dxa"/>
            <w:shd w:val="clear" w:color="auto" w:fill="auto"/>
            <w:noWrap/>
            <w:vAlign w:val="center"/>
            <w:hideMark/>
          </w:tcPr>
          <w:p w14:paraId="2F53C29B"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30" w:type="dxa"/>
            <w:shd w:val="clear" w:color="auto" w:fill="auto"/>
            <w:noWrap/>
            <w:vAlign w:val="center"/>
            <w:hideMark/>
          </w:tcPr>
          <w:p w14:paraId="3B5D87C8" w14:textId="577117A8"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450" w:type="dxa"/>
            <w:shd w:val="clear" w:color="auto" w:fill="auto"/>
            <w:noWrap/>
            <w:vAlign w:val="center"/>
            <w:hideMark/>
          </w:tcPr>
          <w:p w14:paraId="0E2EC479"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shd w:val="clear" w:color="auto" w:fill="auto"/>
            <w:noWrap/>
            <w:vAlign w:val="center"/>
            <w:hideMark/>
          </w:tcPr>
          <w:p w14:paraId="33340E01" w14:textId="6B243FA1"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13" w:type="dxa"/>
            <w:shd w:val="clear" w:color="auto" w:fill="auto"/>
            <w:vAlign w:val="center"/>
            <w:hideMark/>
          </w:tcPr>
          <w:p w14:paraId="703F235B"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47" w:type="dxa"/>
            <w:gridSpan w:val="2"/>
            <w:shd w:val="clear" w:color="auto" w:fill="auto"/>
            <w:noWrap/>
            <w:vAlign w:val="center"/>
            <w:hideMark/>
          </w:tcPr>
          <w:p w14:paraId="3F54BCA5"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540" w:type="dxa"/>
            <w:shd w:val="clear" w:color="auto" w:fill="auto"/>
            <w:noWrap/>
            <w:vAlign w:val="center"/>
            <w:hideMark/>
          </w:tcPr>
          <w:p w14:paraId="30D5D9B6" w14:textId="77777777" w:rsidR="00D91973" w:rsidRPr="00A91056" w:rsidRDefault="00D91973" w:rsidP="00D91973">
            <w:pPr>
              <w:widowControl/>
              <w:spacing w:line="240" w:lineRule="auto"/>
              <w:ind w:firstLine="0"/>
              <w:jc w:val="center"/>
              <w:rPr>
                <w:rFonts w:eastAsia="Times New Roman" w:cs="Arial"/>
                <w:sz w:val="18"/>
                <w:szCs w:val="18"/>
              </w:rPr>
            </w:pPr>
          </w:p>
        </w:tc>
        <w:tc>
          <w:tcPr>
            <w:tcW w:w="540" w:type="dxa"/>
            <w:shd w:val="clear" w:color="auto" w:fill="auto"/>
            <w:noWrap/>
            <w:vAlign w:val="center"/>
            <w:hideMark/>
          </w:tcPr>
          <w:p w14:paraId="170DF7CE" w14:textId="77777777" w:rsidR="00D91973" w:rsidRPr="00A91056" w:rsidRDefault="00D91973" w:rsidP="00D91973">
            <w:pPr>
              <w:widowControl/>
              <w:spacing w:line="240" w:lineRule="auto"/>
              <w:ind w:firstLine="0"/>
              <w:jc w:val="center"/>
              <w:rPr>
                <w:rFonts w:eastAsia="Times New Roman" w:cs="Arial"/>
                <w:sz w:val="18"/>
                <w:szCs w:val="18"/>
              </w:rPr>
            </w:pPr>
          </w:p>
        </w:tc>
        <w:tc>
          <w:tcPr>
            <w:tcW w:w="450" w:type="dxa"/>
            <w:shd w:val="clear" w:color="auto" w:fill="auto"/>
            <w:noWrap/>
            <w:vAlign w:val="center"/>
            <w:hideMark/>
          </w:tcPr>
          <w:p w14:paraId="0DE867C4" w14:textId="77777777" w:rsidR="00D91973" w:rsidRPr="00A91056" w:rsidRDefault="00D91973" w:rsidP="00D91973">
            <w:pPr>
              <w:widowControl/>
              <w:spacing w:line="240" w:lineRule="auto"/>
              <w:ind w:firstLine="0"/>
              <w:jc w:val="center"/>
              <w:rPr>
                <w:rFonts w:eastAsia="Times New Roman" w:cs="Arial"/>
                <w:sz w:val="18"/>
                <w:szCs w:val="18"/>
              </w:rPr>
            </w:pPr>
          </w:p>
        </w:tc>
        <w:tc>
          <w:tcPr>
            <w:tcW w:w="720" w:type="dxa"/>
            <w:shd w:val="clear" w:color="auto" w:fill="auto"/>
            <w:noWrap/>
            <w:vAlign w:val="center"/>
            <w:hideMark/>
          </w:tcPr>
          <w:p w14:paraId="27E17A16" w14:textId="77777777" w:rsidR="00D91973" w:rsidRPr="00A91056" w:rsidRDefault="00D91973" w:rsidP="00D91973">
            <w:pPr>
              <w:widowControl/>
              <w:spacing w:line="240" w:lineRule="auto"/>
              <w:ind w:firstLine="0"/>
              <w:jc w:val="center"/>
              <w:rPr>
                <w:rFonts w:eastAsia="Times New Roman" w:cs="Arial"/>
                <w:sz w:val="18"/>
                <w:szCs w:val="18"/>
              </w:rPr>
            </w:pPr>
          </w:p>
        </w:tc>
        <w:tc>
          <w:tcPr>
            <w:tcW w:w="720" w:type="dxa"/>
            <w:shd w:val="clear" w:color="auto" w:fill="auto"/>
            <w:noWrap/>
            <w:vAlign w:val="center"/>
            <w:hideMark/>
          </w:tcPr>
          <w:p w14:paraId="1D47D5BE" w14:textId="5CF4F3B4"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F64830" w:rsidRPr="00A91056" w14:paraId="1F27A323" w14:textId="77777777" w:rsidTr="007D701C">
        <w:trPr>
          <w:trHeight w:val="288"/>
        </w:trPr>
        <w:tc>
          <w:tcPr>
            <w:tcW w:w="2395" w:type="dxa"/>
            <w:shd w:val="clear" w:color="auto" w:fill="auto"/>
            <w:noWrap/>
            <w:vAlign w:val="center"/>
            <w:hideMark/>
          </w:tcPr>
          <w:p w14:paraId="07948A0B" w14:textId="77777777"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β-</w:t>
            </w:r>
            <w:proofErr w:type="spellStart"/>
            <w:r w:rsidRPr="00A91056">
              <w:rPr>
                <w:rFonts w:eastAsia="Times New Roman" w:cs="Arial"/>
                <w:color w:val="000000"/>
                <w:sz w:val="18"/>
                <w:szCs w:val="18"/>
              </w:rPr>
              <w:t>Asarone</w:t>
            </w:r>
            <w:proofErr w:type="spellEnd"/>
          </w:p>
        </w:tc>
        <w:tc>
          <w:tcPr>
            <w:tcW w:w="1115" w:type="dxa"/>
            <w:shd w:val="clear" w:color="auto" w:fill="auto"/>
            <w:noWrap/>
            <w:vAlign w:val="center"/>
            <w:hideMark/>
          </w:tcPr>
          <w:p w14:paraId="68808B94"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5273-86-9</w:t>
            </w:r>
          </w:p>
        </w:tc>
        <w:tc>
          <w:tcPr>
            <w:tcW w:w="990" w:type="dxa"/>
            <w:shd w:val="clear" w:color="auto" w:fill="auto"/>
            <w:vAlign w:val="center"/>
            <w:hideMark/>
          </w:tcPr>
          <w:p w14:paraId="2677A6D3"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2.5 - 5  ª</w:t>
            </w:r>
          </w:p>
        </w:tc>
        <w:tc>
          <w:tcPr>
            <w:tcW w:w="450" w:type="dxa"/>
            <w:shd w:val="clear" w:color="auto" w:fill="auto"/>
            <w:noWrap/>
            <w:vAlign w:val="center"/>
            <w:hideMark/>
          </w:tcPr>
          <w:p w14:paraId="5747C25F" w14:textId="02CFB8A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76F8888E" w14:textId="6904CA9B"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540" w:type="dxa"/>
            <w:shd w:val="clear" w:color="auto" w:fill="auto"/>
            <w:noWrap/>
            <w:vAlign w:val="center"/>
            <w:hideMark/>
          </w:tcPr>
          <w:p w14:paraId="379BABD1" w14:textId="0A90B82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w:t>
            </w:r>
          </w:p>
        </w:tc>
        <w:tc>
          <w:tcPr>
            <w:tcW w:w="810" w:type="dxa"/>
            <w:shd w:val="clear" w:color="auto" w:fill="auto"/>
            <w:noWrap/>
            <w:vAlign w:val="center"/>
            <w:hideMark/>
          </w:tcPr>
          <w:p w14:paraId="6A1B510E" w14:textId="08D90126"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 in vitro</w:t>
            </w:r>
          </w:p>
        </w:tc>
        <w:tc>
          <w:tcPr>
            <w:tcW w:w="625" w:type="dxa"/>
            <w:shd w:val="clear" w:color="auto" w:fill="auto"/>
            <w:noWrap/>
            <w:vAlign w:val="center"/>
            <w:hideMark/>
          </w:tcPr>
          <w:p w14:paraId="35018803" w14:textId="13A68D09" w:rsidR="00D91973" w:rsidRPr="00A91056" w:rsidRDefault="00D91973" w:rsidP="00D91973">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720" w:type="dxa"/>
            <w:shd w:val="clear" w:color="auto" w:fill="auto"/>
            <w:noWrap/>
            <w:vAlign w:val="center"/>
            <w:hideMark/>
          </w:tcPr>
          <w:p w14:paraId="16CBB395"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30" w:type="dxa"/>
            <w:shd w:val="clear" w:color="auto" w:fill="auto"/>
            <w:noWrap/>
            <w:vAlign w:val="center"/>
            <w:hideMark/>
          </w:tcPr>
          <w:p w14:paraId="1FB52277" w14:textId="1FD794CC"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450" w:type="dxa"/>
            <w:shd w:val="clear" w:color="auto" w:fill="auto"/>
            <w:noWrap/>
            <w:vAlign w:val="center"/>
            <w:hideMark/>
          </w:tcPr>
          <w:p w14:paraId="02F7DFB7"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shd w:val="clear" w:color="auto" w:fill="auto"/>
            <w:noWrap/>
            <w:vAlign w:val="center"/>
            <w:hideMark/>
          </w:tcPr>
          <w:p w14:paraId="7A4E1098" w14:textId="7CDF774C"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13" w:type="dxa"/>
            <w:shd w:val="clear" w:color="auto" w:fill="auto"/>
            <w:noWrap/>
            <w:vAlign w:val="center"/>
            <w:hideMark/>
          </w:tcPr>
          <w:p w14:paraId="6164A007"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47" w:type="dxa"/>
            <w:gridSpan w:val="2"/>
            <w:shd w:val="clear" w:color="auto" w:fill="auto"/>
            <w:noWrap/>
            <w:vAlign w:val="center"/>
            <w:hideMark/>
          </w:tcPr>
          <w:p w14:paraId="21D24AC0"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540" w:type="dxa"/>
            <w:shd w:val="clear" w:color="auto" w:fill="auto"/>
            <w:noWrap/>
            <w:vAlign w:val="center"/>
            <w:hideMark/>
          </w:tcPr>
          <w:p w14:paraId="1B8A6412" w14:textId="77777777" w:rsidR="00D91973" w:rsidRPr="00A91056" w:rsidRDefault="00D91973" w:rsidP="00D91973">
            <w:pPr>
              <w:widowControl/>
              <w:spacing w:line="240" w:lineRule="auto"/>
              <w:ind w:firstLine="0"/>
              <w:jc w:val="center"/>
              <w:rPr>
                <w:rFonts w:eastAsia="Times New Roman" w:cs="Arial"/>
                <w:sz w:val="18"/>
                <w:szCs w:val="18"/>
              </w:rPr>
            </w:pPr>
          </w:p>
        </w:tc>
        <w:tc>
          <w:tcPr>
            <w:tcW w:w="540" w:type="dxa"/>
            <w:shd w:val="clear" w:color="auto" w:fill="auto"/>
            <w:noWrap/>
            <w:vAlign w:val="center"/>
            <w:hideMark/>
          </w:tcPr>
          <w:p w14:paraId="272DC27C" w14:textId="77777777" w:rsidR="00D91973" w:rsidRPr="00A91056" w:rsidRDefault="00D91973" w:rsidP="00D91973">
            <w:pPr>
              <w:widowControl/>
              <w:spacing w:line="240" w:lineRule="auto"/>
              <w:ind w:firstLine="0"/>
              <w:jc w:val="center"/>
              <w:rPr>
                <w:rFonts w:eastAsia="Times New Roman" w:cs="Arial"/>
                <w:sz w:val="18"/>
                <w:szCs w:val="18"/>
              </w:rPr>
            </w:pPr>
          </w:p>
        </w:tc>
        <w:tc>
          <w:tcPr>
            <w:tcW w:w="450" w:type="dxa"/>
            <w:shd w:val="clear" w:color="auto" w:fill="auto"/>
            <w:noWrap/>
            <w:vAlign w:val="center"/>
            <w:hideMark/>
          </w:tcPr>
          <w:p w14:paraId="218ACE83" w14:textId="77777777" w:rsidR="00D91973" w:rsidRPr="00A91056" w:rsidRDefault="00D91973" w:rsidP="00D91973">
            <w:pPr>
              <w:widowControl/>
              <w:spacing w:line="240" w:lineRule="auto"/>
              <w:ind w:firstLine="0"/>
              <w:jc w:val="center"/>
              <w:rPr>
                <w:rFonts w:eastAsia="Times New Roman" w:cs="Arial"/>
                <w:sz w:val="18"/>
                <w:szCs w:val="18"/>
              </w:rPr>
            </w:pPr>
          </w:p>
        </w:tc>
        <w:tc>
          <w:tcPr>
            <w:tcW w:w="720" w:type="dxa"/>
            <w:shd w:val="clear" w:color="auto" w:fill="auto"/>
            <w:noWrap/>
            <w:vAlign w:val="center"/>
            <w:hideMark/>
          </w:tcPr>
          <w:p w14:paraId="65214BA8" w14:textId="77777777" w:rsidR="00D91973" w:rsidRPr="00A91056" w:rsidRDefault="00D91973" w:rsidP="00D91973">
            <w:pPr>
              <w:widowControl/>
              <w:spacing w:line="240" w:lineRule="auto"/>
              <w:ind w:firstLine="0"/>
              <w:jc w:val="center"/>
              <w:rPr>
                <w:rFonts w:eastAsia="Times New Roman" w:cs="Arial"/>
                <w:sz w:val="18"/>
                <w:szCs w:val="18"/>
              </w:rPr>
            </w:pPr>
          </w:p>
        </w:tc>
        <w:tc>
          <w:tcPr>
            <w:tcW w:w="720" w:type="dxa"/>
            <w:shd w:val="clear" w:color="auto" w:fill="auto"/>
            <w:noWrap/>
            <w:vAlign w:val="center"/>
            <w:hideMark/>
          </w:tcPr>
          <w:p w14:paraId="11FFD8AA" w14:textId="5E2F4428"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F64830" w:rsidRPr="00A91056" w14:paraId="626824BB" w14:textId="77777777" w:rsidTr="007D701C">
        <w:trPr>
          <w:trHeight w:val="288"/>
        </w:trPr>
        <w:tc>
          <w:tcPr>
            <w:tcW w:w="2395" w:type="dxa"/>
            <w:shd w:val="clear" w:color="auto" w:fill="auto"/>
            <w:noWrap/>
            <w:vAlign w:val="center"/>
            <w:hideMark/>
          </w:tcPr>
          <w:p w14:paraId="4EAA4417" w14:textId="77777777"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2,3-Dihydro-1,1-dimethyl-1H-indene-arpropanal</w:t>
            </w:r>
          </w:p>
        </w:tc>
        <w:tc>
          <w:tcPr>
            <w:tcW w:w="1115" w:type="dxa"/>
            <w:shd w:val="clear" w:color="auto" w:fill="auto"/>
            <w:noWrap/>
            <w:vAlign w:val="center"/>
            <w:hideMark/>
          </w:tcPr>
          <w:p w14:paraId="7503000B"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300371-33-9</w:t>
            </w:r>
          </w:p>
        </w:tc>
        <w:tc>
          <w:tcPr>
            <w:tcW w:w="990" w:type="dxa"/>
            <w:shd w:val="clear" w:color="auto" w:fill="auto"/>
            <w:vAlign w:val="center"/>
            <w:hideMark/>
          </w:tcPr>
          <w:p w14:paraId="0F259019"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20 - 40  ª</w:t>
            </w:r>
          </w:p>
        </w:tc>
        <w:tc>
          <w:tcPr>
            <w:tcW w:w="450" w:type="dxa"/>
            <w:shd w:val="clear" w:color="auto" w:fill="auto"/>
            <w:noWrap/>
            <w:vAlign w:val="center"/>
            <w:hideMark/>
          </w:tcPr>
          <w:p w14:paraId="2F15CA5A" w14:textId="53F1AC0D"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7200AC2B" w14:textId="4A4A30B3"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540" w:type="dxa"/>
            <w:shd w:val="clear" w:color="auto" w:fill="auto"/>
            <w:noWrap/>
            <w:vAlign w:val="center"/>
            <w:hideMark/>
          </w:tcPr>
          <w:p w14:paraId="1ED9E6C8" w14:textId="1B5BB55E"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w:t>
            </w:r>
          </w:p>
        </w:tc>
        <w:tc>
          <w:tcPr>
            <w:tcW w:w="810" w:type="dxa"/>
            <w:shd w:val="clear" w:color="auto" w:fill="auto"/>
            <w:noWrap/>
            <w:vAlign w:val="center"/>
            <w:hideMark/>
          </w:tcPr>
          <w:p w14:paraId="2877558F"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25" w:type="dxa"/>
            <w:shd w:val="clear" w:color="auto" w:fill="auto"/>
            <w:noWrap/>
            <w:vAlign w:val="center"/>
            <w:hideMark/>
          </w:tcPr>
          <w:p w14:paraId="051A0CB2" w14:textId="47397206"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5365AF8D"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30" w:type="dxa"/>
            <w:shd w:val="clear" w:color="auto" w:fill="auto"/>
            <w:noWrap/>
            <w:vAlign w:val="center"/>
            <w:hideMark/>
          </w:tcPr>
          <w:p w14:paraId="7F0C9879" w14:textId="5F6BB57C" w:rsidR="00D91973" w:rsidRPr="00A91056" w:rsidRDefault="00D91973" w:rsidP="00D91973">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450" w:type="dxa"/>
            <w:shd w:val="clear" w:color="auto" w:fill="auto"/>
            <w:noWrap/>
            <w:vAlign w:val="center"/>
            <w:hideMark/>
          </w:tcPr>
          <w:p w14:paraId="21425B83"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shd w:val="clear" w:color="auto" w:fill="auto"/>
            <w:noWrap/>
            <w:vAlign w:val="center"/>
            <w:hideMark/>
          </w:tcPr>
          <w:p w14:paraId="09BD6651" w14:textId="77777777" w:rsidR="00D91973" w:rsidRPr="00A91056" w:rsidRDefault="00D91973" w:rsidP="00D91973">
            <w:pPr>
              <w:widowControl/>
              <w:spacing w:line="240" w:lineRule="auto"/>
              <w:ind w:firstLine="0"/>
              <w:jc w:val="center"/>
              <w:rPr>
                <w:rFonts w:eastAsia="Times New Roman" w:cs="Arial"/>
                <w:sz w:val="18"/>
                <w:szCs w:val="18"/>
              </w:rPr>
            </w:pPr>
          </w:p>
        </w:tc>
        <w:tc>
          <w:tcPr>
            <w:tcW w:w="613" w:type="dxa"/>
            <w:shd w:val="clear" w:color="auto" w:fill="auto"/>
            <w:noWrap/>
            <w:vAlign w:val="center"/>
            <w:hideMark/>
          </w:tcPr>
          <w:p w14:paraId="385813F1" w14:textId="77777777" w:rsidR="00D91973" w:rsidRPr="00A91056" w:rsidRDefault="00D91973" w:rsidP="00D91973">
            <w:pPr>
              <w:widowControl/>
              <w:spacing w:line="240" w:lineRule="auto"/>
              <w:ind w:firstLine="0"/>
              <w:jc w:val="center"/>
              <w:rPr>
                <w:rFonts w:eastAsia="Times New Roman" w:cs="Arial"/>
                <w:sz w:val="18"/>
                <w:szCs w:val="18"/>
              </w:rPr>
            </w:pPr>
          </w:p>
        </w:tc>
        <w:tc>
          <w:tcPr>
            <w:tcW w:w="647" w:type="dxa"/>
            <w:gridSpan w:val="2"/>
            <w:shd w:val="clear" w:color="auto" w:fill="auto"/>
            <w:noWrap/>
            <w:vAlign w:val="center"/>
            <w:hideMark/>
          </w:tcPr>
          <w:p w14:paraId="30AF14A6"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540" w:type="dxa"/>
            <w:shd w:val="clear" w:color="auto" w:fill="auto"/>
            <w:noWrap/>
            <w:vAlign w:val="center"/>
            <w:hideMark/>
          </w:tcPr>
          <w:p w14:paraId="47B7EBF0" w14:textId="77777777" w:rsidR="00D91973" w:rsidRPr="00A91056" w:rsidRDefault="00D91973" w:rsidP="00D91973">
            <w:pPr>
              <w:widowControl/>
              <w:spacing w:line="240" w:lineRule="auto"/>
              <w:ind w:firstLine="0"/>
              <w:jc w:val="center"/>
              <w:rPr>
                <w:rFonts w:eastAsia="Times New Roman" w:cs="Arial"/>
                <w:sz w:val="18"/>
                <w:szCs w:val="18"/>
              </w:rPr>
            </w:pPr>
          </w:p>
        </w:tc>
        <w:tc>
          <w:tcPr>
            <w:tcW w:w="540" w:type="dxa"/>
            <w:shd w:val="clear" w:color="auto" w:fill="auto"/>
            <w:noWrap/>
            <w:vAlign w:val="center"/>
            <w:hideMark/>
          </w:tcPr>
          <w:p w14:paraId="75E32289" w14:textId="77777777" w:rsidR="00D91973" w:rsidRPr="00A91056" w:rsidRDefault="00D91973" w:rsidP="00D91973">
            <w:pPr>
              <w:widowControl/>
              <w:spacing w:line="240" w:lineRule="auto"/>
              <w:ind w:firstLine="0"/>
              <w:jc w:val="center"/>
              <w:rPr>
                <w:rFonts w:eastAsia="Times New Roman" w:cs="Arial"/>
                <w:sz w:val="18"/>
                <w:szCs w:val="18"/>
              </w:rPr>
            </w:pPr>
          </w:p>
        </w:tc>
        <w:tc>
          <w:tcPr>
            <w:tcW w:w="450" w:type="dxa"/>
            <w:shd w:val="clear" w:color="auto" w:fill="auto"/>
            <w:noWrap/>
            <w:vAlign w:val="center"/>
            <w:hideMark/>
          </w:tcPr>
          <w:p w14:paraId="25B0E57F" w14:textId="77777777" w:rsidR="00D91973" w:rsidRPr="00A91056" w:rsidRDefault="00D91973" w:rsidP="00D91973">
            <w:pPr>
              <w:widowControl/>
              <w:spacing w:line="240" w:lineRule="auto"/>
              <w:ind w:firstLine="0"/>
              <w:jc w:val="center"/>
              <w:rPr>
                <w:rFonts w:eastAsia="Times New Roman" w:cs="Arial"/>
                <w:sz w:val="18"/>
                <w:szCs w:val="18"/>
              </w:rPr>
            </w:pPr>
          </w:p>
        </w:tc>
        <w:tc>
          <w:tcPr>
            <w:tcW w:w="720" w:type="dxa"/>
            <w:shd w:val="clear" w:color="auto" w:fill="auto"/>
            <w:noWrap/>
            <w:vAlign w:val="center"/>
            <w:hideMark/>
          </w:tcPr>
          <w:p w14:paraId="0E60F934" w14:textId="77777777" w:rsidR="00D91973" w:rsidRPr="00A91056" w:rsidRDefault="00D91973" w:rsidP="00D91973">
            <w:pPr>
              <w:widowControl/>
              <w:spacing w:line="240" w:lineRule="auto"/>
              <w:ind w:firstLine="0"/>
              <w:jc w:val="center"/>
              <w:rPr>
                <w:rFonts w:eastAsia="Times New Roman" w:cs="Arial"/>
                <w:sz w:val="18"/>
                <w:szCs w:val="18"/>
              </w:rPr>
            </w:pPr>
          </w:p>
        </w:tc>
        <w:tc>
          <w:tcPr>
            <w:tcW w:w="720" w:type="dxa"/>
            <w:shd w:val="clear" w:color="auto" w:fill="auto"/>
            <w:noWrap/>
            <w:vAlign w:val="center"/>
            <w:hideMark/>
          </w:tcPr>
          <w:p w14:paraId="26F6BAC7" w14:textId="77777777" w:rsidR="00D91973" w:rsidRPr="00A91056" w:rsidRDefault="00D91973" w:rsidP="00D91973">
            <w:pPr>
              <w:widowControl/>
              <w:spacing w:line="240" w:lineRule="auto"/>
              <w:ind w:firstLine="0"/>
              <w:jc w:val="center"/>
              <w:rPr>
                <w:rFonts w:eastAsia="Times New Roman" w:cs="Arial"/>
                <w:sz w:val="18"/>
                <w:szCs w:val="18"/>
              </w:rPr>
            </w:pPr>
          </w:p>
        </w:tc>
      </w:tr>
      <w:tr w:rsidR="00F64830" w:rsidRPr="00A91056" w14:paraId="2A2B471B" w14:textId="77777777" w:rsidTr="007D701C">
        <w:trPr>
          <w:trHeight w:val="288"/>
        </w:trPr>
        <w:tc>
          <w:tcPr>
            <w:tcW w:w="2395" w:type="dxa"/>
            <w:shd w:val="clear" w:color="auto" w:fill="auto"/>
            <w:noWrap/>
            <w:vAlign w:val="center"/>
            <w:hideMark/>
          </w:tcPr>
          <w:p w14:paraId="5055FBDD" w14:textId="77777777"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2-Acetylaminofluorene</w:t>
            </w:r>
          </w:p>
        </w:tc>
        <w:tc>
          <w:tcPr>
            <w:tcW w:w="1115" w:type="dxa"/>
            <w:shd w:val="clear" w:color="auto" w:fill="auto"/>
            <w:vAlign w:val="center"/>
            <w:hideMark/>
          </w:tcPr>
          <w:p w14:paraId="0DAC36A3" w14:textId="77777777" w:rsidR="00D91973" w:rsidRPr="00A91056" w:rsidRDefault="00D91973" w:rsidP="00D91973">
            <w:pPr>
              <w:widowControl/>
              <w:spacing w:line="240" w:lineRule="auto"/>
              <w:ind w:firstLine="0"/>
              <w:jc w:val="center"/>
              <w:rPr>
                <w:rFonts w:eastAsia="Times New Roman" w:cs="Arial"/>
                <w:color w:val="111827"/>
                <w:sz w:val="18"/>
                <w:szCs w:val="18"/>
              </w:rPr>
            </w:pPr>
            <w:r w:rsidRPr="00A91056">
              <w:rPr>
                <w:rFonts w:eastAsia="Times New Roman" w:cs="Arial"/>
                <w:color w:val="111827"/>
                <w:sz w:val="18"/>
                <w:szCs w:val="18"/>
              </w:rPr>
              <w:t>53-96-3</w:t>
            </w:r>
          </w:p>
        </w:tc>
        <w:tc>
          <w:tcPr>
            <w:tcW w:w="990" w:type="dxa"/>
            <w:shd w:val="clear" w:color="auto" w:fill="auto"/>
            <w:vAlign w:val="center"/>
            <w:hideMark/>
          </w:tcPr>
          <w:p w14:paraId="22B8CD87"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0.0005 - 0.05</w:t>
            </w:r>
          </w:p>
        </w:tc>
        <w:tc>
          <w:tcPr>
            <w:tcW w:w="450" w:type="dxa"/>
            <w:shd w:val="clear" w:color="auto" w:fill="auto"/>
            <w:noWrap/>
            <w:vAlign w:val="center"/>
            <w:hideMark/>
          </w:tcPr>
          <w:p w14:paraId="26B1845E" w14:textId="1B81BBBF"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032FD934"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540" w:type="dxa"/>
            <w:shd w:val="clear" w:color="auto" w:fill="auto"/>
            <w:noWrap/>
            <w:vAlign w:val="center"/>
            <w:hideMark/>
          </w:tcPr>
          <w:p w14:paraId="5DAC4534" w14:textId="2B99884B"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[3]</w:t>
            </w:r>
          </w:p>
        </w:tc>
        <w:tc>
          <w:tcPr>
            <w:tcW w:w="810" w:type="dxa"/>
            <w:shd w:val="clear" w:color="auto" w:fill="auto"/>
            <w:noWrap/>
            <w:vAlign w:val="center"/>
            <w:hideMark/>
          </w:tcPr>
          <w:p w14:paraId="34E7C744" w14:textId="00DA265E"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25" w:type="dxa"/>
            <w:shd w:val="clear" w:color="auto" w:fill="auto"/>
            <w:noWrap/>
            <w:vAlign w:val="center"/>
            <w:hideMark/>
          </w:tcPr>
          <w:p w14:paraId="3AD45159" w14:textId="7E3A2741"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7E418E68" w14:textId="77605B1E"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30" w:type="dxa"/>
            <w:shd w:val="clear" w:color="auto" w:fill="auto"/>
            <w:noWrap/>
            <w:vAlign w:val="center"/>
            <w:hideMark/>
          </w:tcPr>
          <w:p w14:paraId="34012C22" w14:textId="48C693AD"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450" w:type="dxa"/>
            <w:shd w:val="clear" w:color="auto" w:fill="auto"/>
            <w:noWrap/>
            <w:vAlign w:val="center"/>
            <w:hideMark/>
          </w:tcPr>
          <w:p w14:paraId="2C06F409" w14:textId="268A19AB"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21CCD563" w14:textId="0B88AA9B"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13" w:type="dxa"/>
            <w:shd w:val="clear" w:color="auto" w:fill="auto"/>
            <w:noWrap/>
            <w:vAlign w:val="center"/>
            <w:hideMark/>
          </w:tcPr>
          <w:p w14:paraId="3C099A60" w14:textId="13F3BDB0"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47" w:type="dxa"/>
            <w:gridSpan w:val="2"/>
            <w:shd w:val="clear" w:color="auto" w:fill="auto"/>
            <w:noWrap/>
            <w:vAlign w:val="center"/>
            <w:hideMark/>
          </w:tcPr>
          <w:p w14:paraId="1C28D713" w14:textId="685EB9C5"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540" w:type="dxa"/>
            <w:shd w:val="clear" w:color="auto" w:fill="auto"/>
            <w:noWrap/>
            <w:vAlign w:val="center"/>
            <w:hideMark/>
          </w:tcPr>
          <w:p w14:paraId="65CFA714" w14:textId="2C0AC5E5"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540" w:type="dxa"/>
            <w:shd w:val="clear" w:color="auto" w:fill="auto"/>
            <w:noWrap/>
            <w:vAlign w:val="center"/>
            <w:hideMark/>
          </w:tcPr>
          <w:p w14:paraId="6A49866D" w14:textId="7AD7DA59"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450" w:type="dxa"/>
            <w:shd w:val="clear" w:color="auto" w:fill="auto"/>
            <w:noWrap/>
            <w:vAlign w:val="center"/>
            <w:hideMark/>
          </w:tcPr>
          <w:p w14:paraId="21B6ED79" w14:textId="5013F669"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01C107B0" w14:textId="5CB45169"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60DA1A2E" w14:textId="0D8E92A4"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B131EB" w:rsidRPr="00A91056" w14:paraId="0052179F" w14:textId="77777777" w:rsidTr="007D701C">
        <w:trPr>
          <w:trHeight w:val="288"/>
        </w:trPr>
        <w:tc>
          <w:tcPr>
            <w:tcW w:w="2395" w:type="dxa"/>
            <w:vMerge w:val="restart"/>
            <w:shd w:val="clear" w:color="auto" w:fill="auto"/>
            <w:noWrap/>
            <w:vAlign w:val="center"/>
            <w:hideMark/>
          </w:tcPr>
          <w:p w14:paraId="59539BF7" w14:textId="3ABA76B5"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4-Hydroxy-2.5-dimethyl-3(2H) furanone</w:t>
            </w:r>
          </w:p>
        </w:tc>
        <w:tc>
          <w:tcPr>
            <w:tcW w:w="1115" w:type="dxa"/>
            <w:vMerge w:val="restart"/>
            <w:shd w:val="clear" w:color="auto" w:fill="auto"/>
            <w:noWrap/>
            <w:vAlign w:val="center"/>
            <w:hideMark/>
          </w:tcPr>
          <w:p w14:paraId="779345AB"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3658-77-3</w:t>
            </w:r>
          </w:p>
        </w:tc>
        <w:tc>
          <w:tcPr>
            <w:tcW w:w="990" w:type="dxa"/>
            <w:shd w:val="clear" w:color="auto" w:fill="auto"/>
            <w:vAlign w:val="center"/>
            <w:hideMark/>
          </w:tcPr>
          <w:p w14:paraId="67E4A362"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 xml:space="preserve">7.5 - 120 </w:t>
            </w:r>
            <w:r w:rsidRPr="00A91056">
              <w:rPr>
                <w:rFonts w:eastAsia="Times New Roman" w:cs="Arial"/>
                <w:color w:val="000000"/>
                <w:sz w:val="18"/>
                <w:szCs w:val="18"/>
                <w:vertAlign w:val="superscript"/>
              </w:rPr>
              <w:t>a</w:t>
            </w:r>
          </w:p>
        </w:tc>
        <w:tc>
          <w:tcPr>
            <w:tcW w:w="450" w:type="dxa"/>
            <w:shd w:val="clear" w:color="auto" w:fill="auto"/>
            <w:noWrap/>
            <w:vAlign w:val="center"/>
            <w:hideMark/>
          </w:tcPr>
          <w:p w14:paraId="495CE6F4" w14:textId="564B6755"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0C14FE41" w14:textId="06F38AA1"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540" w:type="dxa"/>
            <w:vMerge w:val="restart"/>
            <w:shd w:val="clear" w:color="auto" w:fill="auto"/>
            <w:noWrap/>
            <w:vAlign w:val="center"/>
            <w:hideMark/>
          </w:tcPr>
          <w:p w14:paraId="1C6AAE66" w14:textId="123CCB88"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w:t>
            </w:r>
          </w:p>
        </w:tc>
        <w:tc>
          <w:tcPr>
            <w:tcW w:w="810" w:type="dxa"/>
            <w:vMerge w:val="restart"/>
            <w:shd w:val="clear" w:color="auto" w:fill="auto"/>
            <w:noWrap/>
            <w:vAlign w:val="center"/>
            <w:hideMark/>
          </w:tcPr>
          <w:p w14:paraId="43B14E07"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25" w:type="dxa"/>
            <w:vMerge w:val="restart"/>
            <w:shd w:val="clear" w:color="auto" w:fill="auto"/>
            <w:noWrap/>
            <w:vAlign w:val="center"/>
            <w:hideMark/>
          </w:tcPr>
          <w:p w14:paraId="040B4D9F" w14:textId="26D87816"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vMerge w:val="restart"/>
            <w:shd w:val="clear" w:color="auto" w:fill="auto"/>
            <w:noWrap/>
            <w:vAlign w:val="center"/>
            <w:hideMark/>
          </w:tcPr>
          <w:p w14:paraId="40AD6F87" w14:textId="2A8CEECA"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630" w:type="dxa"/>
            <w:vMerge w:val="restart"/>
            <w:shd w:val="clear" w:color="auto" w:fill="auto"/>
            <w:noWrap/>
            <w:vAlign w:val="center"/>
            <w:hideMark/>
          </w:tcPr>
          <w:p w14:paraId="589C72AC" w14:textId="65B6A8E3"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450" w:type="dxa"/>
            <w:vMerge w:val="restart"/>
            <w:shd w:val="clear" w:color="auto" w:fill="auto"/>
            <w:noWrap/>
            <w:vAlign w:val="center"/>
            <w:hideMark/>
          </w:tcPr>
          <w:p w14:paraId="04E80828"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vMerge w:val="restart"/>
            <w:shd w:val="clear" w:color="auto" w:fill="auto"/>
            <w:noWrap/>
            <w:vAlign w:val="center"/>
            <w:hideMark/>
          </w:tcPr>
          <w:p w14:paraId="548D8793" w14:textId="77777777" w:rsidR="00D91973" w:rsidRPr="00A91056" w:rsidRDefault="00D91973" w:rsidP="00D91973">
            <w:pPr>
              <w:widowControl/>
              <w:spacing w:line="240" w:lineRule="auto"/>
              <w:ind w:firstLine="0"/>
              <w:jc w:val="center"/>
              <w:rPr>
                <w:rFonts w:eastAsia="Times New Roman" w:cs="Arial"/>
                <w:sz w:val="18"/>
                <w:szCs w:val="18"/>
              </w:rPr>
            </w:pPr>
          </w:p>
        </w:tc>
        <w:tc>
          <w:tcPr>
            <w:tcW w:w="613" w:type="dxa"/>
            <w:vMerge w:val="restart"/>
            <w:shd w:val="clear" w:color="auto" w:fill="auto"/>
            <w:noWrap/>
            <w:vAlign w:val="center"/>
            <w:hideMark/>
          </w:tcPr>
          <w:p w14:paraId="3D8A3157" w14:textId="77777777" w:rsidR="00D91973" w:rsidRPr="00A91056" w:rsidRDefault="00D91973" w:rsidP="00D91973">
            <w:pPr>
              <w:widowControl/>
              <w:spacing w:line="240" w:lineRule="auto"/>
              <w:ind w:firstLine="0"/>
              <w:jc w:val="center"/>
              <w:rPr>
                <w:rFonts w:eastAsia="Times New Roman" w:cs="Arial"/>
                <w:sz w:val="18"/>
                <w:szCs w:val="18"/>
              </w:rPr>
            </w:pPr>
          </w:p>
        </w:tc>
        <w:tc>
          <w:tcPr>
            <w:tcW w:w="647" w:type="dxa"/>
            <w:gridSpan w:val="2"/>
            <w:vMerge w:val="restart"/>
            <w:shd w:val="clear" w:color="auto" w:fill="auto"/>
            <w:noWrap/>
            <w:vAlign w:val="center"/>
            <w:hideMark/>
          </w:tcPr>
          <w:p w14:paraId="3396E38F" w14:textId="01AFAB8B"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540" w:type="dxa"/>
            <w:vMerge w:val="restart"/>
            <w:shd w:val="clear" w:color="auto" w:fill="auto"/>
            <w:noWrap/>
            <w:vAlign w:val="center"/>
            <w:hideMark/>
          </w:tcPr>
          <w:p w14:paraId="3EA4B5F2"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540" w:type="dxa"/>
            <w:vMerge w:val="restart"/>
            <w:shd w:val="clear" w:color="auto" w:fill="auto"/>
            <w:noWrap/>
            <w:vAlign w:val="center"/>
            <w:hideMark/>
          </w:tcPr>
          <w:p w14:paraId="4FE4EC51" w14:textId="07D6044F"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450" w:type="dxa"/>
            <w:vMerge w:val="restart"/>
            <w:shd w:val="clear" w:color="auto" w:fill="auto"/>
            <w:noWrap/>
            <w:vAlign w:val="center"/>
            <w:hideMark/>
          </w:tcPr>
          <w:p w14:paraId="1C4AAC61"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vMerge w:val="restart"/>
            <w:shd w:val="clear" w:color="auto" w:fill="auto"/>
            <w:noWrap/>
            <w:vAlign w:val="center"/>
            <w:hideMark/>
          </w:tcPr>
          <w:p w14:paraId="77C3CD9E" w14:textId="77777777" w:rsidR="00D91973" w:rsidRPr="00A91056" w:rsidRDefault="00D91973" w:rsidP="00D91973">
            <w:pPr>
              <w:widowControl/>
              <w:spacing w:line="240" w:lineRule="auto"/>
              <w:ind w:firstLine="0"/>
              <w:jc w:val="center"/>
              <w:rPr>
                <w:rFonts w:eastAsia="Times New Roman" w:cs="Arial"/>
                <w:sz w:val="18"/>
                <w:szCs w:val="18"/>
              </w:rPr>
            </w:pPr>
          </w:p>
        </w:tc>
        <w:tc>
          <w:tcPr>
            <w:tcW w:w="720" w:type="dxa"/>
            <w:vMerge w:val="restart"/>
            <w:shd w:val="clear" w:color="auto" w:fill="auto"/>
            <w:noWrap/>
            <w:vAlign w:val="center"/>
            <w:hideMark/>
          </w:tcPr>
          <w:p w14:paraId="70261720" w14:textId="3D739F21"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r>
      <w:tr w:rsidR="00B131EB" w:rsidRPr="00A91056" w14:paraId="5939967C" w14:textId="77777777" w:rsidTr="007D701C">
        <w:trPr>
          <w:trHeight w:val="288"/>
        </w:trPr>
        <w:tc>
          <w:tcPr>
            <w:tcW w:w="2395" w:type="dxa"/>
            <w:vMerge/>
            <w:shd w:val="clear" w:color="auto" w:fill="auto"/>
            <w:noWrap/>
            <w:vAlign w:val="center"/>
            <w:hideMark/>
          </w:tcPr>
          <w:p w14:paraId="6860DEF0" w14:textId="53E782E3" w:rsidR="00D91973" w:rsidRPr="00A91056" w:rsidRDefault="00D91973" w:rsidP="00D91973">
            <w:pPr>
              <w:widowControl/>
              <w:spacing w:line="240" w:lineRule="auto"/>
              <w:ind w:firstLine="0"/>
              <w:rPr>
                <w:rFonts w:eastAsia="Times New Roman" w:cs="Arial"/>
                <w:color w:val="000000"/>
                <w:sz w:val="18"/>
                <w:szCs w:val="18"/>
              </w:rPr>
            </w:pPr>
          </w:p>
        </w:tc>
        <w:tc>
          <w:tcPr>
            <w:tcW w:w="1115" w:type="dxa"/>
            <w:vMerge/>
            <w:shd w:val="clear" w:color="auto" w:fill="auto"/>
            <w:noWrap/>
            <w:vAlign w:val="center"/>
            <w:hideMark/>
          </w:tcPr>
          <w:p w14:paraId="67559586" w14:textId="1E68D32D" w:rsidR="00D91973" w:rsidRPr="00A91056" w:rsidRDefault="00D91973" w:rsidP="00D91973">
            <w:pPr>
              <w:widowControl/>
              <w:spacing w:line="240" w:lineRule="auto"/>
              <w:ind w:firstLine="0"/>
              <w:jc w:val="center"/>
              <w:rPr>
                <w:rFonts w:eastAsia="Times New Roman" w:cs="Arial"/>
                <w:color w:val="000000"/>
                <w:sz w:val="18"/>
                <w:szCs w:val="18"/>
              </w:rPr>
            </w:pPr>
          </w:p>
        </w:tc>
        <w:tc>
          <w:tcPr>
            <w:tcW w:w="990" w:type="dxa"/>
            <w:shd w:val="clear" w:color="auto" w:fill="auto"/>
            <w:vAlign w:val="center"/>
            <w:hideMark/>
          </w:tcPr>
          <w:p w14:paraId="595612F7"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 xml:space="preserve">100 - 120 </w:t>
            </w:r>
            <w:r w:rsidRPr="00A91056">
              <w:rPr>
                <w:rFonts w:eastAsia="Times New Roman" w:cs="Arial"/>
                <w:color w:val="000000"/>
                <w:sz w:val="18"/>
                <w:szCs w:val="18"/>
                <w:vertAlign w:val="superscript"/>
              </w:rPr>
              <w:t>a</w:t>
            </w:r>
          </w:p>
        </w:tc>
        <w:tc>
          <w:tcPr>
            <w:tcW w:w="450" w:type="dxa"/>
            <w:shd w:val="clear" w:color="auto" w:fill="auto"/>
            <w:noWrap/>
            <w:vAlign w:val="center"/>
            <w:hideMark/>
          </w:tcPr>
          <w:p w14:paraId="56226D0A"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shd w:val="clear" w:color="auto" w:fill="auto"/>
            <w:vAlign w:val="center"/>
            <w:hideMark/>
          </w:tcPr>
          <w:p w14:paraId="01BDF446" w14:textId="1768462A" w:rsidR="00D91973" w:rsidRPr="00A91056" w:rsidRDefault="00D91973" w:rsidP="00D91973">
            <w:pPr>
              <w:widowControl/>
              <w:spacing w:line="240" w:lineRule="auto"/>
              <w:ind w:firstLine="0"/>
              <w:jc w:val="center"/>
              <w:rPr>
                <w:rFonts w:eastAsia="Times New Roman" w:cs="Arial"/>
                <w:sz w:val="18"/>
                <w:szCs w:val="18"/>
              </w:rPr>
            </w:pPr>
            <w:r w:rsidRPr="00A91056">
              <w:rPr>
                <w:rFonts w:eastAsia="Times New Roman" w:cs="Arial"/>
                <w:sz w:val="18"/>
                <w:szCs w:val="18"/>
              </w:rPr>
              <w:t xml:space="preserve">Pos </w:t>
            </w:r>
            <w:r w:rsidRPr="00A91056">
              <w:rPr>
                <w:rFonts w:eastAsia="Times New Roman" w:cs="Arial"/>
                <w:sz w:val="18"/>
                <w:szCs w:val="18"/>
              </w:rPr>
              <w:br/>
              <w:t>+ FPG</w:t>
            </w:r>
          </w:p>
        </w:tc>
        <w:tc>
          <w:tcPr>
            <w:tcW w:w="540" w:type="dxa"/>
            <w:vMerge/>
            <w:shd w:val="clear" w:color="auto" w:fill="auto"/>
            <w:noWrap/>
            <w:vAlign w:val="center"/>
            <w:hideMark/>
          </w:tcPr>
          <w:p w14:paraId="6F50DA86" w14:textId="024C1D3A" w:rsidR="00D91973" w:rsidRPr="00A91056" w:rsidRDefault="00D91973" w:rsidP="00D91973">
            <w:pPr>
              <w:widowControl/>
              <w:spacing w:line="240" w:lineRule="auto"/>
              <w:ind w:firstLine="0"/>
              <w:jc w:val="center"/>
              <w:rPr>
                <w:rFonts w:eastAsia="Times New Roman" w:cs="Arial"/>
                <w:color w:val="000000"/>
                <w:sz w:val="18"/>
                <w:szCs w:val="18"/>
              </w:rPr>
            </w:pPr>
          </w:p>
        </w:tc>
        <w:tc>
          <w:tcPr>
            <w:tcW w:w="810" w:type="dxa"/>
            <w:vMerge/>
            <w:shd w:val="clear" w:color="auto" w:fill="auto"/>
            <w:noWrap/>
            <w:vAlign w:val="center"/>
            <w:hideMark/>
          </w:tcPr>
          <w:p w14:paraId="0BDC3042"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25" w:type="dxa"/>
            <w:vMerge/>
            <w:shd w:val="clear" w:color="auto" w:fill="auto"/>
            <w:noWrap/>
            <w:vAlign w:val="center"/>
            <w:hideMark/>
          </w:tcPr>
          <w:p w14:paraId="19341BD6" w14:textId="77777777" w:rsidR="00D91973" w:rsidRPr="00A91056" w:rsidRDefault="00D91973" w:rsidP="00D91973">
            <w:pPr>
              <w:widowControl/>
              <w:spacing w:line="240" w:lineRule="auto"/>
              <w:ind w:firstLine="0"/>
              <w:jc w:val="center"/>
              <w:rPr>
                <w:rFonts w:eastAsia="Times New Roman" w:cs="Arial"/>
                <w:sz w:val="18"/>
                <w:szCs w:val="18"/>
              </w:rPr>
            </w:pPr>
          </w:p>
        </w:tc>
        <w:tc>
          <w:tcPr>
            <w:tcW w:w="720" w:type="dxa"/>
            <w:vMerge/>
            <w:shd w:val="clear" w:color="auto" w:fill="auto"/>
            <w:noWrap/>
            <w:vAlign w:val="center"/>
            <w:hideMark/>
          </w:tcPr>
          <w:p w14:paraId="7F1C9BA2" w14:textId="77777777" w:rsidR="00D91973" w:rsidRPr="00A91056" w:rsidRDefault="00D91973" w:rsidP="00D91973">
            <w:pPr>
              <w:widowControl/>
              <w:spacing w:line="240" w:lineRule="auto"/>
              <w:ind w:firstLine="0"/>
              <w:jc w:val="center"/>
              <w:rPr>
                <w:rFonts w:eastAsia="Times New Roman" w:cs="Arial"/>
                <w:sz w:val="18"/>
                <w:szCs w:val="18"/>
              </w:rPr>
            </w:pPr>
          </w:p>
        </w:tc>
        <w:tc>
          <w:tcPr>
            <w:tcW w:w="630" w:type="dxa"/>
            <w:vMerge/>
            <w:shd w:val="clear" w:color="auto" w:fill="auto"/>
            <w:noWrap/>
            <w:vAlign w:val="center"/>
            <w:hideMark/>
          </w:tcPr>
          <w:p w14:paraId="078B8D37" w14:textId="77777777" w:rsidR="00D91973" w:rsidRPr="00A91056" w:rsidRDefault="00D91973" w:rsidP="00D91973">
            <w:pPr>
              <w:widowControl/>
              <w:spacing w:line="240" w:lineRule="auto"/>
              <w:ind w:firstLine="0"/>
              <w:jc w:val="center"/>
              <w:rPr>
                <w:rFonts w:eastAsia="Times New Roman" w:cs="Arial"/>
                <w:sz w:val="18"/>
                <w:szCs w:val="18"/>
              </w:rPr>
            </w:pPr>
          </w:p>
        </w:tc>
        <w:tc>
          <w:tcPr>
            <w:tcW w:w="450" w:type="dxa"/>
            <w:vMerge/>
            <w:shd w:val="clear" w:color="auto" w:fill="auto"/>
            <w:noWrap/>
            <w:vAlign w:val="center"/>
            <w:hideMark/>
          </w:tcPr>
          <w:p w14:paraId="0FB53819" w14:textId="77777777" w:rsidR="00D91973" w:rsidRPr="00A91056" w:rsidRDefault="00D91973" w:rsidP="00D91973">
            <w:pPr>
              <w:widowControl/>
              <w:spacing w:line="240" w:lineRule="auto"/>
              <w:ind w:firstLine="0"/>
              <w:jc w:val="center"/>
              <w:rPr>
                <w:rFonts w:eastAsia="Times New Roman" w:cs="Arial"/>
                <w:sz w:val="18"/>
                <w:szCs w:val="18"/>
              </w:rPr>
            </w:pPr>
          </w:p>
        </w:tc>
        <w:tc>
          <w:tcPr>
            <w:tcW w:w="720" w:type="dxa"/>
            <w:vMerge/>
            <w:shd w:val="clear" w:color="auto" w:fill="auto"/>
            <w:noWrap/>
            <w:vAlign w:val="center"/>
            <w:hideMark/>
          </w:tcPr>
          <w:p w14:paraId="3635C4A4" w14:textId="77777777" w:rsidR="00D91973" w:rsidRPr="00A91056" w:rsidRDefault="00D91973" w:rsidP="00D91973">
            <w:pPr>
              <w:widowControl/>
              <w:spacing w:line="240" w:lineRule="auto"/>
              <w:ind w:firstLine="0"/>
              <w:jc w:val="center"/>
              <w:rPr>
                <w:rFonts w:eastAsia="Times New Roman" w:cs="Arial"/>
                <w:sz w:val="18"/>
                <w:szCs w:val="18"/>
              </w:rPr>
            </w:pPr>
          </w:p>
        </w:tc>
        <w:tc>
          <w:tcPr>
            <w:tcW w:w="613" w:type="dxa"/>
            <w:vMerge/>
            <w:shd w:val="clear" w:color="auto" w:fill="auto"/>
            <w:noWrap/>
            <w:vAlign w:val="center"/>
            <w:hideMark/>
          </w:tcPr>
          <w:p w14:paraId="00927CCB" w14:textId="77777777" w:rsidR="00D91973" w:rsidRPr="00A91056" w:rsidRDefault="00D91973" w:rsidP="00D91973">
            <w:pPr>
              <w:widowControl/>
              <w:spacing w:line="240" w:lineRule="auto"/>
              <w:ind w:firstLine="0"/>
              <w:jc w:val="center"/>
              <w:rPr>
                <w:rFonts w:eastAsia="Times New Roman" w:cs="Arial"/>
                <w:sz w:val="18"/>
                <w:szCs w:val="18"/>
              </w:rPr>
            </w:pPr>
          </w:p>
        </w:tc>
        <w:tc>
          <w:tcPr>
            <w:tcW w:w="647" w:type="dxa"/>
            <w:gridSpan w:val="2"/>
            <w:vMerge/>
            <w:shd w:val="clear" w:color="auto" w:fill="auto"/>
            <w:noWrap/>
            <w:vAlign w:val="center"/>
            <w:hideMark/>
          </w:tcPr>
          <w:p w14:paraId="7C7BC04B" w14:textId="77777777" w:rsidR="00D91973" w:rsidRPr="00A91056" w:rsidRDefault="00D91973" w:rsidP="00D91973">
            <w:pPr>
              <w:widowControl/>
              <w:spacing w:line="240" w:lineRule="auto"/>
              <w:ind w:firstLine="0"/>
              <w:jc w:val="center"/>
              <w:rPr>
                <w:rFonts w:eastAsia="Times New Roman" w:cs="Arial"/>
                <w:sz w:val="18"/>
                <w:szCs w:val="18"/>
              </w:rPr>
            </w:pPr>
          </w:p>
        </w:tc>
        <w:tc>
          <w:tcPr>
            <w:tcW w:w="540" w:type="dxa"/>
            <w:vMerge/>
            <w:shd w:val="clear" w:color="auto" w:fill="auto"/>
            <w:noWrap/>
            <w:vAlign w:val="center"/>
            <w:hideMark/>
          </w:tcPr>
          <w:p w14:paraId="328CE549" w14:textId="77777777" w:rsidR="00D91973" w:rsidRPr="00A91056" w:rsidRDefault="00D91973" w:rsidP="00D91973">
            <w:pPr>
              <w:widowControl/>
              <w:spacing w:line="240" w:lineRule="auto"/>
              <w:ind w:firstLine="0"/>
              <w:jc w:val="center"/>
              <w:rPr>
                <w:rFonts w:eastAsia="Times New Roman" w:cs="Arial"/>
                <w:sz w:val="18"/>
                <w:szCs w:val="18"/>
              </w:rPr>
            </w:pPr>
          </w:p>
        </w:tc>
        <w:tc>
          <w:tcPr>
            <w:tcW w:w="540" w:type="dxa"/>
            <w:vMerge/>
            <w:shd w:val="clear" w:color="auto" w:fill="auto"/>
            <w:noWrap/>
            <w:vAlign w:val="center"/>
            <w:hideMark/>
          </w:tcPr>
          <w:p w14:paraId="6244F044" w14:textId="77777777" w:rsidR="00D91973" w:rsidRPr="00A91056" w:rsidRDefault="00D91973" w:rsidP="00D91973">
            <w:pPr>
              <w:widowControl/>
              <w:spacing w:line="240" w:lineRule="auto"/>
              <w:ind w:firstLine="0"/>
              <w:jc w:val="center"/>
              <w:rPr>
                <w:rFonts w:eastAsia="Times New Roman" w:cs="Arial"/>
                <w:sz w:val="18"/>
                <w:szCs w:val="18"/>
              </w:rPr>
            </w:pPr>
          </w:p>
        </w:tc>
        <w:tc>
          <w:tcPr>
            <w:tcW w:w="450" w:type="dxa"/>
            <w:vMerge/>
            <w:shd w:val="clear" w:color="auto" w:fill="auto"/>
            <w:noWrap/>
            <w:vAlign w:val="center"/>
            <w:hideMark/>
          </w:tcPr>
          <w:p w14:paraId="09C25D3D" w14:textId="77777777" w:rsidR="00D91973" w:rsidRPr="00A91056" w:rsidRDefault="00D91973" w:rsidP="00D91973">
            <w:pPr>
              <w:widowControl/>
              <w:spacing w:line="240" w:lineRule="auto"/>
              <w:ind w:firstLine="0"/>
              <w:jc w:val="center"/>
              <w:rPr>
                <w:rFonts w:eastAsia="Times New Roman" w:cs="Arial"/>
                <w:sz w:val="18"/>
                <w:szCs w:val="18"/>
              </w:rPr>
            </w:pPr>
          </w:p>
        </w:tc>
        <w:tc>
          <w:tcPr>
            <w:tcW w:w="720" w:type="dxa"/>
            <w:vMerge/>
            <w:shd w:val="clear" w:color="auto" w:fill="auto"/>
            <w:noWrap/>
            <w:vAlign w:val="center"/>
            <w:hideMark/>
          </w:tcPr>
          <w:p w14:paraId="007F9C4B" w14:textId="77777777" w:rsidR="00D91973" w:rsidRPr="00A91056" w:rsidRDefault="00D91973" w:rsidP="00D91973">
            <w:pPr>
              <w:widowControl/>
              <w:spacing w:line="240" w:lineRule="auto"/>
              <w:ind w:firstLine="0"/>
              <w:jc w:val="center"/>
              <w:rPr>
                <w:rFonts w:eastAsia="Times New Roman" w:cs="Arial"/>
                <w:sz w:val="18"/>
                <w:szCs w:val="18"/>
              </w:rPr>
            </w:pPr>
          </w:p>
        </w:tc>
        <w:tc>
          <w:tcPr>
            <w:tcW w:w="720" w:type="dxa"/>
            <w:vMerge/>
            <w:shd w:val="clear" w:color="auto" w:fill="auto"/>
            <w:noWrap/>
            <w:vAlign w:val="center"/>
            <w:hideMark/>
          </w:tcPr>
          <w:p w14:paraId="004B0634" w14:textId="77777777" w:rsidR="00D91973" w:rsidRPr="00A91056" w:rsidRDefault="00D91973" w:rsidP="00D91973">
            <w:pPr>
              <w:widowControl/>
              <w:spacing w:line="240" w:lineRule="auto"/>
              <w:ind w:firstLine="0"/>
              <w:jc w:val="center"/>
              <w:rPr>
                <w:rFonts w:eastAsia="Times New Roman" w:cs="Arial"/>
                <w:sz w:val="18"/>
                <w:szCs w:val="18"/>
              </w:rPr>
            </w:pPr>
          </w:p>
        </w:tc>
      </w:tr>
      <w:tr w:rsidR="00F64830" w:rsidRPr="00A91056" w14:paraId="383BA3FC" w14:textId="77777777" w:rsidTr="007D701C">
        <w:trPr>
          <w:trHeight w:val="288"/>
        </w:trPr>
        <w:tc>
          <w:tcPr>
            <w:tcW w:w="2395" w:type="dxa"/>
            <w:shd w:val="clear" w:color="auto" w:fill="auto"/>
            <w:noWrap/>
            <w:vAlign w:val="center"/>
            <w:hideMark/>
          </w:tcPr>
          <w:p w14:paraId="114F0997" w14:textId="77777777"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Aflatoxin B</w:t>
            </w:r>
            <w:r w:rsidRPr="00A91056">
              <w:rPr>
                <w:rFonts w:eastAsia="Times New Roman" w:cs="Arial"/>
                <w:color w:val="000000"/>
                <w:sz w:val="18"/>
                <w:szCs w:val="18"/>
                <w:vertAlign w:val="subscript"/>
              </w:rPr>
              <w:t>1</w:t>
            </w:r>
            <w:r w:rsidRPr="00A91056">
              <w:rPr>
                <w:rFonts w:eastAsia="Times New Roman" w:cs="Arial"/>
                <w:color w:val="000000"/>
                <w:sz w:val="18"/>
                <w:szCs w:val="18"/>
                <w:vertAlign w:val="superscript"/>
              </w:rPr>
              <w:t xml:space="preserve"> </w:t>
            </w:r>
          </w:p>
        </w:tc>
        <w:tc>
          <w:tcPr>
            <w:tcW w:w="1115" w:type="dxa"/>
            <w:shd w:val="clear" w:color="auto" w:fill="auto"/>
            <w:noWrap/>
            <w:vAlign w:val="center"/>
            <w:hideMark/>
          </w:tcPr>
          <w:p w14:paraId="202F8EFE"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1162-65-8</w:t>
            </w:r>
          </w:p>
        </w:tc>
        <w:tc>
          <w:tcPr>
            <w:tcW w:w="990" w:type="dxa"/>
            <w:shd w:val="clear" w:color="auto" w:fill="auto"/>
            <w:vAlign w:val="center"/>
            <w:hideMark/>
          </w:tcPr>
          <w:p w14:paraId="5B8D7565"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 xml:space="preserve">0.062 </w:t>
            </w:r>
            <w:proofErr w:type="spellStart"/>
            <w:r w:rsidRPr="00A91056">
              <w:rPr>
                <w:rFonts w:eastAsia="Times New Roman" w:cs="Arial"/>
                <w:color w:val="000000"/>
                <w:sz w:val="18"/>
                <w:szCs w:val="18"/>
              </w:rPr>
              <w:t>μg</w:t>
            </w:r>
            <w:proofErr w:type="spellEnd"/>
            <w:r w:rsidRPr="00A91056">
              <w:rPr>
                <w:rFonts w:eastAsia="Times New Roman" w:cs="Arial"/>
                <w:color w:val="000000"/>
                <w:sz w:val="18"/>
                <w:szCs w:val="18"/>
              </w:rPr>
              <w:t xml:space="preserve"> - 0.0062</w:t>
            </w:r>
          </w:p>
        </w:tc>
        <w:tc>
          <w:tcPr>
            <w:tcW w:w="450" w:type="dxa"/>
            <w:shd w:val="clear" w:color="auto" w:fill="auto"/>
            <w:noWrap/>
            <w:vAlign w:val="center"/>
            <w:hideMark/>
          </w:tcPr>
          <w:p w14:paraId="5CDD9CB3"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shd w:val="clear" w:color="auto" w:fill="auto"/>
            <w:noWrap/>
            <w:vAlign w:val="center"/>
            <w:hideMark/>
          </w:tcPr>
          <w:p w14:paraId="3CD16647" w14:textId="284A47B3"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 xml:space="preserve">Pos </w:t>
            </w:r>
            <w:r w:rsidRPr="00A91056">
              <w:rPr>
                <w:rFonts w:eastAsia="Times New Roman" w:cs="Arial"/>
                <w:color w:val="000000"/>
                <w:sz w:val="18"/>
                <w:szCs w:val="18"/>
                <w:vertAlign w:val="superscript"/>
              </w:rPr>
              <w:t>g</w:t>
            </w:r>
          </w:p>
        </w:tc>
        <w:tc>
          <w:tcPr>
            <w:tcW w:w="540" w:type="dxa"/>
            <w:shd w:val="clear" w:color="auto" w:fill="auto"/>
            <w:noWrap/>
            <w:vAlign w:val="center"/>
            <w:hideMark/>
          </w:tcPr>
          <w:p w14:paraId="484D972C" w14:textId="5181D03B"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[4]</w:t>
            </w:r>
          </w:p>
        </w:tc>
        <w:tc>
          <w:tcPr>
            <w:tcW w:w="810" w:type="dxa"/>
            <w:shd w:val="clear" w:color="auto" w:fill="auto"/>
            <w:noWrap/>
            <w:vAlign w:val="center"/>
            <w:hideMark/>
          </w:tcPr>
          <w:p w14:paraId="63AD439B" w14:textId="3877D6B2"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25" w:type="dxa"/>
            <w:shd w:val="clear" w:color="auto" w:fill="auto"/>
            <w:noWrap/>
            <w:vAlign w:val="center"/>
            <w:hideMark/>
          </w:tcPr>
          <w:p w14:paraId="09077C3C" w14:textId="4D8670C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7F35C4FD"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30" w:type="dxa"/>
            <w:shd w:val="clear" w:color="auto" w:fill="auto"/>
            <w:noWrap/>
            <w:vAlign w:val="center"/>
            <w:hideMark/>
          </w:tcPr>
          <w:p w14:paraId="4CD30AC8" w14:textId="0104773F"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450" w:type="dxa"/>
            <w:shd w:val="clear" w:color="auto" w:fill="auto"/>
            <w:noWrap/>
            <w:vAlign w:val="center"/>
            <w:hideMark/>
          </w:tcPr>
          <w:p w14:paraId="575171A6" w14:textId="1F47288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6A81C2B8"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13" w:type="dxa"/>
            <w:shd w:val="clear" w:color="auto" w:fill="auto"/>
            <w:noWrap/>
            <w:vAlign w:val="center"/>
            <w:hideMark/>
          </w:tcPr>
          <w:p w14:paraId="2920D261" w14:textId="494EA85D"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47" w:type="dxa"/>
            <w:gridSpan w:val="2"/>
            <w:shd w:val="clear" w:color="auto" w:fill="auto"/>
            <w:noWrap/>
            <w:vAlign w:val="center"/>
            <w:hideMark/>
          </w:tcPr>
          <w:p w14:paraId="33762423"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540" w:type="dxa"/>
            <w:shd w:val="clear" w:color="auto" w:fill="auto"/>
            <w:noWrap/>
            <w:vAlign w:val="center"/>
            <w:hideMark/>
          </w:tcPr>
          <w:p w14:paraId="565512C7" w14:textId="6570150E"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540" w:type="dxa"/>
            <w:shd w:val="clear" w:color="auto" w:fill="auto"/>
            <w:noWrap/>
            <w:vAlign w:val="center"/>
            <w:hideMark/>
          </w:tcPr>
          <w:p w14:paraId="18BE41C0" w14:textId="385EED83"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450" w:type="dxa"/>
            <w:shd w:val="clear" w:color="auto" w:fill="auto"/>
            <w:noWrap/>
            <w:vAlign w:val="center"/>
            <w:hideMark/>
          </w:tcPr>
          <w:p w14:paraId="55ED13FA" w14:textId="6EB93F2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032444A0" w14:textId="6FD3CA72"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640894A7" w14:textId="4C5691AA"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F64830" w:rsidRPr="00A91056" w14:paraId="07FBD648" w14:textId="77777777" w:rsidTr="007D701C">
        <w:trPr>
          <w:trHeight w:val="288"/>
        </w:trPr>
        <w:tc>
          <w:tcPr>
            <w:tcW w:w="2395" w:type="dxa"/>
            <w:shd w:val="clear" w:color="auto" w:fill="auto"/>
            <w:noWrap/>
            <w:vAlign w:val="center"/>
            <w:hideMark/>
          </w:tcPr>
          <w:p w14:paraId="630EC1CD" w14:textId="77777777"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Allyl isothiocyanate</w:t>
            </w:r>
          </w:p>
        </w:tc>
        <w:tc>
          <w:tcPr>
            <w:tcW w:w="1115" w:type="dxa"/>
            <w:shd w:val="clear" w:color="auto" w:fill="auto"/>
            <w:noWrap/>
            <w:vAlign w:val="center"/>
            <w:hideMark/>
          </w:tcPr>
          <w:p w14:paraId="482DCBB6"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57-06-7</w:t>
            </w:r>
          </w:p>
        </w:tc>
        <w:tc>
          <w:tcPr>
            <w:tcW w:w="990" w:type="dxa"/>
            <w:shd w:val="clear" w:color="auto" w:fill="auto"/>
            <w:vAlign w:val="center"/>
            <w:hideMark/>
          </w:tcPr>
          <w:p w14:paraId="1FECD0B9"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1.2 - 3  ª</w:t>
            </w:r>
          </w:p>
        </w:tc>
        <w:tc>
          <w:tcPr>
            <w:tcW w:w="450" w:type="dxa"/>
            <w:shd w:val="clear" w:color="auto" w:fill="auto"/>
            <w:noWrap/>
            <w:vAlign w:val="center"/>
            <w:hideMark/>
          </w:tcPr>
          <w:p w14:paraId="5B10073F" w14:textId="51CACE5E"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10F2E504" w14:textId="19FD931C"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540" w:type="dxa"/>
            <w:shd w:val="clear" w:color="auto" w:fill="auto"/>
            <w:noWrap/>
            <w:vAlign w:val="center"/>
            <w:hideMark/>
          </w:tcPr>
          <w:p w14:paraId="514877DC" w14:textId="3033A6AC"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w:t>
            </w:r>
          </w:p>
        </w:tc>
        <w:tc>
          <w:tcPr>
            <w:tcW w:w="810" w:type="dxa"/>
            <w:shd w:val="clear" w:color="auto" w:fill="auto"/>
            <w:noWrap/>
            <w:vAlign w:val="center"/>
            <w:hideMark/>
          </w:tcPr>
          <w:p w14:paraId="642B0F9B"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25" w:type="dxa"/>
            <w:shd w:val="clear" w:color="auto" w:fill="auto"/>
            <w:noWrap/>
            <w:vAlign w:val="center"/>
            <w:hideMark/>
          </w:tcPr>
          <w:p w14:paraId="6302A198" w14:textId="3BE9595C" w:rsidR="00D91973" w:rsidRPr="00A91056" w:rsidRDefault="00D91973" w:rsidP="00D91973">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720" w:type="dxa"/>
            <w:shd w:val="clear" w:color="auto" w:fill="auto"/>
            <w:noWrap/>
            <w:vAlign w:val="center"/>
            <w:hideMark/>
          </w:tcPr>
          <w:p w14:paraId="76FE40D2" w14:textId="1CABD900"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30" w:type="dxa"/>
            <w:shd w:val="clear" w:color="auto" w:fill="auto"/>
            <w:noWrap/>
            <w:vAlign w:val="center"/>
            <w:hideMark/>
          </w:tcPr>
          <w:p w14:paraId="1309BB1E" w14:textId="1E86E9EC"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450" w:type="dxa"/>
            <w:shd w:val="clear" w:color="auto" w:fill="auto"/>
            <w:noWrap/>
            <w:vAlign w:val="center"/>
            <w:hideMark/>
          </w:tcPr>
          <w:p w14:paraId="775C2711" w14:textId="0AC03C3A"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2553A7B8" w14:textId="41394E2D"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13" w:type="dxa"/>
            <w:shd w:val="clear" w:color="auto" w:fill="auto"/>
            <w:noWrap/>
            <w:vAlign w:val="center"/>
            <w:hideMark/>
          </w:tcPr>
          <w:p w14:paraId="21DA71A1"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47" w:type="dxa"/>
            <w:gridSpan w:val="2"/>
            <w:shd w:val="clear" w:color="auto" w:fill="auto"/>
            <w:noWrap/>
            <w:vAlign w:val="center"/>
            <w:hideMark/>
          </w:tcPr>
          <w:p w14:paraId="1A5DD82D" w14:textId="10B554D8"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540" w:type="dxa"/>
            <w:shd w:val="clear" w:color="auto" w:fill="auto"/>
            <w:noWrap/>
            <w:vAlign w:val="center"/>
            <w:hideMark/>
          </w:tcPr>
          <w:p w14:paraId="1D3B051A" w14:textId="5705B93A"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540" w:type="dxa"/>
            <w:shd w:val="clear" w:color="auto" w:fill="auto"/>
            <w:noWrap/>
            <w:vAlign w:val="center"/>
            <w:hideMark/>
          </w:tcPr>
          <w:p w14:paraId="7C3F663F" w14:textId="3C0A575B"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450" w:type="dxa"/>
            <w:shd w:val="clear" w:color="auto" w:fill="auto"/>
            <w:noWrap/>
            <w:vAlign w:val="center"/>
            <w:hideMark/>
          </w:tcPr>
          <w:p w14:paraId="27427ABF"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shd w:val="clear" w:color="auto" w:fill="auto"/>
            <w:noWrap/>
            <w:vAlign w:val="center"/>
            <w:hideMark/>
          </w:tcPr>
          <w:p w14:paraId="3C6BAE9B" w14:textId="77777777" w:rsidR="00D91973" w:rsidRPr="00A91056" w:rsidRDefault="00D91973" w:rsidP="00D91973">
            <w:pPr>
              <w:widowControl/>
              <w:spacing w:line="240" w:lineRule="auto"/>
              <w:ind w:firstLine="0"/>
              <w:jc w:val="center"/>
              <w:rPr>
                <w:rFonts w:eastAsia="Times New Roman" w:cs="Arial"/>
                <w:sz w:val="18"/>
                <w:szCs w:val="18"/>
              </w:rPr>
            </w:pPr>
          </w:p>
        </w:tc>
        <w:tc>
          <w:tcPr>
            <w:tcW w:w="720" w:type="dxa"/>
            <w:shd w:val="clear" w:color="auto" w:fill="auto"/>
            <w:noWrap/>
            <w:vAlign w:val="center"/>
            <w:hideMark/>
          </w:tcPr>
          <w:p w14:paraId="10B4ED2F" w14:textId="1061D1CF"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F64830" w:rsidRPr="00A91056" w14:paraId="41F6B0AC" w14:textId="77777777" w:rsidTr="007D701C">
        <w:trPr>
          <w:trHeight w:val="288"/>
        </w:trPr>
        <w:tc>
          <w:tcPr>
            <w:tcW w:w="2395" w:type="dxa"/>
            <w:shd w:val="clear" w:color="auto" w:fill="auto"/>
            <w:noWrap/>
            <w:vAlign w:val="center"/>
            <w:hideMark/>
          </w:tcPr>
          <w:p w14:paraId="63583017" w14:textId="77777777"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Anethole</w:t>
            </w:r>
          </w:p>
        </w:tc>
        <w:tc>
          <w:tcPr>
            <w:tcW w:w="1115" w:type="dxa"/>
            <w:shd w:val="clear" w:color="auto" w:fill="auto"/>
            <w:noWrap/>
            <w:vAlign w:val="center"/>
            <w:hideMark/>
          </w:tcPr>
          <w:p w14:paraId="4939DB70"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4180-23-8</w:t>
            </w:r>
          </w:p>
        </w:tc>
        <w:tc>
          <w:tcPr>
            <w:tcW w:w="990" w:type="dxa"/>
            <w:shd w:val="clear" w:color="auto" w:fill="auto"/>
            <w:vAlign w:val="center"/>
            <w:hideMark/>
          </w:tcPr>
          <w:p w14:paraId="4BA445E8"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5 - 10  ª</w:t>
            </w:r>
          </w:p>
        </w:tc>
        <w:tc>
          <w:tcPr>
            <w:tcW w:w="450" w:type="dxa"/>
            <w:shd w:val="clear" w:color="auto" w:fill="auto"/>
            <w:noWrap/>
            <w:vAlign w:val="center"/>
            <w:hideMark/>
          </w:tcPr>
          <w:p w14:paraId="781AB689" w14:textId="7BFF5DAB"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33D99D22" w14:textId="7AFBDC08"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540" w:type="dxa"/>
            <w:shd w:val="clear" w:color="auto" w:fill="auto"/>
            <w:noWrap/>
            <w:vAlign w:val="center"/>
            <w:hideMark/>
          </w:tcPr>
          <w:p w14:paraId="3E6DE277" w14:textId="04FA5A7D"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w:t>
            </w:r>
          </w:p>
        </w:tc>
        <w:tc>
          <w:tcPr>
            <w:tcW w:w="810" w:type="dxa"/>
            <w:shd w:val="clear" w:color="auto" w:fill="auto"/>
            <w:noWrap/>
            <w:vAlign w:val="center"/>
            <w:hideMark/>
          </w:tcPr>
          <w:p w14:paraId="1895C327" w14:textId="30CEDD4C"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25" w:type="dxa"/>
            <w:shd w:val="clear" w:color="auto" w:fill="auto"/>
            <w:noWrap/>
            <w:vAlign w:val="center"/>
            <w:hideMark/>
          </w:tcPr>
          <w:p w14:paraId="446C736D" w14:textId="76810A22" w:rsidR="00D91973" w:rsidRPr="00A91056" w:rsidRDefault="00D91973" w:rsidP="00D91973">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720" w:type="dxa"/>
            <w:shd w:val="clear" w:color="auto" w:fill="auto"/>
            <w:noWrap/>
            <w:vAlign w:val="center"/>
            <w:hideMark/>
          </w:tcPr>
          <w:p w14:paraId="0F9508A6" w14:textId="64A19AA5"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30" w:type="dxa"/>
            <w:shd w:val="clear" w:color="auto" w:fill="auto"/>
            <w:noWrap/>
            <w:vAlign w:val="center"/>
            <w:hideMark/>
          </w:tcPr>
          <w:p w14:paraId="637978EE"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450" w:type="dxa"/>
            <w:shd w:val="clear" w:color="auto" w:fill="auto"/>
            <w:noWrap/>
            <w:vAlign w:val="center"/>
            <w:hideMark/>
          </w:tcPr>
          <w:p w14:paraId="46213E3E" w14:textId="47A6883F"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045DAD10"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13" w:type="dxa"/>
            <w:shd w:val="clear" w:color="auto" w:fill="auto"/>
            <w:noWrap/>
            <w:vAlign w:val="center"/>
            <w:hideMark/>
          </w:tcPr>
          <w:p w14:paraId="586FDCF5"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47" w:type="dxa"/>
            <w:gridSpan w:val="2"/>
            <w:shd w:val="clear" w:color="auto" w:fill="auto"/>
            <w:noWrap/>
            <w:vAlign w:val="center"/>
            <w:hideMark/>
          </w:tcPr>
          <w:p w14:paraId="011618E9" w14:textId="6AD9D899"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540" w:type="dxa"/>
            <w:shd w:val="clear" w:color="auto" w:fill="auto"/>
            <w:noWrap/>
            <w:vAlign w:val="center"/>
            <w:hideMark/>
          </w:tcPr>
          <w:p w14:paraId="47C661BC"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540" w:type="dxa"/>
            <w:shd w:val="clear" w:color="auto" w:fill="auto"/>
            <w:noWrap/>
            <w:vAlign w:val="center"/>
            <w:hideMark/>
          </w:tcPr>
          <w:p w14:paraId="20A040E4" w14:textId="2A4DEB5B"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450" w:type="dxa"/>
            <w:shd w:val="clear" w:color="auto" w:fill="auto"/>
            <w:noWrap/>
            <w:vAlign w:val="center"/>
            <w:hideMark/>
          </w:tcPr>
          <w:p w14:paraId="3EE636BB"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shd w:val="clear" w:color="auto" w:fill="auto"/>
            <w:noWrap/>
            <w:vAlign w:val="center"/>
            <w:hideMark/>
          </w:tcPr>
          <w:p w14:paraId="20CE7DDA" w14:textId="77777777" w:rsidR="00D91973" w:rsidRPr="00A91056" w:rsidRDefault="00D91973" w:rsidP="00D91973">
            <w:pPr>
              <w:widowControl/>
              <w:spacing w:line="240" w:lineRule="auto"/>
              <w:ind w:firstLine="0"/>
              <w:jc w:val="center"/>
              <w:rPr>
                <w:rFonts w:eastAsia="Times New Roman" w:cs="Arial"/>
                <w:sz w:val="18"/>
                <w:szCs w:val="18"/>
              </w:rPr>
            </w:pPr>
          </w:p>
        </w:tc>
        <w:tc>
          <w:tcPr>
            <w:tcW w:w="720" w:type="dxa"/>
            <w:shd w:val="clear" w:color="auto" w:fill="auto"/>
            <w:noWrap/>
            <w:vAlign w:val="center"/>
            <w:hideMark/>
          </w:tcPr>
          <w:p w14:paraId="2DD0E53A" w14:textId="73EE8337" w:rsidR="00D91973" w:rsidRPr="00A91056" w:rsidRDefault="00D91973" w:rsidP="00D91973">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r>
      <w:tr w:rsidR="00F64830" w:rsidRPr="00A91056" w14:paraId="71582074" w14:textId="77777777" w:rsidTr="007D701C">
        <w:trPr>
          <w:trHeight w:val="288"/>
        </w:trPr>
        <w:tc>
          <w:tcPr>
            <w:tcW w:w="2395" w:type="dxa"/>
            <w:shd w:val="clear" w:color="auto" w:fill="auto"/>
            <w:noWrap/>
            <w:vAlign w:val="center"/>
            <w:hideMark/>
          </w:tcPr>
          <w:p w14:paraId="2FE47EB7" w14:textId="77777777"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Aristolochic acid I</w:t>
            </w:r>
          </w:p>
        </w:tc>
        <w:tc>
          <w:tcPr>
            <w:tcW w:w="1115" w:type="dxa"/>
            <w:shd w:val="clear" w:color="auto" w:fill="auto"/>
            <w:noWrap/>
            <w:vAlign w:val="center"/>
            <w:hideMark/>
          </w:tcPr>
          <w:p w14:paraId="6BDE1037"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313-67-7</w:t>
            </w:r>
          </w:p>
        </w:tc>
        <w:tc>
          <w:tcPr>
            <w:tcW w:w="990" w:type="dxa"/>
            <w:shd w:val="clear" w:color="auto" w:fill="auto"/>
            <w:vAlign w:val="center"/>
            <w:hideMark/>
          </w:tcPr>
          <w:p w14:paraId="4120F0BC"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1 - 2</w:t>
            </w:r>
          </w:p>
        </w:tc>
        <w:tc>
          <w:tcPr>
            <w:tcW w:w="450" w:type="dxa"/>
            <w:shd w:val="clear" w:color="auto" w:fill="auto"/>
            <w:noWrap/>
            <w:vAlign w:val="center"/>
            <w:hideMark/>
          </w:tcPr>
          <w:p w14:paraId="27C045B9" w14:textId="73AA95DB"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163F937D" w14:textId="30863A0A" w:rsidR="00D91973" w:rsidRPr="00A91056" w:rsidRDefault="00D91973" w:rsidP="00D91973">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540" w:type="dxa"/>
            <w:shd w:val="clear" w:color="auto" w:fill="auto"/>
            <w:vAlign w:val="center"/>
            <w:hideMark/>
          </w:tcPr>
          <w:p w14:paraId="2009EE9D" w14:textId="136E1859" w:rsidR="00D91973" w:rsidRPr="00A91056" w:rsidRDefault="00D91973" w:rsidP="00D91973">
            <w:pPr>
              <w:widowControl/>
              <w:spacing w:line="240" w:lineRule="auto"/>
              <w:ind w:firstLine="0"/>
              <w:jc w:val="center"/>
              <w:rPr>
                <w:rFonts w:eastAsia="Times New Roman" w:cs="Arial"/>
                <w:color w:val="000000"/>
                <w:sz w:val="18"/>
                <w:szCs w:val="18"/>
              </w:rPr>
            </w:pPr>
          </w:p>
        </w:tc>
        <w:tc>
          <w:tcPr>
            <w:tcW w:w="810" w:type="dxa"/>
            <w:shd w:val="clear" w:color="auto" w:fill="auto"/>
            <w:vAlign w:val="center"/>
            <w:hideMark/>
          </w:tcPr>
          <w:p w14:paraId="3813CC76" w14:textId="054B7A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25" w:type="dxa"/>
            <w:shd w:val="clear" w:color="auto" w:fill="auto"/>
            <w:noWrap/>
            <w:vAlign w:val="center"/>
            <w:hideMark/>
          </w:tcPr>
          <w:p w14:paraId="6A979305" w14:textId="65315E82"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53F023F2" w14:textId="4FCAD0D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30" w:type="dxa"/>
            <w:shd w:val="clear" w:color="auto" w:fill="auto"/>
            <w:noWrap/>
            <w:vAlign w:val="center"/>
            <w:hideMark/>
          </w:tcPr>
          <w:p w14:paraId="3E9FE1CB" w14:textId="3DB84904"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450" w:type="dxa"/>
            <w:shd w:val="clear" w:color="auto" w:fill="auto"/>
            <w:noWrap/>
            <w:vAlign w:val="center"/>
            <w:hideMark/>
          </w:tcPr>
          <w:p w14:paraId="16A5EB49" w14:textId="68DCA454"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76400E62" w14:textId="551CF11F"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613" w:type="dxa"/>
            <w:shd w:val="clear" w:color="auto" w:fill="auto"/>
            <w:noWrap/>
            <w:vAlign w:val="center"/>
            <w:hideMark/>
          </w:tcPr>
          <w:p w14:paraId="215D099F"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47" w:type="dxa"/>
            <w:gridSpan w:val="2"/>
            <w:shd w:val="clear" w:color="auto" w:fill="auto"/>
            <w:noWrap/>
            <w:vAlign w:val="center"/>
            <w:hideMark/>
          </w:tcPr>
          <w:p w14:paraId="7F380DBF" w14:textId="08C12092"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540" w:type="dxa"/>
            <w:shd w:val="clear" w:color="auto" w:fill="auto"/>
            <w:noWrap/>
            <w:vAlign w:val="center"/>
            <w:hideMark/>
          </w:tcPr>
          <w:p w14:paraId="24745944" w14:textId="6DD63305"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540" w:type="dxa"/>
            <w:shd w:val="clear" w:color="auto" w:fill="auto"/>
            <w:noWrap/>
            <w:vAlign w:val="center"/>
            <w:hideMark/>
          </w:tcPr>
          <w:p w14:paraId="1E91495E" w14:textId="62AA12E1" w:rsidR="00D91973" w:rsidRPr="00A91056" w:rsidRDefault="00D91973" w:rsidP="00D91973">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450" w:type="dxa"/>
            <w:shd w:val="clear" w:color="auto" w:fill="auto"/>
            <w:noWrap/>
            <w:vAlign w:val="center"/>
            <w:hideMark/>
          </w:tcPr>
          <w:p w14:paraId="46B84F73"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shd w:val="clear" w:color="auto" w:fill="auto"/>
            <w:noWrap/>
            <w:vAlign w:val="center"/>
            <w:hideMark/>
          </w:tcPr>
          <w:p w14:paraId="27CCC060" w14:textId="5B0C5B6D"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275B36F5" w14:textId="4BB6734C"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F64830" w:rsidRPr="00A91056" w14:paraId="65FC0D21" w14:textId="77777777" w:rsidTr="007D701C">
        <w:trPr>
          <w:trHeight w:val="288"/>
        </w:trPr>
        <w:tc>
          <w:tcPr>
            <w:tcW w:w="2395" w:type="dxa"/>
            <w:shd w:val="clear" w:color="auto" w:fill="auto"/>
            <w:noWrap/>
            <w:vAlign w:val="center"/>
            <w:hideMark/>
          </w:tcPr>
          <w:p w14:paraId="5CE1FEF8" w14:textId="77777777" w:rsidR="00D91973" w:rsidRPr="00A91056" w:rsidRDefault="00D91973" w:rsidP="00D91973">
            <w:pPr>
              <w:widowControl/>
              <w:spacing w:line="240" w:lineRule="auto"/>
              <w:ind w:firstLine="0"/>
              <w:rPr>
                <w:rFonts w:eastAsia="Times New Roman" w:cs="Arial"/>
                <w:color w:val="000000"/>
                <w:sz w:val="18"/>
                <w:szCs w:val="18"/>
              </w:rPr>
            </w:pPr>
            <w:proofErr w:type="spellStart"/>
            <w:r w:rsidRPr="00A91056">
              <w:rPr>
                <w:rFonts w:eastAsia="Times New Roman" w:cs="Arial"/>
                <w:color w:val="000000"/>
                <w:sz w:val="18"/>
                <w:szCs w:val="18"/>
              </w:rPr>
              <w:t>Azaserine</w:t>
            </w:r>
            <w:proofErr w:type="spellEnd"/>
          </w:p>
        </w:tc>
        <w:tc>
          <w:tcPr>
            <w:tcW w:w="1115" w:type="dxa"/>
            <w:shd w:val="clear" w:color="auto" w:fill="auto"/>
            <w:noWrap/>
            <w:vAlign w:val="center"/>
            <w:hideMark/>
          </w:tcPr>
          <w:p w14:paraId="64FF619C"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115-02-6</w:t>
            </w:r>
          </w:p>
        </w:tc>
        <w:tc>
          <w:tcPr>
            <w:tcW w:w="990" w:type="dxa"/>
            <w:shd w:val="clear" w:color="auto" w:fill="auto"/>
            <w:vAlign w:val="center"/>
            <w:hideMark/>
          </w:tcPr>
          <w:p w14:paraId="34507EA1"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1.25 - 2.5</w:t>
            </w:r>
          </w:p>
        </w:tc>
        <w:tc>
          <w:tcPr>
            <w:tcW w:w="450" w:type="dxa"/>
            <w:shd w:val="clear" w:color="auto" w:fill="auto"/>
            <w:noWrap/>
            <w:vAlign w:val="center"/>
            <w:hideMark/>
          </w:tcPr>
          <w:p w14:paraId="0F16C1FB" w14:textId="7EED9843"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771C6557" w14:textId="59D4683E"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540" w:type="dxa"/>
            <w:shd w:val="clear" w:color="auto" w:fill="auto"/>
            <w:vAlign w:val="center"/>
            <w:hideMark/>
          </w:tcPr>
          <w:p w14:paraId="1768AC6D" w14:textId="01A8C4E2" w:rsidR="00D91973" w:rsidRPr="00A91056" w:rsidRDefault="00D91973" w:rsidP="00D91973">
            <w:pPr>
              <w:widowControl/>
              <w:spacing w:line="240" w:lineRule="auto"/>
              <w:ind w:firstLine="0"/>
              <w:jc w:val="center"/>
              <w:rPr>
                <w:rFonts w:eastAsia="Times New Roman" w:cs="Arial"/>
                <w:color w:val="000000"/>
                <w:sz w:val="18"/>
                <w:szCs w:val="18"/>
              </w:rPr>
            </w:pPr>
          </w:p>
        </w:tc>
        <w:tc>
          <w:tcPr>
            <w:tcW w:w="810" w:type="dxa"/>
            <w:shd w:val="clear" w:color="auto" w:fill="auto"/>
            <w:vAlign w:val="center"/>
            <w:hideMark/>
          </w:tcPr>
          <w:p w14:paraId="25AB81C7" w14:textId="2CB7F5B3"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25" w:type="dxa"/>
            <w:shd w:val="clear" w:color="auto" w:fill="auto"/>
            <w:noWrap/>
            <w:vAlign w:val="center"/>
            <w:hideMark/>
          </w:tcPr>
          <w:p w14:paraId="3F9E8144" w14:textId="10CF4D96"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3ED1DC9A"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30" w:type="dxa"/>
            <w:shd w:val="clear" w:color="auto" w:fill="auto"/>
            <w:noWrap/>
            <w:vAlign w:val="center"/>
            <w:hideMark/>
          </w:tcPr>
          <w:p w14:paraId="1408E40D" w14:textId="77777777" w:rsidR="00D91973" w:rsidRPr="00A91056" w:rsidRDefault="00D91973" w:rsidP="00D91973">
            <w:pPr>
              <w:widowControl/>
              <w:spacing w:line="240" w:lineRule="auto"/>
              <w:ind w:firstLine="0"/>
              <w:jc w:val="center"/>
              <w:rPr>
                <w:rFonts w:eastAsia="Times New Roman" w:cs="Arial"/>
                <w:sz w:val="18"/>
                <w:szCs w:val="18"/>
              </w:rPr>
            </w:pPr>
          </w:p>
        </w:tc>
        <w:tc>
          <w:tcPr>
            <w:tcW w:w="450" w:type="dxa"/>
            <w:shd w:val="clear" w:color="auto" w:fill="auto"/>
            <w:noWrap/>
            <w:vAlign w:val="center"/>
            <w:hideMark/>
          </w:tcPr>
          <w:p w14:paraId="342193FA" w14:textId="77777777" w:rsidR="00D91973" w:rsidRPr="00A91056" w:rsidRDefault="00D91973" w:rsidP="00D91973">
            <w:pPr>
              <w:widowControl/>
              <w:spacing w:line="240" w:lineRule="auto"/>
              <w:ind w:firstLine="0"/>
              <w:jc w:val="center"/>
              <w:rPr>
                <w:rFonts w:eastAsia="Times New Roman" w:cs="Arial"/>
                <w:sz w:val="18"/>
                <w:szCs w:val="18"/>
              </w:rPr>
            </w:pPr>
          </w:p>
        </w:tc>
        <w:tc>
          <w:tcPr>
            <w:tcW w:w="720" w:type="dxa"/>
            <w:shd w:val="clear" w:color="auto" w:fill="auto"/>
            <w:noWrap/>
            <w:vAlign w:val="center"/>
            <w:hideMark/>
          </w:tcPr>
          <w:p w14:paraId="07369BB7" w14:textId="77777777" w:rsidR="00D91973" w:rsidRPr="00A91056" w:rsidRDefault="00D91973" w:rsidP="00D91973">
            <w:pPr>
              <w:widowControl/>
              <w:spacing w:line="240" w:lineRule="auto"/>
              <w:ind w:firstLine="0"/>
              <w:jc w:val="center"/>
              <w:rPr>
                <w:rFonts w:eastAsia="Times New Roman" w:cs="Arial"/>
                <w:sz w:val="18"/>
                <w:szCs w:val="18"/>
              </w:rPr>
            </w:pPr>
          </w:p>
        </w:tc>
        <w:tc>
          <w:tcPr>
            <w:tcW w:w="613" w:type="dxa"/>
            <w:shd w:val="clear" w:color="auto" w:fill="auto"/>
            <w:noWrap/>
            <w:vAlign w:val="center"/>
            <w:hideMark/>
          </w:tcPr>
          <w:p w14:paraId="0CE13C5A"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47" w:type="dxa"/>
            <w:gridSpan w:val="2"/>
            <w:shd w:val="clear" w:color="auto" w:fill="auto"/>
            <w:noWrap/>
            <w:vAlign w:val="center"/>
            <w:hideMark/>
          </w:tcPr>
          <w:p w14:paraId="012B720A" w14:textId="61FBC17D"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540" w:type="dxa"/>
            <w:shd w:val="clear" w:color="auto" w:fill="auto"/>
            <w:noWrap/>
            <w:vAlign w:val="center"/>
            <w:hideMark/>
          </w:tcPr>
          <w:p w14:paraId="7AC29C5B"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540" w:type="dxa"/>
            <w:shd w:val="clear" w:color="auto" w:fill="auto"/>
            <w:noWrap/>
            <w:vAlign w:val="center"/>
            <w:hideMark/>
          </w:tcPr>
          <w:p w14:paraId="16F54E24" w14:textId="71818B29"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450" w:type="dxa"/>
            <w:shd w:val="clear" w:color="auto" w:fill="auto"/>
            <w:noWrap/>
            <w:vAlign w:val="center"/>
            <w:hideMark/>
          </w:tcPr>
          <w:p w14:paraId="5BC37C7D"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shd w:val="clear" w:color="auto" w:fill="auto"/>
            <w:noWrap/>
            <w:vAlign w:val="center"/>
            <w:hideMark/>
          </w:tcPr>
          <w:p w14:paraId="758BB733" w14:textId="77777777" w:rsidR="00D91973" w:rsidRPr="00A91056" w:rsidRDefault="00D91973" w:rsidP="00D91973">
            <w:pPr>
              <w:widowControl/>
              <w:spacing w:line="240" w:lineRule="auto"/>
              <w:ind w:firstLine="0"/>
              <w:jc w:val="center"/>
              <w:rPr>
                <w:rFonts w:eastAsia="Times New Roman" w:cs="Arial"/>
                <w:sz w:val="18"/>
                <w:szCs w:val="18"/>
              </w:rPr>
            </w:pPr>
          </w:p>
        </w:tc>
        <w:tc>
          <w:tcPr>
            <w:tcW w:w="720" w:type="dxa"/>
            <w:shd w:val="clear" w:color="auto" w:fill="auto"/>
            <w:noWrap/>
            <w:vAlign w:val="center"/>
            <w:hideMark/>
          </w:tcPr>
          <w:p w14:paraId="7BD99A29" w14:textId="3D37831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F64830" w:rsidRPr="00A91056" w14:paraId="7D703049" w14:textId="77777777" w:rsidTr="007D701C">
        <w:trPr>
          <w:trHeight w:val="288"/>
        </w:trPr>
        <w:tc>
          <w:tcPr>
            <w:tcW w:w="2395" w:type="dxa"/>
            <w:shd w:val="clear" w:color="auto" w:fill="auto"/>
            <w:noWrap/>
            <w:vAlign w:val="center"/>
            <w:hideMark/>
          </w:tcPr>
          <w:p w14:paraId="11909D1B" w14:textId="77777777"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 xml:space="preserve">Benzo[a]pyrene </w:t>
            </w:r>
          </w:p>
        </w:tc>
        <w:tc>
          <w:tcPr>
            <w:tcW w:w="1115" w:type="dxa"/>
            <w:shd w:val="clear" w:color="auto" w:fill="auto"/>
            <w:noWrap/>
            <w:vAlign w:val="center"/>
            <w:hideMark/>
          </w:tcPr>
          <w:p w14:paraId="73E7E0C8"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50-32-8</w:t>
            </w:r>
          </w:p>
        </w:tc>
        <w:tc>
          <w:tcPr>
            <w:tcW w:w="990" w:type="dxa"/>
            <w:shd w:val="clear" w:color="auto" w:fill="auto"/>
            <w:vAlign w:val="center"/>
            <w:hideMark/>
          </w:tcPr>
          <w:p w14:paraId="21A75FE7"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0.05 - 0.3</w:t>
            </w:r>
          </w:p>
        </w:tc>
        <w:tc>
          <w:tcPr>
            <w:tcW w:w="450" w:type="dxa"/>
            <w:shd w:val="clear" w:color="auto" w:fill="auto"/>
            <w:noWrap/>
            <w:vAlign w:val="center"/>
            <w:hideMark/>
          </w:tcPr>
          <w:p w14:paraId="2D16F583" w14:textId="26581289"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64D57F33"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540" w:type="dxa"/>
            <w:shd w:val="clear" w:color="auto" w:fill="auto"/>
            <w:noWrap/>
            <w:vAlign w:val="center"/>
            <w:hideMark/>
          </w:tcPr>
          <w:p w14:paraId="6D7DB4D8" w14:textId="082280EC"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[3]</w:t>
            </w:r>
          </w:p>
        </w:tc>
        <w:tc>
          <w:tcPr>
            <w:tcW w:w="810" w:type="dxa"/>
            <w:shd w:val="clear" w:color="auto" w:fill="auto"/>
            <w:noWrap/>
            <w:vAlign w:val="center"/>
            <w:hideMark/>
          </w:tcPr>
          <w:p w14:paraId="0A8FC333" w14:textId="740FEB68"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25" w:type="dxa"/>
            <w:shd w:val="clear" w:color="auto" w:fill="auto"/>
            <w:noWrap/>
            <w:vAlign w:val="center"/>
            <w:hideMark/>
          </w:tcPr>
          <w:p w14:paraId="48403167" w14:textId="69F60A9A"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61B406E5" w14:textId="1ED84B70"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30" w:type="dxa"/>
            <w:shd w:val="clear" w:color="auto" w:fill="auto"/>
            <w:noWrap/>
            <w:vAlign w:val="center"/>
            <w:hideMark/>
          </w:tcPr>
          <w:p w14:paraId="52796E29" w14:textId="32E15ABB"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450" w:type="dxa"/>
            <w:shd w:val="clear" w:color="auto" w:fill="auto"/>
            <w:noWrap/>
            <w:vAlign w:val="center"/>
            <w:hideMark/>
          </w:tcPr>
          <w:p w14:paraId="1783F51C" w14:textId="00CA3E43"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3C5F0153" w14:textId="04DF25A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13" w:type="dxa"/>
            <w:shd w:val="clear" w:color="auto" w:fill="auto"/>
            <w:noWrap/>
            <w:vAlign w:val="center"/>
            <w:hideMark/>
          </w:tcPr>
          <w:p w14:paraId="7A657448" w14:textId="3D3E63BE"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47" w:type="dxa"/>
            <w:gridSpan w:val="2"/>
            <w:shd w:val="clear" w:color="auto" w:fill="auto"/>
            <w:noWrap/>
            <w:vAlign w:val="center"/>
            <w:hideMark/>
          </w:tcPr>
          <w:p w14:paraId="0806E596" w14:textId="1F525F3C" w:rsidR="00D91973" w:rsidRPr="00A91056" w:rsidRDefault="00D91973" w:rsidP="00D91973">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540" w:type="dxa"/>
            <w:shd w:val="clear" w:color="auto" w:fill="auto"/>
            <w:noWrap/>
            <w:vAlign w:val="center"/>
            <w:hideMark/>
          </w:tcPr>
          <w:p w14:paraId="0BA26F61" w14:textId="72B7F6FB"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540" w:type="dxa"/>
            <w:shd w:val="clear" w:color="auto" w:fill="auto"/>
            <w:noWrap/>
            <w:vAlign w:val="center"/>
            <w:hideMark/>
          </w:tcPr>
          <w:p w14:paraId="7197A571" w14:textId="68518AF5"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450" w:type="dxa"/>
            <w:shd w:val="clear" w:color="auto" w:fill="auto"/>
            <w:noWrap/>
            <w:vAlign w:val="center"/>
            <w:hideMark/>
          </w:tcPr>
          <w:p w14:paraId="61B2CBA5" w14:textId="6BBA5481"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233B72DA" w14:textId="122CA4D4" w:rsidR="00D91973" w:rsidRPr="00A91056" w:rsidRDefault="00D91973" w:rsidP="00D91973">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720" w:type="dxa"/>
            <w:shd w:val="clear" w:color="auto" w:fill="auto"/>
            <w:noWrap/>
            <w:vAlign w:val="center"/>
            <w:hideMark/>
          </w:tcPr>
          <w:p w14:paraId="54773D1C" w14:textId="29C234C0"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F64830" w:rsidRPr="00A91056" w14:paraId="405F569E" w14:textId="77777777" w:rsidTr="007D701C">
        <w:trPr>
          <w:trHeight w:val="288"/>
        </w:trPr>
        <w:tc>
          <w:tcPr>
            <w:tcW w:w="2395" w:type="dxa"/>
            <w:shd w:val="clear" w:color="auto" w:fill="auto"/>
            <w:noWrap/>
            <w:vAlign w:val="center"/>
            <w:hideMark/>
          </w:tcPr>
          <w:p w14:paraId="53F96DE9" w14:textId="77777777"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Caffeine</w:t>
            </w:r>
          </w:p>
        </w:tc>
        <w:tc>
          <w:tcPr>
            <w:tcW w:w="1115" w:type="dxa"/>
            <w:shd w:val="clear" w:color="auto" w:fill="auto"/>
            <w:noWrap/>
            <w:vAlign w:val="center"/>
            <w:hideMark/>
          </w:tcPr>
          <w:p w14:paraId="22FA5432"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58-08-2</w:t>
            </w:r>
          </w:p>
        </w:tc>
        <w:tc>
          <w:tcPr>
            <w:tcW w:w="990" w:type="dxa"/>
            <w:shd w:val="clear" w:color="auto" w:fill="auto"/>
            <w:vAlign w:val="center"/>
            <w:hideMark/>
          </w:tcPr>
          <w:p w14:paraId="787CBFC1"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5 - 10</w:t>
            </w:r>
          </w:p>
        </w:tc>
        <w:tc>
          <w:tcPr>
            <w:tcW w:w="450" w:type="dxa"/>
            <w:shd w:val="clear" w:color="auto" w:fill="auto"/>
            <w:noWrap/>
            <w:vAlign w:val="center"/>
            <w:hideMark/>
          </w:tcPr>
          <w:p w14:paraId="64D534CA" w14:textId="193D11C0"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625715F4" w14:textId="38E3567D"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540" w:type="dxa"/>
            <w:shd w:val="clear" w:color="auto" w:fill="auto"/>
            <w:vAlign w:val="center"/>
            <w:hideMark/>
          </w:tcPr>
          <w:p w14:paraId="41F2130C" w14:textId="2EB8A06C" w:rsidR="00D91973" w:rsidRPr="00A91056" w:rsidRDefault="00D91973" w:rsidP="00D91973">
            <w:pPr>
              <w:widowControl/>
              <w:spacing w:line="240" w:lineRule="auto"/>
              <w:ind w:firstLine="0"/>
              <w:jc w:val="center"/>
              <w:rPr>
                <w:rFonts w:eastAsia="Times New Roman" w:cs="Arial"/>
                <w:color w:val="000000"/>
                <w:sz w:val="18"/>
                <w:szCs w:val="18"/>
              </w:rPr>
            </w:pPr>
          </w:p>
        </w:tc>
        <w:tc>
          <w:tcPr>
            <w:tcW w:w="810" w:type="dxa"/>
            <w:shd w:val="clear" w:color="auto" w:fill="auto"/>
            <w:noWrap/>
            <w:vAlign w:val="center"/>
            <w:hideMark/>
          </w:tcPr>
          <w:p w14:paraId="7ED1924A"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25" w:type="dxa"/>
            <w:shd w:val="clear" w:color="auto" w:fill="auto"/>
            <w:noWrap/>
            <w:vAlign w:val="center"/>
            <w:hideMark/>
          </w:tcPr>
          <w:p w14:paraId="48E62668" w14:textId="51B563E5"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405C31A2" w14:textId="6A117EB5"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30" w:type="dxa"/>
            <w:shd w:val="clear" w:color="auto" w:fill="auto"/>
            <w:noWrap/>
            <w:vAlign w:val="center"/>
            <w:hideMark/>
          </w:tcPr>
          <w:p w14:paraId="2BE8E321" w14:textId="1BEDD58E"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450" w:type="dxa"/>
            <w:shd w:val="clear" w:color="auto" w:fill="auto"/>
            <w:noWrap/>
            <w:vAlign w:val="center"/>
            <w:hideMark/>
          </w:tcPr>
          <w:p w14:paraId="205E2336" w14:textId="74D11380"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56798743"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13" w:type="dxa"/>
            <w:shd w:val="clear" w:color="auto" w:fill="auto"/>
            <w:noWrap/>
            <w:vAlign w:val="center"/>
            <w:hideMark/>
          </w:tcPr>
          <w:p w14:paraId="3129F42D" w14:textId="77777777" w:rsidR="00D91973" w:rsidRPr="00A91056" w:rsidRDefault="00D91973" w:rsidP="00D91973">
            <w:pPr>
              <w:widowControl/>
              <w:spacing w:line="240" w:lineRule="auto"/>
              <w:ind w:firstLine="0"/>
              <w:jc w:val="center"/>
              <w:rPr>
                <w:rFonts w:eastAsia="Times New Roman" w:cs="Arial"/>
                <w:sz w:val="18"/>
                <w:szCs w:val="18"/>
              </w:rPr>
            </w:pPr>
          </w:p>
        </w:tc>
        <w:tc>
          <w:tcPr>
            <w:tcW w:w="647" w:type="dxa"/>
            <w:gridSpan w:val="2"/>
            <w:shd w:val="clear" w:color="auto" w:fill="auto"/>
            <w:noWrap/>
            <w:vAlign w:val="center"/>
            <w:hideMark/>
          </w:tcPr>
          <w:p w14:paraId="753938C0"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540" w:type="dxa"/>
            <w:shd w:val="clear" w:color="auto" w:fill="auto"/>
            <w:noWrap/>
            <w:vAlign w:val="center"/>
            <w:hideMark/>
          </w:tcPr>
          <w:p w14:paraId="2F430DC5" w14:textId="77777777" w:rsidR="00D91973" w:rsidRPr="00A91056" w:rsidRDefault="00D91973" w:rsidP="00D91973">
            <w:pPr>
              <w:widowControl/>
              <w:spacing w:line="240" w:lineRule="auto"/>
              <w:ind w:firstLine="0"/>
              <w:jc w:val="center"/>
              <w:rPr>
                <w:rFonts w:eastAsia="Times New Roman" w:cs="Arial"/>
                <w:sz w:val="18"/>
                <w:szCs w:val="18"/>
              </w:rPr>
            </w:pPr>
          </w:p>
        </w:tc>
        <w:tc>
          <w:tcPr>
            <w:tcW w:w="540" w:type="dxa"/>
            <w:shd w:val="clear" w:color="auto" w:fill="auto"/>
            <w:noWrap/>
            <w:vAlign w:val="center"/>
            <w:hideMark/>
          </w:tcPr>
          <w:p w14:paraId="3A740753" w14:textId="7DA1C323" w:rsidR="00D91973" w:rsidRPr="00A91056" w:rsidRDefault="00D91973" w:rsidP="00D91973">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450" w:type="dxa"/>
            <w:shd w:val="clear" w:color="auto" w:fill="auto"/>
            <w:noWrap/>
            <w:vAlign w:val="center"/>
            <w:hideMark/>
          </w:tcPr>
          <w:p w14:paraId="1049BCF1" w14:textId="318DE642"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77E22F75"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shd w:val="clear" w:color="auto" w:fill="auto"/>
            <w:noWrap/>
            <w:vAlign w:val="center"/>
            <w:hideMark/>
          </w:tcPr>
          <w:p w14:paraId="28AE437A" w14:textId="15C318F9"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r>
      <w:tr w:rsidR="00F64830" w:rsidRPr="00A91056" w14:paraId="74FFEF3E" w14:textId="77777777" w:rsidTr="007D701C">
        <w:trPr>
          <w:trHeight w:val="288"/>
        </w:trPr>
        <w:tc>
          <w:tcPr>
            <w:tcW w:w="2395" w:type="dxa"/>
            <w:shd w:val="clear" w:color="auto" w:fill="auto"/>
            <w:noWrap/>
            <w:vAlign w:val="center"/>
            <w:hideMark/>
          </w:tcPr>
          <w:p w14:paraId="248AC730" w14:textId="77777777"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Cinnamaldehyde</w:t>
            </w:r>
          </w:p>
        </w:tc>
        <w:tc>
          <w:tcPr>
            <w:tcW w:w="1115" w:type="dxa"/>
            <w:shd w:val="clear" w:color="auto" w:fill="auto"/>
            <w:noWrap/>
            <w:vAlign w:val="center"/>
            <w:hideMark/>
          </w:tcPr>
          <w:p w14:paraId="7B084377"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104-55-2</w:t>
            </w:r>
          </w:p>
        </w:tc>
        <w:tc>
          <w:tcPr>
            <w:tcW w:w="990" w:type="dxa"/>
            <w:shd w:val="clear" w:color="auto" w:fill="auto"/>
            <w:vAlign w:val="center"/>
            <w:hideMark/>
          </w:tcPr>
          <w:p w14:paraId="071133EE"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 xml:space="preserve">10 - 20 </w:t>
            </w:r>
            <w:r w:rsidRPr="00A91056">
              <w:rPr>
                <w:rFonts w:eastAsia="Times New Roman" w:cs="Arial"/>
                <w:color w:val="000000"/>
                <w:sz w:val="18"/>
                <w:szCs w:val="18"/>
                <w:vertAlign w:val="superscript"/>
              </w:rPr>
              <w:t>a</w:t>
            </w:r>
          </w:p>
        </w:tc>
        <w:tc>
          <w:tcPr>
            <w:tcW w:w="450" w:type="dxa"/>
            <w:shd w:val="clear" w:color="auto" w:fill="auto"/>
            <w:noWrap/>
            <w:vAlign w:val="center"/>
            <w:hideMark/>
          </w:tcPr>
          <w:p w14:paraId="3A01E324" w14:textId="72FDCB9A"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75739FF6" w14:textId="6C804A9F"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540" w:type="dxa"/>
            <w:shd w:val="clear" w:color="auto" w:fill="auto"/>
            <w:noWrap/>
            <w:vAlign w:val="center"/>
            <w:hideMark/>
          </w:tcPr>
          <w:p w14:paraId="6FCC8FEF" w14:textId="1F136614"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w:t>
            </w:r>
          </w:p>
        </w:tc>
        <w:tc>
          <w:tcPr>
            <w:tcW w:w="810" w:type="dxa"/>
            <w:shd w:val="clear" w:color="auto" w:fill="auto"/>
            <w:noWrap/>
            <w:vAlign w:val="center"/>
            <w:hideMark/>
          </w:tcPr>
          <w:p w14:paraId="15BAAF80" w14:textId="0B29C31A"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25" w:type="dxa"/>
            <w:shd w:val="clear" w:color="auto" w:fill="auto"/>
            <w:noWrap/>
            <w:vAlign w:val="center"/>
            <w:hideMark/>
          </w:tcPr>
          <w:p w14:paraId="35EB75BA" w14:textId="7B383189"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25102B33" w14:textId="3829237D" w:rsidR="00D91973" w:rsidRPr="00A91056" w:rsidRDefault="00D91973" w:rsidP="00D91973">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630" w:type="dxa"/>
            <w:shd w:val="clear" w:color="auto" w:fill="auto"/>
            <w:noWrap/>
            <w:vAlign w:val="center"/>
            <w:hideMark/>
          </w:tcPr>
          <w:p w14:paraId="78561A11" w14:textId="36364E70"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450" w:type="dxa"/>
            <w:shd w:val="clear" w:color="auto" w:fill="auto"/>
            <w:noWrap/>
            <w:vAlign w:val="center"/>
            <w:hideMark/>
          </w:tcPr>
          <w:p w14:paraId="1A32F683" w14:textId="321F27C3"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3027CEA4"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13" w:type="dxa"/>
            <w:shd w:val="clear" w:color="auto" w:fill="auto"/>
            <w:noWrap/>
            <w:vAlign w:val="center"/>
            <w:hideMark/>
          </w:tcPr>
          <w:p w14:paraId="681AE9FC" w14:textId="77777777" w:rsidR="00D91973" w:rsidRPr="00A91056" w:rsidRDefault="00D91973" w:rsidP="00D91973">
            <w:pPr>
              <w:widowControl/>
              <w:spacing w:line="240" w:lineRule="auto"/>
              <w:ind w:firstLine="0"/>
              <w:jc w:val="center"/>
              <w:rPr>
                <w:rFonts w:eastAsia="Times New Roman" w:cs="Arial"/>
                <w:sz w:val="18"/>
                <w:szCs w:val="18"/>
              </w:rPr>
            </w:pPr>
          </w:p>
        </w:tc>
        <w:tc>
          <w:tcPr>
            <w:tcW w:w="647" w:type="dxa"/>
            <w:gridSpan w:val="2"/>
            <w:shd w:val="clear" w:color="auto" w:fill="auto"/>
            <w:noWrap/>
            <w:vAlign w:val="center"/>
            <w:hideMark/>
          </w:tcPr>
          <w:p w14:paraId="739F055E" w14:textId="2BEEA74A" w:rsidR="00D91973" w:rsidRPr="00A91056" w:rsidRDefault="00D91973" w:rsidP="00D91973">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540" w:type="dxa"/>
            <w:shd w:val="clear" w:color="auto" w:fill="auto"/>
            <w:noWrap/>
            <w:vAlign w:val="center"/>
            <w:hideMark/>
          </w:tcPr>
          <w:p w14:paraId="369DDDC3" w14:textId="46583A36"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540" w:type="dxa"/>
            <w:shd w:val="clear" w:color="auto" w:fill="auto"/>
            <w:noWrap/>
            <w:vAlign w:val="center"/>
            <w:hideMark/>
          </w:tcPr>
          <w:p w14:paraId="615149FE"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450" w:type="dxa"/>
            <w:shd w:val="clear" w:color="auto" w:fill="auto"/>
            <w:noWrap/>
            <w:vAlign w:val="center"/>
            <w:hideMark/>
          </w:tcPr>
          <w:p w14:paraId="06909268" w14:textId="77777777" w:rsidR="00D91973" w:rsidRPr="00A91056" w:rsidRDefault="00D91973" w:rsidP="00D91973">
            <w:pPr>
              <w:widowControl/>
              <w:spacing w:line="240" w:lineRule="auto"/>
              <w:ind w:firstLine="0"/>
              <w:jc w:val="center"/>
              <w:rPr>
                <w:rFonts w:eastAsia="Times New Roman" w:cs="Arial"/>
                <w:sz w:val="18"/>
                <w:szCs w:val="18"/>
              </w:rPr>
            </w:pPr>
          </w:p>
        </w:tc>
        <w:tc>
          <w:tcPr>
            <w:tcW w:w="720" w:type="dxa"/>
            <w:shd w:val="clear" w:color="auto" w:fill="auto"/>
            <w:noWrap/>
            <w:vAlign w:val="center"/>
            <w:hideMark/>
          </w:tcPr>
          <w:p w14:paraId="734D604B" w14:textId="30B17B86"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501C9EAB" w14:textId="5F2CA4AA"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r>
      <w:tr w:rsidR="00F64830" w:rsidRPr="00A91056" w14:paraId="32049C9E" w14:textId="77777777" w:rsidTr="007D701C">
        <w:trPr>
          <w:trHeight w:val="288"/>
        </w:trPr>
        <w:tc>
          <w:tcPr>
            <w:tcW w:w="2395" w:type="dxa"/>
            <w:shd w:val="clear" w:color="auto" w:fill="auto"/>
            <w:noWrap/>
            <w:vAlign w:val="center"/>
            <w:hideMark/>
          </w:tcPr>
          <w:p w14:paraId="198A17A9" w14:textId="77777777"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Curcumin</w:t>
            </w:r>
          </w:p>
        </w:tc>
        <w:tc>
          <w:tcPr>
            <w:tcW w:w="1115" w:type="dxa"/>
            <w:shd w:val="clear" w:color="auto" w:fill="auto"/>
            <w:noWrap/>
            <w:vAlign w:val="center"/>
            <w:hideMark/>
          </w:tcPr>
          <w:p w14:paraId="61BA64DE"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458-37-7</w:t>
            </w:r>
          </w:p>
        </w:tc>
        <w:tc>
          <w:tcPr>
            <w:tcW w:w="990" w:type="dxa"/>
            <w:shd w:val="clear" w:color="auto" w:fill="auto"/>
            <w:vAlign w:val="center"/>
            <w:hideMark/>
          </w:tcPr>
          <w:p w14:paraId="46BC7483"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5 - 10  ª</w:t>
            </w:r>
          </w:p>
        </w:tc>
        <w:tc>
          <w:tcPr>
            <w:tcW w:w="450" w:type="dxa"/>
            <w:shd w:val="clear" w:color="auto" w:fill="auto"/>
            <w:noWrap/>
            <w:vAlign w:val="center"/>
            <w:hideMark/>
          </w:tcPr>
          <w:p w14:paraId="46CE9397" w14:textId="33602BCF"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7E00E510" w14:textId="64318727" w:rsidR="00D91973" w:rsidRPr="00A91056" w:rsidRDefault="00D91973" w:rsidP="00D91973">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540" w:type="dxa"/>
            <w:shd w:val="clear" w:color="auto" w:fill="auto"/>
            <w:vAlign w:val="center"/>
            <w:hideMark/>
          </w:tcPr>
          <w:p w14:paraId="03609585" w14:textId="463FDAD1" w:rsidR="00D91973" w:rsidRPr="00A91056" w:rsidRDefault="00D91973" w:rsidP="00D91973">
            <w:pPr>
              <w:widowControl/>
              <w:spacing w:line="240" w:lineRule="auto"/>
              <w:ind w:firstLine="0"/>
              <w:jc w:val="center"/>
              <w:rPr>
                <w:rFonts w:eastAsia="Times New Roman" w:cs="Arial"/>
                <w:color w:val="000000"/>
                <w:sz w:val="18"/>
                <w:szCs w:val="18"/>
              </w:rPr>
            </w:pPr>
          </w:p>
        </w:tc>
        <w:tc>
          <w:tcPr>
            <w:tcW w:w="810" w:type="dxa"/>
            <w:shd w:val="clear" w:color="auto" w:fill="auto"/>
            <w:vAlign w:val="center"/>
            <w:hideMark/>
          </w:tcPr>
          <w:p w14:paraId="2B54C8CA" w14:textId="300A96C6"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25" w:type="dxa"/>
            <w:shd w:val="clear" w:color="auto" w:fill="auto"/>
            <w:noWrap/>
            <w:vAlign w:val="center"/>
            <w:hideMark/>
          </w:tcPr>
          <w:p w14:paraId="6EA7AD12" w14:textId="3A1848E1"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31A77484"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30" w:type="dxa"/>
            <w:shd w:val="clear" w:color="auto" w:fill="auto"/>
            <w:noWrap/>
            <w:vAlign w:val="center"/>
            <w:hideMark/>
          </w:tcPr>
          <w:p w14:paraId="002DB1DE" w14:textId="2778ACAE"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450" w:type="dxa"/>
            <w:shd w:val="clear" w:color="auto" w:fill="auto"/>
            <w:noWrap/>
            <w:vAlign w:val="center"/>
            <w:hideMark/>
          </w:tcPr>
          <w:p w14:paraId="740D30D1" w14:textId="257B47A9" w:rsidR="00D91973" w:rsidRPr="00A91056" w:rsidRDefault="00D91973" w:rsidP="00D91973">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720" w:type="dxa"/>
            <w:shd w:val="clear" w:color="auto" w:fill="auto"/>
            <w:noWrap/>
            <w:vAlign w:val="center"/>
            <w:hideMark/>
          </w:tcPr>
          <w:p w14:paraId="3916B159" w14:textId="07D02169"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13" w:type="dxa"/>
            <w:shd w:val="clear" w:color="auto" w:fill="auto"/>
            <w:noWrap/>
            <w:vAlign w:val="center"/>
            <w:hideMark/>
          </w:tcPr>
          <w:p w14:paraId="76327550"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47" w:type="dxa"/>
            <w:gridSpan w:val="2"/>
            <w:shd w:val="clear" w:color="auto" w:fill="auto"/>
            <w:noWrap/>
            <w:vAlign w:val="center"/>
            <w:hideMark/>
          </w:tcPr>
          <w:p w14:paraId="00701732"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540" w:type="dxa"/>
            <w:shd w:val="clear" w:color="auto" w:fill="auto"/>
            <w:noWrap/>
            <w:vAlign w:val="center"/>
            <w:hideMark/>
          </w:tcPr>
          <w:p w14:paraId="67369C99" w14:textId="77777777" w:rsidR="00D91973" w:rsidRPr="00A91056" w:rsidRDefault="00D91973" w:rsidP="00D91973">
            <w:pPr>
              <w:widowControl/>
              <w:spacing w:line="240" w:lineRule="auto"/>
              <w:ind w:firstLine="0"/>
              <w:jc w:val="center"/>
              <w:rPr>
                <w:rFonts w:eastAsia="Times New Roman" w:cs="Arial"/>
                <w:sz w:val="18"/>
                <w:szCs w:val="18"/>
              </w:rPr>
            </w:pPr>
          </w:p>
        </w:tc>
        <w:tc>
          <w:tcPr>
            <w:tcW w:w="540" w:type="dxa"/>
            <w:shd w:val="clear" w:color="auto" w:fill="auto"/>
            <w:noWrap/>
            <w:vAlign w:val="center"/>
            <w:hideMark/>
          </w:tcPr>
          <w:p w14:paraId="352285B5" w14:textId="176099EF"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450" w:type="dxa"/>
            <w:shd w:val="clear" w:color="auto" w:fill="auto"/>
            <w:noWrap/>
            <w:vAlign w:val="center"/>
            <w:hideMark/>
          </w:tcPr>
          <w:p w14:paraId="087033D2" w14:textId="0678BE78" w:rsidR="00D91973" w:rsidRPr="00A91056" w:rsidRDefault="00D91973" w:rsidP="00D91973">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720" w:type="dxa"/>
            <w:shd w:val="clear" w:color="auto" w:fill="auto"/>
            <w:noWrap/>
            <w:vAlign w:val="center"/>
            <w:hideMark/>
          </w:tcPr>
          <w:p w14:paraId="5380A234"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shd w:val="clear" w:color="auto" w:fill="auto"/>
            <w:noWrap/>
            <w:vAlign w:val="center"/>
            <w:hideMark/>
          </w:tcPr>
          <w:p w14:paraId="6B4E32ED" w14:textId="000E3086"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r>
      <w:tr w:rsidR="00F64830" w:rsidRPr="00A91056" w14:paraId="00CA154D" w14:textId="77777777" w:rsidTr="007D701C">
        <w:trPr>
          <w:trHeight w:val="288"/>
        </w:trPr>
        <w:tc>
          <w:tcPr>
            <w:tcW w:w="2395" w:type="dxa"/>
            <w:shd w:val="clear" w:color="auto" w:fill="auto"/>
            <w:noWrap/>
            <w:vAlign w:val="center"/>
            <w:hideMark/>
          </w:tcPr>
          <w:p w14:paraId="75F9303D" w14:textId="77777777"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Diacetyl</w:t>
            </w:r>
          </w:p>
        </w:tc>
        <w:tc>
          <w:tcPr>
            <w:tcW w:w="1115" w:type="dxa"/>
            <w:shd w:val="clear" w:color="auto" w:fill="auto"/>
            <w:noWrap/>
            <w:vAlign w:val="center"/>
            <w:hideMark/>
          </w:tcPr>
          <w:p w14:paraId="73BC8201"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431-03-8</w:t>
            </w:r>
          </w:p>
        </w:tc>
        <w:tc>
          <w:tcPr>
            <w:tcW w:w="990" w:type="dxa"/>
            <w:shd w:val="clear" w:color="auto" w:fill="auto"/>
            <w:vAlign w:val="center"/>
            <w:hideMark/>
          </w:tcPr>
          <w:p w14:paraId="21D4454B"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6.3 - 25  ª</w:t>
            </w:r>
          </w:p>
        </w:tc>
        <w:tc>
          <w:tcPr>
            <w:tcW w:w="450" w:type="dxa"/>
            <w:shd w:val="clear" w:color="auto" w:fill="auto"/>
            <w:noWrap/>
            <w:vAlign w:val="center"/>
            <w:hideMark/>
          </w:tcPr>
          <w:p w14:paraId="67731B7F" w14:textId="2719F566"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45F2BB64" w14:textId="45B0C829"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540" w:type="dxa"/>
            <w:shd w:val="clear" w:color="auto" w:fill="auto"/>
            <w:noWrap/>
            <w:vAlign w:val="center"/>
            <w:hideMark/>
          </w:tcPr>
          <w:p w14:paraId="0C0BC685" w14:textId="7AA91A00"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w:t>
            </w:r>
          </w:p>
        </w:tc>
        <w:tc>
          <w:tcPr>
            <w:tcW w:w="810" w:type="dxa"/>
            <w:shd w:val="clear" w:color="auto" w:fill="auto"/>
            <w:noWrap/>
            <w:vAlign w:val="center"/>
            <w:hideMark/>
          </w:tcPr>
          <w:p w14:paraId="3ACB91F7" w14:textId="38C7AE7C"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 in vitro</w:t>
            </w:r>
          </w:p>
        </w:tc>
        <w:tc>
          <w:tcPr>
            <w:tcW w:w="625" w:type="dxa"/>
            <w:shd w:val="clear" w:color="auto" w:fill="auto"/>
            <w:noWrap/>
            <w:vAlign w:val="center"/>
            <w:hideMark/>
          </w:tcPr>
          <w:p w14:paraId="2EAB8CAB" w14:textId="6F45CB80"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06405118" w14:textId="14A2F7CC"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30" w:type="dxa"/>
            <w:shd w:val="clear" w:color="auto" w:fill="auto"/>
            <w:noWrap/>
            <w:vAlign w:val="center"/>
            <w:hideMark/>
          </w:tcPr>
          <w:p w14:paraId="6C73B871"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450" w:type="dxa"/>
            <w:shd w:val="clear" w:color="auto" w:fill="auto"/>
            <w:noWrap/>
            <w:vAlign w:val="center"/>
            <w:hideMark/>
          </w:tcPr>
          <w:p w14:paraId="2E77C621" w14:textId="77777777" w:rsidR="00D91973" w:rsidRPr="00A91056" w:rsidRDefault="00D91973" w:rsidP="00D91973">
            <w:pPr>
              <w:widowControl/>
              <w:spacing w:line="240" w:lineRule="auto"/>
              <w:ind w:firstLine="0"/>
              <w:jc w:val="center"/>
              <w:rPr>
                <w:rFonts w:eastAsia="Times New Roman" w:cs="Arial"/>
                <w:sz w:val="18"/>
                <w:szCs w:val="18"/>
              </w:rPr>
            </w:pPr>
          </w:p>
        </w:tc>
        <w:tc>
          <w:tcPr>
            <w:tcW w:w="720" w:type="dxa"/>
            <w:shd w:val="clear" w:color="auto" w:fill="auto"/>
            <w:noWrap/>
            <w:vAlign w:val="center"/>
            <w:hideMark/>
          </w:tcPr>
          <w:p w14:paraId="43F8BC3A" w14:textId="77777777" w:rsidR="00D91973" w:rsidRPr="00A91056" w:rsidRDefault="00D91973" w:rsidP="00D91973">
            <w:pPr>
              <w:widowControl/>
              <w:spacing w:line="240" w:lineRule="auto"/>
              <w:ind w:firstLine="0"/>
              <w:jc w:val="center"/>
              <w:rPr>
                <w:rFonts w:eastAsia="Times New Roman" w:cs="Arial"/>
                <w:sz w:val="18"/>
                <w:szCs w:val="18"/>
              </w:rPr>
            </w:pPr>
          </w:p>
        </w:tc>
        <w:tc>
          <w:tcPr>
            <w:tcW w:w="613" w:type="dxa"/>
            <w:shd w:val="clear" w:color="auto" w:fill="auto"/>
            <w:noWrap/>
            <w:vAlign w:val="center"/>
            <w:hideMark/>
          </w:tcPr>
          <w:p w14:paraId="674934D3" w14:textId="77777777" w:rsidR="00D91973" w:rsidRPr="00A91056" w:rsidRDefault="00D91973" w:rsidP="00D91973">
            <w:pPr>
              <w:widowControl/>
              <w:spacing w:line="240" w:lineRule="auto"/>
              <w:ind w:firstLine="0"/>
              <w:jc w:val="center"/>
              <w:rPr>
                <w:rFonts w:eastAsia="Times New Roman" w:cs="Arial"/>
                <w:sz w:val="18"/>
                <w:szCs w:val="18"/>
              </w:rPr>
            </w:pPr>
          </w:p>
        </w:tc>
        <w:tc>
          <w:tcPr>
            <w:tcW w:w="647" w:type="dxa"/>
            <w:gridSpan w:val="2"/>
            <w:shd w:val="clear" w:color="auto" w:fill="auto"/>
            <w:noWrap/>
            <w:vAlign w:val="center"/>
            <w:hideMark/>
          </w:tcPr>
          <w:p w14:paraId="09C33C96" w14:textId="36454B30"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540" w:type="dxa"/>
            <w:shd w:val="clear" w:color="auto" w:fill="auto"/>
            <w:noWrap/>
            <w:vAlign w:val="center"/>
            <w:hideMark/>
          </w:tcPr>
          <w:p w14:paraId="21F80B5A"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540" w:type="dxa"/>
            <w:shd w:val="clear" w:color="auto" w:fill="auto"/>
            <w:noWrap/>
            <w:vAlign w:val="center"/>
            <w:hideMark/>
          </w:tcPr>
          <w:p w14:paraId="43D852C3" w14:textId="2275523D"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450" w:type="dxa"/>
            <w:shd w:val="clear" w:color="auto" w:fill="auto"/>
            <w:noWrap/>
            <w:vAlign w:val="center"/>
            <w:hideMark/>
          </w:tcPr>
          <w:p w14:paraId="5CEBDF3A"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shd w:val="clear" w:color="auto" w:fill="auto"/>
            <w:noWrap/>
            <w:vAlign w:val="center"/>
            <w:hideMark/>
          </w:tcPr>
          <w:p w14:paraId="5FDF8C7C" w14:textId="77777777" w:rsidR="00D91973" w:rsidRPr="00A91056" w:rsidRDefault="00D91973" w:rsidP="00D91973">
            <w:pPr>
              <w:widowControl/>
              <w:spacing w:line="240" w:lineRule="auto"/>
              <w:ind w:firstLine="0"/>
              <w:jc w:val="center"/>
              <w:rPr>
                <w:rFonts w:eastAsia="Times New Roman" w:cs="Arial"/>
                <w:sz w:val="18"/>
                <w:szCs w:val="18"/>
              </w:rPr>
            </w:pPr>
          </w:p>
        </w:tc>
        <w:tc>
          <w:tcPr>
            <w:tcW w:w="720" w:type="dxa"/>
            <w:shd w:val="clear" w:color="auto" w:fill="auto"/>
            <w:noWrap/>
            <w:vAlign w:val="center"/>
            <w:hideMark/>
          </w:tcPr>
          <w:p w14:paraId="66BD21E4" w14:textId="0AF04D05" w:rsidR="00D91973" w:rsidRPr="00A91056" w:rsidRDefault="00D91973" w:rsidP="00D91973">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r>
      <w:tr w:rsidR="00F64830" w:rsidRPr="00A91056" w14:paraId="328EA09B" w14:textId="77777777" w:rsidTr="007D701C">
        <w:trPr>
          <w:trHeight w:val="288"/>
        </w:trPr>
        <w:tc>
          <w:tcPr>
            <w:tcW w:w="2395" w:type="dxa"/>
            <w:shd w:val="clear" w:color="auto" w:fill="auto"/>
            <w:noWrap/>
            <w:vAlign w:val="center"/>
            <w:hideMark/>
          </w:tcPr>
          <w:p w14:paraId="639FECE8" w14:textId="77777777"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D-Limonene</w:t>
            </w:r>
          </w:p>
        </w:tc>
        <w:tc>
          <w:tcPr>
            <w:tcW w:w="1115" w:type="dxa"/>
            <w:shd w:val="clear" w:color="auto" w:fill="auto"/>
            <w:noWrap/>
            <w:vAlign w:val="center"/>
            <w:hideMark/>
          </w:tcPr>
          <w:p w14:paraId="09507A7E"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5989-27-5</w:t>
            </w:r>
          </w:p>
        </w:tc>
        <w:tc>
          <w:tcPr>
            <w:tcW w:w="990" w:type="dxa"/>
            <w:shd w:val="clear" w:color="auto" w:fill="auto"/>
            <w:vAlign w:val="center"/>
            <w:hideMark/>
          </w:tcPr>
          <w:p w14:paraId="6F77FC87"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80 - 100</w:t>
            </w:r>
          </w:p>
        </w:tc>
        <w:tc>
          <w:tcPr>
            <w:tcW w:w="450" w:type="dxa"/>
            <w:shd w:val="clear" w:color="auto" w:fill="auto"/>
            <w:noWrap/>
            <w:vAlign w:val="center"/>
            <w:hideMark/>
          </w:tcPr>
          <w:p w14:paraId="691FAF31" w14:textId="5E78C31A"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7F90D738" w14:textId="3EBF5B26"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540" w:type="dxa"/>
            <w:shd w:val="clear" w:color="auto" w:fill="auto"/>
            <w:noWrap/>
            <w:vAlign w:val="center"/>
            <w:hideMark/>
          </w:tcPr>
          <w:p w14:paraId="729D792D" w14:textId="6A51E039"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w:t>
            </w:r>
          </w:p>
        </w:tc>
        <w:tc>
          <w:tcPr>
            <w:tcW w:w="810" w:type="dxa"/>
            <w:shd w:val="clear" w:color="auto" w:fill="auto"/>
            <w:noWrap/>
            <w:vAlign w:val="center"/>
            <w:hideMark/>
          </w:tcPr>
          <w:p w14:paraId="1E3E9AAD"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25" w:type="dxa"/>
            <w:shd w:val="clear" w:color="auto" w:fill="auto"/>
            <w:noWrap/>
            <w:vAlign w:val="center"/>
            <w:hideMark/>
          </w:tcPr>
          <w:p w14:paraId="62C0A4E7" w14:textId="1FC96AF0"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13832BC1"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30" w:type="dxa"/>
            <w:shd w:val="clear" w:color="auto" w:fill="auto"/>
            <w:noWrap/>
            <w:vAlign w:val="center"/>
            <w:hideMark/>
          </w:tcPr>
          <w:p w14:paraId="2A324BEE" w14:textId="77777777" w:rsidR="00D91973" w:rsidRPr="00A91056" w:rsidRDefault="00D91973" w:rsidP="00D91973">
            <w:pPr>
              <w:widowControl/>
              <w:spacing w:line="240" w:lineRule="auto"/>
              <w:ind w:firstLine="0"/>
              <w:jc w:val="center"/>
              <w:rPr>
                <w:rFonts w:eastAsia="Times New Roman" w:cs="Arial"/>
                <w:sz w:val="18"/>
                <w:szCs w:val="18"/>
              </w:rPr>
            </w:pPr>
          </w:p>
        </w:tc>
        <w:tc>
          <w:tcPr>
            <w:tcW w:w="450" w:type="dxa"/>
            <w:shd w:val="clear" w:color="auto" w:fill="auto"/>
            <w:noWrap/>
            <w:vAlign w:val="center"/>
            <w:hideMark/>
          </w:tcPr>
          <w:p w14:paraId="6697A181" w14:textId="73C3E3EF"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621BCCF8"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13" w:type="dxa"/>
            <w:shd w:val="clear" w:color="auto" w:fill="auto"/>
            <w:noWrap/>
            <w:vAlign w:val="center"/>
            <w:hideMark/>
          </w:tcPr>
          <w:p w14:paraId="2CBDE8A8" w14:textId="77777777" w:rsidR="00D91973" w:rsidRPr="00A91056" w:rsidRDefault="00D91973" w:rsidP="00D91973">
            <w:pPr>
              <w:widowControl/>
              <w:spacing w:line="240" w:lineRule="auto"/>
              <w:ind w:firstLine="0"/>
              <w:jc w:val="center"/>
              <w:rPr>
                <w:rFonts w:eastAsia="Times New Roman" w:cs="Arial"/>
                <w:sz w:val="18"/>
                <w:szCs w:val="18"/>
              </w:rPr>
            </w:pPr>
          </w:p>
        </w:tc>
        <w:tc>
          <w:tcPr>
            <w:tcW w:w="647" w:type="dxa"/>
            <w:gridSpan w:val="2"/>
            <w:shd w:val="clear" w:color="auto" w:fill="auto"/>
            <w:noWrap/>
            <w:vAlign w:val="center"/>
            <w:hideMark/>
          </w:tcPr>
          <w:p w14:paraId="0A76707D"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540" w:type="dxa"/>
            <w:shd w:val="clear" w:color="auto" w:fill="auto"/>
            <w:noWrap/>
            <w:vAlign w:val="center"/>
            <w:hideMark/>
          </w:tcPr>
          <w:p w14:paraId="7CC6251A" w14:textId="1BB56066"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540" w:type="dxa"/>
            <w:shd w:val="clear" w:color="auto" w:fill="auto"/>
            <w:noWrap/>
            <w:vAlign w:val="center"/>
            <w:hideMark/>
          </w:tcPr>
          <w:p w14:paraId="588A5167" w14:textId="65DF34DC"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450" w:type="dxa"/>
            <w:shd w:val="clear" w:color="auto" w:fill="auto"/>
            <w:noWrap/>
            <w:vAlign w:val="center"/>
            <w:hideMark/>
          </w:tcPr>
          <w:p w14:paraId="4D61B91B"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shd w:val="clear" w:color="auto" w:fill="auto"/>
            <w:noWrap/>
            <w:vAlign w:val="center"/>
            <w:hideMark/>
          </w:tcPr>
          <w:p w14:paraId="39070EBC" w14:textId="5C5B8A46"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7D334297" w14:textId="7A6DA484"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F64830" w:rsidRPr="00A91056" w14:paraId="7420E0F1" w14:textId="77777777" w:rsidTr="007D701C">
        <w:trPr>
          <w:trHeight w:val="288"/>
        </w:trPr>
        <w:tc>
          <w:tcPr>
            <w:tcW w:w="2395" w:type="dxa"/>
            <w:shd w:val="clear" w:color="auto" w:fill="auto"/>
            <w:noWrap/>
            <w:vAlign w:val="center"/>
            <w:hideMark/>
          </w:tcPr>
          <w:p w14:paraId="24B416A1" w14:textId="77777777"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Elemicin</w:t>
            </w:r>
          </w:p>
        </w:tc>
        <w:tc>
          <w:tcPr>
            <w:tcW w:w="1115" w:type="dxa"/>
            <w:shd w:val="clear" w:color="auto" w:fill="auto"/>
            <w:noWrap/>
            <w:vAlign w:val="center"/>
            <w:hideMark/>
          </w:tcPr>
          <w:p w14:paraId="2BD4DA6F"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487-11-6</w:t>
            </w:r>
          </w:p>
        </w:tc>
        <w:tc>
          <w:tcPr>
            <w:tcW w:w="990" w:type="dxa"/>
            <w:shd w:val="clear" w:color="auto" w:fill="auto"/>
            <w:vAlign w:val="center"/>
            <w:hideMark/>
          </w:tcPr>
          <w:p w14:paraId="1FCC93CA"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 xml:space="preserve">0.2 - 50 </w:t>
            </w:r>
            <w:r w:rsidRPr="00A91056">
              <w:rPr>
                <w:rFonts w:eastAsia="Times New Roman" w:cs="Arial"/>
                <w:color w:val="000000"/>
                <w:sz w:val="18"/>
                <w:szCs w:val="18"/>
                <w:vertAlign w:val="superscript"/>
              </w:rPr>
              <w:t>a</w:t>
            </w:r>
          </w:p>
        </w:tc>
        <w:tc>
          <w:tcPr>
            <w:tcW w:w="450" w:type="dxa"/>
            <w:shd w:val="clear" w:color="auto" w:fill="auto"/>
            <w:noWrap/>
            <w:vAlign w:val="center"/>
            <w:hideMark/>
          </w:tcPr>
          <w:p w14:paraId="064E8075" w14:textId="4211997D"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0CA2B457" w14:textId="28E9DCA4"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540" w:type="dxa"/>
            <w:shd w:val="clear" w:color="auto" w:fill="auto"/>
            <w:noWrap/>
            <w:hideMark/>
          </w:tcPr>
          <w:p w14:paraId="58ED2B0C" w14:textId="2F92708D"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w:t>
            </w:r>
          </w:p>
        </w:tc>
        <w:tc>
          <w:tcPr>
            <w:tcW w:w="810" w:type="dxa"/>
            <w:shd w:val="clear" w:color="auto" w:fill="auto"/>
            <w:noWrap/>
            <w:vAlign w:val="center"/>
            <w:hideMark/>
          </w:tcPr>
          <w:p w14:paraId="1D99431A" w14:textId="6F3B2312"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25" w:type="dxa"/>
            <w:shd w:val="clear" w:color="auto" w:fill="auto"/>
            <w:noWrap/>
            <w:vAlign w:val="center"/>
            <w:hideMark/>
          </w:tcPr>
          <w:p w14:paraId="1BB00AD3"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shd w:val="clear" w:color="auto" w:fill="auto"/>
            <w:noWrap/>
            <w:vAlign w:val="center"/>
            <w:hideMark/>
          </w:tcPr>
          <w:p w14:paraId="4B9BF3FA" w14:textId="77777777" w:rsidR="00D91973" w:rsidRPr="00A91056" w:rsidRDefault="00D91973" w:rsidP="00D91973">
            <w:pPr>
              <w:widowControl/>
              <w:spacing w:line="240" w:lineRule="auto"/>
              <w:ind w:firstLine="0"/>
              <w:jc w:val="center"/>
              <w:rPr>
                <w:rFonts w:eastAsia="Times New Roman" w:cs="Arial"/>
                <w:sz w:val="18"/>
                <w:szCs w:val="18"/>
              </w:rPr>
            </w:pPr>
          </w:p>
        </w:tc>
        <w:tc>
          <w:tcPr>
            <w:tcW w:w="630" w:type="dxa"/>
            <w:shd w:val="clear" w:color="auto" w:fill="auto"/>
            <w:noWrap/>
            <w:vAlign w:val="center"/>
            <w:hideMark/>
          </w:tcPr>
          <w:p w14:paraId="38EBA7EB" w14:textId="77777777" w:rsidR="00D91973" w:rsidRPr="00A91056" w:rsidRDefault="00D91973" w:rsidP="00D91973">
            <w:pPr>
              <w:widowControl/>
              <w:spacing w:line="240" w:lineRule="auto"/>
              <w:ind w:firstLine="0"/>
              <w:jc w:val="center"/>
              <w:rPr>
                <w:rFonts w:eastAsia="Times New Roman" w:cs="Arial"/>
                <w:sz w:val="18"/>
                <w:szCs w:val="18"/>
              </w:rPr>
            </w:pPr>
          </w:p>
        </w:tc>
        <w:tc>
          <w:tcPr>
            <w:tcW w:w="450" w:type="dxa"/>
            <w:shd w:val="clear" w:color="auto" w:fill="auto"/>
            <w:noWrap/>
            <w:vAlign w:val="center"/>
            <w:hideMark/>
          </w:tcPr>
          <w:p w14:paraId="4395C401" w14:textId="77777777" w:rsidR="00D91973" w:rsidRPr="00A91056" w:rsidRDefault="00D91973" w:rsidP="00D91973">
            <w:pPr>
              <w:widowControl/>
              <w:spacing w:line="240" w:lineRule="auto"/>
              <w:ind w:firstLine="0"/>
              <w:jc w:val="center"/>
              <w:rPr>
                <w:rFonts w:eastAsia="Times New Roman" w:cs="Arial"/>
                <w:sz w:val="18"/>
                <w:szCs w:val="18"/>
              </w:rPr>
            </w:pPr>
          </w:p>
        </w:tc>
        <w:tc>
          <w:tcPr>
            <w:tcW w:w="720" w:type="dxa"/>
            <w:shd w:val="clear" w:color="auto" w:fill="auto"/>
            <w:noWrap/>
            <w:vAlign w:val="center"/>
            <w:hideMark/>
          </w:tcPr>
          <w:p w14:paraId="638D27D6" w14:textId="77777777" w:rsidR="00D91973" w:rsidRPr="00A91056" w:rsidRDefault="00D91973" w:rsidP="00D91973">
            <w:pPr>
              <w:widowControl/>
              <w:spacing w:line="240" w:lineRule="auto"/>
              <w:ind w:firstLine="0"/>
              <w:jc w:val="center"/>
              <w:rPr>
                <w:rFonts w:eastAsia="Times New Roman" w:cs="Arial"/>
                <w:sz w:val="18"/>
                <w:szCs w:val="18"/>
              </w:rPr>
            </w:pPr>
          </w:p>
        </w:tc>
        <w:tc>
          <w:tcPr>
            <w:tcW w:w="613" w:type="dxa"/>
            <w:shd w:val="clear" w:color="auto" w:fill="auto"/>
            <w:noWrap/>
            <w:vAlign w:val="center"/>
            <w:hideMark/>
          </w:tcPr>
          <w:p w14:paraId="22A6ADBF"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47" w:type="dxa"/>
            <w:gridSpan w:val="2"/>
            <w:shd w:val="clear" w:color="auto" w:fill="auto"/>
            <w:noWrap/>
            <w:vAlign w:val="center"/>
            <w:hideMark/>
          </w:tcPr>
          <w:p w14:paraId="71720944"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540" w:type="dxa"/>
            <w:shd w:val="clear" w:color="auto" w:fill="auto"/>
            <w:noWrap/>
            <w:vAlign w:val="center"/>
            <w:hideMark/>
          </w:tcPr>
          <w:p w14:paraId="3EDA59BC" w14:textId="77777777" w:rsidR="00D91973" w:rsidRPr="00A91056" w:rsidRDefault="00D91973" w:rsidP="00D91973">
            <w:pPr>
              <w:widowControl/>
              <w:spacing w:line="240" w:lineRule="auto"/>
              <w:ind w:firstLine="0"/>
              <w:jc w:val="center"/>
              <w:rPr>
                <w:rFonts w:eastAsia="Times New Roman" w:cs="Arial"/>
                <w:sz w:val="18"/>
                <w:szCs w:val="18"/>
              </w:rPr>
            </w:pPr>
          </w:p>
        </w:tc>
        <w:tc>
          <w:tcPr>
            <w:tcW w:w="540" w:type="dxa"/>
            <w:shd w:val="clear" w:color="auto" w:fill="auto"/>
            <w:noWrap/>
            <w:vAlign w:val="center"/>
            <w:hideMark/>
          </w:tcPr>
          <w:p w14:paraId="59B147A7" w14:textId="77777777" w:rsidR="00D91973" w:rsidRPr="00A91056" w:rsidRDefault="00D91973" w:rsidP="00D91973">
            <w:pPr>
              <w:widowControl/>
              <w:spacing w:line="240" w:lineRule="auto"/>
              <w:ind w:firstLine="0"/>
              <w:jc w:val="center"/>
              <w:rPr>
                <w:rFonts w:eastAsia="Times New Roman" w:cs="Arial"/>
                <w:sz w:val="18"/>
                <w:szCs w:val="18"/>
              </w:rPr>
            </w:pPr>
          </w:p>
        </w:tc>
        <w:tc>
          <w:tcPr>
            <w:tcW w:w="450" w:type="dxa"/>
            <w:shd w:val="clear" w:color="auto" w:fill="auto"/>
            <w:noWrap/>
            <w:vAlign w:val="center"/>
            <w:hideMark/>
          </w:tcPr>
          <w:p w14:paraId="0116C104" w14:textId="77777777" w:rsidR="00D91973" w:rsidRPr="00A91056" w:rsidRDefault="00D91973" w:rsidP="00D91973">
            <w:pPr>
              <w:widowControl/>
              <w:spacing w:line="240" w:lineRule="auto"/>
              <w:ind w:firstLine="0"/>
              <w:jc w:val="center"/>
              <w:rPr>
                <w:rFonts w:eastAsia="Times New Roman" w:cs="Arial"/>
                <w:sz w:val="18"/>
                <w:szCs w:val="18"/>
              </w:rPr>
            </w:pPr>
          </w:p>
        </w:tc>
        <w:tc>
          <w:tcPr>
            <w:tcW w:w="720" w:type="dxa"/>
            <w:shd w:val="clear" w:color="auto" w:fill="auto"/>
            <w:noWrap/>
            <w:vAlign w:val="center"/>
            <w:hideMark/>
          </w:tcPr>
          <w:p w14:paraId="60F766C8" w14:textId="77777777" w:rsidR="00D91973" w:rsidRPr="00A91056" w:rsidRDefault="00D91973" w:rsidP="00D91973">
            <w:pPr>
              <w:widowControl/>
              <w:spacing w:line="240" w:lineRule="auto"/>
              <w:ind w:firstLine="0"/>
              <w:jc w:val="center"/>
              <w:rPr>
                <w:rFonts w:eastAsia="Times New Roman" w:cs="Arial"/>
                <w:sz w:val="18"/>
                <w:szCs w:val="18"/>
              </w:rPr>
            </w:pPr>
          </w:p>
        </w:tc>
        <w:tc>
          <w:tcPr>
            <w:tcW w:w="720" w:type="dxa"/>
            <w:shd w:val="clear" w:color="auto" w:fill="auto"/>
            <w:noWrap/>
            <w:vAlign w:val="center"/>
            <w:hideMark/>
          </w:tcPr>
          <w:p w14:paraId="38501ACC" w14:textId="77777777" w:rsidR="00D91973" w:rsidRPr="00A91056" w:rsidRDefault="00D91973" w:rsidP="00D91973">
            <w:pPr>
              <w:widowControl/>
              <w:spacing w:line="240" w:lineRule="auto"/>
              <w:ind w:firstLine="0"/>
              <w:jc w:val="center"/>
              <w:rPr>
                <w:rFonts w:eastAsia="Times New Roman" w:cs="Arial"/>
                <w:sz w:val="18"/>
                <w:szCs w:val="18"/>
              </w:rPr>
            </w:pPr>
          </w:p>
        </w:tc>
      </w:tr>
      <w:tr w:rsidR="00F64830" w:rsidRPr="00A91056" w14:paraId="0B43BA23" w14:textId="77777777" w:rsidTr="007D701C">
        <w:trPr>
          <w:trHeight w:val="288"/>
        </w:trPr>
        <w:tc>
          <w:tcPr>
            <w:tcW w:w="2395" w:type="dxa"/>
            <w:shd w:val="clear" w:color="auto" w:fill="auto"/>
            <w:noWrap/>
            <w:vAlign w:val="center"/>
            <w:hideMark/>
          </w:tcPr>
          <w:p w14:paraId="2C627FC7" w14:textId="77777777"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Estragole</w:t>
            </w:r>
          </w:p>
        </w:tc>
        <w:tc>
          <w:tcPr>
            <w:tcW w:w="1115" w:type="dxa"/>
            <w:shd w:val="clear" w:color="auto" w:fill="auto"/>
            <w:noWrap/>
            <w:vAlign w:val="center"/>
            <w:hideMark/>
          </w:tcPr>
          <w:p w14:paraId="59CCC371"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140-67-0</w:t>
            </w:r>
          </w:p>
        </w:tc>
        <w:tc>
          <w:tcPr>
            <w:tcW w:w="990" w:type="dxa"/>
            <w:shd w:val="clear" w:color="auto" w:fill="auto"/>
            <w:vAlign w:val="center"/>
            <w:hideMark/>
          </w:tcPr>
          <w:p w14:paraId="1F72B133"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0.25 - 40</w:t>
            </w:r>
          </w:p>
        </w:tc>
        <w:tc>
          <w:tcPr>
            <w:tcW w:w="450" w:type="dxa"/>
            <w:shd w:val="clear" w:color="auto" w:fill="auto"/>
            <w:noWrap/>
            <w:vAlign w:val="center"/>
            <w:hideMark/>
          </w:tcPr>
          <w:p w14:paraId="0E04C1A1" w14:textId="5B024439"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6784F7A1" w14:textId="7AE8ADF8"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540" w:type="dxa"/>
            <w:shd w:val="clear" w:color="auto" w:fill="auto"/>
            <w:noWrap/>
            <w:hideMark/>
          </w:tcPr>
          <w:p w14:paraId="731CD9E4" w14:textId="0919AD91"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w:t>
            </w:r>
          </w:p>
        </w:tc>
        <w:tc>
          <w:tcPr>
            <w:tcW w:w="810" w:type="dxa"/>
            <w:shd w:val="clear" w:color="auto" w:fill="auto"/>
            <w:noWrap/>
            <w:vAlign w:val="center"/>
            <w:hideMark/>
          </w:tcPr>
          <w:p w14:paraId="34DFEA14" w14:textId="48FC4312"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25" w:type="dxa"/>
            <w:shd w:val="clear" w:color="auto" w:fill="auto"/>
            <w:noWrap/>
            <w:vAlign w:val="center"/>
            <w:hideMark/>
          </w:tcPr>
          <w:p w14:paraId="0D23CAA0" w14:textId="48D41D9B"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312108EF"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30" w:type="dxa"/>
            <w:shd w:val="clear" w:color="auto" w:fill="auto"/>
            <w:noWrap/>
            <w:vAlign w:val="center"/>
            <w:hideMark/>
          </w:tcPr>
          <w:p w14:paraId="5B608420" w14:textId="77777777" w:rsidR="00D91973" w:rsidRPr="00A91056" w:rsidRDefault="00D91973" w:rsidP="00D91973">
            <w:pPr>
              <w:widowControl/>
              <w:spacing w:line="240" w:lineRule="auto"/>
              <w:ind w:firstLine="0"/>
              <w:jc w:val="center"/>
              <w:rPr>
                <w:rFonts w:eastAsia="Times New Roman" w:cs="Arial"/>
                <w:sz w:val="18"/>
                <w:szCs w:val="18"/>
              </w:rPr>
            </w:pPr>
          </w:p>
        </w:tc>
        <w:tc>
          <w:tcPr>
            <w:tcW w:w="450" w:type="dxa"/>
            <w:shd w:val="clear" w:color="auto" w:fill="auto"/>
            <w:noWrap/>
            <w:vAlign w:val="center"/>
            <w:hideMark/>
          </w:tcPr>
          <w:p w14:paraId="20B9AE85" w14:textId="3DCEA454"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0E68F791"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13" w:type="dxa"/>
            <w:shd w:val="clear" w:color="auto" w:fill="auto"/>
            <w:noWrap/>
            <w:vAlign w:val="center"/>
            <w:hideMark/>
          </w:tcPr>
          <w:p w14:paraId="298B3BE7"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47" w:type="dxa"/>
            <w:gridSpan w:val="2"/>
            <w:shd w:val="clear" w:color="auto" w:fill="auto"/>
            <w:noWrap/>
            <w:vAlign w:val="center"/>
            <w:hideMark/>
          </w:tcPr>
          <w:p w14:paraId="7406BCC0" w14:textId="2D8FBA1E"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540" w:type="dxa"/>
            <w:shd w:val="clear" w:color="auto" w:fill="auto"/>
            <w:noWrap/>
            <w:vAlign w:val="center"/>
            <w:hideMark/>
          </w:tcPr>
          <w:p w14:paraId="41840A29"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540" w:type="dxa"/>
            <w:shd w:val="clear" w:color="auto" w:fill="auto"/>
            <w:noWrap/>
            <w:vAlign w:val="center"/>
            <w:hideMark/>
          </w:tcPr>
          <w:p w14:paraId="01869CD7" w14:textId="2AD3D04B" w:rsidR="00D91973" w:rsidRPr="00A91056" w:rsidRDefault="00D91973" w:rsidP="00D91973">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450" w:type="dxa"/>
            <w:shd w:val="clear" w:color="auto" w:fill="auto"/>
            <w:noWrap/>
            <w:vAlign w:val="center"/>
            <w:hideMark/>
          </w:tcPr>
          <w:p w14:paraId="243BA4B2"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shd w:val="clear" w:color="auto" w:fill="auto"/>
            <w:noWrap/>
            <w:vAlign w:val="center"/>
            <w:hideMark/>
          </w:tcPr>
          <w:p w14:paraId="1F2A0A2C" w14:textId="32DA398D"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4876A925" w14:textId="0FBF4263"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F64830" w:rsidRPr="00A91056" w14:paraId="1454A016" w14:textId="77777777" w:rsidTr="007D701C">
        <w:trPr>
          <w:trHeight w:val="288"/>
        </w:trPr>
        <w:tc>
          <w:tcPr>
            <w:tcW w:w="2395" w:type="dxa"/>
            <w:shd w:val="clear" w:color="auto" w:fill="auto"/>
            <w:noWrap/>
            <w:vAlign w:val="center"/>
            <w:hideMark/>
          </w:tcPr>
          <w:p w14:paraId="404889A9" w14:textId="77777777"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Eugenol</w:t>
            </w:r>
          </w:p>
        </w:tc>
        <w:tc>
          <w:tcPr>
            <w:tcW w:w="1115" w:type="dxa"/>
            <w:shd w:val="clear" w:color="auto" w:fill="auto"/>
            <w:noWrap/>
            <w:vAlign w:val="center"/>
            <w:hideMark/>
          </w:tcPr>
          <w:p w14:paraId="39D5F408"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97-53-0</w:t>
            </w:r>
          </w:p>
        </w:tc>
        <w:tc>
          <w:tcPr>
            <w:tcW w:w="990" w:type="dxa"/>
            <w:shd w:val="clear" w:color="auto" w:fill="auto"/>
            <w:vAlign w:val="center"/>
            <w:hideMark/>
          </w:tcPr>
          <w:p w14:paraId="5FFFB65D"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1 - 2.5  ª</w:t>
            </w:r>
          </w:p>
        </w:tc>
        <w:tc>
          <w:tcPr>
            <w:tcW w:w="450" w:type="dxa"/>
            <w:shd w:val="clear" w:color="auto" w:fill="auto"/>
            <w:noWrap/>
            <w:vAlign w:val="center"/>
            <w:hideMark/>
          </w:tcPr>
          <w:p w14:paraId="7003F75B" w14:textId="5B47C17A"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63355BA3" w14:textId="3B32F7AF"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540" w:type="dxa"/>
            <w:shd w:val="clear" w:color="auto" w:fill="auto"/>
            <w:vAlign w:val="center"/>
            <w:hideMark/>
          </w:tcPr>
          <w:p w14:paraId="1109668B" w14:textId="3D5AB0E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w:t>
            </w:r>
          </w:p>
        </w:tc>
        <w:tc>
          <w:tcPr>
            <w:tcW w:w="810" w:type="dxa"/>
            <w:shd w:val="clear" w:color="auto" w:fill="auto"/>
            <w:noWrap/>
            <w:vAlign w:val="center"/>
            <w:hideMark/>
          </w:tcPr>
          <w:p w14:paraId="30AF8C4F" w14:textId="2899948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625" w:type="dxa"/>
            <w:shd w:val="clear" w:color="auto" w:fill="auto"/>
            <w:noWrap/>
            <w:vAlign w:val="center"/>
            <w:hideMark/>
          </w:tcPr>
          <w:p w14:paraId="59A673D0" w14:textId="0B9D0374"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61B5C67B" w14:textId="328BFCA0"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30" w:type="dxa"/>
            <w:shd w:val="clear" w:color="auto" w:fill="auto"/>
            <w:noWrap/>
            <w:vAlign w:val="center"/>
            <w:hideMark/>
          </w:tcPr>
          <w:p w14:paraId="158C474F" w14:textId="77B1C840"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450" w:type="dxa"/>
            <w:shd w:val="clear" w:color="auto" w:fill="auto"/>
            <w:noWrap/>
            <w:vAlign w:val="center"/>
            <w:hideMark/>
          </w:tcPr>
          <w:p w14:paraId="41986762" w14:textId="3E74287A"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0EC2F199" w14:textId="35E7C70D"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613" w:type="dxa"/>
            <w:shd w:val="clear" w:color="auto" w:fill="auto"/>
            <w:noWrap/>
            <w:vAlign w:val="center"/>
            <w:hideMark/>
          </w:tcPr>
          <w:p w14:paraId="12392EC1" w14:textId="77777777" w:rsidR="00D91973" w:rsidRPr="00A91056" w:rsidRDefault="00D91973" w:rsidP="00D91973">
            <w:pPr>
              <w:widowControl/>
              <w:spacing w:line="240" w:lineRule="auto"/>
              <w:ind w:firstLine="0"/>
              <w:jc w:val="center"/>
              <w:rPr>
                <w:rFonts w:eastAsia="Times New Roman" w:cs="Arial"/>
                <w:sz w:val="18"/>
                <w:szCs w:val="18"/>
              </w:rPr>
            </w:pPr>
          </w:p>
        </w:tc>
        <w:tc>
          <w:tcPr>
            <w:tcW w:w="647" w:type="dxa"/>
            <w:gridSpan w:val="2"/>
            <w:shd w:val="clear" w:color="auto" w:fill="auto"/>
            <w:noWrap/>
            <w:vAlign w:val="center"/>
            <w:hideMark/>
          </w:tcPr>
          <w:p w14:paraId="00975DEF" w14:textId="0BCD7FB2"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540" w:type="dxa"/>
            <w:shd w:val="clear" w:color="auto" w:fill="auto"/>
            <w:noWrap/>
            <w:vAlign w:val="center"/>
            <w:hideMark/>
          </w:tcPr>
          <w:p w14:paraId="49FB4F2C" w14:textId="0C3D5372"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540" w:type="dxa"/>
            <w:shd w:val="clear" w:color="auto" w:fill="auto"/>
            <w:noWrap/>
            <w:vAlign w:val="center"/>
            <w:hideMark/>
          </w:tcPr>
          <w:p w14:paraId="4919316A" w14:textId="2E7A2262"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450" w:type="dxa"/>
            <w:shd w:val="clear" w:color="auto" w:fill="auto"/>
            <w:noWrap/>
            <w:vAlign w:val="center"/>
            <w:hideMark/>
          </w:tcPr>
          <w:p w14:paraId="66897A0F"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shd w:val="clear" w:color="auto" w:fill="auto"/>
            <w:noWrap/>
            <w:vAlign w:val="center"/>
            <w:hideMark/>
          </w:tcPr>
          <w:p w14:paraId="431C8763" w14:textId="77777777" w:rsidR="00D91973" w:rsidRPr="00A91056" w:rsidRDefault="00D91973" w:rsidP="00D91973">
            <w:pPr>
              <w:widowControl/>
              <w:spacing w:line="240" w:lineRule="auto"/>
              <w:ind w:firstLine="0"/>
              <w:jc w:val="center"/>
              <w:rPr>
                <w:rFonts w:eastAsia="Times New Roman" w:cs="Arial"/>
                <w:sz w:val="18"/>
                <w:szCs w:val="18"/>
              </w:rPr>
            </w:pPr>
          </w:p>
        </w:tc>
        <w:tc>
          <w:tcPr>
            <w:tcW w:w="720" w:type="dxa"/>
            <w:shd w:val="clear" w:color="auto" w:fill="auto"/>
            <w:noWrap/>
            <w:vAlign w:val="center"/>
            <w:hideMark/>
          </w:tcPr>
          <w:p w14:paraId="09B588FA" w14:textId="0F904D74"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r>
      <w:tr w:rsidR="00F64830" w:rsidRPr="00A91056" w14:paraId="6596D850" w14:textId="77777777" w:rsidTr="007D701C">
        <w:trPr>
          <w:trHeight w:val="288"/>
        </w:trPr>
        <w:tc>
          <w:tcPr>
            <w:tcW w:w="2395" w:type="dxa"/>
            <w:shd w:val="clear" w:color="auto" w:fill="auto"/>
            <w:noWrap/>
            <w:vAlign w:val="center"/>
            <w:hideMark/>
          </w:tcPr>
          <w:p w14:paraId="0D8E277D" w14:textId="77777777"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Geraniol</w:t>
            </w:r>
          </w:p>
        </w:tc>
        <w:tc>
          <w:tcPr>
            <w:tcW w:w="1115" w:type="dxa"/>
            <w:shd w:val="clear" w:color="auto" w:fill="auto"/>
            <w:noWrap/>
            <w:vAlign w:val="center"/>
            <w:hideMark/>
          </w:tcPr>
          <w:p w14:paraId="218DA26E"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106-24-1</w:t>
            </w:r>
          </w:p>
        </w:tc>
        <w:tc>
          <w:tcPr>
            <w:tcW w:w="990" w:type="dxa"/>
            <w:shd w:val="clear" w:color="auto" w:fill="auto"/>
            <w:vAlign w:val="center"/>
            <w:hideMark/>
          </w:tcPr>
          <w:p w14:paraId="519D1C65"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 xml:space="preserve">10 - 25 </w:t>
            </w:r>
            <w:r w:rsidRPr="00A91056">
              <w:rPr>
                <w:rFonts w:eastAsia="Times New Roman" w:cs="Arial"/>
                <w:color w:val="000000"/>
                <w:sz w:val="18"/>
                <w:szCs w:val="18"/>
                <w:vertAlign w:val="superscript"/>
              </w:rPr>
              <w:t>a</w:t>
            </w:r>
          </w:p>
        </w:tc>
        <w:tc>
          <w:tcPr>
            <w:tcW w:w="450" w:type="dxa"/>
            <w:shd w:val="clear" w:color="auto" w:fill="auto"/>
            <w:noWrap/>
            <w:vAlign w:val="center"/>
            <w:hideMark/>
          </w:tcPr>
          <w:p w14:paraId="13571EA5" w14:textId="208952BF"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103F4C27" w14:textId="37089856"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540" w:type="dxa"/>
            <w:shd w:val="clear" w:color="auto" w:fill="auto"/>
            <w:noWrap/>
            <w:hideMark/>
          </w:tcPr>
          <w:p w14:paraId="67592E16" w14:textId="78EE1B5C"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w:t>
            </w:r>
          </w:p>
        </w:tc>
        <w:tc>
          <w:tcPr>
            <w:tcW w:w="810" w:type="dxa"/>
            <w:shd w:val="clear" w:color="auto" w:fill="auto"/>
            <w:noWrap/>
            <w:vAlign w:val="center"/>
            <w:hideMark/>
          </w:tcPr>
          <w:p w14:paraId="6349EB7D"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25" w:type="dxa"/>
            <w:shd w:val="clear" w:color="auto" w:fill="auto"/>
            <w:noWrap/>
            <w:vAlign w:val="center"/>
            <w:hideMark/>
          </w:tcPr>
          <w:p w14:paraId="25DC1106" w14:textId="3B523998"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0685DB44" w14:textId="0FE64AFC"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630" w:type="dxa"/>
            <w:shd w:val="clear" w:color="auto" w:fill="auto"/>
            <w:noWrap/>
            <w:vAlign w:val="center"/>
            <w:hideMark/>
          </w:tcPr>
          <w:p w14:paraId="58396923" w14:textId="33A9A862"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450" w:type="dxa"/>
            <w:shd w:val="clear" w:color="auto" w:fill="auto"/>
            <w:noWrap/>
            <w:vAlign w:val="center"/>
            <w:hideMark/>
          </w:tcPr>
          <w:p w14:paraId="2D834EB7" w14:textId="31F101E6"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216F84A5" w14:textId="62D37B2C"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613" w:type="dxa"/>
            <w:shd w:val="clear" w:color="auto" w:fill="auto"/>
            <w:noWrap/>
            <w:vAlign w:val="center"/>
            <w:hideMark/>
          </w:tcPr>
          <w:p w14:paraId="19221DCF" w14:textId="77777777" w:rsidR="00D91973" w:rsidRPr="00A91056" w:rsidRDefault="00D91973" w:rsidP="00D91973">
            <w:pPr>
              <w:widowControl/>
              <w:spacing w:line="240" w:lineRule="auto"/>
              <w:ind w:firstLine="0"/>
              <w:jc w:val="center"/>
              <w:rPr>
                <w:rFonts w:eastAsia="Times New Roman" w:cs="Arial"/>
                <w:sz w:val="18"/>
                <w:szCs w:val="18"/>
              </w:rPr>
            </w:pPr>
          </w:p>
        </w:tc>
        <w:tc>
          <w:tcPr>
            <w:tcW w:w="647" w:type="dxa"/>
            <w:gridSpan w:val="2"/>
            <w:shd w:val="clear" w:color="auto" w:fill="auto"/>
            <w:noWrap/>
            <w:vAlign w:val="center"/>
            <w:hideMark/>
          </w:tcPr>
          <w:p w14:paraId="090E130B"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540" w:type="dxa"/>
            <w:shd w:val="clear" w:color="auto" w:fill="auto"/>
            <w:noWrap/>
            <w:vAlign w:val="center"/>
            <w:hideMark/>
          </w:tcPr>
          <w:p w14:paraId="7BFD4E7B" w14:textId="77777777" w:rsidR="00D91973" w:rsidRPr="00A91056" w:rsidRDefault="00D91973" w:rsidP="00D91973">
            <w:pPr>
              <w:widowControl/>
              <w:spacing w:line="240" w:lineRule="auto"/>
              <w:ind w:firstLine="0"/>
              <w:jc w:val="center"/>
              <w:rPr>
                <w:rFonts w:eastAsia="Times New Roman" w:cs="Arial"/>
                <w:sz w:val="18"/>
                <w:szCs w:val="18"/>
              </w:rPr>
            </w:pPr>
          </w:p>
        </w:tc>
        <w:tc>
          <w:tcPr>
            <w:tcW w:w="540" w:type="dxa"/>
            <w:shd w:val="clear" w:color="auto" w:fill="auto"/>
            <w:noWrap/>
            <w:vAlign w:val="center"/>
            <w:hideMark/>
          </w:tcPr>
          <w:p w14:paraId="3FB8BB72" w14:textId="5857D136"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450" w:type="dxa"/>
            <w:shd w:val="clear" w:color="auto" w:fill="auto"/>
            <w:noWrap/>
            <w:vAlign w:val="center"/>
            <w:hideMark/>
          </w:tcPr>
          <w:p w14:paraId="2CFBDA82"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shd w:val="clear" w:color="auto" w:fill="auto"/>
            <w:noWrap/>
            <w:vAlign w:val="center"/>
            <w:hideMark/>
          </w:tcPr>
          <w:p w14:paraId="54FA7BC0" w14:textId="77777777" w:rsidR="00D91973" w:rsidRPr="00A91056" w:rsidRDefault="00D91973" w:rsidP="00D91973">
            <w:pPr>
              <w:widowControl/>
              <w:spacing w:line="240" w:lineRule="auto"/>
              <w:ind w:firstLine="0"/>
              <w:jc w:val="center"/>
              <w:rPr>
                <w:rFonts w:eastAsia="Times New Roman" w:cs="Arial"/>
                <w:sz w:val="18"/>
                <w:szCs w:val="18"/>
              </w:rPr>
            </w:pPr>
          </w:p>
        </w:tc>
        <w:tc>
          <w:tcPr>
            <w:tcW w:w="720" w:type="dxa"/>
            <w:shd w:val="clear" w:color="auto" w:fill="auto"/>
            <w:noWrap/>
            <w:vAlign w:val="center"/>
            <w:hideMark/>
          </w:tcPr>
          <w:p w14:paraId="1366B0BC" w14:textId="77777777" w:rsidR="00D91973" w:rsidRPr="00A91056" w:rsidRDefault="00D91973" w:rsidP="00D91973">
            <w:pPr>
              <w:widowControl/>
              <w:spacing w:line="240" w:lineRule="auto"/>
              <w:ind w:firstLine="0"/>
              <w:jc w:val="center"/>
              <w:rPr>
                <w:rFonts w:eastAsia="Times New Roman" w:cs="Arial"/>
                <w:color w:val="000000"/>
                <w:sz w:val="18"/>
                <w:szCs w:val="18"/>
              </w:rPr>
            </w:pPr>
          </w:p>
        </w:tc>
      </w:tr>
      <w:tr w:rsidR="00F64830" w:rsidRPr="00A91056" w14:paraId="5CDC0BD0" w14:textId="77777777" w:rsidTr="007D701C">
        <w:trPr>
          <w:trHeight w:val="288"/>
        </w:trPr>
        <w:tc>
          <w:tcPr>
            <w:tcW w:w="2395" w:type="dxa"/>
            <w:shd w:val="clear" w:color="auto" w:fill="auto"/>
            <w:noWrap/>
            <w:vAlign w:val="center"/>
            <w:hideMark/>
          </w:tcPr>
          <w:p w14:paraId="66F561DB" w14:textId="77777777"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Geranyl nitrile</w:t>
            </w:r>
          </w:p>
        </w:tc>
        <w:tc>
          <w:tcPr>
            <w:tcW w:w="1115" w:type="dxa"/>
            <w:shd w:val="clear" w:color="auto" w:fill="auto"/>
            <w:noWrap/>
            <w:vAlign w:val="center"/>
            <w:hideMark/>
          </w:tcPr>
          <w:p w14:paraId="6EB804DE"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5146-66-7</w:t>
            </w:r>
          </w:p>
        </w:tc>
        <w:tc>
          <w:tcPr>
            <w:tcW w:w="990" w:type="dxa"/>
            <w:shd w:val="clear" w:color="auto" w:fill="auto"/>
            <w:vAlign w:val="center"/>
            <w:hideMark/>
          </w:tcPr>
          <w:p w14:paraId="249FB196"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 xml:space="preserve">6.3 - 25 </w:t>
            </w:r>
            <w:r w:rsidRPr="00A91056">
              <w:rPr>
                <w:rFonts w:eastAsia="Times New Roman" w:cs="Arial"/>
                <w:color w:val="000000"/>
                <w:sz w:val="18"/>
                <w:szCs w:val="18"/>
                <w:vertAlign w:val="superscript"/>
              </w:rPr>
              <w:t>a</w:t>
            </w:r>
          </w:p>
        </w:tc>
        <w:tc>
          <w:tcPr>
            <w:tcW w:w="450" w:type="dxa"/>
            <w:shd w:val="clear" w:color="auto" w:fill="auto"/>
            <w:noWrap/>
            <w:vAlign w:val="center"/>
            <w:hideMark/>
          </w:tcPr>
          <w:p w14:paraId="1D6C8190" w14:textId="32019AAC"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66B34262" w14:textId="0AE3D6B1"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540" w:type="dxa"/>
            <w:shd w:val="clear" w:color="auto" w:fill="auto"/>
            <w:noWrap/>
            <w:hideMark/>
          </w:tcPr>
          <w:p w14:paraId="060697FA" w14:textId="4D05C190"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w:t>
            </w:r>
          </w:p>
        </w:tc>
        <w:tc>
          <w:tcPr>
            <w:tcW w:w="810" w:type="dxa"/>
            <w:shd w:val="clear" w:color="auto" w:fill="auto"/>
            <w:noWrap/>
            <w:vAlign w:val="center"/>
            <w:hideMark/>
          </w:tcPr>
          <w:p w14:paraId="4600F44A"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25" w:type="dxa"/>
            <w:shd w:val="clear" w:color="auto" w:fill="auto"/>
            <w:noWrap/>
            <w:vAlign w:val="center"/>
            <w:hideMark/>
          </w:tcPr>
          <w:p w14:paraId="2DA883A4" w14:textId="36D2B52F"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34CEEC5E" w14:textId="09A686F4"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630" w:type="dxa"/>
            <w:shd w:val="clear" w:color="auto" w:fill="auto"/>
            <w:noWrap/>
            <w:vAlign w:val="center"/>
            <w:hideMark/>
          </w:tcPr>
          <w:p w14:paraId="014E9810"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450" w:type="dxa"/>
            <w:shd w:val="clear" w:color="auto" w:fill="auto"/>
            <w:noWrap/>
            <w:vAlign w:val="center"/>
            <w:hideMark/>
          </w:tcPr>
          <w:p w14:paraId="3F2C3CFC" w14:textId="4AB39AF5"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1F2C589B"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13" w:type="dxa"/>
            <w:shd w:val="clear" w:color="auto" w:fill="auto"/>
            <w:noWrap/>
            <w:vAlign w:val="center"/>
            <w:hideMark/>
          </w:tcPr>
          <w:p w14:paraId="2D79874F" w14:textId="77777777" w:rsidR="00D91973" w:rsidRPr="00A91056" w:rsidRDefault="00D91973" w:rsidP="00D91973">
            <w:pPr>
              <w:widowControl/>
              <w:spacing w:line="240" w:lineRule="auto"/>
              <w:ind w:firstLine="0"/>
              <w:jc w:val="center"/>
              <w:rPr>
                <w:rFonts w:eastAsia="Times New Roman" w:cs="Arial"/>
                <w:sz w:val="18"/>
                <w:szCs w:val="18"/>
              </w:rPr>
            </w:pPr>
          </w:p>
        </w:tc>
        <w:tc>
          <w:tcPr>
            <w:tcW w:w="647" w:type="dxa"/>
            <w:gridSpan w:val="2"/>
            <w:shd w:val="clear" w:color="auto" w:fill="auto"/>
            <w:noWrap/>
            <w:vAlign w:val="center"/>
            <w:hideMark/>
          </w:tcPr>
          <w:p w14:paraId="43BCC0E5" w14:textId="7F0D7593"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540" w:type="dxa"/>
            <w:shd w:val="clear" w:color="auto" w:fill="auto"/>
            <w:noWrap/>
            <w:vAlign w:val="center"/>
            <w:hideMark/>
          </w:tcPr>
          <w:p w14:paraId="3B40DE5E"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540" w:type="dxa"/>
            <w:shd w:val="clear" w:color="auto" w:fill="auto"/>
            <w:noWrap/>
            <w:vAlign w:val="center"/>
            <w:hideMark/>
          </w:tcPr>
          <w:p w14:paraId="429F996F" w14:textId="25525A10"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450" w:type="dxa"/>
            <w:shd w:val="clear" w:color="auto" w:fill="auto"/>
            <w:noWrap/>
            <w:vAlign w:val="center"/>
            <w:hideMark/>
          </w:tcPr>
          <w:p w14:paraId="7FCE16A1" w14:textId="6D9B4518"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2047207E"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shd w:val="clear" w:color="auto" w:fill="auto"/>
            <w:noWrap/>
            <w:vAlign w:val="center"/>
            <w:hideMark/>
          </w:tcPr>
          <w:p w14:paraId="61002017" w14:textId="77777777" w:rsidR="00D91973" w:rsidRPr="00A91056" w:rsidRDefault="00D91973" w:rsidP="00D91973">
            <w:pPr>
              <w:widowControl/>
              <w:spacing w:line="240" w:lineRule="auto"/>
              <w:ind w:firstLine="0"/>
              <w:jc w:val="center"/>
              <w:rPr>
                <w:rFonts w:eastAsia="Times New Roman" w:cs="Arial"/>
                <w:color w:val="000000"/>
                <w:sz w:val="18"/>
                <w:szCs w:val="18"/>
              </w:rPr>
            </w:pPr>
          </w:p>
        </w:tc>
      </w:tr>
      <w:tr w:rsidR="00F64830" w:rsidRPr="00A91056" w14:paraId="32EDC2A4" w14:textId="77777777" w:rsidTr="007D701C">
        <w:trPr>
          <w:trHeight w:val="288"/>
        </w:trPr>
        <w:tc>
          <w:tcPr>
            <w:tcW w:w="2395" w:type="dxa"/>
            <w:shd w:val="clear" w:color="auto" w:fill="auto"/>
            <w:noWrap/>
            <w:vAlign w:val="center"/>
            <w:hideMark/>
          </w:tcPr>
          <w:p w14:paraId="00BE1544" w14:textId="77777777"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Griseofulvin</w:t>
            </w:r>
          </w:p>
        </w:tc>
        <w:tc>
          <w:tcPr>
            <w:tcW w:w="1115" w:type="dxa"/>
            <w:shd w:val="clear" w:color="auto" w:fill="auto"/>
            <w:noWrap/>
            <w:vAlign w:val="center"/>
            <w:hideMark/>
          </w:tcPr>
          <w:p w14:paraId="174277FF"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126-07-8</w:t>
            </w:r>
          </w:p>
        </w:tc>
        <w:tc>
          <w:tcPr>
            <w:tcW w:w="990" w:type="dxa"/>
            <w:shd w:val="clear" w:color="auto" w:fill="auto"/>
            <w:vAlign w:val="center"/>
            <w:hideMark/>
          </w:tcPr>
          <w:p w14:paraId="6C021E25"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1 - 1.5</w:t>
            </w:r>
          </w:p>
        </w:tc>
        <w:tc>
          <w:tcPr>
            <w:tcW w:w="450" w:type="dxa"/>
            <w:shd w:val="clear" w:color="auto" w:fill="auto"/>
            <w:noWrap/>
            <w:vAlign w:val="center"/>
            <w:hideMark/>
          </w:tcPr>
          <w:p w14:paraId="284B52BD" w14:textId="1253F7E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6CB1DE12" w14:textId="2AF9579B"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540" w:type="dxa"/>
            <w:shd w:val="clear" w:color="auto" w:fill="auto"/>
            <w:vAlign w:val="center"/>
            <w:hideMark/>
          </w:tcPr>
          <w:p w14:paraId="7EA14854" w14:textId="70DF8947" w:rsidR="00D91973" w:rsidRPr="00A91056" w:rsidRDefault="00D91973" w:rsidP="00D91973">
            <w:pPr>
              <w:widowControl/>
              <w:spacing w:line="240" w:lineRule="auto"/>
              <w:ind w:firstLine="0"/>
              <w:jc w:val="center"/>
              <w:rPr>
                <w:rFonts w:eastAsia="Times New Roman" w:cs="Arial"/>
                <w:color w:val="000000"/>
                <w:sz w:val="18"/>
                <w:szCs w:val="18"/>
              </w:rPr>
            </w:pPr>
          </w:p>
        </w:tc>
        <w:tc>
          <w:tcPr>
            <w:tcW w:w="810" w:type="dxa"/>
            <w:shd w:val="clear" w:color="auto" w:fill="auto"/>
            <w:noWrap/>
            <w:vAlign w:val="center"/>
            <w:hideMark/>
          </w:tcPr>
          <w:p w14:paraId="0C60BF05"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25" w:type="dxa"/>
            <w:shd w:val="clear" w:color="auto" w:fill="auto"/>
            <w:noWrap/>
            <w:vAlign w:val="center"/>
            <w:hideMark/>
          </w:tcPr>
          <w:p w14:paraId="768CEA12" w14:textId="0E2BD639"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16FCAAC7" w14:textId="3F1AF7C0"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630" w:type="dxa"/>
            <w:shd w:val="clear" w:color="auto" w:fill="auto"/>
            <w:noWrap/>
            <w:vAlign w:val="center"/>
            <w:hideMark/>
          </w:tcPr>
          <w:p w14:paraId="7630600B" w14:textId="613888FF"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450" w:type="dxa"/>
            <w:shd w:val="clear" w:color="auto" w:fill="auto"/>
            <w:noWrap/>
            <w:vAlign w:val="center"/>
            <w:hideMark/>
          </w:tcPr>
          <w:p w14:paraId="38E17856" w14:textId="1C749F5F"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3CD25C46"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13" w:type="dxa"/>
            <w:shd w:val="clear" w:color="auto" w:fill="auto"/>
            <w:noWrap/>
            <w:vAlign w:val="center"/>
            <w:hideMark/>
          </w:tcPr>
          <w:p w14:paraId="1DDC90DE" w14:textId="0866032F"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647" w:type="dxa"/>
            <w:gridSpan w:val="2"/>
            <w:shd w:val="clear" w:color="auto" w:fill="auto"/>
            <w:noWrap/>
            <w:vAlign w:val="center"/>
            <w:hideMark/>
          </w:tcPr>
          <w:p w14:paraId="09BADB24"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540" w:type="dxa"/>
            <w:shd w:val="clear" w:color="auto" w:fill="auto"/>
            <w:noWrap/>
            <w:vAlign w:val="center"/>
            <w:hideMark/>
          </w:tcPr>
          <w:p w14:paraId="6075A65A" w14:textId="77777777" w:rsidR="00D91973" w:rsidRPr="00A91056" w:rsidRDefault="00D91973" w:rsidP="00D91973">
            <w:pPr>
              <w:widowControl/>
              <w:spacing w:line="240" w:lineRule="auto"/>
              <w:ind w:firstLine="0"/>
              <w:jc w:val="center"/>
              <w:rPr>
                <w:rFonts w:eastAsia="Times New Roman" w:cs="Arial"/>
                <w:sz w:val="18"/>
                <w:szCs w:val="18"/>
              </w:rPr>
            </w:pPr>
          </w:p>
        </w:tc>
        <w:tc>
          <w:tcPr>
            <w:tcW w:w="540" w:type="dxa"/>
            <w:shd w:val="clear" w:color="auto" w:fill="auto"/>
            <w:noWrap/>
            <w:vAlign w:val="center"/>
            <w:hideMark/>
          </w:tcPr>
          <w:p w14:paraId="1C7BC654" w14:textId="0732B87B"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450" w:type="dxa"/>
            <w:shd w:val="clear" w:color="auto" w:fill="auto"/>
            <w:noWrap/>
            <w:vAlign w:val="center"/>
            <w:hideMark/>
          </w:tcPr>
          <w:p w14:paraId="5374531D" w14:textId="7654FA56"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30A56E21"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shd w:val="clear" w:color="auto" w:fill="auto"/>
            <w:noWrap/>
            <w:vAlign w:val="center"/>
            <w:hideMark/>
          </w:tcPr>
          <w:p w14:paraId="7B742CF6" w14:textId="777E9CC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F64830" w:rsidRPr="00A91056" w14:paraId="3FF526BC" w14:textId="77777777" w:rsidTr="007D701C">
        <w:trPr>
          <w:trHeight w:val="288"/>
        </w:trPr>
        <w:tc>
          <w:tcPr>
            <w:tcW w:w="2395" w:type="dxa"/>
            <w:shd w:val="clear" w:color="auto" w:fill="auto"/>
            <w:noWrap/>
            <w:vAlign w:val="center"/>
            <w:hideMark/>
          </w:tcPr>
          <w:p w14:paraId="6650EF5C" w14:textId="77777777"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lastRenderedPageBreak/>
              <w:t>Hydroquinone</w:t>
            </w:r>
          </w:p>
        </w:tc>
        <w:tc>
          <w:tcPr>
            <w:tcW w:w="1115" w:type="dxa"/>
            <w:shd w:val="clear" w:color="auto" w:fill="auto"/>
            <w:noWrap/>
            <w:vAlign w:val="center"/>
            <w:hideMark/>
          </w:tcPr>
          <w:p w14:paraId="49FB77D6"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123-31-9</w:t>
            </w:r>
          </w:p>
        </w:tc>
        <w:tc>
          <w:tcPr>
            <w:tcW w:w="990" w:type="dxa"/>
            <w:shd w:val="clear" w:color="auto" w:fill="auto"/>
            <w:vAlign w:val="center"/>
            <w:hideMark/>
          </w:tcPr>
          <w:p w14:paraId="4F31174C"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5 - 15</w:t>
            </w:r>
          </w:p>
        </w:tc>
        <w:tc>
          <w:tcPr>
            <w:tcW w:w="450" w:type="dxa"/>
            <w:shd w:val="clear" w:color="auto" w:fill="auto"/>
            <w:noWrap/>
            <w:vAlign w:val="center"/>
            <w:hideMark/>
          </w:tcPr>
          <w:p w14:paraId="29578E2F" w14:textId="02CDD2B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1EF6772B" w14:textId="429852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540" w:type="dxa"/>
            <w:shd w:val="clear" w:color="auto" w:fill="auto"/>
            <w:vAlign w:val="center"/>
            <w:hideMark/>
          </w:tcPr>
          <w:p w14:paraId="70467B25" w14:textId="4AA24C13" w:rsidR="00D91973" w:rsidRPr="00A91056" w:rsidRDefault="00D91973" w:rsidP="00D91973">
            <w:pPr>
              <w:widowControl/>
              <w:spacing w:line="240" w:lineRule="auto"/>
              <w:ind w:firstLine="0"/>
              <w:jc w:val="center"/>
              <w:rPr>
                <w:rFonts w:eastAsia="Times New Roman" w:cs="Arial"/>
                <w:color w:val="000000"/>
                <w:sz w:val="18"/>
                <w:szCs w:val="18"/>
              </w:rPr>
            </w:pPr>
          </w:p>
        </w:tc>
        <w:tc>
          <w:tcPr>
            <w:tcW w:w="810" w:type="dxa"/>
            <w:shd w:val="clear" w:color="auto" w:fill="auto"/>
            <w:vAlign w:val="center"/>
            <w:hideMark/>
          </w:tcPr>
          <w:p w14:paraId="5AEF2211" w14:textId="6CCD962D"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 in vivo</w:t>
            </w:r>
          </w:p>
        </w:tc>
        <w:tc>
          <w:tcPr>
            <w:tcW w:w="625" w:type="dxa"/>
            <w:shd w:val="clear" w:color="auto" w:fill="auto"/>
            <w:noWrap/>
            <w:vAlign w:val="center"/>
            <w:hideMark/>
          </w:tcPr>
          <w:p w14:paraId="22FAC81C" w14:textId="7EF57B9A"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09DB9D29" w14:textId="03DD2185"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30" w:type="dxa"/>
            <w:shd w:val="clear" w:color="auto" w:fill="auto"/>
            <w:noWrap/>
            <w:vAlign w:val="center"/>
            <w:hideMark/>
          </w:tcPr>
          <w:p w14:paraId="4928F035" w14:textId="3860327A"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450" w:type="dxa"/>
            <w:shd w:val="clear" w:color="auto" w:fill="auto"/>
            <w:noWrap/>
            <w:vAlign w:val="center"/>
            <w:hideMark/>
          </w:tcPr>
          <w:p w14:paraId="4293F194" w14:textId="2A63F821" w:rsidR="00D91973" w:rsidRPr="00A91056" w:rsidRDefault="00D91973" w:rsidP="00D91973">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720" w:type="dxa"/>
            <w:shd w:val="clear" w:color="auto" w:fill="auto"/>
            <w:noWrap/>
            <w:vAlign w:val="center"/>
            <w:hideMark/>
          </w:tcPr>
          <w:p w14:paraId="40A789D1" w14:textId="311947AF"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13" w:type="dxa"/>
            <w:shd w:val="clear" w:color="auto" w:fill="auto"/>
            <w:noWrap/>
            <w:vAlign w:val="center"/>
            <w:hideMark/>
          </w:tcPr>
          <w:p w14:paraId="31281952"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47" w:type="dxa"/>
            <w:gridSpan w:val="2"/>
            <w:shd w:val="clear" w:color="auto" w:fill="auto"/>
            <w:noWrap/>
            <w:vAlign w:val="center"/>
            <w:hideMark/>
          </w:tcPr>
          <w:p w14:paraId="0458B8FB"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540" w:type="dxa"/>
            <w:shd w:val="clear" w:color="auto" w:fill="auto"/>
            <w:noWrap/>
            <w:vAlign w:val="center"/>
            <w:hideMark/>
          </w:tcPr>
          <w:p w14:paraId="5ABD23DD" w14:textId="71FA55FB"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540" w:type="dxa"/>
            <w:shd w:val="clear" w:color="auto" w:fill="auto"/>
            <w:noWrap/>
            <w:vAlign w:val="center"/>
            <w:hideMark/>
          </w:tcPr>
          <w:p w14:paraId="2515B558" w14:textId="3996083A"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450" w:type="dxa"/>
            <w:shd w:val="clear" w:color="auto" w:fill="auto"/>
            <w:noWrap/>
            <w:vAlign w:val="center"/>
            <w:hideMark/>
          </w:tcPr>
          <w:p w14:paraId="4CDAC590" w14:textId="15A95809"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7FDA01EC" w14:textId="3907965F"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3AA3FB86" w14:textId="451BA488"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F64830" w:rsidRPr="00A91056" w14:paraId="1B58686E" w14:textId="77777777" w:rsidTr="007D701C">
        <w:trPr>
          <w:trHeight w:val="288"/>
        </w:trPr>
        <w:tc>
          <w:tcPr>
            <w:tcW w:w="2395" w:type="dxa"/>
            <w:shd w:val="clear" w:color="auto" w:fill="auto"/>
            <w:noWrap/>
            <w:vAlign w:val="center"/>
            <w:hideMark/>
          </w:tcPr>
          <w:p w14:paraId="3ADBD915" w14:textId="77777777"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iso-Eugenol</w:t>
            </w:r>
          </w:p>
        </w:tc>
        <w:tc>
          <w:tcPr>
            <w:tcW w:w="1115" w:type="dxa"/>
            <w:shd w:val="clear" w:color="auto" w:fill="auto"/>
            <w:noWrap/>
            <w:vAlign w:val="center"/>
            <w:hideMark/>
          </w:tcPr>
          <w:p w14:paraId="1F23CBDA"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97-54-1</w:t>
            </w:r>
          </w:p>
        </w:tc>
        <w:tc>
          <w:tcPr>
            <w:tcW w:w="990" w:type="dxa"/>
            <w:shd w:val="clear" w:color="auto" w:fill="auto"/>
            <w:vAlign w:val="center"/>
            <w:hideMark/>
          </w:tcPr>
          <w:p w14:paraId="3B504024"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1 - 4  ª</w:t>
            </w:r>
          </w:p>
        </w:tc>
        <w:tc>
          <w:tcPr>
            <w:tcW w:w="450" w:type="dxa"/>
            <w:shd w:val="clear" w:color="auto" w:fill="auto"/>
            <w:noWrap/>
            <w:vAlign w:val="center"/>
            <w:hideMark/>
          </w:tcPr>
          <w:p w14:paraId="10B965AB" w14:textId="68CCD6EC"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337E1AA0" w14:textId="54ADAB84"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540" w:type="dxa"/>
            <w:shd w:val="clear" w:color="auto" w:fill="auto"/>
            <w:noWrap/>
            <w:vAlign w:val="center"/>
            <w:hideMark/>
          </w:tcPr>
          <w:p w14:paraId="07D04D3C" w14:textId="61F57629"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w:t>
            </w:r>
          </w:p>
        </w:tc>
        <w:tc>
          <w:tcPr>
            <w:tcW w:w="810" w:type="dxa"/>
            <w:shd w:val="clear" w:color="auto" w:fill="auto"/>
            <w:noWrap/>
            <w:vAlign w:val="center"/>
            <w:hideMark/>
          </w:tcPr>
          <w:p w14:paraId="5D2FB9DB"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25" w:type="dxa"/>
            <w:shd w:val="clear" w:color="auto" w:fill="auto"/>
            <w:noWrap/>
            <w:vAlign w:val="center"/>
            <w:hideMark/>
          </w:tcPr>
          <w:p w14:paraId="0AF9F635" w14:textId="1857A878"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3266F518"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30" w:type="dxa"/>
            <w:shd w:val="clear" w:color="auto" w:fill="auto"/>
            <w:noWrap/>
            <w:vAlign w:val="center"/>
            <w:hideMark/>
          </w:tcPr>
          <w:p w14:paraId="32D56925" w14:textId="77777777" w:rsidR="00D91973" w:rsidRPr="00A91056" w:rsidRDefault="00D91973" w:rsidP="00D91973">
            <w:pPr>
              <w:widowControl/>
              <w:spacing w:line="240" w:lineRule="auto"/>
              <w:ind w:firstLine="0"/>
              <w:jc w:val="center"/>
              <w:rPr>
                <w:rFonts w:eastAsia="Times New Roman" w:cs="Arial"/>
                <w:sz w:val="18"/>
                <w:szCs w:val="18"/>
              </w:rPr>
            </w:pPr>
          </w:p>
        </w:tc>
        <w:tc>
          <w:tcPr>
            <w:tcW w:w="450" w:type="dxa"/>
            <w:shd w:val="clear" w:color="auto" w:fill="auto"/>
            <w:noWrap/>
            <w:vAlign w:val="center"/>
            <w:hideMark/>
          </w:tcPr>
          <w:p w14:paraId="402F7899" w14:textId="3268586A"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78325C59"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13" w:type="dxa"/>
            <w:shd w:val="clear" w:color="auto" w:fill="auto"/>
            <w:noWrap/>
            <w:vAlign w:val="center"/>
            <w:hideMark/>
          </w:tcPr>
          <w:p w14:paraId="0A213F3B"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47" w:type="dxa"/>
            <w:gridSpan w:val="2"/>
            <w:shd w:val="clear" w:color="auto" w:fill="auto"/>
            <w:noWrap/>
            <w:vAlign w:val="center"/>
            <w:hideMark/>
          </w:tcPr>
          <w:p w14:paraId="27DC95A2"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540" w:type="dxa"/>
            <w:shd w:val="clear" w:color="auto" w:fill="auto"/>
            <w:noWrap/>
            <w:vAlign w:val="center"/>
            <w:hideMark/>
          </w:tcPr>
          <w:p w14:paraId="54653507" w14:textId="77777777" w:rsidR="00D91973" w:rsidRPr="00A91056" w:rsidRDefault="00D91973" w:rsidP="00D91973">
            <w:pPr>
              <w:widowControl/>
              <w:spacing w:line="240" w:lineRule="auto"/>
              <w:ind w:firstLine="0"/>
              <w:jc w:val="center"/>
              <w:rPr>
                <w:rFonts w:eastAsia="Times New Roman" w:cs="Arial"/>
                <w:sz w:val="18"/>
                <w:szCs w:val="18"/>
              </w:rPr>
            </w:pPr>
          </w:p>
        </w:tc>
        <w:tc>
          <w:tcPr>
            <w:tcW w:w="540" w:type="dxa"/>
            <w:shd w:val="clear" w:color="auto" w:fill="auto"/>
            <w:noWrap/>
            <w:vAlign w:val="center"/>
            <w:hideMark/>
          </w:tcPr>
          <w:p w14:paraId="49B02AD4" w14:textId="7BFE9B85"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450" w:type="dxa"/>
            <w:shd w:val="clear" w:color="auto" w:fill="auto"/>
            <w:noWrap/>
            <w:vAlign w:val="center"/>
            <w:hideMark/>
          </w:tcPr>
          <w:p w14:paraId="0667E654"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shd w:val="clear" w:color="auto" w:fill="auto"/>
            <w:noWrap/>
            <w:vAlign w:val="center"/>
            <w:hideMark/>
          </w:tcPr>
          <w:p w14:paraId="5AFBD9CA" w14:textId="77777777" w:rsidR="00D91973" w:rsidRPr="00A91056" w:rsidRDefault="00D91973" w:rsidP="00D91973">
            <w:pPr>
              <w:widowControl/>
              <w:spacing w:line="240" w:lineRule="auto"/>
              <w:ind w:firstLine="0"/>
              <w:jc w:val="center"/>
              <w:rPr>
                <w:rFonts w:eastAsia="Times New Roman" w:cs="Arial"/>
                <w:sz w:val="18"/>
                <w:szCs w:val="18"/>
              </w:rPr>
            </w:pPr>
          </w:p>
        </w:tc>
        <w:tc>
          <w:tcPr>
            <w:tcW w:w="720" w:type="dxa"/>
            <w:shd w:val="clear" w:color="auto" w:fill="auto"/>
            <w:noWrap/>
            <w:vAlign w:val="center"/>
            <w:hideMark/>
          </w:tcPr>
          <w:p w14:paraId="272396AE" w14:textId="510FB115"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F64830" w:rsidRPr="00A91056" w14:paraId="533632D8" w14:textId="77777777" w:rsidTr="007D701C">
        <w:trPr>
          <w:trHeight w:val="288"/>
        </w:trPr>
        <w:tc>
          <w:tcPr>
            <w:tcW w:w="2395" w:type="dxa"/>
            <w:shd w:val="clear" w:color="auto" w:fill="auto"/>
            <w:noWrap/>
            <w:vAlign w:val="center"/>
            <w:hideMark/>
          </w:tcPr>
          <w:p w14:paraId="29AB07EC" w14:textId="77777777" w:rsidR="00D91973" w:rsidRPr="00A91056" w:rsidRDefault="00D91973" w:rsidP="00D91973">
            <w:pPr>
              <w:widowControl/>
              <w:spacing w:line="240" w:lineRule="auto"/>
              <w:ind w:firstLine="0"/>
              <w:rPr>
                <w:rFonts w:eastAsia="Times New Roman" w:cs="Arial"/>
                <w:color w:val="000000"/>
                <w:sz w:val="18"/>
                <w:szCs w:val="18"/>
              </w:rPr>
            </w:pPr>
            <w:proofErr w:type="spellStart"/>
            <w:r w:rsidRPr="00A91056">
              <w:rPr>
                <w:rFonts w:eastAsia="Times New Roman" w:cs="Arial"/>
                <w:color w:val="000000"/>
                <w:sz w:val="18"/>
                <w:szCs w:val="18"/>
              </w:rPr>
              <w:t>Isophorone</w:t>
            </w:r>
            <w:proofErr w:type="spellEnd"/>
            <w:r w:rsidRPr="00A91056">
              <w:rPr>
                <w:rFonts w:eastAsia="Times New Roman" w:cs="Arial"/>
                <w:color w:val="000000"/>
                <w:sz w:val="18"/>
                <w:szCs w:val="18"/>
              </w:rPr>
              <w:t xml:space="preserve"> </w:t>
            </w:r>
          </w:p>
        </w:tc>
        <w:tc>
          <w:tcPr>
            <w:tcW w:w="1115" w:type="dxa"/>
            <w:shd w:val="clear" w:color="auto" w:fill="auto"/>
            <w:noWrap/>
            <w:vAlign w:val="center"/>
            <w:hideMark/>
          </w:tcPr>
          <w:p w14:paraId="215BB8E9"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78-59-1</w:t>
            </w:r>
          </w:p>
        </w:tc>
        <w:tc>
          <w:tcPr>
            <w:tcW w:w="990" w:type="dxa"/>
            <w:shd w:val="clear" w:color="auto" w:fill="auto"/>
            <w:vAlign w:val="center"/>
            <w:hideMark/>
          </w:tcPr>
          <w:p w14:paraId="56D183C2"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17 - 70  ª</w:t>
            </w:r>
          </w:p>
        </w:tc>
        <w:tc>
          <w:tcPr>
            <w:tcW w:w="450" w:type="dxa"/>
            <w:shd w:val="clear" w:color="auto" w:fill="auto"/>
            <w:noWrap/>
            <w:vAlign w:val="center"/>
            <w:hideMark/>
          </w:tcPr>
          <w:p w14:paraId="3EB87D66" w14:textId="18D03464"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46AF7650" w14:textId="0F5E8882"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540" w:type="dxa"/>
            <w:shd w:val="clear" w:color="auto" w:fill="auto"/>
            <w:noWrap/>
            <w:vAlign w:val="center"/>
            <w:hideMark/>
          </w:tcPr>
          <w:p w14:paraId="545AC71C" w14:textId="735233A6"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w:t>
            </w:r>
          </w:p>
        </w:tc>
        <w:tc>
          <w:tcPr>
            <w:tcW w:w="810" w:type="dxa"/>
            <w:shd w:val="clear" w:color="auto" w:fill="auto"/>
            <w:noWrap/>
            <w:vAlign w:val="center"/>
            <w:hideMark/>
          </w:tcPr>
          <w:p w14:paraId="3995542A" w14:textId="13556626"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625" w:type="dxa"/>
            <w:shd w:val="clear" w:color="auto" w:fill="auto"/>
            <w:noWrap/>
            <w:vAlign w:val="center"/>
            <w:hideMark/>
          </w:tcPr>
          <w:p w14:paraId="30CAA4AD" w14:textId="000863DE"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691C5D62" w14:textId="61613A62"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30" w:type="dxa"/>
            <w:shd w:val="clear" w:color="auto" w:fill="auto"/>
            <w:noWrap/>
            <w:vAlign w:val="center"/>
            <w:hideMark/>
          </w:tcPr>
          <w:p w14:paraId="00375EF5"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450" w:type="dxa"/>
            <w:shd w:val="clear" w:color="auto" w:fill="auto"/>
            <w:noWrap/>
            <w:vAlign w:val="center"/>
            <w:hideMark/>
          </w:tcPr>
          <w:p w14:paraId="67429520" w14:textId="11C49FE0"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005FC858"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13" w:type="dxa"/>
            <w:shd w:val="clear" w:color="auto" w:fill="auto"/>
            <w:noWrap/>
            <w:vAlign w:val="center"/>
            <w:hideMark/>
          </w:tcPr>
          <w:p w14:paraId="035E79C0"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47" w:type="dxa"/>
            <w:gridSpan w:val="2"/>
            <w:shd w:val="clear" w:color="auto" w:fill="auto"/>
            <w:noWrap/>
            <w:vAlign w:val="center"/>
            <w:hideMark/>
          </w:tcPr>
          <w:p w14:paraId="4AD84D2D" w14:textId="183C77D5"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540" w:type="dxa"/>
            <w:shd w:val="clear" w:color="auto" w:fill="auto"/>
            <w:noWrap/>
            <w:vAlign w:val="center"/>
            <w:hideMark/>
          </w:tcPr>
          <w:p w14:paraId="67158FB0"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540" w:type="dxa"/>
            <w:shd w:val="clear" w:color="auto" w:fill="auto"/>
            <w:noWrap/>
            <w:vAlign w:val="center"/>
            <w:hideMark/>
          </w:tcPr>
          <w:p w14:paraId="413632B2" w14:textId="12028C01"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450" w:type="dxa"/>
            <w:shd w:val="clear" w:color="auto" w:fill="auto"/>
            <w:noWrap/>
            <w:vAlign w:val="center"/>
            <w:hideMark/>
          </w:tcPr>
          <w:p w14:paraId="5743B5BF"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shd w:val="clear" w:color="auto" w:fill="auto"/>
            <w:noWrap/>
            <w:vAlign w:val="center"/>
            <w:hideMark/>
          </w:tcPr>
          <w:p w14:paraId="5BA04D7B" w14:textId="77777777" w:rsidR="00D91973" w:rsidRPr="00A91056" w:rsidRDefault="00D91973" w:rsidP="00D91973">
            <w:pPr>
              <w:widowControl/>
              <w:spacing w:line="240" w:lineRule="auto"/>
              <w:ind w:firstLine="0"/>
              <w:jc w:val="center"/>
              <w:rPr>
                <w:rFonts w:eastAsia="Times New Roman" w:cs="Arial"/>
                <w:sz w:val="18"/>
                <w:szCs w:val="18"/>
              </w:rPr>
            </w:pPr>
          </w:p>
        </w:tc>
        <w:tc>
          <w:tcPr>
            <w:tcW w:w="720" w:type="dxa"/>
            <w:shd w:val="clear" w:color="auto" w:fill="auto"/>
            <w:noWrap/>
            <w:vAlign w:val="center"/>
            <w:hideMark/>
          </w:tcPr>
          <w:p w14:paraId="59956450" w14:textId="51D9BA39"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F64830" w:rsidRPr="00A91056" w14:paraId="4AB1B7A0" w14:textId="77777777" w:rsidTr="007D701C">
        <w:trPr>
          <w:trHeight w:val="288"/>
        </w:trPr>
        <w:tc>
          <w:tcPr>
            <w:tcW w:w="2395" w:type="dxa"/>
            <w:shd w:val="clear" w:color="auto" w:fill="auto"/>
            <w:noWrap/>
            <w:vAlign w:val="center"/>
            <w:hideMark/>
          </w:tcPr>
          <w:p w14:paraId="614963E1" w14:textId="56C35648"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 xml:space="preserve">Isopropyl alcohol </w:t>
            </w:r>
          </w:p>
        </w:tc>
        <w:tc>
          <w:tcPr>
            <w:tcW w:w="1115" w:type="dxa"/>
            <w:shd w:val="clear" w:color="auto" w:fill="auto"/>
            <w:noWrap/>
            <w:vAlign w:val="center"/>
            <w:hideMark/>
          </w:tcPr>
          <w:p w14:paraId="57899FA7"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67-63-0</w:t>
            </w:r>
          </w:p>
        </w:tc>
        <w:tc>
          <w:tcPr>
            <w:tcW w:w="990" w:type="dxa"/>
            <w:shd w:val="clear" w:color="auto" w:fill="auto"/>
            <w:vAlign w:val="center"/>
            <w:hideMark/>
          </w:tcPr>
          <w:p w14:paraId="55BEBF9B"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50 - 100</w:t>
            </w:r>
          </w:p>
        </w:tc>
        <w:tc>
          <w:tcPr>
            <w:tcW w:w="450" w:type="dxa"/>
            <w:shd w:val="clear" w:color="auto" w:fill="auto"/>
            <w:noWrap/>
            <w:vAlign w:val="center"/>
            <w:hideMark/>
          </w:tcPr>
          <w:p w14:paraId="11C97368" w14:textId="6862DAC0"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785D04F1" w14:textId="427EA512"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540" w:type="dxa"/>
            <w:shd w:val="clear" w:color="auto" w:fill="auto"/>
            <w:vAlign w:val="center"/>
            <w:hideMark/>
          </w:tcPr>
          <w:p w14:paraId="2393792E" w14:textId="33946290" w:rsidR="00D91973" w:rsidRPr="00A91056" w:rsidRDefault="00D91973" w:rsidP="00D91973">
            <w:pPr>
              <w:widowControl/>
              <w:spacing w:line="240" w:lineRule="auto"/>
              <w:ind w:firstLine="0"/>
              <w:jc w:val="center"/>
              <w:rPr>
                <w:rFonts w:eastAsia="Times New Roman" w:cs="Arial"/>
                <w:color w:val="000000"/>
                <w:sz w:val="18"/>
                <w:szCs w:val="18"/>
              </w:rPr>
            </w:pPr>
          </w:p>
        </w:tc>
        <w:tc>
          <w:tcPr>
            <w:tcW w:w="810" w:type="dxa"/>
            <w:shd w:val="clear" w:color="auto" w:fill="auto"/>
            <w:vAlign w:val="center"/>
            <w:hideMark/>
          </w:tcPr>
          <w:p w14:paraId="6B9C9547"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25" w:type="dxa"/>
            <w:shd w:val="clear" w:color="auto" w:fill="auto"/>
            <w:noWrap/>
            <w:vAlign w:val="center"/>
            <w:hideMark/>
          </w:tcPr>
          <w:p w14:paraId="7117AE24" w14:textId="77777777" w:rsidR="00D91973" w:rsidRPr="00A91056" w:rsidRDefault="00D91973" w:rsidP="00D91973">
            <w:pPr>
              <w:widowControl/>
              <w:spacing w:line="240" w:lineRule="auto"/>
              <w:ind w:firstLine="0"/>
              <w:jc w:val="center"/>
              <w:rPr>
                <w:rFonts w:eastAsia="Times New Roman" w:cs="Arial"/>
                <w:sz w:val="18"/>
                <w:szCs w:val="18"/>
              </w:rPr>
            </w:pPr>
          </w:p>
        </w:tc>
        <w:tc>
          <w:tcPr>
            <w:tcW w:w="720" w:type="dxa"/>
            <w:shd w:val="clear" w:color="auto" w:fill="auto"/>
            <w:noWrap/>
            <w:vAlign w:val="center"/>
            <w:hideMark/>
          </w:tcPr>
          <w:p w14:paraId="348083E7" w14:textId="1147E734"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630" w:type="dxa"/>
            <w:shd w:val="clear" w:color="auto" w:fill="auto"/>
            <w:noWrap/>
            <w:vAlign w:val="center"/>
            <w:hideMark/>
          </w:tcPr>
          <w:p w14:paraId="41511341"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450" w:type="dxa"/>
            <w:shd w:val="clear" w:color="auto" w:fill="auto"/>
            <w:noWrap/>
            <w:vAlign w:val="center"/>
            <w:hideMark/>
          </w:tcPr>
          <w:p w14:paraId="5E5C7263" w14:textId="77777777" w:rsidR="00D91973" w:rsidRPr="00A91056" w:rsidRDefault="00D91973" w:rsidP="00D91973">
            <w:pPr>
              <w:widowControl/>
              <w:spacing w:line="240" w:lineRule="auto"/>
              <w:ind w:firstLine="0"/>
              <w:jc w:val="center"/>
              <w:rPr>
                <w:rFonts w:eastAsia="Times New Roman" w:cs="Arial"/>
                <w:sz w:val="18"/>
                <w:szCs w:val="18"/>
              </w:rPr>
            </w:pPr>
          </w:p>
        </w:tc>
        <w:tc>
          <w:tcPr>
            <w:tcW w:w="720" w:type="dxa"/>
            <w:shd w:val="clear" w:color="auto" w:fill="auto"/>
            <w:noWrap/>
            <w:vAlign w:val="center"/>
            <w:hideMark/>
          </w:tcPr>
          <w:p w14:paraId="1B9D2EA3" w14:textId="77777777" w:rsidR="00D91973" w:rsidRPr="00A91056" w:rsidRDefault="00D91973" w:rsidP="00D91973">
            <w:pPr>
              <w:widowControl/>
              <w:spacing w:line="240" w:lineRule="auto"/>
              <w:ind w:firstLine="0"/>
              <w:jc w:val="center"/>
              <w:rPr>
                <w:rFonts w:eastAsia="Times New Roman" w:cs="Arial"/>
                <w:sz w:val="18"/>
                <w:szCs w:val="18"/>
              </w:rPr>
            </w:pPr>
          </w:p>
        </w:tc>
        <w:tc>
          <w:tcPr>
            <w:tcW w:w="613" w:type="dxa"/>
            <w:shd w:val="clear" w:color="auto" w:fill="auto"/>
            <w:noWrap/>
            <w:vAlign w:val="center"/>
            <w:hideMark/>
          </w:tcPr>
          <w:p w14:paraId="0763E339" w14:textId="77777777" w:rsidR="00D91973" w:rsidRPr="00A91056" w:rsidRDefault="00D91973" w:rsidP="00D91973">
            <w:pPr>
              <w:widowControl/>
              <w:spacing w:line="240" w:lineRule="auto"/>
              <w:ind w:firstLine="0"/>
              <w:jc w:val="center"/>
              <w:rPr>
                <w:rFonts w:eastAsia="Times New Roman" w:cs="Arial"/>
                <w:sz w:val="18"/>
                <w:szCs w:val="18"/>
              </w:rPr>
            </w:pPr>
          </w:p>
        </w:tc>
        <w:tc>
          <w:tcPr>
            <w:tcW w:w="647" w:type="dxa"/>
            <w:gridSpan w:val="2"/>
            <w:shd w:val="clear" w:color="auto" w:fill="auto"/>
            <w:noWrap/>
            <w:vAlign w:val="center"/>
            <w:hideMark/>
          </w:tcPr>
          <w:p w14:paraId="04650255"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540" w:type="dxa"/>
            <w:shd w:val="clear" w:color="auto" w:fill="auto"/>
            <w:noWrap/>
            <w:vAlign w:val="center"/>
            <w:hideMark/>
          </w:tcPr>
          <w:p w14:paraId="32173299" w14:textId="77777777" w:rsidR="00D91973" w:rsidRPr="00A91056" w:rsidRDefault="00D91973" w:rsidP="00D91973">
            <w:pPr>
              <w:widowControl/>
              <w:spacing w:line="240" w:lineRule="auto"/>
              <w:ind w:firstLine="0"/>
              <w:jc w:val="center"/>
              <w:rPr>
                <w:rFonts w:eastAsia="Times New Roman" w:cs="Arial"/>
                <w:sz w:val="18"/>
                <w:szCs w:val="18"/>
              </w:rPr>
            </w:pPr>
          </w:p>
        </w:tc>
        <w:tc>
          <w:tcPr>
            <w:tcW w:w="540" w:type="dxa"/>
            <w:shd w:val="clear" w:color="auto" w:fill="auto"/>
            <w:noWrap/>
            <w:vAlign w:val="center"/>
            <w:hideMark/>
          </w:tcPr>
          <w:p w14:paraId="3EFCE881" w14:textId="7D0F0381"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450" w:type="dxa"/>
            <w:shd w:val="clear" w:color="auto" w:fill="auto"/>
            <w:noWrap/>
            <w:vAlign w:val="center"/>
            <w:hideMark/>
          </w:tcPr>
          <w:p w14:paraId="07707D4D"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shd w:val="clear" w:color="auto" w:fill="auto"/>
            <w:noWrap/>
            <w:vAlign w:val="center"/>
            <w:hideMark/>
          </w:tcPr>
          <w:p w14:paraId="01839DB0" w14:textId="77777777" w:rsidR="00D91973" w:rsidRPr="00A91056" w:rsidRDefault="00D91973" w:rsidP="00D91973">
            <w:pPr>
              <w:widowControl/>
              <w:spacing w:line="240" w:lineRule="auto"/>
              <w:ind w:firstLine="0"/>
              <w:jc w:val="center"/>
              <w:rPr>
                <w:rFonts w:eastAsia="Times New Roman" w:cs="Arial"/>
                <w:sz w:val="18"/>
                <w:szCs w:val="18"/>
              </w:rPr>
            </w:pPr>
          </w:p>
        </w:tc>
        <w:tc>
          <w:tcPr>
            <w:tcW w:w="720" w:type="dxa"/>
            <w:shd w:val="clear" w:color="auto" w:fill="auto"/>
            <w:noWrap/>
            <w:vAlign w:val="center"/>
            <w:hideMark/>
          </w:tcPr>
          <w:p w14:paraId="40B3BEF6" w14:textId="46E2491C"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r>
      <w:tr w:rsidR="00F64830" w:rsidRPr="00A91056" w14:paraId="5ECF7C0E" w14:textId="77777777" w:rsidTr="007D701C">
        <w:trPr>
          <w:trHeight w:val="288"/>
        </w:trPr>
        <w:tc>
          <w:tcPr>
            <w:tcW w:w="2395" w:type="dxa"/>
            <w:shd w:val="clear" w:color="auto" w:fill="auto"/>
            <w:noWrap/>
            <w:vAlign w:val="center"/>
            <w:hideMark/>
          </w:tcPr>
          <w:p w14:paraId="1EDE459A" w14:textId="77777777" w:rsidR="00D91973" w:rsidRPr="00A91056" w:rsidRDefault="00D91973" w:rsidP="00D91973">
            <w:pPr>
              <w:widowControl/>
              <w:spacing w:line="240" w:lineRule="auto"/>
              <w:ind w:firstLine="0"/>
              <w:rPr>
                <w:rFonts w:eastAsia="Times New Roman" w:cs="Arial"/>
                <w:color w:val="000000"/>
                <w:sz w:val="18"/>
                <w:szCs w:val="18"/>
              </w:rPr>
            </w:pPr>
            <w:proofErr w:type="spellStart"/>
            <w:r w:rsidRPr="00A91056">
              <w:rPr>
                <w:rFonts w:eastAsia="Times New Roman" w:cs="Arial"/>
                <w:color w:val="000000"/>
                <w:sz w:val="18"/>
                <w:szCs w:val="18"/>
              </w:rPr>
              <w:t>Isoquinoline</w:t>
            </w:r>
            <w:proofErr w:type="spellEnd"/>
          </w:p>
        </w:tc>
        <w:tc>
          <w:tcPr>
            <w:tcW w:w="1115" w:type="dxa"/>
            <w:shd w:val="clear" w:color="auto" w:fill="auto"/>
            <w:noWrap/>
            <w:vAlign w:val="center"/>
            <w:hideMark/>
          </w:tcPr>
          <w:p w14:paraId="5020DB91"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119-65-3</w:t>
            </w:r>
          </w:p>
        </w:tc>
        <w:tc>
          <w:tcPr>
            <w:tcW w:w="990" w:type="dxa"/>
            <w:shd w:val="clear" w:color="auto" w:fill="auto"/>
            <w:vAlign w:val="center"/>
            <w:hideMark/>
          </w:tcPr>
          <w:p w14:paraId="1794337A"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3.8 - 15</w:t>
            </w:r>
          </w:p>
        </w:tc>
        <w:tc>
          <w:tcPr>
            <w:tcW w:w="450" w:type="dxa"/>
            <w:shd w:val="clear" w:color="auto" w:fill="auto"/>
            <w:noWrap/>
            <w:vAlign w:val="center"/>
            <w:hideMark/>
          </w:tcPr>
          <w:p w14:paraId="2B879515" w14:textId="27C4C42F"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0B6EFE3B" w14:textId="1DCA2DD3"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540" w:type="dxa"/>
            <w:shd w:val="clear" w:color="auto" w:fill="auto"/>
            <w:vAlign w:val="center"/>
            <w:hideMark/>
          </w:tcPr>
          <w:p w14:paraId="3C1BC85E" w14:textId="5E960082" w:rsidR="00D91973" w:rsidRPr="00A91056" w:rsidRDefault="00D91973" w:rsidP="00D91973">
            <w:pPr>
              <w:widowControl/>
              <w:spacing w:line="240" w:lineRule="auto"/>
              <w:ind w:firstLine="0"/>
              <w:jc w:val="center"/>
              <w:rPr>
                <w:rFonts w:eastAsia="Times New Roman" w:cs="Arial"/>
                <w:color w:val="000000"/>
                <w:sz w:val="18"/>
                <w:szCs w:val="18"/>
              </w:rPr>
            </w:pPr>
          </w:p>
        </w:tc>
        <w:tc>
          <w:tcPr>
            <w:tcW w:w="810" w:type="dxa"/>
            <w:shd w:val="clear" w:color="auto" w:fill="auto"/>
            <w:noWrap/>
            <w:vAlign w:val="center"/>
            <w:hideMark/>
          </w:tcPr>
          <w:p w14:paraId="10E29B10"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25" w:type="dxa"/>
            <w:shd w:val="clear" w:color="auto" w:fill="auto"/>
            <w:noWrap/>
            <w:vAlign w:val="center"/>
            <w:hideMark/>
          </w:tcPr>
          <w:p w14:paraId="60637147" w14:textId="47A72A29"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61FDA109"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30" w:type="dxa"/>
            <w:shd w:val="clear" w:color="auto" w:fill="auto"/>
            <w:noWrap/>
            <w:vAlign w:val="center"/>
            <w:hideMark/>
          </w:tcPr>
          <w:p w14:paraId="5A17B3DB" w14:textId="77777777" w:rsidR="00D91973" w:rsidRPr="00A91056" w:rsidRDefault="00D91973" w:rsidP="00D91973">
            <w:pPr>
              <w:widowControl/>
              <w:spacing w:line="240" w:lineRule="auto"/>
              <w:ind w:firstLine="0"/>
              <w:jc w:val="center"/>
              <w:rPr>
                <w:rFonts w:eastAsia="Times New Roman" w:cs="Arial"/>
                <w:sz w:val="18"/>
                <w:szCs w:val="18"/>
              </w:rPr>
            </w:pPr>
          </w:p>
        </w:tc>
        <w:tc>
          <w:tcPr>
            <w:tcW w:w="450" w:type="dxa"/>
            <w:shd w:val="clear" w:color="auto" w:fill="auto"/>
            <w:noWrap/>
            <w:vAlign w:val="center"/>
            <w:hideMark/>
          </w:tcPr>
          <w:p w14:paraId="5A5BAD60" w14:textId="46472F7C"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0A172D65"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13" w:type="dxa"/>
            <w:shd w:val="clear" w:color="auto" w:fill="auto"/>
            <w:noWrap/>
            <w:vAlign w:val="center"/>
            <w:hideMark/>
          </w:tcPr>
          <w:p w14:paraId="32706A02" w14:textId="6C4B35B9"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647" w:type="dxa"/>
            <w:gridSpan w:val="2"/>
            <w:shd w:val="clear" w:color="auto" w:fill="auto"/>
            <w:noWrap/>
            <w:vAlign w:val="center"/>
            <w:hideMark/>
          </w:tcPr>
          <w:p w14:paraId="0FD382B5"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540" w:type="dxa"/>
            <w:shd w:val="clear" w:color="auto" w:fill="auto"/>
            <w:noWrap/>
            <w:vAlign w:val="center"/>
            <w:hideMark/>
          </w:tcPr>
          <w:p w14:paraId="404A09DC" w14:textId="77777777" w:rsidR="00D91973" w:rsidRPr="00A91056" w:rsidRDefault="00D91973" w:rsidP="00D91973">
            <w:pPr>
              <w:widowControl/>
              <w:spacing w:line="240" w:lineRule="auto"/>
              <w:ind w:firstLine="0"/>
              <w:jc w:val="center"/>
              <w:rPr>
                <w:rFonts w:eastAsia="Times New Roman" w:cs="Arial"/>
                <w:sz w:val="18"/>
                <w:szCs w:val="18"/>
              </w:rPr>
            </w:pPr>
          </w:p>
        </w:tc>
        <w:tc>
          <w:tcPr>
            <w:tcW w:w="540" w:type="dxa"/>
            <w:shd w:val="clear" w:color="auto" w:fill="auto"/>
            <w:noWrap/>
            <w:vAlign w:val="center"/>
            <w:hideMark/>
          </w:tcPr>
          <w:p w14:paraId="736907EC" w14:textId="1794D90E"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450" w:type="dxa"/>
            <w:shd w:val="clear" w:color="auto" w:fill="auto"/>
            <w:noWrap/>
            <w:vAlign w:val="center"/>
            <w:hideMark/>
          </w:tcPr>
          <w:p w14:paraId="1F61E21F"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shd w:val="clear" w:color="auto" w:fill="auto"/>
            <w:noWrap/>
            <w:vAlign w:val="center"/>
            <w:hideMark/>
          </w:tcPr>
          <w:p w14:paraId="092C7CA2" w14:textId="77777777" w:rsidR="00D91973" w:rsidRPr="00A91056" w:rsidRDefault="00D91973" w:rsidP="00D91973">
            <w:pPr>
              <w:widowControl/>
              <w:spacing w:line="240" w:lineRule="auto"/>
              <w:ind w:firstLine="0"/>
              <w:jc w:val="center"/>
              <w:rPr>
                <w:rFonts w:eastAsia="Times New Roman" w:cs="Arial"/>
                <w:sz w:val="18"/>
                <w:szCs w:val="18"/>
              </w:rPr>
            </w:pPr>
          </w:p>
        </w:tc>
        <w:tc>
          <w:tcPr>
            <w:tcW w:w="720" w:type="dxa"/>
            <w:shd w:val="clear" w:color="auto" w:fill="auto"/>
            <w:noWrap/>
            <w:vAlign w:val="center"/>
            <w:hideMark/>
          </w:tcPr>
          <w:p w14:paraId="02C1C5D7" w14:textId="77777777" w:rsidR="00D91973" w:rsidRPr="00A91056" w:rsidRDefault="00D91973" w:rsidP="00D91973">
            <w:pPr>
              <w:widowControl/>
              <w:spacing w:line="240" w:lineRule="auto"/>
              <w:ind w:firstLine="0"/>
              <w:jc w:val="center"/>
              <w:rPr>
                <w:rFonts w:eastAsia="Times New Roman" w:cs="Arial"/>
                <w:color w:val="000000"/>
                <w:sz w:val="18"/>
                <w:szCs w:val="18"/>
              </w:rPr>
            </w:pPr>
          </w:p>
        </w:tc>
      </w:tr>
      <w:tr w:rsidR="00F64830" w:rsidRPr="00A91056" w14:paraId="545807F5" w14:textId="77777777" w:rsidTr="007D701C">
        <w:trPr>
          <w:trHeight w:val="288"/>
        </w:trPr>
        <w:tc>
          <w:tcPr>
            <w:tcW w:w="2395" w:type="dxa"/>
            <w:shd w:val="clear" w:color="auto" w:fill="auto"/>
            <w:noWrap/>
            <w:vAlign w:val="center"/>
            <w:hideMark/>
          </w:tcPr>
          <w:p w14:paraId="58D712B5" w14:textId="77777777" w:rsidR="00D91973" w:rsidRPr="00A91056" w:rsidRDefault="00D91973" w:rsidP="00D91973">
            <w:pPr>
              <w:widowControl/>
              <w:spacing w:line="240" w:lineRule="auto"/>
              <w:ind w:firstLine="0"/>
              <w:rPr>
                <w:rFonts w:eastAsia="Times New Roman" w:cs="Arial"/>
                <w:color w:val="000000"/>
                <w:sz w:val="18"/>
                <w:szCs w:val="18"/>
              </w:rPr>
            </w:pPr>
            <w:proofErr w:type="spellStart"/>
            <w:r w:rsidRPr="00A91056">
              <w:rPr>
                <w:rFonts w:eastAsia="Times New Roman" w:cs="Arial"/>
                <w:color w:val="000000"/>
                <w:sz w:val="18"/>
                <w:szCs w:val="18"/>
              </w:rPr>
              <w:t>Lasiocarpine</w:t>
            </w:r>
            <w:proofErr w:type="spellEnd"/>
          </w:p>
        </w:tc>
        <w:tc>
          <w:tcPr>
            <w:tcW w:w="1115" w:type="dxa"/>
            <w:shd w:val="clear" w:color="auto" w:fill="auto"/>
            <w:noWrap/>
            <w:vAlign w:val="center"/>
            <w:hideMark/>
          </w:tcPr>
          <w:p w14:paraId="4DF590A1"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303-34-4</w:t>
            </w:r>
          </w:p>
        </w:tc>
        <w:tc>
          <w:tcPr>
            <w:tcW w:w="990" w:type="dxa"/>
            <w:shd w:val="clear" w:color="auto" w:fill="auto"/>
            <w:vAlign w:val="center"/>
            <w:hideMark/>
          </w:tcPr>
          <w:p w14:paraId="60BA5963"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0.3 - 1.2</w:t>
            </w:r>
          </w:p>
        </w:tc>
        <w:tc>
          <w:tcPr>
            <w:tcW w:w="450" w:type="dxa"/>
            <w:shd w:val="clear" w:color="auto" w:fill="auto"/>
            <w:noWrap/>
            <w:vAlign w:val="center"/>
            <w:hideMark/>
          </w:tcPr>
          <w:p w14:paraId="68041031" w14:textId="749B17EA"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7EEE10D9" w14:textId="56103715"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540" w:type="dxa"/>
            <w:shd w:val="clear" w:color="auto" w:fill="auto"/>
            <w:vAlign w:val="center"/>
            <w:hideMark/>
          </w:tcPr>
          <w:p w14:paraId="0E094800" w14:textId="3B9E5F08" w:rsidR="00D91973" w:rsidRPr="00A91056" w:rsidRDefault="00D91973" w:rsidP="00D91973">
            <w:pPr>
              <w:widowControl/>
              <w:spacing w:line="240" w:lineRule="auto"/>
              <w:ind w:firstLine="0"/>
              <w:jc w:val="center"/>
              <w:rPr>
                <w:rFonts w:eastAsia="Times New Roman" w:cs="Arial"/>
                <w:color w:val="000000"/>
                <w:sz w:val="18"/>
                <w:szCs w:val="18"/>
              </w:rPr>
            </w:pPr>
          </w:p>
        </w:tc>
        <w:tc>
          <w:tcPr>
            <w:tcW w:w="810" w:type="dxa"/>
            <w:shd w:val="clear" w:color="auto" w:fill="auto"/>
            <w:noWrap/>
            <w:vAlign w:val="center"/>
            <w:hideMark/>
          </w:tcPr>
          <w:p w14:paraId="151BE286" w14:textId="669702D0"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25" w:type="dxa"/>
            <w:shd w:val="clear" w:color="auto" w:fill="auto"/>
            <w:noWrap/>
            <w:vAlign w:val="center"/>
            <w:hideMark/>
          </w:tcPr>
          <w:p w14:paraId="69CDDCD5" w14:textId="0BEDCC8E"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199DD363"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30" w:type="dxa"/>
            <w:shd w:val="clear" w:color="auto" w:fill="auto"/>
            <w:noWrap/>
            <w:vAlign w:val="center"/>
            <w:hideMark/>
          </w:tcPr>
          <w:p w14:paraId="56C3480B" w14:textId="77777777" w:rsidR="00D91973" w:rsidRPr="00A91056" w:rsidRDefault="00D91973" w:rsidP="00D91973">
            <w:pPr>
              <w:widowControl/>
              <w:spacing w:line="240" w:lineRule="auto"/>
              <w:ind w:firstLine="0"/>
              <w:jc w:val="center"/>
              <w:rPr>
                <w:rFonts w:eastAsia="Times New Roman" w:cs="Arial"/>
                <w:sz w:val="18"/>
                <w:szCs w:val="18"/>
              </w:rPr>
            </w:pPr>
          </w:p>
        </w:tc>
        <w:tc>
          <w:tcPr>
            <w:tcW w:w="450" w:type="dxa"/>
            <w:shd w:val="clear" w:color="auto" w:fill="auto"/>
            <w:noWrap/>
            <w:vAlign w:val="center"/>
            <w:hideMark/>
          </w:tcPr>
          <w:p w14:paraId="1CAFA7FD" w14:textId="257E7584"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19CC4E28" w14:textId="65295C55"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13" w:type="dxa"/>
            <w:shd w:val="clear" w:color="auto" w:fill="auto"/>
            <w:noWrap/>
            <w:vAlign w:val="center"/>
            <w:hideMark/>
          </w:tcPr>
          <w:p w14:paraId="04B55330" w14:textId="5A8499DC"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47" w:type="dxa"/>
            <w:gridSpan w:val="2"/>
            <w:shd w:val="clear" w:color="auto" w:fill="auto"/>
            <w:noWrap/>
            <w:vAlign w:val="center"/>
            <w:hideMark/>
          </w:tcPr>
          <w:p w14:paraId="657C03EF"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540" w:type="dxa"/>
            <w:shd w:val="clear" w:color="auto" w:fill="auto"/>
            <w:noWrap/>
            <w:vAlign w:val="center"/>
            <w:hideMark/>
          </w:tcPr>
          <w:p w14:paraId="61AFCC74" w14:textId="77777777" w:rsidR="00D91973" w:rsidRPr="00A91056" w:rsidRDefault="00D91973" w:rsidP="00D91973">
            <w:pPr>
              <w:widowControl/>
              <w:spacing w:line="240" w:lineRule="auto"/>
              <w:ind w:firstLine="0"/>
              <w:jc w:val="center"/>
              <w:rPr>
                <w:rFonts w:eastAsia="Times New Roman" w:cs="Arial"/>
                <w:sz w:val="18"/>
                <w:szCs w:val="18"/>
              </w:rPr>
            </w:pPr>
          </w:p>
        </w:tc>
        <w:tc>
          <w:tcPr>
            <w:tcW w:w="540" w:type="dxa"/>
            <w:shd w:val="clear" w:color="auto" w:fill="auto"/>
            <w:noWrap/>
            <w:vAlign w:val="center"/>
            <w:hideMark/>
          </w:tcPr>
          <w:p w14:paraId="304355CF" w14:textId="669E103C"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450" w:type="dxa"/>
            <w:shd w:val="clear" w:color="auto" w:fill="auto"/>
            <w:noWrap/>
            <w:vAlign w:val="center"/>
            <w:hideMark/>
          </w:tcPr>
          <w:p w14:paraId="223FAD9C"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shd w:val="clear" w:color="auto" w:fill="auto"/>
            <w:noWrap/>
            <w:vAlign w:val="center"/>
            <w:hideMark/>
          </w:tcPr>
          <w:p w14:paraId="7FF3F11E" w14:textId="77777777" w:rsidR="00D91973" w:rsidRPr="00A91056" w:rsidRDefault="00D91973" w:rsidP="00D91973">
            <w:pPr>
              <w:widowControl/>
              <w:spacing w:line="240" w:lineRule="auto"/>
              <w:ind w:firstLine="0"/>
              <w:jc w:val="center"/>
              <w:rPr>
                <w:rFonts w:eastAsia="Times New Roman" w:cs="Arial"/>
                <w:sz w:val="18"/>
                <w:szCs w:val="18"/>
              </w:rPr>
            </w:pPr>
          </w:p>
        </w:tc>
        <w:tc>
          <w:tcPr>
            <w:tcW w:w="720" w:type="dxa"/>
            <w:shd w:val="clear" w:color="auto" w:fill="auto"/>
            <w:noWrap/>
            <w:vAlign w:val="center"/>
            <w:hideMark/>
          </w:tcPr>
          <w:p w14:paraId="645CB9FD" w14:textId="648FA262"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F64830" w:rsidRPr="00A91056" w14:paraId="0A54D75B" w14:textId="77777777" w:rsidTr="007D701C">
        <w:trPr>
          <w:trHeight w:val="288"/>
        </w:trPr>
        <w:tc>
          <w:tcPr>
            <w:tcW w:w="2395" w:type="dxa"/>
            <w:shd w:val="clear" w:color="auto" w:fill="auto"/>
            <w:noWrap/>
            <w:vAlign w:val="center"/>
            <w:hideMark/>
          </w:tcPr>
          <w:p w14:paraId="5036352B" w14:textId="77777777"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Lauric aldehyde</w:t>
            </w:r>
          </w:p>
        </w:tc>
        <w:tc>
          <w:tcPr>
            <w:tcW w:w="1115" w:type="dxa"/>
            <w:shd w:val="clear" w:color="auto" w:fill="auto"/>
            <w:noWrap/>
            <w:vAlign w:val="center"/>
            <w:hideMark/>
          </w:tcPr>
          <w:p w14:paraId="4AA2936E"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112-54-9</w:t>
            </w:r>
          </w:p>
        </w:tc>
        <w:tc>
          <w:tcPr>
            <w:tcW w:w="990" w:type="dxa"/>
            <w:shd w:val="clear" w:color="auto" w:fill="auto"/>
            <w:vAlign w:val="center"/>
            <w:hideMark/>
          </w:tcPr>
          <w:p w14:paraId="59FEB083"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 xml:space="preserve">40 - 100 </w:t>
            </w:r>
            <w:r w:rsidRPr="00A91056">
              <w:rPr>
                <w:rFonts w:eastAsia="Times New Roman" w:cs="Arial"/>
                <w:color w:val="000000"/>
                <w:sz w:val="18"/>
                <w:szCs w:val="18"/>
                <w:vertAlign w:val="superscript"/>
              </w:rPr>
              <w:t>b</w:t>
            </w:r>
          </w:p>
        </w:tc>
        <w:tc>
          <w:tcPr>
            <w:tcW w:w="450" w:type="dxa"/>
            <w:shd w:val="clear" w:color="auto" w:fill="auto"/>
            <w:noWrap/>
            <w:vAlign w:val="center"/>
            <w:hideMark/>
          </w:tcPr>
          <w:p w14:paraId="1AC66B5B" w14:textId="6C30058B"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49114CC3" w14:textId="185AC34D"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540" w:type="dxa"/>
            <w:shd w:val="clear" w:color="auto" w:fill="auto"/>
            <w:noWrap/>
            <w:vAlign w:val="center"/>
            <w:hideMark/>
          </w:tcPr>
          <w:p w14:paraId="37BAB25A" w14:textId="2136E7AF"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w:t>
            </w:r>
          </w:p>
        </w:tc>
        <w:tc>
          <w:tcPr>
            <w:tcW w:w="810" w:type="dxa"/>
            <w:shd w:val="clear" w:color="auto" w:fill="auto"/>
            <w:noWrap/>
            <w:vAlign w:val="center"/>
            <w:hideMark/>
          </w:tcPr>
          <w:p w14:paraId="1058F48D"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25" w:type="dxa"/>
            <w:shd w:val="clear" w:color="auto" w:fill="auto"/>
            <w:noWrap/>
            <w:vAlign w:val="center"/>
            <w:hideMark/>
          </w:tcPr>
          <w:p w14:paraId="3FAA6E22" w14:textId="5C0CCD7E"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 xml:space="preserve">Neg </w:t>
            </w:r>
            <w:r w:rsidR="003F7A87" w:rsidRPr="00A91056">
              <w:rPr>
                <w:rFonts w:eastAsia="Times New Roman" w:cs="Arial"/>
                <w:color w:val="000000"/>
                <w:sz w:val="18"/>
                <w:szCs w:val="18"/>
                <w:vertAlign w:val="superscript"/>
              </w:rPr>
              <w:t>i</w:t>
            </w:r>
          </w:p>
        </w:tc>
        <w:tc>
          <w:tcPr>
            <w:tcW w:w="720" w:type="dxa"/>
            <w:shd w:val="clear" w:color="auto" w:fill="auto"/>
            <w:noWrap/>
            <w:vAlign w:val="center"/>
            <w:hideMark/>
          </w:tcPr>
          <w:p w14:paraId="084FEEF0"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30" w:type="dxa"/>
            <w:shd w:val="clear" w:color="auto" w:fill="auto"/>
            <w:noWrap/>
            <w:vAlign w:val="center"/>
            <w:hideMark/>
          </w:tcPr>
          <w:p w14:paraId="7D8E25D4" w14:textId="42582C9F"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 xml:space="preserve">Pos </w:t>
            </w:r>
            <w:r w:rsidR="003F7A87" w:rsidRPr="00A91056">
              <w:rPr>
                <w:rFonts w:eastAsia="Times New Roman" w:cs="Arial"/>
                <w:color w:val="000000"/>
                <w:sz w:val="18"/>
                <w:szCs w:val="18"/>
                <w:vertAlign w:val="superscript"/>
              </w:rPr>
              <w:t>i</w:t>
            </w:r>
          </w:p>
        </w:tc>
        <w:tc>
          <w:tcPr>
            <w:tcW w:w="450" w:type="dxa"/>
            <w:shd w:val="clear" w:color="auto" w:fill="auto"/>
            <w:noWrap/>
            <w:vAlign w:val="center"/>
            <w:hideMark/>
          </w:tcPr>
          <w:p w14:paraId="514E4281"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shd w:val="clear" w:color="auto" w:fill="auto"/>
            <w:noWrap/>
            <w:vAlign w:val="center"/>
            <w:hideMark/>
          </w:tcPr>
          <w:p w14:paraId="425A3EE2" w14:textId="77777777" w:rsidR="00D91973" w:rsidRPr="00A91056" w:rsidRDefault="00D91973" w:rsidP="00D91973">
            <w:pPr>
              <w:widowControl/>
              <w:spacing w:line="240" w:lineRule="auto"/>
              <w:ind w:firstLine="0"/>
              <w:jc w:val="center"/>
              <w:rPr>
                <w:rFonts w:eastAsia="Times New Roman" w:cs="Arial"/>
                <w:sz w:val="18"/>
                <w:szCs w:val="18"/>
              </w:rPr>
            </w:pPr>
          </w:p>
        </w:tc>
        <w:tc>
          <w:tcPr>
            <w:tcW w:w="613" w:type="dxa"/>
            <w:shd w:val="clear" w:color="auto" w:fill="auto"/>
            <w:noWrap/>
            <w:vAlign w:val="center"/>
            <w:hideMark/>
          </w:tcPr>
          <w:p w14:paraId="6261D5D6" w14:textId="77777777" w:rsidR="00D91973" w:rsidRPr="00A91056" w:rsidRDefault="00D91973" w:rsidP="00D91973">
            <w:pPr>
              <w:widowControl/>
              <w:spacing w:line="240" w:lineRule="auto"/>
              <w:ind w:firstLine="0"/>
              <w:jc w:val="center"/>
              <w:rPr>
                <w:rFonts w:eastAsia="Times New Roman" w:cs="Arial"/>
                <w:sz w:val="18"/>
                <w:szCs w:val="18"/>
              </w:rPr>
            </w:pPr>
          </w:p>
        </w:tc>
        <w:tc>
          <w:tcPr>
            <w:tcW w:w="647" w:type="dxa"/>
            <w:gridSpan w:val="2"/>
            <w:shd w:val="clear" w:color="auto" w:fill="auto"/>
            <w:noWrap/>
            <w:vAlign w:val="center"/>
            <w:hideMark/>
          </w:tcPr>
          <w:p w14:paraId="0CC8FAE1"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540" w:type="dxa"/>
            <w:shd w:val="clear" w:color="auto" w:fill="auto"/>
            <w:noWrap/>
            <w:vAlign w:val="center"/>
            <w:hideMark/>
          </w:tcPr>
          <w:p w14:paraId="154D2FF4" w14:textId="77777777" w:rsidR="00D91973" w:rsidRPr="00A91056" w:rsidRDefault="00D91973" w:rsidP="00D91973">
            <w:pPr>
              <w:widowControl/>
              <w:spacing w:line="240" w:lineRule="auto"/>
              <w:ind w:firstLine="0"/>
              <w:jc w:val="center"/>
              <w:rPr>
                <w:rFonts w:eastAsia="Times New Roman" w:cs="Arial"/>
                <w:sz w:val="18"/>
                <w:szCs w:val="18"/>
              </w:rPr>
            </w:pPr>
          </w:p>
        </w:tc>
        <w:tc>
          <w:tcPr>
            <w:tcW w:w="540" w:type="dxa"/>
            <w:shd w:val="clear" w:color="auto" w:fill="auto"/>
            <w:noWrap/>
            <w:vAlign w:val="center"/>
            <w:hideMark/>
          </w:tcPr>
          <w:p w14:paraId="4D356F8B" w14:textId="6C00D472"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 xml:space="preserve">Neg </w:t>
            </w:r>
            <w:r w:rsidR="003F7A87" w:rsidRPr="00A91056">
              <w:rPr>
                <w:rFonts w:eastAsia="Times New Roman" w:cs="Arial"/>
                <w:color w:val="000000"/>
                <w:sz w:val="18"/>
                <w:szCs w:val="18"/>
                <w:vertAlign w:val="superscript"/>
              </w:rPr>
              <w:t>i</w:t>
            </w:r>
          </w:p>
        </w:tc>
        <w:tc>
          <w:tcPr>
            <w:tcW w:w="450" w:type="dxa"/>
            <w:shd w:val="clear" w:color="auto" w:fill="auto"/>
            <w:noWrap/>
            <w:vAlign w:val="center"/>
            <w:hideMark/>
          </w:tcPr>
          <w:p w14:paraId="1605016A"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shd w:val="clear" w:color="auto" w:fill="auto"/>
            <w:noWrap/>
            <w:vAlign w:val="center"/>
            <w:hideMark/>
          </w:tcPr>
          <w:p w14:paraId="5913F1C9" w14:textId="77777777" w:rsidR="00D91973" w:rsidRPr="00A91056" w:rsidRDefault="00D91973" w:rsidP="00D91973">
            <w:pPr>
              <w:widowControl/>
              <w:spacing w:line="240" w:lineRule="auto"/>
              <w:ind w:firstLine="0"/>
              <w:jc w:val="center"/>
              <w:rPr>
                <w:rFonts w:eastAsia="Times New Roman" w:cs="Arial"/>
                <w:sz w:val="18"/>
                <w:szCs w:val="18"/>
              </w:rPr>
            </w:pPr>
          </w:p>
        </w:tc>
        <w:tc>
          <w:tcPr>
            <w:tcW w:w="720" w:type="dxa"/>
            <w:shd w:val="clear" w:color="auto" w:fill="auto"/>
            <w:noWrap/>
            <w:vAlign w:val="center"/>
            <w:hideMark/>
          </w:tcPr>
          <w:p w14:paraId="527FC27B" w14:textId="77777777" w:rsidR="00D91973" w:rsidRPr="00A91056" w:rsidRDefault="00D91973" w:rsidP="00D91973">
            <w:pPr>
              <w:widowControl/>
              <w:spacing w:line="240" w:lineRule="auto"/>
              <w:ind w:firstLine="0"/>
              <w:jc w:val="center"/>
              <w:rPr>
                <w:rFonts w:eastAsia="Times New Roman" w:cs="Arial"/>
                <w:color w:val="000000"/>
                <w:sz w:val="18"/>
                <w:szCs w:val="18"/>
              </w:rPr>
            </w:pPr>
          </w:p>
        </w:tc>
      </w:tr>
      <w:tr w:rsidR="00F64830" w:rsidRPr="00A91056" w14:paraId="5B655AF5" w14:textId="77777777" w:rsidTr="007D701C">
        <w:trPr>
          <w:trHeight w:val="288"/>
        </w:trPr>
        <w:tc>
          <w:tcPr>
            <w:tcW w:w="2395" w:type="dxa"/>
            <w:shd w:val="clear" w:color="auto" w:fill="auto"/>
            <w:noWrap/>
            <w:vAlign w:val="center"/>
            <w:hideMark/>
          </w:tcPr>
          <w:p w14:paraId="73D67C65" w14:textId="77777777"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Maltol</w:t>
            </w:r>
          </w:p>
        </w:tc>
        <w:tc>
          <w:tcPr>
            <w:tcW w:w="1115" w:type="dxa"/>
            <w:shd w:val="clear" w:color="auto" w:fill="auto"/>
            <w:noWrap/>
            <w:vAlign w:val="center"/>
            <w:hideMark/>
          </w:tcPr>
          <w:p w14:paraId="066F33B1"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118-71-8</w:t>
            </w:r>
          </w:p>
        </w:tc>
        <w:tc>
          <w:tcPr>
            <w:tcW w:w="990" w:type="dxa"/>
            <w:shd w:val="clear" w:color="auto" w:fill="auto"/>
            <w:vAlign w:val="center"/>
            <w:hideMark/>
          </w:tcPr>
          <w:p w14:paraId="731ED0A9"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5 - 20</w:t>
            </w:r>
          </w:p>
        </w:tc>
        <w:tc>
          <w:tcPr>
            <w:tcW w:w="450" w:type="dxa"/>
            <w:shd w:val="clear" w:color="auto" w:fill="auto"/>
            <w:noWrap/>
            <w:vAlign w:val="center"/>
            <w:hideMark/>
          </w:tcPr>
          <w:p w14:paraId="0037C88D" w14:textId="0A016D9C"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77158516" w14:textId="10863C68"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540" w:type="dxa"/>
            <w:shd w:val="clear" w:color="auto" w:fill="auto"/>
            <w:noWrap/>
            <w:hideMark/>
          </w:tcPr>
          <w:p w14:paraId="0F9FA238" w14:textId="35017CA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w:t>
            </w:r>
          </w:p>
        </w:tc>
        <w:tc>
          <w:tcPr>
            <w:tcW w:w="810" w:type="dxa"/>
            <w:shd w:val="clear" w:color="auto" w:fill="auto"/>
            <w:noWrap/>
            <w:vAlign w:val="center"/>
            <w:hideMark/>
          </w:tcPr>
          <w:p w14:paraId="7A1EFE8E"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25" w:type="dxa"/>
            <w:shd w:val="clear" w:color="auto" w:fill="auto"/>
            <w:noWrap/>
            <w:vAlign w:val="center"/>
            <w:hideMark/>
          </w:tcPr>
          <w:p w14:paraId="121880FB" w14:textId="00E9BF60"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5118C62B"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30" w:type="dxa"/>
            <w:shd w:val="clear" w:color="auto" w:fill="auto"/>
            <w:noWrap/>
            <w:vAlign w:val="center"/>
            <w:hideMark/>
          </w:tcPr>
          <w:p w14:paraId="3E77472C" w14:textId="41BF9A63"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450" w:type="dxa"/>
            <w:shd w:val="clear" w:color="auto" w:fill="auto"/>
            <w:noWrap/>
            <w:vAlign w:val="center"/>
            <w:hideMark/>
          </w:tcPr>
          <w:p w14:paraId="00F23DE0" w14:textId="0CB06274"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683C7A83"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13" w:type="dxa"/>
            <w:shd w:val="clear" w:color="auto" w:fill="auto"/>
            <w:noWrap/>
            <w:vAlign w:val="center"/>
            <w:hideMark/>
          </w:tcPr>
          <w:p w14:paraId="4E82B206" w14:textId="77777777" w:rsidR="00D91973" w:rsidRPr="00A91056" w:rsidRDefault="00D91973" w:rsidP="00D91973">
            <w:pPr>
              <w:widowControl/>
              <w:spacing w:line="240" w:lineRule="auto"/>
              <w:ind w:firstLine="0"/>
              <w:jc w:val="center"/>
              <w:rPr>
                <w:rFonts w:eastAsia="Times New Roman" w:cs="Arial"/>
                <w:sz w:val="18"/>
                <w:szCs w:val="18"/>
              </w:rPr>
            </w:pPr>
          </w:p>
        </w:tc>
        <w:tc>
          <w:tcPr>
            <w:tcW w:w="647" w:type="dxa"/>
            <w:gridSpan w:val="2"/>
            <w:shd w:val="clear" w:color="auto" w:fill="auto"/>
            <w:noWrap/>
            <w:vAlign w:val="center"/>
            <w:hideMark/>
          </w:tcPr>
          <w:p w14:paraId="6A630A2D" w14:textId="3C59EBCA" w:rsidR="00D91973" w:rsidRPr="00A91056" w:rsidRDefault="00D91973" w:rsidP="00D91973">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540" w:type="dxa"/>
            <w:shd w:val="clear" w:color="auto" w:fill="auto"/>
            <w:noWrap/>
            <w:vAlign w:val="center"/>
            <w:hideMark/>
          </w:tcPr>
          <w:p w14:paraId="748A43ED" w14:textId="7B8BD5B4"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540" w:type="dxa"/>
            <w:shd w:val="clear" w:color="auto" w:fill="auto"/>
            <w:noWrap/>
            <w:vAlign w:val="center"/>
            <w:hideMark/>
          </w:tcPr>
          <w:p w14:paraId="775CC44B" w14:textId="0C90EEAA"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450" w:type="dxa"/>
            <w:shd w:val="clear" w:color="auto" w:fill="auto"/>
            <w:noWrap/>
            <w:vAlign w:val="center"/>
            <w:hideMark/>
          </w:tcPr>
          <w:p w14:paraId="3CE37259"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shd w:val="clear" w:color="auto" w:fill="auto"/>
            <w:noWrap/>
            <w:vAlign w:val="center"/>
            <w:hideMark/>
          </w:tcPr>
          <w:p w14:paraId="7CA698F8" w14:textId="1117B280"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32E37752" w14:textId="77777777" w:rsidR="00D91973" w:rsidRPr="00A91056" w:rsidRDefault="00D91973" w:rsidP="00D91973">
            <w:pPr>
              <w:widowControl/>
              <w:spacing w:line="240" w:lineRule="auto"/>
              <w:ind w:firstLine="0"/>
              <w:jc w:val="center"/>
              <w:rPr>
                <w:rFonts w:eastAsia="Times New Roman" w:cs="Arial"/>
                <w:color w:val="000000"/>
                <w:sz w:val="18"/>
                <w:szCs w:val="18"/>
              </w:rPr>
            </w:pPr>
          </w:p>
        </w:tc>
      </w:tr>
      <w:tr w:rsidR="00F64830" w:rsidRPr="00A91056" w14:paraId="7734DD27" w14:textId="77777777" w:rsidTr="007D701C">
        <w:trPr>
          <w:trHeight w:val="288"/>
        </w:trPr>
        <w:tc>
          <w:tcPr>
            <w:tcW w:w="2395" w:type="dxa"/>
            <w:shd w:val="clear" w:color="auto" w:fill="auto"/>
            <w:noWrap/>
            <w:vAlign w:val="center"/>
            <w:hideMark/>
          </w:tcPr>
          <w:p w14:paraId="5A5F3E7F" w14:textId="77777777"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Menthol</w:t>
            </w:r>
          </w:p>
        </w:tc>
        <w:tc>
          <w:tcPr>
            <w:tcW w:w="1115" w:type="dxa"/>
            <w:shd w:val="clear" w:color="auto" w:fill="auto"/>
            <w:noWrap/>
            <w:vAlign w:val="center"/>
            <w:hideMark/>
          </w:tcPr>
          <w:p w14:paraId="12ED71A5"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89-78-1</w:t>
            </w:r>
          </w:p>
        </w:tc>
        <w:tc>
          <w:tcPr>
            <w:tcW w:w="990" w:type="dxa"/>
            <w:shd w:val="clear" w:color="auto" w:fill="auto"/>
            <w:vAlign w:val="center"/>
            <w:hideMark/>
          </w:tcPr>
          <w:p w14:paraId="3A2D82CF"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 xml:space="preserve">20 - 60 </w:t>
            </w:r>
            <w:r w:rsidRPr="00A91056">
              <w:rPr>
                <w:rFonts w:eastAsia="Times New Roman" w:cs="Arial"/>
                <w:color w:val="000000"/>
                <w:sz w:val="18"/>
                <w:szCs w:val="18"/>
                <w:vertAlign w:val="superscript"/>
              </w:rPr>
              <w:t>b</w:t>
            </w:r>
          </w:p>
        </w:tc>
        <w:tc>
          <w:tcPr>
            <w:tcW w:w="450" w:type="dxa"/>
            <w:shd w:val="clear" w:color="auto" w:fill="auto"/>
            <w:noWrap/>
            <w:vAlign w:val="center"/>
            <w:hideMark/>
          </w:tcPr>
          <w:p w14:paraId="7F001E0E" w14:textId="691228EA"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428DFDA4" w14:textId="5814D540"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540" w:type="dxa"/>
            <w:shd w:val="clear" w:color="auto" w:fill="auto"/>
            <w:noWrap/>
            <w:hideMark/>
          </w:tcPr>
          <w:p w14:paraId="5C484E79" w14:textId="5303FB73"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w:t>
            </w:r>
          </w:p>
        </w:tc>
        <w:tc>
          <w:tcPr>
            <w:tcW w:w="810" w:type="dxa"/>
            <w:shd w:val="clear" w:color="auto" w:fill="auto"/>
            <w:noWrap/>
            <w:vAlign w:val="center"/>
            <w:hideMark/>
          </w:tcPr>
          <w:p w14:paraId="5CF76640"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25" w:type="dxa"/>
            <w:shd w:val="clear" w:color="auto" w:fill="auto"/>
            <w:noWrap/>
            <w:vAlign w:val="center"/>
            <w:hideMark/>
          </w:tcPr>
          <w:p w14:paraId="1A1A8D7A" w14:textId="3F4E235A"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07B24E33" w14:textId="5B00B0F6"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630" w:type="dxa"/>
            <w:shd w:val="clear" w:color="auto" w:fill="auto"/>
            <w:noWrap/>
            <w:vAlign w:val="center"/>
            <w:hideMark/>
          </w:tcPr>
          <w:p w14:paraId="5E6EBBF0" w14:textId="24BC976D"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450" w:type="dxa"/>
            <w:shd w:val="clear" w:color="auto" w:fill="auto"/>
            <w:noWrap/>
            <w:vAlign w:val="center"/>
            <w:hideMark/>
          </w:tcPr>
          <w:p w14:paraId="592CD5FB" w14:textId="02346AEC"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2819D853"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13" w:type="dxa"/>
            <w:shd w:val="clear" w:color="auto" w:fill="auto"/>
            <w:noWrap/>
            <w:vAlign w:val="center"/>
            <w:hideMark/>
          </w:tcPr>
          <w:p w14:paraId="6A2F3F25" w14:textId="77777777" w:rsidR="00D91973" w:rsidRPr="00A91056" w:rsidRDefault="00D91973" w:rsidP="00D91973">
            <w:pPr>
              <w:widowControl/>
              <w:spacing w:line="240" w:lineRule="auto"/>
              <w:ind w:firstLine="0"/>
              <w:jc w:val="center"/>
              <w:rPr>
                <w:rFonts w:eastAsia="Times New Roman" w:cs="Arial"/>
                <w:sz w:val="18"/>
                <w:szCs w:val="18"/>
              </w:rPr>
            </w:pPr>
          </w:p>
        </w:tc>
        <w:tc>
          <w:tcPr>
            <w:tcW w:w="647" w:type="dxa"/>
            <w:gridSpan w:val="2"/>
            <w:shd w:val="clear" w:color="auto" w:fill="auto"/>
            <w:noWrap/>
            <w:vAlign w:val="center"/>
            <w:hideMark/>
          </w:tcPr>
          <w:p w14:paraId="719B8A13"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540" w:type="dxa"/>
            <w:shd w:val="clear" w:color="auto" w:fill="auto"/>
            <w:noWrap/>
            <w:vAlign w:val="center"/>
            <w:hideMark/>
          </w:tcPr>
          <w:p w14:paraId="770CDE7B" w14:textId="1F8BE68A"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540" w:type="dxa"/>
            <w:shd w:val="clear" w:color="auto" w:fill="auto"/>
            <w:noWrap/>
            <w:vAlign w:val="center"/>
            <w:hideMark/>
          </w:tcPr>
          <w:p w14:paraId="43BFFDF5" w14:textId="12AEE114"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450" w:type="dxa"/>
            <w:shd w:val="clear" w:color="auto" w:fill="auto"/>
            <w:noWrap/>
            <w:vAlign w:val="center"/>
            <w:hideMark/>
          </w:tcPr>
          <w:p w14:paraId="377E81C9"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shd w:val="clear" w:color="auto" w:fill="auto"/>
            <w:noWrap/>
            <w:vAlign w:val="center"/>
            <w:hideMark/>
          </w:tcPr>
          <w:p w14:paraId="0B45D770" w14:textId="6D412056"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vAlign w:val="center"/>
            <w:hideMark/>
          </w:tcPr>
          <w:p w14:paraId="25779250" w14:textId="05B1F858"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r>
      <w:tr w:rsidR="00F64830" w:rsidRPr="00A91056" w14:paraId="4F4C521E" w14:textId="77777777" w:rsidTr="007D701C">
        <w:trPr>
          <w:trHeight w:val="288"/>
        </w:trPr>
        <w:tc>
          <w:tcPr>
            <w:tcW w:w="2395" w:type="dxa"/>
            <w:shd w:val="clear" w:color="auto" w:fill="auto"/>
            <w:noWrap/>
            <w:vAlign w:val="center"/>
            <w:hideMark/>
          </w:tcPr>
          <w:p w14:paraId="4215160E" w14:textId="77777777"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 xml:space="preserve">Methyl </w:t>
            </w:r>
            <w:proofErr w:type="spellStart"/>
            <w:r w:rsidRPr="00A91056">
              <w:rPr>
                <w:rFonts w:eastAsia="Times New Roman" w:cs="Arial"/>
                <w:color w:val="000000"/>
                <w:sz w:val="18"/>
                <w:szCs w:val="18"/>
              </w:rPr>
              <w:t>dihydrojasmonate</w:t>
            </w:r>
            <w:proofErr w:type="spellEnd"/>
          </w:p>
        </w:tc>
        <w:tc>
          <w:tcPr>
            <w:tcW w:w="1115" w:type="dxa"/>
            <w:shd w:val="clear" w:color="auto" w:fill="auto"/>
            <w:noWrap/>
            <w:vAlign w:val="center"/>
            <w:hideMark/>
          </w:tcPr>
          <w:p w14:paraId="3DFBFEB6"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24851-98-7</w:t>
            </w:r>
          </w:p>
        </w:tc>
        <w:tc>
          <w:tcPr>
            <w:tcW w:w="990" w:type="dxa"/>
            <w:shd w:val="clear" w:color="auto" w:fill="auto"/>
            <w:vAlign w:val="center"/>
            <w:hideMark/>
          </w:tcPr>
          <w:p w14:paraId="07676DFA"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 xml:space="preserve">7.5 - 60 </w:t>
            </w:r>
            <w:r w:rsidRPr="00A91056">
              <w:rPr>
                <w:rFonts w:eastAsia="Times New Roman" w:cs="Arial"/>
                <w:color w:val="000000"/>
                <w:sz w:val="18"/>
                <w:szCs w:val="18"/>
                <w:vertAlign w:val="superscript"/>
              </w:rPr>
              <w:t>a</w:t>
            </w:r>
          </w:p>
        </w:tc>
        <w:tc>
          <w:tcPr>
            <w:tcW w:w="450" w:type="dxa"/>
            <w:shd w:val="clear" w:color="auto" w:fill="auto"/>
            <w:noWrap/>
            <w:vAlign w:val="center"/>
            <w:hideMark/>
          </w:tcPr>
          <w:p w14:paraId="25F2CBD7" w14:textId="2EE0238A"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6E82BD89" w14:textId="50689FBD"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540" w:type="dxa"/>
            <w:shd w:val="clear" w:color="auto" w:fill="auto"/>
            <w:noWrap/>
            <w:hideMark/>
          </w:tcPr>
          <w:p w14:paraId="28AE2715" w14:textId="4E90FF3A"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w:t>
            </w:r>
          </w:p>
        </w:tc>
        <w:tc>
          <w:tcPr>
            <w:tcW w:w="810" w:type="dxa"/>
            <w:shd w:val="clear" w:color="auto" w:fill="auto"/>
            <w:noWrap/>
            <w:vAlign w:val="center"/>
            <w:hideMark/>
          </w:tcPr>
          <w:p w14:paraId="3C1E2346"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25" w:type="dxa"/>
            <w:shd w:val="clear" w:color="auto" w:fill="auto"/>
            <w:noWrap/>
            <w:vAlign w:val="center"/>
            <w:hideMark/>
          </w:tcPr>
          <w:p w14:paraId="6B3C1BAE" w14:textId="172D474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7BFEC796" w14:textId="030EBBC2"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630" w:type="dxa"/>
            <w:shd w:val="clear" w:color="auto" w:fill="auto"/>
            <w:noWrap/>
            <w:vAlign w:val="center"/>
            <w:hideMark/>
          </w:tcPr>
          <w:p w14:paraId="783BBC8D"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450" w:type="dxa"/>
            <w:shd w:val="clear" w:color="auto" w:fill="auto"/>
            <w:noWrap/>
            <w:vAlign w:val="center"/>
            <w:hideMark/>
          </w:tcPr>
          <w:p w14:paraId="26BD5F31" w14:textId="77777777" w:rsidR="00D91973" w:rsidRPr="00A91056" w:rsidRDefault="00D91973" w:rsidP="00D91973">
            <w:pPr>
              <w:widowControl/>
              <w:spacing w:line="240" w:lineRule="auto"/>
              <w:ind w:firstLine="0"/>
              <w:jc w:val="center"/>
              <w:rPr>
                <w:rFonts w:eastAsia="Times New Roman" w:cs="Arial"/>
                <w:sz w:val="18"/>
                <w:szCs w:val="18"/>
              </w:rPr>
            </w:pPr>
          </w:p>
        </w:tc>
        <w:tc>
          <w:tcPr>
            <w:tcW w:w="720" w:type="dxa"/>
            <w:shd w:val="clear" w:color="auto" w:fill="auto"/>
            <w:noWrap/>
            <w:vAlign w:val="center"/>
            <w:hideMark/>
          </w:tcPr>
          <w:p w14:paraId="49F998EB" w14:textId="77777777" w:rsidR="00D91973" w:rsidRPr="00A91056" w:rsidRDefault="00D91973" w:rsidP="00D91973">
            <w:pPr>
              <w:widowControl/>
              <w:spacing w:line="240" w:lineRule="auto"/>
              <w:ind w:firstLine="0"/>
              <w:jc w:val="center"/>
              <w:rPr>
                <w:rFonts w:eastAsia="Times New Roman" w:cs="Arial"/>
                <w:sz w:val="18"/>
                <w:szCs w:val="18"/>
              </w:rPr>
            </w:pPr>
          </w:p>
        </w:tc>
        <w:tc>
          <w:tcPr>
            <w:tcW w:w="613" w:type="dxa"/>
            <w:shd w:val="clear" w:color="auto" w:fill="auto"/>
            <w:noWrap/>
            <w:vAlign w:val="center"/>
            <w:hideMark/>
          </w:tcPr>
          <w:p w14:paraId="5DD76A18" w14:textId="77777777" w:rsidR="00D91973" w:rsidRPr="00A91056" w:rsidRDefault="00D91973" w:rsidP="00D91973">
            <w:pPr>
              <w:widowControl/>
              <w:spacing w:line="240" w:lineRule="auto"/>
              <w:ind w:firstLine="0"/>
              <w:jc w:val="center"/>
              <w:rPr>
                <w:rFonts w:eastAsia="Times New Roman" w:cs="Arial"/>
                <w:sz w:val="18"/>
                <w:szCs w:val="18"/>
              </w:rPr>
            </w:pPr>
          </w:p>
        </w:tc>
        <w:tc>
          <w:tcPr>
            <w:tcW w:w="647" w:type="dxa"/>
            <w:gridSpan w:val="2"/>
            <w:shd w:val="clear" w:color="auto" w:fill="auto"/>
            <w:noWrap/>
            <w:vAlign w:val="center"/>
            <w:hideMark/>
          </w:tcPr>
          <w:p w14:paraId="2EE77E10" w14:textId="794FB9E5"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540" w:type="dxa"/>
            <w:shd w:val="clear" w:color="auto" w:fill="auto"/>
            <w:noWrap/>
            <w:vAlign w:val="center"/>
            <w:hideMark/>
          </w:tcPr>
          <w:p w14:paraId="01DBED74"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540" w:type="dxa"/>
            <w:shd w:val="clear" w:color="auto" w:fill="auto"/>
            <w:noWrap/>
            <w:vAlign w:val="center"/>
            <w:hideMark/>
          </w:tcPr>
          <w:p w14:paraId="6D31331C" w14:textId="2514F021"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450" w:type="dxa"/>
            <w:shd w:val="clear" w:color="auto" w:fill="auto"/>
            <w:noWrap/>
            <w:vAlign w:val="center"/>
            <w:hideMark/>
          </w:tcPr>
          <w:p w14:paraId="1382AD51"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shd w:val="clear" w:color="auto" w:fill="auto"/>
            <w:noWrap/>
            <w:vAlign w:val="center"/>
            <w:hideMark/>
          </w:tcPr>
          <w:p w14:paraId="173FB573" w14:textId="77777777" w:rsidR="00D91973" w:rsidRPr="00A91056" w:rsidRDefault="00D91973" w:rsidP="00D91973">
            <w:pPr>
              <w:widowControl/>
              <w:spacing w:line="240" w:lineRule="auto"/>
              <w:ind w:firstLine="0"/>
              <w:jc w:val="center"/>
              <w:rPr>
                <w:rFonts w:eastAsia="Times New Roman" w:cs="Arial"/>
                <w:sz w:val="18"/>
                <w:szCs w:val="18"/>
              </w:rPr>
            </w:pPr>
          </w:p>
        </w:tc>
        <w:tc>
          <w:tcPr>
            <w:tcW w:w="720" w:type="dxa"/>
            <w:shd w:val="clear" w:color="auto" w:fill="auto"/>
            <w:noWrap/>
            <w:vAlign w:val="center"/>
            <w:hideMark/>
          </w:tcPr>
          <w:p w14:paraId="3C66D028" w14:textId="77777777" w:rsidR="00D91973" w:rsidRPr="00A91056" w:rsidRDefault="00D91973" w:rsidP="00D91973">
            <w:pPr>
              <w:widowControl/>
              <w:spacing w:line="240" w:lineRule="auto"/>
              <w:ind w:firstLine="0"/>
              <w:jc w:val="center"/>
              <w:rPr>
                <w:rFonts w:eastAsia="Times New Roman" w:cs="Arial"/>
                <w:color w:val="000000"/>
                <w:sz w:val="18"/>
                <w:szCs w:val="18"/>
              </w:rPr>
            </w:pPr>
          </w:p>
        </w:tc>
      </w:tr>
      <w:tr w:rsidR="00F64830" w:rsidRPr="00A91056" w14:paraId="4FF237A6" w14:textId="77777777" w:rsidTr="007D701C">
        <w:trPr>
          <w:trHeight w:val="288"/>
        </w:trPr>
        <w:tc>
          <w:tcPr>
            <w:tcW w:w="2395" w:type="dxa"/>
            <w:shd w:val="clear" w:color="auto" w:fill="auto"/>
            <w:noWrap/>
            <w:vAlign w:val="center"/>
            <w:hideMark/>
          </w:tcPr>
          <w:p w14:paraId="3DF73399" w14:textId="77777777"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Methyl eugenol</w:t>
            </w:r>
          </w:p>
        </w:tc>
        <w:tc>
          <w:tcPr>
            <w:tcW w:w="1115" w:type="dxa"/>
            <w:shd w:val="clear" w:color="auto" w:fill="auto"/>
            <w:noWrap/>
            <w:vAlign w:val="center"/>
            <w:hideMark/>
          </w:tcPr>
          <w:p w14:paraId="4F83413C"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93-15-2</w:t>
            </w:r>
          </w:p>
        </w:tc>
        <w:tc>
          <w:tcPr>
            <w:tcW w:w="990" w:type="dxa"/>
            <w:shd w:val="clear" w:color="auto" w:fill="auto"/>
            <w:vAlign w:val="center"/>
            <w:hideMark/>
          </w:tcPr>
          <w:p w14:paraId="796A6DAA"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0.005 - 4</w:t>
            </w:r>
          </w:p>
        </w:tc>
        <w:tc>
          <w:tcPr>
            <w:tcW w:w="450" w:type="dxa"/>
            <w:shd w:val="clear" w:color="auto" w:fill="auto"/>
            <w:noWrap/>
            <w:vAlign w:val="center"/>
            <w:hideMark/>
          </w:tcPr>
          <w:p w14:paraId="02FE0EEB" w14:textId="367D072B"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678F0018" w14:textId="1A7362C1"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540" w:type="dxa"/>
            <w:shd w:val="clear" w:color="auto" w:fill="auto"/>
            <w:vAlign w:val="center"/>
            <w:hideMark/>
          </w:tcPr>
          <w:p w14:paraId="740397CC" w14:textId="76F8E409"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[2, 5]</w:t>
            </w:r>
          </w:p>
        </w:tc>
        <w:tc>
          <w:tcPr>
            <w:tcW w:w="810" w:type="dxa"/>
            <w:shd w:val="clear" w:color="auto" w:fill="auto"/>
            <w:noWrap/>
            <w:vAlign w:val="center"/>
            <w:hideMark/>
          </w:tcPr>
          <w:p w14:paraId="48E36059" w14:textId="3935A2DF"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25" w:type="dxa"/>
            <w:shd w:val="clear" w:color="auto" w:fill="auto"/>
            <w:noWrap/>
            <w:vAlign w:val="center"/>
            <w:hideMark/>
          </w:tcPr>
          <w:p w14:paraId="55F41E42" w14:textId="3B7C9AD9"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1139A159" w14:textId="50FF926E"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630" w:type="dxa"/>
            <w:shd w:val="clear" w:color="auto" w:fill="auto"/>
            <w:noWrap/>
            <w:vAlign w:val="center"/>
            <w:hideMark/>
          </w:tcPr>
          <w:p w14:paraId="6AEF7EDD" w14:textId="048ED10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450" w:type="dxa"/>
            <w:shd w:val="clear" w:color="auto" w:fill="auto"/>
            <w:noWrap/>
            <w:vAlign w:val="center"/>
            <w:hideMark/>
          </w:tcPr>
          <w:p w14:paraId="00E2D295" w14:textId="6E31DC85"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18B55FFE"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13" w:type="dxa"/>
            <w:shd w:val="clear" w:color="auto" w:fill="auto"/>
            <w:noWrap/>
            <w:vAlign w:val="center"/>
            <w:hideMark/>
          </w:tcPr>
          <w:p w14:paraId="37E58515" w14:textId="77777777" w:rsidR="00D91973" w:rsidRPr="00A91056" w:rsidRDefault="00D91973" w:rsidP="00D91973">
            <w:pPr>
              <w:widowControl/>
              <w:spacing w:line="240" w:lineRule="auto"/>
              <w:ind w:firstLine="0"/>
              <w:jc w:val="center"/>
              <w:rPr>
                <w:rFonts w:eastAsia="Times New Roman" w:cs="Arial"/>
                <w:sz w:val="18"/>
                <w:szCs w:val="18"/>
              </w:rPr>
            </w:pPr>
          </w:p>
        </w:tc>
        <w:tc>
          <w:tcPr>
            <w:tcW w:w="647" w:type="dxa"/>
            <w:gridSpan w:val="2"/>
            <w:shd w:val="clear" w:color="auto" w:fill="auto"/>
            <w:noWrap/>
            <w:vAlign w:val="center"/>
            <w:hideMark/>
          </w:tcPr>
          <w:p w14:paraId="60EB5BCE"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540" w:type="dxa"/>
            <w:shd w:val="clear" w:color="auto" w:fill="auto"/>
            <w:noWrap/>
            <w:vAlign w:val="center"/>
            <w:hideMark/>
          </w:tcPr>
          <w:p w14:paraId="402DD6F6" w14:textId="4E7C1A6A"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540" w:type="dxa"/>
            <w:shd w:val="clear" w:color="auto" w:fill="auto"/>
            <w:noWrap/>
            <w:vAlign w:val="center"/>
            <w:hideMark/>
          </w:tcPr>
          <w:p w14:paraId="399C6F23" w14:textId="5B4612D3"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450" w:type="dxa"/>
            <w:shd w:val="clear" w:color="auto" w:fill="auto"/>
            <w:noWrap/>
            <w:vAlign w:val="center"/>
            <w:hideMark/>
          </w:tcPr>
          <w:p w14:paraId="41606E67"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shd w:val="clear" w:color="auto" w:fill="auto"/>
            <w:noWrap/>
            <w:vAlign w:val="center"/>
            <w:hideMark/>
          </w:tcPr>
          <w:p w14:paraId="2B783358" w14:textId="69063AB1"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3C742D14" w14:textId="27B425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F64830" w:rsidRPr="00A91056" w14:paraId="589BF9CF" w14:textId="77777777" w:rsidTr="007D701C">
        <w:trPr>
          <w:trHeight w:val="288"/>
        </w:trPr>
        <w:tc>
          <w:tcPr>
            <w:tcW w:w="2395" w:type="dxa"/>
            <w:shd w:val="clear" w:color="auto" w:fill="auto"/>
            <w:noWrap/>
            <w:vAlign w:val="center"/>
            <w:hideMark/>
          </w:tcPr>
          <w:p w14:paraId="1A4DBDEA" w14:textId="77777777"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Methyl isoeugenol</w:t>
            </w:r>
          </w:p>
        </w:tc>
        <w:tc>
          <w:tcPr>
            <w:tcW w:w="1115" w:type="dxa"/>
            <w:shd w:val="clear" w:color="auto" w:fill="auto"/>
            <w:noWrap/>
            <w:vAlign w:val="center"/>
            <w:hideMark/>
          </w:tcPr>
          <w:p w14:paraId="337B6EFC"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93-16-3</w:t>
            </w:r>
          </w:p>
        </w:tc>
        <w:tc>
          <w:tcPr>
            <w:tcW w:w="990" w:type="dxa"/>
            <w:shd w:val="clear" w:color="auto" w:fill="auto"/>
            <w:vAlign w:val="center"/>
            <w:hideMark/>
          </w:tcPr>
          <w:p w14:paraId="215D7D22"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 xml:space="preserve">40 - 80 </w:t>
            </w:r>
            <w:r w:rsidRPr="00A91056">
              <w:rPr>
                <w:rFonts w:eastAsia="Times New Roman" w:cs="Arial"/>
                <w:color w:val="000000"/>
                <w:sz w:val="18"/>
                <w:szCs w:val="18"/>
                <w:vertAlign w:val="superscript"/>
              </w:rPr>
              <w:t>a</w:t>
            </w:r>
          </w:p>
        </w:tc>
        <w:tc>
          <w:tcPr>
            <w:tcW w:w="450" w:type="dxa"/>
            <w:shd w:val="clear" w:color="auto" w:fill="auto"/>
            <w:noWrap/>
            <w:vAlign w:val="center"/>
            <w:hideMark/>
          </w:tcPr>
          <w:p w14:paraId="1A96550D" w14:textId="460BB116"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14498315" w14:textId="06E73598"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540" w:type="dxa"/>
            <w:shd w:val="clear" w:color="auto" w:fill="auto"/>
            <w:noWrap/>
            <w:vAlign w:val="center"/>
            <w:hideMark/>
          </w:tcPr>
          <w:p w14:paraId="6336684F" w14:textId="0840F214"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w:t>
            </w:r>
          </w:p>
        </w:tc>
        <w:tc>
          <w:tcPr>
            <w:tcW w:w="810" w:type="dxa"/>
            <w:shd w:val="clear" w:color="auto" w:fill="auto"/>
            <w:noWrap/>
            <w:vAlign w:val="center"/>
            <w:hideMark/>
          </w:tcPr>
          <w:p w14:paraId="394C9AEE"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25" w:type="dxa"/>
            <w:shd w:val="clear" w:color="auto" w:fill="auto"/>
            <w:noWrap/>
            <w:vAlign w:val="center"/>
            <w:hideMark/>
          </w:tcPr>
          <w:p w14:paraId="4AE07C72" w14:textId="669C2D22"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2112EF0B"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30" w:type="dxa"/>
            <w:shd w:val="clear" w:color="auto" w:fill="auto"/>
            <w:noWrap/>
            <w:vAlign w:val="center"/>
            <w:hideMark/>
          </w:tcPr>
          <w:p w14:paraId="6E69335D" w14:textId="358F3794"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 xml:space="preserve">Neg </w:t>
            </w:r>
            <w:r w:rsidR="002512FC" w:rsidRPr="00A91056">
              <w:rPr>
                <w:rFonts w:eastAsia="Times New Roman" w:cs="Arial"/>
                <w:color w:val="000000"/>
                <w:sz w:val="18"/>
                <w:szCs w:val="18"/>
                <w:vertAlign w:val="superscript"/>
              </w:rPr>
              <w:t>i</w:t>
            </w:r>
          </w:p>
        </w:tc>
        <w:tc>
          <w:tcPr>
            <w:tcW w:w="450" w:type="dxa"/>
            <w:shd w:val="clear" w:color="auto" w:fill="auto"/>
            <w:noWrap/>
            <w:vAlign w:val="center"/>
            <w:hideMark/>
          </w:tcPr>
          <w:p w14:paraId="54E463BB"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shd w:val="clear" w:color="auto" w:fill="auto"/>
            <w:noWrap/>
            <w:vAlign w:val="center"/>
            <w:hideMark/>
          </w:tcPr>
          <w:p w14:paraId="58D2DAF8" w14:textId="77777777" w:rsidR="00D91973" w:rsidRPr="00A91056" w:rsidRDefault="00D91973" w:rsidP="00D91973">
            <w:pPr>
              <w:widowControl/>
              <w:spacing w:line="240" w:lineRule="auto"/>
              <w:ind w:firstLine="0"/>
              <w:jc w:val="center"/>
              <w:rPr>
                <w:rFonts w:eastAsia="Times New Roman" w:cs="Arial"/>
                <w:sz w:val="18"/>
                <w:szCs w:val="18"/>
              </w:rPr>
            </w:pPr>
          </w:p>
        </w:tc>
        <w:tc>
          <w:tcPr>
            <w:tcW w:w="613" w:type="dxa"/>
            <w:shd w:val="clear" w:color="auto" w:fill="auto"/>
            <w:noWrap/>
            <w:vAlign w:val="center"/>
            <w:hideMark/>
          </w:tcPr>
          <w:p w14:paraId="77108635" w14:textId="77777777" w:rsidR="00D91973" w:rsidRPr="00A91056" w:rsidRDefault="00D91973" w:rsidP="00D91973">
            <w:pPr>
              <w:widowControl/>
              <w:spacing w:line="240" w:lineRule="auto"/>
              <w:ind w:firstLine="0"/>
              <w:jc w:val="center"/>
              <w:rPr>
                <w:rFonts w:eastAsia="Times New Roman" w:cs="Arial"/>
                <w:sz w:val="18"/>
                <w:szCs w:val="18"/>
              </w:rPr>
            </w:pPr>
          </w:p>
        </w:tc>
        <w:tc>
          <w:tcPr>
            <w:tcW w:w="647" w:type="dxa"/>
            <w:gridSpan w:val="2"/>
            <w:shd w:val="clear" w:color="auto" w:fill="auto"/>
            <w:noWrap/>
            <w:vAlign w:val="center"/>
            <w:hideMark/>
          </w:tcPr>
          <w:p w14:paraId="37CE6D03"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540" w:type="dxa"/>
            <w:shd w:val="clear" w:color="auto" w:fill="auto"/>
            <w:noWrap/>
            <w:vAlign w:val="center"/>
            <w:hideMark/>
          </w:tcPr>
          <w:p w14:paraId="0538D513" w14:textId="77777777" w:rsidR="00D91973" w:rsidRPr="00A91056" w:rsidRDefault="00D91973" w:rsidP="00D91973">
            <w:pPr>
              <w:widowControl/>
              <w:spacing w:line="240" w:lineRule="auto"/>
              <w:ind w:firstLine="0"/>
              <w:jc w:val="center"/>
              <w:rPr>
                <w:rFonts w:eastAsia="Times New Roman" w:cs="Arial"/>
                <w:sz w:val="18"/>
                <w:szCs w:val="18"/>
              </w:rPr>
            </w:pPr>
          </w:p>
        </w:tc>
        <w:tc>
          <w:tcPr>
            <w:tcW w:w="540" w:type="dxa"/>
            <w:shd w:val="clear" w:color="auto" w:fill="auto"/>
            <w:noWrap/>
            <w:vAlign w:val="center"/>
            <w:hideMark/>
          </w:tcPr>
          <w:p w14:paraId="7052EA3A" w14:textId="62775203"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r w:rsidR="002512FC" w:rsidRPr="00A91056">
              <w:rPr>
                <w:rFonts w:eastAsia="Times New Roman" w:cs="Arial"/>
                <w:color w:val="000000"/>
                <w:sz w:val="18"/>
                <w:szCs w:val="18"/>
              </w:rPr>
              <w:t xml:space="preserve"> </w:t>
            </w:r>
            <w:r w:rsidR="002512FC" w:rsidRPr="00A91056">
              <w:rPr>
                <w:rFonts w:eastAsia="Times New Roman" w:cs="Arial"/>
                <w:color w:val="000000"/>
                <w:sz w:val="18"/>
                <w:szCs w:val="18"/>
                <w:vertAlign w:val="superscript"/>
              </w:rPr>
              <w:t>i</w:t>
            </w:r>
          </w:p>
        </w:tc>
        <w:tc>
          <w:tcPr>
            <w:tcW w:w="450" w:type="dxa"/>
            <w:shd w:val="clear" w:color="auto" w:fill="auto"/>
            <w:noWrap/>
            <w:vAlign w:val="center"/>
            <w:hideMark/>
          </w:tcPr>
          <w:p w14:paraId="37F0B958"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shd w:val="clear" w:color="auto" w:fill="auto"/>
            <w:noWrap/>
            <w:vAlign w:val="center"/>
            <w:hideMark/>
          </w:tcPr>
          <w:p w14:paraId="29032BA1" w14:textId="77777777" w:rsidR="00D91973" w:rsidRPr="00A91056" w:rsidRDefault="00D91973" w:rsidP="00D91973">
            <w:pPr>
              <w:widowControl/>
              <w:spacing w:line="240" w:lineRule="auto"/>
              <w:ind w:firstLine="0"/>
              <w:jc w:val="center"/>
              <w:rPr>
                <w:rFonts w:eastAsia="Times New Roman" w:cs="Arial"/>
                <w:sz w:val="18"/>
                <w:szCs w:val="18"/>
              </w:rPr>
            </w:pPr>
          </w:p>
        </w:tc>
        <w:tc>
          <w:tcPr>
            <w:tcW w:w="720" w:type="dxa"/>
            <w:shd w:val="clear" w:color="auto" w:fill="auto"/>
            <w:noWrap/>
            <w:vAlign w:val="center"/>
            <w:hideMark/>
          </w:tcPr>
          <w:p w14:paraId="0FC6CC65" w14:textId="77777777" w:rsidR="00D91973" w:rsidRPr="00A91056" w:rsidRDefault="00D91973" w:rsidP="00D91973">
            <w:pPr>
              <w:widowControl/>
              <w:spacing w:line="240" w:lineRule="auto"/>
              <w:ind w:firstLine="0"/>
              <w:jc w:val="center"/>
              <w:rPr>
                <w:rFonts w:eastAsia="Times New Roman" w:cs="Arial"/>
                <w:color w:val="000000"/>
                <w:sz w:val="18"/>
                <w:szCs w:val="18"/>
              </w:rPr>
            </w:pPr>
          </w:p>
        </w:tc>
      </w:tr>
      <w:tr w:rsidR="00F64830" w:rsidRPr="00A91056" w14:paraId="76533D50" w14:textId="77777777" w:rsidTr="007D701C">
        <w:trPr>
          <w:trHeight w:val="288"/>
        </w:trPr>
        <w:tc>
          <w:tcPr>
            <w:tcW w:w="2395" w:type="dxa"/>
            <w:shd w:val="clear" w:color="auto" w:fill="auto"/>
            <w:vAlign w:val="center"/>
            <w:hideMark/>
          </w:tcPr>
          <w:p w14:paraId="72CB6019" w14:textId="77777777"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 xml:space="preserve">Methylenedioxyphenyl-2-methyl </w:t>
            </w:r>
            <w:proofErr w:type="spellStart"/>
            <w:r w:rsidRPr="00A91056">
              <w:rPr>
                <w:rFonts w:eastAsia="Times New Roman" w:cs="Arial"/>
                <w:color w:val="000000"/>
                <w:sz w:val="18"/>
                <w:szCs w:val="18"/>
              </w:rPr>
              <w:t>propanal</w:t>
            </w:r>
            <w:proofErr w:type="spellEnd"/>
          </w:p>
        </w:tc>
        <w:tc>
          <w:tcPr>
            <w:tcW w:w="1115" w:type="dxa"/>
            <w:shd w:val="clear" w:color="auto" w:fill="auto"/>
            <w:noWrap/>
            <w:vAlign w:val="center"/>
            <w:hideMark/>
          </w:tcPr>
          <w:p w14:paraId="7F32A07B"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1205-17-0</w:t>
            </w:r>
          </w:p>
        </w:tc>
        <w:tc>
          <w:tcPr>
            <w:tcW w:w="990" w:type="dxa"/>
            <w:shd w:val="clear" w:color="auto" w:fill="auto"/>
            <w:vAlign w:val="center"/>
            <w:hideMark/>
          </w:tcPr>
          <w:p w14:paraId="54438332"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25 - 75</w:t>
            </w:r>
          </w:p>
        </w:tc>
        <w:tc>
          <w:tcPr>
            <w:tcW w:w="450" w:type="dxa"/>
            <w:shd w:val="clear" w:color="auto" w:fill="auto"/>
            <w:noWrap/>
            <w:vAlign w:val="center"/>
            <w:hideMark/>
          </w:tcPr>
          <w:p w14:paraId="3D0D0063" w14:textId="057BF5C5"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36D4AD08" w14:textId="5C6E39E4"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540" w:type="dxa"/>
            <w:shd w:val="clear" w:color="auto" w:fill="auto"/>
            <w:vAlign w:val="center"/>
            <w:hideMark/>
          </w:tcPr>
          <w:p w14:paraId="17FEE84C" w14:textId="3E938D28" w:rsidR="00D91973" w:rsidRPr="00A91056" w:rsidRDefault="00D91973" w:rsidP="00D91973">
            <w:pPr>
              <w:widowControl/>
              <w:spacing w:line="240" w:lineRule="auto"/>
              <w:ind w:firstLine="0"/>
              <w:jc w:val="center"/>
              <w:rPr>
                <w:rFonts w:eastAsia="Times New Roman" w:cs="Arial"/>
                <w:color w:val="000000"/>
                <w:sz w:val="18"/>
                <w:szCs w:val="18"/>
              </w:rPr>
            </w:pPr>
          </w:p>
        </w:tc>
        <w:tc>
          <w:tcPr>
            <w:tcW w:w="810" w:type="dxa"/>
            <w:shd w:val="clear" w:color="auto" w:fill="auto"/>
            <w:vAlign w:val="center"/>
            <w:hideMark/>
          </w:tcPr>
          <w:p w14:paraId="29225DAA"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25" w:type="dxa"/>
            <w:shd w:val="clear" w:color="auto" w:fill="auto"/>
            <w:noWrap/>
            <w:vAlign w:val="center"/>
            <w:hideMark/>
          </w:tcPr>
          <w:p w14:paraId="26700320" w14:textId="6EC62E8D"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3234973A"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30" w:type="dxa"/>
            <w:shd w:val="clear" w:color="auto" w:fill="auto"/>
            <w:noWrap/>
            <w:vAlign w:val="center"/>
            <w:hideMark/>
          </w:tcPr>
          <w:p w14:paraId="269A532E" w14:textId="1FB7A7DA"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450" w:type="dxa"/>
            <w:shd w:val="clear" w:color="auto" w:fill="auto"/>
            <w:noWrap/>
            <w:vAlign w:val="center"/>
            <w:hideMark/>
          </w:tcPr>
          <w:p w14:paraId="0975CDA7" w14:textId="4EED27D1"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075F2D27"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13" w:type="dxa"/>
            <w:shd w:val="clear" w:color="auto" w:fill="auto"/>
            <w:noWrap/>
            <w:vAlign w:val="center"/>
            <w:hideMark/>
          </w:tcPr>
          <w:p w14:paraId="53EFEEAC" w14:textId="77777777" w:rsidR="00D91973" w:rsidRPr="00A91056" w:rsidRDefault="00D91973" w:rsidP="00D91973">
            <w:pPr>
              <w:widowControl/>
              <w:spacing w:line="240" w:lineRule="auto"/>
              <w:ind w:firstLine="0"/>
              <w:jc w:val="center"/>
              <w:rPr>
                <w:rFonts w:eastAsia="Times New Roman" w:cs="Arial"/>
                <w:sz w:val="18"/>
                <w:szCs w:val="18"/>
              </w:rPr>
            </w:pPr>
          </w:p>
        </w:tc>
        <w:tc>
          <w:tcPr>
            <w:tcW w:w="647" w:type="dxa"/>
            <w:gridSpan w:val="2"/>
            <w:shd w:val="clear" w:color="auto" w:fill="auto"/>
            <w:noWrap/>
            <w:vAlign w:val="center"/>
            <w:hideMark/>
          </w:tcPr>
          <w:p w14:paraId="4F7DA562"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540" w:type="dxa"/>
            <w:shd w:val="clear" w:color="auto" w:fill="auto"/>
            <w:noWrap/>
            <w:vAlign w:val="center"/>
            <w:hideMark/>
          </w:tcPr>
          <w:p w14:paraId="223E91BF" w14:textId="77777777" w:rsidR="00D91973" w:rsidRPr="00A91056" w:rsidRDefault="00D91973" w:rsidP="00D91973">
            <w:pPr>
              <w:widowControl/>
              <w:spacing w:line="240" w:lineRule="auto"/>
              <w:ind w:firstLine="0"/>
              <w:jc w:val="center"/>
              <w:rPr>
                <w:rFonts w:eastAsia="Times New Roman" w:cs="Arial"/>
                <w:sz w:val="18"/>
                <w:szCs w:val="18"/>
              </w:rPr>
            </w:pPr>
          </w:p>
        </w:tc>
        <w:tc>
          <w:tcPr>
            <w:tcW w:w="540" w:type="dxa"/>
            <w:shd w:val="clear" w:color="auto" w:fill="auto"/>
            <w:noWrap/>
            <w:vAlign w:val="center"/>
            <w:hideMark/>
          </w:tcPr>
          <w:p w14:paraId="556A0A80" w14:textId="311A7D6B"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450" w:type="dxa"/>
            <w:shd w:val="clear" w:color="auto" w:fill="auto"/>
            <w:noWrap/>
            <w:vAlign w:val="center"/>
            <w:hideMark/>
          </w:tcPr>
          <w:p w14:paraId="6021C097"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shd w:val="clear" w:color="auto" w:fill="auto"/>
            <w:noWrap/>
            <w:vAlign w:val="center"/>
            <w:hideMark/>
          </w:tcPr>
          <w:p w14:paraId="09E656DF" w14:textId="77777777" w:rsidR="00D91973" w:rsidRPr="00A91056" w:rsidRDefault="00D91973" w:rsidP="00D91973">
            <w:pPr>
              <w:widowControl/>
              <w:spacing w:line="240" w:lineRule="auto"/>
              <w:ind w:firstLine="0"/>
              <w:jc w:val="center"/>
              <w:rPr>
                <w:rFonts w:eastAsia="Times New Roman" w:cs="Arial"/>
                <w:sz w:val="18"/>
                <w:szCs w:val="18"/>
              </w:rPr>
            </w:pPr>
          </w:p>
        </w:tc>
        <w:tc>
          <w:tcPr>
            <w:tcW w:w="720" w:type="dxa"/>
            <w:shd w:val="clear" w:color="auto" w:fill="auto"/>
            <w:noWrap/>
            <w:vAlign w:val="center"/>
            <w:hideMark/>
          </w:tcPr>
          <w:p w14:paraId="51279385" w14:textId="77777777" w:rsidR="00D91973" w:rsidRPr="00A91056" w:rsidRDefault="00D91973" w:rsidP="00D91973">
            <w:pPr>
              <w:widowControl/>
              <w:spacing w:line="240" w:lineRule="auto"/>
              <w:ind w:firstLine="0"/>
              <w:jc w:val="center"/>
              <w:rPr>
                <w:rFonts w:eastAsia="Times New Roman" w:cs="Arial"/>
                <w:color w:val="000000"/>
                <w:sz w:val="18"/>
                <w:szCs w:val="18"/>
              </w:rPr>
            </w:pPr>
          </w:p>
        </w:tc>
      </w:tr>
      <w:tr w:rsidR="00F64830" w:rsidRPr="00A91056" w14:paraId="776FBB98" w14:textId="77777777" w:rsidTr="007D701C">
        <w:trPr>
          <w:trHeight w:val="288"/>
        </w:trPr>
        <w:tc>
          <w:tcPr>
            <w:tcW w:w="2395" w:type="dxa"/>
            <w:shd w:val="clear" w:color="auto" w:fill="auto"/>
            <w:noWrap/>
            <w:vAlign w:val="center"/>
            <w:hideMark/>
          </w:tcPr>
          <w:p w14:paraId="72642AC2" w14:textId="77777777"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Mitomycin C</w:t>
            </w:r>
          </w:p>
        </w:tc>
        <w:tc>
          <w:tcPr>
            <w:tcW w:w="1115" w:type="dxa"/>
            <w:shd w:val="clear" w:color="auto" w:fill="auto"/>
            <w:noWrap/>
            <w:vAlign w:val="center"/>
            <w:hideMark/>
          </w:tcPr>
          <w:p w14:paraId="07C948B2"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50-07-7</w:t>
            </w:r>
          </w:p>
        </w:tc>
        <w:tc>
          <w:tcPr>
            <w:tcW w:w="990" w:type="dxa"/>
            <w:shd w:val="clear" w:color="auto" w:fill="auto"/>
            <w:vAlign w:val="center"/>
            <w:hideMark/>
          </w:tcPr>
          <w:p w14:paraId="4FF67DA6"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0.25 - 1</w:t>
            </w:r>
          </w:p>
        </w:tc>
        <w:tc>
          <w:tcPr>
            <w:tcW w:w="450" w:type="dxa"/>
            <w:shd w:val="clear" w:color="auto" w:fill="auto"/>
            <w:noWrap/>
            <w:vAlign w:val="center"/>
            <w:hideMark/>
          </w:tcPr>
          <w:p w14:paraId="3E3F30DB" w14:textId="1A5638AD"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19421C73" w14:textId="02C1FDDF"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 xml:space="preserve">Neg </w:t>
            </w:r>
            <w:r w:rsidR="002512FC" w:rsidRPr="00A91056">
              <w:rPr>
                <w:rFonts w:eastAsia="Times New Roman" w:cs="Arial"/>
                <w:color w:val="000000"/>
                <w:sz w:val="18"/>
                <w:szCs w:val="18"/>
                <w:vertAlign w:val="superscript"/>
              </w:rPr>
              <w:t>h</w:t>
            </w:r>
          </w:p>
        </w:tc>
        <w:tc>
          <w:tcPr>
            <w:tcW w:w="540" w:type="dxa"/>
            <w:shd w:val="clear" w:color="auto" w:fill="auto"/>
            <w:vAlign w:val="center"/>
            <w:hideMark/>
          </w:tcPr>
          <w:p w14:paraId="184A27EB" w14:textId="3D9B1198" w:rsidR="00D91973" w:rsidRPr="00A91056" w:rsidRDefault="00D91973" w:rsidP="00D91973">
            <w:pPr>
              <w:widowControl/>
              <w:spacing w:line="240" w:lineRule="auto"/>
              <w:ind w:firstLine="0"/>
              <w:jc w:val="center"/>
              <w:rPr>
                <w:rFonts w:eastAsia="Times New Roman" w:cs="Arial"/>
                <w:color w:val="000000"/>
                <w:sz w:val="18"/>
                <w:szCs w:val="18"/>
              </w:rPr>
            </w:pPr>
          </w:p>
        </w:tc>
        <w:tc>
          <w:tcPr>
            <w:tcW w:w="810" w:type="dxa"/>
            <w:shd w:val="clear" w:color="auto" w:fill="auto"/>
            <w:noWrap/>
            <w:vAlign w:val="center"/>
            <w:hideMark/>
          </w:tcPr>
          <w:p w14:paraId="6FEA286D" w14:textId="24CEFAC1"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25" w:type="dxa"/>
            <w:shd w:val="clear" w:color="auto" w:fill="auto"/>
            <w:noWrap/>
            <w:vAlign w:val="center"/>
            <w:hideMark/>
          </w:tcPr>
          <w:p w14:paraId="051DD76F" w14:textId="62F333E3"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64DE7E49" w14:textId="3C849DCD"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30" w:type="dxa"/>
            <w:shd w:val="clear" w:color="auto" w:fill="auto"/>
            <w:noWrap/>
            <w:vAlign w:val="center"/>
            <w:hideMark/>
          </w:tcPr>
          <w:p w14:paraId="469FA2DE" w14:textId="7D038760"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450" w:type="dxa"/>
            <w:shd w:val="clear" w:color="auto" w:fill="auto"/>
            <w:noWrap/>
            <w:vAlign w:val="center"/>
            <w:hideMark/>
          </w:tcPr>
          <w:p w14:paraId="7537EB26" w14:textId="7DB7E2F1"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7D44FC19" w14:textId="5DAEC03B"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13" w:type="dxa"/>
            <w:shd w:val="clear" w:color="auto" w:fill="auto"/>
            <w:noWrap/>
            <w:vAlign w:val="center"/>
            <w:hideMark/>
          </w:tcPr>
          <w:p w14:paraId="3A5DFA06" w14:textId="00FEC4E2"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47" w:type="dxa"/>
            <w:gridSpan w:val="2"/>
            <w:shd w:val="clear" w:color="auto" w:fill="auto"/>
            <w:noWrap/>
            <w:vAlign w:val="center"/>
            <w:hideMark/>
          </w:tcPr>
          <w:p w14:paraId="35CAB146"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540" w:type="dxa"/>
            <w:shd w:val="clear" w:color="auto" w:fill="auto"/>
            <w:noWrap/>
            <w:vAlign w:val="center"/>
            <w:hideMark/>
          </w:tcPr>
          <w:p w14:paraId="3BFF912A" w14:textId="7FFEE88C"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540" w:type="dxa"/>
            <w:shd w:val="clear" w:color="auto" w:fill="auto"/>
            <w:noWrap/>
            <w:vAlign w:val="center"/>
            <w:hideMark/>
          </w:tcPr>
          <w:p w14:paraId="5670BDB7" w14:textId="488EA026"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450" w:type="dxa"/>
            <w:shd w:val="clear" w:color="auto" w:fill="auto"/>
            <w:noWrap/>
            <w:vAlign w:val="center"/>
            <w:hideMark/>
          </w:tcPr>
          <w:p w14:paraId="3E2AFDEE" w14:textId="545DB919"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125C753F" w14:textId="5D0F671D"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33B30FBE" w14:textId="466AC33D"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F64830" w:rsidRPr="00A91056" w14:paraId="12B555E7" w14:textId="77777777" w:rsidTr="007D701C">
        <w:trPr>
          <w:trHeight w:val="288"/>
        </w:trPr>
        <w:tc>
          <w:tcPr>
            <w:tcW w:w="2395" w:type="dxa"/>
            <w:shd w:val="clear" w:color="auto" w:fill="auto"/>
            <w:noWrap/>
            <w:vAlign w:val="center"/>
            <w:hideMark/>
          </w:tcPr>
          <w:p w14:paraId="147CC051" w14:textId="77777777"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Monocrotaline</w:t>
            </w:r>
          </w:p>
        </w:tc>
        <w:tc>
          <w:tcPr>
            <w:tcW w:w="1115" w:type="dxa"/>
            <w:shd w:val="clear" w:color="auto" w:fill="auto"/>
            <w:noWrap/>
            <w:vAlign w:val="center"/>
            <w:hideMark/>
          </w:tcPr>
          <w:p w14:paraId="10EA8DEA"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315-22-0</w:t>
            </w:r>
          </w:p>
        </w:tc>
        <w:tc>
          <w:tcPr>
            <w:tcW w:w="990" w:type="dxa"/>
            <w:shd w:val="clear" w:color="auto" w:fill="auto"/>
            <w:vAlign w:val="center"/>
            <w:hideMark/>
          </w:tcPr>
          <w:p w14:paraId="1152FD1D"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 xml:space="preserve">3 </w:t>
            </w:r>
            <w:r w:rsidRPr="00A91056">
              <w:rPr>
                <w:rFonts w:eastAsia="Times New Roman" w:cs="Arial"/>
                <w:color w:val="000000"/>
                <w:sz w:val="18"/>
                <w:szCs w:val="18"/>
                <w:vertAlign w:val="superscript"/>
              </w:rPr>
              <w:t>b</w:t>
            </w:r>
          </w:p>
        </w:tc>
        <w:tc>
          <w:tcPr>
            <w:tcW w:w="450" w:type="dxa"/>
            <w:shd w:val="clear" w:color="auto" w:fill="auto"/>
            <w:noWrap/>
            <w:vAlign w:val="center"/>
            <w:hideMark/>
          </w:tcPr>
          <w:p w14:paraId="37C4F05E" w14:textId="4CE4858E"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19460DC8" w14:textId="3B49E346"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 xml:space="preserve">Neg </w:t>
            </w:r>
            <w:r w:rsidR="00A53B69" w:rsidRPr="00A91056">
              <w:rPr>
                <w:rFonts w:eastAsia="Times New Roman" w:cs="Arial"/>
                <w:color w:val="000000"/>
                <w:sz w:val="18"/>
                <w:szCs w:val="18"/>
                <w:vertAlign w:val="superscript"/>
              </w:rPr>
              <w:t>h</w:t>
            </w:r>
          </w:p>
        </w:tc>
        <w:tc>
          <w:tcPr>
            <w:tcW w:w="540" w:type="dxa"/>
            <w:shd w:val="clear" w:color="auto" w:fill="auto"/>
            <w:vAlign w:val="center"/>
            <w:hideMark/>
          </w:tcPr>
          <w:p w14:paraId="2F8B7E02" w14:textId="00FEDACD" w:rsidR="00D91973" w:rsidRPr="00A91056" w:rsidRDefault="00D91973" w:rsidP="00D91973">
            <w:pPr>
              <w:widowControl/>
              <w:spacing w:line="240" w:lineRule="auto"/>
              <w:ind w:firstLine="0"/>
              <w:jc w:val="center"/>
              <w:rPr>
                <w:rFonts w:eastAsia="Times New Roman" w:cs="Arial"/>
                <w:color w:val="000000"/>
                <w:sz w:val="18"/>
                <w:szCs w:val="18"/>
              </w:rPr>
            </w:pPr>
          </w:p>
        </w:tc>
        <w:tc>
          <w:tcPr>
            <w:tcW w:w="810" w:type="dxa"/>
            <w:shd w:val="clear" w:color="auto" w:fill="auto"/>
            <w:vAlign w:val="center"/>
            <w:hideMark/>
          </w:tcPr>
          <w:p w14:paraId="156DF017" w14:textId="5ED0BD6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25" w:type="dxa"/>
            <w:shd w:val="clear" w:color="auto" w:fill="auto"/>
            <w:noWrap/>
            <w:vAlign w:val="center"/>
            <w:hideMark/>
          </w:tcPr>
          <w:p w14:paraId="35A06245" w14:textId="3C74A80A"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64E6C895" w14:textId="7F003E13"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30" w:type="dxa"/>
            <w:shd w:val="clear" w:color="auto" w:fill="auto"/>
            <w:noWrap/>
            <w:vAlign w:val="center"/>
            <w:hideMark/>
          </w:tcPr>
          <w:p w14:paraId="04A9DBF7"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450" w:type="dxa"/>
            <w:shd w:val="clear" w:color="auto" w:fill="auto"/>
            <w:noWrap/>
            <w:vAlign w:val="center"/>
            <w:hideMark/>
          </w:tcPr>
          <w:p w14:paraId="0368526C" w14:textId="71EB15F3"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542EBBD8"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13" w:type="dxa"/>
            <w:shd w:val="clear" w:color="auto" w:fill="auto"/>
            <w:noWrap/>
            <w:vAlign w:val="center"/>
            <w:hideMark/>
          </w:tcPr>
          <w:p w14:paraId="515613AF"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47" w:type="dxa"/>
            <w:gridSpan w:val="2"/>
            <w:shd w:val="clear" w:color="auto" w:fill="auto"/>
            <w:noWrap/>
            <w:vAlign w:val="center"/>
            <w:hideMark/>
          </w:tcPr>
          <w:p w14:paraId="5E9679D2"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540" w:type="dxa"/>
            <w:shd w:val="clear" w:color="auto" w:fill="auto"/>
            <w:noWrap/>
            <w:vAlign w:val="center"/>
            <w:hideMark/>
          </w:tcPr>
          <w:p w14:paraId="4DCC4CAC" w14:textId="77777777" w:rsidR="00D91973" w:rsidRPr="00A91056" w:rsidRDefault="00D91973" w:rsidP="00D91973">
            <w:pPr>
              <w:widowControl/>
              <w:spacing w:line="240" w:lineRule="auto"/>
              <w:ind w:firstLine="0"/>
              <w:jc w:val="center"/>
              <w:rPr>
                <w:rFonts w:eastAsia="Times New Roman" w:cs="Arial"/>
                <w:sz w:val="18"/>
                <w:szCs w:val="18"/>
              </w:rPr>
            </w:pPr>
          </w:p>
        </w:tc>
        <w:tc>
          <w:tcPr>
            <w:tcW w:w="540" w:type="dxa"/>
            <w:shd w:val="clear" w:color="auto" w:fill="auto"/>
            <w:noWrap/>
            <w:vAlign w:val="center"/>
            <w:hideMark/>
          </w:tcPr>
          <w:p w14:paraId="31A64517" w14:textId="793749A4"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450" w:type="dxa"/>
            <w:shd w:val="clear" w:color="auto" w:fill="auto"/>
            <w:noWrap/>
            <w:vAlign w:val="center"/>
            <w:hideMark/>
          </w:tcPr>
          <w:p w14:paraId="52B55EB1"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shd w:val="clear" w:color="auto" w:fill="auto"/>
            <w:noWrap/>
            <w:vAlign w:val="center"/>
            <w:hideMark/>
          </w:tcPr>
          <w:p w14:paraId="12FE9641" w14:textId="009A1ADA"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0EB361A3" w14:textId="5ADA4740"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F64830" w:rsidRPr="00A91056" w14:paraId="61731C54" w14:textId="77777777" w:rsidTr="007D701C">
        <w:trPr>
          <w:trHeight w:val="288"/>
        </w:trPr>
        <w:tc>
          <w:tcPr>
            <w:tcW w:w="2395" w:type="dxa"/>
            <w:shd w:val="clear" w:color="auto" w:fill="auto"/>
            <w:noWrap/>
            <w:vAlign w:val="center"/>
            <w:hideMark/>
          </w:tcPr>
          <w:p w14:paraId="51AD2E6C" w14:textId="77777777"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Myristicin</w:t>
            </w:r>
          </w:p>
        </w:tc>
        <w:tc>
          <w:tcPr>
            <w:tcW w:w="1115" w:type="dxa"/>
            <w:shd w:val="clear" w:color="auto" w:fill="auto"/>
            <w:noWrap/>
            <w:vAlign w:val="center"/>
            <w:hideMark/>
          </w:tcPr>
          <w:p w14:paraId="7BDAC537"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607-91-0</w:t>
            </w:r>
          </w:p>
        </w:tc>
        <w:tc>
          <w:tcPr>
            <w:tcW w:w="990" w:type="dxa"/>
            <w:shd w:val="clear" w:color="auto" w:fill="auto"/>
            <w:vAlign w:val="center"/>
            <w:hideMark/>
          </w:tcPr>
          <w:p w14:paraId="12CCC2F9"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0.08 - 50</w:t>
            </w:r>
          </w:p>
        </w:tc>
        <w:tc>
          <w:tcPr>
            <w:tcW w:w="450" w:type="dxa"/>
            <w:shd w:val="clear" w:color="auto" w:fill="auto"/>
            <w:noWrap/>
            <w:vAlign w:val="center"/>
            <w:hideMark/>
          </w:tcPr>
          <w:p w14:paraId="546084D3" w14:textId="3EDF1C7E"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15D47F9A" w14:textId="20E241C5"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540" w:type="dxa"/>
            <w:shd w:val="clear" w:color="auto" w:fill="auto"/>
            <w:noWrap/>
            <w:vAlign w:val="center"/>
            <w:hideMark/>
          </w:tcPr>
          <w:p w14:paraId="142FEE78" w14:textId="7EF8BB10"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w:t>
            </w:r>
          </w:p>
        </w:tc>
        <w:tc>
          <w:tcPr>
            <w:tcW w:w="810" w:type="dxa"/>
            <w:shd w:val="clear" w:color="auto" w:fill="auto"/>
            <w:noWrap/>
            <w:vAlign w:val="center"/>
            <w:hideMark/>
          </w:tcPr>
          <w:p w14:paraId="0DDC3BED" w14:textId="1999C8DE"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25" w:type="dxa"/>
            <w:shd w:val="clear" w:color="auto" w:fill="auto"/>
            <w:noWrap/>
            <w:vAlign w:val="center"/>
            <w:hideMark/>
          </w:tcPr>
          <w:p w14:paraId="54F3ADC4" w14:textId="2A0305E4"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235E1AA9"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30" w:type="dxa"/>
            <w:shd w:val="clear" w:color="auto" w:fill="auto"/>
            <w:noWrap/>
            <w:vAlign w:val="center"/>
            <w:hideMark/>
          </w:tcPr>
          <w:p w14:paraId="6C3192CB" w14:textId="77777777" w:rsidR="00D91973" w:rsidRPr="00A91056" w:rsidRDefault="00D91973" w:rsidP="00D91973">
            <w:pPr>
              <w:widowControl/>
              <w:spacing w:line="240" w:lineRule="auto"/>
              <w:ind w:firstLine="0"/>
              <w:jc w:val="center"/>
              <w:rPr>
                <w:rFonts w:eastAsia="Times New Roman" w:cs="Arial"/>
                <w:sz w:val="18"/>
                <w:szCs w:val="18"/>
              </w:rPr>
            </w:pPr>
          </w:p>
        </w:tc>
        <w:tc>
          <w:tcPr>
            <w:tcW w:w="450" w:type="dxa"/>
            <w:shd w:val="clear" w:color="auto" w:fill="auto"/>
            <w:noWrap/>
            <w:vAlign w:val="center"/>
            <w:hideMark/>
          </w:tcPr>
          <w:p w14:paraId="44D967F0" w14:textId="77777777" w:rsidR="00D91973" w:rsidRPr="00A91056" w:rsidRDefault="00D91973" w:rsidP="00D91973">
            <w:pPr>
              <w:widowControl/>
              <w:spacing w:line="240" w:lineRule="auto"/>
              <w:ind w:firstLine="0"/>
              <w:jc w:val="center"/>
              <w:rPr>
                <w:rFonts w:eastAsia="Times New Roman" w:cs="Arial"/>
                <w:sz w:val="18"/>
                <w:szCs w:val="18"/>
              </w:rPr>
            </w:pPr>
          </w:p>
        </w:tc>
        <w:tc>
          <w:tcPr>
            <w:tcW w:w="720" w:type="dxa"/>
            <w:shd w:val="clear" w:color="auto" w:fill="auto"/>
            <w:noWrap/>
            <w:vAlign w:val="center"/>
            <w:hideMark/>
          </w:tcPr>
          <w:p w14:paraId="63753522" w14:textId="654510ED"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613" w:type="dxa"/>
            <w:shd w:val="clear" w:color="auto" w:fill="auto"/>
            <w:noWrap/>
            <w:vAlign w:val="center"/>
            <w:hideMark/>
          </w:tcPr>
          <w:p w14:paraId="451CCB6E"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47" w:type="dxa"/>
            <w:gridSpan w:val="2"/>
            <w:shd w:val="clear" w:color="auto" w:fill="auto"/>
            <w:noWrap/>
            <w:vAlign w:val="center"/>
            <w:hideMark/>
          </w:tcPr>
          <w:p w14:paraId="48C3BB77"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540" w:type="dxa"/>
            <w:shd w:val="clear" w:color="auto" w:fill="auto"/>
            <w:noWrap/>
            <w:vAlign w:val="center"/>
            <w:hideMark/>
          </w:tcPr>
          <w:p w14:paraId="17FBA02C" w14:textId="77777777" w:rsidR="00D91973" w:rsidRPr="00A91056" w:rsidRDefault="00D91973" w:rsidP="00D91973">
            <w:pPr>
              <w:widowControl/>
              <w:spacing w:line="240" w:lineRule="auto"/>
              <w:ind w:firstLine="0"/>
              <w:jc w:val="center"/>
              <w:rPr>
                <w:rFonts w:eastAsia="Times New Roman" w:cs="Arial"/>
                <w:sz w:val="18"/>
                <w:szCs w:val="18"/>
              </w:rPr>
            </w:pPr>
          </w:p>
        </w:tc>
        <w:tc>
          <w:tcPr>
            <w:tcW w:w="540" w:type="dxa"/>
            <w:shd w:val="clear" w:color="auto" w:fill="auto"/>
            <w:noWrap/>
            <w:vAlign w:val="center"/>
            <w:hideMark/>
          </w:tcPr>
          <w:p w14:paraId="2B3C6697" w14:textId="19B400B3"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450" w:type="dxa"/>
            <w:shd w:val="clear" w:color="auto" w:fill="auto"/>
            <w:noWrap/>
            <w:vAlign w:val="center"/>
            <w:hideMark/>
          </w:tcPr>
          <w:p w14:paraId="473887F2"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shd w:val="clear" w:color="auto" w:fill="auto"/>
            <w:noWrap/>
            <w:vAlign w:val="center"/>
            <w:hideMark/>
          </w:tcPr>
          <w:p w14:paraId="5EC427A1" w14:textId="77777777" w:rsidR="00D91973" w:rsidRPr="00A91056" w:rsidRDefault="00D91973" w:rsidP="00D91973">
            <w:pPr>
              <w:widowControl/>
              <w:spacing w:line="240" w:lineRule="auto"/>
              <w:ind w:firstLine="0"/>
              <w:jc w:val="center"/>
              <w:rPr>
                <w:rFonts w:eastAsia="Times New Roman" w:cs="Arial"/>
                <w:sz w:val="18"/>
                <w:szCs w:val="18"/>
              </w:rPr>
            </w:pPr>
          </w:p>
        </w:tc>
        <w:tc>
          <w:tcPr>
            <w:tcW w:w="720" w:type="dxa"/>
            <w:shd w:val="clear" w:color="auto" w:fill="auto"/>
            <w:noWrap/>
            <w:vAlign w:val="center"/>
            <w:hideMark/>
          </w:tcPr>
          <w:p w14:paraId="46CDD50D" w14:textId="77777777" w:rsidR="00D91973" w:rsidRPr="00A91056" w:rsidRDefault="00D91973" w:rsidP="00D91973">
            <w:pPr>
              <w:widowControl/>
              <w:spacing w:line="240" w:lineRule="auto"/>
              <w:ind w:firstLine="0"/>
              <w:jc w:val="center"/>
              <w:rPr>
                <w:rFonts w:eastAsia="Times New Roman" w:cs="Arial"/>
                <w:color w:val="000000"/>
                <w:sz w:val="18"/>
                <w:szCs w:val="18"/>
              </w:rPr>
            </w:pPr>
          </w:p>
        </w:tc>
      </w:tr>
      <w:tr w:rsidR="00F64830" w:rsidRPr="00A91056" w14:paraId="5A6FF98B" w14:textId="77777777" w:rsidTr="007D701C">
        <w:trPr>
          <w:trHeight w:val="288"/>
        </w:trPr>
        <w:tc>
          <w:tcPr>
            <w:tcW w:w="2395" w:type="dxa"/>
            <w:shd w:val="clear" w:color="auto" w:fill="auto"/>
            <w:vAlign w:val="center"/>
            <w:hideMark/>
          </w:tcPr>
          <w:p w14:paraId="18129CBB" w14:textId="77777777"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 xml:space="preserve">N-methyl-N'-nitro-N-nitrosoguanidine </w:t>
            </w:r>
          </w:p>
        </w:tc>
        <w:tc>
          <w:tcPr>
            <w:tcW w:w="1115" w:type="dxa"/>
            <w:shd w:val="clear" w:color="auto" w:fill="auto"/>
            <w:noWrap/>
            <w:vAlign w:val="center"/>
            <w:hideMark/>
          </w:tcPr>
          <w:p w14:paraId="1D138016"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70-25-7</w:t>
            </w:r>
          </w:p>
        </w:tc>
        <w:tc>
          <w:tcPr>
            <w:tcW w:w="990" w:type="dxa"/>
            <w:shd w:val="clear" w:color="auto" w:fill="auto"/>
            <w:vAlign w:val="center"/>
            <w:hideMark/>
          </w:tcPr>
          <w:p w14:paraId="102590C8"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0.003</w:t>
            </w:r>
          </w:p>
        </w:tc>
        <w:tc>
          <w:tcPr>
            <w:tcW w:w="450" w:type="dxa"/>
            <w:shd w:val="clear" w:color="auto" w:fill="auto"/>
            <w:vAlign w:val="center"/>
            <w:hideMark/>
          </w:tcPr>
          <w:p w14:paraId="0C2FF265"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shd w:val="clear" w:color="auto" w:fill="auto"/>
            <w:vAlign w:val="center"/>
            <w:hideMark/>
          </w:tcPr>
          <w:p w14:paraId="2672C6D6" w14:textId="70FA0C12"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w:t>
            </w:r>
            <w:r w:rsidR="00A53B69" w:rsidRPr="00A91056">
              <w:rPr>
                <w:rFonts w:eastAsia="Times New Roman" w:cs="Arial"/>
                <w:color w:val="000000"/>
                <w:sz w:val="18"/>
                <w:szCs w:val="18"/>
              </w:rPr>
              <w:t>os</w:t>
            </w:r>
            <w:r w:rsidRPr="00A91056">
              <w:rPr>
                <w:rFonts w:eastAsia="Times New Roman" w:cs="Arial"/>
                <w:color w:val="000000"/>
                <w:sz w:val="18"/>
                <w:szCs w:val="18"/>
              </w:rPr>
              <w:t xml:space="preserve"> </w:t>
            </w:r>
            <w:r w:rsidR="00A53B69" w:rsidRPr="00A91056">
              <w:rPr>
                <w:rFonts w:eastAsia="Times New Roman" w:cs="Arial"/>
                <w:color w:val="000000"/>
                <w:sz w:val="18"/>
                <w:szCs w:val="18"/>
                <w:vertAlign w:val="superscript"/>
              </w:rPr>
              <w:t>g</w:t>
            </w:r>
          </w:p>
        </w:tc>
        <w:tc>
          <w:tcPr>
            <w:tcW w:w="540" w:type="dxa"/>
            <w:shd w:val="clear" w:color="auto" w:fill="auto"/>
            <w:vAlign w:val="center"/>
            <w:hideMark/>
          </w:tcPr>
          <w:p w14:paraId="1C42D7C9" w14:textId="272D47D4" w:rsidR="00D91973" w:rsidRPr="00A91056" w:rsidRDefault="00D91973" w:rsidP="00D91973">
            <w:pPr>
              <w:widowControl/>
              <w:spacing w:line="240" w:lineRule="auto"/>
              <w:ind w:firstLine="0"/>
              <w:jc w:val="center"/>
              <w:rPr>
                <w:rFonts w:eastAsia="Times New Roman" w:cs="Arial"/>
                <w:color w:val="000000"/>
                <w:sz w:val="18"/>
                <w:szCs w:val="18"/>
              </w:rPr>
            </w:pPr>
          </w:p>
        </w:tc>
        <w:tc>
          <w:tcPr>
            <w:tcW w:w="810" w:type="dxa"/>
            <w:shd w:val="clear" w:color="auto" w:fill="auto"/>
            <w:noWrap/>
            <w:vAlign w:val="center"/>
            <w:hideMark/>
          </w:tcPr>
          <w:p w14:paraId="4B5CFDE7" w14:textId="072DBB11" w:rsidR="00D91973" w:rsidRPr="00A91056" w:rsidRDefault="00A53B69"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25" w:type="dxa"/>
            <w:shd w:val="clear" w:color="auto" w:fill="auto"/>
            <w:noWrap/>
            <w:vAlign w:val="center"/>
            <w:hideMark/>
          </w:tcPr>
          <w:p w14:paraId="4985767C" w14:textId="1B62CC7A" w:rsidR="00D91973" w:rsidRPr="00A91056" w:rsidRDefault="00A53B69"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201F5EA5" w14:textId="33F6A91F" w:rsidR="00D91973" w:rsidRPr="00A91056" w:rsidRDefault="00A53B69"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30" w:type="dxa"/>
            <w:shd w:val="clear" w:color="auto" w:fill="auto"/>
            <w:noWrap/>
            <w:vAlign w:val="center"/>
            <w:hideMark/>
          </w:tcPr>
          <w:p w14:paraId="6E7EB37C" w14:textId="0448D291" w:rsidR="00D91973" w:rsidRPr="00A91056" w:rsidRDefault="00A53B69"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450" w:type="dxa"/>
            <w:shd w:val="clear" w:color="auto" w:fill="auto"/>
            <w:noWrap/>
            <w:vAlign w:val="center"/>
            <w:hideMark/>
          </w:tcPr>
          <w:p w14:paraId="0DB88A32" w14:textId="5FB27243" w:rsidR="00D91973" w:rsidRPr="00A91056" w:rsidRDefault="00A53B69"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7B9A543C"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13" w:type="dxa"/>
            <w:shd w:val="clear" w:color="auto" w:fill="auto"/>
            <w:noWrap/>
            <w:vAlign w:val="center"/>
            <w:hideMark/>
          </w:tcPr>
          <w:p w14:paraId="5F4F9BEA" w14:textId="4B25627B" w:rsidR="00D91973" w:rsidRPr="00A91056" w:rsidRDefault="00A53B69"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47" w:type="dxa"/>
            <w:gridSpan w:val="2"/>
            <w:shd w:val="clear" w:color="auto" w:fill="auto"/>
            <w:noWrap/>
            <w:vAlign w:val="center"/>
            <w:hideMark/>
          </w:tcPr>
          <w:p w14:paraId="590D2252" w14:textId="52F03432" w:rsidR="00D91973" w:rsidRPr="00A91056" w:rsidRDefault="00A53B69"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540" w:type="dxa"/>
            <w:shd w:val="clear" w:color="auto" w:fill="auto"/>
            <w:noWrap/>
            <w:vAlign w:val="center"/>
            <w:hideMark/>
          </w:tcPr>
          <w:p w14:paraId="67EA8B7D" w14:textId="36DCCB47" w:rsidR="00D91973" w:rsidRPr="00A91056" w:rsidRDefault="00A53B69"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540" w:type="dxa"/>
            <w:shd w:val="clear" w:color="auto" w:fill="auto"/>
            <w:noWrap/>
            <w:vAlign w:val="center"/>
            <w:hideMark/>
          </w:tcPr>
          <w:p w14:paraId="2BF6233D" w14:textId="797BA443" w:rsidR="00D91973" w:rsidRPr="00A91056" w:rsidRDefault="00A53B69"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450" w:type="dxa"/>
            <w:shd w:val="clear" w:color="auto" w:fill="auto"/>
            <w:noWrap/>
            <w:vAlign w:val="center"/>
            <w:hideMark/>
          </w:tcPr>
          <w:p w14:paraId="1CB2930F" w14:textId="62D69B3E" w:rsidR="00D91973" w:rsidRPr="00A91056" w:rsidRDefault="00A53B69"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09C06D43" w14:textId="6F0CFEAF" w:rsidR="00D91973" w:rsidRPr="00A91056" w:rsidRDefault="00A53B69"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5C08D8BF" w14:textId="118655EA" w:rsidR="00D91973" w:rsidRPr="00A91056" w:rsidRDefault="00A53B69"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F64830" w:rsidRPr="00A91056" w14:paraId="3CA2FECD" w14:textId="77777777" w:rsidTr="007D701C">
        <w:trPr>
          <w:trHeight w:val="288"/>
        </w:trPr>
        <w:tc>
          <w:tcPr>
            <w:tcW w:w="2395" w:type="dxa"/>
            <w:shd w:val="clear" w:color="auto" w:fill="auto"/>
            <w:noWrap/>
            <w:vAlign w:val="center"/>
            <w:hideMark/>
          </w:tcPr>
          <w:p w14:paraId="14C52164" w14:textId="77777777"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Nutmeg oil</w:t>
            </w:r>
          </w:p>
        </w:tc>
        <w:tc>
          <w:tcPr>
            <w:tcW w:w="1115" w:type="dxa"/>
            <w:shd w:val="clear" w:color="auto" w:fill="auto"/>
            <w:noWrap/>
            <w:vAlign w:val="center"/>
            <w:hideMark/>
          </w:tcPr>
          <w:p w14:paraId="699EAF46"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8008-45-5</w:t>
            </w:r>
          </w:p>
        </w:tc>
        <w:tc>
          <w:tcPr>
            <w:tcW w:w="990" w:type="dxa"/>
            <w:shd w:val="clear" w:color="auto" w:fill="auto"/>
            <w:vAlign w:val="center"/>
            <w:hideMark/>
          </w:tcPr>
          <w:p w14:paraId="07B7083E"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 xml:space="preserve">0.6 - 100 </w:t>
            </w:r>
            <w:r w:rsidRPr="00A91056">
              <w:rPr>
                <w:rFonts w:eastAsia="Times New Roman" w:cs="Arial"/>
                <w:color w:val="000000"/>
                <w:sz w:val="18"/>
                <w:szCs w:val="18"/>
                <w:vertAlign w:val="superscript"/>
              </w:rPr>
              <w:t>b</w:t>
            </w:r>
          </w:p>
        </w:tc>
        <w:tc>
          <w:tcPr>
            <w:tcW w:w="450" w:type="dxa"/>
            <w:shd w:val="clear" w:color="auto" w:fill="auto"/>
            <w:noWrap/>
            <w:vAlign w:val="center"/>
            <w:hideMark/>
          </w:tcPr>
          <w:p w14:paraId="13C3F703" w14:textId="68D3731C"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5FE7E250" w14:textId="3396165A"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540" w:type="dxa"/>
            <w:shd w:val="clear" w:color="auto" w:fill="auto"/>
            <w:noWrap/>
            <w:vAlign w:val="center"/>
            <w:hideMark/>
          </w:tcPr>
          <w:p w14:paraId="5DE2080E" w14:textId="0F2962F7" w:rsidR="00D91973" w:rsidRPr="00A91056" w:rsidRDefault="00D91973" w:rsidP="00D91973">
            <w:pPr>
              <w:widowControl/>
              <w:spacing w:line="240" w:lineRule="auto"/>
              <w:ind w:firstLine="0"/>
              <w:jc w:val="center"/>
              <w:rPr>
                <w:rFonts w:eastAsia="Times New Roman" w:cs="Arial"/>
                <w:color w:val="000000"/>
                <w:sz w:val="18"/>
                <w:szCs w:val="18"/>
              </w:rPr>
            </w:pPr>
          </w:p>
        </w:tc>
        <w:tc>
          <w:tcPr>
            <w:tcW w:w="810" w:type="dxa"/>
            <w:shd w:val="clear" w:color="auto" w:fill="auto"/>
            <w:noWrap/>
            <w:vAlign w:val="center"/>
            <w:hideMark/>
          </w:tcPr>
          <w:p w14:paraId="435BD7A1"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25" w:type="dxa"/>
            <w:shd w:val="clear" w:color="auto" w:fill="auto"/>
            <w:noWrap/>
            <w:vAlign w:val="center"/>
            <w:hideMark/>
          </w:tcPr>
          <w:p w14:paraId="356C0D76" w14:textId="13611668"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0D4D36C5"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30" w:type="dxa"/>
            <w:shd w:val="clear" w:color="auto" w:fill="auto"/>
            <w:noWrap/>
            <w:vAlign w:val="center"/>
            <w:hideMark/>
          </w:tcPr>
          <w:p w14:paraId="663AE14E" w14:textId="77777777" w:rsidR="00D91973" w:rsidRPr="00A91056" w:rsidRDefault="00D91973" w:rsidP="00D91973">
            <w:pPr>
              <w:widowControl/>
              <w:spacing w:line="240" w:lineRule="auto"/>
              <w:ind w:firstLine="0"/>
              <w:jc w:val="center"/>
              <w:rPr>
                <w:rFonts w:eastAsia="Times New Roman" w:cs="Arial"/>
                <w:sz w:val="18"/>
                <w:szCs w:val="18"/>
              </w:rPr>
            </w:pPr>
          </w:p>
        </w:tc>
        <w:tc>
          <w:tcPr>
            <w:tcW w:w="450" w:type="dxa"/>
            <w:shd w:val="clear" w:color="auto" w:fill="auto"/>
            <w:noWrap/>
            <w:vAlign w:val="center"/>
            <w:hideMark/>
          </w:tcPr>
          <w:p w14:paraId="7BE260F2" w14:textId="74107324"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36AE2E88"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13" w:type="dxa"/>
            <w:shd w:val="clear" w:color="auto" w:fill="auto"/>
            <w:noWrap/>
            <w:vAlign w:val="center"/>
            <w:hideMark/>
          </w:tcPr>
          <w:p w14:paraId="3DDC4CF9" w14:textId="77777777" w:rsidR="00D91973" w:rsidRPr="00A91056" w:rsidRDefault="00D91973" w:rsidP="00D91973">
            <w:pPr>
              <w:widowControl/>
              <w:spacing w:line="240" w:lineRule="auto"/>
              <w:ind w:firstLine="0"/>
              <w:jc w:val="center"/>
              <w:rPr>
                <w:rFonts w:eastAsia="Times New Roman" w:cs="Arial"/>
                <w:sz w:val="18"/>
                <w:szCs w:val="18"/>
              </w:rPr>
            </w:pPr>
          </w:p>
        </w:tc>
        <w:tc>
          <w:tcPr>
            <w:tcW w:w="647" w:type="dxa"/>
            <w:gridSpan w:val="2"/>
            <w:shd w:val="clear" w:color="auto" w:fill="auto"/>
            <w:noWrap/>
            <w:vAlign w:val="center"/>
            <w:hideMark/>
          </w:tcPr>
          <w:p w14:paraId="57B56DE3"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540" w:type="dxa"/>
            <w:shd w:val="clear" w:color="auto" w:fill="auto"/>
            <w:noWrap/>
            <w:vAlign w:val="center"/>
            <w:hideMark/>
          </w:tcPr>
          <w:p w14:paraId="66456F82" w14:textId="77777777" w:rsidR="00D91973" w:rsidRPr="00A91056" w:rsidRDefault="00D91973" w:rsidP="00D91973">
            <w:pPr>
              <w:widowControl/>
              <w:spacing w:line="240" w:lineRule="auto"/>
              <w:ind w:firstLine="0"/>
              <w:jc w:val="center"/>
              <w:rPr>
                <w:rFonts w:eastAsia="Times New Roman" w:cs="Arial"/>
                <w:sz w:val="18"/>
                <w:szCs w:val="18"/>
              </w:rPr>
            </w:pPr>
          </w:p>
        </w:tc>
        <w:tc>
          <w:tcPr>
            <w:tcW w:w="540" w:type="dxa"/>
            <w:shd w:val="clear" w:color="auto" w:fill="auto"/>
            <w:noWrap/>
            <w:vAlign w:val="center"/>
            <w:hideMark/>
          </w:tcPr>
          <w:p w14:paraId="10D3CA76" w14:textId="77777777" w:rsidR="00D91973" w:rsidRPr="00A91056" w:rsidRDefault="00D91973" w:rsidP="00D91973">
            <w:pPr>
              <w:widowControl/>
              <w:spacing w:line="240" w:lineRule="auto"/>
              <w:ind w:firstLine="0"/>
              <w:jc w:val="center"/>
              <w:rPr>
                <w:rFonts w:eastAsia="Times New Roman" w:cs="Arial"/>
                <w:sz w:val="18"/>
                <w:szCs w:val="18"/>
              </w:rPr>
            </w:pPr>
          </w:p>
        </w:tc>
        <w:tc>
          <w:tcPr>
            <w:tcW w:w="450" w:type="dxa"/>
            <w:shd w:val="clear" w:color="auto" w:fill="auto"/>
            <w:noWrap/>
            <w:vAlign w:val="center"/>
            <w:hideMark/>
          </w:tcPr>
          <w:p w14:paraId="280ACA7D" w14:textId="77777777" w:rsidR="00D91973" w:rsidRPr="00A91056" w:rsidRDefault="00D91973" w:rsidP="00D91973">
            <w:pPr>
              <w:widowControl/>
              <w:spacing w:line="240" w:lineRule="auto"/>
              <w:ind w:firstLine="0"/>
              <w:jc w:val="center"/>
              <w:rPr>
                <w:rFonts w:eastAsia="Times New Roman" w:cs="Arial"/>
                <w:sz w:val="18"/>
                <w:szCs w:val="18"/>
              </w:rPr>
            </w:pPr>
          </w:p>
        </w:tc>
        <w:tc>
          <w:tcPr>
            <w:tcW w:w="720" w:type="dxa"/>
            <w:shd w:val="clear" w:color="auto" w:fill="auto"/>
            <w:noWrap/>
            <w:vAlign w:val="center"/>
            <w:hideMark/>
          </w:tcPr>
          <w:p w14:paraId="4106EB09" w14:textId="77777777" w:rsidR="00D91973" w:rsidRPr="00A91056" w:rsidRDefault="00D91973" w:rsidP="00D91973">
            <w:pPr>
              <w:widowControl/>
              <w:spacing w:line="240" w:lineRule="auto"/>
              <w:ind w:firstLine="0"/>
              <w:jc w:val="center"/>
              <w:rPr>
                <w:rFonts w:eastAsia="Times New Roman" w:cs="Arial"/>
                <w:sz w:val="18"/>
                <w:szCs w:val="18"/>
              </w:rPr>
            </w:pPr>
          </w:p>
        </w:tc>
        <w:tc>
          <w:tcPr>
            <w:tcW w:w="720" w:type="dxa"/>
            <w:shd w:val="clear" w:color="auto" w:fill="auto"/>
            <w:noWrap/>
            <w:vAlign w:val="center"/>
            <w:hideMark/>
          </w:tcPr>
          <w:p w14:paraId="0AC181F3" w14:textId="77777777" w:rsidR="00D91973" w:rsidRPr="00A91056" w:rsidRDefault="00D91973" w:rsidP="00D91973">
            <w:pPr>
              <w:widowControl/>
              <w:spacing w:line="240" w:lineRule="auto"/>
              <w:ind w:firstLine="0"/>
              <w:jc w:val="center"/>
              <w:rPr>
                <w:rFonts w:eastAsia="Times New Roman" w:cs="Arial"/>
                <w:sz w:val="18"/>
                <w:szCs w:val="18"/>
              </w:rPr>
            </w:pPr>
          </w:p>
        </w:tc>
      </w:tr>
      <w:tr w:rsidR="00F64830" w:rsidRPr="00A91056" w14:paraId="4EB84B1C" w14:textId="77777777" w:rsidTr="007D701C">
        <w:trPr>
          <w:trHeight w:val="288"/>
        </w:trPr>
        <w:tc>
          <w:tcPr>
            <w:tcW w:w="2395" w:type="dxa"/>
            <w:shd w:val="clear" w:color="auto" w:fill="auto"/>
            <w:noWrap/>
            <w:vAlign w:val="center"/>
            <w:hideMark/>
          </w:tcPr>
          <w:p w14:paraId="5415C8CD" w14:textId="77777777"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Ochratoxin A</w:t>
            </w:r>
          </w:p>
        </w:tc>
        <w:tc>
          <w:tcPr>
            <w:tcW w:w="1115" w:type="dxa"/>
            <w:shd w:val="clear" w:color="auto" w:fill="auto"/>
            <w:noWrap/>
            <w:vAlign w:val="center"/>
            <w:hideMark/>
          </w:tcPr>
          <w:p w14:paraId="62C54181"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303-47-9</w:t>
            </w:r>
          </w:p>
        </w:tc>
        <w:tc>
          <w:tcPr>
            <w:tcW w:w="990" w:type="dxa"/>
            <w:shd w:val="clear" w:color="auto" w:fill="auto"/>
            <w:vAlign w:val="center"/>
            <w:hideMark/>
          </w:tcPr>
          <w:p w14:paraId="446ED452"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 xml:space="preserve">0.05 - 0.1 </w:t>
            </w:r>
            <w:r w:rsidRPr="00A91056">
              <w:rPr>
                <w:rFonts w:eastAsia="Times New Roman" w:cs="Arial"/>
                <w:color w:val="000000"/>
                <w:sz w:val="18"/>
                <w:szCs w:val="18"/>
                <w:vertAlign w:val="superscript"/>
              </w:rPr>
              <w:t>a</w:t>
            </w:r>
          </w:p>
        </w:tc>
        <w:tc>
          <w:tcPr>
            <w:tcW w:w="450" w:type="dxa"/>
            <w:shd w:val="clear" w:color="auto" w:fill="auto"/>
            <w:noWrap/>
            <w:vAlign w:val="center"/>
            <w:hideMark/>
          </w:tcPr>
          <w:p w14:paraId="6AD41B30" w14:textId="3AD8630B"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6623F2A0" w14:textId="68FCD944"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540" w:type="dxa"/>
            <w:shd w:val="clear" w:color="auto" w:fill="auto"/>
            <w:vAlign w:val="center"/>
            <w:hideMark/>
          </w:tcPr>
          <w:p w14:paraId="0C1FDD70" w14:textId="41C65421" w:rsidR="00D91973" w:rsidRPr="00A91056" w:rsidRDefault="00D91973" w:rsidP="00D91973">
            <w:pPr>
              <w:widowControl/>
              <w:spacing w:line="240" w:lineRule="auto"/>
              <w:ind w:firstLine="0"/>
              <w:jc w:val="center"/>
              <w:rPr>
                <w:rFonts w:eastAsia="Times New Roman" w:cs="Arial"/>
                <w:color w:val="000000"/>
                <w:sz w:val="18"/>
                <w:szCs w:val="18"/>
              </w:rPr>
            </w:pPr>
          </w:p>
        </w:tc>
        <w:tc>
          <w:tcPr>
            <w:tcW w:w="810" w:type="dxa"/>
            <w:shd w:val="clear" w:color="auto" w:fill="auto"/>
            <w:vAlign w:val="center"/>
            <w:hideMark/>
          </w:tcPr>
          <w:p w14:paraId="3D7EC816" w14:textId="60FC7A8D"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25" w:type="dxa"/>
            <w:shd w:val="clear" w:color="auto" w:fill="auto"/>
            <w:noWrap/>
            <w:vAlign w:val="center"/>
            <w:hideMark/>
          </w:tcPr>
          <w:p w14:paraId="43CEC8E3" w14:textId="18D9983B"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6EFD7E95" w14:textId="360D851E"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30" w:type="dxa"/>
            <w:shd w:val="clear" w:color="auto" w:fill="auto"/>
            <w:noWrap/>
            <w:vAlign w:val="center"/>
            <w:hideMark/>
          </w:tcPr>
          <w:p w14:paraId="0DEE1D55" w14:textId="289F9CFE"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450" w:type="dxa"/>
            <w:shd w:val="clear" w:color="auto" w:fill="auto"/>
            <w:noWrap/>
            <w:vAlign w:val="center"/>
            <w:hideMark/>
          </w:tcPr>
          <w:p w14:paraId="02E7FB75" w14:textId="26DB9579"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18A6661D"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13" w:type="dxa"/>
            <w:shd w:val="clear" w:color="auto" w:fill="auto"/>
            <w:noWrap/>
            <w:vAlign w:val="center"/>
            <w:hideMark/>
          </w:tcPr>
          <w:p w14:paraId="45DE0F0F" w14:textId="56B62B32"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647" w:type="dxa"/>
            <w:gridSpan w:val="2"/>
            <w:shd w:val="clear" w:color="auto" w:fill="auto"/>
            <w:noWrap/>
            <w:vAlign w:val="center"/>
            <w:hideMark/>
          </w:tcPr>
          <w:p w14:paraId="29B6F011"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540" w:type="dxa"/>
            <w:shd w:val="clear" w:color="auto" w:fill="auto"/>
            <w:noWrap/>
            <w:vAlign w:val="center"/>
            <w:hideMark/>
          </w:tcPr>
          <w:p w14:paraId="6A2484C7" w14:textId="77777777" w:rsidR="00D91973" w:rsidRPr="00A91056" w:rsidRDefault="00D91973" w:rsidP="00D91973">
            <w:pPr>
              <w:widowControl/>
              <w:spacing w:line="240" w:lineRule="auto"/>
              <w:ind w:firstLine="0"/>
              <w:jc w:val="center"/>
              <w:rPr>
                <w:rFonts w:eastAsia="Times New Roman" w:cs="Arial"/>
                <w:sz w:val="18"/>
                <w:szCs w:val="18"/>
              </w:rPr>
            </w:pPr>
          </w:p>
        </w:tc>
        <w:tc>
          <w:tcPr>
            <w:tcW w:w="540" w:type="dxa"/>
            <w:shd w:val="clear" w:color="auto" w:fill="auto"/>
            <w:noWrap/>
            <w:vAlign w:val="center"/>
            <w:hideMark/>
          </w:tcPr>
          <w:p w14:paraId="1606C6DF" w14:textId="77777777" w:rsidR="00D91973" w:rsidRPr="00A91056" w:rsidRDefault="00D91973" w:rsidP="00D91973">
            <w:pPr>
              <w:widowControl/>
              <w:spacing w:line="240" w:lineRule="auto"/>
              <w:ind w:firstLine="0"/>
              <w:jc w:val="center"/>
              <w:rPr>
                <w:rFonts w:eastAsia="Times New Roman" w:cs="Arial"/>
                <w:sz w:val="18"/>
                <w:szCs w:val="18"/>
              </w:rPr>
            </w:pPr>
          </w:p>
        </w:tc>
        <w:tc>
          <w:tcPr>
            <w:tcW w:w="450" w:type="dxa"/>
            <w:shd w:val="clear" w:color="auto" w:fill="auto"/>
            <w:noWrap/>
            <w:vAlign w:val="center"/>
            <w:hideMark/>
          </w:tcPr>
          <w:p w14:paraId="1D08272A" w14:textId="22A8C09A"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5CD33B0A" w14:textId="536F05B3"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6E3DAA39" w14:textId="0F044A72"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F64830" w:rsidRPr="00A91056" w14:paraId="2A88E0C9" w14:textId="77777777" w:rsidTr="007D701C">
        <w:trPr>
          <w:trHeight w:val="288"/>
        </w:trPr>
        <w:tc>
          <w:tcPr>
            <w:tcW w:w="2395" w:type="dxa"/>
            <w:shd w:val="clear" w:color="auto" w:fill="auto"/>
            <w:noWrap/>
            <w:vAlign w:val="center"/>
            <w:hideMark/>
          </w:tcPr>
          <w:p w14:paraId="0F265B80" w14:textId="77777777"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 xml:space="preserve">Pent-1-en-3-one </w:t>
            </w:r>
          </w:p>
        </w:tc>
        <w:tc>
          <w:tcPr>
            <w:tcW w:w="1115" w:type="dxa"/>
            <w:shd w:val="clear" w:color="auto" w:fill="auto"/>
            <w:noWrap/>
            <w:vAlign w:val="center"/>
            <w:hideMark/>
          </w:tcPr>
          <w:p w14:paraId="4D90E74F"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1629-58-9</w:t>
            </w:r>
          </w:p>
        </w:tc>
        <w:tc>
          <w:tcPr>
            <w:tcW w:w="990" w:type="dxa"/>
            <w:shd w:val="clear" w:color="auto" w:fill="auto"/>
            <w:vAlign w:val="center"/>
            <w:hideMark/>
          </w:tcPr>
          <w:p w14:paraId="4B06A92D"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 xml:space="preserve">0.5 - 1 </w:t>
            </w:r>
            <w:r w:rsidRPr="00A91056">
              <w:rPr>
                <w:rFonts w:eastAsia="Times New Roman" w:cs="Arial"/>
                <w:color w:val="000000"/>
                <w:sz w:val="18"/>
                <w:szCs w:val="18"/>
                <w:vertAlign w:val="superscript"/>
              </w:rPr>
              <w:t>a</w:t>
            </w:r>
          </w:p>
        </w:tc>
        <w:tc>
          <w:tcPr>
            <w:tcW w:w="450" w:type="dxa"/>
            <w:shd w:val="clear" w:color="auto" w:fill="auto"/>
            <w:noWrap/>
            <w:vAlign w:val="center"/>
            <w:hideMark/>
          </w:tcPr>
          <w:p w14:paraId="5994F744" w14:textId="0CFE2F80"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42DED654" w14:textId="217B0994"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540" w:type="dxa"/>
            <w:shd w:val="clear" w:color="auto" w:fill="auto"/>
            <w:noWrap/>
            <w:vAlign w:val="center"/>
            <w:hideMark/>
          </w:tcPr>
          <w:p w14:paraId="79D11A32" w14:textId="50C39239"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w:t>
            </w:r>
          </w:p>
        </w:tc>
        <w:tc>
          <w:tcPr>
            <w:tcW w:w="810" w:type="dxa"/>
            <w:shd w:val="clear" w:color="auto" w:fill="auto"/>
            <w:noWrap/>
            <w:vAlign w:val="center"/>
            <w:hideMark/>
          </w:tcPr>
          <w:p w14:paraId="65E6ED84" w14:textId="7A4FEB3A"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 in vitro</w:t>
            </w:r>
          </w:p>
        </w:tc>
        <w:tc>
          <w:tcPr>
            <w:tcW w:w="625" w:type="dxa"/>
            <w:shd w:val="clear" w:color="auto" w:fill="auto"/>
            <w:noWrap/>
            <w:vAlign w:val="center"/>
            <w:hideMark/>
          </w:tcPr>
          <w:p w14:paraId="6732DCCF" w14:textId="079CE945"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254DD4B5" w14:textId="049C370C" w:rsidR="00D91973" w:rsidRPr="00A91056" w:rsidRDefault="00D91973" w:rsidP="00D91973">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630" w:type="dxa"/>
            <w:shd w:val="clear" w:color="auto" w:fill="auto"/>
            <w:noWrap/>
            <w:vAlign w:val="center"/>
            <w:hideMark/>
          </w:tcPr>
          <w:p w14:paraId="35E5DF9F" w14:textId="116AE27B"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450" w:type="dxa"/>
            <w:shd w:val="clear" w:color="auto" w:fill="auto"/>
            <w:noWrap/>
            <w:vAlign w:val="center"/>
            <w:hideMark/>
          </w:tcPr>
          <w:p w14:paraId="4EC0B59F"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shd w:val="clear" w:color="auto" w:fill="auto"/>
            <w:noWrap/>
            <w:vAlign w:val="center"/>
            <w:hideMark/>
          </w:tcPr>
          <w:p w14:paraId="52046CF4" w14:textId="77777777" w:rsidR="00D91973" w:rsidRPr="00A91056" w:rsidRDefault="00D91973" w:rsidP="00D91973">
            <w:pPr>
              <w:widowControl/>
              <w:spacing w:line="240" w:lineRule="auto"/>
              <w:ind w:firstLine="0"/>
              <w:jc w:val="center"/>
              <w:rPr>
                <w:rFonts w:eastAsia="Times New Roman" w:cs="Arial"/>
                <w:sz w:val="18"/>
                <w:szCs w:val="18"/>
              </w:rPr>
            </w:pPr>
          </w:p>
        </w:tc>
        <w:tc>
          <w:tcPr>
            <w:tcW w:w="613" w:type="dxa"/>
            <w:shd w:val="clear" w:color="auto" w:fill="auto"/>
            <w:noWrap/>
            <w:vAlign w:val="center"/>
            <w:hideMark/>
          </w:tcPr>
          <w:p w14:paraId="0DCFFC32" w14:textId="77777777" w:rsidR="00D91973" w:rsidRPr="00A91056" w:rsidRDefault="00D91973" w:rsidP="00D91973">
            <w:pPr>
              <w:widowControl/>
              <w:spacing w:line="240" w:lineRule="auto"/>
              <w:ind w:firstLine="0"/>
              <w:jc w:val="center"/>
              <w:rPr>
                <w:rFonts w:eastAsia="Times New Roman" w:cs="Arial"/>
                <w:sz w:val="18"/>
                <w:szCs w:val="18"/>
              </w:rPr>
            </w:pPr>
          </w:p>
        </w:tc>
        <w:tc>
          <w:tcPr>
            <w:tcW w:w="647" w:type="dxa"/>
            <w:gridSpan w:val="2"/>
            <w:shd w:val="clear" w:color="auto" w:fill="auto"/>
            <w:noWrap/>
            <w:vAlign w:val="center"/>
            <w:hideMark/>
          </w:tcPr>
          <w:p w14:paraId="5CE00E4E"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540" w:type="dxa"/>
            <w:shd w:val="clear" w:color="auto" w:fill="auto"/>
            <w:noWrap/>
            <w:vAlign w:val="center"/>
            <w:hideMark/>
          </w:tcPr>
          <w:p w14:paraId="1A91B1B6" w14:textId="77777777" w:rsidR="00D91973" w:rsidRPr="00A91056" w:rsidRDefault="00D91973" w:rsidP="00D91973">
            <w:pPr>
              <w:widowControl/>
              <w:spacing w:line="240" w:lineRule="auto"/>
              <w:ind w:firstLine="0"/>
              <w:jc w:val="center"/>
              <w:rPr>
                <w:rFonts w:eastAsia="Times New Roman" w:cs="Arial"/>
                <w:sz w:val="18"/>
                <w:szCs w:val="18"/>
              </w:rPr>
            </w:pPr>
          </w:p>
        </w:tc>
        <w:tc>
          <w:tcPr>
            <w:tcW w:w="540" w:type="dxa"/>
            <w:shd w:val="clear" w:color="auto" w:fill="auto"/>
            <w:noWrap/>
            <w:vAlign w:val="center"/>
            <w:hideMark/>
          </w:tcPr>
          <w:p w14:paraId="625B51C1" w14:textId="47480D2C"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450" w:type="dxa"/>
            <w:shd w:val="clear" w:color="auto" w:fill="auto"/>
            <w:noWrap/>
            <w:vAlign w:val="center"/>
            <w:hideMark/>
          </w:tcPr>
          <w:p w14:paraId="645C539F" w14:textId="2F02BFC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4500D3ED" w14:textId="3B7154A2"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60DD72C5" w14:textId="77777777" w:rsidR="00D91973" w:rsidRPr="00A91056" w:rsidRDefault="00D91973" w:rsidP="00D91973">
            <w:pPr>
              <w:widowControl/>
              <w:spacing w:line="240" w:lineRule="auto"/>
              <w:ind w:firstLine="0"/>
              <w:jc w:val="center"/>
              <w:rPr>
                <w:rFonts w:eastAsia="Times New Roman" w:cs="Arial"/>
                <w:color w:val="000000"/>
                <w:sz w:val="18"/>
                <w:szCs w:val="18"/>
              </w:rPr>
            </w:pPr>
          </w:p>
        </w:tc>
      </w:tr>
      <w:tr w:rsidR="00F64830" w:rsidRPr="00A91056" w14:paraId="0EF8A402" w14:textId="77777777" w:rsidTr="007D701C">
        <w:trPr>
          <w:trHeight w:val="288"/>
        </w:trPr>
        <w:tc>
          <w:tcPr>
            <w:tcW w:w="2395" w:type="dxa"/>
            <w:shd w:val="clear" w:color="auto" w:fill="auto"/>
            <w:noWrap/>
            <w:vAlign w:val="center"/>
            <w:hideMark/>
          </w:tcPr>
          <w:p w14:paraId="6024441A" w14:textId="77777777"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Perillaldehyde</w:t>
            </w:r>
          </w:p>
        </w:tc>
        <w:tc>
          <w:tcPr>
            <w:tcW w:w="1115" w:type="dxa"/>
            <w:shd w:val="clear" w:color="auto" w:fill="auto"/>
            <w:noWrap/>
            <w:vAlign w:val="center"/>
            <w:hideMark/>
          </w:tcPr>
          <w:p w14:paraId="6A55856A"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2111-75-3</w:t>
            </w:r>
          </w:p>
        </w:tc>
        <w:tc>
          <w:tcPr>
            <w:tcW w:w="990" w:type="dxa"/>
            <w:shd w:val="clear" w:color="auto" w:fill="auto"/>
            <w:vAlign w:val="center"/>
            <w:hideMark/>
          </w:tcPr>
          <w:p w14:paraId="6DEC29E4"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2.5 - 10</w:t>
            </w:r>
          </w:p>
        </w:tc>
        <w:tc>
          <w:tcPr>
            <w:tcW w:w="450" w:type="dxa"/>
            <w:shd w:val="clear" w:color="auto" w:fill="auto"/>
            <w:noWrap/>
            <w:vAlign w:val="center"/>
            <w:hideMark/>
          </w:tcPr>
          <w:p w14:paraId="18100FBC" w14:textId="7E6B6012"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3B38552C" w14:textId="6D128DC9"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540" w:type="dxa"/>
            <w:shd w:val="clear" w:color="auto" w:fill="auto"/>
            <w:vAlign w:val="center"/>
            <w:hideMark/>
          </w:tcPr>
          <w:p w14:paraId="7B284376" w14:textId="79CD718A" w:rsidR="00D91973" w:rsidRPr="00A91056" w:rsidRDefault="00D91973" w:rsidP="00D91973">
            <w:pPr>
              <w:widowControl/>
              <w:spacing w:line="240" w:lineRule="auto"/>
              <w:ind w:firstLine="0"/>
              <w:jc w:val="center"/>
              <w:rPr>
                <w:rFonts w:eastAsia="Times New Roman" w:cs="Arial"/>
                <w:color w:val="000000"/>
                <w:sz w:val="18"/>
                <w:szCs w:val="18"/>
              </w:rPr>
            </w:pPr>
          </w:p>
        </w:tc>
        <w:tc>
          <w:tcPr>
            <w:tcW w:w="810" w:type="dxa"/>
            <w:shd w:val="clear" w:color="auto" w:fill="auto"/>
            <w:vAlign w:val="center"/>
            <w:hideMark/>
          </w:tcPr>
          <w:p w14:paraId="52B0F4D6"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25" w:type="dxa"/>
            <w:shd w:val="clear" w:color="auto" w:fill="auto"/>
            <w:noWrap/>
            <w:vAlign w:val="center"/>
            <w:hideMark/>
          </w:tcPr>
          <w:p w14:paraId="69AD9007" w14:textId="6565BE18"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427B5806" w14:textId="6190E52F"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630" w:type="dxa"/>
            <w:shd w:val="clear" w:color="auto" w:fill="auto"/>
            <w:noWrap/>
            <w:vAlign w:val="center"/>
            <w:hideMark/>
          </w:tcPr>
          <w:p w14:paraId="10ECC536" w14:textId="54A07D79"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450" w:type="dxa"/>
            <w:shd w:val="clear" w:color="auto" w:fill="auto"/>
            <w:noWrap/>
            <w:vAlign w:val="center"/>
            <w:hideMark/>
          </w:tcPr>
          <w:p w14:paraId="665652BA" w14:textId="3F0282E7" w:rsidR="00D91973" w:rsidRPr="00A91056" w:rsidRDefault="00D91973" w:rsidP="00D91973">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720" w:type="dxa"/>
            <w:shd w:val="clear" w:color="auto" w:fill="auto"/>
            <w:noWrap/>
            <w:vAlign w:val="center"/>
            <w:hideMark/>
          </w:tcPr>
          <w:p w14:paraId="18B0868F"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13" w:type="dxa"/>
            <w:shd w:val="clear" w:color="auto" w:fill="auto"/>
            <w:noWrap/>
            <w:vAlign w:val="center"/>
            <w:hideMark/>
          </w:tcPr>
          <w:p w14:paraId="39549EB9"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47" w:type="dxa"/>
            <w:gridSpan w:val="2"/>
            <w:shd w:val="clear" w:color="auto" w:fill="auto"/>
            <w:noWrap/>
            <w:vAlign w:val="center"/>
            <w:hideMark/>
          </w:tcPr>
          <w:p w14:paraId="5D522BEB"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540" w:type="dxa"/>
            <w:shd w:val="clear" w:color="auto" w:fill="auto"/>
            <w:noWrap/>
            <w:vAlign w:val="center"/>
            <w:hideMark/>
          </w:tcPr>
          <w:p w14:paraId="346BB35C" w14:textId="77777777" w:rsidR="00D91973" w:rsidRPr="00A91056" w:rsidRDefault="00D91973" w:rsidP="00D91973">
            <w:pPr>
              <w:widowControl/>
              <w:spacing w:line="240" w:lineRule="auto"/>
              <w:ind w:firstLine="0"/>
              <w:jc w:val="center"/>
              <w:rPr>
                <w:rFonts w:eastAsia="Times New Roman" w:cs="Arial"/>
                <w:sz w:val="18"/>
                <w:szCs w:val="18"/>
              </w:rPr>
            </w:pPr>
          </w:p>
        </w:tc>
        <w:tc>
          <w:tcPr>
            <w:tcW w:w="540" w:type="dxa"/>
            <w:shd w:val="clear" w:color="auto" w:fill="auto"/>
            <w:noWrap/>
            <w:vAlign w:val="center"/>
            <w:hideMark/>
          </w:tcPr>
          <w:p w14:paraId="22CC93DC" w14:textId="5951A225"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450" w:type="dxa"/>
            <w:shd w:val="clear" w:color="auto" w:fill="auto"/>
            <w:noWrap/>
            <w:vAlign w:val="center"/>
            <w:hideMark/>
          </w:tcPr>
          <w:p w14:paraId="1D5124AF"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shd w:val="clear" w:color="auto" w:fill="auto"/>
            <w:noWrap/>
            <w:vAlign w:val="center"/>
            <w:hideMark/>
          </w:tcPr>
          <w:p w14:paraId="4CF9052C" w14:textId="727E9BE8"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55F0B911" w14:textId="77777777" w:rsidR="00D91973" w:rsidRPr="00A91056" w:rsidRDefault="00D91973" w:rsidP="00D91973">
            <w:pPr>
              <w:widowControl/>
              <w:spacing w:line="240" w:lineRule="auto"/>
              <w:ind w:firstLine="0"/>
              <w:jc w:val="center"/>
              <w:rPr>
                <w:rFonts w:eastAsia="Times New Roman" w:cs="Arial"/>
                <w:color w:val="000000"/>
                <w:sz w:val="18"/>
                <w:szCs w:val="18"/>
              </w:rPr>
            </w:pPr>
          </w:p>
        </w:tc>
      </w:tr>
      <w:tr w:rsidR="00F64830" w:rsidRPr="00A91056" w14:paraId="1C797FEF" w14:textId="77777777" w:rsidTr="007D701C">
        <w:trPr>
          <w:trHeight w:val="288"/>
        </w:trPr>
        <w:tc>
          <w:tcPr>
            <w:tcW w:w="2395" w:type="dxa"/>
            <w:shd w:val="clear" w:color="auto" w:fill="auto"/>
            <w:noWrap/>
            <w:vAlign w:val="center"/>
            <w:hideMark/>
          </w:tcPr>
          <w:p w14:paraId="73B8AA9A" w14:textId="77777777"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 xml:space="preserve">Pimento Oil </w:t>
            </w:r>
          </w:p>
        </w:tc>
        <w:tc>
          <w:tcPr>
            <w:tcW w:w="1115" w:type="dxa"/>
            <w:shd w:val="clear" w:color="auto" w:fill="auto"/>
            <w:noWrap/>
            <w:vAlign w:val="center"/>
            <w:hideMark/>
          </w:tcPr>
          <w:p w14:paraId="0E75D9E6"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8006-77-7</w:t>
            </w:r>
          </w:p>
        </w:tc>
        <w:tc>
          <w:tcPr>
            <w:tcW w:w="990" w:type="dxa"/>
            <w:shd w:val="clear" w:color="auto" w:fill="auto"/>
            <w:vAlign w:val="center"/>
            <w:hideMark/>
          </w:tcPr>
          <w:p w14:paraId="5A34FB15"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0.25 - 40</w:t>
            </w:r>
          </w:p>
        </w:tc>
        <w:tc>
          <w:tcPr>
            <w:tcW w:w="450" w:type="dxa"/>
            <w:shd w:val="clear" w:color="auto" w:fill="auto"/>
            <w:noWrap/>
            <w:vAlign w:val="center"/>
            <w:hideMark/>
          </w:tcPr>
          <w:p w14:paraId="3D914D1D" w14:textId="15514ED5"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0A482E60"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540" w:type="dxa"/>
            <w:shd w:val="clear" w:color="auto" w:fill="auto"/>
            <w:noWrap/>
            <w:vAlign w:val="center"/>
            <w:hideMark/>
          </w:tcPr>
          <w:p w14:paraId="0E27CE61" w14:textId="5989BD5B" w:rsidR="00D91973" w:rsidRPr="00A91056" w:rsidRDefault="00D91973" w:rsidP="00D91973">
            <w:pPr>
              <w:widowControl/>
              <w:spacing w:line="240" w:lineRule="auto"/>
              <w:ind w:firstLine="0"/>
              <w:jc w:val="center"/>
              <w:rPr>
                <w:rFonts w:eastAsia="Times New Roman" w:cs="Arial"/>
                <w:color w:val="000000"/>
                <w:sz w:val="18"/>
                <w:szCs w:val="18"/>
              </w:rPr>
            </w:pPr>
          </w:p>
        </w:tc>
        <w:tc>
          <w:tcPr>
            <w:tcW w:w="810" w:type="dxa"/>
            <w:shd w:val="clear" w:color="auto" w:fill="auto"/>
            <w:noWrap/>
            <w:vAlign w:val="center"/>
            <w:hideMark/>
          </w:tcPr>
          <w:p w14:paraId="282506E1"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25" w:type="dxa"/>
            <w:shd w:val="clear" w:color="auto" w:fill="auto"/>
            <w:noWrap/>
            <w:vAlign w:val="center"/>
            <w:hideMark/>
          </w:tcPr>
          <w:p w14:paraId="2F859C96" w14:textId="77777777" w:rsidR="00D91973" w:rsidRPr="00A91056" w:rsidRDefault="00D91973" w:rsidP="00D91973">
            <w:pPr>
              <w:widowControl/>
              <w:spacing w:line="240" w:lineRule="auto"/>
              <w:ind w:firstLine="0"/>
              <w:jc w:val="center"/>
              <w:rPr>
                <w:rFonts w:eastAsia="Times New Roman" w:cs="Arial"/>
                <w:sz w:val="18"/>
                <w:szCs w:val="18"/>
              </w:rPr>
            </w:pPr>
          </w:p>
        </w:tc>
        <w:tc>
          <w:tcPr>
            <w:tcW w:w="720" w:type="dxa"/>
            <w:shd w:val="clear" w:color="auto" w:fill="auto"/>
            <w:noWrap/>
            <w:vAlign w:val="center"/>
            <w:hideMark/>
          </w:tcPr>
          <w:p w14:paraId="33D4FED5" w14:textId="77777777" w:rsidR="00D91973" w:rsidRPr="00A91056" w:rsidRDefault="00D91973" w:rsidP="00D91973">
            <w:pPr>
              <w:widowControl/>
              <w:spacing w:line="240" w:lineRule="auto"/>
              <w:ind w:firstLine="0"/>
              <w:jc w:val="center"/>
              <w:rPr>
                <w:rFonts w:eastAsia="Times New Roman" w:cs="Arial"/>
                <w:sz w:val="18"/>
                <w:szCs w:val="18"/>
              </w:rPr>
            </w:pPr>
          </w:p>
        </w:tc>
        <w:tc>
          <w:tcPr>
            <w:tcW w:w="630" w:type="dxa"/>
            <w:shd w:val="clear" w:color="auto" w:fill="auto"/>
            <w:noWrap/>
            <w:vAlign w:val="center"/>
            <w:hideMark/>
          </w:tcPr>
          <w:p w14:paraId="0D411124" w14:textId="77777777" w:rsidR="00D91973" w:rsidRPr="00A91056" w:rsidRDefault="00D91973" w:rsidP="00D91973">
            <w:pPr>
              <w:widowControl/>
              <w:spacing w:line="240" w:lineRule="auto"/>
              <w:ind w:firstLine="0"/>
              <w:jc w:val="center"/>
              <w:rPr>
                <w:rFonts w:eastAsia="Times New Roman" w:cs="Arial"/>
                <w:sz w:val="18"/>
                <w:szCs w:val="18"/>
              </w:rPr>
            </w:pPr>
          </w:p>
        </w:tc>
        <w:tc>
          <w:tcPr>
            <w:tcW w:w="450" w:type="dxa"/>
            <w:shd w:val="clear" w:color="auto" w:fill="auto"/>
            <w:noWrap/>
            <w:vAlign w:val="center"/>
            <w:hideMark/>
          </w:tcPr>
          <w:p w14:paraId="143B4ACD" w14:textId="77777777" w:rsidR="00D91973" w:rsidRPr="00A91056" w:rsidRDefault="00D91973" w:rsidP="00D91973">
            <w:pPr>
              <w:widowControl/>
              <w:spacing w:line="240" w:lineRule="auto"/>
              <w:ind w:firstLine="0"/>
              <w:jc w:val="center"/>
              <w:rPr>
                <w:rFonts w:eastAsia="Times New Roman" w:cs="Arial"/>
                <w:sz w:val="18"/>
                <w:szCs w:val="18"/>
              </w:rPr>
            </w:pPr>
          </w:p>
        </w:tc>
        <w:tc>
          <w:tcPr>
            <w:tcW w:w="720" w:type="dxa"/>
            <w:shd w:val="clear" w:color="auto" w:fill="auto"/>
            <w:noWrap/>
            <w:vAlign w:val="center"/>
            <w:hideMark/>
          </w:tcPr>
          <w:p w14:paraId="41B16135" w14:textId="77777777" w:rsidR="00D91973" w:rsidRPr="00A91056" w:rsidRDefault="00D91973" w:rsidP="00D91973">
            <w:pPr>
              <w:widowControl/>
              <w:spacing w:line="240" w:lineRule="auto"/>
              <w:ind w:firstLine="0"/>
              <w:jc w:val="center"/>
              <w:rPr>
                <w:rFonts w:eastAsia="Times New Roman" w:cs="Arial"/>
                <w:sz w:val="18"/>
                <w:szCs w:val="18"/>
              </w:rPr>
            </w:pPr>
          </w:p>
        </w:tc>
        <w:tc>
          <w:tcPr>
            <w:tcW w:w="613" w:type="dxa"/>
            <w:shd w:val="clear" w:color="auto" w:fill="auto"/>
            <w:noWrap/>
            <w:vAlign w:val="center"/>
            <w:hideMark/>
          </w:tcPr>
          <w:p w14:paraId="6C947591" w14:textId="77777777" w:rsidR="00D91973" w:rsidRPr="00A91056" w:rsidRDefault="00D91973" w:rsidP="00D91973">
            <w:pPr>
              <w:widowControl/>
              <w:spacing w:line="240" w:lineRule="auto"/>
              <w:ind w:firstLine="0"/>
              <w:jc w:val="center"/>
              <w:rPr>
                <w:rFonts w:eastAsia="Times New Roman" w:cs="Arial"/>
                <w:sz w:val="18"/>
                <w:szCs w:val="18"/>
              </w:rPr>
            </w:pPr>
          </w:p>
        </w:tc>
        <w:tc>
          <w:tcPr>
            <w:tcW w:w="647" w:type="dxa"/>
            <w:gridSpan w:val="2"/>
            <w:shd w:val="clear" w:color="auto" w:fill="auto"/>
            <w:noWrap/>
            <w:vAlign w:val="center"/>
            <w:hideMark/>
          </w:tcPr>
          <w:p w14:paraId="3FC9ECFE" w14:textId="77777777" w:rsidR="00D91973" w:rsidRPr="00A91056" w:rsidRDefault="00D91973" w:rsidP="00D91973">
            <w:pPr>
              <w:widowControl/>
              <w:spacing w:line="240" w:lineRule="auto"/>
              <w:ind w:firstLine="0"/>
              <w:jc w:val="center"/>
              <w:rPr>
                <w:rFonts w:eastAsia="Times New Roman" w:cs="Arial"/>
                <w:sz w:val="18"/>
                <w:szCs w:val="18"/>
              </w:rPr>
            </w:pPr>
          </w:p>
        </w:tc>
        <w:tc>
          <w:tcPr>
            <w:tcW w:w="540" w:type="dxa"/>
            <w:shd w:val="clear" w:color="auto" w:fill="auto"/>
            <w:noWrap/>
            <w:vAlign w:val="center"/>
            <w:hideMark/>
          </w:tcPr>
          <w:p w14:paraId="40959DCC" w14:textId="77777777" w:rsidR="00D91973" w:rsidRPr="00A91056" w:rsidRDefault="00D91973" w:rsidP="00D91973">
            <w:pPr>
              <w:widowControl/>
              <w:spacing w:line="240" w:lineRule="auto"/>
              <w:ind w:firstLine="0"/>
              <w:jc w:val="center"/>
              <w:rPr>
                <w:rFonts w:eastAsia="Times New Roman" w:cs="Arial"/>
                <w:sz w:val="18"/>
                <w:szCs w:val="18"/>
              </w:rPr>
            </w:pPr>
          </w:p>
        </w:tc>
        <w:tc>
          <w:tcPr>
            <w:tcW w:w="540" w:type="dxa"/>
            <w:shd w:val="clear" w:color="auto" w:fill="auto"/>
            <w:noWrap/>
            <w:vAlign w:val="center"/>
            <w:hideMark/>
          </w:tcPr>
          <w:p w14:paraId="46D36690" w14:textId="77777777" w:rsidR="00D91973" w:rsidRPr="00A91056" w:rsidRDefault="00D91973" w:rsidP="00D91973">
            <w:pPr>
              <w:widowControl/>
              <w:spacing w:line="240" w:lineRule="auto"/>
              <w:ind w:firstLine="0"/>
              <w:jc w:val="center"/>
              <w:rPr>
                <w:rFonts w:eastAsia="Times New Roman" w:cs="Arial"/>
                <w:sz w:val="18"/>
                <w:szCs w:val="18"/>
              </w:rPr>
            </w:pPr>
          </w:p>
        </w:tc>
        <w:tc>
          <w:tcPr>
            <w:tcW w:w="450" w:type="dxa"/>
            <w:shd w:val="clear" w:color="auto" w:fill="auto"/>
            <w:noWrap/>
            <w:vAlign w:val="center"/>
            <w:hideMark/>
          </w:tcPr>
          <w:p w14:paraId="371278C8" w14:textId="77777777" w:rsidR="00D91973" w:rsidRPr="00A91056" w:rsidRDefault="00D91973" w:rsidP="00D91973">
            <w:pPr>
              <w:widowControl/>
              <w:spacing w:line="240" w:lineRule="auto"/>
              <w:ind w:firstLine="0"/>
              <w:jc w:val="center"/>
              <w:rPr>
                <w:rFonts w:eastAsia="Times New Roman" w:cs="Arial"/>
                <w:sz w:val="18"/>
                <w:szCs w:val="18"/>
              </w:rPr>
            </w:pPr>
          </w:p>
        </w:tc>
        <w:tc>
          <w:tcPr>
            <w:tcW w:w="720" w:type="dxa"/>
            <w:shd w:val="clear" w:color="auto" w:fill="auto"/>
            <w:noWrap/>
            <w:vAlign w:val="center"/>
            <w:hideMark/>
          </w:tcPr>
          <w:p w14:paraId="5AB05BA8" w14:textId="77777777" w:rsidR="00D91973" w:rsidRPr="00A91056" w:rsidRDefault="00D91973" w:rsidP="00D91973">
            <w:pPr>
              <w:widowControl/>
              <w:spacing w:line="240" w:lineRule="auto"/>
              <w:ind w:firstLine="0"/>
              <w:jc w:val="center"/>
              <w:rPr>
                <w:rFonts w:eastAsia="Times New Roman" w:cs="Arial"/>
                <w:sz w:val="18"/>
                <w:szCs w:val="18"/>
              </w:rPr>
            </w:pPr>
          </w:p>
        </w:tc>
        <w:tc>
          <w:tcPr>
            <w:tcW w:w="720" w:type="dxa"/>
            <w:shd w:val="clear" w:color="auto" w:fill="auto"/>
            <w:noWrap/>
            <w:vAlign w:val="center"/>
            <w:hideMark/>
          </w:tcPr>
          <w:p w14:paraId="6E43073C" w14:textId="77777777" w:rsidR="00D91973" w:rsidRPr="00A91056" w:rsidRDefault="00D91973" w:rsidP="00D91973">
            <w:pPr>
              <w:widowControl/>
              <w:spacing w:line="240" w:lineRule="auto"/>
              <w:ind w:firstLine="0"/>
              <w:jc w:val="center"/>
              <w:rPr>
                <w:rFonts w:eastAsia="Times New Roman" w:cs="Arial"/>
                <w:sz w:val="18"/>
                <w:szCs w:val="18"/>
              </w:rPr>
            </w:pPr>
          </w:p>
        </w:tc>
      </w:tr>
      <w:tr w:rsidR="00F64830" w:rsidRPr="00A91056" w14:paraId="1F42466A" w14:textId="77777777" w:rsidTr="007D701C">
        <w:trPr>
          <w:trHeight w:val="288"/>
        </w:trPr>
        <w:tc>
          <w:tcPr>
            <w:tcW w:w="2395" w:type="dxa"/>
            <w:shd w:val="clear" w:color="auto" w:fill="auto"/>
            <w:noWrap/>
            <w:vAlign w:val="center"/>
            <w:hideMark/>
          </w:tcPr>
          <w:p w14:paraId="7C2DC677" w14:textId="77777777" w:rsidR="00D91973" w:rsidRPr="00A91056" w:rsidRDefault="00D91973" w:rsidP="00D91973">
            <w:pPr>
              <w:widowControl/>
              <w:spacing w:line="240" w:lineRule="auto"/>
              <w:ind w:firstLine="0"/>
              <w:rPr>
                <w:rFonts w:eastAsia="Times New Roman" w:cs="Arial"/>
                <w:color w:val="000000"/>
                <w:sz w:val="18"/>
                <w:szCs w:val="18"/>
              </w:rPr>
            </w:pPr>
            <w:proofErr w:type="spellStart"/>
            <w:r w:rsidRPr="00A91056">
              <w:rPr>
                <w:rFonts w:eastAsia="Times New Roman" w:cs="Arial"/>
                <w:color w:val="000000"/>
                <w:sz w:val="18"/>
                <w:szCs w:val="18"/>
              </w:rPr>
              <w:t>Podophylotoxin</w:t>
            </w:r>
            <w:proofErr w:type="spellEnd"/>
          </w:p>
        </w:tc>
        <w:tc>
          <w:tcPr>
            <w:tcW w:w="1115" w:type="dxa"/>
            <w:shd w:val="clear" w:color="auto" w:fill="auto"/>
            <w:noWrap/>
            <w:vAlign w:val="center"/>
            <w:hideMark/>
          </w:tcPr>
          <w:p w14:paraId="0323D0D9"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518-28-5</w:t>
            </w:r>
          </w:p>
        </w:tc>
        <w:tc>
          <w:tcPr>
            <w:tcW w:w="990" w:type="dxa"/>
            <w:shd w:val="clear" w:color="auto" w:fill="auto"/>
            <w:vAlign w:val="center"/>
            <w:hideMark/>
          </w:tcPr>
          <w:p w14:paraId="100FD400"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 xml:space="preserve">0.02 - 0.1 </w:t>
            </w:r>
            <w:r w:rsidRPr="00A91056">
              <w:rPr>
                <w:rFonts w:eastAsia="Times New Roman" w:cs="Arial"/>
                <w:color w:val="000000"/>
                <w:sz w:val="18"/>
                <w:szCs w:val="18"/>
                <w:vertAlign w:val="superscript"/>
              </w:rPr>
              <w:t>a</w:t>
            </w:r>
          </w:p>
        </w:tc>
        <w:tc>
          <w:tcPr>
            <w:tcW w:w="450" w:type="dxa"/>
            <w:shd w:val="clear" w:color="auto" w:fill="auto"/>
            <w:noWrap/>
            <w:vAlign w:val="center"/>
            <w:hideMark/>
          </w:tcPr>
          <w:p w14:paraId="4A44BC33" w14:textId="0F71452A"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49F4C3D9" w14:textId="7F35DEDC" w:rsidR="00D91973" w:rsidRPr="00A91056" w:rsidRDefault="00D91973" w:rsidP="00D91973">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540" w:type="dxa"/>
            <w:shd w:val="clear" w:color="auto" w:fill="auto"/>
            <w:vAlign w:val="center"/>
            <w:hideMark/>
          </w:tcPr>
          <w:p w14:paraId="4E0A3512" w14:textId="14324093" w:rsidR="00D91973" w:rsidRPr="00A91056" w:rsidRDefault="00D91973" w:rsidP="00D91973">
            <w:pPr>
              <w:widowControl/>
              <w:spacing w:line="240" w:lineRule="auto"/>
              <w:ind w:firstLine="0"/>
              <w:jc w:val="center"/>
              <w:rPr>
                <w:rFonts w:eastAsia="Times New Roman" w:cs="Arial"/>
                <w:color w:val="000000"/>
                <w:sz w:val="18"/>
                <w:szCs w:val="18"/>
              </w:rPr>
            </w:pPr>
          </w:p>
        </w:tc>
        <w:tc>
          <w:tcPr>
            <w:tcW w:w="810" w:type="dxa"/>
            <w:shd w:val="clear" w:color="auto" w:fill="auto"/>
            <w:vAlign w:val="center"/>
            <w:hideMark/>
          </w:tcPr>
          <w:p w14:paraId="78A2DA30"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25" w:type="dxa"/>
            <w:shd w:val="clear" w:color="auto" w:fill="auto"/>
            <w:noWrap/>
            <w:vAlign w:val="center"/>
            <w:hideMark/>
          </w:tcPr>
          <w:p w14:paraId="1A995DCC" w14:textId="157B46BD" w:rsidR="00D91973" w:rsidRPr="00A91056" w:rsidRDefault="00D91973" w:rsidP="00D91973">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720" w:type="dxa"/>
            <w:shd w:val="clear" w:color="auto" w:fill="auto"/>
            <w:noWrap/>
            <w:vAlign w:val="center"/>
            <w:hideMark/>
          </w:tcPr>
          <w:p w14:paraId="08B0266A" w14:textId="2A1E96D8"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630" w:type="dxa"/>
            <w:shd w:val="clear" w:color="auto" w:fill="auto"/>
            <w:noWrap/>
            <w:vAlign w:val="center"/>
            <w:hideMark/>
          </w:tcPr>
          <w:p w14:paraId="68BE7909" w14:textId="41C2E46E"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450" w:type="dxa"/>
            <w:shd w:val="clear" w:color="auto" w:fill="auto"/>
            <w:noWrap/>
            <w:vAlign w:val="center"/>
            <w:hideMark/>
          </w:tcPr>
          <w:p w14:paraId="6E3647E0" w14:textId="71F8160D"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33705503"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13" w:type="dxa"/>
            <w:shd w:val="clear" w:color="auto" w:fill="auto"/>
            <w:noWrap/>
            <w:vAlign w:val="center"/>
            <w:hideMark/>
          </w:tcPr>
          <w:p w14:paraId="221079DD" w14:textId="77777777" w:rsidR="00D91973" w:rsidRPr="00A91056" w:rsidRDefault="00D91973" w:rsidP="00D91973">
            <w:pPr>
              <w:widowControl/>
              <w:spacing w:line="240" w:lineRule="auto"/>
              <w:ind w:firstLine="0"/>
              <w:jc w:val="center"/>
              <w:rPr>
                <w:rFonts w:eastAsia="Times New Roman" w:cs="Arial"/>
                <w:sz w:val="18"/>
                <w:szCs w:val="18"/>
              </w:rPr>
            </w:pPr>
          </w:p>
        </w:tc>
        <w:tc>
          <w:tcPr>
            <w:tcW w:w="647" w:type="dxa"/>
            <w:gridSpan w:val="2"/>
            <w:shd w:val="clear" w:color="auto" w:fill="auto"/>
            <w:noWrap/>
            <w:vAlign w:val="center"/>
            <w:hideMark/>
          </w:tcPr>
          <w:p w14:paraId="79F8D767"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540" w:type="dxa"/>
            <w:shd w:val="clear" w:color="auto" w:fill="auto"/>
            <w:noWrap/>
            <w:vAlign w:val="center"/>
            <w:hideMark/>
          </w:tcPr>
          <w:p w14:paraId="5A6C7723" w14:textId="77777777" w:rsidR="00D91973" w:rsidRPr="00A91056" w:rsidRDefault="00D91973" w:rsidP="00D91973">
            <w:pPr>
              <w:widowControl/>
              <w:spacing w:line="240" w:lineRule="auto"/>
              <w:ind w:firstLine="0"/>
              <w:jc w:val="center"/>
              <w:rPr>
                <w:rFonts w:eastAsia="Times New Roman" w:cs="Arial"/>
                <w:sz w:val="18"/>
                <w:szCs w:val="18"/>
              </w:rPr>
            </w:pPr>
          </w:p>
        </w:tc>
        <w:tc>
          <w:tcPr>
            <w:tcW w:w="540" w:type="dxa"/>
            <w:shd w:val="clear" w:color="auto" w:fill="auto"/>
            <w:noWrap/>
            <w:vAlign w:val="center"/>
            <w:hideMark/>
          </w:tcPr>
          <w:p w14:paraId="0E236923" w14:textId="366BFC04"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450" w:type="dxa"/>
            <w:shd w:val="clear" w:color="auto" w:fill="auto"/>
            <w:noWrap/>
            <w:vAlign w:val="center"/>
            <w:hideMark/>
          </w:tcPr>
          <w:p w14:paraId="7F851B02"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shd w:val="clear" w:color="auto" w:fill="auto"/>
            <w:noWrap/>
            <w:vAlign w:val="center"/>
            <w:hideMark/>
          </w:tcPr>
          <w:p w14:paraId="306A1DE1" w14:textId="77777777" w:rsidR="00D91973" w:rsidRPr="00A91056" w:rsidRDefault="00D91973" w:rsidP="00D91973">
            <w:pPr>
              <w:widowControl/>
              <w:spacing w:line="240" w:lineRule="auto"/>
              <w:ind w:firstLine="0"/>
              <w:jc w:val="center"/>
              <w:rPr>
                <w:rFonts w:eastAsia="Times New Roman" w:cs="Arial"/>
                <w:sz w:val="18"/>
                <w:szCs w:val="18"/>
              </w:rPr>
            </w:pPr>
          </w:p>
        </w:tc>
        <w:tc>
          <w:tcPr>
            <w:tcW w:w="720" w:type="dxa"/>
            <w:shd w:val="clear" w:color="auto" w:fill="auto"/>
            <w:noWrap/>
            <w:vAlign w:val="center"/>
            <w:hideMark/>
          </w:tcPr>
          <w:p w14:paraId="5F7ED1C4" w14:textId="77777777" w:rsidR="00D91973" w:rsidRPr="00A91056" w:rsidRDefault="00D91973" w:rsidP="00D91973">
            <w:pPr>
              <w:widowControl/>
              <w:spacing w:line="240" w:lineRule="auto"/>
              <w:ind w:firstLine="0"/>
              <w:jc w:val="center"/>
              <w:rPr>
                <w:rFonts w:eastAsia="Times New Roman" w:cs="Arial"/>
                <w:color w:val="000000"/>
                <w:sz w:val="18"/>
                <w:szCs w:val="18"/>
              </w:rPr>
            </w:pPr>
          </w:p>
        </w:tc>
      </w:tr>
      <w:tr w:rsidR="00F64830" w:rsidRPr="00A91056" w14:paraId="7F6BE79A" w14:textId="77777777" w:rsidTr="007D701C">
        <w:trPr>
          <w:trHeight w:val="288"/>
        </w:trPr>
        <w:tc>
          <w:tcPr>
            <w:tcW w:w="2395" w:type="dxa"/>
            <w:shd w:val="clear" w:color="auto" w:fill="auto"/>
            <w:noWrap/>
            <w:vAlign w:val="center"/>
            <w:hideMark/>
          </w:tcPr>
          <w:p w14:paraId="4C940DCC" w14:textId="779CCD4C"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p-t-Butyl-α-</w:t>
            </w:r>
            <w:proofErr w:type="spellStart"/>
            <w:r w:rsidRPr="00A91056">
              <w:rPr>
                <w:rFonts w:eastAsia="Times New Roman" w:cs="Arial"/>
                <w:color w:val="000000"/>
                <w:sz w:val="18"/>
                <w:szCs w:val="18"/>
              </w:rPr>
              <w:t>methylhydro</w:t>
            </w:r>
            <w:proofErr w:type="spellEnd"/>
            <w:r w:rsidR="00901762" w:rsidRPr="00A91056">
              <w:rPr>
                <w:rFonts w:eastAsia="Times New Roman" w:cs="Arial"/>
                <w:color w:val="000000"/>
                <w:sz w:val="18"/>
                <w:szCs w:val="18"/>
              </w:rPr>
              <w:t>-</w:t>
            </w:r>
            <w:r w:rsidRPr="00A91056">
              <w:rPr>
                <w:rFonts w:eastAsia="Times New Roman" w:cs="Arial"/>
                <w:color w:val="000000"/>
                <w:sz w:val="18"/>
                <w:szCs w:val="18"/>
              </w:rPr>
              <w:t>cinnamic aldehyde</w:t>
            </w:r>
          </w:p>
        </w:tc>
        <w:tc>
          <w:tcPr>
            <w:tcW w:w="1115" w:type="dxa"/>
            <w:shd w:val="clear" w:color="auto" w:fill="auto"/>
            <w:noWrap/>
            <w:vAlign w:val="center"/>
            <w:hideMark/>
          </w:tcPr>
          <w:p w14:paraId="66E23B46"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80-54-6</w:t>
            </w:r>
          </w:p>
        </w:tc>
        <w:tc>
          <w:tcPr>
            <w:tcW w:w="990" w:type="dxa"/>
            <w:shd w:val="clear" w:color="auto" w:fill="auto"/>
            <w:vAlign w:val="center"/>
            <w:hideMark/>
          </w:tcPr>
          <w:p w14:paraId="1008E96A"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 xml:space="preserve">5 - 20 </w:t>
            </w:r>
            <w:r w:rsidRPr="00A91056">
              <w:rPr>
                <w:rFonts w:eastAsia="Times New Roman" w:cs="Arial"/>
                <w:color w:val="000000"/>
                <w:sz w:val="18"/>
                <w:szCs w:val="18"/>
                <w:vertAlign w:val="superscript"/>
              </w:rPr>
              <w:t>a</w:t>
            </w:r>
          </w:p>
        </w:tc>
        <w:tc>
          <w:tcPr>
            <w:tcW w:w="450" w:type="dxa"/>
            <w:shd w:val="clear" w:color="auto" w:fill="auto"/>
            <w:noWrap/>
            <w:vAlign w:val="center"/>
            <w:hideMark/>
          </w:tcPr>
          <w:p w14:paraId="40EF3A16" w14:textId="65EA518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349428C6" w14:textId="54C5C0AC"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540" w:type="dxa"/>
            <w:shd w:val="clear" w:color="auto" w:fill="auto"/>
            <w:noWrap/>
            <w:hideMark/>
          </w:tcPr>
          <w:p w14:paraId="32ECF20C" w14:textId="55B45D89"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w:t>
            </w:r>
          </w:p>
        </w:tc>
        <w:tc>
          <w:tcPr>
            <w:tcW w:w="810" w:type="dxa"/>
            <w:shd w:val="clear" w:color="auto" w:fill="auto"/>
            <w:noWrap/>
            <w:vAlign w:val="center"/>
            <w:hideMark/>
          </w:tcPr>
          <w:p w14:paraId="470E8017"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25" w:type="dxa"/>
            <w:shd w:val="clear" w:color="auto" w:fill="auto"/>
            <w:noWrap/>
            <w:vAlign w:val="center"/>
            <w:hideMark/>
          </w:tcPr>
          <w:p w14:paraId="1254C202" w14:textId="03F32A29"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58A37D6C" w14:textId="34D74A54"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630" w:type="dxa"/>
            <w:shd w:val="clear" w:color="auto" w:fill="auto"/>
            <w:noWrap/>
            <w:vAlign w:val="center"/>
            <w:hideMark/>
          </w:tcPr>
          <w:p w14:paraId="130F8901" w14:textId="5DAEE9B9"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450" w:type="dxa"/>
            <w:shd w:val="clear" w:color="auto" w:fill="auto"/>
            <w:noWrap/>
            <w:vAlign w:val="center"/>
            <w:hideMark/>
          </w:tcPr>
          <w:p w14:paraId="5607AD00" w14:textId="06A74E25"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7F84B755" w14:textId="1877D035"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613" w:type="dxa"/>
            <w:shd w:val="clear" w:color="auto" w:fill="auto"/>
            <w:noWrap/>
            <w:vAlign w:val="center"/>
            <w:hideMark/>
          </w:tcPr>
          <w:p w14:paraId="66F78445" w14:textId="77777777" w:rsidR="00D91973" w:rsidRPr="00A91056" w:rsidRDefault="00D91973" w:rsidP="00D91973">
            <w:pPr>
              <w:widowControl/>
              <w:spacing w:line="240" w:lineRule="auto"/>
              <w:ind w:firstLine="0"/>
              <w:jc w:val="center"/>
              <w:rPr>
                <w:rFonts w:eastAsia="Times New Roman" w:cs="Arial"/>
                <w:sz w:val="18"/>
                <w:szCs w:val="18"/>
              </w:rPr>
            </w:pPr>
          </w:p>
        </w:tc>
        <w:tc>
          <w:tcPr>
            <w:tcW w:w="647" w:type="dxa"/>
            <w:gridSpan w:val="2"/>
            <w:shd w:val="clear" w:color="auto" w:fill="auto"/>
            <w:noWrap/>
            <w:vAlign w:val="center"/>
            <w:hideMark/>
          </w:tcPr>
          <w:p w14:paraId="783E1F25"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540" w:type="dxa"/>
            <w:shd w:val="clear" w:color="auto" w:fill="auto"/>
            <w:noWrap/>
            <w:vAlign w:val="center"/>
            <w:hideMark/>
          </w:tcPr>
          <w:p w14:paraId="023DB8D8" w14:textId="77777777" w:rsidR="00D91973" w:rsidRPr="00A91056" w:rsidRDefault="00D91973" w:rsidP="00D91973">
            <w:pPr>
              <w:widowControl/>
              <w:spacing w:line="240" w:lineRule="auto"/>
              <w:ind w:firstLine="0"/>
              <w:jc w:val="center"/>
              <w:rPr>
                <w:rFonts w:eastAsia="Times New Roman" w:cs="Arial"/>
                <w:sz w:val="18"/>
                <w:szCs w:val="18"/>
              </w:rPr>
            </w:pPr>
          </w:p>
        </w:tc>
        <w:tc>
          <w:tcPr>
            <w:tcW w:w="540" w:type="dxa"/>
            <w:shd w:val="clear" w:color="auto" w:fill="auto"/>
            <w:noWrap/>
            <w:vAlign w:val="center"/>
            <w:hideMark/>
          </w:tcPr>
          <w:p w14:paraId="14E8E740" w14:textId="5CD39968" w:rsidR="00D91973" w:rsidRPr="00A91056" w:rsidRDefault="00D91973" w:rsidP="00D91973">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450" w:type="dxa"/>
            <w:shd w:val="clear" w:color="auto" w:fill="auto"/>
            <w:noWrap/>
            <w:vAlign w:val="center"/>
            <w:hideMark/>
          </w:tcPr>
          <w:p w14:paraId="45FC3F3E"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shd w:val="clear" w:color="auto" w:fill="auto"/>
            <w:noWrap/>
            <w:vAlign w:val="center"/>
            <w:hideMark/>
          </w:tcPr>
          <w:p w14:paraId="791318D1" w14:textId="77777777" w:rsidR="00D91973" w:rsidRPr="00A91056" w:rsidRDefault="00D91973" w:rsidP="00D91973">
            <w:pPr>
              <w:widowControl/>
              <w:spacing w:line="240" w:lineRule="auto"/>
              <w:ind w:firstLine="0"/>
              <w:jc w:val="center"/>
              <w:rPr>
                <w:rFonts w:eastAsia="Times New Roman" w:cs="Arial"/>
                <w:sz w:val="18"/>
                <w:szCs w:val="18"/>
              </w:rPr>
            </w:pPr>
          </w:p>
        </w:tc>
        <w:tc>
          <w:tcPr>
            <w:tcW w:w="720" w:type="dxa"/>
            <w:shd w:val="clear" w:color="auto" w:fill="auto"/>
            <w:noWrap/>
            <w:vAlign w:val="center"/>
            <w:hideMark/>
          </w:tcPr>
          <w:p w14:paraId="1FAE5E7F" w14:textId="6EF9AEB2"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F64830" w:rsidRPr="00A91056" w14:paraId="2DC36A8C" w14:textId="77777777" w:rsidTr="007D701C">
        <w:trPr>
          <w:trHeight w:val="288"/>
        </w:trPr>
        <w:tc>
          <w:tcPr>
            <w:tcW w:w="2395" w:type="dxa"/>
            <w:shd w:val="clear" w:color="auto" w:fill="auto"/>
            <w:noWrap/>
            <w:vAlign w:val="center"/>
            <w:hideMark/>
          </w:tcPr>
          <w:p w14:paraId="69A10B5C" w14:textId="77777777"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p-tert-</w:t>
            </w:r>
            <w:proofErr w:type="spellStart"/>
            <w:r w:rsidRPr="00A91056">
              <w:rPr>
                <w:rFonts w:eastAsia="Times New Roman" w:cs="Arial"/>
                <w:color w:val="000000"/>
                <w:sz w:val="18"/>
                <w:szCs w:val="18"/>
              </w:rPr>
              <w:t>Butyldihydrocinnamaldehyde</w:t>
            </w:r>
            <w:proofErr w:type="spellEnd"/>
          </w:p>
        </w:tc>
        <w:tc>
          <w:tcPr>
            <w:tcW w:w="1115" w:type="dxa"/>
            <w:shd w:val="clear" w:color="auto" w:fill="auto"/>
            <w:noWrap/>
            <w:vAlign w:val="center"/>
            <w:hideMark/>
          </w:tcPr>
          <w:p w14:paraId="623DB18B"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18127-01-0</w:t>
            </w:r>
          </w:p>
        </w:tc>
        <w:tc>
          <w:tcPr>
            <w:tcW w:w="990" w:type="dxa"/>
            <w:shd w:val="clear" w:color="auto" w:fill="auto"/>
            <w:vAlign w:val="center"/>
            <w:hideMark/>
          </w:tcPr>
          <w:p w14:paraId="73D11BA0"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 xml:space="preserve">5 - 20 </w:t>
            </w:r>
            <w:r w:rsidRPr="00A91056">
              <w:rPr>
                <w:rFonts w:eastAsia="Times New Roman" w:cs="Arial"/>
                <w:color w:val="000000"/>
                <w:sz w:val="18"/>
                <w:szCs w:val="18"/>
                <w:vertAlign w:val="superscript"/>
              </w:rPr>
              <w:t>a</w:t>
            </w:r>
          </w:p>
        </w:tc>
        <w:tc>
          <w:tcPr>
            <w:tcW w:w="450" w:type="dxa"/>
            <w:shd w:val="clear" w:color="auto" w:fill="auto"/>
            <w:noWrap/>
            <w:vAlign w:val="center"/>
            <w:hideMark/>
          </w:tcPr>
          <w:p w14:paraId="381DCC2D" w14:textId="26098B8A"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6A2EA859" w14:textId="08DE9150"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540" w:type="dxa"/>
            <w:shd w:val="clear" w:color="auto" w:fill="auto"/>
            <w:noWrap/>
            <w:hideMark/>
          </w:tcPr>
          <w:p w14:paraId="1AFD3B8C" w14:textId="41F048D5"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w:t>
            </w:r>
          </w:p>
        </w:tc>
        <w:tc>
          <w:tcPr>
            <w:tcW w:w="810" w:type="dxa"/>
            <w:shd w:val="clear" w:color="auto" w:fill="auto"/>
            <w:noWrap/>
            <w:vAlign w:val="center"/>
            <w:hideMark/>
          </w:tcPr>
          <w:p w14:paraId="7FE21BD5"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25" w:type="dxa"/>
            <w:shd w:val="clear" w:color="auto" w:fill="auto"/>
            <w:noWrap/>
            <w:vAlign w:val="center"/>
            <w:hideMark/>
          </w:tcPr>
          <w:p w14:paraId="2052C081" w14:textId="14C40046"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21AFCDBC" w14:textId="650A8CAD"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630" w:type="dxa"/>
            <w:shd w:val="clear" w:color="auto" w:fill="auto"/>
            <w:noWrap/>
            <w:vAlign w:val="center"/>
            <w:hideMark/>
          </w:tcPr>
          <w:p w14:paraId="707479F7" w14:textId="4F922596"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450" w:type="dxa"/>
            <w:shd w:val="clear" w:color="auto" w:fill="auto"/>
            <w:noWrap/>
            <w:vAlign w:val="center"/>
            <w:hideMark/>
          </w:tcPr>
          <w:p w14:paraId="3F77DC4F"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shd w:val="clear" w:color="auto" w:fill="auto"/>
            <w:noWrap/>
            <w:vAlign w:val="center"/>
            <w:hideMark/>
          </w:tcPr>
          <w:p w14:paraId="744BABF8" w14:textId="77777777" w:rsidR="00D91973" w:rsidRPr="00A91056" w:rsidRDefault="00D91973" w:rsidP="00D91973">
            <w:pPr>
              <w:widowControl/>
              <w:spacing w:line="240" w:lineRule="auto"/>
              <w:ind w:firstLine="0"/>
              <w:jc w:val="center"/>
              <w:rPr>
                <w:rFonts w:eastAsia="Times New Roman" w:cs="Arial"/>
                <w:sz w:val="18"/>
                <w:szCs w:val="18"/>
              </w:rPr>
            </w:pPr>
          </w:p>
        </w:tc>
        <w:tc>
          <w:tcPr>
            <w:tcW w:w="613" w:type="dxa"/>
            <w:shd w:val="clear" w:color="auto" w:fill="auto"/>
            <w:noWrap/>
            <w:vAlign w:val="center"/>
            <w:hideMark/>
          </w:tcPr>
          <w:p w14:paraId="31638CB4" w14:textId="77777777" w:rsidR="00D91973" w:rsidRPr="00A91056" w:rsidRDefault="00D91973" w:rsidP="00D91973">
            <w:pPr>
              <w:widowControl/>
              <w:spacing w:line="240" w:lineRule="auto"/>
              <w:ind w:firstLine="0"/>
              <w:jc w:val="center"/>
              <w:rPr>
                <w:rFonts w:eastAsia="Times New Roman" w:cs="Arial"/>
                <w:sz w:val="18"/>
                <w:szCs w:val="18"/>
              </w:rPr>
            </w:pPr>
          </w:p>
        </w:tc>
        <w:tc>
          <w:tcPr>
            <w:tcW w:w="647" w:type="dxa"/>
            <w:gridSpan w:val="2"/>
            <w:shd w:val="clear" w:color="auto" w:fill="auto"/>
            <w:noWrap/>
            <w:vAlign w:val="center"/>
            <w:hideMark/>
          </w:tcPr>
          <w:p w14:paraId="19B7EF61"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540" w:type="dxa"/>
            <w:shd w:val="clear" w:color="auto" w:fill="auto"/>
            <w:noWrap/>
            <w:vAlign w:val="center"/>
            <w:hideMark/>
          </w:tcPr>
          <w:p w14:paraId="40670F7D" w14:textId="77777777" w:rsidR="00D91973" w:rsidRPr="00A91056" w:rsidRDefault="00D91973" w:rsidP="00D91973">
            <w:pPr>
              <w:widowControl/>
              <w:spacing w:line="240" w:lineRule="auto"/>
              <w:ind w:firstLine="0"/>
              <w:jc w:val="center"/>
              <w:rPr>
                <w:rFonts w:eastAsia="Times New Roman" w:cs="Arial"/>
                <w:sz w:val="18"/>
                <w:szCs w:val="18"/>
              </w:rPr>
            </w:pPr>
          </w:p>
        </w:tc>
        <w:tc>
          <w:tcPr>
            <w:tcW w:w="540" w:type="dxa"/>
            <w:shd w:val="clear" w:color="auto" w:fill="auto"/>
            <w:noWrap/>
            <w:vAlign w:val="center"/>
            <w:hideMark/>
          </w:tcPr>
          <w:p w14:paraId="4CCA118A" w14:textId="77777777" w:rsidR="00D91973" w:rsidRPr="00A91056" w:rsidRDefault="00D91973" w:rsidP="00D91973">
            <w:pPr>
              <w:widowControl/>
              <w:spacing w:line="240" w:lineRule="auto"/>
              <w:ind w:firstLine="0"/>
              <w:jc w:val="center"/>
              <w:rPr>
                <w:rFonts w:eastAsia="Times New Roman" w:cs="Arial"/>
                <w:sz w:val="18"/>
                <w:szCs w:val="18"/>
              </w:rPr>
            </w:pPr>
          </w:p>
        </w:tc>
        <w:tc>
          <w:tcPr>
            <w:tcW w:w="450" w:type="dxa"/>
            <w:shd w:val="clear" w:color="auto" w:fill="auto"/>
            <w:noWrap/>
            <w:vAlign w:val="center"/>
            <w:hideMark/>
          </w:tcPr>
          <w:p w14:paraId="7F0FC0E2" w14:textId="77777777" w:rsidR="00D91973" w:rsidRPr="00A91056" w:rsidRDefault="00D91973" w:rsidP="00D91973">
            <w:pPr>
              <w:widowControl/>
              <w:spacing w:line="240" w:lineRule="auto"/>
              <w:ind w:firstLine="0"/>
              <w:jc w:val="center"/>
              <w:rPr>
                <w:rFonts w:eastAsia="Times New Roman" w:cs="Arial"/>
                <w:sz w:val="18"/>
                <w:szCs w:val="18"/>
              </w:rPr>
            </w:pPr>
          </w:p>
        </w:tc>
        <w:tc>
          <w:tcPr>
            <w:tcW w:w="720" w:type="dxa"/>
            <w:shd w:val="clear" w:color="auto" w:fill="auto"/>
            <w:noWrap/>
            <w:vAlign w:val="center"/>
            <w:hideMark/>
          </w:tcPr>
          <w:p w14:paraId="1A679192" w14:textId="77777777" w:rsidR="00D91973" w:rsidRPr="00A91056" w:rsidRDefault="00D91973" w:rsidP="00D91973">
            <w:pPr>
              <w:widowControl/>
              <w:spacing w:line="240" w:lineRule="auto"/>
              <w:ind w:firstLine="0"/>
              <w:jc w:val="center"/>
              <w:rPr>
                <w:rFonts w:eastAsia="Times New Roman" w:cs="Arial"/>
                <w:sz w:val="18"/>
                <w:szCs w:val="18"/>
              </w:rPr>
            </w:pPr>
          </w:p>
        </w:tc>
        <w:tc>
          <w:tcPr>
            <w:tcW w:w="720" w:type="dxa"/>
            <w:shd w:val="clear" w:color="auto" w:fill="auto"/>
            <w:noWrap/>
            <w:vAlign w:val="center"/>
            <w:hideMark/>
          </w:tcPr>
          <w:p w14:paraId="7881FC92" w14:textId="77777777" w:rsidR="00D91973" w:rsidRPr="00A91056" w:rsidRDefault="00D91973" w:rsidP="00D91973">
            <w:pPr>
              <w:widowControl/>
              <w:spacing w:line="240" w:lineRule="auto"/>
              <w:ind w:firstLine="0"/>
              <w:jc w:val="center"/>
              <w:rPr>
                <w:rFonts w:eastAsia="Times New Roman" w:cs="Arial"/>
                <w:sz w:val="18"/>
                <w:szCs w:val="18"/>
              </w:rPr>
            </w:pPr>
          </w:p>
        </w:tc>
      </w:tr>
      <w:tr w:rsidR="00F64830" w:rsidRPr="00A91056" w14:paraId="5162F573" w14:textId="77777777" w:rsidTr="007D701C">
        <w:trPr>
          <w:trHeight w:val="288"/>
        </w:trPr>
        <w:tc>
          <w:tcPr>
            <w:tcW w:w="2395" w:type="dxa"/>
            <w:shd w:val="clear" w:color="auto" w:fill="auto"/>
            <w:noWrap/>
            <w:vAlign w:val="center"/>
            <w:hideMark/>
          </w:tcPr>
          <w:p w14:paraId="3CDB39ED" w14:textId="77777777"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Quercetin</w:t>
            </w:r>
          </w:p>
        </w:tc>
        <w:tc>
          <w:tcPr>
            <w:tcW w:w="1115" w:type="dxa"/>
            <w:shd w:val="clear" w:color="auto" w:fill="auto"/>
            <w:noWrap/>
            <w:vAlign w:val="center"/>
            <w:hideMark/>
          </w:tcPr>
          <w:p w14:paraId="414A145C"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117-39-5</w:t>
            </w:r>
          </w:p>
        </w:tc>
        <w:tc>
          <w:tcPr>
            <w:tcW w:w="990" w:type="dxa"/>
            <w:shd w:val="clear" w:color="auto" w:fill="auto"/>
            <w:vAlign w:val="center"/>
            <w:hideMark/>
          </w:tcPr>
          <w:p w14:paraId="51FBF067"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 xml:space="preserve">1 - 2.4 </w:t>
            </w:r>
            <w:r w:rsidRPr="00A91056">
              <w:rPr>
                <w:rFonts w:eastAsia="Times New Roman" w:cs="Arial"/>
                <w:color w:val="000000"/>
                <w:sz w:val="18"/>
                <w:szCs w:val="18"/>
                <w:vertAlign w:val="superscript"/>
              </w:rPr>
              <w:t>b</w:t>
            </w:r>
          </w:p>
        </w:tc>
        <w:tc>
          <w:tcPr>
            <w:tcW w:w="450" w:type="dxa"/>
            <w:shd w:val="clear" w:color="auto" w:fill="auto"/>
            <w:noWrap/>
            <w:vAlign w:val="center"/>
            <w:hideMark/>
          </w:tcPr>
          <w:p w14:paraId="4942773C" w14:textId="31CD04A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15E50E25" w14:textId="0703A871"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540" w:type="dxa"/>
            <w:shd w:val="clear" w:color="auto" w:fill="auto"/>
            <w:noWrap/>
            <w:hideMark/>
          </w:tcPr>
          <w:p w14:paraId="0F5C50A6" w14:textId="04DCD2B2"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w:t>
            </w:r>
          </w:p>
        </w:tc>
        <w:tc>
          <w:tcPr>
            <w:tcW w:w="810" w:type="dxa"/>
            <w:shd w:val="clear" w:color="auto" w:fill="auto"/>
            <w:noWrap/>
            <w:vAlign w:val="center"/>
            <w:hideMark/>
          </w:tcPr>
          <w:p w14:paraId="638EB46A"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25" w:type="dxa"/>
            <w:shd w:val="clear" w:color="auto" w:fill="auto"/>
            <w:noWrap/>
            <w:vAlign w:val="center"/>
            <w:hideMark/>
          </w:tcPr>
          <w:p w14:paraId="74AC249D" w14:textId="65316D3C"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0B05A0A3" w14:textId="763A1862"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30" w:type="dxa"/>
            <w:shd w:val="clear" w:color="auto" w:fill="auto"/>
            <w:noWrap/>
            <w:vAlign w:val="center"/>
            <w:hideMark/>
          </w:tcPr>
          <w:p w14:paraId="71F03B98" w14:textId="2B7E4A24"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450" w:type="dxa"/>
            <w:shd w:val="clear" w:color="auto" w:fill="auto"/>
            <w:noWrap/>
            <w:vAlign w:val="center"/>
            <w:hideMark/>
          </w:tcPr>
          <w:p w14:paraId="282B20C5" w14:textId="3DE5D385"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1994E46F"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13" w:type="dxa"/>
            <w:shd w:val="clear" w:color="auto" w:fill="auto"/>
            <w:noWrap/>
            <w:vAlign w:val="center"/>
            <w:hideMark/>
          </w:tcPr>
          <w:p w14:paraId="6FF3F4E4" w14:textId="051C17C5"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647" w:type="dxa"/>
            <w:gridSpan w:val="2"/>
            <w:shd w:val="clear" w:color="auto" w:fill="auto"/>
            <w:noWrap/>
            <w:vAlign w:val="center"/>
            <w:hideMark/>
          </w:tcPr>
          <w:p w14:paraId="048CDB8E" w14:textId="2748D725"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540" w:type="dxa"/>
            <w:shd w:val="clear" w:color="auto" w:fill="auto"/>
            <w:noWrap/>
            <w:vAlign w:val="center"/>
            <w:hideMark/>
          </w:tcPr>
          <w:p w14:paraId="2ACF9A3F"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540" w:type="dxa"/>
            <w:shd w:val="clear" w:color="auto" w:fill="auto"/>
            <w:noWrap/>
            <w:vAlign w:val="center"/>
            <w:hideMark/>
          </w:tcPr>
          <w:p w14:paraId="795D3D8C" w14:textId="2F40AEEA"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450" w:type="dxa"/>
            <w:shd w:val="clear" w:color="auto" w:fill="auto"/>
            <w:noWrap/>
            <w:vAlign w:val="center"/>
            <w:hideMark/>
          </w:tcPr>
          <w:p w14:paraId="090F1BD3" w14:textId="413A3CEA"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23AB19CA"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shd w:val="clear" w:color="auto" w:fill="auto"/>
            <w:noWrap/>
            <w:vAlign w:val="center"/>
            <w:hideMark/>
          </w:tcPr>
          <w:p w14:paraId="54516380" w14:textId="10B85B9F"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F64830" w:rsidRPr="00A91056" w14:paraId="3DC0D07A" w14:textId="77777777" w:rsidTr="007D701C">
        <w:trPr>
          <w:trHeight w:val="288"/>
        </w:trPr>
        <w:tc>
          <w:tcPr>
            <w:tcW w:w="2395" w:type="dxa"/>
            <w:shd w:val="clear" w:color="auto" w:fill="auto"/>
            <w:noWrap/>
            <w:vAlign w:val="center"/>
            <w:hideMark/>
          </w:tcPr>
          <w:p w14:paraId="5C6F0F59" w14:textId="77777777"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lastRenderedPageBreak/>
              <w:t>Quinine</w:t>
            </w:r>
          </w:p>
        </w:tc>
        <w:tc>
          <w:tcPr>
            <w:tcW w:w="1115" w:type="dxa"/>
            <w:shd w:val="clear" w:color="auto" w:fill="auto"/>
            <w:noWrap/>
            <w:vAlign w:val="center"/>
            <w:hideMark/>
          </w:tcPr>
          <w:p w14:paraId="2BACA99E"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130-95-0</w:t>
            </w:r>
          </w:p>
        </w:tc>
        <w:tc>
          <w:tcPr>
            <w:tcW w:w="990" w:type="dxa"/>
            <w:shd w:val="clear" w:color="auto" w:fill="auto"/>
            <w:vAlign w:val="center"/>
            <w:hideMark/>
          </w:tcPr>
          <w:p w14:paraId="19F3D589"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 xml:space="preserve">2.5 - 10 </w:t>
            </w:r>
            <w:r w:rsidRPr="00A91056">
              <w:rPr>
                <w:rFonts w:eastAsia="Times New Roman" w:cs="Arial"/>
                <w:color w:val="000000"/>
                <w:sz w:val="18"/>
                <w:szCs w:val="18"/>
                <w:vertAlign w:val="superscript"/>
              </w:rPr>
              <w:t>b</w:t>
            </w:r>
          </w:p>
        </w:tc>
        <w:tc>
          <w:tcPr>
            <w:tcW w:w="450" w:type="dxa"/>
            <w:shd w:val="clear" w:color="auto" w:fill="auto"/>
            <w:noWrap/>
            <w:vAlign w:val="center"/>
            <w:hideMark/>
          </w:tcPr>
          <w:p w14:paraId="3A53B905" w14:textId="03BDFA90"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38EDBCE6" w14:textId="4271883F"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540" w:type="dxa"/>
            <w:shd w:val="clear" w:color="auto" w:fill="auto"/>
            <w:vAlign w:val="center"/>
            <w:hideMark/>
          </w:tcPr>
          <w:p w14:paraId="1374935B" w14:textId="268BBBE6" w:rsidR="00D91973" w:rsidRPr="00A91056" w:rsidRDefault="00D91973" w:rsidP="00D91973">
            <w:pPr>
              <w:widowControl/>
              <w:spacing w:line="240" w:lineRule="auto"/>
              <w:ind w:firstLine="0"/>
              <w:jc w:val="center"/>
              <w:rPr>
                <w:rFonts w:eastAsia="Times New Roman" w:cs="Arial"/>
                <w:color w:val="000000"/>
                <w:sz w:val="18"/>
                <w:szCs w:val="18"/>
              </w:rPr>
            </w:pPr>
          </w:p>
        </w:tc>
        <w:tc>
          <w:tcPr>
            <w:tcW w:w="810" w:type="dxa"/>
            <w:shd w:val="clear" w:color="auto" w:fill="auto"/>
            <w:vAlign w:val="center"/>
            <w:hideMark/>
          </w:tcPr>
          <w:p w14:paraId="7A45CEB1"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25" w:type="dxa"/>
            <w:shd w:val="clear" w:color="auto" w:fill="auto"/>
            <w:noWrap/>
            <w:vAlign w:val="center"/>
            <w:hideMark/>
          </w:tcPr>
          <w:p w14:paraId="631744D3" w14:textId="381F4058"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0EB83B7B"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30" w:type="dxa"/>
            <w:shd w:val="clear" w:color="auto" w:fill="auto"/>
            <w:noWrap/>
            <w:vAlign w:val="center"/>
            <w:hideMark/>
          </w:tcPr>
          <w:p w14:paraId="4CCE9594" w14:textId="31B53369"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450" w:type="dxa"/>
            <w:shd w:val="clear" w:color="auto" w:fill="auto"/>
            <w:noWrap/>
            <w:vAlign w:val="center"/>
            <w:hideMark/>
          </w:tcPr>
          <w:p w14:paraId="2C4D3BF0"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shd w:val="clear" w:color="auto" w:fill="auto"/>
            <w:noWrap/>
            <w:vAlign w:val="center"/>
            <w:hideMark/>
          </w:tcPr>
          <w:p w14:paraId="2A01329E" w14:textId="77777777" w:rsidR="00D91973" w:rsidRPr="00A91056" w:rsidRDefault="00D91973" w:rsidP="00D91973">
            <w:pPr>
              <w:widowControl/>
              <w:spacing w:line="240" w:lineRule="auto"/>
              <w:ind w:firstLine="0"/>
              <w:jc w:val="center"/>
              <w:rPr>
                <w:rFonts w:eastAsia="Times New Roman" w:cs="Arial"/>
                <w:sz w:val="18"/>
                <w:szCs w:val="18"/>
              </w:rPr>
            </w:pPr>
          </w:p>
        </w:tc>
        <w:tc>
          <w:tcPr>
            <w:tcW w:w="613" w:type="dxa"/>
            <w:shd w:val="clear" w:color="auto" w:fill="auto"/>
            <w:noWrap/>
            <w:vAlign w:val="center"/>
            <w:hideMark/>
          </w:tcPr>
          <w:p w14:paraId="0A11F2F2"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47" w:type="dxa"/>
            <w:gridSpan w:val="2"/>
            <w:shd w:val="clear" w:color="auto" w:fill="auto"/>
            <w:noWrap/>
            <w:vAlign w:val="center"/>
            <w:hideMark/>
          </w:tcPr>
          <w:p w14:paraId="7605CE5C"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540" w:type="dxa"/>
            <w:shd w:val="clear" w:color="auto" w:fill="auto"/>
            <w:noWrap/>
            <w:vAlign w:val="center"/>
            <w:hideMark/>
          </w:tcPr>
          <w:p w14:paraId="57CA973B" w14:textId="77777777" w:rsidR="00D91973" w:rsidRPr="00A91056" w:rsidRDefault="00D91973" w:rsidP="00D91973">
            <w:pPr>
              <w:widowControl/>
              <w:spacing w:line="240" w:lineRule="auto"/>
              <w:ind w:firstLine="0"/>
              <w:jc w:val="center"/>
              <w:rPr>
                <w:rFonts w:eastAsia="Times New Roman" w:cs="Arial"/>
                <w:sz w:val="18"/>
                <w:szCs w:val="18"/>
              </w:rPr>
            </w:pPr>
          </w:p>
        </w:tc>
        <w:tc>
          <w:tcPr>
            <w:tcW w:w="540" w:type="dxa"/>
            <w:shd w:val="clear" w:color="auto" w:fill="auto"/>
            <w:noWrap/>
            <w:vAlign w:val="center"/>
            <w:hideMark/>
          </w:tcPr>
          <w:p w14:paraId="12189D5C" w14:textId="0AF85FBE"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450" w:type="dxa"/>
            <w:shd w:val="clear" w:color="auto" w:fill="auto"/>
            <w:noWrap/>
            <w:vAlign w:val="center"/>
            <w:hideMark/>
          </w:tcPr>
          <w:p w14:paraId="55598D9D" w14:textId="73B6BCAB"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679AACE7"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shd w:val="clear" w:color="auto" w:fill="auto"/>
            <w:noWrap/>
            <w:vAlign w:val="center"/>
            <w:hideMark/>
          </w:tcPr>
          <w:p w14:paraId="69CECDFA" w14:textId="77777777" w:rsidR="00D91973" w:rsidRPr="00A91056" w:rsidRDefault="00D91973" w:rsidP="00D91973">
            <w:pPr>
              <w:widowControl/>
              <w:spacing w:line="240" w:lineRule="auto"/>
              <w:ind w:firstLine="0"/>
              <w:jc w:val="center"/>
              <w:rPr>
                <w:rFonts w:eastAsia="Times New Roman" w:cs="Arial"/>
                <w:color w:val="000000"/>
                <w:sz w:val="18"/>
                <w:szCs w:val="18"/>
              </w:rPr>
            </w:pPr>
          </w:p>
        </w:tc>
      </w:tr>
      <w:tr w:rsidR="00F64830" w:rsidRPr="00A91056" w14:paraId="165749BC" w14:textId="77777777" w:rsidTr="007D701C">
        <w:trPr>
          <w:trHeight w:val="288"/>
        </w:trPr>
        <w:tc>
          <w:tcPr>
            <w:tcW w:w="2395" w:type="dxa"/>
            <w:shd w:val="clear" w:color="auto" w:fill="auto"/>
            <w:noWrap/>
            <w:vAlign w:val="center"/>
            <w:hideMark/>
          </w:tcPr>
          <w:p w14:paraId="290ABE4D" w14:textId="77777777"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Quinoline</w:t>
            </w:r>
          </w:p>
        </w:tc>
        <w:tc>
          <w:tcPr>
            <w:tcW w:w="1115" w:type="dxa"/>
            <w:shd w:val="clear" w:color="auto" w:fill="auto"/>
            <w:noWrap/>
            <w:vAlign w:val="center"/>
            <w:hideMark/>
          </w:tcPr>
          <w:p w14:paraId="1C334B9E"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91-22-5</w:t>
            </w:r>
          </w:p>
        </w:tc>
        <w:tc>
          <w:tcPr>
            <w:tcW w:w="990" w:type="dxa"/>
            <w:shd w:val="clear" w:color="auto" w:fill="auto"/>
            <w:vAlign w:val="center"/>
            <w:hideMark/>
          </w:tcPr>
          <w:p w14:paraId="76E8B65A"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 xml:space="preserve">0.04 - 15 </w:t>
            </w:r>
            <w:r w:rsidRPr="00A91056">
              <w:rPr>
                <w:rFonts w:eastAsia="Times New Roman" w:cs="Arial"/>
                <w:color w:val="000000"/>
                <w:sz w:val="18"/>
                <w:szCs w:val="18"/>
                <w:vertAlign w:val="superscript"/>
              </w:rPr>
              <w:t>a</w:t>
            </w:r>
          </w:p>
        </w:tc>
        <w:tc>
          <w:tcPr>
            <w:tcW w:w="450" w:type="dxa"/>
            <w:shd w:val="clear" w:color="auto" w:fill="auto"/>
            <w:noWrap/>
            <w:vAlign w:val="center"/>
            <w:hideMark/>
          </w:tcPr>
          <w:p w14:paraId="58A87F3F" w14:textId="371C2C75"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53268B19" w14:textId="5C61521D"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540" w:type="dxa"/>
            <w:shd w:val="clear" w:color="auto" w:fill="auto"/>
            <w:vAlign w:val="center"/>
            <w:hideMark/>
          </w:tcPr>
          <w:p w14:paraId="08B3178D" w14:textId="7225BF39"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 3]</w:t>
            </w:r>
          </w:p>
        </w:tc>
        <w:tc>
          <w:tcPr>
            <w:tcW w:w="810" w:type="dxa"/>
            <w:shd w:val="clear" w:color="auto" w:fill="auto"/>
            <w:noWrap/>
            <w:vAlign w:val="center"/>
            <w:hideMark/>
          </w:tcPr>
          <w:p w14:paraId="599B2B0D" w14:textId="11B072E6"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25" w:type="dxa"/>
            <w:shd w:val="clear" w:color="auto" w:fill="auto"/>
            <w:noWrap/>
            <w:vAlign w:val="center"/>
            <w:hideMark/>
          </w:tcPr>
          <w:p w14:paraId="30CF7FB8" w14:textId="31AAC10E"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23638233" w14:textId="31A95BDB"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30" w:type="dxa"/>
            <w:shd w:val="clear" w:color="auto" w:fill="auto"/>
            <w:noWrap/>
            <w:vAlign w:val="center"/>
            <w:hideMark/>
          </w:tcPr>
          <w:p w14:paraId="3B869586"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450" w:type="dxa"/>
            <w:shd w:val="clear" w:color="auto" w:fill="auto"/>
            <w:noWrap/>
            <w:vAlign w:val="center"/>
            <w:hideMark/>
          </w:tcPr>
          <w:p w14:paraId="35231BF5" w14:textId="29E9D302"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1EF45D86"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13" w:type="dxa"/>
            <w:shd w:val="clear" w:color="auto" w:fill="auto"/>
            <w:vAlign w:val="center"/>
            <w:hideMark/>
          </w:tcPr>
          <w:p w14:paraId="6E1772DB" w14:textId="57AED393"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47" w:type="dxa"/>
            <w:gridSpan w:val="2"/>
            <w:shd w:val="clear" w:color="auto" w:fill="auto"/>
            <w:noWrap/>
            <w:vAlign w:val="center"/>
            <w:hideMark/>
          </w:tcPr>
          <w:p w14:paraId="11EC61AE" w14:textId="7A131120"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540" w:type="dxa"/>
            <w:shd w:val="clear" w:color="auto" w:fill="auto"/>
            <w:noWrap/>
            <w:vAlign w:val="center"/>
            <w:hideMark/>
          </w:tcPr>
          <w:p w14:paraId="346C15BF" w14:textId="2EBE009C"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540" w:type="dxa"/>
            <w:shd w:val="clear" w:color="auto" w:fill="auto"/>
            <w:noWrap/>
            <w:vAlign w:val="center"/>
            <w:hideMark/>
          </w:tcPr>
          <w:p w14:paraId="318B0971" w14:textId="510AE5A6"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450" w:type="dxa"/>
            <w:shd w:val="clear" w:color="auto" w:fill="auto"/>
            <w:noWrap/>
            <w:vAlign w:val="center"/>
            <w:hideMark/>
          </w:tcPr>
          <w:p w14:paraId="3DF611B6" w14:textId="1ACAC78E"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24124EE8" w14:textId="38438B90"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11F59B66" w14:textId="52C94041"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F64830" w:rsidRPr="00A91056" w14:paraId="54E8E5A6" w14:textId="77777777" w:rsidTr="007D701C">
        <w:trPr>
          <w:trHeight w:val="288"/>
        </w:trPr>
        <w:tc>
          <w:tcPr>
            <w:tcW w:w="2395" w:type="dxa"/>
            <w:shd w:val="clear" w:color="auto" w:fill="auto"/>
            <w:noWrap/>
            <w:vAlign w:val="center"/>
            <w:hideMark/>
          </w:tcPr>
          <w:p w14:paraId="2DB4752F" w14:textId="77777777"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Resorcinol</w:t>
            </w:r>
          </w:p>
        </w:tc>
        <w:tc>
          <w:tcPr>
            <w:tcW w:w="1115" w:type="dxa"/>
            <w:shd w:val="clear" w:color="auto" w:fill="auto"/>
            <w:noWrap/>
            <w:vAlign w:val="center"/>
            <w:hideMark/>
          </w:tcPr>
          <w:p w14:paraId="7F005547"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108-46-3</w:t>
            </w:r>
          </w:p>
        </w:tc>
        <w:tc>
          <w:tcPr>
            <w:tcW w:w="990" w:type="dxa"/>
            <w:shd w:val="clear" w:color="auto" w:fill="auto"/>
            <w:vAlign w:val="center"/>
            <w:hideMark/>
          </w:tcPr>
          <w:p w14:paraId="4AD47064"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 xml:space="preserve">2.5 - 5 </w:t>
            </w:r>
            <w:r w:rsidRPr="00A91056">
              <w:rPr>
                <w:rFonts w:eastAsia="Times New Roman" w:cs="Arial"/>
                <w:color w:val="000000"/>
                <w:sz w:val="18"/>
                <w:szCs w:val="18"/>
                <w:vertAlign w:val="superscript"/>
              </w:rPr>
              <w:t>a</w:t>
            </w:r>
          </w:p>
        </w:tc>
        <w:tc>
          <w:tcPr>
            <w:tcW w:w="450" w:type="dxa"/>
            <w:shd w:val="clear" w:color="auto" w:fill="auto"/>
            <w:noWrap/>
            <w:vAlign w:val="center"/>
            <w:hideMark/>
          </w:tcPr>
          <w:p w14:paraId="52E87FDF" w14:textId="2014996B"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3C7E7C28" w14:textId="4928603D"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540" w:type="dxa"/>
            <w:shd w:val="clear" w:color="auto" w:fill="auto"/>
            <w:vAlign w:val="center"/>
            <w:hideMark/>
          </w:tcPr>
          <w:p w14:paraId="5B6DE4D2" w14:textId="2D25EE5C" w:rsidR="00D91973" w:rsidRPr="00A91056" w:rsidRDefault="00D91973" w:rsidP="00D91973">
            <w:pPr>
              <w:widowControl/>
              <w:spacing w:line="240" w:lineRule="auto"/>
              <w:ind w:firstLine="0"/>
              <w:jc w:val="center"/>
              <w:rPr>
                <w:rFonts w:eastAsia="Times New Roman" w:cs="Arial"/>
                <w:color w:val="000000"/>
                <w:sz w:val="18"/>
                <w:szCs w:val="18"/>
              </w:rPr>
            </w:pPr>
          </w:p>
        </w:tc>
        <w:tc>
          <w:tcPr>
            <w:tcW w:w="810" w:type="dxa"/>
            <w:shd w:val="clear" w:color="auto" w:fill="auto"/>
            <w:noWrap/>
            <w:vAlign w:val="center"/>
            <w:hideMark/>
          </w:tcPr>
          <w:p w14:paraId="21F02169"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25" w:type="dxa"/>
            <w:shd w:val="clear" w:color="auto" w:fill="auto"/>
            <w:noWrap/>
            <w:vAlign w:val="center"/>
            <w:hideMark/>
          </w:tcPr>
          <w:p w14:paraId="143E79D0" w14:textId="163D2D12"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3BD3CAAC" w14:textId="6D134239"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30" w:type="dxa"/>
            <w:shd w:val="clear" w:color="auto" w:fill="auto"/>
            <w:noWrap/>
            <w:vAlign w:val="center"/>
            <w:hideMark/>
          </w:tcPr>
          <w:p w14:paraId="47130578" w14:textId="3EF2E968"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450" w:type="dxa"/>
            <w:shd w:val="clear" w:color="auto" w:fill="auto"/>
            <w:noWrap/>
            <w:vAlign w:val="center"/>
            <w:hideMark/>
          </w:tcPr>
          <w:p w14:paraId="3FC5B665" w14:textId="48D030FE"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1EF30674" w14:textId="3863110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13" w:type="dxa"/>
            <w:shd w:val="clear" w:color="auto" w:fill="auto"/>
            <w:noWrap/>
            <w:vAlign w:val="center"/>
            <w:hideMark/>
          </w:tcPr>
          <w:p w14:paraId="1F0BEEF6"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47" w:type="dxa"/>
            <w:gridSpan w:val="2"/>
            <w:shd w:val="clear" w:color="auto" w:fill="auto"/>
            <w:noWrap/>
            <w:vAlign w:val="center"/>
            <w:hideMark/>
          </w:tcPr>
          <w:p w14:paraId="191B18B6"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540" w:type="dxa"/>
            <w:shd w:val="clear" w:color="auto" w:fill="auto"/>
            <w:noWrap/>
            <w:vAlign w:val="center"/>
            <w:hideMark/>
          </w:tcPr>
          <w:p w14:paraId="3F8FC3E0" w14:textId="77777777" w:rsidR="00D91973" w:rsidRPr="00A91056" w:rsidRDefault="00D91973" w:rsidP="00D91973">
            <w:pPr>
              <w:widowControl/>
              <w:spacing w:line="240" w:lineRule="auto"/>
              <w:ind w:firstLine="0"/>
              <w:jc w:val="center"/>
              <w:rPr>
                <w:rFonts w:eastAsia="Times New Roman" w:cs="Arial"/>
                <w:sz w:val="18"/>
                <w:szCs w:val="18"/>
              </w:rPr>
            </w:pPr>
          </w:p>
        </w:tc>
        <w:tc>
          <w:tcPr>
            <w:tcW w:w="540" w:type="dxa"/>
            <w:shd w:val="clear" w:color="auto" w:fill="auto"/>
            <w:noWrap/>
            <w:vAlign w:val="center"/>
            <w:hideMark/>
          </w:tcPr>
          <w:p w14:paraId="095A4657" w14:textId="19451565"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450" w:type="dxa"/>
            <w:shd w:val="clear" w:color="auto" w:fill="auto"/>
            <w:noWrap/>
            <w:vAlign w:val="center"/>
            <w:hideMark/>
          </w:tcPr>
          <w:p w14:paraId="6749228A" w14:textId="1A72EA1F"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7BBEE50A"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shd w:val="clear" w:color="auto" w:fill="auto"/>
            <w:vAlign w:val="center"/>
            <w:hideMark/>
          </w:tcPr>
          <w:p w14:paraId="0A96C3F9" w14:textId="35D50713"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F64830" w:rsidRPr="00A91056" w14:paraId="356EAF08" w14:textId="77777777" w:rsidTr="007D701C">
        <w:trPr>
          <w:trHeight w:val="288"/>
        </w:trPr>
        <w:tc>
          <w:tcPr>
            <w:tcW w:w="2395" w:type="dxa"/>
            <w:shd w:val="clear" w:color="auto" w:fill="auto"/>
            <w:noWrap/>
            <w:vAlign w:val="center"/>
            <w:hideMark/>
          </w:tcPr>
          <w:p w14:paraId="05BEE202" w14:textId="77777777"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Riddelliine</w:t>
            </w:r>
          </w:p>
        </w:tc>
        <w:tc>
          <w:tcPr>
            <w:tcW w:w="1115" w:type="dxa"/>
            <w:shd w:val="clear" w:color="auto" w:fill="auto"/>
            <w:noWrap/>
            <w:vAlign w:val="center"/>
            <w:hideMark/>
          </w:tcPr>
          <w:p w14:paraId="06F10BE5"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23246-96-0</w:t>
            </w:r>
          </w:p>
        </w:tc>
        <w:tc>
          <w:tcPr>
            <w:tcW w:w="990" w:type="dxa"/>
            <w:shd w:val="clear" w:color="auto" w:fill="auto"/>
            <w:vAlign w:val="center"/>
            <w:hideMark/>
          </w:tcPr>
          <w:p w14:paraId="68620743"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0.5 - 7.5</w:t>
            </w:r>
          </w:p>
        </w:tc>
        <w:tc>
          <w:tcPr>
            <w:tcW w:w="450" w:type="dxa"/>
            <w:shd w:val="clear" w:color="auto" w:fill="auto"/>
            <w:noWrap/>
            <w:vAlign w:val="center"/>
            <w:hideMark/>
          </w:tcPr>
          <w:p w14:paraId="13BD8297" w14:textId="03C2A139"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684787E3" w14:textId="5B8798F0"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540" w:type="dxa"/>
            <w:shd w:val="clear" w:color="auto" w:fill="auto"/>
            <w:vAlign w:val="center"/>
            <w:hideMark/>
          </w:tcPr>
          <w:p w14:paraId="1B34EFAD" w14:textId="2336149E" w:rsidR="00D91973" w:rsidRPr="00A91056" w:rsidRDefault="00D91973" w:rsidP="00D91973">
            <w:pPr>
              <w:widowControl/>
              <w:spacing w:line="240" w:lineRule="auto"/>
              <w:ind w:firstLine="0"/>
              <w:jc w:val="center"/>
              <w:rPr>
                <w:rFonts w:eastAsia="Times New Roman" w:cs="Arial"/>
                <w:color w:val="000000"/>
                <w:sz w:val="18"/>
                <w:szCs w:val="18"/>
              </w:rPr>
            </w:pPr>
          </w:p>
        </w:tc>
        <w:tc>
          <w:tcPr>
            <w:tcW w:w="810" w:type="dxa"/>
            <w:shd w:val="clear" w:color="auto" w:fill="auto"/>
            <w:noWrap/>
            <w:vAlign w:val="center"/>
            <w:hideMark/>
          </w:tcPr>
          <w:p w14:paraId="58DB7C04" w14:textId="1B2DA6D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25" w:type="dxa"/>
            <w:shd w:val="clear" w:color="auto" w:fill="auto"/>
            <w:noWrap/>
            <w:vAlign w:val="center"/>
            <w:hideMark/>
          </w:tcPr>
          <w:p w14:paraId="773179D2" w14:textId="09BBDACE"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401B5B5C"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30" w:type="dxa"/>
            <w:shd w:val="clear" w:color="auto" w:fill="auto"/>
            <w:noWrap/>
            <w:vAlign w:val="center"/>
            <w:hideMark/>
          </w:tcPr>
          <w:p w14:paraId="748CABD0" w14:textId="77777777" w:rsidR="00D91973" w:rsidRPr="00A91056" w:rsidRDefault="00D91973" w:rsidP="00D91973">
            <w:pPr>
              <w:widowControl/>
              <w:spacing w:line="240" w:lineRule="auto"/>
              <w:ind w:firstLine="0"/>
              <w:jc w:val="center"/>
              <w:rPr>
                <w:rFonts w:eastAsia="Times New Roman" w:cs="Arial"/>
                <w:sz w:val="18"/>
                <w:szCs w:val="18"/>
              </w:rPr>
            </w:pPr>
          </w:p>
        </w:tc>
        <w:tc>
          <w:tcPr>
            <w:tcW w:w="450" w:type="dxa"/>
            <w:shd w:val="clear" w:color="auto" w:fill="auto"/>
            <w:noWrap/>
            <w:vAlign w:val="center"/>
            <w:hideMark/>
          </w:tcPr>
          <w:p w14:paraId="53A85122" w14:textId="6BF7C382"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7B3D67E1" w14:textId="738EB005"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13" w:type="dxa"/>
            <w:shd w:val="clear" w:color="auto" w:fill="auto"/>
            <w:noWrap/>
            <w:vAlign w:val="center"/>
            <w:hideMark/>
          </w:tcPr>
          <w:p w14:paraId="5AC272D0" w14:textId="77777777" w:rsidR="00D91973" w:rsidRPr="00A91056" w:rsidRDefault="00D91973" w:rsidP="00D91973">
            <w:pPr>
              <w:widowControl/>
              <w:spacing w:line="240" w:lineRule="auto"/>
              <w:ind w:firstLine="0"/>
              <w:jc w:val="center"/>
              <w:rPr>
                <w:rFonts w:eastAsia="Times New Roman" w:cs="Arial"/>
                <w:sz w:val="18"/>
                <w:szCs w:val="18"/>
              </w:rPr>
            </w:pPr>
          </w:p>
        </w:tc>
        <w:tc>
          <w:tcPr>
            <w:tcW w:w="647" w:type="dxa"/>
            <w:gridSpan w:val="2"/>
            <w:shd w:val="clear" w:color="auto" w:fill="auto"/>
            <w:noWrap/>
            <w:vAlign w:val="center"/>
            <w:hideMark/>
          </w:tcPr>
          <w:p w14:paraId="62CD0728" w14:textId="58DE4BAB"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540" w:type="dxa"/>
            <w:shd w:val="clear" w:color="auto" w:fill="auto"/>
            <w:noWrap/>
            <w:vAlign w:val="center"/>
            <w:hideMark/>
          </w:tcPr>
          <w:p w14:paraId="6E986CF5" w14:textId="088D9595"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540" w:type="dxa"/>
            <w:shd w:val="clear" w:color="auto" w:fill="auto"/>
            <w:noWrap/>
            <w:vAlign w:val="center"/>
            <w:hideMark/>
          </w:tcPr>
          <w:p w14:paraId="6898F4A1" w14:textId="15DE53C8"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450" w:type="dxa"/>
            <w:shd w:val="clear" w:color="auto" w:fill="auto"/>
            <w:noWrap/>
            <w:vAlign w:val="center"/>
            <w:hideMark/>
          </w:tcPr>
          <w:p w14:paraId="4EEDA79E"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shd w:val="clear" w:color="auto" w:fill="auto"/>
            <w:noWrap/>
            <w:vAlign w:val="center"/>
            <w:hideMark/>
          </w:tcPr>
          <w:p w14:paraId="0E443E28" w14:textId="77777777" w:rsidR="00D91973" w:rsidRPr="00A91056" w:rsidRDefault="00D91973" w:rsidP="00D91973">
            <w:pPr>
              <w:widowControl/>
              <w:spacing w:line="240" w:lineRule="auto"/>
              <w:ind w:firstLine="0"/>
              <w:jc w:val="center"/>
              <w:rPr>
                <w:rFonts w:eastAsia="Times New Roman" w:cs="Arial"/>
                <w:sz w:val="18"/>
                <w:szCs w:val="18"/>
              </w:rPr>
            </w:pPr>
          </w:p>
        </w:tc>
        <w:tc>
          <w:tcPr>
            <w:tcW w:w="720" w:type="dxa"/>
            <w:shd w:val="clear" w:color="auto" w:fill="auto"/>
            <w:noWrap/>
            <w:vAlign w:val="center"/>
            <w:hideMark/>
          </w:tcPr>
          <w:p w14:paraId="0CB5CC63" w14:textId="0C52211F"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F64830" w:rsidRPr="00A91056" w14:paraId="7F4EBB84" w14:textId="77777777" w:rsidTr="007D701C">
        <w:trPr>
          <w:trHeight w:val="288"/>
        </w:trPr>
        <w:tc>
          <w:tcPr>
            <w:tcW w:w="2395" w:type="dxa"/>
            <w:shd w:val="clear" w:color="auto" w:fill="auto"/>
            <w:noWrap/>
            <w:vAlign w:val="center"/>
            <w:hideMark/>
          </w:tcPr>
          <w:p w14:paraId="723DA12B" w14:textId="77777777"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Safrole</w:t>
            </w:r>
          </w:p>
        </w:tc>
        <w:tc>
          <w:tcPr>
            <w:tcW w:w="1115" w:type="dxa"/>
            <w:shd w:val="clear" w:color="auto" w:fill="auto"/>
            <w:noWrap/>
            <w:vAlign w:val="center"/>
            <w:hideMark/>
          </w:tcPr>
          <w:p w14:paraId="415CD19A"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94-59-7</w:t>
            </w:r>
          </w:p>
        </w:tc>
        <w:tc>
          <w:tcPr>
            <w:tcW w:w="990" w:type="dxa"/>
            <w:shd w:val="clear" w:color="auto" w:fill="auto"/>
            <w:vAlign w:val="center"/>
            <w:hideMark/>
          </w:tcPr>
          <w:p w14:paraId="20E1D8D7"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0.13 - 2</w:t>
            </w:r>
          </w:p>
        </w:tc>
        <w:tc>
          <w:tcPr>
            <w:tcW w:w="450" w:type="dxa"/>
            <w:shd w:val="clear" w:color="auto" w:fill="auto"/>
            <w:noWrap/>
            <w:vAlign w:val="center"/>
            <w:hideMark/>
          </w:tcPr>
          <w:p w14:paraId="1348660F" w14:textId="70147434"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5B7FF888" w14:textId="29AA8920"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540" w:type="dxa"/>
            <w:shd w:val="clear" w:color="auto" w:fill="auto"/>
            <w:noWrap/>
            <w:vAlign w:val="center"/>
            <w:hideMark/>
          </w:tcPr>
          <w:p w14:paraId="576E6441" w14:textId="5EE43442"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[5]</w:t>
            </w:r>
          </w:p>
        </w:tc>
        <w:tc>
          <w:tcPr>
            <w:tcW w:w="810" w:type="dxa"/>
            <w:shd w:val="clear" w:color="auto" w:fill="auto"/>
            <w:noWrap/>
            <w:vAlign w:val="center"/>
            <w:hideMark/>
          </w:tcPr>
          <w:p w14:paraId="4108EC34" w14:textId="617DE684"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25" w:type="dxa"/>
            <w:shd w:val="clear" w:color="auto" w:fill="auto"/>
            <w:noWrap/>
            <w:vAlign w:val="center"/>
            <w:hideMark/>
          </w:tcPr>
          <w:p w14:paraId="0E5A5186" w14:textId="69F4897D"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39F631DC" w14:textId="1A950F9A"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30" w:type="dxa"/>
            <w:shd w:val="clear" w:color="auto" w:fill="auto"/>
            <w:noWrap/>
            <w:vAlign w:val="center"/>
            <w:hideMark/>
          </w:tcPr>
          <w:p w14:paraId="34E396E5" w14:textId="62C4F2C6"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450" w:type="dxa"/>
            <w:shd w:val="clear" w:color="auto" w:fill="auto"/>
            <w:noWrap/>
            <w:vAlign w:val="center"/>
            <w:hideMark/>
          </w:tcPr>
          <w:p w14:paraId="1A209E18" w14:textId="4FB70FE9"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705DBC75"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13" w:type="dxa"/>
            <w:shd w:val="clear" w:color="auto" w:fill="auto"/>
            <w:noWrap/>
            <w:vAlign w:val="center"/>
            <w:hideMark/>
          </w:tcPr>
          <w:p w14:paraId="2CF10B3B" w14:textId="037B9DE6"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647" w:type="dxa"/>
            <w:gridSpan w:val="2"/>
            <w:shd w:val="clear" w:color="auto" w:fill="auto"/>
            <w:noWrap/>
            <w:vAlign w:val="center"/>
            <w:hideMark/>
          </w:tcPr>
          <w:p w14:paraId="191E92F7" w14:textId="1EDFF931"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540" w:type="dxa"/>
            <w:shd w:val="clear" w:color="auto" w:fill="auto"/>
            <w:noWrap/>
            <w:vAlign w:val="center"/>
            <w:hideMark/>
          </w:tcPr>
          <w:p w14:paraId="44F8C3AE"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540" w:type="dxa"/>
            <w:shd w:val="clear" w:color="auto" w:fill="auto"/>
            <w:noWrap/>
            <w:vAlign w:val="center"/>
            <w:hideMark/>
          </w:tcPr>
          <w:p w14:paraId="1677BBA9" w14:textId="77777777" w:rsidR="00D91973" w:rsidRPr="00A91056" w:rsidRDefault="00D91973" w:rsidP="00D91973">
            <w:pPr>
              <w:widowControl/>
              <w:spacing w:line="240" w:lineRule="auto"/>
              <w:ind w:firstLine="0"/>
              <w:jc w:val="center"/>
              <w:rPr>
                <w:rFonts w:eastAsia="Times New Roman" w:cs="Arial"/>
                <w:sz w:val="18"/>
                <w:szCs w:val="18"/>
              </w:rPr>
            </w:pPr>
          </w:p>
        </w:tc>
        <w:tc>
          <w:tcPr>
            <w:tcW w:w="450" w:type="dxa"/>
            <w:shd w:val="clear" w:color="auto" w:fill="auto"/>
            <w:noWrap/>
            <w:vAlign w:val="center"/>
            <w:hideMark/>
          </w:tcPr>
          <w:p w14:paraId="0A6706E2" w14:textId="4BDEC7E3"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2D7FC054"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shd w:val="clear" w:color="auto" w:fill="auto"/>
            <w:noWrap/>
            <w:vAlign w:val="center"/>
            <w:hideMark/>
          </w:tcPr>
          <w:p w14:paraId="01BE5EFD" w14:textId="723C1A46"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F64830" w:rsidRPr="00A91056" w14:paraId="31050485" w14:textId="77777777" w:rsidTr="007D701C">
        <w:trPr>
          <w:trHeight w:val="288"/>
        </w:trPr>
        <w:tc>
          <w:tcPr>
            <w:tcW w:w="2395" w:type="dxa"/>
            <w:shd w:val="clear" w:color="auto" w:fill="auto"/>
            <w:noWrap/>
            <w:vAlign w:val="center"/>
            <w:hideMark/>
          </w:tcPr>
          <w:p w14:paraId="0A7CAC39" w14:textId="77777777"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Streptozotocin</w:t>
            </w:r>
          </w:p>
        </w:tc>
        <w:tc>
          <w:tcPr>
            <w:tcW w:w="1115" w:type="dxa"/>
            <w:shd w:val="clear" w:color="auto" w:fill="auto"/>
            <w:noWrap/>
            <w:vAlign w:val="center"/>
            <w:hideMark/>
          </w:tcPr>
          <w:p w14:paraId="6BE7B516"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18883-66-4</w:t>
            </w:r>
          </w:p>
        </w:tc>
        <w:tc>
          <w:tcPr>
            <w:tcW w:w="990" w:type="dxa"/>
            <w:shd w:val="clear" w:color="auto" w:fill="auto"/>
            <w:vAlign w:val="center"/>
            <w:hideMark/>
          </w:tcPr>
          <w:p w14:paraId="331AF78B"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1 - 5</w:t>
            </w:r>
          </w:p>
        </w:tc>
        <w:tc>
          <w:tcPr>
            <w:tcW w:w="450" w:type="dxa"/>
            <w:shd w:val="clear" w:color="auto" w:fill="auto"/>
            <w:noWrap/>
            <w:vAlign w:val="center"/>
            <w:hideMark/>
          </w:tcPr>
          <w:p w14:paraId="2C974E5D" w14:textId="65954BE9"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43A60879" w14:textId="03F18929"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540" w:type="dxa"/>
            <w:shd w:val="clear" w:color="auto" w:fill="auto"/>
            <w:vAlign w:val="center"/>
            <w:hideMark/>
          </w:tcPr>
          <w:p w14:paraId="539FD6C2" w14:textId="73B5A569" w:rsidR="00D91973" w:rsidRPr="00A91056" w:rsidRDefault="00D91973" w:rsidP="00D91973">
            <w:pPr>
              <w:widowControl/>
              <w:spacing w:line="240" w:lineRule="auto"/>
              <w:ind w:firstLine="0"/>
              <w:jc w:val="center"/>
              <w:rPr>
                <w:rFonts w:eastAsia="Times New Roman" w:cs="Arial"/>
                <w:color w:val="000000"/>
                <w:sz w:val="18"/>
                <w:szCs w:val="18"/>
              </w:rPr>
            </w:pPr>
          </w:p>
        </w:tc>
        <w:tc>
          <w:tcPr>
            <w:tcW w:w="810" w:type="dxa"/>
            <w:shd w:val="clear" w:color="auto" w:fill="auto"/>
            <w:noWrap/>
            <w:vAlign w:val="center"/>
            <w:hideMark/>
          </w:tcPr>
          <w:p w14:paraId="35FEB149" w14:textId="5E45FD43"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25" w:type="dxa"/>
            <w:shd w:val="clear" w:color="auto" w:fill="auto"/>
            <w:noWrap/>
            <w:vAlign w:val="center"/>
            <w:hideMark/>
          </w:tcPr>
          <w:p w14:paraId="06E40B13" w14:textId="4C2FCCED"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75898B4D" w14:textId="78662159"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30" w:type="dxa"/>
            <w:shd w:val="clear" w:color="auto" w:fill="auto"/>
            <w:noWrap/>
            <w:vAlign w:val="center"/>
            <w:hideMark/>
          </w:tcPr>
          <w:p w14:paraId="38B1FA0A"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450" w:type="dxa"/>
            <w:shd w:val="clear" w:color="auto" w:fill="auto"/>
            <w:noWrap/>
            <w:vAlign w:val="center"/>
            <w:hideMark/>
          </w:tcPr>
          <w:p w14:paraId="1ED22F38" w14:textId="77777777" w:rsidR="00D91973" w:rsidRPr="00A91056" w:rsidRDefault="00D91973" w:rsidP="00D91973">
            <w:pPr>
              <w:widowControl/>
              <w:spacing w:line="240" w:lineRule="auto"/>
              <w:ind w:firstLine="0"/>
              <w:jc w:val="center"/>
              <w:rPr>
                <w:rFonts w:eastAsia="Times New Roman" w:cs="Arial"/>
                <w:sz w:val="18"/>
                <w:szCs w:val="18"/>
              </w:rPr>
            </w:pPr>
          </w:p>
        </w:tc>
        <w:tc>
          <w:tcPr>
            <w:tcW w:w="720" w:type="dxa"/>
            <w:shd w:val="clear" w:color="auto" w:fill="auto"/>
            <w:noWrap/>
            <w:vAlign w:val="center"/>
            <w:hideMark/>
          </w:tcPr>
          <w:p w14:paraId="006A4C2B" w14:textId="695FA7F6"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13" w:type="dxa"/>
            <w:shd w:val="clear" w:color="auto" w:fill="auto"/>
            <w:noWrap/>
            <w:vAlign w:val="center"/>
            <w:hideMark/>
          </w:tcPr>
          <w:p w14:paraId="47E1471A"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47" w:type="dxa"/>
            <w:gridSpan w:val="2"/>
            <w:shd w:val="clear" w:color="auto" w:fill="auto"/>
            <w:noWrap/>
            <w:vAlign w:val="center"/>
            <w:hideMark/>
          </w:tcPr>
          <w:p w14:paraId="28CB5D89"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540" w:type="dxa"/>
            <w:shd w:val="clear" w:color="auto" w:fill="auto"/>
            <w:noWrap/>
            <w:vAlign w:val="center"/>
            <w:hideMark/>
          </w:tcPr>
          <w:p w14:paraId="1CD00CF0" w14:textId="536DE8F6"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540" w:type="dxa"/>
            <w:shd w:val="clear" w:color="auto" w:fill="auto"/>
            <w:noWrap/>
            <w:vAlign w:val="center"/>
            <w:hideMark/>
          </w:tcPr>
          <w:p w14:paraId="748D278E" w14:textId="1EC3F92E"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450" w:type="dxa"/>
            <w:shd w:val="clear" w:color="auto" w:fill="auto"/>
            <w:noWrap/>
            <w:vAlign w:val="center"/>
            <w:hideMark/>
          </w:tcPr>
          <w:p w14:paraId="663360A7"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shd w:val="clear" w:color="auto" w:fill="auto"/>
            <w:noWrap/>
            <w:vAlign w:val="center"/>
            <w:hideMark/>
          </w:tcPr>
          <w:p w14:paraId="5C0FE06D" w14:textId="7C2D05CA"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6B7CE25D" w14:textId="5C6592C6"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r w:rsidR="00F64830" w:rsidRPr="00A91056" w14:paraId="4003932C" w14:textId="77777777" w:rsidTr="007D701C">
        <w:trPr>
          <w:trHeight w:val="288"/>
        </w:trPr>
        <w:tc>
          <w:tcPr>
            <w:tcW w:w="2395" w:type="dxa"/>
            <w:shd w:val="clear" w:color="auto" w:fill="auto"/>
            <w:noWrap/>
            <w:vAlign w:val="center"/>
            <w:hideMark/>
          </w:tcPr>
          <w:p w14:paraId="288B2A2D" w14:textId="77777777" w:rsidR="00D91973" w:rsidRPr="00A91056" w:rsidRDefault="00D91973" w:rsidP="00D91973">
            <w:pPr>
              <w:widowControl/>
              <w:spacing w:line="240" w:lineRule="auto"/>
              <w:ind w:firstLine="0"/>
              <w:rPr>
                <w:rFonts w:eastAsia="Times New Roman" w:cs="Arial"/>
                <w:color w:val="000000"/>
                <w:sz w:val="18"/>
                <w:szCs w:val="18"/>
              </w:rPr>
            </w:pPr>
            <w:proofErr w:type="spellStart"/>
            <w:r w:rsidRPr="00A91056">
              <w:rPr>
                <w:rFonts w:eastAsia="Times New Roman" w:cs="Arial"/>
                <w:color w:val="000000"/>
                <w:sz w:val="18"/>
                <w:szCs w:val="18"/>
              </w:rPr>
              <w:t>Teniposide</w:t>
            </w:r>
            <w:proofErr w:type="spellEnd"/>
          </w:p>
        </w:tc>
        <w:tc>
          <w:tcPr>
            <w:tcW w:w="1115" w:type="dxa"/>
            <w:shd w:val="clear" w:color="auto" w:fill="auto"/>
            <w:noWrap/>
            <w:vAlign w:val="center"/>
            <w:hideMark/>
          </w:tcPr>
          <w:p w14:paraId="7DDDBB3D"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29767-20-2</w:t>
            </w:r>
          </w:p>
        </w:tc>
        <w:tc>
          <w:tcPr>
            <w:tcW w:w="990" w:type="dxa"/>
            <w:shd w:val="clear" w:color="auto" w:fill="auto"/>
            <w:vAlign w:val="center"/>
            <w:hideMark/>
          </w:tcPr>
          <w:p w14:paraId="3E650A85"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0.5 - 1.5</w:t>
            </w:r>
          </w:p>
        </w:tc>
        <w:tc>
          <w:tcPr>
            <w:tcW w:w="450" w:type="dxa"/>
            <w:shd w:val="clear" w:color="auto" w:fill="auto"/>
            <w:noWrap/>
            <w:vAlign w:val="center"/>
            <w:hideMark/>
          </w:tcPr>
          <w:p w14:paraId="455177CB" w14:textId="4162990A"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616D7AAA" w14:textId="57329D6A" w:rsidR="00D91973" w:rsidRPr="00A91056" w:rsidRDefault="00D91973" w:rsidP="00D91973">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540" w:type="dxa"/>
            <w:shd w:val="clear" w:color="auto" w:fill="auto"/>
            <w:vAlign w:val="center"/>
            <w:hideMark/>
          </w:tcPr>
          <w:p w14:paraId="4007B662" w14:textId="1A979A65" w:rsidR="00D91973" w:rsidRPr="00A91056" w:rsidRDefault="00D91973" w:rsidP="00D91973">
            <w:pPr>
              <w:widowControl/>
              <w:spacing w:line="240" w:lineRule="auto"/>
              <w:ind w:firstLine="0"/>
              <w:jc w:val="center"/>
              <w:rPr>
                <w:rFonts w:eastAsia="Times New Roman" w:cs="Arial"/>
                <w:color w:val="000000"/>
                <w:sz w:val="18"/>
                <w:szCs w:val="18"/>
              </w:rPr>
            </w:pPr>
          </w:p>
        </w:tc>
        <w:tc>
          <w:tcPr>
            <w:tcW w:w="810" w:type="dxa"/>
            <w:shd w:val="clear" w:color="auto" w:fill="auto"/>
            <w:noWrap/>
            <w:vAlign w:val="center"/>
            <w:hideMark/>
          </w:tcPr>
          <w:p w14:paraId="02EC934A"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25" w:type="dxa"/>
            <w:shd w:val="clear" w:color="auto" w:fill="auto"/>
            <w:noWrap/>
            <w:vAlign w:val="center"/>
            <w:hideMark/>
          </w:tcPr>
          <w:p w14:paraId="48DB2E83" w14:textId="328B5CD0"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1B942D03" w14:textId="36B6EA8B"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30" w:type="dxa"/>
            <w:shd w:val="clear" w:color="auto" w:fill="auto"/>
            <w:noWrap/>
            <w:vAlign w:val="center"/>
            <w:hideMark/>
          </w:tcPr>
          <w:p w14:paraId="1E8F9945" w14:textId="0A5BFE02"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450" w:type="dxa"/>
            <w:shd w:val="clear" w:color="auto" w:fill="auto"/>
            <w:noWrap/>
            <w:vAlign w:val="center"/>
            <w:hideMark/>
          </w:tcPr>
          <w:p w14:paraId="05F7A2FE" w14:textId="6A9115F1"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0834A339" w14:textId="3683A8C6"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13" w:type="dxa"/>
            <w:shd w:val="clear" w:color="auto" w:fill="auto"/>
            <w:noWrap/>
            <w:vAlign w:val="center"/>
            <w:hideMark/>
          </w:tcPr>
          <w:p w14:paraId="03EF5AA5"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47" w:type="dxa"/>
            <w:gridSpan w:val="2"/>
            <w:shd w:val="clear" w:color="auto" w:fill="auto"/>
            <w:noWrap/>
            <w:vAlign w:val="center"/>
            <w:hideMark/>
          </w:tcPr>
          <w:p w14:paraId="7A9EC262"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540" w:type="dxa"/>
            <w:shd w:val="clear" w:color="auto" w:fill="auto"/>
            <w:noWrap/>
            <w:vAlign w:val="center"/>
            <w:hideMark/>
          </w:tcPr>
          <w:p w14:paraId="379413ED" w14:textId="77777777" w:rsidR="00D91973" w:rsidRPr="00A91056" w:rsidRDefault="00D91973" w:rsidP="00D91973">
            <w:pPr>
              <w:widowControl/>
              <w:spacing w:line="240" w:lineRule="auto"/>
              <w:ind w:firstLine="0"/>
              <w:jc w:val="center"/>
              <w:rPr>
                <w:rFonts w:eastAsia="Times New Roman" w:cs="Arial"/>
                <w:sz w:val="18"/>
                <w:szCs w:val="18"/>
              </w:rPr>
            </w:pPr>
          </w:p>
        </w:tc>
        <w:tc>
          <w:tcPr>
            <w:tcW w:w="540" w:type="dxa"/>
            <w:shd w:val="clear" w:color="auto" w:fill="auto"/>
            <w:noWrap/>
            <w:vAlign w:val="center"/>
            <w:hideMark/>
          </w:tcPr>
          <w:p w14:paraId="46CD3B59" w14:textId="20182361"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450" w:type="dxa"/>
            <w:shd w:val="clear" w:color="auto" w:fill="auto"/>
            <w:noWrap/>
            <w:vAlign w:val="center"/>
            <w:hideMark/>
          </w:tcPr>
          <w:p w14:paraId="4A6A8D6A" w14:textId="25DE4A2E"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74BFEB4E"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shd w:val="clear" w:color="auto" w:fill="auto"/>
            <w:noWrap/>
            <w:vAlign w:val="center"/>
            <w:hideMark/>
          </w:tcPr>
          <w:p w14:paraId="4A3A7767" w14:textId="77777777" w:rsidR="00D91973" w:rsidRPr="00A91056" w:rsidRDefault="00D91973" w:rsidP="00D91973">
            <w:pPr>
              <w:widowControl/>
              <w:spacing w:line="240" w:lineRule="auto"/>
              <w:ind w:firstLine="0"/>
              <w:jc w:val="center"/>
              <w:rPr>
                <w:rFonts w:eastAsia="Times New Roman" w:cs="Arial"/>
                <w:color w:val="000000"/>
                <w:sz w:val="18"/>
                <w:szCs w:val="18"/>
              </w:rPr>
            </w:pPr>
          </w:p>
        </w:tc>
      </w:tr>
      <w:tr w:rsidR="00F64830" w:rsidRPr="00A91056" w14:paraId="56747110" w14:textId="77777777" w:rsidTr="007D701C">
        <w:trPr>
          <w:trHeight w:val="288"/>
        </w:trPr>
        <w:tc>
          <w:tcPr>
            <w:tcW w:w="2395" w:type="dxa"/>
            <w:shd w:val="clear" w:color="auto" w:fill="auto"/>
            <w:noWrap/>
            <w:vAlign w:val="center"/>
            <w:hideMark/>
          </w:tcPr>
          <w:p w14:paraId="6431C6EA" w14:textId="77777777"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Theobromine</w:t>
            </w:r>
          </w:p>
        </w:tc>
        <w:tc>
          <w:tcPr>
            <w:tcW w:w="1115" w:type="dxa"/>
            <w:shd w:val="clear" w:color="auto" w:fill="auto"/>
            <w:noWrap/>
            <w:vAlign w:val="center"/>
            <w:hideMark/>
          </w:tcPr>
          <w:p w14:paraId="64A8E73B"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83-67-0</w:t>
            </w:r>
          </w:p>
        </w:tc>
        <w:tc>
          <w:tcPr>
            <w:tcW w:w="990" w:type="dxa"/>
            <w:shd w:val="clear" w:color="auto" w:fill="auto"/>
            <w:vAlign w:val="center"/>
            <w:hideMark/>
          </w:tcPr>
          <w:p w14:paraId="3EBBB5AC"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1 - 10</w:t>
            </w:r>
          </w:p>
        </w:tc>
        <w:tc>
          <w:tcPr>
            <w:tcW w:w="450" w:type="dxa"/>
            <w:shd w:val="clear" w:color="auto" w:fill="auto"/>
            <w:noWrap/>
            <w:vAlign w:val="center"/>
            <w:hideMark/>
          </w:tcPr>
          <w:p w14:paraId="42356F43" w14:textId="6DB1D2A2"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16FA26C6" w14:textId="157E26D6"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540" w:type="dxa"/>
            <w:shd w:val="clear" w:color="auto" w:fill="auto"/>
            <w:vAlign w:val="center"/>
            <w:hideMark/>
          </w:tcPr>
          <w:p w14:paraId="15AE2DB5" w14:textId="450AC1E0" w:rsidR="00D91973" w:rsidRPr="00A91056" w:rsidRDefault="00D91973" w:rsidP="00D91973">
            <w:pPr>
              <w:widowControl/>
              <w:spacing w:line="240" w:lineRule="auto"/>
              <w:ind w:firstLine="0"/>
              <w:jc w:val="center"/>
              <w:rPr>
                <w:rFonts w:eastAsia="Times New Roman" w:cs="Arial"/>
                <w:color w:val="000000"/>
                <w:sz w:val="18"/>
                <w:szCs w:val="18"/>
              </w:rPr>
            </w:pPr>
          </w:p>
        </w:tc>
        <w:tc>
          <w:tcPr>
            <w:tcW w:w="810" w:type="dxa"/>
            <w:shd w:val="clear" w:color="auto" w:fill="auto"/>
            <w:vAlign w:val="center"/>
            <w:hideMark/>
          </w:tcPr>
          <w:p w14:paraId="561C3FEF"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25" w:type="dxa"/>
            <w:shd w:val="clear" w:color="auto" w:fill="auto"/>
            <w:noWrap/>
            <w:vAlign w:val="center"/>
            <w:hideMark/>
          </w:tcPr>
          <w:p w14:paraId="14CDA318" w14:textId="7F51133D"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2FF69F72" w14:textId="3BD90D30" w:rsidR="00D91973" w:rsidRPr="00A91056" w:rsidRDefault="00D91973" w:rsidP="00D91973">
            <w:pPr>
              <w:widowControl/>
              <w:spacing w:line="240" w:lineRule="auto"/>
              <w:ind w:firstLine="0"/>
              <w:jc w:val="center"/>
              <w:rPr>
                <w:rFonts w:eastAsia="Times New Roman" w:cs="Arial"/>
                <w:color w:val="000000"/>
                <w:sz w:val="18"/>
                <w:szCs w:val="18"/>
              </w:rPr>
            </w:pPr>
            <w:proofErr w:type="spellStart"/>
            <w:r w:rsidRPr="00A91056">
              <w:rPr>
                <w:rFonts w:eastAsia="Times New Roman" w:cs="Arial"/>
                <w:color w:val="000000"/>
                <w:sz w:val="18"/>
                <w:szCs w:val="18"/>
              </w:rPr>
              <w:t>Eqv</w:t>
            </w:r>
            <w:proofErr w:type="spellEnd"/>
          </w:p>
        </w:tc>
        <w:tc>
          <w:tcPr>
            <w:tcW w:w="630" w:type="dxa"/>
            <w:shd w:val="clear" w:color="auto" w:fill="auto"/>
            <w:noWrap/>
            <w:vAlign w:val="center"/>
            <w:hideMark/>
          </w:tcPr>
          <w:p w14:paraId="234F9615"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450" w:type="dxa"/>
            <w:shd w:val="clear" w:color="auto" w:fill="auto"/>
            <w:noWrap/>
            <w:vAlign w:val="center"/>
            <w:hideMark/>
          </w:tcPr>
          <w:p w14:paraId="3F3D69E9" w14:textId="59EBCAA1"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3214F805"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13" w:type="dxa"/>
            <w:shd w:val="clear" w:color="auto" w:fill="auto"/>
            <w:noWrap/>
            <w:vAlign w:val="center"/>
            <w:hideMark/>
          </w:tcPr>
          <w:p w14:paraId="4980AA06"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47" w:type="dxa"/>
            <w:gridSpan w:val="2"/>
            <w:shd w:val="clear" w:color="auto" w:fill="auto"/>
            <w:noWrap/>
            <w:vAlign w:val="center"/>
            <w:hideMark/>
          </w:tcPr>
          <w:p w14:paraId="00BB0686"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540" w:type="dxa"/>
            <w:shd w:val="clear" w:color="auto" w:fill="auto"/>
            <w:noWrap/>
            <w:vAlign w:val="center"/>
            <w:hideMark/>
          </w:tcPr>
          <w:p w14:paraId="21F5E0A7" w14:textId="77777777" w:rsidR="00D91973" w:rsidRPr="00A91056" w:rsidRDefault="00D91973" w:rsidP="00D91973">
            <w:pPr>
              <w:widowControl/>
              <w:spacing w:line="240" w:lineRule="auto"/>
              <w:ind w:firstLine="0"/>
              <w:jc w:val="center"/>
              <w:rPr>
                <w:rFonts w:eastAsia="Times New Roman" w:cs="Arial"/>
                <w:sz w:val="18"/>
                <w:szCs w:val="18"/>
              </w:rPr>
            </w:pPr>
          </w:p>
        </w:tc>
        <w:tc>
          <w:tcPr>
            <w:tcW w:w="540" w:type="dxa"/>
            <w:shd w:val="clear" w:color="auto" w:fill="auto"/>
            <w:noWrap/>
            <w:vAlign w:val="center"/>
            <w:hideMark/>
          </w:tcPr>
          <w:p w14:paraId="70B83351" w14:textId="58A5B729"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450" w:type="dxa"/>
            <w:shd w:val="clear" w:color="auto" w:fill="auto"/>
            <w:noWrap/>
            <w:vAlign w:val="center"/>
            <w:hideMark/>
          </w:tcPr>
          <w:p w14:paraId="6595AF29" w14:textId="409E7494"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3A6D9C60"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shd w:val="clear" w:color="auto" w:fill="auto"/>
            <w:noWrap/>
            <w:vAlign w:val="center"/>
            <w:hideMark/>
          </w:tcPr>
          <w:p w14:paraId="2CC681F5" w14:textId="77777777" w:rsidR="00D91973" w:rsidRPr="00A91056" w:rsidRDefault="00D91973" w:rsidP="00D91973">
            <w:pPr>
              <w:widowControl/>
              <w:spacing w:line="240" w:lineRule="auto"/>
              <w:ind w:firstLine="0"/>
              <w:jc w:val="center"/>
              <w:rPr>
                <w:rFonts w:eastAsia="Times New Roman" w:cs="Arial"/>
                <w:color w:val="000000"/>
                <w:sz w:val="18"/>
                <w:szCs w:val="18"/>
              </w:rPr>
            </w:pPr>
          </w:p>
        </w:tc>
      </w:tr>
      <w:tr w:rsidR="00F64830" w:rsidRPr="00A91056" w14:paraId="1D192DF0" w14:textId="77777777" w:rsidTr="007D701C">
        <w:trPr>
          <w:trHeight w:val="288"/>
        </w:trPr>
        <w:tc>
          <w:tcPr>
            <w:tcW w:w="2395" w:type="dxa"/>
            <w:shd w:val="clear" w:color="auto" w:fill="auto"/>
            <w:noWrap/>
            <w:vAlign w:val="center"/>
            <w:hideMark/>
          </w:tcPr>
          <w:p w14:paraId="4C226394" w14:textId="77777777"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Trans-2-Hexenal</w:t>
            </w:r>
          </w:p>
        </w:tc>
        <w:tc>
          <w:tcPr>
            <w:tcW w:w="1115" w:type="dxa"/>
            <w:shd w:val="clear" w:color="auto" w:fill="auto"/>
            <w:noWrap/>
            <w:vAlign w:val="center"/>
            <w:hideMark/>
          </w:tcPr>
          <w:p w14:paraId="5E530CC4"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6728-26-3</w:t>
            </w:r>
          </w:p>
        </w:tc>
        <w:tc>
          <w:tcPr>
            <w:tcW w:w="990" w:type="dxa"/>
            <w:shd w:val="clear" w:color="auto" w:fill="auto"/>
            <w:vAlign w:val="center"/>
            <w:hideMark/>
          </w:tcPr>
          <w:p w14:paraId="331D998A"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 xml:space="preserve">2.5 - 10 </w:t>
            </w:r>
            <w:r w:rsidRPr="00A91056">
              <w:rPr>
                <w:rFonts w:eastAsia="Times New Roman" w:cs="Arial"/>
                <w:color w:val="000000"/>
                <w:sz w:val="18"/>
                <w:szCs w:val="18"/>
                <w:vertAlign w:val="superscript"/>
              </w:rPr>
              <w:t>a</w:t>
            </w:r>
          </w:p>
        </w:tc>
        <w:tc>
          <w:tcPr>
            <w:tcW w:w="450" w:type="dxa"/>
            <w:shd w:val="clear" w:color="auto" w:fill="auto"/>
            <w:noWrap/>
            <w:vAlign w:val="center"/>
            <w:hideMark/>
          </w:tcPr>
          <w:p w14:paraId="119810E9" w14:textId="6C7C1BEB"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11CD82F4" w14:textId="168A2338"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540" w:type="dxa"/>
            <w:shd w:val="clear" w:color="auto" w:fill="auto"/>
            <w:noWrap/>
            <w:vAlign w:val="center"/>
            <w:hideMark/>
          </w:tcPr>
          <w:p w14:paraId="142588FC" w14:textId="010DB6D3"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[2]</w:t>
            </w:r>
          </w:p>
        </w:tc>
        <w:tc>
          <w:tcPr>
            <w:tcW w:w="810" w:type="dxa"/>
            <w:shd w:val="clear" w:color="auto" w:fill="auto"/>
            <w:noWrap/>
            <w:vAlign w:val="center"/>
            <w:hideMark/>
          </w:tcPr>
          <w:p w14:paraId="7F04E3D1" w14:textId="5EAE9E68"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 in vitro</w:t>
            </w:r>
          </w:p>
        </w:tc>
        <w:tc>
          <w:tcPr>
            <w:tcW w:w="625" w:type="dxa"/>
            <w:shd w:val="clear" w:color="auto" w:fill="auto"/>
            <w:noWrap/>
            <w:vAlign w:val="center"/>
            <w:hideMark/>
          </w:tcPr>
          <w:p w14:paraId="79A4B292" w14:textId="54B81822"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shd w:val="clear" w:color="auto" w:fill="auto"/>
            <w:noWrap/>
            <w:vAlign w:val="center"/>
            <w:hideMark/>
          </w:tcPr>
          <w:p w14:paraId="3E638FBD" w14:textId="73D5C84B"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30" w:type="dxa"/>
            <w:shd w:val="clear" w:color="auto" w:fill="auto"/>
            <w:noWrap/>
            <w:vAlign w:val="center"/>
            <w:hideMark/>
          </w:tcPr>
          <w:p w14:paraId="0C8E1384" w14:textId="0A290DCA"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450" w:type="dxa"/>
            <w:shd w:val="clear" w:color="auto" w:fill="auto"/>
            <w:noWrap/>
            <w:vAlign w:val="center"/>
            <w:hideMark/>
          </w:tcPr>
          <w:p w14:paraId="418F57DD" w14:textId="558DE0AE"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332A99DE"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13" w:type="dxa"/>
            <w:shd w:val="clear" w:color="auto" w:fill="auto"/>
            <w:noWrap/>
            <w:vAlign w:val="center"/>
            <w:hideMark/>
          </w:tcPr>
          <w:p w14:paraId="1A81EB29" w14:textId="77777777" w:rsidR="00D91973" w:rsidRPr="00A91056" w:rsidRDefault="00D91973" w:rsidP="00D91973">
            <w:pPr>
              <w:widowControl/>
              <w:spacing w:line="240" w:lineRule="auto"/>
              <w:ind w:firstLine="0"/>
              <w:jc w:val="center"/>
              <w:rPr>
                <w:rFonts w:eastAsia="Times New Roman" w:cs="Arial"/>
                <w:sz w:val="18"/>
                <w:szCs w:val="18"/>
              </w:rPr>
            </w:pPr>
          </w:p>
        </w:tc>
        <w:tc>
          <w:tcPr>
            <w:tcW w:w="647" w:type="dxa"/>
            <w:gridSpan w:val="2"/>
            <w:shd w:val="clear" w:color="auto" w:fill="auto"/>
            <w:noWrap/>
            <w:vAlign w:val="center"/>
            <w:hideMark/>
          </w:tcPr>
          <w:p w14:paraId="4FD40308" w14:textId="4C422515"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540" w:type="dxa"/>
            <w:shd w:val="clear" w:color="auto" w:fill="auto"/>
            <w:noWrap/>
            <w:vAlign w:val="center"/>
            <w:hideMark/>
          </w:tcPr>
          <w:p w14:paraId="13852F36" w14:textId="1ED7CAFA"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540" w:type="dxa"/>
            <w:shd w:val="clear" w:color="auto" w:fill="auto"/>
            <w:noWrap/>
            <w:vAlign w:val="center"/>
            <w:hideMark/>
          </w:tcPr>
          <w:p w14:paraId="7770F445" w14:textId="2E44F874"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450" w:type="dxa"/>
            <w:shd w:val="clear" w:color="auto" w:fill="auto"/>
            <w:noWrap/>
            <w:vAlign w:val="center"/>
            <w:hideMark/>
          </w:tcPr>
          <w:p w14:paraId="4357EA1C"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shd w:val="clear" w:color="auto" w:fill="auto"/>
            <w:noWrap/>
            <w:vAlign w:val="center"/>
            <w:hideMark/>
          </w:tcPr>
          <w:p w14:paraId="1EBD1582" w14:textId="35858004"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shd w:val="clear" w:color="auto" w:fill="auto"/>
            <w:noWrap/>
            <w:vAlign w:val="center"/>
            <w:hideMark/>
          </w:tcPr>
          <w:p w14:paraId="225B214C" w14:textId="77777777" w:rsidR="00D91973" w:rsidRPr="00A91056" w:rsidRDefault="00D91973" w:rsidP="00D91973">
            <w:pPr>
              <w:widowControl/>
              <w:spacing w:line="240" w:lineRule="auto"/>
              <w:ind w:firstLine="0"/>
              <w:jc w:val="center"/>
              <w:rPr>
                <w:rFonts w:eastAsia="Times New Roman" w:cs="Arial"/>
                <w:color w:val="000000"/>
                <w:sz w:val="18"/>
                <w:szCs w:val="18"/>
              </w:rPr>
            </w:pPr>
          </w:p>
        </w:tc>
      </w:tr>
      <w:tr w:rsidR="00F64830" w:rsidRPr="00A91056" w14:paraId="72D0593E" w14:textId="77777777" w:rsidTr="007D701C">
        <w:trPr>
          <w:trHeight w:val="288"/>
        </w:trPr>
        <w:tc>
          <w:tcPr>
            <w:tcW w:w="2395" w:type="dxa"/>
            <w:tcBorders>
              <w:bottom w:val="single" w:sz="4" w:space="0" w:color="auto"/>
            </w:tcBorders>
            <w:shd w:val="clear" w:color="auto" w:fill="auto"/>
            <w:noWrap/>
            <w:vAlign w:val="center"/>
            <w:hideMark/>
          </w:tcPr>
          <w:p w14:paraId="6A04150B" w14:textId="77777777"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Xylitol</w:t>
            </w:r>
          </w:p>
        </w:tc>
        <w:tc>
          <w:tcPr>
            <w:tcW w:w="1115" w:type="dxa"/>
            <w:tcBorders>
              <w:bottom w:val="single" w:sz="4" w:space="0" w:color="auto"/>
            </w:tcBorders>
            <w:shd w:val="clear" w:color="auto" w:fill="auto"/>
            <w:noWrap/>
            <w:vAlign w:val="center"/>
            <w:hideMark/>
          </w:tcPr>
          <w:p w14:paraId="39A8446D"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87-99-0</w:t>
            </w:r>
          </w:p>
        </w:tc>
        <w:tc>
          <w:tcPr>
            <w:tcW w:w="990" w:type="dxa"/>
            <w:tcBorders>
              <w:bottom w:val="single" w:sz="4" w:space="0" w:color="auto"/>
            </w:tcBorders>
            <w:shd w:val="clear" w:color="auto" w:fill="auto"/>
            <w:vAlign w:val="center"/>
            <w:hideMark/>
          </w:tcPr>
          <w:p w14:paraId="0755E5FD"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 xml:space="preserve">2.5 - 5 </w:t>
            </w:r>
            <w:r w:rsidRPr="00A91056">
              <w:rPr>
                <w:rFonts w:eastAsia="Times New Roman" w:cs="Arial"/>
                <w:color w:val="000000"/>
                <w:sz w:val="18"/>
                <w:szCs w:val="18"/>
                <w:vertAlign w:val="superscript"/>
              </w:rPr>
              <w:t>a</w:t>
            </w:r>
          </w:p>
        </w:tc>
        <w:tc>
          <w:tcPr>
            <w:tcW w:w="450" w:type="dxa"/>
            <w:tcBorders>
              <w:bottom w:val="single" w:sz="4" w:space="0" w:color="auto"/>
            </w:tcBorders>
            <w:shd w:val="clear" w:color="auto" w:fill="auto"/>
            <w:noWrap/>
            <w:vAlign w:val="center"/>
            <w:hideMark/>
          </w:tcPr>
          <w:p w14:paraId="0564CCF7" w14:textId="0369D568"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tcBorders>
              <w:bottom w:val="single" w:sz="4" w:space="0" w:color="auto"/>
            </w:tcBorders>
            <w:shd w:val="clear" w:color="auto" w:fill="auto"/>
            <w:noWrap/>
            <w:vAlign w:val="center"/>
            <w:hideMark/>
          </w:tcPr>
          <w:p w14:paraId="0717E019" w14:textId="6002D4E0"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540" w:type="dxa"/>
            <w:tcBorders>
              <w:bottom w:val="single" w:sz="4" w:space="0" w:color="auto"/>
            </w:tcBorders>
            <w:shd w:val="clear" w:color="auto" w:fill="auto"/>
            <w:vAlign w:val="center"/>
            <w:hideMark/>
          </w:tcPr>
          <w:p w14:paraId="39FCD3AF" w14:textId="062B6B69" w:rsidR="00D91973" w:rsidRPr="00A91056" w:rsidRDefault="00D91973" w:rsidP="00D91973">
            <w:pPr>
              <w:widowControl/>
              <w:spacing w:line="240" w:lineRule="auto"/>
              <w:ind w:firstLine="0"/>
              <w:jc w:val="center"/>
              <w:rPr>
                <w:rFonts w:eastAsia="Times New Roman" w:cs="Arial"/>
                <w:color w:val="000000"/>
                <w:sz w:val="18"/>
                <w:szCs w:val="18"/>
              </w:rPr>
            </w:pPr>
          </w:p>
        </w:tc>
        <w:tc>
          <w:tcPr>
            <w:tcW w:w="810" w:type="dxa"/>
            <w:tcBorders>
              <w:bottom w:val="single" w:sz="4" w:space="0" w:color="auto"/>
            </w:tcBorders>
            <w:shd w:val="clear" w:color="auto" w:fill="auto"/>
            <w:noWrap/>
            <w:vAlign w:val="center"/>
            <w:hideMark/>
          </w:tcPr>
          <w:p w14:paraId="3351A7AF"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25" w:type="dxa"/>
            <w:tcBorders>
              <w:bottom w:val="single" w:sz="4" w:space="0" w:color="auto"/>
            </w:tcBorders>
            <w:shd w:val="clear" w:color="auto" w:fill="auto"/>
            <w:noWrap/>
            <w:vAlign w:val="center"/>
            <w:hideMark/>
          </w:tcPr>
          <w:p w14:paraId="5E9AA682" w14:textId="05175111"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tcBorders>
              <w:bottom w:val="single" w:sz="4" w:space="0" w:color="auto"/>
            </w:tcBorders>
            <w:shd w:val="clear" w:color="auto" w:fill="auto"/>
            <w:noWrap/>
            <w:vAlign w:val="center"/>
            <w:hideMark/>
          </w:tcPr>
          <w:p w14:paraId="6DF2C36F"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30" w:type="dxa"/>
            <w:tcBorders>
              <w:bottom w:val="single" w:sz="4" w:space="0" w:color="auto"/>
            </w:tcBorders>
            <w:shd w:val="clear" w:color="auto" w:fill="auto"/>
            <w:noWrap/>
            <w:vAlign w:val="center"/>
            <w:hideMark/>
          </w:tcPr>
          <w:p w14:paraId="15405CFB" w14:textId="77777777" w:rsidR="00D91973" w:rsidRPr="00A91056" w:rsidRDefault="00D91973" w:rsidP="00D91973">
            <w:pPr>
              <w:widowControl/>
              <w:spacing w:line="240" w:lineRule="auto"/>
              <w:ind w:firstLine="0"/>
              <w:jc w:val="center"/>
              <w:rPr>
                <w:rFonts w:eastAsia="Times New Roman" w:cs="Arial"/>
                <w:sz w:val="18"/>
                <w:szCs w:val="18"/>
              </w:rPr>
            </w:pPr>
          </w:p>
        </w:tc>
        <w:tc>
          <w:tcPr>
            <w:tcW w:w="450" w:type="dxa"/>
            <w:tcBorders>
              <w:bottom w:val="single" w:sz="4" w:space="0" w:color="auto"/>
            </w:tcBorders>
            <w:shd w:val="clear" w:color="auto" w:fill="auto"/>
            <w:noWrap/>
            <w:vAlign w:val="center"/>
            <w:hideMark/>
          </w:tcPr>
          <w:p w14:paraId="613BD323" w14:textId="77777777" w:rsidR="00D91973" w:rsidRPr="00A91056" w:rsidRDefault="00D91973" w:rsidP="00D91973">
            <w:pPr>
              <w:widowControl/>
              <w:spacing w:line="240" w:lineRule="auto"/>
              <w:ind w:firstLine="0"/>
              <w:jc w:val="center"/>
              <w:rPr>
                <w:rFonts w:eastAsia="Times New Roman" w:cs="Arial"/>
                <w:sz w:val="18"/>
                <w:szCs w:val="18"/>
              </w:rPr>
            </w:pPr>
          </w:p>
        </w:tc>
        <w:tc>
          <w:tcPr>
            <w:tcW w:w="720" w:type="dxa"/>
            <w:tcBorders>
              <w:bottom w:val="single" w:sz="4" w:space="0" w:color="auto"/>
            </w:tcBorders>
            <w:shd w:val="clear" w:color="auto" w:fill="auto"/>
            <w:noWrap/>
            <w:vAlign w:val="center"/>
            <w:hideMark/>
          </w:tcPr>
          <w:p w14:paraId="4F1FCA45" w14:textId="77777777" w:rsidR="00D91973" w:rsidRPr="00A91056" w:rsidRDefault="00D91973" w:rsidP="00D91973">
            <w:pPr>
              <w:widowControl/>
              <w:spacing w:line="240" w:lineRule="auto"/>
              <w:ind w:firstLine="0"/>
              <w:jc w:val="center"/>
              <w:rPr>
                <w:rFonts w:eastAsia="Times New Roman" w:cs="Arial"/>
                <w:sz w:val="18"/>
                <w:szCs w:val="18"/>
              </w:rPr>
            </w:pPr>
          </w:p>
        </w:tc>
        <w:tc>
          <w:tcPr>
            <w:tcW w:w="613" w:type="dxa"/>
            <w:tcBorders>
              <w:bottom w:val="single" w:sz="4" w:space="0" w:color="auto"/>
            </w:tcBorders>
            <w:shd w:val="clear" w:color="auto" w:fill="auto"/>
            <w:noWrap/>
            <w:vAlign w:val="center"/>
            <w:hideMark/>
          </w:tcPr>
          <w:p w14:paraId="3074EFBB"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47" w:type="dxa"/>
            <w:gridSpan w:val="2"/>
            <w:tcBorders>
              <w:bottom w:val="single" w:sz="4" w:space="0" w:color="auto"/>
            </w:tcBorders>
            <w:shd w:val="clear" w:color="auto" w:fill="auto"/>
            <w:noWrap/>
            <w:vAlign w:val="center"/>
            <w:hideMark/>
          </w:tcPr>
          <w:p w14:paraId="3BEA2165"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540" w:type="dxa"/>
            <w:tcBorders>
              <w:bottom w:val="single" w:sz="4" w:space="0" w:color="auto"/>
            </w:tcBorders>
            <w:shd w:val="clear" w:color="auto" w:fill="auto"/>
            <w:noWrap/>
            <w:vAlign w:val="center"/>
            <w:hideMark/>
          </w:tcPr>
          <w:p w14:paraId="200FF317" w14:textId="77777777" w:rsidR="00D91973" w:rsidRPr="00A91056" w:rsidRDefault="00D91973" w:rsidP="00D91973">
            <w:pPr>
              <w:widowControl/>
              <w:spacing w:line="240" w:lineRule="auto"/>
              <w:ind w:firstLine="0"/>
              <w:jc w:val="center"/>
              <w:rPr>
                <w:rFonts w:eastAsia="Times New Roman" w:cs="Arial"/>
                <w:sz w:val="18"/>
                <w:szCs w:val="18"/>
              </w:rPr>
            </w:pPr>
          </w:p>
        </w:tc>
        <w:tc>
          <w:tcPr>
            <w:tcW w:w="540" w:type="dxa"/>
            <w:tcBorders>
              <w:bottom w:val="single" w:sz="4" w:space="0" w:color="auto"/>
            </w:tcBorders>
            <w:shd w:val="clear" w:color="auto" w:fill="auto"/>
            <w:noWrap/>
            <w:vAlign w:val="center"/>
            <w:hideMark/>
          </w:tcPr>
          <w:p w14:paraId="1EED7334" w14:textId="5A52FB40"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450" w:type="dxa"/>
            <w:tcBorders>
              <w:bottom w:val="single" w:sz="4" w:space="0" w:color="auto"/>
            </w:tcBorders>
            <w:shd w:val="clear" w:color="auto" w:fill="auto"/>
            <w:noWrap/>
            <w:vAlign w:val="center"/>
            <w:hideMark/>
          </w:tcPr>
          <w:p w14:paraId="16694E10"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720" w:type="dxa"/>
            <w:tcBorders>
              <w:bottom w:val="single" w:sz="4" w:space="0" w:color="auto"/>
            </w:tcBorders>
            <w:shd w:val="clear" w:color="auto" w:fill="auto"/>
            <w:noWrap/>
            <w:vAlign w:val="center"/>
            <w:hideMark/>
          </w:tcPr>
          <w:p w14:paraId="60E469D1" w14:textId="77777777" w:rsidR="00D91973" w:rsidRPr="00A91056" w:rsidRDefault="00D91973" w:rsidP="00D91973">
            <w:pPr>
              <w:widowControl/>
              <w:spacing w:line="240" w:lineRule="auto"/>
              <w:ind w:firstLine="0"/>
              <w:jc w:val="center"/>
              <w:rPr>
                <w:rFonts w:eastAsia="Times New Roman" w:cs="Arial"/>
                <w:sz w:val="18"/>
                <w:szCs w:val="18"/>
              </w:rPr>
            </w:pPr>
          </w:p>
        </w:tc>
        <w:tc>
          <w:tcPr>
            <w:tcW w:w="720" w:type="dxa"/>
            <w:tcBorders>
              <w:bottom w:val="single" w:sz="4" w:space="0" w:color="auto"/>
            </w:tcBorders>
            <w:shd w:val="clear" w:color="auto" w:fill="auto"/>
            <w:noWrap/>
            <w:vAlign w:val="center"/>
            <w:hideMark/>
          </w:tcPr>
          <w:p w14:paraId="177B5DF6" w14:textId="3B4DDA33"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r>
      <w:tr w:rsidR="00F64830" w:rsidRPr="00A91056" w14:paraId="5A54BC9E" w14:textId="77777777" w:rsidTr="007D701C">
        <w:trPr>
          <w:trHeight w:val="288"/>
        </w:trPr>
        <w:tc>
          <w:tcPr>
            <w:tcW w:w="2395" w:type="dxa"/>
            <w:tcBorders>
              <w:bottom w:val="single" w:sz="4" w:space="0" w:color="auto"/>
            </w:tcBorders>
            <w:shd w:val="clear" w:color="auto" w:fill="auto"/>
            <w:noWrap/>
            <w:vAlign w:val="center"/>
            <w:hideMark/>
          </w:tcPr>
          <w:p w14:paraId="3DFC862D" w14:textId="77777777" w:rsidR="00D91973" w:rsidRPr="00A91056" w:rsidRDefault="00D91973" w:rsidP="00D91973">
            <w:pPr>
              <w:widowControl/>
              <w:spacing w:line="240" w:lineRule="auto"/>
              <w:ind w:firstLine="0"/>
              <w:rPr>
                <w:rFonts w:eastAsia="Times New Roman" w:cs="Arial"/>
                <w:color w:val="000000"/>
                <w:sz w:val="18"/>
                <w:szCs w:val="18"/>
              </w:rPr>
            </w:pPr>
            <w:r w:rsidRPr="00A91056">
              <w:rPr>
                <w:rFonts w:eastAsia="Times New Roman" w:cs="Arial"/>
                <w:color w:val="000000"/>
                <w:sz w:val="18"/>
                <w:szCs w:val="18"/>
              </w:rPr>
              <w:t>Zearalenone</w:t>
            </w:r>
          </w:p>
        </w:tc>
        <w:tc>
          <w:tcPr>
            <w:tcW w:w="1115" w:type="dxa"/>
            <w:tcBorders>
              <w:bottom w:val="single" w:sz="4" w:space="0" w:color="auto"/>
            </w:tcBorders>
            <w:shd w:val="clear" w:color="auto" w:fill="auto"/>
            <w:noWrap/>
            <w:vAlign w:val="center"/>
            <w:hideMark/>
          </w:tcPr>
          <w:p w14:paraId="1BB4407F"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17924-92-4</w:t>
            </w:r>
          </w:p>
        </w:tc>
        <w:tc>
          <w:tcPr>
            <w:tcW w:w="990" w:type="dxa"/>
            <w:tcBorders>
              <w:bottom w:val="single" w:sz="4" w:space="0" w:color="auto"/>
            </w:tcBorders>
            <w:shd w:val="clear" w:color="auto" w:fill="auto"/>
            <w:vAlign w:val="center"/>
            <w:hideMark/>
          </w:tcPr>
          <w:p w14:paraId="6D1AFAF0" w14:textId="77777777"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0.5 - 1</w:t>
            </w:r>
          </w:p>
        </w:tc>
        <w:tc>
          <w:tcPr>
            <w:tcW w:w="450" w:type="dxa"/>
            <w:tcBorders>
              <w:bottom w:val="single" w:sz="4" w:space="0" w:color="auto"/>
            </w:tcBorders>
            <w:shd w:val="clear" w:color="auto" w:fill="auto"/>
            <w:noWrap/>
            <w:vAlign w:val="center"/>
            <w:hideMark/>
          </w:tcPr>
          <w:p w14:paraId="3F19A8DF" w14:textId="2B502376"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tcBorders>
              <w:bottom w:val="single" w:sz="4" w:space="0" w:color="auto"/>
            </w:tcBorders>
            <w:shd w:val="clear" w:color="auto" w:fill="auto"/>
            <w:noWrap/>
            <w:vAlign w:val="center"/>
            <w:hideMark/>
          </w:tcPr>
          <w:p w14:paraId="56704B34" w14:textId="4437EB30"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540" w:type="dxa"/>
            <w:tcBorders>
              <w:bottom w:val="single" w:sz="4" w:space="0" w:color="auto"/>
            </w:tcBorders>
            <w:shd w:val="clear" w:color="auto" w:fill="auto"/>
            <w:vAlign w:val="center"/>
            <w:hideMark/>
          </w:tcPr>
          <w:p w14:paraId="2D01DBB7" w14:textId="4AC45BCF" w:rsidR="00D91973" w:rsidRPr="00A91056" w:rsidRDefault="00D91973" w:rsidP="00D91973">
            <w:pPr>
              <w:widowControl/>
              <w:spacing w:line="240" w:lineRule="auto"/>
              <w:ind w:firstLine="0"/>
              <w:jc w:val="center"/>
              <w:rPr>
                <w:rFonts w:eastAsia="Times New Roman" w:cs="Arial"/>
                <w:color w:val="000000"/>
                <w:sz w:val="18"/>
                <w:szCs w:val="18"/>
              </w:rPr>
            </w:pPr>
          </w:p>
        </w:tc>
        <w:tc>
          <w:tcPr>
            <w:tcW w:w="810" w:type="dxa"/>
            <w:tcBorders>
              <w:bottom w:val="single" w:sz="4" w:space="0" w:color="auto"/>
            </w:tcBorders>
            <w:shd w:val="clear" w:color="auto" w:fill="auto"/>
            <w:vAlign w:val="center"/>
            <w:hideMark/>
          </w:tcPr>
          <w:p w14:paraId="3B56BC72" w14:textId="17CCBE74"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25" w:type="dxa"/>
            <w:tcBorders>
              <w:bottom w:val="single" w:sz="4" w:space="0" w:color="auto"/>
            </w:tcBorders>
            <w:shd w:val="clear" w:color="auto" w:fill="auto"/>
            <w:noWrap/>
            <w:vAlign w:val="center"/>
            <w:hideMark/>
          </w:tcPr>
          <w:p w14:paraId="09882767" w14:textId="0500DC0B"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tcBorders>
              <w:bottom w:val="single" w:sz="4" w:space="0" w:color="auto"/>
            </w:tcBorders>
            <w:shd w:val="clear" w:color="auto" w:fill="auto"/>
            <w:noWrap/>
            <w:vAlign w:val="center"/>
            <w:hideMark/>
          </w:tcPr>
          <w:p w14:paraId="475C408E"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630" w:type="dxa"/>
            <w:tcBorders>
              <w:bottom w:val="single" w:sz="4" w:space="0" w:color="auto"/>
            </w:tcBorders>
            <w:shd w:val="clear" w:color="auto" w:fill="auto"/>
            <w:noWrap/>
            <w:vAlign w:val="center"/>
            <w:hideMark/>
          </w:tcPr>
          <w:p w14:paraId="392572E2" w14:textId="42485FCA"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450" w:type="dxa"/>
            <w:tcBorders>
              <w:bottom w:val="single" w:sz="4" w:space="0" w:color="auto"/>
            </w:tcBorders>
            <w:shd w:val="clear" w:color="auto" w:fill="auto"/>
            <w:noWrap/>
            <w:vAlign w:val="center"/>
            <w:hideMark/>
          </w:tcPr>
          <w:p w14:paraId="6CB52622" w14:textId="37B45462"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tcBorders>
              <w:bottom w:val="single" w:sz="4" w:space="0" w:color="auto"/>
            </w:tcBorders>
            <w:shd w:val="clear" w:color="auto" w:fill="auto"/>
            <w:noWrap/>
            <w:vAlign w:val="center"/>
            <w:hideMark/>
          </w:tcPr>
          <w:p w14:paraId="7C84E4FA" w14:textId="148FFF6A"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613" w:type="dxa"/>
            <w:tcBorders>
              <w:bottom w:val="single" w:sz="4" w:space="0" w:color="auto"/>
            </w:tcBorders>
            <w:shd w:val="clear" w:color="auto" w:fill="auto"/>
            <w:noWrap/>
            <w:vAlign w:val="center"/>
            <w:hideMark/>
          </w:tcPr>
          <w:p w14:paraId="7695787A" w14:textId="6C20FDE2"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647" w:type="dxa"/>
            <w:gridSpan w:val="2"/>
            <w:tcBorders>
              <w:bottom w:val="single" w:sz="4" w:space="0" w:color="auto"/>
            </w:tcBorders>
            <w:shd w:val="clear" w:color="auto" w:fill="auto"/>
            <w:noWrap/>
            <w:vAlign w:val="center"/>
            <w:hideMark/>
          </w:tcPr>
          <w:p w14:paraId="14050A54" w14:textId="77777777" w:rsidR="00D91973" w:rsidRPr="00A91056" w:rsidRDefault="00D91973" w:rsidP="00D91973">
            <w:pPr>
              <w:widowControl/>
              <w:spacing w:line="240" w:lineRule="auto"/>
              <w:ind w:firstLine="0"/>
              <w:jc w:val="center"/>
              <w:rPr>
                <w:rFonts w:eastAsia="Times New Roman" w:cs="Arial"/>
                <w:color w:val="000000"/>
                <w:sz w:val="18"/>
                <w:szCs w:val="18"/>
              </w:rPr>
            </w:pPr>
          </w:p>
        </w:tc>
        <w:tc>
          <w:tcPr>
            <w:tcW w:w="540" w:type="dxa"/>
            <w:tcBorders>
              <w:bottom w:val="single" w:sz="4" w:space="0" w:color="auto"/>
            </w:tcBorders>
            <w:shd w:val="clear" w:color="auto" w:fill="auto"/>
            <w:noWrap/>
            <w:vAlign w:val="center"/>
            <w:hideMark/>
          </w:tcPr>
          <w:p w14:paraId="2069F01D" w14:textId="77777777" w:rsidR="00D91973" w:rsidRPr="00A91056" w:rsidRDefault="00D91973" w:rsidP="00D91973">
            <w:pPr>
              <w:widowControl/>
              <w:spacing w:line="240" w:lineRule="auto"/>
              <w:ind w:firstLine="0"/>
              <w:jc w:val="center"/>
              <w:rPr>
                <w:rFonts w:eastAsia="Times New Roman" w:cs="Arial"/>
                <w:sz w:val="18"/>
                <w:szCs w:val="18"/>
              </w:rPr>
            </w:pPr>
          </w:p>
        </w:tc>
        <w:tc>
          <w:tcPr>
            <w:tcW w:w="540" w:type="dxa"/>
            <w:tcBorders>
              <w:bottom w:val="single" w:sz="4" w:space="0" w:color="auto"/>
            </w:tcBorders>
            <w:shd w:val="clear" w:color="auto" w:fill="auto"/>
            <w:noWrap/>
            <w:vAlign w:val="center"/>
            <w:hideMark/>
          </w:tcPr>
          <w:p w14:paraId="1B2D59D6" w14:textId="71DFE2CF"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450" w:type="dxa"/>
            <w:tcBorders>
              <w:bottom w:val="single" w:sz="4" w:space="0" w:color="auto"/>
            </w:tcBorders>
            <w:shd w:val="clear" w:color="auto" w:fill="auto"/>
            <w:noWrap/>
            <w:vAlign w:val="center"/>
            <w:hideMark/>
          </w:tcPr>
          <w:p w14:paraId="35DC1D4A" w14:textId="4EF9D819"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c>
          <w:tcPr>
            <w:tcW w:w="720" w:type="dxa"/>
            <w:tcBorders>
              <w:bottom w:val="single" w:sz="4" w:space="0" w:color="auto"/>
            </w:tcBorders>
            <w:shd w:val="clear" w:color="auto" w:fill="auto"/>
            <w:noWrap/>
            <w:vAlign w:val="center"/>
            <w:hideMark/>
          </w:tcPr>
          <w:p w14:paraId="585C82B6" w14:textId="07DF8316"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Neg</w:t>
            </w:r>
          </w:p>
        </w:tc>
        <w:tc>
          <w:tcPr>
            <w:tcW w:w="720" w:type="dxa"/>
            <w:tcBorders>
              <w:bottom w:val="single" w:sz="4" w:space="0" w:color="auto"/>
            </w:tcBorders>
            <w:shd w:val="clear" w:color="auto" w:fill="auto"/>
            <w:noWrap/>
            <w:vAlign w:val="center"/>
            <w:hideMark/>
          </w:tcPr>
          <w:p w14:paraId="1B565703" w14:textId="41A68C9E" w:rsidR="00D91973" w:rsidRPr="00A91056" w:rsidRDefault="00D91973" w:rsidP="00D91973">
            <w:pPr>
              <w:widowControl/>
              <w:spacing w:line="240" w:lineRule="auto"/>
              <w:ind w:firstLine="0"/>
              <w:jc w:val="center"/>
              <w:rPr>
                <w:rFonts w:eastAsia="Times New Roman" w:cs="Arial"/>
                <w:color w:val="000000"/>
                <w:sz w:val="18"/>
                <w:szCs w:val="18"/>
              </w:rPr>
            </w:pPr>
            <w:r w:rsidRPr="00A91056">
              <w:rPr>
                <w:rFonts w:eastAsia="Times New Roman" w:cs="Arial"/>
                <w:color w:val="000000"/>
                <w:sz w:val="18"/>
                <w:szCs w:val="18"/>
              </w:rPr>
              <w:t>Pos</w:t>
            </w:r>
          </w:p>
        </w:tc>
      </w:tr>
    </w:tbl>
    <w:p w14:paraId="203480C3" w14:textId="721C4EDB" w:rsidR="008E7A51" w:rsidRPr="00A91056" w:rsidRDefault="008E7A51" w:rsidP="00577E6A">
      <w:pPr>
        <w:pStyle w:val="NoSpacing"/>
        <w:spacing w:before="120"/>
        <w:rPr>
          <w:sz w:val="20"/>
          <w:szCs w:val="20"/>
        </w:rPr>
      </w:pPr>
      <w:r w:rsidRPr="00A91056">
        <w:rPr>
          <w:sz w:val="20"/>
          <w:szCs w:val="20"/>
        </w:rPr>
        <w:t>a,  next dose level reduced viability by over 50%;</w:t>
      </w:r>
    </w:p>
    <w:p w14:paraId="193C89FD" w14:textId="77777777" w:rsidR="008E7A51" w:rsidRPr="00A91056" w:rsidRDefault="008E7A51" w:rsidP="008E7A51">
      <w:pPr>
        <w:pStyle w:val="NoSpacing"/>
        <w:rPr>
          <w:sz w:val="20"/>
          <w:szCs w:val="20"/>
        </w:rPr>
      </w:pPr>
      <w:r w:rsidRPr="00A91056">
        <w:rPr>
          <w:sz w:val="20"/>
          <w:szCs w:val="20"/>
        </w:rPr>
        <w:t>b, higher dosage could not be achieved due to low solubility;</w:t>
      </w:r>
    </w:p>
    <w:p w14:paraId="42867DE2" w14:textId="655E6491" w:rsidR="008E7A51" w:rsidRPr="00A91056" w:rsidRDefault="008E7A51" w:rsidP="008E7A51">
      <w:pPr>
        <w:pStyle w:val="NoSpacing"/>
        <w:rPr>
          <w:sz w:val="20"/>
          <w:szCs w:val="20"/>
        </w:rPr>
      </w:pPr>
      <w:r w:rsidRPr="00A91056">
        <w:rPr>
          <w:sz w:val="20"/>
          <w:szCs w:val="20"/>
        </w:rPr>
        <w:t xml:space="preserve">c, data from: </w:t>
      </w:r>
      <w:r w:rsidR="00C4016A" w:rsidRPr="00A91056">
        <w:rPr>
          <w:sz w:val="20"/>
          <w:szCs w:val="20"/>
        </w:rPr>
        <w:t>(Corvi and Madia 2018; Madia et al. 2020)</w:t>
      </w:r>
      <w:r w:rsidRPr="00A91056">
        <w:rPr>
          <w:sz w:val="20"/>
          <w:szCs w:val="20"/>
        </w:rPr>
        <w:t>;</w:t>
      </w:r>
    </w:p>
    <w:p w14:paraId="3C98322D" w14:textId="77777777" w:rsidR="008E7A51" w:rsidRPr="00A91056" w:rsidRDefault="008E7A51" w:rsidP="008E7A51">
      <w:pPr>
        <w:pStyle w:val="NoSpacing"/>
        <w:rPr>
          <w:sz w:val="20"/>
          <w:szCs w:val="20"/>
        </w:rPr>
      </w:pPr>
      <w:r w:rsidRPr="00A91056">
        <w:rPr>
          <w:sz w:val="20"/>
          <w:szCs w:val="20"/>
        </w:rPr>
        <w:t>d, data from the Chemical Carcinogenesis Research Information System (</w:t>
      </w:r>
      <w:hyperlink r:id="rId17" w:history="1">
        <w:r w:rsidRPr="00A91056">
          <w:rPr>
            <w:rStyle w:val="Hyperlink"/>
            <w:sz w:val="20"/>
            <w:szCs w:val="20"/>
          </w:rPr>
          <w:t>https://www.ncbi.nlm.nih.gov/pcsubstance?term=%22Chemical%20Carcinogenesis%20Research%20Information%20System%20(CCRIS)%22%5BSourceName%5D%20AND%20hasnohold%5Bfilt%5D</w:t>
        </w:r>
      </w:hyperlink>
      <w:r w:rsidRPr="00A91056">
        <w:rPr>
          <w:sz w:val="20"/>
          <w:szCs w:val="20"/>
        </w:rPr>
        <w:t>), last accessed 11/27/2024.</w:t>
      </w:r>
    </w:p>
    <w:p w14:paraId="35C9B17B" w14:textId="77777777" w:rsidR="008E7A51" w:rsidRPr="00A91056" w:rsidRDefault="008E7A51" w:rsidP="008E7A51">
      <w:pPr>
        <w:pStyle w:val="NoSpacing"/>
        <w:rPr>
          <w:sz w:val="20"/>
          <w:szCs w:val="20"/>
        </w:rPr>
      </w:pPr>
      <w:r w:rsidRPr="00A91056">
        <w:rPr>
          <w:sz w:val="20"/>
          <w:szCs w:val="20"/>
        </w:rPr>
        <w:t>e, data from Lhasa carcinogenicity database (</w:t>
      </w:r>
      <w:hyperlink r:id="rId18" w:history="1">
        <w:r w:rsidRPr="00A91056">
          <w:rPr>
            <w:rStyle w:val="Hyperlink"/>
            <w:sz w:val="20"/>
            <w:szCs w:val="20"/>
          </w:rPr>
          <w:t>https://lcdb.lhasacloud.org/study-information/44482914</w:t>
        </w:r>
      </w:hyperlink>
      <w:r w:rsidRPr="00A91056">
        <w:rPr>
          <w:sz w:val="20"/>
          <w:szCs w:val="20"/>
        </w:rPr>
        <w:t>), last accessed 11/27/2024.</w:t>
      </w:r>
    </w:p>
    <w:p w14:paraId="15AA79F4" w14:textId="32E1257B" w:rsidR="008E7A51" w:rsidRPr="00A91056" w:rsidRDefault="008E7A51" w:rsidP="008E7A51">
      <w:pPr>
        <w:pStyle w:val="NoSpacing"/>
        <w:rPr>
          <w:sz w:val="20"/>
          <w:szCs w:val="20"/>
        </w:rPr>
      </w:pPr>
      <w:r w:rsidRPr="00A91056">
        <w:rPr>
          <w:sz w:val="20"/>
          <w:szCs w:val="20"/>
        </w:rPr>
        <w:t xml:space="preserve">f, data from: </w:t>
      </w:r>
      <w:r w:rsidR="00C4016A" w:rsidRPr="00A91056">
        <w:rPr>
          <w:sz w:val="20"/>
          <w:szCs w:val="20"/>
        </w:rPr>
        <w:t>(Williams et al. 1989)</w:t>
      </w:r>
      <w:r w:rsidRPr="00A91056">
        <w:rPr>
          <w:sz w:val="20"/>
          <w:szCs w:val="20"/>
        </w:rPr>
        <w:t xml:space="preserve"> </w:t>
      </w:r>
    </w:p>
    <w:p w14:paraId="329B97E0" w14:textId="77777777" w:rsidR="001D0192" w:rsidRPr="00A91056" w:rsidRDefault="008E7A51" w:rsidP="001D0192">
      <w:pPr>
        <w:pStyle w:val="NoSpacing"/>
        <w:rPr>
          <w:sz w:val="20"/>
          <w:szCs w:val="20"/>
        </w:rPr>
      </w:pPr>
      <w:r w:rsidRPr="00A91056">
        <w:rPr>
          <w:sz w:val="20"/>
          <w:szCs w:val="20"/>
        </w:rPr>
        <w:t>g, dosing was conducted under a different protocol</w:t>
      </w:r>
    </w:p>
    <w:p w14:paraId="37A7D7B1" w14:textId="12250E20" w:rsidR="001D0192" w:rsidRPr="00A91056" w:rsidRDefault="001D0192" w:rsidP="001D0192">
      <w:pPr>
        <w:pStyle w:val="NoSpacing"/>
        <w:rPr>
          <w:sz w:val="20"/>
          <w:szCs w:val="20"/>
        </w:rPr>
      </w:pPr>
      <w:r w:rsidRPr="00A91056">
        <w:rPr>
          <w:sz w:val="20"/>
          <w:szCs w:val="20"/>
        </w:rPr>
        <w:t>h, significant decrease in comet tail</w:t>
      </w:r>
      <w:r w:rsidRPr="00A91056">
        <w:rPr>
          <w:sz w:val="20"/>
          <w:szCs w:val="20"/>
        </w:rPr>
        <w:tab/>
      </w:r>
    </w:p>
    <w:p w14:paraId="0F280582" w14:textId="3D0A858E" w:rsidR="008E7A51" w:rsidRPr="00A91056" w:rsidRDefault="001D0192" w:rsidP="00577E6A">
      <w:pPr>
        <w:pStyle w:val="NoSpacing"/>
        <w:spacing w:after="120"/>
        <w:rPr>
          <w:sz w:val="20"/>
          <w:szCs w:val="20"/>
        </w:rPr>
      </w:pPr>
      <w:r w:rsidRPr="00A91056">
        <w:rPr>
          <w:sz w:val="20"/>
          <w:szCs w:val="20"/>
        </w:rPr>
        <w:t>i, read-across data</w:t>
      </w:r>
      <w:r w:rsidR="00C66BE3" w:rsidRPr="00A91056">
        <w:rPr>
          <w:sz w:val="20"/>
          <w:szCs w:val="20"/>
        </w:rPr>
        <w:tab/>
      </w:r>
    </w:p>
    <w:p w14:paraId="33FAD07A" w14:textId="1B1680C8" w:rsidR="00577E6A" w:rsidRPr="00E3474E" w:rsidRDefault="00891D3B" w:rsidP="00577E6A">
      <w:pPr>
        <w:pStyle w:val="NoSpacing"/>
        <w:spacing w:after="120"/>
        <w:rPr>
          <w:sz w:val="20"/>
          <w:szCs w:val="20"/>
          <w:lang w:val="nl-NL"/>
        </w:rPr>
      </w:pPr>
      <w:r w:rsidRPr="00E3474E">
        <w:rPr>
          <w:sz w:val="20"/>
          <w:szCs w:val="20"/>
          <w:lang w:val="nl-NL"/>
        </w:rPr>
        <w:t>T</w:t>
      </w:r>
      <w:r w:rsidR="002B7581" w:rsidRPr="00E3474E">
        <w:rPr>
          <w:sz w:val="20"/>
          <w:szCs w:val="20"/>
          <w:lang w:val="nl-NL"/>
        </w:rPr>
        <w:t>EGA References (Ref):</w:t>
      </w:r>
      <w:r w:rsidR="00F840F6" w:rsidRPr="00E3474E">
        <w:rPr>
          <w:sz w:val="20"/>
          <w:szCs w:val="20"/>
          <w:lang w:val="nl-NL"/>
        </w:rPr>
        <w:t xml:space="preserve"> </w:t>
      </w:r>
      <w:r w:rsidR="002B7581" w:rsidRPr="00E3474E">
        <w:rPr>
          <w:sz w:val="20"/>
          <w:szCs w:val="20"/>
          <w:lang w:val="nl-NL"/>
        </w:rPr>
        <w:t xml:space="preserve">[1] </w:t>
      </w:r>
      <w:r w:rsidR="00C4016A" w:rsidRPr="00E3474E">
        <w:rPr>
          <w:sz w:val="20"/>
          <w:szCs w:val="20"/>
          <w:lang w:val="nl-NL"/>
        </w:rPr>
        <w:t>(Kobets et al. 2019a)</w:t>
      </w:r>
      <w:r w:rsidR="00F840F6" w:rsidRPr="00E3474E">
        <w:rPr>
          <w:sz w:val="20"/>
          <w:szCs w:val="20"/>
          <w:lang w:val="nl-NL"/>
        </w:rPr>
        <w:t xml:space="preserve">; </w:t>
      </w:r>
      <w:r w:rsidR="00363081" w:rsidRPr="00E3474E">
        <w:rPr>
          <w:sz w:val="20"/>
          <w:szCs w:val="20"/>
          <w:lang w:val="nl-NL"/>
        </w:rPr>
        <w:t xml:space="preserve">[2] </w:t>
      </w:r>
      <w:r w:rsidR="00C4016A" w:rsidRPr="00E3474E">
        <w:rPr>
          <w:sz w:val="20"/>
          <w:szCs w:val="20"/>
          <w:lang w:val="nl-NL"/>
        </w:rPr>
        <w:t>(Kobets et al. 2018a)</w:t>
      </w:r>
      <w:r w:rsidR="00657C3A" w:rsidRPr="00E3474E">
        <w:rPr>
          <w:sz w:val="20"/>
          <w:szCs w:val="20"/>
          <w:lang w:val="nl-NL"/>
        </w:rPr>
        <w:t xml:space="preserve">; </w:t>
      </w:r>
      <w:r w:rsidR="00581F0F" w:rsidRPr="00E3474E">
        <w:rPr>
          <w:sz w:val="20"/>
          <w:szCs w:val="20"/>
          <w:lang w:val="nl-NL"/>
        </w:rPr>
        <w:t xml:space="preserve">[3] </w:t>
      </w:r>
      <w:r w:rsidR="00C4016A" w:rsidRPr="00E3474E">
        <w:rPr>
          <w:sz w:val="20"/>
          <w:szCs w:val="20"/>
          <w:lang w:val="nl-NL"/>
        </w:rPr>
        <w:t>(Kobets et al. 2024)</w:t>
      </w:r>
      <w:r w:rsidR="00657C3A" w:rsidRPr="00E3474E">
        <w:rPr>
          <w:sz w:val="20"/>
          <w:szCs w:val="20"/>
          <w:lang w:val="nl-NL"/>
        </w:rPr>
        <w:t xml:space="preserve">; </w:t>
      </w:r>
      <w:r w:rsidR="00581F0F" w:rsidRPr="00E3474E">
        <w:rPr>
          <w:sz w:val="20"/>
          <w:szCs w:val="20"/>
          <w:lang w:val="nl-NL"/>
        </w:rPr>
        <w:t xml:space="preserve">[4] </w:t>
      </w:r>
      <w:r w:rsidR="00C4016A" w:rsidRPr="00E3474E">
        <w:rPr>
          <w:noProof/>
          <w:sz w:val="20"/>
          <w:szCs w:val="20"/>
          <w:lang w:val="nl-NL"/>
        </w:rPr>
        <w:t>(Williams</w:t>
      </w:r>
      <w:r w:rsidR="00E3474E" w:rsidRPr="00E3474E">
        <w:rPr>
          <w:noProof/>
          <w:sz w:val="20"/>
          <w:szCs w:val="20"/>
          <w:lang w:val="nl-NL"/>
        </w:rPr>
        <w:t xml:space="preserve"> </w:t>
      </w:r>
      <w:r w:rsidR="00E3474E">
        <w:rPr>
          <w:noProof/>
          <w:sz w:val="20"/>
          <w:szCs w:val="20"/>
          <w:lang w:val="nl-NL"/>
        </w:rPr>
        <w:t>J.</w:t>
      </w:r>
      <w:r w:rsidR="00C4016A" w:rsidRPr="00E3474E">
        <w:rPr>
          <w:noProof/>
          <w:sz w:val="20"/>
          <w:szCs w:val="20"/>
          <w:lang w:val="nl-NL"/>
        </w:rPr>
        <w:t xml:space="preserve"> et al. 2011)</w:t>
      </w:r>
      <w:r w:rsidR="00657C3A" w:rsidRPr="00E3474E">
        <w:rPr>
          <w:sz w:val="20"/>
          <w:szCs w:val="20"/>
          <w:lang w:val="nl-NL"/>
        </w:rPr>
        <w:t xml:space="preserve">; </w:t>
      </w:r>
      <w:r w:rsidR="00581F0F" w:rsidRPr="00E3474E">
        <w:rPr>
          <w:sz w:val="20"/>
          <w:szCs w:val="20"/>
          <w:lang w:val="nl-NL"/>
        </w:rPr>
        <w:t xml:space="preserve">[5] </w:t>
      </w:r>
      <w:r w:rsidR="00C4016A" w:rsidRPr="00E3474E">
        <w:rPr>
          <w:sz w:val="20"/>
          <w:szCs w:val="20"/>
          <w:lang w:val="nl-NL"/>
        </w:rPr>
        <w:t>(Kobets et al. 2016)</w:t>
      </w:r>
    </w:p>
    <w:p w14:paraId="72677E4D" w14:textId="0D1CD7DF" w:rsidR="006D2CC8" w:rsidRPr="00A91056" w:rsidRDefault="006666CC" w:rsidP="006D2CC8">
      <w:pPr>
        <w:pStyle w:val="NoSpacing"/>
        <w:rPr>
          <w:sz w:val="20"/>
          <w:szCs w:val="20"/>
        </w:rPr>
      </w:pPr>
      <w:r w:rsidRPr="00124636">
        <w:rPr>
          <w:i/>
          <w:iCs/>
          <w:sz w:val="20"/>
          <w:szCs w:val="20"/>
        </w:rPr>
        <w:t>Abbreviations</w:t>
      </w:r>
      <w:r w:rsidRPr="00124636">
        <w:rPr>
          <w:sz w:val="20"/>
          <w:szCs w:val="20"/>
        </w:rPr>
        <w:t xml:space="preserve">: </w:t>
      </w:r>
      <w:r w:rsidR="00577E6A" w:rsidRPr="00124636">
        <w:rPr>
          <w:sz w:val="20"/>
          <w:szCs w:val="20"/>
        </w:rPr>
        <w:t>Ames, the bacterial reverse mutation test; CA, chromosome aberration assay</w:t>
      </w:r>
      <w:r w:rsidR="00577E6A" w:rsidRPr="0035029B">
        <w:rPr>
          <w:sz w:val="20"/>
          <w:szCs w:val="20"/>
        </w:rPr>
        <w:t xml:space="preserve">; </w:t>
      </w:r>
      <w:r w:rsidR="00577E6A" w:rsidRPr="00A91056">
        <w:rPr>
          <w:sz w:val="20"/>
          <w:szCs w:val="20"/>
        </w:rPr>
        <w:t xml:space="preserve">CARC, carcinogenicity (mainly in rodents); Comet, alkaline single cell gel electrophoresis assay; </w:t>
      </w:r>
      <w:proofErr w:type="spellStart"/>
      <w:r w:rsidR="00577E6A" w:rsidRPr="00A91056">
        <w:rPr>
          <w:sz w:val="20"/>
          <w:szCs w:val="20"/>
        </w:rPr>
        <w:t>Eqv</w:t>
      </w:r>
      <w:proofErr w:type="spellEnd"/>
      <w:r w:rsidR="00577E6A" w:rsidRPr="00A91056">
        <w:rPr>
          <w:sz w:val="20"/>
          <w:szCs w:val="20"/>
        </w:rPr>
        <w:t xml:space="preserve">, equivocal (a clear positive or negative outcome cannot be concluded or response is inconsistent between experiments); HPC/DRA, hepatocyte DNA-repair test; MCGM, mammalian cell gene mutation assay (mouse lymphoma Tk+/− mutation assay and </w:t>
      </w:r>
      <w:proofErr w:type="spellStart"/>
      <w:r w:rsidR="00577E6A" w:rsidRPr="00A91056">
        <w:rPr>
          <w:sz w:val="20"/>
          <w:szCs w:val="20"/>
        </w:rPr>
        <w:t>Hprt</w:t>
      </w:r>
      <w:proofErr w:type="spellEnd"/>
      <w:r w:rsidR="00577E6A" w:rsidRPr="00A91056">
        <w:rPr>
          <w:sz w:val="20"/>
          <w:szCs w:val="20"/>
        </w:rPr>
        <w:t xml:space="preserve"> mutation assay); MN, micronucleus assay; Neg, negative; NPL, </w:t>
      </w:r>
      <w:r w:rsidR="00577E6A" w:rsidRPr="00A91056">
        <w:rPr>
          <w:sz w:val="20"/>
          <w:szCs w:val="20"/>
          <w:vertAlign w:val="superscript"/>
        </w:rPr>
        <w:t>32</w:t>
      </w:r>
      <w:r w:rsidR="00577E6A" w:rsidRPr="00A91056">
        <w:rPr>
          <w:sz w:val="20"/>
          <w:szCs w:val="20"/>
        </w:rPr>
        <w:t xml:space="preserve">P-nucleotide </w:t>
      </w:r>
      <w:proofErr w:type="spellStart"/>
      <w:r w:rsidR="00577E6A" w:rsidRPr="00A91056">
        <w:rPr>
          <w:sz w:val="20"/>
          <w:szCs w:val="20"/>
        </w:rPr>
        <w:t>postlabeling</w:t>
      </w:r>
      <w:proofErr w:type="spellEnd"/>
      <w:r w:rsidR="00577E6A" w:rsidRPr="00A91056">
        <w:rPr>
          <w:sz w:val="20"/>
          <w:szCs w:val="20"/>
        </w:rPr>
        <w:t xml:space="preserve"> assay; Pos, positive; TGR,  transgenic rodent gene mutation assays; UDS, unscheduled DNA synthesis</w:t>
      </w:r>
      <w:r w:rsidR="00901762" w:rsidRPr="00A91056">
        <w:rPr>
          <w:sz w:val="20"/>
          <w:szCs w:val="20"/>
        </w:rPr>
        <w:t>.</w:t>
      </w:r>
      <w:r w:rsidR="00C66BE3" w:rsidRPr="00A91056">
        <w:rPr>
          <w:sz w:val="20"/>
          <w:szCs w:val="20"/>
        </w:rPr>
        <w:tab/>
      </w:r>
      <w:r w:rsidR="006D2CC8" w:rsidRPr="00A91056">
        <w:rPr>
          <w:sz w:val="20"/>
          <w:szCs w:val="20"/>
        </w:rPr>
        <w:tab/>
      </w:r>
    </w:p>
    <w:p w14:paraId="579DC08C" w14:textId="6BCEF1E3" w:rsidR="001827C5" w:rsidRDefault="006D2CC8" w:rsidP="007B652E">
      <w:pPr>
        <w:pStyle w:val="NoSpacing"/>
        <w:rPr>
          <w:bCs/>
          <w:szCs w:val="20"/>
        </w:rPr>
      </w:pPr>
      <w:r w:rsidRPr="00A91056">
        <w:rPr>
          <w:sz w:val="20"/>
          <w:szCs w:val="20"/>
        </w:rPr>
        <w:tab/>
      </w:r>
      <w:r w:rsidRPr="00A91056">
        <w:rPr>
          <w:sz w:val="20"/>
          <w:szCs w:val="20"/>
        </w:rPr>
        <w:tab/>
      </w:r>
      <w:r w:rsidR="001827C5">
        <w:rPr>
          <w:bCs/>
          <w:szCs w:val="20"/>
        </w:rPr>
        <w:br w:type="page"/>
      </w:r>
    </w:p>
    <w:p w14:paraId="5D1F021D" w14:textId="77777777" w:rsidR="00B671F5" w:rsidRDefault="00B671F5" w:rsidP="00657C3A">
      <w:pPr>
        <w:spacing w:after="160" w:line="259" w:lineRule="auto"/>
        <w:ind w:firstLine="0"/>
        <w:rPr>
          <w:bCs/>
          <w:sz w:val="22"/>
          <w:szCs w:val="20"/>
        </w:rPr>
        <w:sectPr w:rsidR="00B671F5" w:rsidSect="005A4E1A">
          <w:pgSz w:w="15840" w:h="12240" w:orient="landscape"/>
          <w:pgMar w:top="1440" w:right="720" w:bottom="720" w:left="720" w:header="720" w:footer="720" w:gutter="0"/>
          <w:cols w:space="720"/>
          <w:docGrid w:linePitch="360"/>
        </w:sectPr>
      </w:pPr>
    </w:p>
    <w:p w14:paraId="139A902B" w14:textId="77777777" w:rsidR="00483A34" w:rsidRPr="00A91056" w:rsidRDefault="00483A34" w:rsidP="00483A34">
      <w:pPr>
        <w:pStyle w:val="Heading2"/>
        <w:rPr>
          <w:rFonts w:cs="Arial"/>
          <w:szCs w:val="24"/>
        </w:rPr>
      </w:pPr>
      <w:r w:rsidRPr="00A91056">
        <w:lastRenderedPageBreak/>
        <w:t>C. Comparison of Outcomes in the Chicken and Turkey Egg Fetal Liver Assays</w:t>
      </w:r>
    </w:p>
    <w:p w14:paraId="2B997313" w14:textId="45CC7DD6" w:rsidR="00483A34" w:rsidRDefault="00483A34" w:rsidP="00483A34">
      <w:pPr>
        <w:rPr>
          <w:rFonts w:cs="Arial"/>
          <w:szCs w:val="24"/>
        </w:rPr>
      </w:pPr>
      <w:r w:rsidRPr="00A91056">
        <w:rPr>
          <w:rFonts w:cs="Arial"/>
          <w:szCs w:val="24"/>
        </w:rPr>
        <w:t xml:space="preserve">When comparing overall outcomes for twenty-one (21) compounds tested in both CEGA and TEGA, </w:t>
      </w:r>
      <w:r w:rsidR="002D50F7">
        <w:rPr>
          <w:rFonts w:cs="Arial"/>
          <w:szCs w:val="24"/>
        </w:rPr>
        <w:t>sixteen</w:t>
      </w:r>
      <w:r w:rsidRPr="00A91056">
        <w:rPr>
          <w:rFonts w:cs="Arial"/>
          <w:szCs w:val="24"/>
        </w:rPr>
        <w:t xml:space="preserve"> (1</w:t>
      </w:r>
      <w:r w:rsidR="00D35F39">
        <w:rPr>
          <w:rFonts w:cs="Arial"/>
          <w:szCs w:val="24"/>
        </w:rPr>
        <w:t>6</w:t>
      </w:r>
      <w:r w:rsidRPr="00A91056">
        <w:rPr>
          <w:rFonts w:cs="Arial"/>
          <w:szCs w:val="24"/>
        </w:rPr>
        <w:t>) compounds (7</w:t>
      </w:r>
      <w:r w:rsidR="009C005D">
        <w:rPr>
          <w:rFonts w:cs="Arial"/>
          <w:szCs w:val="24"/>
        </w:rPr>
        <w:t>6</w:t>
      </w:r>
      <w:r w:rsidRPr="00A91056">
        <w:rPr>
          <w:rFonts w:cs="Arial"/>
          <w:szCs w:val="24"/>
        </w:rPr>
        <w:t>%) were concordant in both assays, including eleven (11) compounds which were positive and four (4) which were negative (</w:t>
      </w:r>
      <w:r w:rsidRPr="00A91056">
        <w:rPr>
          <w:rFonts w:cs="Arial"/>
          <w:b/>
          <w:bCs/>
          <w:szCs w:val="24"/>
        </w:rPr>
        <w:t>Table 3</w:t>
      </w:r>
      <w:r w:rsidRPr="00A91056">
        <w:rPr>
          <w:rFonts w:cs="Arial"/>
          <w:szCs w:val="24"/>
        </w:rPr>
        <w:t xml:space="preserve">). </w:t>
      </w:r>
      <w:proofErr w:type="spellStart"/>
      <w:r w:rsidR="00A46A7F">
        <w:rPr>
          <w:rFonts w:cs="Arial"/>
          <w:szCs w:val="24"/>
        </w:rPr>
        <w:t>Teniposide</w:t>
      </w:r>
      <w:proofErr w:type="spellEnd"/>
      <w:r w:rsidR="00A46A7F">
        <w:rPr>
          <w:rFonts w:cs="Arial"/>
          <w:szCs w:val="24"/>
        </w:rPr>
        <w:t xml:space="preserve"> was positive in </w:t>
      </w:r>
      <w:r w:rsidR="00D35F39">
        <w:rPr>
          <w:rFonts w:cs="Arial"/>
          <w:szCs w:val="24"/>
        </w:rPr>
        <w:t xml:space="preserve">the comet assay in CEGA, </w:t>
      </w:r>
      <w:r w:rsidR="004C68DE">
        <w:rPr>
          <w:rFonts w:cs="Arial"/>
          <w:szCs w:val="24"/>
        </w:rPr>
        <w:t>and</w:t>
      </w:r>
      <w:r w:rsidR="00D35F39">
        <w:rPr>
          <w:rFonts w:cs="Arial"/>
          <w:szCs w:val="24"/>
        </w:rPr>
        <w:t xml:space="preserve"> equivocal in TEGA </w:t>
      </w:r>
      <w:r w:rsidR="004C68DE">
        <w:rPr>
          <w:rFonts w:cs="Arial"/>
          <w:szCs w:val="24"/>
        </w:rPr>
        <w:t xml:space="preserve">comet. </w:t>
      </w:r>
      <w:r w:rsidR="00D273F6">
        <w:rPr>
          <w:rFonts w:cs="Arial"/>
          <w:szCs w:val="24"/>
        </w:rPr>
        <w:t xml:space="preserve">Five </w:t>
      </w:r>
      <w:r w:rsidRPr="00A91056">
        <w:rPr>
          <w:rFonts w:cs="Arial"/>
          <w:szCs w:val="24"/>
        </w:rPr>
        <w:t>(</w:t>
      </w:r>
      <w:r w:rsidR="00D273F6">
        <w:rPr>
          <w:rFonts w:cs="Arial"/>
          <w:szCs w:val="24"/>
        </w:rPr>
        <w:t>5</w:t>
      </w:r>
      <w:r w:rsidRPr="00A91056">
        <w:rPr>
          <w:rFonts w:cs="Arial"/>
          <w:szCs w:val="24"/>
        </w:rPr>
        <w:t>) compounds (2</w:t>
      </w:r>
      <w:r w:rsidR="002D50F7">
        <w:rPr>
          <w:rFonts w:cs="Arial"/>
          <w:szCs w:val="24"/>
        </w:rPr>
        <w:t>4</w:t>
      </w:r>
      <w:r w:rsidRPr="00A91056">
        <w:rPr>
          <w:rFonts w:cs="Arial"/>
          <w:szCs w:val="24"/>
        </w:rPr>
        <w:t>%) showed discordant results between CEGA and TEGA (</w:t>
      </w:r>
      <w:r w:rsidRPr="00A91056">
        <w:rPr>
          <w:rFonts w:cs="Arial"/>
          <w:b/>
          <w:bCs/>
          <w:szCs w:val="24"/>
        </w:rPr>
        <w:t>Table 3</w:t>
      </w:r>
      <w:r w:rsidRPr="00A91056">
        <w:rPr>
          <w:rFonts w:cs="Arial"/>
          <w:szCs w:val="24"/>
        </w:rPr>
        <w:t>).</w:t>
      </w:r>
    </w:p>
    <w:p w14:paraId="5C6DF051" w14:textId="1438D2DD" w:rsidR="00111089" w:rsidRPr="00A91056" w:rsidRDefault="00C056C9" w:rsidP="00657C3A">
      <w:pPr>
        <w:spacing w:after="160" w:line="259" w:lineRule="auto"/>
        <w:ind w:firstLine="0"/>
        <w:rPr>
          <w:rFonts w:cs="Arial"/>
          <w:szCs w:val="24"/>
        </w:rPr>
      </w:pPr>
      <w:r w:rsidRPr="00A91056">
        <w:rPr>
          <w:bCs/>
          <w:sz w:val="22"/>
          <w:szCs w:val="20"/>
        </w:rPr>
        <w:t xml:space="preserve">Table </w:t>
      </w:r>
      <w:r w:rsidRPr="00A91056">
        <w:rPr>
          <w:b/>
          <w:bCs/>
          <w:sz w:val="22"/>
          <w:szCs w:val="20"/>
        </w:rPr>
        <w:fldChar w:fldCharType="begin"/>
      </w:r>
      <w:r w:rsidRPr="00A91056">
        <w:rPr>
          <w:bCs/>
          <w:sz w:val="22"/>
          <w:szCs w:val="20"/>
        </w:rPr>
        <w:instrText xml:space="preserve"> SEQ Table \* ARABIC </w:instrText>
      </w:r>
      <w:r w:rsidRPr="00A91056">
        <w:rPr>
          <w:b/>
          <w:bCs/>
          <w:sz w:val="22"/>
          <w:szCs w:val="20"/>
        </w:rPr>
        <w:fldChar w:fldCharType="separate"/>
      </w:r>
      <w:r w:rsidR="00B51674">
        <w:rPr>
          <w:bCs/>
          <w:noProof/>
          <w:sz w:val="22"/>
          <w:szCs w:val="20"/>
        </w:rPr>
        <w:t>3</w:t>
      </w:r>
      <w:r w:rsidRPr="00A91056">
        <w:rPr>
          <w:b/>
          <w:bCs/>
          <w:sz w:val="22"/>
          <w:szCs w:val="20"/>
        </w:rPr>
        <w:fldChar w:fldCharType="end"/>
      </w:r>
      <w:r w:rsidR="00111089" w:rsidRPr="00A91056">
        <w:rPr>
          <w:rFonts w:cs="Arial"/>
          <w:bCs/>
          <w:sz w:val="22"/>
        </w:rPr>
        <w:t>.</w:t>
      </w:r>
      <w:r w:rsidR="00111089" w:rsidRPr="00A91056">
        <w:rPr>
          <w:rFonts w:cs="Arial"/>
          <w:sz w:val="22"/>
        </w:rPr>
        <w:t xml:space="preserve"> </w:t>
      </w:r>
      <w:r w:rsidR="00111089" w:rsidRPr="00A91056">
        <w:rPr>
          <w:rFonts w:cs="Arial"/>
          <w:b/>
          <w:bCs/>
          <w:sz w:val="22"/>
        </w:rPr>
        <w:t>Comparison of</w:t>
      </w:r>
      <w:r w:rsidRPr="00A91056">
        <w:rPr>
          <w:rFonts w:cs="Arial"/>
          <w:b/>
          <w:bCs/>
          <w:sz w:val="22"/>
        </w:rPr>
        <w:t xml:space="preserve"> outcomes in the Chicken </w:t>
      </w:r>
      <w:r w:rsidR="00A20B66">
        <w:rPr>
          <w:rFonts w:cs="Arial"/>
          <w:b/>
          <w:bCs/>
          <w:sz w:val="22"/>
        </w:rPr>
        <w:t xml:space="preserve">(CEGA) </w:t>
      </w:r>
      <w:r w:rsidRPr="00A91056">
        <w:rPr>
          <w:rFonts w:cs="Arial"/>
          <w:b/>
          <w:bCs/>
          <w:sz w:val="22"/>
        </w:rPr>
        <w:t xml:space="preserve">and Turkey </w:t>
      </w:r>
      <w:r w:rsidR="00A20B66">
        <w:rPr>
          <w:rFonts w:cs="Arial"/>
          <w:b/>
          <w:bCs/>
          <w:sz w:val="22"/>
        </w:rPr>
        <w:t xml:space="preserve">(TEGA) </w:t>
      </w:r>
      <w:r w:rsidRPr="00A91056">
        <w:rPr>
          <w:rFonts w:cs="Arial"/>
          <w:b/>
          <w:bCs/>
          <w:sz w:val="22"/>
        </w:rPr>
        <w:t>Egg Genotoxicity Assays</w:t>
      </w:r>
      <w:r w:rsidR="00C24636">
        <w:rPr>
          <w:rFonts w:cs="Arial"/>
          <w:b/>
          <w:bCs/>
          <w:sz w:val="22"/>
        </w:rPr>
        <w:t>.</w:t>
      </w:r>
    </w:p>
    <w:tbl>
      <w:tblPr>
        <w:tblW w:w="9720" w:type="dxa"/>
        <w:tblBorders>
          <w:insideH w:val="single" w:sz="4" w:space="0" w:color="auto"/>
        </w:tblBorders>
        <w:tblLayout w:type="fixed"/>
        <w:tblLook w:val="04A0" w:firstRow="1" w:lastRow="0" w:firstColumn="1" w:lastColumn="0" w:noHBand="0" w:noVBand="1"/>
      </w:tblPr>
      <w:tblGrid>
        <w:gridCol w:w="2515"/>
        <w:gridCol w:w="1980"/>
        <w:gridCol w:w="720"/>
        <w:gridCol w:w="900"/>
        <w:gridCol w:w="236"/>
        <w:gridCol w:w="1834"/>
        <w:gridCol w:w="630"/>
        <w:gridCol w:w="905"/>
      </w:tblGrid>
      <w:tr w:rsidR="00A9775A" w:rsidRPr="008E6A5C" w14:paraId="00C4783E" w14:textId="77777777" w:rsidTr="00A9775A">
        <w:trPr>
          <w:trHeight w:val="20"/>
        </w:trPr>
        <w:tc>
          <w:tcPr>
            <w:tcW w:w="2515" w:type="dxa"/>
            <w:vMerge w:val="restart"/>
            <w:tcBorders>
              <w:top w:val="single" w:sz="4" w:space="0" w:color="auto"/>
              <w:bottom w:val="single" w:sz="4" w:space="0" w:color="auto"/>
            </w:tcBorders>
            <w:shd w:val="clear" w:color="auto" w:fill="auto"/>
            <w:vAlign w:val="center"/>
            <w:hideMark/>
          </w:tcPr>
          <w:p w14:paraId="5255BE6F" w14:textId="1EAF1700" w:rsidR="00A9775A" w:rsidRPr="008E6A5C" w:rsidRDefault="00A9775A" w:rsidP="0007482B">
            <w:pPr>
              <w:spacing w:line="240" w:lineRule="auto"/>
              <w:ind w:firstLine="0"/>
              <w:rPr>
                <w:rFonts w:eastAsia="Times New Roman" w:cs="Arial"/>
                <w:b/>
                <w:bCs/>
                <w:color w:val="000000"/>
                <w:sz w:val="20"/>
                <w:szCs w:val="20"/>
              </w:rPr>
            </w:pPr>
            <w:r w:rsidRPr="008E6A5C">
              <w:rPr>
                <w:rFonts w:eastAsia="Times New Roman" w:cs="Arial"/>
                <w:b/>
                <w:bCs/>
                <w:color w:val="000000"/>
                <w:sz w:val="20"/>
                <w:szCs w:val="20"/>
              </w:rPr>
              <w:t>Compound</w:t>
            </w:r>
          </w:p>
        </w:tc>
        <w:tc>
          <w:tcPr>
            <w:tcW w:w="3600" w:type="dxa"/>
            <w:gridSpan w:val="3"/>
            <w:tcBorders>
              <w:top w:val="single" w:sz="4" w:space="0" w:color="auto"/>
              <w:bottom w:val="single" w:sz="4" w:space="0" w:color="auto"/>
            </w:tcBorders>
            <w:shd w:val="clear" w:color="auto" w:fill="auto"/>
            <w:vAlign w:val="center"/>
            <w:hideMark/>
          </w:tcPr>
          <w:p w14:paraId="1E34AD22" w14:textId="7641E004" w:rsidR="00A9775A" w:rsidRPr="008E6A5C" w:rsidRDefault="00A9775A" w:rsidP="0007482B">
            <w:pPr>
              <w:spacing w:line="240" w:lineRule="auto"/>
              <w:ind w:firstLine="0"/>
              <w:jc w:val="center"/>
              <w:rPr>
                <w:rFonts w:eastAsia="Times New Roman" w:cs="Arial"/>
                <w:b/>
                <w:bCs/>
                <w:color w:val="000000"/>
                <w:sz w:val="20"/>
                <w:szCs w:val="20"/>
              </w:rPr>
            </w:pPr>
            <w:r w:rsidRPr="008E6A5C">
              <w:rPr>
                <w:rFonts w:eastAsia="Times New Roman" w:cs="Arial"/>
                <w:b/>
                <w:bCs/>
                <w:color w:val="000000"/>
                <w:sz w:val="20"/>
                <w:szCs w:val="20"/>
              </w:rPr>
              <w:t>CEGA</w:t>
            </w:r>
          </w:p>
        </w:tc>
        <w:tc>
          <w:tcPr>
            <w:tcW w:w="236" w:type="dxa"/>
            <w:tcBorders>
              <w:top w:val="single" w:sz="4" w:space="0" w:color="auto"/>
              <w:bottom w:val="nil"/>
            </w:tcBorders>
            <w:shd w:val="clear" w:color="auto" w:fill="auto"/>
            <w:vAlign w:val="center"/>
          </w:tcPr>
          <w:p w14:paraId="5C99A95D" w14:textId="77777777" w:rsidR="00A9775A" w:rsidRPr="008E6A5C" w:rsidRDefault="00A9775A" w:rsidP="0007482B">
            <w:pPr>
              <w:spacing w:line="240" w:lineRule="auto"/>
              <w:ind w:firstLine="0"/>
              <w:jc w:val="center"/>
              <w:rPr>
                <w:rFonts w:eastAsia="Times New Roman" w:cs="Arial"/>
                <w:b/>
                <w:bCs/>
                <w:color w:val="000000"/>
                <w:sz w:val="20"/>
                <w:szCs w:val="20"/>
              </w:rPr>
            </w:pPr>
          </w:p>
        </w:tc>
        <w:tc>
          <w:tcPr>
            <w:tcW w:w="3369" w:type="dxa"/>
            <w:gridSpan w:val="3"/>
            <w:tcBorders>
              <w:top w:val="single" w:sz="4" w:space="0" w:color="auto"/>
              <w:bottom w:val="single" w:sz="4" w:space="0" w:color="auto"/>
            </w:tcBorders>
            <w:shd w:val="clear" w:color="auto" w:fill="auto"/>
            <w:vAlign w:val="center"/>
          </w:tcPr>
          <w:p w14:paraId="5026EFA5" w14:textId="4E1A538A" w:rsidR="00A9775A" w:rsidRPr="008E6A5C" w:rsidRDefault="00A9775A" w:rsidP="00A9775A">
            <w:pPr>
              <w:spacing w:line="240" w:lineRule="auto"/>
              <w:ind w:firstLine="0"/>
              <w:jc w:val="center"/>
              <w:rPr>
                <w:rFonts w:eastAsia="Times New Roman" w:cs="Arial"/>
                <w:b/>
                <w:bCs/>
                <w:color w:val="000000"/>
                <w:sz w:val="20"/>
                <w:szCs w:val="20"/>
              </w:rPr>
            </w:pPr>
            <w:r w:rsidRPr="008E6A5C">
              <w:rPr>
                <w:rFonts w:eastAsia="Times New Roman" w:cs="Arial"/>
                <w:b/>
                <w:bCs/>
                <w:color w:val="000000"/>
                <w:sz w:val="20"/>
                <w:szCs w:val="20"/>
              </w:rPr>
              <w:t>TEGA</w:t>
            </w:r>
          </w:p>
        </w:tc>
      </w:tr>
      <w:tr w:rsidR="00FA4868" w:rsidRPr="008E6A5C" w14:paraId="24618C33" w14:textId="77777777" w:rsidTr="00FA4868">
        <w:trPr>
          <w:trHeight w:val="557"/>
        </w:trPr>
        <w:tc>
          <w:tcPr>
            <w:tcW w:w="2515" w:type="dxa"/>
            <w:vMerge/>
            <w:tcBorders>
              <w:top w:val="single" w:sz="4" w:space="0" w:color="auto"/>
            </w:tcBorders>
            <w:shd w:val="clear" w:color="auto" w:fill="auto"/>
            <w:vAlign w:val="center"/>
            <w:hideMark/>
          </w:tcPr>
          <w:p w14:paraId="0C459A33" w14:textId="77777777" w:rsidR="00DE0A55" w:rsidRPr="008E6A5C" w:rsidRDefault="00DE0A55" w:rsidP="0007482B">
            <w:pPr>
              <w:spacing w:line="240" w:lineRule="auto"/>
              <w:ind w:firstLine="0"/>
              <w:rPr>
                <w:rFonts w:eastAsia="Times New Roman" w:cs="Arial"/>
                <w:b/>
                <w:bCs/>
                <w:color w:val="000000"/>
                <w:sz w:val="20"/>
                <w:szCs w:val="20"/>
              </w:rPr>
            </w:pPr>
          </w:p>
        </w:tc>
        <w:tc>
          <w:tcPr>
            <w:tcW w:w="1980" w:type="dxa"/>
            <w:tcBorders>
              <w:top w:val="single" w:sz="4" w:space="0" w:color="auto"/>
            </w:tcBorders>
            <w:shd w:val="clear" w:color="auto" w:fill="auto"/>
            <w:vAlign w:val="center"/>
            <w:hideMark/>
          </w:tcPr>
          <w:p w14:paraId="619C8840" w14:textId="2D36342B" w:rsidR="00DE0A55" w:rsidRPr="008E6A5C" w:rsidRDefault="00DE0A55" w:rsidP="0007482B">
            <w:pPr>
              <w:spacing w:line="240" w:lineRule="auto"/>
              <w:ind w:firstLine="0"/>
              <w:jc w:val="center"/>
              <w:rPr>
                <w:rFonts w:eastAsia="Times New Roman" w:cs="Arial"/>
                <w:b/>
                <w:bCs/>
                <w:color w:val="000000"/>
                <w:sz w:val="20"/>
                <w:szCs w:val="20"/>
              </w:rPr>
            </w:pPr>
            <w:r w:rsidRPr="008E6A5C">
              <w:rPr>
                <w:rFonts w:eastAsia="Times New Roman" w:cs="Arial"/>
                <w:b/>
                <w:bCs/>
                <w:color w:val="000000"/>
                <w:sz w:val="20"/>
                <w:szCs w:val="20"/>
              </w:rPr>
              <w:t>Tested dosages, mg/egg</w:t>
            </w:r>
          </w:p>
        </w:tc>
        <w:tc>
          <w:tcPr>
            <w:tcW w:w="720" w:type="dxa"/>
            <w:tcBorders>
              <w:top w:val="single" w:sz="4" w:space="0" w:color="auto"/>
            </w:tcBorders>
            <w:shd w:val="clear" w:color="auto" w:fill="auto"/>
            <w:vAlign w:val="center"/>
            <w:hideMark/>
          </w:tcPr>
          <w:p w14:paraId="4D23F124" w14:textId="77777777" w:rsidR="00DE0A55" w:rsidRPr="008E6A5C" w:rsidRDefault="00DE0A55" w:rsidP="0007482B">
            <w:pPr>
              <w:spacing w:line="240" w:lineRule="auto"/>
              <w:ind w:firstLine="0"/>
              <w:jc w:val="center"/>
              <w:rPr>
                <w:rFonts w:eastAsia="Times New Roman" w:cs="Arial"/>
                <w:b/>
                <w:bCs/>
                <w:color w:val="000000"/>
                <w:sz w:val="20"/>
                <w:szCs w:val="20"/>
              </w:rPr>
            </w:pPr>
            <w:r w:rsidRPr="008E6A5C">
              <w:rPr>
                <w:rFonts w:eastAsia="Times New Roman" w:cs="Arial"/>
                <w:b/>
                <w:bCs/>
                <w:color w:val="000000"/>
                <w:sz w:val="20"/>
                <w:szCs w:val="20"/>
              </w:rPr>
              <w:t>NPL</w:t>
            </w:r>
          </w:p>
        </w:tc>
        <w:tc>
          <w:tcPr>
            <w:tcW w:w="900" w:type="dxa"/>
            <w:tcBorders>
              <w:top w:val="single" w:sz="4" w:space="0" w:color="auto"/>
            </w:tcBorders>
            <w:shd w:val="clear" w:color="auto" w:fill="auto"/>
            <w:vAlign w:val="center"/>
            <w:hideMark/>
          </w:tcPr>
          <w:p w14:paraId="76E6CF83" w14:textId="27501485" w:rsidR="00DE0A55" w:rsidRPr="008E6A5C" w:rsidRDefault="00DE0A55" w:rsidP="0007482B">
            <w:pPr>
              <w:spacing w:line="240" w:lineRule="auto"/>
              <w:ind w:firstLine="0"/>
              <w:jc w:val="center"/>
              <w:rPr>
                <w:rFonts w:eastAsia="Times New Roman" w:cs="Arial"/>
                <w:b/>
                <w:bCs/>
                <w:color w:val="000000"/>
                <w:sz w:val="20"/>
                <w:szCs w:val="20"/>
              </w:rPr>
            </w:pPr>
            <w:r w:rsidRPr="008E6A5C">
              <w:rPr>
                <w:rFonts w:eastAsia="Times New Roman" w:cs="Arial"/>
                <w:b/>
                <w:bCs/>
                <w:color w:val="000000"/>
                <w:sz w:val="20"/>
                <w:szCs w:val="20"/>
              </w:rPr>
              <w:t>Comet</w:t>
            </w:r>
          </w:p>
        </w:tc>
        <w:tc>
          <w:tcPr>
            <w:tcW w:w="236" w:type="dxa"/>
            <w:tcBorders>
              <w:top w:val="nil"/>
              <w:bottom w:val="nil"/>
            </w:tcBorders>
            <w:shd w:val="clear" w:color="auto" w:fill="auto"/>
            <w:vAlign w:val="center"/>
            <w:hideMark/>
          </w:tcPr>
          <w:p w14:paraId="332E653D" w14:textId="3084EFE4" w:rsidR="00DE0A55" w:rsidRPr="008E6A5C" w:rsidRDefault="00DE0A55" w:rsidP="0007482B">
            <w:pPr>
              <w:spacing w:line="240" w:lineRule="auto"/>
              <w:ind w:firstLine="0"/>
              <w:jc w:val="center"/>
              <w:rPr>
                <w:rFonts w:eastAsia="Times New Roman" w:cs="Arial"/>
                <w:b/>
                <w:bCs/>
                <w:color w:val="000000"/>
                <w:sz w:val="20"/>
                <w:szCs w:val="20"/>
              </w:rPr>
            </w:pPr>
          </w:p>
        </w:tc>
        <w:tc>
          <w:tcPr>
            <w:tcW w:w="1834" w:type="dxa"/>
            <w:tcBorders>
              <w:top w:val="single" w:sz="4" w:space="0" w:color="auto"/>
            </w:tcBorders>
            <w:shd w:val="clear" w:color="auto" w:fill="auto"/>
            <w:vAlign w:val="center"/>
          </w:tcPr>
          <w:p w14:paraId="0FB3C1D7" w14:textId="76F3D005" w:rsidR="00DE0A55" w:rsidRPr="008E6A5C" w:rsidRDefault="00DE0A55" w:rsidP="0007482B">
            <w:pPr>
              <w:spacing w:line="240" w:lineRule="auto"/>
              <w:ind w:firstLine="0"/>
              <w:jc w:val="center"/>
              <w:rPr>
                <w:rFonts w:eastAsia="Times New Roman" w:cs="Arial"/>
                <w:b/>
                <w:bCs/>
                <w:color w:val="000000"/>
                <w:sz w:val="20"/>
                <w:szCs w:val="20"/>
              </w:rPr>
            </w:pPr>
            <w:r w:rsidRPr="008E6A5C">
              <w:rPr>
                <w:rFonts w:eastAsia="Times New Roman" w:cs="Arial"/>
                <w:b/>
                <w:bCs/>
                <w:color w:val="000000"/>
                <w:sz w:val="20"/>
                <w:szCs w:val="20"/>
              </w:rPr>
              <w:t>Tested dosages, mg/egg</w:t>
            </w:r>
          </w:p>
        </w:tc>
        <w:tc>
          <w:tcPr>
            <w:tcW w:w="630" w:type="dxa"/>
            <w:tcBorders>
              <w:top w:val="single" w:sz="4" w:space="0" w:color="auto"/>
            </w:tcBorders>
            <w:shd w:val="clear" w:color="auto" w:fill="auto"/>
            <w:vAlign w:val="center"/>
            <w:hideMark/>
          </w:tcPr>
          <w:p w14:paraId="7E200249" w14:textId="77777777" w:rsidR="00DE0A55" w:rsidRPr="008E6A5C" w:rsidRDefault="00DE0A55" w:rsidP="0007482B">
            <w:pPr>
              <w:spacing w:line="240" w:lineRule="auto"/>
              <w:ind w:firstLine="0"/>
              <w:jc w:val="center"/>
              <w:rPr>
                <w:rFonts w:eastAsia="Times New Roman" w:cs="Arial"/>
                <w:b/>
                <w:bCs/>
                <w:color w:val="000000"/>
                <w:sz w:val="20"/>
                <w:szCs w:val="20"/>
              </w:rPr>
            </w:pPr>
            <w:r w:rsidRPr="008E6A5C">
              <w:rPr>
                <w:rFonts w:eastAsia="Times New Roman" w:cs="Arial"/>
                <w:b/>
                <w:bCs/>
                <w:color w:val="000000"/>
                <w:sz w:val="20"/>
                <w:szCs w:val="20"/>
              </w:rPr>
              <w:t>NPL</w:t>
            </w:r>
          </w:p>
        </w:tc>
        <w:tc>
          <w:tcPr>
            <w:tcW w:w="905" w:type="dxa"/>
            <w:tcBorders>
              <w:top w:val="single" w:sz="4" w:space="0" w:color="auto"/>
            </w:tcBorders>
            <w:shd w:val="clear" w:color="auto" w:fill="auto"/>
            <w:vAlign w:val="center"/>
            <w:hideMark/>
          </w:tcPr>
          <w:p w14:paraId="2D0498AA" w14:textId="7AD95C31" w:rsidR="00DE0A55" w:rsidRPr="008E6A5C" w:rsidRDefault="00DE0A55" w:rsidP="0007482B">
            <w:pPr>
              <w:spacing w:line="240" w:lineRule="auto"/>
              <w:ind w:firstLine="0"/>
              <w:jc w:val="center"/>
              <w:rPr>
                <w:rFonts w:eastAsia="Times New Roman" w:cs="Arial"/>
                <w:b/>
                <w:bCs/>
                <w:color w:val="000000"/>
                <w:sz w:val="20"/>
                <w:szCs w:val="20"/>
              </w:rPr>
            </w:pPr>
            <w:r w:rsidRPr="008E6A5C">
              <w:rPr>
                <w:rFonts w:eastAsia="Times New Roman" w:cs="Arial"/>
                <w:b/>
                <w:bCs/>
                <w:color w:val="000000"/>
                <w:sz w:val="20"/>
                <w:szCs w:val="20"/>
              </w:rPr>
              <w:t>Comet</w:t>
            </w:r>
          </w:p>
        </w:tc>
      </w:tr>
      <w:tr w:rsidR="00FA4868" w:rsidRPr="008E6A5C" w14:paraId="769EB539" w14:textId="77777777" w:rsidTr="00FA4868">
        <w:trPr>
          <w:trHeight w:val="245"/>
        </w:trPr>
        <w:tc>
          <w:tcPr>
            <w:tcW w:w="2515" w:type="dxa"/>
            <w:shd w:val="clear" w:color="auto" w:fill="auto"/>
            <w:noWrap/>
            <w:vAlign w:val="center"/>
            <w:hideMark/>
          </w:tcPr>
          <w:p w14:paraId="4D4C3D38" w14:textId="6D0F055C" w:rsidR="0007482B" w:rsidRPr="008E6A5C" w:rsidRDefault="0007482B" w:rsidP="0007482B">
            <w:pPr>
              <w:spacing w:line="240" w:lineRule="auto"/>
              <w:ind w:firstLine="0"/>
              <w:rPr>
                <w:rFonts w:eastAsia="Times New Roman" w:cs="Arial"/>
                <w:color w:val="000000"/>
                <w:sz w:val="20"/>
                <w:szCs w:val="20"/>
              </w:rPr>
            </w:pPr>
            <w:r w:rsidRPr="008E6A5C">
              <w:rPr>
                <w:rFonts w:eastAsia="Times New Roman" w:cs="Arial"/>
                <w:color w:val="000000"/>
                <w:sz w:val="20"/>
                <w:szCs w:val="20"/>
              </w:rPr>
              <w:t>α-</w:t>
            </w:r>
            <w:proofErr w:type="spellStart"/>
            <w:r w:rsidRPr="008E6A5C">
              <w:rPr>
                <w:rFonts w:eastAsia="Times New Roman" w:cs="Arial"/>
                <w:color w:val="000000"/>
                <w:sz w:val="20"/>
                <w:szCs w:val="20"/>
              </w:rPr>
              <w:t>Asarone</w:t>
            </w:r>
            <w:proofErr w:type="spellEnd"/>
          </w:p>
        </w:tc>
        <w:tc>
          <w:tcPr>
            <w:tcW w:w="1980" w:type="dxa"/>
            <w:shd w:val="clear" w:color="auto" w:fill="auto"/>
            <w:vAlign w:val="center"/>
            <w:hideMark/>
          </w:tcPr>
          <w:p w14:paraId="16A1FF37" w14:textId="77777777"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2 - 8</w:t>
            </w:r>
          </w:p>
        </w:tc>
        <w:tc>
          <w:tcPr>
            <w:tcW w:w="720" w:type="dxa"/>
            <w:shd w:val="clear" w:color="auto" w:fill="auto"/>
            <w:noWrap/>
            <w:vAlign w:val="center"/>
            <w:hideMark/>
          </w:tcPr>
          <w:p w14:paraId="5FC8908F" w14:textId="26F45A5E"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Pos</w:t>
            </w:r>
          </w:p>
        </w:tc>
        <w:tc>
          <w:tcPr>
            <w:tcW w:w="900" w:type="dxa"/>
            <w:shd w:val="clear" w:color="auto" w:fill="auto"/>
            <w:noWrap/>
            <w:vAlign w:val="center"/>
            <w:hideMark/>
          </w:tcPr>
          <w:p w14:paraId="2C5EB067" w14:textId="11F6A44C"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Pos</w:t>
            </w:r>
          </w:p>
        </w:tc>
        <w:tc>
          <w:tcPr>
            <w:tcW w:w="2070" w:type="dxa"/>
            <w:gridSpan w:val="2"/>
            <w:shd w:val="clear" w:color="auto" w:fill="auto"/>
            <w:vAlign w:val="center"/>
            <w:hideMark/>
          </w:tcPr>
          <w:p w14:paraId="47A23789" w14:textId="77777777"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5 - 10  ª</w:t>
            </w:r>
          </w:p>
        </w:tc>
        <w:tc>
          <w:tcPr>
            <w:tcW w:w="630" w:type="dxa"/>
            <w:shd w:val="clear" w:color="auto" w:fill="auto"/>
            <w:noWrap/>
            <w:vAlign w:val="center"/>
            <w:hideMark/>
          </w:tcPr>
          <w:p w14:paraId="35394DA0" w14:textId="2DB3BA2D"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Pos</w:t>
            </w:r>
          </w:p>
        </w:tc>
        <w:tc>
          <w:tcPr>
            <w:tcW w:w="905" w:type="dxa"/>
            <w:shd w:val="clear" w:color="auto" w:fill="auto"/>
            <w:noWrap/>
            <w:vAlign w:val="center"/>
            <w:hideMark/>
          </w:tcPr>
          <w:p w14:paraId="7263B835" w14:textId="2DBC1874"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Pos</w:t>
            </w:r>
          </w:p>
        </w:tc>
      </w:tr>
      <w:tr w:rsidR="00FA4868" w:rsidRPr="008E6A5C" w14:paraId="3FA6152A" w14:textId="77777777" w:rsidTr="00FA4868">
        <w:trPr>
          <w:trHeight w:val="245"/>
        </w:trPr>
        <w:tc>
          <w:tcPr>
            <w:tcW w:w="2515" w:type="dxa"/>
            <w:shd w:val="clear" w:color="auto" w:fill="auto"/>
            <w:noWrap/>
            <w:vAlign w:val="center"/>
            <w:hideMark/>
          </w:tcPr>
          <w:p w14:paraId="419B422B" w14:textId="77777777" w:rsidR="0007482B" w:rsidRPr="008E6A5C" w:rsidRDefault="0007482B" w:rsidP="0007482B">
            <w:pPr>
              <w:spacing w:line="240" w:lineRule="auto"/>
              <w:ind w:firstLine="0"/>
              <w:rPr>
                <w:rFonts w:eastAsia="Times New Roman" w:cs="Arial"/>
                <w:color w:val="000000"/>
                <w:sz w:val="20"/>
                <w:szCs w:val="20"/>
              </w:rPr>
            </w:pPr>
            <w:r w:rsidRPr="008E6A5C">
              <w:rPr>
                <w:rFonts w:eastAsia="Times New Roman" w:cs="Arial"/>
                <w:color w:val="000000"/>
                <w:sz w:val="20"/>
                <w:szCs w:val="20"/>
              </w:rPr>
              <w:t>β-</w:t>
            </w:r>
            <w:proofErr w:type="spellStart"/>
            <w:r w:rsidRPr="008E6A5C">
              <w:rPr>
                <w:rFonts w:eastAsia="Times New Roman" w:cs="Arial"/>
                <w:color w:val="000000"/>
                <w:sz w:val="20"/>
                <w:szCs w:val="20"/>
              </w:rPr>
              <w:t>Asarone</w:t>
            </w:r>
            <w:proofErr w:type="spellEnd"/>
          </w:p>
        </w:tc>
        <w:tc>
          <w:tcPr>
            <w:tcW w:w="1980" w:type="dxa"/>
            <w:shd w:val="clear" w:color="auto" w:fill="auto"/>
            <w:vAlign w:val="center"/>
            <w:hideMark/>
          </w:tcPr>
          <w:p w14:paraId="2FE645E7" w14:textId="77777777" w:rsidR="0007482B" w:rsidRPr="008E6A5C" w:rsidRDefault="0007482B" w:rsidP="0007482B">
            <w:pPr>
              <w:spacing w:line="240" w:lineRule="auto"/>
              <w:ind w:firstLine="0"/>
              <w:jc w:val="center"/>
              <w:rPr>
                <w:rFonts w:eastAsia="Times New Roman" w:cs="Arial"/>
                <w:sz w:val="20"/>
                <w:szCs w:val="20"/>
              </w:rPr>
            </w:pPr>
            <w:r w:rsidRPr="008E6A5C">
              <w:rPr>
                <w:rFonts w:eastAsia="Times New Roman" w:cs="Arial"/>
                <w:sz w:val="20"/>
                <w:szCs w:val="20"/>
              </w:rPr>
              <w:t>0.12 - 0.5 ª</w:t>
            </w:r>
          </w:p>
        </w:tc>
        <w:tc>
          <w:tcPr>
            <w:tcW w:w="720" w:type="dxa"/>
            <w:shd w:val="clear" w:color="auto" w:fill="auto"/>
            <w:noWrap/>
            <w:vAlign w:val="center"/>
            <w:hideMark/>
          </w:tcPr>
          <w:p w14:paraId="30146EAF" w14:textId="15AA2902"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Pos</w:t>
            </w:r>
          </w:p>
        </w:tc>
        <w:tc>
          <w:tcPr>
            <w:tcW w:w="900" w:type="dxa"/>
            <w:shd w:val="clear" w:color="auto" w:fill="auto"/>
            <w:vAlign w:val="center"/>
            <w:hideMark/>
          </w:tcPr>
          <w:p w14:paraId="1AE6F928" w14:textId="1A7861DA"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Neg</w:t>
            </w:r>
          </w:p>
        </w:tc>
        <w:tc>
          <w:tcPr>
            <w:tcW w:w="2070" w:type="dxa"/>
            <w:gridSpan w:val="2"/>
            <w:shd w:val="clear" w:color="auto" w:fill="auto"/>
            <w:vAlign w:val="center"/>
            <w:hideMark/>
          </w:tcPr>
          <w:p w14:paraId="29F1353F" w14:textId="77777777"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2.5 - 5  ª</w:t>
            </w:r>
          </w:p>
        </w:tc>
        <w:tc>
          <w:tcPr>
            <w:tcW w:w="630" w:type="dxa"/>
            <w:shd w:val="clear" w:color="auto" w:fill="auto"/>
            <w:noWrap/>
            <w:vAlign w:val="center"/>
            <w:hideMark/>
          </w:tcPr>
          <w:p w14:paraId="259470D4" w14:textId="1E3D2E0B"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Pos</w:t>
            </w:r>
          </w:p>
        </w:tc>
        <w:tc>
          <w:tcPr>
            <w:tcW w:w="905" w:type="dxa"/>
            <w:shd w:val="clear" w:color="auto" w:fill="auto"/>
            <w:noWrap/>
            <w:vAlign w:val="center"/>
            <w:hideMark/>
          </w:tcPr>
          <w:p w14:paraId="4AB93EAB" w14:textId="4BFA8196"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Pos</w:t>
            </w:r>
          </w:p>
        </w:tc>
      </w:tr>
      <w:tr w:rsidR="00FA4868" w:rsidRPr="008E6A5C" w14:paraId="34336A56" w14:textId="77777777" w:rsidTr="00FA4868">
        <w:trPr>
          <w:trHeight w:val="245"/>
        </w:trPr>
        <w:tc>
          <w:tcPr>
            <w:tcW w:w="2515" w:type="dxa"/>
            <w:shd w:val="clear" w:color="auto" w:fill="auto"/>
            <w:noWrap/>
            <w:vAlign w:val="center"/>
            <w:hideMark/>
          </w:tcPr>
          <w:p w14:paraId="6186CD70" w14:textId="77777777" w:rsidR="0007482B" w:rsidRPr="008E6A5C" w:rsidRDefault="0007482B" w:rsidP="0007482B">
            <w:pPr>
              <w:spacing w:line="240" w:lineRule="auto"/>
              <w:ind w:firstLine="0"/>
              <w:rPr>
                <w:rFonts w:eastAsia="Times New Roman" w:cs="Arial"/>
                <w:color w:val="000000"/>
                <w:sz w:val="20"/>
                <w:szCs w:val="20"/>
              </w:rPr>
            </w:pPr>
            <w:r w:rsidRPr="008E6A5C">
              <w:rPr>
                <w:rFonts w:eastAsia="Times New Roman" w:cs="Arial"/>
                <w:color w:val="000000"/>
                <w:sz w:val="20"/>
                <w:szCs w:val="20"/>
              </w:rPr>
              <w:t>2-Acetylaminofluorene</w:t>
            </w:r>
          </w:p>
        </w:tc>
        <w:tc>
          <w:tcPr>
            <w:tcW w:w="1980" w:type="dxa"/>
            <w:shd w:val="clear" w:color="auto" w:fill="auto"/>
            <w:vAlign w:val="center"/>
            <w:hideMark/>
          </w:tcPr>
          <w:p w14:paraId="698214C9" w14:textId="77777777"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 xml:space="preserve">0.02 - 0.6 </w:t>
            </w:r>
            <w:r w:rsidRPr="008E6A5C">
              <w:rPr>
                <w:rFonts w:eastAsia="Times New Roman" w:cs="Arial"/>
                <w:color w:val="000000"/>
                <w:sz w:val="20"/>
                <w:szCs w:val="20"/>
                <w:vertAlign w:val="superscript"/>
              </w:rPr>
              <w:t>b</w:t>
            </w:r>
          </w:p>
        </w:tc>
        <w:tc>
          <w:tcPr>
            <w:tcW w:w="720" w:type="dxa"/>
            <w:shd w:val="clear" w:color="auto" w:fill="auto"/>
            <w:vAlign w:val="center"/>
            <w:hideMark/>
          </w:tcPr>
          <w:p w14:paraId="3E6455F6" w14:textId="419F3A27"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Pos</w:t>
            </w:r>
          </w:p>
        </w:tc>
        <w:tc>
          <w:tcPr>
            <w:tcW w:w="900" w:type="dxa"/>
            <w:shd w:val="clear" w:color="auto" w:fill="auto"/>
            <w:vAlign w:val="center"/>
            <w:hideMark/>
          </w:tcPr>
          <w:p w14:paraId="2A428A45" w14:textId="0ED5AC87"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Pos</w:t>
            </w:r>
          </w:p>
        </w:tc>
        <w:tc>
          <w:tcPr>
            <w:tcW w:w="2070" w:type="dxa"/>
            <w:gridSpan w:val="2"/>
            <w:shd w:val="clear" w:color="auto" w:fill="auto"/>
            <w:vAlign w:val="center"/>
            <w:hideMark/>
          </w:tcPr>
          <w:p w14:paraId="55BF52FB" w14:textId="77777777"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0.0005 - 0.05</w:t>
            </w:r>
          </w:p>
        </w:tc>
        <w:tc>
          <w:tcPr>
            <w:tcW w:w="630" w:type="dxa"/>
            <w:shd w:val="clear" w:color="auto" w:fill="auto"/>
            <w:noWrap/>
            <w:vAlign w:val="center"/>
            <w:hideMark/>
          </w:tcPr>
          <w:p w14:paraId="27DF3FD3" w14:textId="0C2B48E0"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Pos</w:t>
            </w:r>
          </w:p>
        </w:tc>
        <w:tc>
          <w:tcPr>
            <w:tcW w:w="905" w:type="dxa"/>
            <w:shd w:val="clear" w:color="auto" w:fill="auto"/>
            <w:noWrap/>
            <w:vAlign w:val="center"/>
            <w:hideMark/>
          </w:tcPr>
          <w:p w14:paraId="3AA056EC" w14:textId="77777777" w:rsidR="0007482B" w:rsidRPr="008E6A5C" w:rsidRDefault="0007482B" w:rsidP="0007482B">
            <w:pPr>
              <w:spacing w:line="240" w:lineRule="auto"/>
              <w:ind w:firstLine="0"/>
              <w:jc w:val="center"/>
              <w:rPr>
                <w:rFonts w:eastAsia="Times New Roman" w:cs="Arial"/>
                <w:color w:val="000000"/>
                <w:sz w:val="20"/>
                <w:szCs w:val="20"/>
              </w:rPr>
            </w:pPr>
          </w:p>
        </w:tc>
      </w:tr>
      <w:tr w:rsidR="00FA4868" w:rsidRPr="008E6A5C" w14:paraId="33760D83" w14:textId="77777777" w:rsidTr="00FA4868">
        <w:trPr>
          <w:trHeight w:val="245"/>
        </w:trPr>
        <w:tc>
          <w:tcPr>
            <w:tcW w:w="2515" w:type="dxa"/>
            <w:shd w:val="clear" w:color="auto" w:fill="auto"/>
            <w:noWrap/>
            <w:vAlign w:val="bottom"/>
            <w:hideMark/>
          </w:tcPr>
          <w:p w14:paraId="33832D79" w14:textId="77777777" w:rsidR="0007482B" w:rsidRPr="008E6A5C" w:rsidRDefault="0007482B" w:rsidP="0007482B">
            <w:pPr>
              <w:spacing w:line="240" w:lineRule="auto"/>
              <w:ind w:firstLine="0"/>
              <w:rPr>
                <w:rFonts w:eastAsia="Times New Roman" w:cs="Arial"/>
                <w:color w:val="000000"/>
                <w:sz w:val="20"/>
                <w:szCs w:val="20"/>
              </w:rPr>
            </w:pPr>
            <w:r w:rsidRPr="008E6A5C">
              <w:rPr>
                <w:rFonts w:eastAsia="Times New Roman" w:cs="Arial"/>
                <w:color w:val="000000"/>
                <w:sz w:val="20"/>
                <w:szCs w:val="20"/>
              </w:rPr>
              <w:t>Aflatoxin B</w:t>
            </w:r>
            <w:r w:rsidRPr="008E6A5C">
              <w:rPr>
                <w:rFonts w:eastAsia="Times New Roman" w:cs="Arial"/>
                <w:color w:val="000000"/>
                <w:sz w:val="20"/>
                <w:szCs w:val="20"/>
                <w:vertAlign w:val="subscript"/>
              </w:rPr>
              <w:t>1</w:t>
            </w:r>
            <w:r w:rsidRPr="008E6A5C">
              <w:rPr>
                <w:rFonts w:eastAsia="Times New Roman" w:cs="Arial"/>
                <w:color w:val="000000"/>
                <w:sz w:val="20"/>
                <w:szCs w:val="20"/>
                <w:vertAlign w:val="superscript"/>
              </w:rPr>
              <w:t xml:space="preserve"> </w:t>
            </w:r>
          </w:p>
        </w:tc>
        <w:tc>
          <w:tcPr>
            <w:tcW w:w="1980" w:type="dxa"/>
            <w:shd w:val="clear" w:color="auto" w:fill="auto"/>
            <w:vAlign w:val="center"/>
            <w:hideMark/>
          </w:tcPr>
          <w:p w14:paraId="6C7B610E" w14:textId="77777777"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0.0002 -  0.003 ª</w:t>
            </w:r>
          </w:p>
        </w:tc>
        <w:tc>
          <w:tcPr>
            <w:tcW w:w="720" w:type="dxa"/>
            <w:shd w:val="clear" w:color="auto" w:fill="auto"/>
            <w:vAlign w:val="center"/>
            <w:hideMark/>
          </w:tcPr>
          <w:p w14:paraId="54473F5C" w14:textId="115F56AF"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Neg</w:t>
            </w:r>
          </w:p>
        </w:tc>
        <w:tc>
          <w:tcPr>
            <w:tcW w:w="900" w:type="dxa"/>
            <w:shd w:val="clear" w:color="auto" w:fill="auto"/>
            <w:vAlign w:val="center"/>
            <w:hideMark/>
          </w:tcPr>
          <w:p w14:paraId="4C568E34" w14:textId="70BC17C1"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Pos</w:t>
            </w:r>
          </w:p>
        </w:tc>
        <w:tc>
          <w:tcPr>
            <w:tcW w:w="2070" w:type="dxa"/>
            <w:gridSpan w:val="2"/>
            <w:shd w:val="clear" w:color="auto" w:fill="auto"/>
            <w:vAlign w:val="center"/>
            <w:hideMark/>
          </w:tcPr>
          <w:p w14:paraId="2F9A3C4E" w14:textId="77777777"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 xml:space="preserve">0.062 </w:t>
            </w:r>
            <w:proofErr w:type="spellStart"/>
            <w:r w:rsidRPr="008E6A5C">
              <w:rPr>
                <w:rFonts w:eastAsia="Times New Roman" w:cs="Arial"/>
                <w:color w:val="000000"/>
                <w:sz w:val="20"/>
                <w:szCs w:val="20"/>
              </w:rPr>
              <w:t>μg</w:t>
            </w:r>
            <w:proofErr w:type="spellEnd"/>
            <w:r w:rsidRPr="008E6A5C">
              <w:rPr>
                <w:rFonts w:eastAsia="Times New Roman" w:cs="Arial"/>
                <w:color w:val="000000"/>
                <w:sz w:val="20"/>
                <w:szCs w:val="20"/>
              </w:rPr>
              <w:t xml:space="preserve"> - 0.0062</w:t>
            </w:r>
          </w:p>
        </w:tc>
        <w:tc>
          <w:tcPr>
            <w:tcW w:w="630" w:type="dxa"/>
            <w:shd w:val="clear" w:color="auto" w:fill="auto"/>
            <w:noWrap/>
            <w:vAlign w:val="center"/>
            <w:hideMark/>
          </w:tcPr>
          <w:p w14:paraId="4B0846E4" w14:textId="77777777" w:rsidR="0007482B" w:rsidRPr="008E6A5C" w:rsidRDefault="0007482B" w:rsidP="0007482B">
            <w:pPr>
              <w:spacing w:line="240" w:lineRule="auto"/>
              <w:ind w:firstLine="0"/>
              <w:jc w:val="center"/>
              <w:rPr>
                <w:rFonts w:eastAsia="Times New Roman" w:cs="Arial"/>
                <w:color w:val="000000"/>
                <w:sz w:val="20"/>
                <w:szCs w:val="20"/>
              </w:rPr>
            </w:pPr>
          </w:p>
        </w:tc>
        <w:tc>
          <w:tcPr>
            <w:tcW w:w="905" w:type="dxa"/>
            <w:shd w:val="clear" w:color="auto" w:fill="auto"/>
            <w:noWrap/>
            <w:vAlign w:val="center"/>
            <w:hideMark/>
          </w:tcPr>
          <w:p w14:paraId="17946868" w14:textId="65047FC8"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 xml:space="preserve">Pos </w:t>
            </w:r>
            <w:r w:rsidRPr="008E6A5C">
              <w:rPr>
                <w:rFonts w:eastAsia="Times New Roman" w:cs="Arial"/>
                <w:color w:val="000000"/>
                <w:sz w:val="20"/>
                <w:szCs w:val="20"/>
                <w:vertAlign w:val="superscript"/>
              </w:rPr>
              <w:t>c</w:t>
            </w:r>
          </w:p>
        </w:tc>
      </w:tr>
      <w:tr w:rsidR="00FA4868" w:rsidRPr="008E6A5C" w14:paraId="496C0222" w14:textId="77777777" w:rsidTr="00FA4868">
        <w:trPr>
          <w:trHeight w:val="245"/>
        </w:trPr>
        <w:tc>
          <w:tcPr>
            <w:tcW w:w="2515" w:type="dxa"/>
            <w:shd w:val="clear" w:color="auto" w:fill="auto"/>
            <w:noWrap/>
            <w:vAlign w:val="center"/>
            <w:hideMark/>
          </w:tcPr>
          <w:p w14:paraId="52F1291D" w14:textId="77777777" w:rsidR="0007482B" w:rsidRPr="008E6A5C" w:rsidRDefault="0007482B" w:rsidP="0007482B">
            <w:pPr>
              <w:spacing w:line="240" w:lineRule="auto"/>
              <w:ind w:firstLine="0"/>
              <w:rPr>
                <w:rFonts w:eastAsia="Times New Roman" w:cs="Arial"/>
                <w:color w:val="000000"/>
                <w:sz w:val="20"/>
                <w:szCs w:val="20"/>
              </w:rPr>
            </w:pPr>
            <w:r w:rsidRPr="008E6A5C">
              <w:rPr>
                <w:rFonts w:eastAsia="Times New Roman" w:cs="Arial"/>
                <w:color w:val="000000"/>
                <w:sz w:val="20"/>
                <w:szCs w:val="20"/>
              </w:rPr>
              <w:t xml:space="preserve">Benzo[a]pyrene </w:t>
            </w:r>
          </w:p>
        </w:tc>
        <w:tc>
          <w:tcPr>
            <w:tcW w:w="1980" w:type="dxa"/>
            <w:shd w:val="clear" w:color="auto" w:fill="auto"/>
            <w:noWrap/>
            <w:vAlign w:val="center"/>
            <w:hideMark/>
          </w:tcPr>
          <w:p w14:paraId="417577C0" w14:textId="77777777"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0.03 - 0.5</w:t>
            </w:r>
          </w:p>
        </w:tc>
        <w:tc>
          <w:tcPr>
            <w:tcW w:w="720" w:type="dxa"/>
            <w:shd w:val="clear" w:color="auto" w:fill="auto"/>
            <w:vAlign w:val="center"/>
            <w:hideMark/>
          </w:tcPr>
          <w:p w14:paraId="527FE321" w14:textId="381C6D2E"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Pos</w:t>
            </w:r>
          </w:p>
        </w:tc>
        <w:tc>
          <w:tcPr>
            <w:tcW w:w="900" w:type="dxa"/>
            <w:shd w:val="clear" w:color="auto" w:fill="auto"/>
            <w:vAlign w:val="center"/>
            <w:hideMark/>
          </w:tcPr>
          <w:p w14:paraId="0F3955CA" w14:textId="3ABD2B62"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Pos</w:t>
            </w:r>
          </w:p>
        </w:tc>
        <w:tc>
          <w:tcPr>
            <w:tcW w:w="2070" w:type="dxa"/>
            <w:gridSpan w:val="2"/>
            <w:shd w:val="clear" w:color="auto" w:fill="auto"/>
            <w:vAlign w:val="center"/>
            <w:hideMark/>
          </w:tcPr>
          <w:p w14:paraId="259CCFF8" w14:textId="77777777"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0.05 - 0.3</w:t>
            </w:r>
          </w:p>
        </w:tc>
        <w:tc>
          <w:tcPr>
            <w:tcW w:w="630" w:type="dxa"/>
            <w:shd w:val="clear" w:color="auto" w:fill="auto"/>
            <w:noWrap/>
            <w:vAlign w:val="center"/>
            <w:hideMark/>
          </w:tcPr>
          <w:p w14:paraId="0BE32FAB" w14:textId="13855561"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Pos</w:t>
            </w:r>
          </w:p>
        </w:tc>
        <w:tc>
          <w:tcPr>
            <w:tcW w:w="905" w:type="dxa"/>
            <w:shd w:val="clear" w:color="auto" w:fill="auto"/>
            <w:noWrap/>
            <w:vAlign w:val="center"/>
            <w:hideMark/>
          </w:tcPr>
          <w:p w14:paraId="25A86D0B" w14:textId="77777777" w:rsidR="0007482B" w:rsidRPr="008E6A5C" w:rsidRDefault="0007482B" w:rsidP="0007482B">
            <w:pPr>
              <w:spacing w:line="240" w:lineRule="auto"/>
              <w:ind w:firstLine="0"/>
              <w:jc w:val="center"/>
              <w:rPr>
                <w:rFonts w:eastAsia="Times New Roman" w:cs="Arial"/>
                <w:color w:val="000000"/>
                <w:sz w:val="20"/>
                <w:szCs w:val="20"/>
              </w:rPr>
            </w:pPr>
          </w:p>
        </w:tc>
      </w:tr>
      <w:tr w:rsidR="00FA4868" w:rsidRPr="008E6A5C" w14:paraId="6596C406" w14:textId="77777777" w:rsidTr="00FA4868">
        <w:trPr>
          <w:trHeight w:val="245"/>
        </w:trPr>
        <w:tc>
          <w:tcPr>
            <w:tcW w:w="2515" w:type="dxa"/>
            <w:shd w:val="clear" w:color="auto" w:fill="auto"/>
            <w:noWrap/>
            <w:vAlign w:val="center"/>
            <w:hideMark/>
          </w:tcPr>
          <w:p w14:paraId="4F9AA299" w14:textId="77777777" w:rsidR="0007482B" w:rsidRPr="008E6A5C" w:rsidRDefault="0007482B" w:rsidP="0007482B">
            <w:pPr>
              <w:spacing w:line="240" w:lineRule="auto"/>
              <w:ind w:firstLine="0"/>
              <w:rPr>
                <w:rFonts w:eastAsia="Times New Roman" w:cs="Arial"/>
                <w:color w:val="000000"/>
                <w:sz w:val="20"/>
                <w:szCs w:val="20"/>
              </w:rPr>
            </w:pPr>
            <w:r w:rsidRPr="008E6A5C">
              <w:rPr>
                <w:rFonts w:eastAsia="Times New Roman" w:cs="Arial"/>
                <w:color w:val="000000"/>
                <w:sz w:val="20"/>
                <w:szCs w:val="20"/>
              </w:rPr>
              <w:t>Caffeine</w:t>
            </w:r>
          </w:p>
        </w:tc>
        <w:tc>
          <w:tcPr>
            <w:tcW w:w="1980" w:type="dxa"/>
            <w:shd w:val="clear" w:color="auto" w:fill="auto"/>
            <w:vAlign w:val="center"/>
            <w:hideMark/>
          </w:tcPr>
          <w:p w14:paraId="51BFFA57" w14:textId="77777777"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2.5 - 5</w:t>
            </w:r>
          </w:p>
        </w:tc>
        <w:tc>
          <w:tcPr>
            <w:tcW w:w="720" w:type="dxa"/>
            <w:shd w:val="clear" w:color="auto" w:fill="auto"/>
            <w:vAlign w:val="center"/>
            <w:hideMark/>
          </w:tcPr>
          <w:p w14:paraId="4CF3C6AD" w14:textId="63BDAB1F"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Neg</w:t>
            </w:r>
          </w:p>
        </w:tc>
        <w:tc>
          <w:tcPr>
            <w:tcW w:w="900" w:type="dxa"/>
            <w:shd w:val="clear" w:color="auto" w:fill="auto"/>
            <w:vAlign w:val="center"/>
            <w:hideMark/>
          </w:tcPr>
          <w:p w14:paraId="3F19CA57" w14:textId="78ABF7DE"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Neg</w:t>
            </w:r>
          </w:p>
        </w:tc>
        <w:tc>
          <w:tcPr>
            <w:tcW w:w="2070" w:type="dxa"/>
            <w:gridSpan w:val="2"/>
            <w:shd w:val="clear" w:color="auto" w:fill="auto"/>
            <w:vAlign w:val="center"/>
            <w:hideMark/>
          </w:tcPr>
          <w:p w14:paraId="5B74503C" w14:textId="77777777"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5 - 10</w:t>
            </w:r>
          </w:p>
        </w:tc>
        <w:tc>
          <w:tcPr>
            <w:tcW w:w="630" w:type="dxa"/>
            <w:shd w:val="clear" w:color="auto" w:fill="auto"/>
            <w:noWrap/>
            <w:vAlign w:val="center"/>
            <w:hideMark/>
          </w:tcPr>
          <w:p w14:paraId="1836E577" w14:textId="2DEA0134"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Neg</w:t>
            </w:r>
          </w:p>
        </w:tc>
        <w:tc>
          <w:tcPr>
            <w:tcW w:w="905" w:type="dxa"/>
            <w:shd w:val="clear" w:color="auto" w:fill="auto"/>
            <w:noWrap/>
            <w:vAlign w:val="center"/>
            <w:hideMark/>
          </w:tcPr>
          <w:p w14:paraId="0D0DCDA4" w14:textId="10BD3181"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Neg</w:t>
            </w:r>
          </w:p>
        </w:tc>
      </w:tr>
      <w:tr w:rsidR="00FA4868" w:rsidRPr="008E6A5C" w14:paraId="23AFD0A8" w14:textId="77777777" w:rsidTr="00FA4868">
        <w:trPr>
          <w:trHeight w:val="245"/>
        </w:trPr>
        <w:tc>
          <w:tcPr>
            <w:tcW w:w="2515" w:type="dxa"/>
            <w:shd w:val="clear" w:color="auto" w:fill="auto"/>
            <w:noWrap/>
            <w:vAlign w:val="center"/>
            <w:hideMark/>
          </w:tcPr>
          <w:p w14:paraId="63EB03E7" w14:textId="77777777" w:rsidR="0007482B" w:rsidRPr="008E6A5C" w:rsidRDefault="0007482B" w:rsidP="0007482B">
            <w:pPr>
              <w:spacing w:line="240" w:lineRule="auto"/>
              <w:ind w:firstLine="0"/>
              <w:rPr>
                <w:rFonts w:eastAsia="Times New Roman" w:cs="Arial"/>
                <w:color w:val="000000"/>
                <w:sz w:val="20"/>
                <w:szCs w:val="20"/>
              </w:rPr>
            </w:pPr>
            <w:r w:rsidRPr="008E6A5C">
              <w:rPr>
                <w:rFonts w:eastAsia="Times New Roman" w:cs="Arial"/>
                <w:color w:val="000000"/>
                <w:sz w:val="20"/>
                <w:szCs w:val="20"/>
              </w:rPr>
              <w:t>Eugenol</w:t>
            </w:r>
          </w:p>
        </w:tc>
        <w:tc>
          <w:tcPr>
            <w:tcW w:w="1980" w:type="dxa"/>
            <w:shd w:val="clear" w:color="auto" w:fill="auto"/>
            <w:vAlign w:val="center"/>
            <w:hideMark/>
          </w:tcPr>
          <w:p w14:paraId="3A80869F" w14:textId="77777777"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1.5 - 3 ª</w:t>
            </w:r>
          </w:p>
        </w:tc>
        <w:tc>
          <w:tcPr>
            <w:tcW w:w="720" w:type="dxa"/>
            <w:shd w:val="clear" w:color="auto" w:fill="auto"/>
            <w:vAlign w:val="center"/>
            <w:hideMark/>
          </w:tcPr>
          <w:p w14:paraId="6FB952AF" w14:textId="56C49C52"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Neg</w:t>
            </w:r>
          </w:p>
        </w:tc>
        <w:tc>
          <w:tcPr>
            <w:tcW w:w="900" w:type="dxa"/>
            <w:shd w:val="clear" w:color="auto" w:fill="auto"/>
            <w:vAlign w:val="center"/>
            <w:hideMark/>
          </w:tcPr>
          <w:p w14:paraId="33A5E402" w14:textId="5AF49A4C"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Neg</w:t>
            </w:r>
          </w:p>
        </w:tc>
        <w:tc>
          <w:tcPr>
            <w:tcW w:w="2070" w:type="dxa"/>
            <w:gridSpan w:val="2"/>
            <w:shd w:val="clear" w:color="auto" w:fill="auto"/>
            <w:vAlign w:val="center"/>
            <w:hideMark/>
          </w:tcPr>
          <w:p w14:paraId="7E28F1DF" w14:textId="77777777"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1 - 2.5  ª</w:t>
            </w:r>
          </w:p>
        </w:tc>
        <w:tc>
          <w:tcPr>
            <w:tcW w:w="630" w:type="dxa"/>
            <w:shd w:val="clear" w:color="auto" w:fill="auto"/>
            <w:noWrap/>
            <w:vAlign w:val="center"/>
            <w:hideMark/>
          </w:tcPr>
          <w:p w14:paraId="03D3ED5A" w14:textId="1A00E11F"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Neg</w:t>
            </w:r>
          </w:p>
        </w:tc>
        <w:tc>
          <w:tcPr>
            <w:tcW w:w="905" w:type="dxa"/>
            <w:shd w:val="clear" w:color="auto" w:fill="auto"/>
            <w:noWrap/>
            <w:vAlign w:val="center"/>
            <w:hideMark/>
          </w:tcPr>
          <w:p w14:paraId="74455A8D" w14:textId="75CC28E1"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Neg</w:t>
            </w:r>
          </w:p>
        </w:tc>
      </w:tr>
      <w:tr w:rsidR="00FA4868" w:rsidRPr="008E6A5C" w14:paraId="607B20DE" w14:textId="77777777" w:rsidTr="00FA4868">
        <w:trPr>
          <w:trHeight w:val="245"/>
        </w:trPr>
        <w:tc>
          <w:tcPr>
            <w:tcW w:w="2515" w:type="dxa"/>
            <w:shd w:val="clear" w:color="auto" w:fill="auto"/>
            <w:noWrap/>
            <w:vAlign w:val="center"/>
            <w:hideMark/>
          </w:tcPr>
          <w:p w14:paraId="2AE47335" w14:textId="77777777" w:rsidR="0007482B" w:rsidRPr="008E6A5C" w:rsidRDefault="0007482B" w:rsidP="0007482B">
            <w:pPr>
              <w:spacing w:line="240" w:lineRule="auto"/>
              <w:ind w:firstLine="0"/>
              <w:rPr>
                <w:rFonts w:eastAsia="Times New Roman" w:cs="Arial"/>
                <w:color w:val="000000"/>
                <w:sz w:val="20"/>
                <w:szCs w:val="20"/>
              </w:rPr>
            </w:pPr>
            <w:r w:rsidRPr="008E6A5C">
              <w:rPr>
                <w:rFonts w:eastAsia="Times New Roman" w:cs="Arial"/>
                <w:color w:val="000000"/>
                <w:sz w:val="20"/>
                <w:szCs w:val="20"/>
              </w:rPr>
              <w:t>Griseofulvin</w:t>
            </w:r>
          </w:p>
        </w:tc>
        <w:tc>
          <w:tcPr>
            <w:tcW w:w="1980" w:type="dxa"/>
            <w:shd w:val="clear" w:color="auto" w:fill="auto"/>
            <w:vAlign w:val="center"/>
            <w:hideMark/>
          </w:tcPr>
          <w:p w14:paraId="2725C103" w14:textId="58021F38"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0.1 - 0.4</w:t>
            </w:r>
          </w:p>
        </w:tc>
        <w:tc>
          <w:tcPr>
            <w:tcW w:w="720" w:type="dxa"/>
            <w:shd w:val="clear" w:color="auto" w:fill="auto"/>
            <w:vAlign w:val="center"/>
            <w:hideMark/>
          </w:tcPr>
          <w:p w14:paraId="6E6A4570" w14:textId="718562C6"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Neg</w:t>
            </w:r>
          </w:p>
        </w:tc>
        <w:tc>
          <w:tcPr>
            <w:tcW w:w="900" w:type="dxa"/>
            <w:shd w:val="clear" w:color="auto" w:fill="auto"/>
            <w:vAlign w:val="center"/>
            <w:hideMark/>
          </w:tcPr>
          <w:p w14:paraId="7DF6C01C" w14:textId="07BB5D46"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Pos</w:t>
            </w:r>
          </w:p>
        </w:tc>
        <w:tc>
          <w:tcPr>
            <w:tcW w:w="2070" w:type="dxa"/>
            <w:gridSpan w:val="2"/>
            <w:shd w:val="clear" w:color="auto" w:fill="auto"/>
            <w:vAlign w:val="center"/>
            <w:hideMark/>
          </w:tcPr>
          <w:p w14:paraId="7E34FE0F" w14:textId="77777777"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1 - 1.5</w:t>
            </w:r>
          </w:p>
        </w:tc>
        <w:tc>
          <w:tcPr>
            <w:tcW w:w="630" w:type="dxa"/>
            <w:shd w:val="clear" w:color="auto" w:fill="auto"/>
            <w:noWrap/>
            <w:vAlign w:val="center"/>
            <w:hideMark/>
          </w:tcPr>
          <w:p w14:paraId="52038A72" w14:textId="75723CF9"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Neg</w:t>
            </w:r>
          </w:p>
        </w:tc>
        <w:tc>
          <w:tcPr>
            <w:tcW w:w="905" w:type="dxa"/>
            <w:shd w:val="clear" w:color="auto" w:fill="auto"/>
            <w:noWrap/>
            <w:vAlign w:val="center"/>
            <w:hideMark/>
          </w:tcPr>
          <w:p w14:paraId="6CE32123" w14:textId="4319CA49"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Neg</w:t>
            </w:r>
          </w:p>
        </w:tc>
      </w:tr>
      <w:tr w:rsidR="00FA4868" w:rsidRPr="008E6A5C" w14:paraId="622712B4" w14:textId="77777777" w:rsidTr="00FA4868">
        <w:trPr>
          <w:trHeight w:val="245"/>
        </w:trPr>
        <w:tc>
          <w:tcPr>
            <w:tcW w:w="2515" w:type="dxa"/>
            <w:shd w:val="clear" w:color="auto" w:fill="auto"/>
            <w:noWrap/>
            <w:vAlign w:val="center"/>
            <w:hideMark/>
          </w:tcPr>
          <w:p w14:paraId="6EA8C6E0" w14:textId="77777777" w:rsidR="0007482B" w:rsidRPr="008E6A5C" w:rsidRDefault="0007482B" w:rsidP="0007482B">
            <w:pPr>
              <w:spacing w:line="240" w:lineRule="auto"/>
              <w:ind w:firstLine="0"/>
              <w:rPr>
                <w:rFonts w:eastAsia="Times New Roman" w:cs="Arial"/>
                <w:color w:val="000000"/>
                <w:sz w:val="20"/>
                <w:szCs w:val="20"/>
              </w:rPr>
            </w:pPr>
            <w:proofErr w:type="spellStart"/>
            <w:r w:rsidRPr="008E6A5C">
              <w:rPr>
                <w:rFonts w:eastAsia="Times New Roman" w:cs="Arial"/>
                <w:color w:val="000000"/>
                <w:sz w:val="20"/>
                <w:szCs w:val="20"/>
              </w:rPr>
              <w:t>Isoquinoline</w:t>
            </w:r>
            <w:proofErr w:type="spellEnd"/>
          </w:p>
        </w:tc>
        <w:tc>
          <w:tcPr>
            <w:tcW w:w="1980" w:type="dxa"/>
            <w:shd w:val="clear" w:color="auto" w:fill="auto"/>
            <w:vAlign w:val="center"/>
            <w:hideMark/>
          </w:tcPr>
          <w:p w14:paraId="1C05B9ED" w14:textId="77777777"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2 - 4 ª</w:t>
            </w:r>
          </w:p>
        </w:tc>
        <w:tc>
          <w:tcPr>
            <w:tcW w:w="720" w:type="dxa"/>
            <w:shd w:val="clear" w:color="auto" w:fill="auto"/>
            <w:vAlign w:val="center"/>
            <w:hideMark/>
          </w:tcPr>
          <w:p w14:paraId="22BA727F" w14:textId="2F300C0C"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Pos</w:t>
            </w:r>
          </w:p>
        </w:tc>
        <w:tc>
          <w:tcPr>
            <w:tcW w:w="900" w:type="dxa"/>
            <w:shd w:val="clear" w:color="auto" w:fill="auto"/>
            <w:vAlign w:val="center"/>
            <w:hideMark/>
          </w:tcPr>
          <w:p w14:paraId="65C72ADB" w14:textId="11AF3D99"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Pos</w:t>
            </w:r>
          </w:p>
        </w:tc>
        <w:tc>
          <w:tcPr>
            <w:tcW w:w="2070" w:type="dxa"/>
            <w:gridSpan w:val="2"/>
            <w:shd w:val="clear" w:color="auto" w:fill="auto"/>
            <w:vAlign w:val="center"/>
            <w:hideMark/>
          </w:tcPr>
          <w:p w14:paraId="24C400A8" w14:textId="77777777"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3.8 - 15</w:t>
            </w:r>
          </w:p>
        </w:tc>
        <w:tc>
          <w:tcPr>
            <w:tcW w:w="630" w:type="dxa"/>
            <w:shd w:val="clear" w:color="auto" w:fill="auto"/>
            <w:noWrap/>
            <w:vAlign w:val="center"/>
            <w:hideMark/>
          </w:tcPr>
          <w:p w14:paraId="0E59F27E" w14:textId="69BDBB5C"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Neg</w:t>
            </w:r>
          </w:p>
        </w:tc>
        <w:tc>
          <w:tcPr>
            <w:tcW w:w="905" w:type="dxa"/>
            <w:shd w:val="clear" w:color="auto" w:fill="auto"/>
            <w:noWrap/>
            <w:vAlign w:val="center"/>
            <w:hideMark/>
          </w:tcPr>
          <w:p w14:paraId="2BB88DDD" w14:textId="090DA2B6"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Pos</w:t>
            </w:r>
          </w:p>
        </w:tc>
      </w:tr>
      <w:tr w:rsidR="00FA4868" w:rsidRPr="008E6A5C" w14:paraId="163BC807" w14:textId="77777777" w:rsidTr="00FA4868">
        <w:trPr>
          <w:trHeight w:val="245"/>
        </w:trPr>
        <w:tc>
          <w:tcPr>
            <w:tcW w:w="2515" w:type="dxa"/>
            <w:shd w:val="clear" w:color="auto" w:fill="auto"/>
            <w:noWrap/>
            <w:vAlign w:val="bottom"/>
            <w:hideMark/>
          </w:tcPr>
          <w:p w14:paraId="10055ECE" w14:textId="77777777" w:rsidR="0007482B" w:rsidRPr="008E6A5C" w:rsidRDefault="0007482B" w:rsidP="0007482B">
            <w:pPr>
              <w:spacing w:line="240" w:lineRule="auto"/>
              <w:ind w:firstLine="0"/>
              <w:rPr>
                <w:rFonts w:eastAsia="Times New Roman" w:cs="Arial"/>
                <w:color w:val="000000"/>
                <w:sz w:val="20"/>
                <w:szCs w:val="20"/>
              </w:rPr>
            </w:pPr>
            <w:proofErr w:type="spellStart"/>
            <w:r w:rsidRPr="008E6A5C">
              <w:rPr>
                <w:rFonts w:eastAsia="Times New Roman" w:cs="Arial"/>
                <w:color w:val="000000"/>
                <w:sz w:val="20"/>
                <w:szCs w:val="20"/>
              </w:rPr>
              <w:t>Lasiocarpine</w:t>
            </w:r>
            <w:proofErr w:type="spellEnd"/>
          </w:p>
        </w:tc>
        <w:tc>
          <w:tcPr>
            <w:tcW w:w="1980" w:type="dxa"/>
            <w:shd w:val="clear" w:color="auto" w:fill="auto"/>
            <w:vAlign w:val="center"/>
            <w:hideMark/>
          </w:tcPr>
          <w:p w14:paraId="21AAFEE7" w14:textId="77777777"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0.25 - 0.5 ª</w:t>
            </w:r>
          </w:p>
        </w:tc>
        <w:tc>
          <w:tcPr>
            <w:tcW w:w="720" w:type="dxa"/>
            <w:shd w:val="clear" w:color="auto" w:fill="auto"/>
            <w:vAlign w:val="center"/>
            <w:hideMark/>
          </w:tcPr>
          <w:p w14:paraId="3801BA03" w14:textId="04C3276E"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Neg</w:t>
            </w:r>
          </w:p>
        </w:tc>
        <w:tc>
          <w:tcPr>
            <w:tcW w:w="900" w:type="dxa"/>
            <w:shd w:val="clear" w:color="auto" w:fill="auto"/>
            <w:vAlign w:val="center"/>
            <w:hideMark/>
          </w:tcPr>
          <w:p w14:paraId="3549D39E" w14:textId="32DEB60F"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Neg</w:t>
            </w:r>
          </w:p>
        </w:tc>
        <w:tc>
          <w:tcPr>
            <w:tcW w:w="2070" w:type="dxa"/>
            <w:gridSpan w:val="2"/>
            <w:shd w:val="clear" w:color="auto" w:fill="auto"/>
            <w:vAlign w:val="center"/>
            <w:hideMark/>
          </w:tcPr>
          <w:p w14:paraId="6C4815A9" w14:textId="77777777"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0.3 - 1.2</w:t>
            </w:r>
          </w:p>
        </w:tc>
        <w:tc>
          <w:tcPr>
            <w:tcW w:w="630" w:type="dxa"/>
            <w:shd w:val="clear" w:color="auto" w:fill="auto"/>
            <w:noWrap/>
            <w:vAlign w:val="center"/>
            <w:hideMark/>
          </w:tcPr>
          <w:p w14:paraId="2473D641" w14:textId="6FFBF643"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Neg</w:t>
            </w:r>
          </w:p>
        </w:tc>
        <w:tc>
          <w:tcPr>
            <w:tcW w:w="905" w:type="dxa"/>
            <w:shd w:val="clear" w:color="auto" w:fill="auto"/>
            <w:noWrap/>
            <w:vAlign w:val="center"/>
            <w:hideMark/>
          </w:tcPr>
          <w:p w14:paraId="0AEF37C9" w14:textId="56FBCA6F"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Neg</w:t>
            </w:r>
          </w:p>
        </w:tc>
      </w:tr>
      <w:tr w:rsidR="00FA4868" w:rsidRPr="008E6A5C" w14:paraId="0C5CC4FC" w14:textId="77777777" w:rsidTr="00FA4868">
        <w:trPr>
          <w:trHeight w:val="245"/>
        </w:trPr>
        <w:tc>
          <w:tcPr>
            <w:tcW w:w="2515" w:type="dxa"/>
            <w:shd w:val="clear" w:color="auto" w:fill="auto"/>
            <w:noWrap/>
            <w:vAlign w:val="center"/>
            <w:hideMark/>
          </w:tcPr>
          <w:p w14:paraId="0E757C41" w14:textId="77777777" w:rsidR="0007482B" w:rsidRPr="008E6A5C" w:rsidRDefault="0007482B" w:rsidP="0007482B">
            <w:pPr>
              <w:spacing w:line="240" w:lineRule="auto"/>
              <w:ind w:firstLine="0"/>
              <w:rPr>
                <w:rFonts w:eastAsia="Times New Roman" w:cs="Arial"/>
                <w:color w:val="000000"/>
                <w:sz w:val="20"/>
                <w:szCs w:val="20"/>
              </w:rPr>
            </w:pPr>
            <w:r w:rsidRPr="008E6A5C">
              <w:rPr>
                <w:rFonts w:eastAsia="Times New Roman" w:cs="Arial"/>
                <w:color w:val="000000"/>
                <w:sz w:val="20"/>
                <w:szCs w:val="20"/>
              </w:rPr>
              <w:t>Methyl eugenol</w:t>
            </w:r>
          </w:p>
        </w:tc>
        <w:tc>
          <w:tcPr>
            <w:tcW w:w="1980" w:type="dxa"/>
            <w:shd w:val="clear" w:color="auto" w:fill="auto"/>
            <w:vAlign w:val="center"/>
            <w:hideMark/>
          </w:tcPr>
          <w:p w14:paraId="60CD9847" w14:textId="77777777"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1 -  2</w:t>
            </w:r>
          </w:p>
        </w:tc>
        <w:tc>
          <w:tcPr>
            <w:tcW w:w="720" w:type="dxa"/>
            <w:shd w:val="clear" w:color="auto" w:fill="auto"/>
            <w:vAlign w:val="center"/>
            <w:hideMark/>
          </w:tcPr>
          <w:p w14:paraId="4A57C272" w14:textId="54C70094"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Pos</w:t>
            </w:r>
          </w:p>
        </w:tc>
        <w:tc>
          <w:tcPr>
            <w:tcW w:w="900" w:type="dxa"/>
            <w:shd w:val="clear" w:color="auto" w:fill="auto"/>
            <w:vAlign w:val="center"/>
            <w:hideMark/>
          </w:tcPr>
          <w:p w14:paraId="23CB6369" w14:textId="282054B6"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Neg</w:t>
            </w:r>
          </w:p>
        </w:tc>
        <w:tc>
          <w:tcPr>
            <w:tcW w:w="2070" w:type="dxa"/>
            <w:gridSpan w:val="2"/>
            <w:shd w:val="clear" w:color="auto" w:fill="auto"/>
            <w:vAlign w:val="center"/>
            <w:hideMark/>
          </w:tcPr>
          <w:p w14:paraId="4CB17E5F" w14:textId="77777777"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0.005 - 4</w:t>
            </w:r>
          </w:p>
        </w:tc>
        <w:tc>
          <w:tcPr>
            <w:tcW w:w="630" w:type="dxa"/>
            <w:shd w:val="clear" w:color="auto" w:fill="auto"/>
            <w:noWrap/>
            <w:vAlign w:val="center"/>
            <w:hideMark/>
          </w:tcPr>
          <w:p w14:paraId="5049EA70" w14:textId="3E65FC01"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Pos</w:t>
            </w:r>
          </w:p>
        </w:tc>
        <w:tc>
          <w:tcPr>
            <w:tcW w:w="905" w:type="dxa"/>
            <w:shd w:val="clear" w:color="auto" w:fill="auto"/>
            <w:noWrap/>
            <w:vAlign w:val="center"/>
            <w:hideMark/>
          </w:tcPr>
          <w:p w14:paraId="3EB3A20E" w14:textId="27EFAF74"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Neg</w:t>
            </w:r>
          </w:p>
        </w:tc>
      </w:tr>
      <w:tr w:rsidR="00FA4868" w:rsidRPr="008E6A5C" w14:paraId="2B4DDBE6" w14:textId="77777777" w:rsidTr="00FA4868">
        <w:trPr>
          <w:trHeight w:val="245"/>
        </w:trPr>
        <w:tc>
          <w:tcPr>
            <w:tcW w:w="2515" w:type="dxa"/>
            <w:shd w:val="clear" w:color="auto" w:fill="auto"/>
            <w:noWrap/>
            <w:vAlign w:val="center"/>
            <w:hideMark/>
          </w:tcPr>
          <w:p w14:paraId="5DFDBF7A" w14:textId="77777777" w:rsidR="0007482B" w:rsidRPr="008E6A5C" w:rsidRDefault="0007482B" w:rsidP="0007482B">
            <w:pPr>
              <w:spacing w:line="240" w:lineRule="auto"/>
              <w:ind w:firstLine="0"/>
              <w:rPr>
                <w:rFonts w:eastAsia="Times New Roman" w:cs="Arial"/>
                <w:color w:val="000000"/>
                <w:sz w:val="20"/>
                <w:szCs w:val="20"/>
              </w:rPr>
            </w:pPr>
            <w:r w:rsidRPr="008E6A5C">
              <w:rPr>
                <w:rFonts w:eastAsia="Times New Roman" w:cs="Arial"/>
                <w:color w:val="000000"/>
                <w:sz w:val="20"/>
                <w:szCs w:val="20"/>
              </w:rPr>
              <w:t>Mitomycin C</w:t>
            </w:r>
          </w:p>
        </w:tc>
        <w:tc>
          <w:tcPr>
            <w:tcW w:w="1980" w:type="dxa"/>
            <w:shd w:val="clear" w:color="auto" w:fill="auto"/>
            <w:vAlign w:val="center"/>
            <w:hideMark/>
          </w:tcPr>
          <w:p w14:paraId="39D42EBD" w14:textId="77777777"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0.07 - 0.125 ª</w:t>
            </w:r>
          </w:p>
        </w:tc>
        <w:tc>
          <w:tcPr>
            <w:tcW w:w="720" w:type="dxa"/>
            <w:shd w:val="clear" w:color="auto" w:fill="auto"/>
            <w:vAlign w:val="center"/>
            <w:hideMark/>
          </w:tcPr>
          <w:p w14:paraId="1C11CA13" w14:textId="76075F3A"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Pos</w:t>
            </w:r>
          </w:p>
        </w:tc>
        <w:tc>
          <w:tcPr>
            <w:tcW w:w="900" w:type="dxa"/>
            <w:shd w:val="clear" w:color="auto" w:fill="auto"/>
            <w:noWrap/>
            <w:vAlign w:val="center"/>
            <w:hideMark/>
          </w:tcPr>
          <w:p w14:paraId="71820454" w14:textId="295625BA" w:rsidR="0007482B" w:rsidRPr="008E6A5C" w:rsidRDefault="0007482B" w:rsidP="0007482B">
            <w:pPr>
              <w:spacing w:line="240" w:lineRule="auto"/>
              <w:ind w:firstLine="0"/>
              <w:jc w:val="center"/>
              <w:rPr>
                <w:rFonts w:eastAsia="Times New Roman" w:cs="Arial"/>
                <w:color w:val="000000"/>
                <w:sz w:val="20"/>
                <w:szCs w:val="20"/>
              </w:rPr>
            </w:pPr>
            <w:proofErr w:type="spellStart"/>
            <w:r w:rsidRPr="008E6A5C">
              <w:rPr>
                <w:rFonts w:eastAsia="Times New Roman" w:cs="Arial"/>
                <w:color w:val="000000"/>
                <w:sz w:val="20"/>
                <w:szCs w:val="20"/>
              </w:rPr>
              <w:t>Eqv</w:t>
            </w:r>
            <w:proofErr w:type="spellEnd"/>
          </w:p>
        </w:tc>
        <w:tc>
          <w:tcPr>
            <w:tcW w:w="2070" w:type="dxa"/>
            <w:gridSpan w:val="2"/>
            <w:shd w:val="clear" w:color="auto" w:fill="auto"/>
            <w:vAlign w:val="center"/>
            <w:hideMark/>
          </w:tcPr>
          <w:p w14:paraId="23ED0B05" w14:textId="77777777"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0.25 - 1</w:t>
            </w:r>
          </w:p>
        </w:tc>
        <w:tc>
          <w:tcPr>
            <w:tcW w:w="630" w:type="dxa"/>
            <w:shd w:val="clear" w:color="auto" w:fill="auto"/>
            <w:noWrap/>
            <w:vAlign w:val="center"/>
            <w:hideMark/>
          </w:tcPr>
          <w:p w14:paraId="57CC8612" w14:textId="525624BA"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Pos</w:t>
            </w:r>
          </w:p>
        </w:tc>
        <w:tc>
          <w:tcPr>
            <w:tcW w:w="905" w:type="dxa"/>
            <w:shd w:val="clear" w:color="auto" w:fill="auto"/>
            <w:noWrap/>
            <w:vAlign w:val="center"/>
            <w:hideMark/>
          </w:tcPr>
          <w:p w14:paraId="5C4056C6" w14:textId="2051188F"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 xml:space="preserve">Neg </w:t>
            </w:r>
            <w:r w:rsidRPr="008E6A5C">
              <w:rPr>
                <w:rFonts w:eastAsia="Times New Roman" w:cs="Arial"/>
                <w:color w:val="000000"/>
                <w:sz w:val="20"/>
                <w:szCs w:val="20"/>
                <w:vertAlign w:val="superscript"/>
              </w:rPr>
              <w:t>d</w:t>
            </w:r>
          </w:p>
        </w:tc>
      </w:tr>
      <w:tr w:rsidR="00FA4868" w:rsidRPr="008E6A5C" w14:paraId="340214F3" w14:textId="77777777" w:rsidTr="00FA4868">
        <w:trPr>
          <w:trHeight w:val="245"/>
        </w:trPr>
        <w:tc>
          <w:tcPr>
            <w:tcW w:w="2515" w:type="dxa"/>
            <w:shd w:val="clear" w:color="auto" w:fill="auto"/>
            <w:vAlign w:val="center"/>
            <w:hideMark/>
          </w:tcPr>
          <w:p w14:paraId="64F9C498" w14:textId="1101861A" w:rsidR="0007482B" w:rsidRPr="008E6A5C" w:rsidRDefault="0007482B" w:rsidP="0007482B">
            <w:pPr>
              <w:spacing w:line="240" w:lineRule="auto"/>
              <w:ind w:firstLine="0"/>
              <w:rPr>
                <w:rFonts w:eastAsia="Times New Roman" w:cs="Arial"/>
                <w:color w:val="000000"/>
                <w:sz w:val="20"/>
                <w:szCs w:val="20"/>
              </w:rPr>
            </w:pPr>
            <w:r w:rsidRPr="008E6A5C">
              <w:rPr>
                <w:rFonts w:eastAsia="Times New Roman" w:cs="Arial"/>
                <w:color w:val="000000"/>
                <w:sz w:val="20"/>
                <w:szCs w:val="20"/>
              </w:rPr>
              <w:t>N-methyl-N'-nitro-N-</w:t>
            </w:r>
            <w:r w:rsidR="00FA4868">
              <w:rPr>
                <w:rFonts w:eastAsia="Times New Roman" w:cs="Arial"/>
                <w:color w:val="000000"/>
                <w:sz w:val="20"/>
                <w:szCs w:val="20"/>
              </w:rPr>
              <w:t>n</w:t>
            </w:r>
            <w:r w:rsidRPr="008E6A5C">
              <w:rPr>
                <w:rFonts w:eastAsia="Times New Roman" w:cs="Arial"/>
                <w:color w:val="000000"/>
                <w:sz w:val="20"/>
                <w:szCs w:val="20"/>
              </w:rPr>
              <w:t xml:space="preserve">itrosoguanidine </w:t>
            </w:r>
          </w:p>
        </w:tc>
        <w:tc>
          <w:tcPr>
            <w:tcW w:w="1980" w:type="dxa"/>
            <w:shd w:val="clear" w:color="auto" w:fill="auto"/>
            <w:vAlign w:val="center"/>
            <w:hideMark/>
          </w:tcPr>
          <w:p w14:paraId="2CFFD7BD" w14:textId="77777777"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0.003</w:t>
            </w:r>
          </w:p>
        </w:tc>
        <w:tc>
          <w:tcPr>
            <w:tcW w:w="720" w:type="dxa"/>
            <w:shd w:val="clear" w:color="auto" w:fill="auto"/>
            <w:vAlign w:val="center"/>
            <w:hideMark/>
          </w:tcPr>
          <w:p w14:paraId="6E044A58" w14:textId="77777777" w:rsidR="0007482B" w:rsidRPr="008E6A5C" w:rsidRDefault="0007482B" w:rsidP="0007482B">
            <w:pPr>
              <w:spacing w:line="240" w:lineRule="auto"/>
              <w:ind w:firstLine="0"/>
              <w:jc w:val="center"/>
              <w:rPr>
                <w:rFonts w:eastAsia="Times New Roman" w:cs="Arial"/>
                <w:color w:val="000000"/>
                <w:sz w:val="20"/>
                <w:szCs w:val="20"/>
              </w:rPr>
            </w:pPr>
          </w:p>
        </w:tc>
        <w:tc>
          <w:tcPr>
            <w:tcW w:w="900" w:type="dxa"/>
            <w:shd w:val="clear" w:color="auto" w:fill="auto"/>
            <w:vAlign w:val="center"/>
            <w:hideMark/>
          </w:tcPr>
          <w:p w14:paraId="35A50642" w14:textId="068A1017"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 xml:space="preserve">Pos </w:t>
            </w:r>
            <w:r w:rsidRPr="008E6A5C">
              <w:rPr>
                <w:rFonts w:eastAsia="Times New Roman" w:cs="Arial"/>
                <w:color w:val="000000"/>
                <w:sz w:val="20"/>
                <w:szCs w:val="20"/>
                <w:vertAlign w:val="superscript"/>
              </w:rPr>
              <w:t>c</w:t>
            </w:r>
          </w:p>
        </w:tc>
        <w:tc>
          <w:tcPr>
            <w:tcW w:w="2070" w:type="dxa"/>
            <w:gridSpan w:val="2"/>
            <w:shd w:val="clear" w:color="auto" w:fill="auto"/>
            <w:vAlign w:val="center"/>
            <w:hideMark/>
          </w:tcPr>
          <w:p w14:paraId="16EDE839" w14:textId="77777777"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0.003</w:t>
            </w:r>
          </w:p>
        </w:tc>
        <w:tc>
          <w:tcPr>
            <w:tcW w:w="630" w:type="dxa"/>
            <w:shd w:val="clear" w:color="auto" w:fill="auto"/>
            <w:vAlign w:val="center"/>
            <w:hideMark/>
          </w:tcPr>
          <w:p w14:paraId="3FF288CE" w14:textId="77777777" w:rsidR="0007482B" w:rsidRPr="008E6A5C" w:rsidRDefault="0007482B" w:rsidP="0007482B">
            <w:pPr>
              <w:spacing w:line="240" w:lineRule="auto"/>
              <w:ind w:firstLine="0"/>
              <w:jc w:val="center"/>
              <w:rPr>
                <w:rFonts w:eastAsia="Times New Roman" w:cs="Arial"/>
                <w:color w:val="000000"/>
                <w:sz w:val="20"/>
                <w:szCs w:val="20"/>
              </w:rPr>
            </w:pPr>
          </w:p>
        </w:tc>
        <w:tc>
          <w:tcPr>
            <w:tcW w:w="905" w:type="dxa"/>
            <w:shd w:val="clear" w:color="auto" w:fill="auto"/>
            <w:vAlign w:val="center"/>
            <w:hideMark/>
          </w:tcPr>
          <w:p w14:paraId="56772638" w14:textId="0515E135"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 xml:space="preserve">Pos </w:t>
            </w:r>
            <w:r w:rsidRPr="008E6A5C">
              <w:rPr>
                <w:rFonts w:eastAsia="Times New Roman" w:cs="Arial"/>
                <w:color w:val="000000"/>
                <w:sz w:val="20"/>
                <w:szCs w:val="20"/>
                <w:vertAlign w:val="superscript"/>
              </w:rPr>
              <w:t>c</w:t>
            </w:r>
          </w:p>
        </w:tc>
      </w:tr>
      <w:tr w:rsidR="00FA4868" w:rsidRPr="008E6A5C" w14:paraId="5165B331" w14:textId="77777777" w:rsidTr="00FA4868">
        <w:trPr>
          <w:trHeight w:val="245"/>
        </w:trPr>
        <w:tc>
          <w:tcPr>
            <w:tcW w:w="2515" w:type="dxa"/>
            <w:shd w:val="clear" w:color="auto" w:fill="auto"/>
            <w:noWrap/>
            <w:vAlign w:val="center"/>
            <w:hideMark/>
          </w:tcPr>
          <w:p w14:paraId="4EEA899D" w14:textId="77777777" w:rsidR="0007482B" w:rsidRPr="008E6A5C" w:rsidRDefault="0007482B" w:rsidP="0007482B">
            <w:pPr>
              <w:spacing w:line="240" w:lineRule="auto"/>
              <w:ind w:firstLine="0"/>
              <w:rPr>
                <w:rFonts w:eastAsia="Times New Roman" w:cs="Arial"/>
                <w:color w:val="000000"/>
                <w:sz w:val="20"/>
                <w:szCs w:val="20"/>
              </w:rPr>
            </w:pPr>
            <w:r w:rsidRPr="008E6A5C">
              <w:rPr>
                <w:rFonts w:eastAsia="Times New Roman" w:cs="Arial"/>
                <w:color w:val="000000"/>
                <w:sz w:val="20"/>
                <w:szCs w:val="20"/>
              </w:rPr>
              <w:t>Quinoline</w:t>
            </w:r>
          </w:p>
        </w:tc>
        <w:tc>
          <w:tcPr>
            <w:tcW w:w="1980" w:type="dxa"/>
            <w:shd w:val="clear" w:color="auto" w:fill="auto"/>
            <w:vAlign w:val="center"/>
            <w:hideMark/>
          </w:tcPr>
          <w:p w14:paraId="3459D83E" w14:textId="77777777"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2 - 5  ª</w:t>
            </w:r>
          </w:p>
        </w:tc>
        <w:tc>
          <w:tcPr>
            <w:tcW w:w="720" w:type="dxa"/>
            <w:shd w:val="clear" w:color="auto" w:fill="auto"/>
            <w:vAlign w:val="center"/>
            <w:hideMark/>
          </w:tcPr>
          <w:p w14:paraId="75C9983D" w14:textId="2D4EEFF2"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Pos</w:t>
            </w:r>
          </w:p>
        </w:tc>
        <w:tc>
          <w:tcPr>
            <w:tcW w:w="900" w:type="dxa"/>
            <w:shd w:val="clear" w:color="auto" w:fill="auto"/>
            <w:vAlign w:val="center"/>
            <w:hideMark/>
          </w:tcPr>
          <w:p w14:paraId="51E25492" w14:textId="7148C772"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Pos</w:t>
            </w:r>
          </w:p>
        </w:tc>
        <w:tc>
          <w:tcPr>
            <w:tcW w:w="2070" w:type="dxa"/>
            <w:gridSpan w:val="2"/>
            <w:shd w:val="clear" w:color="auto" w:fill="auto"/>
            <w:vAlign w:val="center"/>
            <w:hideMark/>
          </w:tcPr>
          <w:p w14:paraId="72D33AFB" w14:textId="77777777"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 xml:space="preserve">0.04 - 15 </w:t>
            </w:r>
            <w:r w:rsidRPr="008E6A5C">
              <w:rPr>
                <w:rFonts w:eastAsia="Times New Roman" w:cs="Arial"/>
                <w:color w:val="000000"/>
                <w:sz w:val="20"/>
                <w:szCs w:val="20"/>
                <w:vertAlign w:val="superscript"/>
              </w:rPr>
              <w:t>a</w:t>
            </w:r>
          </w:p>
        </w:tc>
        <w:tc>
          <w:tcPr>
            <w:tcW w:w="630" w:type="dxa"/>
            <w:shd w:val="clear" w:color="auto" w:fill="auto"/>
            <w:noWrap/>
            <w:vAlign w:val="center"/>
            <w:hideMark/>
          </w:tcPr>
          <w:p w14:paraId="2C8A9623" w14:textId="03FE2A49"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Pos</w:t>
            </w:r>
          </w:p>
        </w:tc>
        <w:tc>
          <w:tcPr>
            <w:tcW w:w="905" w:type="dxa"/>
            <w:shd w:val="clear" w:color="auto" w:fill="auto"/>
            <w:noWrap/>
            <w:vAlign w:val="center"/>
            <w:hideMark/>
          </w:tcPr>
          <w:p w14:paraId="5BAE865E" w14:textId="13E249EC"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Pos</w:t>
            </w:r>
          </w:p>
        </w:tc>
      </w:tr>
      <w:tr w:rsidR="00FA4868" w:rsidRPr="008E6A5C" w14:paraId="4D42CADF" w14:textId="77777777" w:rsidTr="00FA4868">
        <w:trPr>
          <w:trHeight w:val="245"/>
        </w:trPr>
        <w:tc>
          <w:tcPr>
            <w:tcW w:w="2515" w:type="dxa"/>
            <w:shd w:val="clear" w:color="auto" w:fill="auto"/>
            <w:noWrap/>
            <w:vAlign w:val="center"/>
            <w:hideMark/>
          </w:tcPr>
          <w:p w14:paraId="45983FFC" w14:textId="77777777" w:rsidR="0007482B" w:rsidRPr="008E6A5C" w:rsidRDefault="0007482B" w:rsidP="0007482B">
            <w:pPr>
              <w:spacing w:line="240" w:lineRule="auto"/>
              <w:ind w:firstLine="0"/>
              <w:rPr>
                <w:rFonts w:eastAsia="Times New Roman" w:cs="Arial"/>
                <w:color w:val="000000"/>
                <w:sz w:val="20"/>
                <w:szCs w:val="20"/>
              </w:rPr>
            </w:pPr>
            <w:r w:rsidRPr="008E6A5C">
              <w:rPr>
                <w:rFonts w:eastAsia="Times New Roman" w:cs="Arial"/>
                <w:color w:val="000000"/>
                <w:sz w:val="20"/>
                <w:szCs w:val="20"/>
              </w:rPr>
              <w:t>Resorcinol</w:t>
            </w:r>
          </w:p>
        </w:tc>
        <w:tc>
          <w:tcPr>
            <w:tcW w:w="1980" w:type="dxa"/>
            <w:shd w:val="clear" w:color="auto" w:fill="auto"/>
            <w:vAlign w:val="center"/>
            <w:hideMark/>
          </w:tcPr>
          <w:p w14:paraId="097AA2EE" w14:textId="77777777"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2 - 8</w:t>
            </w:r>
          </w:p>
        </w:tc>
        <w:tc>
          <w:tcPr>
            <w:tcW w:w="720" w:type="dxa"/>
            <w:shd w:val="clear" w:color="auto" w:fill="auto"/>
            <w:vAlign w:val="center"/>
            <w:hideMark/>
          </w:tcPr>
          <w:p w14:paraId="40C92AC0" w14:textId="10AA1175"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Neg</w:t>
            </w:r>
          </w:p>
        </w:tc>
        <w:tc>
          <w:tcPr>
            <w:tcW w:w="900" w:type="dxa"/>
            <w:shd w:val="clear" w:color="auto" w:fill="auto"/>
            <w:vAlign w:val="center"/>
            <w:hideMark/>
          </w:tcPr>
          <w:p w14:paraId="0079DAA0" w14:textId="47E135E1"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Neg</w:t>
            </w:r>
          </w:p>
        </w:tc>
        <w:tc>
          <w:tcPr>
            <w:tcW w:w="2070" w:type="dxa"/>
            <w:gridSpan w:val="2"/>
            <w:shd w:val="clear" w:color="auto" w:fill="auto"/>
            <w:vAlign w:val="center"/>
            <w:hideMark/>
          </w:tcPr>
          <w:p w14:paraId="5DC4DB8E" w14:textId="77777777"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 xml:space="preserve">2.5 - 5 </w:t>
            </w:r>
            <w:r w:rsidRPr="008E6A5C">
              <w:rPr>
                <w:rFonts w:eastAsia="Times New Roman" w:cs="Arial"/>
                <w:color w:val="000000"/>
                <w:sz w:val="20"/>
                <w:szCs w:val="20"/>
                <w:vertAlign w:val="superscript"/>
              </w:rPr>
              <w:t>a</w:t>
            </w:r>
          </w:p>
        </w:tc>
        <w:tc>
          <w:tcPr>
            <w:tcW w:w="630" w:type="dxa"/>
            <w:shd w:val="clear" w:color="auto" w:fill="auto"/>
            <w:noWrap/>
            <w:vAlign w:val="center"/>
            <w:hideMark/>
          </w:tcPr>
          <w:p w14:paraId="6427AF9A" w14:textId="42CF39B6"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Neg</w:t>
            </w:r>
          </w:p>
        </w:tc>
        <w:tc>
          <w:tcPr>
            <w:tcW w:w="905" w:type="dxa"/>
            <w:shd w:val="clear" w:color="auto" w:fill="auto"/>
            <w:noWrap/>
            <w:vAlign w:val="center"/>
            <w:hideMark/>
          </w:tcPr>
          <w:p w14:paraId="61888428" w14:textId="647E1FD0"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Neg</w:t>
            </w:r>
          </w:p>
        </w:tc>
      </w:tr>
      <w:tr w:rsidR="00FA4868" w:rsidRPr="008E6A5C" w14:paraId="7A3D8D8D" w14:textId="77777777" w:rsidTr="00FA4868">
        <w:trPr>
          <w:trHeight w:val="245"/>
        </w:trPr>
        <w:tc>
          <w:tcPr>
            <w:tcW w:w="2515" w:type="dxa"/>
            <w:shd w:val="clear" w:color="auto" w:fill="auto"/>
            <w:noWrap/>
            <w:vAlign w:val="bottom"/>
            <w:hideMark/>
          </w:tcPr>
          <w:p w14:paraId="166DACC6" w14:textId="77777777" w:rsidR="0007482B" w:rsidRPr="008E6A5C" w:rsidRDefault="0007482B" w:rsidP="0007482B">
            <w:pPr>
              <w:spacing w:line="240" w:lineRule="auto"/>
              <w:ind w:firstLine="0"/>
              <w:rPr>
                <w:rFonts w:eastAsia="Times New Roman" w:cs="Arial"/>
                <w:color w:val="000000"/>
                <w:sz w:val="20"/>
                <w:szCs w:val="20"/>
              </w:rPr>
            </w:pPr>
            <w:r w:rsidRPr="008E6A5C">
              <w:rPr>
                <w:rFonts w:eastAsia="Times New Roman" w:cs="Arial"/>
                <w:color w:val="000000"/>
                <w:sz w:val="20"/>
                <w:szCs w:val="20"/>
              </w:rPr>
              <w:t>Riddelliine</w:t>
            </w:r>
          </w:p>
        </w:tc>
        <w:tc>
          <w:tcPr>
            <w:tcW w:w="1980" w:type="dxa"/>
            <w:shd w:val="clear" w:color="auto" w:fill="auto"/>
            <w:vAlign w:val="center"/>
            <w:hideMark/>
          </w:tcPr>
          <w:p w14:paraId="2C7C2D67" w14:textId="77777777"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0.5 - 2</w:t>
            </w:r>
          </w:p>
        </w:tc>
        <w:tc>
          <w:tcPr>
            <w:tcW w:w="720" w:type="dxa"/>
            <w:shd w:val="clear" w:color="auto" w:fill="auto"/>
            <w:vAlign w:val="center"/>
            <w:hideMark/>
          </w:tcPr>
          <w:p w14:paraId="32E68DE1" w14:textId="21344436"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Pos</w:t>
            </w:r>
          </w:p>
        </w:tc>
        <w:tc>
          <w:tcPr>
            <w:tcW w:w="900" w:type="dxa"/>
            <w:shd w:val="clear" w:color="auto" w:fill="auto"/>
            <w:vAlign w:val="center"/>
            <w:hideMark/>
          </w:tcPr>
          <w:p w14:paraId="51DDB2D3" w14:textId="6D481E84"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Pos</w:t>
            </w:r>
          </w:p>
        </w:tc>
        <w:tc>
          <w:tcPr>
            <w:tcW w:w="2070" w:type="dxa"/>
            <w:gridSpan w:val="2"/>
            <w:shd w:val="clear" w:color="auto" w:fill="auto"/>
            <w:vAlign w:val="center"/>
            <w:hideMark/>
          </w:tcPr>
          <w:p w14:paraId="41222A6F" w14:textId="77777777"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0.5 - 7.5</w:t>
            </w:r>
          </w:p>
        </w:tc>
        <w:tc>
          <w:tcPr>
            <w:tcW w:w="630" w:type="dxa"/>
            <w:shd w:val="clear" w:color="auto" w:fill="auto"/>
            <w:noWrap/>
            <w:vAlign w:val="center"/>
            <w:hideMark/>
          </w:tcPr>
          <w:p w14:paraId="56C2BFBC" w14:textId="2CDA6E61"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Neg</w:t>
            </w:r>
          </w:p>
        </w:tc>
        <w:tc>
          <w:tcPr>
            <w:tcW w:w="905" w:type="dxa"/>
            <w:shd w:val="clear" w:color="auto" w:fill="auto"/>
            <w:noWrap/>
            <w:vAlign w:val="center"/>
            <w:hideMark/>
          </w:tcPr>
          <w:p w14:paraId="08428038" w14:textId="0CED59AC"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Neg</w:t>
            </w:r>
          </w:p>
        </w:tc>
      </w:tr>
      <w:tr w:rsidR="00FA4868" w:rsidRPr="008E6A5C" w14:paraId="304B6602" w14:textId="77777777" w:rsidTr="00FA4868">
        <w:trPr>
          <w:trHeight w:val="245"/>
        </w:trPr>
        <w:tc>
          <w:tcPr>
            <w:tcW w:w="2515" w:type="dxa"/>
            <w:shd w:val="clear" w:color="auto" w:fill="auto"/>
            <w:noWrap/>
            <w:vAlign w:val="center"/>
            <w:hideMark/>
          </w:tcPr>
          <w:p w14:paraId="266C56AE" w14:textId="77777777" w:rsidR="0007482B" w:rsidRPr="008E6A5C" w:rsidRDefault="0007482B" w:rsidP="0007482B">
            <w:pPr>
              <w:spacing w:line="240" w:lineRule="auto"/>
              <w:ind w:firstLine="0"/>
              <w:rPr>
                <w:rFonts w:eastAsia="Times New Roman" w:cs="Arial"/>
                <w:color w:val="000000"/>
                <w:sz w:val="20"/>
                <w:szCs w:val="20"/>
              </w:rPr>
            </w:pPr>
            <w:r w:rsidRPr="008E6A5C">
              <w:rPr>
                <w:rFonts w:eastAsia="Times New Roman" w:cs="Arial"/>
                <w:color w:val="000000"/>
                <w:sz w:val="20"/>
                <w:szCs w:val="20"/>
              </w:rPr>
              <w:t>Safrole</w:t>
            </w:r>
          </w:p>
        </w:tc>
        <w:tc>
          <w:tcPr>
            <w:tcW w:w="1980" w:type="dxa"/>
            <w:shd w:val="clear" w:color="auto" w:fill="auto"/>
            <w:vAlign w:val="center"/>
            <w:hideMark/>
          </w:tcPr>
          <w:p w14:paraId="0E3F36CC" w14:textId="77777777"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1 - 6</w:t>
            </w:r>
          </w:p>
        </w:tc>
        <w:tc>
          <w:tcPr>
            <w:tcW w:w="720" w:type="dxa"/>
            <w:shd w:val="clear" w:color="auto" w:fill="auto"/>
            <w:vAlign w:val="center"/>
            <w:hideMark/>
          </w:tcPr>
          <w:p w14:paraId="2A25E77C" w14:textId="3F5A5E55"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Pos</w:t>
            </w:r>
          </w:p>
        </w:tc>
        <w:tc>
          <w:tcPr>
            <w:tcW w:w="900" w:type="dxa"/>
            <w:shd w:val="clear" w:color="auto" w:fill="auto"/>
            <w:vAlign w:val="center"/>
            <w:hideMark/>
          </w:tcPr>
          <w:p w14:paraId="0B2E3C71" w14:textId="57EF1D8F"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Pos</w:t>
            </w:r>
          </w:p>
        </w:tc>
        <w:tc>
          <w:tcPr>
            <w:tcW w:w="2070" w:type="dxa"/>
            <w:gridSpan w:val="2"/>
            <w:shd w:val="clear" w:color="auto" w:fill="auto"/>
            <w:vAlign w:val="center"/>
            <w:hideMark/>
          </w:tcPr>
          <w:p w14:paraId="07D17DF7" w14:textId="77777777"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0.13 - 2</w:t>
            </w:r>
          </w:p>
        </w:tc>
        <w:tc>
          <w:tcPr>
            <w:tcW w:w="630" w:type="dxa"/>
            <w:shd w:val="clear" w:color="auto" w:fill="auto"/>
            <w:noWrap/>
            <w:vAlign w:val="center"/>
            <w:hideMark/>
          </w:tcPr>
          <w:p w14:paraId="0ADA2814" w14:textId="75F247E2"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Pos</w:t>
            </w:r>
          </w:p>
        </w:tc>
        <w:tc>
          <w:tcPr>
            <w:tcW w:w="905" w:type="dxa"/>
            <w:shd w:val="clear" w:color="auto" w:fill="auto"/>
            <w:noWrap/>
            <w:vAlign w:val="center"/>
            <w:hideMark/>
          </w:tcPr>
          <w:p w14:paraId="6E403558" w14:textId="5EFD9204"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Neg</w:t>
            </w:r>
          </w:p>
        </w:tc>
      </w:tr>
      <w:tr w:rsidR="00FA4868" w:rsidRPr="008E6A5C" w14:paraId="5754591C" w14:textId="77777777" w:rsidTr="00FA4868">
        <w:trPr>
          <w:trHeight w:val="245"/>
        </w:trPr>
        <w:tc>
          <w:tcPr>
            <w:tcW w:w="2515" w:type="dxa"/>
            <w:shd w:val="clear" w:color="auto" w:fill="auto"/>
            <w:noWrap/>
            <w:vAlign w:val="center"/>
            <w:hideMark/>
          </w:tcPr>
          <w:p w14:paraId="57952A13" w14:textId="77777777" w:rsidR="0007482B" w:rsidRPr="008E6A5C" w:rsidRDefault="0007482B" w:rsidP="0007482B">
            <w:pPr>
              <w:spacing w:line="240" w:lineRule="auto"/>
              <w:ind w:firstLine="0"/>
              <w:rPr>
                <w:rFonts w:eastAsia="Times New Roman" w:cs="Arial"/>
                <w:color w:val="000000"/>
                <w:sz w:val="20"/>
                <w:szCs w:val="20"/>
              </w:rPr>
            </w:pPr>
            <w:r w:rsidRPr="008E6A5C">
              <w:rPr>
                <w:rFonts w:eastAsia="Times New Roman" w:cs="Arial"/>
                <w:color w:val="000000"/>
                <w:sz w:val="20"/>
                <w:szCs w:val="20"/>
              </w:rPr>
              <w:t>Streptozotocin</w:t>
            </w:r>
          </w:p>
        </w:tc>
        <w:tc>
          <w:tcPr>
            <w:tcW w:w="1980" w:type="dxa"/>
            <w:shd w:val="clear" w:color="auto" w:fill="auto"/>
            <w:vAlign w:val="center"/>
            <w:hideMark/>
          </w:tcPr>
          <w:p w14:paraId="0076F708" w14:textId="77777777"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2.5 - 10</w:t>
            </w:r>
          </w:p>
        </w:tc>
        <w:tc>
          <w:tcPr>
            <w:tcW w:w="720" w:type="dxa"/>
            <w:shd w:val="clear" w:color="auto" w:fill="auto"/>
            <w:vAlign w:val="center"/>
            <w:hideMark/>
          </w:tcPr>
          <w:p w14:paraId="6EEFAE0B" w14:textId="4612C73E"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Neg</w:t>
            </w:r>
          </w:p>
        </w:tc>
        <w:tc>
          <w:tcPr>
            <w:tcW w:w="900" w:type="dxa"/>
            <w:shd w:val="clear" w:color="auto" w:fill="auto"/>
            <w:noWrap/>
            <w:vAlign w:val="center"/>
            <w:hideMark/>
          </w:tcPr>
          <w:p w14:paraId="7BF4C86A" w14:textId="13A3316E" w:rsidR="0007482B" w:rsidRPr="008E6A5C" w:rsidRDefault="0007482B" w:rsidP="0007482B">
            <w:pPr>
              <w:spacing w:line="240" w:lineRule="auto"/>
              <w:ind w:firstLine="0"/>
              <w:jc w:val="center"/>
              <w:rPr>
                <w:rFonts w:eastAsia="Times New Roman" w:cs="Arial"/>
                <w:color w:val="000000"/>
                <w:sz w:val="20"/>
                <w:szCs w:val="20"/>
              </w:rPr>
            </w:pPr>
            <w:proofErr w:type="spellStart"/>
            <w:r w:rsidRPr="008E6A5C">
              <w:rPr>
                <w:rFonts w:eastAsia="Times New Roman" w:cs="Arial"/>
                <w:color w:val="000000"/>
                <w:sz w:val="20"/>
                <w:szCs w:val="20"/>
              </w:rPr>
              <w:t>Eqv</w:t>
            </w:r>
            <w:proofErr w:type="spellEnd"/>
          </w:p>
        </w:tc>
        <w:tc>
          <w:tcPr>
            <w:tcW w:w="2070" w:type="dxa"/>
            <w:gridSpan w:val="2"/>
            <w:shd w:val="clear" w:color="auto" w:fill="auto"/>
            <w:vAlign w:val="center"/>
            <w:hideMark/>
          </w:tcPr>
          <w:p w14:paraId="78B98FF4" w14:textId="77777777"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1 - 5</w:t>
            </w:r>
          </w:p>
        </w:tc>
        <w:tc>
          <w:tcPr>
            <w:tcW w:w="630" w:type="dxa"/>
            <w:shd w:val="clear" w:color="auto" w:fill="auto"/>
            <w:noWrap/>
            <w:vAlign w:val="center"/>
            <w:hideMark/>
          </w:tcPr>
          <w:p w14:paraId="01D470D1" w14:textId="2AB9E0B3"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Neg</w:t>
            </w:r>
          </w:p>
        </w:tc>
        <w:tc>
          <w:tcPr>
            <w:tcW w:w="905" w:type="dxa"/>
            <w:shd w:val="clear" w:color="auto" w:fill="auto"/>
            <w:noWrap/>
            <w:vAlign w:val="center"/>
            <w:hideMark/>
          </w:tcPr>
          <w:p w14:paraId="4DF8A810" w14:textId="3D600CA6"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Neg</w:t>
            </w:r>
          </w:p>
        </w:tc>
      </w:tr>
      <w:tr w:rsidR="00FA4868" w:rsidRPr="008E6A5C" w14:paraId="37B227EC" w14:textId="77777777" w:rsidTr="00FA4868">
        <w:trPr>
          <w:trHeight w:val="245"/>
        </w:trPr>
        <w:tc>
          <w:tcPr>
            <w:tcW w:w="2515" w:type="dxa"/>
            <w:shd w:val="clear" w:color="auto" w:fill="auto"/>
            <w:noWrap/>
            <w:vAlign w:val="center"/>
            <w:hideMark/>
          </w:tcPr>
          <w:p w14:paraId="59EB7C35" w14:textId="77777777" w:rsidR="0007482B" w:rsidRPr="008E6A5C" w:rsidRDefault="0007482B" w:rsidP="0007482B">
            <w:pPr>
              <w:spacing w:line="240" w:lineRule="auto"/>
              <w:ind w:firstLine="0"/>
              <w:rPr>
                <w:rFonts w:eastAsia="Times New Roman" w:cs="Arial"/>
                <w:color w:val="000000"/>
                <w:sz w:val="20"/>
                <w:szCs w:val="20"/>
              </w:rPr>
            </w:pPr>
            <w:proofErr w:type="spellStart"/>
            <w:r w:rsidRPr="008E6A5C">
              <w:rPr>
                <w:rFonts w:eastAsia="Times New Roman" w:cs="Arial"/>
                <w:color w:val="000000"/>
                <w:sz w:val="20"/>
                <w:szCs w:val="20"/>
              </w:rPr>
              <w:t>Teniposide</w:t>
            </w:r>
            <w:proofErr w:type="spellEnd"/>
          </w:p>
        </w:tc>
        <w:tc>
          <w:tcPr>
            <w:tcW w:w="1980" w:type="dxa"/>
            <w:shd w:val="clear" w:color="auto" w:fill="auto"/>
            <w:vAlign w:val="center"/>
            <w:hideMark/>
          </w:tcPr>
          <w:p w14:paraId="0458158B" w14:textId="77777777"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0.5 - 0.75</w:t>
            </w:r>
            <w:r w:rsidRPr="008E6A5C">
              <w:rPr>
                <w:rFonts w:eastAsia="Times New Roman" w:cs="Arial"/>
                <w:color w:val="000000"/>
                <w:sz w:val="20"/>
                <w:szCs w:val="20"/>
                <w:vertAlign w:val="superscript"/>
              </w:rPr>
              <w:t xml:space="preserve"> b</w:t>
            </w:r>
          </w:p>
        </w:tc>
        <w:tc>
          <w:tcPr>
            <w:tcW w:w="720" w:type="dxa"/>
            <w:shd w:val="clear" w:color="auto" w:fill="auto"/>
            <w:vAlign w:val="center"/>
            <w:hideMark/>
          </w:tcPr>
          <w:p w14:paraId="423F3243" w14:textId="3F4AE2FF"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Neg</w:t>
            </w:r>
          </w:p>
        </w:tc>
        <w:tc>
          <w:tcPr>
            <w:tcW w:w="900" w:type="dxa"/>
            <w:shd w:val="clear" w:color="auto" w:fill="auto"/>
            <w:vAlign w:val="center"/>
            <w:hideMark/>
          </w:tcPr>
          <w:p w14:paraId="0D781A19" w14:textId="2AD0CF10"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Pos</w:t>
            </w:r>
          </w:p>
        </w:tc>
        <w:tc>
          <w:tcPr>
            <w:tcW w:w="2070" w:type="dxa"/>
            <w:gridSpan w:val="2"/>
            <w:shd w:val="clear" w:color="auto" w:fill="auto"/>
            <w:vAlign w:val="center"/>
            <w:hideMark/>
          </w:tcPr>
          <w:p w14:paraId="538DD7D2" w14:textId="77777777"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0.5 - 1.5</w:t>
            </w:r>
          </w:p>
        </w:tc>
        <w:tc>
          <w:tcPr>
            <w:tcW w:w="630" w:type="dxa"/>
            <w:shd w:val="clear" w:color="auto" w:fill="auto"/>
            <w:noWrap/>
            <w:vAlign w:val="center"/>
            <w:hideMark/>
          </w:tcPr>
          <w:p w14:paraId="039D699C" w14:textId="1B69A07E"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Neg</w:t>
            </w:r>
          </w:p>
        </w:tc>
        <w:tc>
          <w:tcPr>
            <w:tcW w:w="905" w:type="dxa"/>
            <w:shd w:val="clear" w:color="auto" w:fill="auto"/>
            <w:noWrap/>
            <w:vAlign w:val="center"/>
            <w:hideMark/>
          </w:tcPr>
          <w:p w14:paraId="48E942BD" w14:textId="06ED07BA" w:rsidR="0007482B" w:rsidRPr="008E6A5C" w:rsidRDefault="0007482B" w:rsidP="0007482B">
            <w:pPr>
              <w:spacing w:line="240" w:lineRule="auto"/>
              <w:ind w:firstLine="0"/>
              <w:jc w:val="center"/>
              <w:rPr>
                <w:rFonts w:eastAsia="Times New Roman" w:cs="Arial"/>
                <w:color w:val="000000"/>
                <w:sz w:val="20"/>
                <w:szCs w:val="20"/>
              </w:rPr>
            </w:pPr>
            <w:proofErr w:type="spellStart"/>
            <w:r w:rsidRPr="008E6A5C">
              <w:rPr>
                <w:rFonts w:eastAsia="Times New Roman" w:cs="Arial"/>
                <w:color w:val="000000"/>
                <w:sz w:val="20"/>
                <w:szCs w:val="20"/>
              </w:rPr>
              <w:t>Eqv</w:t>
            </w:r>
            <w:proofErr w:type="spellEnd"/>
          </w:p>
        </w:tc>
      </w:tr>
      <w:tr w:rsidR="00FA4868" w:rsidRPr="008E6A5C" w14:paraId="202D911E" w14:textId="77777777" w:rsidTr="00A9775A">
        <w:trPr>
          <w:trHeight w:val="245"/>
        </w:trPr>
        <w:tc>
          <w:tcPr>
            <w:tcW w:w="2515" w:type="dxa"/>
            <w:tcBorders>
              <w:bottom w:val="single" w:sz="4" w:space="0" w:color="auto"/>
            </w:tcBorders>
            <w:shd w:val="clear" w:color="auto" w:fill="auto"/>
            <w:noWrap/>
            <w:vAlign w:val="center"/>
            <w:hideMark/>
          </w:tcPr>
          <w:p w14:paraId="48B26BB7" w14:textId="77777777" w:rsidR="0007482B" w:rsidRPr="008E6A5C" w:rsidRDefault="0007482B" w:rsidP="0007482B">
            <w:pPr>
              <w:spacing w:line="240" w:lineRule="auto"/>
              <w:ind w:firstLine="0"/>
              <w:rPr>
                <w:rFonts w:eastAsia="Times New Roman" w:cs="Arial"/>
                <w:color w:val="000000"/>
                <w:sz w:val="20"/>
                <w:szCs w:val="20"/>
              </w:rPr>
            </w:pPr>
            <w:r w:rsidRPr="008E6A5C">
              <w:rPr>
                <w:rFonts w:eastAsia="Times New Roman" w:cs="Arial"/>
                <w:color w:val="000000"/>
                <w:sz w:val="20"/>
                <w:szCs w:val="20"/>
              </w:rPr>
              <w:t>Trans-2-Hexenal</w:t>
            </w:r>
          </w:p>
        </w:tc>
        <w:tc>
          <w:tcPr>
            <w:tcW w:w="1980" w:type="dxa"/>
            <w:tcBorders>
              <w:bottom w:val="single" w:sz="4" w:space="0" w:color="auto"/>
            </w:tcBorders>
            <w:shd w:val="clear" w:color="auto" w:fill="auto"/>
            <w:vAlign w:val="center"/>
            <w:hideMark/>
          </w:tcPr>
          <w:p w14:paraId="14E5EFF5" w14:textId="77777777"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0.25 - 1 ª</w:t>
            </w:r>
          </w:p>
        </w:tc>
        <w:tc>
          <w:tcPr>
            <w:tcW w:w="720" w:type="dxa"/>
            <w:tcBorders>
              <w:bottom w:val="single" w:sz="4" w:space="0" w:color="auto"/>
            </w:tcBorders>
            <w:shd w:val="clear" w:color="auto" w:fill="auto"/>
            <w:vAlign w:val="center"/>
            <w:hideMark/>
          </w:tcPr>
          <w:p w14:paraId="54333948" w14:textId="6679B442"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Neg</w:t>
            </w:r>
          </w:p>
        </w:tc>
        <w:tc>
          <w:tcPr>
            <w:tcW w:w="900" w:type="dxa"/>
            <w:tcBorders>
              <w:bottom w:val="single" w:sz="4" w:space="0" w:color="auto"/>
            </w:tcBorders>
            <w:shd w:val="clear" w:color="auto" w:fill="auto"/>
            <w:vAlign w:val="center"/>
            <w:hideMark/>
          </w:tcPr>
          <w:p w14:paraId="4C297099" w14:textId="708A0297"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Neg</w:t>
            </w:r>
          </w:p>
        </w:tc>
        <w:tc>
          <w:tcPr>
            <w:tcW w:w="2070" w:type="dxa"/>
            <w:gridSpan w:val="2"/>
            <w:tcBorders>
              <w:bottom w:val="single" w:sz="4" w:space="0" w:color="auto"/>
            </w:tcBorders>
            <w:shd w:val="clear" w:color="auto" w:fill="auto"/>
            <w:vAlign w:val="center"/>
            <w:hideMark/>
          </w:tcPr>
          <w:p w14:paraId="6CD17792" w14:textId="77777777"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 xml:space="preserve">2.5 - 10 </w:t>
            </w:r>
            <w:r w:rsidRPr="008E6A5C">
              <w:rPr>
                <w:rFonts w:eastAsia="Times New Roman" w:cs="Arial"/>
                <w:color w:val="000000"/>
                <w:sz w:val="20"/>
                <w:szCs w:val="20"/>
                <w:vertAlign w:val="superscript"/>
              </w:rPr>
              <w:t>a</w:t>
            </w:r>
          </w:p>
        </w:tc>
        <w:tc>
          <w:tcPr>
            <w:tcW w:w="630" w:type="dxa"/>
            <w:tcBorders>
              <w:bottom w:val="single" w:sz="4" w:space="0" w:color="auto"/>
            </w:tcBorders>
            <w:shd w:val="clear" w:color="auto" w:fill="auto"/>
            <w:noWrap/>
            <w:vAlign w:val="center"/>
            <w:hideMark/>
          </w:tcPr>
          <w:p w14:paraId="3AE4FBA6" w14:textId="26D2194D"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Neg</w:t>
            </w:r>
          </w:p>
        </w:tc>
        <w:tc>
          <w:tcPr>
            <w:tcW w:w="905" w:type="dxa"/>
            <w:tcBorders>
              <w:bottom w:val="single" w:sz="4" w:space="0" w:color="auto"/>
            </w:tcBorders>
            <w:shd w:val="clear" w:color="auto" w:fill="auto"/>
            <w:noWrap/>
            <w:vAlign w:val="center"/>
            <w:hideMark/>
          </w:tcPr>
          <w:p w14:paraId="7D96E073" w14:textId="4ACF32AA"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Pos</w:t>
            </w:r>
          </w:p>
        </w:tc>
      </w:tr>
      <w:tr w:rsidR="00FA4868" w:rsidRPr="008E6A5C" w14:paraId="49D154AD" w14:textId="77777777" w:rsidTr="00A9775A">
        <w:trPr>
          <w:trHeight w:val="245"/>
        </w:trPr>
        <w:tc>
          <w:tcPr>
            <w:tcW w:w="2515" w:type="dxa"/>
            <w:tcBorders>
              <w:top w:val="single" w:sz="4" w:space="0" w:color="auto"/>
              <w:bottom w:val="single" w:sz="4" w:space="0" w:color="auto"/>
            </w:tcBorders>
            <w:shd w:val="clear" w:color="auto" w:fill="auto"/>
            <w:noWrap/>
            <w:vAlign w:val="center"/>
            <w:hideMark/>
          </w:tcPr>
          <w:p w14:paraId="0F24F0C3" w14:textId="77777777" w:rsidR="0007482B" w:rsidRPr="008E6A5C" w:rsidRDefault="0007482B" w:rsidP="0007482B">
            <w:pPr>
              <w:spacing w:line="240" w:lineRule="auto"/>
              <w:ind w:firstLine="0"/>
              <w:rPr>
                <w:rFonts w:eastAsia="Times New Roman" w:cs="Arial"/>
                <w:color w:val="000000"/>
                <w:sz w:val="20"/>
                <w:szCs w:val="20"/>
              </w:rPr>
            </w:pPr>
            <w:r w:rsidRPr="008E6A5C">
              <w:rPr>
                <w:rFonts w:eastAsia="Times New Roman" w:cs="Arial"/>
                <w:color w:val="000000"/>
                <w:sz w:val="20"/>
                <w:szCs w:val="20"/>
              </w:rPr>
              <w:t>Xylitol</w:t>
            </w:r>
          </w:p>
        </w:tc>
        <w:tc>
          <w:tcPr>
            <w:tcW w:w="1980" w:type="dxa"/>
            <w:tcBorders>
              <w:top w:val="single" w:sz="4" w:space="0" w:color="auto"/>
              <w:bottom w:val="single" w:sz="4" w:space="0" w:color="auto"/>
            </w:tcBorders>
            <w:shd w:val="clear" w:color="auto" w:fill="auto"/>
            <w:vAlign w:val="center"/>
            <w:hideMark/>
          </w:tcPr>
          <w:p w14:paraId="6B21C5E1" w14:textId="77777777"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2 - 4</w:t>
            </w:r>
          </w:p>
        </w:tc>
        <w:tc>
          <w:tcPr>
            <w:tcW w:w="720" w:type="dxa"/>
            <w:tcBorders>
              <w:top w:val="single" w:sz="4" w:space="0" w:color="auto"/>
              <w:bottom w:val="single" w:sz="4" w:space="0" w:color="auto"/>
            </w:tcBorders>
            <w:shd w:val="clear" w:color="auto" w:fill="auto"/>
            <w:vAlign w:val="center"/>
            <w:hideMark/>
          </w:tcPr>
          <w:p w14:paraId="09B14785" w14:textId="7F1DDBCC"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Neg</w:t>
            </w:r>
          </w:p>
        </w:tc>
        <w:tc>
          <w:tcPr>
            <w:tcW w:w="900" w:type="dxa"/>
            <w:tcBorders>
              <w:top w:val="single" w:sz="4" w:space="0" w:color="auto"/>
              <w:bottom w:val="single" w:sz="4" w:space="0" w:color="auto"/>
            </w:tcBorders>
            <w:shd w:val="clear" w:color="auto" w:fill="auto"/>
            <w:vAlign w:val="center"/>
            <w:hideMark/>
          </w:tcPr>
          <w:p w14:paraId="711179AD" w14:textId="2CF5ABA0"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Neg</w:t>
            </w:r>
          </w:p>
        </w:tc>
        <w:tc>
          <w:tcPr>
            <w:tcW w:w="2070" w:type="dxa"/>
            <w:gridSpan w:val="2"/>
            <w:tcBorders>
              <w:top w:val="single" w:sz="4" w:space="0" w:color="auto"/>
              <w:bottom w:val="single" w:sz="4" w:space="0" w:color="auto"/>
            </w:tcBorders>
            <w:shd w:val="clear" w:color="auto" w:fill="auto"/>
            <w:vAlign w:val="center"/>
            <w:hideMark/>
          </w:tcPr>
          <w:p w14:paraId="4675E32D" w14:textId="77777777"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 xml:space="preserve">2.5 - 5 </w:t>
            </w:r>
            <w:r w:rsidRPr="008E6A5C">
              <w:rPr>
                <w:rFonts w:eastAsia="Times New Roman" w:cs="Arial"/>
                <w:color w:val="000000"/>
                <w:sz w:val="20"/>
                <w:szCs w:val="20"/>
                <w:vertAlign w:val="superscript"/>
              </w:rPr>
              <w:t>a</w:t>
            </w:r>
          </w:p>
        </w:tc>
        <w:tc>
          <w:tcPr>
            <w:tcW w:w="630" w:type="dxa"/>
            <w:tcBorders>
              <w:top w:val="single" w:sz="4" w:space="0" w:color="auto"/>
              <w:bottom w:val="single" w:sz="4" w:space="0" w:color="auto"/>
            </w:tcBorders>
            <w:shd w:val="clear" w:color="auto" w:fill="auto"/>
            <w:noWrap/>
            <w:vAlign w:val="center"/>
            <w:hideMark/>
          </w:tcPr>
          <w:p w14:paraId="3398FC9B" w14:textId="2B0E475A"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Neg</w:t>
            </w:r>
          </w:p>
        </w:tc>
        <w:tc>
          <w:tcPr>
            <w:tcW w:w="905" w:type="dxa"/>
            <w:tcBorders>
              <w:top w:val="single" w:sz="4" w:space="0" w:color="auto"/>
              <w:bottom w:val="single" w:sz="4" w:space="0" w:color="auto"/>
            </w:tcBorders>
            <w:shd w:val="clear" w:color="auto" w:fill="auto"/>
            <w:noWrap/>
            <w:vAlign w:val="center"/>
            <w:hideMark/>
          </w:tcPr>
          <w:p w14:paraId="0F1F962F" w14:textId="29B36902" w:rsidR="0007482B" w:rsidRPr="008E6A5C" w:rsidRDefault="0007482B" w:rsidP="0007482B">
            <w:pPr>
              <w:spacing w:line="240" w:lineRule="auto"/>
              <w:ind w:firstLine="0"/>
              <w:jc w:val="center"/>
              <w:rPr>
                <w:rFonts w:eastAsia="Times New Roman" w:cs="Arial"/>
                <w:color w:val="000000"/>
                <w:sz w:val="20"/>
                <w:szCs w:val="20"/>
              </w:rPr>
            </w:pPr>
            <w:r w:rsidRPr="008E6A5C">
              <w:rPr>
                <w:rFonts w:eastAsia="Times New Roman" w:cs="Arial"/>
                <w:color w:val="000000"/>
                <w:sz w:val="20"/>
                <w:szCs w:val="20"/>
              </w:rPr>
              <w:t>Pos</w:t>
            </w:r>
          </w:p>
        </w:tc>
      </w:tr>
    </w:tbl>
    <w:p w14:paraId="3D2136D7" w14:textId="718892F2" w:rsidR="00590D0F" w:rsidRPr="00A91056" w:rsidRDefault="00590D0F" w:rsidP="00901762">
      <w:pPr>
        <w:pStyle w:val="NoSpacing"/>
        <w:spacing w:before="120"/>
        <w:rPr>
          <w:sz w:val="20"/>
          <w:szCs w:val="20"/>
        </w:rPr>
      </w:pPr>
      <w:r w:rsidRPr="00A91056">
        <w:rPr>
          <w:sz w:val="20"/>
          <w:szCs w:val="20"/>
        </w:rPr>
        <w:t>a,  next dose level reduced viability by over 50%;</w:t>
      </w:r>
      <w:r w:rsidR="00F77A6C" w:rsidRPr="00A91056">
        <w:rPr>
          <w:sz w:val="20"/>
          <w:szCs w:val="20"/>
        </w:rPr>
        <w:t xml:space="preserve"> </w:t>
      </w:r>
    </w:p>
    <w:p w14:paraId="3E41B32B" w14:textId="77777777" w:rsidR="00590D0F" w:rsidRPr="00A91056" w:rsidRDefault="00590D0F" w:rsidP="00F77A6C">
      <w:pPr>
        <w:pStyle w:val="NoSpacing"/>
        <w:widowControl w:val="0"/>
        <w:rPr>
          <w:sz w:val="20"/>
          <w:szCs w:val="20"/>
        </w:rPr>
      </w:pPr>
      <w:r w:rsidRPr="00A91056">
        <w:rPr>
          <w:sz w:val="20"/>
          <w:szCs w:val="20"/>
        </w:rPr>
        <w:t>b, higher dosage could not be achieved due to low solubility;</w:t>
      </w:r>
    </w:p>
    <w:p w14:paraId="114155F4" w14:textId="713F0572" w:rsidR="00590D0F" w:rsidRPr="00A91056" w:rsidRDefault="00590D0F" w:rsidP="00F77A6C">
      <w:pPr>
        <w:pStyle w:val="NoSpacing"/>
        <w:widowControl w:val="0"/>
        <w:rPr>
          <w:sz w:val="20"/>
          <w:szCs w:val="20"/>
        </w:rPr>
      </w:pPr>
      <w:r w:rsidRPr="00A91056">
        <w:rPr>
          <w:sz w:val="20"/>
          <w:szCs w:val="20"/>
        </w:rPr>
        <w:t xml:space="preserve">c, dosing was conducted under </w:t>
      </w:r>
      <w:r w:rsidR="009877AC" w:rsidRPr="00A91056">
        <w:rPr>
          <w:sz w:val="20"/>
          <w:szCs w:val="20"/>
        </w:rPr>
        <w:t xml:space="preserve">a </w:t>
      </w:r>
      <w:r w:rsidRPr="00A91056">
        <w:rPr>
          <w:sz w:val="20"/>
          <w:szCs w:val="20"/>
        </w:rPr>
        <w:t>different protocol</w:t>
      </w:r>
      <w:r w:rsidR="00160DAB" w:rsidRPr="00A91056">
        <w:rPr>
          <w:sz w:val="20"/>
          <w:szCs w:val="20"/>
        </w:rPr>
        <w:t xml:space="preserve">; </w:t>
      </w:r>
    </w:p>
    <w:p w14:paraId="47E8AF64" w14:textId="77777777" w:rsidR="00901762" w:rsidRPr="00A91056" w:rsidRDefault="00F77A6C" w:rsidP="00901762">
      <w:pPr>
        <w:pStyle w:val="NoSpacing"/>
        <w:widowControl w:val="0"/>
        <w:spacing w:after="120"/>
        <w:rPr>
          <w:sz w:val="20"/>
          <w:szCs w:val="20"/>
        </w:rPr>
      </w:pPr>
      <w:r w:rsidRPr="00A91056">
        <w:rPr>
          <w:sz w:val="20"/>
          <w:szCs w:val="20"/>
        </w:rPr>
        <w:t>d, significant decrease in comet tail</w:t>
      </w:r>
    </w:p>
    <w:p w14:paraId="70958A81" w14:textId="6B4076BB" w:rsidR="00185B41" w:rsidRDefault="006666CC" w:rsidP="0007482B">
      <w:pPr>
        <w:pStyle w:val="NoSpacing"/>
        <w:widowControl w:val="0"/>
        <w:rPr>
          <w:sz w:val="20"/>
          <w:szCs w:val="20"/>
        </w:rPr>
        <w:sectPr w:rsidR="00185B41" w:rsidSect="003C0891">
          <w:pgSz w:w="12240" w:h="15840"/>
          <w:pgMar w:top="1440" w:right="1440" w:bottom="1440" w:left="1440" w:header="720" w:footer="720" w:gutter="0"/>
          <w:cols w:space="720"/>
          <w:docGrid w:linePitch="360"/>
        </w:sectPr>
      </w:pPr>
      <w:r w:rsidRPr="006666CC">
        <w:rPr>
          <w:i/>
          <w:iCs/>
          <w:sz w:val="20"/>
          <w:szCs w:val="20"/>
        </w:rPr>
        <w:t>Abbreviations</w:t>
      </w:r>
      <w:r>
        <w:rPr>
          <w:sz w:val="20"/>
          <w:szCs w:val="20"/>
        </w:rPr>
        <w:t xml:space="preserve">: </w:t>
      </w:r>
      <w:r w:rsidR="00901762" w:rsidRPr="00A91056">
        <w:rPr>
          <w:sz w:val="20"/>
          <w:szCs w:val="20"/>
        </w:rPr>
        <w:t xml:space="preserve">Comet, alkaline single cell gel electrophoresis assay; </w:t>
      </w:r>
      <w:proofErr w:type="spellStart"/>
      <w:r w:rsidR="00901762" w:rsidRPr="00A91056">
        <w:rPr>
          <w:sz w:val="20"/>
          <w:szCs w:val="20"/>
        </w:rPr>
        <w:t>Eqv</w:t>
      </w:r>
      <w:proofErr w:type="spellEnd"/>
      <w:r w:rsidR="00901762" w:rsidRPr="00A91056">
        <w:rPr>
          <w:sz w:val="20"/>
          <w:szCs w:val="20"/>
        </w:rPr>
        <w:t xml:space="preserve">, equivocal; Neg, negative; NPL, </w:t>
      </w:r>
      <w:r w:rsidR="00901762" w:rsidRPr="00A91056">
        <w:rPr>
          <w:sz w:val="20"/>
          <w:szCs w:val="20"/>
          <w:vertAlign w:val="superscript"/>
        </w:rPr>
        <w:t>32</w:t>
      </w:r>
      <w:r w:rsidR="00901762" w:rsidRPr="00A91056">
        <w:rPr>
          <w:sz w:val="20"/>
          <w:szCs w:val="20"/>
        </w:rPr>
        <w:t xml:space="preserve">P-nucleotide </w:t>
      </w:r>
      <w:proofErr w:type="spellStart"/>
      <w:r w:rsidR="00901762" w:rsidRPr="00A91056">
        <w:rPr>
          <w:sz w:val="20"/>
          <w:szCs w:val="20"/>
        </w:rPr>
        <w:t>postlabeling</w:t>
      </w:r>
      <w:proofErr w:type="spellEnd"/>
      <w:r w:rsidR="00901762" w:rsidRPr="00A91056">
        <w:rPr>
          <w:sz w:val="20"/>
          <w:szCs w:val="20"/>
        </w:rPr>
        <w:t xml:space="preserve"> assay; Pos, positive</w:t>
      </w:r>
      <w:r w:rsidR="007B2775">
        <w:rPr>
          <w:sz w:val="20"/>
          <w:szCs w:val="20"/>
        </w:rPr>
        <w:t>.</w:t>
      </w:r>
    </w:p>
    <w:p w14:paraId="2D10F54F" w14:textId="139279E5" w:rsidR="005D532F" w:rsidRPr="00A91056" w:rsidRDefault="005D532F" w:rsidP="005D532F">
      <w:pPr>
        <w:pStyle w:val="Heading2"/>
        <w:rPr>
          <w:rFonts w:cs="Arial"/>
          <w:szCs w:val="24"/>
        </w:rPr>
      </w:pPr>
      <w:r w:rsidRPr="00A91056">
        <w:lastRenderedPageBreak/>
        <w:t xml:space="preserve">D. Concordance Analysis of the </w:t>
      </w:r>
      <w:r w:rsidRPr="00A91056">
        <w:rPr>
          <w:i/>
          <w:iCs/>
        </w:rPr>
        <w:t>In Ovo</w:t>
      </w:r>
      <w:r w:rsidRPr="00A91056">
        <w:t>, In Vitro and In Vivo Data</w:t>
      </w:r>
    </w:p>
    <w:p w14:paraId="7E9F9C2E" w14:textId="4FEFC301" w:rsidR="005D532F" w:rsidRPr="00A91056" w:rsidRDefault="005D532F" w:rsidP="005D532F">
      <w:pPr>
        <w:rPr>
          <w:rFonts w:cs="Arial"/>
          <w:szCs w:val="24"/>
        </w:rPr>
      </w:pPr>
      <w:r w:rsidRPr="00A91056">
        <w:rPr>
          <w:rFonts w:cs="Arial"/>
          <w:szCs w:val="24"/>
        </w:rPr>
        <w:t xml:space="preserve">The concordance analysis revealed closer correlation of CEGA and TEGA </w:t>
      </w:r>
      <w:r w:rsidR="00F107F9">
        <w:rPr>
          <w:rFonts w:cs="Arial"/>
          <w:szCs w:val="24"/>
        </w:rPr>
        <w:t xml:space="preserve">results </w:t>
      </w:r>
      <w:r w:rsidRPr="00A91056">
        <w:rPr>
          <w:rFonts w:cs="Arial"/>
          <w:szCs w:val="24"/>
        </w:rPr>
        <w:t>with in vivo outcomes compared to in vitro data (</w:t>
      </w:r>
      <w:r>
        <w:rPr>
          <w:rFonts w:cs="Arial"/>
          <w:b/>
          <w:bCs/>
          <w:szCs w:val="24"/>
        </w:rPr>
        <w:t>Figures 5 and 6</w:t>
      </w:r>
      <w:r w:rsidRPr="00A91056">
        <w:rPr>
          <w:rFonts w:cs="Arial"/>
          <w:szCs w:val="24"/>
        </w:rPr>
        <w:t xml:space="preserve">). </w:t>
      </w:r>
    </w:p>
    <w:p w14:paraId="4C3791AA" w14:textId="77777777" w:rsidR="005D532F" w:rsidRPr="00A91056" w:rsidRDefault="005D532F" w:rsidP="005D532F">
      <w:pPr>
        <w:pStyle w:val="Heading3"/>
      </w:pPr>
      <w:r w:rsidRPr="00A91056">
        <w:t>i. Concordance with In Vitro Data</w:t>
      </w:r>
    </w:p>
    <w:p w14:paraId="0ADBF177" w14:textId="621CE9E4" w:rsidR="005D532F" w:rsidRPr="00A91056" w:rsidRDefault="005D532F" w:rsidP="005D532F">
      <w:pPr>
        <w:rPr>
          <w:rFonts w:cs="Arial"/>
          <w:szCs w:val="24"/>
        </w:rPr>
      </w:pPr>
      <w:r w:rsidRPr="00A91056">
        <w:rPr>
          <w:rFonts w:cs="Arial"/>
          <w:szCs w:val="24"/>
        </w:rPr>
        <w:t xml:space="preserve">The overall sensitivity of </w:t>
      </w:r>
      <w:r w:rsidR="00417D33">
        <w:rPr>
          <w:rFonts w:cs="Arial"/>
          <w:szCs w:val="24"/>
        </w:rPr>
        <w:t xml:space="preserve">the </w:t>
      </w:r>
      <w:r w:rsidRPr="00A91056">
        <w:rPr>
          <w:rFonts w:cs="Arial"/>
          <w:szCs w:val="24"/>
        </w:rPr>
        <w:t>CEGA model ranged from 51% to 88% when compared to in vitro assays, including Ames, mammalian cell gene mutation (MCGM), micronucleus (MN), chromosome aberrations (CA), and rat HPC/DRA assays. Specificity was lower, ranging from 29% to 61% (</w:t>
      </w:r>
      <w:r>
        <w:rPr>
          <w:rFonts w:cs="Arial"/>
          <w:b/>
          <w:bCs/>
          <w:szCs w:val="24"/>
        </w:rPr>
        <w:t>Figure 5A</w:t>
      </w:r>
      <w:r w:rsidRPr="00A91056">
        <w:rPr>
          <w:rFonts w:cs="Arial"/>
          <w:szCs w:val="24"/>
        </w:rPr>
        <w:t>). Similarly, sensitivity of TEGA raged from 56% to 80%, and specificity varied from 40% to 61% depending on the in vitro assay (</w:t>
      </w:r>
      <w:r>
        <w:rPr>
          <w:rFonts w:cs="Arial"/>
          <w:b/>
          <w:bCs/>
          <w:szCs w:val="24"/>
        </w:rPr>
        <w:t xml:space="preserve">Figure </w:t>
      </w:r>
      <w:r w:rsidR="009D16E2">
        <w:rPr>
          <w:rFonts w:cs="Arial"/>
          <w:b/>
          <w:bCs/>
          <w:szCs w:val="24"/>
        </w:rPr>
        <w:t>5B</w:t>
      </w:r>
      <w:r w:rsidRPr="00A91056">
        <w:rPr>
          <w:rFonts w:cs="Arial"/>
          <w:szCs w:val="24"/>
        </w:rPr>
        <w:t xml:space="preserve">). The predictivity of CEGA and TEGA was the highest for Ames and HPC/DRA assays. Notably, FDR were generally low for both </w:t>
      </w:r>
      <w:r w:rsidRPr="00A91056">
        <w:rPr>
          <w:rFonts w:cs="Arial"/>
          <w:i/>
          <w:iCs/>
          <w:szCs w:val="24"/>
        </w:rPr>
        <w:t xml:space="preserve">in </w:t>
      </w:r>
      <w:proofErr w:type="spellStart"/>
      <w:r w:rsidRPr="00A91056">
        <w:rPr>
          <w:rFonts w:cs="Arial"/>
          <w:i/>
          <w:iCs/>
          <w:szCs w:val="24"/>
        </w:rPr>
        <w:t>ovo</w:t>
      </w:r>
      <w:proofErr w:type="spellEnd"/>
      <w:r w:rsidRPr="00A91056">
        <w:rPr>
          <w:rFonts w:cs="Arial"/>
          <w:szCs w:val="24"/>
        </w:rPr>
        <w:t xml:space="preserve"> models, while accuracy values for most assays exceeded 50%</w:t>
      </w:r>
      <w:r w:rsidR="009D16E2">
        <w:rPr>
          <w:rFonts w:cs="Arial"/>
          <w:szCs w:val="24"/>
        </w:rPr>
        <w:t xml:space="preserve"> </w:t>
      </w:r>
      <w:r w:rsidR="009D16E2" w:rsidRPr="00A91056">
        <w:rPr>
          <w:rFonts w:cs="Arial"/>
          <w:szCs w:val="24"/>
        </w:rPr>
        <w:t>(</w:t>
      </w:r>
      <w:r w:rsidR="009D16E2">
        <w:rPr>
          <w:rFonts w:cs="Arial"/>
          <w:b/>
          <w:bCs/>
          <w:szCs w:val="24"/>
        </w:rPr>
        <w:t>Figure 5</w:t>
      </w:r>
      <w:r w:rsidR="009D16E2" w:rsidRPr="00A91056">
        <w:rPr>
          <w:rFonts w:cs="Arial"/>
          <w:szCs w:val="24"/>
        </w:rPr>
        <w:t>)</w:t>
      </w:r>
      <w:r w:rsidR="009D16E2">
        <w:rPr>
          <w:rFonts w:cs="Arial"/>
          <w:szCs w:val="24"/>
        </w:rPr>
        <w:t>.</w:t>
      </w:r>
    </w:p>
    <w:p w14:paraId="32CB1961" w14:textId="77777777" w:rsidR="005D532F" w:rsidRPr="00A91056" w:rsidRDefault="005D532F" w:rsidP="005D532F">
      <w:pPr>
        <w:pStyle w:val="Heading3"/>
      </w:pPr>
      <w:r w:rsidRPr="00A91056">
        <w:t>ii. Concordance with In Vivo Data</w:t>
      </w:r>
    </w:p>
    <w:p w14:paraId="34996C17" w14:textId="0A45B06A" w:rsidR="005D532F" w:rsidRPr="00A91056" w:rsidRDefault="005D532F" w:rsidP="005D532F">
      <w:pPr>
        <w:rPr>
          <w:rFonts w:cs="Arial"/>
          <w:szCs w:val="24"/>
        </w:rPr>
      </w:pPr>
      <w:r w:rsidRPr="00A91056">
        <w:rPr>
          <w:rFonts w:cs="Arial"/>
          <w:szCs w:val="24"/>
        </w:rPr>
        <w:t>Sensitivity of CEGA for in vivo genotoxicity assays</w:t>
      </w:r>
      <w:r w:rsidR="00417D33">
        <w:rPr>
          <w:rFonts w:cs="Arial"/>
          <w:szCs w:val="24"/>
        </w:rPr>
        <w:t>,</w:t>
      </w:r>
      <w:r w:rsidRPr="00A91056">
        <w:rPr>
          <w:rFonts w:cs="Arial"/>
          <w:szCs w:val="24"/>
        </w:rPr>
        <w:t xml:space="preserve"> including unscheduled DNA synthesis (UDS), transgenic rodent assays (TGR), MN and CA assays, ranged from 61% to 89% (</w:t>
      </w:r>
      <w:r>
        <w:rPr>
          <w:rFonts w:cs="Arial"/>
          <w:b/>
          <w:bCs/>
          <w:szCs w:val="24"/>
        </w:rPr>
        <w:t xml:space="preserve">Figure </w:t>
      </w:r>
      <w:r w:rsidR="009D16E2">
        <w:rPr>
          <w:rFonts w:cs="Arial"/>
          <w:b/>
          <w:bCs/>
          <w:szCs w:val="24"/>
        </w:rPr>
        <w:t>6A</w:t>
      </w:r>
      <w:r w:rsidRPr="00A91056">
        <w:rPr>
          <w:rFonts w:cs="Arial"/>
          <w:szCs w:val="24"/>
        </w:rPr>
        <w:t>). Specificity was also high, ranging from 60% to 100%. Overall accuracy was around 80% for most endpoints (</w:t>
      </w:r>
      <w:r>
        <w:rPr>
          <w:rFonts w:cs="Arial"/>
          <w:b/>
          <w:bCs/>
          <w:szCs w:val="24"/>
        </w:rPr>
        <w:t xml:space="preserve">Figure </w:t>
      </w:r>
      <w:r w:rsidR="009D16E2">
        <w:rPr>
          <w:rFonts w:cs="Arial"/>
          <w:b/>
          <w:bCs/>
          <w:szCs w:val="24"/>
        </w:rPr>
        <w:t>6A</w:t>
      </w:r>
      <w:r w:rsidRPr="00A91056">
        <w:rPr>
          <w:rFonts w:cs="Arial"/>
          <w:szCs w:val="24"/>
        </w:rPr>
        <w:t xml:space="preserve">). </w:t>
      </w:r>
      <w:r>
        <w:rPr>
          <w:rFonts w:cs="Arial"/>
          <w:szCs w:val="24"/>
        </w:rPr>
        <w:t>Similarly, s</w:t>
      </w:r>
      <w:r w:rsidRPr="00A91056">
        <w:rPr>
          <w:rFonts w:cs="Arial"/>
          <w:szCs w:val="24"/>
        </w:rPr>
        <w:t>ensitivity of TEGA varied from 57% to 80%, and specificity varied from 56% to 100% (</w:t>
      </w:r>
      <w:r>
        <w:rPr>
          <w:rFonts w:cs="Arial"/>
          <w:b/>
          <w:bCs/>
          <w:szCs w:val="24"/>
        </w:rPr>
        <w:t>Figure 6B</w:t>
      </w:r>
      <w:r w:rsidRPr="00A91056">
        <w:rPr>
          <w:rFonts w:cs="Arial"/>
          <w:szCs w:val="24"/>
        </w:rPr>
        <w:t xml:space="preserve">). </w:t>
      </w:r>
    </w:p>
    <w:p w14:paraId="7CD47DA0" w14:textId="3C325C96" w:rsidR="005D532F" w:rsidRDefault="005D532F" w:rsidP="005D532F">
      <w:pPr>
        <w:rPr>
          <w:rFonts w:cs="Arial"/>
          <w:szCs w:val="24"/>
        </w:rPr>
      </w:pPr>
      <w:r w:rsidRPr="00A91056">
        <w:rPr>
          <w:rFonts w:cs="Arial"/>
          <w:szCs w:val="24"/>
        </w:rPr>
        <w:t>CEGA demonstrated a very robust predictivity for carcinogenicity outcomes, with sensitivity of 73%, specificity of 92% and accuracy of 77% (</w:t>
      </w:r>
      <w:r>
        <w:rPr>
          <w:rFonts w:cs="Arial"/>
          <w:b/>
          <w:bCs/>
          <w:szCs w:val="24"/>
        </w:rPr>
        <w:t xml:space="preserve">Figure </w:t>
      </w:r>
      <w:r w:rsidR="009D16E2">
        <w:rPr>
          <w:rFonts w:cs="Arial"/>
          <w:b/>
          <w:bCs/>
          <w:szCs w:val="24"/>
        </w:rPr>
        <w:t>6A</w:t>
      </w:r>
      <w:r w:rsidRPr="00A91056">
        <w:rPr>
          <w:rFonts w:cs="Arial"/>
          <w:szCs w:val="24"/>
        </w:rPr>
        <w:t>). These metrics were slightly lower for TEGA, with sensitivity reaching 57%, specificity being 63%, and accuracy of 58% (</w:t>
      </w:r>
      <w:r>
        <w:rPr>
          <w:rFonts w:cs="Arial"/>
          <w:b/>
          <w:bCs/>
          <w:szCs w:val="24"/>
        </w:rPr>
        <w:t>Figure 6B</w:t>
      </w:r>
      <w:r w:rsidRPr="00A91056">
        <w:rPr>
          <w:rFonts w:cs="Arial"/>
          <w:szCs w:val="24"/>
        </w:rPr>
        <w:t xml:space="preserve">). </w:t>
      </w:r>
    </w:p>
    <w:p w14:paraId="32089705" w14:textId="77777777" w:rsidR="00BA0F0F" w:rsidRPr="00A91056" w:rsidRDefault="00BA0F0F" w:rsidP="005D532F">
      <w:pPr>
        <w:rPr>
          <w:rFonts w:cs="Arial"/>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0"/>
      </w:tblGrid>
      <w:tr w:rsidR="00653227" w14:paraId="220FD17E" w14:textId="77777777" w:rsidTr="00F11FEA">
        <w:tc>
          <w:tcPr>
            <w:tcW w:w="9350" w:type="dxa"/>
          </w:tcPr>
          <w:p w14:paraId="29D66C91" w14:textId="77777777" w:rsidR="00653227" w:rsidRPr="006810A5" w:rsidRDefault="00653227" w:rsidP="00E446B9">
            <w:pPr>
              <w:pStyle w:val="NoSpacing"/>
              <w:keepLines/>
              <w:rPr>
                <w:b/>
                <w:bCs/>
              </w:rPr>
            </w:pPr>
            <w:r w:rsidRPr="006810A5">
              <w:rPr>
                <w:b/>
                <w:bCs/>
              </w:rPr>
              <w:lastRenderedPageBreak/>
              <w:br w:type="page"/>
              <w:t xml:space="preserve">A. CEGA vs </w:t>
            </w:r>
            <w:r>
              <w:rPr>
                <w:b/>
                <w:bCs/>
              </w:rPr>
              <w:t>i</w:t>
            </w:r>
            <w:r w:rsidRPr="006810A5">
              <w:rPr>
                <w:b/>
                <w:bCs/>
              </w:rPr>
              <w:t>n vitro genotoxicity assays</w:t>
            </w:r>
          </w:p>
        </w:tc>
      </w:tr>
      <w:tr w:rsidR="00653227" w14:paraId="01401919" w14:textId="77777777" w:rsidTr="00F11FEA">
        <w:tc>
          <w:tcPr>
            <w:tcW w:w="9350" w:type="dxa"/>
          </w:tcPr>
          <w:p w14:paraId="53E487F1" w14:textId="1B6FE097" w:rsidR="00653227" w:rsidRPr="006666CC" w:rsidRDefault="00A50891" w:rsidP="00E446B9">
            <w:pPr>
              <w:pStyle w:val="NoSpacing"/>
              <w:keepLines/>
            </w:pPr>
            <w:r>
              <w:rPr>
                <w:noProof/>
              </w:rPr>
              <w:drawing>
                <wp:inline distT="0" distB="0" distL="0" distR="0" wp14:anchorId="62384CC0" wp14:editId="785335E9">
                  <wp:extent cx="5486400" cy="2571998"/>
                  <wp:effectExtent l="0" t="0" r="0" b="0"/>
                  <wp:docPr id="8829611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486400" cy="2571998"/>
                          </a:xfrm>
                          <a:prstGeom prst="rect">
                            <a:avLst/>
                          </a:prstGeom>
                          <a:noFill/>
                        </pic:spPr>
                      </pic:pic>
                    </a:graphicData>
                  </a:graphic>
                </wp:inline>
              </w:drawing>
            </w:r>
          </w:p>
        </w:tc>
      </w:tr>
      <w:tr w:rsidR="00653227" w14:paraId="5C55B7D7" w14:textId="77777777" w:rsidTr="00F11FEA">
        <w:trPr>
          <w:trHeight w:val="1169"/>
        </w:trPr>
        <w:tc>
          <w:tcPr>
            <w:tcW w:w="9350" w:type="dxa"/>
          </w:tcPr>
          <w:tbl>
            <w:tblPr>
              <w:tblW w:w="0" w:type="auto"/>
              <w:jc w:val="center"/>
              <w:tblBorders>
                <w:top w:val="single" w:sz="4" w:space="0" w:color="auto"/>
                <w:bottom w:val="single" w:sz="4" w:space="0" w:color="auto"/>
                <w:insideH w:val="single" w:sz="4" w:space="0" w:color="auto"/>
              </w:tblBorders>
              <w:tblLayout w:type="fixed"/>
              <w:tblCellMar>
                <w:left w:w="43" w:type="dxa"/>
                <w:right w:w="43" w:type="dxa"/>
              </w:tblCellMar>
              <w:tblLook w:val="04A0" w:firstRow="1" w:lastRow="0" w:firstColumn="1" w:lastColumn="0" w:noHBand="0" w:noVBand="1"/>
            </w:tblPr>
            <w:tblGrid>
              <w:gridCol w:w="900"/>
              <w:gridCol w:w="720"/>
              <w:gridCol w:w="900"/>
              <w:gridCol w:w="720"/>
              <w:gridCol w:w="836"/>
              <w:gridCol w:w="827"/>
              <w:gridCol w:w="793"/>
              <w:gridCol w:w="810"/>
              <w:gridCol w:w="1080"/>
              <w:gridCol w:w="737"/>
            </w:tblGrid>
            <w:tr w:rsidR="00653227" w:rsidRPr="008275EB" w14:paraId="59F2FE9F" w14:textId="77777777" w:rsidTr="003D7914">
              <w:trPr>
                <w:trHeight w:val="20"/>
                <w:jc w:val="center"/>
              </w:trPr>
              <w:tc>
                <w:tcPr>
                  <w:tcW w:w="1620" w:type="dxa"/>
                  <w:gridSpan w:val="2"/>
                  <w:shd w:val="clear" w:color="auto" w:fill="D9D9D9" w:themeFill="background1" w:themeFillShade="D9"/>
                  <w:noWrap/>
                  <w:vAlign w:val="center"/>
                  <w:hideMark/>
                </w:tcPr>
                <w:p w14:paraId="130F80D1" w14:textId="77777777" w:rsidR="00653227" w:rsidRPr="001F5088" w:rsidRDefault="00653227" w:rsidP="00E446B9">
                  <w:pPr>
                    <w:keepLines/>
                    <w:widowControl/>
                    <w:spacing w:line="240" w:lineRule="auto"/>
                    <w:ind w:firstLine="0"/>
                    <w:jc w:val="center"/>
                    <w:rPr>
                      <w:rFonts w:eastAsia="Times New Roman" w:cs="Arial"/>
                      <w:b/>
                      <w:bCs/>
                      <w:color w:val="000000"/>
                      <w:sz w:val="20"/>
                      <w:szCs w:val="20"/>
                    </w:rPr>
                  </w:pPr>
                  <w:r w:rsidRPr="001F5088">
                    <w:rPr>
                      <w:rFonts w:eastAsia="Times New Roman" w:cs="Arial"/>
                      <w:b/>
                      <w:bCs/>
                      <w:color w:val="000000"/>
                      <w:sz w:val="20"/>
                      <w:szCs w:val="20"/>
                    </w:rPr>
                    <w:t>CEGA/Ames</w:t>
                  </w:r>
                </w:p>
              </w:tc>
              <w:tc>
                <w:tcPr>
                  <w:tcW w:w="1620" w:type="dxa"/>
                  <w:gridSpan w:val="2"/>
                  <w:shd w:val="clear" w:color="auto" w:fill="auto"/>
                  <w:noWrap/>
                  <w:vAlign w:val="center"/>
                  <w:hideMark/>
                </w:tcPr>
                <w:p w14:paraId="54CD9643" w14:textId="77777777" w:rsidR="00653227" w:rsidRPr="001F5088" w:rsidRDefault="00653227" w:rsidP="00E446B9">
                  <w:pPr>
                    <w:keepLines/>
                    <w:widowControl/>
                    <w:spacing w:line="240" w:lineRule="auto"/>
                    <w:ind w:firstLine="0"/>
                    <w:jc w:val="center"/>
                    <w:rPr>
                      <w:rFonts w:eastAsia="Times New Roman" w:cs="Arial"/>
                      <w:b/>
                      <w:bCs/>
                      <w:color w:val="000000"/>
                      <w:sz w:val="20"/>
                      <w:szCs w:val="20"/>
                    </w:rPr>
                  </w:pPr>
                  <w:r w:rsidRPr="001F5088">
                    <w:rPr>
                      <w:rFonts w:eastAsia="Times New Roman" w:cs="Arial"/>
                      <w:b/>
                      <w:bCs/>
                      <w:color w:val="000000"/>
                      <w:sz w:val="20"/>
                      <w:szCs w:val="20"/>
                    </w:rPr>
                    <w:t>CEGA/MCGM</w:t>
                  </w:r>
                </w:p>
              </w:tc>
              <w:tc>
                <w:tcPr>
                  <w:tcW w:w="1663" w:type="dxa"/>
                  <w:gridSpan w:val="2"/>
                  <w:shd w:val="clear" w:color="auto" w:fill="D9D9D9" w:themeFill="background1" w:themeFillShade="D9"/>
                  <w:noWrap/>
                  <w:vAlign w:val="center"/>
                  <w:hideMark/>
                </w:tcPr>
                <w:p w14:paraId="6E0A607E" w14:textId="77777777" w:rsidR="00653227" w:rsidRPr="001F5088" w:rsidRDefault="00653227" w:rsidP="00E446B9">
                  <w:pPr>
                    <w:keepLines/>
                    <w:widowControl/>
                    <w:spacing w:line="240" w:lineRule="auto"/>
                    <w:ind w:firstLine="0"/>
                    <w:jc w:val="center"/>
                    <w:rPr>
                      <w:rFonts w:eastAsia="Times New Roman" w:cs="Arial"/>
                      <w:b/>
                      <w:bCs/>
                      <w:color w:val="000000"/>
                      <w:sz w:val="20"/>
                      <w:szCs w:val="20"/>
                    </w:rPr>
                  </w:pPr>
                  <w:r w:rsidRPr="001F5088">
                    <w:rPr>
                      <w:rFonts w:eastAsia="Times New Roman" w:cs="Arial"/>
                      <w:b/>
                      <w:bCs/>
                      <w:color w:val="000000"/>
                      <w:sz w:val="20"/>
                      <w:szCs w:val="20"/>
                    </w:rPr>
                    <w:t>CEGA/MN</w:t>
                  </w:r>
                </w:p>
              </w:tc>
              <w:tc>
                <w:tcPr>
                  <w:tcW w:w="1603" w:type="dxa"/>
                  <w:gridSpan w:val="2"/>
                  <w:shd w:val="clear" w:color="auto" w:fill="auto"/>
                  <w:noWrap/>
                  <w:vAlign w:val="center"/>
                  <w:hideMark/>
                </w:tcPr>
                <w:p w14:paraId="1F24A355" w14:textId="77777777" w:rsidR="00653227" w:rsidRPr="001F5088" w:rsidRDefault="00653227" w:rsidP="00E446B9">
                  <w:pPr>
                    <w:keepLines/>
                    <w:widowControl/>
                    <w:spacing w:line="240" w:lineRule="auto"/>
                    <w:ind w:firstLine="0"/>
                    <w:jc w:val="center"/>
                    <w:rPr>
                      <w:rFonts w:eastAsia="Times New Roman" w:cs="Arial"/>
                      <w:b/>
                      <w:bCs/>
                      <w:color w:val="000000"/>
                      <w:sz w:val="20"/>
                      <w:szCs w:val="20"/>
                    </w:rPr>
                  </w:pPr>
                  <w:r w:rsidRPr="001F5088">
                    <w:rPr>
                      <w:rFonts w:eastAsia="Times New Roman" w:cs="Arial"/>
                      <w:b/>
                      <w:bCs/>
                      <w:color w:val="000000"/>
                      <w:sz w:val="20"/>
                      <w:szCs w:val="20"/>
                    </w:rPr>
                    <w:t>CEGA/CA</w:t>
                  </w:r>
                </w:p>
              </w:tc>
              <w:tc>
                <w:tcPr>
                  <w:tcW w:w="1817" w:type="dxa"/>
                  <w:gridSpan w:val="2"/>
                  <w:shd w:val="clear" w:color="auto" w:fill="D9D9D9" w:themeFill="background1" w:themeFillShade="D9"/>
                  <w:noWrap/>
                  <w:vAlign w:val="center"/>
                  <w:hideMark/>
                </w:tcPr>
                <w:p w14:paraId="5B9ABA89" w14:textId="77777777" w:rsidR="00653227" w:rsidRPr="001F5088" w:rsidRDefault="00653227" w:rsidP="00E446B9">
                  <w:pPr>
                    <w:keepLines/>
                    <w:widowControl/>
                    <w:spacing w:line="240" w:lineRule="auto"/>
                    <w:ind w:firstLine="0"/>
                    <w:jc w:val="center"/>
                    <w:rPr>
                      <w:rFonts w:eastAsia="Times New Roman" w:cs="Arial"/>
                      <w:b/>
                      <w:bCs/>
                      <w:color w:val="000000"/>
                      <w:sz w:val="20"/>
                      <w:szCs w:val="20"/>
                    </w:rPr>
                  </w:pPr>
                  <w:r w:rsidRPr="001F5088">
                    <w:rPr>
                      <w:rFonts w:eastAsia="Times New Roman" w:cs="Arial"/>
                      <w:b/>
                      <w:bCs/>
                      <w:color w:val="000000"/>
                      <w:sz w:val="20"/>
                      <w:szCs w:val="20"/>
                    </w:rPr>
                    <w:t>CEGA/</w:t>
                  </w:r>
                  <w:r>
                    <w:rPr>
                      <w:rFonts w:eastAsia="Times New Roman" w:cs="Arial"/>
                      <w:b/>
                      <w:bCs/>
                      <w:color w:val="000000"/>
                      <w:sz w:val="20"/>
                      <w:szCs w:val="20"/>
                    </w:rPr>
                    <w:t xml:space="preserve">rat </w:t>
                  </w:r>
                  <w:r w:rsidRPr="001F5088">
                    <w:rPr>
                      <w:rFonts w:eastAsia="Times New Roman" w:cs="Arial"/>
                      <w:b/>
                      <w:bCs/>
                      <w:color w:val="000000"/>
                      <w:sz w:val="20"/>
                      <w:szCs w:val="20"/>
                    </w:rPr>
                    <w:t>HPC/DRA</w:t>
                  </w:r>
                </w:p>
              </w:tc>
            </w:tr>
            <w:tr w:rsidR="00653227" w:rsidRPr="008275EB" w14:paraId="12018146" w14:textId="77777777" w:rsidTr="003D7914">
              <w:trPr>
                <w:trHeight w:val="20"/>
                <w:jc w:val="center"/>
              </w:trPr>
              <w:tc>
                <w:tcPr>
                  <w:tcW w:w="900" w:type="dxa"/>
                  <w:shd w:val="clear" w:color="auto" w:fill="D9D9D9" w:themeFill="background1" w:themeFillShade="D9"/>
                  <w:noWrap/>
                  <w:vAlign w:val="center"/>
                  <w:hideMark/>
                </w:tcPr>
                <w:p w14:paraId="5A1F0655" w14:textId="77777777" w:rsidR="00653227" w:rsidRPr="001F5088" w:rsidRDefault="00653227" w:rsidP="00E446B9">
                  <w:pPr>
                    <w:keepLines/>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TP</w:t>
                  </w:r>
                  <w:r w:rsidRPr="008275EB">
                    <w:rPr>
                      <w:rFonts w:eastAsia="Times New Roman" w:cs="Arial"/>
                      <w:color w:val="000000"/>
                      <w:sz w:val="20"/>
                      <w:szCs w:val="20"/>
                    </w:rPr>
                    <w:t>: 34</w:t>
                  </w:r>
                </w:p>
              </w:tc>
              <w:tc>
                <w:tcPr>
                  <w:tcW w:w="720" w:type="dxa"/>
                  <w:shd w:val="clear" w:color="auto" w:fill="D9D9D9" w:themeFill="background1" w:themeFillShade="D9"/>
                  <w:noWrap/>
                  <w:vAlign w:val="center"/>
                  <w:hideMark/>
                </w:tcPr>
                <w:p w14:paraId="7342CC48" w14:textId="77777777" w:rsidR="00653227" w:rsidRPr="001F5088" w:rsidRDefault="00653227" w:rsidP="00E446B9">
                  <w:pPr>
                    <w:keepLines/>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FP</w:t>
                  </w:r>
                  <w:r w:rsidRPr="008275EB">
                    <w:rPr>
                      <w:rFonts w:eastAsia="Times New Roman" w:cs="Arial"/>
                      <w:color w:val="000000"/>
                      <w:sz w:val="20"/>
                      <w:szCs w:val="20"/>
                    </w:rPr>
                    <w:t>: 13</w:t>
                  </w:r>
                </w:p>
              </w:tc>
              <w:tc>
                <w:tcPr>
                  <w:tcW w:w="900" w:type="dxa"/>
                  <w:shd w:val="clear" w:color="auto" w:fill="auto"/>
                  <w:noWrap/>
                  <w:vAlign w:val="center"/>
                  <w:hideMark/>
                </w:tcPr>
                <w:p w14:paraId="64A3EB74" w14:textId="77777777" w:rsidR="00653227" w:rsidRPr="001F5088" w:rsidRDefault="00653227" w:rsidP="00E446B9">
                  <w:pPr>
                    <w:keepLines/>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TP</w:t>
                  </w:r>
                  <w:r w:rsidRPr="008275EB">
                    <w:rPr>
                      <w:rFonts w:eastAsia="Times New Roman" w:cs="Arial"/>
                      <w:color w:val="000000"/>
                      <w:sz w:val="20"/>
                      <w:szCs w:val="20"/>
                    </w:rPr>
                    <w:t>: 20</w:t>
                  </w:r>
                </w:p>
              </w:tc>
              <w:tc>
                <w:tcPr>
                  <w:tcW w:w="720" w:type="dxa"/>
                  <w:shd w:val="clear" w:color="auto" w:fill="auto"/>
                  <w:noWrap/>
                  <w:vAlign w:val="center"/>
                  <w:hideMark/>
                </w:tcPr>
                <w:p w14:paraId="7F8CA05F" w14:textId="77777777" w:rsidR="00653227" w:rsidRPr="001F5088" w:rsidRDefault="00653227" w:rsidP="00E446B9">
                  <w:pPr>
                    <w:keepLines/>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FP</w:t>
                  </w:r>
                  <w:r w:rsidRPr="008275EB">
                    <w:rPr>
                      <w:rFonts w:eastAsia="Times New Roman" w:cs="Arial"/>
                      <w:color w:val="000000"/>
                      <w:sz w:val="20"/>
                      <w:szCs w:val="20"/>
                    </w:rPr>
                    <w:t>: 5</w:t>
                  </w:r>
                </w:p>
              </w:tc>
              <w:tc>
                <w:tcPr>
                  <w:tcW w:w="836" w:type="dxa"/>
                  <w:shd w:val="clear" w:color="auto" w:fill="D9D9D9" w:themeFill="background1" w:themeFillShade="D9"/>
                  <w:noWrap/>
                  <w:vAlign w:val="center"/>
                  <w:hideMark/>
                </w:tcPr>
                <w:p w14:paraId="50F1578B" w14:textId="77777777" w:rsidR="00653227" w:rsidRPr="001F5088" w:rsidRDefault="00653227" w:rsidP="00E446B9">
                  <w:pPr>
                    <w:keepLines/>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TP</w:t>
                  </w:r>
                  <w:r w:rsidRPr="008275EB">
                    <w:rPr>
                      <w:rFonts w:eastAsia="Times New Roman" w:cs="Arial"/>
                      <w:color w:val="000000"/>
                      <w:sz w:val="20"/>
                      <w:szCs w:val="20"/>
                    </w:rPr>
                    <w:t>: 23</w:t>
                  </w:r>
                </w:p>
              </w:tc>
              <w:tc>
                <w:tcPr>
                  <w:tcW w:w="827" w:type="dxa"/>
                  <w:shd w:val="clear" w:color="auto" w:fill="D9D9D9" w:themeFill="background1" w:themeFillShade="D9"/>
                  <w:noWrap/>
                  <w:vAlign w:val="center"/>
                  <w:hideMark/>
                </w:tcPr>
                <w:p w14:paraId="55B8533A" w14:textId="77777777" w:rsidR="00653227" w:rsidRPr="001F5088" w:rsidRDefault="00653227" w:rsidP="00E446B9">
                  <w:pPr>
                    <w:keepLines/>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FP</w:t>
                  </w:r>
                  <w:r w:rsidRPr="008275EB">
                    <w:rPr>
                      <w:rFonts w:eastAsia="Times New Roman" w:cs="Arial"/>
                      <w:color w:val="000000"/>
                      <w:sz w:val="20"/>
                      <w:szCs w:val="20"/>
                    </w:rPr>
                    <w:t>: 2</w:t>
                  </w:r>
                </w:p>
              </w:tc>
              <w:tc>
                <w:tcPr>
                  <w:tcW w:w="793" w:type="dxa"/>
                  <w:shd w:val="clear" w:color="auto" w:fill="auto"/>
                  <w:noWrap/>
                  <w:vAlign w:val="center"/>
                  <w:hideMark/>
                </w:tcPr>
                <w:p w14:paraId="1B5DA8D8" w14:textId="77777777" w:rsidR="00653227" w:rsidRPr="001F5088" w:rsidRDefault="00653227" w:rsidP="00E446B9">
                  <w:pPr>
                    <w:keepLines/>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TP</w:t>
                  </w:r>
                  <w:r w:rsidRPr="008275EB">
                    <w:rPr>
                      <w:rFonts w:eastAsia="Times New Roman" w:cs="Arial"/>
                      <w:color w:val="000000"/>
                      <w:sz w:val="20"/>
                      <w:szCs w:val="20"/>
                    </w:rPr>
                    <w:t>: 28</w:t>
                  </w:r>
                </w:p>
              </w:tc>
              <w:tc>
                <w:tcPr>
                  <w:tcW w:w="810" w:type="dxa"/>
                  <w:shd w:val="clear" w:color="auto" w:fill="auto"/>
                  <w:noWrap/>
                  <w:vAlign w:val="center"/>
                  <w:hideMark/>
                </w:tcPr>
                <w:p w14:paraId="732338F6" w14:textId="77777777" w:rsidR="00653227" w:rsidRPr="001F5088" w:rsidRDefault="00653227" w:rsidP="00E446B9">
                  <w:pPr>
                    <w:keepLines/>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FP</w:t>
                  </w:r>
                  <w:r w:rsidRPr="008275EB">
                    <w:rPr>
                      <w:rFonts w:eastAsia="Times New Roman" w:cs="Arial"/>
                      <w:color w:val="000000"/>
                      <w:sz w:val="20"/>
                      <w:szCs w:val="20"/>
                    </w:rPr>
                    <w:t>: 4</w:t>
                  </w:r>
                </w:p>
              </w:tc>
              <w:tc>
                <w:tcPr>
                  <w:tcW w:w="1080" w:type="dxa"/>
                  <w:shd w:val="clear" w:color="auto" w:fill="D9D9D9" w:themeFill="background1" w:themeFillShade="D9"/>
                  <w:noWrap/>
                  <w:vAlign w:val="center"/>
                  <w:hideMark/>
                </w:tcPr>
                <w:p w14:paraId="294D350C" w14:textId="77777777" w:rsidR="00653227" w:rsidRPr="001F5088" w:rsidRDefault="00653227" w:rsidP="00E446B9">
                  <w:pPr>
                    <w:keepLines/>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TP</w:t>
                  </w:r>
                  <w:r w:rsidRPr="008275EB">
                    <w:rPr>
                      <w:rFonts w:eastAsia="Times New Roman" w:cs="Arial"/>
                      <w:color w:val="000000"/>
                      <w:sz w:val="20"/>
                      <w:szCs w:val="20"/>
                    </w:rPr>
                    <w:t>: 23</w:t>
                  </w:r>
                </w:p>
              </w:tc>
              <w:tc>
                <w:tcPr>
                  <w:tcW w:w="737" w:type="dxa"/>
                  <w:shd w:val="clear" w:color="auto" w:fill="D9D9D9" w:themeFill="background1" w:themeFillShade="D9"/>
                  <w:noWrap/>
                  <w:vAlign w:val="center"/>
                  <w:hideMark/>
                </w:tcPr>
                <w:p w14:paraId="11F8D49F" w14:textId="77777777" w:rsidR="00653227" w:rsidRPr="001F5088" w:rsidRDefault="00653227" w:rsidP="00E446B9">
                  <w:pPr>
                    <w:keepLines/>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FP</w:t>
                  </w:r>
                  <w:r w:rsidRPr="008275EB">
                    <w:rPr>
                      <w:rFonts w:eastAsia="Times New Roman" w:cs="Arial"/>
                      <w:color w:val="000000"/>
                      <w:sz w:val="20"/>
                      <w:szCs w:val="20"/>
                    </w:rPr>
                    <w:t>: 2</w:t>
                  </w:r>
                </w:p>
              </w:tc>
            </w:tr>
            <w:tr w:rsidR="00653227" w:rsidRPr="008275EB" w14:paraId="7DA32AF8" w14:textId="77777777" w:rsidTr="003D7914">
              <w:trPr>
                <w:trHeight w:val="20"/>
                <w:jc w:val="center"/>
              </w:trPr>
              <w:tc>
                <w:tcPr>
                  <w:tcW w:w="900" w:type="dxa"/>
                  <w:shd w:val="clear" w:color="auto" w:fill="D9D9D9" w:themeFill="background1" w:themeFillShade="D9"/>
                  <w:noWrap/>
                  <w:vAlign w:val="center"/>
                  <w:hideMark/>
                </w:tcPr>
                <w:p w14:paraId="5EC92608" w14:textId="77777777" w:rsidR="00653227" w:rsidRPr="001F5088" w:rsidRDefault="00653227" w:rsidP="00E446B9">
                  <w:pPr>
                    <w:keepLines/>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FN</w:t>
                  </w:r>
                  <w:r w:rsidRPr="008275EB">
                    <w:rPr>
                      <w:rFonts w:eastAsia="Times New Roman" w:cs="Arial"/>
                      <w:color w:val="000000"/>
                      <w:sz w:val="20"/>
                      <w:szCs w:val="20"/>
                    </w:rPr>
                    <w:t>: 14</w:t>
                  </w:r>
                </w:p>
              </w:tc>
              <w:tc>
                <w:tcPr>
                  <w:tcW w:w="720" w:type="dxa"/>
                  <w:shd w:val="clear" w:color="auto" w:fill="D9D9D9" w:themeFill="background1" w:themeFillShade="D9"/>
                  <w:noWrap/>
                  <w:vAlign w:val="center"/>
                  <w:hideMark/>
                </w:tcPr>
                <w:p w14:paraId="65C4E54F" w14:textId="77777777" w:rsidR="00653227" w:rsidRPr="001F5088" w:rsidRDefault="00653227" w:rsidP="00E446B9">
                  <w:pPr>
                    <w:keepLines/>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TN</w:t>
                  </w:r>
                  <w:r w:rsidRPr="008275EB">
                    <w:rPr>
                      <w:rFonts w:eastAsia="Times New Roman" w:cs="Arial"/>
                      <w:color w:val="000000"/>
                      <w:sz w:val="20"/>
                      <w:szCs w:val="20"/>
                    </w:rPr>
                    <w:t>: 20</w:t>
                  </w:r>
                </w:p>
              </w:tc>
              <w:tc>
                <w:tcPr>
                  <w:tcW w:w="900" w:type="dxa"/>
                  <w:shd w:val="clear" w:color="auto" w:fill="auto"/>
                  <w:noWrap/>
                  <w:vAlign w:val="center"/>
                  <w:hideMark/>
                </w:tcPr>
                <w:p w14:paraId="4D9DF0D3" w14:textId="77777777" w:rsidR="00653227" w:rsidRPr="001F5088" w:rsidRDefault="00653227" w:rsidP="00E446B9">
                  <w:pPr>
                    <w:keepLines/>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FN</w:t>
                  </w:r>
                  <w:r w:rsidRPr="008275EB">
                    <w:rPr>
                      <w:rFonts w:eastAsia="Times New Roman" w:cs="Arial"/>
                      <w:color w:val="000000"/>
                      <w:sz w:val="20"/>
                      <w:szCs w:val="20"/>
                    </w:rPr>
                    <w:t>: 19</w:t>
                  </w:r>
                </w:p>
              </w:tc>
              <w:tc>
                <w:tcPr>
                  <w:tcW w:w="720" w:type="dxa"/>
                  <w:shd w:val="clear" w:color="auto" w:fill="auto"/>
                  <w:noWrap/>
                  <w:vAlign w:val="center"/>
                  <w:hideMark/>
                </w:tcPr>
                <w:p w14:paraId="3F2CA26C" w14:textId="77777777" w:rsidR="00653227" w:rsidRPr="001F5088" w:rsidRDefault="00653227" w:rsidP="00E446B9">
                  <w:pPr>
                    <w:keepLines/>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TN</w:t>
                  </w:r>
                  <w:r w:rsidRPr="008275EB">
                    <w:rPr>
                      <w:rFonts w:eastAsia="Times New Roman" w:cs="Arial"/>
                      <w:color w:val="000000"/>
                      <w:sz w:val="20"/>
                      <w:szCs w:val="20"/>
                    </w:rPr>
                    <w:t>: 2</w:t>
                  </w:r>
                </w:p>
              </w:tc>
              <w:tc>
                <w:tcPr>
                  <w:tcW w:w="836" w:type="dxa"/>
                  <w:shd w:val="clear" w:color="auto" w:fill="D9D9D9" w:themeFill="background1" w:themeFillShade="D9"/>
                  <w:noWrap/>
                  <w:vAlign w:val="center"/>
                  <w:hideMark/>
                </w:tcPr>
                <w:p w14:paraId="2E5FE5EC" w14:textId="77777777" w:rsidR="00653227" w:rsidRPr="001F5088" w:rsidRDefault="00653227" w:rsidP="00E446B9">
                  <w:pPr>
                    <w:keepLines/>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FN</w:t>
                  </w:r>
                  <w:r w:rsidRPr="008275EB">
                    <w:rPr>
                      <w:rFonts w:eastAsia="Times New Roman" w:cs="Arial"/>
                      <w:color w:val="000000"/>
                      <w:sz w:val="20"/>
                      <w:szCs w:val="20"/>
                    </w:rPr>
                    <w:t>: 19</w:t>
                  </w:r>
                </w:p>
              </w:tc>
              <w:tc>
                <w:tcPr>
                  <w:tcW w:w="827" w:type="dxa"/>
                  <w:shd w:val="clear" w:color="auto" w:fill="D9D9D9" w:themeFill="background1" w:themeFillShade="D9"/>
                  <w:noWrap/>
                  <w:vAlign w:val="center"/>
                  <w:hideMark/>
                </w:tcPr>
                <w:p w14:paraId="30045CA9" w14:textId="77777777" w:rsidR="00653227" w:rsidRPr="001F5088" w:rsidRDefault="00653227" w:rsidP="00E446B9">
                  <w:pPr>
                    <w:keepLines/>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TN</w:t>
                  </w:r>
                  <w:r w:rsidRPr="008275EB">
                    <w:rPr>
                      <w:rFonts w:eastAsia="Times New Roman" w:cs="Arial"/>
                      <w:color w:val="000000"/>
                      <w:sz w:val="20"/>
                      <w:szCs w:val="20"/>
                    </w:rPr>
                    <w:t>: 3</w:t>
                  </w:r>
                </w:p>
              </w:tc>
              <w:tc>
                <w:tcPr>
                  <w:tcW w:w="793" w:type="dxa"/>
                  <w:shd w:val="clear" w:color="auto" w:fill="auto"/>
                  <w:noWrap/>
                  <w:vAlign w:val="center"/>
                  <w:hideMark/>
                </w:tcPr>
                <w:p w14:paraId="326395A3" w14:textId="77777777" w:rsidR="00653227" w:rsidRPr="001F5088" w:rsidRDefault="00653227" w:rsidP="00E446B9">
                  <w:pPr>
                    <w:keepLines/>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FN</w:t>
                  </w:r>
                  <w:r w:rsidRPr="008275EB">
                    <w:rPr>
                      <w:rFonts w:eastAsia="Times New Roman" w:cs="Arial"/>
                      <w:color w:val="000000"/>
                      <w:sz w:val="20"/>
                      <w:szCs w:val="20"/>
                    </w:rPr>
                    <w:t>: 22</w:t>
                  </w:r>
                </w:p>
              </w:tc>
              <w:tc>
                <w:tcPr>
                  <w:tcW w:w="810" w:type="dxa"/>
                  <w:shd w:val="clear" w:color="auto" w:fill="auto"/>
                  <w:noWrap/>
                  <w:vAlign w:val="center"/>
                  <w:hideMark/>
                </w:tcPr>
                <w:p w14:paraId="31706AAD" w14:textId="77777777" w:rsidR="00653227" w:rsidRPr="001F5088" w:rsidRDefault="00653227" w:rsidP="00E446B9">
                  <w:pPr>
                    <w:keepLines/>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TN</w:t>
                  </w:r>
                  <w:r w:rsidRPr="008275EB">
                    <w:rPr>
                      <w:rFonts w:eastAsia="Times New Roman" w:cs="Arial"/>
                      <w:color w:val="000000"/>
                      <w:sz w:val="20"/>
                      <w:szCs w:val="20"/>
                    </w:rPr>
                    <w:t>: 2</w:t>
                  </w:r>
                </w:p>
              </w:tc>
              <w:tc>
                <w:tcPr>
                  <w:tcW w:w="1080" w:type="dxa"/>
                  <w:shd w:val="clear" w:color="auto" w:fill="D9D9D9" w:themeFill="background1" w:themeFillShade="D9"/>
                  <w:noWrap/>
                  <w:vAlign w:val="center"/>
                  <w:hideMark/>
                </w:tcPr>
                <w:p w14:paraId="40B94E3B" w14:textId="77777777" w:rsidR="00653227" w:rsidRPr="001F5088" w:rsidRDefault="00653227" w:rsidP="00E446B9">
                  <w:pPr>
                    <w:keepLines/>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FN</w:t>
                  </w:r>
                  <w:r w:rsidRPr="008275EB">
                    <w:rPr>
                      <w:rFonts w:eastAsia="Times New Roman" w:cs="Arial"/>
                      <w:color w:val="000000"/>
                      <w:sz w:val="20"/>
                      <w:szCs w:val="20"/>
                    </w:rPr>
                    <w:t>: 19</w:t>
                  </w:r>
                </w:p>
              </w:tc>
              <w:tc>
                <w:tcPr>
                  <w:tcW w:w="737" w:type="dxa"/>
                  <w:shd w:val="clear" w:color="auto" w:fill="D9D9D9" w:themeFill="background1" w:themeFillShade="D9"/>
                  <w:noWrap/>
                  <w:vAlign w:val="center"/>
                  <w:hideMark/>
                </w:tcPr>
                <w:p w14:paraId="1FFB100B" w14:textId="77777777" w:rsidR="00653227" w:rsidRPr="001F5088" w:rsidRDefault="00653227" w:rsidP="00E446B9">
                  <w:pPr>
                    <w:keepLines/>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TN</w:t>
                  </w:r>
                  <w:r w:rsidRPr="008275EB">
                    <w:rPr>
                      <w:rFonts w:eastAsia="Times New Roman" w:cs="Arial"/>
                      <w:color w:val="000000"/>
                      <w:sz w:val="20"/>
                      <w:szCs w:val="20"/>
                    </w:rPr>
                    <w:t>: 3</w:t>
                  </w:r>
                </w:p>
              </w:tc>
            </w:tr>
          </w:tbl>
          <w:p w14:paraId="77B4560A" w14:textId="77777777" w:rsidR="00653227" w:rsidRDefault="00653227" w:rsidP="00E446B9">
            <w:pPr>
              <w:keepLines/>
              <w:widowControl/>
              <w:spacing w:after="160" w:line="259" w:lineRule="auto"/>
              <w:ind w:firstLine="0"/>
            </w:pPr>
          </w:p>
        </w:tc>
      </w:tr>
      <w:tr w:rsidR="00653227" w14:paraId="7CF96083" w14:textId="77777777" w:rsidTr="00F11FEA">
        <w:tc>
          <w:tcPr>
            <w:tcW w:w="9350" w:type="dxa"/>
          </w:tcPr>
          <w:p w14:paraId="5F7A96D5" w14:textId="58016EA2" w:rsidR="00653227" w:rsidRPr="002C76F7" w:rsidRDefault="00653227" w:rsidP="00E446B9">
            <w:pPr>
              <w:pStyle w:val="NoSpacing"/>
              <w:keepLines/>
              <w:rPr>
                <w:rFonts w:eastAsiaTheme="majorEastAsia" w:cstheme="majorBidi"/>
                <w:b/>
                <w:bCs/>
                <w:smallCaps/>
                <w:lang w:eastAsia="zh-CN"/>
              </w:rPr>
            </w:pPr>
            <w:r w:rsidRPr="00653227">
              <w:rPr>
                <w:b/>
                <w:bCs/>
              </w:rPr>
              <w:t>B.</w:t>
            </w:r>
            <w:r>
              <w:t xml:space="preserve"> </w:t>
            </w:r>
            <w:r>
              <w:rPr>
                <w:b/>
                <w:bCs/>
              </w:rPr>
              <w:t>T</w:t>
            </w:r>
            <w:r w:rsidRPr="006810A5">
              <w:rPr>
                <w:b/>
                <w:bCs/>
              </w:rPr>
              <w:t xml:space="preserve">EGA vs </w:t>
            </w:r>
            <w:r>
              <w:rPr>
                <w:b/>
                <w:bCs/>
              </w:rPr>
              <w:t>i</w:t>
            </w:r>
            <w:r w:rsidRPr="006810A5">
              <w:rPr>
                <w:b/>
                <w:bCs/>
              </w:rPr>
              <w:t>n vitro genotoxicity assays</w:t>
            </w:r>
          </w:p>
        </w:tc>
      </w:tr>
      <w:tr w:rsidR="00653227" w14:paraId="287E672B" w14:textId="77777777" w:rsidTr="00F11FEA">
        <w:trPr>
          <w:trHeight w:val="4157"/>
        </w:trPr>
        <w:tc>
          <w:tcPr>
            <w:tcW w:w="9350" w:type="dxa"/>
          </w:tcPr>
          <w:p w14:paraId="05F87A74" w14:textId="65007C75" w:rsidR="00653227" w:rsidRDefault="007D1BB1" w:rsidP="00E446B9">
            <w:pPr>
              <w:pStyle w:val="NoSpacing"/>
              <w:keepLines/>
            </w:pPr>
            <w:r>
              <w:rPr>
                <w:noProof/>
              </w:rPr>
              <w:drawing>
                <wp:inline distT="0" distB="0" distL="0" distR="0" wp14:anchorId="2BCF37A8" wp14:editId="6F977961">
                  <wp:extent cx="5486400" cy="2650136"/>
                  <wp:effectExtent l="0" t="0" r="0" b="0"/>
                  <wp:docPr id="80593057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486400" cy="2650136"/>
                          </a:xfrm>
                          <a:prstGeom prst="rect">
                            <a:avLst/>
                          </a:prstGeom>
                          <a:noFill/>
                        </pic:spPr>
                      </pic:pic>
                    </a:graphicData>
                  </a:graphic>
                </wp:inline>
              </w:drawing>
            </w:r>
          </w:p>
        </w:tc>
      </w:tr>
      <w:tr w:rsidR="00653227" w14:paraId="4FBBA3C6" w14:textId="77777777" w:rsidTr="00F11FEA">
        <w:tc>
          <w:tcPr>
            <w:tcW w:w="9350" w:type="dxa"/>
          </w:tcPr>
          <w:tbl>
            <w:tblPr>
              <w:tblW w:w="0" w:type="auto"/>
              <w:jc w:val="center"/>
              <w:tblBorders>
                <w:top w:val="single" w:sz="4" w:space="0" w:color="auto"/>
                <w:bottom w:val="single" w:sz="4" w:space="0" w:color="auto"/>
                <w:insideH w:val="single" w:sz="4" w:space="0" w:color="auto"/>
              </w:tblBorders>
              <w:tblLayout w:type="fixed"/>
              <w:tblCellMar>
                <w:left w:w="43" w:type="dxa"/>
                <w:right w:w="43" w:type="dxa"/>
              </w:tblCellMar>
              <w:tblLook w:val="04A0" w:firstRow="1" w:lastRow="0" w:firstColumn="1" w:lastColumn="0" w:noHBand="0" w:noVBand="1"/>
            </w:tblPr>
            <w:tblGrid>
              <w:gridCol w:w="900"/>
              <w:gridCol w:w="750"/>
              <w:gridCol w:w="870"/>
              <w:gridCol w:w="750"/>
              <w:gridCol w:w="806"/>
              <w:gridCol w:w="827"/>
              <w:gridCol w:w="793"/>
              <w:gridCol w:w="810"/>
              <w:gridCol w:w="1080"/>
              <w:gridCol w:w="737"/>
            </w:tblGrid>
            <w:tr w:rsidR="009D16E2" w:rsidRPr="008275EB" w14:paraId="0406BF00" w14:textId="77777777" w:rsidTr="000D29B7">
              <w:trPr>
                <w:trHeight w:val="20"/>
                <w:jc w:val="center"/>
              </w:trPr>
              <w:tc>
                <w:tcPr>
                  <w:tcW w:w="1650" w:type="dxa"/>
                  <w:gridSpan w:val="2"/>
                  <w:shd w:val="clear" w:color="auto" w:fill="D9D9D9" w:themeFill="background1" w:themeFillShade="D9"/>
                  <w:noWrap/>
                  <w:vAlign w:val="center"/>
                  <w:hideMark/>
                </w:tcPr>
                <w:p w14:paraId="2A48DA43" w14:textId="77777777" w:rsidR="009D16E2" w:rsidRPr="001F5088" w:rsidRDefault="009D16E2" w:rsidP="00E446B9">
                  <w:pPr>
                    <w:keepLines/>
                    <w:widowControl/>
                    <w:spacing w:line="240" w:lineRule="auto"/>
                    <w:ind w:firstLine="0"/>
                    <w:jc w:val="center"/>
                    <w:rPr>
                      <w:rFonts w:eastAsia="Times New Roman" w:cs="Arial"/>
                      <w:b/>
                      <w:bCs/>
                      <w:color w:val="000000"/>
                      <w:sz w:val="20"/>
                      <w:szCs w:val="20"/>
                    </w:rPr>
                  </w:pPr>
                  <w:r>
                    <w:rPr>
                      <w:rFonts w:eastAsia="Times New Roman" w:cs="Arial"/>
                      <w:b/>
                      <w:bCs/>
                      <w:color w:val="000000"/>
                      <w:sz w:val="20"/>
                      <w:szCs w:val="20"/>
                    </w:rPr>
                    <w:t>T</w:t>
                  </w:r>
                  <w:r w:rsidRPr="001F5088">
                    <w:rPr>
                      <w:rFonts w:eastAsia="Times New Roman" w:cs="Arial"/>
                      <w:b/>
                      <w:bCs/>
                      <w:color w:val="000000"/>
                      <w:sz w:val="20"/>
                      <w:szCs w:val="20"/>
                    </w:rPr>
                    <w:t>EGA/Ames</w:t>
                  </w:r>
                </w:p>
              </w:tc>
              <w:tc>
                <w:tcPr>
                  <w:tcW w:w="1620" w:type="dxa"/>
                  <w:gridSpan w:val="2"/>
                  <w:shd w:val="clear" w:color="auto" w:fill="auto"/>
                  <w:noWrap/>
                  <w:vAlign w:val="center"/>
                  <w:hideMark/>
                </w:tcPr>
                <w:p w14:paraId="47EA02D9" w14:textId="77777777" w:rsidR="009D16E2" w:rsidRPr="001F5088" w:rsidRDefault="009D16E2" w:rsidP="00E446B9">
                  <w:pPr>
                    <w:keepLines/>
                    <w:widowControl/>
                    <w:spacing w:line="240" w:lineRule="auto"/>
                    <w:ind w:firstLine="0"/>
                    <w:jc w:val="center"/>
                    <w:rPr>
                      <w:rFonts w:eastAsia="Times New Roman" w:cs="Arial"/>
                      <w:b/>
                      <w:bCs/>
                      <w:color w:val="000000"/>
                      <w:sz w:val="20"/>
                      <w:szCs w:val="20"/>
                    </w:rPr>
                  </w:pPr>
                  <w:r>
                    <w:rPr>
                      <w:rFonts w:eastAsia="Times New Roman" w:cs="Arial"/>
                      <w:b/>
                      <w:bCs/>
                      <w:color w:val="000000"/>
                      <w:sz w:val="20"/>
                      <w:szCs w:val="20"/>
                    </w:rPr>
                    <w:t>T</w:t>
                  </w:r>
                  <w:r w:rsidRPr="001F5088">
                    <w:rPr>
                      <w:rFonts w:eastAsia="Times New Roman" w:cs="Arial"/>
                      <w:b/>
                      <w:bCs/>
                      <w:color w:val="000000"/>
                      <w:sz w:val="20"/>
                      <w:szCs w:val="20"/>
                    </w:rPr>
                    <w:t>EGA/MCGM</w:t>
                  </w:r>
                </w:p>
              </w:tc>
              <w:tc>
                <w:tcPr>
                  <w:tcW w:w="1633" w:type="dxa"/>
                  <w:gridSpan w:val="2"/>
                  <w:shd w:val="clear" w:color="auto" w:fill="D9D9D9" w:themeFill="background1" w:themeFillShade="D9"/>
                  <w:noWrap/>
                  <w:vAlign w:val="center"/>
                  <w:hideMark/>
                </w:tcPr>
                <w:p w14:paraId="777C15BF" w14:textId="77777777" w:rsidR="009D16E2" w:rsidRPr="001F5088" w:rsidRDefault="009D16E2" w:rsidP="00E446B9">
                  <w:pPr>
                    <w:keepLines/>
                    <w:widowControl/>
                    <w:spacing w:line="240" w:lineRule="auto"/>
                    <w:ind w:firstLine="0"/>
                    <w:jc w:val="center"/>
                    <w:rPr>
                      <w:rFonts w:eastAsia="Times New Roman" w:cs="Arial"/>
                      <w:b/>
                      <w:bCs/>
                      <w:color w:val="000000"/>
                      <w:sz w:val="20"/>
                      <w:szCs w:val="20"/>
                    </w:rPr>
                  </w:pPr>
                  <w:r>
                    <w:rPr>
                      <w:rFonts w:eastAsia="Times New Roman" w:cs="Arial"/>
                      <w:b/>
                      <w:bCs/>
                      <w:color w:val="000000"/>
                      <w:sz w:val="20"/>
                      <w:szCs w:val="20"/>
                    </w:rPr>
                    <w:t>T</w:t>
                  </w:r>
                  <w:r w:rsidRPr="001F5088">
                    <w:rPr>
                      <w:rFonts w:eastAsia="Times New Roman" w:cs="Arial"/>
                      <w:b/>
                      <w:bCs/>
                      <w:color w:val="000000"/>
                      <w:sz w:val="20"/>
                      <w:szCs w:val="20"/>
                    </w:rPr>
                    <w:t>EGA/MN</w:t>
                  </w:r>
                </w:p>
              </w:tc>
              <w:tc>
                <w:tcPr>
                  <w:tcW w:w="1603" w:type="dxa"/>
                  <w:gridSpan w:val="2"/>
                  <w:shd w:val="clear" w:color="auto" w:fill="auto"/>
                  <w:noWrap/>
                  <w:vAlign w:val="center"/>
                  <w:hideMark/>
                </w:tcPr>
                <w:p w14:paraId="6E5B3533" w14:textId="77777777" w:rsidR="009D16E2" w:rsidRPr="001F5088" w:rsidRDefault="009D16E2" w:rsidP="00E446B9">
                  <w:pPr>
                    <w:keepLines/>
                    <w:widowControl/>
                    <w:spacing w:line="240" w:lineRule="auto"/>
                    <w:ind w:firstLine="0"/>
                    <w:jc w:val="center"/>
                    <w:rPr>
                      <w:rFonts w:eastAsia="Times New Roman" w:cs="Arial"/>
                      <w:b/>
                      <w:bCs/>
                      <w:color w:val="000000"/>
                      <w:sz w:val="20"/>
                      <w:szCs w:val="20"/>
                    </w:rPr>
                  </w:pPr>
                  <w:r>
                    <w:rPr>
                      <w:rFonts w:eastAsia="Times New Roman" w:cs="Arial"/>
                      <w:b/>
                      <w:bCs/>
                      <w:color w:val="000000"/>
                      <w:sz w:val="20"/>
                      <w:szCs w:val="20"/>
                    </w:rPr>
                    <w:t>T</w:t>
                  </w:r>
                  <w:r w:rsidRPr="001F5088">
                    <w:rPr>
                      <w:rFonts w:eastAsia="Times New Roman" w:cs="Arial"/>
                      <w:b/>
                      <w:bCs/>
                      <w:color w:val="000000"/>
                      <w:sz w:val="20"/>
                      <w:szCs w:val="20"/>
                    </w:rPr>
                    <w:t>EGA/CA</w:t>
                  </w:r>
                </w:p>
              </w:tc>
              <w:tc>
                <w:tcPr>
                  <w:tcW w:w="1817" w:type="dxa"/>
                  <w:gridSpan w:val="2"/>
                  <w:shd w:val="clear" w:color="auto" w:fill="D9D9D9" w:themeFill="background1" w:themeFillShade="D9"/>
                  <w:noWrap/>
                  <w:vAlign w:val="center"/>
                  <w:hideMark/>
                </w:tcPr>
                <w:p w14:paraId="3C14C643" w14:textId="77777777" w:rsidR="009D16E2" w:rsidRPr="001F5088" w:rsidRDefault="009D16E2" w:rsidP="00E446B9">
                  <w:pPr>
                    <w:keepLines/>
                    <w:widowControl/>
                    <w:spacing w:line="240" w:lineRule="auto"/>
                    <w:ind w:firstLine="0"/>
                    <w:jc w:val="center"/>
                    <w:rPr>
                      <w:rFonts w:eastAsia="Times New Roman" w:cs="Arial"/>
                      <w:b/>
                      <w:bCs/>
                      <w:color w:val="000000"/>
                      <w:sz w:val="20"/>
                      <w:szCs w:val="20"/>
                    </w:rPr>
                  </w:pPr>
                  <w:r>
                    <w:rPr>
                      <w:rFonts w:eastAsia="Times New Roman" w:cs="Arial"/>
                      <w:b/>
                      <w:bCs/>
                      <w:color w:val="000000"/>
                      <w:sz w:val="20"/>
                      <w:szCs w:val="20"/>
                    </w:rPr>
                    <w:t>T</w:t>
                  </w:r>
                  <w:r w:rsidRPr="001F5088">
                    <w:rPr>
                      <w:rFonts w:eastAsia="Times New Roman" w:cs="Arial"/>
                      <w:b/>
                      <w:bCs/>
                      <w:color w:val="000000"/>
                      <w:sz w:val="20"/>
                      <w:szCs w:val="20"/>
                    </w:rPr>
                    <w:t>EGA/</w:t>
                  </w:r>
                  <w:r>
                    <w:rPr>
                      <w:rFonts w:eastAsia="Times New Roman" w:cs="Arial"/>
                      <w:b/>
                      <w:bCs/>
                      <w:color w:val="000000"/>
                      <w:sz w:val="20"/>
                      <w:szCs w:val="20"/>
                    </w:rPr>
                    <w:t xml:space="preserve">rat </w:t>
                  </w:r>
                  <w:r w:rsidRPr="001F5088">
                    <w:rPr>
                      <w:rFonts w:eastAsia="Times New Roman" w:cs="Arial"/>
                      <w:b/>
                      <w:bCs/>
                      <w:color w:val="000000"/>
                      <w:sz w:val="20"/>
                      <w:szCs w:val="20"/>
                    </w:rPr>
                    <w:t>HPC/DRA</w:t>
                  </w:r>
                </w:p>
              </w:tc>
            </w:tr>
            <w:tr w:rsidR="009D16E2" w:rsidRPr="008275EB" w14:paraId="435E2C85" w14:textId="77777777" w:rsidTr="000D29B7">
              <w:trPr>
                <w:trHeight w:val="20"/>
                <w:jc w:val="center"/>
              </w:trPr>
              <w:tc>
                <w:tcPr>
                  <w:tcW w:w="900" w:type="dxa"/>
                  <w:shd w:val="clear" w:color="auto" w:fill="D9D9D9" w:themeFill="background1" w:themeFillShade="D9"/>
                  <w:noWrap/>
                  <w:vAlign w:val="center"/>
                  <w:hideMark/>
                </w:tcPr>
                <w:p w14:paraId="11DA217E" w14:textId="77777777" w:rsidR="009D16E2" w:rsidRPr="001F5088" w:rsidRDefault="009D16E2" w:rsidP="00E446B9">
                  <w:pPr>
                    <w:keepLines/>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TP</w:t>
                  </w:r>
                  <w:r w:rsidRPr="008275EB">
                    <w:rPr>
                      <w:rFonts w:eastAsia="Times New Roman" w:cs="Arial"/>
                      <w:color w:val="000000"/>
                      <w:sz w:val="20"/>
                      <w:szCs w:val="20"/>
                    </w:rPr>
                    <w:t xml:space="preserve">: </w:t>
                  </w:r>
                  <w:r>
                    <w:rPr>
                      <w:rFonts w:eastAsia="Times New Roman" w:cs="Arial"/>
                      <w:color w:val="000000"/>
                      <w:sz w:val="20"/>
                      <w:szCs w:val="20"/>
                    </w:rPr>
                    <w:t>16</w:t>
                  </w:r>
                </w:p>
              </w:tc>
              <w:tc>
                <w:tcPr>
                  <w:tcW w:w="750" w:type="dxa"/>
                  <w:shd w:val="clear" w:color="auto" w:fill="D9D9D9" w:themeFill="background1" w:themeFillShade="D9"/>
                  <w:noWrap/>
                  <w:vAlign w:val="center"/>
                  <w:hideMark/>
                </w:tcPr>
                <w:p w14:paraId="7843A4FA" w14:textId="77777777" w:rsidR="009D16E2" w:rsidRPr="001F5088" w:rsidRDefault="009D16E2" w:rsidP="00E446B9">
                  <w:pPr>
                    <w:keepLines/>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FP</w:t>
                  </w:r>
                  <w:r w:rsidRPr="008275EB">
                    <w:rPr>
                      <w:rFonts w:eastAsia="Times New Roman" w:cs="Arial"/>
                      <w:color w:val="000000"/>
                      <w:sz w:val="20"/>
                      <w:szCs w:val="20"/>
                    </w:rPr>
                    <w:t>: 13</w:t>
                  </w:r>
                </w:p>
              </w:tc>
              <w:tc>
                <w:tcPr>
                  <w:tcW w:w="870" w:type="dxa"/>
                  <w:shd w:val="clear" w:color="auto" w:fill="auto"/>
                  <w:noWrap/>
                  <w:vAlign w:val="center"/>
                  <w:hideMark/>
                </w:tcPr>
                <w:p w14:paraId="561D1297" w14:textId="77777777" w:rsidR="009D16E2" w:rsidRPr="001F5088" w:rsidRDefault="009D16E2" w:rsidP="00E446B9">
                  <w:pPr>
                    <w:keepLines/>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TP</w:t>
                  </w:r>
                  <w:r w:rsidRPr="008275EB">
                    <w:rPr>
                      <w:rFonts w:eastAsia="Times New Roman" w:cs="Arial"/>
                      <w:color w:val="000000"/>
                      <w:sz w:val="20"/>
                      <w:szCs w:val="20"/>
                    </w:rPr>
                    <w:t xml:space="preserve">: </w:t>
                  </w:r>
                  <w:r>
                    <w:rPr>
                      <w:rFonts w:eastAsia="Times New Roman" w:cs="Arial"/>
                      <w:color w:val="000000"/>
                      <w:sz w:val="20"/>
                      <w:szCs w:val="20"/>
                    </w:rPr>
                    <w:t>12</w:t>
                  </w:r>
                </w:p>
              </w:tc>
              <w:tc>
                <w:tcPr>
                  <w:tcW w:w="750" w:type="dxa"/>
                  <w:shd w:val="clear" w:color="auto" w:fill="auto"/>
                  <w:noWrap/>
                  <w:vAlign w:val="center"/>
                  <w:hideMark/>
                </w:tcPr>
                <w:p w14:paraId="345F09CA" w14:textId="77777777" w:rsidR="009D16E2" w:rsidRPr="001F5088" w:rsidRDefault="009D16E2" w:rsidP="00E446B9">
                  <w:pPr>
                    <w:keepLines/>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FP</w:t>
                  </w:r>
                  <w:r w:rsidRPr="008275EB">
                    <w:rPr>
                      <w:rFonts w:eastAsia="Times New Roman" w:cs="Arial"/>
                      <w:color w:val="000000"/>
                      <w:sz w:val="20"/>
                      <w:szCs w:val="20"/>
                    </w:rPr>
                    <w:t>: 5</w:t>
                  </w:r>
                </w:p>
              </w:tc>
              <w:tc>
                <w:tcPr>
                  <w:tcW w:w="806" w:type="dxa"/>
                  <w:shd w:val="clear" w:color="auto" w:fill="D9D9D9" w:themeFill="background1" w:themeFillShade="D9"/>
                  <w:noWrap/>
                  <w:vAlign w:val="center"/>
                  <w:hideMark/>
                </w:tcPr>
                <w:p w14:paraId="3D07698B" w14:textId="77777777" w:rsidR="009D16E2" w:rsidRPr="001F5088" w:rsidRDefault="009D16E2" w:rsidP="00E446B9">
                  <w:pPr>
                    <w:keepLines/>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TP</w:t>
                  </w:r>
                  <w:r w:rsidRPr="008275EB">
                    <w:rPr>
                      <w:rFonts w:eastAsia="Times New Roman" w:cs="Arial"/>
                      <w:color w:val="000000"/>
                      <w:sz w:val="20"/>
                      <w:szCs w:val="20"/>
                    </w:rPr>
                    <w:t xml:space="preserve">: </w:t>
                  </w:r>
                  <w:r>
                    <w:rPr>
                      <w:rFonts w:eastAsia="Times New Roman" w:cs="Arial"/>
                      <w:color w:val="000000"/>
                      <w:sz w:val="20"/>
                      <w:szCs w:val="20"/>
                    </w:rPr>
                    <w:t>16</w:t>
                  </w:r>
                </w:p>
              </w:tc>
              <w:tc>
                <w:tcPr>
                  <w:tcW w:w="827" w:type="dxa"/>
                  <w:shd w:val="clear" w:color="auto" w:fill="D9D9D9" w:themeFill="background1" w:themeFillShade="D9"/>
                  <w:noWrap/>
                  <w:vAlign w:val="center"/>
                  <w:hideMark/>
                </w:tcPr>
                <w:p w14:paraId="6068C732" w14:textId="77777777" w:rsidR="009D16E2" w:rsidRPr="001F5088" w:rsidRDefault="009D16E2" w:rsidP="00E446B9">
                  <w:pPr>
                    <w:keepLines/>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FP</w:t>
                  </w:r>
                  <w:r w:rsidRPr="008275EB">
                    <w:rPr>
                      <w:rFonts w:eastAsia="Times New Roman" w:cs="Arial"/>
                      <w:color w:val="000000"/>
                      <w:sz w:val="20"/>
                      <w:szCs w:val="20"/>
                    </w:rPr>
                    <w:t>:</w:t>
                  </w:r>
                  <w:r>
                    <w:rPr>
                      <w:rFonts w:eastAsia="Times New Roman" w:cs="Arial"/>
                      <w:color w:val="000000"/>
                      <w:sz w:val="20"/>
                      <w:szCs w:val="20"/>
                    </w:rPr>
                    <w:t xml:space="preserve"> 5</w:t>
                  </w:r>
                </w:p>
              </w:tc>
              <w:tc>
                <w:tcPr>
                  <w:tcW w:w="793" w:type="dxa"/>
                  <w:shd w:val="clear" w:color="auto" w:fill="auto"/>
                  <w:noWrap/>
                  <w:vAlign w:val="center"/>
                  <w:hideMark/>
                </w:tcPr>
                <w:p w14:paraId="2EAEB0DE" w14:textId="77777777" w:rsidR="009D16E2" w:rsidRPr="001F5088" w:rsidRDefault="009D16E2" w:rsidP="00E446B9">
                  <w:pPr>
                    <w:keepLines/>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TP</w:t>
                  </w:r>
                  <w:r w:rsidRPr="008275EB">
                    <w:rPr>
                      <w:rFonts w:eastAsia="Times New Roman" w:cs="Arial"/>
                      <w:color w:val="000000"/>
                      <w:sz w:val="20"/>
                      <w:szCs w:val="20"/>
                    </w:rPr>
                    <w:t xml:space="preserve">: </w:t>
                  </w:r>
                  <w:r>
                    <w:rPr>
                      <w:rFonts w:eastAsia="Times New Roman" w:cs="Arial"/>
                      <w:color w:val="000000"/>
                      <w:sz w:val="20"/>
                      <w:szCs w:val="20"/>
                    </w:rPr>
                    <w:t>16</w:t>
                  </w:r>
                </w:p>
              </w:tc>
              <w:tc>
                <w:tcPr>
                  <w:tcW w:w="810" w:type="dxa"/>
                  <w:shd w:val="clear" w:color="auto" w:fill="auto"/>
                  <w:noWrap/>
                  <w:vAlign w:val="center"/>
                  <w:hideMark/>
                </w:tcPr>
                <w:p w14:paraId="7EC3F71B" w14:textId="77777777" w:rsidR="009D16E2" w:rsidRPr="001F5088" w:rsidRDefault="009D16E2" w:rsidP="00E446B9">
                  <w:pPr>
                    <w:keepLines/>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FP</w:t>
                  </w:r>
                  <w:r w:rsidRPr="008275EB">
                    <w:rPr>
                      <w:rFonts w:eastAsia="Times New Roman" w:cs="Arial"/>
                      <w:color w:val="000000"/>
                      <w:sz w:val="20"/>
                      <w:szCs w:val="20"/>
                    </w:rPr>
                    <w:t xml:space="preserve">: </w:t>
                  </w:r>
                  <w:r>
                    <w:rPr>
                      <w:rFonts w:eastAsia="Times New Roman" w:cs="Arial"/>
                      <w:color w:val="000000"/>
                      <w:sz w:val="20"/>
                      <w:szCs w:val="20"/>
                    </w:rPr>
                    <w:t>6</w:t>
                  </w:r>
                </w:p>
              </w:tc>
              <w:tc>
                <w:tcPr>
                  <w:tcW w:w="1080" w:type="dxa"/>
                  <w:shd w:val="clear" w:color="auto" w:fill="D9D9D9" w:themeFill="background1" w:themeFillShade="D9"/>
                  <w:noWrap/>
                  <w:vAlign w:val="center"/>
                  <w:hideMark/>
                </w:tcPr>
                <w:p w14:paraId="3EEBCB6F" w14:textId="77777777" w:rsidR="009D16E2" w:rsidRPr="001F5088" w:rsidRDefault="009D16E2" w:rsidP="00E446B9">
                  <w:pPr>
                    <w:keepLines/>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TP</w:t>
                  </w:r>
                  <w:r w:rsidRPr="008275EB">
                    <w:rPr>
                      <w:rFonts w:eastAsia="Times New Roman" w:cs="Arial"/>
                      <w:color w:val="000000"/>
                      <w:sz w:val="20"/>
                      <w:szCs w:val="20"/>
                    </w:rPr>
                    <w:t xml:space="preserve">: </w:t>
                  </w:r>
                  <w:r>
                    <w:rPr>
                      <w:rFonts w:eastAsia="Times New Roman" w:cs="Arial"/>
                      <w:color w:val="000000"/>
                      <w:sz w:val="20"/>
                      <w:szCs w:val="20"/>
                    </w:rPr>
                    <w:t>6</w:t>
                  </w:r>
                </w:p>
              </w:tc>
              <w:tc>
                <w:tcPr>
                  <w:tcW w:w="737" w:type="dxa"/>
                  <w:shd w:val="clear" w:color="auto" w:fill="D9D9D9" w:themeFill="background1" w:themeFillShade="D9"/>
                  <w:noWrap/>
                  <w:vAlign w:val="center"/>
                  <w:hideMark/>
                </w:tcPr>
                <w:p w14:paraId="76E82847" w14:textId="77777777" w:rsidR="009D16E2" w:rsidRPr="001F5088" w:rsidRDefault="009D16E2" w:rsidP="00E446B9">
                  <w:pPr>
                    <w:keepLines/>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FP</w:t>
                  </w:r>
                  <w:r w:rsidRPr="008275EB">
                    <w:rPr>
                      <w:rFonts w:eastAsia="Times New Roman" w:cs="Arial"/>
                      <w:color w:val="000000"/>
                      <w:sz w:val="20"/>
                      <w:szCs w:val="20"/>
                    </w:rPr>
                    <w:t xml:space="preserve">: </w:t>
                  </w:r>
                  <w:r>
                    <w:rPr>
                      <w:rFonts w:eastAsia="Times New Roman" w:cs="Arial"/>
                      <w:color w:val="000000"/>
                      <w:sz w:val="20"/>
                      <w:szCs w:val="20"/>
                    </w:rPr>
                    <w:t>3</w:t>
                  </w:r>
                </w:p>
              </w:tc>
            </w:tr>
            <w:tr w:rsidR="009D16E2" w:rsidRPr="008275EB" w14:paraId="605ED770" w14:textId="77777777" w:rsidTr="000D29B7">
              <w:trPr>
                <w:trHeight w:val="20"/>
                <w:jc w:val="center"/>
              </w:trPr>
              <w:tc>
                <w:tcPr>
                  <w:tcW w:w="900" w:type="dxa"/>
                  <w:shd w:val="clear" w:color="auto" w:fill="D9D9D9" w:themeFill="background1" w:themeFillShade="D9"/>
                  <w:noWrap/>
                  <w:vAlign w:val="center"/>
                  <w:hideMark/>
                </w:tcPr>
                <w:p w14:paraId="0EDEC68E" w14:textId="77777777" w:rsidR="009D16E2" w:rsidRPr="001F5088" w:rsidRDefault="009D16E2" w:rsidP="00E446B9">
                  <w:pPr>
                    <w:keepLines/>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FN</w:t>
                  </w:r>
                  <w:r w:rsidRPr="008275EB">
                    <w:rPr>
                      <w:rFonts w:eastAsia="Times New Roman" w:cs="Arial"/>
                      <w:color w:val="000000"/>
                      <w:sz w:val="20"/>
                      <w:szCs w:val="20"/>
                    </w:rPr>
                    <w:t xml:space="preserve">: </w:t>
                  </w:r>
                  <w:r>
                    <w:rPr>
                      <w:rFonts w:eastAsia="Times New Roman" w:cs="Arial"/>
                      <w:color w:val="000000"/>
                      <w:sz w:val="20"/>
                      <w:szCs w:val="20"/>
                    </w:rPr>
                    <w:t>7</w:t>
                  </w:r>
                </w:p>
              </w:tc>
              <w:tc>
                <w:tcPr>
                  <w:tcW w:w="750" w:type="dxa"/>
                  <w:shd w:val="clear" w:color="auto" w:fill="D9D9D9" w:themeFill="background1" w:themeFillShade="D9"/>
                  <w:noWrap/>
                  <w:vAlign w:val="center"/>
                  <w:hideMark/>
                </w:tcPr>
                <w:p w14:paraId="13740011" w14:textId="77777777" w:rsidR="009D16E2" w:rsidRPr="001F5088" w:rsidRDefault="009D16E2" w:rsidP="00E446B9">
                  <w:pPr>
                    <w:keepLines/>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TN</w:t>
                  </w:r>
                  <w:r w:rsidRPr="008275EB">
                    <w:rPr>
                      <w:rFonts w:eastAsia="Times New Roman" w:cs="Arial"/>
                      <w:color w:val="000000"/>
                      <w:sz w:val="20"/>
                      <w:szCs w:val="20"/>
                    </w:rPr>
                    <w:t>: 20</w:t>
                  </w:r>
                </w:p>
              </w:tc>
              <w:tc>
                <w:tcPr>
                  <w:tcW w:w="870" w:type="dxa"/>
                  <w:shd w:val="clear" w:color="auto" w:fill="auto"/>
                  <w:noWrap/>
                  <w:vAlign w:val="center"/>
                  <w:hideMark/>
                </w:tcPr>
                <w:p w14:paraId="643354C8" w14:textId="77777777" w:rsidR="009D16E2" w:rsidRPr="001F5088" w:rsidRDefault="009D16E2" w:rsidP="00E446B9">
                  <w:pPr>
                    <w:keepLines/>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FN</w:t>
                  </w:r>
                  <w:r w:rsidRPr="008275EB">
                    <w:rPr>
                      <w:rFonts w:eastAsia="Times New Roman" w:cs="Arial"/>
                      <w:color w:val="000000"/>
                      <w:sz w:val="20"/>
                      <w:szCs w:val="20"/>
                    </w:rPr>
                    <w:t>: 1</w:t>
                  </w:r>
                  <w:r>
                    <w:rPr>
                      <w:rFonts w:eastAsia="Times New Roman" w:cs="Arial"/>
                      <w:color w:val="000000"/>
                      <w:sz w:val="20"/>
                      <w:szCs w:val="20"/>
                    </w:rPr>
                    <w:t>2</w:t>
                  </w:r>
                </w:p>
              </w:tc>
              <w:tc>
                <w:tcPr>
                  <w:tcW w:w="750" w:type="dxa"/>
                  <w:shd w:val="clear" w:color="auto" w:fill="auto"/>
                  <w:noWrap/>
                  <w:vAlign w:val="center"/>
                  <w:hideMark/>
                </w:tcPr>
                <w:p w14:paraId="204856DF" w14:textId="77777777" w:rsidR="009D16E2" w:rsidRPr="001F5088" w:rsidRDefault="009D16E2" w:rsidP="00E446B9">
                  <w:pPr>
                    <w:keepLines/>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TN</w:t>
                  </w:r>
                  <w:r w:rsidRPr="008275EB">
                    <w:rPr>
                      <w:rFonts w:eastAsia="Times New Roman" w:cs="Arial"/>
                      <w:color w:val="000000"/>
                      <w:sz w:val="20"/>
                      <w:szCs w:val="20"/>
                    </w:rPr>
                    <w:t xml:space="preserve">: </w:t>
                  </w:r>
                  <w:r>
                    <w:rPr>
                      <w:rFonts w:eastAsia="Times New Roman" w:cs="Arial"/>
                      <w:color w:val="000000"/>
                      <w:sz w:val="20"/>
                      <w:szCs w:val="20"/>
                    </w:rPr>
                    <w:t>7</w:t>
                  </w:r>
                </w:p>
              </w:tc>
              <w:tc>
                <w:tcPr>
                  <w:tcW w:w="806" w:type="dxa"/>
                  <w:shd w:val="clear" w:color="auto" w:fill="D9D9D9" w:themeFill="background1" w:themeFillShade="D9"/>
                  <w:noWrap/>
                  <w:vAlign w:val="center"/>
                  <w:hideMark/>
                </w:tcPr>
                <w:p w14:paraId="1239772A" w14:textId="77777777" w:rsidR="009D16E2" w:rsidRPr="001F5088" w:rsidRDefault="009D16E2" w:rsidP="00E446B9">
                  <w:pPr>
                    <w:keepLines/>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FN</w:t>
                  </w:r>
                  <w:r w:rsidRPr="008275EB">
                    <w:rPr>
                      <w:rFonts w:eastAsia="Times New Roman" w:cs="Arial"/>
                      <w:color w:val="000000"/>
                      <w:sz w:val="20"/>
                      <w:szCs w:val="20"/>
                    </w:rPr>
                    <w:t>: 9</w:t>
                  </w:r>
                </w:p>
              </w:tc>
              <w:tc>
                <w:tcPr>
                  <w:tcW w:w="827" w:type="dxa"/>
                  <w:shd w:val="clear" w:color="auto" w:fill="D9D9D9" w:themeFill="background1" w:themeFillShade="D9"/>
                  <w:noWrap/>
                  <w:vAlign w:val="center"/>
                  <w:hideMark/>
                </w:tcPr>
                <w:p w14:paraId="419D4B0B" w14:textId="77777777" w:rsidR="009D16E2" w:rsidRPr="001F5088" w:rsidRDefault="009D16E2" w:rsidP="00E446B9">
                  <w:pPr>
                    <w:keepLines/>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TN</w:t>
                  </w:r>
                  <w:r w:rsidRPr="008275EB">
                    <w:rPr>
                      <w:rFonts w:eastAsia="Times New Roman" w:cs="Arial"/>
                      <w:color w:val="000000"/>
                      <w:sz w:val="20"/>
                      <w:szCs w:val="20"/>
                    </w:rPr>
                    <w:t xml:space="preserve">: </w:t>
                  </w:r>
                  <w:r>
                    <w:rPr>
                      <w:rFonts w:eastAsia="Times New Roman" w:cs="Arial"/>
                      <w:color w:val="000000"/>
                      <w:sz w:val="20"/>
                      <w:szCs w:val="20"/>
                    </w:rPr>
                    <w:t>7</w:t>
                  </w:r>
                </w:p>
              </w:tc>
              <w:tc>
                <w:tcPr>
                  <w:tcW w:w="793" w:type="dxa"/>
                  <w:shd w:val="clear" w:color="auto" w:fill="auto"/>
                  <w:noWrap/>
                  <w:vAlign w:val="center"/>
                  <w:hideMark/>
                </w:tcPr>
                <w:p w14:paraId="4A54B518" w14:textId="77777777" w:rsidR="009D16E2" w:rsidRPr="001F5088" w:rsidRDefault="009D16E2" w:rsidP="00E446B9">
                  <w:pPr>
                    <w:keepLines/>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FN</w:t>
                  </w:r>
                  <w:r w:rsidRPr="008275EB">
                    <w:rPr>
                      <w:rFonts w:eastAsia="Times New Roman" w:cs="Arial"/>
                      <w:color w:val="000000"/>
                      <w:sz w:val="20"/>
                      <w:szCs w:val="20"/>
                    </w:rPr>
                    <w:t xml:space="preserve">: </w:t>
                  </w:r>
                  <w:r>
                    <w:rPr>
                      <w:rFonts w:eastAsia="Times New Roman" w:cs="Arial"/>
                      <w:color w:val="000000"/>
                      <w:sz w:val="20"/>
                      <w:szCs w:val="20"/>
                    </w:rPr>
                    <w:t>15</w:t>
                  </w:r>
                </w:p>
              </w:tc>
              <w:tc>
                <w:tcPr>
                  <w:tcW w:w="810" w:type="dxa"/>
                  <w:shd w:val="clear" w:color="auto" w:fill="auto"/>
                  <w:noWrap/>
                  <w:vAlign w:val="center"/>
                  <w:hideMark/>
                </w:tcPr>
                <w:p w14:paraId="2EB43A3A" w14:textId="77777777" w:rsidR="009D16E2" w:rsidRPr="001F5088" w:rsidRDefault="009D16E2" w:rsidP="00E446B9">
                  <w:pPr>
                    <w:keepLines/>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TN</w:t>
                  </w:r>
                  <w:r w:rsidRPr="008275EB">
                    <w:rPr>
                      <w:rFonts w:eastAsia="Times New Roman" w:cs="Arial"/>
                      <w:color w:val="000000"/>
                      <w:sz w:val="20"/>
                      <w:szCs w:val="20"/>
                    </w:rPr>
                    <w:t xml:space="preserve">: </w:t>
                  </w:r>
                  <w:r>
                    <w:rPr>
                      <w:rFonts w:eastAsia="Times New Roman" w:cs="Arial"/>
                      <w:color w:val="000000"/>
                      <w:sz w:val="20"/>
                      <w:szCs w:val="20"/>
                    </w:rPr>
                    <w:t>4</w:t>
                  </w:r>
                </w:p>
              </w:tc>
              <w:tc>
                <w:tcPr>
                  <w:tcW w:w="1080" w:type="dxa"/>
                  <w:shd w:val="clear" w:color="auto" w:fill="D9D9D9" w:themeFill="background1" w:themeFillShade="D9"/>
                  <w:noWrap/>
                  <w:vAlign w:val="center"/>
                  <w:hideMark/>
                </w:tcPr>
                <w:p w14:paraId="532A9B1C" w14:textId="77777777" w:rsidR="009D16E2" w:rsidRPr="001F5088" w:rsidRDefault="009D16E2" w:rsidP="00E446B9">
                  <w:pPr>
                    <w:keepLines/>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FN</w:t>
                  </w:r>
                  <w:r w:rsidRPr="008275EB">
                    <w:rPr>
                      <w:rFonts w:eastAsia="Times New Roman" w:cs="Arial"/>
                      <w:color w:val="000000"/>
                      <w:sz w:val="20"/>
                      <w:szCs w:val="20"/>
                    </w:rPr>
                    <w:t>: 1</w:t>
                  </w:r>
                </w:p>
              </w:tc>
              <w:tc>
                <w:tcPr>
                  <w:tcW w:w="737" w:type="dxa"/>
                  <w:shd w:val="clear" w:color="auto" w:fill="D9D9D9" w:themeFill="background1" w:themeFillShade="D9"/>
                  <w:noWrap/>
                  <w:vAlign w:val="center"/>
                  <w:hideMark/>
                </w:tcPr>
                <w:p w14:paraId="248D6B6C" w14:textId="77777777" w:rsidR="009D16E2" w:rsidRPr="001F5088" w:rsidRDefault="009D16E2" w:rsidP="00E446B9">
                  <w:pPr>
                    <w:keepLines/>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TN</w:t>
                  </w:r>
                  <w:r w:rsidRPr="008275EB">
                    <w:rPr>
                      <w:rFonts w:eastAsia="Times New Roman" w:cs="Arial"/>
                      <w:color w:val="000000"/>
                      <w:sz w:val="20"/>
                      <w:szCs w:val="20"/>
                    </w:rPr>
                    <w:t>: 3</w:t>
                  </w:r>
                </w:p>
              </w:tc>
            </w:tr>
          </w:tbl>
          <w:p w14:paraId="78EDA40E" w14:textId="77777777" w:rsidR="00653227" w:rsidRPr="006810A5" w:rsidRDefault="00653227" w:rsidP="00E446B9">
            <w:pPr>
              <w:keepLines/>
              <w:widowControl/>
              <w:spacing w:after="160" w:line="259" w:lineRule="auto"/>
              <w:ind w:firstLine="0"/>
              <w:rPr>
                <w:rFonts w:eastAsiaTheme="majorEastAsia" w:cstheme="majorBidi"/>
                <w:b/>
                <w:smallCaps/>
                <w:sz w:val="28"/>
                <w:szCs w:val="32"/>
                <w:lang w:eastAsia="zh-CN"/>
              </w:rPr>
            </w:pPr>
          </w:p>
        </w:tc>
      </w:tr>
    </w:tbl>
    <w:p w14:paraId="28C0EF4A" w14:textId="4F4CAE98" w:rsidR="009D16E2" w:rsidRPr="001077E6" w:rsidRDefault="009D16E2" w:rsidP="00E446B9">
      <w:pPr>
        <w:pStyle w:val="NoSpacing"/>
        <w:keepLines/>
        <w:spacing w:before="240"/>
        <w:rPr>
          <w:rFonts w:cs="Arial"/>
          <w:sz w:val="20"/>
          <w:szCs w:val="20"/>
        </w:rPr>
      </w:pPr>
      <w:r w:rsidRPr="001077E6">
        <w:rPr>
          <w:sz w:val="20"/>
          <w:szCs w:val="20"/>
        </w:rPr>
        <w:t xml:space="preserve">Figure </w:t>
      </w:r>
      <w:r w:rsidRPr="001077E6">
        <w:rPr>
          <w:sz w:val="20"/>
          <w:szCs w:val="20"/>
        </w:rPr>
        <w:fldChar w:fldCharType="begin"/>
      </w:r>
      <w:r w:rsidRPr="001077E6">
        <w:rPr>
          <w:sz w:val="20"/>
          <w:szCs w:val="20"/>
        </w:rPr>
        <w:instrText xml:space="preserve"> SEQ Figure \* ARABIC </w:instrText>
      </w:r>
      <w:r w:rsidRPr="001077E6">
        <w:rPr>
          <w:sz w:val="20"/>
          <w:szCs w:val="20"/>
        </w:rPr>
        <w:fldChar w:fldCharType="separate"/>
      </w:r>
      <w:r w:rsidR="00B51674">
        <w:rPr>
          <w:noProof/>
          <w:sz w:val="20"/>
          <w:szCs w:val="20"/>
        </w:rPr>
        <w:t>5</w:t>
      </w:r>
      <w:r w:rsidRPr="001077E6">
        <w:rPr>
          <w:sz w:val="20"/>
          <w:szCs w:val="20"/>
        </w:rPr>
        <w:fldChar w:fldCharType="end"/>
      </w:r>
      <w:r>
        <w:rPr>
          <w:sz w:val="20"/>
          <w:szCs w:val="20"/>
        </w:rPr>
        <w:t>.</w:t>
      </w:r>
      <w:r w:rsidRPr="001077E6">
        <w:rPr>
          <w:rFonts w:cs="Arial"/>
          <w:sz w:val="20"/>
          <w:szCs w:val="20"/>
        </w:rPr>
        <w:t xml:space="preserve"> </w:t>
      </w:r>
      <w:r w:rsidRPr="003F48E2">
        <w:rPr>
          <w:rFonts w:cs="Arial"/>
          <w:b/>
          <w:bCs/>
          <w:sz w:val="20"/>
          <w:szCs w:val="20"/>
        </w:rPr>
        <w:t>Comparison of the outcomes in</w:t>
      </w:r>
      <w:r w:rsidR="003F48E2" w:rsidRPr="003F48E2">
        <w:rPr>
          <w:rFonts w:cs="Arial"/>
          <w:b/>
          <w:bCs/>
          <w:sz w:val="20"/>
          <w:szCs w:val="20"/>
        </w:rPr>
        <w:t xml:space="preserve"> the</w:t>
      </w:r>
      <w:r w:rsidRPr="003F48E2">
        <w:rPr>
          <w:rFonts w:cs="Arial"/>
          <w:b/>
          <w:bCs/>
          <w:sz w:val="20"/>
          <w:szCs w:val="20"/>
        </w:rPr>
        <w:t xml:space="preserve"> </w:t>
      </w:r>
      <w:r w:rsidR="003F48E2" w:rsidRPr="003F48E2">
        <w:rPr>
          <w:b/>
          <w:bCs/>
          <w:sz w:val="20"/>
          <w:szCs w:val="20"/>
        </w:rPr>
        <w:t>Chicken (</w:t>
      </w:r>
      <w:r w:rsidR="003F48E2" w:rsidRPr="003F48E2">
        <w:rPr>
          <w:rFonts w:cs="Arial"/>
          <w:b/>
          <w:bCs/>
          <w:sz w:val="20"/>
          <w:szCs w:val="20"/>
        </w:rPr>
        <w:t xml:space="preserve">CEGA) (A) and Turkey (TEGA) (B) </w:t>
      </w:r>
      <w:r w:rsidR="003F48E2" w:rsidRPr="003F48E2">
        <w:rPr>
          <w:b/>
          <w:bCs/>
          <w:sz w:val="20"/>
          <w:szCs w:val="20"/>
        </w:rPr>
        <w:t>egg genotoxicity assays</w:t>
      </w:r>
      <w:r w:rsidR="003F48E2" w:rsidRPr="003F48E2">
        <w:rPr>
          <w:rFonts w:cs="Arial"/>
          <w:b/>
          <w:bCs/>
          <w:sz w:val="20"/>
          <w:szCs w:val="20"/>
        </w:rPr>
        <w:t xml:space="preserve"> </w:t>
      </w:r>
      <w:r w:rsidRPr="003F48E2">
        <w:rPr>
          <w:rFonts w:cs="Arial"/>
          <w:b/>
          <w:bCs/>
          <w:sz w:val="20"/>
          <w:szCs w:val="20"/>
        </w:rPr>
        <w:t>with available in vitro data.</w:t>
      </w:r>
      <w:r w:rsidRPr="001077E6">
        <w:rPr>
          <w:rFonts w:cs="Arial"/>
          <w:sz w:val="20"/>
          <w:szCs w:val="20"/>
        </w:rPr>
        <w:t xml:space="preserve"> Tables underneath the bar charts represent confusion matrices with numbers of chemicals that produced either positive or negative outcomes for each respective endpoint. </w:t>
      </w:r>
      <w:r w:rsidRPr="001077E6">
        <w:rPr>
          <w:sz w:val="20"/>
          <w:szCs w:val="20"/>
        </w:rPr>
        <w:t xml:space="preserve">Equivocal results were considered </w:t>
      </w:r>
      <w:r w:rsidR="00266899">
        <w:rPr>
          <w:sz w:val="20"/>
          <w:szCs w:val="20"/>
        </w:rPr>
        <w:t>to be</w:t>
      </w:r>
      <w:r w:rsidRPr="001077E6">
        <w:rPr>
          <w:sz w:val="20"/>
          <w:szCs w:val="20"/>
        </w:rPr>
        <w:t xml:space="preserve"> positive.</w:t>
      </w:r>
    </w:p>
    <w:p w14:paraId="0CA8BD0A" w14:textId="09DD2C0B" w:rsidR="009D16E2" w:rsidRPr="001077E6" w:rsidRDefault="009D16E2" w:rsidP="00E446B9">
      <w:pPr>
        <w:pStyle w:val="NoSpacing"/>
        <w:keepLines/>
        <w:widowControl w:val="0"/>
        <w:spacing w:before="120" w:after="120"/>
        <w:rPr>
          <w:sz w:val="20"/>
          <w:szCs w:val="20"/>
        </w:rPr>
      </w:pPr>
      <w:r w:rsidRPr="001077E6">
        <w:rPr>
          <w:i/>
          <w:iCs/>
          <w:sz w:val="20"/>
          <w:szCs w:val="20"/>
        </w:rPr>
        <w:t>Abbreviations</w:t>
      </w:r>
      <w:r w:rsidRPr="001077E6">
        <w:rPr>
          <w:sz w:val="20"/>
          <w:szCs w:val="20"/>
        </w:rPr>
        <w:t xml:space="preserve">: CA, chromosome aberration assay; HPC/DRA, hepatocyte DNA-repair test; FDR, false discovery rate; FN, false negative; FP, false positive; MCGM, mammalian cell gene mutation assay; MN, micronucleus assay; NPV, negative predictive value;  PPV, positive predictive value; TN, true negative; TP, true positive. </w:t>
      </w:r>
    </w:p>
    <w:p w14:paraId="0E3F7223" w14:textId="6C1FF10F" w:rsidR="00653227" w:rsidRPr="00A91056" w:rsidRDefault="00653227" w:rsidP="007B2775">
      <w:pPr>
        <w:widowControl/>
        <w:spacing w:after="160" w:line="259" w:lineRule="auto"/>
        <w:ind w:firstLine="0"/>
        <w:sectPr w:rsidR="00653227" w:rsidRPr="00A91056" w:rsidSect="00BA0F0F">
          <w:pgSz w:w="12240" w:h="15840"/>
          <w:pgMar w:top="1008" w:right="1440" w:bottom="1008" w:left="1440" w:header="720" w:footer="720" w:gutter="0"/>
          <w:cols w:space="720"/>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0"/>
      </w:tblGrid>
      <w:tr w:rsidR="00666613" w14:paraId="40D35FAF" w14:textId="77777777" w:rsidTr="004056AE">
        <w:tc>
          <w:tcPr>
            <w:tcW w:w="9350" w:type="dxa"/>
          </w:tcPr>
          <w:p w14:paraId="4F671667" w14:textId="1851C730" w:rsidR="00B73791" w:rsidRPr="006810A5" w:rsidRDefault="00A85DCB" w:rsidP="006810A5">
            <w:pPr>
              <w:pStyle w:val="NoSpacing"/>
              <w:rPr>
                <w:b/>
                <w:bCs/>
              </w:rPr>
            </w:pPr>
            <w:r w:rsidRPr="006810A5">
              <w:rPr>
                <w:b/>
                <w:bCs/>
              </w:rPr>
              <w:lastRenderedPageBreak/>
              <w:br w:type="page"/>
            </w:r>
            <w:r w:rsidR="00EE3624" w:rsidRPr="006810A5">
              <w:rPr>
                <w:b/>
                <w:bCs/>
              </w:rPr>
              <w:t xml:space="preserve">A. </w:t>
            </w:r>
            <w:r w:rsidR="00DB6A17" w:rsidRPr="006810A5">
              <w:rPr>
                <w:b/>
                <w:bCs/>
              </w:rPr>
              <w:t xml:space="preserve">CEGA </w:t>
            </w:r>
            <w:r w:rsidR="00412808" w:rsidRPr="006810A5">
              <w:rPr>
                <w:b/>
                <w:bCs/>
              </w:rPr>
              <w:t xml:space="preserve">vs </w:t>
            </w:r>
            <w:r w:rsidR="006810A5">
              <w:rPr>
                <w:b/>
                <w:bCs/>
              </w:rPr>
              <w:t>i</w:t>
            </w:r>
            <w:r w:rsidR="00EE3624" w:rsidRPr="006810A5">
              <w:rPr>
                <w:b/>
                <w:bCs/>
              </w:rPr>
              <w:t>n vi</w:t>
            </w:r>
            <w:r w:rsidR="00BA0F0F">
              <w:rPr>
                <w:b/>
                <w:bCs/>
              </w:rPr>
              <w:t>v</w:t>
            </w:r>
            <w:r w:rsidR="00EE3624" w:rsidRPr="006810A5">
              <w:rPr>
                <w:b/>
                <w:bCs/>
              </w:rPr>
              <w:t>o genotoxicity assays</w:t>
            </w:r>
          </w:p>
        </w:tc>
      </w:tr>
      <w:tr w:rsidR="00BD24E1" w14:paraId="783A5C82" w14:textId="77777777" w:rsidTr="004056AE">
        <w:tc>
          <w:tcPr>
            <w:tcW w:w="9350" w:type="dxa"/>
          </w:tcPr>
          <w:p w14:paraId="51745DAB" w14:textId="6CBB6257" w:rsidR="00BD24E1" w:rsidRPr="006666CC" w:rsidRDefault="00BA0F0F" w:rsidP="006666CC">
            <w:pPr>
              <w:pStyle w:val="NoSpacing"/>
            </w:pPr>
            <w:r>
              <w:rPr>
                <w:noProof/>
              </w:rPr>
              <w:drawing>
                <wp:inline distT="0" distB="0" distL="0" distR="0" wp14:anchorId="6BB8945F" wp14:editId="2320E897">
                  <wp:extent cx="5486400" cy="2577666"/>
                  <wp:effectExtent l="0" t="0" r="0" b="0"/>
                  <wp:docPr id="174745192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486400" cy="2577666"/>
                          </a:xfrm>
                          <a:prstGeom prst="rect">
                            <a:avLst/>
                          </a:prstGeom>
                          <a:noFill/>
                        </pic:spPr>
                      </pic:pic>
                    </a:graphicData>
                  </a:graphic>
                </wp:inline>
              </w:drawing>
            </w:r>
          </w:p>
        </w:tc>
      </w:tr>
      <w:tr w:rsidR="000B1C99" w14:paraId="6418F860" w14:textId="77777777" w:rsidTr="004056AE">
        <w:trPr>
          <w:trHeight w:val="899"/>
        </w:trPr>
        <w:tc>
          <w:tcPr>
            <w:tcW w:w="9350" w:type="dxa"/>
          </w:tcPr>
          <w:tbl>
            <w:tblPr>
              <w:tblW w:w="0" w:type="auto"/>
              <w:jc w:val="center"/>
              <w:tblBorders>
                <w:top w:val="single" w:sz="4" w:space="0" w:color="auto"/>
                <w:bottom w:val="single" w:sz="4" w:space="0" w:color="auto"/>
                <w:insideH w:val="single" w:sz="4" w:space="0" w:color="auto"/>
              </w:tblBorders>
              <w:tblLayout w:type="fixed"/>
              <w:tblCellMar>
                <w:left w:w="43" w:type="dxa"/>
                <w:right w:w="43" w:type="dxa"/>
              </w:tblCellMar>
              <w:tblLook w:val="04A0" w:firstRow="1" w:lastRow="0" w:firstColumn="1" w:lastColumn="0" w:noHBand="0" w:noVBand="1"/>
            </w:tblPr>
            <w:tblGrid>
              <w:gridCol w:w="1016"/>
              <w:gridCol w:w="720"/>
              <w:gridCol w:w="810"/>
              <w:gridCol w:w="720"/>
              <w:gridCol w:w="810"/>
              <w:gridCol w:w="810"/>
              <w:gridCol w:w="900"/>
              <w:gridCol w:w="720"/>
              <w:gridCol w:w="901"/>
              <w:gridCol w:w="912"/>
            </w:tblGrid>
            <w:tr w:rsidR="00BA0F0F" w:rsidRPr="008275EB" w14:paraId="11838108" w14:textId="77777777" w:rsidTr="003D7914">
              <w:trPr>
                <w:trHeight w:val="26"/>
                <w:jc w:val="center"/>
              </w:trPr>
              <w:tc>
                <w:tcPr>
                  <w:tcW w:w="1736" w:type="dxa"/>
                  <w:gridSpan w:val="2"/>
                  <w:shd w:val="clear" w:color="auto" w:fill="D9D9D9" w:themeFill="background1" w:themeFillShade="D9"/>
                  <w:noWrap/>
                  <w:vAlign w:val="center"/>
                  <w:hideMark/>
                </w:tcPr>
                <w:p w14:paraId="45A5E381" w14:textId="77777777" w:rsidR="00BA0F0F" w:rsidRPr="001F5088" w:rsidRDefault="00BA0F0F" w:rsidP="00BA0F0F">
                  <w:pPr>
                    <w:widowControl/>
                    <w:spacing w:line="240" w:lineRule="auto"/>
                    <w:ind w:firstLine="0"/>
                    <w:jc w:val="center"/>
                    <w:rPr>
                      <w:rFonts w:eastAsia="Times New Roman" w:cs="Arial"/>
                      <w:b/>
                      <w:bCs/>
                      <w:color w:val="000000"/>
                      <w:sz w:val="20"/>
                      <w:szCs w:val="20"/>
                    </w:rPr>
                  </w:pPr>
                  <w:r w:rsidRPr="001F5088">
                    <w:rPr>
                      <w:rFonts w:eastAsia="Times New Roman" w:cs="Arial"/>
                      <w:b/>
                      <w:bCs/>
                      <w:color w:val="000000"/>
                      <w:sz w:val="20"/>
                      <w:szCs w:val="20"/>
                    </w:rPr>
                    <w:t>CEGA/</w:t>
                  </w:r>
                  <w:r>
                    <w:rPr>
                      <w:rFonts w:eastAsia="Times New Roman" w:cs="Arial"/>
                      <w:b/>
                      <w:bCs/>
                      <w:color w:val="000000"/>
                      <w:sz w:val="20"/>
                      <w:szCs w:val="20"/>
                    </w:rPr>
                    <w:t>UDS</w:t>
                  </w:r>
                </w:p>
              </w:tc>
              <w:tc>
                <w:tcPr>
                  <w:tcW w:w="1530" w:type="dxa"/>
                  <w:gridSpan w:val="2"/>
                  <w:shd w:val="clear" w:color="auto" w:fill="auto"/>
                  <w:noWrap/>
                  <w:vAlign w:val="center"/>
                  <w:hideMark/>
                </w:tcPr>
                <w:p w14:paraId="0815AD80" w14:textId="77777777" w:rsidR="00BA0F0F" w:rsidRPr="001F5088" w:rsidRDefault="00BA0F0F" w:rsidP="00BA0F0F">
                  <w:pPr>
                    <w:widowControl/>
                    <w:spacing w:line="240" w:lineRule="auto"/>
                    <w:ind w:firstLine="0"/>
                    <w:jc w:val="center"/>
                    <w:rPr>
                      <w:rFonts w:eastAsia="Times New Roman" w:cs="Arial"/>
                      <w:b/>
                      <w:bCs/>
                      <w:color w:val="000000"/>
                      <w:sz w:val="20"/>
                      <w:szCs w:val="20"/>
                    </w:rPr>
                  </w:pPr>
                  <w:r w:rsidRPr="001F5088">
                    <w:rPr>
                      <w:rFonts w:eastAsia="Times New Roman" w:cs="Arial"/>
                      <w:b/>
                      <w:bCs/>
                      <w:color w:val="000000"/>
                      <w:sz w:val="20"/>
                      <w:szCs w:val="20"/>
                    </w:rPr>
                    <w:t>CEGA/</w:t>
                  </w:r>
                  <w:r>
                    <w:rPr>
                      <w:rFonts w:eastAsia="Times New Roman" w:cs="Arial"/>
                      <w:b/>
                      <w:bCs/>
                      <w:color w:val="000000"/>
                      <w:sz w:val="20"/>
                      <w:szCs w:val="20"/>
                    </w:rPr>
                    <w:t>TGR</w:t>
                  </w:r>
                </w:p>
              </w:tc>
              <w:tc>
                <w:tcPr>
                  <w:tcW w:w="1620" w:type="dxa"/>
                  <w:gridSpan w:val="2"/>
                  <w:shd w:val="clear" w:color="auto" w:fill="D9D9D9" w:themeFill="background1" w:themeFillShade="D9"/>
                  <w:noWrap/>
                  <w:vAlign w:val="center"/>
                  <w:hideMark/>
                </w:tcPr>
                <w:p w14:paraId="42ADAE9D" w14:textId="77777777" w:rsidR="00BA0F0F" w:rsidRPr="001F5088" w:rsidRDefault="00BA0F0F" w:rsidP="00BA0F0F">
                  <w:pPr>
                    <w:widowControl/>
                    <w:spacing w:line="240" w:lineRule="auto"/>
                    <w:ind w:firstLine="0"/>
                    <w:jc w:val="center"/>
                    <w:rPr>
                      <w:rFonts w:eastAsia="Times New Roman" w:cs="Arial"/>
                      <w:b/>
                      <w:bCs/>
                      <w:color w:val="000000"/>
                      <w:sz w:val="20"/>
                      <w:szCs w:val="20"/>
                    </w:rPr>
                  </w:pPr>
                  <w:r w:rsidRPr="001F5088">
                    <w:rPr>
                      <w:rFonts w:eastAsia="Times New Roman" w:cs="Arial"/>
                      <w:b/>
                      <w:bCs/>
                      <w:color w:val="000000"/>
                      <w:sz w:val="20"/>
                      <w:szCs w:val="20"/>
                    </w:rPr>
                    <w:t>CEGA/MN</w:t>
                  </w:r>
                </w:p>
              </w:tc>
              <w:tc>
                <w:tcPr>
                  <w:tcW w:w="1620" w:type="dxa"/>
                  <w:gridSpan w:val="2"/>
                  <w:shd w:val="clear" w:color="auto" w:fill="auto"/>
                  <w:noWrap/>
                  <w:vAlign w:val="center"/>
                  <w:hideMark/>
                </w:tcPr>
                <w:p w14:paraId="1C108FD5" w14:textId="77777777" w:rsidR="00BA0F0F" w:rsidRPr="001F5088" w:rsidRDefault="00BA0F0F" w:rsidP="00BA0F0F">
                  <w:pPr>
                    <w:widowControl/>
                    <w:spacing w:line="240" w:lineRule="auto"/>
                    <w:ind w:firstLine="0"/>
                    <w:jc w:val="center"/>
                    <w:rPr>
                      <w:rFonts w:eastAsia="Times New Roman" w:cs="Arial"/>
                      <w:b/>
                      <w:bCs/>
                      <w:color w:val="000000"/>
                      <w:sz w:val="20"/>
                      <w:szCs w:val="20"/>
                    </w:rPr>
                  </w:pPr>
                  <w:r w:rsidRPr="001F5088">
                    <w:rPr>
                      <w:rFonts w:eastAsia="Times New Roman" w:cs="Arial"/>
                      <w:b/>
                      <w:bCs/>
                      <w:color w:val="000000"/>
                      <w:sz w:val="20"/>
                      <w:szCs w:val="20"/>
                    </w:rPr>
                    <w:t>CEGA/CA</w:t>
                  </w:r>
                </w:p>
              </w:tc>
              <w:tc>
                <w:tcPr>
                  <w:tcW w:w="1813" w:type="dxa"/>
                  <w:gridSpan w:val="2"/>
                  <w:shd w:val="clear" w:color="auto" w:fill="D9D9D9" w:themeFill="background1" w:themeFillShade="D9"/>
                  <w:noWrap/>
                  <w:vAlign w:val="center"/>
                  <w:hideMark/>
                </w:tcPr>
                <w:p w14:paraId="426AAD34" w14:textId="77777777" w:rsidR="00BA0F0F" w:rsidRPr="001F5088" w:rsidRDefault="00BA0F0F" w:rsidP="00BA0F0F">
                  <w:pPr>
                    <w:widowControl/>
                    <w:spacing w:line="240" w:lineRule="auto"/>
                    <w:ind w:firstLine="0"/>
                    <w:jc w:val="center"/>
                    <w:rPr>
                      <w:rFonts w:eastAsia="Times New Roman" w:cs="Arial"/>
                      <w:b/>
                      <w:bCs/>
                      <w:color w:val="000000"/>
                      <w:sz w:val="20"/>
                      <w:szCs w:val="20"/>
                    </w:rPr>
                  </w:pPr>
                  <w:r w:rsidRPr="001F5088">
                    <w:rPr>
                      <w:rFonts w:eastAsia="Times New Roman" w:cs="Arial"/>
                      <w:b/>
                      <w:bCs/>
                      <w:color w:val="000000"/>
                      <w:sz w:val="20"/>
                      <w:szCs w:val="20"/>
                    </w:rPr>
                    <w:t>CEGA/</w:t>
                  </w:r>
                  <w:r>
                    <w:rPr>
                      <w:rFonts w:eastAsia="Times New Roman" w:cs="Arial"/>
                      <w:b/>
                      <w:bCs/>
                      <w:color w:val="000000"/>
                      <w:sz w:val="20"/>
                      <w:szCs w:val="20"/>
                    </w:rPr>
                    <w:t>CARC</w:t>
                  </w:r>
                </w:p>
              </w:tc>
            </w:tr>
            <w:tr w:rsidR="00BA0F0F" w:rsidRPr="008275EB" w14:paraId="1BAEBEE0" w14:textId="77777777" w:rsidTr="003D7914">
              <w:trPr>
                <w:trHeight w:val="26"/>
                <w:jc w:val="center"/>
              </w:trPr>
              <w:tc>
                <w:tcPr>
                  <w:tcW w:w="1016" w:type="dxa"/>
                  <w:tcBorders>
                    <w:bottom w:val="single" w:sz="4" w:space="0" w:color="auto"/>
                  </w:tcBorders>
                  <w:shd w:val="clear" w:color="auto" w:fill="D9D9D9" w:themeFill="background1" w:themeFillShade="D9"/>
                  <w:noWrap/>
                  <w:vAlign w:val="center"/>
                  <w:hideMark/>
                </w:tcPr>
                <w:p w14:paraId="7CF9BAE9" w14:textId="77777777" w:rsidR="00BA0F0F" w:rsidRPr="001F5088" w:rsidRDefault="00BA0F0F" w:rsidP="00BA0F0F">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TP</w:t>
                  </w:r>
                  <w:r w:rsidRPr="008275EB">
                    <w:rPr>
                      <w:rFonts w:eastAsia="Times New Roman" w:cs="Arial"/>
                      <w:color w:val="000000"/>
                      <w:sz w:val="20"/>
                      <w:szCs w:val="20"/>
                    </w:rPr>
                    <w:t xml:space="preserve">: </w:t>
                  </w:r>
                  <w:r>
                    <w:rPr>
                      <w:rFonts w:eastAsia="Times New Roman" w:cs="Arial"/>
                      <w:color w:val="000000"/>
                      <w:sz w:val="20"/>
                      <w:szCs w:val="20"/>
                    </w:rPr>
                    <w:t>17</w:t>
                  </w:r>
                </w:p>
              </w:tc>
              <w:tc>
                <w:tcPr>
                  <w:tcW w:w="720" w:type="dxa"/>
                  <w:tcBorders>
                    <w:bottom w:val="single" w:sz="4" w:space="0" w:color="auto"/>
                  </w:tcBorders>
                  <w:shd w:val="clear" w:color="auto" w:fill="D9D9D9" w:themeFill="background1" w:themeFillShade="D9"/>
                  <w:noWrap/>
                  <w:vAlign w:val="center"/>
                  <w:hideMark/>
                </w:tcPr>
                <w:p w14:paraId="138486E4" w14:textId="77777777" w:rsidR="00BA0F0F" w:rsidRPr="001F5088" w:rsidRDefault="00BA0F0F" w:rsidP="00BA0F0F">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FP</w:t>
                  </w:r>
                  <w:r w:rsidRPr="008275EB">
                    <w:rPr>
                      <w:rFonts w:eastAsia="Times New Roman" w:cs="Arial"/>
                      <w:color w:val="000000"/>
                      <w:sz w:val="20"/>
                      <w:szCs w:val="20"/>
                    </w:rPr>
                    <w:t xml:space="preserve">: </w:t>
                  </w:r>
                  <w:r>
                    <w:rPr>
                      <w:rFonts w:eastAsia="Times New Roman" w:cs="Arial"/>
                      <w:color w:val="000000"/>
                      <w:sz w:val="20"/>
                      <w:szCs w:val="20"/>
                    </w:rPr>
                    <w:t>3</w:t>
                  </w:r>
                </w:p>
              </w:tc>
              <w:tc>
                <w:tcPr>
                  <w:tcW w:w="810" w:type="dxa"/>
                  <w:tcBorders>
                    <w:bottom w:val="single" w:sz="4" w:space="0" w:color="auto"/>
                  </w:tcBorders>
                  <w:shd w:val="clear" w:color="auto" w:fill="auto"/>
                  <w:noWrap/>
                  <w:vAlign w:val="center"/>
                  <w:hideMark/>
                </w:tcPr>
                <w:p w14:paraId="5E37913F" w14:textId="77777777" w:rsidR="00BA0F0F" w:rsidRPr="001F5088" w:rsidRDefault="00BA0F0F" w:rsidP="00BA0F0F">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TP</w:t>
                  </w:r>
                  <w:r w:rsidRPr="008275EB">
                    <w:rPr>
                      <w:rFonts w:eastAsia="Times New Roman" w:cs="Arial"/>
                      <w:color w:val="000000"/>
                      <w:sz w:val="20"/>
                      <w:szCs w:val="20"/>
                    </w:rPr>
                    <w:t xml:space="preserve">: </w:t>
                  </w:r>
                  <w:r>
                    <w:rPr>
                      <w:rFonts w:eastAsia="Times New Roman" w:cs="Arial"/>
                      <w:color w:val="000000"/>
                      <w:sz w:val="20"/>
                      <w:szCs w:val="20"/>
                    </w:rPr>
                    <w:t>17</w:t>
                  </w:r>
                </w:p>
              </w:tc>
              <w:tc>
                <w:tcPr>
                  <w:tcW w:w="720" w:type="dxa"/>
                  <w:tcBorders>
                    <w:bottom w:val="single" w:sz="4" w:space="0" w:color="auto"/>
                  </w:tcBorders>
                  <w:shd w:val="clear" w:color="auto" w:fill="auto"/>
                  <w:noWrap/>
                  <w:vAlign w:val="center"/>
                  <w:hideMark/>
                </w:tcPr>
                <w:p w14:paraId="14CC157A" w14:textId="77777777" w:rsidR="00BA0F0F" w:rsidRPr="001F5088" w:rsidRDefault="00BA0F0F" w:rsidP="00BA0F0F">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FP</w:t>
                  </w:r>
                  <w:r w:rsidRPr="008275EB">
                    <w:rPr>
                      <w:rFonts w:eastAsia="Times New Roman" w:cs="Arial"/>
                      <w:color w:val="000000"/>
                      <w:sz w:val="20"/>
                      <w:szCs w:val="20"/>
                    </w:rPr>
                    <w:t xml:space="preserve">: </w:t>
                  </w:r>
                  <w:r>
                    <w:rPr>
                      <w:rFonts w:eastAsia="Times New Roman" w:cs="Arial"/>
                      <w:color w:val="000000"/>
                      <w:sz w:val="20"/>
                      <w:szCs w:val="20"/>
                    </w:rPr>
                    <w:t>2</w:t>
                  </w:r>
                </w:p>
              </w:tc>
              <w:tc>
                <w:tcPr>
                  <w:tcW w:w="810" w:type="dxa"/>
                  <w:tcBorders>
                    <w:bottom w:val="single" w:sz="4" w:space="0" w:color="auto"/>
                  </w:tcBorders>
                  <w:shd w:val="clear" w:color="auto" w:fill="D9D9D9" w:themeFill="background1" w:themeFillShade="D9"/>
                  <w:noWrap/>
                  <w:vAlign w:val="center"/>
                  <w:hideMark/>
                </w:tcPr>
                <w:p w14:paraId="746098E6" w14:textId="77777777" w:rsidR="00BA0F0F" w:rsidRPr="001F5088" w:rsidRDefault="00BA0F0F" w:rsidP="00BA0F0F">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TP</w:t>
                  </w:r>
                  <w:r w:rsidRPr="008275EB">
                    <w:rPr>
                      <w:rFonts w:eastAsia="Times New Roman" w:cs="Arial"/>
                      <w:color w:val="000000"/>
                      <w:sz w:val="20"/>
                      <w:szCs w:val="20"/>
                    </w:rPr>
                    <w:t>: 2</w:t>
                  </w:r>
                  <w:r>
                    <w:rPr>
                      <w:rFonts w:eastAsia="Times New Roman" w:cs="Arial"/>
                      <w:color w:val="000000"/>
                      <w:sz w:val="20"/>
                      <w:szCs w:val="20"/>
                    </w:rPr>
                    <w:t>0</w:t>
                  </w:r>
                </w:p>
              </w:tc>
              <w:tc>
                <w:tcPr>
                  <w:tcW w:w="810" w:type="dxa"/>
                  <w:tcBorders>
                    <w:bottom w:val="single" w:sz="4" w:space="0" w:color="auto"/>
                  </w:tcBorders>
                  <w:shd w:val="clear" w:color="auto" w:fill="D9D9D9" w:themeFill="background1" w:themeFillShade="D9"/>
                  <w:noWrap/>
                  <w:vAlign w:val="center"/>
                  <w:hideMark/>
                </w:tcPr>
                <w:p w14:paraId="38D69682" w14:textId="77777777" w:rsidR="00BA0F0F" w:rsidRPr="001F5088" w:rsidRDefault="00BA0F0F" w:rsidP="00BA0F0F">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FP</w:t>
                  </w:r>
                  <w:r w:rsidRPr="008275EB">
                    <w:rPr>
                      <w:rFonts w:eastAsia="Times New Roman" w:cs="Arial"/>
                      <w:color w:val="000000"/>
                      <w:sz w:val="20"/>
                      <w:szCs w:val="20"/>
                    </w:rPr>
                    <w:t xml:space="preserve">: </w:t>
                  </w:r>
                  <w:r>
                    <w:rPr>
                      <w:rFonts w:eastAsia="Times New Roman" w:cs="Arial"/>
                      <w:color w:val="000000"/>
                      <w:sz w:val="20"/>
                      <w:szCs w:val="20"/>
                    </w:rPr>
                    <w:t>17</w:t>
                  </w:r>
                </w:p>
              </w:tc>
              <w:tc>
                <w:tcPr>
                  <w:tcW w:w="900" w:type="dxa"/>
                  <w:tcBorders>
                    <w:bottom w:val="single" w:sz="4" w:space="0" w:color="auto"/>
                  </w:tcBorders>
                  <w:shd w:val="clear" w:color="auto" w:fill="auto"/>
                  <w:noWrap/>
                  <w:vAlign w:val="center"/>
                  <w:hideMark/>
                </w:tcPr>
                <w:p w14:paraId="1B58C2E2" w14:textId="77777777" w:rsidR="00BA0F0F" w:rsidRPr="001F5088" w:rsidRDefault="00BA0F0F" w:rsidP="00BA0F0F">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TP</w:t>
                  </w:r>
                  <w:r w:rsidRPr="008275EB">
                    <w:rPr>
                      <w:rFonts w:eastAsia="Times New Roman" w:cs="Arial"/>
                      <w:color w:val="000000"/>
                      <w:sz w:val="20"/>
                      <w:szCs w:val="20"/>
                    </w:rPr>
                    <w:t xml:space="preserve">: </w:t>
                  </w:r>
                  <w:r>
                    <w:rPr>
                      <w:rFonts w:eastAsia="Times New Roman" w:cs="Arial"/>
                      <w:color w:val="000000"/>
                      <w:sz w:val="20"/>
                      <w:szCs w:val="20"/>
                    </w:rPr>
                    <w:t>1</w:t>
                  </w:r>
                  <w:r w:rsidRPr="008275EB">
                    <w:rPr>
                      <w:rFonts w:eastAsia="Times New Roman" w:cs="Arial"/>
                      <w:color w:val="000000"/>
                      <w:sz w:val="20"/>
                      <w:szCs w:val="20"/>
                    </w:rPr>
                    <w:t>8</w:t>
                  </w:r>
                </w:p>
              </w:tc>
              <w:tc>
                <w:tcPr>
                  <w:tcW w:w="720" w:type="dxa"/>
                  <w:tcBorders>
                    <w:bottom w:val="single" w:sz="4" w:space="0" w:color="auto"/>
                  </w:tcBorders>
                  <w:shd w:val="clear" w:color="auto" w:fill="auto"/>
                  <w:noWrap/>
                  <w:vAlign w:val="center"/>
                  <w:hideMark/>
                </w:tcPr>
                <w:p w14:paraId="373920C8" w14:textId="77777777" w:rsidR="00BA0F0F" w:rsidRPr="001F5088" w:rsidRDefault="00BA0F0F" w:rsidP="00BA0F0F">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FP</w:t>
                  </w:r>
                  <w:r w:rsidRPr="008275EB">
                    <w:rPr>
                      <w:rFonts w:eastAsia="Times New Roman" w:cs="Arial"/>
                      <w:color w:val="000000"/>
                      <w:sz w:val="20"/>
                      <w:szCs w:val="20"/>
                    </w:rPr>
                    <w:t>: 4</w:t>
                  </w:r>
                </w:p>
              </w:tc>
              <w:tc>
                <w:tcPr>
                  <w:tcW w:w="901" w:type="dxa"/>
                  <w:tcBorders>
                    <w:bottom w:val="single" w:sz="4" w:space="0" w:color="auto"/>
                  </w:tcBorders>
                  <w:shd w:val="clear" w:color="auto" w:fill="D9D9D9" w:themeFill="background1" w:themeFillShade="D9"/>
                  <w:noWrap/>
                  <w:vAlign w:val="center"/>
                  <w:hideMark/>
                </w:tcPr>
                <w:p w14:paraId="25AB79D7" w14:textId="77777777" w:rsidR="00BA0F0F" w:rsidRPr="001F5088" w:rsidRDefault="00BA0F0F" w:rsidP="00BA0F0F">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TP</w:t>
                  </w:r>
                  <w:r w:rsidRPr="008275EB">
                    <w:rPr>
                      <w:rFonts w:eastAsia="Times New Roman" w:cs="Arial"/>
                      <w:color w:val="000000"/>
                      <w:sz w:val="20"/>
                      <w:szCs w:val="20"/>
                    </w:rPr>
                    <w:t>: 3</w:t>
                  </w:r>
                  <w:r>
                    <w:rPr>
                      <w:rFonts w:eastAsia="Times New Roman" w:cs="Arial"/>
                      <w:color w:val="000000"/>
                      <w:sz w:val="20"/>
                      <w:szCs w:val="20"/>
                    </w:rPr>
                    <w:t>8</w:t>
                  </w:r>
                </w:p>
              </w:tc>
              <w:tc>
                <w:tcPr>
                  <w:tcW w:w="912" w:type="dxa"/>
                  <w:tcBorders>
                    <w:bottom w:val="single" w:sz="4" w:space="0" w:color="auto"/>
                  </w:tcBorders>
                  <w:shd w:val="clear" w:color="auto" w:fill="D9D9D9" w:themeFill="background1" w:themeFillShade="D9"/>
                  <w:noWrap/>
                  <w:vAlign w:val="center"/>
                  <w:hideMark/>
                </w:tcPr>
                <w:p w14:paraId="3E6DF723" w14:textId="77777777" w:rsidR="00BA0F0F" w:rsidRPr="001F5088" w:rsidRDefault="00BA0F0F" w:rsidP="00BA0F0F">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FP</w:t>
                  </w:r>
                  <w:r w:rsidRPr="008275EB">
                    <w:rPr>
                      <w:rFonts w:eastAsia="Times New Roman" w:cs="Arial"/>
                      <w:color w:val="000000"/>
                      <w:sz w:val="20"/>
                      <w:szCs w:val="20"/>
                    </w:rPr>
                    <w:t xml:space="preserve">: </w:t>
                  </w:r>
                  <w:r>
                    <w:rPr>
                      <w:rFonts w:eastAsia="Times New Roman" w:cs="Arial"/>
                      <w:color w:val="000000"/>
                      <w:sz w:val="20"/>
                      <w:szCs w:val="20"/>
                    </w:rPr>
                    <w:t>1</w:t>
                  </w:r>
                </w:p>
              </w:tc>
            </w:tr>
            <w:tr w:rsidR="00BA0F0F" w:rsidRPr="008275EB" w14:paraId="5D90685E" w14:textId="77777777" w:rsidTr="003D7914">
              <w:trPr>
                <w:trHeight w:val="26"/>
                <w:jc w:val="center"/>
              </w:trPr>
              <w:tc>
                <w:tcPr>
                  <w:tcW w:w="1016" w:type="dxa"/>
                  <w:tcBorders>
                    <w:top w:val="single" w:sz="4" w:space="0" w:color="auto"/>
                    <w:bottom w:val="single" w:sz="4" w:space="0" w:color="auto"/>
                  </w:tcBorders>
                  <w:shd w:val="clear" w:color="auto" w:fill="D9D9D9" w:themeFill="background1" w:themeFillShade="D9"/>
                  <w:noWrap/>
                  <w:vAlign w:val="center"/>
                  <w:hideMark/>
                </w:tcPr>
                <w:p w14:paraId="19DD63F4" w14:textId="77777777" w:rsidR="00BA0F0F" w:rsidRPr="001F5088" w:rsidRDefault="00BA0F0F" w:rsidP="00BA0F0F">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FN</w:t>
                  </w:r>
                  <w:r w:rsidRPr="008275EB">
                    <w:rPr>
                      <w:rFonts w:eastAsia="Times New Roman" w:cs="Arial"/>
                      <w:color w:val="000000"/>
                      <w:sz w:val="20"/>
                      <w:szCs w:val="20"/>
                    </w:rPr>
                    <w:t xml:space="preserve">: </w:t>
                  </w:r>
                  <w:r>
                    <w:rPr>
                      <w:rFonts w:eastAsia="Times New Roman" w:cs="Arial"/>
                      <w:color w:val="000000"/>
                      <w:sz w:val="20"/>
                      <w:szCs w:val="20"/>
                    </w:rPr>
                    <w:t>2</w:t>
                  </w:r>
                </w:p>
              </w:tc>
              <w:tc>
                <w:tcPr>
                  <w:tcW w:w="720" w:type="dxa"/>
                  <w:tcBorders>
                    <w:top w:val="single" w:sz="4" w:space="0" w:color="auto"/>
                    <w:bottom w:val="single" w:sz="4" w:space="0" w:color="auto"/>
                  </w:tcBorders>
                  <w:shd w:val="clear" w:color="auto" w:fill="D9D9D9" w:themeFill="background1" w:themeFillShade="D9"/>
                  <w:noWrap/>
                  <w:vAlign w:val="center"/>
                  <w:hideMark/>
                </w:tcPr>
                <w:p w14:paraId="5D50538B" w14:textId="77777777" w:rsidR="00BA0F0F" w:rsidRPr="001F5088" w:rsidRDefault="00BA0F0F" w:rsidP="00BA0F0F">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TN</w:t>
                  </w:r>
                  <w:r w:rsidRPr="008275EB">
                    <w:rPr>
                      <w:rFonts w:eastAsia="Times New Roman" w:cs="Arial"/>
                      <w:color w:val="000000"/>
                      <w:sz w:val="20"/>
                      <w:szCs w:val="20"/>
                    </w:rPr>
                    <w:t xml:space="preserve">: </w:t>
                  </w:r>
                  <w:r>
                    <w:rPr>
                      <w:rFonts w:eastAsia="Times New Roman" w:cs="Arial"/>
                      <w:color w:val="000000"/>
                      <w:sz w:val="20"/>
                      <w:szCs w:val="20"/>
                    </w:rPr>
                    <w:t>8</w:t>
                  </w:r>
                </w:p>
              </w:tc>
              <w:tc>
                <w:tcPr>
                  <w:tcW w:w="810" w:type="dxa"/>
                  <w:tcBorders>
                    <w:top w:val="single" w:sz="4" w:space="0" w:color="auto"/>
                    <w:bottom w:val="single" w:sz="4" w:space="0" w:color="auto"/>
                  </w:tcBorders>
                  <w:shd w:val="clear" w:color="auto" w:fill="auto"/>
                  <w:noWrap/>
                  <w:vAlign w:val="center"/>
                  <w:hideMark/>
                </w:tcPr>
                <w:p w14:paraId="6DA1D568" w14:textId="77777777" w:rsidR="00BA0F0F" w:rsidRPr="001F5088" w:rsidRDefault="00BA0F0F" w:rsidP="00BA0F0F">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FN</w:t>
                  </w:r>
                  <w:r w:rsidRPr="008275EB">
                    <w:rPr>
                      <w:rFonts w:eastAsia="Times New Roman" w:cs="Arial"/>
                      <w:color w:val="000000"/>
                      <w:sz w:val="20"/>
                      <w:szCs w:val="20"/>
                    </w:rPr>
                    <w:t xml:space="preserve">: </w:t>
                  </w:r>
                  <w:r>
                    <w:rPr>
                      <w:rFonts w:eastAsia="Times New Roman" w:cs="Arial"/>
                      <w:color w:val="000000"/>
                      <w:sz w:val="20"/>
                      <w:szCs w:val="20"/>
                    </w:rPr>
                    <w:t>2</w:t>
                  </w:r>
                </w:p>
              </w:tc>
              <w:tc>
                <w:tcPr>
                  <w:tcW w:w="720" w:type="dxa"/>
                  <w:tcBorders>
                    <w:top w:val="single" w:sz="4" w:space="0" w:color="auto"/>
                    <w:bottom w:val="single" w:sz="4" w:space="0" w:color="auto"/>
                  </w:tcBorders>
                  <w:shd w:val="clear" w:color="auto" w:fill="auto"/>
                  <w:noWrap/>
                  <w:vAlign w:val="center"/>
                  <w:hideMark/>
                </w:tcPr>
                <w:p w14:paraId="7484F5C8" w14:textId="77777777" w:rsidR="00BA0F0F" w:rsidRPr="001F5088" w:rsidRDefault="00BA0F0F" w:rsidP="00BA0F0F">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TN</w:t>
                  </w:r>
                  <w:r w:rsidRPr="008275EB">
                    <w:rPr>
                      <w:rFonts w:eastAsia="Times New Roman" w:cs="Arial"/>
                      <w:color w:val="000000"/>
                      <w:sz w:val="20"/>
                      <w:szCs w:val="20"/>
                    </w:rPr>
                    <w:t xml:space="preserve">: </w:t>
                  </w:r>
                  <w:r>
                    <w:rPr>
                      <w:rFonts w:eastAsia="Times New Roman" w:cs="Arial"/>
                      <w:color w:val="000000"/>
                      <w:sz w:val="20"/>
                      <w:szCs w:val="20"/>
                    </w:rPr>
                    <w:t>4</w:t>
                  </w:r>
                </w:p>
              </w:tc>
              <w:tc>
                <w:tcPr>
                  <w:tcW w:w="810" w:type="dxa"/>
                  <w:tcBorders>
                    <w:top w:val="single" w:sz="4" w:space="0" w:color="auto"/>
                    <w:bottom w:val="single" w:sz="4" w:space="0" w:color="auto"/>
                  </w:tcBorders>
                  <w:shd w:val="clear" w:color="auto" w:fill="D9D9D9" w:themeFill="background1" w:themeFillShade="D9"/>
                  <w:noWrap/>
                  <w:vAlign w:val="center"/>
                  <w:hideMark/>
                </w:tcPr>
                <w:p w14:paraId="2BD5F55D" w14:textId="77777777" w:rsidR="00BA0F0F" w:rsidRPr="001F5088" w:rsidRDefault="00BA0F0F" w:rsidP="00BA0F0F">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FN</w:t>
                  </w:r>
                  <w:r w:rsidRPr="008275EB">
                    <w:rPr>
                      <w:rFonts w:eastAsia="Times New Roman" w:cs="Arial"/>
                      <w:color w:val="000000"/>
                      <w:sz w:val="20"/>
                      <w:szCs w:val="20"/>
                    </w:rPr>
                    <w:t>: 9</w:t>
                  </w:r>
                </w:p>
              </w:tc>
              <w:tc>
                <w:tcPr>
                  <w:tcW w:w="810" w:type="dxa"/>
                  <w:tcBorders>
                    <w:top w:val="single" w:sz="4" w:space="0" w:color="auto"/>
                    <w:bottom w:val="single" w:sz="4" w:space="0" w:color="auto"/>
                  </w:tcBorders>
                  <w:shd w:val="clear" w:color="auto" w:fill="D9D9D9" w:themeFill="background1" w:themeFillShade="D9"/>
                  <w:noWrap/>
                  <w:vAlign w:val="center"/>
                  <w:hideMark/>
                </w:tcPr>
                <w:p w14:paraId="4A32C66E" w14:textId="77777777" w:rsidR="00BA0F0F" w:rsidRPr="001F5088" w:rsidRDefault="00BA0F0F" w:rsidP="00BA0F0F">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TN</w:t>
                  </w:r>
                  <w:r w:rsidRPr="008275EB">
                    <w:rPr>
                      <w:rFonts w:eastAsia="Times New Roman" w:cs="Arial"/>
                      <w:color w:val="000000"/>
                      <w:sz w:val="20"/>
                      <w:szCs w:val="20"/>
                    </w:rPr>
                    <w:t xml:space="preserve">: </w:t>
                  </w:r>
                  <w:r>
                    <w:rPr>
                      <w:rFonts w:eastAsia="Times New Roman" w:cs="Arial"/>
                      <w:color w:val="000000"/>
                      <w:sz w:val="20"/>
                      <w:szCs w:val="20"/>
                    </w:rPr>
                    <w:t>19</w:t>
                  </w:r>
                </w:p>
              </w:tc>
              <w:tc>
                <w:tcPr>
                  <w:tcW w:w="900" w:type="dxa"/>
                  <w:tcBorders>
                    <w:top w:val="single" w:sz="4" w:space="0" w:color="auto"/>
                    <w:bottom w:val="single" w:sz="4" w:space="0" w:color="auto"/>
                  </w:tcBorders>
                  <w:shd w:val="clear" w:color="auto" w:fill="auto"/>
                  <w:noWrap/>
                  <w:vAlign w:val="center"/>
                  <w:hideMark/>
                </w:tcPr>
                <w:p w14:paraId="18F3350B" w14:textId="77777777" w:rsidR="00BA0F0F" w:rsidRPr="001F5088" w:rsidRDefault="00BA0F0F" w:rsidP="00BA0F0F">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FN</w:t>
                  </w:r>
                  <w:r w:rsidRPr="008275EB">
                    <w:rPr>
                      <w:rFonts w:eastAsia="Times New Roman" w:cs="Arial"/>
                      <w:color w:val="000000"/>
                      <w:sz w:val="20"/>
                      <w:szCs w:val="20"/>
                    </w:rPr>
                    <w:t xml:space="preserve">: </w:t>
                  </w:r>
                  <w:r>
                    <w:rPr>
                      <w:rFonts w:eastAsia="Times New Roman" w:cs="Arial"/>
                      <w:color w:val="000000"/>
                      <w:sz w:val="20"/>
                      <w:szCs w:val="20"/>
                    </w:rPr>
                    <w:t>5</w:t>
                  </w:r>
                </w:p>
              </w:tc>
              <w:tc>
                <w:tcPr>
                  <w:tcW w:w="720" w:type="dxa"/>
                  <w:tcBorders>
                    <w:top w:val="single" w:sz="4" w:space="0" w:color="auto"/>
                    <w:bottom w:val="single" w:sz="4" w:space="0" w:color="auto"/>
                  </w:tcBorders>
                  <w:shd w:val="clear" w:color="auto" w:fill="auto"/>
                  <w:noWrap/>
                  <w:vAlign w:val="center"/>
                  <w:hideMark/>
                </w:tcPr>
                <w:p w14:paraId="45469A9F" w14:textId="77777777" w:rsidR="00BA0F0F" w:rsidRPr="001F5088" w:rsidRDefault="00BA0F0F" w:rsidP="00BA0F0F">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TN</w:t>
                  </w:r>
                  <w:r w:rsidRPr="008275EB">
                    <w:rPr>
                      <w:rFonts w:eastAsia="Times New Roman" w:cs="Arial"/>
                      <w:color w:val="000000"/>
                      <w:sz w:val="20"/>
                      <w:szCs w:val="20"/>
                    </w:rPr>
                    <w:t xml:space="preserve">: </w:t>
                  </w:r>
                  <w:r>
                    <w:rPr>
                      <w:rFonts w:eastAsia="Times New Roman" w:cs="Arial"/>
                      <w:color w:val="000000"/>
                      <w:sz w:val="20"/>
                      <w:szCs w:val="20"/>
                    </w:rPr>
                    <w:t>6</w:t>
                  </w:r>
                </w:p>
              </w:tc>
              <w:tc>
                <w:tcPr>
                  <w:tcW w:w="901" w:type="dxa"/>
                  <w:tcBorders>
                    <w:top w:val="single" w:sz="4" w:space="0" w:color="auto"/>
                    <w:bottom w:val="single" w:sz="4" w:space="0" w:color="auto"/>
                  </w:tcBorders>
                  <w:shd w:val="clear" w:color="auto" w:fill="D9D9D9" w:themeFill="background1" w:themeFillShade="D9"/>
                  <w:noWrap/>
                  <w:vAlign w:val="center"/>
                  <w:hideMark/>
                </w:tcPr>
                <w:p w14:paraId="40A6A55F" w14:textId="77777777" w:rsidR="00BA0F0F" w:rsidRPr="001F5088" w:rsidRDefault="00BA0F0F" w:rsidP="00BA0F0F">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FN</w:t>
                  </w:r>
                  <w:r w:rsidRPr="008275EB">
                    <w:rPr>
                      <w:rFonts w:eastAsia="Times New Roman" w:cs="Arial"/>
                      <w:color w:val="000000"/>
                      <w:sz w:val="20"/>
                      <w:szCs w:val="20"/>
                    </w:rPr>
                    <w:t>: 1</w:t>
                  </w:r>
                  <w:r>
                    <w:rPr>
                      <w:rFonts w:eastAsia="Times New Roman" w:cs="Arial"/>
                      <w:color w:val="000000"/>
                      <w:sz w:val="20"/>
                      <w:szCs w:val="20"/>
                    </w:rPr>
                    <w:t>4</w:t>
                  </w:r>
                </w:p>
              </w:tc>
              <w:tc>
                <w:tcPr>
                  <w:tcW w:w="912" w:type="dxa"/>
                  <w:tcBorders>
                    <w:top w:val="single" w:sz="4" w:space="0" w:color="auto"/>
                    <w:bottom w:val="single" w:sz="4" w:space="0" w:color="auto"/>
                  </w:tcBorders>
                  <w:shd w:val="clear" w:color="auto" w:fill="D9D9D9" w:themeFill="background1" w:themeFillShade="D9"/>
                  <w:noWrap/>
                  <w:vAlign w:val="center"/>
                  <w:hideMark/>
                </w:tcPr>
                <w:p w14:paraId="5422FEA8" w14:textId="77777777" w:rsidR="00BA0F0F" w:rsidRPr="001F5088" w:rsidRDefault="00BA0F0F" w:rsidP="00BA0F0F">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TN</w:t>
                  </w:r>
                  <w:r w:rsidRPr="008275EB">
                    <w:rPr>
                      <w:rFonts w:eastAsia="Times New Roman" w:cs="Arial"/>
                      <w:color w:val="000000"/>
                      <w:sz w:val="20"/>
                      <w:szCs w:val="20"/>
                    </w:rPr>
                    <w:t xml:space="preserve">: </w:t>
                  </w:r>
                  <w:r>
                    <w:rPr>
                      <w:rFonts w:eastAsia="Times New Roman" w:cs="Arial"/>
                      <w:color w:val="000000"/>
                      <w:sz w:val="20"/>
                      <w:szCs w:val="20"/>
                    </w:rPr>
                    <w:t>12</w:t>
                  </w:r>
                </w:p>
              </w:tc>
            </w:tr>
          </w:tbl>
          <w:p w14:paraId="39509961" w14:textId="77777777" w:rsidR="000B1C99" w:rsidRDefault="000B1C99">
            <w:pPr>
              <w:widowControl/>
              <w:spacing w:after="160" w:line="259" w:lineRule="auto"/>
              <w:ind w:firstLine="0"/>
            </w:pPr>
          </w:p>
        </w:tc>
      </w:tr>
      <w:tr w:rsidR="00666613" w14:paraId="193C120E" w14:textId="77777777" w:rsidTr="004056AE">
        <w:tc>
          <w:tcPr>
            <w:tcW w:w="9350" w:type="dxa"/>
          </w:tcPr>
          <w:p w14:paraId="080A967E" w14:textId="4DA91E7F" w:rsidR="00666613" w:rsidRPr="002C76F7" w:rsidRDefault="000718B9" w:rsidP="002C76F7">
            <w:pPr>
              <w:pStyle w:val="NoSpacing"/>
              <w:rPr>
                <w:rFonts w:eastAsiaTheme="majorEastAsia" w:cstheme="majorBidi"/>
                <w:b/>
                <w:bCs/>
                <w:smallCaps/>
                <w:lang w:eastAsia="zh-CN"/>
              </w:rPr>
            </w:pPr>
            <w:r w:rsidRPr="002C76F7">
              <w:rPr>
                <w:b/>
                <w:bCs/>
              </w:rPr>
              <w:t xml:space="preserve">B. </w:t>
            </w:r>
            <w:r w:rsidR="00BA0F0F">
              <w:rPr>
                <w:b/>
                <w:bCs/>
              </w:rPr>
              <w:t>T</w:t>
            </w:r>
            <w:r w:rsidRPr="002C76F7">
              <w:rPr>
                <w:b/>
                <w:bCs/>
              </w:rPr>
              <w:t>EGA vs in vivo genotoxicity assays</w:t>
            </w:r>
          </w:p>
        </w:tc>
      </w:tr>
      <w:tr w:rsidR="00A31DEC" w14:paraId="5BC2FDED" w14:textId="77777777" w:rsidTr="004056AE">
        <w:trPr>
          <w:trHeight w:val="4157"/>
        </w:trPr>
        <w:tc>
          <w:tcPr>
            <w:tcW w:w="9350" w:type="dxa"/>
          </w:tcPr>
          <w:p w14:paraId="23A06803" w14:textId="70D57414" w:rsidR="00A31DEC" w:rsidRDefault="00BA0F0F" w:rsidP="006666CC">
            <w:pPr>
              <w:pStyle w:val="NoSpacing"/>
            </w:pPr>
            <w:r>
              <w:rPr>
                <w:noProof/>
              </w:rPr>
              <w:drawing>
                <wp:inline distT="0" distB="0" distL="0" distR="0" wp14:anchorId="47D307BF" wp14:editId="05DCF432">
                  <wp:extent cx="5486400" cy="2653700"/>
                  <wp:effectExtent l="0" t="0" r="0" b="0"/>
                  <wp:docPr id="125938499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486400" cy="2653700"/>
                          </a:xfrm>
                          <a:prstGeom prst="rect">
                            <a:avLst/>
                          </a:prstGeom>
                          <a:noFill/>
                        </pic:spPr>
                      </pic:pic>
                    </a:graphicData>
                  </a:graphic>
                </wp:inline>
              </w:drawing>
            </w:r>
          </w:p>
        </w:tc>
      </w:tr>
      <w:tr w:rsidR="00556AB5" w14:paraId="377CE053" w14:textId="77777777" w:rsidTr="004056AE">
        <w:tc>
          <w:tcPr>
            <w:tcW w:w="9350" w:type="dxa"/>
          </w:tcPr>
          <w:tbl>
            <w:tblPr>
              <w:tblW w:w="0" w:type="auto"/>
              <w:jc w:val="center"/>
              <w:tblBorders>
                <w:top w:val="single" w:sz="4" w:space="0" w:color="auto"/>
                <w:bottom w:val="single" w:sz="4" w:space="0" w:color="auto"/>
                <w:insideH w:val="single" w:sz="4" w:space="0" w:color="auto"/>
              </w:tblBorders>
              <w:tblLayout w:type="fixed"/>
              <w:tblCellMar>
                <w:left w:w="43" w:type="dxa"/>
                <w:right w:w="43" w:type="dxa"/>
              </w:tblCellMar>
              <w:tblLook w:val="04A0" w:firstRow="1" w:lastRow="0" w:firstColumn="1" w:lastColumn="0" w:noHBand="0" w:noVBand="1"/>
            </w:tblPr>
            <w:tblGrid>
              <w:gridCol w:w="1016"/>
              <w:gridCol w:w="720"/>
              <w:gridCol w:w="810"/>
              <w:gridCol w:w="720"/>
              <w:gridCol w:w="810"/>
              <w:gridCol w:w="810"/>
              <w:gridCol w:w="900"/>
              <w:gridCol w:w="720"/>
              <w:gridCol w:w="901"/>
              <w:gridCol w:w="912"/>
            </w:tblGrid>
            <w:tr w:rsidR="00BA0F0F" w:rsidRPr="008275EB" w14:paraId="7475F646" w14:textId="77777777" w:rsidTr="003D7914">
              <w:trPr>
                <w:trHeight w:val="26"/>
                <w:jc w:val="center"/>
              </w:trPr>
              <w:tc>
                <w:tcPr>
                  <w:tcW w:w="1736" w:type="dxa"/>
                  <w:gridSpan w:val="2"/>
                  <w:shd w:val="clear" w:color="auto" w:fill="D9D9D9" w:themeFill="background1" w:themeFillShade="D9"/>
                  <w:noWrap/>
                  <w:vAlign w:val="center"/>
                  <w:hideMark/>
                </w:tcPr>
                <w:p w14:paraId="2F0CD3EB" w14:textId="77777777" w:rsidR="00BA0F0F" w:rsidRPr="001F5088" w:rsidRDefault="00BA0F0F" w:rsidP="00BA0F0F">
                  <w:pPr>
                    <w:widowControl/>
                    <w:spacing w:line="240" w:lineRule="auto"/>
                    <w:ind w:firstLine="0"/>
                    <w:jc w:val="center"/>
                    <w:rPr>
                      <w:rFonts w:eastAsia="Times New Roman" w:cs="Arial"/>
                      <w:b/>
                      <w:bCs/>
                      <w:color w:val="000000"/>
                      <w:sz w:val="20"/>
                      <w:szCs w:val="20"/>
                    </w:rPr>
                  </w:pPr>
                  <w:r>
                    <w:rPr>
                      <w:rFonts w:eastAsia="Times New Roman" w:cs="Arial"/>
                      <w:b/>
                      <w:bCs/>
                      <w:color w:val="000000"/>
                      <w:sz w:val="20"/>
                      <w:szCs w:val="20"/>
                    </w:rPr>
                    <w:t>T</w:t>
                  </w:r>
                  <w:r w:rsidRPr="001F5088">
                    <w:rPr>
                      <w:rFonts w:eastAsia="Times New Roman" w:cs="Arial"/>
                      <w:b/>
                      <w:bCs/>
                      <w:color w:val="000000"/>
                      <w:sz w:val="20"/>
                      <w:szCs w:val="20"/>
                    </w:rPr>
                    <w:t>EGA/</w:t>
                  </w:r>
                  <w:r>
                    <w:rPr>
                      <w:rFonts w:eastAsia="Times New Roman" w:cs="Arial"/>
                      <w:b/>
                      <w:bCs/>
                      <w:color w:val="000000"/>
                      <w:sz w:val="20"/>
                      <w:szCs w:val="20"/>
                    </w:rPr>
                    <w:t>UDS</w:t>
                  </w:r>
                </w:p>
              </w:tc>
              <w:tc>
                <w:tcPr>
                  <w:tcW w:w="1530" w:type="dxa"/>
                  <w:gridSpan w:val="2"/>
                  <w:shd w:val="clear" w:color="auto" w:fill="auto"/>
                  <w:noWrap/>
                  <w:vAlign w:val="center"/>
                  <w:hideMark/>
                </w:tcPr>
                <w:p w14:paraId="1A2A9B84" w14:textId="77777777" w:rsidR="00BA0F0F" w:rsidRPr="001F5088" w:rsidRDefault="00BA0F0F" w:rsidP="00BA0F0F">
                  <w:pPr>
                    <w:widowControl/>
                    <w:spacing w:line="240" w:lineRule="auto"/>
                    <w:ind w:firstLine="0"/>
                    <w:jc w:val="center"/>
                    <w:rPr>
                      <w:rFonts w:eastAsia="Times New Roman" w:cs="Arial"/>
                      <w:b/>
                      <w:bCs/>
                      <w:color w:val="000000"/>
                      <w:sz w:val="20"/>
                      <w:szCs w:val="20"/>
                    </w:rPr>
                  </w:pPr>
                  <w:r>
                    <w:rPr>
                      <w:rFonts w:eastAsia="Times New Roman" w:cs="Arial"/>
                      <w:b/>
                      <w:bCs/>
                      <w:color w:val="000000"/>
                      <w:sz w:val="20"/>
                      <w:szCs w:val="20"/>
                    </w:rPr>
                    <w:t>T</w:t>
                  </w:r>
                  <w:r w:rsidRPr="001F5088">
                    <w:rPr>
                      <w:rFonts w:eastAsia="Times New Roman" w:cs="Arial"/>
                      <w:b/>
                      <w:bCs/>
                      <w:color w:val="000000"/>
                      <w:sz w:val="20"/>
                      <w:szCs w:val="20"/>
                    </w:rPr>
                    <w:t>EGA/</w:t>
                  </w:r>
                  <w:r>
                    <w:rPr>
                      <w:rFonts w:eastAsia="Times New Roman" w:cs="Arial"/>
                      <w:b/>
                      <w:bCs/>
                      <w:color w:val="000000"/>
                      <w:sz w:val="20"/>
                      <w:szCs w:val="20"/>
                    </w:rPr>
                    <w:t>TGR</w:t>
                  </w:r>
                </w:p>
              </w:tc>
              <w:tc>
                <w:tcPr>
                  <w:tcW w:w="1620" w:type="dxa"/>
                  <w:gridSpan w:val="2"/>
                  <w:shd w:val="clear" w:color="auto" w:fill="D9D9D9" w:themeFill="background1" w:themeFillShade="D9"/>
                  <w:noWrap/>
                  <w:vAlign w:val="center"/>
                  <w:hideMark/>
                </w:tcPr>
                <w:p w14:paraId="6F9CD2D1" w14:textId="77777777" w:rsidR="00BA0F0F" w:rsidRPr="001F5088" w:rsidRDefault="00BA0F0F" w:rsidP="00BA0F0F">
                  <w:pPr>
                    <w:widowControl/>
                    <w:spacing w:line="240" w:lineRule="auto"/>
                    <w:ind w:firstLine="0"/>
                    <w:jc w:val="center"/>
                    <w:rPr>
                      <w:rFonts w:eastAsia="Times New Roman" w:cs="Arial"/>
                      <w:b/>
                      <w:bCs/>
                      <w:color w:val="000000"/>
                      <w:sz w:val="20"/>
                      <w:szCs w:val="20"/>
                    </w:rPr>
                  </w:pPr>
                  <w:r>
                    <w:rPr>
                      <w:rFonts w:eastAsia="Times New Roman" w:cs="Arial"/>
                      <w:b/>
                      <w:bCs/>
                      <w:color w:val="000000"/>
                      <w:sz w:val="20"/>
                      <w:szCs w:val="20"/>
                    </w:rPr>
                    <w:t>T</w:t>
                  </w:r>
                  <w:r w:rsidRPr="001F5088">
                    <w:rPr>
                      <w:rFonts w:eastAsia="Times New Roman" w:cs="Arial"/>
                      <w:b/>
                      <w:bCs/>
                      <w:color w:val="000000"/>
                      <w:sz w:val="20"/>
                      <w:szCs w:val="20"/>
                    </w:rPr>
                    <w:t>EGA/MN</w:t>
                  </w:r>
                </w:p>
              </w:tc>
              <w:tc>
                <w:tcPr>
                  <w:tcW w:w="1620" w:type="dxa"/>
                  <w:gridSpan w:val="2"/>
                  <w:shd w:val="clear" w:color="auto" w:fill="auto"/>
                  <w:noWrap/>
                  <w:vAlign w:val="center"/>
                  <w:hideMark/>
                </w:tcPr>
                <w:p w14:paraId="6E50A125" w14:textId="77777777" w:rsidR="00BA0F0F" w:rsidRPr="001F5088" w:rsidRDefault="00BA0F0F" w:rsidP="00BA0F0F">
                  <w:pPr>
                    <w:widowControl/>
                    <w:spacing w:line="240" w:lineRule="auto"/>
                    <w:ind w:firstLine="0"/>
                    <w:jc w:val="center"/>
                    <w:rPr>
                      <w:rFonts w:eastAsia="Times New Roman" w:cs="Arial"/>
                      <w:b/>
                      <w:bCs/>
                      <w:color w:val="000000"/>
                      <w:sz w:val="20"/>
                      <w:szCs w:val="20"/>
                    </w:rPr>
                  </w:pPr>
                  <w:r>
                    <w:rPr>
                      <w:rFonts w:eastAsia="Times New Roman" w:cs="Arial"/>
                      <w:b/>
                      <w:bCs/>
                      <w:color w:val="000000"/>
                      <w:sz w:val="20"/>
                      <w:szCs w:val="20"/>
                    </w:rPr>
                    <w:t>T</w:t>
                  </w:r>
                  <w:r w:rsidRPr="001F5088">
                    <w:rPr>
                      <w:rFonts w:eastAsia="Times New Roman" w:cs="Arial"/>
                      <w:b/>
                      <w:bCs/>
                      <w:color w:val="000000"/>
                      <w:sz w:val="20"/>
                      <w:szCs w:val="20"/>
                    </w:rPr>
                    <w:t>EGA/CA</w:t>
                  </w:r>
                </w:p>
              </w:tc>
              <w:tc>
                <w:tcPr>
                  <w:tcW w:w="1813" w:type="dxa"/>
                  <w:gridSpan w:val="2"/>
                  <w:shd w:val="clear" w:color="auto" w:fill="D9D9D9" w:themeFill="background1" w:themeFillShade="D9"/>
                  <w:noWrap/>
                  <w:vAlign w:val="center"/>
                  <w:hideMark/>
                </w:tcPr>
                <w:p w14:paraId="26430726" w14:textId="77777777" w:rsidR="00BA0F0F" w:rsidRPr="001F5088" w:rsidRDefault="00BA0F0F" w:rsidP="00BA0F0F">
                  <w:pPr>
                    <w:widowControl/>
                    <w:spacing w:line="240" w:lineRule="auto"/>
                    <w:ind w:firstLine="0"/>
                    <w:jc w:val="center"/>
                    <w:rPr>
                      <w:rFonts w:eastAsia="Times New Roman" w:cs="Arial"/>
                      <w:b/>
                      <w:bCs/>
                      <w:color w:val="000000"/>
                      <w:sz w:val="20"/>
                      <w:szCs w:val="20"/>
                    </w:rPr>
                  </w:pPr>
                  <w:r>
                    <w:rPr>
                      <w:rFonts w:eastAsia="Times New Roman" w:cs="Arial"/>
                      <w:b/>
                      <w:bCs/>
                      <w:color w:val="000000"/>
                      <w:sz w:val="20"/>
                      <w:szCs w:val="20"/>
                    </w:rPr>
                    <w:t>T</w:t>
                  </w:r>
                  <w:r w:rsidRPr="001F5088">
                    <w:rPr>
                      <w:rFonts w:eastAsia="Times New Roman" w:cs="Arial"/>
                      <w:b/>
                      <w:bCs/>
                      <w:color w:val="000000"/>
                      <w:sz w:val="20"/>
                      <w:szCs w:val="20"/>
                    </w:rPr>
                    <w:t>EGA/</w:t>
                  </w:r>
                  <w:r>
                    <w:rPr>
                      <w:rFonts w:eastAsia="Times New Roman" w:cs="Arial"/>
                      <w:b/>
                      <w:bCs/>
                      <w:color w:val="000000"/>
                      <w:sz w:val="20"/>
                      <w:szCs w:val="20"/>
                    </w:rPr>
                    <w:t>CARC</w:t>
                  </w:r>
                </w:p>
              </w:tc>
            </w:tr>
            <w:tr w:rsidR="00BA0F0F" w:rsidRPr="008275EB" w14:paraId="2F69D22E" w14:textId="77777777" w:rsidTr="003D7914">
              <w:trPr>
                <w:trHeight w:val="26"/>
                <w:jc w:val="center"/>
              </w:trPr>
              <w:tc>
                <w:tcPr>
                  <w:tcW w:w="1016" w:type="dxa"/>
                  <w:tcBorders>
                    <w:bottom w:val="single" w:sz="4" w:space="0" w:color="auto"/>
                  </w:tcBorders>
                  <w:shd w:val="clear" w:color="auto" w:fill="D9D9D9" w:themeFill="background1" w:themeFillShade="D9"/>
                  <w:noWrap/>
                  <w:vAlign w:val="center"/>
                  <w:hideMark/>
                </w:tcPr>
                <w:p w14:paraId="6C75C17B" w14:textId="77777777" w:rsidR="00BA0F0F" w:rsidRPr="001F5088" w:rsidRDefault="00BA0F0F" w:rsidP="00BA0F0F">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TP</w:t>
                  </w:r>
                  <w:r w:rsidRPr="008275EB">
                    <w:rPr>
                      <w:rFonts w:eastAsia="Times New Roman" w:cs="Arial"/>
                      <w:color w:val="000000"/>
                      <w:sz w:val="20"/>
                      <w:szCs w:val="20"/>
                    </w:rPr>
                    <w:t xml:space="preserve">: </w:t>
                  </w:r>
                  <w:r>
                    <w:rPr>
                      <w:rFonts w:eastAsia="Times New Roman" w:cs="Arial"/>
                      <w:color w:val="000000"/>
                      <w:sz w:val="20"/>
                      <w:szCs w:val="20"/>
                    </w:rPr>
                    <w:t>8</w:t>
                  </w:r>
                </w:p>
              </w:tc>
              <w:tc>
                <w:tcPr>
                  <w:tcW w:w="720" w:type="dxa"/>
                  <w:tcBorders>
                    <w:bottom w:val="single" w:sz="4" w:space="0" w:color="auto"/>
                  </w:tcBorders>
                  <w:shd w:val="clear" w:color="auto" w:fill="D9D9D9" w:themeFill="background1" w:themeFillShade="D9"/>
                  <w:noWrap/>
                  <w:vAlign w:val="center"/>
                  <w:hideMark/>
                </w:tcPr>
                <w:p w14:paraId="7C8C74CE" w14:textId="77777777" w:rsidR="00BA0F0F" w:rsidRPr="001F5088" w:rsidRDefault="00BA0F0F" w:rsidP="00BA0F0F">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FP</w:t>
                  </w:r>
                  <w:r w:rsidRPr="008275EB">
                    <w:rPr>
                      <w:rFonts w:eastAsia="Times New Roman" w:cs="Arial"/>
                      <w:color w:val="000000"/>
                      <w:sz w:val="20"/>
                      <w:szCs w:val="20"/>
                    </w:rPr>
                    <w:t xml:space="preserve">: </w:t>
                  </w:r>
                  <w:r>
                    <w:rPr>
                      <w:rFonts w:eastAsia="Times New Roman" w:cs="Arial"/>
                      <w:color w:val="000000"/>
                      <w:sz w:val="20"/>
                      <w:szCs w:val="20"/>
                    </w:rPr>
                    <w:t>4</w:t>
                  </w:r>
                </w:p>
              </w:tc>
              <w:tc>
                <w:tcPr>
                  <w:tcW w:w="810" w:type="dxa"/>
                  <w:tcBorders>
                    <w:bottom w:val="single" w:sz="4" w:space="0" w:color="auto"/>
                  </w:tcBorders>
                  <w:shd w:val="clear" w:color="auto" w:fill="auto"/>
                  <w:noWrap/>
                  <w:vAlign w:val="center"/>
                  <w:hideMark/>
                </w:tcPr>
                <w:p w14:paraId="3369FD0C" w14:textId="77777777" w:rsidR="00BA0F0F" w:rsidRPr="001F5088" w:rsidRDefault="00BA0F0F" w:rsidP="00BA0F0F">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TP</w:t>
                  </w:r>
                  <w:r w:rsidRPr="008275EB">
                    <w:rPr>
                      <w:rFonts w:eastAsia="Times New Roman" w:cs="Arial"/>
                      <w:color w:val="000000"/>
                      <w:sz w:val="20"/>
                      <w:szCs w:val="20"/>
                    </w:rPr>
                    <w:t xml:space="preserve">: </w:t>
                  </w:r>
                  <w:r>
                    <w:rPr>
                      <w:rFonts w:eastAsia="Times New Roman" w:cs="Arial"/>
                      <w:color w:val="000000"/>
                      <w:sz w:val="20"/>
                      <w:szCs w:val="20"/>
                    </w:rPr>
                    <w:t>8</w:t>
                  </w:r>
                </w:p>
              </w:tc>
              <w:tc>
                <w:tcPr>
                  <w:tcW w:w="720" w:type="dxa"/>
                  <w:tcBorders>
                    <w:bottom w:val="single" w:sz="4" w:space="0" w:color="auto"/>
                  </w:tcBorders>
                  <w:shd w:val="clear" w:color="auto" w:fill="auto"/>
                  <w:noWrap/>
                  <w:vAlign w:val="center"/>
                  <w:hideMark/>
                </w:tcPr>
                <w:p w14:paraId="041D72BB" w14:textId="77777777" w:rsidR="00BA0F0F" w:rsidRPr="001F5088" w:rsidRDefault="00BA0F0F" w:rsidP="00BA0F0F">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FP</w:t>
                  </w:r>
                  <w:r w:rsidRPr="008275EB">
                    <w:rPr>
                      <w:rFonts w:eastAsia="Times New Roman" w:cs="Arial"/>
                      <w:color w:val="000000"/>
                      <w:sz w:val="20"/>
                      <w:szCs w:val="20"/>
                    </w:rPr>
                    <w:t xml:space="preserve">: </w:t>
                  </w:r>
                  <w:r>
                    <w:rPr>
                      <w:rFonts w:eastAsia="Times New Roman" w:cs="Arial"/>
                      <w:color w:val="000000"/>
                      <w:sz w:val="20"/>
                      <w:szCs w:val="20"/>
                    </w:rPr>
                    <w:t>3</w:t>
                  </w:r>
                </w:p>
              </w:tc>
              <w:tc>
                <w:tcPr>
                  <w:tcW w:w="810" w:type="dxa"/>
                  <w:tcBorders>
                    <w:bottom w:val="single" w:sz="4" w:space="0" w:color="auto"/>
                  </w:tcBorders>
                  <w:shd w:val="clear" w:color="auto" w:fill="D9D9D9" w:themeFill="background1" w:themeFillShade="D9"/>
                  <w:noWrap/>
                  <w:vAlign w:val="center"/>
                  <w:hideMark/>
                </w:tcPr>
                <w:p w14:paraId="78C71A57" w14:textId="77777777" w:rsidR="00BA0F0F" w:rsidRPr="001F5088" w:rsidRDefault="00BA0F0F" w:rsidP="00BA0F0F">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TP</w:t>
                  </w:r>
                  <w:r w:rsidRPr="008275EB">
                    <w:rPr>
                      <w:rFonts w:eastAsia="Times New Roman" w:cs="Arial"/>
                      <w:color w:val="000000"/>
                      <w:sz w:val="20"/>
                      <w:szCs w:val="20"/>
                    </w:rPr>
                    <w:t xml:space="preserve">: </w:t>
                  </w:r>
                  <w:r>
                    <w:rPr>
                      <w:rFonts w:eastAsia="Times New Roman" w:cs="Arial"/>
                      <w:color w:val="000000"/>
                      <w:sz w:val="20"/>
                      <w:szCs w:val="20"/>
                    </w:rPr>
                    <w:t>15</w:t>
                  </w:r>
                </w:p>
              </w:tc>
              <w:tc>
                <w:tcPr>
                  <w:tcW w:w="810" w:type="dxa"/>
                  <w:tcBorders>
                    <w:bottom w:val="single" w:sz="4" w:space="0" w:color="auto"/>
                  </w:tcBorders>
                  <w:shd w:val="clear" w:color="auto" w:fill="D9D9D9" w:themeFill="background1" w:themeFillShade="D9"/>
                  <w:noWrap/>
                  <w:vAlign w:val="center"/>
                  <w:hideMark/>
                </w:tcPr>
                <w:p w14:paraId="094A7478" w14:textId="77777777" w:rsidR="00BA0F0F" w:rsidRPr="001F5088" w:rsidRDefault="00BA0F0F" w:rsidP="00BA0F0F">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FP</w:t>
                  </w:r>
                  <w:r w:rsidRPr="008275EB">
                    <w:rPr>
                      <w:rFonts w:eastAsia="Times New Roman" w:cs="Arial"/>
                      <w:color w:val="000000"/>
                      <w:sz w:val="20"/>
                      <w:szCs w:val="20"/>
                    </w:rPr>
                    <w:t xml:space="preserve">: </w:t>
                  </w:r>
                  <w:r>
                    <w:rPr>
                      <w:rFonts w:eastAsia="Times New Roman" w:cs="Arial"/>
                      <w:color w:val="000000"/>
                      <w:sz w:val="20"/>
                      <w:szCs w:val="20"/>
                    </w:rPr>
                    <w:t>8</w:t>
                  </w:r>
                </w:p>
              </w:tc>
              <w:tc>
                <w:tcPr>
                  <w:tcW w:w="900" w:type="dxa"/>
                  <w:tcBorders>
                    <w:bottom w:val="single" w:sz="4" w:space="0" w:color="auto"/>
                  </w:tcBorders>
                  <w:shd w:val="clear" w:color="auto" w:fill="auto"/>
                  <w:noWrap/>
                  <w:vAlign w:val="center"/>
                  <w:hideMark/>
                </w:tcPr>
                <w:p w14:paraId="0862D2A0" w14:textId="77777777" w:rsidR="00BA0F0F" w:rsidRPr="001F5088" w:rsidRDefault="00BA0F0F" w:rsidP="00BA0F0F">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TP</w:t>
                  </w:r>
                  <w:r w:rsidRPr="008275EB">
                    <w:rPr>
                      <w:rFonts w:eastAsia="Times New Roman" w:cs="Arial"/>
                      <w:color w:val="000000"/>
                      <w:sz w:val="20"/>
                      <w:szCs w:val="20"/>
                    </w:rPr>
                    <w:t xml:space="preserve">: </w:t>
                  </w:r>
                  <w:r>
                    <w:rPr>
                      <w:rFonts w:eastAsia="Times New Roman" w:cs="Arial"/>
                      <w:color w:val="000000"/>
                      <w:sz w:val="20"/>
                      <w:szCs w:val="20"/>
                    </w:rPr>
                    <w:t>11</w:t>
                  </w:r>
                </w:p>
              </w:tc>
              <w:tc>
                <w:tcPr>
                  <w:tcW w:w="720" w:type="dxa"/>
                  <w:tcBorders>
                    <w:bottom w:val="single" w:sz="4" w:space="0" w:color="auto"/>
                  </w:tcBorders>
                  <w:shd w:val="clear" w:color="auto" w:fill="auto"/>
                  <w:noWrap/>
                  <w:vAlign w:val="center"/>
                  <w:hideMark/>
                </w:tcPr>
                <w:p w14:paraId="5236EBFC" w14:textId="77777777" w:rsidR="00BA0F0F" w:rsidRPr="001F5088" w:rsidRDefault="00BA0F0F" w:rsidP="00BA0F0F">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FP</w:t>
                  </w:r>
                  <w:r w:rsidRPr="008275EB">
                    <w:rPr>
                      <w:rFonts w:eastAsia="Times New Roman" w:cs="Arial"/>
                      <w:color w:val="000000"/>
                      <w:sz w:val="20"/>
                      <w:szCs w:val="20"/>
                    </w:rPr>
                    <w:t xml:space="preserve">: </w:t>
                  </w:r>
                  <w:r>
                    <w:rPr>
                      <w:rFonts w:eastAsia="Times New Roman" w:cs="Arial"/>
                      <w:color w:val="000000"/>
                      <w:sz w:val="20"/>
                      <w:szCs w:val="20"/>
                    </w:rPr>
                    <w:t>0</w:t>
                  </w:r>
                </w:p>
              </w:tc>
              <w:tc>
                <w:tcPr>
                  <w:tcW w:w="901" w:type="dxa"/>
                  <w:tcBorders>
                    <w:bottom w:val="single" w:sz="4" w:space="0" w:color="auto"/>
                  </w:tcBorders>
                  <w:shd w:val="clear" w:color="auto" w:fill="D9D9D9" w:themeFill="background1" w:themeFillShade="D9"/>
                  <w:noWrap/>
                  <w:vAlign w:val="center"/>
                  <w:hideMark/>
                </w:tcPr>
                <w:p w14:paraId="200814AA" w14:textId="77777777" w:rsidR="00BA0F0F" w:rsidRPr="001F5088" w:rsidRDefault="00BA0F0F" w:rsidP="00BA0F0F">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TP</w:t>
                  </w:r>
                  <w:r w:rsidRPr="008275EB">
                    <w:rPr>
                      <w:rFonts w:eastAsia="Times New Roman" w:cs="Arial"/>
                      <w:color w:val="000000"/>
                      <w:sz w:val="20"/>
                      <w:szCs w:val="20"/>
                    </w:rPr>
                    <w:t xml:space="preserve">: </w:t>
                  </w:r>
                  <w:r>
                    <w:rPr>
                      <w:rFonts w:eastAsia="Times New Roman" w:cs="Arial"/>
                      <w:color w:val="000000"/>
                      <w:sz w:val="20"/>
                      <w:szCs w:val="20"/>
                    </w:rPr>
                    <w:t>17</w:t>
                  </w:r>
                </w:p>
              </w:tc>
              <w:tc>
                <w:tcPr>
                  <w:tcW w:w="912" w:type="dxa"/>
                  <w:tcBorders>
                    <w:bottom w:val="single" w:sz="4" w:space="0" w:color="auto"/>
                  </w:tcBorders>
                  <w:shd w:val="clear" w:color="auto" w:fill="D9D9D9" w:themeFill="background1" w:themeFillShade="D9"/>
                  <w:noWrap/>
                  <w:vAlign w:val="center"/>
                  <w:hideMark/>
                </w:tcPr>
                <w:p w14:paraId="710D89BC" w14:textId="77777777" w:rsidR="00BA0F0F" w:rsidRPr="001F5088" w:rsidRDefault="00BA0F0F" w:rsidP="00BA0F0F">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FP</w:t>
                  </w:r>
                  <w:r w:rsidRPr="008275EB">
                    <w:rPr>
                      <w:rFonts w:eastAsia="Times New Roman" w:cs="Arial"/>
                      <w:color w:val="000000"/>
                      <w:sz w:val="20"/>
                      <w:szCs w:val="20"/>
                    </w:rPr>
                    <w:t xml:space="preserve">: </w:t>
                  </w:r>
                  <w:r>
                    <w:rPr>
                      <w:rFonts w:eastAsia="Times New Roman" w:cs="Arial"/>
                      <w:color w:val="000000"/>
                      <w:sz w:val="20"/>
                      <w:szCs w:val="20"/>
                    </w:rPr>
                    <w:t>3</w:t>
                  </w:r>
                </w:p>
              </w:tc>
            </w:tr>
            <w:tr w:rsidR="00BA0F0F" w:rsidRPr="008275EB" w14:paraId="080B4D3E" w14:textId="77777777" w:rsidTr="003D7914">
              <w:trPr>
                <w:trHeight w:val="26"/>
                <w:jc w:val="center"/>
              </w:trPr>
              <w:tc>
                <w:tcPr>
                  <w:tcW w:w="1016" w:type="dxa"/>
                  <w:tcBorders>
                    <w:top w:val="single" w:sz="4" w:space="0" w:color="auto"/>
                    <w:bottom w:val="single" w:sz="4" w:space="0" w:color="auto"/>
                  </w:tcBorders>
                  <w:shd w:val="clear" w:color="auto" w:fill="D9D9D9" w:themeFill="background1" w:themeFillShade="D9"/>
                  <w:noWrap/>
                  <w:vAlign w:val="center"/>
                  <w:hideMark/>
                </w:tcPr>
                <w:p w14:paraId="09B1034F" w14:textId="77777777" w:rsidR="00BA0F0F" w:rsidRPr="001F5088" w:rsidRDefault="00BA0F0F" w:rsidP="00BA0F0F">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FN</w:t>
                  </w:r>
                  <w:r w:rsidRPr="008275EB">
                    <w:rPr>
                      <w:rFonts w:eastAsia="Times New Roman" w:cs="Arial"/>
                      <w:color w:val="000000"/>
                      <w:sz w:val="20"/>
                      <w:szCs w:val="20"/>
                    </w:rPr>
                    <w:t xml:space="preserve">: </w:t>
                  </w:r>
                  <w:r>
                    <w:rPr>
                      <w:rFonts w:eastAsia="Times New Roman" w:cs="Arial"/>
                      <w:color w:val="000000"/>
                      <w:sz w:val="20"/>
                      <w:szCs w:val="20"/>
                    </w:rPr>
                    <w:t>4</w:t>
                  </w:r>
                </w:p>
              </w:tc>
              <w:tc>
                <w:tcPr>
                  <w:tcW w:w="720" w:type="dxa"/>
                  <w:tcBorders>
                    <w:top w:val="single" w:sz="4" w:space="0" w:color="auto"/>
                    <w:bottom w:val="single" w:sz="4" w:space="0" w:color="auto"/>
                  </w:tcBorders>
                  <w:shd w:val="clear" w:color="auto" w:fill="D9D9D9" w:themeFill="background1" w:themeFillShade="D9"/>
                  <w:noWrap/>
                  <w:vAlign w:val="center"/>
                  <w:hideMark/>
                </w:tcPr>
                <w:p w14:paraId="66D8A3F2" w14:textId="77777777" w:rsidR="00BA0F0F" w:rsidRPr="001F5088" w:rsidRDefault="00BA0F0F" w:rsidP="00BA0F0F">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TN</w:t>
                  </w:r>
                  <w:r w:rsidRPr="008275EB">
                    <w:rPr>
                      <w:rFonts w:eastAsia="Times New Roman" w:cs="Arial"/>
                      <w:color w:val="000000"/>
                      <w:sz w:val="20"/>
                      <w:szCs w:val="20"/>
                    </w:rPr>
                    <w:t xml:space="preserve">: </w:t>
                  </w:r>
                  <w:r>
                    <w:rPr>
                      <w:rFonts w:eastAsia="Times New Roman" w:cs="Arial"/>
                      <w:color w:val="000000"/>
                      <w:sz w:val="20"/>
                      <w:szCs w:val="20"/>
                    </w:rPr>
                    <w:t>5</w:t>
                  </w:r>
                </w:p>
              </w:tc>
              <w:tc>
                <w:tcPr>
                  <w:tcW w:w="810" w:type="dxa"/>
                  <w:tcBorders>
                    <w:top w:val="single" w:sz="4" w:space="0" w:color="auto"/>
                    <w:bottom w:val="single" w:sz="4" w:space="0" w:color="auto"/>
                  </w:tcBorders>
                  <w:shd w:val="clear" w:color="auto" w:fill="auto"/>
                  <w:noWrap/>
                  <w:vAlign w:val="center"/>
                  <w:hideMark/>
                </w:tcPr>
                <w:p w14:paraId="2016683D" w14:textId="77777777" w:rsidR="00BA0F0F" w:rsidRPr="001F5088" w:rsidRDefault="00BA0F0F" w:rsidP="00BA0F0F">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FN</w:t>
                  </w:r>
                  <w:r w:rsidRPr="008275EB">
                    <w:rPr>
                      <w:rFonts w:eastAsia="Times New Roman" w:cs="Arial"/>
                      <w:color w:val="000000"/>
                      <w:sz w:val="20"/>
                      <w:szCs w:val="20"/>
                    </w:rPr>
                    <w:t xml:space="preserve">: </w:t>
                  </w:r>
                  <w:r>
                    <w:rPr>
                      <w:rFonts w:eastAsia="Times New Roman" w:cs="Arial"/>
                      <w:color w:val="000000"/>
                      <w:sz w:val="20"/>
                      <w:szCs w:val="20"/>
                    </w:rPr>
                    <w:t>2</w:t>
                  </w:r>
                </w:p>
              </w:tc>
              <w:tc>
                <w:tcPr>
                  <w:tcW w:w="720" w:type="dxa"/>
                  <w:tcBorders>
                    <w:top w:val="single" w:sz="4" w:space="0" w:color="auto"/>
                    <w:bottom w:val="single" w:sz="4" w:space="0" w:color="auto"/>
                  </w:tcBorders>
                  <w:shd w:val="clear" w:color="auto" w:fill="auto"/>
                  <w:noWrap/>
                  <w:vAlign w:val="center"/>
                  <w:hideMark/>
                </w:tcPr>
                <w:p w14:paraId="16A9A02A" w14:textId="77777777" w:rsidR="00BA0F0F" w:rsidRPr="001F5088" w:rsidRDefault="00BA0F0F" w:rsidP="00BA0F0F">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TN</w:t>
                  </w:r>
                  <w:r w:rsidRPr="008275EB">
                    <w:rPr>
                      <w:rFonts w:eastAsia="Times New Roman" w:cs="Arial"/>
                      <w:color w:val="000000"/>
                      <w:sz w:val="20"/>
                      <w:szCs w:val="20"/>
                    </w:rPr>
                    <w:t xml:space="preserve">: </w:t>
                  </w:r>
                  <w:r>
                    <w:rPr>
                      <w:rFonts w:eastAsia="Times New Roman" w:cs="Arial"/>
                      <w:color w:val="000000"/>
                      <w:sz w:val="20"/>
                      <w:szCs w:val="20"/>
                    </w:rPr>
                    <w:t>5</w:t>
                  </w:r>
                </w:p>
              </w:tc>
              <w:tc>
                <w:tcPr>
                  <w:tcW w:w="810" w:type="dxa"/>
                  <w:tcBorders>
                    <w:top w:val="single" w:sz="4" w:space="0" w:color="auto"/>
                    <w:bottom w:val="single" w:sz="4" w:space="0" w:color="auto"/>
                  </w:tcBorders>
                  <w:shd w:val="clear" w:color="auto" w:fill="D9D9D9" w:themeFill="background1" w:themeFillShade="D9"/>
                  <w:noWrap/>
                  <w:vAlign w:val="center"/>
                  <w:hideMark/>
                </w:tcPr>
                <w:p w14:paraId="047220FC" w14:textId="77777777" w:rsidR="00BA0F0F" w:rsidRPr="001F5088" w:rsidRDefault="00BA0F0F" w:rsidP="00BA0F0F">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FN</w:t>
                  </w:r>
                  <w:r w:rsidRPr="008275EB">
                    <w:rPr>
                      <w:rFonts w:eastAsia="Times New Roman" w:cs="Arial"/>
                      <w:color w:val="000000"/>
                      <w:sz w:val="20"/>
                      <w:szCs w:val="20"/>
                    </w:rPr>
                    <w:t xml:space="preserve">: </w:t>
                  </w:r>
                  <w:r>
                    <w:rPr>
                      <w:rFonts w:eastAsia="Times New Roman" w:cs="Arial"/>
                      <w:color w:val="000000"/>
                      <w:sz w:val="20"/>
                      <w:szCs w:val="20"/>
                    </w:rPr>
                    <w:t>8</w:t>
                  </w:r>
                </w:p>
              </w:tc>
              <w:tc>
                <w:tcPr>
                  <w:tcW w:w="810" w:type="dxa"/>
                  <w:tcBorders>
                    <w:top w:val="single" w:sz="4" w:space="0" w:color="auto"/>
                    <w:bottom w:val="single" w:sz="4" w:space="0" w:color="auto"/>
                  </w:tcBorders>
                  <w:shd w:val="clear" w:color="auto" w:fill="D9D9D9" w:themeFill="background1" w:themeFillShade="D9"/>
                  <w:noWrap/>
                  <w:vAlign w:val="center"/>
                  <w:hideMark/>
                </w:tcPr>
                <w:p w14:paraId="29682017" w14:textId="77777777" w:rsidR="00BA0F0F" w:rsidRPr="001F5088" w:rsidRDefault="00BA0F0F" w:rsidP="00BA0F0F">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TN</w:t>
                  </w:r>
                  <w:r w:rsidRPr="008275EB">
                    <w:rPr>
                      <w:rFonts w:eastAsia="Times New Roman" w:cs="Arial"/>
                      <w:color w:val="000000"/>
                      <w:sz w:val="20"/>
                      <w:szCs w:val="20"/>
                    </w:rPr>
                    <w:t xml:space="preserve">: </w:t>
                  </w:r>
                  <w:r>
                    <w:rPr>
                      <w:rFonts w:eastAsia="Times New Roman" w:cs="Arial"/>
                      <w:color w:val="000000"/>
                      <w:sz w:val="20"/>
                      <w:szCs w:val="20"/>
                    </w:rPr>
                    <w:t>18</w:t>
                  </w:r>
                </w:p>
              </w:tc>
              <w:tc>
                <w:tcPr>
                  <w:tcW w:w="900" w:type="dxa"/>
                  <w:tcBorders>
                    <w:top w:val="single" w:sz="4" w:space="0" w:color="auto"/>
                    <w:bottom w:val="single" w:sz="4" w:space="0" w:color="auto"/>
                  </w:tcBorders>
                  <w:shd w:val="clear" w:color="auto" w:fill="auto"/>
                  <w:noWrap/>
                  <w:vAlign w:val="center"/>
                  <w:hideMark/>
                </w:tcPr>
                <w:p w14:paraId="1AA3E335" w14:textId="77777777" w:rsidR="00BA0F0F" w:rsidRPr="001F5088" w:rsidRDefault="00BA0F0F" w:rsidP="00BA0F0F">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FN</w:t>
                  </w:r>
                  <w:r w:rsidRPr="008275EB">
                    <w:rPr>
                      <w:rFonts w:eastAsia="Times New Roman" w:cs="Arial"/>
                      <w:color w:val="000000"/>
                      <w:sz w:val="20"/>
                      <w:szCs w:val="20"/>
                    </w:rPr>
                    <w:t xml:space="preserve">: </w:t>
                  </w:r>
                  <w:r>
                    <w:rPr>
                      <w:rFonts w:eastAsia="Times New Roman" w:cs="Arial"/>
                      <w:color w:val="000000"/>
                      <w:sz w:val="20"/>
                      <w:szCs w:val="20"/>
                    </w:rPr>
                    <w:t>3</w:t>
                  </w:r>
                </w:p>
              </w:tc>
              <w:tc>
                <w:tcPr>
                  <w:tcW w:w="720" w:type="dxa"/>
                  <w:tcBorders>
                    <w:top w:val="single" w:sz="4" w:space="0" w:color="auto"/>
                    <w:bottom w:val="single" w:sz="4" w:space="0" w:color="auto"/>
                  </w:tcBorders>
                  <w:shd w:val="clear" w:color="auto" w:fill="auto"/>
                  <w:noWrap/>
                  <w:vAlign w:val="center"/>
                  <w:hideMark/>
                </w:tcPr>
                <w:p w14:paraId="1C501B5C" w14:textId="77777777" w:rsidR="00BA0F0F" w:rsidRPr="001F5088" w:rsidRDefault="00BA0F0F" w:rsidP="00BA0F0F">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TN</w:t>
                  </w:r>
                  <w:r w:rsidRPr="008275EB">
                    <w:rPr>
                      <w:rFonts w:eastAsia="Times New Roman" w:cs="Arial"/>
                      <w:color w:val="000000"/>
                      <w:sz w:val="20"/>
                      <w:szCs w:val="20"/>
                    </w:rPr>
                    <w:t xml:space="preserve">: </w:t>
                  </w:r>
                  <w:r>
                    <w:rPr>
                      <w:rFonts w:eastAsia="Times New Roman" w:cs="Arial"/>
                      <w:color w:val="000000"/>
                      <w:sz w:val="20"/>
                      <w:szCs w:val="20"/>
                    </w:rPr>
                    <w:t>6</w:t>
                  </w:r>
                </w:p>
              </w:tc>
              <w:tc>
                <w:tcPr>
                  <w:tcW w:w="901" w:type="dxa"/>
                  <w:tcBorders>
                    <w:top w:val="single" w:sz="4" w:space="0" w:color="auto"/>
                    <w:bottom w:val="single" w:sz="4" w:space="0" w:color="auto"/>
                  </w:tcBorders>
                  <w:shd w:val="clear" w:color="auto" w:fill="D9D9D9" w:themeFill="background1" w:themeFillShade="D9"/>
                  <w:noWrap/>
                  <w:vAlign w:val="center"/>
                  <w:hideMark/>
                </w:tcPr>
                <w:p w14:paraId="48364740" w14:textId="77777777" w:rsidR="00BA0F0F" w:rsidRPr="001F5088" w:rsidRDefault="00BA0F0F" w:rsidP="00BA0F0F">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FN</w:t>
                  </w:r>
                  <w:r w:rsidRPr="008275EB">
                    <w:rPr>
                      <w:rFonts w:eastAsia="Times New Roman" w:cs="Arial"/>
                      <w:color w:val="000000"/>
                      <w:sz w:val="20"/>
                      <w:szCs w:val="20"/>
                    </w:rPr>
                    <w:t>: 1</w:t>
                  </w:r>
                  <w:r>
                    <w:rPr>
                      <w:rFonts w:eastAsia="Times New Roman" w:cs="Arial"/>
                      <w:color w:val="000000"/>
                      <w:sz w:val="20"/>
                      <w:szCs w:val="20"/>
                    </w:rPr>
                    <w:t>3</w:t>
                  </w:r>
                </w:p>
              </w:tc>
              <w:tc>
                <w:tcPr>
                  <w:tcW w:w="912" w:type="dxa"/>
                  <w:tcBorders>
                    <w:top w:val="single" w:sz="4" w:space="0" w:color="auto"/>
                    <w:bottom w:val="single" w:sz="4" w:space="0" w:color="auto"/>
                  </w:tcBorders>
                  <w:shd w:val="clear" w:color="auto" w:fill="D9D9D9" w:themeFill="background1" w:themeFillShade="D9"/>
                  <w:noWrap/>
                  <w:vAlign w:val="center"/>
                  <w:hideMark/>
                </w:tcPr>
                <w:p w14:paraId="6558503E" w14:textId="77777777" w:rsidR="00BA0F0F" w:rsidRPr="001F5088" w:rsidRDefault="00BA0F0F" w:rsidP="00BA0F0F">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TN</w:t>
                  </w:r>
                  <w:r w:rsidRPr="008275EB">
                    <w:rPr>
                      <w:rFonts w:eastAsia="Times New Roman" w:cs="Arial"/>
                      <w:color w:val="000000"/>
                      <w:sz w:val="20"/>
                      <w:szCs w:val="20"/>
                    </w:rPr>
                    <w:t xml:space="preserve">: </w:t>
                  </w:r>
                  <w:r>
                    <w:rPr>
                      <w:rFonts w:eastAsia="Times New Roman" w:cs="Arial"/>
                      <w:color w:val="000000"/>
                      <w:sz w:val="20"/>
                      <w:szCs w:val="20"/>
                    </w:rPr>
                    <w:t>5</w:t>
                  </w:r>
                </w:p>
              </w:tc>
            </w:tr>
          </w:tbl>
          <w:p w14:paraId="11710296" w14:textId="77777777" w:rsidR="00556AB5" w:rsidRPr="006810A5" w:rsidRDefault="00556AB5" w:rsidP="006810A5">
            <w:pPr>
              <w:widowControl/>
              <w:spacing w:after="160" w:line="259" w:lineRule="auto"/>
              <w:ind w:firstLine="0"/>
              <w:rPr>
                <w:rFonts w:eastAsiaTheme="majorEastAsia" w:cstheme="majorBidi"/>
                <w:b/>
                <w:smallCaps/>
                <w:sz w:val="28"/>
                <w:szCs w:val="32"/>
                <w:lang w:eastAsia="zh-CN"/>
              </w:rPr>
            </w:pPr>
          </w:p>
        </w:tc>
      </w:tr>
    </w:tbl>
    <w:p w14:paraId="400668CF" w14:textId="2112F17A" w:rsidR="0021430C" w:rsidRPr="00C1049A" w:rsidRDefault="0021430C" w:rsidP="0021430C">
      <w:pPr>
        <w:pStyle w:val="Caption"/>
        <w:rPr>
          <w:b w:val="0"/>
          <w:bCs/>
          <w:szCs w:val="20"/>
        </w:rPr>
      </w:pPr>
      <w:r w:rsidRPr="00375268">
        <w:rPr>
          <w:b w:val="0"/>
          <w:bCs/>
        </w:rPr>
        <w:t xml:space="preserve">Figure </w:t>
      </w:r>
      <w:r w:rsidRPr="00375268">
        <w:rPr>
          <w:b w:val="0"/>
          <w:bCs/>
        </w:rPr>
        <w:fldChar w:fldCharType="begin"/>
      </w:r>
      <w:r w:rsidRPr="00375268">
        <w:rPr>
          <w:b w:val="0"/>
          <w:bCs/>
        </w:rPr>
        <w:instrText xml:space="preserve"> SEQ Figure \* ARABIC </w:instrText>
      </w:r>
      <w:r w:rsidRPr="00375268">
        <w:rPr>
          <w:b w:val="0"/>
          <w:bCs/>
        </w:rPr>
        <w:fldChar w:fldCharType="separate"/>
      </w:r>
      <w:r w:rsidR="00B51674">
        <w:rPr>
          <w:b w:val="0"/>
          <w:bCs/>
          <w:noProof/>
        </w:rPr>
        <w:t>6</w:t>
      </w:r>
      <w:r w:rsidRPr="00375268">
        <w:rPr>
          <w:b w:val="0"/>
          <w:bCs/>
        </w:rPr>
        <w:fldChar w:fldCharType="end"/>
      </w:r>
      <w:r w:rsidRPr="00375268">
        <w:rPr>
          <w:b w:val="0"/>
          <w:bCs/>
          <w:szCs w:val="20"/>
        </w:rPr>
        <w:t>.</w:t>
      </w:r>
      <w:r w:rsidRPr="001077E6">
        <w:rPr>
          <w:rFonts w:cs="Arial"/>
          <w:szCs w:val="20"/>
        </w:rPr>
        <w:t xml:space="preserve"> </w:t>
      </w:r>
      <w:r w:rsidRPr="00C1049A">
        <w:rPr>
          <w:rFonts w:cs="Arial"/>
          <w:szCs w:val="20"/>
        </w:rPr>
        <w:t xml:space="preserve">Comparison of the outcomes in the </w:t>
      </w:r>
      <w:r w:rsidRPr="00C1049A">
        <w:rPr>
          <w:szCs w:val="20"/>
        </w:rPr>
        <w:t>Chicken (</w:t>
      </w:r>
      <w:r w:rsidRPr="00C1049A">
        <w:rPr>
          <w:rFonts w:cs="Arial"/>
          <w:szCs w:val="20"/>
        </w:rPr>
        <w:t xml:space="preserve">CEGA) (A) and Turkey (TEGA) (B) </w:t>
      </w:r>
      <w:r w:rsidRPr="00C1049A">
        <w:rPr>
          <w:szCs w:val="20"/>
        </w:rPr>
        <w:t>egg genotoxicity assays</w:t>
      </w:r>
      <w:r w:rsidRPr="00C1049A">
        <w:rPr>
          <w:rFonts w:cs="Arial"/>
          <w:szCs w:val="20"/>
        </w:rPr>
        <w:t xml:space="preserve"> with available in vivo data. </w:t>
      </w:r>
      <w:r w:rsidRPr="00C1049A">
        <w:rPr>
          <w:rFonts w:cs="Arial"/>
          <w:b w:val="0"/>
          <w:bCs/>
          <w:szCs w:val="20"/>
        </w:rPr>
        <w:t xml:space="preserve">Tables underneath the bar charts represent confusion matrices with numbers of chemicals that produced either positive or negative outcomes for each respective endpoint. </w:t>
      </w:r>
      <w:r w:rsidRPr="00C1049A">
        <w:rPr>
          <w:b w:val="0"/>
          <w:bCs/>
          <w:szCs w:val="20"/>
        </w:rPr>
        <w:t>Equivocal results were considered to be positive.</w:t>
      </w:r>
    </w:p>
    <w:p w14:paraId="52459700" w14:textId="2B09B48A" w:rsidR="0021430C" w:rsidRPr="00C1049A" w:rsidRDefault="0021430C" w:rsidP="0021430C">
      <w:pPr>
        <w:pStyle w:val="Caption"/>
        <w:rPr>
          <w:b w:val="0"/>
          <w:bCs/>
          <w:szCs w:val="20"/>
        </w:rPr>
      </w:pPr>
      <w:r w:rsidRPr="00C1049A">
        <w:rPr>
          <w:b w:val="0"/>
          <w:bCs/>
          <w:i/>
          <w:iCs w:val="0"/>
          <w:szCs w:val="20"/>
        </w:rPr>
        <w:t>Abbreviations</w:t>
      </w:r>
      <w:r w:rsidRPr="00C1049A">
        <w:rPr>
          <w:b w:val="0"/>
          <w:bCs/>
          <w:szCs w:val="20"/>
        </w:rPr>
        <w:t xml:space="preserve">: CA, chromosome aberration assay; CARC, carcinogenicity; FDR, false discovery rate; FN, false negative; FP, false positive; MN, micronucleus assay; NPV, negative predictive value;  PPV, positive predictive value; TGR,  transgenic rodent gene mutation assays; TN, true negative; TP, true positive; UDS, unscheduled DNA synthesis. </w:t>
      </w:r>
    </w:p>
    <w:p w14:paraId="4E1641E5" w14:textId="77777777" w:rsidR="00BF44EE" w:rsidRPr="00A91056" w:rsidRDefault="00BF44EE" w:rsidP="00BF44EE">
      <w:pPr>
        <w:pStyle w:val="Heading3"/>
      </w:pPr>
      <w:r w:rsidRPr="00A91056">
        <w:lastRenderedPageBreak/>
        <w:t>iii. Performance of NPL and Comet Assays</w:t>
      </w:r>
    </w:p>
    <w:p w14:paraId="46EAD43E" w14:textId="77777777" w:rsidR="00BF44EE" w:rsidRPr="00A91056" w:rsidRDefault="00BF44EE" w:rsidP="00BF44EE">
      <w:r w:rsidRPr="00A91056">
        <w:t>Thirty (30) compounds were positive in the NPL assay in CEGA and seventeen in TEGA. Most of these chemicals are capable of binding to DNA in vitro and in vivo (</w:t>
      </w:r>
      <w:r w:rsidRPr="00A91056">
        <w:rPr>
          <w:b/>
          <w:bCs/>
        </w:rPr>
        <w:t>Tables 1</w:t>
      </w:r>
      <w:r w:rsidRPr="00A91056">
        <w:t xml:space="preserve"> and</w:t>
      </w:r>
      <w:r w:rsidRPr="00A91056">
        <w:rPr>
          <w:b/>
          <w:bCs/>
        </w:rPr>
        <w:t xml:space="preserve"> 2</w:t>
      </w:r>
      <w:r w:rsidRPr="00A91056">
        <w:t xml:space="preserve">). In the comet assay, thirty-seven (37) were positive and six (6) equivocal in CEGA and eighteen (18) were positive and four (4) equivocal in TEGA. </w:t>
      </w:r>
    </w:p>
    <w:p w14:paraId="1EDE2B78" w14:textId="5E371D84" w:rsidR="005D15F7" w:rsidRDefault="00BF44EE" w:rsidP="00BF44EE">
      <w:r w:rsidRPr="00A91056">
        <w:t xml:space="preserve">The concordance analysis for outcomes in the NPL or comet assays with respective endpoints tested in other systems is provided in </w:t>
      </w:r>
      <w:r>
        <w:rPr>
          <w:b/>
          <w:bCs/>
        </w:rPr>
        <w:t>Figure 7</w:t>
      </w:r>
      <w:r w:rsidRPr="00A91056">
        <w:t xml:space="preserve">. The NPL assay in CEGA and TEGA strongly correlated with the ability of a chemical to form DNA adducts in vitro and/or in vivo. The specificity of the assay for DNA adduct detection was 100% in both </w:t>
      </w:r>
      <w:r w:rsidRPr="00A91056">
        <w:rPr>
          <w:i/>
          <w:iCs/>
        </w:rPr>
        <w:t xml:space="preserve">in </w:t>
      </w:r>
      <w:proofErr w:type="spellStart"/>
      <w:r w:rsidRPr="00A91056">
        <w:rPr>
          <w:i/>
          <w:iCs/>
        </w:rPr>
        <w:t>ovo</w:t>
      </w:r>
      <w:proofErr w:type="spellEnd"/>
      <w:r w:rsidRPr="00A91056">
        <w:t xml:space="preserve"> models, while sensitivity was 61% in CEGA and 45% in TEGA (</w:t>
      </w:r>
      <w:r>
        <w:rPr>
          <w:b/>
          <w:bCs/>
        </w:rPr>
        <w:t>Figure 7</w:t>
      </w:r>
      <w:r w:rsidRPr="00A91056">
        <w:t>).  For comet assay outcomes, CEGA sensitivity was 66% and 71% and specificity was 100% and 82% for in vitro and in vivo outcomes, respectively (</w:t>
      </w:r>
      <w:r>
        <w:rPr>
          <w:b/>
          <w:bCs/>
        </w:rPr>
        <w:t>Figure 7A</w:t>
      </w:r>
      <w:r w:rsidRPr="00A91056">
        <w:t>). The comet assay in TEGA exhibited similar pattern but lower sensitivity (42% for in vitro and 63% for in vivo comet assay) and specificity (40% for in vitro and 64% for in vivo comet assay) (</w:t>
      </w:r>
      <w:r>
        <w:rPr>
          <w:b/>
          <w:bCs/>
        </w:rPr>
        <w:t>Figure 7B</w:t>
      </w:r>
      <w:r w:rsidRPr="00A91056">
        <w:t>). Most accuracy values for NPL and comet assay outcomes in CEGA and TEGA exceeded 50%.</w:t>
      </w:r>
    </w:p>
    <w:p w14:paraId="03742E51" w14:textId="77777777" w:rsidR="005D15F7" w:rsidRDefault="005D15F7">
      <w:pPr>
        <w:widowControl/>
        <w:spacing w:after="160" w:line="259" w:lineRule="auto"/>
        <w:ind w:firstLine="0"/>
      </w:pPr>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FB07DB" w14:paraId="36B859B8" w14:textId="77777777" w:rsidTr="0061069C">
        <w:tc>
          <w:tcPr>
            <w:tcW w:w="9350" w:type="dxa"/>
          </w:tcPr>
          <w:p w14:paraId="45B4734E" w14:textId="717B43E7" w:rsidR="00FB07DB" w:rsidRPr="00502905" w:rsidRDefault="001A0130" w:rsidP="00502905">
            <w:pPr>
              <w:pStyle w:val="Heading3"/>
              <w:spacing w:before="0" w:line="276" w:lineRule="auto"/>
              <w:ind w:firstLine="0"/>
              <w:rPr>
                <w:rFonts w:cs="Arial"/>
                <w:i w:val="0"/>
                <w:iCs/>
                <w:szCs w:val="24"/>
              </w:rPr>
            </w:pPr>
            <w:r>
              <w:lastRenderedPageBreak/>
              <w:br w:type="page"/>
            </w:r>
            <w:r w:rsidR="0076082E" w:rsidRPr="00502905">
              <w:rPr>
                <w:i w:val="0"/>
                <w:iCs/>
              </w:rPr>
              <w:t>A</w:t>
            </w:r>
            <w:r w:rsidR="0076082E" w:rsidRPr="00502905">
              <w:rPr>
                <w:i w:val="0"/>
                <w:iCs/>
                <w:sz w:val="22"/>
                <w:szCs w:val="22"/>
              </w:rPr>
              <w:t xml:space="preserve">. CEGA vs in </w:t>
            </w:r>
            <w:r w:rsidR="0076082E" w:rsidRPr="00502905">
              <w:rPr>
                <w:i w:val="0"/>
                <w:iCs/>
                <w:sz w:val="22"/>
              </w:rPr>
              <w:t xml:space="preserve">vitro and </w:t>
            </w:r>
            <w:r w:rsidR="0076082E" w:rsidRPr="00502905">
              <w:rPr>
                <w:i w:val="0"/>
                <w:iCs/>
                <w:sz w:val="22"/>
                <w:szCs w:val="22"/>
              </w:rPr>
              <w:t xml:space="preserve">vivo </w:t>
            </w:r>
            <w:r w:rsidR="0076082E" w:rsidRPr="00502905">
              <w:rPr>
                <w:i w:val="0"/>
                <w:iCs/>
                <w:sz w:val="22"/>
              </w:rPr>
              <w:t>DNA damage endpoints</w:t>
            </w:r>
          </w:p>
        </w:tc>
      </w:tr>
      <w:tr w:rsidR="00FB07DB" w14:paraId="6D68A9BD" w14:textId="77777777" w:rsidTr="0061069C">
        <w:tc>
          <w:tcPr>
            <w:tcW w:w="9350" w:type="dxa"/>
          </w:tcPr>
          <w:p w14:paraId="5956AE46" w14:textId="49985EA2" w:rsidR="00FB07DB" w:rsidRDefault="00DD6BE2" w:rsidP="0061069C">
            <w:pPr>
              <w:pStyle w:val="NoSpacing"/>
              <w:rPr>
                <w:lang w:eastAsia="zh-CN"/>
              </w:rPr>
            </w:pPr>
            <w:r>
              <w:rPr>
                <w:noProof/>
                <w:lang w:eastAsia="zh-CN"/>
              </w:rPr>
              <w:drawing>
                <wp:inline distT="0" distB="0" distL="0" distR="0" wp14:anchorId="3A9CF646" wp14:editId="147311F9">
                  <wp:extent cx="5486400" cy="2566621"/>
                  <wp:effectExtent l="0" t="0" r="0" b="5715"/>
                  <wp:docPr id="6435192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486400" cy="2566621"/>
                          </a:xfrm>
                          <a:prstGeom prst="rect">
                            <a:avLst/>
                          </a:prstGeom>
                          <a:noFill/>
                        </pic:spPr>
                      </pic:pic>
                    </a:graphicData>
                  </a:graphic>
                </wp:inline>
              </w:drawing>
            </w:r>
          </w:p>
        </w:tc>
      </w:tr>
      <w:tr w:rsidR="00FB07DB" w14:paraId="5D3797A6" w14:textId="77777777" w:rsidTr="0061069C">
        <w:trPr>
          <w:trHeight w:val="944"/>
        </w:trPr>
        <w:tc>
          <w:tcPr>
            <w:tcW w:w="9350" w:type="dxa"/>
          </w:tcPr>
          <w:tbl>
            <w:tblPr>
              <w:tblW w:w="0" w:type="auto"/>
              <w:jc w:val="center"/>
              <w:tblBorders>
                <w:top w:val="single" w:sz="4" w:space="0" w:color="auto"/>
                <w:bottom w:val="single" w:sz="4" w:space="0" w:color="auto"/>
                <w:insideH w:val="single" w:sz="4" w:space="0" w:color="auto"/>
              </w:tblBorders>
              <w:tblLayout w:type="fixed"/>
              <w:tblCellMar>
                <w:left w:w="43" w:type="dxa"/>
                <w:right w:w="43" w:type="dxa"/>
              </w:tblCellMar>
              <w:tblLook w:val="04A0" w:firstRow="1" w:lastRow="0" w:firstColumn="1" w:lastColumn="0" w:noHBand="0" w:noVBand="1"/>
            </w:tblPr>
            <w:tblGrid>
              <w:gridCol w:w="1452"/>
              <w:gridCol w:w="1453"/>
              <w:gridCol w:w="1453"/>
              <w:gridCol w:w="1453"/>
              <w:gridCol w:w="1453"/>
              <w:gridCol w:w="1453"/>
            </w:tblGrid>
            <w:tr w:rsidR="00416870" w:rsidRPr="008275EB" w14:paraId="6F61DC43" w14:textId="77777777" w:rsidTr="003D7914">
              <w:trPr>
                <w:trHeight w:val="20"/>
                <w:jc w:val="center"/>
              </w:trPr>
              <w:tc>
                <w:tcPr>
                  <w:tcW w:w="2905" w:type="dxa"/>
                  <w:gridSpan w:val="2"/>
                  <w:shd w:val="clear" w:color="auto" w:fill="D9D9D9" w:themeFill="background1" w:themeFillShade="D9"/>
                  <w:noWrap/>
                  <w:vAlign w:val="center"/>
                  <w:hideMark/>
                </w:tcPr>
                <w:p w14:paraId="67EA3BE6" w14:textId="78257598" w:rsidR="00416870" w:rsidRPr="001F5088" w:rsidRDefault="00416870" w:rsidP="00416870">
                  <w:pPr>
                    <w:widowControl/>
                    <w:spacing w:line="240" w:lineRule="auto"/>
                    <w:ind w:firstLine="0"/>
                    <w:jc w:val="center"/>
                    <w:rPr>
                      <w:rFonts w:eastAsia="Times New Roman" w:cs="Arial"/>
                      <w:b/>
                      <w:bCs/>
                      <w:color w:val="000000"/>
                      <w:sz w:val="20"/>
                      <w:szCs w:val="20"/>
                    </w:rPr>
                  </w:pPr>
                  <w:r w:rsidRPr="001F5088">
                    <w:rPr>
                      <w:rFonts w:eastAsia="Times New Roman" w:cs="Arial"/>
                      <w:b/>
                      <w:bCs/>
                      <w:color w:val="000000"/>
                      <w:sz w:val="20"/>
                      <w:szCs w:val="20"/>
                    </w:rPr>
                    <w:t>CEGA</w:t>
                  </w:r>
                  <w:r w:rsidR="00386FFE">
                    <w:rPr>
                      <w:rFonts w:eastAsia="Times New Roman" w:cs="Arial"/>
                      <w:b/>
                      <w:bCs/>
                      <w:color w:val="000000"/>
                      <w:sz w:val="20"/>
                      <w:szCs w:val="20"/>
                    </w:rPr>
                    <w:t xml:space="preserve"> NPL</w:t>
                  </w:r>
                  <w:r w:rsidRPr="001F5088">
                    <w:rPr>
                      <w:rFonts w:eastAsia="Times New Roman" w:cs="Arial"/>
                      <w:b/>
                      <w:bCs/>
                      <w:color w:val="000000"/>
                      <w:sz w:val="20"/>
                      <w:szCs w:val="20"/>
                    </w:rPr>
                    <w:t>/</w:t>
                  </w:r>
                  <w:r w:rsidR="00386FFE">
                    <w:rPr>
                      <w:rFonts w:eastAsia="Times New Roman" w:cs="Arial"/>
                      <w:b/>
                      <w:bCs/>
                      <w:color w:val="000000"/>
                      <w:sz w:val="20"/>
                      <w:szCs w:val="20"/>
                    </w:rPr>
                    <w:t>DNA adducts</w:t>
                  </w:r>
                </w:p>
              </w:tc>
              <w:tc>
                <w:tcPr>
                  <w:tcW w:w="2906" w:type="dxa"/>
                  <w:gridSpan w:val="2"/>
                  <w:shd w:val="clear" w:color="auto" w:fill="auto"/>
                  <w:noWrap/>
                  <w:vAlign w:val="center"/>
                  <w:hideMark/>
                </w:tcPr>
                <w:p w14:paraId="2008CEA2" w14:textId="6F030294" w:rsidR="00416870" w:rsidRPr="001F5088" w:rsidRDefault="00386FFE" w:rsidP="00416870">
                  <w:pPr>
                    <w:widowControl/>
                    <w:spacing w:line="240" w:lineRule="auto"/>
                    <w:ind w:firstLine="0"/>
                    <w:jc w:val="center"/>
                    <w:rPr>
                      <w:rFonts w:eastAsia="Times New Roman" w:cs="Arial"/>
                      <w:b/>
                      <w:bCs/>
                      <w:color w:val="000000"/>
                      <w:sz w:val="20"/>
                      <w:szCs w:val="20"/>
                    </w:rPr>
                  </w:pPr>
                  <w:r w:rsidRPr="001F5088">
                    <w:rPr>
                      <w:rFonts w:eastAsia="Times New Roman" w:cs="Arial"/>
                      <w:b/>
                      <w:bCs/>
                      <w:color w:val="000000"/>
                      <w:sz w:val="20"/>
                      <w:szCs w:val="20"/>
                    </w:rPr>
                    <w:t>CEGA</w:t>
                  </w:r>
                  <w:r>
                    <w:rPr>
                      <w:rFonts w:eastAsia="Times New Roman" w:cs="Arial"/>
                      <w:b/>
                      <w:bCs/>
                      <w:color w:val="000000"/>
                      <w:sz w:val="20"/>
                      <w:szCs w:val="20"/>
                    </w:rPr>
                    <w:t xml:space="preserve"> comet </w:t>
                  </w:r>
                  <w:r w:rsidRPr="001F5088">
                    <w:rPr>
                      <w:rFonts w:eastAsia="Times New Roman" w:cs="Arial"/>
                      <w:b/>
                      <w:bCs/>
                      <w:color w:val="000000"/>
                      <w:sz w:val="20"/>
                      <w:szCs w:val="20"/>
                    </w:rPr>
                    <w:t>/</w:t>
                  </w:r>
                  <w:r>
                    <w:rPr>
                      <w:rFonts w:eastAsia="Times New Roman" w:cs="Arial"/>
                      <w:b/>
                      <w:bCs/>
                      <w:color w:val="000000"/>
                      <w:sz w:val="20"/>
                      <w:szCs w:val="20"/>
                    </w:rPr>
                    <w:t>In vitro comet</w:t>
                  </w:r>
                </w:p>
              </w:tc>
              <w:tc>
                <w:tcPr>
                  <w:tcW w:w="2906" w:type="dxa"/>
                  <w:gridSpan w:val="2"/>
                  <w:shd w:val="clear" w:color="auto" w:fill="D9D9D9" w:themeFill="background1" w:themeFillShade="D9"/>
                  <w:noWrap/>
                  <w:vAlign w:val="center"/>
                  <w:hideMark/>
                </w:tcPr>
                <w:p w14:paraId="0CEBDBCB" w14:textId="28B95F3C" w:rsidR="00416870" w:rsidRPr="001F5088" w:rsidRDefault="00416870" w:rsidP="00416870">
                  <w:pPr>
                    <w:widowControl/>
                    <w:spacing w:line="240" w:lineRule="auto"/>
                    <w:ind w:firstLine="0"/>
                    <w:jc w:val="center"/>
                    <w:rPr>
                      <w:rFonts w:eastAsia="Times New Roman" w:cs="Arial"/>
                      <w:b/>
                      <w:bCs/>
                      <w:color w:val="000000"/>
                      <w:sz w:val="20"/>
                      <w:szCs w:val="20"/>
                    </w:rPr>
                  </w:pPr>
                  <w:r w:rsidRPr="001F5088">
                    <w:rPr>
                      <w:rFonts w:eastAsia="Times New Roman" w:cs="Arial"/>
                      <w:b/>
                      <w:bCs/>
                      <w:color w:val="000000"/>
                      <w:sz w:val="20"/>
                      <w:szCs w:val="20"/>
                    </w:rPr>
                    <w:t>CEGA</w:t>
                  </w:r>
                  <w:r w:rsidR="00386FFE">
                    <w:rPr>
                      <w:rFonts w:eastAsia="Times New Roman" w:cs="Arial"/>
                      <w:b/>
                      <w:bCs/>
                      <w:color w:val="000000"/>
                      <w:sz w:val="20"/>
                      <w:szCs w:val="20"/>
                    </w:rPr>
                    <w:t xml:space="preserve"> comet </w:t>
                  </w:r>
                  <w:r w:rsidRPr="001F5088">
                    <w:rPr>
                      <w:rFonts w:eastAsia="Times New Roman" w:cs="Arial"/>
                      <w:b/>
                      <w:bCs/>
                      <w:color w:val="000000"/>
                      <w:sz w:val="20"/>
                      <w:szCs w:val="20"/>
                    </w:rPr>
                    <w:t>/</w:t>
                  </w:r>
                  <w:r w:rsidR="00386FFE">
                    <w:rPr>
                      <w:rFonts w:eastAsia="Times New Roman" w:cs="Arial"/>
                      <w:b/>
                      <w:bCs/>
                      <w:color w:val="000000"/>
                      <w:sz w:val="20"/>
                      <w:szCs w:val="20"/>
                    </w:rPr>
                    <w:t>In vivo comet</w:t>
                  </w:r>
                </w:p>
              </w:tc>
            </w:tr>
            <w:tr w:rsidR="00416870" w:rsidRPr="008275EB" w14:paraId="5F06FE8D" w14:textId="77777777" w:rsidTr="003D7914">
              <w:trPr>
                <w:trHeight w:val="20"/>
                <w:jc w:val="center"/>
              </w:trPr>
              <w:tc>
                <w:tcPr>
                  <w:tcW w:w="1452" w:type="dxa"/>
                  <w:tcBorders>
                    <w:bottom w:val="single" w:sz="4" w:space="0" w:color="auto"/>
                  </w:tcBorders>
                  <w:shd w:val="clear" w:color="auto" w:fill="D9D9D9" w:themeFill="background1" w:themeFillShade="D9"/>
                  <w:noWrap/>
                  <w:vAlign w:val="center"/>
                  <w:hideMark/>
                </w:tcPr>
                <w:p w14:paraId="184BE6BC" w14:textId="5F41BAF7" w:rsidR="00416870" w:rsidRPr="001F5088" w:rsidRDefault="00416870" w:rsidP="00416870">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TP</w:t>
                  </w:r>
                  <w:r w:rsidRPr="008275EB">
                    <w:rPr>
                      <w:rFonts w:eastAsia="Times New Roman" w:cs="Arial"/>
                      <w:color w:val="000000"/>
                      <w:sz w:val="20"/>
                      <w:szCs w:val="20"/>
                    </w:rPr>
                    <w:t xml:space="preserve">: </w:t>
                  </w:r>
                  <w:r w:rsidR="0076082E">
                    <w:rPr>
                      <w:rFonts w:eastAsia="Times New Roman" w:cs="Arial"/>
                      <w:color w:val="000000"/>
                      <w:sz w:val="20"/>
                      <w:szCs w:val="20"/>
                    </w:rPr>
                    <w:t>2</w:t>
                  </w:r>
                  <w:r>
                    <w:rPr>
                      <w:rFonts w:eastAsia="Times New Roman" w:cs="Arial"/>
                      <w:color w:val="000000"/>
                      <w:sz w:val="20"/>
                      <w:szCs w:val="20"/>
                    </w:rPr>
                    <w:t>7</w:t>
                  </w:r>
                </w:p>
              </w:tc>
              <w:tc>
                <w:tcPr>
                  <w:tcW w:w="1453" w:type="dxa"/>
                  <w:tcBorders>
                    <w:bottom w:val="single" w:sz="4" w:space="0" w:color="auto"/>
                  </w:tcBorders>
                  <w:shd w:val="clear" w:color="auto" w:fill="D9D9D9" w:themeFill="background1" w:themeFillShade="D9"/>
                  <w:noWrap/>
                  <w:vAlign w:val="center"/>
                  <w:hideMark/>
                </w:tcPr>
                <w:p w14:paraId="32DF7F75" w14:textId="10ED393F" w:rsidR="00416870" w:rsidRPr="001F5088" w:rsidRDefault="00416870" w:rsidP="00416870">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FP</w:t>
                  </w:r>
                  <w:r w:rsidRPr="008275EB">
                    <w:rPr>
                      <w:rFonts w:eastAsia="Times New Roman" w:cs="Arial"/>
                      <w:color w:val="000000"/>
                      <w:sz w:val="20"/>
                      <w:szCs w:val="20"/>
                    </w:rPr>
                    <w:t xml:space="preserve">: </w:t>
                  </w:r>
                  <w:r w:rsidR="0076082E">
                    <w:rPr>
                      <w:rFonts w:eastAsia="Times New Roman" w:cs="Arial"/>
                      <w:color w:val="000000"/>
                      <w:sz w:val="20"/>
                      <w:szCs w:val="20"/>
                    </w:rPr>
                    <w:t>0</w:t>
                  </w:r>
                </w:p>
              </w:tc>
              <w:tc>
                <w:tcPr>
                  <w:tcW w:w="1453" w:type="dxa"/>
                  <w:tcBorders>
                    <w:bottom w:val="single" w:sz="4" w:space="0" w:color="auto"/>
                  </w:tcBorders>
                  <w:shd w:val="clear" w:color="auto" w:fill="auto"/>
                  <w:noWrap/>
                  <w:vAlign w:val="center"/>
                  <w:hideMark/>
                </w:tcPr>
                <w:p w14:paraId="43297815" w14:textId="0FBC6A15" w:rsidR="00416870" w:rsidRPr="001F5088" w:rsidRDefault="00416870" w:rsidP="00416870">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TP</w:t>
                  </w:r>
                  <w:r w:rsidRPr="008275EB">
                    <w:rPr>
                      <w:rFonts w:eastAsia="Times New Roman" w:cs="Arial"/>
                      <w:color w:val="000000"/>
                      <w:sz w:val="20"/>
                      <w:szCs w:val="20"/>
                    </w:rPr>
                    <w:t xml:space="preserve">: </w:t>
                  </w:r>
                  <w:r w:rsidR="0076082E">
                    <w:rPr>
                      <w:rFonts w:eastAsia="Times New Roman" w:cs="Arial"/>
                      <w:color w:val="000000"/>
                      <w:sz w:val="20"/>
                      <w:szCs w:val="20"/>
                    </w:rPr>
                    <w:t>21</w:t>
                  </w:r>
                </w:p>
              </w:tc>
              <w:tc>
                <w:tcPr>
                  <w:tcW w:w="1453" w:type="dxa"/>
                  <w:tcBorders>
                    <w:bottom w:val="single" w:sz="4" w:space="0" w:color="auto"/>
                  </w:tcBorders>
                  <w:shd w:val="clear" w:color="auto" w:fill="auto"/>
                  <w:noWrap/>
                  <w:vAlign w:val="center"/>
                  <w:hideMark/>
                </w:tcPr>
                <w:p w14:paraId="28F08988" w14:textId="3055204C" w:rsidR="00416870" w:rsidRPr="001F5088" w:rsidRDefault="00416870" w:rsidP="00416870">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FP</w:t>
                  </w:r>
                  <w:r w:rsidRPr="008275EB">
                    <w:rPr>
                      <w:rFonts w:eastAsia="Times New Roman" w:cs="Arial"/>
                      <w:color w:val="000000"/>
                      <w:sz w:val="20"/>
                      <w:szCs w:val="20"/>
                    </w:rPr>
                    <w:t xml:space="preserve">: </w:t>
                  </w:r>
                  <w:r w:rsidR="0076082E">
                    <w:rPr>
                      <w:rFonts w:eastAsia="Times New Roman" w:cs="Arial"/>
                      <w:color w:val="000000"/>
                      <w:sz w:val="20"/>
                      <w:szCs w:val="20"/>
                    </w:rPr>
                    <w:t>0</w:t>
                  </w:r>
                </w:p>
              </w:tc>
              <w:tc>
                <w:tcPr>
                  <w:tcW w:w="1453" w:type="dxa"/>
                  <w:tcBorders>
                    <w:bottom w:val="single" w:sz="4" w:space="0" w:color="auto"/>
                  </w:tcBorders>
                  <w:shd w:val="clear" w:color="auto" w:fill="D9D9D9" w:themeFill="background1" w:themeFillShade="D9"/>
                  <w:noWrap/>
                  <w:vAlign w:val="center"/>
                  <w:hideMark/>
                </w:tcPr>
                <w:p w14:paraId="2ED90052" w14:textId="77777777" w:rsidR="00416870" w:rsidRPr="001F5088" w:rsidRDefault="00416870" w:rsidP="00416870">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TP</w:t>
                  </w:r>
                  <w:r w:rsidRPr="008275EB">
                    <w:rPr>
                      <w:rFonts w:eastAsia="Times New Roman" w:cs="Arial"/>
                      <w:color w:val="000000"/>
                      <w:sz w:val="20"/>
                      <w:szCs w:val="20"/>
                    </w:rPr>
                    <w:t>: 2</w:t>
                  </w:r>
                  <w:r>
                    <w:rPr>
                      <w:rFonts w:eastAsia="Times New Roman" w:cs="Arial"/>
                      <w:color w:val="000000"/>
                      <w:sz w:val="20"/>
                      <w:szCs w:val="20"/>
                    </w:rPr>
                    <w:t>0</w:t>
                  </w:r>
                </w:p>
              </w:tc>
              <w:tc>
                <w:tcPr>
                  <w:tcW w:w="1453" w:type="dxa"/>
                  <w:tcBorders>
                    <w:bottom w:val="single" w:sz="4" w:space="0" w:color="auto"/>
                  </w:tcBorders>
                  <w:shd w:val="clear" w:color="auto" w:fill="D9D9D9" w:themeFill="background1" w:themeFillShade="D9"/>
                  <w:noWrap/>
                  <w:vAlign w:val="center"/>
                  <w:hideMark/>
                </w:tcPr>
                <w:p w14:paraId="55EE226E" w14:textId="18C1510E" w:rsidR="00416870" w:rsidRPr="001F5088" w:rsidRDefault="00416870" w:rsidP="00416870">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FP</w:t>
                  </w:r>
                  <w:r w:rsidRPr="008275EB">
                    <w:rPr>
                      <w:rFonts w:eastAsia="Times New Roman" w:cs="Arial"/>
                      <w:color w:val="000000"/>
                      <w:sz w:val="20"/>
                      <w:szCs w:val="20"/>
                    </w:rPr>
                    <w:t xml:space="preserve">: </w:t>
                  </w:r>
                  <w:r w:rsidR="0076082E">
                    <w:rPr>
                      <w:rFonts w:eastAsia="Times New Roman" w:cs="Arial"/>
                      <w:color w:val="000000"/>
                      <w:sz w:val="20"/>
                      <w:szCs w:val="20"/>
                    </w:rPr>
                    <w:t>2</w:t>
                  </w:r>
                </w:p>
              </w:tc>
            </w:tr>
            <w:tr w:rsidR="00416870" w:rsidRPr="008275EB" w14:paraId="38B1C9AA" w14:textId="77777777" w:rsidTr="003D7914">
              <w:trPr>
                <w:trHeight w:val="20"/>
                <w:jc w:val="center"/>
              </w:trPr>
              <w:tc>
                <w:tcPr>
                  <w:tcW w:w="1452" w:type="dxa"/>
                  <w:tcBorders>
                    <w:top w:val="single" w:sz="4" w:space="0" w:color="auto"/>
                    <w:bottom w:val="single" w:sz="4" w:space="0" w:color="auto"/>
                  </w:tcBorders>
                  <w:shd w:val="clear" w:color="auto" w:fill="D9D9D9" w:themeFill="background1" w:themeFillShade="D9"/>
                  <w:noWrap/>
                  <w:vAlign w:val="center"/>
                  <w:hideMark/>
                </w:tcPr>
                <w:p w14:paraId="2A605080" w14:textId="689B07DA" w:rsidR="00416870" w:rsidRPr="001F5088" w:rsidRDefault="00416870" w:rsidP="00416870">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FN</w:t>
                  </w:r>
                  <w:r w:rsidRPr="008275EB">
                    <w:rPr>
                      <w:rFonts w:eastAsia="Times New Roman" w:cs="Arial"/>
                      <w:color w:val="000000"/>
                      <w:sz w:val="20"/>
                      <w:szCs w:val="20"/>
                    </w:rPr>
                    <w:t xml:space="preserve">: </w:t>
                  </w:r>
                  <w:r w:rsidR="0076082E">
                    <w:rPr>
                      <w:rFonts w:eastAsia="Times New Roman" w:cs="Arial"/>
                      <w:color w:val="000000"/>
                      <w:sz w:val="20"/>
                      <w:szCs w:val="20"/>
                    </w:rPr>
                    <w:t>17</w:t>
                  </w:r>
                </w:p>
              </w:tc>
              <w:tc>
                <w:tcPr>
                  <w:tcW w:w="1453" w:type="dxa"/>
                  <w:tcBorders>
                    <w:top w:val="single" w:sz="4" w:space="0" w:color="auto"/>
                    <w:bottom w:val="single" w:sz="4" w:space="0" w:color="auto"/>
                  </w:tcBorders>
                  <w:shd w:val="clear" w:color="auto" w:fill="D9D9D9" w:themeFill="background1" w:themeFillShade="D9"/>
                  <w:noWrap/>
                  <w:vAlign w:val="center"/>
                  <w:hideMark/>
                </w:tcPr>
                <w:p w14:paraId="4BFCF9D8" w14:textId="323BBAC8" w:rsidR="00416870" w:rsidRPr="001F5088" w:rsidRDefault="00416870" w:rsidP="00416870">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TN</w:t>
                  </w:r>
                  <w:r w:rsidRPr="008275EB">
                    <w:rPr>
                      <w:rFonts w:eastAsia="Times New Roman" w:cs="Arial"/>
                      <w:color w:val="000000"/>
                      <w:sz w:val="20"/>
                      <w:szCs w:val="20"/>
                    </w:rPr>
                    <w:t xml:space="preserve">: </w:t>
                  </w:r>
                  <w:r w:rsidR="0076082E">
                    <w:rPr>
                      <w:rFonts w:eastAsia="Times New Roman" w:cs="Arial"/>
                      <w:color w:val="000000"/>
                      <w:sz w:val="20"/>
                      <w:szCs w:val="20"/>
                    </w:rPr>
                    <w:t>6</w:t>
                  </w:r>
                </w:p>
              </w:tc>
              <w:tc>
                <w:tcPr>
                  <w:tcW w:w="1453" w:type="dxa"/>
                  <w:tcBorders>
                    <w:top w:val="single" w:sz="4" w:space="0" w:color="auto"/>
                    <w:bottom w:val="single" w:sz="4" w:space="0" w:color="auto"/>
                  </w:tcBorders>
                  <w:shd w:val="clear" w:color="auto" w:fill="auto"/>
                  <w:noWrap/>
                  <w:vAlign w:val="center"/>
                  <w:hideMark/>
                </w:tcPr>
                <w:p w14:paraId="4309A7EA" w14:textId="3B5008A6" w:rsidR="00416870" w:rsidRPr="001F5088" w:rsidRDefault="00416870" w:rsidP="00416870">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FN</w:t>
                  </w:r>
                  <w:r w:rsidRPr="008275EB">
                    <w:rPr>
                      <w:rFonts w:eastAsia="Times New Roman" w:cs="Arial"/>
                      <w:color w:val="000000"/>
                      <w:sz w:val="20"/>
                      <w:szCs w:val="20"/>
                    </w:rPr>
                    <w:t xml:space="preserve">: </w:t>
                  </w:r>
                  <w:r w:rsidR="0076082E">
                    <w:rPr>
                      <w:rFonts w:eastAsia="Times New Roman" w:cs="Arial"/>
                      <w:color w:val="000000"/>
                      <w:sz w:val="20"/>
                      <w:szCs w:val="20"/>
                    </w:rPr>
                    <w:t>11</w:t>
                  </w:r>
                </w:p>
              </w:tc>
              <w:tc>
                <w:tcPr>
                  <w:tcW w:w="1453" w:type="dxa"/>
                  <w:tcBorders>
                    <w:top w:val="single" w:sz="4" w:space="0" w:color="auto"/>
                    <w:bottom w:val="single" w:sz="4" w:space="0" w:color="auto"/>
                  </w:tcBorders>
                  <w:shd w:val="clear" w:color="auto" w:fill="auto"/>
                  <w:noWrap/>
                  <w:vAlign w:val="center"/>
                  <w:hideMark/>
                </w:tcPr>
                <w:p w14:paraId="647B8AAE" w14:textId="353A0FED" w:rsidR="00416870" w:rsidRPr="001F5088" w:rsidRDefault="00416870" w:rsidP="00416870">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TN</w:t>
                  </w:r>
                  <w:r w:rsidRPr="008275EB">
                    <w:rPr>
                      <w:rFonts w:eastAsia="Times New Roman" w:cs="Arial"/>
                      <w:color w:val="000000"/>
                      <w:sz w:val="20"/>
                      <w:szCs w:val="20"/>
                    </w:rPr>
                    <w:t xml:space="preserve">: </w:t>
                  </w:r>
                  <w:r w:rsidR="0076082E">
                    <w:rPr>
                      <w:rFonts w:eastAsia="Times New Roman" w:cs="Arial"/>
                      <w:color w:val="000000"/>
                      <w:sz w:val="20"/>
                      <w:szCs w:val="20"/>
                    </w:rPr>
                    <w:t>6</w:t>
                  </w:r>
                </w:p>
              </w:tc>
              <w:tc>
                <w:tcPr>
                  <w:tcW w:w="1453" w:type="dxa"/>
                  <w:tcBorders>
                    <w:top w:val="single" w:sz="4" w:space="0" w:color="auto"/>
                    <w:bottom w:val="single" w:sz="4" w:space="0" w:color="auto"/>
                  </w:tcBorders>
                  <w:shd w:val="clear" w:color="auto" w:fill="D9D9D9" w:themeFill="background1" w:themeFillShade="D9"/>
                  <w:noWrap/>
                  <w:vAlign w:val="center"/>
                  <w:hideMark/>
                </w:tcPr>
                <w:p w14:paraId="72842AC5" w14:textId="0316AEE8" w:rsidR="00416870" w:rsidRPr="001F5088" w:rsidRDefault="00416870" w:rsidP="00416870">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FN</w:t>
                  </w:r>
                  <w:r w:rsidRPr="008275EB">
                    <w:rPr>
                      <w:rFonts w:eastAsia="Times New Roman" w:cs="Arial"/>
                      <w:color w:val="000000"/>
                      <w:sz w:val="20"/>
                      <w:szCs w:val="20"/>
                    </w:rPr>
                    <w:t xml:space="preserve">: </w:t>
                  </w:r>
                  <w:r w:rsidR="0076082E">
                    <w:rPr>
                      <w:rFonts w:eastAsia="Times New Roman" w:cs="Arial"/>
                      <w:color w:val="000000"/>
                      <w:sz w:val="20"/>
                      <w:szCs w:val="20"/>
                    </w:rPr>
                    <w:t>8</w:t>
                  </w:r>
                </w:p>
              </w:tc>
              <w:tc>
                <w:tcPr>
                  <w:tcW w:w="1453" w:type="dxa"/>
                  <w:tcBorders>
                    <w:top w:val="single" w:sz="4" w:space="0" w:color="auto"/>
                    <w:bottom w:val="single" w:sz="4" w:space="0" w:color="auto"/>
                  </w:tcBorders>
                  <w:shd w:val="clear" w:color="auto" w:fill="D9D9D9" w:themeFill="background1" w:themeFillShade="D9"/>
                  <w:noWrap/>
                  <w:vAlign w:val="center"/>
                  <w:hideMark/>
                </w:tcPr>
                <w:p w14:paraId="5369C78B" w14:textId="4B4F3B49" w:rsidR="00416870" w:rsidRPr="001F5088" w:rsidRDefault="00416870" w:rsidP="00416870">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TN</w:t>
                  </w:r>
                  <w:r w:rsidRPr="008275EB">
                    <w:rPr>
                      <w:rFonts w:eastAsia="Times New Roman" w:cs="Arial"/>
                      <w:color w:val="000000"/>
                      <w:sz w:val="20"/>
                      <w:szCs w:val="20"/>
                    </w:rPr>
                    <w:t xml:space="preserve">: </w:t>
                  </w:r>
                  <w:r>
                    <w:rPr>
                      <w:rFonts w:eastAsia="Times New Roman" w:cs="Arial"/>
                      <w:color w:val="000000"/>
                      <w:sz w:val="20"/>
                      <w:szCs w:val="20"/>
                    </w:rPr>
                    <w:t>9</w:t>
                  </w:r>
                </w:p>
              </w:tc>
            </w:tr>
          </w:tbl>
          <w:p w14:paraId="6344B098" w14:textId="77777777" w:rsidR="00FB07DB" w:rsidRDefault="00FB07DB">
            <w:pPr>
              <w:widowControl/>
              <w:spacing w:after="160" w:line="259" w:lineRule="auto"/>
              <w:ind w:firstLine="0"/>
              <w:rPr>
                <w:rFonts w:eastAsiaTheme="majorEastAsia" w:cstheme="majorBidi"/>
                <w:b/>
                <w:smallCaps/>
                <w:sz w:val="28"/>
                <w:szCs w:val="32"/>
                <w:lang w:eastAsia="zh-CN"/>
              </w:rPr>
            </w:pPr>
          </w:p>
        </w:tc>
      </w:tr>
      <w:tr w:rsidR="0076082E" w14:paraId="79F2EB07" w14:textId="77777777" w:rsidTr="0061069C">
        <w:trPr>
          <w:trHeight w:val="287"/>
        </w:trPr>
        <w:tc>
          <w:tcPr>
            <w:tcW w:w="9350" w:type="dxa"/>
          </w:tcPr>
          <w:p w14:paraId="38C1B2BE" w14:textId="0D6E3507" w:rsidR="0076082E" w:rsidRDefault="0076082E" w:rsidP="0076082E">
            <w:pPr>
              <w:widowControl/>
              <w:spacing w:after="160" w:line="259" w:lineRule="auto"/>
              <w:ind w:firstLine="0"/>
              <w:rPr>
                <w:rFonts w:eastAsiaTheme="majorEastAsia" w:cstheme="majorBidi"/>
                <w:b/>
                <w:smallCaps/>
                <w:sz w:val="28"/>
                <w:szCs w:val="32"/>
                <w:lang w:eastAsia="zh-CN"/>
              </w:rPr>
            </w:pPr>
            <w:r>
              <w:br w:type="page"/>
            </w:r>
            <w:r w:rsidRPr="0076082E">
              <w:rPr>
                <w:b/>
                <w:bCs/>
                <w:sz w:val="22"/>
              </w:rPr>
              <w:t xml:space="preserve">B. </w:t>
            </w:r>
            <w:r>
              <w:rPr>
                <w:b/>
                <w:bCs/>
                <w:sz w:val="22"/>
              </w:rPr>
              <w:t>T</w:t>
            </w:r>
            <w:r w:rsidRPr="0076082E">
              <w:rPr>
                <w:b/>
                <w:bCs/>
                <w:sz w:val="22"/>
              </w:rPr>
              <w:t xml:space="preserve">EGA vs in </w:t>
            </w:r>
            <w:r>
              <w:rPr>
                <w:b/>
                <w:bCs/>
                <w:sz w:val="22"/>
              </w:rPr>
              <w:t xml:space="preserve">vitro and </w:t>
            </w:r>
            <w:r w:rsidRPr="0076082E">
              <w:rPr>
                <w:b/>
                <w:bCs/>
                <w:sz w:val="22"/>
              </w:rPr>
              <w:t xml:space="preserve">vivo </w:t>
            </w:r>
            <w:r>
              <w:rPr>
                <w:b/>
                <w:bCs/>
                <w:sz w:val="22"/>
              </w:rPr>
              <w:t>DNA damage endpoints</w:t>
            </w:r>
          </w:p>
        </w:tc>
      </w:tr>
      <w:tr w:rsidR="0076082E" w14:paraId="6EB8CD6A" w14:textId="77777777" w:rsidTr="0061069C">
        <w:tc>
          <w:tcPr>
            <w:tcW w:w="9350" w:type="dxa"/>
          </w:tcPr>
          <w:p w14:paraId="772F5ABC" w14:textId="3622C28A" w:rsidR="0076082E" w:rsidRDefault="00FA1364" w:rsidP="0061069C">
            <w:pPr>
              <w:pStyle w:val="NoSpacing"/>
              <w:rPr>
                <w:lang w:eastAsia="zh-CN"/>
              </w:rPr>
            </w:pPr>
            <w:r>
              <w:rPr>
                <w:noProof/>
                <w:lang w:eastAsia="zh-CN"/>
              </w:rPr>
              <w:drawing>
                <wp:inline distT="0" distB="0" distL="0" distR="0" wp14:anchorId="6F4EE245" wp14:editId="123E0F34">
                  <wp:extent cx="5486400" cy="2640649"/>
                  <wp:effectExtent l="0" t="0" r="0" b="7620"/>
                  <wp:docPr id="58655308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486400" cy="2640649"/>
                          </a:xfrm>
                          <a:prstGeom prst="rect">
                            <a:avLst/>
                          </a:prstGeom>
                          <a:noFill/>
                        </pic:spPr>
                      </pic:pic>
                    </a:graphicData>
                  </a:graphic>
                </wp:inline>
              </w:drawing>
            </w:r>
          </w:p>
        </w:tc>
      </w:tr>
      <w:tr w:rsidR="0076082E" w14:paraId="0C0C5040" w14:textId="77777777" w:rsidTr="0061069C">
        <w:tc>
          <w:tcPr>
            <w:tcW w:w="9350" w:type="dxa"/>
          </w:tcPr>
          <w:tbl>
            <w:tblPr>
              <w:tblW w:w="0" w:type="auto"/>
              <w:jc w:val="center"/>
              <w:tblBorders>
                <w:top w:val="single" w:sz="4" w:space="0" w:color="auto"/>
                <w:bottom w:val="single" w:sz="4" w:space="0" w:color="auto"/>
                <w:insideH w:val="single" w:sz="4" w:space="0" w:color="auto"/>
              </w:tblBorders>
              <w:tblLayout w:type="fixed"/>
              <w:tblCellMar>
                <w:left w:w="43" w:type="dxa"/>
                <w:right w:w="43" w:type="dxa"/>
              </w:tblCellMar>
              <w:tblLook w:val="04A0" w:firstRow="1" w:lastRow="0" w:firstColumn="1" w:lastColumn="0" w:noHBand="0" w:noVBand="1"/>
            </w:tblPr>
            <w:tblGrid>
              <w:gridCol w:w="1452"/>
              <w:gridCol w:w="1453"/>
              <w:gridCol w:w="1453"/>
              <w:gridCol w:w="1357"/>
              <w:gridCol w:w="1549"/>
              <w:gridCol w:w="1453"/>
            </w:tblGrid>
            <w:tr w:rsidR="00FA1364" w:rsidRPr="008275EB" w14:paraId="28DA3CE0" w14:textId="77777777" w:rsidTr="00446F51">
              <w:trPr>
                <w:trHeight w:val="20"/>
                <w:jc w:val="center"/>
              </w:trPr>
              <w:tc>
                <w:tcPr>
                  <w:tcW w:w="2905" w:type="dxa"/>
                  <w:gridSpan w:val="2"/>
                  <w:shd w:val="clear" w:color="auto" w:fill="D9D9D9" w:themeFill="background1" w:themeFillShade="D9"/>
                  <w:noWrap/>
                  <w:vAlign w:val="center"/>
                  <w:hideMark/>
                </w:tcPr>
                <w:p w14:paraId="4D06F907" w14:textId="05BF4B64" w:rsidR="00FA1364" w:rsidRPr="001F5088" w:rsidRDefault="005A1862" w:rsidP="00FA1364">
                  <w:pPr>
                    <w:widowControl/>
                    <w:spacing w:line="240" w:lineRule="auto"/>
                    <w:ind w:firstLine="0"/>
                    <w:jc w:val="center"/>
                    <w:rPr>
                      <w:rFonts w:eastAsia="Times New Roman" w:cs="Arial"/>
                      <w:b/>
                      <w:bCs/>
                      <w:color w:val="000000"/>
                      <w:sz w:val="20"/>
                      <w:szCs w:val="20"/>
                    </w:rPr>
                  </w:pPr>
                  <w:r>
                    <w:rPr>
                      <w:rFonts w:eastAsia="Times New Roman" w:cs="Arial"/>
                      <w:b/>
                      <w:bCs/>
                      <w:color w:val="000000"/>
                      <w:sz w:val="20"/>
                      <w:szCs w:val="20"/>
                    </w:rPr>
                    <w:t>T</w:t>
                  </w:r>
                  <w:r w:rsidR="00FA1364" w:rsidRPr="001F5088">
                    <w:rPr>
                      <w:rFonts w:eastAsia="Times New Roman" w:cs="Arial"/>
                      <w:b/>
                      <w:bCs/>
                      <w:color w:val="000000"/>
                      <w:sz w:val="20"/>
                      <w:szCs w:val="20"/>
                    </w:rPr>
                    <w:t>EGA</w:t>
                  </w:r>
                  <w:r w:rsidR="00FA1364">
                    <w:rPr>
                      <w:rFonts w:eastAsia="Times New Roman" w:cs="Arial"/>
                      <w:b/>
                      <w:bCs/>
                      <w:color w:val="000000"/>
                      <w:sz w:val="20"/>
                      <w:szCs w:val="20"/>
                    </w:rPr>
                    <w:t xml:space="preserve"> NPL</w:t>
                  </w:r>
                  <w:r w:rsidR="00FA1364" w:rsidRPr="001F5088">
                    <w:rPr>
                      <w:rFonts w:eastAsia="Times New Roman" w:cs="Arial"/>
                      <w:b/>
                      <w:bCs/>
                      <w:color w:val="000000"/>
                      <w:sz w:val="20"/>
                      <w:szCs w:val="20"/>
                    </w:rPr>
                    <w:t>/</w:t>
                  </w:r>
                  <w:r w:rsidR="00FA1364">
                    <w:rPr>
                      <w:rFonts w:eastAsia="Times New Roman" w:cs="Arial"/>
                      <w:b/>
                      <w:bCs/>
                      <w:color w:val="000000"/>
                      <w:sz w:val="20"/>
                      <w:szCs w:val="20"/>
                    </w:rPr>
                    <w:t>DNA adducts</w:t>
                  </w:r>
                </w:p>
              </w:tc>
              <w:tc>
                <w:tcPr>
                  <w:tcW w:w="2810" w:type="dxa"/>
                  <w:gridSpan w:val="2"/>
                  <w:shd w:val="clear" w:color="auto" w:fill="auto"/>
                  <w:noWrap/>
                  <w:vAlign w:val="center"/>
                  <w:hideMark/>
                </w:tcPr>
                <w:p w14:paraId="1F8C6BCB" w14:textId="428BA918" w:rsidR="00FA1364" w:rsidRPr="001F5088" w:rsidRDefault="005A1862" w:rsidP="00FA1364">
                  <w:pPr>
                    <w:widowControl/>
                    <w:spacing w:line="240" w:lineRule="auto"/>
                    <w:ind w:firstLine="0"/>
                    <w:jc w:val="center"/>
                    <w:rPr>
                      <w:rFonts w:eastAsia="Times New Roman" w:cs="Arial"/>
                      <w:b/>
                      <w:bCs/>
                      <w:color w:val="000000"/>
                      <w:sz w:val="20"/>
                      <w:szCs w:val="20"/>
                    </w:rPr>
                  </w:pPr>
                  <w:r>
                    <w:rPr>
                      <w:rFonts w:eastAsia="Times New Roman" w:cs="Arial"/>
                      <w:b/>
                      <w:bCs/>
                      <w:color w:val="000000"/>
                      <w:sz w:val="20"/>
                      <w:szCs w:val="20"/>
                    </w:rPr>
                    <w:t>T</w:t>
                  </w:r>
                  <w:r w:rsidR="00FA1364" w:rsidRPr="001F5088">
                    <w:rPr>
                      <w:rFonts w:eastAsia="Times New Roman" w:cs="Arial"/>
                      <w:b/>
                      <w:bCs/>
                      <w:color w:val="000000"/>
                      <w:sz w:val="20"/>
                      <w:szCs w:val="20"/>
                    </w:rPr>
                    <w:t>EGA</w:t>
                  </w:r>
                  <w:r w:rsidR="00FA1364">
                    <w:rPr>
                      <w:rFonts w:eastAsia="Times New Roman" w:cs="Arial"/>
                      <w:b/>
                      <w:bCs/>
                      <w:color w:val="000000"/>
                      <w:sz w:val="20"/>
                      <w:szCs w:val="20"/>
                    </w:rPr>
                    <w:t xml:space="preserve"> comet </w:t>
                  </w:r>
                  <w:r w:rsidR="00FA1364" w:rsidRPr="001F5088">
                    <w:rPr>
                      <w:rFonts w:eastAsia="Times New Roman" w:cs="Arial"/>
                      <w:b/>
                      <w:bCs/>
                      <w:color w:val="000000"/>
                      <w:sz w:val="20"/>
                      <w:szCs w:val="20"/>
                    </w:rPr>
                    <w:t>/</w:t>
                  </w:r>
                  <w:r w:rsidR="00FA1364">
                    <w:rPr>
                      <w:rFonts w:eastAsia="Times New Roman" w:cs="Arial"/>
                      <w:b/>
                      <w:bCs/>
                      <w:color w:val="000000"/>
                      <w:sz w:val="20"/>
                      <w:szCs w:val="20"/>
                    </w:rPr>
                    <w:t>In vitro comet</w:t>
                  </w:r>
                </w:p>
              </w:tc>
              <w:tc>
                <w:tcPr>
                  <w:tcW w:w="3002" w:type="dxa"/>
                  <w:gridSpan w:val="2"/>
                  <w:shd w:val="clear" w:color="auto" w:fill="D9D9D9" w:themeFill="background1" w:themeFillShade="D9"/>
                  <w:noWrap/>
                  <w:vAlign w:val="center"/>
                  <w:hideMark/>
                </w:tcPr>
                <w:p w14:paraId="691013F3" w14:textId="543D9191" w:rsidR="00FA1364" w:rsidRPr="001F5088" w:rsidRDefault="005A1862" w:rsidP="00FA1364">
                  <w:pPr>
                    <w:widowControl/>
                    <w:spacing w:line="240" w:lineRule="auto"/>
                    <w:ind w:firstLine="0"/>
                    <w:jc w:val="center"/>
                    <w:rPr>
                      <w:rFonts w:eastAsia="Times New Roman" w:cs="Arial"/>
                      <w:b/>
                      <w:bCs/>
                      <w:color w:val="000000"/>
                      <w:sz w:val="20"/>
                      <w:szCs w:val="20"/>
                    </w:rPr>
                  </w:pPr>
                  <w:r>
                    <w:rPr>
                      <w:rFonts w:eastAsia="Times New Roman" w:cs="Arial"/>
                      <w:b/>
                      <w:bCs/>
                      <w:color w:val="000000"/>
                      <w:sz w:val="20"/>
                      <w:szCs w:val="20"/>
                    </w:rPr>
                    <w:t>T</w:t>
                  </w:r>
                  <w:r w:rsidR="00FA1364" w:rsidRPr="001F5088">
                    <w:rPr>
                      <w:rFonts w:eastAsia="Times New Roman" w:cs="Arial"/>
                      <w:b/>
                      <w:bCs/>
                      <w:color w:val="000000"/>
                      <w:sz w:val="20"/>
                      <w:szCs w:val="20"/>
                    </w:rPr>
                    <w:t>EGA</w:t>
                  </w:r>
                  <w:r w:rsidR="00FA1364">
                    <w:rPr>
                      <w:rFonts w:eastAsia="Times New Roman" w:cs="Arial"/>
                      <w:b/>
                      <w:bCs/>
                      <w:color w:val="000000"/>
                      <w:sz w:val="20"/>
                      <w:szCs w:val="20"/>
                    </w:rPr>
                    <w:t xml:space="preserve"> comet </w:t>
                  </w:r>
                  <w:r w:rsidR="00FA1364" w:rsidRPr="001F5088">
                    <w:rPr>
                      <w:rFonts w:eastAsia="Times New Roman" w:cs="Arial"/>
                      <w:b/>
                      <w:bCs/>
                      <w:color w:val="000000"/>
                      <w:sz w:val="20"/>
                      <w:szCs w:val="20"/>
                    </w:rPr>
                    <w:t>/</w:t>
                  </w:r>
                  <w:r w:rsidR="00FA1364">
                    <w:rPr>
                      <w:rFonts w:eastAsia="Times New Roman" w:cs="Arial"/>
                      <w:b/>
                      <w:bCs/>
                      <w:color w:val="000000"/>
                      <w:sz w:val="20"/>
                      <w:szCs w:val="20"/>
                    </w:rPr>
                    <w:t>In vivo comet</w:t>
                  </w:r>
                </w:p>
              </w:tc>
            </w:tr>
            <w:tr w:rsidR="00FA1364" w:rsidRPr="008275EB" w14:paraId="61A70FA4" w14:textId="77777777" w:rsidTr="00446F51">
              <w:trPr>
                <w:trHeight w:val="20"/>
                <w:jc w:val="center"/>
              </w:trPr>
              <w:tc>
                <w:tcPr>
                  <w:tcW w:w="1452" w:type="dxa"/>
                  <w:tcBorders>
                    <w:bottom w:val="single" w:sz="4" w:space="0" w:color="auto"/>
                  </w:tcBorders>
                  <w:shd w:val="clear" w:color="auto" w:fill="D9D9D9" w:themeFill="background1" w:themeFillShade="D9"/>
                  <w:noWrap/>
                  <w:vAlign w:val="center"/>
                  <w:hideMark/>
                </w:tcPr>
                <w:p w14:paraId="575E30EB" w14:textId="0EBFC22F" w:rsidR="00FA1364" w:rsidRPr="001F5088" w:rsidRDefault="00FA1364" w:rsidP="00FA1364">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TP</w:t>
                  </w:r>
                  <w:r w:rsidRPr="008275EB">
                    <w:rPr>
                      <w:rFonts w:eastAsia="Times New Roman" w:cs="Arial"/>
                      <w:color w:val="000000"/>
                      <w:sz w:val="20"/>
                      <w:szCs w:val="20"/>
                    </w:rPr>
                    <w:t xml:space="preserve">: </w:t>
                  </w:r>
                  <w:r w:rsidR="00351A48">
                    <w:rPr>
                      <w:rFonts w:eastAsia="Times New Roman" w:cs="Arial"/>
                      <w:color w:val="000000"/>
                      <w:sz w:val="20"/>
                      <w:szCs w:val="20"/>
                    </w:rPr>
                    <w:t>13</w:t>
                  </w:r>
                </w:p>
              </w:tc>
              <w:tc>
                <w:tcPr>
                  <w:tcW w:w="1453" w:type="dxa"/>
                  <w:tcBorders>
                    <w:bottom w:val="single" w:sz="4" w:space="0" w:color="auto"/>
                  </w:tcBorders>
                  <w:shd w:val="clear" w:color="auto" w:fill="D9D9D9" w:themeFill="background1" w:themeFillShade="D9"/>
                  <w:noWrap/>
                  <w:vAlign w:val="center"/>
                  <w:hideMark/>
                </w:tcPr>
                <w:p w14:paraId="53879584" w14:textId="77777777" w:rsidR="00FA1364" w:rsidRPr="001F5088" w:rsidRDefault="00FA1364" w:rsidP="00FA1364">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FP</w:t>
                  </w:r>
                  <w:r w:rsidRPr="008275EB">
                    <w:rPr>
                      <w:rFonts w:eastAsia="Times New Roman" w:cs="Arial"/>
                      <w:color w:val="000000"/>
                      <w:sz w:val="20"/>
                      <w:szCs w:val="20"/>
                    </w:rPr>
                    <w:t xml:space="preserve">: </w:t>
                  </w:r>
                  <w:r>
                    <w:rPr>
                      <w:rFonts w:eastAsia="Times New Roman" w:cs="Arial"/>
                      <w:color w:val="000000"/>
                      <w:sz w:val="20"/>
                      <w:szCs w:val="20"/>
                    </w:rPr>
                    <w:t>0</w:t>
                  </w:r>
                </w:p>
              </w:tc>
              <w:tc>
                <w:tcPr>
                  <w:tcW w:w="1453" w:type="dxa"/>
                  <w:tcBorders>
                    <w:bottom w:val="single" w:sz="4" w:space="0" w:color="auto"/>
                  </w:tcBorders>
                  <w:shd w:val="clear" w:color="auto" w:fill="auto"/>
                  <w:noWrap/>
                  <w:vAlign w:val="center"/>
                  <w:hideMark/>
                </w:tcPr>
                <w:p w14:paraId="137FC33F" w14:textId="7F60A29D" w:rsidR="00FA1364" w:rsidRPr="001F5088" w:rsidRDefault="00FA1364" w:rsidP="00FA1364">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TP</w:t>
                  </w:r>
                  <w:r w:rsidRPr="008275EB">
                    <w:rPr>
                      <w:rFonts w:eastAsia="Times New Roman" w:cs="Arial"/>
                      <w:color w:val="000000"/>
                      <w:sz w:val="20"/>
                      <w:szCs w:val="20"/>
                    </w:rPr>
                    <w:t xml:space="preserve">: </w:t>
                  </w:r>
                  <w:r w:rsidR="00351A48">
                    <w:rPr>
                      <w:rFonts w:eastAsia="Times New Roman" w:cs="Arial"/>
                      <w:color w:val="000000"/>
                      <w:sz w:val="20"/>
                      <w:szCs w:val="20"/>
                    </w:rPr>
                    <w:t>5</w:t>
                  </w:r>
                </w:p>
              </w:tc>
              <w:tc>
                <w:tcPr>
                  <w:tcW w:w="1357" w:type="dxa"/>
                  <w:tcBorders>
                    <w:bottom w:val="single" w:sz="4" w:space="0" w:color="auto"/>
                  </w:tcBorders>
                  <w:shd w:val="clear" w:color="auto" w:fill="auto"/>
                  <w:noWrap/>
                  <w:vAlign w:val="center"/>
                  <w:hideMark/>
                </w:tcPr>
                <w:p w14:paraId="2771F6A5" w14:textId="18CA9658" w:rsidR="00FA1364" w:rsidRPr="001F5088" w:rsidRDefault="00FA1364" w:rsidP="00FA1364">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FP</w:t>
                  </w:r>
                  <w:r w:rsidRPr="008275EB">
                    <w:rPr>
                      <w:rFonts w:eastAsia="Times New Roman" w:cs="Arial"/>
                      <w:color w:val="000000"/>
                      <w:sz w:val="20"/>
                      <w:szCs w:val="20"/>
                    </w:rPr>
                    <w:t xml:space="preserve">: </w:t>
                  </w:r>
                  <w:r w:rsidR="00351A48">
                    <w:rPr>
                      <w:rFonts w:eastAsia="Times New Roman" w:cs="Arial"/>
                      <w:color w:val="000000"/>
                      <w:sz w:val="20"/>
                      <w:szCs w:val="20"/>
                    </w:rPr>
                    <w:t>3</w:t>
                  </w:r>
                </w:p>
              </w:tc>
              <w:tc>
                <w:tcPr>
                  <w:tcW w:w="1549" w:type="dxa"/>
                  <w:tcBorders>
                    <w:bottom w:val="single" w:sz="4" w:space="0" w:color="auto"/>
                  </w:tcBorders>
                  <w:shd w:val="clear" w:color="auto" w:fill="D9D9D9" w:themeFill="background1" w:themeFillShade="D9"/>
                  <w:noWrap/>
                  <w:vAlign w:val="center"/>
                  <w:hideMark/>
                </w:tcPr>
                <w:p w14:paraId="5A0FD89A" w14:textId="5A379C23" w:rsidR="00FA1364" w:rsidRPr="001F5088" w:rsidRDefault="00FA1364" w:rsidP="00FA1364">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TP</w:t>
                  </w:r>
                  <w:r w:rsidRPr="008275EB">
                    <w:rPr>
                      <w:rFonts w:eastAsia="Times New Roman" w:cs="Arial"/>
                      <w:color w:val="000000"/>
                      <w:sz w:val="20"/>
                      <w:szCs w:val="20"/>
                    </w:rPr>
                    <w:t xml:space="preserve">: </w:t>
                  </w:r>
                  <w:r w:rsidR="002A6BE8">
                    <w:rPr>
                      <w:rFonts w:eastAsia="Times New Roman" w:cs="Arial"/>
                      <w:color w:val="000000"/>
                      <w:sz w:val="20"/>
                      <w:szCs w:val="20"/>
                    </w:rPr>
                    <w:t>5</w:t>
                  </w:r>
                </w:p>
              </w:tc>
              <w:tc>
                <w:tcPr>
                  <w:tcW w:w="1453" w:type="dxa"/>
                  <w:tcBorders>
                    <w:bottom w:val="single" w:sz="4" w:space="0" w:color="auto"/>
                  </w:tcBorders>
                  <w:shd w:val="clear" w:color="auto" w:fill="D9D9D9" w:themeFill="background1" w:themeFillShade="D9"/>
                  <w:noWrap/>
                  <w:vAlign w:val="center"/>
                  <w:hideMark/>
                </w:tcPr>
                <w:p w14:paraId="2CF582C8" w14:textId="6B9B24E8" w:rsidR="00FA1364" w:rsidRPr="001F5088" w:rsidRDefault="00FA1364" w:rsidP="00FA1364">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FP</w:t>
                  </w:r>
                  <w:r w:rsidRPr="008275EB">
                    <w:rPr>
                      <w:rFonts w:eastAsia="Times New Roman" w:cs="Arial"/>
                      <w:color w:val="000000"/>
                      <w:sz w:val="20"/>
                      <w:szCs w:val="20"/>
                    </w:rPr>
                    <w:t xml:space="preserve">: </w:t>
                  </w:r>
                  <w:r w:rsidR="002A6BE8">
                    <w:rPr>
                      <w:rFonts w:eastAsia="Times New Roman" w:cs="Arial"/>
                      <w:color w:val="000000"/>
                      <w:sz w:val="20"/>
                      <w:szCs w:val="20"/>
                    </w:rPr>
                    <w:t>4</w:t>
                  </w:r>
                </w:p>
              </w:tc>
            </w:tr>
            <w:tr w:rsidR="00FA1364" w:rsidRPr="008275EB" w14:paraId="5091C398" w14:textId="77777777" w:rsidTr="00446F51">
              <w:trPr>
                <w:trHeight w:val="20"/>
                <w:jc w:val="center"/>
              </w:trPr>
              <w:tc>
                <w:tcPr>
                  <w:tcW w:w="1452" w:type="dxa"/>
                  <w:tcBorders>
                    <w:top w:val="single" w:sz="4" w:space="0" w:color="auto"/>
                    <w:bottom w:val="single" w:sz="4" w:space="0" w:color="auto"/>
                  </w:tcBorders>
                  <w:shd w:val="clear" w:color="auto" w:fill="D9D9D9" w:themeFill="background1" w:themeFillShade="D9"/>
                  <w:noWrap/>
                  <w:vAlign w:val="center"/>
                  <w:hideMark/>
                </w:tcPr>
                <w:p w14:paraId="610FF060" w14:textId="45FD575E" w:rsidR="00FA1364" w:rsidRPr="001F5088" w:rsidRDefault="00FA1364" w:rsidP="00FA1364">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FN</w:t>
                  </w:r>
                  <w:r w:rsidRPr="008275EB">
                    <w:rPr>
                      <w:rFonts w:eastAsia="Times New Roman" w:cs="Arial"/>
                      <w:color w:val="000000"/>
                      <w:sz w:val="20"/>
                      <w:szCs w:val="20"/>
                    </w:rPr>
                    <w:t xml:space="preserve">: </w:t>
                  </w:r>
                  <w:r>
                    <w:rPr>
                      <w:rFonts w:eastAsia="Times New Roman" w:cs="Arial"/>
                      <w:color w:val="000000"/>
                      <w:sz w:val="20"/>
                      <w:szCs w:val="20"/>
                    </w:rPr>
                    <w:t>1</w:t>
                  </w:r>
                  <w:r w:rsidR="00351A48">
                    <w:rPr>
                      <w:rFonts w:eastAsia="Times New Roman" w:cs="Arial"/>
                      <w:color w:val="000000"/>
                      <w:sz w:val="20"/>
                      <w:szCs w:val="20"/>
                    </w:rPr>
                    <w:t>6</w:t>
                  </w:r>
                </w:p>
              </w:tc>
              <w:tc>
                <w:tcPr>
                  <w:tcW w:w="1453" w:type="dxa"/>
                  <w:tcBorders>
                    <w:top w:val="single" w:sz="4" w:space="0" w:color="auto"/>
                    <w:bottom w:val="single" w:sz="4" w:space="0" w:color="auto"/>
                  </w:tcBorders>
                  <w:shd w:val="clear" w:color="auto" w:fill="D9D9D9" w:themeFill="background1" w:themeFillShade="D9"/>
                  <w:noWrap/>
                  <w:vAlign w:val="center"/>
                  <w:hideMark/>
                </w:tcPr>
                <w:p w14:paraId="3B857EFF" w14:textId="5846ACD7" w:rsidR="00FA1364" w:rsidRPr="001F5088" w:rsidRDefault="00FA1364" w:rsidP="00FA1364">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TN</w:t>
                  </w:r>
                  <w:r w:rsidRPr="008275EB">
                    <w:rPr>
                      <w:rFonts w:eastAsia="Times New Roman" w:cs="Arial"/>
                      <w:color w:val="000000"/>
                      <w:sz w:val="20"/>
                      <w:szCs w:val="20"/>
                    </w:rPr>
                    <w:t xml:space="preserve">: </w:t>
                  </w:r>
                  <w:r w:rsidR="00351A48">
                    <w:rPr>
                      <w:rFonts w:eastAsia="Times New Roman" w:cs="Arial"/>
                      <w:color w:val="000000"/>
                      <w:sz w:val="20"/>
                      <w:szCs w:val="20"/>
                    </w:rPr>
                    <w:t>3</w:t>
                  </w:r>
                </w:p>
              </w:tc>
              <w:tc>
                <w:tcPr>
                  <w:tcW w:w="1453" w:type="dxa"/>
                  <w:tcBorders>
                    <w:top w:val="single" w:sz="4" w:space="0" w:color="auto"/>
                    <w:bottom w:val="single" w:sz="4" w:space="0" w:color="auto"/>
                  </w:tcBorders>
                  <w:shd w:val="clear" w:color="auto" w:fill="auto"/>
                  <w:noWrap/>
                  <w:vAlign w:val="center"/>
                  <w:hideMark/>
                </w:tcPr>
                <w:p w14:paraId="0B65DA9A" w14:textId="407D5C20" w:rsidR="00FA1364" w:rsidRPr="001F5088" w:rsidRDefault="00FA1364" w:rsidP="00FA1364">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FN</w:t>
                  </w:r>
                  <w:r w:rsidRPr="008275EB">
                    <w:rPr>
                      <w:rFonts w:eastAsia="Times New Roman" w:cs="Arial"/>
                      <w:color w:val="000000"/>
                      <w:sz w:val="20"/>
                      <w:szCs w:val="20"/>
                    </w:rPr>
                    <w:t xml:space="preserve">: </w:t>
                  </w:r>
                  <w:r w:rsidR="00351A48">
                    <w:rPr>
                      <w:rFonts w:eastAsia="Times New Roman" w:cs="Arial"/>
                      <w:color w:val="000000"/>
                      <w:sz w:val="20"/>
                      <w:szCs w:val="20"/>
                    </w:rPr>
                    <w:t>7</w:t>
                  </w:r>
                </w:p>
              </w:tc>
              <w:tc>
                <w:tcPr>
                  <w:tcW w:w="1357" w:type="dxa"/>
                  <w:tcBorders>
                    <w:top w:val="single" w:sz="4" w:space="0" w:color="auto"/>
                    <w:bottom w:val="single" w:sz="4" w:space="0" w:color="auto"/>
                  </w:tcBorders>
                  <w:shd w:val="clear" w:color="auto" w:fill="auto"/>
                  <w:noWrap/>
                  <w:vAlign w:val="center"/>
                  <w:hideMark/>
                </w:tcPr>
                <w:p w14:paraId="5D7FF0E1" w14:textId="6131017B" w:rsidR="00FA1364" w:rsidRPr="001F5088" w:rsidRDefault="00FA1364" w:rsidP="00FA1364">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TN</w:t>
                  </w:r>
                  <w:r w:rsidRPr="008275EB">
                    <w:rPr>
                      <w:rFonts w:eastAsia="Times New Roman" w:cs="Arial"/>
                      <w:color w:val="000000"/>
                      <w:sz w:val="20"/>
                      <w:szCs w:val="20"/>
                    </w:rPr>
                    <w:t xml:space="preserve">: </w:t>
                  </w:r>
                  <w:r w:rsidR="00351A48">
                    <w:rPr>
                      <w:rFonts w:eastAsia="Times New Roman" w:cs="Arial"/>
                      <w:color w:val="000000"/>
                      <w:sz w:val="20"/>
                      <w:szCs w:val="20"/>
                    </w:rPr>
                    <w:t>2</w:t>
                  </w:r>
                </w:p>
              </w:tc>
              <w:tc>
                <w:tcPr>
                  <w:tcW w:w="1549" w:type="dxa"/>
                  <w:tcBorders>
                    <w:top w:val="single" w:sz="4" w:space="0" w:color="auto"/>
                    <w:bottom w:val="single" w:sz="4" w:space="0" w:color="auto"/>
                  </w:tcBorders>
                  <w:shd w:val="clear" w:color="auto" w:fill="D9D9D9" w:themeFill="background1" w:themeFillShade="D9"/>
                  <w:noWrap/>
                  <w:vAlign w:val="center"/>
                  <w:hideMark/>
                </w:tcPr>
                <w:p w14:paraId="1048C4A7" w14:textId="71ECC1B5" w:rsidR="00FA1364" w:rsidRPr="001F5088" w:rsidRDefault="00FA1364" w:rsidP="00FA1364">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FN</w:t>
                  </w:r>
                  <w:r w:rsidRPr="008275EB">
                    <w:rPr>
                      <w:rFonts w:eastAsia="Times New Roman" w:cs="Arial"/>
                      <w:color w:val="000000"/>
                      <w:sz w:val="20"/>
                      <w:szCs w:val="20"/>
                    </w:rPr>
                    <w:t xml:space="preserve">: </w:t>
                  </w:r>
                  <w:r w:rsidR="002A6BE8">
                    <w:rPr>
                      <w:rFonts w:eastAsia="Times New Roman" w:cs="Arial"/>
                      <w:color w:val="000000"/>
                      <w:sz w:val="20"/>
                      <w:szCs w:val="20"/>
                    </w:rPr>
                    <w:t>3</w:t>
                  </w:r>
                </w:p>
              </w:tc>
              <w:tc>
                <w:tcPr>
                  <w:tcW w:w="1453" w:type="dxa"/>
                  <w:tcBorders>
                    <w:top w:val="single" w:sz="4" w:space="0" w:color="auto"/>
                    <w:bottom w:val="single" w:sz="4" w:space="0" w:color="auto"/>
                  </w:tcBorders>
                  <w:shd w:val="clear" w:color="auto" w:fill="D9D9D9" w:themeFill="background1" w:themeFillShade="D9"/>
                  <w:noWrap/>
                  <w:vAlign w:val="center"/>
                  <w:hideMark/>
                </w:tcPr>
                <w:p w14:paraId="52ACF722" w14:textId="2ABF292B" w:rsidR="00FA1364" w:rsidRPr="001F5088" w:rsidRDefault="00FA1364" w:rsidP="00FA1364">
                  <w:pPr>
                    <w:widowControl/>
                    <w:spacing w:line="240" w:lineRule="auto"/>
                    <w:ind w:firstLine="0"/>
                    <w:jc w:val="center"/>
                    <w:rPr>
                      <w:rFonts w:eastAsia="Times New Roman" w:cs="Arial"/>
                      <w:color w:val="000000"/>
                      <w:sz w:val="20"/>
                      <w:szCs w:val="20"/>
                    </w:rPr>
                  </w:pPr>
                  <w:r w:rsidRPr="001F5088">
                    <w:rPr>
                      <w:rFonts w:eastAsia="Times New Roman" w:cs="Arial"/>
                      <w:color w:val="000000"/>
                      <w:sz w:val="20"/>
                      <w:szCs w:val="20"/>
                    </w:rPr>
                    <w:t>TN</w:t>
                  </w:r>
                  <w:r w:rsidRPr="008275EB">
                    <w:rPr>
                      <w:rFonts w:eastAsia="Times New Roman" w:cs="Arial"/>
                      <w:color w:val="000000"/>
                      <w:sz w:val="20"/>
                      <w:szCs w:val="20"/>
                    </w:rPr>
                    <w:t xml:space="preserve">: </w:t>
                  </w:r>
                  <w:r w:rsidR="002A6BE8">
                    <w:rPr>
                      <w:rFonts w:eastAsia="Times New Roman" w:cs="Arial"/>
                      <w:color w:val="000000"/>
                      <w:sz w:val="20"/>
                      <w:szCs w:val="20"/>
                    </w:rPr>
                    <w:t>7</w:t>
                  </w:r>
                </w:p>
              </w:tc>
            </w:tr>
          </w:tbl>
          <w:p w14:paraId="42AD43BC" w14:textId="77777777" w:rsidR="0076082E" w:rsidRDefault="0076082E" w:rsidP="0076082E">
            <w:pPr>
              <w:widowControl/>
              <w:spacing w:after="160" w:line="259" w:lineRule="auto"/>
              <w:ind w:firstLine="0"/>
              <w:rPr>
                <w:rFonts w:eastAsiaTheme="majorEastAsia" w:cstheme="majorBidi"/>
                <w:b/>
                <w:smallCaps/>
                <w:sz w:val="28"/>
                <w:szCs w:val="32"/>
                <w:lang w:eastAsia="zh-CN"/>
              </w:rPr>
            </w:pPr>
          </w:p>
        </w:tc>
      </w:tr>
    </w:tbl>
    <w:p w14:paraId="650E1582" w14:textId="033F9008" w:rsidR="001827C5" w:rsidRDefault="005035B2" w:rsidP="005035B2">
      <w:pPr>
        <w:pStyle w:val="Caption"/>
        <w:rPr>
          <w:rFonts w:cs="Arial"/>
          <w:b w:val="0"/>
          <w:bCs/>
          <w:szCs w:val="24"/>
        </w:rPr>
      </w:pPr>
      <w:r w:rsidRPr="005035B2">
        <w:rPr>
          <w:b w:val="0"/>
          <w:bCs/>
        </w:rPr>
        <w:t xml:space="preserve">Figure </w:t>
      </w:r>
      <w:r w:rsidRPr="005035B2">
        <w:rPr>
          <w:b w:val="0"/>
          <w:bCs/>
        </w:rPr>
        <w:fldChar w:fldCharType="begin"/>
      </w:r>
      <w:r w:rsidRPr="005035B2">
        <w:rPr>
          <w:b w:val="0"/>
          <w:bCs/>
        </w:rPr>
        <w:instrText xml:space="preserve"> SEQ Figure \* ARABIC </w:instrText>
      </w:r>
      <w:r w:rsidRPr="005035B2">
        <w:rPr>
          <w:b w:val="0"/>
          <w:bCs/>
        </w:rPr>
        <w:fldChar w:fldCharType="separate"/>
      </w:r>
      <w:r w:rsidR="00B51674">
        <w:rPr>
          <w:b w:val="0"/>
          <w:bCs/>
          <w:noProof/>
        </w:rPr>
        <w:t>7</w:t>
      </w:r>
      <w:r w:rsidRPr="005035B2">
        <w:rPr>
          <w:b w:val="0"/>
          <w:bCs/>
        </w:rPr>
        <w:fldChar w:fldCharType="end"/>
      </w:r>
      <w:r w:rsidRPr="005035B2">
        <w:rPr>
          <w:b w:val="0"/>
          <w:bCs/>
        </w:rPr>
        <w:t>.</w:t>
      </w:r>
      <w:r>
        <w:t xml:space="preserve"> </w:t>
      </w:r>
      <w:r w:rsidRPr="00A91056">
        <w:rPr>
          <w:rFonts w:cs="Arial"/>
          <w:szCs w:val="24"/>
        </w:rPr>
        <w:t xml:space="preserve">Comparison of the outcomes in the </w:t>
      </w:r>
      <w:r w:rsidR="006C4141" w:rsidRPr="006C4141">
        <w:rPr>
          <w:szCs w:val="20"/>
          <w:vertAlign w:val="superscript"/>
        </w:rPr>
        <w:t>32</w:t>
      </w:r>
      <w:r w:rsidR="006C4141" w:rsidRPr="006C4141">
        <w:rPr>
          <w:szCs w:val="20"/>
        </w:rPr>
        <w:t xml:space="preserve">P-nucleotide </w:t>
      </w:r>
      <w:proofErr w:type="spellStart"/>
      <w:r w:rsidR="006C4141" w:rsidRPr="006C4141">
        <w:rPr>
          <w:szCs w:val="20"/>
        </w:rPr>
        <w:t>postlabeling</w:t>
      </w:r>
      <w:proofErr w:type="spellEnd"/>
      <w:r w:rsidR="006C4141" w:rsidRPr="006C4141">
        <w:rPr>
          <w:szCs w:val="20"/>
        </w:rPr>
        <w:t xml:space="preserve"> (</w:t>
      </w:r>
      <w:r w:rsidRPr="00A91056">
        <w:rPr>
          <w:rFonts w:cs="Arial"/>
          <w:szCs w:val="24"/>
        </w:rPr>
        <w:t>NPL</w:t>
      </w:r>
      <w:r w:rsidR="006C4141">
        <w:rPr>
          <w:rFonts w:cs="Arial"/>
          <w:szCs w:val="24"/>
        </w:rPr>
        <w:t>)</w:t>
      </w:r>
      <w:r w:rsidRPr="00A91056">
        <w:rPr>
          <w:rFonts w:cs="Arial"/>
          <w:szCs w:val="24"/>
        </w:rPr>
        <w:t xml:space="preserve"> and comet assays in </w:t>
      </w:r>
      <w:r w:rsidR="00937B63" w:rsidRPr="00C1049A">
        <w:rPr>
          <w:rFonts w:cs="Arial"/>
          <w:szCs w:val="20"/>
        </w:rPr>
        <w:t xml:space="preserve">the </w:t>
      </w:r>
      <w:r w:rsidR="00937B63" w:rsidRPr="00C1049A">
        <w:rPr>
          <w:szCs w:val="20"/>
        </w:rPr>
        <w:t>Chicken (</w:t>
      </w:r>
      <w:r w:rsidR="00937B63" w:rsidRPr="00C1049A">
        <w:rPr>
          <w:rFonts w:cs="Arial"/>
          <w:szCs w:val="20"/>
        </w:rPr>
        <w:t xml:space="preserve">CEGA) (A) and Turkey (TEGA) (B) </w:t>
      </w:r>
      <w:r w:rsidR="00937B63" w:rsidRPr="00C1049A">
        <w:rPr>
          <w:szCs w:val="20"/>
        </w:rPr>
        <w:t>egg genotoxicity assays</w:t>
      </w:r>
      <w:r w:rsidR="001827C5">
        <w:rPr>
          <w:rFonts w:cs="Arial"/>
          <w:szCs w:val="24"/>
        </w:rPr>
        <w:t xml:space="preserve"> </w:t>
      </w:r>
      <w:r w:rsidRPr="00A91056">
        <w:rPr>
          <w:rFonts w:cs="Arial"/>
          <w:szCs w:val="24"/>
        </w:rPr>
        <w:t xml:space="preserve">with respective in vitro and in vivo </w:t>
      </w:r>
      <w:r w:rsidR="001827C5">
        <w:rPr>
          <w:rFonts w:cs="Arial"/>
          <w:szCs w:val="24"/>
        </w:rPr>
        <w:t>endpoints</w:t>
      </w:r>
      <w:r w:rsidRPr="005035B2">
        <w:rPr>
          <w:rFonts w:cs="Arial"/>
          <w:b w:val="0"/>
          <w:bCs/>
          <w:szCs w:val="24"/>
        </w:rPr>
        <w:t xml:space="preserve">. </w:t>
      </w:r>
      <w:r w:rsidR="006C4141" w:rsidRPr="00C1049A">
        <w:rPr>
          <w:rFonts w:cs="Arial"/>
          <w:b w:val="0"/>
          <w:bCs/>
          <w:szCs w:val="20"/>
        </w:rPr>
        <w:t xml:space="preserve">Tables underneath the bar charts represent confusion matrices with numbers of chemicals that produced either positive or negative outcomes for each respective endpoint. </w:t>
      </w:r>
      <w:r w:rsidR="006C4141" w:rsidRPr="00C1049A">
        <w:rPr>
          <w:b w:val="0"/>
          <w:bCs/>
          <w:szCs w:val="20"/>
        </w:rPr>
        <w:t>Equivocal results were considered to be positive</w:t>
      </w:r>
      <w:r w:rsidR="001827C5">
        <w:rPr>
          <w:b w:val="0"/>
          <w:bCs/>
          <w:szCs w:val="20"/>
        </w:rPr>
        <w:t>.</w:t>
      </w:r>
    </w:p>
    <w:p w14:paraId="493D9E98" w14:textId="501C7A2B" w:rsidR="00FB07DB" w:rsidRDefault="001827C5" w:rsidP="00FA1364">
      <w:pPr>
        <w:pStyle w:val="Caption"/>
        <w:rPr>
          <w:rFonts w:eastAsiaTheme="majorEastAsia" w:cstheme="majorBidi"/>
          <w:b w:val="0"/>
          <w:smallCaps/>
          <w:sz w:val="28"/>
          <w:szCs w:val="32"/>
          <w:lang w:eastAsia="zh-CN"/>
        </w:rPr>
      </w:pPr>
      <w:r w:rsidRPr="001827C5">
        <w:rPr>
          <w:b w:val="0"/>
          <w:bCs/>
          <w:i/>
          <w:iCs w:val="0"/>
          <w:szCs w:val="20"/>
        </w:rPr>
        <w:t>Abbreviations</w:t>
      </w:r>
      <w:r w:rsidRPr="001827C5">
        <w:rPr>
          <w:b w:val="0"/>
          <w:bCs/>
          <w:szCs w:val="20"/>
        </w:rPr>
        <w:t xml:space="preserve">: </w:t>
      </w:r>
      <w:r w:rsidR="005035B2" w:rsidRPr="005035B2">
        <w:rPr>
          <w:b w:val="0"/>
          <w:bCs/>
          <w:szCs w:val="20"/>
        </w:rPr>
        <w:t xml:space="preserve">FDR, false discovery rate; </w:t>
      </w:r>
      <w:r w:rsidR="008D484E" w:rsidRPr="003767BA">
        <w:rPr>
          <w:b w:val="0"/>
          <w:bCs/>
          <w:szCs w:val="20"/>
        </w:rPr>
        <w:t>FN, false negative; FP, false positive;</w:t>
      </w:r>
      <w:r w:rsidR="008D484E" w:rsidRPr="001077E6">
        <w:rPr>
          <w:szCs w:val="20"/>
        </w:rPr>
        <w:t xml:space="preserve"> </w:t>
      </w:r>
      <w:r w:rsidR="005035B2" w:rsidRPr="005035B2">
        <w:rPr>
          <w:b w:val="0"/>
          <w:bCs/>
          <w:szCs w:val="20"/>
        </w:rPr>
        <w:t xml:space="preserve">NPV, negative predictive value; PPV, positive predictive value; </w:t>
      </w:r>
      <w:r w:rsidR="003767BA" w:rsidRPr="003767BA">
        <w:rPr>
          <w:b w:val="0"/>
          <w:bCs/>
          <w:szCs w:val="20"/>
        </w:rPr>
        <w:t>TN, true negative; TP, true positive</w:t>
      </w:r>
      <w:r w:rsidR="00FA1364">
        <w:rPr>
          <w:b w:val="0"/>
          <w:bCs/>
          <w:szCs w:val="20"/>
        </w:rPr>
        <w:t>.</w:t>
      </w:r>
      <w:r w:rsidR="00FB07DB">
        <w:br w:type="page"/>
      </w:r>
    </w:p>
    <w:p w14:paraId="7FA5347A" w14:textId="0E400648" w:rsidR="003C73F9" w:rsidRPr="00A91056" w:rsidRDefault="003C73F9" w:rsidP="003C73F9">
      <w:pPr>
        <w:pStyle w:val="Heading1"/>
      </w:pPr>
      <w:r w:rsidRPr="00A91056">
        <w:lastRenderedPageBreak/>
        <w:t>5. Discussion</w:t>
      </w:r>
    </w:p>
    <w:p w14:paraId="60B000EE" w14:textId="202262FC" w:rsidR="0090513C" w:rsidRDefault="003D2BE1" w:rsidP="0053546E">
      <w:pPr>
        <w:autoSpaceDE w:val="0"/>
        <w:autoSpaceDN w:val="0"/>
        <w:adjustRightInd w:val="0"/>
        <w:rPr>
          <w:rFonts w:cs="Arial"/>
          <w:szCs w:val="24"/>
        </w:rPr>
      </w:pPr>
      <w:r w:rsidRPr="00A91056">
        <w:rPr>
          <w:rFonts w:cs="Arial"/>
          <w:szCs w:val="24"/>
        </w:rPr>
        <w:t xml:space="preserve">The concordance analysis </w:t>
      </w:r>
      <w:r w:rsidR="00C204F4">
        <w:rPr>
          <w:rFonts w:cs="Arial"/>
          <w:szCs w:val="24"/>
        </w:rPr>
        <w:t>of</w:t>
      </w:r>
      <w:r w:rsidRPr="00A91056">
        <w:rPr>
          <w:rFonts w:cs="Arial"/>
          <w:szCs w:val="24"/>
        </w:rPr>
        <w:t xml:space="preserve"> outcomes</w:t>
      </w:r>
      <w:r>
        <w:rPr>
          <w:rFonts w:cs="Arial"/>
          <w:szCs w:val="24"/>
        </w:rPr>
        <w:t xml:space="preserve"> for 125 compounds tested</w:t>
      </w:r>
      <w:r w:rsidRPr="00A91056">
        <w:rPr>
          <w:rFonts w:cs="Arial"/>
          <w:szCs w:val="24"/>
        </w:rPr>
        <w:t xml:space="preserve"> in the </w:t>
      </w:r>
      <w:r w:rsidRPr="00556BA2">
        <w:rPr>
          <w:rFonts w:cs="Arial"/>
          <w:i/>
          <w:iCs/>
          <w:szCs w:val="24"/>
        </w:rPr>
        <w:t xml:space="preserve">in </w:t>
      </w:r>
      <w:proofErr w:type="spellStart"/>
      <w:r w:rsidRPr="00556BA2">
        <w:rPr>
          <w:rFonts w:cs="Arial"/>
          <w:i/>
          <w:iCs/>
          <w:szCs w:val="24"/>
        </w:rPr>
        <w:t>ovo</w:t>
      </w:r>
      <w:proofErr w:type="spellEnd"/>
      <w:r w:rsidRPr="00A91056">
        <w:rPr>
          <w:rFonts w:cs="Arial"/>
          <w:szCs w:val="24"/>
        </w:rPr>
        <w:t xml:space="preserve"> assays </w:t>
      </w:r>
      <w:r>
        <w:rPr>
          <w:rFonts w:cs="Arial"/>
          <w:szCs w:val="24"/>
        </w:rPr>
        <w:t>(</w:t>
      </w:r>
      <w:r>
        <w:rPr>
          <w:rFonts w:cs="Arial"/>
          <w:b/>
          <w:bCs/>
          <w:szCs w:val="24"/>
        </w:rPr>
        <w:t xml:space="preserve">Figures 5 and </w:t>
      </w:r>
      <w:r w:rsidRPr="00B00551">
        <w:rPr>
          <w:rFonts w:cs="Arial"/>
          <w:b/>
          <w:bCs/>
          <w:szCs w:val="24"/>
        </w:rPr>
        <w:t>6</w:t>
      </w:r>
      <w:r>
        <w:rPr>
          <w:rFonts w:cs="Arial"/>
          <w:szCs w:val="24"/>
        </w:rPr>
        <w:t xml:space="preserve">) </w:t>
      </w:r>
      <w:r w:rsidR="006C6737">
        <w:rPr>
          <w:rFonts w:cs="Arial"/>
          <w:szCs w:val="24"/>
        </w:rPr>
        <w:t>documented</w:t>
      </w:r>
      <w:r w:rsidRPr="00A91056">
        <w:rPr>
          <w:rFonts w:cs="Arial"/>
          <w:szCs w:val="24"/>
        </w:rPr>
        <w:t xml:space="preserve"> a reasonably high reliability</w:t>
      </w:r>
      <w:r>
        <w:rPr>
          <w:rFonts w:cs="Arial"/>
          <w:szCs w:val="24"/>
        </w:rPr>
        <w:t xml:space="preserve"> of CEGA and TEGA </w:t>
      </w:r>
      <w:r w:rsidRPr="00A91056">
        <w:rPr>
          <w:rFonts w:cs="Arial"/>
          <w:szCs w:val="24"/>
        </w:rPr>
        <w:t>in detecting genotoxic potential</w:t>
      </w:r>
      <w:r>
        <w:rPr>
          <w:rFonts w:cs="Arial"/>
          <w:szCs w:val="24"/>
        </w:rPr>
        <w:t xml:space="preserve"> of chemical entities. </w:t>
      </w:r>
      <w:r w:rsidR="003E4533">
        <w:rPr>
          <w:rFonts w:cs="Arial"/>
          <w:szCs w:val="24"/>
        </w:rPr>
        <w:t xml:space="preserve">Comparison </w:t>
      </w:r>
      <w:r w:rsidR="003E4533" w:rsidRPr="00A91056">
        <w:rPr>
          <w:rFonts w:cs="Arial"/>
          <w:szCs w:val="24"/>
        </w:rPr>
        <w:t xml:space="preserve">with </w:t>
      </w:r>
      <w:r w:rsidR="003E4533">
        <w:rPr>
          <w:rFonts w:cs="Arial"/>
          <w:szCs w:val="24"/>
        </w:rPr>
        <w:t xml:space="preserve">genotoxicity and carcinogenicity </w:t>
      </w:r>
      <w:r w:rsidR="003E4533" w:rsidRPr="00A91056">
        <w:rPr>
          <w:rFonts w:cs="Arial"/>
          <w:szCs w:val="24"/>
        </w:rPr>
        <w:t xml:space="preserve">endpoints tested in other systems </w:t>
      </w:r>
      <w:r w:rsidR="003E4533">
        <w:rPr>
          <w:rFonts w:cs="Arial"/>
          <w:szCs w:val="24"/>
        </w:rPr>
        <w:t>in vitro and in vivo</w:t>
      </w:r>
      <w:r w:rsidR="003E4533" w:rsidRPr="003E4533">
        <w:rPr>
          <w:rFonts w:cs="Arial"/>
          <w:szCs w:val="24"/>
        </w:rPr>
        <w:t xml:space="preserve"> </w:t>
      </w:r>
      <w:r w:rsidR="003E4533" w:rsidRPr="00A91056">
        <w:rPr>
          <w:rFonts w:cs="Arial"/>
          <w:szCs w:val="24"/>
        </w:rPr>
        <w:t xml:space="preserve">revealed that CEGA and TEGA outcomes align more closely with in vivo genotoxicity data than </w:t>
      </w:r>
      <w:r w:rsidR="00FC75AA">
        <w:rPr>
          <w:rFonts w:cs="Arial"/>
          <w:szCs w:val="24"/>
        </w:rPr>
        <w:t xml:space="preserve">with </w:t>
      </w:r>
      <w:r w:rsidR="003E4533" w:rsidRPr="00A91056">
        <w:rPr>
          <w:rFonts w:cs="Arial"/>
          <w:szCs w:val="24"/>
        </w:rPr>
        <w:t xml:space="preserve">in vitro results. </w:t>
      </w:r>
      <w:r w:rsidR="004F6BFB">
        <w:rPr>
          <w:rFonts w:cs="Arial"/>
          <w:szCs w:val="24"/>
        </w:rPr>
        <w:t>Thus, f</w:t>
      </w:r>
      <w:r w:rsidR="003E4533" w:rsidRPr="00A91056">
        <w:rPr>
          <w:rFonts w:cs="Arial"/>
          <w:szCs w:val="24"/>
        </w:rPr>
        <w:t xml:space="preserve">or CEGA, approximately 90% of the compounds positive in </w:t>
      </w:r>
      <w:r w:rsidR="003E4533">
        <w:rPr>
          <w:rFonts w:cs="Arial"/>
          <w:szCs w:val="24"/>
        </w:rPr>
        <w:t>the system</w:t>
      </w:r>
      <w:r w:rsidR="003E4533" w:rsidRPr="00A91056">
        <w:rPr>
          <w:rFonts w:cs="Arial"/>
          <w:szCs w:val="24"/>
        </w:rPr>
        <w:t xml:space="preserve"> demonstrated genotoxicity in at least one</w:t>
      </w:r>
      <w:r w:rsidR="0053546E">
        <w:rPr>
          <w:rFonts w:cs="Arial"/>
          <w:szCs w:val="24"/>
        </w:rPr>
        <w:t xml:space="preserve"> of</w:t>
      </w:r>
      <w:r w:rsidR="003E4533" w:rsidRPr="00A91056">
        <w:rPr>
          <w:rFonts w:cs="Arial"/>
          <w:szCs w:val="24"/>
        </w:rPr>
        <w:t xml:space="preserve"> in vivo </w:t>
      </w:r>
      <w:r w:rsidR="0053546E" w:rsidRPr="00A91056">
        <w:rPr>
          <w:rFonts w:cs="Arial"/>
          <w:szCs w:val="24"/>
        </w:rPr>
        <w:t>assays</w:t>
      </w:r>
      <w:r w:rsidR="003E4533" w:rsidRPr="00A91056">
        <w:rPr>
          <w:rFonts w:cs="Arial"/>
          <w:szCs w:val="24"/>
        </w:rPr>
        <w:t xml:space="preserve">, </w:t>
      </w:r>
      <w:r w:rsidR="002D1BA6">
        <w:rPr>
          <w:rFonts w:cs="Arial"/>
          <w:szCs w:val="24"/>
        </w:rPr>
        <w:t xml:space="preserve">while </w:t>
      </w:r>
      <w:r w:rsidR="003E4533" w:rsidRPr="00A91056">
        <w:rPr>
          <w:rFonts w:cs="Arial"/>
          <w:szCs w:val="24"/>
        </w:rPr>
        <w:t xml:space="preserve">alignment for TEGA </w:t>
      </w:r>
      <w:r w:rsidR="002D1BA6">
        <w:rPr>
          <w:rFonts w:cs="Arial"/>
          <w:szCs w:val="24"/>
        </w:rPr>
        <w:t>was</w:t>
      </w:r>
      <w:r w:rsidR="002D1BA6" w:rsidRPr="00A91056">
        <w:rPr>
          <w:rFonts w:cs="Arial"/>
          <w:szCs w:val="24"/>
        </w:rPr>
        <w:t xml:space="preserve"> slightly lower</w:t>
      </w:r>
      <w:r w:rsidR="00730FA1">
        <w:rPr>
          <w:rFonts w:cs="Arial"/>
          <w:szCs w:val="24"/>
        </w:rPr>
        <w:t xml:space="preserve"> at </w:t>
      </w:r>
      <w:r w:rsidR="00730FA1" w:rsidRPr="00A91056">
        <w:rPr>
          <w:rFonts w:cs="Arial"/>
          <w:szCs w:val="24"/>
        </w:rPr>
        <w:t>7</w:t>
      </w:r>
      <w:r w:rsidR="00730FA1">
        <w:rPr>
          <w:rFonts w:cs="Arial"/>
          <w:szCs w:val="24"/>
        </w:rPr>
        <w:t>2</w:t>
      </w:r>
      <w:r w:rsidR="00730FA1" w:rsidRPr="00A91056">
        <w:rPr>
          <w:rFonts w:cs="Arial"/>
          <w:szCs w:val="24"/>
        </w:rPr>
        <w:t>%</w:t>
      </w:r>
      <w:r w:rsidR="003E4533" w:rsidRPr="00A91056">
        <w:rPr>
          <w:rFonts w:cs="Arial"/>
          <w:szCs w:val="24"/>
        </w:rPr>
        <w:t xml:space="preserve">. </w:t>
      </w:r>
      <w:r w:rsidR="0090513C">
        <w:rPr>
          <w:rFonts w:cs="Arial"/>
          <w:szCs w:val="24"/>
        </w:rPr>
        <w:t>Notably</w:t>
      </w:r>
      <w:r w:rsidR="0090513C" w:rsidRPr="00A91056">
        <w:rPr>
          <w:rFonts w:cs="Arial"/>
          <w:szCs w:val="24"/>
        </w:rPr>
        <w:t xml:space="preserve">, </w:t>
      </w:r>
      <w:r w:rsidR="0090513C">
        <w:rPr>
          <w:rFonts w:cs="Arial"/>
          <w:szCs w:val="24"/>
        </w:rPr>
        <w:t xml:space="preserve">specificity and sensitivity of CEGA and TEGA varied </w:t>
      </w:r>
      <w:r w:rsidR="0090513C" w:rsidRPr="00A91056">
        <w:rPr>
          <w:rFonts w:cs="Arial"/>
          <w:szCs w:val="24"/>
        </w:rPr>
        <w:t xml:space="preserve">depending on the </w:t>
      </w:r>
      <w:r w:rsidR="002D1BA6">
        <w:rPr>
          <w:rFonts w:cs="Arial"/>
          <w:szCs w:val="24"/>
        </w:rPr>
        <w:t xml:space="preserve">compared </w:t>
      </w:r>
      <w:r w:rsidR="0090513C" w:rsidRPr="00A91056">
        <w:rPr>
          <w:rFonts w:cs="Arial"/>
          <w:szCs w:val="24"/>
        </w:rPr>
        <w:t>endpoint</w:t>
      </w:r>
      <w:r w:rsidR="0090513C" w:rsidRPr="00496141">
        <w:rPr>
          <w:rFonts w:cs="Arial"/>
          <w:szCs w:val="24"/>
        </w:rPr>
        <w:t xml:space="preserve"> </w:t>
      </w:r>
      <w:r w:rsidR="0090513C">
        <w:rPr>
          <w:rFonts w:cs="Arial"/>
          <w:szCs w:val="24"/>
        </w:rPr>
        <w:t>(</w:t>
      </w:r>
      <w:r w:rsidR="0090513C">
        <w:rPr>
          <w:rFonts w:cs="Arial"/>
          <w:b/>
          <w:bCs/>
          <w:szCs w:val="24"/>
        </w:rPr>
        <w:t xml:space="preserve">Figures 5 and </w:t>
      </w:r>
      <w:r w:rsidR="0090513C" w:rsidRPr="00B00551">
        <w:rPr>
          <w:rFonts w:cs="Arial"/>
          <w:b/>
          <w:bCs/>
          <w:szCs w:val="24"/>
        </w:rPr>
        <w:t>6</w:t>
      </w:r>
      <w:r w:rsidR="0090513C">
        <w:rPr>
          <w:rFonts w:cs="Arial"/>
          <w:szCs w:val="24"/>
        </w:rPr>
        <w:t xml:space="preserve">) </w:t>
      </w:r>
      <w:r w:rsidR="0090513C" w:rsidRPr="00A91056">
        <w:rPr>
          <w:rFonts w:cs="Arial"/>
          <w:szCs w:val="24"/>
        </w:rPr>
        <w:t>suggest</w:t>
      </w:r>
      <w:r w:rsidR="0090513C">
        <w:rPr>
          <w:rFonts w:cs="Arial"/>
          <w:szCs w:val="24"/>
        </w:rPr>
        <w:t>ing</w:t>
      </w:r>
      <w:r w:rsidR="0090513C" w:rsidRPr="00A91056">
        <w:rPr>
          <w:rFonts w:cs="Arial"/>
          <w:szCs w:val="24"/>
        </w:rPr>
        <w:t xml:space="preserve"> that the </w:t>
      </w:r>
      <w:r w:rsidR="0090513C" w:rsidRPr="00496141">
        <w:rPr>
          <w:rFonts w:cs="Arial"/>
          <w:i/>
          <w:iCs/>
          <w:szCs w:val="24"/>
        </w:rPr>
        <w:t xml:space="preserve">in </w:t>
      </w:r>
      <w:proofErr w:type="spellStart"/>
      <w:r w:rsidR="0090513C" w:rsidRPr="00496141">
        <w:rPr>
          <w:rFonts w:cs="Arial"/>
          <w:i/>
          <w:iCs/>
          <w:szCs w:val="24"/>
        </w:rPr>
        <w:t>ovo</w:t>
      </w:r>
      <w:proofErr w:type="spellEnd"/>
      <w:r w:rsidR="0090513C">
        <w:rPr>
          <w:rFonts w:cs="Arial"/>
          <w:szCs w:val="24"/>
        </w:rPr>
        <w:t xml:space="preserve"> </w:t>
      </w:r>
      <w:r w:rsidR="0090513C" w:rsidRPr="00A91056">
        <w:rPr>
          <w:rFonts w:cs="Arial"/>
          <w:szCs w:val="24"/>
        </w:rPr>
        <w:t>assays are particularly robust for detecting certain types of DNA damage</w:t>
      </w:r>
      <w:r w:rsidR="0090513C">
        <w:rPr>
          <w:rFonts w:cs="Arial"/>
          <w:szCs w:val="24"/>
        </w:rPr>
        <w:t>.</w:t>
      </w:r>
      <w:r w:rsidR="00B21E8C" w:rsidRPr="00B21E8C">
        <w:rPr>
          <w:rFonts w:cs="Arial"/>
          <w:szCs w:val="24"/>
        </w:rPr>
        <w:t xml:space="preserve"> </w:t>
      </w:r>
    </w:p>
    <w:p w14:paraId="5DEE1C27" w14:textId="7C31CC7F" w:rsidR="00EE6E48" w:rsidRDefault="00EE6E48" w:rsidP="00EE6E48">
      <w:pPr>
        <w:autoSpaceDE w:val="0"/>
        <w:autoSpaceDN w:val="0"/>
        <w:adjustRightInd w:val="0"/>
        <w:rPr>
          <w:rFonts w:cs="Arial"/>
          <w:szCs w:val="24"/>
        </w:rPr>
      </w:pPr>
      <w:r>
        <w:rPr>
          <w:rFonts w:cs="Arial"/>
          <w:szCs w:val="24"/>
        </w:rPr>
        <w:t>CEGA also demonstrated strong predictivity</w:t>
      </w:r>
      <w:r w:rsidR="007E7736">
        <w:rPr>
          <w:rFonts w:cs="Arial"/>
          <w:szCs w:val="24"/>
        </w:rPr>
        <w:t xml:space="preserve">, with </w:t>
      </w:r>
      <w:r w:rsidRPr="000E375B">
        <w:rPr>
          <w:rFonts w:cs="Arial"/>
          <w:szCs w:val="24"/>
        </w:rPr>
        <w:t>a sensitivity of 73% and specificity of 92%</w:t>
      </w:r>
      <w:r w:rsidR="007E7736">
        <w:rPr>
          <w:rFonts w:cs="Arial"/>
          <w:szCs w:val="24"/>
        </w:rPr>
        <w:t>,</w:t>
      </w:r>
      <w:r w:rsidRPr="000E375B">
        <w:rPr>
          <w:rFonts w:cs="Arial"/>
          <w:szCs w:val="24"/>
        </w:rPr>
        <w:t xml:space="preserve"> </w:t>
      </w:r>
      <w:r>
        <w:rPr>
          <w:rFonts w:cs="Arial"/>
          <w:szCs w:val="24"/>
        </w:rPr>
        <w:t>for carcinogenicity outcomes, in particular for genotoxic carcinogens (</w:t>
      </w:r>
      <w:r w:rsidRPr="00470F84">
        <w:rPr>
          <w:rFonts w:cs="Arial"/>
          <w:b/>
          <w:bCs/>
          <w:szCs w:val="24"/>
        </w:rPr>
        <w:t>Table 1</w:t>
      </w:r>
      <w:r>
        <w:rPr>
          <w:rFonts w:cs="Arial"/>
          <w:szCs w:val="24"/>
        </w:rPr>
        <w:t xml:space="preserve"> and </w:t>
      </w:r>
      <w:r w:rsidRPr="00470F84">
        <w:rPr>
          <w:rFonts w:cs="Arial"/>
          <w:b/>
          <w:bCs/>
          <w:szCs w:val="24"/>
        </w:rPr>
        <w:t>Figure 6A</w:t>
      </w:r>
      <w:r>
        <w:rPr>
          <w:rFonts w:cs="Arial"/>
          <w:szCs w:val="24"/>
        </w:rPr>
        <w:t xml:space="preserve">). In comparison, TEGA had </w:t>
      </w:r>
      <w:r w:rsidRPr="000E375B">
        <w:rPr>
          <w:rFonts w:cs="Arial"/>
          <w:szCs w:val="24"/>
        </w:rPr>
        <w:t xml:space="preserve">slightly lower predictive power </w:t>
      </w:r>
      <w:r>
        <w:rPr>
          <w:rFonts w:cs="Arial"/>
          <w:szCs w:val="24"/>
        </w:rPr>
        <w:t xml:space="preserve">with </w:t>
      </w:r>
      <w:r w:rsidRPr="000E375B">
        <w:rPr>
          <w:rFonts w:cs="Arial"/>
          <w:szCs w:val="24"/>
        </w:rPr>
        <w:t xml:space="preserve">a sensitivity of </w:t>
      </w:r>
      <w:r>
        <w:rPr>
          <w:rFonts w:cs="Arial"/>
          <w:szCs w:val="24"/>
        </w:rPr>
        <w:t>5</w:t>
      </w:r>
      <w:r w:rsidRPr="000E375B">
        <w:rPr>
          <w:rFonts w:cs="Arial"/>
          <w:szCs w:val="24"/>
        </w:rPr>
        <w:t xml:space="preserve">7% and specificity of </w:t>
      </w:r>
      <w:r>
        <w:rPr>
          <w:rFonts w:cs="Arial"/>
          <w:szCs w:val="24"/>
        </w:rPr>
        <w:t>63</w:t>
      </w:r>
      <w:r w:rsidRPr="000E375B">
        <w:rPr>
          <w:rFonts w:cs="Arial"/>
          <w:szCs w:val="24"/>
        </w:rPr>
        <w:t>%</w:t>
      </w:r>
      <w:r>
        <w:rPr>
          <w:rFonts w:cs="Arial"/>
          <w:szCs w:val="24"/>
        </w:rPr>
        <w:t>. Nevertheless, TEGA still showed strong alignment with rodent carcinogenicity</w:t>
      </w:r>
      <w:r w:rsidR="00F41319">
        <w:rPr>
          <w:rFonts w:cs="Arial"/>
          <w:szCs w:val="24"/>
        </w:rPr>
        <w:t xml:space="preserve"> findings</w:t>
      </w:r>
      <w:r>
        <w:rPr>
          <w:rFonts w:cs="Arial"/>
          <w:szCs w:val="24"/>
        </w:rPr>
        <w:t xml:space="preserve">, </w:t>
      </w:r>
      <w:r w:rsidR="00A53EF5">
        <w:rPr>
          <w:rFonts w:cs="Arial"/>
          <w:szCs w:val="24"/>
        </w:rPr>
        <w:t>notably,</w:t>
      </w:r>
      <w:r w:rsidRPr="000E375B">
        <w:rPr>
          <w:rFonts w:cs="Arial"/>
          <w:szCs w:val="24"/>
        </w:rPr>
        <w:t xml:space="preserve"> for activation-dependent carcinogens </w:t>
      </w:r>
      <w:r w:rsidR="00A53EF5">
        <w:rPr>
          <w:rFonts w:cs="Arial"/>
          <w:szCs w:val="24"/>
        </w:rPr>
        <w:t>(e.g.,</w:t>
      </w:r>
      <w:r w:rsidRPr="000E375B">
        <w:rPr>
          <w:rFonts w:cs="Arial"/>
          <w:szCs w:val="24"/>
        </w:rPr>
        <w:t xml:space="preserve"> estragole</w:t>
      </w:r>
      <w:r w:rsidR="00A53EF5">
        <w:rPr>
          <w:rFonts w:cs="Arial"/>
          <w:szCs w:val="24"/>
        </w:rPr>
        <w:t>, methyl eugenol,</w:t>
      </w:r>
      <w:r w:rsidRPr="000E375B">
        <w:rPr>
          <w:rFonts w:cs="Arial"/>
          <w:szCs w:val="24"/>
        </w:rPr>
        <w:t xml:space="preserve"> and safrole</w:t>
      </w:r>
      <w:r w:rsidR="00A53EF5">
        <w:rPr>
          <w:rFonts w:cs="Arial"/>
          <w:szCs w:val="24"/>
        </w:rPr>
        <w:t>)</w:t>
      </w:r>
      <w:r w:rsidRPr="000E375B">
        <w:rPr>
          <w:rFonts w:cs="Arial"/>
          <w:szCs w:val="24"/>
        </w:rPr>
        <w:t xml:space="preserve"> (</w:t>
      </w:r>
      <w:r w:rsidRPr="006C53EF">
        <w:rPr>
          <w:rFonts w:cs="Arial"/>
          <w:b/>
          <w:bCs/>
          <w:szCs w:val="24"/>
        </w:rPr>
        <w:t>Table 2</w:t>
      </w:r>
      <w:r w:rsidRPr="000E375B">
        <w:rPr>
          <w:rFonts w:cs="Arial"/>
          <w:szCs w:val="24"/>
        </w:rPr>
        <w:t>).</w:t>
      </w:r>
      <w:r w:rsidR="00D80884" w:rsidRPr="00D80884">
        <w:rPr>
          <w:rFonts w:cs="Arial"/>
          <w:szCs w:val="24"/>
        </w:rPr>
        <w:t xml:space="preserve"> </w:t>
      </w:r>
      <w:r w:rsidR="00D80884" w:rsidRPr="00A91056">
        <w:rPr>
          <w:rFonts w:cs="Arial"/>
          <w:szCs w:val="24"/>
        </w:rPr>
        <w:t xml:space="preserve">The high concordance of CEGA and TEGA with in vivo data, coupled with their ability to detect a wide range of genotoxic </w:t>
      </w:r>
      <w:r w:rsidR="00D70C0B">
        <w:rPr>
          <w:rFonts w:cs="Arial"/>
          <w:szCs w:val="24"/>
        </w:rPr>
        <w:t>carcinogens</w:t>
      </w:r>
      <w:r w:rsidR="00D80884" w:rsidRPr="00A91056">
        <w:rPr>
          <w:rFonts w:cs="Arial"/>
          <w:szCs w:val="24"/>
        </w:rPr>
        <w:t xml:space="preserve">, positions these </w:t>
      </w:r>
      <w:r w:rsidR="00D80884" w:rsidRPr="004930E7">
        <w:rPr>
          <w:rFonts w:cs="Arial"/>
          <w:i/>
          <w:iCs/>
          <w:szCs w:val="24"/>
        </w:rPr>
        <w:t xml:space="preserve">in </w:t>
      </w:r>
      <w:proofErr w:type="spellStart"/>
      <w:r w:rsidR="00D80884" w:rsidRPr="004930E7">
        <w:rPr>
          <w:rFonts w:cs="Arial"/>
          <w:i/>
          <w:iCs/>
          <w:szCs w:val="24"/>
        </w:rPr>
        <w:t>ovo</w:t>
      </w:r>
      <w:proofErr w:type="spellEnd"/>
      <w:r w:rsidR="00D80884" w:rsidRPr="00A91056">
        <w:rPr>
          <w:rFonts w:cs="Arial"/>
          <w:szCs w:val="24"/>
        </w:rPr>
        <w:t xml:space="preserve"> models as valuable </w:t>
      </w:r>
      <w:r w:rsidR="00D80884">
        <w:rPr>
          <w:rFonts w:cs="Arial"/>
          <w:szCs w:val="24"/>
        </w:rPr>
        <w:t>NAMs</w:t>
      </w:r>
      <w:r w:rsidR="00D80884" w:rsidRPr="00A91056">
        <w:rPr>
          <w:rFonts w:cs="Arial"/>
          <w:szCs w:val="24"/>
        </w:rPr>
        <w:t xml:space="preserve"> for regulatory testing.</w:t>
      </w:r>
    </w:p>
    <w:p w14:paraId="6CE129E5" w14:textId="4D5D2561" w:rsidR="00352586" w:rsidRDefault="00740228" w:rsidP="0053546E">
      <w:pPr>
        <w:autoSpaceDE w:val="0"/>
        <w:autoSpaceDN w:val="0"/>
        <w:adjustRightInd w:val="0"/>
        <w:rPr>
          <w:rFonts w:cs="Arial"/>
          <w:szCs w:val="24"/>
        </w:rPr>
      </w:pPr>
      <w:r w:rsidRPr="00740228">
        <w:rPr>
          <w:rFonts w:cs="Arial"/>
          <w:szCs w:val="24"/>
        </w:rPr>
        <w:t>One of the key strengths of CEGA and TEGA lies in their metabolic competence</w:t>
      </w:r>
      <w:r w:rsidR="0095270F" w:rsidRPr="0095270F">
        <w:rPr>
          <w:rFonts w:cs="Arial"/>
          <w:szCs w:val="24"/>
        </w:rPr>
        <w:t xml:space="preserve"> </w:t>
      </w:r>
      <w:r w:rsidR="0095270F">
        <w:rPr>
          <w:rFonts w:cs="Arial"/>
          <w:szCs w:val="24"/>
        </w:rPr>
        <w:t xml:space="preserve">which </w:t>
      </w:r>
      <w:r w:rsidR="0095270F" w:rsidRPr="00A91056">
        <w:rPr>
          <w:rFonts w:cs="Arial"/>
          <w:szCs w:val="24"/>
        </w:rPr>
        <w:t>simulat</w:t>
      </w:r>
      <w:r w:rsidR="0095270F">
        <w:rPr>
          <w:rFonts w:cs="Arial"/>
          <w:szCs w:val="24"/>
        </w:rPr>
        <w:t>es</w:t>
      </w:r>
      <w:r w:rsidR="0095270F" w:rsidRPr="00A91056">
        <w:rPr>
          <w:rFonts w:cs="Arial"/>
          <w:szCs w:val="24"/>
        </w:rPr>
        <w:t xml:space="preserve"> mammalian </w:t>
      </w:r>
      <w:r w:rsidR="0095270F">
        <w:rPr>
          <w:rFonts w:cs="Arial"/>
          <w:szCs w:val="24"/>
        </w:rPr>
        <w:t>b</w:t>
      </w:r>
      <w:r w:rsidR="0095270F" w:rsidRPr="00A91056">
        <w:rPr>
          <w:rFonts w:cs="Arial"/>
          <w:szCs w:val="24"/>
        </w:rPr>
        <w:t>iotransformation processes more accurately than traditional in vitro systems</w:t>
      </w:r>
      <w:r w:rsidR="0095270F">
        <w:rPr>
          <w:rFonts w:cs="Arial"/>
          <w:szCs w:val="24"/>
        </w:rPr>
        <w:t xml:space="preserve"> and</w:t>
      </w:r>
      <w:r w:rsidRPr="00740228">
        <w:rPr>
          <w:rFonts w:cs="Arial"/>
          <w:szCs w:val="24"/>
        </w:rPr>
        <w:t xml:space="preserve"> enabl</w:t>
      </w:r>
      <w:r w:rsidR="0095270F">
        <w:rPr>
          <w:rFonts w:cs="Arial"/>
          <w:szCs w:val="24"/>
        </w:rPr>
        <w:t>es</w:t>
      </w:r>
      <w:r w:rsidRPr="00740228">
        <w:rPr>
          <w:rFonts w:cs="Arial"/>
          <w:szCs w:val="24"/>
        </w:rPr>
        <w:t xml:space="preserve"> detection of genotoxic potential for compounds </w:t>
      </w:r>
      <w:r w:rsidRPr="00740228">
        <w:rPr>
          <w:rFonts w:cs="Arial"/>
          <w:szCs w:val="24"/>
        </w:rPr>
        <w:lastRenderedPageBreak/>
        <w:t xml:space="preserve">requiring metabolic </w:t>
      </w:r>
      <w:r w:rsidR="00A07855">
        <w:rPr>
          <w:rFonts w:cs="Arial"/>
          <w:szCs w:val="24"/>
        </w:rPr>
        <w:t>bio</w:t>
      </w:r>
      <w:r w:rsidRPr="00740228">
        <w:rPr>
          <w:rFonts w:cs="Arial"/>
          <w:szCs w:val="24"/>
        </w:rPr>
        <w:t xml:space="preserve">activation. </w:t>
      </w:r>
      <w:r w:rsidR="0095270F">
        <w:rPr>
          <w:rFonts w:cs="Arial"/>
          <w:szCs w:val="24"/>
        </w:rPr>
        <w:t>Thus</w:t>
      </w:r>
      <w:r w:rsidRPr="00740228">
        <w:rPr>
          <w:rFonts w:cs="Arial"/>
          <w:szCs w:val="24"/>
        </w:rPr>
        <w:t xml:space="preserve">, </w:t>
      </w:r>
      <w:r w:rsidR="004F3DE3">
        <w:rPr>
          <w:rFonts w:cs="Arial"/>
          <w:szCs w:val="24"/>
        </w:rPr>
        <w:t xml:space="preserve">the majority of </w:t>
      </w:r>
      <w:r w:rsidRPr="00740228">
        <w:rPr>
          <w:rFonts w:cs="Arial"/>
          <w:szCs w:val="24"/>
        </w:rPr>
        <w:t>polycyclic aromatic hydrocarbons</w:t>
      </w:r>
      <w:r w:rsidR="004F3DE3">
        <w:rPr>
          <w:rFonts w:cs="Arial"/>
          <w:szCs w:val="24"/>
        </w:rPr>
        <w:t>,</w:t>
      </w:r>
      <w:r w:rsidRPr="00740228">
        <w:rPr>
          <w:rFonts w:cs="Arial"/>
          <w:szCs w:val="24"/>
        </w:rPr>
        <w:t xml:space="preserve"> aromatic amines</w:t>
      </w:r>
      <w:r w:rsidR="004F3DE3">
        <w:rPr>
          <w:rFonts w:cs="Arial"/>
          <w:szCs w:val="24"/>
        </w:rPr>
        <w:t xml:space="preserve">, and </w:t>
      </w:r>
      <w:proofErr w:type="spellStart"/>
      <w:r w:rsidR="004F3DE3">
        <w:rPr>
          <w:rFonts w:cs="Arial"/>
          <w:szCs w:val="24"/>
        </w:rPr>
        <w:t>alkenylbenzenes</w:t>
      </w:r>
      <w:proofErr w:type="spellEnd"/>
      <w:r w:rsidRPr="00740228">
        <w:rPr>
          <w:rFonts w:cs="Arial"/>
          <w:szCs w:val="24"/>
        </w:rPr>
        <w:t xml:space="preserve"> were consistently identified as genotoxic </w:t>
      </w:r>
      <w:r w:rsidR="004F3DE3" w:rsidRPr="004F3DE3">
        <w:rPr>
          <w:rFonts w:cs="Arial"/>
          <w:i/>
          <w:iCs/>
          <w:szCs w:val="24"/>
        </w:rPr>
        <w:t xml:space="preserve">in </w:t>
      </w:r>
      <w:proofErr w:type="spellStart"/>
      <w:r w:rsidR="004F3DE3" w:rsidRPr="004F3DE3">
        <w:rPr>
          <w:rFonts w:cs="Arial"/>
          <w:i/>
          <w:iCs/>
          <w:szCs w:val="24"/>
        </w:rPr>
        <w:t>ovo</w:t>
      </w:r>
      <w:proofErr w:type="spellEnd"/>
      <w:r w:rsidR="008B2204">
        <w:rPr>
          <w:rFonts w:cs="Arial"/>
          <w:i/>
          <w:iCs/>
          <w:szCs w:val="24"/>
        </w:rPr>
        <w:t xml:space="preserve"> </w:t>
      </w:r>
      <w:r w:rsidR="008B2204">
        <w:rPr>
          <w:rFonts w:cs="Arial"/>
          <w:szCs w:val="24"/>
        </w:rPr>
        <w:t>(</w:t>
      </w:r>
      <w:r w:rsidR="008B2204">
        <w:rPr>
          <w:rFonts w:cs="Arial"/>
          <w:b/>
          <w:bCs/>
          <w:szCs w:val="24"/>
        </w:rPr>
        <w:t>Tables 1 and 2</w:t>
      </w:r>
      <w:r w:rsidR="008B2204">
        <w:rPr>
          <w:rFonts w:cs="Arial"/>
          <w:szCs w:val="24"/>
        </w:rPr>
        <w:t>)</w:t>
      </w:r>
      <w:r w:rsidR="00B21E8C">
        <w:rPr>
          <w:rFonts w:cs="Arial"/>
          <w:szCs w:val="24"/>
        </w:rPr>
        <w:t>, aligning with their genotoxic potential in vivo</w:t>
      </w:r>
      <w:r w:rsidRPr="00740228">
        <w:rPr>
          <w:rFonts w:cs="Arial"/>
          <w:szCs w:val="24"/>
        </w:rPr>
        <w:t>.</w:t>
      </w:r>
      <w:r>
        <w:rPr>
          <w:rFonts w:cs="Arial"/>
          <w:szCs w:val="24"/>
        </w:rPr>
        <w:t xml:space="preserve"> </w:t>
      </w:r>
    </w:p>
    <w:p w14:paraId="5F218E97" w14:textId="4B107083" w:rsidR="00BE57F2" w:rsidRDefault="00D561B2" w:rsidP="006552F0">
      <w:pPr>
        <w:rPr>
          <w:rFonts w:cs="Arial"/>
          <w:szCs w:val="24"/>
        </w:rPr>
      </w:pPr>
      <w:r w:rsidRPr="00D561B2">
        <w:rPr>
          <w:rFonts w:cs="Arial"/>
          <w:szCs w:val="24"/>
        </w:rPr>
        <w:t xml:space="preserve">The comparative analysis of CEGA and TEGA </w:t>
      </w:r>
      <w:r w:rsidR="007C79B6">
        <w:rPr>
          <w:rFonts w:cs="Arial"/>
          <w:szCs w:val="24"/>
        </w:rPr>
        <w:t xml:space="preserve">demonstrated high </w:t>
      </w:r>
      <w:r w:rsidR="00890C29">
        <w:rPr>
          <w:rFonts w:cs="Arial"/>
          <w:szCs w:val="24"/>
        </w:rPr>
        <w:t>degree</w:t>
      </w:r>
      <w:r w:rsidR="007C79B6">
        <w:rPr>
          <w:rFonts w:cs="Arial"/>
          <w:szCs w:val="24"/>
        </w:rPr>
        <w:t xml:space="preserve"> of agreement between results in both models</w:t>
      </w:r>
      <w:r w:rsidR="007C79B6" w:rsidRPr="007C79B6">
        <w:rPr>
          <w:rFonts w:cs="Arial"/>
          <w:szCs w:val="24"/>
        </w:rPr>
        <w:t xml:space="preserve"> </w:t>
      </w:r>
      <w:r w:rsidR="007C79B6">
        <w:rPr>
          <w:rFonts w:cs="Arial"/>
          <w:szCs w:val="24"/>
        </w:rPr>
        <w:t xml:space="preserve">for the majority (76%) of </w:t>
      </w:r>
      <w:r w:rsidR="00E63CDF">
        <w:rPr>
          <w:rFonts w:cs="Arial"/>
          <w:szCs w:val="24"/>
        </w:rPr>
        <w:t xml:space="preserve">tested </w:t>
      </w:r>
      <w:r w:rsidR="007C79B6">
        <w:rPr>
          <w:rFonts w:cs="Arial"/>
          <w:szCs w:val="24"/>
        </w:rPr>
        <w:t>compounds (</w:t>
      </w:r>
      <w:r w:rsidR="007C79B6" w:rsidRPr="00E00023">
        <w:rPr>
          <w:rFonts w:cs="Arial"/>
          <w:b/>
          <w:bCs/>
          <w:szCs w:val="24"/>
        </w:rPr>
        <w:t>Table 3</w:t>
      </w:r>
      <w:r w:rsidR="007C79B6">
        <w:rPr>
          <w:rFonts w:cs="Arial"/>
          <w:szCs w:val="24"/>
        </w:rPr>
        <w:t>).</w:t>
      </w:r>
      <w:r w:rsidR="00E63CDF" w:rsidRPr="00E63CDF">
        <w:rPr>
          <w:rFonts w:cs="Arial"/>
          <w:szCs w:val="24"/>
        </w:rPr>
        <w:t xml:space="preserve"> </w:t>
      </w:r>
      <w:r w:rsidR="00E63CDF">
        <w:rPr>
          <w:rFonts w:cs="Arial"/>
          <w:szCs w:val="24"/>
        </w:rPr>
        <w:t>Nevertheless, five</w:t>
      </w:r>
      <w:r w:rsidR="00E63CDF" w:rsidRPr="00A91056">
        <w:rPr>
          <w:rFonts w:cs="Arial"/>
          <w:szCs w:val="24"/>
        </w:rPr>
        <w:t xml:space="preserve"> </w:t>
      </w:r>
      <w:r w:rsidR="00B3254B">
        <w:rPr>
          <w:rFonts w:cs="Arial"/>
          <w:szCs w:val="24"/>
        </w:rPr>
        <w:t xml:space="preserve">(5) </w:t>
      </w:r>
      <w:r w:rsidR="00E63CDF" w:rsidRPr="00A91056">
        <w:rPr>
          <w:rFonts w:cs="Arial"/>
          <w:szCs w:val="24"/>
        </w:rPr>
        <w:t>compounds</w:t>
      </w:r>
      <w:r w:rsidR="00E63CDF">
        <w:rPr>
          <w:rFonts w:cs="Arial"/>
          <w:szCs w:val="24"/>
        </w:rPr>
        <w:t>, griseofulvin, riddelliine, streptozotocin, trans-2-hexenal, and xylitol,</w:t>
      </w:r>
      <w:r w:rsidR="00E63CDF" w:rsidRPr="00A91056">
        <w:rPr>
          <w:rFonts w:cs="Arial"/>
          <w:szCs w:val="24"/>
        </w:rPr>
        <w:t xml:space="preserve"> exhibited discordant outcomes</w:t>
      </w:r>
      <w:r w:rsidR="00E63CDF">
        <w:rPr>
          <w:rFonts w:cs="Arial"/>
          <w:szCs w:val="24"/>
        </w:rPr>
        <w:t xml:space="preserve"> between CEGA and TEGA (</w:t>
      </w:r>
      <w:r w:rsidR="00E63CDF" w:rsidRPr="00E00023">
        <w:rPr>
          <w:rFonts w:cs="Arial"/>
          <w:b/>
          <w:bCs/>
          <w:szCs w:val="24"/>
        </w:rPr>
        <w:t>Table 3</w:t>
      </w:r>
      <w:r w:rsidR="00E63CDF">
        <w:rPr>
          <w:rFonts w:cs="Arial"/>
          <w:szCs w:val="24"/>
        </w:rPr>
        <w:t>)</w:t>
      </w:r>
      <w:r w:rsidR="00E63CDF" w:rsidRPr="00A91056">
        <w:rPr>
          <w:rFonts w:cs="Arial"/>
          <w:szCs w:val="24"/>
        </w:rPr>
        <w:t>, highlighting potential differences in sensitivity or the biological responses of the two avian systems.</w:t>
      </w:r>
      <w:r w:rsidR="009A6B6E" w:rsidRPr="009A6B6E">
        <w:rPr>
          <w:rFonts w:cs="Arial"/>
          <w:szCs w:val="24"/>
        </w:rPr>
        <w:t xml:space="preserve"> </w:t>
      </w:r>
      <w:r w:rsidR="009A6B6E" w:rsidRPr="00A91056">
        <w:rPr>
          <w:rFonts w:cs="Arial"/>
          <w:szCs w:val="24"/>
        </w:rPr>
        <w:t>Such discrepancies may reflect species-specific variations in metabolic enzyme expression or differences in assay conditions, such as dose levels and timing</w:t>
      </w:r>
      <w:r w:rsidR="009A6B6E">
        <w:rPr>
          <w:rFonts w:cs="Arial"/>
          <w:szCs w:val="24"/>
        </w:rPr>
        <w:t xml:space="preserve"> of dosing.</w:t>
      </w:r>
      <w:r w:rsidR="00EF7E3C">
        <w:rPr>
          <w:rFonts w:cs="Arial"/>
          <w:szCs w:val="24"/>
        </w:rPr>
        <w:t xml:space="preserve"> For example, </w:t>
      </w:r>
      <w:r w:rsidR="00F20BA9">
        <w:rPr>
          <w:rFonts w:cs="Arial"/>
          <w:szCs w:val="24"/>
        </w:rPr>
        <w:t xml:space="preserve">dosing in TEGA occurs later (incubation days </w:t>
      </w:r>
      <w:r w:rsidR="003C55FF">
        <w:rPr>
          <w:rFonts w:cs="Arial"/>
          <w:szCs w:val="24"/>
        </w:rPr>
        <w:t xml:space="preserve">22 to 24) </w:t>
      </w:r>
      <w:r w:rsidR="00E04130">
        <w:rPr>
          <w:rFonts w:cs="Arial"/>
          <w:szCs w:val="24"/>
        </w:rPr>
        <w:t>than in</w:t>
      </w:r>
      <w:r w:rsidR="003C55FF">
        <w:rPr>
          <w:rFonts w:cs="Arial"/>
          <w:szCs w:val="24"/>
        </w:rPr>
        <w:t xml:space="preserve"> CEGA (incubation days 9 to 11), </w:t>
      </w:r>
      <w:r w:rsidR="00E04130">
        <w:rPr>
          <w:rFonts w:cs="Arial"/>
          <w:szCs w:val="24"/>
        </w:rPr>
        <w:t xml:space="preserve">as such, </w:t>
      </w:r>
      <w:r w:rsidR="0094018A">
        <w:rPr>
          <w:rFonts w:cs="Arial"/>
          <w:szCs w:val="24"/>
        </w:rPr>
        <w:t xml:space="preserve">metabolism </w:t>
      </w:r>
      <w:r w:rsidR="006552F0">
        <w:rPr>
          <w:rFonts w:cs="Arial"/>
          <w:szCs w:val="24"/>
        </w:rPr>
        <w:t>in the</w:t>
      </w:r>
      <w:r w:rsidR="006552F0" w:rsidRPr="00E04130">
        <w:rPr>
          <w:rFonts w:cs="Arial"/>
          <w:szCs w:val="24"/>
        </w:rPr>
        <w:t xml:space="preserve"> turkey fetal liver</w:t>
      </w:r>
      <w:r w:rsidR="00DE4E1F">
        <w:rPr>
          <w:rFonts w:cs="Arial"/>
          <w:szCs w:val="24"/>
        </w:rPr>
        <w:t xml:space="preserve"> is likely to be</w:t>
      </w:r>
      <w:r w:rsidR="006552F0">
        <w:rPr>
          <w:rFonts w:cs="Arial"/>
          <w:szCs w:val="24"/>
        </w:rPr>
        <w:t xml:space="preserve"> </w:t>
      </w:r>
      <w:r w:rsidR="006552F0" w:rsidRPr="00E04130">
        <w:rPr>
          <w:rFonts w:cs="Arial"/>
          <w:szCs w:val="24"/>
        </w:rPr>
        <w:t>at more advanced stage</w:t>
      </w:r>
      <w:r w:rsidR="008579E9">
        <w:rPr>
          <w:rFonts w:cs="Arial"/>
          <w:szCs w:val="24"/>
        </w:rPr>
        <w:t>s</w:t>
      </w:r>
      <w:r w:rsidR="006552F0" w:rsidRPr="006552F0">
        <w:rPr>
          <w:rFonts w:cs="Arial"/>
          <w:szCs w:val="24"/>
        </w:rPr>
        <w:t xml:space="preserve"> </w:t>
      </w:r>
      <w:r w:rsidR="006552F0">
        <w:rPr>
          <w:rFonts w:cs="Arial"/>
          <w:szCs w:val="24"/>
        </w:rPr>
        <w:t xml:space="preserve">of </w:t>
      </w:r>
      <w:r w:rsidR="006552F0" w:rsidRPr="00E04130">
        <w:rPr>
          <w:rFonts w:cs="Arial"/>
          <w:szCs w:val="24"/>
        </w:rPr>
        <w:t>development</w:t>
      </w:r>
      <w:r w:rsidR="006552F0">
        <w:rPr>
          <w:rFonts w:cs="Arial"/>
          <w:szCs w:val="24"/>
        </w:rPr>
        <w:t>.</w:t>
      </w:r>
    </w:p>
    <w:p w14:paraId="511CD29A" w14:textId="59AF81D6" w:rsidR="00E63CDF" w:rsidRPr="00A91056" w:rsidRDefault="003C73F9" w:rsidP="00E63CDF">
      <w:pPr>
        <w:rPr>
          <w:rFonts w:cs="Arial"/>
          <w:szCs w:val="24"/>
        </w:rPr>
      </w:pPr>
      <w:r w:rsidRPr="008A429E">
        <w:rPr>
          <w:rFonts w:cs="Arial"/>
          <w:szCs w:val="24"/>
        </w:rPr>
        <w:t xml:space="preserve">In order to analyze both CEGA and TEGA effectively, </w:t>
      </w:r>
      <w:r w:rsidR="00C15490">
        <w:rPr>
          <w:rFonts w:cs="Arial"/>
          <w:szCs w:val="24"/>
        </w:rPr>
        <w:t>it is essential to take into account</w:t>
      </w:r>
      <w:r w:rsidR="00CB0BEA" w:rsidRPr="00CB0BEA">
        <w:rPr>
          <w:rFonts w:cs="Arial"/>
          <w:szCs w:val="24"/>
        </w:rPr>
        <w:t xml:space="preserve"> </w:t>
      </w:r>
      <w:r w:rsidR="00CB0BEA" w:rsidRPr="008A429E">
        <w:rPr>
          <w:rFonts w:cs="Arial"/>
          <w:szCs w:val="24"/>
        </w:rPr>
        <w:t>temporal</w:t>
      </w:r>
      <w:r w:rsidR="00CB0BEA" w:rsidRPr="00CB0BEA">
        <w:rPr>
          <w:rFonts w:cs="Arial"/>
          <w:szCs w:val="24"/>
        </w:rPr>
        <w:t xml:space="preserve"> </w:t>
      </w:r>
      <w:r w:rsidR="00CB0BEA">
        <w:rPr>
          <w:rFonts w:cs="Arial"/>
          <w:szCs w:val="24"/>
        </w:rPr>
        <w:t>and</w:t>
      </w:r>
      <w:r w:rsidR="00CB0BEA" w:rsidRPr="008A429E">
        <w:rPr>
          <w:rFonts w:cs="Arial"/>
          <w:szCs w:val="24"/>
        </w:rPr>
        <w:t xml:space="preserve"> spatial differences</w:t>
      </w:r>
      <w:r w:rsidR="00CB0BEA">
        <w:rPr>
          <w:rFonts w:cs="Arial"/>
          <w:szCs w:val="24"/>
        </w:rPr>
        <w:t xml:space="preserve"> that </w:t>
      </w:r>
      <w:r w:rsidR="00CB0BEA" w:rsidRPr="008A429E">
        <w:rPr>
          <w:rFonts w:cs="Arial"/>
          <w:szCs w:val="24"/>
        </w:rPr>
        <w:t xml:space="preserve">exist in the morphogenetic development of the </w:t>
      </w:r>
      <w:r w:rsidR="00CB0BEA">
        <w:rPr>
          <w:rFonts w:cs="Arial"/>
          <w:szCs w:val="24"/>
        </w:rPr>
        <w:t>t</w:t>
      </w:r>
      <w:r w:rsidR="00CB0BEA" w:rsidRPr="008A429E">
        <w:rPr>
          <w:rFonts w:cs="Arial"/>
          <w:szCs w:val="24"/>
        </w:rPr>
        <w:t xml:space="preserve">urkey and the </w:t>
      </w:r>
      <w:r w:rsidR="00CB0BEA">
        <w:rPr>
          <w:rFonts w:cs="Arial"/>
          <w:szCs w:val="24"/>
        </w:rPr>
        <w:t>c</w:t>
      </w:r>
      <w:r w:rsidR="00CB0BEA" w:rsidRPr="008A429E">
        <w:rPr>
          <w:rFonts w:cs="Arial"/>
          <w:szCs w:val="24"/>
        </w:rPr>
        <w:t xml:space="preserve">hicken </w:t>
      </w:r>
      <w:r w:rsidR="00CB0BEA">
        <w:rPr>
          <w:rFonts w:cs="Arial"/>
          <w:szCs w:val="24"/>
        </w:rPr>
        <w:t>fetuses</w:t>
      </w:r>
      <w:r w:rsidR="00CB0BEA" w:rsidRPr="008A429E">
        <w:rPr>
          <w:rFonts w:cs="Arial"/>
          <w:szCs w:val="24"/>
        </w:rPr>
        <w:t xml:space="preserve"> (Bakst 1997).</w:t>
      </w:r>
      <w:r w:rsidRPr="008A429E">
        <w:rPr>
          <w:rFonts w:cs="Arial"/>
          <w:szCs w:val="24"/>
        </w:rPr>
        <w:t xml:space="preserve"> </w:t>
      </w:r>
      <w:r w:rsidR="00DB072C" w:rsidRPr="008A429E">
        <w:rPr>
          <w:rFonts w:cs="Arial"/>
          <w:szCs w:val="24"/>
        </w:rPr>
        <w:t>The eggs of these two avian species are also physically different; the white leghorn chicken egg is roughly 60</w:t>
      </w:r>
      <w:r w:rsidR="005C2A20">
        <w:rPr>
          <w:rFonts w:cs="Arial"/>
          <w:szCs w:val="24"/>
        </w:rPr>
        <w:t xml:space="preserve"> </w:t>
      </w:r>
      <w:r w:rsidR="00DB072C" w:rsidRPr="008A429E">
        <w:rPr>
          <w:rFonts w:cs="Arial"/>
          <w:szCs w:val="24"/>
        </w:rPr>
        <w:t>g, while the medium white turkey egg is approximately 90</w:t>
      </w:r>
      <w:r w:rsidR="005C2A20">
        <w:rPr>
          <w:rFonts w:cs="Arial"/>
          <w:szCs w:val="24"/>
        </w:rPr>
        <w:t xml:space="preserve"> </w:t>
      </w:r>
      <w:r w:rsidR="00DB072C" w:rsidRPr="008A429E">
        <w:rPr>
          <w:rFonts w:cs="Arial"/>
          <w:szCs w:val="24"/>
        </w:rPr>
        <w:t xml:space="preserve">g. </w:t>
      </w:r>
      <w:r w:rsidR="009A4C31">
        <w:rPr>
          <w:rFonts w:cs="Arial"/>
          <w:szCs w:val="24"/>
        </w:rPr>
        <w:t>T</w:t>
      </w:r>
      <w:r w:rsidR="009A4C31" w:rsidRPr="008A429E">
        <w:rPr>
          <w:rFonts w:cs="Arial"/>
          <w:szCs w:val="24"/>
        </w:rPr>
        <w:t xml:space="preserve">he </w:t>
      </w:r>
      <w:r w:rsidR="009A4C31">
        <w:rPr>
          <w:rFonts w:cs="Arial"/>
          <w:szCs w:val="24"/>
        </w:rPr>
        <w:t>fetuses inside the c</w:t>
      </w:r>
      <w:r w:rsidR="009A4C31" w:rsidRPr="008A429E">
        <w:rPr>
          <w:rFonts w:cs="Arial"/>
          <w:szCs w:val="24"/>
        </w:rPr>
        <w:t xml:space="preserve">hicken and </w:t>
      </w:r>
      <w:r w:rsidR="009A4C31">
        <w:rPr>
          <w:rFonts w:cs="Arial"/>
          <w:szCs w:val="24"/>
        </w:rPr>
        <w:t>t</w:t>
      </w:r>
      <w:r w:rsidR="009A4C31" w:rsidRPr="008A429E">
        <w:rPr>
          <w:rFonts w:cs="Arial"/>
          <w:szCs w:val="24"/>
        </w:rPr>
        <w:t xml:space="preserve">urkey </w:t>
      </w:r>
      <w:r w:rsidR="009A4C31">
        <w:rPr>
          <w:rFonts w:cs="Arial"/>
          <w:szCs w:val="24"/>
        </w:rPr>
        <w:t>e</w:t>
      </w:r>
      <w:r w:rsidR="009A4C31" w:rsidRPr="008A429E">
        <w:rPr>
          <w:rFonts w:cs="Arial"/>
          <w:szCs w:val="24"/>
        </w:rPr>
        <w:t>gg</w:t>
      </w:r>
      <w:r w:rsidR="009A4C31">
        <w:rPr>
          <w:rFonts w:cs="Arial"/>
          <w:szCs w:val="24"/>
        </w:rPr>
        <w:t>s</w:t>
      </w:r>
      <w:r w:rsidR="009A4C31" w:rsidRPr="008A429E">
        <w:rPr>
          <w:rFonts w:cs="Arial"/>
          <w:szCs w:val="24"/>
        </w:rPr>
        <w:t xml:space="preserve"> develop at different rates. </w:t>
      </w:r>
      <w:r w:rsidR="00DB072C">
        <w:rPr>
          <w:rFonts w:cs="Arial"/>
          <w:szCs w:val="24"/>
        </w:rPr>
        <w:t>Specifically, t</w:t>
      </w:r>
      <w:r w:rsidR="009A4C31" w:rsidRPr="008A429E">
        <w:rPr>
          <w:rFonts w:cs="Arial"/>
          <w:szCs w:val="24"/>
        </w:rPr>
        <w:t xml:space="preserve">he cells within the turkey egg multiply more rapidly compared to </w:t>
      </w:r>
      <w:r w:rsidR="009A4C31">
        <w:rPr>
          <w:rFonts w:cs="Arial"/>
          <w:szCs w:val="24"/>
        </w:rPr>
        <w:t>those</w:t>
      </w:r>
      <w:r w:rsidR="009A4C31" w:rsidRPr="008A429E">
        <w:rPr>
          <w:rFonts w:cs="Arial"/>
          <w:szCs w:val="24"/>
        </w:rPr>
        <w:t xml:space="preserve"> of the chicken egg</w:t>
      </w:r>
      <w:r w:rsidR="00FB7551">
        <w:rPr>
          <w:rFonts w:cs="Arial"/>
          <w:szCs w:val="24"/>
        </w:rPr>
        <w:t>,</w:t>
      </w:r>
      <w:r w:rsidR="009A4C31" w:rsidRPr="008A429E">
        <w:rPr>
          <w:rFonts w:cs="Arial"/>
          <w:szCs w:val="24"/>
        </w:rPr>
        <w:t xml:space="preserve"> there</w:t>
      </w:r>
      <w:r w:rsidR="009A4C31">
        <w:rPr>
          <w:rFonts w:cs="Arial"/>
          <w:szCs w:val="24"/>
        </w:rPr>
        <w:t>by</w:t>
      </w:r>
      <w:r w:rsidR="009A4C31" w:rsidRPr="008A429E">
        <w:rPr>
          <w:rFonts w:cs="Arial"/>
          <w:szCs w:val="24"/>
        </w:rPr>
        <w:t xml:space="preserve"> resulting in a larger egg (Bakst 1997).</w:t>
      </w:r>
      <w:r w:rsidR="00A354D7">
        <w:rPr>
          <w:rFonts w:cs="Arial"/>
          <w:szCs w:val="24"/>
        </w:rPr>
        <w:t xml:space="preserve"> In addition, c</w:t>
      </w:r>
      <w:r w:rsidR="00A354D7" w:rsidRPr="008A429E">
        <w:rPr>
          <w:rFonts w:cs="Arial"/>
          <w:szCs w:val="24"/>
        </w:rPr>
        <w:t xml:space="preserve">ompared to the </w:t>
      </w:r>
      <w:r w:rsidR="00A354D7">
        <w:rPr>
          <w:rFonts w:cs="Arial"/>
          <w:szCs w:val="24"/>
        </w:rPr>
        <w:t>c</w:t>
      </w:r>
      <w:r w:rsidR="00A354D7" w:rsidRPr="008A429E">
        <w:rPr>
          <w:rFonts w:cs="Arial"/>
          <w:szCs w:val="24"/>
        </w:rPr>
        <w:t xml:space="preserve">hicken egg, </w:t>
      </w:r>
      <w:r w:rsidR="00A354D7">
        <w:rPr>
          <w:rFonts w:cs="Arial"/>
          <w:szCs w:val="24"/>
        </w:rPr>
        <w:t>t</w:t>
      </w:r>
      <w:r w:rsidR="00A354D7" w:rsidRPr="008A429E">
        <w:rPr>
          <w:rFonts w:cs="Arial"/>
          <w:szCs w:val="24"/>
        </w:rPr>
        <w:t>urkey eggs have a lower hatchability rate.</w:t>
      </w:r>
      <w:r w:rsidR="00D83F6C">
        <w:rPr>
          <w:rFonts w:cs="Arial"/>
          <w:szCs w:val="24"/>
        </w:rPr>
        <w:t xml:space="preserve"> These difference</w:t>
      </w:r>
      <w:r w:rsidR="00490828">
        <w:rPr>
          <w:rFonts w:cs="Arial"/>
          <w:szCs w:val="24"/>
        </w:rPr>
        <w:t>s</w:t>
      </w:r>
      <w:r w:rsidR="00D83F6C">
        <w:rPr>
          <w:rFonts w:cs="Arial"/>
          <w:szCs w:val="24"/>
        </w:rPr>
        <w:t xml:space="preserve"> might play a role when comparing responses of </w:t>
      </w:r>
      <w:r w:rsidR="00D83F6C" w:rsidRPr="008A429E">
        <w:rPr>
          <w:rFonts w:cs="Arial"/>
          <w:szCs w:val="24"/>
        </w:rPr>
        <w:t>the two eggs</w:t>
      </w:r>
      <w:r w:rsidR="00D83F6C" w:rsidRPr="00D83F6C">
        <w:rPr>
          <w:rFonts w:cs="Arial"/>
          <w:szCs w:val="24"/>
        </w:rPr>
        <w:t xml:space="preserve"> </w:t>
      </w:r>
      <w:r w:rsidR="00D83F6C" w:rsidRPr="008A429E">
        <w:rPr>
          <w:rFonts w:cs="Arial"/>
          <w:szCs w:val="24"/>
        </w:rPr>
        <w:t>to the chemicals assessed</w:t>
      </w:r>
      <w:r w:rsidR="00D83F6C">
        <w:rPr>
          <w:rFonts w:cs="Arial"/>
          <w:szCs w:val="24"/>
        </w:rPr>
        <w:t xml:space="preserve">. </w:t>
      </w:r>
      <w:r w:rsidR="00DD0C1D">
        <w:rPr>
          <w:rFonts w:cs="Arial"/>
          <w:szCs w:val="24"/>
        </w:rPr>
        <w:t>This</w:t>
      </w:r>
      <w:r w:rsidR="00490828">
        <w:rPr>
          <w:rFonts w:cs="Arial"/>
          <w:szCs w:val="24"/>
        </w:rPr>
        <w:t xml:space="preserve"> also</w:t>
      </w:r>
      <w:r w:rsidR="00490828" w:rsidRPr="00A91056">
        <w:rPr>
          <w:rFonts w:cs="Arial"/>
          <w:szCs w:val="24"/>
        </w:rPr>
        <w:t xml:space="preserve"> suggest</w:t>
      </w:r>
      <w:r w:rsidR="00DD0C1D">
        <w:rPr>
          <w:rFonts w:cs="Arial"/>
          <w:szCs w:val="24"/>
        </w:rPr>
        <w:t>s</w:t>
      </w:r>
      <w:r w:rsidR="00490828" w:rsidRPr="00A91056">
        <w:rPr>
          <w:rFonts w:cs="Arial"/>
          <w:szCs w:val="24"/>
        </w:rPr>
        <w:t xml:space="preserve"> that while CEGA and TEGA </w:t>
      </w:r>
      <w:r w:rsidR="00490828" w:rsidRPr="00A91056">
        <w:rPr>
          <w:rFonts w:cs="Arial"/>
          <w:szCs w:val="24"/>
        </w:rPr>
        <w:lastRenderedPageBreak/>
        <w:t xml:space="preserve">can complement each other, they may differ in their capacity to </w:t>
      </w:r>
      <w:r w:rsidR="00490828">
        <w:rPr>
          <w:rFonts w:cs="Arial"/>
          <w:szCs w:val="24"/>
        </w:rPr>
        <w:t>respond to</w:t>
      </w:r>
      <w:r w:rsidR="00490828" w:rsidRPr="00A91056">
        <w:rPr>
          <w:rFonts w:cs="Arial"/>
          <w:szCs w:val="24"/>
        </w:rPr>
        <w:t xml:space="preserve"> certain genotoxic mechanisms. Combining data from both models could enhance the overall predictivity for in vivo outcomes.</w:t>
      </w:r>
      <w:r w:rsidR="00490828">
        <w:rPr>
          <w:rFonts w:cs="Arial"/>
          <w:szCs w:val="24"/>
        </w:rPr>
        <w:t xml:space="preserve"> </w:t>
      </w:r>
      <w:r w:rsidR="00490828" w:rsidRPr="00A40E70">
        <w:rPr>
          <w:rFonts w:cs="Arial"/>
          <w:szCs w:val="24"/>
        </w:rPr>
        <w:t xml:space="preserve">Further investigation may be warranted for discordant compounds to determine whether differences are due to assay-specific factors or intrinsic variability </w:t>
      </w:r>
      <w:r w:rsidR="00490828">
        <w:rPr>
          <w:rFonts w:cs="Arial"/>
          <w:szCs w:val="24"/>
        </w:rPr>
        <w:t>with</w:t>
      </w:r>
      <w:r w:rsidR="00490828" w:rsidRPr="00A40E70">
        <w:rPr>
          <w:rFonts w:cs="Arial"/>
          <w:szCs w:val="24"/>
        </w:rPr>
        <w:t>in the test systems.</w:t>
      </w:r>
    </w:p>
    <w:p w14:paraId="77DC1CBA" w14:textId="30630C26" w:rsidR="002A2A7F" w:rsidRPr="00A91056" w:rsidRDefault="006256B0" w:rsidP="006256B0">
      <w:pPr>
        <w:pStyle w:val="Heading1"/>
      </w:pPr>
      <w:r>
        <w:t xml:space="preserve">6. </w:t>
      </w:r>
      <w:r w:rsidR="002A2A7F" w:rsidRPr="00A91056">
        <w:t>Conclusion</w:t>
      </w:r>
      <w:r w:rsidR="00127D1D">
        <w:t>s</w:t>
      </w:r>
    </w:p>
    <w:p w14:paraId="2A8ED4CD" w14:textId="62A785C3" w:rsidR="00E07CA9" w:rsidRDefault="002A2A7F" w:rsidP="002A2A7F">
      <w:pPr>
        <w:autoSpaceDE w:val="0"/>
        <w:autoSpaceDN w:val="0"/>
        <w:adjustRightInd w:val="0"/>
        <w:rPr>
          <w:rFonts w:cs="Arial"/>
          <w:szCs w:val="24"/>
        </w:rPr>
      </w:pPr>
      <w:r w:rsidRPr="00A91056">
        <w:rPr>
          <w:rFonts w:cs="Arial"/>
          <w:szCs w:val="24"/>
        </w:rPr>
        <w:t>The findings from th</w:t>
      </w:r>
      <w:r w:rsidR="0050332F">
        <w:rPr>
          <w:rFonts w:cs="Arial"/>
          <w:szCs w:val="24"/>
        </w:rPr>
        <w:t>e current</w:t>
      </w:r>
      <w:r w:rsidRPr="00A91056">
        <w:rPr>
          <w:rFonts w:cs="Arial"/>
          <w:szCs w:val="24"/>
        </w:rPr>
        <w:t xml:space="preserve"> study support the utility of CEGA and TEGA as reliable </w:t>
      </w:r>
      <w:r w:rsidR="0050332F">
        <w:rPr>
          <w:rFonts w:cs="Arial"/>
          <w:szCs w:val="24"/>
        </w:rPr>
        <w:t>NAMs</w:t>
      </w:r>
      <w:r w:rsidRPr="00A91056">
        <w:rPr>
          <w:rFonts w:cs="Arial"/>
          <w:szCs w:val="24"/>
        </w:rPr>
        <w:t xml:space="preserve"> for genotoxicity assessment. </w:t>
      </w:r>
      <w:r w:rsidR="00A33315" w:rsidRPr="00A91056">
        <w:rPr>
          <w:rFonts w:cs="Arial"/>
          <w:szCs w:val="24"/>
        </w:rPr>
        <w:t>FAEFL/DDA</w:t>
      </w:r>
      <w:r w:rsidRPr="00A91056">
        <w:rPr>
          <w:rFonts w:cs="Arial"/>
          <w:szCs w:val="24"/>
        </w:rPr>
        <w:t xml:space="preserve"> models provide a metabolically competent</w:t>
      </w:r>
      <w:r w:rsidR="0050332F">
        <w:rPr>
          <w:rFonts w:cs="Arial"/>
          <w:szCs w:val="24"/>
        </w:rPr>
        <w:t xml:space="preserve"> </w:t>
      </w:r>
      <w:r w:rsidRPr="00A91056">
        <w:rPr>
          <w:rFonts w:cs="Arial"/>
          <w:szCs w:val="24"/>
        </w:rPr>
        <w:t>alternative to in vivo genotoxicity assays, demonstrating strong concordance with in vivo outcomes and high predictivity for carcinogenic potential.</w:t>
      </w:r>
    </w:p>
    <w:p w14:paraId="356D1AE0" w14:textId="1CA0651B" w:rsidR="00EB4250" w:rsidRPr="00A91056" w:rsidRDefault="006256B0" w:rsidP="00EB4250">
      <w:pPr>
        <w:pStyle w:val="Heading1"/>
      </w:pPr>
      <w:r>
        <w:t>7</w:t>
      </w:r>
      <w:r w:rsidR="00EB4250" w:rsidRPr="00A91056">
        <w:t xml:space="preserve">. </w:t>
      </w:r>
      <w:r w:rsidR="00823564" w:rsidRPr="00A91056">
        <w:t>Statement of Author Contributions</w:t>
      </w:r>
    </w:p>
    <w:p w14:paraId="76A224EF" w14:textId="0001A01B" w:rsidR="00823564" w:rsidRDefault="00823564" w:rsidP="00823564">
      <w:pPr>
        <w:rPr>
          <w:lang w:eastAsia="zh-CN"/>
        </w:rPr>
      </w:pPr>
      <w:r w:rsidRPr="00A91056">
        <w:rPr>
          <w:lang w:eastAsia="zh-CN"/>
        </w:rPr>
        <w:t xml:space="preserve">Dr. Williams and Dr. Kobets </w:t>
      </w:r>
      <w:r w:rsidR="006D2EA4" w:rsidRPr="00A91056">
        <w:rPr>
          <w:lang w:eastAsia="zh-CN"/>
        </w:rPr>
        <w:t xml:space="preserve">contributed to the study design and data analyses. </w:t>
      </w:r>
      <w:r w:rsidR="000F7FCC" w:rsidRPr="00A91056">
        <w:rPr>
          <w:lang w:eastAsia="zh-CN"/>
        </w:rPr>
        <w:t xml:space="preserve">Both authors have complete access to the data. </w:t>
      </w:r>
      <w:r w:rsidR="006D2EA4" w:rsidRPr="00A91056">
        <w:rPr>
          <w:lang w:eastAsia="zh-CN"/>
        </w:rPr>
        <w:t xml:space="preserve">Dr. Kobets prepared the </w:t>
      </w:r>
      <w:r w:rsidR="001D2B6B" w:rsidRPr="00A91056">
        <w:rPr>
          <w:lang w:eastAsia="zh-CN"/>
        </w:rPr>
        <w:t xml:space="preserve">manuscript </w:t>
      </w:r>
      <w:r w:rsidR="006D2EA4" w:rsidRPr="00A91056">
        <w:rPr>
          <w:lang w:eastAsia="zh-CN"/>
        </w:rPr>
        <w:t>draft</w:t>
      </w:r>
      <w:r w:rsidR="000F7FCC" w:rsidRPr="00A91056">
        <w:rPr>
          <w:lang w:eastAsia="zh-CN"/>
        </w:rPr>
        <w:t xml:space="preserve">, </w:t>
      </w:r>
      <w:r w:rsidR="00F25136" w:rsidRPr="00A91056">
        <w:rPr>
          <w:lang w:eastAsia="zh-CN"/>
        </w:rPr>
        <w:t>figures,</w:t>
      </w:r>
      <w:r w:rsidR="000F7FCC" w:rsidRPr="00A91056">
        <w:rPr>
          <w:lang w:eastAsia="zh-CN"/>
        </w:rPr>
        <w:t xml:space="preserve"> and tables. Dr. Williams provided </w:t>
      </w:r>
      <w:r w:rsidR="001D2B6B" w:rsidRPr="00A91056">
        <w:rPr>
          <w:lang w:eastAsia="zh-CN"/>
        </w:rPr>
        <w:t xml:space="preserve">important intellectual input and revisions. Both authors </w:t>
      </w:r>
      <w:r w:rsidR="000F7FCC" w:rsidRPr="00A91056">
        <w:rPr>
          <w:lang w:eastAsia="zh-CN"/>
        </w:rPr>
        <w:t xml:space="preserve">approved the final manuscript. </w:t>
      </w:r>
      <w:r w:rsidR="006D2EA4" w:rsidRPr="00A91056">
        <w:rPr>
          <w:lang w:eastAsia="zh-CN"/>
        </w:rPr>
        <w:t xml:space="preserve"> </w:t>
      </w:r>
      <w:r w:rsidRPr="00A91056">
        <w:rPr>
          <w:lang w:eastAsia="zh-CN"/>
        </w:rPr>
        <w:t xml:space="preserve"> </w:t>
      </w:r>
    </w:p>
    <w:p w14:paraId="1988F415" w14:textId="2C830CA2" w:rsidR="00172FE8" w:rsidRPr="00A91056" w:rsidRDefault="006256B0" w:rsidP="00172FE8">
      <w:pPr>
        <w:pStyle w:val="Heading1"/>
      </w:pPr>
      <w:r>
        <w:t>8</w:t>
      </w:r>
      <w:r w:rsidR="00172FE8" w:rsidRPr="00A91056">
        <w:t>. Acknowledgements</w:t>
      </w:r>
    </w:p>
    <w:p w14:paraId="70B8AE5C" w14:textId="05C7CCD7" w:rsidR="009A751C" w:rsidRPr="00A91056" w:rsidRDefault="00172FE8" w:rsidP="009C31A1">
      <w:pPr>
        <w:rPr>
          <w:rFonts w:eastAsiaTheme="majorEastAsia" w:cstheme="majorBidi"/>
          <w:b/>
          <w:smallCaps/>
          <w:sz w:val="28"/>
          <w:szCs w:val="32"/>
          <w:lang w:eastAsia="zh-CN"/>
        </w:rPr>
      </w:pPr>
      <w:r w:rsidRPr="00A91056">
        <w:rPr>
          <w:lang w:eastAsia="zh-CN"/>
        </w:rPr>
        <w:t xml:space="preserve">The authors would like to </w:t>
      </w:r>
      <w:r w:rsidR="00504D1A" w:rsidRPr="00A91056">
        <w:rPr>
          <w:lang w:eastAsia="zh-CN"/>
        </w:rPr>
        <w:t>acknowledge</w:t>
      </w:r>
      <w:r w:rsidRPr="00A91056">
        <w:rPr>
          <w:lang w:eastAsia="zh-CN"/>
        </w:rPr>
        <w:t xml:space="preserve"> Dr. Jian-Dong Duan, Dr. Yax Thakkar and Mr. </w:t>
      </w:r>
      <w:r w:rsidR="00BD6C0C" w:rsidRPr="00A91056">
        <w:rPr>
          <w:lang w:eastAsia="zh-CN"/>
        </w:rPr>
        <w:t xml:space="preserve">Klaus D. Brunnemann, </w:t>
      </w:r>
      <w:r w:rsidR="008A13C6">
        <w:rPr>
          <w:lang w:eastAsia="zh-CN"/>
        </w:rPr>
        <w:t>the l</w:t>
      </w:r>
      <w:r w:rsidR="003846B0">
        <w:rPr>
          <w:lang w:eastAsia="zh-CN"/>
        </w:rPr>
        <w:t>a</w:t>
      </w:r>
      <w:r w:rsidR="008A13C6">
        <w:rPr>
          <w:lang w:eastAsia="zh-CN"/>
        </w:rPr>
        <w:t>tter</w:t>
      </w:r>
      <w:r w:rsidR="003846B0">
        <w:rPr>
          <w:lang w:eastAsia="zh-CN"/>
        </w:rPr>
        <w:t xml:space="preserve"> of whom is</w:t>
      </w:r>
      <w:r w:rsidR="008A13C6">
        <w:rPr>
          <w:lang w:eastAsia="zh-CN"/>
        </w:rPr>
        <w:t xml:space="preserve"> </w:t>
      </w:r>
      <w:r w:rsidR="00BD6C0C" w:rsidRPr="00A91056">
        <w:rPr>
          <w:lang w:eastAsia="zh-CN"/>
        </w:rPr>
        <w:t>now deceased, for their help with experimental procedures.</w:t>
      </w:r>
      <w:r w:rsidRPr="00A91056">
        <w:rPr>
          <w:lang w:eastAsia="zh-CN"/>
        </w:rPr>
        <w:t xml:space="preserve"> </w:t>
      </w:r>
      <w:r w:rsidR="00773500" w:rsidRPr="00A91056">
        <w:rPr>
          <w:lang w:eastAsia="zh-CN"/>
        </w:rPr>
        <w:t>The authors gratefully recognize the contribution of Dr. Harold Enzmann in the</w:t>
      </w:r>
      <w:r w:rsidR="001D0834">
        <w:rPr>
          <w:lang w:eastAsia="zh-CN"/>
        </w:rPr>
        <w:t xml:space="preserve"> initial</w:t>
      </w:r>
      <w:r w:rsidR="00773500" w:rsidRPr="00A91056">
        <w:rPr>
          <w:lang w:eastAsia="zh-CN"/>
        </w:rPr>
        <w:t xml:space="preserve"> development of the </w:t>
      </w:r>
      <w:r w:rsidR="00773500" w:rsidRPr="00A91056">
        <w:rPr>
          <w:i/>
          <w:iCs/>
          <w:lang w:eastAsia="zh-CN"/>
        </w:rPr>
        <w:t xml:space="preserve">in </w:t>
      </w:r>
      <w:proofErr w:type="spellStart"/>
      <w:r w:rsidR="00773500" w:rsidRPr="00A91056">
        <w:rPr>
          <w:i/>
          <w:iCs/>
          <w:lang w:eastAsia="zh-CN"/>
        </w:rPr>
        <w:t>ovo</w:t>
      </w:r>
      <w:proofErr w:type="spellEnd"/>
      <w:r w:rsidR="00773500" w:rsidRPr="00A91056">
        <w:rPr>
          <w:lang w:eastAsia="zh-CN"/>
        </w:rPr>
        <w:t xml:space="preserve"> models. </w:t>
      </w:r>
      <w:r w:rsidR="00CD47BE" w:rsidRPr="00A91056">
        <w:rPr>
          <w:lang w:eastAsia="zh-CN"/>
        </w:rPr>
        <w:t xml:space="preserve">The authors extend their sincere thanks to </w:t>
      </w:r>
      <w:proofErr w:type="spellStart"/>
      <w:r w:rsidR="00504D1A" w:rsidRPr="00A91056">
        <w:rPr>
          <w:lang w:eastAsia="zh-CN"/>
        </w:rPr>
        <w:t>Firmenich</w:t>
      </w:r>
      <w:proofErr w:type="spellEnd"/>
      <w:r w:rsidR="00504D1A" w:rsidRPr="00A91056">
        <w:rPr>
          <w:lang w:eastAsia="zh-CN"/>
        </w:rPr>
        <w:t xml:space="preserve">, Inc., </w:t>
      </w:r>
      <w:r w:rsidR="00DC4CB4" w:rsidRPr="00DC4CB4">
        <w:rPr>
          <w:lang w:eastAsia="zh-CN"/>
        </w:rPr>
        <w:t xml:space="preserve">Boehringer Ingelheim Pharma </w:t>
      </w:r>
      <w:proofErr w:type="spellStart"/>
      <w:r w:rsidR="00DC4CB4" w:rsidRPr="00DC4CB4">
        <w:rPr>
          <w:lang w:eastAsia="zh-CN"/>
        </w:rPr>
        <w:t>GmbH&amp;Co</w:t>
      </w:r>
      <w:proofErr w:type="spellEnd"/>
      <w:r w:rsidR="00DC4CB4" w:rsidRPr="00DC4CB4">
        <w:rPr>
          <w:lang w:eastAsia="zh-CN"/>
        </w:rPr>
        <w:t>. KG</w:t>
      </w:r>
      <w:r w:rsidR="00D10433" w:rsidRPr="00A91056">
        <w:rPr>
          <w:lang w:eastAsia="zh-CN"/>
        </w:rPr>
        <w:t xml:space="preserve">, </w:t>
      </w:r>
      <w:r w:rsidR="00DC4CB4">
        <w:rPr>
          <w:lang w:eastAsia="zh-CN"/>
        </w:rPr>
        <w:t xml:space="preserve">as well </w:t>
      </w:r>
      <w:r w:rsidR="00DC4CB4">
        <w:rPr>
          <w:lang w:eastAsia="zh-CN"/>
        </w:rPr>
        <w:lastRenderedPageBreak/>
        <w:t>as</w:t>
      </w:r>
      <w:r w:rsidR="00D10433" w:rsidRPr="00A91056">
        <w:rPr>
          <w:lang w:eastAsia="zh-CN"/>
        </w:rPr>
        <w:t xml:space="preserve"> the Research Institute of Fragrance Materials </w:t>
      </w:r>
      <w:r w:rsidR="00DC4CB4">
        <w:rPr>
          <w:lang w:eastAsia="zh-CN"/>
        </w:rPr>
        <w:t xml:space="preserve">(RIFM) </w:t>
      </w:r>
      <w:r w:rsidR="00D10433" w:rsidRPr="00A91056">
        <w:rPr>
          <w:lang w:eastAsia="zh-CN"/>
        </w:rPr>
        <w:t xml:space="preserve">for their </w:t>
      </w:r>
      <w:r w:rsidR="002A7823" w:rsidRPr="00A91056">
        <w:rPr>
          <w:lang w:eastAsia="zh-CN"/>
        </w:rPr>
        <w:t xml:space="preserve">financial support of the work </w:t>
      </w:r>
      <w:r w:rsidR="001D0834">
        <w:rPr>
          <w:lang w:eastAsia="zh-CN"/>
        </w:rPr>
        <w:t>reported here</w:t>
      </w:r>
      <w:r w:rsidR="002A7823" w:rsidRPr="00A91056">
        <w:rPr>
          <w:lang w:eastAsia="zh-CN"/>
        </w:rPr>
        <w:t xml:space="preserve">. </w:t>
      </w:r>
      <w:r w:rsidR="009A751C" w:rsidRPr="00A91056">
        <w:br w:type="page"/>
      </w:r>
    </w:p>
    <w:p w14:paraId="290C7B6C" w14:textId="1D83EDBF" w:rsidR="00D644BD" w:rsidRPr="00A91056" w:rsidRDefault="006256B0" w:rsidP="00D644BD">
      <w:pPr>
        <w:pStyle w:val="Heading1"/>
      </w:pPr>
      <w:r>
        <w:lastRenderedPageBreak/>
        <w:t>9</w:t>
      </w:r>
      <w:r w:rsidR="00D644BD" w:rsidRPr="00A91056">
        <w:t>. References</w:t>
      </w:r>
    </w:p>
    <w:p w14:paraId="7E4DECEE" w14:textId="11C30855" w:rsidR="009D55C6" w:rsidRPr="00415F65" w:rsidRDefault="009D55C6" w:rsidP="00124636">
      <w:pPr>
        <w:pStyle w:val="EndNoteBibliography"/>
        <w:spacing w:before="120" w:after="120"/>
        <w:ind w:left="720" w:hanging="720"/>
      </w:pPr>
      <w:r w:rsidRPr="009D55C6">
        <w:t>Alaiz Noya M, Berti F, Dietrich S. Comprehensive expression analysis for the core cell cycle regulators in the chicken embryo reveals novel tissue-specific synexpression groups and similarities and differences with expression in mouse, frog and zebrafish. J Anat. 2022 Jul;241(1):42-66. doi: 10.1111/joa.13629.</w:t>
      </w:r>
    </w:p>
    <w:p w14:paraId="091C6FDE" w14:textId="60081E66" w:rsidR="0066766C" w:rsidRDefault="0066766C" w:rsidP="00124636">
      <w:pPr>
        <w:pStyle w:val="EndNoteBibliography"/>
        <w:spacing w:before="120" w:after="120"/>
        <w:ind w:left="720" w:hanging="720"/>
      </w:pPr>
      <w:r w:rsidRPr="0066766C">
        <w:t>Antin PB, Yatskievych TA, Davey S, Darnell DK. GEISHA: an evolving gene expression resource for the chicken embryo. Nucleic Acids Res. 2014 Jan;42(Database issue):D933-7. doi: 10.1093/nar/gkt962.</w:t>
      </w:r>
    </w:p>
    <w:p w14:paraId="54DAFD4D" w14:textId="3FAFF823" w:rsidR="0066766C" w:rsidRDefault="0066766C" w:rsidP="00124636">
      <w:pPr>
        <w:pStyle w:val="EndNoteBibliography"/>
        <w:spacing w:before="120" w:after="120"/>
        <w:ind w:left="720" w:hanging="720"/>
      </w:pPr>
      <w:r w:rsidRPr="0066766C">
        <w:t>Bakst MR. Embryonic development of the chicken external cloaca and phallus. Scan Electron Microsc. 1986;(Pt 2):653-9.</w:t>
      </w:r>
    </w:p>
    <w:p w14:paraId="234B0407" w14:textId="1C1A641D" w:rsidR="0066766C" w:rsidRDefault="00583D78" w:rsidP="00124636">
      <w:pPr>
        <w:pStyle w:val="EndNoteBibliography"/>
        <w:spacing w:before="120" w:after="120"/>
        <w:ind w:left="720" w:hanging="720"/>
      </w:pPr>
      <w:r w:rsidRPr="00415F65">
        <w:t>Bellairs R</w:t>
      </w:r>
      <w:r>
        <w:t>. T</w:t>
      </w:r>
      <w:r w:rsidRPr="00583D78">
        <w:t>he development of the nervous system in chick embryos, studied by electron microscopy. J Embryol Exp Morphol. 1959 Mar;7(1):94-115.</w:t>
      </w:r>
    </w:p>
    <w:p w14:paraId="0E05CF6D" w14:textId="3ACF9EA9" w:rsidR="008957EB" w:rsidRDefault="008957EB" w:rsidP="00124636">
      <w:pPr>
        <w:pStyle w:val="EndNoteBibliography"/>
        <w:spacing w:before="120" w:after="120"/>
        <w:ind w:left="720" w:hanging="720"/>
      </w:pPr>
      <w:r w:rsidRPr="008957EB">
        <w:t>Brendler-Schwaab S, Hartmann A, Pfuhler S, Speit G. The in vivo comet assay: use and status in genotoxicity testing. Mutagenesis. 2005 Jul;20(4):245-54. doi: 10.1093/mutage/gei033.</w:t>
      </w:r>
    </w:p>
    <w:p w14:paraId="002F43C5" w14:textId="023F1001" w:rsidR="008957EB" w:rsidRDefault="00B7452C" w:rsidP="00124636">
      <w:pPr>
        <w:pStyle w:val="EndNoteBibliography"/>
        <w:spacing w:before="120" w:after="120"/>
        <w:ind w:left="720" w:hanging="720"/>
      </w:pPr>
      <w:r w:rsidRPr="00B7452C">
        <w:t>Brunnemann KD, Enzmann HG, Perrone CE, Iatropoulos MJ, Williams GM. In ovo carcinogenicity assay (IOCA): evaluation of mannitol, caprolactam and nitrosoproline. Arch Toxicol. 2002 Oct;76(10):606-12. doi: 10.1007/s00204-002-0380-4.</w:t>
      </w:r>
    </w:p>
    <w:p w14:paraId="124636E7" w14:textId="0007E65F" w:rsidR="00B7452C" w:rsidRDefault="009D237D" w:rsidP="00124636">
      <w:pPr>
        <w:pStyle w:val="EndNoteBibliography"/>
        <w:spacing w:before="120" w:after="120"/>
        <w:ind w:left="720" w:hanging="720"/>
      </w:pPr>
      <w:r w:rsidRPr="009D237D">
        <w:t>Butterworth BE, Ashby J, Bermudez E, Casciano D, Mirsalis J, Probst G, Williams G. A protocol and guide for the in vivo rat hepatocyte DNA-repair assay. Mutat Res. 1987 Oct;189(2):123-33. doi: 10.1016/0165-1218(87)90018-8.</w:t>
      </w:r>
    </w:p>
    <w:p w14:paraId="66943A4F" w14:textId="754EB30C" w:rsidR="009D237D" w:rsidRDefault="009D237D" w:rsidP="00124636">
      <w:pPr>
        <w:pStyle w:val="EndNoteBibliography"/>
        <w:spacing w:before="120" w:after="120"/>
        <w:ind w:left="720" w:hanging="720"/>
      </w:pPr>
      <w:r w:rsidRPr="009D237D">
        <w:t>Collins A, Vettorazzi A, Azqueta A. The role of the enzyme-modified comet assay in in vivo studies. Toxicol Lett. 2020 Jul 1;327:58-68. doi: 10.1016/j.toxlet.2020.03.016.</w:t>
      </w:r>
    </w:p>
    <w:p w14:paraId="410C239E" w14:textId="48194E7C" w:rsidR="009D237D" w:rsidRDefault="0000610B" w:rsidP="00124636">
      <w:pPr>
        <w:pStyle w:val="EndNoteBibliography"/>
        <w:spacing w:before="120" w:after="120"/>
        <w:ind w:left="720" w:hanging="720"/>
      </w:pPr>
      <w:r w:rsidRPr="0000610B">
        <w:t>Corvi R, Madia F. In vitro genotoxicity testing-Can the performance be enhanced? Food Chem Toxicol. 2017 Aug;106(Pt B):600-608. doi: 10.1016/j.fct.2016.08.024.</w:t>
      </w:r>
    </w:p>
    <w:p w14:paraId="4268172E" w14:textId="5B45D8EA" w:rsidR="00415F65" w:rsidRPr="00415F65" w:rsidRDefault="00415F65" w:rsidP="00124636">
      <w:pPr>
        <w:pStyle w:val="EndNoteBibliography"/>
        <w:spacing w:before="120" w:after="120"/>
        <w:ind w:left="720" w:hanging="720"/>
      </w:pPr>
      <w:r w:rsidRPr="00415F65">
        <w:t>Corvi R, Madia F</w:t>
      </w:r>
      <w:r w:rsidR="0000610B">
        <w:t xml:space="preserve">. </w:t>
      </w:r>
      <w:r w:rsidR="00362A7E">
        <w:t>E</w:t>
      </w:r>
      <w:r w:rsidRPr="00415F65">
        <w:t xml:space="preserve">URL ECVAM Genotoxicity and Carcinogenicity Consolidated Database of Ames Positive Chemicals. </w:t>
      </w:r>
      <w:r w:rsidR="0000610B">
        <w:t>2018</w:t>
      </w:r>
      <w:r w:rsidRPr="00415F65">
        <w:t xml:space="preserve">. European Commission, Joint Research Centre (JRC) [Dataset]  </w:t>
      </w:r>
      <w:r w:rsidRPr="00C4016A">
        <w:t>http://dataeuropaeu/89h/jrc-eurl-ecvam-genotoxicity-carcinogenicity-ames</w:t>
      </w:r>
      <w:r w:rsidRPr="00415F65">
        <w:t xml:space="preserve"> </w:t>
      </w:r>
    </w:p>
    <w:p w14:paraId="2D5BD3DC" w14:textId="14BF6F30" w:rsidR="00415F65" w:rsidRPr="00415F65" w:rsidRDefault="00415F65" w:rsidP="00124636">
      <w:pPr>
        <w:pStyle w:val="EndNoteBibliography"/>
        <w:spacing w:before="120" w:after="120"/>
        <w:ind w:left="720" w:hanging="720"/>
      </w:pPr>
      <w:r w:rsidRPr="00415F65">
        <w:t>Duncker HR</w:t>
      </w:r>
      <w:r w:rsidR="00CD408E">
        <w:t>.</w:t>
      </w:r>
      <w:r w:rsidRPr="00415F65">
        <w:t xml:space="preserve"> Development of the </w:t>
      </w:r>
      <w:r w:rsidR="00CD408E">
        <w:t>a</w:t>
      </w:r>
      <w:r w:rsidRPr="00415F65">
        <w:t xml:space="preserve">vian </w:t>
      </w:r>
      <w:r w:rsidR="00CD408E">
        <w:t>r</w:t>
      </w:r>
      <w:r w:rsidRPr="00415F65">
        <w:t xml:space="preserve">espiratory and </w:t>
      </w:r>
      <w:r w:rsidR="00CD408E">
        <w:t>c</w:t>
      </w:r>
      <w:r w:rsidRPr="00415F65">
        <w:t xml:space="preserve">irculatory </w:t>
      </w:r>
      <w:r w:rsidR="00CD408E">
        <w:t>s</w:t>
      </w:r>
      <w:r w:rsidRPr="00415F65">
        <w:t xml:space="preserve">ystems. </w:t>
      </w:r>
      <w:r w:rsidR="001D6D64" w:rsidRPr="00415F65">
        <w:t>1978</w:t>
      </w:r>
      <w:r w:rsidR="001D6D64">
        <w:t xml:space="preserve">. </w:t>
      </w:r>
      <w:r w:rsidRPr="00415F65">
        <w:t>In: Piiper J (ed) Respiratory Function in Birds, Adult and Embryonic, Berlin, Heidelberg,. Springer Berlin Heidelberg, p 260-273</w:t>
      </w:r>
    </w:p>
    <w:p w14:paraId="7B4A62CD" w14:textId="1FDF4963" w:rsidR="00CD3B3F" w:rsidRDefault="00D70355" w:rsidP="00124636">
      <w:pPr>
        <w:pStyle w:val="EndNoteBibliography"/>
        <w:spacing w:before="120" w:after="120"/>
        <w:ind w:left="720" w:hanging="720"/>
      </w:pPr>
      <w:r w:rsidRPr="00D70355">
        <w:t>Eisenreich A, Götz ME, Sachse B, Monien BH, Herrmann K, Schäfer B. Alkenylbenzenes in Foods: Aspects Impeding the Evaluation of Adverse Health Effects. Foods. 2021 Sep 10;10(9):2139. doi: 10.3390/foods10092139.</w:t>
      </w:r>
    </w:p>
    <w:p w14:paraId="7CFEC699" w14:textId="5BCB0F3D" w:rsidR="007565B9" w:rsidRDefault="007565B9" w:rsidP="00124636">
      <w:pPr>
        <w:pStyle w:val="EndNoteBibliography"/>
        <w:spacing w:before="120" w:after="120"/>
        <w:ind w:left="720" w:hanging="720"/>
      </w:pPr>
      <w:r w:rsidRPr="007565B9">
        <w:t xml:space="preserve">Enzmann H, Brunnemann KD. The in ovo carcinogenicity assay (IOCA): a review of an experimental approach for research on carcinogenesis and carcinogenicity </w:t>
      </w:r>
      <w:r w:rsidRPr="007565B9">
        <w:lastRenderedPageBreak/>
        <w:t>testing. Front Biosci. 1997 Dec 15;2:c30-9. doi: 10.2741/a168.</w:t>
      </w:r>
    </w:p>
    <w:p w14:paraId="7720DF81" w14:textId="171FA063" w:rsidR="00873526" w:rsidRDefault="00873526" w:rsidP="00124636">
      <w:pPr>
        <w:pStyle w:val="EndNoteBibliography"/>
        <w:spacing w:before="120" w:after="120"/>
        <w:ind w:left="720" w:hanging="720"/>
      </w:pPr>
      <w:r w:rsidRPr="00873526">
        <w:t>Enzmann H, Kaliner G, Watta-Gebert B, Löser E. Foci of altered hepatocytes induced in embryonal turkey liver. Carcinogenesis. 1992 Jun;13(6):943-6. doi: 10.1093/carcin/13.6.943.</w:t>
      </w:r>
    </w:p>
    <w:p w14:paraId="31C6F3C0" w14:textId="03C85315" w:rsidR="00623B8C" w:rsidRDefault="00623B8C" w:rsidP="00124636">
      <w:pPr>
        <w:pStyle w:val="EndNoteBibliography"/>
        <w:spacing w:before="120" w:after="120"/>
        <w:ind w:left="720" w:hanging="720"/>
      </w:pPr>
      <w:r w:rsidRPr="00623B8C">
        <w:t>Enzmann H, Kühlem C, Löser E, Bannasch P. Dose dependence of diethylnitrosamine-induced nuclear enlargement in embryonal turkey liver. Carcinogenesis. 1995 Jun;16(6):1351-5. doi: 10.1093/carcin/16.6.1351.</w:t>
      </w:r>
    </w:p>
    <w:p w14:paraId="65867EB9" w14:textId="2716D3C5" w:rsidR="00D70355" w:rsidRDefault="00D70355" w:rsidP="00124636">
      <w:pPr>
        <w:pStyle w:val="EndNoteBibliography"/>
        <w:spacing w:before="120" w:after="120"/>
        <w:ind w:left="720" w:hanging="720"/>
      </w:pPr>
      <w:r w:rsidRPr="00D70355">
        <w:t>Enzmann H, Brunnemann K, Iatropoulos M, Shpyleva S, Lukyanova N, Todor I, Moore M, Spicher K, Chekhun V, Tsuda H, Williams G. Inter-laboratory comparison of turkey in ovo carcinogenicity assessment (IOCA) of hepatocarcinogens. Exp Toxicol Pathol. 2013 Sep;65(6):729-35. doi: 10.1016/j.etp.2012.09.007.</w:t>
      </w:r>
    </w:p>
    <w:p w14:paraId="387DAB63" w14:textId="420EC62F" w:rsidR="00D70355" w:rsidRDefault="00671A34" w:rsidP="00124636">
      <w:pPr>
        <w:pStyle w:val="EndNoteBibliography"/>
        <w:spacing w:before="120" w:after="120"/>
        <w:ind w:left="720" w:hanging="720"/>
      </w:pPr>
      <w:r w:rsidRPr="00671A34">
        <w:t>Enzmann HG, Brunnemann KD, Kaestner B, Iatropoulos MJ, Williams GM. Dose-dependent induction of preneoplastic lesions by the tobacco-specific nitrosamine carcinogen NNK in the in ovo carcinogenicity assessment (IOCA) assay. Exp Toxicol Pathol. 2014 Jan;66(1):35-40. doi: 10.1016/j.etp.2013.08.001.</w:t>
      </w:r>
    </w:p>
    <w:p w14:paraId="689EBF71" w14:textId="2CE6D7F4" w:rsidR="00415F65" w:rsidRPr="00415F65" w:rsidRDefault="00415F65" w:rsidP="00124636">
      <w:pPr>
        <w:pStyle w:val="EndNoteBibliography"/>
        <w:spacing w:before="120" w:after="120"/>
        <w:ind w:left="720" w:hanging="720"/>
      </w:pPr>
      <w:r w:rsidRPr="00415F65">
        <w:t>EU, European Unioin</w:t>
      </w:r>
      <w:r w:rsidR="00671A34">
        <w:t>.</w:t>
      </w:r>
      <w:r w:rsidRPr="00415F65">
        <w:t xml:space="preserve"> </w:t>
      </w:r>
      <w:r w:rsidR="00145EC4" w:rsidRPr="00415F65">
        <w:t xml:space="preserve">Executive </w:t>
      </w:r>
      <w:r w:rsidR="00F67324">
        <w:t>s</w:t>
      </w:r>
      <w:r w:rsidR="00145EC4" w:rsidRPr="00415F65">
        <w:t xml:space="preserve">ummary </w:t>
      </w:r>
      <w:r w:rsidR="00F67324">
        <w:t>o</w:t>
      </w:r>
      <w:r w:rsidR="00145EC4" w:rsidRPr="00415F65">
        <w:t xml:space="preserve">f </w:t>
      </w:r>
      <w:r w:rsidR="00F67324">
        <w:t>t</w:t>
      </w:r>
      <w:r w:rsidR="00145EC4" w:rsidRPr="00415F65">
        <w:t xml:space="preserve">he </w:t>
      </w:r>
      <w:r w:rsidR="00F67324">
        <w:t>i</w:t>
      </w:r>
      <w:r w:rsidR="00145EC4" w:rsidRPr="00415F65">
        <w:t xml:space="preserve">mpact </w:t>
      </w:r>
      <w:r w:rsidR="00F67324">
        <w:t>a</w:t>
      </w:r>
      <w:r w:rsidR="00145EC4" w:rsidRPr="00415F65">
        <w:t xml:space="preserve">ssessment </w:t>
      </w:r>
      <w:r w:rsidR="00F67324">
        <w:t>o</w:t>
      </w:r>
      <w:r w:rsidR="00145EC4" w:rsidRPr="00415F65">
        <w:t xml:space="preserve">n </w:t>
      </w:r>
      <w:r w:rsidR="00F67324">
        <w:t>t</w:t>
      </w:r>
      <w:r w:rsidR="00145EC4" w:rsidRPr="00415F65">
        <w:t xml:space="preserve">he </w:t>
      </w:r>
      <w:r w:rsidR="00F67324">
        <w:t>a</w:t>
      </w:r>
      <w:r w:rsidR="00145EC4" w:rsidRPr="00415F65">
        <w:t xml:space="preserve">nimal </w:t>
      </w:r>
      <w:r w:rsidR="00F67324">
        <w:t>t</w:t>
      </w:r>
      <w:r w:rsidR="00145EC4" w:rsidRPr="00415F65">
        <w:t xml:space="preserve">esting </w:t>
      </w:r>
      <w:r w:rsidR="00F67324">
        <w:t>p</w:t>
      </w:r>
      <w:r w:rsidR="00145EC4" w:rsidRPr="00415F65">
        <w:t xml:space="preserve">rovisions </w:t>
      </w:r>
      <w:r w:rsidR="00F67324">
        <w:t>i</w:t>
      </w:r>
      <w:r w:rsidR="00145EC4" w:rsidRPr="00415F65">
        <w:t xml:space="preserve">n </w:t>
      </w:r>
      <w:r w:rsidR="00F67324">
        <w:t>r</w:t>
      </w:r>
      <w:r w:rsidR="00145EC4" w:rsidRPr="00415F65">
        <w:t xml:space="preserve">egulatio (Ec) 1223/2009 </w:t>
      </w:r>
      <w:r w:rsidR="007A6BC1">
        <w:t>o</w:t>
      </w:r>
      <w:r w:rsidR="00145EC4" w:rsidRPr="00415F65">
        <w:t xml:space="preserve">n </w:t>
      </w:r>
      <w:r w:rsidR="007A6BC1">
        <w:t>c</w:t>
      </w:r>
      <w:r w:rsidR="00145EC4" w:rsidRPr="00415F65">
        <w:t>osmetics</w:t>
      </w:r>
      <w:r w:rsidRPr="00415F65">
        <w:t>.</w:t>
      </w:r>
      <w:r w:rsidR="00671A34" w:rsidRPr="00671A34">
        <w:t xml:space="preserve"> </w:t>
      </w:r>
      <w:r w:rsidR="00671A34" w:rsidRPr="00415F65">
        <w:t>2009</w:t>
      </w:r>
      <w:r w:rsidR="00671A34">
        <w:t>.</w:t>
      </w:r>
      <w:r w:rsidRPr="00415F65">
        <w:t xml:space="preserve"> </w:t>
      </w:r>
      <w:r w:rsidRPr="00C4016A">
        <w:t>https://eur-lex.europa.eu/legal-content/EN/TXT/?uri=CELEX:52013SC0067</w:t>
      </w:r>
    </w:p>
    <w:p w14:paraId="24BA2B5A" w14:textId="19153548" w:rsidR="00671A34" w:rsidRDefault="00C67E35" w:rsidP="00124636">
      <w:pPr>
        <w:pStyle w:val="EndNoteBibliography"/>
        <w:spacing w:before="120" w:after="120"/>
        <w:ind w:left="720" w:hanging="720"/>
      </w:pPr>
      <w:r w:rsidRPr="00C67E35">
        <w:t>Glei M, Schneider T, Schlörmann W. Comet assay: an essential tool in toxicological research. Arch Toxicol. 2016 Oct;90(10):2315-36. doi: 10.1007/s00204-016-1767-y.</w:t>
      </w:r>
    </w:p>
    <w:p w14:paraId="6ED0389C" w14:textId="5E12A027" w:rsidR="00415F65" w:rsidRDefault="00C67E35" w:rsidP="00124636">
      <w:pPr>
        <w:pStyle w:val="EndNoteBibliography"/>
        <w:spacing w:before="120" w:after="120"/>
        <w:ind w:left="720" w:hanging="720"/>
      </w:pPr>
      <w:r w:rsidRPr="00C67E35">
        <w:t xml:space="preserve">Gupta RC. Enhanced sensitivity of </w:t>
      </w:r>
      <w:r w:rsidRPr="00D64EF7">
        <w:rPr>
          <w:vertAlign w:val="superscript"/>
        </w:rPr>
        <w:t>32</w:t>
      </w:r>
      <w:r w:rsidRPr="00C67E35">
        <w:t>P-postlabeling analysis of aromatic carcinogen:DNA adducts. Cancer Res. 1985 Nov;45(11 Pt 2):5656-62.</w:t>
      </w:r>
    </w:p>
    <w:p w14:paraId="368FEB0B" w14:textId="79881CC5" w:rsidR="00C67E35" w:rsidRPr="00415F65" w:rsidRDefault="00117372" w:rsidP="00124636">
      <w:pPr>
        <w:pStyle w:val="EndNoteBibliography"/>
        <w:spacing w:before="120" w:after="120"/>
        <w:ind w:left="720" w:hanging="720"/>
      </w:pPr>
      <w:r w:rsidRPr="00117372">
        <w:t xml:space="preserve">Gupta RC, Goel SK, Earley K, Singh B, Reddy JK. </w:t>
      </w:r>
      <w:r w:rsidRPr="00D64EF7">
        <w:rPr>
          <w:vertAlign w:val="superscript"/>
        </w:rPr>
        <w:t>32</w:t>
      </w:r>
      <w:r w:rsidRPr="00117372">
        <w:t>P-postlabeling analysis of peroxisome proliferator-DNA adduct formation in rat liver in vivo and hepatocytes in vitro. Carcinogenesis. 1985 Jun;6(6):933-6. doi: 10.1093/carcin/6.6.933.</w:t>
      </w:r>
    </w:p>
    <w:p w14:paraId="4AB8CDB8" w14:textId="77777777" w:rsidR="00A0757E" w:rsidRDefault="00A0757E" w:rsidP="00124636">
      <w:pPr>
        <w:pStyle w:val="EndNoteBibliography"/>
        <w:spacing w:before="120" w:after="120"/>
        <w:ind w:left="720" w:hanging="720"/>
      </w:pPr>
      <w:r w:rsidRPr="00A0757E">
        <w:t xml:space="preserve">Huang Z, Xu Z, Bai H, Huang Y, Kang N, Ding X, Liu J, Luo H, Yang C, Chen W, Guo Q, Xue L, Zhang X, Xu L, Chen M, Fu H, Chen Y, Yue Z, Fukagawa T, Liu S, Chang G, Xu L. Evolutionary analysis of a complete chicken genome. Proc Natl Acad Sci U S A. 2023 Feb 21;120(8):e2216641120. doi: 10.1073/pnas.2216641120. </w:t>
      </w:r>
    </w:p>
    <w:p w14:paraId="3524295E" w14:textId="77777777" w:rsidR="001E24C0" w:rsidRDefault="001E24C0" w:rsidP="00124636">
      <w:pPr>
        <w:pStyle w:val="EndNoteBibliography"/>
        <w:spacing w:before="120" w:after="120"/>
        <w:ind w:left="720" w:hanging="720"/>
      </w:pPr>
      <w:r w:rsidRPr="001E24C0">
        <w:t xml:space="preserve">Hwa Yun B, Guo J, Bellamri M, Turesky RJ. DNA adducts: Formation, biological effects, and new biospecimens for mass spectrometric measurements in humans. Mass Spectrom Rev. 2020 Mar;39(1-2):55-82. doi: 10.1002/mas.21570. </w:t>
      </w:r>
    </w:p>
    <w:p w14:paraId="20945085" w14:textId="77777777" w:rsidR="00E0214C" w:rsidRDefault="00E0214C" w:rsidP="00124636">
      <w:pPr>
        <w:pStyle w:val="EndNoteBibliography"/>
        <w:spacing w:before="120" w:after="120"/>
        <w:ind w:left="720" w:hanging="720"/>
      </w:pPr>
      <w:r w:rsidRPr="00E0214C">
        <w:t>Iatropoulos MJ, Kobets T, Duan JD, Brunnemann KD, Vock E, Deschl U, Williams GM. Chicken egg fetal liver DNA and histopathologic effects of structurally diverse carcinogens and non-carcinogens. Exp Toxicol Pathol. 2017 Sep 5;69(7):533-546. doi: 10.1016/j.etp.2017.04.011.</w:t>
      </w:r>
    </w:p>
    <w:p w14:paraId="7BBE7EB8" w14:textId="416A282E" w:rsidR="00B64924" w:rsidRDefault="00B64924" w:rsidP="00124636">
      <w:pPr>
        <w:pStyle w:val="EndNoteBibliography"/>
        <w:spacing w:before="120" w:after="120"/>
        <w:ind w:left="720" w:hanging="720"/>
      </w:pPr>
      <w:r w:rsidRPr="00B64924">
        <w:t xml:space="preserve">International Chicken Genome Sequencing Consortium. Sequence and comparative analysis of the chicken genome provide unique perspectives on vertebrate evolution. Nature. 2004 Dec 9;432(7018):695-716. doi: 10.1038/nature03154. </w:t>
      </w:r>
      <w:r w:rsidRPr="00B64924">
        <w:lastRenderedPageBreak/>
        <w:t>Erratum in: Nature. 2005 Feb 17;433(7027):777.</w:t>
      </w:r>
    </w:p>
    <w:p w14:paraId="607F0C1A" w14:textId="4B29148E" w:rsidR="00415F65" w:rsidRPr="00415F65" w:rsidRDefault="00415F65" w:rsidP="00124636">
      <w:pPr>
        <w:pStyle w:val="EndNoteBibliography"/>
        <w:spacing w:before="120" w:after="120"/>
        <w:ind w:left="720" w:hanging="720"/>
      </w:pPr>
      <w:r w:rsidRPr="00415F65">
        <w:t>ICH, International Conference on Harmonisation of Technical Requirements for Registration of Pharmaceuticals for Human Use</w:t>
      </w:r>
      <w:r w:rsidR="001D6D64">
        <w:t>.</w:t>
      </w:r>
      <w:r w:rsidRPr="00415F65">
        <w:t xml:space="preserve"> Guidance for Industry. S2(R1) Genotoxicity Testing and Data Interpretation for Pharmaceuticals Intended for Human Use. Safety Implementation Working Group. </w:t>
      </w:r>
      <w:r w:rsidR="001D6D64" w:rsidRPr="00415F65">
        <w:t>2012</w:t>
      </w:r>
      <w:r w:rsidR="001D6D64">
        <w:t xml:space="preserve">. </w:t>
      </w:r>
      <w:r w:rsidRPr="00415F65">
        <w:t xml:space="preserve">In: U.S. Department of Health and Human Services, Food and Drug Administration, (FDA). Center for Drug Evaluation and Research, (CDER). Center for Biologics Evaluation and Research, (CBER) (ed). </w:t>
      </w:r>
    </w:p>
    <w:p w14:paraId="55D7B594" w14:textId="77777777" w:rsidR="00D06079" w:rsidRDefault="00D06079" w:rsidP="00124636">
      <w:pPr>
        <w:pStyle w:val="EndNoteBibliography"/>
        <w:spacing w:before="120" w:after="120"/>
        <w:ind w:left="720" w:hanging="720"/>
      </w:pPr>
      <w:r w:rsidRPr="00D06079">
        <w:t xml:space="preserve">Kain KH, Miller JW, Jones-Paris CR, Thomason RT, Lewis JD, Bader DM, Barnett JV, Zijlstra A. The chick embryo as an expanding experimental model for cancer and cardiovascular research. Dev Dyn. 2014 Feb;243(2):216-28. doi: 10.1002/dvdy.24093. </w:t>
      </w:r>
    </w:p>
    <w:p w14:paraId="187CFB46" w14:textId="667C36DE" w:rsidR="009A0AE6" w:rsidRPr="00415F65" w:rsidRDefault="009A0AE6" w:rsidP="009A0AE6">
      <w:pPr>
        <w:pStyle w:val="EndNoteBibliography"/>
        <w:spacing w:before="120" w:after="120"/>
        <w:ind w:left="720" w:hanging="720"/>
      </w:pPr>
      <w:r w:rsidRPr="00415F65">
        <w:t>Kobets T, Williams GM</w:t>
      </w:r>
      <w:r>
        <w:t>.</w:t>
      </w:r>
      <w:r w:rsidRPr="00415F65">
        <w:t xml:space="preserve"> Chemicals with carcinogenic activity primarily in rodent liver</w:t>
      </w:r>
      <w:r>
        <w:t>.</w:t>
      </w:r>
      <w:r w:rsidRPr="00415F65">
        <w:t xml:space="preserve"> 2018</w:t>
      </w:r>
      <w:r w:rsidR="00F1060C">
        <w:t xml:space="preserve">. In: </w:t>
      </w:r>
      <w:r w:rsidRPr="00415F65">
        <w:t>Comprehensive Toxicology.</w:t>
      </w:r>
      <w:r w:rsidR="00982E43">
        <w:t xml:space="preserve"> C.A. McQueen (ed).</w:t>
      </w:r>
      <w:r w:rsidRPr="00415F65">
        <w:t xml:space="preserve"> Elsevier, p 409-442</w:t>
      </w:r>
    </w:p>
    <w:p w14:paraId="5C784D62" w14:textId="4640AE10" w:rsidR="00D06079" w:rsidRDefault="00A31456" w:rsidP="00124636">
      <w:pPr>
        <w:pStyle w:val="EndNoteBibliography"/>
        <w:spacing w:before="120" w:after="120"/>
        <w:ind w:left="720" w:hanging="720"/>
      </w:pPr>
      <w:r w:rsidRPr="00A31456">
        <w:t>Kobets T, Duan JD, Brunnemann KD, Etter S, Smith B, Williams GM. Structure-Activity Relationships for DNA Damage by Alkenylbenzenes in Turkey Egg Fetal Liver. Toxicol Sci. 2016 Apr;150(2):301-11. doi: 10.1093/toxsci/kfv322.</w:t>
      </w:r>
    </w:p>
    <w:p w14:paraId="094D8969" w14:textId="7E9D2FAC" w:rsidR="00A31456" w:rsidRDefault="00A31456" w:rsidP="00124636">
      <w:pPr>
        <w:pStyle w:val="EndNoteBibliography"/>
        <w:spacing w:before="120" w:after="120"/>
        <w:ind w:left="720" w:hanging="720"/>
      </w:pPr>
      <w:r w:rsidRPr="00A31456">
        <w:t>Kobets T, Duan JD, Brunnemann KD, Iatropoulos MJ, Etter S, Hickey C, Smith B, Williams GM. In ovo testing of flavor and fragrance materials in Turkey Egg Genotoxicity Assay (TEGA), comparison of results to in vitro and in vivo data. Food Chem Toxicol. 2018</w:t>
      </w:r>
      <w:r>
        <w:t>a</w:t>
      </w:r>
      <w:r w:rsidRPr="00A31456">
        <w:t xml:space="preserve"> May;115:228-243. doi: 10.1016/j.fct.2018.03.015.</w:t>
      </w:r>
    </w:p>
    <w:p w14:paraId="5DFB78D7" w14:textId="44B4931F" w:rsidR="00266339" w:rsidRDefault="00266339" w:rsidP="00124636">
      <w:pPr>
        <w:pStyle w:val="EndNoteBibliography"/>
        <w:spacing w:before="120" w:after="120"/>
        <w:ind w:left="720" w:hanging="720"/>
      </w:pPr>
      <w:r w:rsidRPr="00266339">
        <w:t>Kobets T, Iatropoulos MJ, Duan JD, Brunnemann KD, Iacobas DA, Iacobas S, Vock E, Deschl U, Williams GM. Expression of Genes Encoding for Xenobiotic Metabolism After Exposure to Dialkylnitrosamines in the Chicken Egg Genotoxicity Alternative Model. Toxicol Sci. 2018</w:t>
      </w:r>
      <w:r w:rsidR="00DF2BD2">
        <w:t>b</w:t>
      </w:r>
      <w:r w:rsidRPr="00266339">
        <w:t xml:space="preserve"> Nov 1;166(1):82-96. doi: 10.1093/toxsci/kfy197.</w:t>
      </w:r>
    </w:p>
    <w:p w14:paraId="76669E34" w14:textId="1324FFD7" w:rsidR="00DF2BD2" w:rsidRDefault="00DF2BD2" w:rsidP="00124636">
      <w:pPr>
        <w:pStyle w:val="EndNoteBibliography"/>
        <w:spacing w:before="120" w:after="120"/>
        <w:ind w:left="720" w:hanging="720"/>
      </w:pPr>
      <w:r w:rsidRPr="00DF2BD2">
        <w:t>Kobets T, Iatropoulos MJ, Williams GM. Mechanisms of DNA-reactive and epigenetic chemical carcinogens: applications to carcinogenicity testing and risk assessment. Toxicol Res (Camb). 2018</w:t>
      </w:r>
      <w:r>
        <w:t>c</w:t>
      </w:r>
      <w:r w:rsidRPr="00DF2BD2">
        <w:t xml:space="preserve"> Dec 18;8(2):123-145. doi: 10.1039/c8tx00250a.</w:t>
      </w:r>
    </w:p>
    <w:p w14:paraId="6BB038F7" w14:textId="532217E4" w:rsidR="00D06079" w:rsidRDefault="00D06079" w:rsidP="00124636">
      <w:pPr>
        <w:pStyle w:val="EndNoteBibliography"/>
        <w:spacing w:before="120" w:after="120"/>
        <w:ind w:left="720" w:hanging="720"/>
      </w:pPr>
      <w:r w:rsidRPr="00D06079">
        <w:t>Kobets T, Cartus AT, Fuhlbrueck JA, Brengel A, Stegmüller S, Duan JD, Brunnemann KD, Williams GM. Assessment and characterization of DNA adducts produced by alkenylbenzenes in fetal turkey and chicken livers. Food Chem Toxicol. 2019</w:t>
      </w:r>
      <w:r>
        <w:t>a</w:t>
      </w:r>
      <w:r w:rsidRPr="00D06079">
        <w:t xml:space="preserve"> Jul;129:424-433. doi: 10.1016/j.fct.2019.05.010.</w:t>
      </w:r>
    </w:p>
    <w:p w14:paraId="3885DB2F" w14:textId="3CE12C6B" w:rsidR="00D06079" w:rsidRPr="00C37D4A" w:rsidRDefault="00C37D4A" w:rsidP="00124636">
      <w:pPr>
        <w:pStyle w:val="EndNoteBibliography"/>
        <w:spacing w:before="120" w:after="120"/>
        <w:ind w:left="720" w:hanging="720"/>
      </w:pPr>
      <w:r w:rsidRPr="00C37D4A">
        <w:t>Kobets T, Duan JD, Brunnemann KD, Vock E, Deschl U, Williams GM. DNA-damaging activities of twenty-four structurally diverse unsubstituted and substituted cyclic compounds in embryo-fetal chicken livers. Mutat Res Genet Toxicol Environ Mutagen. 2019</w:t>
      </w:r>
      <w:r>
        <w:t>b</w:t>
      </w:r>
      <w:r w:rsidRPr="00C37D4A">
        <w:t xml:space="preserve"> Aug;844:10-24. doi: 10.1016/j.mrgentox.2019.06.004.</w:t>
      </w:r>
    </w:p>
    <w:p w14:paraId="54F738C9" w14:textId="00F54584" w:rsidR="00415F65" w:rsidRDefault="00252817" w:rsidP="00124636">
      <w:pPr>
        <w:pStyle w:val="EndNoteBibliography"/>
        <w:spacing w:before="120" w:after="120"/>
        <w:ind w:left="720" w:hanging="720"/>
      </w:pPr>
      <w:r w:rsidRPr="00252817">
        <w:t>Kobets T, Duan JD, Vock E, Deschl U, Williams GM. Evaluation of Pharmaceuticals for DNA Damage in the Chicken Egg Genotoxicity Assay (CEGA). Int J Toxicol. 2022 Aug;41(4):297-311. doi: 10.1177/10915818221093583.</w:t>
      </w:r>
    </w:p>
    <w:p w14:paraId="135E95C2" w14:textId="7134DF46" w:rsidR="00C37D4A" w:rsidRPr="00415F65" w:rsidRDefault="00252817" w:rsidP="00124636">
      <w:pPr>
        <w:pStyle w:val="EndNoteBibliography"/>
        <w:spacing w:before="120" w:after="120"/>
        <w:ind w:left="720" w:hanging="720"/>
      </w:pPr>
      <w:r w:rsidRPr="00252817">
        <w:t xml:space="preserve">Kobets T, Hickey C, Johnson G, Duan JD, Etter S, Smith B, Williams GM. Assessment </w:t>
      </w:r>
      <w:r w:rsidRPr="00252817">
        <w:lastRenderedPageBreak/>
        <w:t>of no-observed-effect-levels for DNA adducts formation by genotoxic carcinogens in fetal turkey livers. Toxicology. 2024 Jan;501:153714. doi: 10.1016/j.tox.2023.153714.</w:t>
      </w:r>
    </w:p>
    <w:p w14:paraId="4EA24BDC" w14:textId="7446186D" w:rsidR="00DF2BD2" w:rsidRDefault="008F2D5F" w:rsidP="00124636">
      <w:pPr>
        <w:pStyle w:val="EndNoteBibliography"/>
        <w:spacing w:before="120" w:after="120"/>
        <w:ind w:left="720" w:hanging="720"/>
      </w:pPr>
      <w:r w:rsidRPr="008F2D5F">
        <w:t>Larrey D, Branch RA. Clearance by the liver: current concepts in understanding the hepatic disposition of drugs. Semin Liver Dis. 1983 Nov;3(4):285-97. doi: 10.1055/s-2008-1040781.</w:t>
      </w:r>
    </w:p>
    <w:p w14:paraId="4EDCB544" w14:textId="2071EFCC" w:rsidR="00DF2BD2" w:rsidRDefault="00BE412F" w:rsidP="00124636">
      <w:pPr>
        <w:pStyle w:val="EndNoteBibliography"/>
        <w:spacing w:before="120" w:after="120"/>
        <w:ind w:left="720" w:hanging="720"/>
      </w:pPr>
      <w:r w:rsidRPr="00BE412F">
        <w:t>Leupold JH, Patil N, Allgayer H. The Chicken Egg Chorioallantoic Membrane (CAM) Model as an In Vivo Method for the Investigation of the Invasion and Metastasis Cascade of Malignant Tumor Cells. Methods Mol Biol. 2021;2294:17-26. doi: 10.1007/978-1-0716-1350-4_2.</w:t>
      </w:r>
    </w:p>
    <w:p w14:paraId="042250EE" w14:textId="77777777" w:rsidR="0073420B" w:rsidRDefault="0073420B" w:rsidP="00124636">
      <w:pPr>
        <w:pStyle w:val="EndNoteBibliography"/>
        <w:spacing w:before="120" w:after="120"/>
        <w:ind w:left="720" w:hanging="720"/>
      </w:pPr>
      <w:r w:rsidRPr="0073420B">
        <w:t xml:space="preserve">Madia F, Kirkland D, Morita T, White P, Asturiol D, Corvi R. EURL ECVAM Genotoxicity and Carcinogenicity Database of Substances Eliciting Negative Results in the Ames Test: Construction of the Database. Mutat Res Genet Toxicol Environ Mutagen. 2020 Jun-Jul;854-855:503199. doi: 10.1016/j.mrgentox.2020.503199. </w:t>
      </w:r>
    </w:p>
    <w:p w14:paraId="28AAE68D" w14:textId="206F9331" w:rsidR="00415F65" w:rsidRPr="00415F65" w:rsidRDefault="00415F65" w:rsidP="00124636">
      <w:pPr>
        <w:pStyle w:val="EndNoteBibliography"/>
        <w:spacing w:before="120" w:after="120"/>
        <w:ind w:left="720" w:hanging="720"/>
      </w:pPr>
      <w:r w:rsidRPr="00415F65">
        <w:t>Maslansky CJ, Williams GM</w:t>
      </w:r>
      <w:r w:rsidR="0073420B">
        <w:t>.</w:t>
      </w:r>
      <w:r w:rsidRPr="00415F65">
        <w:t xml:space="preserve"> Methods for the initiation and use of hepatocyte primary cultures from various rodent species to detect metabolic activation of carcinogens. </w:t>
      </w:r>
      <w:r w:rsidR="0073420B" w:rsidRPr="00415F65">
        <w:t>1895</w:t>
      </w:r>
      <w:r w:rsidR="0073420B">
        <w:t xml:space="preserve">. </w:t>
      </w:r>
      <w:r w:rsidRPr="00415F65">
        <w:t>In: Sekely MWaL (ed) In Vitro Models for Cancer Research. CRC Press, Boca Raton, p 43-60</w:t>
      </w:r>
    </w:p>
    <w:p w14:paraId="77EF0EC9" w14:textId="77777777" w:rsidR="00C974CD" w:rsidRDefault="00C974CD" w:rsidP="00124636">
      <w:pPr>
        <w:pStyle w:val="EndNoteBibliography"/>
        <w:spacing w:before="120" w:after="120"/>
        <w:ind w:left="720" w:hanging="720"/>
      </w:pPr>
      <w:r w:rsidRPr="00C974CD">
        <w:t>Matsumoto M, Kano H, Suzuki M, Noguchi T, Umeda Y, Fukushima S. Carcinogenicity of quinoline by drinking-water administration in rats and mice. J Toxicol Sci. 2018;43(2):113-127. doi: 10.2131/jts.43.113.</w:t>
      </w:r>
    </w:p>
    <w:p w14:paraId="7F9A4DBF" w14:textId="77777777" w:rsidR="00B80C97" w:rsidRDefault="00B80C97" w:rsidP="00124636">
      <w:pPr>
        <w:pStyle w:val="EndNoteBibliography"/>
        <w:spacing w:before="120" w:after="120"/>
        <w:ind w:left="720" w:hanging="720"/>
      </w:pPr>
      <w:r w:rsidRPr="00B80C97">
        <w:t xml:space="preserve">McCarthy FM, Pendarvis K, Cooksey AM, Gresham CR, Bomhoff M, Davey S, Lyons E, Sonstegard TS, Bridges SM, Burgess SC. Chickspress: a resource for chicken gene expression. Database (Oxford). 2019 Jan 1;2019:baz058. doi: 10.1093/database/baz058. </w:t>
      </w:r>
    </w:p>
    <w:p w14:paraId="34A22D31" w14:textId="47DAFA92" w:rsidR="00B80C97" w:rsidRDefault="00A32B62" w:rsidP="00124636">
      <w:pPr>
        <w:pStyle w:val="EndNoteBibliography"/>
        <w:spacing w:before="120" w:after="120"/>
        <w:ind w:left="720" w:hanging="720"/>
      </w:pPr>
      <w:r w:rsidRPr="00A32B62">
        <w:t>McQueen CA, Williams GM. The use of cells from rat, mouse, hamster, and rabbit in the hepatocyte primary culture/DNA-repair test. Ann N Y Acad Sci. 1983;407:119-30. doi: 10.1111/j.1749-6632.1983.tb47818.x.</w:t>
      </w:r>
    </w:p>
    <w:p w14:paraId="52E9C6D3" w14:textId="77777777" w:rsidR="00A32B62" w:rsidRDefault="00A32B62" w:rsidP="00124636">
      <w:pPr>
        <w:pStyle w:val="EndNoteBibliography"/>
        <w:spacing w:before="120" w:after="120"/>
        <w:ind w:left="720" w:hanging="720"/>
      </w:pPr>
      <w:r w:rsidRPr="00A32B62">
        <w:t>McQueen CA, Williams GM. The hepatocyte primary culture/DNA repair test using hepatocytes from several species. Cell Biol Toxicol. 1987 Jun;3(2):209-18. doi: 10.1007/BF00058457.</w:t>
      </w:r>
    </w:p>
    <w:p w14:paraId="008081A1" w14:textId="77777777" w:rsidR="00A02569" w:rsidRDefault="00A02569" w:rsidP="00124636">
      <w:pPr>
        <w:pStyle w:val="EndNoteBibliography"/>
        <w:spacing w:before="120" w:after="120"/>
        <w:ind w:left="720" w:hanging="720"/>
      </w:pPr>
      <w:r w:rsidRPr="00A02569">
        <w:t xml:space="preserve">McQueen CA, Maslansky CJ, Glowinski IB, Crescenzi SB, Weber WW, Williams GM. Relationship between the genetically determined acetylator phenotype and DNA damage induced by hydralazine and 2-aminofluorene in cultured rabbit hepatocytes. Proc Natl Acad Sci U S A. 1982 Feb;79(4):1269-72. doi: 10.1073/pnas.79.4.1269. </w:t>
      </w:r>
    </w:p>
    <w:p w14:paraId="74402B7F" w14:textId="77777777" w:rsidR="00A817EC" w:rsidRDefault="00A817EC" w:rsidP="00124636">
      <w:pPr>
        <w:pStyle w:val="EndNoteBibliography"/>
        <w:spacing w:before="120" w:after="120"/>
        <w:ind w:left="720" w:hanging="720"/>
      </w:pPr>
      <w:r w:rsidRPr="00A817EC">
        <w:t>McQueen CA, Maslansky CJ, Williams GM. Role of the acetylation polymorphism in determining susceptibility of cultured rabbit hepatocytes to DNA damage by aromatic amines. Cancer Res. 1983 Jul;43(7):3120-3.</w:t>
      </w:r>
    </w:p>
    <w:p w14:paraId="17FEBA0A" w14:textId="53ACD544" w:rsidR="00B80C97" w:rsidRDefault="00A817EC" w:rsidP="00124636">
      <w:pPr>
        <w:pStyle w:val="EndNoteBibliography"/>
        <w:spacing w:before="120" w:after="120"/>
        <w:ind w:left="720" w:hanging="720"/>
      </w:pPr>
      <w:r w:rsidRPr="00A817EC">
        <w:t>McQueen CA, Way BM, Williams GM. Genotoxicity of carcinogens in human hepatocytes: application in hazard assessment. Toxicol Appl Pharmacol. 1988 Nov;96(2):360-6. doi: 10.1016/0041-008x(88)90094-4.</w:t>
      </w:r>
    </w:p>
    <w:p w14:paraId="2060439C" w14:textId="77777777" w:rsidR="000909A0" w:rsidRDefault="000909A0" w:rsidP="00124636">
      <w:pPr>
        <w:pStyle w:val="EndNoteBibliography"/>
        <w:spacing w:before="120" w:after="120"/>
        <w:ind w:left="720" w:hanging="720"/>
      </w:pPr>
      <w:r w:rsidRPr="000909A0">
        <w:lastRenderedPageBreak/>
        <w:t>Miebach L, Berner J, Bekeschus S. In ovo model in cancer research and tumor immunology. Front Immunol. 2022 Sep 29;13:1006064. doi: 10.3389/fimmu.2022.1006064.</w:t>
      </w:r>
    </w:p>
    <w:p w14:paraId="2FD9BA9A" w14:textId="77777777" w:rsidR="00107ADE" w:rsidRDefault="00107ADE" w:rsidP="00124636">
      <w:pPr>
        <w:pStyle w:val="EndNoteBibliography"/>
        <w:spacing w:before="120" w:after="120"/>
        <w:ind w:left="720" w:hanging="720"/>
      </w:pPr>
      <w:r w:rsidRPr="00107ADE">
        <w:t xml:space="preserve">Moscovitz JE, Aleksunes LM. Establishment of metabolism and transport pathways in the rodent and human fetal liver. Int J Mol Sci. 2013 Dec 6;14(12):23801-27. doi: 10.3390/ijms141223801. </w:t>
      </w:r>
    </w:p>
    <w:p w14:paraId="27DB6F01" w14:textId="77777777" w:rsidR="00107ADE" w:rsidRDefault="00107ADE" w:rsidP="00124636">
      <w:pPr>
        <w:pStyle w:val="EndNoteBibliography"/>
        <w:spacing w:before="120" w:after="120"/>
        <w:ind w:left="720" w:hanging="720"/>
      </w:pPr>
      <w:r w:rsidRPr="00107ADE">
        <w:t>Nagao M, Yahagi T, Seino Y, Sugimura T, Ito N. Mutagenicities of quinoline and its derivatives. Mutat Res. 1977 Mar;42(3):335-42. doi: 10.1016/s0027-5107(77)80037-7.</w:t>
      </w:r>
    </w:p>
    <w:p w14:paraId="546C6C15" w14:textId="77777777" w:rsidR="001D24B8" w:rsidRDefault="001D24B8" w:rsidP="00124636">
      <w:pPr>
        <w:pStyle w:val="EndNoteBibliography"/>
        <w:spacing w:before="120" w:after="120"/>
        <w:ind w:left="720" w:hanging="720"/>
      </w:pPr>
      <w:r w:rsidRPr="001D24B8">
        <w:rPr>
          <w:lang w:val="nl-NL"/>
        </w:rPr>
        <w:t xml:space="preserve">Nie H, Crooijmans RP, Lammers A, van Schothorst EM, Keijer J, Neerincx PB, Leunissen JA, Megens HJ, Groenen MA. </w:t>
      </w:r>
      <w:r w:rsidRPr="001D24B8">
        <w:t xml:space="preserve">Gene expression in chicken reveals correlation with structural genomic features and conserved patterns of transcription in the terrestrial vertebrates. PLoS One. 2010 Aug 5;5(8):e11990. doi: 10.1371/journal.pone.0011990. </w:t>
      </w:r>
    </w:p>
    <w:p w14:paraId="4C619816" w14:textId="7E5D1052" w:rsidR="00415F65" w:rsidRPr="00415F65" w:rsidRDefault="00415F65" w:rsidP="00124636">
      <w:pPr>
        <w:pStyle w:val="EndNoteBibliography"/>
        <w:spacing w:before="120" w:after="120"/>
        <w:ind w:left="720" w:hanging="720"/>
      </w:pPr>
      <w:r w:rsidRPr="00415F65">
        <w:t>O’connor RJ</w:t>
      </w:r>
      <w:r w:rsidR="00FD6812">
        <w:t>.</w:t>
      </w:r>
      <w:r w:rsidRPr="00415F65">
        <w:t xml:space="preserve"> Metabolism and Glycogen Formation in the Liver of the Chicken Embryo. Development </w:t>
      </w:r>
      <w:r w:rsidR="00FD6812">
        <w:t>1953</w:t>
      </w:r>
      <w:r w:rsidR="008E3C32">
        <w:t xml:space="preserve"> Jun</w:t>
      </w:r>
      <w:r w:rsidR="002D60FE">
        <w:t xml:space="preserve">; </w:t>
      </w:r>
      <w:r w:rsidRPr="00415F65">
        <w:t>1(2):105-114 doi:10.1242/dev.1.2.105</w:t>
      </w:r>
    </w:p>
    <w:p w14:paraId="064585B7" w14:textId="56BE2B8B" w:rsidR="00415F65" w:rsidRPr="00415F65" w:rsidRDefault="00415F65" w:rsidP="00124636">
      <w:pPr>
        <w:pStyle w:val="EndNoteBibliography"/>
        <w:spacing w:before="120" w:after="120"/>
        <w:ind w:left="720" w:hanging="720"/>
      </w:pPr>
      <w:r w:rsidRPr="00415F65">
        <w:t>OECD, Organisation for Economic Co-operation and Development</w:t>
      </w:r>
      <w:r w:rsidR="008E3C32">
        <w:t xml:space="preserve">. </w:t>
      </w:r>
      <w:r w:rsidRPr="00415F65">
        <w:t xml:space="preserve">Test No. 489: In Vivo Mammalian Alkaline Comet Assay OECD Guidelines for the Testing of Chemicals, Section 4. </w:t>
      </w:r>
      <w:r w:rsidR="008E3C32">
        <w:t xml:space="preserve">2016. </w:t>
      </w:r>
      <w:r w:rsidRPr="00415F65">
        <w:t>OECD</w:t>
      </w:r>
    </w:p>
    <w:p w14:paraId="37D0732A" w14:textId="143E2C2F" w:rsidR="00415F65" w:rsidRPr="00415F65" w:rsidRDefault="00415F65" w:rsidP="00124636">
      <w:pPr>
        <w:pStyle w:val="EndNoteBibliography"/>
        <w:spacing w:before="120" w:after="120"/>
        <w:ind w:left="720" w:hanging="720"/>
      </w:pPr>
      <w:r w:rsidRPr="00415F65">
        <w:t>OLAW, Office of Laboratory Animal Welfare</w:t>
      </w:r>
      <w:r w:rsidR="008E3C32">
        <w:t>.</w:t>
      </w:r>
      <w:r w:rsidRPr="00415F65">
        <w:t xml:space="preserve"> The Public Health Service (PHS) Policy on Humane Care and Use of Laboratory Animals (Policy) Revised 2015. </w:t>
      </w:r>
    </w:p>
    <w:p w14:paraId="4F695C2B" w14:textId="77777777" w:rsidR="004E2424" w:rsidRDefault="004E2424" w:rsidP="00124636">
      <w:pPr>
        <w:pStyle w:val="EndNoteBibliography"/>
        <w:spacing w:before="120" w:after="120"/>
        <w:ind w:left="720" w:hanging="720"/>
      </w:pPr>
      <w:r w:rsidRPr="004E2424">
        <w:t>Perrone CE, Ahr HJ, Duan JD, Jeffrey AM, Schmidt U, Williams GM, Enzmann HH. Embryonic turkey liver: activities of biotransformation enzymes and activation of DNA-reactive carcinogens. Arch Toxicol. 2004 Oct;78(10):589-98. doi: 10.1007/s00204-004-0580-1.</w:t>
      </w:r>
    </w:p>
    <w:p w14:paraId="7AABC72A" w14:textId="77777777" w:rsidR="004E2424" w:rsidRDefault="004E2424" w:rsidP="00124636">
      <w:pPr>
        <w:pStyle w:val="EndNoteBibliography"/>
        <w:spacing w:before="120" w:after="120"/>
        <w:ind w:left="720" w:hanging="720"/>
      </w:pPr>
      <w:r w:rsidRPr="004E2424">
        <w:t xml:space="preserve">Phillips DH, Arlt VM. ³²P-postlabeling analysis of DNA adducts. Methods Mol Biol. 2014;1105:127-38. doi: 10.1007/978-1-62703-739-6_10. </w:t>
      </w:r>
    </w:p>
    <w:p w14:paraId="4EC55F65" w14:textId="77777777" w:rsidR="00D64EF7" w:rsidRDefault="00D64EF7" w:rsidP="00124636">
      <w:pPr>
        <w:pStyle w:val="EndNoteBibliography"/>
        <w:spacing w:before="120" w:after="120"/>
        <w:ind w:left="720" w:hanging="720"/>
      </w:pPr>
      <w:r w:rsidRPr="00D64EF7">
        <w:t xml:space="preserve">Phillips DH, Arlt VM. </w:t>
      </w:r>
      <w:r w:rsidRPr="00D64EF7">
        <w:rPr>
          <w:vertAlign w:val="superscript"/>
        </w:rPr>
        <w:t>32</w:t>
      </w:r>
      <w:r w:rsidRPr="00D64EF7">
        <w:t>P-Postlabeling Analysis of DNA Adducts. Methods Mol Biol. 2020;2102:291-302. doi: 10.1007/978-1-0716-0223-2_16.</w:t>
      </w:r>
    </w:p>
    <w:p w14:paraId="3E637D86" w14:textId="77777777" w:rsidR="00071D7D" w:rsidRDefault="00071D7D" w:rsidP="00124636">
      <w:pPr>
        <w:pStyle w:val="EndNoteBibliography"/>
        <w:spacing w:before="120" w:after="120"/>
        <w:ind w:left="720" w:hanging="720"/>
      </w:pPr>
      <w:r w:rsidRPr="00071D7D">
        <w:t xml:space="preserve">Phillips DH, Farmer PB, Beland FA, Nath RG, Poirier MC, Reddy MV, Turteltaub KW. Methods of DNA adduct determination and their application to testing compounds for genotoxicity. Environ Mol Mutagen. 2000;35(3):222-33. doi: 10.1002/(sici)1098-2280(2000)35:3&lt;222::aid-em9&gt;3.0.co;2-e. </w:t>
      </w:r>
    </w:p>
    <w:p w14:paraId="7F5F3FBA" w14:textId="77777777" w:rsidR="00071D7D" w:rsidRDefault="00071D7D" w:rsidP="00124636">
      <w:pPr>
        <w:pStyle w:val="EndNoteBibliography"/>
        <w:spacing w:before="120" w:after="120"/>
        <w:ind w:left="720" w:hanging="720"/>
      </w:pPr>
      <w:r w:rsidRPr="00071D7D">
        <w:t xml:space="preserve">Preston RJ, Williams GM. DNA-reactive carcinogens: mode of action and human cancer hazard. Crit Rev Toxicol. 2005 Oct-Nov;35(8-9):673-83. doi: 10.1080/10408440591007278. </w:t>
      </w:r>
    </w:p>
    <w:p w14:paraId="7FDEB60A" w14:textId="48E2DD2D" w:rsidR="00415F65" w:rsidRPr="00415F65" w:rsidRDefault="00415F65" w:rsidP="00124636">
      <w:pPr>
        <w:pStyle w:val="EndNoteBibliography"/>
        <w:spacing w:before="120" w:after="120"/>
        <w:ind w:left="720" w:hanging="720"/>
      </w:pPr>
      <w:r w:rsidRPr="00415F65">
        <w:t>Recio L, Kobets T</w:t>
      </w:r>
      <w:r w:rsidR="00071D7D">
        <w:t>.</w:t>
      </w:r>
      <w:r w:rsidRPr="00415F65">
        <w:t xml:space="preserve"> Genetic and Epigenetic Toxicology. In: Hayes AW, Kobets T (eds) Hayes' Principles and Methods of Toxicology. vol 2, 7th edn. </w:t>
      </w:r>
      <w:r w:rsidR="00071D7D" w:rsidRPr="00415F65">
        <w:t>2023</w:t>
      </w:r>
      <w:r w:rsidR="00071D7D">
        <w:t>.</w:t>
      </w:r>
      <w:r w:rsidR="00071D7D" w:rsidRPr="00415F65">
        <w:t xml:space="preserve"> </w:t>
      </w:r>
      <w:r w:rsidRPr="00415F65">
        <w:t>CRC press, p 1409-1454</w:t>
      </w:r>
    </w:p>
    <w:p w14:paraId="7FBD860C" w14:textId="77777777" w:rsidR="00D43479" w:rsidRDefault="00D43479" w:rsidP="00124636">
      <w:pPr>
        <w:pStyle w:val="EndNoteBibliography"/>
        <w:spacing w:before="120" w:after="120"/>
        <w:ind w:left="720" w:hanging="720"/>
      </w:pPr>
      <w:r w:rsidRPr="00D43479">
        <w:t xml:space="preserve">Reddy MV, Randerath K. Nuclease P1-mediated enhancement of sensitivity of </w:t>
      </w:r>
      <w:r w:rsidRPr="00D43479">
        <w:rPr>
          <w:vertAlign w:val="superscript"/>
        </w:rPr>
        <w:t>32</w:t>
      </w:r>
      <w:r w:rsidRPr="00D43479">
        <w:t xml:space="preserve">P-postlabeling test for structurally diverse DNA adducts. Carcinogenesis. 1986 </w:t>
      </w:r>
      <w:r w:rsidRPr="00D43479">
        <w:lastRenderedPageBreak/>
        <w:t>Sep;7(9):1543-51. doi: 10.1093/carcin/7.9.1543.</w:t>
      </w:r>
    </w:p>
    <w:p w14:paraId="6E7F419C" w14:textId="77777777" w:rsidR="002A56DD" w:rsidRDefault="002A56DD" w:rsidP="00124636">
      <w:pPr>
        <w:pStyle w:val="EndNoteBibliography"/>
        <w:spacing w:before="120" w:after="120"/>
        <w:ind w:left="720" w:hanging="720"/>
      </w:pPr>
      <w:r w:rsidRPr="002A56DD">
        <w:t xml:space="preserve">Reddy MV, Randerath K. </w:t>
      </w:r>
      <w:r w:rsidRPr="002A56DD">
        <w:rPr>
          <w:vertAlign w:val="superscript"/>
        </w:rPr>
        <w:t>32</w:t>
      </w:r>
      <w:r w:rsidRPr="002A56DD">
        <w:t>P-postlabeling assay for carcinogen-DNA adducts: nuclease P1-mediated enhancement of its sensitivity and applications. Environ Health Perspect. 1987 Dec;76:41-7. doi: 10.1289/ehp.877641.</w:t>
      </w:r>
    </w:p>
    <w:p w14:paraId="2FB219A7" w14:textId="77777777" w:rsidR="002A56DD" w:rsidRDefault="002A56DD" w:rsidP="00124636">
      <w:pPr>
        <w:pStyle w:val="EndNoteBibliography"/>
        <w:spacing w:before="120" w:after="120"/>
        <w:ind w:left="720" w:hanging="720"/>
      </w:pPr>
      <w:r w:rsidRPr="002A56DD">
        <w:t>Ribatti D. The CAM assay in the study of the metastatic process. Exp Cell Res. 2021 Mar 15;400(2):112510. doi: 10.1016/j.yexcr.2021.112510.</w:t>
      </w:r>
    </w:p>
    <w:p w14:paraId="7D5B6D63" w14:textId="77777777" w:rsidR="00012823" w:rsidRDefault="00012823" w:rsidP="00124636">
      <w:pPr>
        <w:pStyle w:val="EndNoteBibliography"/>
        <w:spacing w:before="120" w:after="120"/>
        <w:ind w:left="720" w:hanging="720"/>
      </w:pPr>
      <w:r w:rsidRPr="00012823">
        <w:t>Rifkind AB, Troeger M, Petschke T. Equality of the rates of mixed function oxidation in livers of male and female chick embryos. Biochem Pharmacol. 1979 May 15;28(10):1681-3. doi: 10.1016/0006-2952(79)90184-9.</w:t>
      </w:r>
    </w:p>
    <w:p w14:paraId="0C665505" w14:textId="6DC17332" w:rsidR="00415F65" w:rsidRPr="00415F65" w:rsidRDefault="00012823" w:rsidP="00124636">
      <w:pPr>
        <w:pStyle w:val="EndNoteBibliography"/>
        <w:spacing w:before="120" w:after="120"/>
        <w:ind w:left="720" w:hanging="720"/>
      </w:pPr>
      <w:r w:rsidRPr="00012823">
        <w:t>Shukla AK, Pragya P, Chowdhuri DK. A modified alkaline Comet assay for in vivo detection of oxidative DNA damage in Drosophila melanogaster. Mutat Res. 2011 Dec 24;726(2):222-6. doi: 10.1016/j.mrgentox.2011.09.017.</w:t>
      </w:r>
    </w:p>
    <w:p w14:paraId="22BEEC11" w14:textId="7B75B7FB" w:rsidR="00415F65" w:rsidRPr="00415F65" w:rsidRDefault="00521A8E" w:rsidP="00124636">
      <w:pPr>
        <w:pStyle w:val="EndNoteBibliography"/>
        <w:spacing w:before="120" w:after="120"/>
        <w:ind w:left="720" w:hanging="720"/>
      </w:pPr>
      <w:r w:rsidRPr="00521A8E">
        <w:t>Thakkar Y, Kobets T, Api AM, Duan JD, Williams GM. Assessment of genotoxic potential of fragrance materials in the chicken egg assays. Environ Mol Mutagen. 2024 Oct;65(8):261-274. doi: 10.1002/em.22627.</w:t>
      </w:r>
    </w:p>
    <w:p w14:paraId="4EB823F3" w14:textId="77777777" w:rsidR="00521A8E" w:rsidRDefault="00521A8E" w:rsidP="00124636">
      <w:pPr>
        <w:pStyle w:val="EndNoteBibliography"/>
        <w:spacing w:before="120" w:after="120"/>
        <w:ind w:left="720" w:hanging="720"/>
      </w:pPr>
      <w:r w:rsidRPr="00521A8E">
        <w:t xml:space="preserve">Tice RR, Agurell E, Anderson D, Burlinson B, Hartmann A, Kobayashi H, Miyamae Y, Rojas E, Ryu JC, Sasaki YF. Single cell gel/comet assay: guidelines for in vitro and in vivo genetic toxicology testing. Environ Mol Mutagen. 2000;35(3):206-21. doi: 10.1002/(sici)1098-2280(2000)35:3&lt;206::aid-em8&gt;3.0.co;2-j. </w:t>
      </w:r>
    </w:p>
    <w:p w14:paraId="1C73E95B" w14:textId="0562270B" w:rsidR="00415F65" w:rsidRPr="00415F65" w:rsidRDefault="001734B2" w:rsidP="00124636">
      <w:pPr>
        <w:pStyle w:val="EndNoteBibliography"/>
        <w:spacing w:before="120" w:after="120"/>
        <w:ind w:left="720" w:hanging="720"/>
      </w:pPr>
      <w:r>
        <w:t>T</w:t>
      </w:r>
      <w:r w:rsidRPr="001734B2">
        <w:t>ug T, Duda JC, Menssen M, Bruce SW, Bringezu F, Dammann M, Frötschl R, Harm V, Ickstadt K, Igl BW, Jarzombek M, Kellner R, Lott J, Pfuhler S, Plappert-Helbig U, Rahnenführer J, Schulz M, Vaas L, Vasquez M, Ziegler V, Ziemann C. In vivo alkaline comet assay: Statistical considerations on historical negative and positive control data. Regul Toxicol Pharmacol. 2024 Mar;148:105583. doi: 10.1016/j.yrtph.2024.105583.</w:t>
      </w:r>
    </w:p>
    <w:p w14:paraId="63B82712" w14:textId="74A123F8" w:rsidR="00415F65" w:rsidRPr="00415F65" w:rsidRDefault="00415F65" w:rsidP="00B25606">
      <w:pPr>
        <w:pStyle w:val="EndNoteBibliography"/>
        <w:spacing w:before="120" w:after="120"/>
        <w:ind w:left="720" w:hanging="720"/>
      </w:pPr>
      <w:r w:rsidRPr="00415F65">
        <w:t>US Congress</w:t>
      </w:r>
      <w:r w:rsidR="00B25606">
        <w:t>.</w:t>
      </w:r>
      <w:r w:rsidRPr="00415F65">
        <w:t xml:space="preserve"> FDA Modernization Act 2.0. In: Congress t (ed) S5002. </w:t>
      </w:r>
      <w:r w:rsidR="00B25606">
        <w:t>Sponsor:</w:t>
      </w:r>
      <w:r w:rsidR="00B25606">
        <w:t xml:space="preserve"> </w:t>
      </w:r>
      <w:r w:rsidR="00B25606">
        <w:t>Sen. Paul, Rand [R-KY]</w:t>
      </w:r>
      <w:r w:rsidR="00B25606">
        <w:t>.</w:t>
      </w:r>
      <w:r w:rsidR="00B25606">
        <w:t xml:space="preserve"> Introduced 09/29/2022</w:t>
      </w:r>
      <w:r w:rsidR="00B25606">
        <w:t>.</w:t>
      </w:r>
      <w:r w:rsidR="00B25606" w:rsidRPr="00C4016A">
        <w:t xml:space="preserve"> </w:t>
      </w:r>
      <w:r w:rsidRPr="00C4016A">
        <w:t>https://www.congress.gov/bill/117th-congress/senate-bill/5002/text</w:t>
      </w:r>
    </w:p>
    <w:p w14:paraId="72F9759E" w14:textId="77777777" w:rsidR="00DE6975" w:rsidRDefault="00DE6975" w:rsidP="00124636">
      <w:pPr>
        <w:pStyle w:val="EndNoteBibliography"/>
        <w:spacing w:before="120" w:after="120"/>
        <w:ind w:left="720" w:hanging="720"/>
      </w:pPr>
      <w:r w:rsidRPr="00DE6975">
        <w:t>van der Leede BJ, Doherty A, Guérard M, Howe J, O'Donovan M, Plappert-Helbig U, Thybaud V. Performance and data interpretation of the in vivo comet assay in pharmaceutical industry: EFPIA survey results. Mutat Res Genet Toxicol Environ Mutagen. 2014 Dec;775-776:81-8. doi: 10.1016/j.mrgentox.2014.09.008.</w:t>
      </w:r>
    </w:p>
    <w:p w14:paraId="7FAACBEA" w14:textId="77777777" w:rsidR="00DE6975" w:rsidRDefault="00DE6975" w:rsidP="00124636">
      <w:pPr>
        <w:pStyle w:val="EndNoteBibliography"/>
        <w:spacing w:before="120" w:after="120"/>
        <w:ind w:left="720" w:hanging="720"/>
      </w:pPr>
      <w:r w:rsidRPr="00DE6975">
        <w:rPr>
          <w:lang w:val="nl-NL"/>
        </w:rPr>
        <w:t xml:space="preserve">van Golde J, Mulder T, v Straaten H, Blanco CE. </w:t>
      </w:r>
      <w:r w:rsidRPr="00DE6975">
        <w:t xml:space="preserve">The chorioallantoic artery blood flow of the chick embryo from stage 34 to 43. Pediatr Res. 1996 Dec;40(6):867-71. doi: 10.1203/00006450-199612000-00016. </w:t>
      </w:r>
    </w:p>
    <w:p w14:paraId="5B57FFA8" w14:textId="77777777" w:rsidR="002974AC" w:rsidRDefault="002974AC" w:rsidP="00124636">
      <w:pPr>
        <w:pStyle w:val="EndNoteBibliography"/>
        <w:spacing w:before="120" w:after="120"/>
        <w:ind w:left="720" w:hanging="720"/>
      </w:pPr>
      <w:r w:rsidRPr="002974AC">
        <w:t xml:space="preserve">Williams GM. DNA damage and repair tests for the detection of genotoxic agents. Food Addit Contam. 1984 Apr-Jun;1(2):173-8. doi: 10.1080/02652038409385840. </w:t>
      </w:r>
    </w:p>
    <w:p w14:paraId="315ABDDF" w14:textId="77777777" w:rsidR="00A655C5" w:rsidRDefault="00A655C5" w:rsidP="002E0D21">
      <w:pPr>
        <w:pStyle w:val="EndNoteBibliography"/>
        <w:spacing w:before="120" w:after="120"/>
        <w:ind w:left="720" w:hanging="720"/>
      </w:pPr>
      <w:r w:rsidRPr="00A655C5">
        <w:t xml:space="preserve">Williams GM. Methods for evaluating chemical genotoxicity. Annu Rev Pharmacol Toxicol. 1989;29:189-211. doi: 10.1146/annurev.pa.29.040189.001201. </w:t>
      </w:r>
    </w:p>
    <w:p w14:paraId="7E882ABC" w14:textId="77777777" w:rsidR="00A655C5" w:rsidRDefault="00A655C5" w:rsidP="002E0D21">
      <w:pPr>
        <w:pStyle w:val="EndNoteBibliography"/>
        <w:spacing w:before="120" w:after="120"/>
        <w:ind w:left="720" w:hanging="720"/>
      </w:pPr>
      <w:r w:rsidRPr="00A655C5">
        <w:t xml:space="preserve">Williams GM, Laspia MF, Dunkel VC. Reliability of the hepatocyte primary culture/DNA repair test in testing of coded carcinogens and noncarcinogens. Mutat Res. 1982 </w:t>
      </w:r>
      <w:r w:rsidRPr="00A655C5">
        <w:lastRenderedPageBreak/>
        <w:t xml:space="preserve">Oct;97(5):359-70. doi: 10.1016/0165-1161(82)90003-6. </w:t>
      </w:r>
    </w:p>
    <w:p w14:paraId="1050AFCD" w14:textId="77777777" w:rsidR="001C3F9A" w:rsidRDefault="001C3F9A" w:rsidP="00124636">
      <w:pPr>
        <w:pStyle w:val="EndNoteBibliography"/>
        <w:spacing w:before="120" w:after="120"/>
        <w:ind w:left="720" w:hanging="720"/>
      </w:pPr>
      <w:r w:rsidRPr="001C3F9A">
        <w:t xml:space="preserve">Williams GM, Mori H, McQueen CA. Structure-activity relationships in the rat hepatocyte DNA-repair test for 300 chemicals. Mutat Res. 1989 Nov;221(3):263-86. doi: 10.1016/0165-1110(89)90039-0. </w:t>
      </w:r>
    </w:p>
    <w:p w14:paraId="2AF57DFD" w14:textId="3AF0F9AE" w:rsidR="00415F65" w:rsidRPr="00415F65" w:rsidRDefault="001C3F9A" w:rsidP="00124636">
      <w:pPr>
        <w:pStyle w:val="EndNoteBibliography"/>
        <w:spacing w:before="120" w:after="120"/>
        <w:ind w:left="720" w:hanging="720"/>
      </w:pPr>
      <w:r w:rsidRPr="001C3F9A">
        <w:t>Williams GM, Brunnemann KD, Iatropoulos MJ, Smart DJ, Enzmann HG. Production of liver preneoplasia and gallbladder agenesis in turkey fetuses administered diethylnitrosamine. Arch Toxicol. 2011 Jun;85(6):681-7. doi: 10.1007/s00204-010-0603-z.</w:t>
      </w:r>
    </w:p>
    <w:p w14:paraId="77E3F794" w14:textId="77777777" w:rsidR="00F72F95" w:rsidRDefault="00F72F95" w:rsidP="00124636">
      <w:pPr>
        <w:pStyle w:val="EndNoteBibliography"/>
        <w:spacing w:before="120" w:after="120"/>
        <w:ind w:left="720" w:hanging="720"/>
      </w:pPr>
      <w:r w:rsidRPr="00F72F95">
        <w:t>Williams GM, Duan JD, Brunnemann KD, Iatropoulos MJ, Vock E, Deschl U. Chicken fetal liver DNA damage and adduct formation by activation-dependent DNA-reactive carcinogens and related compounds of several structural classes. Toxicol Sci. 2014 Sep;141(1):18-28. doi: 10.1093/toxsci/kfu123.</w:t>
      </w:r>
    </w:p>
    <w:p w14:paraId="268DA00E" w14:textId="1A7C7726" w:rsidR="00273CC5" w:rsidRDefault="0032675F" w:rsidP="00124636">
      <w:pPr>
        <w:pStyle w:val="EndNoteBibliography"/>
        <w:spacing w:before="120" w:after="120"/>
        <w:ind w:left="720" w:hanging="720"/>
      </w:pPr>
      <w:r w:rsidRPr="0032675F">
        <w:t>Williams JG, Deschl U, Williams GM. DNA damage in fetal liver cells of turkey and chicken eggs dosed with aflatoxin B1. Arch Toxicol. 2011 Sep;85(9):1167-72. doi: 10.1007/s00204-011-0653-x.</w:t>
      </w:r>
    </w:p>
    <w:p w14:paraId="5836E014" w14:textId="77777777" w:rsidR="002E0D21" w:rsidRDefault="00273CC5" w:rsidP="002E0D21">
      <w:pPr>
        <w:pStyle w:val="EndNoteBibliography"/>
        <w:spacing w:before="120" w:after="120"/>
        <w:ind w:left="720" w:hanging="720"/>
      </w:pPr>
      <w:r w:rsidRPr="00273CC5">
        <w:t xml:space="preserve">Wu S, Wang K, Dou T, Yuan S, Yan S, Xu Z, Liu Y, Jian Z, Zhao J, Zhao R, Zi X, Gu D, Liu L, Li Q, Wu DD, Jia J, Su Z, Ge C. High quality assemblies of four indigenous chicken genomes and related functional data resources. Sci Data. 2024 Mar 15;11(1):300. doi: 10.1038/s41597-024-03126-1. Erratum in: Sci Data. 2024 Apr 8;11(1):354. doi: 10.1038/s41597-024-03203-5. </w:t>
      </w:r>
    </w:p>
    <w:p w14:paraId="79AAC917" w14:textId="67197F55" w:rsidR="00D644BD" w:rsidRDefault="002E0D21" w:rsidP="002E0D21">
      <w:pPr>
        <w:pStyle w:val="EndNoteBibliography"/>
        <w:spacing w:before="120" w:after="120"/>
        <w:ind w:left="720" w:hanging="720"/>
        <w:rPr>
          <w:szCs w:val="24"/>
        </w:rPr>
      </w:pPr>
      <w:r w:rsidRPr="002E0D21">
        <w:t>Zaefarian F, Abdollahi MR, Cowieson A, Ravindran V. Avian Liver: The Forgotten Organ. Animals (Basel). 2019 Feb 15;9(2):63. doi: 10.3390/ani9020063.</w:t>
      </w:r>
    </w:p>
    <w:sectPr w:rsidR="00D644B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AC9170" w14:textId="77777777" w:rsidR="00177743" w:rsidRPr="00A91056" w:rsidRDefault="00177743" w:rsidP="005C173F">
      <w:pPr>
        <w:spacing w:line="240" w:lineRule="auto"/>
      </w:pPr>
      <w:r w:rsidRPr="00A91056">
        <w:separator/>
      </w:r>
    </w:p>
  </w:endnote>
  <w:endnote w:type="continuationSeparator" w:id="0">
    <w:p w14:paraId="361E936F" w14:textId="77777777" w:rsidR="00177743" w:rsidRPr="00A91056" w:rsidRDefault="00177743" w:rsidP="005C173F">
      <w:pPr>
        <w:spacing w:line="240" w:lineRule="auto"/>
      </w:pPr>
      <w:r w:rsidRPr="00A91056">
        <w:continuationSeparator/>
      </w:r>
    </w:p>
  </w:endnote>
  <w:endnote w:type="continuationNotice" w:id="1">
    <w:p w14:paraId="11F33CDB" w14:textId="77777777" w:rsidR="00177743" w:rsidRPr="00A91056" w:rsidRDefault="0017774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 w:name="AdvOT596495f2+22">
    <w:altName w:val="Yu Gothic"/>
    <w:panose1 w:val="00000000000000000000"/>
    <w:charset w:val="80"/>
    <w:family w:val="auto"/>
    <w:notTrueType/>
    <w:pitch w:val="default"/>
    <w:sig w:usb0="00000001" w:usb1="08070000" w:usb2="00000010" w:usb3="00000000" w:csb0="00020000" w:csb1="00000000"/>
  </w:font>
  <w:font w:name="AdvOT596495f2+20">
    <w:altName w:val="Yu Gothic"/>
    <w:panose1 w:val="00000000000000000000"/>
    <w:charset w:val="80"/>
    <w:family w:val="auto"/>
    <w:notTrueType/>
    <w:pitch w:val="default"/>
    <w:sig w:usb0="00000001" w:usb1="08070000" w:usb2="00000010" w:usb3="00000000" w:csb0="00020000"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36132264"/>
      <w:docPartObj>
        <w:docPartGallery w:val="Page Numbers (Bottom of Page)"/>
        <w:docPartUnique/>
      </w:docPartObj>
    </w:sdtPr>
    <w:sdtEndPr/>
    <w:sdtContent>
      <w:p w14:paraId="7E4DE1D3" w14:textId="254D18F6" w:rsidR="005C173F" w:rsidRPr="00A91056" w:rsidRDefault="005C173F">
        <w:pPr>
          <w:pStyle w:val="Footer"/>
          <w:jc w:val="right"/>
        </w:pPr>
        <w:r w:rsidRPr="00A91056">
          <w:fldChar w:fldCharType="begin"/>
        </w:r>
        <w:r w:rsidRPr="00A91056">
          <w:instrText xml:space="preserve"> PAGE   \* MERGEFORMAT </w:instrText>
        </w:r>
        <w:r w:rsidRPr="00A91056">
          <w:fldChar w:fldCharType="separate"/>
        </w:r>
        <w:r w:rsidRPr="00A91056">
          <w:t>2</w:t>
        </w:r>
        <w:r w:rsidRPr="00A91056">
          <w:fldChar w:fldCharType="end"/>
        </w:r>
      </w:p>
    </w:sdtContent>
  </w:sdt>
  <w:p w14:paraId="516A1079" w14:textId="77777777" w:rsidR="005C173F" w:rsidRPr="00A91056" w:rsidRDefault="005C17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EAA530" w14:textId="77777777" w:rsidR="00177743" w:rsidRPr="00A91056" w:rsidRDefault="00177743" w:rsidP="005C173F">
      <w:pPr>
        <w:spacing w:line="240" w:lineRule="auto"/>
      </w:pPr>
      <w:r w:rsidRPr="00A91056">
        <w:separator/>
      </w:r>
    </w:p>
  </w:footnote>
  <w:footnote w:type="continuationSeparator" w:id="0">
    <w:p w14:paraId="7498A94B" w14:textId="77777777" w:rsidR="00177743" w:rsidRPr="00A91056" w:rsidRDefault="00177743" w:rsidP="005C173F">
      <w:pPr>
        <w:spacing w:line="240" w:lineRule="auto"/>
      </w:pPr>
      <w:r w:rsidRPr="00A91056">
        <w:continuationSeparator/>
      </w:r>
    </w:p>
  </w:footnote>
  <w:footnote w:type="continuationNotice" w:id="1">
    <w:p w14:paraId="6409229C" w14:textId="77777777" w:rsidR="00177743" w:rsidRPr="00A91056" w:rsidRDefault="00177743">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8044C"/>
    <w:multiLevelType w:val="multilevel"/>
    <w:tmpl w:val="1200E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982038"/>
    <w:multiLevelType w:val="hybridMultilevel"/>
    <w:tmpl w:val="631C815E"/>
    <w:lvl w:ilvl="0" w:tplc="8E68A29A">
      <w:start w:val="1"/>
      <w:numFmt w:val="bullet"/>
      <w:lvlText w:val="•"/>
      <w:lvlJc w:val="left"/>
      <w:pPr>
        <w:tabs>
          <w:tab w:val="num" w:pos="720"/>
        </w:tabs>
        <w:ind w:left="720" w:hanging="360"/>
      </w:pPr>
      <w:rPr>
        <w:rFonts w:ascii="Arial" w:hAnsi="Arial" w:hint="default"/>
      </w:rPr>
    </w:lvl>
    <w:lvl w:ilvl="1" w:tplc="8B3264EA" w:tentative="1">
      <w:start w:val="1"/>
      <w:numFmt w:val="bullet"/>
      <w:lvlText w:val="•"/>
      <w:lvlJc w:val="left"/>
      <w:pPr>
        <w:tabs>
          <w:tab w:val="num" w:pos="1440"/>
        </w:tabs>
        <w:ind w:left="1440" w:hanging="360"/>
      </w:pPr>
      <w:rPr>
        <w:rFonts w:ascii="Arial" w:hAnsi="Arial" w:hint="default"/>
      </w:rPr>
    </w:lvl>
    <w:lvl w:ilvl="2" w:tplc="FF32E9DE" w:tentative="1">
      <w:start w:val="1"/>
      <w:numFmt w:val="bullet"/>
      <w:lvlText w:val="•"/>
      <w:lvlJc w:val="left"/>
      <w:pPr>
        <w:tabs>
          <w:tab w:val="num" w:pos="2160"/>
        </w:tabs>
        <w:ind w:left="2160" w:hanging="360"/>
      </w:pPr>
      <w:rPr>
        <w:rFonts w:ascii="Arial" w:hAnsi="Arial" w:hint="default"/>
      </w:rPr>
    </w:lvl>
    <w:lvl w:ilvl="3" w:tplc="900EDB60" w:tentative="1">
      <w:start w:val="1"/>
      <w:numFmt w:val="bullet"/>
      <w:lvlText w:val="•"/>
      <w:lvlJc w:val="left"/>
      <w:pPr>
        <w:tabs>
          <w:tab w:val="num" w:pos="2880"/>
        </w:tabs>
        <w:ind w:left="2880" w:hanging="360"/>
      </w:pPr>
      <w:rPr>
        <w:rFonts w:ascii="Arial" w:hAnsi="Arial" w:hint="default"/>
      </w:rPr>
    </w:lvl>
    <w:lvl w:ilvl="4" w:tplc="A0EAA658" w:tentative="1">
      <w:start w:val="1"/>
      <w:numFmt w:val="bullet"/>
      <w:lvlText w:val="•"/>
      <w:lvlJc w:val="left"/>
      <w:pPr>
        <w:tabs>
          <w:tab w:val="num" w:pos="3600"/>
        </w:tabs>
        <w:ind w:left="3600" w:hanging="360"/>
      </w:pPr>
      <w:rPr>
        <w:rFonts w:ascii="Arial" w:hAnsi="Arial" w:hint="default"/>
      </w:rPr>
    </w:lvl>
    <w:lvl w:ilvl="5" w:tplc="201E7986" w:tentative="1">
      <w:start w:val="1"/>
      <w:numFmt w:val="bullet"/>
      <w:lvlText w:val="•"/>
      <w:lvlJc w:val="left"/>
      <w:pPr>
        <w:tabs>
          <w:tab w:val="num" w:pos="4320"/>
        </w:tabs>
        <w:ind w:left="4320" w:hanging="360"/>
      </w:pPr>
      <w:rPr>
        <w:rFonts w:ascii="Arial" w:hAnsi="Arial" w:hint="default"/>
      </w:rPr>
    </w:lvl>
    <w:lvl w:ilvl="6" w:tplc="AB405910" w:tentative="1">
      <w:start w:val="1"/>
      <w:numFmt w:val="bullet"/>
      <w:lvlText w:val="•"/>
      <w:lvlJc w:val="left"/>
      <w:pPr>
        <w:tabs>
          <w:tab w:val="num" w:pos="5040"/>
        </w:tabs>
        <w:ind w:left="5040" w:hanging="360"/>
      </w:pPr>
      <w:rPr>
        <w:rFonts w:ascii="Arial" w:hAnsi="Arial" w:hint="default"/>
      </w:rPr>
    </w:lvl>
    <w:lvl w:ilvl="7" w:tplc="50DC9C5A" w:tentative="1">
      <w:start w:val="1"/>
      <w:numFmt w:val="bullet"/>
      <w:lvlText w:val="•"/>
      <w:lvlJc w:val="left"/>
      <w:pPr>
        <w:tabs>
          <w:tab w:val="num" w:pos="5760"/>
        </w:tabs>
        <w:ind w:left="5760" w:hanging="360"/>
      </w:pPr>
      <w:rPr>
        <w:rFonts w:ascii="Arial" w:hAnsi="Arial" w:hint="default"/>
      </w:rPr>
    </w:lvl>
    <w:lvl w:ilvl="8" w:tplc="B858BF0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1E57DD4"/>
    <w:multiLevelType w:val="hybridMultilevel"/>
    <w:tmpl w:val="FB94E8D2"/>
    <w:lvl w:ilvl="0" w:tplc="3D069B7C">
      <w:start w:val="1"/>
      <w:numFmt w:val="bullet"/>
      <w:lvlText w:val="•"/>
      <w:lvlJc w:val="left"/>
      <w:pPr>
        <w:tabs>
          <w:tab w:val="num" w:pos="720"/>
        </w:tabs>
        <w:ind w:left="720" w:hanging="360"/>
      </w:pPr>
      <w:rPr>
        <w:rFonts w:ascii="Arial" w:hAnsi="Arial" w:hint="default"/>
      </w:rPr>
    </w:lvl>
    <w:lvl w:ilvl="1" w:tplc="630C39F2" w:tentative="1">
      <w:start w:val="1"/>
      <w:numFmt w:val="bullet"/>
      <w:lvlText w:val="•"/>
      <w:lvlJc w:val="left"/>
      <w:pPr>
        <w:tabs>
          <w:tab w:val="num" w:pos="1440"/>
        </w:tabs>
        <w:ind w:left="1440" w:hanging="360"/>
      </w:pPr>
      <w:rPr>
        <w:rFonts w:ascii="Arial" w:hAnsi="Arial" w:hint="default"/>
      </w:rPr>
    </w:lvl>
    <w:lvl w:ilvl="2" w:tplc="7DA46A96" w:tentative="1">
      <w:start w:val="1"/>
      <w:numFmt w:val="bullet"/>
      <w:lvlText w:val="•"/>
      <w:lvlJc w:val="left"/>
      <w:pPr>
        <w:tabs>
          <w:tab w:val="num" w:pos="2160"/>
        </w:tabs>
        <w:ind w:left="2160" w:hanging="360"/>
      </w:pPr>
      <w:rPr>
        <w:rFonts w:ascii="Arial" w:hAnsi="Arial" w:hint="default"/>
      </w:rPr>
    </w:lvl>
    <w:lvl w:ilvl="3" w:tplc="70FCF558" w:tentative="1">
      <w:start w:val="1"/>
      <w:numFmt w:val="bullet"/>
      <w:lvlText w:val="•"/>
      <w:lvlJc w:val="left"/>
      <w:pPr>
        <w:tabs>
          <w:tab w:val="num" w:pos="2880"/>
        </w:tabs>
        <w:ind w:left="2880" w:hanging="360"/>
      </w:pPr>
      <w:rPr>
        <w:rFonts w:ascii="Arial" w:hAnsi="Arial" w:hint="default"/>
      </w:rPr>
    </w:lvl>
    <w:lvl w:ilvl="4" w:tplc="EC46CB68" w:tentative="1">
      <w:start w:val="1"/>
      <w:numFmt w:val="bullet"/>
      <w:lvlText w:val="•"/>
      <w:lvlJc w:val="left"/>
      <w:pPr>
        <w:tabs>
          <w:tab w:val="num" w:pos="3600"/>
        </w:tabs>
        <w:ind w:left="3600" w:hanging="360"/>
      </w:pPr>
      <w:rPr>
        <w:rFonts w:ascii="Arial" w:hAnsi="Arial" w:hint="default"/>
      </w:rPr>
    </w:lvl>
    <w:lvl w:ilvl="5" w:tplc="0D5E2988" w:tentative="1">
      <w:start w:val="1"/>
      <w:numFmt w:val="bullet"/>
      <w:lvlText w:val="•"/>
      <w:lvlJc w:val="left"/>
      <w:pPr>
        <w:tabs>
          <w:tab w:val="num" w:pos="4320"/>
        </w:tabs>
        <w:ind w:left="4320" w:hanging="360"/>
      </w:pPr>
      <w:rPr>
        <w:rFonts w:ascii="Arial" w:hAnsi="Arial" w:hint="default"/>
      </w:rPr>
    </w:lvl>
    <w:lvl w:ilvl="6" w:tplc="8D9AE926" w:tentative="1">
      <w:start w:val="1"/>
      <w:numFmt w:val="bullet"/>
      <w:lvlText w:val="•"/>
      <w:lvlJc w:val="left"/>
      <w:pPr>
        <w:tabs>
          <w:tab w:val="num" w:pos="5040"/>
        </w:tabs>
        <w:ind w:left="5040" w:hanging="360"/>
      </w:pPr>
      <w:rPr>
        <w:rFonts w:ascii="Arial" w:hAnsi="Arial" w:hint="default"/>
      </w:rPr>
    </w:lvl>
    <w:lvl w:ilvl="7" w:tplc="06C03A46" w:tentative="1">
      <w:start w:val="1"/>
      <w:numFmt w:val="bullet"/>
      <w:lvlText w:val="•"/>
      <w:lvlJc w:val="left"/>
      <w:pPr>
        <w:tabs>
          <w:tab w:val="num" w:pos="5760"/>
        </w:tabs>
        <w:ind w:left="5760" w:hanging="360"/>
      </w:pPr>
      <w:rPr>
        <w:rFonts w:ascii="Arial" w:hAnsi="Arial" w:hint="default"/>
      </w:rPr>
    </w:lvl>
    <w:lvl w:ilvl="8" w:tplc="1B82B12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2350825"/>
    <w:multiLevelType w:val="multilevel"/>
    <w:tmpl w:val="5906B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E3327BB"/>
    <w:multiLevelType w:val="multilevel"/>
    <w:tmpl w:val="EEE20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3C7A89"/>
    <w:multiLevelType w:val="multilevel"/>
    <w:tmpl w:val="4E7EB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A3429C4"/>
    <w:multiLevelType w:val="multilevel"/>
    <w:tmpl w:val="134E0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D3F4956"/>
    <w:multiLevelType w:val="hybridMultilevel"/>
    <w:tmpl w:val="EFE2596C"/>
    <w:lvl w:ilvl="0" w:tplc="F04E9DB0">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8" w15:restartNumberingAfterBreak="0">
    <w:nsid w:val="434F6BE2"/>
    <w:multiLevelType w:val="hybridMultilevel"/>
    <w:tmpl w:val="ED742078"/>
    <w:lvl w:ilvl="0" w:tplc="1D860CA8">
      <w:numFmt w:val="bullet"/>
      <w:lvlText w:val="-"/>
      <w:lvlJc w:val="left"/>
      <w:pPr>
        <w:ind w:left="792" w:hanging="360"/>
      </w:pPr>
      <w:rPr>
        <w:rFonts w:ascii="Arial" w:eastAsiaTheme="minorHAnsi" w:hAnsi="Arial" w:cs="Aria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9" w15:restartNumberingAfterBreak="0">
    <w:nsid w:val="46ED40D0"/>
    <w:multiLevelType w:val="hybridMultilevel"/>
    <w:tmpl w:val="A904B3EE"/>
    <w:lvl w:ilvl="0" w:tplc="1A48B8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32C7BD1"/>
    <w:multiLevelType w:val="multilevel"/>
    <w:tmpl w:val="BB2883D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1BB048A"/>
    <w:multiLevelType w:val="hybridMultilevel"/>
    <w:tmpl w:val="7AFED2E8"/>
    <w:lvl w:ilvl="0" w:tplc="808CF1B0">
      <w:start w:val="1"/>
      <w:numFmt w:val="upperLetter"/>
      <w:lvlText w:val="%1."/>
      <w:lvlJc w:val="left"/>
      <w:pPr>
        <w:ind w:left="720" w:hanging="360"/>
      </w:pPr>
      <w:rPr>
        <w:rFonts w:eastAsiaTheme="minorHAnsi" w:cstheme="minorBid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69A6F19"/>
    <w:multiLevelType w:val="multilevel"/>
    <w:tmpl w:val="BB542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4B8130D"/>
    <w:multiLevelType w:val="hybridMultilevel"/>
    <w:tmpl w:val="41EC45AC"/>
    <w:lvl w:ilvl="0" w:tplc="14FA29CE">
      <w:start w:val="1"/>
      <w:numFmt w:val="upperLetter"/>
      <w:lvlText w:val="%1."/>
      <w:lvlJc w:val="left"/>
      <w:pPr>
        <w:ind w:left="720" w:hanging="360"/>
      </w:pPr>
      <w:rPr>
        <w:rFonts w:eastAsiaTheme="minorHAnsi" w:cstheme="minorBidi"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91C674D"/>
    <w:multiLevelType w:val="hybridMultilevel"/>
    <w:tmpl w:val="BBA67FE8"/>
    <w:lvl w:ilvl="0" w:tplc="75825784">
      <w:start w:val="1"/>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5" w15:restartNumberingAfterBreak="0">
    <w:nsid w:val="7B554E4F"/>
    <w:multiLevelType w:val="hybridMultilevel"/>
    <w:tmpl w:val="C2D05FB2"/>
    <w:lvl w:ilvl="0" w:tplc="A38E037A">
      <w:start w:val="1"/>
      <w:numFmt w:val="bullet"/>
      <w:lvlText w:val="•"/>
      <w:lvlJc w:val="left"/>
      <w:pPr>
        <w:tabs>
          <w:tab w:val="num" w:pos="720"/>
        </w:tabs>
        <w:ind w:left="720" w:hanging="360"/>
      </w:pPr>
      <w:rPr>
        <w:rFonts w:ascii="Arial" w:hAnsi="Arial" w:hint="default"/>
      </w:rPr>
    </w:lvl>
    <w:lvl w:ilvl="1" w:tplc="A442207C" w:tentative="1">
      <w:start w:val="1"/>
      <w:numFmt w:val="bullet"/>
      <w:lvlText w:val="•"/>
      <w:lvlJc w:val="left"/>
      <w:pPr>
        <w:tabs>
          <w:tab w:val="num" w:pos="1440"/>
        </w:tabs>
        <w:ind w:left="1440" w:hanging="360"/>
      </w:pPr>
      <w:rPr>
        <w:rFonts w:ascii="Arial" w:hAnsi="Arial" w:hint="default"/>
      </w:rPr>
    </w:lvl>
    <w:lvl w:ilvl="2" w:tplc="87D8FC24" w:tentative="1">
      <w:start w:val="1"/>
      <w:numFmt w:val="bullet"/>
      <w:lvlText w:val="•"/>
      <w:lvlJc w:val="left"/>
      <w:pPr>
        <w:tabs>
          <w:tab w:val="num" w:pos="2160"/>
        </w:tabs>
        <w:ind w:left="2160" w:hanging="360"/>
      </w:pPr>
      <w:rPr>
        <w:rFonts w:ascii="Arial" w:hAnsi="Arial" w:hint="default"/>
      </w:rPr>
    </w:lvl>
    <w:lvl w:ilvl="3" w:tplc="8CCACB36" w:tentative="1">
      <w:start w:val="1"/>
      <w:numFmt w:val="bullet"/>
      <w:lvlText w:val="•"/>
      <w:lvlJc w:val="left"/>
      <w:pPr>
        <w:tabs>
          <w:tab w:val="num" w:pos="2880"/>
        </w:tabs>
        <w:ind w:left="2880" w:hanging="360"/>
      </w:pPr>
      <w:rPr>
        <w:rFonts w:ascii="Arial" w:hAnsi="Arial" w:hint="default"/>
      </w:rPr>
    </w:lvl>
    <w:lvl w:ilvl="4" w:tplc="4D2879F0" w:tentative="1">
      <w:start w:val="1"/>
      <w:numFmt w:val="bullet"/>
      <w:lvlText w:val="•"/>
      <w:lvlJc w:val="left"/>
      <w:pPr>
        <w:tabs>
          <w:tab w:val="num" w:pos="3600"/>
        </w:tabs>
        <w:ind w:left="3600" w:hanging="360"/>
      </w:pPr>
      <w:rPr>
        <w:rFonts w:ascii="Arial" w:hAnsi="Arial" w:hint="default"/>
      </w:rPr>
    </w:lvl>
    <w:lvl w:ilvl="5" w:tplc="499083D0" w:tentative="1">
      <w:start w:val="1"/>
      <w:numFmt w:val="bullet"/>
      <w:lvlText w:val="•"/>
      <w:lvlJc w:val="left"/>
      <w:pPr>
        <w:tabs>
          <w:tab w:val="num" w:pos="4320"/>
        </w:tabs>
        <w:ind w:left="4320" w:hanging="360"/>
      </w:pPr>
      <w:rPr>
        <w:rFonts w:ascii="Arial" w:hAnsi="Arial" w:hint="default"/>
      </w:rPr>
    </w:lvl>
    <w:lvl w:ilvl="6" w:tplc="5712BC4A" w:tentative="1">
      <w:start w:val="1"/>
      <w:numFmt w:val="bullet"/>
      <w:lvlText w:val="•"/>
      <w:lvlJc w:val="left"/>
      <w:pPr>
        <w:tabs>
          <w:tab w:val="num" w:pos="5040"/>
        </w:tabs>
        <w:ind w:left="5040" w:hanging="360"/>
      </w:pPr>
      <w:rPr>
        <w:rFonts w:ascii="Arial" w:hAnsi="Arial" w:hint="default"/>
      </w:rPr>
    </w:lvl>
    <w:lvl w:ilvl="7" w:tplc="0ED212A4" w:tentative="1">
      <w:start w:val="1"/>
      <w:numFmt w:val="bullet"/>
      <w:lvlText w:val="•"/>
      <w:lvlJc w:val="left"/>
      <w:pPr>
        <w:tabs>
          <w:tab w:val="num" w:pos="5760"/>
        </w:tabs>
        <w:ind w:left="5760" w:hanging="360"/>
      </w:pPr>
      <w:rPr>
        <w:rFonts w:ascii="Arial" w:hAnsi="Arial" w:hint="default"/>
      </w:rPr>
    </w:lvl>
    <w:lvl w:ilvl="8" w:tplc="7D1E734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7F7D2D25"/>
    <w:multiLevelType w:val="hybridMultilevel"/>
    <w:tmpl w:val="EC5C44B0"/>
    <w:lvl w:ilvl="0" w:tplc="34F64E1C">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num w:numId="1" w16cid:durableId="577785340">
    <w:abstractNumId w:val="9"/>
  </w:num>
  <w:num w:numId="2" w16cid:durableId="86125157">
    <w:abstractNumId w:val="16"/>
  </w:num>
  <w:num w:numId="3" w16cid:durableId="872428272">
    <w:abstractNumId w:val="6"/>
  </w:num>
  <w:num w:numId="4" w16cid:durableId="932249605">
    <w:abstractNumId w:val="12"/>
  </w:num>
  <w:num w:numId="5" w16cid:durableId="538056218">
    <w:abstractNumId w:val="4"/>
  </w:num>
  <w:num w:numId="6" w16cid:durableId="1528249465">
    <w:abstractNumId w:val="0"/>
  </w:num>
  <w:num w:numId="7" w16cid:durableId="1915160749">
    <w:abstractNumId w:val="5"/>
  </w:num>
  <w:num w:numId="8" w16cid:durableId="1339112811">
    <w:abstractNumId w:val="3"/>
  </w:num>
  <w:num w:numId="9" w16cid:durableId="547033692">
    <w:abstractNumId w:val="7"/>
  </w:num>
  <w:num w:numId="10" w16cid:durableId="1439983653">
    <w:abstractNumId w:val="15"/>
  </w:num>
  <w:num w:numId="11" w16cid:durableId="2091922677">
    <w:abstractNumId w:val="2"/>
  </w:num>
  <w:num w:numId="12" w16cid:durableId="1536581894">
    <w:abstractNumId w:val="1"/>
  </w:num>
  <w:num w:numId="13" w16cid:durableId="109672323">
    <w:abstractNumId w:val="14"/>
  </w:num>
  <w:num w:numId="14" w16cid:durableId="1544557689">
    <w:abstractNumId w:val="8"/>
  </w:num>
  <w:num w:numId="15" w16cid:durableId="1038512801">
    <w:abstractNumId w:val="10"/>
  </w:num>
  <w:num w:numId="16" w16cid:durableId="1623148388">
    <w:abstractNumId w:val="13"/>
  </w:num>
  <w:num w:numId="17" w16cid:durableId="21115848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zczMTMyMbA0NTQ2NTZR0lEKTi0uzszPAymwqAUAjMMF+iwAAAA="/>
    <w:docVar w:name="EN.InstantFormat" w:val="&lt;ENInstantFormat&gt;&lt;Enabled&gt;1&lt;/Enabled&gt;&lt;ScanUnformatted&gt;1&lt;/ScanUnformatted&gt;&lt;ScanChanges&gt;1&lt;/ScanChanges&gt;&lt;Suspended&gt;1&lt;/Suspended&gt;&lt;/ENInstantFormat&gt;"/>
    <w:docVar w:name="EN.Layout" w:val="&lt;ENLayout&gt;&lt;Style&gt;Archives Toxicology&lt;/Style&gt;&lt;LeftDelim&gt;{&lt;/LeftDelim&gt;&lt;RightDelim&gt;}&lt;/RightDelim&gt;&lt;FontName&gt;Arial&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t2zz2rth5w9ehexda85x2rp2w9fpfv9evwe&quot;&gt;My EndNote Library-Converted&lt;record-ids&gt;&lt;item&gt;2&lt;/item&gt;&lt;item&gt;315&lt;/item&gt;&lt;item&gt;325&lt;/item&gt;&lt;item&gt;326&lt;/item&gt;&lt;item&gt;329&lt;/item&gt;&lt;item&gt;330&lt;/item&gt;&lt;item&gt;365&lt;/item&gt;&lt;item&gt;378&lt;/item&gt;&lt;item&gt;455&lt;/item&gt;&lt;item&gt;464&lt;/item&gt;&lt;item&gt;712&lt;/item&gt;&lt;item&gt;713&lt;/item&gt;&lt;item&gt;902&lt;/item&gt;&lt;item&gt;920&lt;/item&gt;&lt;item&gt;1052&lt;/item&gt;&lt;item&gt;1123&lt;/item&gt;&lt;item&gt;1132&lt;/item&gt;&lt;item&gt;1278&lt;/item&gt;&lt;item&gt;1665&lt;/item&gt;&lt;item&gt;1698&lt;/item&gt;&lt;item&gt;2125&lt;/item&gt;&lt;item&gt;2286&lt;/item&gt;&lt;item&gt;2305&lt;/item&gt;&lt;item&gt;2309&lt;/item&gt;&lt;item&gt;2342&lt;/item&gt;&lt;item&gt;2354&lt;/item&gt;&lt;item&gt;2355&lt;/item&gt;&lt;item&gt;2356&lt;/item&gt;&lt;item&gt;2357&lt;/item&gt;&lt;item&gt;2358&lt;/item&gt;&lt;item&gt;2359&lt;/item&gt;&lt;item&gt;2366&lt;/item&gt;&lt;item&gt;2367&lt;/item&gt;&lt;item&gt;2370&lt;/item&gt;&lt;item&gt;2386&lt;/item&gt;&lt;item&gt;2389&lt;/item&gt;&lt;item&gt;2397&lt;/item&gt;&lt;item&gt;2399&lt;/item&gt;&lt;item&gt;3476&lt;/item&gt;&lt;item&gt;4562&lt;/item&gt;&lt;item&gt;5044&lt;/item&gt;&lt;item&gt;5339&lt;/item&gt;&lt;item&gt;5500&lt;/item&gt;&lt;item&gt;5546&lt;/item&gt;&lt;item&gt;5636&lt;/item&gt;&lt;item&gt;5638&lt;/item&gt;&lt;item&gt;5639&lt;/item&gt;&lt;item&gt;5640&lt;/item&gt;&lt;item&gt;5641&lt;/item&gt;&lt;item&gt;5654&lt;/item&gt;&lt;item&gt;5698&lt;/item&gt;&lt;item&gt;5699&lt;/item&gt;&lt;item&gt;5700&lt;/item&gt;&lt;item&gt;5701&lt;/item&gt;&lt;item&gt;5702&lt;/item&gt;&lt;item&gt;5703&lt;/item&gt;&lt;item&gt;5704&lt;/item&gt;&lt;item&gt;5705&lt;/item&gt;&lt;item&gt;5706&lt;/item&gt;&lt;item&gt;5707&lt;/item&gt;&lt;item&gt;5708&lt;/item&gt;&lt;item&gt;5731&lt;/item&gt;&lt;item&gt;5732&lt;/item&gt;&lt;item&gt;5733&lt;/item&gt;&lt;item&gt;5735&lt;/item&gt;&lt;item&gt;5736&lt;/item&gt;&lt;item&gt;5737&lt;/item&gt;&lt;item&gt;5738&lt;/item&gt;&lt;item&gt;5739&lt;/item&gt;&lt;item&gt;5740&lt;/item&gt;&lt;item&gt;5741&lt;/item&gt;&lt;item&gt;5742&lt;/item&gt;&lt;item&gt;5743&lt;/item&gt;&lt;item&gt;5744&lt;/item&gt;&lt;item&gt;5745&lt;/item&gt;&lt;item&gt;5748&lt;/item&gt;&lt;item&gt;5749&lt;/item&gt;&lt;item&gt;5750&lt;/item&gt;&lt;item&gt;5751&lt;/item&gt;&lt;item&gt;5753&lt;/item&gt;&lt;item&gt;5754&lt;/item&gt;&lt;item&gt;5755&lt;/item&gt;&lt;/record-ids&gt;&lt;/item&gt;&lt;/Libraries&gt;"/>
  </w:docVars>
  <w:rsids>
    <w:rsidRoot w:val="005A6C3A"/>
    <w:rsid w:val="000003DB"/>
    <w:rsid w:val="0000306D"/>
    <w:rsid w:val="000032AA"/>
    <w:rsid w:val="000036B3"/>
    <w:rsid w:val="00003B60"/>
    <w:rsid w:val="0000425B"/>
    <w:rsid w:val="00004920"/>
    <w:rsid w:val="0000610B"/>
    <w:rsid w:val="0000646B"/>
    <w:rsid w:val="000065E6"/>
    <w:rsid w:val="00006BF2"/>
    <w:rsid w:val="000101B6"/>
    <w:rsid w:val="00010F72"/>
    <w:rsid w:val="000115D3"/>
    <w:rsid w:val="00011E1D"/>
    <w:rsid w:val="00012823"/>
    <w:rsid w:val="00013402"/>
    <w:rsid w:val="000135B4"/>
    <w:rsid w:val="00013F6B"/>
    <w:rsid w:val="00015195"/>
    <w:rsid w:val="000158D2"/>
    <w:rsid w:val="0001670B"/>
    <w:rsid w:val="00017619"/>
    <w:rsid w:val="000220A4"/>
    <w:rsid w:val="00023EE3"/>
    <w:rsid w:val="00024336"/>
    <w:rsid w:val="00024800"/>
    <w:rsid w:val="0002543F"/>
    <w:rsid w:val="0002638C"/>
    <w:rsid w:val="00027C75"/>
    <w:rsid w:val="00032BEF"/>
    <w:rsid w:val="000341A3"/>
    <w:rsid w:val="0003450D"/>
    <w:rsid w:val="00035FE5"/>
    <w:rsid w:val="00036AAF"/>
    <w:rsid w:val="000376DB"/>
    <w:rsid w:val="00037999"/>
    <w:rsid w:val="0004033C"/>
    <w:rsid w:val="0004065B"/>
    <w:rsid w:val="000415F2"/>
    <w:rsid w:val="00041A4F"/>
    <w:rsid w:val="00043663"/>
    <w:rsid w:val="0004410D"/>
    <w:rsid w:val="00045155"/>
    <w:rsid w:val="000474D3"/>
    <w:rsid w:val="00050C88"/>
    <w:rsid w:val="000532EF"/>
    <w:rsid w:val="00055904"/>
    <w:rsid w:val="00056170"/>
    <w:rsid w:val="0005751F"/>
    <w:rsid w:val="00057745"/>
    <w:rsid w:val="000609A9"/>
    <w:rsid w:val="00060A97"/>
    <w:rsid w:val="00060C1F"/>
    <w:rsid w:val="00062626"/>
    <w:rsid w:val="0006291D"/>
    <w:rsid w:val="00063323"/>
    <w:rsid w:val="00065535"/>
    <w:rsid w:val="000661FE"/>
    <w:rsid w:val="0006630E"/>
    <w:rsid w:val="00066481"/>
    <w:rsid w:val="00066555"/>
    <w:rsid w:val="000677CA"/>
    <w:rsid w:val="00067B14"/>
    <w:rsid w:val="00070345"/>
    <w:rsid w:val="00070920"/>
    <w:rsid w:val="00070DAF"/>
    <w:rsid w:val="00071624"/>
    <w:rsid w:val="000718B9"/>
    <w:rsid w:val="00071D7D"/>
    <w:rsid w:val="000747F7"/>
    <w:rsid w:val="0007482B"/>
    <w:rsid w:val="00074B19"/>
    <w:rsid w:val="0007664D"/>
    <w:rsid w:val="00076E9F"/>
    <w:rsid w:val="000774BF"/>
    <w:rsid w:val="000805B0"/>
    <w:rsid w:val="00081345"/>
    <w:rsid w:val="00082368"/>
    <w:rsid w:val="00083108"/>
    <w:rsid w:val="00083ADA"/>
    <w:rsid w:val="00083F10"/>
    <w:rsid w:val="00084983"/>
    <w:rsid w:val="0008511E"/>
    <w:rsid w:val="00085D06"/>
    <w:rsid w:val="000862C5"/>
    <w:rsid w:val="00087542"/>
    <w:rsid w:val="000909A0"/>
    <w:rsid w:val="000909F5"/>
    <w:rsid w:val="0009105B"/>
    <w:rsid w:val="00093CDE"/>
    <w:rsid w:val="00096407"/>
    <w:rsid w:val="000A1458"/>
    <w:rsid w:val="000A2D36"/>
    <w:rsid w:val="000A69B3"/>
    <w:rsid w:val="000A7912"/>
    <w:rsid w:val="000B0A88"/>
    <w:rsid w:val="000B0E23"/>
    <w:rsid w:val="000B1C99"/>
    <w:rsid w:val="000B1EB8"/>
    <w:rsid w:val="000B218D"/>
    <w:rsid w:val="000B253E"/>
    <w:rsid w:val="000B2FA7"/>
    <w:rsid w:val="000B3DCD"/>
    <w:rsid w:val="000B3FC1"/>
    <w:rsid w:val="000B4A39"/>
    <w:rsid w:val="000B4CF5"/>
    <w:rsid w:val="000B56D7"/>
    <w:rsid w:val="000B609F"/>
    <w:rsid w:val="000B6460"/>
    <w:rsid w:val="000C10A9"/>
    <w:rsid w:val="000C1989"/>
    <w:rsid w:val="000C3146"/>
    <w:rsid w:val="000C3274"/>
    <w:rsid w:val="000C3772"/>
    <w:rsid w:val="000C3998"/>
    <w:rsid w:val="000C3A07"/>
    <w:rsid w:val="000C3DD0"/>
    <w:rsid w:val="000C55DE"/>
    <w:rsid w:val="000C7516"/>
    <w:rsid w:val="000D0632"/>
    <w:rsid w:val="000D09AA"/>
    <w:rsid w:val="000D14C1"/>
    <w:rsid w:val="000D29B7"/>
    <w:rsid w:val="000D3F58"/>
    <w:rsid w:val="000D4107"/>
    <w:rsid w:val="000D4C04"/>
    <w:rsid w:val="000D63CE"/>
    <w:rsid w:val="000E1CC3"/>
    <w:rsid w:val="000E2E3D"/>
    <w:rsid w:val="000E33D7"/>
    <w:rsid w:val="000E375B"/>
    <w:rsid w:val="000E4982"/>
    <w:rsid w:val="000E7422"/>
    <w:rsid w:val="000F0DA9"/>
    <w:rsid w:val="000F0F47"/>
    <w:rsid w:val="000F14AC"/>
    <w:rsid w:val="000F3E2D"/>
    <w:rsid w:val="000F46F8"/>
    <w:rsid w:val="000F767B"/>
    <w:rsid w:val="000F7EEA"/>
    <w:rsid w:val="000F7F22"/>
    <w:rsid w:val="000F7FCC"/>
    <w:rsid w:val="0010067D"/>
    <w:rsid w:val="001006AA"/>
    <w:rsid w:val="00101E9A"/>
    <w:rsid w:val="00103DBD"/>
    <w:rsid w:val="00105F4C"/>
    <w:rsid w:val="001077E6"/>
    <w:rsid w:val="0010798B"/>
    <w:rsid w:val="00107ADE"/>
    <w:rsid w:val="00110BEB"/>
    <w:rsid w:val="00110FD3"/>
    <w:rsid w:val="00111089"/>
    <w:rsid w:val="001129A7"/>
    <w:rsid w:val="00114763"/>
    <w:rsid w:val="00115A38"/>
    <w:rsid w:val="00117372"/>
    <w:rsid w:val="00117D87"/>
    <w:rsid w:val="001207F9"/>
    <w:rsid w:val="00120FB8"/>
    <w:rsid w:val="0012135E"/>
    <w:rsid w:val="00122213"/>
    <w:rsid w:val="001232B1"/>
    <w:rsid w:val="00124636"/>
    <w:rsid w:val="00124BD7"/>
    <w:rsid w:val="00125267"/>
    <w:rsid w:val="00125531"/>
    <w:rsid w:val="0012706A"/>
    <w:rsid w:val="001277BF"/>
    <w:rsid w:val="00127D1D"/>
    <w:rsid w:val="00127D8E"/>
    <w:rsid w:val="0013216C"/>
    <w:rsid w:val="001334F0"/>
    <w:rsid w:val="00136AD7"/>
    <w:rsid w:val="00137238"/>
    <w:rsid w:val="0013765D"/>
    <w:rsid w:val="00137C7C"/>
    <w:rsid w:val="0014136A"/>
    <w:rsid w:val="001437DD"/>
    <w:rsid w:val="00145082"/>
    <w:rsid w:val="00145CAD"/>
    <w:rsid w:val="00145EC4"/>
    <w:rsid w:val="0014603C"/>
    <w:rsid w:val="001478F9"/>
    <w:rsid w:val="0014797B"/>
    <w:rsid w:val="00150B7D"/>
    <w:rsid w:val="00152149"/>
    <w:rsid w:val="001526EA"/>
    <w:rsid w:val="001531DB"/>
    <w:rsid w:val="00154ED5"/>
    <w:rsid w:val="00154F48"/>
    <w:rsid w:val="0015727B"/>
    <w:rsid w:val="001578D4"/>
    <w:rsid w:val="00160CFC"/>
    <w:rsid w:val="00160DAB"/>
    <w:rsid w:val="00161E42"/>
    <w:rsid w:val="00162AB9"/>
    <w:rsid w:val="001657CB"/>
    <w:rsid w:val="00165BCF"/>
    <w:rsid w:val="0016658C"/>
    <w:rsid w:val="0016702F"/>
    <w:rsid w:val="00167D7C"/>
    <w:rsid w:val="00167EB3"/>
    <w:rsid w:val="00170D97"/>
    <w:rsid w:val="00170F37"/>
    <w:rsid w:val="001723B7"/>
    <w:rsid w:val="00172D77"/>
    <w:rsid w:val="00172FE8"/>
    <w:rsid w:val="001734B2"/>
    <w:rsid w:val="00173E20"/>
    <w:rsid w:val="0017533D"/>
    <w:rsid w:val="001758A0"/>
    <w:rsid w:val="00175B88"/>
    <w:rsid w:val="00175D5B"/>
    <w:rsid w:val="001761CE"/>
    <w:rsid w:val="0017660F"/>
    <w:rsid w:val="00177743"/>
    <w:rsid w:val="00177B0B"/>
    <w:rsid w:val="001805B4"/>
    <w:rsid w:val="001826E0"/>
    <w:rsid w:val="001827C5"/>
    <w:rsid w:val="00183CBE"/>
    <w:rsid w:val="00184AE9"/>
    <w:rsid w:val="0018549A"/>
    <w:rsid w:val="00185B41"/>
    <w:rsid w:val="00186225"/>
    <w:rsid w:val="00186F09"/>
    <w:rsid w:val="00193D77"/>
    <w:rsid w:val="00194F4A"/>
    <w:rsid w:val="0019522C"/>
    <w:rsid w:val="00195DD9"/>
    <w:rsid w:val="001961A0"/>
    <w:rsid w:val="001A0130"/>
    <w:rsid w:val="001A1CB5"/>
    <w:rsid w:val="001A278C"/>
    <w:rsid w:val="001A4928"/>
    <w:rsid w:val="001A533D"/>
    <w:rsid w:val="001A54C8"/>
    <w:rsid w:val="001A67B1"/>
    <w:rsid w:val="001A7688"/>
    <w:rsid w:val="001B17A1"/>
    <w:rsid w:val="001B2019"/>
    <w:rsid w:val="001B2F73"/>
    <w:rsid w:val="001B397E"/>
    <w:rsid w:val="001B5DB8"/>
    <w:rsid w:val="001C06DF"/>
    <w:rsid w:val="001C07FB"/>
    <w:rsid w:val="001C3F9A"/>
    <w:rsid w:val="001C6D88"/>
    <w:rsid w:val="001D0192"/>
    <w:rsid w:val="001D0683"/>
    <w:rsid w:val="001D0834"/>
    <w:rsid w:val="001D24B8"/>
    <w:rsid w:val="001D2B6B"/>
    <w:rsid w:val="001D5119"/>
    <w:rsid w:val="001D55E5"/>
    <w:rsid w:val="001D6D64"/>
    <w:rsid w:val="001D7835"/>
    <w:rsid w:val="001E24C0"/>
    <w:rsid w:val="001E2BE9"/>
    <w:rsid w:val="001E383B"/>
    <w:rsid w:val="001E41DB"/>
    <w:rsid w:val="001E4A28"/>
    <w:rsid w:val="001E6C4A"/>
    <w:rsid w:val="001E6C94"/>
    <w:rsid w:val="001E7071"/>
    <w:rsid w:val="001E74F5"/>
    <w:rsid w:val="001F14CB"/>
    <w:rsid w:val="001F29C7"/>
    <w:rsid w:val="001F4554"/>
    <w:rsid w:val="001F5088"/>
    <w:rsid w:val="001F54D9"/>
    <w:rsid w:val="001F7813"/>
    <w:rsid w:val="00200221"/>
    <w:rsid w:val="002067CB"/>
    <w:rsid w:val="00206E51"/>
    <w:rsid w:val="002112C9"/>
    <w:rsid w:val="00211994"/>
    <w:rsid w:val="00211AA3"/>
    <w:rsid w:val="0021430C"/>
    <w:rsid w:val="002147F3"/>
    <w:rsid w:val="00216034"/>
    <w:rsid w:val="00216483"/>
    <w:rsid w:val="0021665A"/>
    <w:rsid w:val="0021750A"/>
    <w:rsid w:val="00217B8F"/>
    <w:rsid w:val="002204D6"/>
    <w:rsid w:val="00220DE6"/>
    <w:rsid w:val="00222078"/>
    <w:rsid w:val="00224076"/>
    <w:rsid w:val="00225317"/>
    <w:rsid w:val="002257B9"/>
    <w:rsid w:val="002262DB"/>
    <w:rsid w:val="00226CB3"/>
    <w:rsid w:val="0023197F"/>
    <w:rsid w:val="00232D2F"/>
    <w:rsid w:val="00234127"/>
    <w:rsid w:val="002345D2"/>
    <w:rsid w:val="00235D15"/>
    <w:rsid w:val="0023678D"/>
    <w:rsid w:val="002375F3"/>
    <w:rsid w:val="00237CDC"/>
    <w:rsid w:val="00241360"/>
    <w:rsid w:val="00242623"/>
    <w:rsid w:val="00246DF4"/>
    <w:rsid w:val="002512FC"/>
    <w:rsid w:val="00252817"/>
    <w:rsid w:val="00252865"/>
    <w:rsid w:val="00252D21"/>
    <w:rsid w:val="002543E1"/>
    <w:rsid w:val="002556FC"/>
    <w:rsid w:val="00255B3B"/>
    <w:rsid w:val="00261D8A"/>
    <w:rsid w:val="0026467E"/>
    <w:rsid w:val="00264F1F"/>
    <w:rsid w:val="00266339"/>
    <w:rsid w:val="00266899"/>
    <w:rsid w:val="00266D74"/>
    <w:rsid w:val="00267D36"/>
    <w:rsid w:val="002708DC"/>
    <w:rsid w:val="00270CF2"/>
    <w:rsid w:val="00271032"/>
    <w:rsid w:val="00273A83"/>
    <w:rsid w:val="00273CC5"/>
    <w:rsid w:val="0027613D"/>
    <w:rsid w:val="00280982"/>
    <w:rsid w:val="00281969"/>
    <w:rsid w:val="00282CAD"/>
    <w:rsid w:val="002832D9"/>
    <w:rsid w:val="0028390F"/>
    <w:rsid w:val="0028489D"/>
    <w:rsid w:val="00284D5B"/>
    <w:rsid w:val="00290AC5"/>
    <w:rsid w:val="00290F47"/>
    <w:rsid w:val="00291D7D"/>
    <w:rsid w:val="00291EC6"/>
    <w:rsid w:val="002921B5"/>
    <w:rsid w:val="0029467E"/>
    <w:rsid w:val="00294FBE"/>
    <w:rsid w:val="00296DC5"/>
    <w:rsid w:val="002974AC"/>
    <w:rsid w:val="00297E8F"/>
    <w:rsid w:val="002A0870"/>
    <w:rsid w:val="002A0BEA"/>
    <w:rsid w:val="002A10A4"/>
    <w:rsid w:val="002A159C"/>
    <w:rsid w:val="002A2A7F"/>
    <w:rsid w:val="002A2C5B"/>
    <w:rsid w:val="002A3879"/>
    <w:rsid w:val="002A4391"/>
    <w:rsid w:val="002A441B"/>
    <w:rsid w:val="002A5616"/>
    <w:rsid w:val="002A56DD"/>
    <w:rsid w:val="002A5781"/>
    <w:rsid w:val="002A5F23"/>
    <w:rsid w:val="002A6BE8"/>
    <w:rsid w:val="002A7823"/>
    <w:rsid w:val="002B0EAF"/>
    <w:rsid w:val="002B13A8"/>
    <w:rsid w:val="002B1D06"/>
    <w:rsid w:val="002B1F49"/>
    <w:rsid w:val="002B2B18"/>
    <w:rsid w:val="002B35B6"/>
    <w:rsid w:val="002B385F"/>
    <w:rsid w:val="002B41D5"/>
    <w:rsid w:val="002B7581"/>
    <w:rsid w:val="002B78AF"/>
    <w:rsid w:val="002C0D3B"/>
    <w:rsid w:val="002C1375"/>
    <w:rsid w:val="002C2050"/>
    <w:rsid w:val="002C25A9"/>
    <w:rsid w:val="002C38B9"/>
    <w:rsid w:val="002C411A"/>
    <w:rsid w:val="002C454E"/>
    <w:rsid w:val="002C50F2"/>
    <w:rsid w:val="002C535E"/>
    <w:rsid w:val="002C6640"/>
    <w:rsid w:val="002C75A9"/>
    <w:rsid w:val="002C76F7"/>
    <w:rsid w:val="002C783A"/>
    <w:rsid w:val="002C7E43"/>
    <w:rsid w:val="002D1392"/>
    <w:rsid w:val="002D1434"/>
    <w:rsid w:val="002D1BA6"/>
    <w:rsid w:val="002D410E"/>
    <w:rsid w:val="002D449B"/>
    <w:rsid w:val="002D50F7"/>
    <w:rsid w:val="002D60FE"/>
    <w:rsid w:val="002D63DC"/>
    <w:rsid w:val="002D6E7A"/>
    <w:rsid w:val="002D7E3B"/>
    <w:rsid w:val="002E0110"/>
    <w:rsid w:val="002E0D21"/>
    <w:rsid w:val="002E2A0A"/>
    <w:rsid w:val="002E2B5E"/>
    <w:rsid w:val="002E2C05"/>
    <w:rsid w:val="002E2F33"/>
    <w:rsid w:val="002E3685"/>
    <w:rsid w:val="002E5165"/>
    <w:rsid w:val="002E58F1"/>
    <w:rsid w:val="002F0299"/>
    <w:rsid w:val="002F4320"/>
    <w:rsid w:val="002F54BF"/>
    <w:rsid w:val="0030008B"/>
    <w:rsid w:val="00301DF8"/>
    <w:rsid w:val="003023C9"/>
    <w:rsid w:val="003031B9"/>
    <w:rsid w:val="00304BEE"/>
    <w:rsid w:val="00305759"/>
    <w:rsid w:val="00306010"/>
    <w:rsid w:val="0030606B"/>
    <w:rsid w:val="00306125"/>
    <w:rsid w:val="003066DC"/>
    <w:rsid w:val="00306E3E"/>
    <w:rsid w:val="0030774D"/>
    <w:rsid w:val="003101C3"/>
    <w:rsid w:val="003109BE"/>
    <w:rsid w:val="003109D5"/>
    <w:rsid w:val="00311D01"/>
    <w:rsid w:val="00313236"/>
    <w:rsid w:val="00313B0B"/>
    <w:rsid w:val="00313F5B"/>
    <w:rsid w:val="00314700"/>
    <w:rsid w:val="003149F1"/>
    <w:rsid w:val="003152B6"/>
    <w:rsid w:val="00315F1A"/>
    <w:rsid w:val="00316481"/>
    <w:rsid w:val="00316B27"/>
    <w:rsid w:val="0031756E"/>
    <w:rsid w:val="00317D5E"/>
    <w:rsid w:val="00320003"/>
    <w:rsid w:val="003201BE"/>
    <w:rsid w:val="0032056C"/>
    <w:rsid w:val="003207BF"/>
    <w:rsid w:val="00320D83"/>
    <w:rsid w:val="00321E5A"/>
    <w:rsid w:val="003222DB"/>
    <w:rsid w:val="0032675F"/>
    <w:rsid w:val="00330ACB"/>
    <w:rsid w:val="0033428F"/>
    <w:rsid w:val="003342D0"/>
    <w:rsid w:val="0033465D"/>
    <w:rsid w:val="003423B0"/>
    <w:rsid w:val="003423E1"/>
    <w:rsid w:val="00343AA7"/>
    <w:rsid w:val="00344742"/>
    <w:rsid w:val="00347865"/>
    <w:rsid w:val="0035029B"/>
    <w:rsid w:val="00350BCF"/>
    <w:rsid w:val="00350C6E"/>
    <w:rsid w:val="00350E45"/>
    <w:rsid w:val="00351A48"/>
    <w:rsid w:val="00351F95"/>
    <w:rsid w:val="00352586"/>
    <w:rsid w:val="0035524B"/>
    <w:rsid w:val="003568E1"/>
    <w:rsid w:val="0035732C"/>
    <w:rsid w:val="003577C4"/>
    <w:rsid w:val="003612B5"/>
    <w:rsid w:val="00362744"/>
    <w:rsid w:val="00362A7E"/>
    <w:rsid w:val="00362AFE"/>
    <w:rsid w:val="00363081"/>
    <w:rsid w:val="00363661"/>
    <w:rsid w:val="00363995"/>
    <w:rsid w:val="00363B17"/>
    <w:rsid w:val="00363F0B"/>
    <w:rsid w:val="0036418A"/>
    <w:rsid w:val="003642B4"/>
    <w:rsid w:val="00364CE6"/>
    <w:rsid w:val="00364F4D"/>
    <w:rsid w:val="00365B14"/>
    <w:rsid w:val="0036682D"/>
    <w:rsid w:val="00374EE1"/>
    <w:rsid w:val="00375268"/>
    <w:rsid w:val="00375F8F"/>
    <w:rsid w:val="003763C1"/>
    <w:rsid w:val="003767BA"/>
    <w:rsid w:val="00376A2A"/>
    <w:rsid w:val="00383DC1"/>
    <w:rsid w:val="00383EB0"/>
    <w:rsid w:val="00384223"/>
    <w:rsid w:val="003846B0"/>
    <w:rsid w:val="00386FFE"/>
    <w:rsid w:val="00387EBC"/>
    <w:rsid w:val="0039025C"/>
    <w:rsid w:val="0039067C"/>
    <w:rsid w:val="00393F74"/>
    <w:rsid w:val="003941D5"/>
    <w:rsid w:val="003947DC"/>
    <w:rsid w:val="00394E5E"/>
    <w:rsid w:val="00395B32"/>
    <w:rsid w:val="00396A47"/>
    <w:rsid w:val="003A06BD"/>
    <w:rsid w:val="003A0AB4"/>
    <w:rsid w:val="003A0DCD"/>
    <w:rsid w:val="003A0E7A"/>
    <w:rsid w:val="003A124E"/>
    <w:rsid w:val="003A1445"/>
    <w:rsid w:val="003A1638"/>
    <w:rsid w:val="003A1B31"/>
    <w:rsid w:val="003A2194"/>
    <w:rsid w:val="003A3BE1"/>
    <w:rsid w:val="003A3C85"/>
    <w:rsid w:val="003A4153"/>
    <w:rsid w:val="003A5AC2"/>
    <w:rsid w:val="003B0844"/>
    <w:rsid w:val="003B450E"/>
    <w:rsid w:val="003B48A5"/>
    <w:rsid w:val="003B4B3B"/>
    <w:rsid w:val="003B50A1"/>
    <w:rsid w:val="003B50A6"/>
    <w:rsid w:val="003B575D"/>
    <w:rsid w:val="003B5A32"/>
    <w:rsid w:val="003B6F10"/>
    <w:rsid w:val="003C05D2"/>
    <w:rsid w:val="003C0891"/>
    <w:rsid w:val="003C0A23"/>
    <w:rsid w:val="003C0A52"/>
    <w:rsid w:val="003C1541"/>
    <w:rsid w:val="003C16FE"/>
    <w:rsid w:val="003C3A06"/>
    <w:rsid w:val="003C41F4"/>
    <w:rsid w:val="003C55FF"/>
    <w:rsid w:val="003C6BED"/>
    <w:rsid w:val="003C73F9"/>
    <w:rsid w:val="003C7799"/>
    <w:rsid w:val="003D2BE1"/>
    <w:rsid w:val="003D2C8A"/>
    <w:rsid w:val="003D3389"/>
    <w:rsid w:val="003D3FB6"/>
    <w:rsid w:val="003D406E"/>
    <w:rsid w:val="003D4F1A"/>
    <w:rsid w:val="003D520A"/>
    <w:rsid w:val="003D5388"/>
    <w:rsid w:val="003D6DCC"/>
    <w:rsid w:val="003D7914"/>
    <w:rsid w:val="003E082D"/>
    <w:rsid w:val="003E0B1A"/>
    <w:rsid w:val="003E11E0"/>
    <w:rsid w:val="003E159E"/>
    <w:rsid w:val="003E1937"/>
    <w:rsid w:val="003E2641"/>
    <w:rsid w:val="003E2CD0"/>
    <w:rsid w:val="003E2D91"/>
    <w:rsid w:val="003E4533"/>
    <w:rsid w:val="003F03DE"/>
    <w:rsid w:val="003F1341"/>
    <w:rsid w:val="003F168A"/>
    <w:rsid w:val="003F1DA6"/>
    <w:rsid w:val="003F363C"/>
    <w:rsid w:val="003F4230"/>
    <w:rsid w:val="003F48E2"/>
    <w:rsid w:val="003F63A4"/>
    <w:rsid w:val="003F711A"/>
    <w:rsid w:val="003F7A87"/>
    <w:rsid w:val="00401B2C"/>
    <w:rsid w:val="00401F03"/>
    <w:rsid w:val="0040234B"/>
    <w:rsid w:val="004027B4"/>
    <w:rsid w:val="0040319E"/>
    <w:rsid w:val="004055CD"/>
    <w:rsid w:val="004056AE"/>
    <w:rsid w:val="00410CB0"/>
    <w:rsid w:val="00412808"/>
    <w:rsid w:val="00413D73"/>
    <w:rsid w:val="00414891"/>
    <w:rsid w:val="00414C6F"/>
    <w:rsid w:val="00414F7D"/>
    <w:rsid w:val="00415D77"/>
    <w:rsid w:val="00415F65"/>
    <w:rsid w:val="004161BC"/>
    <w:rsid w:val="00416870"/>
    <w:rsid w:val="00417D33"/>
    <w:rsid w:val="00421AC9"/>
    <w:rsid w:val="004236B9"/>
    <w:rsid w:val="00423F75"/>
    <w:rsid w:val="00424264"/>
    <w:rsid w:val="004242E0"/>
    <w:rsid w:val="0042507A"/>
    <w:rsid w:val="0042550A"/>
    <w:rsid w:val="004259F4"/>
    <w:rsid w:val="00427F54"/>
    <w:rsid w:val="0043193C"/>
    <w:rsid w:val="004326DC"/>
    <w:rsid w:val="004368C0"/>
    <w:rsid w:val="004406B5"/>
    <w:rsid w:val="00440A6C"/>
    <w:rsid w:val="00440EC1"/>
    <w:rsid w:val="004423B7"/>
    <w:rsid w:val="004430E9"/>
    <w:rsid w:val="004447D6"/>
    <w:rsid w:val="00446DE7"/>
    <w:rsid w:val="00446E8F"/>
    <w:rsid w:val="00446F51"/>
    <w:rsid w:val="00447795"/>
    <w:rsid w:val="004501B8"/>
    <w:rsid w:val="004511E1"/>
    <w:rsid w:val="00452B1E"/>
    <w:rsid w:val="00452B42"/>
    <w:rsid w:val="00452E00"/>
    <w:rsid w:val="00452FFB"/>
    <w:rsid w:val="00453CD3"/>
    <w:rsid w:val="00454191"/>
    <w:rsid w:val="004543E6"/>
    <w:rsid w:val="004545C4"/>
    <w:rsid w:val="00454DC7"/>
    <w:rsid w:val="004551F4"/>
    <w:rsid w:val="00455961"/>
    <w:rsid w:val="0046120A"/>
    <w:rsid w:val="004612A4"/>
    <w:rsid w:val="004630F4"/>
    <w:rsid w:val="004634C2"/>
    <w:rsid w:val="004638B3"/>
    <w:rsid w:val="0046532D"/>
    <w:rsid w:val="00465B0A"/>
    <w:rsid w:val="0046753D"/>
    <w:rsid w:val="00470F84"/>
    <w:rsid w:val="004714DC"/>
    <w:rsid w:val="00471874"/>
    <w:rsid w:val="004725E3"/>
    <w:rsid w:val="00472F5C"/>
    <w:rsid w:val="00473B8F"/>
    <w:rsid w:val="00473FDA"/>
    <w:rsid w:val="00474B2E"/>
    <w:rsid w:val="00475FF3"/>
    <w:rsid w:val="0047669D"/>
    <w:rsid w:val="00476963"/>
    <w:rsid w:val="00476D4A"/>
    <w:rsid w:val="00477E05"/>
    <w:rsid w:val="004811E4"/>
    <w:rsid w:val="0048174C"/>
    <w:rsid w:val="00482EB9"/>
    <w:rsid w:val="00483A34"/>
    <w:rsid w:val="0048537C"/>
    <w:rsid w:val="0048544B"/>
    <w:rsid w:val="004858AE"/>
    <w:rsid w:val="004859FB"/>
    <w:rsid w:val="00490828"/>
    <w:rsid w:val="00492F61"/>
    <w:rsid w:val="004930E7"/>
    <w:rsid w:val="00493C9D"/>
    <w:rsid w:val="004953DE"/>
    <w:rsid w:val="00496141"/>
    <w:rsid w:val="0049634D"/>
    <w:rsid w:val="0049635E"/>
    <w:rsid w:val="004978CF"/>
    <w:rsid w:val="004A04BF"/>
    <w:rsid w:val="004A4B06"/>
    <w:rsid w:val="004A5F04"/>
    <w:rsid w:val="004A6AFB"/>
    <w:rsid w:val="004A6B32"/>
    <w:rsid w:val="004A6C34"/>
    <w:rsid w:val="004A747E"/>
    <w:rsid w:val="004A7BBC"/>
    <w:rsid w:val="004B026C"/>
    <w:rsid w:val="004B15D0"/>
    <w:rsid w:val="004B1632"/>
    <w:rsid w:val="004B1768"/>
    <w:rsid w:val="004B2A03"/>
    <w:rsid w:val="004B2CC5"/>
    <w:rsid w:val="004B2F68"/>
    <w:rsid w:val="004B3255"/>
    <w:rsid w:val="004B4335"/>
    <w:rsid w:val="004B52AA"/>
    <w:rsid w:val="004B5B04"/>
    <w:rsid w:val="004B6E21"/>
    <w:rsid w:val="004C144D"/>
    <w:rsid w:val="004C2CD9"/>
    <w:rsid w:val="004C2D3C"/>
    <w:rsid w:val="004C33F8"/>
    <w:rsid w:val="004C68DE"/>
    <w:rsid w:val="004C75EB"/>
    <w:rsid w:val="004C7B41"/>
    <w:rsid w:val="004D05DC"/>
    <w:rsid w:val="004D1E49"/>
    <w:rsid w:val="004D2140"/>
    <w:rsid w:val="004D2CFA"/>
    <w:rsid w:val="004D34C7"/>
    <w:rsid w:val="004D36DE"/>
    <w:rsid w:val="004D43B2"/>
    <w:rsid w:val="004D4687"/>
    <w:rsid w:val="004D4A57"/>
    <w:rsid w:val="004D5974"/>
    <w:rsid w:val="004D5AD8"/>
    <w:rsid w:val="004D60A7"/>
    <w:rsid w:val="004D6A15"/>
    <w:rsid w:val="004D6D4B"/>
    <w:rsid w:val="004D700C"/>
    <w:rsid w:val="004D7398"/>
    <w:rsid w:val="004E149A"/>
    <w:rsid w:val="004E2424"/>
    <w:rsid w:val="004E4BD1"/>
    <w:rsid w:val="004F3B2E"/>
    <w:rsid w:val="004F3DE3"/>
    <w:rsid w:val="004F455D"/>
    <w:rsid w:val="004F4570"/>
    <w:rsid w:val="004F5C58"/>
    <w:rsid w:val="004F5DBB"/>
    <w:rsid w:val="004F66E9"/>
    <w:rsid w:val="004F6BFB"/>
    <w:rsid w:val="004F75DF"/>
    <w:rsid w:val="005017D0"/>
    <w:rsid w:val="00501FEA"/>
    <w:rsid w:val="0050270D"/>
    <w:rsid w:val="00502905"/>
    <w:rsid w:val="0050332F"/>
    <w:rsid w:val="005035B2"/>
    <w:rsid w:val="005043AE"/>
    <w:rsid w:val="00504D1A"/>
    <w:rsid w:val="00504D91"/>
    <w:rsid w:val="0050571E"/>
    <w:rsid w:val="00506D05"/>
    <w:rsid w:val="00510C68"/>
    <w:rsid w:val="005117AF"/>
    <w:rsid w:val="00512C7E"/>
    <w:rsid w:val="005133EE"/>
    <w:rsid w:val="00513409"/>
    <w:rsid w:val="005144C5"/>
    <w:rsid w:val="00514A29"/>
    <w:rsid w:val="005161FA"/>
    <w:rsid w:val="0051627E"/>
    <w:rsid w:val="00517012"/>
    <w:rsid w:val="00520267"/>
    <w:rsid w:val="005206F5"/>
    <w:rsid w:val="0052090D"/>
    <w:rsid w:val="00520F4B"/>
    <w:rsid w:val="005216C8"/>
    <w:rsid w:val="00521A8E"/>
    <w:rsid w:val="00525E4B"/>
    <w:rsid w:val="00526094"/>
    <w:rsid w:val="005260C2"/>
    <w:rsid w:val="00526F65"/>
    <w:rsid w:val="0053046D"/>
    <w:rsid w:val="00530A21"/>
    <w:rsid w:val="00532132"/>
    <w:rsid w:val="0053384F"/>
    <w:rsid w:val="0053431D"/>
    <w:rsid w:val="005345A4"/>
    <w:rsid w:val="005353F7"/>
    <w:rsid w:val="0053546E"/>
    <w:rsid w:val="0053584B"/>
    <w:rsid w:val="005360A7"/>
    <w:rsid w:val="0054045F"/>
    <w:rsid w:val="005407FB"/>
    <w:rsid w:val="00541709"/>
    <w:rsid w:val="00543168"/>
    <w:rsid w:val="00544B42"/>
    <w:rsid w:val="0054559E"/>
    <w:rsid w:val="00547A15"/>
    <w:rsid w:val="00550CE4"/>
    <w:rsid w:val="0055142E"/>
    <w:rsid w:val="00551CD5"/>
    <w:rsid w:val="00551E2D"/>
    <w:rsid w:val="00553AB5"/>
    <w:rsid w:val="00556303"/>
    <w:rsid w:val="00556AB5"/>
    <w:rsid w:val="00556BA2"/>
    <w:rsid w:val="00557134"/>
    <w:rsid w:val="005575E3"/>
    <w:rsid w:val="00561C65"/>
    <w:rsid w:val="00561CD9"/>
    <w:rsid w:val="005642E4"/>
    <w:rsid w:val="00564D81"/>
    <w:rsid w:val="0056545D"/>
    <w:rsid w:val="00570E7B"/>
    <w:rsid w:val="0057111A"/>
    <w:rsid w:val="00572B23"/>
    <w:rsid w:val="00572B58"/>
    <w:rsid w:val="00573DEC"/>
    <w:rsid w:val="00574733"/>
    <w:rsid w:val="0057530A"/>
    <w:rsid w:val="00576749"/>
    <w:rsid w:val="00577E6A"/>
    <w:rsid w:val="00581F0F"/>
    <w:rsid w:val="0058260D"/>
    <w:rsid w:val="00582ED6"/>
    <w:rsid w:val="00583C3F"/>
    <w:rsid w:val="00583D78"/>
    <w:rsid w:val="00584580"/>
    <w:rsid w:val="00584EA9"/>
    <w:rsid w:val="00585C1C"/>
    <w:rsid w:val="00585DA3"/>
    <w:rsid w:val="0058608B"/>
    <w:rsid w:val="00587448"/>
    <w:rsid w:val="005875D2"/>
    <w:rsid w:val="00590D0F"/>
    <w:rsid w:val="00591AE0"/>
    <w:rsid w:val="0059223E"/>
    <w:rsid w:val="00592CDE"/>
    <w:rsid w:val="00593448"/>
    <w:rsid w:val="005940A7"/>
    <w:rsid w:val="00594792"/>
    <w:rsid w:val="00594E18"/>
    <w:rsid w:val="005954BE"/>
    <w:rsid w:val="00596344"/>
    <w:rsid w:val="00596C92"/>
    <w:rsid w:val="005A1862"/>
    <w:rsid w:val="005A2D4E"/>
    <w:rsid w:val="005A34AE"/>
    <w:rsid w:val="005A3E40"/>
    <w:rsid w:val="005A4E1A"/>
    <w:rsid w:val="005A5E15"/>
    <w:rsid w:val="005A6C3A"/>
    <w:rsid w:val="005A73C7"/>
    <w:rsid w:val="005A7F44"/>
    <w:rsid w:val="005B0AA0"/>
    <w:rsid w:val="005B1080"/>
    <w:rsid w:val="005B1164"/>
    <w:rsid w:val="005B1C52"/>
    <w:rsid w:val="005B2035"/>
    <w:rsid w:val="005B29D2"/>
    <w:rsid w:val="005B434A"/>
    <w:rsid w:val="005B4BA0"/>
    <w:rsid w:val="005B6564"/>
    <w:rsid w:val="005C031C"/>
    <w:rsid w:val="005C1412"/>
    <w:rsid w:val="005C173F"/>
    <w:rsid w:val="005C2A20"/>
    <w:rsid w:val="005C2A32"/>
    <w:rsid w:val="005C2DF0"/>
    <w:rsid w:val="005C417D"/>
    <w:rsid w:val="005C58BD"/>
    <w:rsid w:val="005C63D6"/>
    <w:rsid w:val="005C6789"/>
    <w:rsid w:val="005C6EA7"/>
    <w:rsid w:val="005C6F09"/>
    <w:rsid w:val="005C7DB6"/>
    <w:rsid w:val="005D0269"/>
    <w:rsid w:val="005D0324"/>
    <w:rsid w:val="005D15F7"/>
    <w:rsid w:val="005D3126"/>
    <w:rsid w:val="005D3947"/>
    <w:rsid w:val="005D41D7"/>
    <w:rsid w:val="005D4483"/>
    <w:rsid w:val="005D4A17"/>
    <w:rsid w:val="005D532F"/>
    <w:rsid w:val="005D5450"/>
    <w:rsid w:val="005D66A2"/>
    <w:rsid w:val="005D7A62"/>
    <w:rsid w:val="005E06C0"/>
    <w:rsid w:val="005E0A03"/>
    <w:rsid w:val="005E150B"/>
    <w:rsid w:val="005E1926"/>
    <w:rsid w:val="005E1BB2"/>
    <w:rsid w:val="005E20B8"/>
    <w:rsid w:val="005E2FCF"/>
    <w:rsid w:val="005E3D06"/>
    <w:rsid w:val="005E4867"/>
    <w:rsid w:val="005E568C"/>
    <w:rsid w:val="005E5A4B"/>
    <w:rsid w:val="005F0588"/>
    <w:rsid w:val="005F0D30"/>
    <w:rsid w:val="005F1E7C"/>
    <w:rsid w:val="005F35B5"/>
    <w:rsid w:val="005F4C6B"/>
    <w:rsid w:val="005F4FD4"/>
    <w:rsid w:val="005F6630"/>
    <w:rsid w:val="005F6998"/>
    <w:rsid w:val="0060266B"/>
    <w:rsid w:val="00602BD1"/>
    <w:rsid w:val="00603A84"/>
    <w:rsid w:val="00606A79"/>
    <w:rsid w:val="00607CCC"/>
    <w:rsid w:val="0061069C"/>
    <w:rsid w:val="00611CE6"/>
    <w:rsid w:val="00612074"/>
    <w:rsid w:val="00612803"/>
    <w:rsid w:val="00612CAB"/>
    <w:rsid w:val="0061370B"/>
    <w:rsid w:val="00613844"/>
    <w:rsid w:val="00614AE8"/>
    <w:rsid w:val="00614D76"/>
    <w:rsid w:val="00614F4F"/>
    <w:rsid w:val="006156CF"/>
    <w:rsid w:val="0061610E"/>
    <w:rsid w:val="0061710D"/>
    <w:rsid w:val="00620EFF"/>
    <w:rsid w:val="006232F7"/>
    <w:rsid w:val="00623912"/>
    <w:rsid w:val="00623B8C"/>
    <w:rsid w:val="00624A79"/>
    <w:rsid w:val="006256B0"/>
    <w:rsid w:val="00625C9A"/>
    <w:rsid w:val="00626AF8"/>
    <w:rsid w:val="0063115A"/>
    <w:rsid w:val="0063197F"/>
    <w:rsid w:val="00633EC0"/>
    <w:rsid w:val="00635816"/>
    <w:rsid w:val="006362D2"/>
    <w:rsid w:val="00636636"/>
    <w:rsid w:val="00636997"/>
    <w:rsid w:val="00640018"/>
    <w:rsid w:val="0064081D"/>
    <w:rsid w:val="006408DE"/>
    <w:rsid w:val="00640D86"/>
    <w:rsid w:val="006418C5"/>
    <w:rsid w:val="00641A10"/>
    <w:rsid w:val="00641A8B"/>
    <w:rsid w:val="00643550"/>
    <w:rsid w:val="00643EC8"/>
    <w:rsid w:val="00644FEC"/>
    <w:rsid w:val="0064535A"/>
    <w:rsid w:val="00645424"/>
    <w:rsid w:val="00645C48"/>
    <w:rsid w:val="006473FA"/>
    <w:rsid w:val="00650860"/>
    <w:rsid w:val="00650A63"/>
    <w:rsid w:val="00650AA7"/>
    <w:rsid w:val="00650B0C"/>
    <w:rsid w:val="00650B5A"/>
    <w:rsid w:val="00651F96"/>
    <w:rsid w:val="00653227"/>
    <w:rsid w:val="0065367C"/>
    <w:rsid w:val="00653726"/>
    <w:rsid w:val="00653C50"/>
    <w:rsid w:val="006543C7"/>
    <w:rsid w:val="00654859"/>
    <w:rsid w:val="00654D7B"/>
    <w:rsid w:val="006552F0"/>
    <w:rsid w:val="0065560D"/>
    <w:rsid w:val="00655D13"/>
    <w:rsid w:val="0065695F"/>
    <w:rsid w:val="00657697"/>
    <w:rsid w:val="00657980"/>
    <w:rsid w:val="00657C3A"/>
    <w:rsid w:val="00657E19"/>
    <w:rsid w:val="00660B4E"/>
    <w:rsid w:val="0066145C"/>
    <w:rsid w:val="00661659"/>
    <w:rsid w:val="00661C91"/>
    <w:rsid w:val="00662DFD"/>
    <w:rsid w:val="006633BF"/>
    <w:rsid w:val="00664A84"/>
    <w:rsid w:val="0066523F"/>
    <w:rsid w:val="00666613"/>
    <w:rsid w:val="006666CC"/>
    <w:rsid w:val="00666925"/>
    <w:rsid w:val="0066766C"/>
    <w:rsid w:val="0067074C"/>
    <w:rsid w:val="00670A06"/>
    <w:rsid w:val="0067159B"/>
    <w:rsid w:val="00671A34"/>
    <w:rsid w:val="006733D2"/>
    <w:rsid w:val="00673751"/>
    <w:rsid w:val="006737D3"/>
    <w:rsid w:val="00673C9A"/>
    <w:rsid w:val="00674D9E"/>
    <w:rsid w:val="00675E2A"/>
    <w:rsid w:val="00676A3C"/>
    <w:rsid w:val="006801C3"/>
    <w:rsid w:val="006810A5"/>
    <w:rsid w:val="00682843"/>
    <w:rsid w:val="0068291F"/>
    <w:rsid w:val="0068355D"/>
    <w:rsid w:val="0068368A"/>
    <w:rsid w:val="00684214"/>
    <w:rsid w:val="00684ED0"/>
    <w:rsid w:val="00684FDB"/>
    <w:rsid w:val="0068613A"/>
    <w:rsid w:val="00686862"/>
    <w:rsid w:val="00686F56"/>
    <w:rsid w:val="0068742D"/>
    <w:rsid w:val="0069039D"/>
    <w:rsid w:val="00690778"/>
    <w:rsid w:val="0069334E"/>
    <w:rsid w:val="00696ECC"/>
    <w:rsid w:val="00697DA3"/>
    <w:rsid w:val="006A049C"/>
    <w:rsid w:val="006A11BC"/>
    <w:rsid w:val="006A33DB"/>
    <w:rsid w:val="006A41E4"/>
    <w:rsid w:val="006A5A17"/>
    <w:rsid w:val="006A7DF1"/>
    <w:rsid w:val="006B169E"/>
    <w:rsid w:val="006B19C0"/>
    <w:rsid w:val="006B25A5"/>
    <w:rsid w:val="006B39C1"/>
    <w:rsid w:val="006B3D22"/>
    <w:rsid w:val="006B4039"/>
    <w:rsid w:val="006B4AED"/>
    <w:rsid w:val="006B4C17"/>
    <w:rsid w:val="006B5319"/>
    <w:rsid w:val="006B5DBC"/>
    <w:rsid w:val="006B6552"/>
    <w:rsid w:val="006B79DF"/>
    <w:rsid w:val="006C08DE"/>
    <w:rsid w:val="006C0A4C"/>
    <w:rsid w:val="006C17D6"/>
    <w:rsid w:val="006C21D6"/>
    <w:rsid w:val="006C22A4"/>
    <w:rsid w:val="006C2353"/>
    <w:rsid w:val="006C2E5F"/>
    <w:rsid w:val="006C4141"/>
    <w:rsid w:val="006C4472"/>
    <w:rsid w:val="006C4DCB"/>
    <w:rsid w:val="006C53EF"/>
    <w:rsid w:val="006C6017"/>
    <w:rsid w:val="006C6737"/>
    <w:rsid w:val="006C6B1D"/>
    <w:rsid w:val="006D2CC8"/>
    <w:rsid w:val="006D2EA4"/>
    <w:rsid w:val="006D4667"/>
    <w:rsid w:val="006D5063"/>
    <w:rsid w:val="006D5072"/>
    <w:rsid w:val="006D513D"/>
    <w:rsid w:val="006D52ED"/>
    <w:rsid w:val="006D7611"/>
    <w:rsid w:val="006D7933"/>
    <w:rsid w:val="006E0148"/>
    <w:rsid w:val="006E3830"/>
    <w:rsid w:val="006E69FC"/>
    <w:rsid w:val="006F00BB"/>
    <w:rsid w:val="006F017F"/>
    <w:rsid w:val="006F06B7"/>
    <w:rsid w:val="006F0801"/>
    <w:rsid w:val="006F124F"/>
    <w:rsid w:val="006F1B10"/>
    <w:rsid w:val="006F291C"/>
    <w:rsid w:val="006F55DF"/>
    <w:rsid w:val="006F7A2C"/>
    <w:rsid w:val="0070057B"/>
    <w:rsid w:val="0070132B"/>
    <w:rsid w:val="00702247"/>
    <w:rsid w:val="00706AF3"/>
    <w:rsid w:val="00710105"/>
    <w:rsid w:val="0071050E"/>
    <w:rsid w:val="00711E98"/>
    <w:rsid w:val="00712FC8"/>
    <w:rsid w:val="00713736"/>
    <w:rsid w:val="007137D9"/>
    <w:rsid w:val="00713C74"/>
    <w:rsid w:val="00714080"/>
    <w:rsid w:val="00714B21"/>
    <w:rsid w:val="00715880"/>
    <w:rsid w:val="007160C3"/>
    <w:rsid w:val="0071663E"/>
    <w:rsid w:val="0071712B"/>
    <w:rsid w:val="00720F8D"/>
    <w:rsid w:val="00721619"/>
    <w:rsid w:val="00722C03"/>
    <w:rsid w:val="00722EA8"/>
    <w:rsid w:val="007230E6"/>
    <w:rsid w:val="0072334A"/>
    <w:rsid w:val="00723D90"/>
    <w:rsid w:val="00725404"/>
    <w:rsid w:val="007261CF"/>
    <w:rsid w:val="00726410"/>
    <w:rsid w:val="00727563"/>
    <w:rsid w:val="00727D07"/>
    <w:rsid w:val="007305B1"/>
    <w:rsid w:val="00730A3E"/>
    <w:rsid w:val="00730FA1"/>
    <w:rsid w:val="0073420B"/>
    <w:rsid w:val="0073433E"/>
    <w:rsid w:val="00735002"/>
    <w:rsid w:val="007353B5"/>
    <w:rsid w:val="00735849"/>
    <w:rsid w:val="00740228"/>
    <w:rsid w:val="00740AA0"/>
    <w:rsid w:val="00741263"/>
    <w:rsid w:val="00743700"/>
    <w:rsid w:val="00745456"/>
    <w:rsid w:val="00746715"/>
    <w:rsid w:val="00747899"/>
    <w:rsid w:val="007521A5"/>
    <w:rsid w:val="0075393D"/>
    <w:rsid w:val="00753AEE"/>
    <w:rsid w:val="0075603B"/>
    <w:rsid w:val="007565B9"/>
    <w:rsid w:val="00756DBA"/>
    <w:rsid w:val="00756E27"/>
    <w:rsid w:val="0075785D"/>
    <w:rsid w:val="00757A35"/>
    <w:rsid w:val="0076082E"/>
    <w:rsid w:val="00760937"/>
    <w:rsid w:val="00763A09"/>
    <w:rsid w:val="00763B39"/>
    <w:rsid w:val="007643FA"/>
    <w:rsid w:val="007645BC"/>
    <w:rsid w:val="007648A6"/>
    <w:rsid w:val="00764D65"/>
    <w:rsid w:val="007671F5"/>
    <w:rsid w:val="00767DBF"/>
    <w:rsid w:val="00770364"/>
    <w:rsid w:val="0077225D"/>
    <w:rsid w:val="0077238E"/>
    <w:rsid w:val="0077259E"/>
    <w:rsid w:val="00773500"/>
    <w:rsid w:val="007737D0"/>
    <w:rsid w:val="00774790"/>
    <w:rsid w:val="007755EC"/>
    <w:rsid w:val="00775928"/>
    <w:rsid w:val="0077669E"/>
    <w:rsid w:val="00776CD7"/>
    <w:rsid w:val="00783314"/>
    <w:rsid w:val="0078499C"/>
    <w:rsid w:val="00785417"/>
    <w:rsid w:val="007875AF"/>
    <w:rsid w:val="007901F1"/>
    <w:rsid w:val="00791DB1"/>
    <w:rsid w:val="007934EB"/>
    <w:rsid w:val="007937E8"/>
    <w:rsid w:val="00795D3E"/>
    <w:rsid w:val="0079637F"/>
    <w:rsid w:val="00796AB8"/>
    <w:rsid w:val="00797854"/>
    <w:rsid w:val="007A113A"/>
    <w:rsid w:val="007A28DC"/>
    <w:rsid w:val="007A3E2F"/>
    <w:rsid w:val="007A3EF9"/>
    <w:rsid w:val="007A407B"/>
    <w:rsid w:val="007A4559"/>
    <w:rsid w:val="007A4947"/>
    <w:rsid w:val="007A6BC1"/>
    <w:rsid w:val="007B0E09"/>
    <w:rsid w:val="007B2775"/>
    <w:rsid w:val="007B3CCC"/>
    <w:rsid w:val="007B41D7"/>
    <w:rsid w:val="007B42E6"/>
    <w:rsid w:val="007B44A4"/>
    <w:rsid w:val="007B5AB3"/>
    <w:rsid w:val="007B5C80"/>
    <w:rsid w:val="007B652E"/>
    <w:rsid w:val="007B6F0A"/>
    <w:rsid w:val="007C07E7"/>
    <w:rsid w:val="007C14B8"/>
    <w:rsid w:val="007C17AD"/>
    <w:rsid w:val="007C2402"/>
    <w:rsid w:val="007C3949"/>
    <w:rsid w:val="007C4387"/>
    <w:rsid w:val="007C4C74"/>
    <w:rsid w:val="007C591B"/>
    <w:rsid w:val="007C6F6E"/>
    <w:rsid w:val="007C7945"/>
    <w:rsid w:val="007C79B6"/>
    <w:rsid w:val="007D00CF"/>
    <w:rsid w:val="007D1BB1"/>
    <w:rsid w:val="007D1C64"/>
    <w:rsid w:val="007D2091"/>
    <w:rsid w:val="007D2531"/>
    <w:rsid w:val="007D270C"/>
    <w:rsid w:val="007D3AFD"/>
    <w:rsid w:val="007D4107"/>
    <w:rsid w:val="007D4342"/>
    <w:rsid w:val="007D4AA6"/>
    <w:rsid w:val="007D4ADB"/>
    <w:rsid w:val="007D5BD1"/>
    <w:rsid w:val="007D701C"/>
    <w:rsid w:val="007E1334"/>
    <w:rsid w:val="007E1DB4"/>
    <w:rsid w:val="007E2C24"/>
    <w:rsid w:val="007E3795"/>
    <w:rsid w:val="007E4463"/>
    <w:rsid w:val="007E446E"/>
    <w:rsid w:val="007E4A32"/>
    <w:rsid w:val="007E5F58"/>
    <w:rsid w:val="007E68D9"/>
    <w:rsid w:val="007E7736"/>
    <w:rsid w:val="007F1756"/>
    <w:rsid w:val="007F271A"/>
    <w:rsid w:val="007F3406"/>
    <w:rsid w:val="007F3A3B"/>
    <w:rsid w:val="007F3E8C"/>
    <w:rsid w:val="007F4310"/>
    <w:rsid w:val="007F549D"/>
    <w:rsid w:val="007F5734"/>
    <w:rsid w:val="007F711A"/>
    <w:rsid w:val="00800F56"/>
    <w:rsid w:val="008010B9"/>
    <w:rsid w:val="00802A0B"/>
    <w:rsid w:val="0080509D"/>
    <w:rsid w:val="00805A93"/>
    <w:rsid w:val="00806644"/>
    <w:rsid w:val="00807411"/>
    <w:rsid w:val="00807CA2"/>
    <w:rsid w:val="008103BC"/>
    <w:rsid w:val="00812E9A"/>
    <w:rsid w:val="008139A5"/>
    <w:rsid w:val="00815EAA"/>
    <w:rsid w:val="00817F48"/>
    <w:rsid w:val="00821782"/>
    <w:rsid w:val="00823564"/>
    <w:rsid w:val="00823720"/>
    <w:rsid w:val="00823E67"/>
    <w:rsid w:val="0082616E"/>
    <w:rsid w:val="00826E18"/>
    <w:rsid w:val="008275EB"/>
    <w:rsid w:val="00827BD6"/>
    <w:rsid w:val="00827EF6"/>
    <w:rsid w:val="00827F3E"/>
    <w:rsid w:val="008310C9"/>
    <w:rsid w:val="00832037"/>
    <w:rsid w:val="008339F3"/>
    <w:rsid w:val="008351C6"/>
    <w:rsid w:val="008351F8"/>
    <w:rsid w:val="00835726"/>
    <w:rsid w:val="00836873"/>
    <w:rsid w:val="008368C1"/>
    <w:rsid w:val="00840941"/>
    <w:rsid w:val="008414FD"/>
    <w:rsid w:val="00841507"/>
    <w:rsid w:val="008417B8"/>
    <w:rsid w:val="00841D21"/>
    <w:rsid w:val="00843592"/>
    <w:rsid w:val="008438F5"/>
    <w:rsid w:val="00844C03"/>
    <w:rsid w:val="0084622F"/>
    <w:rsid w:val="008470E9"/>
    <w:rsid w:val="008475C1"/>
    <w:rsid w:val="0085015A"/>
    <w:rsid w:val="00851190"/>
    <w:rsid w:val="00852932"/>
    <w:rsid w:val="00854004"/>
    <w:rsid w:val="00854C92"/>
    <w:rsid w:val="008579E9"/>
    <w:rsid w:val="00863758"/>
    <w:rsid w:val="00864FBE"/>
    <w:rsid w:val="008656F7"/>
    <w:rsid w:val="00866288"/>
    <w:rsid w:val="008710DF"/>
    <w:rsid w:val="00873526"/>
    <w:rsid w:val="00873747"/>
    <w:rsid w:val="00873A40"/>
    <w:rsid w:val="008750BA"/>
    <w:rsid w:val="008752E6"/>
    <w:rsid w:val="008775D8"/>
    <w:rsid w:val="00877FD6"/>
    <w:rsid w:val="0088373A"/>
    <w:rsid w:val="0088398F"/>
    <w:rsid w:val="00884847"/>
    <w:rsid w:val="00884E22"/>
    <w:rsid w:val="00885159"/>
    <w:rsid w:val="008852D8"/>
    <w:rsid w:val="008856F7"/>
    <w:rsid w:val="00885838"/>
    <w:rsid w:val="008864AA"/>
    <w:rsid w:val="00886A41"/>
    <w:rsid w:val="00887702"/>
    <w:rsid w:val="008904ED"/>
    <w:rsid w:val="00890679"/>
    <w:rsid w:val="00890BB0"/>
    <w:rsid w:val="00890C29"/>
    <w:rsid w:val="00891D3B"/>
    <w:rsid w:val="00892081"/>
    <w:rsid w:val="0089226E"/>
    <w:rsid w:val="00893356"/>
    <w:rsid w:val="008957EB"/>
    <w:rsid w:val="00895DAE"/>
    <w:rsid w:val="008975B1"/>
    <w:rsid w:val="008A13C6"/>
    <w:rsid w:val="008A1E3B"/>
    <w:rsid w:val="008A26F8"/>
    <w:rsid w:val="008A2BB1"/>
    <w:rsid w:val="008A3838"/>
    <w:rsid w:val="008A3D14"/>
    <w:rsid w:val="008A429E"/>
    <w:rsid w:val="008A4681"/>
    <w:rsid w:val="008A4F8B"/>
    <w:rsid w:val="008A59FF"/>
    <w:rsid w:val="008A5F6B"/>
    <w:rsid w:val="008A727B"/>
    <w:rsid w:val="008B1F08"/>
    <w:rsid w:val="008B2204"/>
    <w:rsid w:val="008B2D67"/>
    <w:rsid w:val="008B36F1"/>
    <w:rsid w:val="008B3A65"/>
    <w:rsid w:val="008B3DAE"/>
    <w:rsid w:val="008B5209"/>
    <w:rsid w:val="008B5B4C"/>
    <w:rsid w:val="008B756C"/>
    <w:rsid w:val="008C2990"/>
    <w:rsid w:val="008C39EA"/>
    <w:rsid w:val="008C447C"/>
    <w:rsid w:val="008C51FE"/>
    <w:rsid w:val="008C522E"/>
    <w:rsid w:val="008C5FC2"/>
    <w:rsid w:val="008C66FD"/>
    <w:rsid w:val="008C7F9C"/>
    <w:rsid w:val="008D0F5D"/>
    <w:rsid w:val="008D2558"/>
    <w:rsid w:val="008D256B"/>
    <w:rsid w:val="008D460F"/>
    <w:rsid w:val="008D484E"/>
    <w:rsid w:val="008D49B6"/>
    <w:rsid w:val="008D6F07"/>
    <w:rsid w:val="008E0A01"/>
    <w:rsid w:val="008E0D81"/>
    <w:rsid w:val="008E3C32"/>
    <w:rsid w:val="008E462F"/>
    <w:rsid w:val="008E480A"/>
    <w:rsid w:val="008E6A5C"/>
    <w:rsid w:val="008E7A51"/>
    <w:rsid w:val="008F10B9"/>
    <w:rsid w:val="008F13A7"/>
    <w:rsid w:val="008F1CB6"/>
    <w:rsid w:val="008F2D5F"/>
    <w:rsid w:val="008F2FDC"/>
    <w:rsid w:val="008F3897"/>
    <w:rsid w:val="008F4604"/>
    <w:rsid w:val="008F54BA"/>
    <w:rsid w:val="008F63F2"/>
    <w:rsid w:val="008F6B2D"/>
    <w:rsid w:val="008F772B"/>
    <w:rsid w:val="008F7FF4"/>
    <w:rsid w:val="0090004F"/>
    <w:rsid w:val="0090129E"/>
    <w:rsid w:val="00901762"/>
    <w:rsid w:val="0090218A"/>
    <w:rsid w:val="0090463A"/>
    <w:rsid w:val="00904AE2"/>
    <w:rsid w:val="00905046"/>
    <w:rsid w:val="0090513C"/>
    <w:rsid w:val="00906AB6"/>
    <w:rsid w:val="00907BE2"/>
    <w:rsid w:val="00910261"/>
    <w:rsid w:val="0091132F"/>
    <w:rsid w:val="009134CB"/>
    <w:rsid w:val="00915674"/>
    <w:rsid w:val="00920CDC"/>
    <w:rsid w:val="00922D37"/>
    <w:rsid w:val="00923EE4"/>
    <w:rsid w:val="009252E4"/>
    <w:rsid w:val="00925775"/>
    <w:rsid w:val="00925AEF"/>
    <w:rsid w:val="009268D0"/>
    <w:rsid w:val="00927359"/>
    <w:rsid w:val="00930D2C"/>
    <w:rsid w:val="009314E9"/>
    <w:rsid w:val="009322D4"/>
    <w:rsid w:val="00932F4F"/>
    <w:rsid w:val="00935805"/>
    <w:rsid w:val="00935AFE"/>
    <w:rsid w:val="00935D3A"/>
    <w:rsid w:val="00936BDF"/>
    <w:rsid w:val="00937281"/>
    <w:rsid w:val="00937B63"/>
    <w:rsid w:val="0094018A"/>
    <w:rsid w:val="00940712"/>
    <w:rsid w:val="00941531"/>
    <w:rsid w:val="0094337E"/>
    <w:rsid w:val="009436DB"/>
    <w:rsid w:val="00943D3E"/>
    <w:rsid w:val="00943FEE"/>
    <w:rsid w:val="0094421D"/>
    <w:rsid w:val="009443AC"/>
    <w:rsid w:val="009457FD"/>
    <w:rsid w:val="009467EF"/>
    <w:rsid w:val="0094738B"/>
    <w:rsid w:val="009500CA"/>
    <w:rsid w:val="0095270F"/>
    <w:rsid w:val="00953021"/>
    <w:rsid w:val="0095309A"/>
    <w:rsid w:val="00953A9F"/>
    <w:rsid w:val="0096173E"/>
    <w:rsid w:val="00962BAA"/>
    <w:rsid w:val="00963075"/>
    <w:rsid w:val="0096518B"/>
    <w:rsid w:val="00967764"/>
    <w:rsid w:val="00967AE9"/>
    <w:rsid w:val="00967BE2"/>
    <w:rsid w:val="00967F64"/>
    <w:rsid w:val="00971E73"/>
    <w:rsid w:val="00972E95"/>
    <w:rsid w:val="0097645F"/>
    <w:rsid w:val="00976690"/>
    <w:rsid w:val="0098073F"/>
    <w:rsid w:val="009828DE"/>
    <w:rsid w:val="00982E43"/>
    <w:rsid w:val="00984139"/>
    <w:rsid w:val="00984B9D"/>
    <w:rsid w:val="00984F53"/>
    <w:rsid w:val="00985D0F"/>
    <w:rsid w:val="00985FE0"/>
    <w:rsid w:val="009861FA"/>
    <w:rsid w:val="009877AC"/>
    <w:rsid w:val="0099171B"/>
    <w:rsid w:val="009952D5"/>
    <w:rsid w:val="009956EA"/>
    <w:rsid w:val="009967A2"/>
    <w:rsid w:val="00997904"/>
    <w:rsid w:val="009A0AE6"/>
    <w:rsid w:val="009A1A26"/>
    <w:rsid w:val="009A1AD1"/>
    <w:rsid w:val="009A2714"/>
    <w:rsid w:val="009A2EED"/>
    <w:rsid w:val="009A335F"/>
    <w:rsid w:val="009A464F"/>
    <w:rsid w:val="009A47BA"/>
    <w:rsid w:val="009A4C31"/>
    <w:rsid w:val="009A6B6E"/>
    <w:rsid w:val="009A751C"/>
    <w:rsid w:val="009B12B9"/>
    <w:rsid w:val="009B1AAD"/>
    <w:rsid w:val="009B1E68"/>
    <w:rsid w:val="009B2901"/>
    <w:rsid w:val="009B388B"/>
    <w:rsid w:val="009B4175"/>
    <w:rsid w:val="009B5A3A"/>
    <w:rsid w:val="009B6815"/>
    <w:rsid w:val="009B7D89"/>
    <w:rsid w:val="009C005D"/>
    <w:rsid w:val="009C125C"/>
    <w:rsid w:val="009C3034"/>
    <w:rsid w:val="009C31A1"/>
    <w:rsid w:val="009C6812"/>
    <w:rsid w:val="009C6EB0"/>
    <w:rsid w:val="009D0099"/>
    <w:rsid w:val="009D04F1"/>
    <w:rsid w:val="009D0600"/>
    <w:rsid w:val="009D16E2"/>
    <w:rsid w:val="009D237D"/>
    <w:rsid w:val="009D2DD3"/>
    <w:rsid w:val="009D37BF"/>
    <w:rsid w:val="009D3C0F"/>
    <w:rsid w:val="009D3E25"/>
    <w:rsid w:val="009D45EA"/>
    <w:rsid w:val="009D4FAC"/>
    <w:rsid w:val="009D55C6"/>
    <w:rsid w:val="009D5789"/>
    <w:rsid w:val="009D5791"/>
    <w:rsid w:val="009D57AE"/>
    <w:rsid w:val="009D5CE0"/>
    <w:rsid w:val="009D5E5F"/>
    <w:rsid w:val="009D665A"/>
    <w:rsid w:val="009E02D9"/>
    <w:rsid w:val="009E0827"/>
    <w:rsid w:val="009E3B66"/>
    <w:rsid w:val="009E4782"/>
    <w:rsid w:val="009E4B05"/>
    <w:rsid w:val="009E6015"/>
    <w:rsid w:val="009F0353"/>
    <w:rsid w:val="009F05A1"/>
    <w:rsid w:val="009F3D43"/>
    <w:rsid w:val="009F4818"/>
    <w:rsid w:val="00A0137F"/>
    <w:rsid w:val="00A01BDE"/>
    <w:rsid w:val="00A021F0"/>
    <w:rsid w:val="00A02569"/>
    <w:rsid w:val="00A0366F"/>
    <w:rsid w:val="00A04268"/>
    <w:rsid w:val="00A05147"/>
    <w:rsid w:val="00A05649"/>
    <w:rsid w:val="00A059B4"/>
    <w:rsid w:val="00A0757E"/>
    <w:rsid w:val="00A07855"/>
    <w:rsid w:val="00A11168"/>
    <w:rsid w:val="00A129CC"/>
    <w:rsid w:val="00A14C1E"/>
    <w:rsid w:val="00A15CD5"/>
    <w:rsid w:val="00A170BF"/>
    <w:rsid w:val="00A172EE"/>
    <w:rsid w:val="00A20B66"/>
    <w:rsid w:val="00A22A0C"/>
    <w:rsid w:val="00A23416"/>
    <w:rsid w:val="00A23C00"/>
    <w:rsid w:val="00A26693"/>
    <w:rsid w:val="00A31456"/>
    <w:rsid w:val="00A31DEC"/>
    <w:rsid w:val="00A32B62"/>
    <w:rsid w:val="00A33315"/>
    <w:rsid w:val="00A33345"/>
    <w:rsid w:val="00A33589"/>
    <w:rsid w:val="00A336EC"/>
    <w:rsid w:val="00A343A0"/>
    <w:rsid w:val="00A3485A"/>
    <w:rsid w:val="00A354D7"/>
    <w:rsid w:val="00A35790"/>
    <w:rsid w:val="00A37019"/>
    <w:rsid w:val="00A375E3"/>
    <w:rsid w:val="00A378A1"/>
    <w:rsid w:val="00A40E70"/>
    <w:rsid w:val="00A41C2B"/>
    <w:rsid w:val="00A42698"/>
    <w:rsid w:val="00A434D9"/>
    <w:rsid w:val="00A445D6"/>
    <w:rsid w:val="00A44602"/>
    <w:rsid w:val="00A45039"/>
    <w:rsid w:val="00A4503E"/>
    <w:rsid w:val="00A4588E"/>
    <w:rsid w:val="00A46702"/>
    <w:rsid w:val="00A46949"/>
    <w:rsid w:val="00A46A7F"/>
    <w:rsid w:val="00A47B23"/>
    <w:rsid w:val="00A47DB6"/>
    <w:rsid w:val="00A50891"/>
    <w:rsid w:val="00A512F1"/>
    <w:rsid w:val="00A52A2B"/>
    <w:rsid w:val="00A531CB"/>
    <w:rsid w:val="00A533B6"/>
    <w:rsid w:val="00A53480"/>
    <w:rsid w:val="00A53B69"/>
    <w:rsid w:val="00A53EF5"/>
    <w:rsid w:val="00A5433F"/>
    <w:rsid w:val="00A5524F"/>
    <w:rsid w:val="00A576CB"/>
    <w:rsid w:val="00A57A90"/>
    <w:rsid w:val="00A6062E"/>
    <w:rsid w:val="00A61F19"/>
    <w:rsid w:val="00A62923"/>
    <w:rsid w:val="00A63B33"/>
    <w:rsid w:val="00A64F92"/>
    <w:rsid w:val="00A652AA"/>
    <w:rsid w:val="00A655C5"/>
    <w:rsid w:val="00A65A48"/>
    <w:rsid w:val="00A6606A"/>
    <w:rsid w:val="00A664B7"/>
    <w:rsid w:val="00A67478"/>
    <w:rsid w:val="00A71C7D"/>
    <w:rsid w:val="00A71D8B"/>
    <w:rsid w:val="00A723BB"/>
    <w:rsid w:val="00A75746"/>
    <w:rsid w:val="00A75BE8"/>
    <w:rsid w:val="00A76E38"/>
    <w:rsid w:val="00A76E9E"/>
    <w:rsid w:val="00A80C9D"/>
    <w:rsid w:val="00A817EC"/>
    <w:rsid w:val="00A81A70"/>
    <w:rsid w:val="00A83654"/>
    <w:rsid w:val="00A8463A"/>
    <w:rsid w:val="00A85B11"/>
    <w:rsid w:val="00A85DCB"/>
    <w:rsid w:val="00A86F75"/>
    <w:rsid w:val="00A872C0"/>
    <w:rsid w:val="00A905AA"/>
    <w:rsid w:val="00A90D06"/>
    <w:rsid w:val="00A91056"/>
    <w:rsid w:val="00A9267D"/>
    <w:rsid w:val="00A92FD6"/>
    <w:rsid w:val="00A9351E"/>
    <w:rsid w:val="00A939F0"/>
    <w:rsid w:val="00A94497"/>
    <w:rsid w:val="00A95671"/>
    <w:rsid w:val="00A95BA8"/>
    <w:rsid w:val="00A9775A"/>
    <w:rsid w:val="00AA09DB"/>
    <w:rsid w:val="00AA1285"/>
    <w:rsid w:val="00AA29B0"/>
    <w:rsid w:val="00AA2C54"/>
    <w:rsid w:val="00AA383C"/>
    <w:rsid w:val="00AA776B"/>
    <w:rsid w:val="00AB1B07"/>
    <w:rsid w:val="00AB246B"/>
    <w:rsid w:val="00AB2AB6"/>
    <w:rsid w:val="00AB338D"/>
    <w:rsid w:val="00AB392C"/>
    <w:rsid w:val="00AB5013"/>
    <w:rsid w:val="00AB592C"/>
    <w:rsid w:val="00AB5D9D"/>
    <w:rsid w:val="00AB5E15"/>
    <w:rsid w:val="00AB5FA4"/>
    <w:rsid w:val="00AB71C1"/>
    <w:rsid w:val="00AC0940"/>
    <w:rsid w:val="00AC0B22"/>
    <w:rsid w:val="00AC0F19"/>
    <w:rsid w:val="00AC2E93"/>
    <w:rsid w:val="00AC49CF"/>
    <w:rsid w:val="00AC5FD3"/>
    <w:rsid w:val="00AC6545"/>
    <w:rsid w:val="00AD14EB"/>
    <w:rsid w:val="00AD2B9A"/>
    <w:rsid w:val="00AD41C8"/>
    <w:rsid w:val="00AD58DA"/>
    <w:rsid w:val="00AD5C1E"/>
    <w:rsid w:val="00AD6E54"/>
    <w:rsid w:val="00AD7A98"/>
    <w:rsid w:val="00AD7B86"/>
    <w:rsid w:val="00AE0737"/>
    <w:rsid w:val="00AE0C5C"/>
    <w:rsid w:val="00AE10C7"/>
    <w:rsid w:val="00AE16F2"/>
    <w:rsid w:val="00AE326E"/>
    <w:rsid w:val="00AE33D1"/>
    <w:rsid w:val="00AE490C"/>
    <w:rsid w:val="00AE6931"/>
    <w:rsid w:val="00AE7BF7"/>
    <w:rsid w:val="00AF0FDF"/>
    <w:rsid w:val="00AF266F"/>
    <w:rsid w:val="00AF3749"/>
    <w:rsid w:val="00AF4580"/>
    <w:rsid w:val="00AF4949"/>
    <w:rsid w:val="00AF59FE"/>
    <w:rsid w:val="00AF5B52"/>
    <w:rsid w:val="00AF76A0"/>
    <w:rsid w:val="00B00551"/>
    <w:rsid w:val="00B008FB"/>
    <w:rsid w:val="00B00B7B"/>
    <w:rsid w:val="00B023EB"/>
    <w:rsid w:val="00B03E41"/>
    <w:rsid w:val="00B04F3C"/>
    <w:rsid w:val="00B04F74"/>
    <w:rsid w:val="00B05EE8"/>
    <w:rsid w:val="00B0652C"/>
    <w:rsid w:val="00B10D9B"/>
    <w:rsid w:val="00B114C1"/>
    <w:rsid w:val="00B131EB"/>
    <w:rsid w:val="00B14307"/>
    <w:rsid w:val="00B14C6A"/>
    <w:rsid w:val="00B17A0A"/>
    <w:rsid w:val="00B17C5C"/>
    <w:rsid w:val="00B200CB"/>
    <w:rsid w:val="00B20244"/>
    <w:rsid w:val="00B2048F"/>
    <w:rsid w:val="00B219AC"/>
    <w:rsid w:val="00B21D11"/>
    <w:rsid w:val="00B21E8C"/>
    <w:rsid w:val="00B247FE"/>
    <w:rsid w:val="00B25606"/>
    <w:rsid w:val="00B25880"/>
    <w:rsid w:val="00B25C93"/>
    <w:rsid w:val="00B263AE"/>
    <w:rsid w:val="00B27A52"/>
    <w:rsid w:val="00B30C2E"/>
    <w:rsid w:val="00B316F2"/>
    <w:rsid w:val="00B3254B"/>
    <w:rsid w:val="00B32764"/>
    <w:rsid w:val="00B32C2B"/>
    <w:rsid w:val="00B37ABF"/>
    <w:rsid w:val="00B4031E"/>
    <w:rsid w:val="00B40A9B"/>
    <w:rsid w:val="00B42967"/>
    <w:rsid w:val="00B43EAF"/>
    <w:rsid w:val="00B43FE7"/>
    <w:rsid w:val="00B44830"/>
    <w:rsid w:val="00B44916"/>
    <w:rsid w:val="00B44AA7"/>
    <w:rsid w:val="00B44B6E"/>
    <w:rsid w:val="00B45F87"/>
    <w:rsid w:val="00B45FBE"/>
    <w:rsid w:val="00B46CB5"/>
    <w:rsid w:val="00B4705F"/>
    <w:rsid w:val="00B51674"/>
    <w:rsid w:val="00B5259D"/>
    <w:rsid w:val="00B5557E"/>
    <w:rsid w:val="00B55CBE"/>
    <w:rsid w:val="00B5684C"/>
    <w:rsid w:val="00B578D6"/>
    <w:rsid w:val="00B60611"/>
    <w:rsid w:val="00B610BC"/>
    <w:rsid w:val="00B61BE2"/>
    <w:rsid w:val="00B61E22"/>
    <w:rsid w:val="00B61F02"/>
    <w:rsid w:val="00B64924"/>
    <w:rsid w:val="00B65866"/>
    <w:rsid w:val="00B671F5"/>
    <w:rsid w:val="00B673A9"/>
    <w:rsid w:val="00B703C1"/>
    <w:rsid w:val="00B706E2"/>
    <w:rsid w:val="00B73791"/>
    <w:rsid w:val="00B74453"/>
    <w:rsid w:val="00B7452C"/>
    <w:rsid w:val="00B759C3"/>
    <w:rsid w:val="00B775F3"/>
    <w:rsid w:val="00B80C97"/>
    <w:rsid w:val="00B814E8"/>
    <w:rsid w:val="00B819B3"/>
    <w:rsid w:val="00B81BBA"/>
    <w:rsid w:val="00B822EF"/>
    <w:rsid w:val="00B83C2F"/>
    <w:rsid w:val="00B83D37"/>
    <w:rsid w:val="00B8430E"/>
    <w:rsid w:val="00B85FD5"/>
    <w:rsid w:val="00B86497"/>
    <w:rsid w:val="00B87654"/>
    <w:rsid w:val="00B904A5"/>
    <w:rsid w:val="00B90DF9"/>
    <w:rsid w:val="00B91573"/>
    <w:rsid w:val="00B91850"/>
    <w:rsid w:val="00B91E2F"/>
    <w:rsid w:val="00B9495C"/>
    <w:rsid w:val="00B94BC0"/>
    <w:rsid w:val="00B95BF9"/>
    <w:rsid w:val="00B961DB"/>
    <w:rsid w:val="00B963D9"/>
    <w:rsid w:val="00B968AE"/>
    <w:rsid w:val="00B96FEF"/>
    <w:rsid w:val="00B970E0"/>
    <w:rsid w:val="00B975BD"/>
    <w:rsid w:val="00BA0103"/>
    <w:rsid w:val="00BA0F0F"/>
    <w:rsid w:val="00BA2781"/>
    <w:rsid w:val="00BA29E5"/>
    <w:rsid w:val="00BA313E"/>
    <w:rsid w:val="00BA3AD1"/>
    <w:rsid w:val="00BA4879"/>
    <w:rsid w:val="00BA4B3D"/>
    <w:rsid w:val="00BA5689"/>
    <w:rsid w:val="00BA696E"/>
    <w:rsid w:val="00BA6F52"/>
    <w:rsid w:val="00BB0D78"/>
    <w:rsid w:val="00BB0E78"/>
    <w:rsid w:val="00BB2B69"/>
    <w:rsid w:val="00BB33ED"/>
    <w:rsid w:val="00BB42B5"/>
    <w:rsid w:val="00BB43A6"/>
    <w:rsid w:val="00BB44A1"/>
    <w:rsid w:val="00BB59C1"/>
    <w:rsid w:val="00BB5A8C"/>
    <w:rsid w:val="00BB5AC7"/>
    <w:rsid w:val="00BB7258"/>
    <w:rsid w:val="00BB7A2E"/>
    <w:rsid w:val="00BC081A"/>
    <w:rsid w:val="00BC0F23"/>
    <w:rsid w:val="00BC1022"/>
    <w:rsid w:val="00BC1A43"/>
    <w:rsid w:val="00BC279F"/>
    <w:rsid w:val="00BC48BD"/>
    <w:rsid w:val="00BC4F3D"/>
    <w:rsid w:val="00BC560A"/>
    <w:rsid w:val="00BC6E43"/>
    <w:rsid w:val="00BD2247"/>
    <w:rsid w:val="00BD24E1"/>
    <w:rsid w:val="00BD26A4"/>
    <w:rsid w:val="00BD303D"/>
    <w:rsid w:val="00BD3F8C"/>
    <w:rsid w:val="00BD598A"/>
    <w:rsid w:val="00BD66F0"/>
    <w:rsid w:val="00BD670A"/>
    <w:rsid w:val="00BD6C0C"/>
    <w:rsid w:val="00BD7831"/>
    <w:rsid w:val="00BE0207"/>
    <w:rsid w:val="00BE0976"/>
    <w:rsid w:val="00BE0DC1"/>
    <w:rsid w:val="00BE198F"/>
    <w:rsid w:val="00BE2317"/>
    <w:rsid w:val="00BE412F"/>
    <w:rsid w:val="00BE455E"/>
    <w:rsid w:val="00BE4A06"/>
    <w:rsid w:val="00BE5012"/>
    <w:rsid w:val="00BE556B"/>
    <w:rsid w:val="00BE57F2"/>
    <w:rsid w:val="00BE5A9D"/>
    <w:rsid w:val="00BE5D9E"/>
    <w:rsid w:val="00BE645A"/>
    <w:rsid w:val="00BE6940"/>
    <w:rsid w:val="00BE6C66"/>
    <w:rsid w:val="00BE71A2"/>
    <w:rsid w:val="00BE74DE"/>
    <w:rsid w:val="00BE7B96"/>
    <w:rsid w:val="00BF05E0"/>
    <w:rsid w:val="00BF0CE3"/>
    <w:rsid w:val="00BF0FB9"/>
    <w:rsid w:val="00BF1A18"/>
    <w:rsid w:val="00BF2A7A"/>
    <w:rsid w:val="00BF3918"/>
    <w:rsid w:val="00BF44EE"/>
    <w:rsid w:val="00BF4510"/>
    <w:rsid w:val="00BF6294"/>
    <w:rsid w:val="00BF6C19"/>
    <w:rsid w:val="00C01BDF"/>
    <w:rsid w:val="00C02C15"/>
    <w:rsid w:val="00C04CCF"/>
    <w:rsid w:val="00C04F68"/>
    <w:rsid w:val="00C056C9"/>
    <w:rsid w:val="00C0643D"/>
    <w:rsid w:val="00C064EE"/>
    <w:rsid w:val="00C076AD"/>
    <w:rsid w:val="00C10065"/>
    <w:rsid w:val="00C10373"/>
    <w:rsid w:val="00C1049A"/>
    <w:rsid w:val="00C146DF"/>
    <w:rsid w:val="00C15280"/>
    <w:rsid w:val="00C15490"/>
    <w:rsid w:val="00C163BA"/>
    <w:rsid w:val="00C1663B"/>
    <w:rsid w:val="00C1764C"/>
    <w:rsid w:val="00C1783C"/>
    <w:rsid w:val="00C204F4"/>
    <w:rsid w:val="00C206B4"/>
    <w:rsid w:val="00C20E23"/>
    <w:rsid w:val="00C214C4"/>
    <w:rsid w:val="00C2281F"/>
    <w:rsid w:val="00C22B4D"/>
    <w:rsid w:val="00C22F01"/>
    <w:rsid w:val="00C22F9D"/>
    <w:rsid w:val="00C244BD"/>
    <w:rsid w:val="00C24636"/>
    <w:rsid w:val="00C2467B"/>
    <w:rsid w:val="00C25CFD"/>
    <w:rsid w:val="00C26A3C"/>
    <w:rsid w:val="00C3064A"/>
    <w:rsid w:val="00C31718"/>
    <w:rsid w:val="00C31B91"/>
    <w:rsid w:val="00C32AF1"/>
    <w:rsid w:val="00C336C1"/>
    <w:rsid w:val="00C33CB1"/>
    <w:rsid w:val="00C34073"/>
    <w:rsid w:val="00C3484B"/>
    <w:rsid w:val="00C3560C"/>
    <w:rsid w:val="00C3742C"/>
    <w:rsid w:val="00C377B7"/>
    <w:rsid w:val="00C37D4A"/>
    <w:rsid w:val="00C4016A"/>
    <w:rsid w:val="00C408C8"/>
    <w:rsid w:val="00C411CA"/>
    <w:rsid w:val="00C44C8A"/>
    <w:rsid w:val="00C44D57"/>
    <w:rsid w:val="00C45613"/>
    <w:rsid w:val="00C457FF"/>
    <w:rsid w:val="00C4798B"/>
    <w:rsid w:val="00C50A41"/>
    <w:rsid w:val="00C51525"/>
    <w:rsid w:val="00C52941"/>
    <w:rsid w:val="00C52F5B"/>
    <w:rsid w:val="00C53313"/>
    <w:rsid w:val="00C5430F"/>
    <w:rsid w:val="00C54926"/>
    <w:rsid w:val="00C55E75"/>
    <w:rsid w:val="00C60288"/>
    <w:rsid w:val="00C60FF0"/>
    <w:rsid w:val="00C6197E"/>
    <w:rsid w:val="00C62BD3"/>
    <w:rsid w:val="00C6426F"/>
    <w:rsid w:val="00C64773"/>
    <w:rsid w:val="00C64DEC"/>
    <w:rsid w:val="00C65BE0"/>
    <w:rsid w:val="00C66829"/>
    <w:rsid w:val="00C66BE3"/>
    <w:rsid w:val="00C6708D"/>
    <w:rsid w:val="00C6737E"/>
    <w:rsid w:val="00C67E35"/>
    <w:rsid w:val="00C7089A"/>
    <w:rsid w:val="00C708DB"/>
    <w:rsid w:val="00C71A63"/>
    <w:rsid w:val="00C71B85"/>
    <w:rsid w:val="00C71DE5"/>
    <w:rsid w:val="00C72468"/>
    <w:rsid w:val="00C72A24"/>
    <w:rsid w:val="00C72F63"/>
    <w:rsid w:val="00C73933"/>
    <w:rsid w:val="00C74DA3"/>
    <w:rsid w:val="00C776AA"/>
    <w:rsid w:val="00C77758"/>
    <w:rsid w:val="00C77D01"/>
    <w:rsid w:val="00C80BF1"/>
    <w:rsid w:val="00C82877"/>
    <w:rsid w:val="00C83AC3"/>
    <w:rsid w:val="00C84F14"/>
    <w:rsid w:val="00C853BA"/>
    <w:rsid w:val="00C902FE"/>
    <w:rsid w:val="00C904C8"/>
    <w:rsid w:val="00C90CE7"/>
    <w:rsid w:val="00C93E3E"/>
    <w:rsid w:val="00C9428D"/>
    <w:rsid w:val="00C95543"/>
    <w:rsid w:val="00C96692"/>
    <w:rsid w:val="00C974CD"/>
    <w:rsid w:val="00C97A32"/>
    <w:rsid w:val="00CA099F"/>
    <w:rsid w:val="00CA252C"/>
    <w:rsid w:val="00CA449E"/>
    <w:rsid w:val="00CA67E5"/>
    <w:rsid w:val="00CA67F3"/>
    <w:rsid w:val="00CA6A81"/>
    <w:rsid w:val="00CB0BEA"/>
    <w:rsid w:val="00CB2901"/>
    <w:rsid w:val="00CB2BF2"/>
    <w:rsid w:val="00CB33B9"/>
    <w:rsid w:val="00CB3C1B"/>
    <w:rsid w:val="00CB4BB5"/>
    <w:rsid w:val="00CB64F8"/>
    <w:rsid w:val="00CB6D9B"/>
    <w:rsid w:val="00CB7825"/>
    <w:rsid w:val="00CB7889"/>
    <w:rsid w:val="00CC0814"/>
    <w:rsid w:val="00CC0C58"/>
    <w:rsid w:val="00CC0CF3"/>
    <w:rsid w:val="00CC1057"/>
    <w:rsid w:val="00CC347D"/>
    <w:rsid w:val="00CC3667"/>
    <w:rsid w:val="00CC3C92"/>
    <w:rsid w:val="00CC5E13"/>
    <w:rsid w:val="00CC67C0"/>
    <w:rsid w:val="00CC6EAC"/>
    <w:rsid w:val="00CC7946"/>
    <w:rsid w:val="00CD11F2"/>
    <w:rsid w:val="00CD2F29"/>
    <w:rsid w:val="00CD3B3F"/>
    <w:rsid w:val="00CD408E"/>
    <w:rsid w:val="00CD47BE"/>
    <w:rsid w:val="00CD550C"/>
    <w:rsid w:val="00CD5AD6"/>
    <w:rsid w:val="00CD5D05"/>
    <w:rsid w:val="00CD61D0"/>
    <w:rsid w:val="00CD6FD9"/>
    <w:rsid w:val="00CE0330"/>
    <w:rsid w:val="00CE0ADB"/>
    <w:rsid w:val="00CE1A14"/>
    <w:rsid w:val="00CE62E0"/>
    <w:rsid w:val="00CE6CD3"/>
    <w:rsid w:val="00CE71C7"/>
    <w:rsid w:val="00CF200B"/>
    <w:rsid w:val="00CF279D"/>
    <w:rsid w:val="00CF4365"/>
    <w:rsid w:val="00CF462A"/>
    <w:rsid w:val="00CF4F5C"/>
    <w:rsid w:val="00CF6811"/>
    <w:rsid w:val="00CF6FD9"/>
    <w:rsid w:val="00CF73CD"/>
    <w:rsid w:val="00CF7AD5"/>
    <w:rsid w:val="00D00507"/>
    <w:rsid w:val="00D00D50"/>
    <w:rsid w:val="00D015CF"/>
    <w:rsid w:val="00D02168"/>
    <w:rsid w:val="00D02367"/>
    <w:rsid w:val="00D024F3"/>
    <w:rsid w:val="00D03B78"/>
    <w:rsid w:val="00D056A1"/>
    <w:rsid w:val="00D06079"/>
    <w:rsid w:val="00D07A88"/>
    <w:rsid w:val="00D10433"/>
    <w:rsid w:val="00D10B02"/>
    <w:rsid w:val="00D114C0"/>
    <w:rsid w:val="00D126E7"/>
    <w:rsid w:val="00D128DE"/>
    <w:rsid w:val="00D13D87"/>
    <w:rsid w:val="00D14564"/>
    <w:rsid w:val="00D1485A"/>
    <w:rsid w:val="00D1495B"/>
    <w:rsid w:val="00D14EDA"/>
    <w:rsid w:val="00D1599F"/>
    <w:rsid w:val="00D17D87"/>
    <w:rsid w:val="00D17FEC"/>
    <w:rsid w:val="00D209DC"/>
    <w:rsid w:val="00D232AF"/>
    <w:rsid w:val="00D234A8"/>
    <w:rsid w:val="00D23F8A"/>
    <w:rsid w:val="00D24F2D"/>
    <w:rsid w:val="00D25F76"/>
    <w:rsid w:val="00D26241"/>
    <w:rsid w:val="00D26730"/>
    <w:rsid w:val="00D26CAB"/>
    <w:rsid w:val="00D273F6"/>
    <w:rsid w:val="00D2781B"/>
    <w:rsid w:val="00D3089A"/>
    <w:rsid w:val="00D3136A"/>
    <w:rsid w:val="00D3155C"/>
    <w:rsid w:val="00D3193F"/>
    <w:rsid w:val="00D319F5"/>
    <w:rsid w:val="00D31D63"/>
    <w:rsid w:val="00D333E5"/>
    <w:rsid w:val="00D34672"/>
    <w:rsid w:val="00D3484F"/>
    <w:rsid w:val="00D34D9C"/>
    <w:rsid w:val="00D35B17"/>
    <w:rsid w:val="00D35F39"/>
    <w:rsid w:val="00D36537"/>
    <w:rsid w:val="00D372DD"/>
    <w:rsid w:val="00D375C8"/>
    <w:rsid w:val="00D40A4A"/>
    <w:rsid w:val="00D40C54"/>
    <w:rsid w:val="00D41FAF"/>
    <w:rsid w:val="00D43479"/>
    <w:rsid w:val="00D446D9"/>
    <w:rsid w:val="00D5090C"/>
    <w:rsid w:val="00D51D41"/>
    <w:rsid w:val="00D52FD3"/>
    <w:rsid w:val="00D53067"/>
    <w:rsid w:val="00D561B2"/>
    <w:rsid w:val="00D575B3"/>
    <w:rsid w:val="00D63EBE"/>
    <w:rsid w:val="00D644BD"/>
    <w:rsid w:val="00D64EF7"/>
    <w:rsid w:val="00D650D9"/>
    <w:rsid w:val="00D65E13"/>
    <w:rsid w:val="00D66CB4"/>
    <w:rsid w:val="00D675A1"/>
    <w:rsid w:val="00D67763"/>
    <w:rsid w:val="00D70355"/>
    <w:rsid w:val="00D70C0B"/>
    <w:rsid w:val="00D70DF6"/>
    <w:rsid w:val="00D7126E"/>
    <w:rsid w:val="00D71FA0"/>
    <w:rsid w:val="00D72F62"/>
    <w:rsid w:val="00D75532"/>
    <w:rsid w:val="00D760F9"/>
    <w:rsid w:val="00D765A4"/>
    <w:rsid w:val="00D771A7"/>
    <w:rsid w:val="00D80884"/>
    <w:rsid w:val="00D82247"/>
    <w:rsid w:val="00D83729"/>
    <w:rsid w:val="00D83F6C"/>
    <w:rsid w:val="00D84330"/>
    <w:rsid w:val="00D84423"/>
    <w:rsid w:val="00D8560D"/>
    <w:rsid w:val="00D8616D"/>
    <w:rsid w:val="00D8655A"/>
    <w:rsid w:val="00D869D9"/>
    <w:rsid w:val="00D90B08"/>
    <w:rsid w:val="00D91797"/>
    <w:rsid w:val="00D91973"/>
    <w:rsid w:val="00D91B9A"/>
    <w:rsid w:val="00D91E8C"/>
    <w:rsid w:val="00D92272"/>
    <w:rsid w:val="00D9266D"/>
    <w:rsid w:val="00D9404A"/>
    <w:rsid w:val="00D94E65"/>
    <w:rsid w:val="00D952B5"/>
    <w:rsid w:val="00D957F7"/>
    <w:rsid w:val="00D9582D"/>
    <w:rsid w:val="00D959C5"/>
    <w:rsid w:val="00D95BCC"/>
    <w:rsid w:val="00D95F03"/>
    <w:rsid w:val="00D96381"/>
    <w:rsid w:val="00D96706"/>
    <w:rsid w:val="00D97FA0"/>
    <w:rsid w:val="00DA01B5"/>
    <w:rsid w:val="00DA072A"/>
    <w:rsid w:val="00DA106A"/>
    <w:rsid w:val="00DA1873"/>
    <w:rsid w:val="00DA25E3"/>
    <w:rsid w:val="00DA2899"/>
    <w:rsid w:val="00DA4730"/>
    <w:rsid w:val="00DA4F03"/>
    <w:rsid w:val="00DA55FB"/>
    <w:rsid w:val="00DA59C3"/>
    <w:rsid w:val="00DB072C"/>
    <w:rsid w:val="00DB11C2"/>
    <w:rsid w:val="00DB2C88"/>
    <w:rsid w:val="00DB35CA"/>
    <w:rsid w:val="00DB370E"/>
    <w:rsid w:val="00DB56BF"/>
    <w:rsid w:val="00DB56E9"/>
    <w:rsid w:val="00DB63F3"/>
    <w:rsid w:val="00DB6691"/>
    <w:rsid w:val="00DB6A17"/>
    <w:rsid w:val="00DB6C13"/>
    <w:rsid w:val="00DC4CB4"/>
    <w:rsid w:val="00DC65C4"/>
    <w:rsid w:val="00DD06F3"/>
    <w:rsid w:val="00DD0B13"/>
    <w:rsid w:val="00DD0BB2"/>
    <w:rsid w:val="00DD0C1D"/>
    <w:rsid w:val="00DD10A9"/>
    <w:rsid w:val="00DD1509"/>
    <w:rsid w:val="00DD1644"/>
    <w:rsid w:val="00DD2C61"/>
    <w:rsid w:val="00DD2D7F"/>
    <w:rsid w:val="00DD31AE"/>
    <w:rsid w:val="00DD425B"/>
    <w:rsid w:val="00DD6BE2"/>
    <w:rsid w:val="00DD7632"/>
    <w:rsid w:val="00DE0A55"/>
    <w:rsid w:val="00DE4476"/>
    <w:rsid w:val="00DE4677"/>
    <w:rsid w:val="00DE4E1F"/>
    <w:rsid w:val="00DE5E2E"/>
    <w:rsid w:val="00DE6975"/>
    <w:rsid w:val="00DE6A6D"/>
    <w:rsid w:val="00DE70E7"/>
    <w:rsid w:val="00DF0057"/>
    <w:rsid w:val="00DF0F86"/>
    <w:rsid w:val="00DF294B"/>
    <w:rsid w:val="00DF2BD2"/>
    <w:rsid w:val="00DF46E2"/>
    <w:rsid w:val="00DF515B"/>
    <w:rsid w:val="00DF54F5"/>
    <w:rsid w:val="00DF6590"/>
    <w:rsid w:val="00E00023"/>
    <w:rsid w:val="00E005D3"/>
    <w:rsid w:val="00E014C8"/>
    <w:rsid w:val="00E0214C"/>
    <w:rsid w:val="00E04130"/>
    <w:rsid w:val="00E05257"/>
    <w:rsid w:val="00E07CA9"/>
    <w:rsid w:val="00E11116"/>
    <w:rsid w:val="00E13ABE"/>
    <w:rsid w:val="00E13D8B"/>
    <w:rsid w:val="00E14444"/>
    <w:rsid w:val="00E15313"/>
    <w:rsid w:val="00E15820"/>
    <w:rsid w:val="00E16D8E"/>
    <w:rsid w:val="00E16E9B"/>
    <w:rsid w:val="00E17041"/>
    <w:rsid w:val="00E17B38"/>
    <w:rsid w:val="00E211BB"/>
    <w:rsid w:val="00E21D6D"/>
    <w:rsid w:val="00E22A7F"/>
    <w:rsid w:val="00E22B6C"/>
    <w:rsid w:val="00E26553"/>
    <w:rsid w:val="00E27AEF"/>
    <w:rsid w:val="00E320D2"/>
    <w:rsid w:val="00E329EF"/>
    <w:rsid w:val="00E33067"/>
    <w:rsid w:val="00E334AA"/>
    <w:rsid w:val="00E33950"/>
    <w:rsid w:val="00E3474E"/>
    <w:rsid w:val="00E34B4A"/>
    <w:rsid w:val="00E34E00"/>
    <w:rsid w:val="00E37589"/>
    <w:rsid w:val="00E40A71"/>
    <w:rsid w:val="00E42E82"/>
    <w:rsid w:val="00E446B9"/>
    <w:rsid w:val="00E459FD"/>
    <w:rsid w:val="00E46C47"/>
    <w:rsid w:val="00E46EDC"/>
    <w:rsid w:val="00E47117"/>
    <w:rsid w:val="00E51FB8"/>
    <w:rsid w:val="00E536E3"/>
    <w:rsid w:val="00E54E49"/>
    <w:rsid w:val="00E566C7"/>
    <w:rsid w:val="00E57B26"/>
    <w:rsid w:val="00E60F49"/>
    <w:rsid w:val="00E61051"/>
    <w:rsid w:val="00E61E72"/>
    <w:rsid w:val="00E63CDF"/>
    <w:rsid w:val="00E64A4A"/>
    <w:rsid w:val="00E655FB"/>
    <w:rsid w:val="00E668A8"/>
    <w:rsid w:val="00E66E14"/>
    <w:rsid w:val="00E67801"/>
    <w:rsid w:val="00E67A7F"/>
    <w:rsid w:val="00E73316"/>
    <w:rsid w:val="00E73694"/>
    <w:rsid w:val="00E7382B"/>
    <w:rsid w:val="00E73B75"/>
    <w:rsid w:val="00E773C2"/>
    <w:rsid w:val="00E8156A"/>
    <w:rsid w:val="00E82D08"/>
    <w:rsid w:val="00E83B14"/>
    <w:rsid w:val="00E84A60"/>
    <w:rsid w:val="00E857BC"/>
    <w:rsid w:val="00E85DDD"/>
    <w:rsid w:val="00E9017A"/>
    <w:rsid w:val="00E90DA7"/>
    <w:rsid w:val="00E913B3"/>
    <w:rsid w:val="00E91CAF"/>
    <w:rsid w:val="00E921CD"/>
    <w:rsid w:val="00E92538"/>
    <w:rsid w:val="00E925FC"/>
    <w:rsid w:val="00E92A35"/>
    <w:rsid w:val="00E93097"/>
    <w:rsid w:val="00E93BCE"/>
    <w:rsid w:val="00E94800"/>
    <w:rsid w:val="00E977CF"/>
    <w:rsid w:val="00EA1048"/>
    <w:rsid w:val="00EA245C"/>
    <w:rsid w:val="00EA2E1C"/>
    <w:rsid w:val="00EA5C9A"/>
    <w:rsid w:val="00EB0E4A"/>
    <w:rsid w:val="00EB139E"/>
    <w:rsid w:val="00EB31B1"/>
    <w:rsid w:val="00EB4250"/>
    <w:rsid w:val="00EB5710"/>
    <w:rsid w:val="00EC0190"/>
    <w:rsid w:val="00EC0E56"/>
    <w:rsid w:val="00EC2CF1"/>
    <w:rsid w:val="00EC2F0A"/>
    <w:rsid w:val="00EC3AEF"/>
    <w:rsid w:val="00EC3F70"/>
    <w:rsid w:val="00EC514A"/>
    <w:rsid w:val="00EC5569"/>
    <w:rsid w:val="00EC64EC"/>
    <w:rsid w:val="00EC6812"/>
    <w:rsid w:val="00ED057E"/>
    <w:rsid w:val="00ED1311"/>
    <w:rsid w:val="00ED1CC8"/>
    <w:rsid w:val="00ED1E17"/>
    <w:rsid w:val="00ED39F4"/>
    <w:rsid w:val="00ED3AF2"/>
    <w:rsid w:val="00ED3C94"/>
    <w:rsid w:val="00ED57E5"/>
    <w:rsid w:val="00ED6A90"/>
    <w:rsid w:val="00EE0070"/>
    <w:rsid w:val="00EE09FA"/>
    <w:rsid w:val="00EE17D7"/>
    <w:rsid w:val="00EE3624"/>
    <w:rsid w:val="00EE39E2"/>
    <w:rsid w:val="00EE43DA"/>
    <w:rsid w:val="00EE6E48"/>
    <w:rsid w:val="00EE7D25"/>
    <w:rsid w:val="00EF1830"/>
    <w:rsid w:val="00EF2E65"/>
    <w:rsid w:val="00EF4F8F"/>
    <w:rsid w:val="00EF5FEA"/>
    <w:rsid w:val="00EF702A"/>
    <w:rsid w:val="00EF778E"/>
    <w:rsid w:val="00EF7E3C"/>
    <w:rsid w:val="00F00E69"/>
    <w:rsid w:val="00F01F61"/>
    <w:rsid w:val="00F03F40"/>
    <w:rsid w:val="00F05FDC"/>
    <w:rsid w:val="00F06058"/>
    <w:rsid w:val="00F06C0A"/>
    <w:rsid w:val="00F1013E"/>
    <w:rsid w:val="00F10547"/>
    <w:rsid w:val="00F1060C"/>
    <w:rsid w:val="00F107F9"/>
    <w:rsid w:val="00F10961"/>
    <w:rsid w:val="00F11FEA"/>
    <w:rsid w:val="00F12B12"/>
    <w:rsid w:val="00F13A85"/>
    <w:rsid w:val="00F1434C"/>
    <w:rsid w:val="00F15804"/>
    <w:rsid w:val="00F16A69"/>
    <w:rsid w:val="00F16D8A"/>
    <w:rsid w:val="00F17599"/>
    <w:rsid w:val="00F208BC"/>
    <w:rsid w:val="00F20BA9"/>
    <w:rsid w:val="00F222A2"/>
    <w:rsid w:val="00F22F25"/>
    <w:rsid w:val="00F235FC"/>
    <w:rsid w:val="00F243F7"/>
    <w:rsid w:val="00F24697"/>
    <w:rsid w:val="00F24885"/>
    <w:rsid w:val="00F248AB"/>
    <w:rsid w:val="00F24E68"/>
    <w:rsid w:val="00F25136"/>
    <w:rsid w:val="00F30C75"/>
    <w:rsid w:val="00F31654"/>
    <w:rsid w:val="00F31958"/>
    <w:rsid w:val="00F327FD"/>
    <w:rsid w:val="00F352AC"/>
    <w:rsid w:val="00F35DE8"/>
    <w:rsid w:val="00F37BA6"/>
    <w:rsid w:val="00F40213"/>
    <w:rsid w:val="00F41319"/>
    <w:rsid w:val="00F4189C"/>
    <w:rsid w:val="00F4274F"/>
    <w:rsid w:val="00F4320C"/>
    <w:rsid w:val="00F44345"/>
    <w:rsid w:val="00F44442"/>
    <w:rsid w:val="00F446DA"/>
    <w:rsid w:val="00F4582B"/>
    <w:rsid w:val="00F50B28"/>
    <w:rsid w:val="00F51FC1"/>
    <w:rsid w:val="00F5205A"/>
    <w:rsid w:val="00F5434A"/>
    <w:rsid w:val="00F5498D"/>
    <w:rsid w:val="00F566CB"/>
    <w:rsid w:val="00F56C15"/>
    <w:rsid w:val="00F60508"/>
    <w:rsid w:val="00F62A54"/>
    <w:rsid w:val="00F630E0"/>
    <w:rsid w:val="00F64830"/>
    <w:rsid w:val="00F64F08"/>
    <w:rsid w:val="00F65152"/>
    <w:rsid w:val="00F659A3"/>
    <w:rsid w:val="00F66A69"/>
    <w:rsid w:val="00F6720E"/>
    <w:rsid w:val="00F67324"/>
    <w:rsid w:val="00F679A8"/>
    <w:rsid w:val="00F701A7"/>
    <w:rsid w:val="00F7022B"/>
    <w:rsid w:val="00F70AB9"/>
    <w:rsid w:val="00F723F5"/>
    <w:rsid w:val="00F72F95"/>
    <w:rsid w:val="00F74111"/>
    <w:rsid w:val="00F74A7A"/>
    <w:rsid w:val="00F74E98"/>
    <w:rsid w:val="00F759CC"/>
    <w:rsid w:val="00F75DB9"/>
    <w:rsid w:val="00F75DE1"/>
    <w:rsid w:val="00F77A6C"/>
    <w:rsid w:val="00F77D0F"/>
    <w:rsid w:val="00F81F3E"/>
    <w:rsid w:val="00F82B3C"/>
    <w:rsid w:val="00F82FD0"/>
    <w:rsid w:val="00F8314C"/>
    <w:rsid w:val="00F8346F"/>
    <w:rsid w:val="00F83FB2"/>
    <w:rsid w:val="00F840F6"/>
    <w:rsid w:val="00F84768"/>
    <w:rsid w:val="00F85638"/>
    <w:rsid w:val="00F86AF9"/>
    <w:rsid w:val="00F87C37"/>
    <w:rsid w:val="00F90B6B"/>
    <w:rsid w:val="00F90CB2"/>
    <w:rsid w:val="00F90FC7"/>
    <w:rsid w:val="00F9281A"/>
    <w:rsid w:val="00F93A7A"/>
    <w:rsid w:val="00F944B8"/>
    <w:rsid w:val="00F94559"/>
    <w:rsid w:val="00F96869"/>
    <w:rsid w:val="00F969D0"/>
    <w:rsid w:val="00F96CFF"/>
    <w:rsid w:val="00F96D23"/>
    <w:rsid w:val="00F96E6D"/>
    <w:rsid w:val="00FA0DE1"/>
    <w:rsid w:val="00FA1232"/>
    <w:rsid w:val="00FA1364"/>
    <w:rsid w:val="00FA1B17"/>
    <w:rsid w:val="00FA2F60"/>
    <w:rsid w:val="00FA4868"/>
    <w:rsid w:val="00FA4C64"/>
    <w:rsid w:val="00FA6E0F"/>
    <w:rsid w:val="00FA7BEA"/>
    <w:rsid w:val="00FB0563"/>
    <w:rsid w:val="00FB07DB"/>
    <w:rsid w:val="00FB0C1E"/>
    <w:rsid w:val="00FB13D7"/>
    <w:rsid w:val="00FB2E26"/>
    <w:rsid w:val="00FB34AB"/>
    <w:rsid w:val="00FB44A3"/>
    <w:rsid w:val="00FB44F6"/>
    <w:rsid w:val="00FB4D61"/>
    <w:rsid w:val="00FB7551"/>
    <w:rsid w:val="00FB78A1"/>
    <w:rsid w:val="00FC29C6"/>
    <w:rsid w:val="00FC2AA3"/>
    <w:rsid w:val="00FC4BDF"/>
    <w:rsid w:val="00FC4CBB"/>
    <w:rsid w:val="00FC75AA"/>
    <w:rsid w:val="00FD0463"/>
    <w:rsid w:val="00FD1175"/>
    <w:rsid w:val="00FD1731"/>
    <w:rsid w:val="00FD2C7A"/>
    <w:rsid w:val="00FD3306"/>
    <w:rsid w:val="00FD399C"/>
    <w:rsid w:val="00FD5750"/>
    <w:rsid w:val="00FD6741"/>
    <w:rsid w:val="00FD6812"/>
    <w:rsid w:val="00FD7609"/>
    <w:rsid w:val="00FE0F16"/>
    <w:rsid w:val="00FE1315"/>
    <w:rsid w:val="00FE16F0"/>
    <w:rsid w:val="00FE1C25"/>
    <w:rsid w:val="00FE4143"/>
    <w:rsid w:val="00FE4F0B"/>
    <w:rsid w:val="00FE5ACA"/>
    <w:rsid w:val="00FE7415"/>
    <w:rsid w:val="00FE7AB6"/>
    <w:rsid w:val="00FF013F"/>
    <w:rsid w:val="00FF1EE5"/>
    <w:rsid w:val="00FF20B0"/>
    <w:rsid w:val="00FF386F"/>
    <w:rsid w:val="00FF5D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35AA2C"/>
  <w15:chartTrackingRefBased/>
  <w15:docId w15:val="{B54CA5F2-EC51-41CD-B46D-60653D3E5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5013"/>
    <w:pPr>
      <w:widowControl w:val="0"/>
      <w:spacing w:after="0" w:line="480" w:lineRule="auto"/>
      <w:ind w:firstLine="432"/>
    </w:pPr>
    <w:rPr>
      <w:rFonts w:ascii="Arial" w:hAnsi="Arial"/>
      <w:sz w:val="24"/>
    </w:rPr>
  </w:style>
  <w:style w:type="paragraph" w:styleId="Heading1">
    <w:name w:val="heading 1"/>
    <w:basedOn w:val="Normal"/>
    <w:next w:val="Normal"/>
    <w:link w:val="Heading1Char"/>
    <w:uiPriority w:val="9"/>
    <w:qFormat/>
    <w:rsid w:val="00AB5013"/>
    <w:pPr>
      <w:spacing w:before="240" w:after="120"/>
      <w:ind w:firstLine="0"/>
      <w:outlineLvl w:val="0"/>
    </w:pPr>
    <w:rPr>
      <w:rFonts w:eastAsiaTheme="majorEastAsia" w:cstheme="majorBidi"/>
      <w:b/>
      <w:smallCaps/>
      <w:sz w:val="28"/>
      <w:szCs w:val="32"/>
      <w:lang w:eastAsia="zh-CN"/>
    </w:rPr>
  </w:style>
  <w:style w:type="paragraph" w:styleId="Heading2">
    <w:name w:val="heading 2"/>
    <w:basedOn w:val="Normal"/>
    <w:next w:val="Normal"/>
    <w:link w:val="Heading2Char"/>
    <w:uiPriority w:val="9"/>
    <w:unhideWhenUsed/>
    <w:qFormat/>
    <w:rsid w:val="00AB5013"/>
    <w:pPr>
      <w:spacing w:before="120" w:after="120"/>
      <w:ind w:firstLine="144"/>
      <w:outlineLvl w:val="1"/>
    </w:pPr>
    <w:rPr>
      <w:rFonts w:eastAsiaTheme="majorEastAsia" w:cstheme="majorBidi"/>
      <w:b/>
      <w:szCs w:val="32"/>
    </w:rPr>
  </w:style>
  <w:style w:type="paragraph" w:styleId="Heading3">
    <w:name w:val="heading 3"/>
    <w:basedOn w:val="Normal"/>
    <w:next w:val="Normal"/>
    <w:link w:val="Heading3Char"/>
    <w:uiPriority w:val="9"/>
    <w:unhideWhenUsed/>
    <w:qFormat/>
    <w:rsid w:val="00B43EAF"/>
    <w:pPr>
      <w:spacing w:before="120" w:after="120"/>
      <w:outlineLvl w:val="2"/>
    </w:pPr>
    <w:rPr>
      <w:rFonts w:eastAsiaTheme="majorEastAsia" w:cstheme="majorBidi"/>
      <w:b/>
      <w:i/>
      <w:color w:val="000000" w:themeColor="text1"/>
      <w:szCs w:val="28"/>
    </w:rPr>
  </w:style>
  <w:style w:type="paragraph" w:styleId="Heading4">
    <w:name w:val="heading 4"/>
    <w:basedOn w:val="Normal"/>
    <w:next w:val="Normal"/>
    <w:link w:val="Heading4Char"/>
    <w:uiPriority w:val="9"/>
    <w:semiHidden/>
    <w:unhideWhenUsed/>
    <w:qFormat/>
    <w:rsid w:val="005A6C3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A6C3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A6C3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A6C3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A6C3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A6C3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5013"/>
    <w:rPr>
      <w:rFonts w:ascii="Arial" w:eastAsiaTheme="majorEastAsia" w:hAnsi="Arial" w:cstheme="majorBidi"/>
      <w:b/>
      <w:smallCaps/>
      <w:sz w:val="28"/>
      <w:szCs w:val="32"/>
      <w:lang w:eastAsia="zh-CN"/>
    </w:rPr>
  </w:style>
  <w:style w:type="character" w:customStyle="1" w:styleId="Heading2Char">
    <w:name w:val="Heading 2 Char"/>
    <w:basedOn w:val="DefaultParagraphFont"/>
    <w:link w:val="Heading2"/>
    <w:uiPriority w:val="9"/>
    <w:rsid w:val="00AB5013"/>
    <w:rPr>
      <w:rFonts w:ascii="Arial" w:eastAsiaTheme="majorEastAsia" w:hAnsi="Arial" w:cstheme="majorBidi"/>
      <w:b/>
      <w:sz w:val="24"/>
      <w:szCs w:val="32"/>
    </w:rPr>
  </w:style>
  <w:style w:type="character" w:customStyle="1" w:styleId="Heading3Char">
    <w:name w:val="Heading 3 Char"/>
    <w:basedOn w:val="DefaultParagraphFont"/>
    <w:link w:val="Heading3"/>
    <w:uiPriority w:val="9"/>
    <w:rsid w:val="00B43EAF"/>
    <w:rPr>
      <w:rFonts w:ascii="Arial" w:eastAsiaTheme="majorEastAsia" w:hAnsi="Arial" w:cstheme="majorBidi"/>
      <w:b/>
      <w:i/>
      <w:color w:val="000000" w:themeColor="text1"/>
      <w:sz w:val="24"/>
      <w:szCs w:val="28"/>
    </w:rPr>
  </w:style>
  <w:style w:type="character" w:customStyle="1" w:styleId="Heading4Char">
    <w:name w:val="Heading 4 Char"/>
    <w:basedOn w:val="DefaultParagraphFont"/>
    <w:link w:val="Heading4"/>
    <w:uiPriority w:val="9"/>
    <w:semiHidden/>
    <w:rsid w:val="005A6C3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A6C3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A6C3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A6C3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A6C3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A6C3A"/>
    <w:rPr>
      <w:rFonts w:eastAsiaTheme="majorEastAsia" w:cstheme="majorBidi"/>
      <w:color w:val="272727" w:themeColor="text1" w:themeTint="D8"/>
    </w:rPr>
  </w:style>
  <w:style w:type="paragraph" w:styleId="Title">
    <w:name w:val="Title"/>
    <w:basedOn w:val="Normal"/>
    <w:next w:val="Normal"/>
    <w:link w:val="TitleChar"/>
    <w:uiPriority w:val="10"/>
    <w:qFormat/>
    <w:rsid w:val="00DB56E9"/>
    <w:pPr>
      <w:spacing w:after="80" w:line="276" w:lineRule="auto"/>
      <w:ind w:firstLine="0"/>
      <w:contextualSpacing/>
    </w:pPr>
    <w:rPr>
      <w:rFonts w:eastAsiaTheme="majorEastAsia" w:cstheme="majorBidi"/>
      <w:spacing w:val="-10"/>
      <w:kern w:val="28"/>
      <w:sz w:val="32"/>
      <w:szCs w:val="56"/>
    </w:rPr>
  </w:style>
  <w:style w:type="character" w:customStyle="1" w:styleId="TitleChar">
    <w:name w:val="Title Char"/>
    <w:basedOn w:val="DefaultParagraphFont"/>
    <w:link w:val="Title"/>
    <w:uiPriority w:val="10"/>
    <w:rsid w:val="00DB56E9"/>
    <w:rPr>
      <w:rFonts w:ascii="Arial" w:eastAsiaTheme="majorEastAsia" w:hAnsi="Arial" w:cstheme="majorBidi"/>
      <w:spacing w:val="-10"/>
      <w:kern w:val="28"/>
      <w:sz w:val="32"/>
      <w:szCs w:val="56"/>
    </w:rPr>
  </w:style>
  <w:style w:type="paragraph" w:styleId="Subtitle">
    <w:name w:val="Subtitle"/>
    <w:basedOn w:val="Normal"/>
    <w:next w:val="Normal"/>
    <w:link w:val="SubtitleChar"/>
    <w:uiPriority w:val="11"/>
    <w:qFormat/>
    <w:rsid w:val="005A6C3A"/>
    <w:pPr>
      <w:numPr>
        <w:ilvl w:val="1"/>
      </w:numPr>
      <w:ind w:firstLine="72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A6C3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A6C3A"/>
    <w:pPr>
      <w:spacing w:before="160"/>
      <w:jc w:val="center"/>
    </w:pPr>
    <w:rPr>
      <w:i/>
      <w:iCs/>
      <w:color w:val="404040" w:themeColor="text1" w:themeTint="BF"/>
    </w:rPr>
  </w:style>
  <w:style w:type="character" w:customStyle="1" w:styleId="QuoteChar">
    <w:name w:val="Quote Char"/>
    <w:basedOn w:val="DefaultParagraphFont"/>
    <w:link w:val="Quote"/>
    <w:uiPriority w:val="29"/>
    <w:rsid w:val="005A6C3A"/>
    <w:rPr>
      <w:i/>
      <w:iCs/>
      <w:color w:val="404040" w:themeColor="text1" w:themeTint="BF"/>
    </w:rPr>
  </w:style>
  <w:style w:type="paragraph" w:styleId="ListParagraph">
    <w:name w:val="List Paragraph"/>
    <w:basedOn w:val="Normal"/>
    <w:uiPriority w:val="34"/>
    <w:qFormat/>
    <w:rsid w:val="005A6C3A"/>
    <w:pPr>
      <w:ind w:left="720"/>
      <w:contextualSpacing/>
    </w:pPr>
  </w:style>
  <w:style w:type="character" w:styleId="IntenseEmphasis">
    <w:name w:val="Intense Emphasis"/>
    <w:basedOn w:val="DefaultParagraphFont"/>
    <w:uiPriority w:val="21"/>
    <w:qFormat/>
    <w:rsid w:val="005A6C3A"/>
    <w:rPr>
      <w:i/>
      <w:iCs/>
      <w:color w:val="0F4761" w:themeColor="accent1" w:themeShade="BF"/>
    </w:rPr>
  </w:style>
  <w:style w:type="paragraph" w:styleId="IntenseQuote">
    <w:name w:val="Intense Quote"/>
    <w:basedOn w:val="Normal"/>
    <w:next w:val="Normal"/>
    <w:link w:val="IntenseQuoteChar"/>
    <w:uiPriority w:val="30"/>
    <w:qFormat/>
    <w:rsid w:val="005A6C3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A6C3A"/>
    <w:rPr>
      <w:i/>
      <w:iCs/>
      <w:color w:val="0F4761" w:themeColor="accent1" w:themeShade="BF"/>
    </w:rPr>
  </w:style>
  <w:style w:type="character" w:styleId="IntenseReference">
    <w:name w:val="Intense Reference"/>
    <w:basedOn w:val="DefaultParagraphFont"/>
    <w:uiPriority w:val="32"/>
    <w:qFormat/>
    <w:rsid w:val="005A6C3A"/>
    <w:rPr>
      <w:b/>
      <w:bCs/>
      <w:smallCaps/>
      <w:color w:val="0F4761" w:themeColor="accent1" w:themeShade="BF"/>
      <w:spacing w:val="5"/>
    </w:rPr>
  </w:style>
  <w:style w:type="character" w:styleId="Hyperlink">
    <w:name w:val="Hyperlink"/>
    <w:basedOn w:val="DefaultParagraphFont"/>
    <w:uiPriority w:val="99"/>
    <w:unhideWhenUsed/>
    <w:rsid w:val="00DD0BB2"/>
    <w:rPr>
      <w:color w:val="467886"/>
      <w:u w:val="single"/>
    </w:rPr>
  </w:style>
  <w:style w:type="character" w:styleId="FollowedHyperlink">
    <w:name w:val="FollowedHyperlink"/>
    <w:basedOn w:val="DefaultParagraphFont"/>
    <w:uiPriority w:val="99"/>
    <w:semiHidden/>
    <w:unhideWhenUsed/>
    <w:rsid w:val="00DD0BB2"/>
    <w:rPr>
      <w:color w:val="96607D"/>
      <w:u w:val="single"/>
    </w:rPr>
  </w:style>
  <w:style w:type="paragraph" w:customStyle="1" w:styleId="msonormal0">
    <w:name w:val="msonormal"/>
    <w:basedOn w:val="Normal"/>
    <w:rsid w:val="00DD0BB2"/>
    <w:pPr>
      <w:spacing w:before="100" w:beforeAutospacing="1" w:after="100" w:afterAutospacing="1" w:line="240" w:lineRule="auto"/>
    </w:pPr>
    <w:rPr>
      <w:rFonts w:ascii="Times New Roman" w:eastAsia="Times New Roman" w:hAnsi="Times New Roman" w:cs="Times New Roman"/>
      <w:szCs w:val="24"/>
    </w:rPr>
  </w:style>
  <w:style w:type="paragraph" w:customStyle="1" w:styleId="font5">
    <w:name w:val="font5"/>
    <w:basedOn w:val="Normal"/>
    <w:rsid w:val="00DD0BB2"/>
    <w:pPr>
      <w:spacing w:before="100" w:beforeAutospacing="1" w:after="100" w:afterAutospacing="1" w:line="240" w:lineRule="auto"/>
    </w:pPr>
    <w:rPr>
      <w:rFonts w:ascii="Aptos" w:eastAsia="Times New Roman" w:hAnsi="Aptos" w:cs="Times New Roman"/>
      <w:color w:val="000000"/>
    </w:rPr>
  </w:style>
  <w:style w:type="paragraph" w:customStyle="1" w:styleId="font6">
    <w:name w:val="font6"/>
    <w:basedOn w:val="Normal"/>
    <w:rsid w:val="00DD0BB2"/>
    <w:pPr>
      <w:spacing w:before="100" w:beforeAutospacing="1" w:after="100" w:afterAutospacing="1" w:line="240" w:lineRule="auto"/>
    </w:pPr>
    <w:rPr>
      <w:rFonts w:ascii="Aptos" w:eastAsia="Times New Roman" w:hAnsi="Aptos" w:cs="Times New Roman"/>
      <w:color w:val="000000"/>
    </w:rPr>
  </w:style>
  <w:style w:type="paragraph" w:customStyle="1" w:styleId="xl67">
    <w:name w:val="xl67"/>
    <w:basedOn w:val="Normal"/>
    <w:rsid w:val="00DD0BB2"/>
    <w:pPr>
      <w:pBdr>
        <w:top w:val="single" w:sz="4" w:space="0" w:color="auto"/>
      </w:pBdr>
      <w:spacing w:before="100" w:beforeAutospacing="1" w:after="100" w:afterAutospacing="1" w:line="240" w:lineRule="auto"/>
      <w:textAlignment w:val="center"/>
    </w:pPr>
    <w:rPr>
      <w:rFonts w:ascii="Aptos" w:eastAsia="Times New Roman" w:hAnsi="Aptos" w:cs="Times New Roman"/>
      <w:b/>
      <w:bCs/>
      <w:szCs w:val="24"/>
    </w:rPr>
  </w:style>
  <w:style w:type="paragraph" w:customStyle="1" w:styleId="xl68">
    <w:name w:val="xl68"/>
    <w:basedOn w:val="Normal"/>
    <w:rsid w:val="00DD0BB2"/>
    <w:pPr>
      <w:pBdr>
        <w:top w:val="single" w:sz="4" w:space="0" w:color="auto"/>
      </w:pBdr>
      <w:spacing w:before="100" w:beforeAutospacing="1" w:after="100" w:afterAutospacing="1" w:line="240" w:lineRule="auto"/>
      <w:jc w:val="center"/>
      <w:textAlignment w:val="center"/>
    </w:pPr>
    <w:rPr>
      <w:rFonts w:ascii="Aptos" w:eastAsia="Times New Roman" w:hAnsi="Aptos" w:cs="Times New Roman"/>
      <w:b/>
      <w:bCs/>
      <w:szCs w:val="24"/>
    </w:rPr>
  </w:style>
  <w:style w:type="paragraph" w:customStyle="1" w:styleId="xl69">
    <w:name w:val="xl69"/>
    <w:basedOn w:val="Normal"/>
    <w:rsid w:val="00DD0BB2"/>
    <w:pPr>
      <w:spacing w:before="100" w:beforeAutospacing="1" w:after="100" w:afterAutospacing="1" w:line="240" w:lineRule="auto"/>
    </w:pPr>
    <w:rPr>
      <w:rFonts w:ascii="Aptos" w:eastAsia="Times New Roman" w:hAnsi="Aptos" w:cs="Times New Roman"/>
      <w:szCs w:val="24"/>
    </w:rPr>
  </w:style>
  <w:style w:type="paragraph" w:customStyle="1" w:styleId="xl70">
    <w:name w:val="xl70"/>
    <w:basedOn w:val="Normal"/>
    <w:rsid w:val="00DD0BB2"/>
    <w:pPr>
      <w:spacing w:before="100" w:beforeAutospacing="1" w:after="100" w:afterAutospacing="1" w:line="240" w:lineRule="auto"/>
      <w:textAlignment w:val="center"/>
    </w:pPr>
    <w:rPr>
      <w:rFonts w:ascii="Aptos" w:eastAsia="Times New Roman" w:hAnsi="Aptos" w:cs="Times New Roman"/>
      <w:szCs w:val="24"/>
    </w:rPr>
  </w:style>
  <w:style w:type="paragraph" w:customStyle="1" w:styleId="xl71">
    <w:name w:val="xl71"/>
    <w:basedOn w:val="Normal"/>
    <w:rsid w:val="00DD0BB2"/>
    <w:pPr>
      <w:spacing w:before="100" w:beforeAutospacing="1" w:after="100" w:afterAutospacing="1" w:line="240" w:lineRule="auto"/>
      <w:textAlignment w:val="center"/>
    </w:pPr>
    <w:rPr>
      <w:rFonts w:ascii="Aptos" w:eastAsia="Times New Roman" w:hAnsi="Aptos" w:cs="Times New Roman"/>
      <w:szCs w:val="24"/>
    </w:rPr>
  </w:style>
  <w:style w:type="paragraph" w:customStyle="1" w:styleId="xl72">
    <w:name w:val="xl72"/>
    <w:basedOn w:val="Normal"/>
    <w:rsid w:val="00DD0BB2"/>
    <w:pPr>
      <w:spacing w:before="100" w:beforeAutospacing="1" w:after="100" w:afterAutospacing="1" w:line="240" w:lineRule="auto"/>
      <w:textAlignment w:val="center"/>
    </w:pPr>
    <w:rPr>
      <w:rFonts w:ascii="Aptos" w:eastAsia="Times New Roman" w:hAnsi="Aptos" w:cs="Times New Roman"/>
      <w:szCs w:val="24"/>
    </w:rPr>
  </w:style>
  <w:style w:type="paragraph" w:customStyle="1" w:styleId="xl73">
    <w:name w:val="xl73"/>
    <w:basedOn w:val="Normal"/>
    <w:rsid w:val="00DD0BB2"/>
    <w:pPr>
      <w:spacing w:before="100" w:beforeAutospacing="1" w:after="100" w:afterAutospacing="1" w:line="240" w:lineRule="auto"/>
      <w:jc w:val="center"/>
      <w:textAlignment w:val="center"/>
    </w:pPr>
    <w:rPr>
      <w:rFonts w:ascii="Aptos" w:eastAsia="Times New Roman" w:hAnsi="Aptos" w:cs="Times New Roman"/>
      <w:szCs w:val="24"/>
    </w:rPr>
  </w:style>
  <w:style w:type="paragraph" w:customStyle="1" w:styleId="xl74">
    <w:name w:val="xl74"/>
    <w:basedOn w:val="Normal"/>
    <w:rsid w:val="00DD0BB2"/>
    <w:pPr>
      <w:spacing w:before="100" w:beforeAutospacing="1" w:after="100" w:afterAutospacing="1" w:line="240" w:lineRule="auto"/>
      <w:jc w:val="center"/>
      <w:textAlignment w:val="center"/>
    </w:pPr>
    <w:rPr>
      <w:rFonts w:ascii="Aptos" w:eastAsia="Times New Roman" w:hAnsi="Aptos" w:cs="Times New Roman"/>
      <w:szCs w:val="24"/>
    </w:rPr>
  </w:style>
  <w:style w:type="paragraph" w:customStyle="1" w:styleId="xl75">
    <w:name w:val="xl75"/>
    <w:basedOn w:val="Normal"/>
    <w:rsid w:val="00DD0BB2"/>
    <w:pPr>
      <w:shd w:val="clear" w:color="000000" w:fill="FFFF00"/>
      <w:spacing w:before="100" w:beforeAutospacing="1" w:after="100" w:afterAutospacing="1" w:line="240" w:lineRule="auto"/>
      <w:jc w:val="center"/>
      <w:textAlignment w:val="center"/>
    </w:pPr>
    <w:rPr>
      <w:rFonts w:ascii="Aptos" w:eastAsia="Times New Roman" w:hAnsi="Aptos" w:cs="Times New Roman"/>
      <w:b/>
      <w:bCs/>
      <w:szCs w:val="24"/>
    </w:rPr>
  </w:style>
  <w:style w:type="paragraph" w:customStyle="1" w:styleId="xl76">
    <w:name w:val="xl76"/>
    <w:basedOn w:val="Normal"/>
    <w:rsid w:val="00DD0BB2"/>
    <w:pPr>
      <w:shd w:val="clear" w:color="000000" w:fill="92D050"/>
      <w:spacing w:before="100" w:beforeAutospacing="1" w:after="100" w:afterAutospacing="1" w:line="240" w:lineRule="auto"/>
      <w:jc w:val="center"/>
      <w:textAlignment w:val="center"/>
    </w:pPr>
    <w:rPr>
      <w:rFonts w:ascii="Aptos" w:eastAsia="Times New Roman" w:hAnsi="Aptos" w:cs="Times New Roman"/>
      <w:b/>
      <w:bCs/>
      <w:szCs w:val="24"/>
    </w:rPr>
  </w:style>
  <w:style w:type="paragraph" w:customStyle="1" w:styleId="xl77">
    <w:name w:val="xl77"/>
    <w:basedOn w:val="Normal"/>
    <w:rsid w:val="00DD0BB2"/>
    <w:pPr>
      <w:shd w:val="clear" w:color="000000" w:fill="FF0000"/>
      <w:spacing w:before="100" w:beforeAutospacing="1" w:after="100" w:afterAutospacing="1" w:line="240" w:lineRule="auto"/>
      <w:jc w:val="center"/>
      <w:textAlignment w:val="center"/>
    </w:pPr>
    <w:rPr>
      <w:rFonts w:ascii="Aptos" w:eastAsia="Times New Roman" w:hAnsi="Aptos" w:cs="Times New Roman"/>
      <w:b/>
      <w:bCs/>
      <w:szCs w:val="24"/>
    </w:rPr>
  </w:style>
  <w:style w:type="paragraph" w:customStyle="1" w:styleId="xl78">
    <w:name w:val="xl78"/>
    <w:basedOn w:val="Normal"/>
    <w:rsid w:val="00DD0BB2"/>
    <w:pPr>
      <w:shd w:val="clear" w:color="000000" w:fill="92D050"/>
      <w:spacing w:before="100" w:beforeAutospacing="1" w:after="100" w:afterAutospacing="1" w:line="240" w:lineRule="auto"/>
      <w:jc w:val="center"/>
      <w:textAlignment w:val="center"/>
    </w:pPr>
    <w:rPr>
      <w:rFonts w:ascii="Aptos" w:eastAsia="Times New Roman" w:hAnsi="Aptos" w:cs="Times New Roman"/>
      <w:b/>
      <w:bCs/>
      <w:szCs w:val="24"/>
    </w:rPr>
  </w:style>
  <w:style w:type="paragraph" w:customStyle="1" w:styleId="xl79">
    <w:name w:val="xl79"/>
    <w:basedOn w:val="Normal"/>
    <w:rsid w:val="00DD0BB2"/>
    <w:pPr>
      <w:spacing w:before="100" w:beforeAutospacing="1" w:after="100" w:afterAutospacing="1" w:line="240" w:lineRule="auto"/>
      <w:jc w:val="center"/>
      <w:textAlignment w:val="center"/>
    </w:pPr>
    <w:rPr>
      <w:rFonts w:ascii="Aptos" w:eastAsia="Times New Roman" w:hAnsi="Aptos" w:cs="Times New Roman"/>
      <w:szCs w:val="24"/>
    </w:rPr>
  </w:style>
  <w:style w:type="paragraph" w:customStyle="1" w:styleId="xl80">
    <w:name w:val="xl80"/>
    <w:basedOn w:val="Normal"/>
    <w:rsid w:val="00DD0BB2"/>
    <w:pPr>
      <w:spacing w:before="100" w:beforeAutospacing="1" w:after="100" w:afterAutospacing="1" w:line="240" w:lineRule="auto"/>
      <w:jc w:val="center"/>
      <w:textAlignment w:val="center"/>
    </w:pPr>
    <w:rPr>
      <w:rFonts w:ascii="Aptos" w:eastAsia="Times New Roman" w:hAnsi="Aptos" w:cs="Times New Roman"/>
      <w:b/>
      <w:bCs/>
      <w:szCs w:val="24"/>
    </w:rPr>
  </w:style>
  <w:style w:type="paragraph" w:customStyle="1" w:styleId="xl81">
    <w:name w:val="xl81"/>
    <w:basedOn w:val="Normal"/>
    <w:rsid w:val="00DD0BB2"/>
    <w:pPr>
      <w:spacing w:before="100" w:beforeAutospacing="1" w:after="100" w:afterAutospacing="1" w:line="240" w:lineRule="auto"/>
      <w:textAlignment w:val="center"/>
    </w:pPr>
    <w:rPr>
      <w:rFonts w:ascii="Aptos" w:eastAsia="Times New Roman" w:hAnsi="Aptos" w:cs="Times New Roman"/>
      <w:szCs w:val="24"/>
    </w:rPr>
  </w:style>
  <w:style w:type="paragraph" w:customStyle="1" w:styleId="xl82">
    <w:name w:val="xl82"/>
    <w:basedOn w:val="Normal"/>
    <w:rsid w:val="00DD0BB2"/>
    <w:pPr>
      <w:spacing w:before="100" w:beforeAutospacing="1" w:after="100" w:afterAutospacing="1" w:line="240" w:lineRule="auto"/>
      <w:jc w:val="center"/>
      <w:textAlignment w:val="center"/>
    </w:pPr>
    <w:rPr>
      <w:rFonts w:ascii="Aptos" w:eastAsia="Times New Roman" w:hAnsi="Aptos" w:cs="Times New Roman"/>
      <w:szCs w:val="24"/>
    </w:rPr>
  </w:style>
  <w:style w:type="paragraph" w:customStyle="1" w:styleId="xl83">
    <w:name w:val="xl83"/>
    <w:basedOn w:val="Normal"/>
    <w:rsid w:val="00DD0BB2"/>
    <w:pPr>
      <w:spacing w:before="100" w:beforeAutospacing="1" w:after="100" w:afterAutospacing="1" w:line="240" w:lineRule="auto"/>
      <w:jc w:val="center"/>
      <w:textAlignment w:val="center"/>
    </w:pPr>
    <w:rPr>
      <w:rFonts w:ascii="Aptos" w:eastAsia="Times New Roman" w:hAnsi="Aptos" w:cs="Times New Roman"/>
      <w:b/>
      <w:bCs/>
      <w:szCs w:val="24"/>
    </w:rPr>
  </w:style>
  <w:style w:type="paragraph" w:customStyle="1" w:styleId="xl84">
    <w:name w:val="xl84"/>
    <w:basedOn w:val="Normal"/>
    <w:rsid w:val="00DD0BB2"/>
    <w:pPr>
      <w:shd w:val="clear" w:color="000000" w:fill="FF0000"/>
      <w:spacing w:before="100" w:beforeAutospacing="1" w:after="100" w:afterAutospacing="1" w:line="240" w:lineRule="auto"/>
      <w:jc w:val="center"/>
      <w:textAlignment w:val="center"/>
    </w:pPr>
    <w:rPr>
      <w:rFonts w:ascii="Aptos" w:eastAsia="Times New Roman" w:hAnsi="Aptos" w:cs="Times New Roman"/>
      <w:b/>
      <w:bCs/>
      <w:szCs w:val="24"/>
    </w:rPr>
  </w:style>
  <w:style w:type="paragraph" w:customStyle="1" w:styleId="xl85">
    <w:name w:val="xl85"/>
    <w:basedOn w:val="Normal"/>
    <w:rsid w:val="00DD0BB2"/>
    <w:pPr>
      <w:shd w:val="clear" w:color="000000" w:fill="FFFF00"/>
      <w:spacing w:before="100" w:beforeAutospacing="1" w:after="100" w:afterAutospacing="1" w:line="240" w:lineRule="auto"/>
      <w:jc w:val="center"/>
      <w:textAlignment w:val="center"/>
    </w:pPr>
    <w:rPr>
      <w:rFonts w:ascii="Aptos" w:eastAsia="Times New Roman" w:hAnsi="Aptos" w:cs="Times New Roman"/>
      <w:b/>
      <w:bCs/>
      <w:szCs w:val="24"/>
      <w:u w:val="single"/>
    </w:rPr>
  </w:style>
  <w:style w:type="paragraph" w:customStyle="1" w:styleId="xl86">
    <w:name w:val="xl86"/>
    <w:basedOn w:val="Normal"/>
    <w:rsid w:val="00DD0BB2"/>
    <w:pPr>
      <w:spacing w:before="100" w:beforeAutospacing="1" w:after="100" w:afterAutospacing="1" w:line="240" w:lineRule="auto"/>
      <w:textAlignment w:val="center"/>
    </w:pPr>
    <w:rPr>
      <w:rFonts w:ascii="Times New Roman" w:eastAsia="Times New Roman" w:hAnsi="Times New Roman" w:cs="Times New Roman"/>
      <w:szCs w:val="24"/>
    </w:rPr>
  </w:style>
  <w:style w:type="paragraph" w:styleId="Header">
    <w:name w:val="header"/>
    <w:basedOn w:val="Normal"/>
    <w:link w:val="HeaderChar"/>
    <w:uiPriority w:val="99"/>
    <w:unhideWhenUsed/>
    <w:rsid w:val="005C173F"/>
    <w:pPr>
      <w:tabs>
        <w:tab w:val="center" w:pos="4680"/>
        <w:tab w:val="right" w:pos="9360"/>
      </w:tabs>
      <w:spacing w:line="240" w:lineRule="auto"/>
    </w:pPr>
  </w:style>
  <w:style w:type="character" w:customStyle="1" w:styleId="HeaderChar">
    <w:name w:val="Header Char"/>
    <w:basedOn w:val="DefaultParagraphFont"/>
    <w:link w:val="Header"/>
    <w:uiPriority w:val="99"/>
    <w:rsid w:val="005C173F"/>
  </w:style>
  <w:style w:type="paragraph" w:styleId="Footer">
    <w:name w:val="footer"/>
    <w:basedOn w:val="Normal"/>
    <w:link w:val="FooterChar"/>
    <w:uiPriority w:val="99"/>
    <w:unhideWhenUsed/>
    <w:rsid w:val="005C173F"/>
    <w:pPr>
      <w:tabs>
        <w:tab w:val="center" w:pos="4680"/>
        <w:tab w:val="right" w:pos="9360"/>
      </w:tabs>
      <w:spacing w:line="240" w:lineRule="auto"/>
    </w:pPr>
  </w:style>
  <w:style w:type="character" w:customStyle="1" w:styleId="FooterChar">
    <w:name w:val="Footer Char"/>
    <w:basedOn w:val="DefaultParagraphFont"/>
    <w:link w:val="Footer"/>
    <w:uiPriority w:val="99"/>
    <w:rsid w:val="005C173F"/>
  </w:style>
  <w:style w:type="character" w:styleId="UnresolvedMention">
    <w:name w:val="Unresolved Mention"/>
    <w:basedOn w:val="DefaultParagraphFont"/>
    <w:uiPriority w:val="99"/>
    <w:semiHidden/>
    <w:unhideWhenUsed/>
    <w:rsid w:val="007B44A4"/>
    <w:rPr>
      <w:color w:val="605E5C"/>
      <w:shd w:val="clear" w:color="auto" w:fill="E1DFDD"/>
    </w:rPr>
  </w:style>
  <w:style w:type="paragraph" w:customStyle="1" w:styleId="EndNoteBibliographyTitle">
    <w:name w:val="EndNote Bibliography Title"/>
    <w:basedOn w:val="Normal"/>
    <w:link w:val="EndNoteBibliographyTitleChar"/>
    <w:rsid w:val="004B1768"/>
    <w:pPr>
      <w:jc w:val="center"/>
    </w:pPr>
    <w:rPr>
      <w:rFonts w:cs="Arial"/>
      <w:noProof/>
    </w:rPr>
  </w:style>
  <w:style w:type="character" w:customStyle="1" w:styleId="EndNoteBibliographyTitleChar">
    <w:name w:val="EndNote Bibliography Title Char"/>
    <w:basedOn w:val="DefaultParagraphFont"/>
    <w:link w:val="EndNoteBibliographyTitle"/>
    <w:rsid w:val="004B1768"/>
    <w:rPr>
      <w:rFonts w:ascii="Arial" w:hAnsi="Arial" w:cs="Arial"/>
      <w:noProof/>
      <w:sz w:val="24"/>
    </w:rPr>
  </w:style>
  <w:style w:type="paragraph" w:customStyle="1" w:styleId="EndNoteBibliography">
    <w:name w:val="EndNote Bibliography"/>
    <w:basedOn w:val="Normal"/>
    <w:link w:val="EndNoteBibliographyChar"/>
    <w:rsid w:val="004B1768"/>
    <w:pPr>
      <w:spacing w:line="240" w:lineRule="auto"/>
    </w:pPr>
    <w:rPr>
      <w:rFonts w:cs="Arial"/>
      <w:noProof/>
    </w:rPr>
  </w:style>
  <w:style w:type="character" w:customStyle="1" w:styleId="EndNoteBibliographyChar">
    <w:name w:val="EndNote Bibliography Char"/>
    <w:basedOn w:val="DefaultParagraphFont"/>
    <w:link w:val="EndNoteBibliography"/>
    <w:rsid w:val="004B1768"/>
    <w:rPr>
      <w:rFonts w:ascii="Arial" w:hAnsi="Arial" w:cs="Arial"/>
      <w:noProof/>
      <w:sz w:val="24"/>
    </w:rPr>
  </w:style>
  <w:style w:type="paragraph" w:styleId="Caption">
    <w:name w:val="caption"/>
    <w:basedOn w:val="Normal"/>
    <w:next w:val="Normal"/>
    <w:uiPriority w:val="35"/>
    <w:unhideWhenUsed/>
    <w:qFormat/>
    <w:rsid w:val="001827C5"/>
    <w:pPr>
      <w:spacing w:before="120" w:after="120" w:line="240" w:lineRule="auto"/>
      <w:ind w:firstLine="0"/>
    </w:pPr>
    <w:rPr>
      <w:b/>
      <w:iCs/>
      <w:color w:val="000000" w:themeColor="text1"/>
      <w:sz w:val="20"/>
      <w:szCs w:val="18"/>
    </w:rPr>
  </w:style>
  <w:style w:type="table" w:styleId="TableGrid">
    <w:name w:val="Table Grid"/>
    <w:basedOn w:val="TableNormal"/>
    <w:uiPriority w:val="39"/>
    <w:rsid w:val="008C51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145CAD"/>
    <w:pPr>
      <w:spacing w:after="0" w:line="276" w:lineRule="auto"/>
    </w:pPr>
    <w:rPr>
      <w:rFonts w:ascii="Arial" w:hAnsi="Arial"/>
    </w:rPr>
  </w:style>
  <w:style w:type="paragraph" w:styleId="Revision">
    <w:name w:val="Revision"/>
    <w:hidden/>
    <w:uiPriority w:val="99"/>
    <w:semiHidden/>
    <w:rsid w:val="00184AE9"/>
    <w:pPr>
      <w:spacing w:after="0" w:line="240" w:lineRule="auto"/>
    </w:pPr>
    <w:rPr>
      <w:rFonts w:ascii="Arial" w:hAnsi="Arial"/>
      <w:sz w:val="24"/>
    </w:rPr>
  </w:style>
  <w:style w:type="paragraph" w:customStyle="1" w:styleId="BodyTextIndent1">
    <w:name w:val="Body Text Indent1"/>
    <w:basedOn w:val="Normal"/>
    <w:link w:val="BodytextindentChar"/>
    <w:autoRedefine/>
    <w:qFormat/>
    <w:rsid w:val="00D26730"/>
    <w:pPr>
      <w:overflowPunct w:val="0"/>
      <w:autoSpaceDE w:val="0"/>
      <w:autoSpaceDN w:val="0"/>
      <w:adjustRightInd w:val="0"/>
      <w:spacing w:after="120"/>
      <w:ind w:firstLine="360"/>
    </w:pPr>
    <w:rPr>
      <w:rFonts w:ascii="Times New Roman" w:eastAsia="Times New Roman" w:hAnsi="Times New Roman" w:cs="Times New Roman"/>
      <w:szCs w:val="24"/>
      <w:lang w:val="en-GB"/>
    </w:rPr>
  </w:style>
  <w:style w:type="character" w:customStyle="1" w:styleId="BodytextindentChar">
    <w:name w:val="Body text indent Char"/>
    <w:link w:val="BodyTextIndent1"/>
    <w:rsid w:val="00D26730"/>
    <w:rPr>
      <w:rFonts w:ascii="Times New Roman" w:eastAsia="Times New Roman" w:hAnsi="Times New Roman" w:cs="Times New Roman"/>
      <w:sz w:val="24"/>
      <w:szCs w:val="24"/>
      <w:lang w:val="en-GB"/>
    </w:rPr>
  </w:style>
  <w:style w:type="paragraph" w:customStyle="1" w:styleId="font7">
    <w:name w:val="font7"/>
    <w:basedOn w:val="Normal"/>
    <w:rsid w:val="00972E95"/>
    <w:pPr>
      <w:spacing w:before="100" w:beforeAutospacing="1" w:after="100" w:afterAutospacing="1" w:line="240" w:lineRule="auto"/>
      <w:ind w:firstLine="0"/>
    </w:pPr>
    <w:rPr>
      <w:rFonts w:ascii="Aptos" w:eastAsia="Times New Roman" w:hAnsi="Aptos" w:cs="Times New Roman"/>
      <w:color w:val="000000"/>
      <w:sz w:val="22"/>
    </w:rPr>
  </w:style>
  <w:style w:type="paragraph" w:customStyle="1" w:styleId="font8">
    <w:name w:val="font8"/>
    <w:basedOn w:val="Normal"/>
    <w:rsid w:val="00972E95"/>
    <w:pPr>
      <w:spacing w:before="100" w:beforeAutospacing="1" w:after="100" w:afterAutospacing="1" w:line="240" w:lineRule="auto"/>
      <w:ind w:firstLine="0"/>
    </w:pPr>
    <w:rPr>
      <w:rFonts w:ascii="Aptos Narrow" w:eastAsia="Times New Roman" w:hAnsi="Aptos Narrow" w:cs="Times New Roman"/>
      <w:sz w:val="22"/>
    </w:rPr>
  </w:style>
  <w:style w:type="paragraph" w:customStyle="1" w:styleId="font9">
    <w:name w:val="font9"/>
    <w:basedOn w:val="Normal"/>
    <w:rsid w:val="00972E95"/>
    <w:pPr>
      <w:spacing w:before="100" w:beforeAutospacing="1" w:after="100" w:afterAutospacing="1" w:line="240" w:lineRule="auto"/>
      <w:ind w:firstLine="0"/>
    </w:pPr>
    <w:rPr>
      <w:rFonts w:ascii="Aptos" w:eastAsia="Times New Roman" w:hAnsi="Aptos" w:cs="Times New Roman"/>
      <w:sz w:val="22"/>
    </w:rPr>
  </w:style>
  <w:style w:type="paragraph" w:customStyle="1" w:styleId="font10">
    <w:name w:val="font10"/>
    <w:basedOn w:val="Normal"/>
    <w:rsid w:val="00972E95"/>
    <w:pPr>
      <w:spacing w:before="100" w:beforeAutospacing="1" w:after="100" w:afterAutospacing="1" w:line="240" w:lineRule="auto"/>
      <w:ind w:firstLine="0"/>
    </w:pPr>
    <w:rPr>
      <w:rFonts w:ascii="Aptos" w:eastAsia="Times New Roman" w:hAnsi="Aptos" w:cs="Times New Roman"/>
      <w:b/>
      <w:bCs/>
      <w:color w:val="000000"/>
      <w:sz w:val="22"/>
    </w:rPr>
  </w:style>
  <w:style w:type="paragraph" w:customStyle="1" w:styleId="font11">
    <w:name w:val="font11"/>
    <w:basedOn w:val="Normal"/>
    <w:rsid w:val="00972E95"/>
    <w:pPr>
      <w:spacing w:before="100" w:beforeAutospacing="1" w:after="100" w:afterAutospacing="1" w:line="240" w:lineRule="auto"/>
      <w:ind w:firstLine="0"/>
    </w:pPr>
    <w:rPr>
      <w:rFonts w:ascii="Aptos Narrow" w:eastAsia="Times New Roman" w:hAnsi="Aptos Narrow" w:cs="Times New Roman"/>
      <w:b/>
      <w:bCs/>
      <w:color w:val="000000"/>
      <w:sz w:val="22"/>
    </w:rPr>
  </w:style>
  <w:style w:type="paragraph" w:customStyle="1" w:styleId="xl66">
    <w:name w:val="xl66"/>
    <w:basedOn w:val="Normal"/>
    <w:rsid w:val="00972E95"/>
    <w:pPr>
      <w:spacing w:before="100" w:beforeAutospacing="1" w:after="100" w:afterAutospacing="1" w:line="240" w:lineRule="auto"/>
      <w:ind w:firstLine="0"/>
      <w:jc w:val="center"/>
      <w:textAlignment w:val="center"/>
    </w:pPr>
    <w:rPr>
      <w:rFonts w:ascii="Aptos" w:eastAsia="Times New Roman" w:hAnsi="Aptos" w:cs="Times New Roman"/>
      <w:b/>
      <w:bCs/>
      <w:szCs w:val="24"/>
    </w:rPr>
  </w:style>
  <w:style w:type="paragraph" w:customStyle="1" w:styleId="xl87">
    <w:name w:val="xl87"/>
    <w:basedOn w:val="Normal"/>
    <w:rsid w:val="00972E95"/>
    <w:pPr>
      <w:shd w:val="clear" w:color="000000" w:fill="FF0000"/>
      <w:spacing w:before="100" w:beforeAutospacing="1" w:after="100" w:afterAutospacing="1" w:line="240" w:lineRule="auto"/>
      <w:ind w:firstLine="0"/>
      <w:jc w:val="center"/>
      <w:textAlignment w:val="center"/>
    </w:pPr>
    <w:rPr>
      <w:rFonts w:ascii="Aptos" w:eastAsia="Times New Roman" w:hAnsi="Aptos" w:cs="Times New Roman"/>
      <w:szCs w:val="24"/>
    </w:rPr>
  </w:style>
  <w:style w:type="paragraph" w:customStyle="1" w:styleId="xl88">
    <w:name w:val="xl88"/>
    <w:basedOn w:val="Normal"/>
    <w:rsid w:val="00972E95"/>
    <w:pPr>
      <w:shd w:val="clear" w:color="000000" w:fill="92D050"/>
      <w:spacing w:before="100" w:beforeAutospacing="1" w:after="100" w:afterAutospacing="1" w:line="240" w:lineRule="auto"/>
      <w:ind w:firstLine="0"/>
      <w:jc w:val="center"/>
      <w:textAlignment w:val="center"/>
    </w:pPr>
    <w:rPr>
      <w:rFonts w:ascii="Aptos" w:eastAsia="Times New Roman" w:hAnsi="Aptos" w:cs="Times New Roman"/>
      <w:szCs w:val="24"/>
    </w:rPr>
  </w:style>
  <w:style w:type="paragraph" w:customStyle="1" w:styleId="xl89">
    <w:name w:val="xl89"/>
    <w:basedOn w:val="Normal"/>
    <w:rsid w:val="00972E95"/>
    <w:pPr>
      <w:spacing w:before="100" w:beforeAutospacing="1" w:after="100" w:afterAutospacing="1" w:line="240" w:lineRule="auto"/>
      <w:ind w:firstLine="0"/>
      <w:textAlignment w:val="center"/>
    </w:pPr>
    <w:rPr>
      <w:rFonts w:ascii="Times New Roman" w:eastAsia="Times New Roman" w:hAnsi="Times New Roman" w:cs="Times New Roman"/>
      <w:szCs w:val="24"/>
    </w:rPr>
  </w:style>
  <w:style w:type="paragraph" w:customStyle="1" w:styleId="xl90">
    <w:name w:val="xl90"/>
    <w:basedOn w:val="Normal"/>
    <w:rsid w:val="00972E95"/>
    <w:pPr>
      <w:spacing w:before="100" w:beforeAutospacing="1" w:after="100" w:afterAutospacing="1" w:line="240" w:lineRule="auto"/>
      <w:ind w:firstLine="0"/>
      <w:jc w:val="center"/>
      <w:textAlignment w:val="center"/>
    </w:pPr>
    <w:rPr>
      <w:rFonts w:ascii="Aptos" w:eastAsia="Times New Roman" w:hAnsi="Aptos" w:cs="Times New Roman"/>
      <w:b/>
      <w:bCs/>
      <w:szCs w:val="24"/>
    </w:rPr>
  </w:style>
  <w:style w:type="paragraph" w:customStyle="1" w:styleId="xl91">
    <w:name w:val="xl91"/>
    <w:basedOn w:val="Normal"/>
    <w:rsid w:val="00972E95"/>
    <w:pPr>
      <w:spacing w:before="100" w:beforeAutospacing="1" w:after="100" w:afterAutospacing="1" w:line="240" w:lineRule="auto"/>
      <w:ind w:firstLine="0"/>
    </w:pPr>
    <w:rPr>
      <w:rFonts w:ascii="Times New Roman" w:eastAsia="Times New Roman" w:hAnsi="Times New Roman" w:cs="Times New Roman"/>
      <w:szCs w:val="24"/>
    </w:rPr>
  </w:style>
  <w:style w:type="paragraph" w:customStyle="1" w:styleId="xl92">
    <w:name w:val="xl92"/>
    <w:basedOn w:val="Normal"/>
    <w:rsid w:val="00972E95"/>
    <w:pPr>
      <w:spacing w:before="100" w:beforeAutospacing="1" w:after="100" w:afterAutospacing="1" w:line="240" w:lineRule="auto"/>
      <w:ind w:firstLine="0"/>
    </w:pPr>
    <w:rPr>
      <w:rFonts w:ascii="Times New Roman" w:eastAsia="Times New Roman" w:hAnsi="Times New Roman" w:cs="Times New Roman"/>
      <w:szCs w:val="24"/>
    </w:rPr>
  </w:style>
  <w:style w:type="paragraph" w:customStyle="1" w:styleId="xl93">
    <w:name w:val="xl93"/>
    <w:basedOn w:val="Normal"/>
    <w:rsid w:val="00972E95"/>
    <w:pPr>
      <w:spacing w:before="100" w:beforeAutospacing="1" w:after="100" w:afterAutospacing="1" w:line="240" w:lineRule="auto"/>
      <w:ind w:firstLine="0"/>
      <w:jc w:val="center"/>
      <w:textAlignment w:val="center"/>
    </w:pPr>
    <w:rPr>
      <w:rFonts w:ascii="Aptos" w:eastAsia="Times New Roman" w:hAnsi="Aptos" w:cs="Times New Roman"/>
      <w:color w:val="FF0000"/>
      <w:szCs w:val="24"/>
    </w:rPr>
  </w:style>
  <w:style w:type="paragraph" w:customStyle="1" w:styleId="xl94">
    <w:name w:val="xl94"/>
    <w:basedOn w:val="Normal"/>
    <w:rsid w:val="00972E95"/>
    <w:pPr>
      <w:spacing w:before="100" w:beforeAutospacing="1" w:after="100" w:afterAutospacing="1" w:line="240" w:lineRule="auto"/>
      <w:ind w:firstLine="0"/>
      <w:jc w:val="center"/>
      <w:textAlignment w:val="center"/>
    </w:pPr>
    <w:rPr>
      <w:rFonts w:ascii="Aptos" w:eastAsia="Times New Roman" w:hAnsi="Aptos" w:cs="Times New Roman"/>
      <w:b/>
      <w:bCs/>
      <w:color w:val="FF0000"/>
      <w:szCs w:val="24"/>
    </w:rPr>
  </w:style>
  <w:style w:type="paragraph" w:customStyle="1" w:styleId="xl95">
    <w:name w:val="xl95"/>
    <w:basedOn w:val="Normal"/>
    <w:rsid w:val="00972E95"/>
    <w:pPr>
      <w:spacing w:before="100" w:beforeAutospacing="1" w:after="100" w:afterAutospacing="1" w:line="240" w:lineRule="auto"/>
      <w:ind w:firstLine="0"/>
    </w:pPr>
    <w:rPr>
      <w:rFonts w:ascii="Times New Roman" w:eastAsia="Times New Roman" w:hAnsi="Times New Roman" w:cs="Times New Roman"/>
      <w:b/>
      <w:bCs/>
      <w:szCs w:val="24"/>
    </w:rPr>
  </w:style>
  <w:style w:type="paragraph" w:customStyle="1" w:styleId="xl96">
    <w:name w:val="xl96"/>
    <w:basedOn w:val="Normal"/>
    <w:rsid w:val="00972E95"/>
    <w:pPr>
      <w:shd w:val="clear" w:color="000000" w:fill="F2CEEF"/>
      <w:spacing w:before="100" w:beforeAutospacing="1" w:after="100" w:afterAutospacing="1" w:line="240" w:lineRule="auto"/>
      <w:ind w:firstLine="0"/>
      <w:textAlignment w:val="center"/>
    </w:pPr>
    <w:rPr>
      <w:rFonts w:ascii="Aptos" w:eastAsia="Times New Roman" w:hAnsi="Aptos" w:cs="Times New Roman"/>
      <w:b/>
      <w:bCs/>
      <w:szCs w:val="24"/>
    </w:rPr>
  </w:style>
  <w:style w:type="paragraph" w:customStyle="1" w:styleId="xl97">
    <w:name w:val="xl97"/>
    <w:basedOn w:val="Normal"/>
    <w:rsid w:val="00972E95"/>
    <w:pPr>
      <w:shd w:val="clear" w:color="000000" w:fill="F2CEEF"/>
      <w:spacing w:before="100" w:beforeAutospacing="1" w:after="100" w:afterAutospacing="1" w:line="240" w:lineRule="auto"/>
      <w:ind w:firstLine="0"/>
      <w:jc w:val="center"/>
      <w:textAlignment w:val="center"/>
    </w:pPr>
    <w:rPr>
      <w:rFonts w:ascii="Aptos" w:eastAsia="Times New Roman" w:hAnsi="Aptos" w:cs="Times New Roman"/>
      <w:b/>
      <w:bCs/>
      <w:szCs w:val="24"/>
    </w:rPr>
  </w:style>
  <w:style w:type="paragraph" w:customStyle="1" w:styleId="xl98">
    <w:name w:val="xl98"/>
    <w:basedOn w:val="Normal"/>
    <w:rsid w:val="00972E95"/>
    <w:pPr>
      <w:shd w:val="clear" w:color="000000" w:fill="CAEDFB"/>
      <w:spacing w:before="100" w:beforeAutospacing="1" w:after="100" w:afterAutospacing="1" w:line="240" w:lineRule="auto"/>
      <w:ind w:firstLine="0"/>
      <w:jc w:val="center"/>
      <w:textAlignment w:val="center"/>
    </w:pPr>
    <w:rPr>
      <w:rFonts w:ascii="Aptos" w:eastAsia="Times New Roman" w:hAnsi="Aptos" w:cs="Times New Roman"/>
      <w:b/>
      <w:bCs/>
      <w:szCs w:val="24"/>
    </w:rPr>
  </w:style>
  <w:style w:type="paragraph" w:customStyle="1" w:styleId="xl99">
    <w:name w:val="xl99"/>
    <w:basedOn w:val="Normal"/>
    <w:rsid w:val="00972E95"/>
    <w:pPr>
      <w:shd w:val="clear" w:color="000000" w:fill="FF0000"/>
      <w:spacing w:before="100" w:beforeAutospacing="1" w:after="100" w:afterAutospacing="1" w:line="240" w:lineRule="auto"/>
      <w:ind w:firstLine="0"/>
      <w:jc w:val="center"/>
      <w:textAlignment w:val="center"/>
    </w:pPr>
    <w:rPr>
      <w:rFonts w:ascii="Aptos" w:eastAsia="Times New Roman" w:hAnsi="Aptos" w:cs="Times New Roman"/>
      <w:szCs w:val="24"/>
    </w:rPr>
  </w:style>
  <w:style w:type="paragraph" w:customStyle="1" w:styleId="xl100">
    <w:name w:val="xl100"/>
    <w:basedOn w:val="Normal"/>
    <w:rsid w:val="00972E95"/>
    <w:pPr>
      <w:spacing w:before="100" w:beforeAutospacing="1" w:after="100" w:afterAutospacing="1" w:line="240" w:lineRule="auto"/>
      <w:ind w:firstLine="0"/>
      <w:jc w:val="center"/>
    </w:pPr>
    <w:rPr>
      <w:rFonts w:ascii="Aptos" w:eastAsia="Times New Roman" w:hAnsi="Aptos" w:cs="Times New Roman"/>
      <w:szCs w:val="24"/>
    </w:rPr>
  </w:style>
  <w:style w:type="paragraph" w:customStyle="1" w:styleId="xl101">
    <w:name w:val="xl101"/>
    <w:basedOn w:val="Normal"/>
    <w:rsid w:val="00972E95"/>
    <w:pP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102">
    <w:name w:val="xl102"/>
    <w:basedOn w:val="Normal"/>
    <w:rsid w:val="00972E95"/>
    <w:pPr>
      <w:spacing w:before="100" w:beforeAutospacing="1" w:after="100" w:afterAutospacing="1" w:line="240" w:lineRule="auto"/>
      <w:ind w:firstLine="0"/>
      <w:jc w:val="center"/>
      <w:textAlignment w:val="center"/>
    </w:pPr>
    <w:rPr>
      <w:rFonts w:ascii="Times New Roman" w:eastAsia="Times New Roman" w:hAnsi="Times New Roman" w:cs="Times New Roman"/>
      <w:szCs w:val="24"/>
    </w:rPr>
  </w:style>
  <w:style w:type="paragraph" w:customStyle="1" w:styleId="xl103">
    <w:name w:val="xl103"/>
    <w:basedOn w:val="Normal"/>
    <w:rsid w:val="00972E95"/>
    <w:pPr>
      <w:shd w:val="clear" w:color="000000" w:fill="FFC000"/>
      <w:spacing w:before="100" w:beforeAutospacing="1" w:after="100" w:afterAutospacing="1" w:line="240" w:lineRule="auto"/>
      <w:ind w:firstLine="0"/>
      <w:jc w:val="center"/>
      <w:textAlignment w:val="center"/>
    </w:pPr>
    <w:rPr>
      <w:rFonts w:ascii="Aptos" w:eastAsia="Times New Roman" w:hAnsi="Aptos" w:cs="Times New Roman"/>
      <w:szCs w:val="24"/>
    </w:rPr>
  </w:style>
  <w:style w:type="paragraph" w:customStyle="1" w:styleId="xl104">
    <w:name w:val="xl104"/>
    <w:basedOn w:val="Normal"/>
    <w:rsid w:val="00972E95"/>
    <w:pPr>
      <w:shd w:val="clear" w:color="000000" w:fill="DAF2D0"/>
      <w:spacing w:before="100" w:beforeAutospacing="1" w:after="100" w:afterAutospacing="1" w:line="240" w:lineRule="auto"/>
      <w:ind w:firstLine="0"/>
      <w:jc w:val="center"/>
      <w:textAlignment w:val="center"/>
    </w:pPr>
    <w:rPr>
      <w:rFonts w:ascii="Aptos" w:eastAsia="Times New Roman" w:hAnsi="Aptos" w:cs="Times New Roman"/>
      <w:b/>
      <w:bCs/>
      <w:szCs w:val="24"/>
    </w:rPr>
  </w:style>
  <w:style w:type="paragraph" w:customStyle="1" w:styleId="xl105">
    <w:name w:val="xl105"/>
    <w:basedOn w:val="Normal"/>
    <w:rsid w:val="00972E95"/>
    <w:pPr>
      <w:spacing w:before="100" w:beforeAutospacing="1" w:after="100" w:afterAutospacing="1" w:line="240" w:lineRule="auto"/>
      <w:ind w:firstLine="0"/>
      <w:textAlignment w:val="center"/>
    </w:pPr>
    <w:rPr>
      <w:rFonts w:ascii="Aptos" w:eastAsia="Times New Roman" w:hAnsi="Aptos" w:cs="Times New Roman"/>
      <w:b/>
      <w:bCs/>
      <w:szCs w:val="24"/>
    </w:rPr>
  </w:style>
  <w:style w:type="paragraph" w:customStyle="1" w:styleId="xl106">
    <w:name w:val="xl106"/>
    <w:basedOn w:val="Normal"/>
    <w:rsid w:val="00972E95"/>
    <w:pPr>
      <w:shd w:val="clear" w:color="000000" w:fill="FBE2D5"/>
      <w:spacing w:before="100" w:beforeAutospacing="1" w:after="100" w:afterAutospacing="1" w:line="240" w:lineRule="auto"/>
      <w:ind w:firstLine="0"/>
      <w:jc w:val="center"/>
      <w:textAlignment w:val="center"/>
    </w:pPr>
    <w:rPr>
      <w:rFonts w:ascii="Times New Roman" w:eastAsia="Times New Roman" w:hAnsi="Times New Roman" w:cs="Times New Roman"/>
      <w:b/>
      <w:bCs/>
      <w:szCs w:val="24"/>
    </w:rPr>
  </w:style>
  <w:style w:type="paragraph" w:customStyle="1" w:styleId="xl107">
    <w:name w:val="xl107"/>
    <w:basedOn w:val="Normal"/>
    <w:rsid w:val="00972E95"/>
    <w:pPr>
      <w:spacing w:before="100" w:beforeAutospacing="1" w:after="100" w:afterAutospacing="1" w:line="240" w:lineRule="auto"/>
      <w:ind w:firstLine="0"/>
      <w:jc w:val="center"/>
      <w:textAlignment w:val="center"/>
    </w:pPr>
    <w:rPr>
      <w:rFonts w:ascii="Aptos" w:eastAsia="Times New Roman" w:hAnsi="Aptos" w:cs="Times New Roman"/>
      <w:b/>
      <w:bCs/>
      <w:szCs w:val="24"/>
    </w:rPr>
  </w:style>
  <w:style w:type="paragraph" w:styleId="NormalWeb">
    <w:name w:val="Normal (Web)"/>
    <w:basedOn w:val="Normal"/>
    <w:uiPriority w:val="99"/>
    <w:semiHidden/>
    <w:unhideWhenUsed/>
    <w:rsid w:val="00060A97"/>
    <w:rPr>
      <w:rFonts w:ascii="Times New Roman" w:hAnsi="Times New Roman" w:cs="Times New Roman"/>
      <w:szCs w:val="24"/>
    </w:rPr>
  </w:style>
  <w:style w:type="character" w:styleId="LineNumber">
    <w:name w:val="line number"/>
    <w:basedOn w:val="DefaultParagraphFont"/>
    <w:uiPriority w:val="99"/>
    <w:semiHidden/>
    <w:unhideWhenUsed/>
    <w:rsid w:val="00C52F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98663">
      <w:bodyDiv w:val="1"/>
      <w:marLeft w:val="0"/>
      <w:marRight w:val="0"/>
      <w:marTop w:val="0"/>
      <w:marBottom w:val="0"/>
      <w:divBdr>
        <w:top w:val="none" w:sz="0" w:space="0" w:color="auto"/>
        <w:left w:val="none" w:sz="0" w:space="0" w:color="auto"/>
        <w:bottom w:val="none" w:sz="0" w:space="0" w:color="auto"/>
        <w:right w:val="none" w:sz="0" w:space="0" w:color="auto"/>
      </w:divBdr>
    </w:div>
    <w:div w:id="39788843">
      <w:bodyDiv w:val="1"/>
      <w:marLeft w:val="0"/>
      <w:marRight w:val="0"/>
      <w:marTop w:val="0"/>
      <w:marBottom w:val="0"/>
      <w:divBdr>
        <w:top w:val="none" w:sz="0" w:space="0" w:color="auto"/>
        <w:left w:val="none" w:sz="0" w:space="0" w:color="auto"/>
        <w:bottom w:val="none" w:sz="0" w:space="0" w:color="auto"/>
        <w:right w:val="none" w:sz="0" w:space="0" w:color="auto"/>
      </w:divBdr>
    </w:div>
    <w:div w:id="65491430">
      <w:bodyDiv w:val="1"/>
      <w:marLeft w:val="0"/>
      <w:marRight w:val="0"/>
      <w:marTop w:val="0"/>
      <w:marBottom w:val="0"/>
      <w:divBdr>
        <w:top w:val="none" w:sz="0" w:space="0" w:color="auto"/>
        <w:left w:val="none" w:sz="0" w:space="0" w:color="auto"/>
        <w:bottom w:val="none" w:sz="0" w:space="0" w:color="auto"/>
        <w:right w:val="none" w:sz="0" w:space="0" w:color="auto"/>
      </w:divBdr>
    </w:div>
    <w:div w:id="199057249">
      <w:bodyDiv w:val="1"/>
      <w:marLeft w:val="0"/>
      <w:marRight w:val="0"/>
      <w:marTop w:val="0"/>
      <w:marBottom w:val="0"/>
      <w:divBdr>
        <w:top w:val="none" w:sz="0" w:space="0" w:color="auto"/>
        <w:left w:val="none" w:sz="0" w:space="0" w:color="auto"/>
        <w:bottom w:val="none" w:sz="0" w:space="0" w:color="auto"/>
        <w:right w:val="none" w:sz="0" w:space="0" w:color="auto"/>
      </w:divBdr>
    </w:div>
    <w:div w:id="259528388">
      <w:bodyDiv w:val="1"/>
      <w:marLeft w:val="0"/>
      <w:marRight w:val="0"/>
      <w:marTop w:val="0"/>
      <w:marBottom w:val="0"/>
      <w:divBdr>
        <w:top w:val="none" w:sz="0" w:space="0" w:color="auto"/>
        <w:left w:val="none" w:sz="0" w:space="0" w:color="auto"/>
        <w:bottom w:val="none" w:sz="0" w:space="0" w:color="auto"/>
        <w:right w:val="none" w:sz="0" w:space="0" w:color="auto"/>
      </w:divBdr>
    </w:div>
    <w:div w:id="271059026">
      <w:bodyDiv w:val="1"/>
      <w:marLeft w:val="0"/>
      <w:marRight w:val="0"/>
      <w:marTop w:val="0"/>
      <w:marBottom w:val="0"/>
      <w:divBdr>
        <w:top w:val="none" w:sz="0" w:space="0" w:color="auto"/>
        <w:left w:val="none" w:sz="0" w:space="0" w:color="auto"/>
        <w:bottom w:val="none" w:sz="0" w:space="0" w:color="auto"/>
        <w:right w:val="none" w:sz="0" w:space="0" w:color="auto"/>
      </w:divBdr>
    </w:div>
    <w:div w:id="282422261">
      <w:bodyDiv w:val="1"/>
      <w:marLeft w:val="0"/>
      <w:marRight w:val="0"/>
      <w:marTop w:val="0"/>
      <w:marBottom w:val="0"/>
      <w:divBdr>
        <w:top w:val="none" w:sz="0" w:space="0" w:color="auto"/>
        <w:left w:val="none" w:sz="0" w:space="0" w:color="auto"/>
        <w:bottom w:val="none" w:sz="0" w:space="0" w:color="auto"/>
        <w:right w:val="none" w:sz="0" w:space="0" w:color="auto"/>
      </w:divBdr>
    </w:div>
    <w:div w:id="318970337">
      <w:bodyDiv w:val="1"/>
      <w:marLeft w:val="0"/>
      <w:marRight w:val="0"/>
      <w:marTop w:val="0"/>
      <w:marBottom w:val="0"/>
      <w:divBdr>
        <w:top w:val="none" w:sz="0" w:space="0" w:color="auto"/>
        <w:left w:val="none" w:sz="0" w:space="0" w:color="auto"/>
        <w:bottom w:val="none" w:sz="0" w:space="0" w:color="auto"/>
        <w:right w:val="none" w:sz="0" w:space="0" w:color="auto"/>
      </w:divBdr>
    </w:div>
    <w:div w:id="345787403">
      <w:bodyDiv w:val="1"/>
      <w:marLeft w:val="0"/>
      <w:marRight w:val="0"/>
      <w:marTop w:val="0"/>
      <w:marBottom w:val="0"/>
      <w:divBdr>
        <w:top w:val="none" w:sz="0" w:space="0" w:color="auto"/>
        <w:left w:val="none" w:sz="0" w:space="0" w:color="auto"/>
        <w:bottom w:val="none" w:sz="0" w:space="0" w:color="auto"/>
        <w:right w:val="none" w:sz="0" w:space="0" w:color="auto"/>
      </w:divBdr>
    </w:div>
    <w:div w:id="351152945">
      <w:bodyDiv w:val="1"/>
      <w:marLeft w:val="0"/>
      <w:marRight w:val="0"/>
      <w:marTop w:val="0"/>
      <w:marBottom w:val="0"/>
      <w:divBdr>
        <w:top w:val="none" w:sz="0" w:space="0" w:color="auto"/>
        <w:left w:val="none" w:sz="0" w:space="0" w:color="auto"/>
        <w:bottom w:val="none" w:sz="0" w:space="0" w:color="auto"/>
        <w:right w:val="none" w:sz="0" w:space="0" w:color="auto"/>
      </w:divBdr>
    </w:div>
    <w:div w:id="392853944">
      <w:bodyDiv w:val="1"/>
      <w:marLeft w:val="0"/>
      <w:marRight w:val="0"/>
      <w:marTop w:val="0"/>
      <w:marBottom w:val="0"/>
      <w:divBdr>
        <w:top w:val="none" w:sz="0" w:space="0" w:color="auto"/>
        <w:left w:val="none" w:sz="0" w:space="0" w:color="auto"/>
        <w:bottom w:val="none" w:sz="0" w:space="0" w:color="auto"/>
        <w:right w:val="none" w:sz="0" w:space="0" w:color="auto"/>
      </w:divBdr>
    </w:div>
    <w:div w:id="416636422">
      <w:bodyDiv w:val="1"/>
      <w:marLeft w:val="0"/>
      <w:marRight w:val="0"/>
      <w:marTop w:val="0"/>
      <w:marBottom w:val="0"/>
      <w:divBdr>
        <w:top w:val="none" w:sz="0" w:space="0" w:color="auto"/>
        <w:left w:val="none" w:sz="0" w:space="0" w:color="auto"/>
        <w:bottom w:val="none" w:sz="0" w:space="0" w:color="auto"/>
        <w:right w:val="none" w:sz="0" w:space="0" w:color="auto"/>
      </w:divBdr>
    </w:div>
    <w:div w:id="440804579">
      <w:bodyDiv w:val="1"/>
      <w:marLeft w:val="0"/>
      <w:marRight w:val="0"/>
      <w:marTop w:val="0"/>
      <w:marBottom w:val="0"/>
      <w:divBdr>
        <w:top w:val="none" w:sz="0" w:space="0" w:color="auto"/>
        <w:left w:val="none" w:sz="0" w:space="0" w:color="auto"/>
        <w:bottom w:val="none" w:sz="0" w:space="0" w:color="auto"/>
        <w:right w:val="none" w:sz="0" w:space="0" w:color="auto"/>
      </w:divBdr>
    </w:div>
    <w:div w:id="499781399">
      <w:bodyDiv w:val="1"/>
      <w:marLeft w:val="0"/>
      <w:marRight w:val="0"/>
      <w:marTop w:val="0"/>
      <w:marBottom w:val="0"/>
      <w:divBdr>
        <w:top w:val="none" w:sz="0" w:space="0" w:color="auto"/>
        <w:left w:val="none" w:sz="0" w:space="0" w:color="auto"/>
        <w:bottom w:val="none" w:sz="0" w:space="0" w:color="auto"/>
        <w:right w:val="none" w:sz="0" w:space="0" w:color="auto"/>
      </w:divBdr>
    </w:div>
    <w:div w:id="500972881">
      <w:bodyDiv w:val="1"/>
      <w:marLeft w:val="0"/>
      <w:marRight w:val="0"/>
      <w:marTop w:val="0"/>
      <w:marBottom w:val="0"/>
      <w:divBdr>
        <w:top w:val="none" w:sz="0" w:space="0" w:color="auto"/>
        <w:left w:val="none" w:sz="0" w:space="0" w:color="auto"/>
        <w:bottom w:val="none" w:sz="0" w:space="0" w:color="auto"/>
        <w:right w:val="none" w:sz="0" w:space="0" w:color="auto"/>
      </w:divBdr>
    </w:div>
    <w:div w:id="502552568">
      <w:bodyDiv w:val="1"/>
      <w:marLeft w:val="0"/>
      <w:marRight w:val="0"/>
      <w:marTop w:val="0"/>
      <w:marBottom w:val="0"/>
      <w:divBdr>
        <w:top w:val="none" w:sz="0" w:space="0" w:color="auto"/>
        <w:left w:val="none" w:sz="0" w:space="0" w:color="auto"/>
        <w:bottom w:val="none" w:sz="0" w:space="0" w:color="auto"/>
        <w:right w:val="none" w:sz="0" w:space="0" w:color="auto"/>
      </w:divBdr>
    </w:div>
    <w:div w:id="541286964">
      <w:bodyDiv w:val="1"/>
      <w:marLeft w:val="0"/>
      <w:marRight w:val="0"/>
      <w:marTop w:val="0"/>
      <w:marBottom w:val="0"/>
      <w:divBdr>
        <w:top w:val="none" w:sz="0" w:space="0" w:color="auto"/>
        <w:left w:val="none" w:sz="0" w:space="0" w:color="auto"/>
        <w:bottom w:val="none" w:sz="0" w:space="0" w:color="auto"/>
        <w:right w:val="none" w:sz="0" w:space="0" w:color="auto"/>
      </w:divBdr>
    </w:div>
    <w:div w:id="621696426">
      <w:bodyDiv w:val="1"/>
      <w:marLeft w:val="0"/>
      <w:marRight w:val="0"/>
      <w:marTop w:val="0"/>
      <w:marBottom w:val="0"/>
      <w:divBdr>
        <w:top w:val="none" w:sz="0" w:space="0" w:color="auto"/>
        <w:left w:val="none" w:sz="0" w:space="0" w:color="auto"/>
        <w:bottom w:val="none" w:sz="0" w:space="0" w:color="auto"/>
        <w:right w:val="none" w:sz="0" w:space="0" w:color="auto"/>
      </w:divBdr>
    </w:div>
    <w:div w:id="673653605">
      <w:bodyDiv w:val="1"/>
      <w:marLeft w:val="0"/>
      <w:marRight w:val="0"/>
      <w:marTop w:val="0"/>
      <w:marBottom w:val="0"/>
      <w:divBdr>
        <w:top w:val="none" w:sz="0" w:space="0" w:color="auto"/>
        <w:left w:val="none" w:sz="0" w:space="0" w:color="auto"/>
        <w:bottom w:val="none" w:sz="0" w:space="0" w:color="auto"/>
        <w:right w:val="none" w:sz="0" w:space="0" w:color="auto"/>
      </w:divBdr>
    </w:div>
    <w:div w:id="689264413">
      <w:bodyDiv w:val="1"/>
      <w:marLeft w:val="0"/>
      <w:marRight w:val="0"/>
      <w:marTop w:val="0"/>
      <w:marBottom w:val="0"/>
      <w:divBdr>
        <w:top w:val="none" w:sz="0" w:space="0" w:color="auto"/>
        <w:left w:val="none" w:sz="0" w:space="0" w:color="auto"/>
        <w:bottom w:val="none" w:sz="0" w:space="0" w:color="auto"/>
        <w:right w:val="none" w:sz="0" w:space="0" w:color="auto"/>
      </w:divBdr>
    </w:div>
    <w:div w:id="761683209">
      <w:bodyDiv w:val="1"/>
      <w:marLeft w:val="0"/>
      <w:marRight w:val="0"/>
      <w:marTop w:val="0"/>
      <w:marBottom w:val="0"/>
      <w:divBdr>
        <w:top w:val="none" w:sz="0" w:space="0" w:color="auto"/>
        <w:left w:val="none" w:sz="0" w:space="0" w:color="auto"/>
        <w:bottom w:val="none" w:sz="0" w:space="0" w:color="auto"/>
        <w:right w:val="none" w:sz="0" w:space="0" w:color="auto"/>
      </w:divBdr>
    </w:div>
    <w:div w:id="778450400">
      <w:bodyDiv w:val="1"/>
      <w:marLeft w:val="0"/>
      <w:marRight w:val="0"/>
      <w:marTop w:val="0"/>
      <w:marBottom w:val="0"/>
      <w:divBdr>
        <w:top w:val="none" w:sz="0" w:space="0" w:color="auto"/>
        <w:left w:val="none" w:sz="0" w:space="0" w:color="auto"/>
        <w:bottom w:val="none" w:sz="0" w:space="0" w:color="auto"/>
        <w:right w:val="none" w:sz="0" w:space="0" w:color="auto"/>
      </w:divBdr>
    </w:div>
    <w:div w:id="809782051">
      <w:bodyDiv w:val="1"/>
      <w:marLeft w:val="0"/>
      <w:marRight w:val="0"/>
      <w:marTop w:val="0"/>
      <w:marBottom w:val="0"/>
      <w:divBdr>
        <w:top w:val="none" w:sz="0" w:space="0" w:color="auto"/>
        <w:left w:val="none" w:sz="0" w:space="0" w:color="auto"/>
        <w:bottom w:val="none" w:sz="0" w:space="0" w:color="auto"/>
        <w:right w:val="none" w:sz="0" w:space="0" w:color="auto"/>
      </w:divBdr>
    </w:div>
    <w:div w:id="912932139">
      <w:bodyDiv w:val="1"/>
      <w:marLeft w:val="0"/>
      <w:marRight w:val="0"/>
      <w:marTop w:val="0"/>
      <w:marBottom w:val="0"/>
      <w:divBdr>
        <w:top w:val="none" w:sz="0" w:space="0" w:color="auto"/>
        <w:left w:val="none" w:sz="0" w:space="0" w:color="auto"/>
        <w:bottom w:val="none" w:sz="0" w:space="0" w:color="auto"/>
        <w:right w:val="none" w:sz="0" w:space="0" w:color="auto"/>
      </w:divBdr>
    </w:div>
    <w:div w:id="920408856">
      <w:bodyDiv w:val="1"/>
      <w:marLeft w:val="0"/>
      <w:marRight w:val="0"/>
      <w:marTop w:val="0"/>
      <w:marBottom w:val="0"/>
      <w:divBdr>
        <w:top w:val="none" w:sz="0" w:space="0" w:color="auto"/>
        <w:left w:val="none" w:sz="0" w:space="0" w:color="auto"/>
        <w:bottom w:val="none" w:sz="0" w:space="0" w:color="auto"/>
        <w:right w:val="none" w:sz="0" w:space="0" w:color="auto"/>
      </w:divBdr>
    </w:div>
    <w:div w:id="969282924">
      <w:bodyDiv w:val="1"/>
      <w:marLeft w:val="0"/>
      <w:marRight w:val="0"/>
      <w:marTop w:val="0"/>
      <w:marBottom w:val="0"/>
      <w:divBdr>
        <w:top w:val="none" w:sz="0" w:space="0" w:color="auto"/>
        <w:left w:val="none" w:sz="0" w:space="0" w:color="auto"/>
        <w:bottom w:val="none" w:sz="0" w:space="0" w:color="auto"/>
        <w:right w:val="none" w:sz="0" w:space="0" w:color="auto"/>
      </w:divBdr>
    </w:div>
    <w:div w:id="1025792686">
      <w:bodyDiv w:val="1"/>
      <w:marLeft w:val="0"/>
      <w:marRight w:val="0"/>
      <w:marTop w:val="0"/>
      <w:marBottom w:val="0"/>
      <w:divBdr>
        <w:top w:val="none" w:sz="0" w:space="0" w:color="auto"/>
        <w:left w:val="none" w:sz="0" w:space="0" w:color="auto"/>
        <w:bottom w:val="none" w:sz="0" w:space="0" w:color="auto"/>
        <w:right w:val="none" w:sz="0" w:space="0" w:color="auto"/>
      </w:divBdr>
    </w:div>
    <w:div w:id="1184512874">
      <w:bodyDiv w:val="1"/>
      <w:marLeft w:val="0"/>
      <w:marRight w:val="0"/>
      <w:marTop w:val="0"/>
      <w:marBottom w:val="0"/>
      <w:divBdr>
        <w:top w:val="none" w:sz="0" w:space="0" w:color="auto"/>
        <w:left w:val="none" w:sz="0" w:space="0" w:color="auto"/>
        <w:bottom w:val="none" w:sz="0" w:space="0" w:color="auto"/>
        <w:right w:val="none" w:sz="0" w:space="0" w:color="auto"/>
      </w:divBdr>
    </w:div>
    <w:div w:id="1250196640">
      <w:bodyDiv w:val="1"/>
      <w:marLeft w:val="0"/>
      <w:marRight w:val="0"/>
      <w:marTop w:val="0"/>
      <w:marBottom w:val="0"/>
      <w:divBdr>
        <w:top w:val="none" w:sz="0" w:space="0" w:color="auto"/>
        <w:left w:val="none" w:sz="0" w:space="0" w:color="auto"/>
        <w:bottom w:val="none" w:sz="0" w:space="0" w:color="auto"/>
        <w:right w:val="none" w:sz="0" w:space="0" w:color="auto"/>
      </w:divBdr>
    </w:div>
    <w:div w:id="1266380182">
      <w:bodyDiv w:val="1"/>
      <w:marLeft w:val="0"/>
      <w:marRight w:val="0"/>
      <w:marTop w:val="0"/>
      <w:marBottom w:val="0"/>
      <w:divBdr>
        <w:top w:val="none" w:sz="0" w:space="0" w:color="auto"/>
        <w:left w:val="none" w:sz="0" w:space="0" w:color="auto"/>
        <w:bottom w:val="none" w:sz="0" w:space="0" w:color="auto"/>
        <w:right w:val="none" w:sz="0" w:space="0" w:color="auto"/>
      </w:divBdr>
    </w:div>
    <w:div w:id="1301378066">
      <w:bodyDiv w:val="1"/>
      <w:marLeft w:val="0"/>
      <w:marRight w:val="0"/>
      <w:marTop w:val="0"/>
      <w:marBottom w:val="0"/>
      <w:divBdr>
        <w:top w:val="none" w:sz="0" w:space="0" w:color="auto"/>
        <w:left w:val="none" w:sz="0" w:space="0" w:color="auto"/>
        <w:bottom w:val="none" w:sz="0" w:space="0" w:color="auto"/>
        <w:right w:val="none" w:sz="0" w:space="0" w:color="auto"/>
      </w:divBdr>
    </w:div>
    <w:div w:id="1344672447">
      <w:bodyDiv w:val="1"/>
      <w:marLeft w:val="0"/>
      <w:marRight w:val="0"/>
      <w:marTop w:val="0"/>
      <w:marBottom w:val="0"/>
      <w:divBdr>
        <w:top w:val="none" w:sz="0" w:space="0" w:color="auto"/>
        <w:left w:val="none" w:sz="0" w:space="0" w:color="auto"/>
        <w:bottom w:val="none" w:sz="0" w:space="0" w:color="auto"/>
        <w:right w:val="none" w:sz="0" w:space="0" w:color="auto"/>
      </w:divBdr>
    </w:div>
    <w:div w:id="1359551800">
      <w:bodyDiv w:val="1"/>
      <w:marLeft w:val="0"/>
      <w:marRight w:val="0"/>
      <w:marTop w:val="0"/>
      <w:marBottom w:val="0"/>
      <w:divBdr>
        <w:top w:val="none" w:sz="0" w:space="0" w:color="auto"/>
        <w:left w:val="none" w:sz="0" w:space="0" w:color="auto"/>
        <w:bottom w:val="none" w:sz="0" w:space="0" w:color="auto"/>
        <w:right w:val="none" w:sz="0" w:space="0" w:color="auto"/>
      </w:divBdr>
    </w:div>
    <w:div w:id="1386952328">
      <w:bodyDiv w:val="1"/>
      <w:marLeft w:val="0"/>
      <w:marRight w:val="0"/>
      <w:marTop w:val="0"/>
      <w:marBottom w:val="0"/>
      <w:divBdr>
        <w:top w:val="none" w:sz="0" w:space="0" w:color="auto"/>
        <w:left w:val="none" w:sz="0" w:space="0" w:color="auto"/>
        <w:bottom w:val="none" w:sz="0" w:space="0" w:color="auto"/>
        <w:right w:val="none" w:sz="0" w:space="0" w:color="auto"/>
      </w:divBdr>
    </w:div>
    <w:div w:id="1424717173">
      <w:bodyDiv w:val="1"/>
      <w:marLeft w:val="0"/>
      <w:marRight w:val="0"/>
      <w:marTop w:val="0"/>
      <w:marBottom w:val="0"/>
      <w:divBdr>
        <w:top w:val="none" w:sz="0" w:space="0" w:color="auto"/>
        <w:left w:val="none" w:sz="0" w:space="0" w:color="auto"/>
        <w:bottom w:val="none" w:sz="0" w:space="0" w:color="auto"/>
        <w:right w:val="none" w:sz="0" w:space="0" w:color="auto"/>
      </w:divBdr>
    </w:div>
    <w:div w:id="1505630972">
      <w:bodyDiv w:val="1"/>
      <w:marLeft w:val="0"/>
      <w:marRight w:val="0"/>
      <w:marTop w:val="0"/>
      <w:marBottom w:val="0"/>
      <w:divBdr>
        <w:top w:val="none" w:sz="0" w:space="0" w:color="auto"/>
        <w:left w:val="none" w:sz="0" w:space="0" w:color="auto"/>
        <w:bottom w:val="none" w:sz="0" w:space="0" w:color="auto"/>
        <w:right w:val="none" w:sz="0" w:space="0" w:color="auto"/>
      </w:divBdr>
    </w:div>
    <w:div w:id="1507134417">
      <w:bodyDiv w:val="1"/>
      <w:marLeft w:val="0"/>
      <w:marRight w:val="0"/>
      <w:marTop w:val="0"/>
      <w:marBottom w:val="0"/>
      <w:divBdr>
        <w:top w:val="none" w:sz="0" w:space="0" w:color="auto"/>
        <w:left w:val="none" w:sz="0" w:space="0" w:color="auto"/>
        <w:bottom w:val="none" w:sz="0" w:space="0" w:color="auto"/>
        <w:right w:val="none" w:sz="0" w:space="0" w:color="auto"/>
      </w:divBdr>
    </w:div>
    <w:div w:id="1527131619">
      <w:bodyDiv w:val="1"/>
      <w:marLeft w:val="0"/>
      <w:marRight w:val="0"/>
      <w:marTop w:val="0"/>
      <w:marBottom w:val="0"/>
      <w:divBdr>
        <w:top w:val="none" w:sz="0" w:space="0" w:color="auto"/>
        <w:left w:val="none" w:sz="0" w:space="0" w:color="auto"/>
        <w:bottom w:val="none" w:sz="0" w:space="0" w:color="auto"/>
        <w:right w:val="none" w:sz="0" w:space="0" w:color="auto"/>
      </w:divBdr>
    </w:div>
    <w:div w:id="1530947665">
      <w:bodyDiv w:val="1"/>
      <w:marLeft w:val="0"/>
      <w:marRight w:val="0"/>
      <w:marTop w:val="0"/>
      <w:marBottom w:val="0"/>
      <w:divBdr>
        <w:top w:val="none" w:sz="0" w:space="0" w:color="auto"/>
        <w:left w:val="none" w:sz="0" w:space="0" w:color="auto"/>
        <w:bottom w:val="none" w:sz="0" w:space="0" w:color="auto"/>
        <w:right w:val="none" w:sz="0" w:space="0" w:color="auto"/>
      </w:divBdr>
      <w:divsChild>
        <w:div w:id="927738053">
          <w:marLeft w:val="547"/>
          <w:marRight w:val="0"/>
          <w:marTop w:val="200"/>
          <w:marBottom w:val="0"/>
          <w:divBdr>
            <w:top w:val="none" w:sz="0" w:space="0" w:color="auto"/>
            <w:left w:val="none" w:sz="0" w:space="0" w:color="auto"/>
            <w:bottom w:val="none" w:sz="0" w:space="0" w:color="auto"/>
            <w:right w:val="none" w:sz="0" w:space="0" w:color="auto"/>
          </w:divBdr>
        </w:div>
        <w:div w:id="1892380023">
          <w:marLeft w:val="547"/>
          <w:marRight w:val="0"/>
          <w:marTop w:val="200"/>
          <w:marBottom w:val="0"/>
          <w:divBdr>
            <w:top w:val="none" w:sz="0" w:space="0" w:color="auto"/>
            <w:left w:val="none" w:sz="0" w:space="0" w:color="auto"/>
            <w:bottom w:val="none" w:sz="0" w:space="0" w:color="auto"/>
            <w:right w:val="none" w:sz="0" w:space="0" w:color="auto"/>
          </w:divBdr>
        </w:div>
        <w:div w:id="2132239286">
          <w:marLeft w:val="547"/>
          <w:marRight w:val="0"/>
          <w:marTop w:val="200"/>
          <w:marBottom w:val="0"/>
          <w:divBdr>
            <w:top w:val="none" w:sz="0" w:space="0" w:color="auto"/>
            <w:left w:val="none" w:sz="0" w:space="0" w:color="auto"/>
            <w:bottom w:val="none" w:sz="0" w:space="0" w:color="auto"/>
            <w:right w:val="none" w:sz="0" w:space="0" w:color="auto"/>
          </w:divBdr>
        </w:div>
        <w:div w:id="96409425">
          <w:marLeft w:val="547"/>
          <w:marRight w:val="0"/>
          <w:marTop w:val="200"/>
          <w:marBottom w:val="0"/>
          <w:divBdr>
            <w:top w:val="none" w:sz="0" w:space="0" w:color="auto"/>
            <w:left w:val="none" w:sz="0" w:space="0" w:color="auto"/>
            <w:bottom w:val="none" w:sz="0" w:space="0" w:color="auto"/>
            <w:right w:val="none" w:sz="0" w:space="0" w:color="auto"/>
          </w:divBdr>
        </w:div>
        <w:div w:id="1679388675">
          <w:marLeft w:val="547"/>
          <w:marRight w:val="0"/>
          <w:marTop w:val="200"/>
          <w:marBottom w:val="0"/>
          <w:divBdr>
            <w:top w:val="none" w:sz="0" w:space="0" w:color="auto"/>
            <w:left w:val="none" w:sz="0" w:space="0" w:color="auto"/>
            <w:bottom w:val="none" w:sz="0" w:space="0" w:color="auto"/>
            <w:right w:val="none" w:sz="0" w:space="0" w:color="auto"/>
          </w:divBdr>
        </w:div>
      </w:divsChild>
    </w:div>
    <w:div w:id="1550605708">
      <w:bodyDiv w:val="1"/>
      <w:marLeft w:val="0"/>
      <w:marRight w:val="0"/>
      <w:marTop w:val="0"/>
      <w:marBottom w:val="0"/>
      <w:divBdr>
        <w:top w:val="none" w:sz="0" w:space="0" w:color="auto"/>
        <w:left w:val="none" w:sz="0" w:space="0" w:color="auto"/>
        <w:bottom w:val="none" w:sz="0" w:space="0" w:color="auto"/>
        <w:right w:val="none" w:sz="0" w:space="0" w:color="auto"/>
      </w:divBdr>
    </w:div>
    <w:div w:id="1551455864">
      <w:bodyDiv w:val="1"/>
      <w:marLeft w:val="0"/>
      <w:marRight w:val="0"/>
      <w:marTop w:val="0"/>
      <w:marBottom w:val="0"/>
      <w:divBdr>
        <w:top w:val="none" w:sz="0" w:space="0" w:color="auto"/>
        <w:left w:val="none" w:sz="0" w:space="0" w:color="auto"/>
        <w:bottom w:val="none" w:sz="0" w:space="0" w:color="auto"/>
        <w:right w:val="none" w:sz="0" w:space="0" w:color="auto"/>
      </w:divBdr>
    </w:div>
    <w:div w:id="1564561135">
      <w:bodyDiv w:val="1"/>
      <w:marLeft w:val="0"/>
      <w:marRight w:val="0"/>
      <w:marTop w:val="0"/>
      <w:marBottom w:val="0"/>
      <w:divBdr>
        <w:top w:val="none" w:sz="0" w:space="0" w:color="auto"/>
        <w:left w:val="none" w:sz="0" w:space="0" w:color="auto"/>
        <w:bottom w:val="none" w:sz="0" w:space="0" w:color="auto"/>
        <w:right w:val="none" w:sz="0" w:space="0" w:color="auto"/>
      </w:divBdr>
    </w:div>
    <w:div w:id="1571042334">
      <w:bodyDiv w:val="1"/>
      <w:marLeft w:val="0"/>
      <w:marRight w:val="0"/>
      <w:marTop w:val="0"/>
      <w:marBottom w:val="0"/>
      <w:divBdr>
        <w:top w:val="none" w:sz="0" w:space="0" w:color="auto"/>
        <w:left w:val="none" w:sz="0" w:space="0" w:color="auto"/>
        <w:bottom w:val="none" w:sz="0" w:space="0" w:color="auto"/>
        <w:right w:val="none" w:sz="0" w:space="0" w:color="auto"/>
      </w:divBdr>
    </w:div>
    <w:div w:id="1588228648">
      <w:bodyDiv w:val="1"/>
      <w:marLeft w:val="0"/>
      <w:marRight w:val="0"/>
      <w:marTop w:val="0"/>
      <w:marBottom w:val="0"/>
      <w:divBdr>
        <w:top w:val="none" w:sz="0" w:space="0" w:color="auto"/>
        <w:left w:val="none" w:sz="0" w:space="0" w:color="auto"/>
        <w:bottom w:val="none" w:sz="0" w:space="0" w:color="auto"/>
        <w:right w:val="none" w:sz="0" w:space="0" w:color="auto"/>
      </w:divBdr>
    </w:div>
    <w:div w:id="1653221009">
      <w:bodyDiv w:val="1"/>
      <w:marLeft w:val="0"/>
      <w:marRight w:val="0"/>
      <w:marTop w:val="0"/>
      <w:marBottom w:val="0"/>
      <w:divBdr>
        <w:top w:val="none" w:sz="0" w:space="0" w:color="auto"/>
        <w:left w:val="none" w:sz="0" w:space="0" w:color="auto"/>
        <w:bottom w:val="none" w:sz="0" w:space="0" w:color="auto"/>
        <w:right w:val="none" w:sz="0" w:space="0" w:color="auto"/>
      </w:divBdr>
    </w:div>
    <w:div w:id="1672100929">
      <w:bodyDiv w:val="1"/>
      <w:marLeft w:val="0"/>
      <w:marRight w:val="0"/>
      <w:marTop w:val="0"/>
      <w:marBottom w:val="0"/>
      <w:divBdr>
        <w:top w:val="none" w:sz="0" w:space="0" w:color="auto"/>
        <w:left w:val="none" w:sz="0" w:space="0" w:color="auto"/>
        <w:bottom w:val="none" w:sz="0" w:space="0" w:color="auto"/>
        <w:right w:val="none" w:sz="0" w:space="0" w:color="auto"/>
      </w:divBdr>
    </w:div>
    <w:div w:id="1677073125">
      <w:bodyDiv w:val="1"/>
      <w:marLeft w:val="0"/>
      <w:marRight w:val="0"/>
      <w:marTop w:val="0"/>
      <w:marBottom w:val="0"/>
      <w:divBdr>
        <w:top w:val="none" w:sz="0" w:space="0" w:color="auto"/>
        <w:left w:val="none" w:sz="0" w:space="0" w:color="auto"/>
        <w:bottom w:val="none" w:sz="0" w:space="0" w:color="auto"/>
        <w:right w:val="none" w:sz="0" w:space="0" w:color="auto"/>
      </w:divBdr>
    </w:div>
    <w:div w:id="1804619793">
      <w:bodyDiv w:val="1"/>
      <w:marLeft w:val="0"/>
      <w:marRight w:val="0"/>
      <w:marTop w:val="0"/>
      <w:marBottom w:val="0"/>
      <w:divBdr>
        <w:top w:val="none" w:sz="0" w:space="0" w:color="auto"/>
        <w:left w:val="none" w:sz="0" w:space="0" w:color="auto"/>
        <w:bottom w:val="none" w:sz="0" w:space="0" w:color="auto"/>
        <w:right w:val="none" w:sz="0" w:space="0" w:color="auto"/>
      </w:divBdr>
    </w:div>
    <w:div w:id="1852992943">
      <w:bodyDiv w:val="1"/>
      <w:marLeft w:val="0"/>
      <w:marRight w:val="0"/>
      <w:marTop w:val="0"/>
      <w:marBottom w:val="0"/>
      <w:divBdr>
        <w:top w:val="none" w:sz="0" w:space="0" w:color="auto"/>
        <w:left w:val="none" w:sz="0" w:space="0" w:color="auto"/>
        <w:bottom w:val="none" w:sz="0" w:space="0" w:color="auto"/>
        <w:right w:val="none" w:sz="0" w:space="0" w:color="auto"/>
      </w:divBdr>
    </w:div>
    <w:div w:id="1888294664">
      <w:bodyDiv w:val="1"/>
      <w:marLeft w:val="0"/>
      <w:marRight w:val="0"/>
      <w:marTop w:val="0"/>
      <w:marBottom w:val="0"/>
      <w:divBdr>
        <w:top w:val="none" w:sz="0" w:space="0" w:color="auto"/>
        <w:left w:val="none" w:sz="0" w:space="0" w:color="auto"/>
        <w:bottom w:val="none" w:sz="0" w:space="0" w:color="auto"/>
        <w:right w:val="none" w:sz="0" w:space="0" w:color="auto"/>
      </w:divBdr>
    </w:div>
    <w:div w:id="1925841623">
      <w:bodyDiv w:val="1"/>
      <w:marLeft w:val="0"/>
      <w:marRight w:val="0"/>
      <w:marTop w:val="0"/>
      <w:marBottom w:val="0"/>
      <w:divBdr>
        <w:top w:val="none" w:sz="0" w:space="0" w:color="auto"/>
        <w:left w:val="none" w:sz="0" w:space="0" w:color="auto"/>
        <w:bottom w:val="none" w:sz="0" w:space="0" w:color="auto"/>
        <w:right w:val="none" w:sz="0" w:space="0" w:color="auto"/>
      </w:divBdr>
    </w:div>
    <w:div w:id="1943340024">
      <w:bodyDiv w:val="1"/>
      <w:marLeft w:val="0"/>
      <w:marRight w:val="0"/>
      <w:marTop w:val="0"/>
      <w:marBottom w:val="0"/>
      <w:divBdr>
        <w:top w:val="none" w:sz="0" w:space="0" w:color="auto"/>
        <w:left w:val="none" w:sz="0" w:space="0" w:color="auto"/>
        <w:bottom w:val="none" w:sz="0" w:space="0" w:color="auto"/>
        <w:right w:val="none" w:sz="0" w:space="0" w:color="auto"/>
      </w:divBdr>
    </w:div>
    <w:div w:id="2019889961">
      <w:bodyDiv w:val="1"/>
      <w:marLeft w:val="0"/>
      <w:marRight w:val="0"/>
      <w:marTop w:val="0"/>
      <w:marBottom w:val="0"/>
      <w:divBdr>
        <w:top w:val="none" w:sz="0" w:space="0" w:color="auto"/>
        <w:left w:val="none" w:sz="0" w:space="0" w:color="auto"/>
        <w:bottom w:val="none" w:sz="0" w:space="0" w:color="auto"/>
        <w:right w:val="none" w:sz="0" w:space="0" w:color="auto"/>
      </w:divBdr>
    </w:div>
    <w:div w:id="2055502029">
      <w:bodyDiv w:val="1"/>
      <w:marLeft w:val="0"/>
      <w:marRight w:val="0"/>
      <w:marTop w:val="0"/>
      <w:marBottom w:val="0"/>
      <w:divBdr>
        <w:top w:val="none" w:sz="0" w:space="0" w:color="auto"/>
        <w:left w:val="none" w:sz="0" w:space="0" w:color="auto"/>
        <w:bottom w:val="none" w:sz="0" w:space="0" w:color="auto"/>
        <w:right w:val="none" w:sz="0" w:space="0" w:color="auto"/>
      </w:divBdr>
    </w:div>
    <w:div w:id="2067944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tyana_Kobets@nymc.edu" TargetMode="External"/><Relationship Id="rId13" Type="http://schemas.openxmlformats.org/officeDocument/2006/relationships/image" Target="media/image4.png"/><Relationship Id="rId18" Type="http://schemas.openxmlformats.org/officeDocument/2006/relationships/hyperlink" Target="https://lcdb.lhasacloud.org/study-information/44482914"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www.ncbi.nlm.nih.gov/pcsubstance?term=%22Chemical%20Carcinogenesis%20Research%20Information%20System%20(CCRIS)%22%5BSourceName%5D%20AND%20hasnohold%5Bfilt%5D"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cdb.lhasacloud.org/study-information/44482914" TargetMode="Externa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image" Target="media/image10.png"/><Relationship Id="rId5" Type="http://schemas.openxmlformats.org/officeDocument/2006/relationships/webSettings" Target="webSettings.xml"/><Relationship Id="rId15" Type="http://schemas.openxmlformats.org/officeDocument/2006/relationships/hyperlink" Target="https://www.ncbi.nlm.nih.gov/pcsubstance?term=%22Chemical%20Carcinogenesis%20Research%20Information%20System%20(CCRIS)%22%5BSourceName%5D%20AND%20hasnohold%5Bfilt%5D" TargetMode="External"/><Relationship Id="rId23" Type="http://schemas.openxmlformats.org/officeDocument/2006/relationships/image" Target="media/image9.png"/><Relationship Id="rId10" Type="http://schemas.openxmlformats.org/officeDocument/2006/relationships/image" Target="media/image1.jpeg"/><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mailto:gary_williams@nymc.edu" TargetMode="External"/><Relationship Id="rId14" Type="http://schemas.openxmlformats.org/officeDocument/2006/relationships/footer" Target="footer1.xml"/><Relationship Id="rId22"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63CAD2-8CE0-42A7-B7C8-3E6C7EADF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6440</TotalTime>
  <Pages>42</Pages>
  <Words>11282</Words>
  <Characters>64312</Characters>
  <Application>Microsoft Office Word</Application>
  <DocSecurity>0</DocSecurity>
  <Lines>535</Lines>
  <Paragraphs>150</Paragraphs>
  <ScaleCrop>false</ScaleCrop>
  <Company/>
  <LinksUpToDate>false</LinksUpToDate>
  <CharactersWithSpaces>75444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Tetyana Cheairs</dc:creator>
  <cp:keywords/>
  <dc:description/>
  <cp:lastModifiedBy>Tetyana Cheairs</cp:lastModifiedBy>
  <cp:revision>2191</cp:revision>
  <cp:lastPrinted>2024-12-11T17:34:00Z</cp:lastPrinted>
  <dcterms:created xsi:type="dcterms:W3CDTF">2024-08-09T03:17:00Z</dcterms:created>
  <dcterms:modified xsi:type="dcterms:W3CDTF">2024-12-16T21:51:00Z</dcterms:modified>
</cp:coreProperties>
</file>