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4567C1" w14:textId="14068EFD" w:rsidR="00ED734F" w:rsidRPr="006C337D" w:rsidRDefault="00F71C1E" w:rsidP="0053305D">
      <w:pPr>
        <w:snapToGrid w:val="0"/>
        <w:spacing w:line="360" w:lineRule="auto"/>
        <w:jc w:val="center"/>
        <w:rPr>
          <w:b/>
          <w:bCs/>
          <w:sz w:val="28"/>
          <w:szCs w:val="28"/>
        </w:rPr>
      </w:pPr>
      <w:r>
        <w:rPr>
          <w:b/>
          <w:bCs/>
          <w:sz w:val="28"/>
          <w:szCs w:val="28"/>
        </w:rPr>
        <w:t>A</w:t>
      </w:r>
      <w:r w:rsidR="0051280F">
        <w:rPr>
          <w:b/>
          <w:bCs/>
          <w:sz w:val="28"/>
          <w:szCs w:val="28"/>
        </w:rPr>
        <w:t>n</w:t>
      </w:r>
      <w:r>
        <w:rPr>
          <w:b/>
          <w:bCs/>
          <w:sz w:val="28"/>
          <w:szCs w:val="28"/>
        </w:rPr>
        <w:t xml:space="preserve"> inter-comparison of Deep Chlorophyll Maxima characteristics </w:t>
      </w:r>
      <w:r w:rsidR="0051280F">
        <w:rPr>
          <w:b/>
          <w:bCs/>
          <w:sz w:val="28"/>
          <w:szCs w:val="28"/>
        </w:rPr>
        <w:t>from 30</w:t>
      </w:r>
      <w:r w:rsidR="00580715">
        <w:rPr>
          <w:b/>
          <w:bCs/>
          <w:sz w:val="28"/>
          <w:szCs w:val="28"/>
        </w:rPr>
        <w:t>°</w:t>
      </w:r>
      <w:r w:rsidR="0051280F">
        <w:rPr>
          <w:b/>
          <w:bCs/>
          <w:sz w:val="28"/>
          <w:szCs w:val="28"/>
        </w:rPr>
        <w:t xml:space="preserve">S to </w:t>
      </w:r>
      <w:r w:rsidR="007538DE">
        <w:rPr>
          <w:b/>
          <w:bCs/>
          <w:sz w:val="28"/>
          <w:szCs w:val="28"/>
        </w:rPr>
        <w:t>7</w:t>
      </w:r>
      <w:r w:rsidR="00B73EEE">
        <w:rPr>
          <w:b/>
          <w:bCs/>
          <w:sz w:val="28"/>
          <w:szCs w:val="28"/>
        </w:rPr>
        <w:t>4</w:t>
      </w:r>
      <w:r w:rsidR="007538DE">
        <w:rPr>
          <w:b/>
          <w:bCs/>
          <w:sz w:val="28"/>
          <w:szCs w:val="28"/>
        </w:rPr>
        <w:t>°</w:t>
      </w:r>
      <w:r w:rsidR="00B963EE">
        <w:rPr>
          <w:b/>
          <w:bCs/>
          <w:sz w:val="28"/>
          <w:szCs w:val="28"/>
        </w:rPr>
        <w:t xml:space="preserve">S </w:t>
      </w:r>
      <w:r>
        <w:rPr>
          <w:b/>
          <w:bCs/>
          <w:sz w:val="28"/>
          <w:szCs w:val="28"/>
        </w:rPr>
        <w:t>and their contribution to Net Primary Production</w:t>
      </w:r>
    </w:p>
    <w:p w14:paraId="51B0A983" w14:textId="0163EEAB" w:rsidR="005327FA" w:rsidRPr="00AC1AD8" w:rsidRDefault="005327FA" w:rsidP="00B317E8">
      <w:pPr>
        <w:snapToGrid w:val="0"/>
        <w:spacing w:line="360" w:lineRule="auto"/>
      </w:pPr>
    </w:p>
    <w:p w14:paraId="2CBC7542" w14:textId="77777777" w:rsidR="001F680F" w:rsidRPr="00AC1AD8" w:rsidRDefault="001F680F" w:rsidP="0053305D">
      <w:pPr>
        <w:snapToGrid w:val="0"/>
        <w:spacing w:line="360" w:lineRule="auto"/>
        <w:jc w:val="center"/>
      </w:pPr>
    </w:p>
    <w:p w14:paraId="299ECBCD" w14:textId="32566200" w:rsidR="000F216F" w:rsidRPr="005F6E69" w:rsidRDefault="24A1B626" w:rsidP="0053305D">
      <w:pPr>
        <w:snapToGrid w:val="0"/>
        <w:spacing w:line="360" w:lineRule="auto"/>
        <w:jc w:val="center"/>
      </w:pPr>
      <w:r>
        <w:t>Clara R. Vives</w:t>
      </w:r>
      <w:r w:rsidRPr="399CD0D1">
        <w:rPr>
          <w:vertAlign w:val="superscript"/>
        </w:rPr>
        <w:t>1,2</w:t>
      </w:r>
      <w:r w:rsidR="00DC50F2">
        <w:rPr>
          <w:vertAlign w:val="superscript"/>
        </w:rPr>
        <w:t>,3</w:t>
      </w:r>
      <w:r w:rsidRPr="399CD0D1">
        <w:rPr>
          <w:vertAlign w:val="superscript"/>
        </w:rPr>
        <w:t>*</w:t>
      </w:r>
      <w:r>
        <w:t xml:space="preserve">, </w:t>
      </w:r>
      <w:r w:rsidR="000F216F">
        <w:t>Christina Schallenberg</w:t>
      </w:r>
      <w:r w:rsidR="00032DA6">
        <w:rPr>
          <w:vertAlign w:val="superscript"/>
        </w:rPr>
        <w:t>4</w:t>
      </w:r>
      <w:r w:rsidR="5D79B809" w:rsidRPr="005F349F">
        <w:rPr>
          <w:vertAlign w:val="superscript"/>
        </w:rPr>
        <w:t>,</w:t>
      </w:r>
      <w:r w:rsidR="00032DA6">
        <w:rPr>
          <w:vertAlign w:val="superscript"/>
        </w:rPr>
        <w:t>5</w:t>
      </w:r>
      <w:r w:rsidR="000F216F">
        <w:t xml:space="preserve">, </w:t>
      </w:r>
      <w:r w:rsidR="000F216F" w:rsidRPr="00915B9C">
        <w:t>Peter G. Strutton</w:t>
      </w:r>
      <w:r w:rsidR="000F216F" w:rsidRPr="00915B9C">
        <w:rPr>
          <w:vertAlign w:val="superscript"/>
        </w:rPr>
        <w:t>1,2</w:t>
      </w:r>
      <w:r w:rsidR="00634B22">
        <w:rPr>
          <w:vertAlign w:val="superscript"/>
        </w:rPr>
        <w:t>,6</w:t>
      </w:r>
      <w:r w:rsidR="000F216F" w:rsidRPr="00915B9C">
        <w:t xml:space="preserve">, </w:t>
      </w:r>
      <w:r w:rsidR="001025D6" w:rsidRPr="00915B9C">
        <w:t>Jørgen Bendtsen</w:t>
      </w:r>
      <w:r w:rsidR="001025D6">
        <w:rPr>
          <w:vertAlign w:val="superscript"/>
        </w:rPr>
        <w:t>3</w:t>
      </w:r>
      <w:r w:rsidR="001025D6" w:rsidRPr="00915B9C">
        <w:t xml:space="preserve">, </w:t>
      </w:r>
      <w:r w:rsidR="005F6E69" w:rsidRPr="00915B9C">
        <w:t>Katherine Richardson</w:t>
      </w:r>
      <w:r w:rsidR="00634B22">
        <w:rPr>
          <w:vertAlign w:val="superscript"/>
        </w:rPr>
        <w:t>7</w:t>
      </w:r>
      <w:r w:rsidR="005F6E69">
        <w:t xml:space="preserve">, </w:t>
      </w:r>
      <w:r>
        <w:t>Philip W. Boyd</w:t>
      </w:r>
      <w:r w:rsidRPr="399CD0D1">
        <w:rPr>
          <w:vertAlign w:val="superscript"/>
        </w:rPr>
        <w:t>1,</w:t>
      </w:r>
      <w:r w:rsidR="004301F8">
        <w:rPr>
          <w:vertAlign w:val="superscript"/>
        </w:rPr>
        <w:t>5</w:t>
      </w:r>
      <w:r w:rsidR="00634B22">
        <w:rPr>
          <w:vertAlign w:val="superscript"/>
        </w:rPr>
        <w:t>,6</w:t>
      </w:r>
      <w:r w:rsidR="18F3C307">
        <w:t xml:space="preserve"> </w:t>
      </w:r>
    </w:p>
    <w:p w14:paraId="4BFD5236" w14:textId="77777777" w:rsidR="000F216F" w:rsidRPr="00915B9C" w:rsidRDefault="000F216F" w:rsidP="0053305D">
      <w:pPr>
        <w:snapToGrid w:val="0"/>
        <w:spacing w:line="360" w:lineRule="auto"/>
      </w:pPr>
    </w:p>
    <w:p w14:paraId="5047BA2F" w14:textId="00987B93" w:rsidR="000F216F" w:rsidRPr="00915B9C" w:rsidRDefault="000F216F" w:rsidP="0053305D">
      <w:pPr>
        <w:pStyle w:val="Affiliation"/>
        <w:snapToGrid w:val="0"/>
        <w:spacing w:before="0" w:line="360" w:lineRule="auto"/>
      </w:pPr>
      <w:r w:rsidRPr="00915B9C">
        <w:rPr>
          <w:vertAlign w:val="superscript"/>
        </w:rPr>
        <w:t>1</w:t>
      </w:r>
      <w:r w:rsidRPr="00915B9C">
        <w:t xml:space="preserve">Institute for Marine and Antarctic Studies, University of Tasmania, </w:t>
      </w:r>
      <w:r w:rsidR="0026518A">
        <w:t>Hobart</w:t>
      </w:r>
      <w:r>
        <w:t>,</w:t>
      </w:r>
      <w:r w:rsidRPr="00915B9C">
        <w:t xml:space="preserve"> TAS, Australia.</w:t>
      </w:r>
    </w:p>
    <w:p w14:paraId="6ABE6B5F" w14:textId="77777777" w:rsidR="000F216F" w:rsidRPr="00915B9C" w:rsidRDefault="000F216F" w:rsidP="0053305D">
      <w:pPr>
        <w:pStyle w:val="Affiliation"/>
        <w:snapToGrid w:val="0"/>
        <w:spacing w:before="0" w:line="360" w:lineRule="auto"/>
      </w:pPr>
      <w:r w:rsidRPr="00915B9C">
        <w:rPr>
          <w:vertAlign w:val="superscript"/>
        </w:rPr>
        <w:t>2</w:t>
      </w:r>
      <w:r w:rsidRPr="00915B9C">
        <w:t>Australian Research Council Centre of Excellence for Climate Extremes, University of Tasmania, Hobart, TAS, Australia.</w:t>
      </w:r>
    </w:p>
    <w:p w14:paraId="262A1499" w14:textId="77777777" w:rsidR="000F216F" w:rsidRDefault="000F216F" w:rsidP="0053305D">
      <w:pPr>
        <w:pStyle w:val="Affiliation"/>
        <w:snapToGrid w:val="0"/>
        <w:spacing w:before="0" w:line="360" w:lineRule="auto"/>
      </w:pPr>
      <w:r w:rsidRPr="00915B9C">
        <w:rPr>
          <w:vertAlign w:val="superscript"/>
        </w:rPr>
        <w:t>3</w:t>
      </w:r>
      <w:r w:rsidRPr="00915B9C">
        <w:t>Globe Institute, Section for Geobiology, University of Copenhagen, DK-1350 Copenhagen K, Denmark</w:t>
      </w:r>
    </w:p>
    <w:p w14:paraId="6C21C28D" w14:textId="04B530C1" w:rsidR="00032DA6" w:rsidRPr="00915B9C" w:rsidRDefault="004301F8" w:rsidP="0053305D">
      <w:pPr>
        <w:pStyle w:val="Affiliation"/>
        <w:tabs>
          <w:tab w:val="right" w:pos="9026"/>
        </w:tabs>
        <w:snapToGrid w:val="0"/>
        <w:spacing w:before="0" w:line="360" w:lineRule="auto"/>
      </w:pPr>
      <w:r>
        <w:rPr>
          <w:color w:val="000000" w:themeColor="text1"/>
          <w:vertAlign w:val="superscript"/>
        </w:rPr>
        <w:t>4</w:t>
      </w:r>
      <w:r w:rsidR="00032DA6" w:rsidRPr="00915B9C">
        <w:rPr>
          <w:color w:val="000000" w:themeColor="text1"/>
        </w:rPr>
        <w:t>CSIRO Environment, Hobart, Tasmania, Australia</w:t>
      </w:r>
    </w:p>
    <w:p w14:paraId="5B060691" w14:textId="38E29B58" w:rsidR="00032DA6" w:rsidRDefault="004301F8" w:rsidP="0053305D">
      <w:pPr>
        <w:pStyle w:val="Affiliation"/>
        <w:snapToGrid w:val="0"/>
        <w:spacing w:before="0" w:line="360" w:lineRule="auto"/>
      </w:pPr>
      <w:r>
        <w:rPr>
          <w:vertAlign w:val="superscript"/>
        </w:rPr>
        <w:t>5</w:t>
      </w:r>
      <w:r w:rsidR="00032DA6" w:rsidRPr="00915B9C">
        <w:t>Australian Antarctic Program Partnership, Institute for Marine and Antarctic Studies, University of Tasmania, Hobart, TAS, Australia.</w:t>
      </w:r>
    </w:p>
    <w:p w14:paraId="3E0F17CF" w14:textId="3906D3FF" w:rsidR="00634B22" w:rsidRPr="00915B9C" w:rsidRDefault="00634B22" w:rsidP="0053305D">
      <w:pPr>
        <w:pStyle w:val="Affiliation"/>
        <w:snapToGrid w:val="0"/>
        <w:spacing w:before="0" w:line="360" w:lineRule="auto"/>
      </w:pPr>
      <w:r w:rsidRPr="00BB071F">
        <w:rPr>
          <w:vertAlign w:val="superscript"/>
        </w:rPr>
        <w:t>6</w:t>
      </w:r>
      <w:r>
        <w:t>Australian Centre for Excellence in Antarctic Science</w:t>
      </w:r>
      <w:r w:rsidR="0061062C" w:rsidRPr="00915B9C">
        <w:t>, Institute for Marine and Antarctic Studies, University of Tasmania, Hobart, TAS, Australia.</w:t>
      </w:r>
    </w:p>
    <w:p w14:paraId="3764F970" w14:textId="4109A18C" w:rsidR="000F216F" w:rsidRPr="00915B9C" w:rsidRDefault="0061062C" w:rsidP="0053305D">
      <w:pPr>
        <w:pStyle w:val="Affiliation"/>
        <w:snapToGrid w:val="0"/>
        <w:spacing w:before="0" w:line="360" w:lineRule="auto"/>
      </w:pPr>
      <w:r>
        <w:rPr>
          <w:vertAlign w:val="superscript"/>
        </w:rPr>
        <w:t>7</w:t>
      </w:r>
      <w:r w:rsidR="000F216F" w:rsidRPr="00915B9C">
        <w:t>Center for Macroecology, Evolution and Climate, Globe Institute, University of Copenhagen, 2100 Copenhagen O, Denmark</w:t>
      </w:r>
    </w:p>
    <w:p w14:paraId="3E8BA40C" w14:textId="77777777" w:rsidR="000F216F" w:rsidRPr="00915B9C" w:rsidRDefault="000F216F" w:rsidP="0053305D">
      <w:pPr>
        <w:snapToGrid w:val="0"/>
        <w:spacing w:line="360" w:lineRule="auto"/>
      </w:pPr>
    </w:p>
    <w:p w14:paraId="0E212D50" w14:textId="27A0FBFE" w:rsidR="000F216F" w:rsidRDefault="000F216F" w:rsidP="0053305D">
      <w:pPr>
        <w:snapToGrid w:val="0"/>
        <w:spacing w:line="360" w:lineRule="auto"/>
        <w:rPr>
          <w:rStyle w:val="Hyperlink"/>
          <w:rFonts w:eastAsiaTheme="majorEastAsia"/>
        </w:rPr>
      </w:pPr>
      <w:r w:rsidRPr="00915B9C">
        <w:t xml:space="preserve">*Correspondence: Clara R. Vives, </w:t>
      </w:r>
      <w:r w:rsidR="004277F9">
        <w:rPr>
          <w:rFonts w:eastAsiaTheme="majorEastAsia"/>
        </w:rPr>
        <w:t>clara.rodriguezvives@utas.edu.au</w:t>
      </w:r>
    </w:p>
    <w:p w14:paraId="042071C3" w14:textId="77777777" w:rsidR="009E431B" w:rsidRPr="00915B9C" w:rsidRDefault="009E431B" w:rsidP="0053305D">
      <w:pPr>
        <w:snapToGrid w:val="0"/>
        <w:spacing w:line="360" w:lineRule="auto"/>
      </w:pPr>
    </w:p>
    <w:p w14:paraId="576B25F5" w14:textId="72BCE259" w:rsidR="005327FA" w:rsidRDefault="009E431B" w:rsidP="0053305D">
      <w:pPr>
        <w:snapToGrid w:val="0"/>
        <w:spacing w:line="360" w:lineRule="auto"/>
      </w:pPr>
      <w:r>
        <w:t>Key words:</w:t>
      </w:r>
    </w:p>
    <w:p w14:paraId="21681AAC" w14:textId="6417F1B2" w:rsidR="009E431B" w:rsidRDefault="009E431B" w:rsidP="0053305D">
      <w:pPr>
        <w:snapToGrid w:val="0"/>
        <w:spacing w:line="360" w:lineRule="auto"/>
      </w:pPr>
      <w:r>
        <w:t xml:space="preserve">Deep chlorophyll maxima, </w:t>
      </w:r>
      <w:r w:rsidR="00BC727C">
        <w:t xml:space="preserve">deep biomass maxima, </w:t>
      </w:r>
      <w:r w:rsidR="001C7257">
        <w:t>net primary production</w:t>
      </w:r>
      <w:r>
        <w:t xml:space="preserve">, </w:t>
      </w:r>
      <w:r w:rsidR="00B963EE">
        <w:t xml:space="preserve">subtropical </w:t>
      </w:r>
      <w:r w:rsidR="00955032">
        <w:t xml:space="preserve">water-mass, </w:t>
      </w:r>
      <w:r>
        <w:t>Southern Ocean, BGC-Argo floats</w:t>
      </w:r>
    </w:p>
    <w:p w14:paraId="410E0C64" w14:textId="77777777" w:rsidR="009E431B" w:rsidRPr="00AC1AD8" w:rsidRDefault="009E431B" w:rsidP="0053305D">
      <w:pPr>
        <w:snapToGrid w:val="0"/>
        <w:spacing w:line="360" w:lineRule="auto"/>
        <w:jc w:val="center"/>
      </w:pPr>
    </w:p>
    <w:p w14:paraId="176B81C1" w14:textId="75DDBB00" w:rsidR="009E431B" w:rsidRPr="00CA61E0" w:rsidRDefault="009E431B" w:rsidP="0053305D">
      <w:pPr>
        <w:snapToGrid w:val="0"/>
        <w:spacing w:line="360" w:lineRule="auto"/>
        <w:jc w:val="center"/>
        <w:rPr>
          <w:b/>
          <w:bCs/>
          <w:color w:val="000000" w:themeColor="text1"/>
          <w:lang w:val="en-US" w:eastAsia="zh-CN"/>
        </w:rPr>
      </w:pPr>
      <w:r w:rsidRPr="00CA61E0">
        <w:rPr>
          <w:b/>
          <w:bCs/>
          <w:color w:val="000000" w:themeColor="text1"/>
          <w:lang w:val="en-US" w:eastAsia="zh-CN"/>
        </w:rPr>
        <w:t>Key points</w:t>
      </w:r>
      <w:r w:rsidR="00BF48B6">
        <w:rPr>
          <w:b/>
          <w:bCs/>
          <w:color w:val="000000" w:themeColor="text1"/>
          <w:lang w:val="en-US" w:eastAsia="zh-CN"/>
        </w:rPr>
        <w:t xml:space="preserve"> </w:t>
      </w:r>
    </w:p>
    <w:p w14:paraId="125D7AB8" w14:textId="77777777" w:rsidR="009E431B" w:rsidRPr="00CA61E0" w:rsidRDefault="009E431B" w:rsidP="0053305D">
      <w:pPr>
        <w:snapToGrid w:val="0"/>
        <w:spacing w:line="360" w:lineRule="auto"/>
        <w:jc w:val="both"/>
        <w:rPr>
          <w:b/>
          <w:bCs/>
          <w:color w:val="000000" w:themeColor="text1"/>
          <w:lang w:val="en-US" w:eastAsia="zh-CN"/>
        </w:rPr>
      </w:pPr>
    </w:p>
    <w:p w14:paraId="32B7B378" w14:textId="2D4782AD" w:rsidR="002E2446" w:rsidRPr="00CA61E0" w:rsidRDefault="002E2446" w:rsidP="0053305D">
      <w:pPr>
        <w:pStyle w:val="ListParagraph"/>
        <w:numPr>
          <w:ilvl w:val="0"/>
          <w:numId w:val="10"/>
        </w:numPr>
        <w:snapToGrid w:val="0"/>
        <w:spacing w:line="360" w:lineRule="auto"/>
        <w:contextualSpacing w:val="0"/>
        <w:jc w:val="both"/>
        <w:rPr>
          <w:rFonts w:ascii="Times New Roman" w:hAnsi="Times New Roman" w:cs="Times New Roman"/>
          <w:color w:val="000000" w:themeColor="text1"/>
          <w:lang w:val="en-US" w:eastAsia="zh-CN"/>
        </w:rPr>
      </w:pPr>
      <w:r>
        <w:rPr>
          <w:rFonts w:ascii="Times New Roman" w:hAnsi="Times New Roman" w:cs="Times New Roman"/>
          <w:color w:val="000000" w:themeColor="text1"/>
          <w:lang w:val="en-US" w:eastAsia="zh-CN"/>
        </w:rPr>
        <w:t xml:space="preserve">Deep chlorophyll </w:t>
      </w:r>
      <w:r w:rsidR="00A1212C">
        <w:rPr>
          <w:rFonts w:ascii="Times New Roman" w:hAnsi="Times New Roman" w:cs="Times New Roman"/>
          <w:color w:val="000000" w:themeColor="text1"/>
          <w:lang w:val="en-US" w:eastAsia="zh-CN"/>
        </w:rPr>
        <w:t xml:space="preserve">and biomass </w:t>
      </w:r>
      <w:r>
        <w:rPr>
          <w:rFonts w:ascii="Times New Roman" w:hAnsi="Times New Roman" w:cs="Times New Roman"/>
          <w:color w:val="000000" w:themeColor="text1"/>
          <w:lang w:val="en-US" w:eastAsia="zh-CN"/>
        </w:rPr>
        <w:t>maxima occur across the Southern Ocean</w:t>
      </w:r>
      <w:r w:rsidR="00851B02">
        <w:rPr>
          <w:rFonts w:ascii="Times New Roman" w:hAnsi="Times New Roman" w:cs="Times New Roman"/>
          <w:color w:val="000000" w:themeColor="text1"/>
          <w:lang w:val="en-US" w:eastAsia="zh-CN"/>
        </w:rPr>
        <w:t xml:space="preserve"> (&gt;30°S)</w:t>
      </w:r>
      <w:r w:rsidR="00E65F26">
        <w:rPr>
          <w:rFonts w:ascii="Times New Roman" w:hAnsi="Times New Roman" w:cs="Times New Roman"/>
          <w:color w:val="000000" w:themeColor="text1"/>
          <w:lang w:val="en-US" w:eastAsia="zh-CN"/>
        </w:rPr>
        <w:t xml:space="preserve">, particularly </w:t>
      </w:r>
      <w:r w:rsidR="00851B02">
        <w:rPr>
          <w:rFonts w:ascii="Times New Roman" w:hAnsi="Times New Roman" w:cs="Times New Roman"/>
          <w:color w:val="000000" w:themeColor="text1"/>
          <w:lang w:val="en-US" w:eastAsia="zh-CN"/>
        </w:rPr>
        <w:t>in oligotrophic regions</w:t>
      </w:r>
      <w:r w:rsidR="00E65F26">
        <w:rPr>
          <w:rFonts w:ascii="Times New Roman" w:hAnsi="Times New Roman" w:cs="Times New Roman"/>
          <w:color w:val="000000" w:themeColor="text1"/>
          <w:lang w:val="en-US" w:eastAsia="zh-CN"/>
        </w:rPr>
        <w:t xml:space="preserve"> and in summer</w:t>
      </w:r>
      <w:r w:rsidR="00955032">
        <w:rPr>
          <w:rFonts w:ascii="Times New Roman" w:hAnsi="Times New Roman" w:cs="Times New Roman"/>
          <w:color w:val="000000" w:themeColor="text1"/>
          <w:lang w:val="en-US" w:eastAsia="zh-CN"/>
        </w:rPr>
        <w:t>.</w:t>
      </w:r>
      <w:r w:rsidR="00A1212C" w:rsidDel="00A1212C">
        <w:rPr>
          <w:rFonts w:ascii="Times New Roman" w:hAnsi="Times New Roman" w:cs="Times New Roman"/>
          <w:color w:val="000000" w:themeColor="text1"/>
          <w:lang w:val="en-US" w:eastAsia="zh-CN"/>
        </w:rPr>
        <w:t xml:space="preserve"> </w:t>
      </w:r>
    </w:p>
    <w:p w14:paraId="622E1AA8" w14:textId="65C8AD84" w:rsidR="00DA0E2C" w:rsidRPr="00CA61E0" w:rsidRDefault="00DA0E2C" w:rsidP="0053305D">
      <w:pPr>
        <w:pStyle w:val="ListParagraph"/>
        <w:numPr>
          <w:ilvl w:val="0"/>
          <w:numId w:val="10"/>
        </w:numPr>
        <w:snapToGrid w:val="0"/>
        <w:spacing w:line="360" w:lineRule="auto"/>
        <w:contextualSpacing w:val="0"/>
        <w:jc w:val="both"/>
        <w:rPr>
          <w:rFonts w:ascii="Times New Roman" w:eastAsiaTheme="minorEastAsia" w:hAnsi="Times New Roman" w:cs="Times New Roman"/>
          <w:color w:val="000000" w:themeColor="text1"/>
          <w:lang w:val="en-US" w:eastAsia="zh-CN"/>
        </w:rPr>
      </w:pPr>
      <w:r>
        <w:rPr>
          <w:rFonts w:ascii="Times New Roman" w:hAnsi="Times New Roman" w:cs="Times New Roman"/>
          <w:color w:val="000000" w:themeColor="text1"/>
          <w:lang w:val="en-US" w:eastAsia="zh-CN"/>
        </w:rPr>
        <w:t xml:space="preserve">Deep chlorophyll maxima in oligotrophic </w:t>
      </w:r>
      <w:r w:rsidR="00A93655">
        <w:rPr>
          <w:rFonts w:ascii="Times New Roman" w:hAnsi="Times New Roman" w:cs="Times New Roman"/>
          <w:color w:val="000000" w:themeColor="text1"/>
          <w:lang w:val="en-US" w:eastAsia="zh-CN"/>
        </w:rPr>
        <w:t>versus</w:t>
      </w:r>
      <w:r>
        <w:rPr>
          <w:rFonts w:ascii="Times New Roman" w:hAnsi="Times New Roman" w:cs="Times New Roman"/>
          <w:color w:val="000000" w:themeColor="text1"/>
          <w:lang w:val="en-US" w:eastAsia="zh-CN"/>
        </w:rPr>
        <w:t xml:space="preserve"> iron-limited waters show differences in seasonality and their contribution to production</w:t>
      </w:r>
      <w:r w:rsidR="008E3500">
        <w:rPr>
          <w:rFonts w:ascii="Times New Roman" w:hAnsi="Times New Roman" w:cs="Times New Roman"/>
          <w:color w:val="000000" w:themeColor="text1"/>
          <w:lang w:val="en-US" w:eastAsia="zh-CN"/>
        </w:rPr>
        <w:t>.</w:t>
      </w:r>
    </w:p>
    <w:p w14:paraId="62C9F950" w14:textId="14A9215F" w:rsidR="00067034" w:rsidRPr="00196444" w:rsidRDefault="00000C3E" w:rsidP="0053305D">
      <w:pPr>
        <w:pStyle w:val="ListParagraph"/>
        <w:numPr>
          <w:ilvl w:val="0"/>
          <w:numId w:val="10"/>
        </w:numPr>
        <w:snapToGrid w:val="0"/>
        <w:spacing w:line="360" w:lineRule="auto"/>
        <w:contextualSpacing w:val="0"/>
        <w:jc w:val="both"/>
        <w:rPr>
          <w:color w:val="000000" w:themeColor="text1"/>
          <w:lang w:val="en-US" w:eastAsia="zh-CN"/>
        </w:rPr>
      </w:pPr>
      <w:r>
        <w:rPr>
          <w:rFonts w:ascii="Times New Roman" w:hAnsi="Times New Roman" w:cs="Times New Roman"/>
          <w:color w:val="000000" w:themeColor="text1"/>
          <w:lang w:val="en-US" w:eastAsia="zh-CN"/>
        </w:rPr>
        <w:lastRenderedPageBreak/>
        <w:t>When deep chlorophyll maxima are not accounted for</w:t>
      </w:r>
      <w:r w:rsidR="00C36D5D">
        <w:rPr>
          <w:rFonts w:ascii="Times New Roman" w:hAnsi="Times New Roman" w:cs="Times New Roman"/>
          <w:color w:val="000000" w:themeColor="text1"/>
          <w:lang w:val="en-US" w:eastAsia="zh-CN"/>
        </w:rPr>
        <w:t xml:space="preserve"> up to</w:t>
      </w:r>
      <w:r w:rsidR="00575B3C">
        <w:rPr>
          <w:rFonts w:ascii="Times New Roman" w:hAnsi="Times New Roman" w:cs="Times New Roman"/>
          <w:color w:val="000000" w:themeColor="text1"/>
          <w:lang w:val="en-US" w:eastAsia="zh-CN"/>
        </w:rPr>
        <w:t xml:space="preserve"> </w:t>
      </w:r>
      <w:r w:rsidR="00BB789A">
        <w:rPr>
          <w:rFonts w:ascii="Times New Roman" w:hAnsi="Times New Roman" w:cs="Times New Roman"/>
          <w:color w:val="000000" w:themeColor="text1"/>
          <w:lang w:val="en-US" w:eastAsia="zh-CN"/>
        </w:rPr>
        <w:t>4</w:t>
      </w:r>
      <w:r w:rsidR="000D507C">
        <w:rPr>
          <w:rFonts w:ascii="Times New Roman" w:hAnsi="Times New Roman" w:cs="Times New Roman"/>
          <w:color w:val="000000" w:themeColor="text1"/>
          <w:lang w:val="en-US" w:eastAsia="zh-CN"/>
        </w:rPr>
        <w:t>5</w:t>
      </w:r>
      <w:r w:rsidR="006B1BC8">
        <w:rPr>
          <w:rFonts w:ascii="Times New Roman" w:hAnsi="Times New Roman" w:cs="Times New Roman"/>
          <w:color w:val="000000" w:themeColor="text1"/>
          <w:lang w:val="en-US" w:eastAsia="zh-CN"/>
        </w:rPr>
        <w:t>% of net primary production is missed</w:t>
      </w:r>
      <w:r w:rsidR="008E3500">
        <w:rPr>
          <w:rFonts w:ascii="Times New Roman" w:hAnsi="Times New Roman" w:cs="Times New Roman"/>
          <w:color w:val="000000" w:themeColor="text1"/>
          <w:lang w:val="en-US" w:eastAsia="zh-CN"/>
        </w:rPr>
        <w:t>.</w:t>
      </w:r>
      <w:r w:rsidR="006B1BC8">
        <w:rPr>
          <w:rFonts w:ascii="Times New Roman" w:hAnsi="Times New Roman" w:cs="Times New Roman"/>
          <w:color w:val="000000" w:themeColor="text1"/>
          <w:lang w:val="en-US" w:eastAsia="zh-CN"/>
        </w:rPr>
        <w:t xml:space="preserve"> </w:t>
      </w:r>
    </w:p>
    <w:p w14:paraId="33A79B21" w14:textId="6AA762E9" w:rsidR="00522ACE" w:rsidRPr="00067034" w:rsidRDefault="00522ACE" w:rsidP="00196444">
      <w:pPr>
        <w:pStyle w:val="ListParagraph"/>
        <w:snapToGrid w:val="0"/>
        <w:spacing w:line="360" w:lineRule="auto"/>
        <w:contextualSpacing w:val="0"/>
        <w:jc w:val="both"/>
        <w:rPr>
          <w:color w:val="000000" w:themeColor="text1"/>
          <w:lang w:val="en-US" w:eastAsia="zh-CN"/>
        </w:rPr>
      </w:pPr>
    </w:p>
    <w:p w14:paraId="3F709C68" w14:textId="77777777" w:rsidR="009E431B" w:rsidRPr="00AC1AD8" w:rsidRDefault="009E431B" w:rsidP="0053305D">
      <w:pPr>
        <w:snapToGrid w:val="0"/>
        <w:spacing w:line="360" w:lineRule="auto"/>
        <w:jc w:val="center"/>
        <w:rPr>
          <w:b/>
          <w:bCs/>
        </w:rPr>
      </w:pPr>
    </w:p>
    <w:p w14:paraId="551C7145" w14:textId="4F6AA838" w:rsidR="005327FA" w:rsidRPr="00AC1AD8" w:rsidRDefault="005327FA" w:rsidP="0053305D">
      <w:pPr>
        <w:snapToGrid w:val="0"/>
        <w:spacing w:line="360" w:lineRule="auto"/>
        <w:jc w:val="center"/>
        <w:rPr>
          <w:b/>
          <w:bCs/>
        </w:rPr>
      </w:pPr>
      <w:r w:rsidRPr="6F732D41">
        <w:rPr>
          <w:b/>
          <w:bCs/>
        </w:rPr>
        <w:t>Abstract</w:t>
      </w:r>
      <w:r w:rsidR="00A164F3" w:rsidRPr="6F732D41">
        <w:rPr>
          <w:b/>
          <w:bCs/>
        </w:rPr>
        <w:t xml:space="preserve"> </w:t>
      </w:r>
    </w:p>
    <w:p w14:paraId="1C29233D" w14:textId="1607256C" w:rsidR="005327FA" w:rsidRPr="006850BC" w:rsidRDefault="005327FA" w:rsidP="0053305D">
      <w:pPr>
        <w:snapToGrid w:val="0"/>
        <w:spacing w:line="360" w:lineRule="auto"/>
        <w:jc w:val="center"/>
      </w:pPr>
    </w:p>
    <w:p w14:paraId="723AAB51" w14:textId="74B61491" w:rsidR="00D547BA" w:rsidRDefault="00791B70" w:rsidP="0053305D">
      <w:pPr>
        <w:snapToGrid w:val="0"/>
        <w:spacing w:line="360" w:lineRule="auto"/>
        <w:jc w:val="both"/>
      </w:pPr>
      <w:r>
        <w:rPr>
          <w:rFonts w:eastAsiaTheme="minorEastAsia"/>
          <w:color w:val="000000" w:themeColor="text1"/>
          <w:lang w:val="en-GB" w:eastAsia="en-US"/>
        </w:rPr>
        <w:t>S</w:t>
      </w:r>
      <w:r w:rsidR="006850BC" w:rsidRPr="2877D44A">
        <w:rPr>
          <w:rFonts w:eastAsiaTheme="minorEastAsia"/>
          <w:color w:val="000000" w:themeColor="text1"/>
          <w:lang w:val="en-GB" w:eastAsia="en-US"/>
        </w:rPr>
        <w:t xml:space="preserve">ubsurface accumulations of chlorophyll, also known as deep chlorophyll maxima (DCMs), have been studied in the tropical and temperate oceans for </w:t>
      </w:r>
      <w:r>
        <w:rPr>
          <w:rFonts w:eastAsiaTheme="minorEastAsia"/>
          <w:color w:val="000000" w:themeColor="text1"/>
          <w:lang w:val="en-GB" w:eastAsia="en-US"/>
        </w:rPr>
        <w:t>decades</w:t>
      </w:r>
      <w:r w:rsidR="006850BC" w:rsidRPr="2877D44A">
        <w:rPr>
          <w:rFonts w:eastAsiaTheme="minorEastAsia"/>
          <w:color w:val="000000" w:themeColor="text1"/>
          <w:lang w:val="en-GB" w:eastAsia="en-US"/>
        </w:rPr>
        <w:t xml:space="preserve">, </w:t>
      </w:r>
      <w:r>
        <w:rPr>
          <w:rFonts w:eastAsiaTheme="minorEastAsia"/>
          <w:color w:val="000000" w:themeColor="text1"/>
          <w:lang w:val="en-GB" w:eastAsia="en-US"/>
        </w:rPr>
        <w:t xml:space="preserve">but </w:t>
      </w:r>
      <w:r w:rsidR="006850BC" w:rsidRPr="2877D44A">
        <w:rPr>
          <w:rFonts w:eastAsiaTheme="minorEastAsia"/>
          <w:color w:val="000000" w:themeColor="text1"/>
          <w:lang w:val="en-GB" w:eastAsia="en-US"/>
        </w:rPr>
        <w:t xml:space="preserve">they have received less attention in the Southern Ocean. </w:t>
      </w:r>
      <w:r w:rsidR="00FF7DC2">
        <w:t>T</w:t>
      </w:r>
      <w:r w:rsidR="77E389CA">
        <w:t xml:space="preserve">heir formation and maintenance are still </w:t>
      </w:r>
      <w:r w:rsidR="00F35405">
        <w:t>under</w:t>
      </w:r>
      <w:r w:rsidR="77E389CA">
        <w:t xml:space="preserve"> debate, </w:t>
      </w:r>
      <w:r w:rsidR="00FF7DC2">
        <w:t xml:space="preserve">as is their </w:t>
      </w:r>
      <w:r w:rsidR="066CC090">
        <w:t xml:space="preserve">contribution </w:t>
      </w:r>
      <w:r w:rsidR="0D1C950C">
        <w:t xml:space="preserve">to </w:t>
      </w:r>
      <w:r w:rsidR="225D50A4">
        <w:t xml:space="preserve">phytoplankton biomass </w:t>
      </w:r>
      <w:r w:rsidR="69AEBD93">
        <w:t>and net primary productivity (NPP)</w:t>
      </w:r>
      <w:r w:rsidR="77E389CA">
        <w:t xml:space="preserve">. </w:t>
      </w:r>
      <w:r w:rsidR="45A6EBC7">
        <w:t xml:space="preserve">Recently, </w:t>
      </w:r>
      <w:r w:rsidR="52BC4DFF">
        <w:t xml:space="preserve">the application of satellite-based NPP algorithms to data from biogeochemical </w:t>
      </w:r>
      <w:r w:rsidR="25CF0C75">
        <w:t>(BGC)</w:t>
      </w:r>
      <w:r w:rsidR="00CA64B0">
        <w:t>-</w:t>
      </w:r>
      <w:r w:rsidR="52BC4DFF">
        <w:t>Argo floats has improved vertically-resolved NPP estimates</w:t>
      </w:r>
      <w:r w:rsidR="45A6EBC7">
        <w:t xml:space="preserve">. </w:t>
      </w:r>
      <w:r w:rsidR="52BC4DFF">
        <w:t xml:space="preserve">Using this new approach on </w:t>
      </w:r>
      <w:r w:rsidR="00824785">
        <w:t xml:space="preserve">247 </w:t>
      </w:r>
      <w:r w:rsidR="52BC4DFF">
        <w:t>BGC</w:t>
      </w:r>
      <w:r w:rsidR="5870A3DA">
        <w:t>-</w:t>
      </w:r>
      <w:r w:rsidR="52BC4DFF">
        <w:t>Argo floats</w:t>
      </w:r>
      <w:r w:rsidR="00E50E81">
        <w:t xml:space="preserve">, </w:t>
      </w:r>
      <w:r w:rsidR="52BC4DFF">
        <w:t>we report</w:t>
      </w:r>
      <w:r w:rsidR="0A80FBE3">
        <w:t xml:space="preserve"> (1) subsurface </w:t>
      </w:r>
      <w:r w:rsidR="28B3A206">
        <w:t>(</w:t>
      </w:r>
      <w:r w:rsidR="52BC4DFF">
        <w:t xml:space="preserve">below the </w:t>
      </w:r>
      <w:r w:rsidR="2F8D1B68">
        <w:t>mixed layer</w:t>
      </w:r>
      <w:r w:rsidR="2CBA8A0D">
        <w:t xml:space="preserve">) </w:t>
      </w:r>
      <w:r w:rsidR="0A80FBE3">
        <w:t xml:space="preserve">estimates of NPP, (2) the contribution of subsurface NPP to </w:t>
      </w:r>
      <w:r w:rsidR="00CA64B0">
        <w:t>total</w:t>
      </w:r>
      <w:r w:rsidR="0001269E">
        <w:t xml:space="preserve"> </w:t>
      </w:r>
      <w:r w:rsidR="0A80FBE3">
        <w:t>NPP, and (3) the influence of DCM</w:t>
      </w:r>
      <w:r w:rsidR="00654AA5">
        <w:t>s</w:t>
      </w:r>
      <w:r w:rsidR="006C4BFC">
        <w:t xml:space="preserve"> and </w:t>
      </w:r>
      <w:r w:rsidR="000209A3">
        <w:t>deep biomass maxima (</w:t>
      </w:r>
      <w:r w:rsidR="006C4BFC">
        <w:t>DBM</w:t>
      </w:r>
      <w:r w:rsidR="00654AA5">
        <w:t>s</w:t>
      </w:r>
      <w:r w:rsidR="00F35405">
        <w:t xml:space="preserve">, based on </w:t>
      </w:r>
      <w:r w:rsidR="00443A94">
        <w:t>particulate backscatter</w:t>
      </w:r>
      <w:r w:rsidR="000209A3">
        <w:t>)</w:t>
      </w:r>
      <w:r w:rsidR="0A80FBE3">
        <w:t xml:space="preserve"> on </w:t>
      </w:r>
      <w:r w:rsidR="1F03D8BF">
        <w:t>(1) and (2)</w:t>
      </w:r>
      <w:r w:rsidR="0A80FBE3">
        <w:t xml:space="preserve">. </w:t>
      </w:r>
      <w:r w:rsidR="008D0075">
        <w:t>W</w:t>
      </w:r>
      <w:r w:rsidR="00B871C7">
        <w:t xml:space="preserve">e compare and contrast trends in adjacent latitudinal bands in the southern hemisphere, south of 30°S, from </w:t>
      </w:r>
      <w:r w:rsidR="00FB5D7F">
        <w:t xml:space="preserve">nitrate-limited </w:t>
      </w:r>
      <w:r w:rsidR="00B871C7">
        <w:t>oligotrophic waters to iron-limited high-nutrient, low-chlorophyll</w:t>
      </w:r>
      <w:r w:rsidR="00B871C7" w:rsidDel="00194ACD">
        <w:t xml:space="preserve"> </w:t>
      </w:r>
      <w:r w:rsidR="00AB430A">
        <w:t xml:space="preserve">(HNLC) </w:t>
      </w:r>
      <w:r w:rsidR="00B871C7">
        <w:t xml:space="preserve">regions. This comparison of </w:t>
      </w:r>
      <w:r w:rsidR="0017722A">
        <w:t>pervasive</w:t>
      </w:r>
      <w:r w:rsidR="00B871C7">
        <w:t xml:space="preserve"> DCM</w:t>
      </w:r>
      <w:r w:rsidR="00B37F0B">
        <w:t>s</w:t>
      </w:r>
      <w:r w:rsidR="00B871C7">
        <w:t xml:space="preserve"> in oligotrophic waters with </w:t>
      </w:r>
      <w:r w:rsidR="002412F6">
        <w:t xml:space="preserve">the same </w:t>
      </w:r>
      <w:r w:rsidR="00FB5D7F">
        <w:t>features in</w:t>
      </w:r>
      <w:r w:rsidR="00B871C7">
        <w:t xml:space="preserve"> </w:t>
      </w:r>
      <w:r w:rsidR="00AB430A">
        <w:t>HNLC</w:t>
      </w:r>
      <w:r w:rsidR="00B871C7">
        <w:t xml:space="preserve"> waters reveals differences in seasonality of DCM occurrence and their contribution to total NPP. </w:t>
      </w:r>
      <w:r w:rsidR="00BE0A81">
        <w:t>Unlike oligotrophic DCMs, HNLC DCMs occur only during spring and summer</w:t>
      </w:r>
      <w:r w:rsidR="00AB430A">
        <w:t>,</w:t>
      </w:r>
      <w:r w:rsidR="00BE0A81">
        <w:t xml:space="preserve"> and their contribution to total NPP</w:t>
      </w:r>
      <w:r w:rsidR="00AB430A">
        <w:t xml:space="preserve"> </w:t>
      </w:r>
      <w:r w:rsidR="00BE0A81">
        <w:t xml:space="preserve">decreases from ~40% to </w:t>
      </w:r>
      <w:r w:rsidR="00401833">
        <w:t>~25</w:t>
      </w:r>
      <w:r w:rsidR="00BE0A81">
        <w:t>% through the productive season, likely linked to the availability of iron and silicate</w:t>
      </w:r>
      <w:r w:rsidR="0A80FBE3">
        <w:t>.</w:t>
      </w:r>
      <w:r w:rsidR="48419E79">
        <w:t xml:space="preserve"> </w:t>
      </w:r>
      <w:r w:rsidR="0001269E">
        <w:t xml:space="preserve">When DCMs are </w:t>
      </w:r>
      <w:r w:rsidR="008052FC">
        <w:t xml:space="preserve">present but </w:t>
      </w:r>
      <w:r w:rsidR="0001269E">
        <w:t xml:space="preserve">not accounted for, </w:t>
      </w:r>
      <w:r w:rsidR="00D9344A">
        <w:t>up to</w:t>
      </w:r>
      <w:r w:rsidR="00CA64B0">
        <w:rPr>
          <w:color w:val="000000" w:themeColor="text1"/>
          <w:lang w:val="en-US" w:eastAsia="zh-CN"/>
        </w:rPr>
        <w:t xml:space="preserve"> </w:t>
      </w:r>
      <w:r w:rsidR="00DE30C5" w:rsidRPr="2877D44A">
        <w:rPr>
          <w:color w:val="000000" w:themeColor="text1"/>
          <w:lang w:val="en-US" w:eastAsia="zh-CN"/>
        </w:rPr>
        <w:t>4</w:t>
      </w:r>
      <w:r w:rsidR="00745922" w:rsidRPr="2877D44A">
        <w:rPr>
          <w:color w:val="000000" w:themeColor="text1"/>
          <w:lang w:val="en-US" w:eastAsia="zh-CN"/>
        </w:rPr>
        <w:t>5</w:t>
      </w:r>
      <w:r w:rsidR="00DE30C5" w:rsidRPr="2877D44A">
        <w:rPr>
          <w:color w:val="000000" w:themeColor="text1"/>
          <w:lang w:val="en-US" w:eastAsia="zh-CN"/>
        </w:rPr>
        <w:t xml:space="preserve">% </w:t>
      </w:r>
      <w:r w:rsidR="00DE30C5">
        <w:t xml:space="preserve">of </w:t>
      </w:r>
      <w:r w:rsidR="00CB5E2E">
        <w:t xml:space="preserve">NPP </w:t>
      </w:r>
      <w:r w:rsidR="00DE30C5">
        <w:t xml:space="preserve">is </w:t>
      </w:r>
      <w:r>
        <w:t>not quantified</w:t>
      </w:r>
      <w:r w:rsidR="0001269E">
        <w:t xml:space="preserve">. </w:t>
      </w:r>
      <w:r w:rsidR="3524CD85">
        <w:t xml:space="preserve">Our results highlight the importance </w:t>
      </w:r>
      <w:r w:rsidR="4B7798CC">
        <w:t>of</w:t>
      </w:r>
      <w:r w:rsidR="3524CD85">
        <w:t xml:space="preserve"> understanding the vertical structure of phytoplankton </w:t>
      </w:r>
      <w:r>
        <w:t xml:space="preserve">stocks </w:t>
      </w:r>
      <w:r w:rsidR="3524CD85">
        <w:t>and productivity</w:t>
      </w:r>
      <w:r w:rsidR="609AFAE6">
        <w:t>,</w:t>
      </w:r>
      <w:r w:rsidR="3524CD85">
        <w:t xml:space="preserve"> </w:t>
      </w:r>
      <w:r w:rsidR="00FF7DC2">
        <w:t>with</w:t>
      </w:r>
      <w:r w:rsidR="3524CD85">
        <w:t xml:space="preserve"> direct impact</w:t>
      </w:r>
      <w:r w:rsidR="00FF7DC2">
        <w:t>s</w:t>
      </w:r>
      <w:r w:rsidR="3524CD85">
        <w:t xml:space="preserve"> on global NPP estimates and</w:t>
      </w:r>
      <w:r w:rsidR="6AA583DE">
        <w:t>,</w:t>
      </w:r>
      <w:r w:rsidR="3524CD85">
        <w:t xml:space="preserve"> </w:t>
      </w:r>
      <w:r w:rsidR="656BC47C">
        <w:t xml:space="preserve">ultimately, </w:t>
      </w:r>
      <w:r w:rsidR="3524CD85">
        <w:t>the biological carbon pump.</w:t>
      </w:r>
    </w:p>
    <w:p w14:paraId="78D6DF1A" w14:textId="77777777" w:rsidR="00B21258" w:rsidRDefault="00B21258" w:rsidP="0053305D">
      <w:pPr>
        <w:snapToGrid w:val="0"/>
        <w:spacing w:line="360" w:lineRule="auto"/>
        <w:jc w:val="both"/>
      </w:pPr>
    </w:p>
    <w:p w14:paraId="26BC9A22" w14:textId="44525FAF" w:rsidR="00B21258" w:rsidRPr="00AC1AD8" w:rsidRDefault="00B21258" w:rsidP="0053305D">
      <w:pPr>
        <w:snapToGrid w:val="0"/>
        <w:spacing w:line="360" w:lineRule="auto"/>
        <w:jc w:val="center"/>
        <w:rPr>
          <w:b/>
          <w:bCs/>
        </w:rPr>
      </w:pPr>
      <w:r>
        <w:rPr>
          <w:b/>
          <w:bCs/>
        </w:rPr>
        <w:t>Plain Language Summary</w:t>
      </w:r>
      <w:r w:rsidR="00A164F3">
        <w:rPr>
          <w:b/>
          <w:bCs/>
        </w:rPr>
        <w:t xml:space="preserve"> </w:t>
      </w:r>
    </w:p>
    <w:p w14:paraId="6194C526" w14:textId="77777777" w:rsidR="00B21258" w:rsidRPr="00AC1AD8" w:rsidRDefault="00B21258" w:rsidP="0053305D">
      <w:pPr>
        <w:snapToGrid w:val="0"/>
        <w:spacing w:line="360" w:lineRule="auto"/>
        <w:jc w:val="both"/>
        <w:rPr>
          <w:b/>
          <w:bCs/>
        </w:rPr>
      </w:pPr>
    </w:p>
    <w:p w14:paraId="3284EB85" w14:textId="28A9C72C" w:rsidR="0062606A" w:rsidRDefault="00434E96" w:rsidP="0053305D">
      <w:pPr>
        <w:snapToGrid w:val="0"/>
        <w:spacing w:line="360" w:lineRule="auto"/>
        <w:jc w:val="both"/>
      </w:pPr>
      <w:r>
        <w:t>C</w:t>
      </w:r>
      <w:r w:rsidR="0061580B">
        <w:t xml:space="preserve">limate </w:t>
      </w:r>
      <w:r>
        <w:t xml:space="preserve">model </w:t>
      </w:r>
      <w:r w:rsidR="0061580B">
        <w:t xml:space="preserve">projections </w:t>
      </w:r>
      <w:r>
        <w:t xml:space="preserve">suggest that </w:t>
      </w:r>
      <w:r w:rsidR="00195A91">
        <w:t xml:space="preserve">ocean </w:t>
      </w:r>
      <w:r w:rsidR="0061580B">
        <w:t xml:space="preserve">warming </w:t>
      </w:r>
      <w:r>
        <w:t>will</w:t>
      </w:r>
      <w:r w:rsidR="0061580B">
        <w:t xml:space="preserve"> cause changes in </w:t>
      </w:r>
      <w:r w:rsidR="0038026A">
        <w:t xml:space="preserve">the </w:t>
      </w:r>
      <w:r w:rsidR="00791B70">
        <w:t xml:space="preserve">vertical </w:t>
      </w:r>
      <w:r w:rsidR="0038026A">
        <w:t xml:space="preserve">structure of </w:t>
      </w:r>
      <w:r w:rsidR="0061580B">
        <w:t>ocean</w:t>
      </w:r>
      <w:r w:rsidR="0038026A">
        <w:t xml:space="preserve"> layers</w:t>
      </w:r>
      <w:r w:rsidR="0061580B">
        <w:t xml:space="preserve">. </w:t>
      </w:r>
      <w:r w:rsidR="004D6AA9">
        <w:t>Th</w:t>
      </w:r>
      <w:r w:rsidR="0038026A">
        <w:t>is</w:t>
      </w:r>
      <w:r w:rsidR="004D6AA9">
        <w:t xml:space="preserve"> will likely have an effect on </w:t>
      </w:r>
      <w:r w:rsidR="00791B70">
        <w:t>how</w:t>
      </w:r>
      <w:r w:rsidR="0038026A">
        <w:t xml:space="preserve"> photosynthetic plankton (phytoplankton) are distributed with</w:t>
      </w:r>
      <w:r w:rsidR="004D6AA9">
        <w:t xml:space="preserve"> </w:t>
      </w:r>
      <w:r w:rsidR="00635629">
        <w:t>depth</w:t>
      </w:r>
      <w:r w:rsidR="004D6AA9">
        <w:t>. Subsurface accumulations of phytoplankton</w:t>
      </w:r>
      <w:r w:rsidR="00A85A0E">
        <w:t xml:space="preserve"> biomass, and</w:t>
      </w:r>
      <w:r w:rsidR="004D6AA9">
        <w:t xml:space="preserve"> pigments like chlorophyll, are characteristic of </w:t>
      </w:r>
      <w:r w:rsidR="0038026A">
        <w:t xml:space="preserve">a </w:t>
      </w:r>
      <w:r w:rsidR="005E5907">
        <w:t>stratified</w:t>
      </w:r>
      <w:r w:rsidR="0038026A">
        <w:t xml:space="preserve"> ocean</w:t>
      </w:r>
      <w:r w:rsidR="004D6AA9">
        <w:t xml:space="preserve">. </w:t>
      </w:r>
      <w:r w:rsidR="00343930">
        <w:t xml:space="preserve">These deep chlorophyll or biomass peaks are referred to as deep chlorophyll or biomass maxima. </w:t>
      </w:r>
      <w:r w:rsidR="00691360">
        <w:t>I</w:t>
      </w:r>
      <w:r w:rsidR="006C0598">
        <w:t xml:space="preserve">n the </w:t>
      </w:r>
      <w:r w:rsidR="00E04208">
        <w:lastRenderedPageBreak/>
        <w:t xml:space="preserve">waters </w:t>
      </w:r>
      <w:r w:rsidR="00CA64B0">
        <w:t>south</w:t>
      </w:r>
      <w:r w:rsidR="00E04208">
        <w:t xml:space="preserve"> of 30</w:t>
      </w:r>
      <w:r w:rsidR="00CA64B0">
        <w:t>°</w:t>
      </w:r>
      <w:r w:rsidR="00E04208">
        <w:t>S</w:t>
      </w:r>
      <w:r w:rsidR="006C0598">
        <w:t xml:space="preserve"> </w:t>
      </w:r>
      <w:r w:rsidR="0038026A">
        <w:t xml:space="preserve">they </w:t>
      </w:r>
      <w:r w:rsidR="006C0598">
        <w:t>are less well studied than</w:t>
      </w:r>
      <w:r w:rsidR="00806CAB">
        <w:t xml:space="preserve"> in </w:t>
      </w:r>
      <w:r w:rsidR="00D051DE">
        <w:t xml:space="preserve">the </w:t>
      </w:r>
      <w:r w:rsidR="00BC23DF">
        <w:t>northern hemisphere</w:t>
      </w:r>
      <w:r w:rsidR="00806CAB">
        <w:t xml:space="preserve">, </w:t>
      </w:r>
      <w:r w:rsidR="006C0598">
        <w:t>and the</w:t>
      </w:r>
      <w:r w:rsidR="00E053C7">
        <w:t>ir</w:t>
      </w:r>
      <w:r w:rsidR="006C0598">
        <w:t xml:space="preserve"> causes </w:t>
      </w:r>
      <w:r w:rsidR="002C7FD2">
        <w:t>are</w:t>
      </w:r>
      <w:r w:rsidR="006C0598">
        <w:t xml:space="preserve"> still under debate. The significance of deep chlorophyll maxima and their influence on net primary production </w:t>
      </w:r>
      <w:r w:rsidR="0038026A">
        <w:t>(the amount of ocean photosynthesis</w:t>
      </w:r>
      <w:r w:rsidR="00791B70">
        <w:t xml:space="preserve"> minus respiration</w:t>
      </w:r>
      <w:r w:rsidR="0038026A">
        <w:t xml:space="preserve">) </w:t>
      </w:r>
      <w:r w:rsidR="006C0598">
        <w:t xml:space="preserve">has </w:t>
      </w:r>
      <w:r w:rsidR="007866CF">
        <w:t>never</w:t>
      </w:r>
      <w:r w:rsidR="006C0598">
        <w:t xml:space="preserve"> been measured</w:t>
      </w:r>
      <w:r w:rsidR="00D051DE">
        <w:t xml:space="preserve"> for the Southern Ocean</w:t>
      </w:r>
      <w:r w:rsidR="007866CF">
        <w:t xml:space="preserve"> on a large scale</w:t>
      </w:r>
      <w:r w:rsidR="006C0598">
        <w:t xml:space="preserve">. </w:t>
      </w:r>
      <w:r w:rsidR="007C15BF">
        <w:t>Using data from autonomous robotic floats,</w:t>
      </w:r>
      <w:r w:rsidR="007C15BF" w:rsidDel="007C15BF">
        <w:t xml:space="preserve"> </w:t>
      </w:r>
      <w:r w:rsidR="00B60E49">
        <w:t xml:space="preserve">we </w:t>
      </w:r>
      <w:r w:rsidR="004740DE">
        <w:t>calculate</w:t>
      </w:r>
      <w:r w:rsidR="00B60E49">
        <w:t xml:space="preserve"> the contribution of deep chlorophyll maxima to net primary production.</w:t>
      </w:r>
      <w:r w:rsidR="00AC49F2">
        <w:t xml:space="preserve"> </w:t>
      </w:r>
      <w:r w:rsidR="008B3E77">
        <w:t xml:space="preserve">We show that when </w:t>
      </w:r>
      <w:r w:rsidR="00065F85">
        <w:t>deep chlorophyll and biomass maxima</w:t>
      </w:r>
      <w:r w:rsidR="00065F85" w:rsidDel="00065F85">
        <w:t xml:space="preserve"> </w:t>
      </w:r>
      <w:r w:rsidR="00CA4CE2">
        <w:t>occur</w:t>
      </w:r>
      <w:r w:rsidR="00B027A4">
        <w:t xml:space="preserve"> in</w:t>
      </w:r>
      <w:r w:rsidR="00B027A4" w:rsidRPr="00B027A4">
        <w:t xml:space="preserve"> </w:t>
      </w:r>
      <w:r w:rsidR="00B027A4">
        <w:t>nitrate-limited waters</w:t>
      </w:r>
      <w:r w:rsidR="008B3E77">
        <w:t>, the</w:t>
      </w:r>
      <w:r w:rsidR="0038026A">
        <w:t>y</w:t>
      </w:r>
      <w:r w:rsidR="008B3E77">
        <w:t xml:space="preserve"> </w:t>
      </w:r>
      <w:r w:rsidR="0038026A">
        <w:t>contribute significantly to total ocean productivity</w:t>
      </w:r>
      <w:r w:rsidR="008B3E77">
        <w:t xml:space="preserve">. </w:t>
      </w:r>
      <w:r w:rsidR="00836B53">
        <w:t>In iron-limited waters, d</w:t>
      </w:r>
      <w:r w:rsidR="00065F85">
        <w:t xml:space="preserve">eep chlorophyll maxima occur </w:t>
      </w:r>
      <w:r w:rsidR="00836B53">
        <w:t>only in spring and summer</w:t>
      </w:r>
      <w:r w:rsidR="00065F85">
        <w:t xml:space="preserve">, </w:t>
      </w:r>
      <w:r w:rsidR="00836B53">
        <w:t>and their contribution to production decreases towards the end of the summer, as light levels decline</w:t>
      </w:r>
      <w:r w:rsidR="00065F85">
        <w:t xml:space="preserve">. </w:t>
      </w:r>
      <w:r w:rsidR="0038026A">
        <w:t>A</w:t>
      </w:r>
      <w:r w:rsidR="00065F85">
        <w:t xml:space="preserve">ccounting </w:t>
      </w:r>
      <w:r w:rsidR="00AC49F2">
        <w:t xml:space="preserve">for subsurface accumulations of phytoplankton is critical </w:t>
      </w:r>
      <w:r w:rsidR="00635629">
        <w:t xml:space="preserve">for </w:t>
      </w:r>
      <w:r w:rsidR="00AC49F2">
        <w:t>calculat</w:t>
      </w:r>
      <w:r w:rsidR="00635629">
        <w:t>ing</w:t>
      </w:r>
      <w:r w:rsidR="00AC49F2">
        <w:t xml:space="preserve"> net primary production</w:t>
      </w:r>
      <w:r w:rsidR="0017722A">
        <w:t xml:space="preserve"> through the euphotic zone</w:t>
      </w:r>
      <w:r w:rsidR="00AC49F2">
        <w:t xml:space="preserve">. </w:t>
      </w:r>
    </w:p>
    <w:p w14:paraId="663D8482" w14:textId="77777777" w:rsidR="007C15BF" w:rsidRPr="0061580B" w:rsidRDefault="007C15BF" w:rsidP="0053305D">
      <w:pPr>
        <w:snapToGrid w:val="0"/>
        <w:spacing w:line="360" w:lineRule="auto"/>
        <w:jc w:val="both"/>
      </w:pPr>
    </w:p>
    <w:p w14:paraId="515529F5" w14:textId="77777777" w:rsidR="0096181A" w:rsidRPr="00AC1AD8" w:rsidRDefault="0096181A" w:rsidP="0053305D">
      <w:pPr>
        <w:snapToGrid w:val="0"/>
        <w:spacing w:line="360" w:lineRule="auto"/>
        <w:jc w:val="center"/>
        <w:rPr>
          <w:b/>
          <w:bCs/>
        </w:rPr>
      </w:pPr>
    </w:p>
    <w:p w14:paraId="46DBFB2B" w14:textId="338E1733" w:rsidR="00783177" w:rsidRPr="00AC1AD8" w:rsidRDefault="005327FA" w:rsidP="0053305D">
      <w:pPr>
        <w:pStyle w:val="ListParagraph"/>
        <w:numPr>
          <w:ilvl w:val="0"/>
          <w:numId w:val="1"/>
        </w:numPr>
        <w:snapToGrid w:val="0"/>
        <w:spacing w:line="360" w:lineRule="auto"/>
        <w:contextualSpacing w:val="0"/>
        <w:jc w:val="both"/>
        <w:rPr>
          <w:rFonts w:ascii="Times New Roman" w:hAnsi="Times New Roman" w:cs="Times New Roman"/>
          <w:b/>
          <w:bCs/>
        </w:rPr>
      </w:pPr>
      <w:r w:rsidRPr="00AC1AD8">
        <w:rPr>
          <w:rFonts w:ascii="Times New Roman" w:hAnsi="Times New Roman" w:cs="Times New Roman"/>
          <w:b/>
          <w:bCs/>
        </w:rPr>
        <w:t xml:space="preserve">Introduction </w:t>
      </w:r>
    </w:p>
    <w:p w14:paraId="36EAD8AF" w14:textId="09CADF0F" w:rsidR="005E2A16" w:rsidRPr="00AC1AD8" w:rsidRDefault="066AB74D" w:rsidP="0053305D">
      <w:pPr>
        <w:snapToGrid w:val="0"/>
        <w:spacing w:line="360" w:lineRule="auto"/>
        <w:ind w:left="360"/>
        <w:jc w:val="both"/>
        <w:rPr>
          <w:b/>
          <w:bCs/>
          <w:lang w:val="en-GB"/>
        </w:rPr>
      </w:pPr>
      <w:r w:rsidRPr="00AC1AD8">
        <w:rPr>
          <w:color w:val="000000" w:themeColor="text1"/>
        </w:rPr>
        <w:t xml:space="preserve"> </w:t>
      </w:r>
    </w:p>
    <w:p w14:paraId="41017F0A" w14:textId="62E13D10" w:rsidR="00E57151" w:rsidRDefault="00D9487A" w:rsidP="0053305D">
      <w:pPr>
        <w:snapToGrid w:val="0"/>
        <w:spacing w:line="360" w:lineRule="auto"/>
        <w:jc w:val="both"/>
      </w:pPr>
      <w:r>
        <w:rPr>
          <w:color w:val="000000" w:themeColor="text1"/>
        </w:rPr>
        <w:t>T</w:t>
      </w:r>
      <w:r w:rsidR="68654CFF" w:rsidRPr="16DDC7FD">
        <w:rPr>
          <w:color w:val="000000" w:themeColor="text1"/>
        </w:rPr>
        <w:t xml:space="preserve">he </w:t>
      </w:r>
      <w:r w:rsidR="31FC7A66" w:rsidRPr="16DDC7FD">
        <w:rPr>
          <w:color w:val="000000" w:themeColor="text1"/>
        </w:rPr>
        <w:t>Southern Ocean</w:t>
      </w:r>
      <w:r>
        <w:rPr>
          <w:color w:val="000000" w:themeColor="text1"/>
        </w:rPr>
        <w:t xml:space="preserve"> is</w:t>
      </w:r>
      <w:r w:rsidR="00DA3F27">
        <w:t xml:space="preserve"> a </w:t>
      </w:r>
      <w:r w:rsidR="00682D8B">
        <w:t>h</w:t>
      </w:r>
      <w:r w:rsidR="00DA3F27">
        <w:t>igh-</w:t>
      </w:r>
      <w:r w:rsidR="00682D8B">
        <w:t>n</w:t>
      </w:r>
      <w:r w:rsidR="00DA3F27">
        <w:t xml:space="preserve">itrate </w:t>
      </w:r>
      <w:r w:rsidR="00682D8B">
        <w:t>l</w:t>
      </w:r>
      <w:r w:rsidR="00DA3F27">
        <w:t>ow-</w:t>
      </w:r>
      <w:r w:rsidR="00682D8B">
        <w:t>c</w:t>
      </w:r>
      <w:r w:rsidR="00DA3F27">
        <w:t>hlorophyll (HNLC) area</w:t>
      </w:r>
      <w:r w:rsidR="007E10E4">
        <w:t>, predominantly iron-limited</w:t>
      </w:r>
      <w:r w:rsidR="00C604ED">
        <w:t xml:space="preserve"> (Martin et al. 1990; Boyd et al. 2007)</w:t>
      </w:r>
      <w:r w:rsidR="007E10E4">
        <w:t>,</w:t>
      </w:r>
      <w:r w:rsidR="31FC7A66" w:rsidRPr="16DDC7FD">
        <w:rPr>
          <w:color w:val="000000" w:themeColor="text1"/>
        </w:rPr>
        <w:t xml:space="preserve"> </w:t>
      </w:r>
      <w:r>
        <w:rPr>
          <w:color w:val="000000" w:themeColor="text1"/>
        </w:rPr>
        <w:t>where p</w:t>
      </w:r>
      <w:r w:rsidRPr="16DDC7FD">
        <w:rPr>
          <w:color w:val="000000" w:themeColor="text1"/>
        </w:rPr>
        <w:t xml:space="preserve">hytoplankton production </w:t>
      </w:r>
      <w:r w:rsidR="68654CFF" w:rsidRPr="16DDC7FD">
        <w:rPr>
          <w:color w:val="000000" w:themeColor="text1"/>
        </w:rPr>
        <w:t>plays a central role in the biological carbon pump and functioning of the marine ecosystem (Boyd and Trull 2007, Henson et al. 2012, Boyd 2015</w:t>
      </w:r>
      <w:r w:rsidR="6466EA18" w:rsidRPr="16DDC7FD">
        <w:rPr>
          <w:color w:val="000000" w:themeColor="text1"/>
        </w:rPr>
        <w:t>; Gruber et al., 2019</w:t>
      </w:r>
      <w:r w:rsidR="68654CFF" w:rsidRPr="16DDC7FD">
        <w:rPr>
          <w:color w:val="000000" w:themeColor="text1"/>
        </w:rPr>
        <w:t xml:space="preserve">). </w:t>
      </w:r>
      <w:r w:rsidR="74651B49" w:rsidRPr="16DDC7FD">
        <w:rPr>
          <w:color w:val="000000" w:themeColor="text1"/>
        </w:rPr>
        <w:t>N</w:t>
      </w:r>
      <w:r w:rsidR="6A9CE153" w:rsidRPr="16DDC7FD">
        <w:rPr>
          <w:color w:val="000000" w:themeColor="text1"/>
        </w:rPr>
        <w:t>et primary production (NPP)</w:t>
      </w:r>
      <w:r w:rsidR="49B15BF3" w:rsidRPr="16DDC7FD">
        <w:rPr>
          <w:color w:val="000000" w:themeColor="text1"/>
        </w:rPr>
        <w:t xml:space="preserve"> is </w:t>
      </w:r>
      <w:r w:rsidR="258BD0AF" w:rsidRPr="16DDC7FD">
        <w:rPr>
          <w:color w:val="000000" w:themeColor="text1"/>
        </w:rPr>
        <w:t xml:space="preserve">the </w:t>
      </w:r>
      <w:r w:rsidR="49B15BF3" w:rsidRPr="16DDC7FD">
        <w:rPr>
          <w:color w:val="000000" w:themeColor="text1"/>
        </w:rPr>
        <w:t xml:space="preserve">difference between </w:t>
      </w:r>
      <w:r w:rsidR="1731AAFB" w:rsidRPr="16DDC7FD">
        <w:rPr>
          <w:color w:val="000000" w:themeColor="text1"/>
        </w:rPr>
        <w:t xml:space="preserve">the </w:t>
      </w:r>
      <w:r w:rsidR="49B15BF3" w:rsidRPr="16DDC7FD">
        <w:rPr>
          <w:color w:val="000000" w:themeColor="text1"/>
        </w:rPr>
        <w:t xml:space="preserve">gross </w:t>
      </w:r>
      <w:r w:rsidR="00C76509">
        <w:rPr>
          <w:color w:val="000000" w:themeColor="text1"/>
        </w:rPr>
        <w:t xml:space="preserve">particulate organic </w:t>
      </w:r>
      <w:r w:rsidR="49B15BF3" w:rsidRPr="16DDC7FD">
        <w:rPr>
          <w:color w:val="000000" w:themeColor="text1"/>
        </w:rPr>
        <w:t xml:space="preserve">carbon produced by marine autotrophs and the respiration of </w:t>
      </w:r>
      <w:r w:rsidR="3DF73093" w:rsidRPr="16DDC7FD">
        <w:rPr>
          <w:color w:val="000000" w:themeColor="text1"/>
        </w:rPr>
        <w:t xml:space="preserve">their </w:t>
      </w:r>
      <w:r w:rsidR="49B15BF3" w:rsidRPr="16DDC7FD">
        <w:rPr>
          <w:color w:val="000000" w:themeColor="text1"/>
        </w:rPr>
        <w:t>carbon products</w:t>
      </w:r>
      <w:r w:rsidR="73501606" w:rsidRPr="16DDC7FD">
        <w:rPr>
          <w:color w:val="000000" w:themeColor="text1"/>
        </w:rPr>
        <w:t xml:space="preserve"> </w:t>
      </w:r>
      <w:r w:rsidR="509F98C0" w:rsidRPr="16DDC7FD">
        <w:rPr>
          <w:color w:val="000000" w:themeColor="text1"/>
        </w:rPr>
        <w:t>(</w:t>
      </w:r>
      <w:r w:rsidR="0A85674B" w:rsidRPr="16DDC7FD">
        <w:rPr>
          <w:color w:val="000000" w:themeColor="text1"/>
        </w:rPr>
        <w:t>Huang et al., 2021</w:t>
      </w:r>
      <w:r w:rsidR="509F98C0" w:rsidRPr="16DDC7FD">
        <w:rPr>
          <w:color w:val="000000" w:themeColor="text1"/>
        </w:rPr>
        <w:t>).</w:t>
      </w:r>
      <w:r w:rsidR="2A5FBD3A" w:rsidRPr="16DDC7FD">
        <w:rPr>
          <w:color w:val="000000" w:themeColor="text1"/>
        </w:rPr>
        <w:t xml:space="preserve"> </w:t>
      </w:r>
      <w:r w:rsidR="1BF01932" w:rsidRPr="16DDC7FD">
        <w:rPr>
          <w:color w:val="000000" w:themeColor="text1"/>
        </w:rPr>
        <w:t xml:space="preserve">NPP </w:t>
      </w:r>
      <w:r w:rsidR="005150F5">
        <w:rPr>
          <w:color w:val="000000" w:themeColor="text1"/>
        </w:rPr>
        <w:t>can therefore be described as the</w:t>
      </w:r>
      <w:r w:rsidR="005150F5" w:rsidRPr="16DDC7FD">
        <w:rPr>
          <w:color w:val="000000" w:themeColor="text1"/>
        </w:rPr>
        <w:t xml:space="preserve"> organic carbon available for growth</w:t>
      </w:r>
      <w:r w:rsidR="005150F5">
        <w:rPr>
          <w:color w:val="000000" w:themeColor="text1"/>
        </w:rPr>
        <w:t>, and it is</w:t>
      </w:r>
      <w:r w:rsidR="005150F5" w:rsidRPr="16DDC7FD">
        <w:rPr>
          <w:color w:val="000000" w:themeColor="text1"/>
        </w:rPr>
        <w:t xml:space="preserve"> </w:t>
      </w:r>
      <w:r w:rsidR="1BF01932" w:rsidRPr="16DDC7FD">
        <w:rPr>
          <w:color w:val="000000" w:themeColor="text1"/>
        </w:rPr>
        <w:t>the most widely used variable when quantifying ocean productivity (</w:t>
      </w:r>
      <w:r w:rsidR="00D606B8" w:rsidRPr="16DDC7FD">
        <w:rPr>
          <w:color w:val="000000" w:themeColor="text1"/>
        </w:rPr>
        <w:t>Westberry et al. 2023</w:t>
      </w:r>
      <w:r w:rsidR="1BF01932" w:rsidRPr="16DDC7FD">
        <w:rPr>
          <w:color w:val="000000" w:themeColor="text1"/>
        </w:rPr>
        <w:t xml:space="preserve">). </w:t>
      </w:r>
      <w:r w:rsidR="6A9CE153" w:rsidRPr="16DDC7FD">
        <w:rPr>
          <w:color w:val="000000" w:themeColor="text1"/>
        </w:rPr>
        <w:t xml:space="preserve">Marine </w:t>
      </w:r>
      <w:r w:rsidR="33F0ADF9" w:rsidRPr="16DDC7FD">
        <w:rPr>
          <w:color w:val="000000" w:themeColor="text1"/>
        </w:rPr>
        <w:t>NPP</w:t>
      </w:r>
      <w:r w:rsidR="6A9CE153" w:rsidRPr="16DDC7FD">
        <w:rPr>
          <w:color w:val="000000" w:themeColor="text1"/>
        </w:rPr>
        <w:t xml:space="preserve"> occurs in the </w:t>
      </w:r>
      <w:r w:rsidR="00A20615">
        <w:rPr>
          <w:color w:val="000000" w:themeColor="text1"/>
        </w:rPr>
        <w:t xml:space="preserve">sunlit </w:t>
      </w:r>
      <w:r w:rsidR="6A9CE153" w:rsidRPr="16DDC7FD">
        <w:rPr>
          <w:color w:val="000000" w:themeColor="text1"/>
        </w:rPr>
        <w:t xml:space="preserve">upper ocean and </w:t>
      </w:r>
      <w:r w:rsidR="33F0ADF9" w:rsidRPr="16DDC7FD">
        <w:rPr>
          <w:color w:val="000000" w:themeColor="text1"/>
        </w:rPr>
        <w:t xml:space="preserve">accounts for ~50% of </w:t>
      </w:r>
      <w:r w:rsidR="004D6BD2">
        <w:rPr>
          <w:color w:val="000000" w:themeColor="text1"/>
        </w:rPr>
        <w:t xml:space="preserve">the </w:t>
      </w:r>
      <w:r w:rsidR="33F0ADF9" w:rsidRPr="16DDC7FD">
        <w:rPr>
          <w:color w:val="000000" w:themeColor="text1"/>
        </w:rPr>
        <w:t xml:space="preserve">global </w:t>
      </w:r>
      <w:r w:rsidR="004D6BD2">
        <w:rPr>
          <w:color w:val="000000" w:themeColor="text1"/>
        </w:rPr>
        <w:t xml:space="preserve">total </w:t>
      </w:r>
      <w:r w:rsidR="33F0ADF9" w:rsidRPr="16DDC7FD">
        <w:rPr>
          <w:color w:val="000000" w:themeColor="text1"/>
        </w:rPr>
        <w:t>(Field et al. 1998)</w:t>
      </w:r>
      <w:r w:rsidR="00D606B8">
        <w:rPr>
          <w:color w:val="000000" w:themeColor="text1"/>
        </w:rPr>
        <w:t xml:space="preserve">, although the uncertainty range </w:t>
      </w:r>
      <w:r w:rsidR="00791B70">
        <w:rPr>
          <w:color w:val="000000" w:themeColor="text1"/>
        </w:rPr>
        <w:t xml:space="preserve">in the ocean </w:t>
      </w:r>
      <w:r w:rsidR="00D606B8">
        <w:rPr>
          <w:color w:val="000000" w:themeColor="text1"/>
        </w:rPr>
        <w:t>is large (</w:t>
      </w:r>
      <w:r w:rsidR="00D606B8">
        <w:t>Tagliabue et al., 2021</w:t>
      </w:r>
      <w:r w:rsidR="00D606B8">
        <w:rPr>
          <w:color w:val="000000" w:themeColor="text1"/>
        </w:rPr>
        <w:t>)</w:t>
      </w:r>
      <w:r w:rsidR="33F0ADF9" w:rsidRPr="16DDC7FD">
        <w:rPr>
          <w:color w:val="000000" w:themeColor="text1"/>
        </w:rPr>
        <w:t xml:space="preserve">. </w:t>
      </w:r>
      <w:r w:rsidR="00297E84">
        <w:t xml:space="preserve">As increases in stratification due to warming are expected in the Southern Ocean (Bindoff et al., 2019), understanding the patterns in the vertical structure of NPP and </w:t>
      </w:r>
      <w:r w:rsidR="007015BD">
        <w:t xml:space="preserve">the contribution of </w:t>
      </w:r>
      <w:r w:rsidR="00297E84">
        <w:t xml:space="preserve">subsurface production is important, to be able to predict how ocean productivity and the biological carbon pump will be affected by climate change. </w:t>
      </w:r>
      <w:r w:rsidR="4F6A5657" w:rsidRPr="16DDC7FD">
        <w:t xml:space="preserve">However, the measurement of </w:t>
      </w:r>
      <w:r w:rsidR="008052FC">
        <w:t xml:space="preserve">depth-resolved </w:t>
      </w:r>
      <w:r w:rsidR="4F6A5657" w:rsidRPr="16DDC7FD">
        <w:t>NPP in the ocean requires time and resources, resulting in s</w:t>
      </w:r>
      <w:r w:rsidR="27C33820" w:rsidRPr="16DDC7FD">
        <w:t>p</w:t>
      </w:r>
      <w:r w:rsidR="4F6A5657" w:rsidRPr="16DDC7FD">
        <w:t>ar</w:t>
      </w:r>
      <w:r w:rsidR="0A5E216B" w:rsidRPr="16DDC7FD">
        <w:t>s</w:t>
      </w:r>
      <w:r w:rsidR="4F6A5657" w:rsidRPr="16DDC7FD">
        <w:t xml:space="preserve">e data sets, especially in the Southern Ocean. </w:t>
      </w:r>
    </w:p>
    <w:p w14:paraId="4A9D7327" w14:textId="77777777" w:rsidR="00902A16" w:rsidRPr="00AC1AD8" w:rsidRDefault="00902A16" w:rsidP="0053305D">
      <w:pPr>
        <w:snapToGrid w:val="0"/>
        <w:spacing w:line="360" w:lineRule="auto"/>
        <w:jc w:val="both"/>
        <w:rPr>
          <w:color w:val="000000"/>
        </w:rPr>
      </w:pPr>
    </w:p>
    <w:p w14:paraId="1CEA25B3" w14:textId="1019A75E" w:rsidR="00C850BA" w:rsidRDefault="4EE3751A" w:rsidP="0053305D">
      <w:pPr>
        <w:pStyle w:val="NormalWeb"/>
        <w:snapToGrid w:val="0"/>
        <w:spacing w:before="0" w:beforeAutospacing="0" w:after="0" w:afterAutospacing="0" w:line="360" w:lineRule="auto"/>
        <w:jc w:val="both"/>
        <w:rPr>
          <w:color w:val="000000" w:themeColor="text1"/>
        </w:rPr>
      </w:pPr>
      <w:r w:rsidRPr="00AC1AD8">
        <w:rPr>
          <w:color w:val="000000" w:themeColor="text1"/>
        </w:rPr>
        <w:t xml:space="preserve">The development of </w:t>
      </w:r>
      <w:r w:rsidR="39A4EE76" w:rsidRPr="00AC1AD8">
        <w:rPr>
          <w:color w:val="000000" w:themeColor="text1"/>
        </w:rPr>
        <w:t xml:space="preserve">satellite-based </w:t>
      </w:r>
      <w:r w:rsidR="78885CF7" w:rsidRPr="00AC1AD8">
        <w:rPr>
          <w:color w:val="000000" w:themeColor="text1"/>
        </w:rPr>
        <w:t>algorithms</w:t>
      </w:r>
      <w:r w:rsidR="3DC0EDF1" w:rsidRPr="00AC1AD8">
        <w:rPr>
          <w:color w:val="000000" w:themeColor="text1"/>
        </w:rPr>
        <w:t xml:space="preserve">, </w:t>
      </w:r>
      <w:r w:rsidR="3B86710A" w:rsidRPr="00AC1AD8">
        <w:rPr>
          <w:color w:val="000000" w:themeColor="text1"/>
        </w:rPr>
        <w:t>hereafter</w:t>
      </w:r>
      <w:r w:rsidR="3DC0EDF1" w:rsidRPr="00AC1AD8">
        <w:rPr>
          <w:color w:val="000000" w:themeColor="text1"/>
        </w:rPr>
        <w:t xml:space="preserve"> referred to as </w:t>
      </w:r>
      <w:r w:rsidR="78885CF7" w:rsidRPr="00AC1AD8">
        <w:rPr>
          <w:color w:val="000000" w:themeColor="text1"/>
        </w:rPr>
        <w:t>models</w:t>
      </w:r>
      <w:r w:rsidR="3DC0EDF1" w:rsidRPr="00AC1AD8">
        <w:rPr>
          <w:color w:val="000000" w:themeColor="text1"/>
        </w:rPr>
        <w:t xml:space="preserve">, </w:t>
      </w:r>
      <w:r w:rsidRPr="00AC1AD8">
        <w:rPr>
          <w:color w:val="000000" w:themeColor="text1"/>
        </w:rPr>
        <w:t xml:space="preserve">to derive </w:t>
      </w:r>
      <w:r w:rsidR="78885CF7" w:rsidRPr="00AC1AD8">
        <w:rPr>
          <w:color w:val="000000" w:themeColor="text1"/>
        </w:rPr>
        <w:t>NPP</w:t>
      </w:r>
      <w:r w:rsidRPr="00AC1AD8">
        <w:rPr>
          <w:color w:val="000000" w:themeColor="text1"/>
        </w:rPr>
        <w:t xml:space="preserve"> ha</w:t>
      </w:r>
      <w:r w:rsidR="699EF6D3" w:rsidRPr="00AC1AD8">
        <w:rPr>
          <w:color w:val="000000" w:themeColor="text1"/>
        </w:rPr>
        <w:t>s</w:t>
      </w:r>
      <w:r w:rsidRPr="00AC1AD8">
        <w:rPr>
          <w:color w:val="000000" w:themeColor="text1"/>
        </w:rPr>
        <w:t xml:space="preserve"> been essential to </w:t>
      </w:r>
      <w:r w:rsidR="00404685">
        <w:rPr>
          <w:color w:val="000000" w:themeColor="text1"/>
        </w:rPr>
        <w:t xml:space="preserve">the </w:t>
      </w:r>
      <w:r w:rsidRPr="00AC1AD8">
        <w:rPr>
          <w:color w:val="000000" w:themeColor="text1"/>
        </w:rPr>
        <w:t xml:space="preserve">study </w:t>
      </w:r>
      <w:r w:rsidR="00404685">
        <w:rPr>
          <w:color w:val="000000" w:themeColor="text1"/>
        </w:rPr>
        <w:t xml:space="preserve">of </w:t>
      </w:r>
      <w:r w:rsidR="78885CF7" w:rsidRPr="00AC1AD8">
        <w:rPr>
          <w:color w:val="000000" w:themeColor="text1"/>
        </w:rPr>
        <w:t>productivity</w:t>
      </w:r>
      <w:r w:rsidRPr="00AC1AD8">
        <w:rPr>
          <w:color w:val="000000" w:themeColor="text1"/>
        </w:rPr>
        <w:t xml:space="preserve"> in remote areas</w:t>
      </w:r>
      <w:r w:rsidR="00404685">
        <w:rPr>
          <w:color w:val="000000" w:themeColor="text1"/>
        </w:rPr>
        <w:t>.</w:t>
      </w:r>
      <w:r w:rsidRPr="00AC1AD8">
        <w:rPr>
          <w:color w:val="000000" w:themeColor="text1"/>
        </w:rPr>
        <w:t xml:space="preserve"> </w:t>
      </w:r>
      <w:r w:rsidR="00044C02">
        <w:rPr>
          <w:color w:val="000000" w:themeColor="text1"/>
        </w:rPr>
        <w:t>The large temporal and spatial resolution of these</w:t>
      </w:r>
      <w:r w:rsidR="00044C02" w:rsidRPr="00AC1AD8">
        <w:rPr>
          <w:color w:val="000000" w:themeColor="text1"/>
        </w:rPr>
        <w:t xml:space="preserve"> </w:t>
      </w:r>
      <w:r w:rsidR="5E8C4ED1" w:rsidRPr="00AC1AD8">
        <w:rPr>
          <w:color w:val="000000" w:themeColor="text1"/>
        </w:rPr>
        <w:t>data</w:t>
      </w:r>
      <w:r w:rsidR="00404685">
        <w:rPr>
          <w:color w:val="000000" w:themeColor="text1"/>
        </w:rPr>
        <w:t xml:space="preserve"> </w:t>
      </w:r>
      <w:r w:rsidR="5E8C4ED1" w:rsidRPr="00AC1AD8">
        <w:rPr>
          <w:color w:val="000000" w:themeColor="text1"/>
        </w:rPr>
        <w:t>sets</w:t>
      </w:r>
      <w:r w:rsidR="00404685">
        <w:rPr>
          <w:color w:val="000000" w:themeColor="text1"/>
        </w:rPr>
        <w:t xml:space="preserve"> have been </w:t>
      </w:r>
      <w:r w:rsidR="00B747AE">
        <w:rPr>
          <w:color w:val="000000" w:themeColor="text1"/>
        </w:rPr>
        <w:t>necessary</w:t>
      </w:r>
      <w:r w:rsidR="002B1C8F" w:rsidRPr="00AC1AD8">
        <w:rPr>
          <w:color w:val="000000" w:themeColor="text1"/>
        </w:rPr>
        <w:t xml:space="preserve"> </w:t>
      </w:r>
      <w:r w:rsidRPr="00AC1AD8">
        <w:rPr>
          <w:color w:val="000000" w:themeColor="text1"/>
        </w:rPr>
        <w:t xml:space="preserve">to quantify long-term changes in biological </w:t>
      </w:r>
      <w:r w:rsidRPr="00AC1AD8">
        <w:rPr>
          <w:color w:val="000000" w:themeColor="text1"/>
        </w:rPr>
        <w:lastRenderedPageBreak/>
        <w:t>production</w:t>
      </w:r>
      <w:r w:rsidR="6DE107A8" w:rsidRPr="00AC1AD8">
        <w:rPr>
          <w:color w:val="000000" w:themeColor="text1"/>
        </w:rPr>
        <w:t xml:space="preserve"> </w:t>
      </w:r>
      <w:r w:rsidR="00B747AE">
        <w:rPr>
          <w:color w:val="000000" w:themeColor="text1"/>
        </w:rPr>
        <w:t xml:space="preserve">globally </w:t>
      </w:r>
      <w:r w:rsidR="0A85674B" w:rsidRPr="00AC1AD8">
        <w:rPr>
          <w:color w:val="000000" w:themeColor="text1"/>
        </w:rPr>
        <w:t xml:space="preserve">since the 1990s </w:t>
      </w:r>
      <w:r w:rsidR="76D98602" w:rsidRPr="00AC1AD8">
        <w:rPr>
          <w:color w:val="000000" w:themeColor="text1"/>
        </w:rPr>
        <w:t>(</w:t>
      </w:r>
      <w:r w:rsidR="78885CF7" w:rsidRPr="00AC1AD8">
        <w:rPr>
          <w:color w:val="000000" w:themeColor="text1"/>
          <w:shd w:val="clear" w:color="auto" w:fill="FFFFFF"/>
        </w:rPr>
        <w:t xml:space="preserve">Platt and </w:t>
      </w:r>
      <w:proofErr w:type="spellStart"/>
      <w:r w:rsidR="78885CF7" w:rsidRPr="00AC1AD8">
        <w:rPr>
          <w:color w:val="000000" w:themeColor="text1"/>
          <w:shd w:val="clear" w:color="auto" w:fill="FFFFFF"/>
        </w:rPr>
        <w:t>Sathyendranath</w:t>
      </w:r>
      <w:proofErr w:type="spellEnd"/>
      <w:r w:rsidR="78885CF7" w:rsidRPr="00AC1AD8">
        <w:rPr>
          <w:color w:val="000000" w:themeColor="text1"/>
          <w:shd w:val="clear" w:color="auto" w:fill="FFFFFF"/>
        </w:rPr>
        <w:t xml:space="preserve">, 1988; Longhurst et al., 1995; </w:t>
      </w:r>
      <w:r w:rsidR="76D98602" w:rsidRPr="00AC1AD8">
        <w:rPr>
          <w:color w:val="000000" w:themeColor="text1"/>
        </w:rPr>
        <w:t>Behrenfeld and Falkowski</w:t>
      </w:r>
      <w:r w:rsidR="78885CF7" w:rsidRPr="00AC1AD8">
        <w:rPr>
          <w:color w:val="000000" w:themeColor="text1"/>
        </w:rPr>
        <w:t>,</w:t>
      </w:r>
      <w:r w:rsidR="76D98602" w:rsidRPr="00AC1AD8">
        <w:rPr>
          <w:color w:val="000000" w:themeColor="text1"/>
        </w:rPr>
        <w:t xml:space="preserve"> 1997</w:t>
      </w:r>
      <w:r w:rsidR="78885CF7" w:rsidRPr="00AC1AD8">
        <w:rPr>
          <w:color w:val="000000" w:themeColor="text1"/>
        </w:rPr>
        <w:t xml:space="preserve">; </w:t>
      </w:r>
      <w:r w:rsidR="78885CF7" w:rsidRPr="00AC1AD8">
        <w:rPr>
          <w:color w:val="000000" w:themeColor="text1"/>
          <w:shd w:val="clear" w:color="auto" w:fill="FFFFFF"/>
        </w:rPr>
        <w:t>Behrenfeld et al., 2005</w:t>
      </w:r>
      <w:r w:rsidR="76D98602" w:rsidRPr="00AC1AD8">
        <w:rPr>
          <w:color w:val="000000" w:themeColor="text1"/>
        </w:rPr>
        <w:t>)</w:t>
      </w:r>
      <w:r w:rsidRPr="00AC1AD8">
        <w:rPr>
          <w:color w:val="000000" w:themeColor="text1"/>
        </w:rPr>
        <w:t xml:space="preserve">. </w:t>
      </w:r>
      <w:r w:rsidR="39A4EE76" w:rsidRPr="00AC1AD8">
        <w:rPr>
          <w:color w:val="000000" w:themeColor="text1"/>
        </w:rPr>
        <w:t>S</w:t>
      </w:r>
      <w:r w:rsidR="0950A031" w:rsidRPr="00AC1AD8">
        <w:rPr>
          <w:color w:val="000000" w:themeColor="text1"/>
        </w:rPr>
        <w:t xml:space="preserve">atellite measurements are restricted to the surface </w:t>
      </w:r>
      <w:r w:rsidR="1DEC5958" w:rsidRPr="00AC1AD8">
        <w:rPr>
          <w:color w:val="000000" w:themeColor="text1"/>
        </w:rPr>
        <w:t>(~10-50m</w:t>
      </w:r>
      <w:r w:rsidR="00791B70">
        <w:rPr>
          <w:color w:val="000000" w:themeColor="text1"/>
        </w:rPr>
        <w:t xml:space="preserve"> depth</w:t>
      </w:r>
      <w:r w:rsidR="1DEC5958" w:rsidRPr="00AC1AD8">
        <w:rPr>
          <w:color w:val="000000" w:themeColor="text1"/>
        </w:rPr>
        <w:t xml:space="preserve">) </w:t>
      </w:r>
      <w:r w:rsidR="0950A031" w:rsidRPr="00AC1AD8">
        <w:rPr>
          <w:color w:val="000000" w:themeColor="text1"/>
        </w:rPr>
        <w:t>of the ocean</w:t>
      </w:r>
      <w:r w:rsidR="3C5024E9" w:rsidRPr="00AC1AD8">
        <w:rPr>
          <w:color w:val="000000" w:themeColor="text1"/>
        </w:rPr>
        <w:t>,</w:t>
      </w:r>
      <w:r w:rsidR="0950A031" w:rsidRPr="00AC1AD8">
        <w:rPr>
          <w:color w:val="000000" w:themeColor="text1"/>
        </w:rPr>
        <w:t xml:space="preserve"> and it </w:t>
      </w:r>
      <w:r w:rsidR="2A207B9B" w:rsidRPr="00AC1AD8">
        <w:rPr>
          <w:color w:val="000000" w:themeColor="text1"/>
        </w:rPr>
        <w:t xml:space="preserve">is </w:t>
      </w:r>
      <w:r w:rsidR="00751CCF">
        <w:rPr>
          <w:color w:val="000000" w:themeColor="text1"/>
        </w:rPr>
        <w:t>challenging</w:t>
      </w:r>
      <w:r w:rsidR="00751CCF" w:rsidRPr="00AC1AD8">
        <w:rPr>
          <w:color w:val="000000" w:themeColor="text1"/>
        </w:rPr>
        <w:t xml:space="preserve"> </w:t>
      </w:r>
      <w:r w:rsidR="0950A031" w:rsidRPr="00AC1AD8">
        <w:rPr>
          <w:color w:val="000000" w:themeColor="text1"/>
        </w:rPr>
        <w:t>for satellite-based</w:t>
      </w:r>
      <w:r w:rsidR="678326B4" w:rsidRPr="00AC1AD8">
        <w:rPr>
          <w:color w:val="000000" w:themeColor="text1"/>
        </w:rPr>
        <w:t xml:space="preserve"> </w:t>
      </w:r>
      <w:r w:rsidR="0950A031" w:rsidRPr="00AC1AD8">
        <w:rPr>
          <w:color w:val="000000" w:themeColor="text1"/>
        </w:rPr>
        <w:t xml:space="preserve">models to </w:t>
      </w:r>
      <w:r w:rsidR="2BFED043" w:rsidRPr="00AC1AD8">
        <w:rPr>
          <w:color w:val="000000" w:themeColor="text1"/>
        </w:rPr>
        <w:t xml:space="preserve">extrapolate </w:t>
      </w:r>
      <w:r w:rsidR="01FF0B51" w:rsidRPr="00AC1AD8">
        <w:rPr>
          <w:color w:val="000000" w:themeColor="text1"/>
        </w:rPr>
        <w:t>N</w:t>
      </w:r>
      <w:r w:rsidR="0950A031" w:rsidRPr="00AC1AD8">
        <w:rPr>
          <w:color w:val="000000" w:themeColor="text1"/>
        </w:rPr>
        <w:t xml:space="preserve">PP </w:t>
      </w:r>
      <w:r w:rsidR="00B0099B" w:rsidRPr="00AC1AD8">
        <w:rPr>
          <w:color w:val="000000" w:themeColor="text1"/>
        </w:rPr>
        <w:t>t</w:t>
      </w:r>
      <w:r w:rsidR="00B0099B">
        <w:rPr>
          <w:color w:val="000000" w:themeColor="text1"/>
        </w:rPr>
        <w:t>o</w:t>
      </w:r>
      <w:r w:rsidR="00B0099B" w:rsidRPr="00AC1AD8">
        <w:rPr>
          <w:color w:val="000000" w:themeColor="text1"/>
        </w:rPr>
        <w:t xml:space="preserve"> </w:t>
      </w:r>
      <w:r w:rsidR="00052D4F">
        <w:rPr>
          <w:color w:val="000000" w:themeColor="text1"/>
        </w:rPr>
        <w:t>its maximum depth</w:t>
      </w:r>
      <w:r w:rsidR="0017722A">
        <w:rPr>
          <w:color w:val="000000" w:themeColor="text1"/>
        </w:rPr>
        <w:t xml:space="preserve"> (typically the base of the euphotic zone)</w:t>
      </w:r>
      <w:r w:rsidR="0950A031" w:rsidRPr="00AC1AD8">
        <w:rPr>
          <w:color w:val="000000" w:themeColor="text1"/>
        </w:rPr>
        <w:t xml:space="preserve">. </w:t>
      </w:r>
      <w:r w:rsidR="00206F67">
        <w:rPr>
          <w:color w:val="000000" w:themeColor="text1"/>
        </w:rPr>
        <w:t xml:space="preserve">As the </w:t>
      </w:r>
      <w:r w:rsidR="0017722A">
        <w:rPr>
          <w:color w:val="000000" w:themeColor="text1"/>
        </w:rPr>
        <w:t xml:space="preserve">calculated </w:t>
      </w:r>
      <w:r w:rsidR="00206F67">
        <w:rPr>
          <w:color w:val="000000" w:themeColor="text1"/>
        </w:rPr>
        <w:t xml:space="preserve">vertical distribution of </w:t>
      </w:r>
      <w:proofErr w:type="spellStart"/>
      <w:r w:rsidR="00206F67">
        <w:rPr>
          <w:color w:val="000000" w:themeColor="text1"/>
        </w:rPr>
        <w:t>chl</w:t>
      </w:r>
      <w:proofErr w:type="spellEnd"/>
      <w:r w:rsidR="00206F67">
        <w:rPr>
          <w:color w:val="000000" w:themeColor="text1"/>
        </w:rPr>
        <w:t xml:space="preserve"> is based on</w:t>
      </w:r>
      <w:r w:rsidR="00052D4F">
        <w:rPr>
          <w:color w:val="000000" w:themeColor="text1"/>
        </w:rPr>
        <w:t xml:space="preserve"> algorithms using surface ocean </w:t>
      </w:r>
      <w:proofErr w:type="spellStart"/>
      <w:r w:rsidR="00052D4F">
        <w:rPr>
          <w:color w:val="000000" w:themeColor="text1"/>
        </w:rPr>
        <w:t>color</w:t>
      </w:r>
      <w:proofErr w:type="spellEnd"/>
      <w:r w:rsidR="00206F67">
        <w:rPr>
          <w:color w:val="000000" w:themeColor="text1"/>
        </w:rPr>
        <w:t xml:space="preserve">, there is also considerable uncertainty regarding future ocean estimates. </w:t>
      </w:r>
      <w:r w:rsidR="73120FDA" w:rsidRPr="00AC1AD8">
        <w:rPr>
          <w:color w:val="000000" w:themeColor="text1"/>
        </w:rPr>
        <w:t>More recently, NPP models like the Carbon-based Productivity Model (</w:t>
      </w:r>
      <w:proofErr w:type="spellStart"/>
      <w:r w:rsidR="73120FDA" w:rsidRPr="00AC1AD8">
        <w:rPr>
          <w:color w:val="000000" w:themeColor="text1"/>
        </w:rPr>
        <w:t>CbPM</w:t>
      </w:r>
      <w:proofErr w:type="spellEnd"/>
      <w:r w:rsidR="73120FDA" w:rsidRPr="00AC1AD8">
        <w:rPr>
          <w:color w:val="000000" w:themeColor="text1"/>
        </w:rPr>
        <w:t xml:space="preserve">; </w:t>
      </w:r>
      <w:proofErr w:type="spellStart"/>
      <w:r w:rsidR="73120FDA" w:rsidRPr="00AC1AD8">
        <w:rPr>
          <w:color w:val="000000" w:themeColor="text1"/>
        </w:rPr>
        <w:t>Behrenfeld</w:t>
      </w:r>
      <w:proofErr w:type="spellEnd"/>
      <w:r w:rsidR="73120FDA" w:rsidRPr="00AC1AD8">
        <w:rPr>
          <w:color w:val="000000" w:themeColor="text1"/>
        </w:rPr>
        <w:t xml:space="preserve"> et al. 2005; Westberry et al., 2008) have been combined with </w:t>
      </w:r>
      <w:r w:rsidR="73120FDA" w:rsidRPr="16DDC7FD">
        <w:rPr>
          <w:i/>
          <w:iCs/>
        </w:rPr>
        <w:t>in situ</w:t>
      </w:r>
      <w:r w:rsidR="73120FDA" w:rsidRPr="00AC1AD8">
        <w:t xml:space="preserve"> </w:t>
      </w:r>
      <w:r w:rsidR="73120FDA" w:rsidRPr="00AC1AD8">
        <w:rPr>
          <w:color w:val="000000" w:themeColor="text1"/>
        </w:rPr>
        <w:t>data from Biogeochemical (BGC)-Argo floats</w:t>
      </w:r>
      <w:r w:rsidR="00A07BBC">
        <w:rPr>
          <w:color w:val="000000" w:themeColor="text1"/>
        </w:rPr>
        <w:t xml:space="preserve"> in the North Atlantic</w:t>
      </w:r>
      <w:r w:rsidR="73120FDA" w:rsidRPr="00AC1AD8">
        <w:rPr>
          <w:color w:val="000000" w:themeColor="text1"/>
        </w:rPr>
        <w:t xml:space="preserve"> to estimate depth-resolved NPP</w:t>
      </w:r>
      <w:r w:rsidR="14C777AE" w:rsidRPr="00AC1AD8">
        <w:rPr>
          <w:color w:val="000000" w:themeColor="text1"/>
        </w:rPr>
        <w:t xml:space="preserve"> using </w:t>
      </w:r>
      <w:r w:rsidR="00297E84">
        <w:rPr>
          <w:color w:val="000000" w:themeColor="text1"/>
        </w:rPr>
        <w:t>observations</w:t>
      </w:r>
      <w:r w:rsidR="14C777AE" w:rsidRPr="00AC1AD8">
        <w:rPr>
          <w:color w:val="000000" w:themeColor="text1"/>
        </w:rPr>
        <w:t xml:space="preserve"> rather than </w:t>
      </w:r>
      <w:r w:rsidR="0017722A">
        <w:rPr>
          <w:color w:val="000000" w:themeColor="text1"/>
        </w:rPr>
        <w:t xml:space="preserve">the </w:t>
      </w:r>
      <w:r w:rsidR="14C777AE" w:rsidRPr="00AC1AD8">
        <w:rPr>
          <w:color w:val="000000" w:themeColor="text1"/>
        </w:rPr>
        <w:t>assumed depth distribution</w:t>
      </w:r>
      <w:r w:rsidR="007015BD">
        <w:rPr>
          <w:color w:val="000000" w:themeColor="text1"/>
        </w:rPr>
        <w:t>s</w:t>
      </w:r>
      <w:r w:rsidR="14C777AE" w:rsidRPr="00AC1AD8">
        <w:rPr>
          <w:color w:val="000000" w:themeColor="text1"/>
        </w:rPr>
        <w:t xml:space="preserve"> of carbon and chlorophyll</w:t>
      </w:r>
      <w:r w:rsidR="004B2B72">
        <w:rPr>
          <w:color w:val="000000" w:themeColor="text1"/>
        </w:rPr>
        <w:t xml:space="preserve"> (Estapa et al., 2019; Long et al., 2021</w:t>
      </w:r>
      <w:r w:rsidR="005755F6">
        <w:rPr>
          <w:color w:val="000000" w:themeColor="text1"/>
        </w:rPr>
        <w:t>; Yang et al. 2021</w:t>
      </w:r>
      <w:r w:rsidR="00FF2EAE">
        <w:rPr>
          <w:color w:val="000000" w:themeColor="text1"/>
        </w:rPr>
        <w:t>; Bendtsen et al. 2023</w:t>
      </w:r>
      <w:r w:rsidR="00A07BBC">
        <w:rPr>
          <w:color w:val="000000" w:themeColor="text1"/>
        </w:rPr>
        <w:t>)</w:t>
      </w:r>
      <w:r w:rsidR="73120FDA" w:rsidRPr="00AC1AD8">
        <w:rPr>
          <w:color w:val="000000" w:themeColor="text1"/>
        </w:rPr>
        <w:t xml:space="preserve">. </w:t>
      </w:r>
      <w:r w:rsidR="00880370">
        <w:rPr>
          <w:color w:val="000000" w:themeColor="text1"/>
        </w:rPr>
        <w:t>Using this methodology researchers</w:t>
      </w:r>
      <w:r w:rsidR="0950A031" w:rsidRPr="00AC1AD8">
        <w:rPr>
          <w:color w:val="000000" w:themeColor="text1"/>
        </w:rPr>
        <w:t xml:space="preserve"> </w:t>
      </w:r>
      <w:r w:rsidR="6631EC9F" w:rsidRPr="00AC1AD8" w:rsidDel="2A207B9B">
        <w:rPr>
          <w:color w:val="000000" w:themeColor="text1"/>
        </w:rPr>
        <w:t xml:space="preserve">have </w:t>
      </w:r>
      <w:r w:rsidR="6631EC9F" w:rsidRPr="00AC1AD8" w:rsidDel="4EE3751A">
        <w:rPr>
          <w:color w:val="000000" w:themeColor="text1"/>
        </w:rPr>
        <w:t>been</w:t>
      </w:r>
      <w:r w:rsidR="6631EC9F" w:rsidRPr="00AC1AD8" w:rsidDel="2A207B9B">
        <w:rPr>
          <w:color w:val="000000" w:themeColor="text1"/>
        </w:rPr>
        <w:t xml:space="preserve"> able </w:t>
      </w:r>
      <w:r w:rsidR="2A207B9B" w:rsidRPr="00AC1AD8">
        <w:rPr>
          <w:color w:val="000000" w:themeColor="text1"/>
        </w:rPr>
        <w:t xml:space="preserve">to reproduce </w:t>
      </w:r>
      <w:r w:rsidR="57B47E3A" w:rsidRPr="00AC1AD8">
        <w:rPr>
          <w:color w:val="000000" w:themeColor="text1"/>
        </w:rPr>
        <w:t xml:space="preserve">vertical </w:t>
      </w:r>
      <w:r w:rsidR="00B01E25" w:rsidRPr="16DDC7FD">
        <w:rPr>
          <w:color w:val="000000" w:themeColor="text1"/>
        </w:rPr>
        <w:t xml:space="preserve">NPP </w:t>
      </w:r>
      <w:r w:rsidR="006A790B" w:rsidRPr="16DDC7FD">
        <w:rPr>
          <w:color w:val="000000" w:themeColor="text1"/>
        </w:rPr>
        <w:t>structure</w:t>
      </w:r>
      <w:r w:rsidR="00B01E25" w:rsidRPr="16DDC7FD">
        <w:rPr>
          <w:color w:val="000000" w:themeColor="text1"/>
        </w:rPr>
        <w:t xml:space="preserve"> derived from</w:t>
      </w:r>
      <w:r w:rsidR="00690A26">
        <w:rPr>
          <w:color w:val="000000" w:themeColor="text1"/>
        </w:rPr>
        <w:t xml:space="preserve"> </w:t>
      </w:r>
      <w:r w:rsidR="00BB2AF9" w:rsidRPr="16DDC7FD">
        <w:rPr>
          <w:color w:val="000000" w:themeColor="text1"/>
        </w:rPr>
        <w:t>depth-resolved</w:t>
      </w:r>
      <w:r w:rsidR="57B47E3A" w:rsidRPr="00AC1AD8">
        <w:rPr>
          <w:color w:val="000000" w:themeColor="text1"/>
        </w:rPr>
        <w:t xml:space="preserve"> </w:t>
      </w:r>
      <w:r w:rsidR="1888A0C3" w:rsidRPr="00AC1AD8">
        <w:rPr>
          <w:vertAlign w:val="superscript"/>
        </w:rPr>
        <w:t>14</w:t>
      </w:r>
      <w:r w:rsidR="1888A0C3" w:rsidRPr="00AC1AD8">
        <w:t>C</w:t>
      </w:r>
      <w:r w:rsidR="57B47E3A" w:rsidRPr="00AC1AD8">
        <w:rPr>
          <w:color w:val="000000" w:themeColor="text1"/>
        </w:rPr>
        <w:t xml:space="preserve"> incubation measurements in the Southern Ocean</w:t>
      </w:r>
      <w:r w:rsidR="6631EC9F" w:rsidRPr="00AC1AD8" w:rsidDel="554C0A18">
        <w:rPr>
          <w:color w:val="000000" w:themeColor="text1"/>
        </w:rPr>
        <w:t xml:space="preserve"> (Arteaga et al., 2022)</w:t>
      </w:r>
      <w:r w:rsidR="01679372" w:rsidRPr="00AC1AD8">
        <w:rPr>
          <w:color w:val="000000" w:themeColor="text1"/>
        </w:rPr>
        <w:t xml:space="preserve">. </w:t>
      </w:r>
      <w:r w:rsidR="00522ACE">
        <w:rPr>
          <w:color w:val="000000" w:themeColor="text1"/>
        </w:rPr>
        <w:t xml:space="preserve">Taking the approach one step further, </w:t>
      </w:r>
      <w:r w:rsidR="006D56E4">
        <w:rPr>
          <w:color w:val="000000" w:themeColor="text1"/>
        </w:rPr>
        <w:t xml:space="preserve">Arteaga et al. </w:t>
      </w:r>
      <w:r w:rsidR="00522ACE">
        <w:rPr>
          <w:color w:val="000000" w:themeColor="text1"/>
        </w:rPr>
        <w:t xml:space="preserve">have shown that the </w:t>
      </w:r>
      <w:proofErr w:type="spellStart"/>
      <w:r w:rsidR="00542388">
        <w:rPr>
          <w:color w:val="000000" w:themeColor="text1"/>
        </w:rPr>
        <w:t>CbPM</w:t>
      </w:r>
      <w:proofErr w:type="spellEnd"/>
      <w:r w:rsidR="00542388">
        <w:rPr>
          <w:color w:val="000000" w:themeColor="text1"/>
        </w:rPr>
        <w:t xml:space="preserve"> satellite estimates of NPP</w:t>
      </w:r>
      <w:r w:rsidR="003F50C0">
        <w:rPr>
          <w:color w:val="000000" w:themeColor="text1"/>
        </w:rPr>
        <w:t xml:space="preserve"> </w:t>
      </w:r>
      <w:r w:rsidR="00522ACE">
        <w:rPr>
          <w:color w:val="000000" w:themeColor="text1"/>
        </w:rPr>
        <w:t>improve</w:t>
      </w:r>
      <w:r w:rsidR="00542388">
        <w:rPr>
          <w:color w:val="000000" w:themeColor="text1"/>
        </w:rPr>
        <w:t xml:space="preserve"> for the Southern Ocean south of 30°S</w:t>
      </w:r>
      <w:r w:rsidR="00522ACE">
        <w:rPr>
          <w:color w:val="000000" w:themeColor="text1"/>
        </w:rPr>
        <w:t xml:space="preserve"> if the</w:t>
      </w:r>
      <w:r w:rsidR="00AB7D13">
        <w:rPr>
          <w:color w:val="000000" w:themeColor="text1"/>
        </w:rPr>
        <w:t xml:space="preserve"> </w:t>
      </w:r>
      <w:proofErr w:type="spellStart"/>
      <w:r w:rsidR="00AB7D13">
        <w:rPr>
          <w:color w:val="000000" w:themeColor="text1"/>
        </w:rPr>
        <w:t>ferricline</w:t>
      </w:r>
      <w:proofErr w:type="spellEnd"/>
      <w:r w:rsidR="00E24F5B">
        <w:rPr>
          <w:color w:val="000000" w:themeColor="text1"/>
        </w:rPr>
        <w:t xml:space="preserve"> </w:t>
      </w:r>
      <w:r w:rsidR="000B4ECE">
        <w:rPr>
          <w:color w:val="000000" w:themeColor="text1"/>
        </w:rPr>
        <w:t>depth</w:t>
      </w:r>
      <w:r w:rsidR="00616E5B">
        <w:rPr>
          <w:color w:val="000000" w:themeColor="text1"/>
        </w:rPr>
        <w:t xml:space="preserve"> </w:t>
      </w:r>
      <w:r w:rsidR="004740E9">
        <w:rPr>
          <w:color w:val="000000" w:themeColor="text1"/>
        </w:rPr>
        <w:t xml:space="preserve">(Southern Ocean </w:t>
      </w:r>
      <w:r w:rsidR="0056150B">
        <w:rPr>
          <w:color w:val="000000" w:themeColor="text1"/>
        </w:rPr>
        <w:t xml:space="preserve">average = </w:t>
      </w:r>
      <w:r w:rsidR="00616E5B">
        <w:rPr>
          <w:color w:val="000000" w:themeColor="text1"/>
        </w:rPr>
        <w:t>333m</w:t>
      </w:r>
      <w:r w:rsidR="004740E9">
        <w:rPr>
          <w:color w:val="000000" w:themeColor="text1"/>
        </w:rPr>
        <w:t>)</w:t>
      </w:r>
      <w:r w:rsidR="00B8383F">
        <w:rPr>
          <w:color w:val="000000" w:themeColor="text1"/>
        </w:rPr>
        <w:t xml:space="preserve"> </w:t>
      </w:r>
      <w:r w:rsidR="00522ACE">
        <w:rPr>
          <w:color w:val="000000" w:themeColor="text1"/>
        </w:rPr>
        <w:t xml:space="preserve">is used to </w:t>
      </w:r>
      <w:r w:rsidR="00542388">
        <w:rPr>
          <w:color w:val="000000" w:themeColor="text1"/>
        </w:rPr>
        <w:t>model nutrient limitation, rather than the nitracline</w:t>
      </w:r>
      <w:r w:rsidR="005931ED">
        <w:rPr>
          <w:color w:val="000000" w:themeColor="text1"/>
        </w:rPr>
        <w:t>.</w:t>
      </w:r>
    </w:p>
    <w:p w14:paraId="5F3B2C8A" w14:textId="77777777" w:rsidR="008052FC" w:rsidRPr="00A36F0C" w:rsidRDefault="008052FC" w:rsidP="0053305D">
      <w:pPr>
        <w:pStyle w:val="NormalWeb"/>
        <w:snapToGrid w:val="0"/>
        <w:spacing w:before="0" w:beforeAutospacing="0" w:after="0" w:afterAutospacing="0" w:line="360" w:lineRule="auto"/>
        <w:jc w:val="both"/>
        <w:rPr>
          <w:strike/>
          <w:color w:val="000000" w:themeColor="text1"/>
        </w:rPr>
      </w:pPr>
    </w:p>
    <w:p w14:paraId="5D631F4A" w14:textId="162C881A" w:rsidR="00FD7E46" w:rsidRDefault="003F58E4" w:rsidP="0053305D">
      <w:pPr>
        <w:snapToGrid w:val="0"/>
        <w:spacing w:line="360" w:lineRule="auto"/>
        <w:jc w:val="both"/>
        <w:rPr>
          <w:color w:val="000000" w:themeColor="text1"/>
        </w:rPr>
      </w:pPr>
      <w:r w:rsidRPr="2877D44A">
        <w:rPr>
          <w:color w:val="000000" w:themeColor="text1"/>
        </w:rPr>
        <w:t>Deep chlorophyll maxima (DCMs</w:t>
      </w:r>
      <w:r w:rsidR="006238C9" w:rsidRPr="2877D44A">
        <w:rPr>
          <w:color w:val="000000" w:themeColor="text1"/>
        </w:rPr>
        <w:t>)</w:t>
      </w:r>
      <w:r w:rsidRPr="2877D44A">
        <w:rPr>
          <w:color w:val="000000" w:themeColor="text1"/>
        </w:rPr>
        <w:t xml:space="preserve"> are</w:t>
      </w:r>
      <w:r w:rsidR="2950A352" w:rsidRPr="2877D44A">
        <w:rPr>
          <w:color w:val="000000" w:themeColor="text1"/>
        </w:rPr>
        <w:t xml:space="preserve"> </w:t>
      </w:r>
      <w:r w:rsidR="008453C1" w:rsidRPr="2877D44A">
        <w:rPr>
          <w:color w:val="000000" w:themeColor="text1"/>
        </w:rPr>
        <w:t>subsurface accumulations of chlorophyll</w:t>
      </w:r>
      <w:r w:rsidR="00A77735">
        <w:rPr>
          <w:color w:val="000000" w:themeColor="text1"/>
        </w:rPr>
        <w:t>, first observed in oligotrophic waters (Cullen, 1982)</w:t>
      </w:r>
      <w:r w:rsidR="00E30BAD">
        <w:rPr>
          <w:color w:val="000000" w:themeColor="text1"/>
        </w:rPr>
        <w:t xml:space="preserve">. </w:t>
      </w:r>
      <w:r w:rsidR="008453C1" w:rsidRPr="2877D44A">
        <w:rPr>
          <w:color w:val="000000" w:themeColor="text1"/>
        </w:rPr>
        <w:t xml:space="preserve">They are frequently-observed </w:t>
      </w:r>
      <w:r w:rsidR="2950A352" w:rsidRPr="2877D44A">
        <w:rPr>
          <w:color w:val="000000" w:themeColor="text1"/>
        </w:rPr>
        <w:t>feature</w:t>
      </w:r>
      <w:r w:rsidRPr="2877D44A">
        <w:rPr>
          <w:color w:val="000000" w:themeColor="text1"/>
        </w:rPr>
        <w:t>s</w:t>
      </w:r>
      <w:r w:rsidR="2950A352" w:rsidRPr="2877D44A">
        <w:rPr>
          <w:color w:val="000000" w:themeColor="text1"/>
        </w:rPr>
        <w:t xml:space="preserve"> in stratified waters</w:t>
      </w:r>
      <w:r w:rsidR="00854BC4" w:rsidRPr="2877D44A">
        <w:rPr>
          <w:color w:val="000000" w:themeColor="text1"/>
        </w:rPr>
        <w:t xml:space="preserve">, well-studied in </w:t>
      </w:r>
      <w:r w:rsidR="003A7F4E">
        <w:rPr>
          <w:color w:val="000000" w:themeColor="text1"/>
        </w:rPr>
        <w:t>macronutrient</w:t>
      </w:r>
      <w:r w:rsidR="008A6830">
        <w:rPr>
          <w:color w:val="000000" w:themeColor="text1"/>
        </w:rPr>
        <w:t xml:space="preserve"> limited </w:t>
      </w:r>
      <w:r w:rsidR="00854BC4" w:rsidRPr="2877D44A">
        <w:rPr>
          <w:color w:val="000000" w:themeColor="text1"/>
        </w:rPr>
        <w:t>temperate regions</w:t>
      </w:r>
      <w:r w:rsidR="00E41BBD" w:rsidRPr="2877D44A">
        <w:rPr>
          <w:color w:val="000000" w:themeColor="text1"/>
        </w:rPr>
        <w:t xml:space="preserve"> </w:t>
      </w:r>
      <w:r w:rsidR="00C73B2F" w:rsidRPr="2877D44A">
        <w:rPr>
          <w:color w:val="000000" w:themeColor="text1"/>
        </w:rPr>
        <w:t>(</w:t>
      </w:r>
      <w:r w:rsidR="00C73B2F">
        <w:t>Estrada et al., 1993; Cullen et al., 1995; Fennel and Boss, 2003; Longhurst, 2007</w:t>
      </w:r>
      <w:r w:rsidR="00433EC8">
        <w:t>; Richardson and Bendtsen, 2017</w:t>
      </w:r>
      <w:r w:rsidR="00C73B2F" w:rsidRPr="2877D44A">
        <w:rPr>
          <w:color w:val="000000" w:themeColor="text1"/>
        </w:rPr>
        <w:t>)</w:t>
      </w:r>
      <w:r w:rsidR="00497C9F" w:rsidRPr="2877D44A">
        <w:rPr>
          <w:color w:val="000000" w:themeColor="text1"/>
        </w:rPr>
        <w:t xml:space="preserve">, </w:t>
      </w:r>
      <w:r w:rsidR="00BB1DE4" w:rsidRPr="2877D44A">
        <w:rPr>
          <w:color w:val="000000" w:themeColor="text1"/>
        </w:rPr>
        <w:t xml:space="preserve">and </w:t>
      </w:r>
      <w:r w:rsidR="00497C9F" w:rsidRPr="2877D44A">
        <w:rPr>
          <w:color w:val="000000" w:themeColor="text1"/>
        </w:rPr>
        <w:t xml:space="preserve">their </w:t>
      </w:r>
      <w:r w:rsidR="00BB1DE4" w:rsidRPr="2877D44A">
        <w:rPr>
          <w:color w:val="000000" w:themeColor="text1"/>
        </w:rPr>
        <w:t xml:space="preserve">occurrence and characteristics are </w:t>
      </w:r>
      <w:r w:rsidR="00242A54" w:rsidRPr="2877D44A">
        <w:rPr>
          <w:color w:val="000000" w:themeColor="text1"/>
        </w:rPr>
        <w:t>primarily</w:t>
      </w:r>
      <w:r w:rsidR="00497C9F" w:rsidRPr="2877D44A">
        <w:rPr>
          <w:color w:val="000000" w:themeColor="text1"/>
        </w:rPr>
        <w:t xml:space="preserve"> linked to </w:t>
      </w:r>
      <w:r w:rsidR="00BB1DE4" w:rsidRPr="2877D44A">
        <w:rPr>
          <w:color w:val="000000" w:themeColor="text1"/>
        </w:rPr>
        <w:t xml:space="preserve">a favourable combination of </w:t>
      </w:r>
      <w:r w:rsidR="00497C9F" w:rsidRPr="2877D44A">
        <w:rPr>
          <w:color w:val="000000" w:themeColor="text1"/>
        </w:rPr>
        <w:t>light and nitrate</w:t>
      </w:r>
      <w:r w:rsidR="00BB1DE4" w:rsidRPr="2877D44A">
        <w:rPr>
          <w:color w:val="000000" w:themeColor="text1"/>
        </w:rPr>
        <w:t xml:space="preserve"> to sustain a phytoplankton layer at depth</w:t>
      </w:r>
      <w:r w:rsidR="00E41BBD" w:rsidRPr="2877D44A">
        <w:rPr>
          <w:color w:val="000000" w:themeColor="text1"/>
        </w:rPr>
        <w:t xml:space="preserve"> </w:t>
      </w:r>
      <w:r w:rsidR="00497C9F" w:rsidRPr="2877D44A">
        <w:rPr>
          <w:color w:val="000000" w:themeColor="text1"/>
        </w:rPr>
        <w:t>(</w:t>
      </w:r>
      <w:r w:rsidR="00BB1DE4" w:rsidRPr="2877D44A">
        <w:rPr>
          <w:color w:val="000000" w:themeColor="text1"/>
        </w:rPr>
        <w:t xml:space="preserve">Letelier et al., 2004; </w:t>
      </w:r>
      <w:r w:rsidR="00497C9F" w:rsidRPr="2877D44A">
        <w:rPr>
          <w:color w:val="000000" w:themeColor="text1"/>
        </w:rPr>
        <w:t>Cullen, 2015</w:t>
      </w:r>
      <w:r w:rsidR="00E41BBD" w:rsidRPr="2877D44A">
        <w:rPr>
          <w:color w:val="000000" w:themeColor="text1"/>
        </w:rPr>
        <w:t>; Richardson and Bendtsen, 2019</w:t>
      </w:r>
      <w:r w:rsidR="00497C9F" w:rsidRPr="2877D44A">
        <w:rPr>
          <w:color w:val="000000" w:themeColor="text1"/>
        </w:rPr>
        <w:t>)</w:t>
      </w:r>
      <w:r w:rsidR="00D15322" w:rsidRPr="2877D44A">
        <w:rPr>
          <w:color w:val="000000" w:themeColor="text1"/>
        </w:rPr>
        <w:t xml:space="preserve">. </w:t>
      </w:r>
      <w:r w:rsidR="00152DDB">
        <w:rPr>
          <w:color w:val="000000" w:themeColor="text1"/>
        </w:rPr>
        <w:t xml:space="preserve">DCMs have </w:t>
      </w:r>
      <w:r w:rsidR="00B268F5">
        <w:rPr>
          <w:color w:val="000000" w:themeColor="text1"/>
        </w:rPr>
        <w:t>recently received more attention in</w:t>
      </w:r>
      <w:r w:rsidR="00152DDB">
        <w:rPr>
          <w:color w:val="000000" w:themeColor="text1"/>
        </w:rPr>
        <w:t xml:space="preserve"> the Southern Ocean (</w:t>
      </w:r>
      <w:r w:rsidR="009631F8">
        <w:rPr>
          <w:color w:val="000000" w:themeColor="text1"/>
        </w:rPr>
        <w:t xml:space="preserve">Baldry et al., 2020; </w:t>
      </w:r>
      <w:r w:rsidR="00152DDB">
        <w:rPr>
          <w:color w:val="000000" w:themeColor="text1"/>
        </w:rPr>
        <w:t>Cornec et al., 2021a</w:t>
      </w:r>
      <w:r w:rsidR="00616E5B">
        <w:rPr>
          <w:color w:val="000000" w:themeColor="text1"/>
        </w:rPr>
        <w:t>; Boyd et al. 2024</w:t>
      </w:r>
      <w:r w:rsidR="00152DDB">
        <w:rPr>
          <w:color w:val="000000" w:themeColor="text1"/>
        </w:rPr>
        <w:t xml:space="preserve">). </w:t>
      </w:r>
      <w:r w:rsidR="00497C9F" w:rsidRPr="2877D44A">
        <w:rPr>
          <w:color w:val="000000" w:themeColor="text1"/>
        </w:rPr>
        <w:t xml:space="preserve">In the Southern Ocean, </w:t>
      </w:r>
      <w:r w:rsidR="00896CE7" w:rsidRPr="2877D44A">
        <w:rPr>
          <w:color w:val="000000" w:themeColor="text1"/>
        </w:rPr>
        <w:t xml:space="preserve">DCMs can form as </w:t>
      </w:r>
      <w:r w:rsidR="00930003" w:rsidRPr="2877D44A">
        <w:rPr>
          <w:color w:val="000000" w:themeColor="text1"/>
        </w:rPr>
        <w:t>a result of</w:t>
      </w:r>
      <w:r w:rsidR="00896CE7" w:rsidRPr="2877D44A">
        <w:rPr>
          <w:color w:val="000000" w:themeColor="text1"/>
        </w:rPr>
        <w:t xml:space="preserve"> </w:t>
      </w:r>
      <w:proofErr w:type="spellStart"/>
      <w:r w:rsidR="00896CE7" w:rsidRPr="2877D44A">
        <w:rPr>
          <w:color w:val="000000" w:themeColor="text1"/>
        </w:rPr>
        <w:t>photoacclimation</w:t>
      </w:r>
      <w:proofErr w:type="spellEnd"/>
      <w:r w:rsidR="00896CE7" w:rsidRPr="2877D44A">
        <w:rPr>
          <w:color w:val="000000" w:themeColor="text1"/>
        </w:rPr>
        <w:t xml:space="preserve"> (Baldry et al., 2020</w:t>
      </w:r>
      <w:r w:rsidR="00497C9F" w:rsidRPr="2877D44A">
        <w:rPr>
          <w:color w:val="000000" w:themeColor="text1"/>
        </w:rPr>
        <w:t>; Cornec et al., 2021</w:t>
      </w:r>
      <w:r w:rsidR="00896CE7" w:rsidRPr="2877D44A">
        <w:rPr>
          <w:color w:val="000000" w:themeColor="text1"/>
        </w:rPr>
        <w:t xml:space="preserve">), where phytoplankton increase their </w:t>
      </w:r>
      <w:r w:rsidR="00433EC8" w:rsidRPr="2877D44A">
        <w:rPr>
          <w:color w:val="000000" w:themeColor="text1"/>
        </w:rPr>
        <w:t>cellular chlorophyll content</w:t>
      </w:r>
      <w:r w:rsidR="00896CE7" w:rsidRPr="2877D44A">
        <w:rPr>
          <w:color w:val="000000" w:themeColor="text1"/>
        </w:rPr>
        <w:t xml:space="preserve"> in response to low light at depth (</w:t>
      </w:r>
      <w:r w:rsidR="00497C9F" w:rsidRPr="2877D44A">
        <w:rPr>
          <w:color w:val="000000" w:themeColor="text1"/>
        </w:rPr>
        <w:t>Geider et al., 199</w:t>
      </w:r>
      <w:r w:rsidR="00854BC4" w:rsidRPr="2877D44A">
        <w:rPr>
          <w:color w:val="000000" w:themeColor="text1"/>
        </w:rPr>
        <w:t>7</w:t>
      </w:r>
      <w:r w:rsidR="00497C9F" w:rsidRPr="2877D44A">
        <w:rPr>
          <w:color w:val="000000" w:themeColor="text1"/>
        </w:rPr>
        <w:t xml:space="preserve">; </w:t>
      </w:r>
      <w:r w:rsidR="00896CE7" w:rsidRPr="2877D44A">
        <w:rPr>
          <w:color w:val="000000" w:themeColor="text1"/>
        </w:rPr>
        <w:t xml:space="preserve">Westberry et al., 2016; Graff et al., 2019). </w:t>
      </w:r>
      <w:r w:rsidR="00242A54" w:rsidRPr="2877D44A">
        <w:rPr>
          <w:color w:val="000000" w:themeColor="text1"/>
        </w:rPr>
        <w:t>Sporadic influx of nutrients</w:t>
      </w:r>
      <w:r w:rsidR="00433EC8" w:rsidRPr="2877D44A">
        <w:rPr>
          <w:color w:val="000000" w:themeColor="text1"/>
        </w:rPr>
        <w:t>,</w:t>
      </w:r>
      <w:r w:rsidR="00242A54" w:rsidRPr="2877D44A">
        <w:rPr>
          <w:color w:val="000000" w:themeColor="text1"/>
        </w:rPr>
        <w:t xml:space="preserve"> like </w:t>
      </w:r>
      <w:r w:rsidR="00AC3979">
        <w:rPr>
          <w:color w:val="000000" w:themeColor="text1"/>
        </w:rPr>
        <w:t xml:space="preserve">the resupply of </w:t>
      </w:r>
      <w:r w:rsidR="00AC3979" w:rsidRPr="2877D44A">
        <w:rPr>
          <w:color w:val="000000" w:themeColor="text1"/>
        </w:rPr>
        <w:t>iron</w:t>
      </w:r>
      <w:r w:rsidR="00616E5B">
        <w:rPr>
          <w:color w:val="000000" w:themeColor="text1"/>
        </w:rPr>
        <w:t xml:space="preserve"> (Trull et al.</w:t>
      </w:r>
      <w:r w:rsidR="00FC5685">
        <w:rPr>
          <w:color w:val="000000" w:themeColor="text1"/>
        </w:rPr>
        <w:t>, 2001)</w:t>
      </w:r>
      <w:r w:rsidR="00AC3979" w:rsidRPr="2877D44A">
        <w:rPr>
          <w:color w:val="000000" w:themeColor="text1"/>
        </w:rPr>
        <w:t xml:space="preserve"> </w:t>
      </w:r>
      <w:r w:rsidR="00AC3979">
        <w:rPr>
          <w:color w:val="000000" w:themeColor="text1"/>
        </w:rPr>
        <w:t>from</w:t>
      </w:r>
      <w:r w:rsidR="00AC3979" w:rsidRPr="2877D44A">
        <w:rPr>
          <w:color w:val="000000" w:themeColor="text1"/>
        </w:rPr>
        <w:t xml:space="preserve"> </w:t>
      </w:r>
      <w:r w:rsidR="00AC3979">
        <w:rPr>
          <w:color w:val="000000" w:themeColor="text1"/>
        </w:rPr>
        <w:t xml:space="preserve">depth via </w:t>
      </w:r>
      <w:r w:rsidR="00AC3979" w:rsidRPr="2877D44A">
        <w:rPr>
          <w:color w:val="000000" w:themeColor="text1"/>
        </w:rPr>
        <w:t>eddies</w:t>
      </w:r>
      <w:r w:rsidR="00AC3979">
        <w:rPr>
          <w:color w:val="000000" w:themeColor="text1"/>
        </w:rPr>
        <w:t xml:space="preserve"> for example (Uchida et al., 2020),</w:t>
      </w:r>
      <w:r w:rsidR="00AC3979" w:rsidRPr="2877D44A">
        <w:rPr>
          <w:color w:val="000000" w:themeColor="text1"/>
        </w:rPr>
        <w:t xml:space="preserve"> </w:t>
      </w:r>
      <w:r w:rsidR="00AC3979">
        <w:rPr>
          <w:color w:val="000000" w:themeColor="text1"/>
        </w:rPr>
        <w:t xml:space="preserve">or </w:t>
      </w:r>
      <w:r w:rsidR="00433EC8" w:rsidRPr="2877D44A">
        <w:rPr>
          <w:color w:val="000000" w:themeColor="text1"/>
        </w:rPr>
        <w:t>silica</w:t>
      </w:r>
      <w:r w:rsidR="00AC3979">
        <w:rPr>
          <w:color w:val="000000" w:themeColor="text1"/>
        </w:rPr>
        <w:t xml:space="preserve">te (Parslow et al., 2001), </w:t>
      </w:r>
      <w:r w:rsidR="0070494C">
        <w:rPr>
          <w:color w:val="000000" w:themeColor="text1"/>
        </w:rPr>
        <w:t>may also</w:t>
      </w:r>
      <w:r w:rsidR="00497C9F" w:rsidRPr="2877D44A">
        <w:rPr>
          <w:color w:val="000000" w:themeColor="text1"/>
        </w:rPr>
        <w:t xml:space="preserve"> </w:t>
      </w:r>
      <w:r w:rsidR="00242A54" w:rsidRPr="2877D44A">
        <w:rPr>
          <w:color w:val="000000" w:themeColor="text1"/>
        </w:rPr>
        <w:t>drive</w:t>
      </w:r>
      <w:r w:rsidR="00497C9F" w:rsidRPr="2877D44A">
        <w:rPr>
          <w:color w:val="000000" w:themeColor="text1"/>
        </w:rPr>
        <w:t xml:space="preserve"> DCM formation in the Southern Ocean (Cornec et al., 2022; Strutton et al., 2023). </w:t>
      </w:r>
      <w:r w:rsidR="00BD6A44" w:rsidRPr="2877D44A">
        <w:rPr>
          <w:color w:val="000000" w:themeColor="text1"/>
        </w:rPr>
        <w:t>DCMs</w:t>
      </w:r>
      <w:r w:rsidR="346CF27D" w:rsidRPr="2877D44A">
        <w:rPr>
          <w:color w:val="000000" w:themeColor="text1"/>
        </w:rPr>
        <w:t xml:space="preserve"> </w:t>
      </w:r>
      <w:r w:rsidR="0070494C">
        <w:rPr>
          <w:color w:val="000000" w:themeColor="text1"/>
        </w:rPr>
        <w:t>can</w:t>
      </w:r>
      <w:r w:rsidR="346CF27D" w:rsidRPr="2877D44A">
        <w:rPr>
          <w:color w:val="000000" w:themeColor="text1"/>
        </w:rPr>
        <w:t xml:space="preserve"> </w:t>
      </w:r>
      <w:r w:rsidR="00896CE7" w:rsidRPr="2877D44A">
        <w:rPr>
          <w:color w:val="000000" w:themeColor="text1"/>
        </w:rPr>
        <w:t xml:space="preserve">also </w:t>
      </w:r>
      <w:r w:rsidR="346CF27D" w:rsidRPr="2877D44A">
        <w:rPr>
          <w:color w:val="000000" w:themeColor="text1"/>
        </w:rPr>
        <w:t xml:space="preserve">coincide with a subsurface accumulation of </w:t>
      </w:r>
      <w:r w:rsidR="00BD6A44" w:rsidRPr="2877D44A">
        <w:rPr>
          <w:color w:val="000000" w:themeColor="text1"/>
        </w:rPr>
        <w:t xml:space="preserve">phytoplankton </w:t>
      </w:r>
      <w:r w:rsidR="346CF27D" w:rsidRPr="2877D44A">
        <w:rPr>
          <w:color w:val="000000" w:themeColor="text1"/>
        </w:rPr>
        <w:t>biomass (</w:t>
      </w:r>
      <w:r w:rsidR="380821F8" w:rsidRPr="2877D44A">
        <w:rPr>
          <w:color w:val="000000" w:themeColor="text1"/>
        </w:rPr>
        <w:t xml:space="preserve">Cullen, 2015; </w:t>
      </w:r>
      <w:proofErr w:type="spellStart"/>
      <w:r w:rsidR="346CF27D" w:rsidRPr="2877D44A">
        <w:rPr>
          <w:color w:val="000000" w:themeColor="text1"/>
        </w:rPr>
        <w:t>Latasa</w:t>
      </w:r>
      <w:proofErr w:type="spellEnd"/>
      <w:r w:rsidR="346CF27D" w:rsidRPr="2877D44A">
        <w:rPr>
          <w:color w:val="000000" w:themeColor="text1"/>
        </w:rPr>
        <w:t xml:space="preserve"> et al., 2016</w:t>
      </w:r>
      <w:r w:rsidR="3E671B0E" w:rsidRPr="2877D44A">
        <w:rPr>
          <w:color w:val="000000" w:themeColor="text1"/>
        </w:rPr>
        <w:t xml:space="preserve">; </w:t>
      </w:r>
      <w:proofErr w:type="spellStart"/>
      <w:r w:rsidR="3E671B0E" w:rsidRPr="2877D44A">
        <w:rPr>
          <w:color w:val="000000" w:themeColor="text1"/>
        </w:rPr>
        <w:t>Latasa</w:t>
      </w:r>
      <w:proofErr w:type="spellEnd"/>
      <w:r w:rsidR="3E671B0E" w:rsidRPr="2877D44A">
        <w:rPr>
          <w:color w:val="000000" w:themeColor="text1"/>
        </w:rPr>
        <w:t xml:space="preserve"> et al., 2017</w:t>
      </w:r>
      <w:r w:rsidR="346CF27D" w:rsidRPr="2877D44A">
        <w:rPr>
          <w:color w:val="000000" w:themeColor="text1"/>
        </w:rPr>
        <w:t>)</w:t>
      </w:r>
      <w:r w:rsidR="006238C9" w:rsidRPr="2877D44A">
        <w:rPr>
          <w:color w:val="000000" w:themeColor="text1"/>
        </w:rPr>
        <w:t xml:space="preserve">, defined as </w:t>
      </w:r>
      <w:r w:rsidR="00EF573E" w:rsidRPr="2877D44A">
        <w:rPr>
          <w:color w:val="000000" w:themeColor="text1"/>
        </w:rPr>
        <w:t>d</w:t>
      </w:r>
      <w:r w:rsidR="006238C9" w:rsidRPr="2877D44A">
        <w:rPr>
          <w:color w:val="000000" w:themeColor="text1"/>
        </w:rPr>
        <w:t xml:space="preserve">eep </w:t>
      </w:r>
      <w:r w:rsidR="00EF573E" w:rsidRPr="2877D44A">
        <w:rPr>
          <w:color w:val="000000" w:themeColor="text1"/>
        </w:rPr>
        <w:t>b</w:t>
      </w:r>
      <w:r w:rsidR="006238C9" w:rsidRPr="2877D44A">
        <w:rPr>
          <w:color w:val="000000" w:themeColor="text1"/>
        </w:rPr>
        <w:t xml:space="preserve">iomass </w:t>
      </w:r>
      <w:r w:rsidR="00EF573E" w:rsidRPr="2877D44A">
        <w:rPr>
          <w:color w:val="000000" w:themeColor="text1"/>
        </w:rPr>
        <w:t>maxima</w:t>
      </w:r>
      <w:r w:rsidR="006238C9" w:rsidRPr="2877D44A">
        <w:rPr>
          <w:color w:val="000000" w:themeColor="text1"/>
        </w:rPr>
        <w:t xml:space="preserve"> (</w:t>
      </w:r>
      <w:r w:rsidR="00EF573E" w:rsidRPr="2877D44A">
        <w:rPr>
          <w:color w:val="000000" w:themeColor="text1"/>
        </w:rPr>
        <w:t>DBMs</w:t>
      </w:r>
      <w:r w:rsidR="006238C9" w:rsidRPr="2877D44A">
        <w:rPr>
          <w:color w:val="000000" w:themeColor="text1"/>
        </w:rPr>
        <w:t>)</w:t>
      </w:r>
      <w:r w:rsidR="2950A352" w:rsidRPr="2877D44A">
        <w:rPr>
          <w:color w:val="000000" w:themeColor="text1"/>
        </w:rPr>
        <w:t>.</w:t>
      </w:r>
      <w:r w:rsidR="00152DDB">
        <w:rPr>
          <w:color w:val="000000" w:themeColor="text1"/>
        </w:rPr>
        <w:t xml:space="preserve"> DBMs tend to dominate in equatorial and subequatorial regions (0-10°)</w:t>
      </w:r>
      <w:r w:rsidR="00C8562D">
        <w:rPr>
          <w:color w:val="000000" w:themeColor="text1"/>
        </w:rPr>
        <w:t xml:space="preserve"> </w:t>
      </w:r>
      <w:r w:rsidR="00152DDB">
        <w:rPr>
          <w:color w:val="000000" w:themeColor="text1"/>
        </w:rPr>
        <w:t xml:space="preserve">and tend to be proportional to </w:t>
      </w:r>
      <w:proofErr w:type="spellStart"/>
      <w:r w:rsidR="00152DDB">
        <w:rPr>
          <w:color w:val="000000" w:themeColor="text1"/>
        </w:rPr>
        <w:t>photoacclimati</w:t>
      </w:r>
      <w:r w:rsidR="00800D8B">
        <w:rPr>
          <w:color w:val="000000" w:themeColor="text1"/>
        </w:rPr>
        <w:t>on</w:t>
      </w:r>
      <w:proofErr w:type="spellEnd"/>
      <w:r w:rsidR="00800D8B">
        <w:rPr>
          <w:color w:val="000000" w:themeColor="text1"/>
        </w:rPr>
        <w:t xml:space="preserve">-induced </w:t>
      </w:r>
      <w:r w:rsidR="00152DDB">
        <w:rPr>
          <w:color w:val="000000" w:themeColor="text1"/>
        </w:rPr>
        <w:t xml:space="preserve">DCMs </w:t>
      </w:r>
      <w:r w:rsidR="00152DDB">
        <w:rPr>
          <w:color w:val="000000" w:themeColor="text1"/>
        </w:rPr>
        <w:lastRenderedPageBreak/>
        <w:t>from 30° to high latitudes (Cornec et al., 20211).</w:t>
      </w:r>
      <w:r w:rsidR="2950A352" w:rsidRPr="2877D44A">
        <w:rPr>
          <w:color w:val="000000" w:themeColor="text1"/>
        </w:rPr>
        <w:t xml:space="preserve"> </w:t>
      </w:r>
      <w:r w:rsidR="00BB6047" w:rsidRPr="2877D44A">
        <w:rPr>
          <w:color w:val="000000" w:themeColor="text1"/>
        </w:rPr>
        <w:t xml:space="preserve">This study focuses on the DCMs </w:t>
      </w:r>
      <w:r w:rsidR="00CF1430" w:rsidRPr="2877D44A">
        <w:rPr>
          <w:color w:val="000000" w:themeColor="text1"/>
        </w:rPr>
        <w:t>in the Southern Ocean</w:t>
      </w:r>
      <w:r w:rsidR="00516109">
        <w:rPr>
          <w:color w:val="000000" w:themeColor="text1"/>
        </w:rPr>
        <w:t xml:space="preserve"> south of 30°S</w:t>
      </w:r>
      <w:r w:rsidR="00497C9F" w:rsidRPr="2877D44A">
        <w:rPr>
          <w:color w:val="000000" w:themeColor="text1"/>
        </w:rPr>
        <w:t xml:space="preserve"> (</w:t>
      </w:r>
      <w:r w:rsidR="00AD4F73" w:rsidRPr="2877D44A">
        <w:rPr>
          <w:color w:val="000000" w:themeColor="text1"/>
        </w:rPr>
        <w:t xml:space="preserve">Pinkerton et al. 2021; </w:t>
      </w:r>
      <w:r w:rsidR="00497C9F" w:rsidRPr="2877D44A">
        <w:rPr>
          <w:color w:val="000000" w:themeColor="text1"/>
        </w:rPr>
        <w:t>Cornec et al., 2021; Strutton et al., 2023; Boyd et al., 2024).</w:t>
      </w:r>
      <w:r w:rsidR="00CF1430" w:rsidRPr="2877D44A">
        <w:rPr>
          <w:color w:val="000000" w:themeColor="text1"/>
        </w:rPr>
        <w:t xml:space="preserve"> </w:t>
      </w:r>
    </w:p>
    <w:p w14:paraId="3723CBD8" w14:textId="77777777" w:rsidR="00FD7E46" w:rsidRDefault="00FD7E46" w:rsidP="0053305D">
      <w:pPr>
        <w:snapToGrid w:val="0"/>
        <w:spacing w:line="360" w:lineRule="auto"/>
        <w:jc w:val="both"/>
        <w:rPr>
          <w:color w:val="000000" w:themeColor="text1"/>
        </w:rPr>
      </w:pPr>
    </w:p>
    <w:p w14:paraId="093020F3" w14:textId="483DD683" w:rsidR="001C5F47" w:rsidRDefault="00C52DBC" w:rsidP="0053305D">
      <w:pPr>
        <w:snapToGrid w:val="0"/>
        <w:spacing w:line="360" w:lineRule="auto"/>
        <w:jc w:val="both"/>
        <w:rPr>
          <w:strike/>
        </w:rPr>
      </w:pPr>
      <w:r w:rsidRPr="00C73B2F">
        <w:t xml:space="preserve">In the North Sea, subsurface summer blooms coinciding with pervasive DCMs have been shown to account for more production than the spring bloom (Richardson et al., 2000). Other studies in temperate and subtropical waters have shown that DCMs </w:t>
      </w:r>
      <w:r w:rsidR="007015BD">
        <w:t xml:space="preserve">can </w:t>
      </w:r>
      <w:r w:rsidRPr="00C73B2F">
        <w:t xml:space="preserve">significantly contribute to total water column production (Hickman et al., 2012; Fawcett et al., 2014; Richardson et al., 2014). </w:t>
      </w:r>
      <w:r w:rsidR="00A42A71">
        <w:t>A few</w:t>
      </w:r>
      <w:r w:rsidRPr="003B796E">
        <w:t xml:space="preserve"> studies to date have reported vertical patterns in phytoplankton biomass, DCM occurrence and subsurface blooms in</w:t>
      </w:r>
      <w:r w:rsidR="007015BD">
        <w:t xml:space="preserve"> regions including</w:t>
      </w:r>
      <w:r w:rsidRPr="003B796E">
        <w:t xml:space="preserve"> the North Atlantic (Lacour et al., 2017), Mediterranean Sea (</w:t>
      </w:r>
      <w:proofErr w:type="spellStart"/>
      <w:r w:rsidR="00C37DDA">
        <w:t>Marañón</w:t>
      </w:r>
      <w:proofErr w:type="spellEnd"/>
      <w:r w:rsidR="00C37DDA" w:rsidRPr="003B796E">
        <w:t xml:space="preserve"> </w:t>
      </w:r>
      <w:r w:rsidRPr="003B796E">
        <w:t>et al., 20</w:t>
      </w:r>
      <w:r w:rsidR="00C37DDA">
        <w:t>21</w:t>
      </w:r>
      <w:r w:rsidRPr="003B796E">
        <w:t xml:space="preserve">), oligotrophic </w:t>
      </w:r>
      <w:r w:rsidR="007015BD">
        <w:t>oceans</w:t>
      </w:r>
      <w:r w:rsidR="007015BD" w:rsidRPr="003B796E">
        <w:t xml:space="preserve"> </w:t>
      </w:r>
      <w:r w:rsidRPr="003B796E">
        <w:t>(Mignot et al., 2014</w:t>
      </w:r>
      <w:r w:rsidR="00C37DDA">
        <w:t xml:space="preserve">; </w:t>
      </w:r>
      <w:proofErr w:type="spellStart"/>
      <w:r w:rsidR="00C37DDA" w:rsidRPr="003B796E">
        <w:t>Barbieux</w:t>
      </w:r>
      <w:proofErr w:type="spellEnd"/>
      <w:r w:rsidR="00C37DDA" w:rsidRPr="003B796E">
        <w:t xml:space="preserve"> et al., 2019</w:t>
      </w:r>
      <w:r w:rsidRPr="003B796E">
        <w:t>), and globally (Cornec et al., 2021; Bock et al., 2022).</w:t>
      </w:r>
      <w:r w:rsidR="00B10DFC">
        <w:t xml:space="preserve"> </w:t>
      </w:r>
      <w:r w:rsidR="07F1DDB6" w:rsidRPr="16DDC7FD">
        <w:t xml:space="preserve">DCMs </w:t>
      </w:r>
      <w:r w:rsidR="4AF0033B" w:rsidRPr="16DDC7FD">
        <w:t>in the Southern Ocean</w:t>
      </w:r>
      <w:r w:rsidR="00002A3F">
        <w:t xml:space="preserve"> </w:t>
      </w:r>
      <w:r w:rsidR="00FF0B5C">
        <w:t xml:space="preserve">have been found to be more prevalent at </w:t>
      </w:r>
      <w:r w:rsidR="0070494C">
        <w:t xml:space="preserve">oligotrophic </w:t>
      </w:r>
      <w:r w:rsidR="00FF0B5C">
        <w:t>low</w:t>
      </w:r>
      <w:r w:rsidR="0070494C">
        <w:t>-</w:t>
      </w:r>
      <w:r w:rsidR="00FF0B5C">
        <w:t>latitude</w:t>
      </w:r>
      <w:r w:rsidR="0070494C">
        <w:t xml:space="preserve"> </w:t>
      </w:r>
      <w:r w:rsidR="007A4833">
        <w:t>waters, in</w:t>
      </w:r>
      <w:r w:rsidR="00596DE5">
        <w:t xml:space="preserve"> the summer </w:t>
      </w:r>
      <w:r w:rsidR="0070494C">
        <w:t>&gt;40°S</w:t>
      </w:r>
      <w:r w:rsidR="0070494C" w:rsidRPr="16DDC7FD">
        <w:t xml:space="preserve"> </w:t>
      </w:r>
      <w:r w:rsidR="4AF0033B" w:rsidRPr="16DDC7FD">
        <w:t>(</w:t>
      </w:r>
      <w:r w:rsidR="0C0A9A75" w:rsidRPr="16DDC7FD">
        <w:t>Carranza et al., 2018;</w:t>
      </w:r>
      <w:r w:rsidR="4AF0033B" w:rsidRPr="16DDC7FD">
        <w:t xml:space="preserve"> Baldry et al.</w:t>
      </w:r>
      <w:r w:rsidR="7BF08A96" w:rsidRPr="16DDC7FD">
        <w:t>,</w:t>
      </w:r>
      <w:r w:rsidR="4AF0033B" w:rsidRPr="16DDC7FD">
        <w:t xml:space="preserve"> 2020</w:t>
      </w:r>
      <w:r w:rsidR="343AFF2C" w:rsidRPr="16DDC7FD">
        <w:t>;</w:t>
      </w:r>
      <w:r w:rsidR="4AF0033B" w:rsidRPr="16DDC7FD">
        <w:t xml:space="preserve"> Cornec et al., 2021)</w:t>
      </w:r>
      <w:r w:rsidR="000852F9">
        <w:t xml:space="preserve">, and be important </w:t>
      </w:r>
      <w:r w:rsidR="000B4ECE">
        <w:t xml:space="preserve">potentially </w:t>
      </w:r>
      <w:r w:rsidR="000852F9">
        <w:t xml:space="preserve">for </w:t>
      </w:r>
      <w:r w:rsidR="000B4ECE">
        <w:t xml:space="preserve">downward </w:t>
      </w:r>
      <w:r w:rsidR="000852F9">
        <w:t>carbon export (Boyd et al., 2024)</w:t>
      </w:r>
      <w:r w:rsidR="4AF0033B" w:rsidRPr="16DDC7FD">
        <w:t>.</w:t>
      </w:r>
      <w:r w:rsidR="68F374AD" w:rsidRPr="00CE2904">
        <w:rPr>
          <w:strike/>
        </w:rPr>
        <w:t xml:space="preserve"> </w:t>
      </w:r>
    </w:p>
    <w:p w14:paraId="599F2371" w14:textId="77777777" w:rsidR="00A120D9" w:rsidRPr="00CE2904" w:rsidRDefault="00A120D9" w:rsidP="0053305D">
      <w:pPr>
        <w:snapToGrid w:val="0"/>
        <w:spacing w:line="360" w:lineRule="auto"/>
        <w:jc w:val="both"/>
        <w:rPr>
          <w:strike/>
          <w:color w:val="000000"/>
        </w:rPr>
      </w:pPr>
    </w:p>
    <w:p w14:paraId="1353DBC6" w14:textId="05A746CE" w:rsidR="00F86DDA" w:rsidRPr="00AC1AD8" w:rsidRDefault="619F6EB6" w:rsidP="0053305D">
      <w:pPr>
        <w:snapToGrid w:val="0"/>
        <w:spacing w:line="360" w:lineRule="auto"/>
        <w:jc w:val="both"/>
      </w:pPr>
      <w:r>
        <w:t xml:space="preserve">In this study, we </w:t>
      </w:r>
      <w:r w:rsidR="28845E69">
        <w:t>use</w:t>
      </w:r>
      <w:r>
        <w:t xml:space="preserve"> </w:t>
      </w:r>
      <w:r w:rsidR="00260AD9">
        <w:t xml:space="preserve">247 </w:t>
      </w:r>
      <w:r>
        <w:t>BGC-Argo float</w:t>
      </w:r>
      <w:r w:rsidR="3849B656">
        <w:t>s</w:t>
      </w:r>
      <w:r>
        <w:t>,</w:t>
      </w:r>
      <w:r w:rsidR="00FA7EB3">
        <w:t xml:space="preserve"> </w:t>
      </w:r>
      <w:r w:rsidR="00967C70">
        <w:t xml:space="preserve">south of </w:t>
      </w:r>
      <w:r w:rsidR="00FA7EB3">
        <w:t>30°S,</w:t>
      </w:r>
      <w:r>
        <w:t xml:space="preserve"> spanning 2012 to 2022,</w:t>
      </w:r>
      <w:r w:rsidR="10F94FCC">
        <w:t xml:space="preserve"> </w:t>
      </w:r>
      <w:r>
        <w:t>to</w:t>
      </w:r>
      <w:r w:rsidR="10F94FCC">
        <w:t xml:space="preserve"> </w:t>
      </w:r>
      <w:r w:rsidR="743AF10C">
        <w:t>estimate</w:t>
      </w:r>
      <w:r w:rsidR="10F94FCC">
        <w:t xml:space="preserve"> </w:t>
      </w:r>
      <w:r w:rsidR="743AF10C">
        <w:t>vertically-resolved NPP</w:t>
      </w:r>
      <w:r w:rsidR="752CDE9A">
        <w:t xml:space="preserve"> using the </w:t>
      </w:r>
      <w:proofErr w:type="spellStart"/>
      <w:r w:rsidR="752CDE9A">
        <w:t>CbPM</w:t>
      </w:r>
      <w:proofErr w:type="spellEnd"/>
      <w:r w:rsidR="008052FC">
        <w:t>, following Arteaga et al. (2022)</w:t>
      </w:r>
      <w:r w:rsidR="10F94FCC">
        <w:t xml:space="preserve">. </w:t>
      </w:r>
      <w:r w:rsidR="36779036">
        <w:t xml:space="preserve">We </w:t>
      </w:r>
      <w:r w:rsidR="1D166C17">
        <w:t xml:space="preserve">then </w:t>
      </w:r>
      <w:r w:rsidR="36779036">
        <w:t>examine subsurface production</w:t>
      </w:r>
      <w:r w:rsidR="00B0231A">
        <w:t xml:space="preserve"> (that is, all production below the mixed layer depth; MLD)</w:t>
      </w:r>
      <w:r w:rsidR="64FBAA97">
        <w:t xml:space="preserve"> </w:t>
      </w:r>
      <w:r w:rsidR="00B0231A">
        <w:t>for 3 cases: (1) DCM</w:t>
      </w:r>
      <w:r w:rsidR="00905FEF">
        <w:t xml:space="preserve"> or </w:t>
      </w:r>
      <w:r w:rsidR="00B0231A">
        <w:t>DBM present; (2) DCM</w:t>
      </w:r>
      <w:r w:rsidR="007A4833">
        <w:t xml:space="preserve"> or </w:t>
      </w:r>
      <w:r w:rsidR="00B0231A">
        <w:t>DBM naturally absent; (3) DCM</w:t>
      </w:r>
      <w:r w:rsidR="007A4833">
        <w:t xml:space="preserve"> or </w:t>
      </w:r>
      <w:r w:rsidR="00B0231A">
        <w:t>DBM “removed”. Additionally, we quantify NPP</w:t>
      </w:r>
      <w:r w:rsidR="00BF6DE4">
        <w:t xml:space="preserve"> </w:t>
      </w:r>
      <w:r w:rsidR="00B0231A">
        <w:t xml:space="preserve">occurring </w:t>
      </w:r>
      <w:r w:rsidR="64FBAA97">
        <w:t>in the DCM</w:t>
      </w:r>
      <w:r w:rsidR="006A790B">
        <w:t xml:space="preserve"> </w:t>
      </w:r>
      <w:r w:rsidR="00B0231A">
        <w:t xml:space="preserve">and </w:t>
      </w:r>
      <w:r w:rsidR="001911E4">
        <w:t>D</w:t>
      </w:r>
      <w:r w:rsidR="00B0231A">
        <w:t>BM</w:t>
      </w:r>
      <w:r w:rsidR="008C54BE">
        <w:t>. We</w:t>
      </w:r>
      <w:r w:rsidR="64FBAA97">
        <w:t xml:space="preserve"> calculate</w:t>
      </w:r>
      <w:r w:rsidR="1D166C17">
        <w:t xml:space="preserve"> </w:t>
      </w:r>
      <w:r w:rsidR="008C54BE">
        <w:t xml:space="preserve">the subsurface </w:t>
      </w:r>
      <w:r w:rsidR="1D166C17">
        <w:t xml:space="preserve">contribution to the total </w:t>
      </w:r>
      <w:r w:rsidR="4D971901">
        <w:t xml:space="preserve">integrated </w:t>
      </w:r>
      <w:r w:rsidR="00902A16">
        <w:t>NPP and</w:t>
      </w:r>
      <w:r w:rsidR="36779036">
        <w:t xml:space="preserve"> </w:t>
      </w:r>
      <w:r w:rsidR="2D209536">
        <w:t xml:space="preserve">investigate the influence of DCM </w:t>
      </w:r>
      <w:r w:rsidR="00233860">
        <w:t xml:space="preserve">and DBM </w:t>
      </w:r>
      <w:r w:rsidR="2D209536">
        <w:t>occurrence on th</w:t>
      </w:r>
      <w:r w:rsidR="007F63BF">
        <w:t>is</w:t>
      </w:r>
      <w:r w:rsidR="2D209536">
        <w:t xml:space="preserve"> contribution</w:t>
      </w:r>
      <w:r w:rsidR="00786ACA">
        <w:t>.</w:t>
      </w:r>
      <w:r w:rsidR="00576907">
        <w:t xml:space="preserve"> We compare results </w:t>
      </w:r>
      <w:r w:rsidR="0070494C">
        <w:t xml:space="preserve">for water masses </w:t>
      </w:r>
      <w:r w:rsidR="00EF585E">
        <w:t xml:space="preserve">between the four Southern Ocean frontal zones, and </w:t>
      </w:r>
      <w:r w:rsidR="00576907">
        <w:t xml:space="preserve">across the southern hemisphere, </w:t>
      </w:r>
      <w:proofErr w:type="gramStart"/>
      <w:r w:rsidR="00576907">
        <w:t>from nitrate-limited oligotrophic waters (30-40°S),</w:t>
      </w:r>
      <w:proofErr w:type="gramEnd"/>
      <w:r w:rsidR="00576907">
        <w:t xml:space="preserve"> to iron-limited HNLC sub-Antarctic waters (40-60°S) to </w:t>
      </w:r>
      <w:r w:rsidR="00740CA7">
        <w:t xml:space="preserve">HNLC </w:t>
      </w:r>
      <w:r w:rsidR="00576907">
        <w:t xml:space="preserve">polar waters south of 60°S. </w:t>
      </w:r>
      <w:r w:rsidR="00786ACA">
        <w:t>Finally, we compare NPP estimates from floats and satellite</w:t>
      </w:r>
      <w:r w:rsidR="004F4C5D">
        <w:t>s, to</w:t>
      </w:r>
      <w:r w:rsidR="00EF5713">
        <w:t xml:space="preserve"> assess </w:t>
      </w:r>
      <w:r w:rsidR="00885341">
        <w:t>whether</w:t>
      </w:r>
      <w:r w:rsidR="00EF5713">
        <w:t xml:space="preserve"> satellite reconstructions of vertical NPP account for DCMs. </w:t>
      </w:r>
    </w:p>
    <w:p w14:paraId="40478BBE" w14:textId="77777777" w:rsidR="000A4C61" w:rsidRPr="00AC1AD8" w:rsidRDefault="000A4C61" w:rsidP="0053305D">
      <w:pPr>
        <w:snapToGrid w:val="0"/>
        <w:spacing w:line="360" w:lineRule="auto"/>
        <w:jc w:val="both"/>
      </w:pPr>
    </w:p>
    <w:p w14:paraId="2FBCD54F" w14:textId="66458B4E" w:rsidR="00AB7931" w:rsidRPr="00AC1AD8" w:rsidRDefault="007319AE" w:rsidP="0053305D">
      <w:pPr>
        <w:snapToGrid w:val="0"/>
        <w:spacing w:line="360" w:lineRule="auto"/>
        <w:jc w:val="both"/>
      </w:pPr>
      <w:r w:rsidRPr="001F6300">
        <w:t xml:space="preserve">We find that </w:t>
      </w:r>
      <w:r w:rsidRPr="007319AE">
        <w:t>w</w:t>
      </w:r>
      <w:r w:rsidR="5DB91E89" w:rsidRPr="007319AE">
        <w:t>hen</w:t>
      </w:r>
      <w:r w:rsidR="5DB91E89">
        <w:t xml:space="preserve"> DCMs </w:t>
      </w:r>
      <w:r w:rsidR="00740CA7">
        <w:t xml:space="preserve">alone </w:t>
      </w:r>
      <w:r w:rsidR="5DB91E89">
        <w:t xml:space="preserve">are present, </w:t>
      </w:r>
      <w:r w:rsidR="45A8E9ED">
        <w:t xml:space="preserve">NPP below the MLD contributes </w:t>
      </w:r>
      <w:r w:rsidR="00AF4A46">
        <w:t>59</w:t>
      </w:r>
      <w:r w:rsidR="45A8E9ED">
        <w:t xml:space="preserve">% of the total </w:t>
      </w:r>
      <w:r w:rsidR="60620AFE">
        <w:t>NPP</w:t>
      </w:r>
      <w:r w:rsidR="00C40AAB">
        <w:t xml:space="preserve"> on average across the entire dataset</w:t>
      </w:r>
      <w:r w:rsidR="00CD5046">
        <w:t>, and ~40% in iron-limited areas of the Southern Ocean</w:t>
      </w:r>
      <w:r w:rsidR="45A8E9ED">
        <w:t xml:space="preserve">. </w:t>
      </w:r>
      <w:r w:rsidR="001F7059">
        <w:t>When DCMs coincide with a DBM, th</w:t>
      </w:r>
      <w:r w:rsidR="00D943E4">
        <w:t>is</w:t>
      </w:r>
      <w:r w:rsidR="001F7059">
        <w:t xml:space="preserve"> contribution to total NPP increases to </w:t>
      </w:r>
      <w:r w:rsidR="00B37313">
        <w:t xml:space="preserve">66% </w:t>
      </w:r>
      <w:r w:rsidR="00D71F23">
        <w:t>overall</w:t>
      </w:r>
      <w:r w:rsidR="001F7059">
        <w:t xml:space="preserve">. </w:t>
      </w:r>
      <w:r w:rsidR="0A85870E">
        <w:t>Furthermore,</w:t>
      </w:r>
      <w:r w:rsidR="4AAAE4D4">
        <w:t xml:space="preserve"> </w:t>
      </w:r>
      <w:r w:rsidR="6E92F322">
        <w:t xml:space="preserve">the contribution </w:t>
      </w:r>
      <w:r w:rsidR="00B0231A">
        <w:t xml:space="preserve">of </w:t>
      </w:r>
      <w:r w:rsidR="6E92F322">
        <w:t xml:space="preserve">subsurface </w:t>
      </w:r>
      <w:r w:rsidR="52320B73">
        <w:t xml:space="preserve">NPP </w:t>
      </w:r>
      <w:r w:rsidR="6E92F322">
        <w:t xml:space="preserve">to total </w:t>
      </w:r>
      <w:r w:rsidR="128449F5">
        <w:t xml:space="preserve">NPP </w:t>
      </w:r>
      <w:r w:rsidR="6E92F322">
        <w:t>varies spatially and seasonally</w:t>
      </w:r>
      <w:r w:rsidR="45A8E9ED">
        <w:t xml:space="preserve">, increasing at low latitudes </w:t>
      </w:r>
      <w:r w:rsidR="71742C29">
        <w:t>(</w:t>
      </w:r>
      <w:r w:rsidR="71055BEB">
        <w:t>3</w:t>
      </w:r>
      <w:r w:rsidR="30B17BED">
        <w:t>0-</w:t>
      </w:r>
      <w:r w:rsidR="00CD5046">
        <w:t>40</w:t>
      </w:r>
      <w:r w:rsidR="30B17BED">
        <w:t>°S</w:t>
      </w:r>
      <w:r w:rsidR="71742C29">
        <w:t xml:space="preserve">) </w:t>
      </w:r>
      <w:r w:rsidR="45A8E9ED">
        <w:t>and during the summer</w:t>
      </w:r>
      <w:r w:rsidR="59E5168B">
        <w:t>, whe</w:t>
      </w:r>
      <w:r w:rsidR="71742C29">
        <w:t>n</w:t>
      </w:r>
      <w:r w:rsidR="59E5168B">
        <w:t xml:space="preserve"> DCM</w:t>
      </w:r>
      <w:r w:rsidR="4B1DF13A">
        <w:t xml:space="preserve">s are more </w:t>
      </w:r>
      <w:r w:rsidR="4B1DF13A">
        <w:lastRenderedPageBreak/>
        <w:t>prevalent</w:t>
      </w:r>
      <w:r w:rsidR="59E5168B">
        <w:t xml:space="preserve">. </w:t>
      </w:r>
      <w:r w:rsidR="001F4367">
        <w:t>Omitting</w:t>
      </w:r>
      <w:r w:rsidR="00461076">
        <w:t xml:space="preserve"> DCMs</w:t>
      </w:r>
      <w:r w:rsidR="00885341">
        <w:t xml:space="preserve"> from </w:t>
      </w:r>
      <w:r w:rsidR="00DC2554">
        <w:t>the water column results</w:t>
      </w:r>
      <w:r w:rsidR="00461076">
        <w:t xml:space="preserve"> </w:t>
      </w:r>
      <w:r w:rsidR="00DC2554">
        <w:t>in</w:t>
      </w:r>
      <w:r w:rsidR="00800D8B">
        <w:t xml:space="preserve"> integrated NPP estimates of</w:t>
      </w:r>
      <w:r w:rsidR="00DC2554">
        <w:t xml:space="preserve"> </w:t>
      </w:r>
      <w:r w:rsidR="00800D8B">
        <w:t xml:space="preserve">up </w:t>
      </w:r>
      <w:r w:rsidR="00A35687">
        <w:t xml:space="preserve">to </w:t>
      </w:r>
      <w:r w:rsidR="00CA52A4">
        <w:t>45</w:t>
      </w:r>
      <w:r w:rsidR="00A35687">
        <w:t>%</w:t>
      </w:r>
      <w:r w:rsidR="00727F5C">
        <w:t xml:space="preserve"> lower NPP</w:t>
      </w:r>
      <w:r w:rsidR="00A35687">
        <w:t xml:space="preserve">. </w:t>
      </w:r>
    </w:p>
    <w:p w14:paraId="0FA730C3" w14:textId="77777777" w:rsidR="00970F17" w:rsidRPr="00AC1AD8" w:rsidRDefault="00970F17" w:rsidP="0053305D">
      <w:pPr>
        <w:snapToGrid w:val="0"/>
        <w:spacing w:line="360" w:lineRule="auto"/>
        <w:jc w:val="both"/>
      </w:pPr>
    </w:p>
    <w:p w14:paraId="38B25B7A" w14:textId="0F451FE9" w:rsidR="005327FA" w:rsidRPr="00AC1AD8" w:rsidRDefault="005327FA" w:rsidP="0053305D">
      <w:pPr>
        <w:pStyle w:val="ListParagraph"/>
        <w:numPr>
          <w:ilvl w:val="0"/>
          <w:numId w:val="1"/>
        </w:numPr>
        <w:snapToGrid w:val="0"/>
        <w:spacing w:line="360" w:lineRule="auto"/>
        <w:contextualSpacing w:val="0"/>
        <w:jc w:val="both"/>
        <w:rPr>
          <w:rFonts w:ascii="Times New Roman" w:hAnsi="Times New Roman" w:cs="Times New Roman"/>
          <w:b/>
          <w:bCs/>
        </w:rPr>
      </w:pPr>
      <w:r w:rsidRPr="00AC1AD8">
        <w:rPr>
          <w:rFonts w:ascii="Times New Roman" w:hAnsi="Times New Roman" w:cs="Times New Roman"/>
          <w:b/>
          <w:bCs/>
        </w:rPr>
        <w:t>Methods</w:t>
      </w:r>
    </w:p>
    <w:p w14:paraId="18AD1908" w14:textId="4C727009" w:rsidR="00957C47" w:rsidRPr="00AC1AD8" w:rsidRDefault="00622371" w:rsidP="0053305D">
      <w:pPr>
        <w:pStyle w:val="ListParagraph"/>
        <w:numPr>
          <w:ilvl w:val="1"/>
          <w:numId w:val="1"/>
        </w:numPr>
        <w:snapToGrid w:val="0"/>
        <w:spacing w:line="360" w:lineRule="auto"/>
        <w:contextualSpacing w:val="0"/>
        <w:jc w:val="both"/>
        <w:rPr>
          <w:rFonts w:ascii="Times New Roman" w:hAnsi="Times New Roman" w:cs="Times New Roman"/>
          <w:b/>
          <w:bCs/>
        </w:rPr>
      </w:pPr>
      <w:r w:rsidRPr="00AC1AD8">
        <w:rPr>
          <w:rFonts w:ascii="Times New Roman" w:hAnsi="Times New Roman" w:cs="Times New Roman"/>
          <w:b/>
          <w:bCs/>
        </w:rPr>
        <w:t xml:space="preserve"> </w:t>
      </w:r>
      <w:r w:rsidR="000C228C" w:rsidRPr="00AC1AD8">
        <w:rPr>
          <w:rFonts w:ascii="Times New Roman" w:hAnsi="Times New Roman" w:cs="Times New Roman"/>
          <w:b/>
          <w:bCs/>
        </w:rPr>
        <w:t>BGC</w:t>
      </w:r>
      <w:r w:rsidRPr="00AC1AD8">
        <w:rPr>
          <w:rFonts w:ascii="Times New Roman" w:hAnsi="Times New Roman" w:cs="Times New Roman"/>
          <w:b/>
          <w:bCs/>
        </w:rPr>
        <w:t>-</w:t>
      </w:r>
      <w:r w:rsidR="000C228C" w:rsidRPr="00AC1AD8">
        <w:rPr>
          <w:rFonts w:ascii="Times New Roman" w:hAnsi="Times New Roman" w:cs="Times New Roman"/>
          <w:b/>
          <w:bCs/>
        </w:rPr>
        <w:t>Argo float data</w:t>
      </w:r>
    </w:p>
    <w:p w14:paraId="1387E7D9" w14:textId="77777777" w:rsidR="00C1753E" w:rsidRDefault="00C1753E" w:rsidP="0053305D">
      <w:pPr>
        <w:snapToGrid w:val="0"/>
        <w:spacing w:line="360" w:lineRule="auto"/>
        <w:jc w:val="both"/>
        <w:rPr>
          <w:color w:val="000000"/>
        </w:rPr>
      </w:pPr>
    </w:p>
    <w:p w14:paraId="6F530E83" w14:textId="10CE18AD" w:rsidR="006C2557" w:rsidRDefault="67A6A392" w:rsidP="0053305D">
      <w:pPr>
        <w:snapToGrid w:val="0"/>
        <w:spacing w:line="360" w:lineRule="auto"/>
        <w:jc w:val="both"/>
        <w:rPr>
          <w:rStyle w:val="normaltextrun"/>
          <w:color w:val="000000" w:themeColor="text1"/>
          <w:lang w:val="en-US"/>
        </w:rPr>
      </w:pPr>
      <w:r w:rsidRPr="00AC1AD8">
        <w:rPr>
          <w:color w:val="000000"/>
        </w:rPr>
        <w:t>Data from</w:t>
      </w:r>
      <w:r w:rsidR="0CB065C8" w:rsidRPr="00AC1AD8">
        <w:rPr>
          <w:color w:val="000000"/>
        </w:rPr>
        <w:t xml:space="preserve"> </w:t>
      </w:r>
      <w:r w:rsidR="5595D737" w:rsidRPr="00AC1AD8">
        <w:rPr>
          <w:color w:val="000000"/>
        </w:rPr>
        <w:t>339</w:t>
      </w:r>
      <w:r w:rsidRPr="00AC1AD8">
        <w:rPr>
          <w:color w:val="000000"/>
        </w:rPr>
        <w:t xml:space="preserve"> </w:t>
      </w:r>
      <w:r w:rsidR="0CB065C8" w:rsidRPr="00AC1AD8">
        <w:rPr>
          <w:color w:val="000000"/>
        </w:rPr>
        <w:t xml:space="preserve">BGC-Argo </w:t>
      </w:r>
      <w:r w:rsidRPr="00AC1AD8">
        <w:rPr>
          <w:color w:val="000000"/>
        </w:rPr>
        <w:t xml:space="preserve">floats from the Southern Ocean Carbon and Climate </w:t>
      </w:r>
      <w:r w:rsidR="50F04C10" w:rsidRPr="00AC1AD8">
        <w:rPr>
          <w:color w:val="000000"/>
        </w:rPr>
        <w:t xml:space="preserve">Observations </w:t>
      </w:r>
      <w:r w:rsidRPr="00AC1AD8">
        <w:rPr>
          <w:color w:val="000000"/>
        </w:rPr>
        <w:t xml:space="preserve">and </w:t>
      </w:r>
      <w:r w:rsidR="231D865A" w:rsidRPr="00AC1AD8">
        <w:rPr>
          <w:color w:val="000000"/>
        </w:rPr>
        <w:t>Modelling</w:t>
      </w:r>
      <w:r w:rsidRPr="00AC1AD8">
        <w:rPr>
          <w:color w:val="000000"/>
        </w:rPr>
        <w:t xml:space="preserve"> (SOCCOM) </w:t>
      </w:r>
      <w:r w:rsidR="1837D5AD" w:rsidRPr="00AC1AD8">
        <w:rPr>
          <w:color w:val="000000" w:themeColor="text1"/>
        </w:rPr>
        <w:t xml:space="preserve">program </w:t>
      </w:r>
      <w:r w:rsidR="371946C9" w:rsidRPr="00AC1AD8">
        <w:rPr>
          <w:color w:val="000000" w:themeColor="text1"/>
        </w:rPr>
        <w:t xml:space="preserve">were downloaded </w:t>
      </w:r>
      <w:r w:rsidR="0CB065C8" w:rsidRPr="00AC1AD8">
        <w:rPr>
          <w:color w:val="000000"/>
        </w:rPr>
        <w:t xml:space="preserve">through the Australian Antarctic </w:t>
      </w:r>
      <w:r w:rsidR="231D865A" w:rsidRPr="00AC1AD8">
        <w:rPr>
          <w:color w:val="000000"/>
        </w:rPr>
        <w:t>Division</w:t>
      </w:r>
      <w:r w:rsidR="0CB065C8" w:rsidRPr="00AC1AD8">
        <w:rPr>
          <w:color w:val="000000"/>
        </w:rPr>
        <w:t xml:space="preserve"> repository on 01-June-2022</w:t>
      </w:r>
      <w:r w:rsidR="744417B7" w:rsidRPr="00AC1AD8">
        <w:rPr>
          <w:color w:val="000000"/>
        </w:rPr>
        <w:t>.</w:t>
      </w:r>
      <w:r w:rsidR="0CB065C8" w:rsidRPr="00AC1AD8">
        <w:rPr>
          <w:color w:val="000000"/>
        </w:rPr>
        <w:t xml:space="preserve"> </w:t>
      </w:r>
      <w:r w:rsidR="0200B42A" w:rsidRPr="00AC1AD8">
        <w:rPr>
          <w:color w:val="000000"/>
        </w:rPr>
        <w:t>This equate</w:t>
      </w:r>
      <w:r w:rsidR="09F1CBEF" w:rsidRPr="00AC1AD8">
        <w:rPr>
          <w:color w:val="000000"/>
        </w:rPr>
        <w:t>d</w:t>
      </w:r>
      <w:r w:rsidR="0200B42A" w:rsidRPr="00AC1AD8">
        <w:rPr>
          <w:color w:val="000000"/>
        </w:rPr>
        <w:t xml:space="preserve"> to </w:t>
      </w:r>
      <w:r w:rsidR="0CB065C8" w:rsidRPr="00AC1AD8">
        <w:rPr>
          <w:color w:val="000000"/>
        </w:rPr>
        <w:t xml:space="preserve">a total of </w:t>
      </w:r>
      <w:r w:rsidR="74A13D03" w:rsidRPr="00AC1AD8">
        <w:rPr>
          <w:color w:val="000000"/>
        </w:rPr>
        <w:t>~</w:t>
      </w:r>
      <w:r w:rsidR="0CB065C8" w:rsidRPr="00AC1AD8">
        <w:rPr>
          <w:color w:val="000000"/>
        </w:rPr>
        <w:t>1</w:t>
      </w:r>
      <w:r w:rsidR="411FAB41" w:rsidRPr="00AC1AD8">
        <w:rPr>
          <w:color w:val="000000"/>
        </w:rPr>
        <w:t>5</w:t>
      </w:r>
      <w:r w:rsidR="0CB065C8" w:rsidRPr="00AC1AD8">
        <w:rPr>
          <w:color w:val="000000"/>
        </w:rPr>
        <w:t xml:space="preserve">,000 quality-controlled (QC) profiles </w:t>
      </w:r>
      <w:r w:rsidR="17D6AF06" w:rsidRPr="00AC1AD8">
        <w:rPr>
          <w:color w:val="000000"/>
        </w:rPr>
        <w:t xml:space="preserve">south of </w:t>
      </w:r>
      <w:r w:rsidR="4116C812" w:rsidRPr="00AC1AD8">
        <w:rPr>
          <w:color w:val="000000"/>
        </w:rPr>
        <w:t>30</w:t>
      </w:r>
      <w:r w:rsidR="17D6AF06" w:rsidRPr="00AC1AD8">
        <w:rPr>
          <w:color w:val="000000"/>
        </w:rPr>
        <w:t xml:space="preserve">°S, </w:t>
      </w:r>
      <w:r w:rsidR="0CB065C8" w:rsidRPr="00AC1AD8">
        <w:rPr>
          <w:color w:val="000000"/>
        </w:rPr>
        <w:t xml:space="preserve">spanning 2012 to 2022. </w:t>
      </w:r>
      <w:r w:rsidR="00C31F75">
        <w:rPr>
          <w:color w:val="000000"/>
        </w:rPr>
        <w:t xml:space="preserve">In this study we </w:t>
      </w:r>
      <w:r w:rsidR="00EF585E">
        <w:rPr>
          <w:color w:val="000000"/>
        </w:rPr>
        <w:t xml:space="preserve">first </w:t>
      </w:r>
      <w:r w:rsidR="00C31F75">
        <w:rPr>
          <w:color w:val="000000"/>
        </w:rPr>
        <w:t>divide the Southern Ocean into four zones</w:t>
      </w:r>
      <w:r w:rsidR="0077168C">
        <w:rPr>
          <w:color w:val="000000"/>
        </w:rPr>
        <w:t>,</w:t>
      </w:r>
      <w:r w:rsidR="00C31F75">
        <w:rPr>
          <w:color w:val="000000"/>
        </w:rPr>
        <w:t xml:space="preserve"> based on </w:t>
      </w:r>
      <w:proofErr w:type="spellStart"/>
      <w:r w:rsidR="00C31F75">
        <w:rPr>
          <w:color w:val="000000"/>
        </w:rPr>
        <w:t>Bushinsky</w:t>
      </w:r>
      <w:proofErr w:type="spellEnd"/>
      <w:r w:rsidR="00C31F75">
        <w:rPr>
          <w:color w:val="000000"/>
        </w:rPr>
        <w:t xml:space="preserve"> et al. (2017)</w:t>
      </w:r>
      <w:r w:rsidR="0077168C">
        <w:rPr>
          <w:color w:val="000000"/>
        </w:rPr>
        <w:t xml:space="preserve"> using a 10-year Argo climatology of temperature and salinity</w:t>
      </w:r>
      <w:r w:rsidR="00C31F75">
        <w:rPr>
          <w:color w:val="000000"/>
        </w:rPr>
        <w:t xml:space="preserve">, </w:t>
      </w:r>
      <w:r w:rsidR="0077168C">
        <w:rPr>
          <w:rStyle w:val="normaltextrun"/>
          <w:color w:val="000000"/>
          <w:bdr w:val="none" w:sz="0" w:space="0" w:color="auto" w:frame="1"/>
          <w:lang w:val="en-US"/>
        </w:rPr>
        <w:t>as follows:</w:t>
      </w:r>
      <w:r w:rsidR="0077168C" w:rsidRPr="00AC1AD8">
        <w:rPr>
          <w:rStyle w:val="normaltextrun"/>
          <w:color w:val="000000"/>
          <w:bdr w:val="none" w:sz="0" w:space="0" w:color="auto" w:frame="1"/>
          <w:lang w:val="en-US"/>
        </w:rPr>
        <w:t xml:space="preserve"> </w:t>
      </w:r>
      <w:r w:rsidR="002F228A">
        <w:rPr>
          <w:rStyle w:val="normaltextrun"/>
          <w:color w:val="000000"/>
          <w:bdr w:val="none" w:sz="0" w:space="0" w:color="auto" w:frame="1"/>
          <w:lang w:val="en-US"/>
        </w:rPr>
        <w:t xml:space="preserve">the </w:t>
      </w:r>
      <w:r w:rsidR="002F228A">
        <w:rPr>
          <w:rStyle w:val="normaltextrun"/>
          <w:color w:val="000000" w:themeColor="text1"/>
          <w:lang w:val="en-US"/>
        </w:rPr>
        <w:t>sub-tropical zone (</w:t>
      </w:r>
      <w:r w:rsidR="002F228A" w:rsidRPr="00AC1AD8">
        <w:rPr>
          <w:rStyle w:val="normaltextrun"/>
          <w:color w:val="000000" w:themeColor="text1"/>
          <w:lang w:val="en-US"/>
        </w:rPr>
        <w:t>STZ</w:t>
      </w:r>
      <w:r w:rsidR="002F228A">
        <w:rPr>
          <w:rStyle w:val="normaltextrun"/>
          <w:color w:val="000000" w:themeColor="text1"/>
          <w:lang w:val="en-US"/>
        </w:rPr>
        <w:t>)</w:t>
      </w:r>
      <w:r w:rsidR="002F228A" w:rsidRPr="00AC1AD8">
        <w:rPr>
          <w:rStyle w:val="normaltextrun"/>
          <w:color w:val="000000" w:themeColor="text1"/>
          <w:lang w:val="en-US"/>
        </w:rPr>
        <w:t xml:space="preserve"> north of the sub-tropical front and south of 30°S</w:t>
      </w:r>
      <w:r w:rsidR="002F228A">
        <w:rPr>
          <w:rStyle w:val="normaltextrun"/>
          <w:color w:val="000000" w:themeColor="text1"/>
          <w:lang w:val="en-US"/>
        </w:rPr>
        <w:t xml:space="preserve">, the </w:t>
      </w:r>
      <w:r w:rsidR="002F228A" w:rsidRPr="00AC1AD8">
        <w:rPr>
          <w:rStyle w:val="normaltextrun"/>
          <w:color w:val="000000" w:themeColor="text1"/>
          <w:lang w:val="en-US"/>
        </w:rPr>
        <w:t xml:space="preserve">sub-Antarctic </w:t>
      </w:r>
      <w:r w:rsidR="002F228A">
        <w:rPr>
          <w:rStyle w:val="normaltextrun"/>
          <w:color w:val="000000" w:themeColor="text1"/>
          <w:lang w:val="en-US"/>
        </w:rPr>
        <w:t>zone (</w:t>
      </w:r>
      <w:r w:rsidR="002F228A" w:rsidRPr="00AC1AD8">
        <w:rPr>
          <w:rStyle w:val="normaltextrun"/>
          <w:color w:val="000000" w:themeColor="text1"/>
          <w:lang w:val="en-US"/>
        </w:rPr>
        <w:t>SAZ</w:t>
      </w:r>
      <w:r w:rsidR="002F228A">
        <w:rPr>
          <w:rStyle w:val="normaltextrun"/>
          <w:color w:val="000000" w:themeColor="text1"/>
          <w:lang w:val="en-US"/>
        </w:rPr>
        <w:t>)</w:t>
      </w:r>
      <w:r w:rsidR="002F228A" w:rsidRPr="00AC1AD8">
        <w:rPr>
          <w:rStyle w:val="normaltextrun"/>
          <w:color w:val="000000" w:themeColor="text1"/>
          <w:lang w:val="en-US"/>
        </w:rPr>
        <w:t xml:space="preserve"> between the sub-Antarctic and sub-tropical front</w:t>
      </w:r>
      <w:r w:rsidR="002F228A">
        <w:rPr>
          <w:rStyle w:val="normaltextrun"/>
          <w:color w:val="000000" w:themeColor="text1"/>
          <w:lang w:val="en-US"/>
        </w:rPr>
        <w:t>, the polar Antarctic zone (</w:t>
      </w:r>
      <w:r w:rsidR="002F228A" w:rsidRPr="00AC1AD8">
        <w:rPr>
          <w:rStyle w:val="normaltextrun"/>
          <w:color w:val="000000" w:themeColor="text1"/>
          <w:lang w:val="en-US"/>
        </w:rPr>
        <w:t>PAZ</w:t>
      </w:r>
      <w:r w:rsidR="002F228A">
        <w:rPr>
          <w:rStyle w:val="normaltextrun"/>
          <w:color w:val="000000" w:themeColor="text1"/>
          <w:lang w:val="en-US"/>
        </w:rPr>
        <w:t>)</w:t>
      </w:r>
      <w:r w:rsidR="002F228A" w:rsidRPr="00AC1AD8">
        <w:rPr>
          <w:rStyle w:val="normaltextrun"/>
          <w:color w:val="000000" w:themeColor="text1"/>
          <w:lang w:val="en-US"/>
        </w:rPr>
        <w:t xml:space="preserve"> between the </w:t>
      </w:r>
      <w:r w:rsidR="002F228A">
        <w:rPr>
          <w:rStyle w:val="normaltextrun"/>
          <w:color w:val="000000" w:themeColor="text1"/>
          <w:lang w:val="en-US"/>
        </w:rPr>
        <w:t>sea ice zone (SIZ)</w:t>
      </w:r>
      <w:r w:rsidR="002F228A" w:rsidRPr="00AC1AD8">
        <w:rPr>
          <w:rStyle w:val="normaltextrun"/>
          <w:color w:val="000000" w:themeColor="text1"/>
          <w:lang w:val="en-US"/>
        </w:rPr>
        <w:t xml:space="preserve"> and </w:t>
      </w:r>
      <w:r w:rsidR="002F228A">
        <w:rPr>
          <w:rStyle w:val="normaltextrun"/>
          <w:color w:val="000000" w:themeColor="text1"/>
          <w:lang w:val="en-US"/>
        </w:rPr>
        <w:t>polar A</w:t>
      </w:r>
      <w:r w:rsidR="002F228A" w:rsidRPr="00AC1AD8">
        <w:rPr>
          <w:rStyle w:val="normaltextrun"/>
          <w:color w:val="000000" w:themeColor="text1"/>
          <w:lang w:val="en-US"/>
        </w:rPr>
        <w:t>ntarctic front</w:t>
      </w:r>
      <w:r w:rsidR="002F228A">
        <w:rPr>
          <w:rStyle w:val="normaltextrun"/>
          <w:color w:val="000000" w:themeColor="text1"/>
          <w:lang w:val="en-US"/>
        </w:rPr>
        <w:t xml:space="preserve">, and the </w:t>
      </w:r>
      <w:r w:rsidR="0077168C" w:rsidRPr="00AC1AD8">
        <w:rPr>
          <w:rStyle w:val="normaltextrun"/>
          <w:color w:val="000000" w:themeColor="text1"/>
          <w:lang w:val="en-US"/>
        </w:rPr>
        <w:t>SIZ</w:t>
      </w:r>
      <w:r w:rsidR="002F228A">
        <w:rPr>
          <w:rStyle w:val="normaltextrun"/>
          <w:color w:val="000000" w:themeColor="text1"/>
          <w:lang w:val="en-US"/>
        </w:rPr>
        <w:t xml:space="preserve"> </w:t>
      </w:r>
      <w:r w:rsidR="0077168C" w:rsidRPr="00AC1AD8">
        <w:rPr>
          <w:rStyle w:val="normaltextrun"/>
          <w:color w:val="000000" w:themeColor="text1"/>
          <w:lang w:val="en-US"/>
        </w:rPr>
        <w:t>south of the maximum sea-ice extent</w:t>
      </w:r>
      <w:r w:rsidR="002F228A">
        <w:rPr>
          <w:rStyle w:val="normaltextrun"/>
          <w:color w:val="000000" w:themeColor="text1"/>
          <w:lang w:val="en-US"/>
        </w:rPr>
        <w:t xml:space="preserve"> (Figure 1)</w:t>
      </w:r>
      <w:r w:rsidR="00C31F75">
        <w:rPr>
          <w:color w:val="000000"/>
        </w:rPr>
        <w:t xml:space="preserve">. </w:t>
      </w:r>
      <w:r w:rsidR="002F228A">
        <w:rPr>
          <w:color w:val="000000"/>
        </w:rPr>
        <w:t xml:space="preserve">The </w:t>
      </w:r>
      <w:r w:rsidR="002F228A" w:rsidRPr="00AC1AD8">
        <w:rPr>
          <w:rStyle w:val="normaltextrun"/>
          <w:color w:val="000000" w:themeColor="text1"/>
          <w:lang w:val="en-US"/>
        </w:rPr>
        <w:t xml:space="preserve">maximum </w:t>
      </w:r>
      <w:r w:rsidR="006C2557">
        <w:rPr>
          <w:rStyle w:val="normaltextrun"/>
          <w:color w:val="000000" w:themeColor="text1"/>
          <w:lang w:val="en-US"/>
        </w:rPr>
        <w:t xml:space="preserve">winter </w:t>
      </w:r>
      <w:r w:rsidR="002F228A" w:rsidRPr="00AC1AD8">
        <w:rPr>
          <w:rStyle w:val="normaltextrun"/>
          <w:color w:val="000000" w:themeColor="text1"/>
          <w:lang w:val="en-US"/>
        </w:rPr>
        <w:t>sea-ice extent</w:t>
      </w:r>
      <w:r w:rsidR="002F228A">
        <w:rPr>
          <w:rStyle w:val="normaltextrun"/>
          <w:color w:val="000000" w:themeColor="text1"/>
          <w:lang w:val="en-US"/>
        </w:rPr>
        <w:t xml:space="preserve"> was computed using daily sea-ice concentration</w:t>
      </w:r>
      <w:r w:rsidR="006C2557">
        <w:rPr>
          <w:rStyle w:val="normaltextrun"/>
          <w:color w:val="000000" w:themeColor="text1"/>
          <w:lang w:val="en-US"/>
        </w:rPr>
        <w:t xml:space="preserve"> products</w:t>
      </w:r>
      <w:r w:rsidR="002F228A">
        <w:rPr>
          <w:rStyle w:val="normaltextrun"/>
          <w:color w:val="000000" w:themeColor="text1"/>
          <w:lang w:val="en-US"/>
        </w:rPr>
        <w:t xml:space="preserve"> (25km resolution) from the Ocean and Sea Ice Satellite Application facility (OSI SAF) from</w:t>
      </w:r>
      <w:r w:rsidR="00774EF4">
        <w:rPr>
          <w:rStyle w:val="normaltextrun"/>
          <w:color w:val="000000" w:themeColor="text1"/>
          <w:lang w:val="en-US"/>
        </w:rPr>
        <w:t xml:space="preserve"> the </w:t>
      </w:r>
      <w:r w:rsidR="002F228A">
        <w:rPr>
          <w:rStyle w:val="normaltextrun"/>
          <w:color w:val="000000" w:themeColor="text1"/>
          <w:lang w:val="en-US"/>
        </w:rPr>
        <w:t>Copernicus</w:t>
      </w:r>
      <w:r w:rsidR="00774EF4">
        <w:rPr>
          <w:rStyle w:val="normaltextrun"/>
          <w:color w:val="000000" w:themeColor="text1"/>
          <w:lang w:val="en-US"/>
        </w:rPr>
        <w:t xml:space="preserve"> website</w:t>
      </w:r>
      <w:r w:rsidR="002F228A">
        <w:rPr>
          <w:rStyle w:val="normaltextrun"/>
          <w:color w:val="000000" w:themeColor="text1"/>
          <w:lang w:val="en-US"/>
        </w:rPr>
        <w:t xml:space="preserve"> (</w:t>
      </w:r>
      <w:r w:rsidR="002F228A" w:rsidRPr="002F228A">
        <w:rPr>
          <w:rStyle w:val="normaltextrun"/>
          <w:color w:val="000000" w:themeColor="text1"/>
          <w:lang w:val="en-US"/>
        </w:rPr>
        <w:t>https://cds.climate.copernicus.eu/cdsapp#!/dataset/satellite-sea-ice-concentration?tab=form</w:t>
      </w:r>
      <w:r w:rsidR="002F228A">
        <w:rPr>
          <w:rStyle w:val="normaltextrun"/>
          <w:color w:val="000000" w:themeColor="text1"/>
          <w:lang w:val="en-US"/>
        </w:rPr>
        <w:t xml:space="preserve">), following Liniger et al., (2024). </w:t>
      </w:r>
      <w:r w:rsidR="00961D9E">
        <w:rPr>
          <w:rStyle w:val="normaltextrun"/>
          <w:color w:val="000000" w:themeColor="text1"/>
          <w:lang w:val="en-US"/>
        </w:rPr>
        <w:t>Because f</w:t>
      </w:r>
      <w:r w:rsidR="006C2557">
        <w:rPr>
          <w:rStyle w:val="normaltextrun"/>
          <w:color w:val="000000" w:themeColor="text1"/>
          <w:lang w:val="en-US"/>
        </w:rPr>
        <w:t>loats are quasi-</w:t>
      </w:r>
      <w:proofErr w:type="spellStart"/>
      <w:r w:rsidR="00961D9E">
        <w:rPr>
          <w:rStyle w:val="normaltextrun"/>
          <w:color w:val="000000" w:themeColor="text1"/>
          <w:lang w:val="en-US"/>
        </w:rPr>
        <w:t>L</w:t>
      </w:r>
      <w:r w:rsidR="006C2557">
        <w:rPr>
          <w:rStyle w:val="normaltextrun"/>
          <w:color w:val="000000" w:themeColor="text1"/>
          <w:lang w:val="en-US"/>
        </w:rPr>
        <w:t>agrangian</w:t>
      </w:r>
      <w:proofErr w:type="spellEnd"/>
      <w:r w:rsidR="006C2557">
        <w:rPr>
          <w:rStyle w:val="normaltextrun"/>
          <w:color w:val="000000" w:themeColor="text1"/>
          <w:lang w:val="en-US"/>
        </w:rPr>
        <w:t xml:space="preserve"> and can cross regional boundaries when drifting</w:t>
      </w:r>
      <w:r w:rsidR="00961D9E">
        <w:rPr>
          <w:rStyle w:val="normaltextrun"/>
          <w:color w:val="000000" w:themeColor="text1"/>
          <w:lang w:val="en-US"/>
        </w:rPr>
        <w:t xml:space="preserve">, float profiles are divided into each zone based on </w:t>
      </w:r>
      <w:r w:rsidR="00C72A6F">
        <w:rPr>
          <w:rStyle w:val="normaltextrun"/>
          <w:color w:val="000000" w:themeColor="text1"/>
          <w:lang w:val="en-US"/>
        </w:rPr>
        <w:t>location</w:t>
      </w:r>
      <w:r w:rsidR="00961D9E">
        <w:rPr>
          <w:rStyle w:val="normaltextrun"/>
          <w:color w:val="000000" w:themeColor="text1"/>
          <w:lang w:val="en-US"/>
        </w:rPr>
        <w:t xml:space="preserve">. This method to study large scale processes using fixed fronts has been widely used in the Southern Ocean (Bushinsky et al., 2017; Johnson et al., 2017; Llort et al., 2018; Arteaga et al., 2020; Su et al., 2022; Liniger et al., 2024). </w:t>
      </w:r>
      <w:r w:rsidR="00EF585E">
        <w:rPr>
          <w:rStyle w:val="normaltextrun"/>
          <w:color w:val="000000" w:themeColor="text1"/>
          <w:lang w:val="en-US"/>
        </w:rPr>
        <w:t xml:space="preserve">We </w:t>
      </w:r>
      <w:r w:rsidR="00BB31E2">
        <w:rPr>
          <w:rStyle w:val="normaltextrun"/>
          <w:color w:val="000000" w:themeColor="text1"/>
          <w:lang w:val="en-US"/>
        </w:rPr>
        <w:t>then</w:t>
      </w:r>
      <w:r w:rsidR="00EF585E">
        <w:rPr>
          <w:rStyle w:val="normaltextrun"/>
          <w:color w:val="000000" w:themeColor="text1"/>
          <w:lang w:val="en-US"/>
        </w:rPr>
        <w:t xml:space="preserve"> explore the latitudinal variability of our results using three band</w:t>
      </w:r>
      <w:r w:rsidR="0054396A">
        <w:rPr>
          <w:rStyle w:val="normaltextrun"/>
          <w:color w:val="000000" w:themeColor="text1"/>
          <w:lang w:val="en-US"/>
        </w:rPr>
        <w:t>s</w:t>
      </w:r>
      <w:r w:rsidR="00EF585E">
        <w:rPr>
          <w:rStyle w:val="normaltextrun"/>
          <w:color w:val="000000" w:themeColor="text1"/>
          <w:lang w:val="en-US"/>
        </w:rPr>
        <w:t xml:space="preserve"> based on nutrient-limitation: </w:t>
      </w:r>
      <w:r w:rsidR="00EF585E">
        <w:t>nitrate-limited oligotrophic waters (30-40°S), silicate and</w:t>
      </w:r>
      <w:r w:rsidR="003F314F">
        <w:t>/or</w:t>
      </w:r>
      <w:r w:rsidR="00EF585E">
        <w:t xml:space="preserve"> iron-limited HNLC sub-Antarctic waters (40-60°S), and iron-limited HNLC polar waters south of 60°S. </w:t>
      </w:r>
    </w:p>
    <w:p w14:paraId="588CBC40" w14:textId="77777777" w:rsidR="006C2557" w:rsidRDefault="006C2557" w:rsidP="0053305D">
      <w:pPr>
        <w:snapToGrid w:val="0"/>
        <w:spacing w:line="360" w:lineRule="auto"/>
        <w:jc w:val="both"/>
        <w:rPr>
          <w:rStyle w:val="normaltextrun"/>
          <w:color w:val="000000" w:themeColor="text1"/>
          <w:lang w:val="en-US"/>
        </w:rPr>
      </w:pPr>
    </w:p>
    <w:p w14:paraId="484C8B3A" w14:textId="276F2E61" w:rsidR="000C228C" w:rsidRPr="00AC1AD8" w:rsidRDefault="0CB065C8" w:rsidP="0053305D">
      <w:pPr>
        <w:snapToGrid w:val="0"/>
        <w:spacing w:line="360" w:lineRule="auto"/>
        <w:jc w:val="both"/>
        <w:rPr>
          <w:rStyle w:val="normaltextrun"/>
          <w:color w:val="000000"/>
          <w:shd w:val="clear" w:color="auto" w:fill="FFFFFF"/>
          <w:lang w:val="en-US"/>
        </w:rPr>
      </w:pPr>
      <w:r w:rsidRPr="00AC1AD8">
        <w:t xml:space="preserve">Data flagged as QC 4 </w:t>
      </w:r>
      <w:r w:rsidR="000542D1" w:rsidRPr="000C3AA2">
        <w:rPr>
          <w:color w:val="000000" w:themeColor="text1"/>
        </w:rPr>
        <w:t xml:space="preserve">(bad data) </w:t>
      </w:r>
      <w:r w:rsidRPr="00AC1AD8">
        <w:t>and 3</w:t>
      </w:r>
      <w:r w:rsidR="000542D1">
        <w:t xml:space="preserve"> </w:t>
      </w:r>
      <w:r w:rsidR="000542D1" w:rsidRPr="000C3AA2">
        <w:rPr>
          <w:color w:val="000000" w:themeColor="text1"/>
        </w:rPr>
        <w:t xml:space="preserve">(bad data that are potentially correctable) </w:t>
      </w:r>
      <w:r w:rsidRPr="00AC1AD8">
        <w:t xml:space="preserve">were not included in our analyses (Johnson et al. 2017; </w:t>
      </w:r>
      <w:proofErr w:type="spellStart"/>
      <w:r w:rsidRPr="00AC1AD8">
        <w:t>Bittig</w:t>
      </w:r>
      <w:proofErr w:type="spellEnd"/>
      <w:r w:rsidRPr="00AC1AD8">
        <w:t xml:space="preserve"> et al. 2019). </w:t>
      </w:r>
      <w:r w:rsidR="00091299">
        <w:rPr>
          <w:color w:val="000000"/>
        </w:rPr>
        <w:t>Two a</w:t>
      </w:r>
      <w:r w:rsidR="00091299" w:rsidRPr="00AC1AD8">
        <w:rPr>
          <w:color w:val="000000"/>
        </w:rPr>
        <w:t xml:space="preserve">dditional </w:t>
      </w:r>
      <w:r w:rsidR="2694E946" w:rsidRPr="00AC1AD8">
        <w:rPr>
          <w:color w:val="000000"/>
        </w:rPr>
        <w:t xml:space="preserve">criteria were applied for removing </w:t>
      </w:r>
      <w:r w:rsidR="1504E5FB" w:rsidRPr="00AC1AD8">
        <w:rPr>
          <w:color w:val="000000"/>
        </w:rPr>
        <w:t xml:space="preserve">profiles </w:t>
      </w:r>
      <w:r w:rsidR="2694E946" w:rsidRPr="00AC1AD8">
        <w:rPr>
          <w:color w:val="000000"/>
        </w:rPr>
        <w:t xml:space="preserve">with insufficient data coverage: </w:t>
      </w:r>
      <w:r w:rsidR="00091299">
        <w:rPr>
          <w:color w:val="000000"/>
        </w:rPr>
        <w:t xml:space="preserve">(1) </w:t>
      </w:r>
      <w:r w:rsidR="2694E946" w:rsidRPr="00AC1AD8">
        <w:rPr>
          <w:color w:val="000000"/>
        </w:rPr>
        <w:t>the first pressure measurement should be in the upper 10 m</w:t>
      </w:r>
      <w:r w:rsidR="00C01F42">
        <w:rPr>
          <w:color w:val="000000"/>
        </w:rPr>
        <w:t>,</w:t>
      </w:r>
      <w:r w:rsidR="2694E946" w:rsidRPr="00AC1AD8">
        <w:rPr>
          <w:color w:val="000000"/>
        </w:rPr>
        <w:t xml:space="preserve"> and </w:t>
      </w:r>
      <w:r w:rsidR="00091299">
        <w:rPr>
          <w:color w:val="000000"/>
        </w:rPr>
        <w:t xml:space="preserve">(2) </w:t>
      </w:r>
      <w:r w:rsidR="2694E946" w:rsidRPr="00AC1AD8">
        <w:rPr>
          <w:color w:val="000000"/>
        </w:rPr>
        <w:t xml:space="preserve">the upper </w:t>
      </w:r>
      <w:r w:rsidR="000542D1">
        <w:rPr>
          <w:color w:val="000000"/>
        </w:rPr>
        <w:t>3</w:t>
      </w:r>
      <w:r w:rsidR="2694E946" w:rsidRPr="00AC1AD8">
        <w:rPr>
          <w:color w:val="000000"/>
        </w:rPr>
        <w:t xml:space="preserve">00 m of each profile should contain a minimum of 20 observations of all the variables </w:t>
      </w:r>
      <w:r w:rsidR="12F4B0B2" w:rsidRPr="00AC1AD8">
        <w:rPr>
          <w:color w:val="000000"/>
        </w:rPr>
        <w:t xml:space="preserve">used </w:t>
      </w:r>
      <w:r w:rsidR="2694E946" w:rsidRPr="00AC1AD8">
        <w:rPr>
          <w:color w:val="000000"/>
        </w:rPr>
        <w:t>in the analysis.</w:t>
      </w:r>
      <w:r w:rsidR="2694E946" w:rsidRPr="00AC1AD8">
        <w:t xml:space="preserve"> </w:t>
      </w:r>
      <w:r w:rsidR="5595D737" w:rsidRPr="00AC1AD8">
        <w:t xml:space="preserve">After applying these </w:t>
      </w:r>
      <w:r w:rsidR="276985F3" w:rsidRPr="00AC1AD8">
        <w:t>criteria,</w:t>
      </w:r>
      <w:r w:rsidR="5595D737" w:rsidRPr="00AC1AD8">
        <w:t xml:space="preserve"> the total number of floats left for analysis was 247</w:t>
      </w:r>
      <w:r w:rsidR="74A13D03" w:rsidRPr="00AC1AD8">
        <w:t xml:space="preserve">, of which </w:t>
      </w:r>
      <w:r w:rsidR="57A40A5B">
        <w:t xml:space="preserve">12,700 </w:t>
      </w:r>
      <w:r w:rsidR="74A13D03" w:rsidRPr="00AC1AD8">
        <w:t>profiles were good for estimating NPP</w:t>
      </w:r>
      <w:r w:rsidR="2A9F4677" w:rsidRPr="00AC1AD8">
        <w:t xml:space="preserve"> (Figure 1a)</w:t>
      </w:r>
      <w:r w:rsidR="5595D737" w:rsidRPr="00AC1AD8">
        <w:t xml:space="preserve">. </w:t>
      </w:r>
      <w:r w:rsidRPr="00AC1AD8">
        <w:rPr>
          <w:color w:val="000000"/>
        </w:rPr>
        <w:t xml:space="preserve">All floats were equipped with </w:t>
      </w:r>
      <w:r w:rsidR="00421C0A">
        <w:rPr>
          <w:color w:val="000000"/>
        </w:rPr>
        <w:t xml:space="preserve">a </w:t>
      </w:r>
      <w:r w:rsidRPr="00AC1AD8">
        <w:rPr>
          <w:color w:val="000000"/>
        </w:rPr>
        <w:t>CTD</w:t>
      </w:r>
      <w:r w:rsidR="000A6041">
        <w:rPr>
          <w:color w:val="000000"/>
        </w:rPr>
        <w:t xml:space="preserve"> (for </w:t>
      </w:r>
      <w:r w:rsidR="003F1784">
        <w:rPr>
          <w:color w:val="000000"/>
        </w:rPr>
        <w:t>salinity</w:t>
      </w:r>
      <w:r w:rsidR="008052FC">
        <w:rPr>
          <w:color w:val="000000"/>
        </w:rPr>
        <w:t>,</w:t>
      </w:r>
      <w:r w:rsidR="000A6041">
        <w:rPr>
          <w:color w:val="000000"/>
        </w:rPr>
        <w:t xml:space="preserve"> </w:t>
      </w:r>
      <w:r w:rsidR="003F1784">
        <w:rPr>
          <w:color w:val="000000"/>
        </w:rPr>
        <w:lastRenderedPageBreak/>
        <w:t xml:space="preserve">temperature </w:t>
      </w:r>
      <w:r w:rsidR="008052FC">
        <w:rPr>
          <w:color w:val="000000"/>
        </w:rPr>
        <w:t>and pressure</w:t>
      </w:r>
      <w:r w:rsidR="000A6041">
        <w:rPr>
          <w:color w:val="000000"/>
        </w:rPr>
        <w:t>)</w:t>
      </w:r>
      <w:r w:rsidR="00CCB3F8" w:rsidRPr="00AC1AD8">
        <w:rPr>
          <w:color w:val="000000"/>
        </w:rPr>
        <w:t xml:space="preserve">, </w:t>
      </w:r>
      <w:r w:rsidR="00421C0A">
        <w:rPr>
          <w:color w:val="000000"/>
        </w:rPr>
        <w:t xml:space="preserve">a </w:t>
      </w:r>
      <w:r w:rsidRPr="00AC1AD8">
        <w:rPr>
          <w:color w:val="000000"/>
        </w:rPr>
        <w:t>nitrate</w:t>
      </w:r>
      <w:r w:rsidR="00421C0A">
        <w:rPr>
          <w:color w:val="000000"/>
        </w:rPr>
        <w:t xml:space="preserve"> sensor</w:t>
      </w:r>
      <w:r w:rsidRPr="00AC1AD8">
        <w:rPr>
          <w:color w:val="000000"/>
        </w:rPr>
        <w:t>, and bio-optical sensors</w:t>
      </w:r>
      <w:r w:rsidR="00091299">
        <w:rPr>
          <w:color w:val="000000"/>
        </w:rPr>
        <w:t xml:space="preserve"> for</w:t>
      </w:r>
      <w:r w:rsidR="00091299" w:rsidRPr="00AC1AD8">
        <w:rPr>
          <w:color w:val="000000"/>
        </w:rPr>
        <w:t xml:space="preserve"> </w:t>
      </w:r>
      <w:r w:rsidR="00E37B77">
        <w:rPr>
          <w:color w:val="000000"/>
        </w:rPr>
        <w:t xml:space="preserve">fluorescence-derived </w:t>
      </w:r>
      <w:r w:rsidR="00CCB3F8" w:rsidRPr="00AC1AD8">
        <w:rPr>
          <w:color w:val="000000"/>
        </w:rPr>
        <w:t xml:space="preserve">chlorophyll </w:t>
      </w:r>
      <w:r w:rsidR="00CCB3F8" w:rsidRPr="399CD0D1">
        <w:rPr>
          <w:i/>
          <w:iCs/>
          <w:color w:val="000000"/>
        </w:rPr>
        <w:t>a</w:t>
      </w:r>
      <w:r w:rsidR="00CCB3F8" w:rsidRPr="00AC1AD8">
        <w:rPr>
          <w:color w:val="000000"/>
        </w:rPr>
        <w:t xml:space="preserve"> (</w:t>
      </w:r>
      <w:proofErr w:type="spellStart"/>
      <w:r w:rsidR="00CCB3F8" w:rsidRPr="00AC1AD8">
        <w:rPr>
          <w:color w:val="000000"/>
        </w:rPr>
        <w:t>chl</w:t>
      </w:r>
      <w:proofErr w:type="spellEnd"/>
      <w:r w:rsidR="000A6041">
        <w:rPr>
          <w:color w:val="000000"/>
        </w:rPr>
        <w:t>, used to identify DCMs</w:t>
      </w:r>
      <w:r w:rsidR="00CCB3F8" w:rsidRPr="00AC1AD8">
        <w:rPr>
          <w:color w:val="000000"/>
        </w:rPr>
        <w:t xml:space="preserve">) and </w:t>
      </w:r>
      <w:r w:rsidRPr="00AC1AD8">
        <w:rPr>
          <w:color w:val="000000"/>
        </w:rPr>
        <w:t>particulate backscatter at 700nm (</w:t>
      </w:r>
      <w:proofErr w:type="spellStart"/>
      <w:r w:rsidRPr="00AC1AD8">
        <w:rPr>
          <w:color w:val="000000"/>
        </w:rPr>
        <w:t>b</w:t>
      </w:r>
      <w:r w:rsidRPr="00AC1AD8">
        <w:rPr>
          <w:color w:val="000000"/>
          <w:vertAlign w:val="subscript"/>
        </w:rPr>
        <w:t>bp</w:t>
      </w:r>
      <w:proofErr w:type="spellEnd"/>
      <w:r w:rsidR="000A6041">
        <w:rPr>
          <w:color w:val="000000"/>
        </w:rPr>
        <w:t>, used to identify DBMs</w:t>
      </w:r>
      <w:r w:rsidRPr="00AC1AD8">
        <w:rPr>
          <w:color w:val="000000"/>
        </w:rPr>
        <w:t>)</w:t>
      </w:r>
      <w:r w:rsidR="00CCB3F8" w:rsidRPr="00AC1AD8">
        <w:rPr>
          <w:color w:val="000000"/>
        </w:rPr>
        <w:t xml:space="preserve">. </w:t>
      </w:r>
      <w:r w:rsidR="0E68EF73" w:rsidRPr="00AC1AD8">
        <w:rPr>
          <w:color w:val="000000"/>
        </w:rPr>
        <w:t xml:space="preserve">SOCCOM floats have a sampling </w:t>
      </w:r>
      <w:r w:rsidR="582139E9" w:rsidRPr="00AC1AD8">
        <w:rPr>
          <w:color w:val="000000"/>
        </w:rPr>
        <w:t xml:space="preserve">period </w:t>
      </w:r>
      <w:r w:rsidR="0E68EF73" w:rsidRPr="00AC1AD8">
        <w:rPr>
          <w:color w:val="000000"/>
        </w:rPr>
        <w:t xml:space="preserve">of 10 days. The vertical resolution of profiles </w:t>
      </w:r>
      <w:r w:rsidR="74666890" w:rsidRPr="00AC1AD8">
        <w:rPr>
          <w:color w:val="000000"/>
        </w:rPr>
        <w:t>decreases</w:t>
      </w:r>
      <w:r w:rsidR="0E68EF73" w:rsidRPr="00AC1AD8">
        <w:rPr>
          <w:color w:val="000000"/>
        </w:rPr>
        <w:t xml:space="preserve"> with depth, from 5m in the upper 100m, to 10m below 100m, to 20m below 360</w:t>
      </w:r>
      <w:r w:rsidR="2711DA08" w:rsidRPr="00AC1AD8">
        <w:rPr>
          <w:color w:val="000000"/>
        </w:rPr>
        <w:t>m</w:t>
      </w:r>
      <w:r w:rsidR="0E68EF73" w:rsidRPr="00AC1AD8">
        <w:rPr>
          <w:color w:val="000000"/>
        </w:rPr>
        <w:t xml:space="preserve"> and 50m between 400</w:t>
      </w:r>
      <w:r w:rsidR="6030F767" w:rsidRPr="00AC1AD8">
        <w:rPr>
          <w:color w:val="000000"/>
        </w:rPr>
        <w:t>m</w:t>
      </w:r>
      <w:r w:rsidR="0E68EF73" w:rsidRPr="00AC1AD8">
        <w:rPr>
          <w:color w:val="000000"/>
        </w:rPr>
        <w:t xml:space="preserve"> to 2000m. </w:t>
      </w:r>
      <w:r w:rsidR="0E68EF73" w:rsidRPr="00AC1AD8">
        <w:rPr>
          <w:rStyle w:val="normaltextrun"/>
          <w:color w:val="000000"/>
          <w:shd w:val="clear" w:color="auto" w:fill="FFFFFF"/>
          <w:lang w:val="en-US"/>
        </w:rPr>
        <w:t>Vertical profiles were extrapolated to the surface, and</w:t>
      </w:r>
      <w:r w:rsidR="74A13D03" w:rsidRPr="00AC1AD8">
        <w:rPr>
          <w:rStyle w:val="normaltextrun"/>
          <w:color w:val="000000"/>
          <w:shd w:val="clear" w:color="auto" w:fill="FFFFFF"/>
          <w:lang w:val="en-US"/>
        </w:rPr>
        <w:t xml:space="preserve"> </w:t>
      </w:r>
      <w:proofErr w:type="spellStart"/>
      <w:r w:rsidR="74A13D03" w:rsidRPr="00AC1AD8">
        <w:rPr>
          <w:rStyle w:val="normaltextrun"/>
          <w:color w:val="000000"/>
          <w:shd w:val="clear" w:color="auto" w:fill="FFFFFF"/>
          <w:lang w:val="en-US"/>
        </w:rPr>
        <w:t>chl</w:t>
      </w:r>
      <w:proofErr w:type="spellEnd"/>
      <w:r w:rsidR="74A13D03" w:rsidRPr="00AC1AD8">
        <w:rPr>
          <w:rStyle w:val="normaltextrun"/>
          <w:color w:val="000000"/>
          <w:shd w:val="clear" w:color="auto" w:fill="FFFFFF"/>
          <w:lang w:val="en-US"/>
        </w:rPr>
        <w:t xml:space="preserve"> and </w:t>
      </w:r>
      <w:proofErr w:type="spellStart"/>
      <w:r w:rsidR="74A13D03" w:rsidRPr="00AC1AD8">
        <w:rPr>
          <w:rStyle w:val="normaltextrun"/>
          <w:color w:val="000000"/>
          <w:shd w:val="clear" w:color="auto" w:fill="FFFFFF"/>
          <w:lang w:val="en-US"/>
        </w:rPr>
        <w:t>b</w:t>
      </w:r>
      <w:r w:rsidR="74A13D03" w:rsidRPr="00AC1AD8">
        <w:rPr>
          <w:rStyle w:val="normaltextrun"/>
          <w:color w:val="000000"/>
          <w:shd w:val="clear" w:color="auto" w:fill="FFFFFF"/>
          <w:vertAlign w:val="subscript"/>
          <w:lang w:val="en-US"/>
        </w:rPr>
        <w:t>bp</w:t>
      </w:r>
      <w:proofErr w:type="spellEnd"/>
      <w:r w:rsidR="74A13D03" w:rsidRPr="00AC1AD8">
        <w:rPr>
          <w:rStyle w:val="normaltextrun"/>
          <w:color w:val="000000"/>
          <w:shd w:val="clear" w:color="auto" w:fill="FFFFFF"/>
          <w:lang w:val="en-US"/>
        </w:rPr>
        <w:t xml:space="preserve"> </w:t>
      </w:r>
      <w:r w:rsidR="0E68EF73" w:rsidRPr="00AC1AD8">
        <w:rPr>
          <w:rStyle w:val="normaltextrun"/>
          <w:color w:val="000000"/>
          <w:shd w:val="clear" w:color="auto" w:fill="FFFFFF"/>
          <w:lang w:val="en-US"/>
        </w:rPr>
        <w:t xml:space="preserve">interpolated </w:t>
      </w:r>
      <w:r w:rsidR="00F56295">
        <w:rPr>
          <w:rStyle w:val="normaltextrun"/>
          <w:color w:val="000000"/>
          <w:shd w:val="clear" w:color="auto" w:fill="FFFFFF"/>
          <w:lang w:val="en-US"/>
        </w:rPr>
        <w:t xml:space="preserve">from 0 </w:t>
      </w:r>
      <w:r w:rsidR="74A13D03" w:rsidRPr="00AC1AD8">
        <w:rPr>
          <w:rStyle w:val="normaltextrun"/>
          <w:color w:val="000000"/>
          <w:shd w:val="clear" w:color="auto" w:fill="FFFFFF"/>
          <w:lang w:val="en-US"/>
        </w:rPr>
        <w:t>to 300m with</w:t>
      </w:r>
      <w:r w:rsidR="0E68EF73" w:rsidRPr="00AC1AD8">
        <w:rPr>
          <w:rStyle w:val="normaltextrun"/>
          <w:color w:val="000000"/>
          <w:shd w:val="clear" w:color="auto" w:fill="FFFFFF"/>
          <w:lang w:val="en-US"/>
        </w:rPr>
        <w:t xml:space="preserve"> </w:t>
      </w:r>
      <w:r w:rsidR="74A13D03" w:rsidRPr="00AC1AD8">
        <w:rPr>
          <w:rStyle w:val="normaltextrun"/>
          <w:color w:val="000000"/>
          <w:shd w:val="clear" w:color="auto" w:fill="FFFFFF"/>
          <w:lang w:val="en-US"/>
        </w:rPr>
        <w:t>1</w:t>
      </w:r>
      <w:r w:rsidR="0E68EF73" w:rsidRPr="00AC1AD8">
        <w:rPr>
          <w:rStyle w:val="normaltextrun"/>
          <w:color w:val="000000"/>
          <w:shd w:val="clear" w:color="auto" w:fill="FFFFFF"/>
          <w:lang w:val="en-US"/>
        </w:rPr>
        <w:t xml:space="preserve">m resolution. </w:t>
      </w:r>
    </w:p>
    <w:p w14:paraId="330B699C" w14:textId="77777777" w:rsidR="00F14C61" w:rsidRPr="00AC1AD8" w:rsidRDefault="00F14C61" w:rsidP="0053305D">
      <w:pPr>
        <w:snapToGrid w:val="0"/>
        <w:spacing w:line="360" w:lineRule="auto"/>
        <w:jc w:val="both"/>
        <w:rPr>
          <w:rStyle w:val="normaltextrun"/>
          <w:color w:val="000000"/>
          <w:bdr w:val="none" w:sz="0" w:space="0" w:color="auto" w:frame="1"/>
          <w:lang w:val="en-US"/>
        </w:rPr>
      </w:pPr>
    </w:p>
    <w:p w14:paraId="3D42072C" w14:textId="1EA031F9" w:rsidR="00D32944" w:rsidRPr="00AC1AD8" w:rsidRDefault="009310D6" w:rsidP="0053305D">
      <w:pPr>
        <w:snapToGrid w:val="0"/>
        <w:spacing w:line="360" w:lineRule="auto"/>
        <w:jc w:val="both"/>
        <w:rPr>
          <w:rStyle w:val="normaltextrun"/>
          <w:color w:val="000000"/>
          <w:bdr w:val="none" w:sz="0" w:space="0" w:color="auto" w:frame="1"/>
          <w:lang w:val="en-US"/>
        </w:rPr>
      </w:pPr>
      <w:r>
        <w:rPr>
          <w:noProof/>
          <w:color w:val="000000"/>
          <w:bdr w:val="none" w:sz="0" w:space="0" w:color="auto" w:frame="1"/>
          <w:lang w:val="en-US"/>
        </w:rPr>
        <w:drawing>
          <wp:inline distT="0" distB="0" distL="0" distR="0" wp14:anchorId="6C61862D" wp14:editId="298E611F">
            <wp:extent cx="6076237" cy="2974109"/>
            <wp:effectExtent l="0" t="0" r="0" b="0"/>
            <wp:docPr id="13569002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900273" name="Picture 1356900273"/>
                    <pic:cNvPicPr/>
                  </pic:nvPicPr>
                  <pic:blipFill rotWithShape="1">
                    <a:blip r:embed="rId11">
                      <a:extLst>
                        <a:ext uri="{28A0092B-C50C-407E-A947-70E740481C1C}">
                          <a14:useLocalDpi xmlns:a14="http://schemas.microsoft.com/office/drawing/2010/main" val="0"/>
                        </a:ext>
                      </a:extLst>
                    </a:blip>
                    <a:srcRect l="4835" t="15967" r="10883" b="25654"/>
                    <a:stretch/>
                  </pic:blipFill>
                  <pic:spPr bwMode="auto">
                    <a:xfrm>
                      <a:off x="0" y="0"/>
                      <a:ext cx="6086934" cy="2979345"/>
                    </a:xfrm>
                    <a:prstGeom prst="rect">
                      <a:avLst/>
                    </a:prstGeom>
                    <a:ln>
                      <a:noFill/>
                    </a:ln>
                    <a:extLst>
                      <a:ext uri="{53640926-AAD7-44D8-BBD7-CCE9431645EC}">
                        <a14:shadowObscured xmlns:a14="http://schemas.microsoft.com/office/drawing/2010/main"/>
                      </a:ext>
                    </a:extLst>
                  </pic:spPr>
                </pic:pic>
              </a:graphicData>
            </a:graphic>
          </wp:inline>
        </w:drawing>
      </w:r>
    </w:p>
    <w:p w14:paraId="63B582FD" w14:textId="62389746" w:rsidR="00E909A5" w:rsidRPr="00AC1AD8" w:rsidRDefault="3A9D9DD4" w:rsidP="0053305D">
      <w:pPr>
        <w:snapToGrid w:val="0"/>
        <w:spacing w:line="360" w:lineRule="auto"/>
        <w:jc w:val="both"/>
        <w:rPr>
          <w:rStyle w:val="normaltextrun"/>
          <w:color w:val="000000" w:themeColor="text1"/>
          <w:lang w:val="en-US"/>
        </w:rPr>
      </w:pPr>
      <w:r w:rsidRPr="00AC1AD8">
        <w:rPr>
          <w:rStyle w:val="normaltextrun"/>
          <w:color w:val="000000"/>
          <w:bdr w:val="none" w:sz="0" w:space="0" w:color="auto" w:frame="1"/>
          <w:lang w:val="en-US"/>
        </w:rPr>
        <w:t xml:space="preserve">Figure 1. Location of </w:t>
      </w:r>
      <w:r w:rsidR="15A09192" w:rsidRPr="00AC1AD8">
        <w:rPr>
          <w:rStyle w:val="normaltextrun"/>
          <w:color w:val="000000"/>
          <w:bdr w:val="none" w:sz="0" w:space="0" w:color="auto" w:frame="1"/>
          <w:lang w:val="en-US"/>
        </w:rPr>
        <w:t xml:space="preserve">(a) </w:t>
      </w:r>
      <w:r w:rsidR="0B8B9BD1" w:rsidRPr="399CD0D1">
        <w:rPr>
          <w:rStyle w:val="normaltextrun"/>
          <w:color w:val="000000" w:themeColor="text1"/>
          <w:lang w:val="en-US"/>
        </w:rPr>
        <w:t xml:space="preserve">all </w:t>
      </w:r>
      <w:r w:rsidR="3AA26488" w:rsidRPr="00AC1AD8">
        <w:t>12,</w:t>
      </w:r>
      <w:r w:rsidR="6B3143E2" w:rsidRPr="00AC1AD8">
        <w:t>700</w:t>
      </w:r>
      <w:r w:rsidR="3AA26488" w:rsidRPr="00AC1AD8">
        <w:t xml:space="preserve"> </w:t>
      </w:r>
      <w:r w:rsidRPr="00AC1AD8">
        <w:rPr>
          <w:rStyle w:val="normaltextrun"/>
          <w:color w:val="000000"/>
          <w:bdr w:val="none" w:sz="0" w:space="0" w:color="auto" w:frame="1"/>
          <w:lang w:val="en-US"/>
        </w:rPr>
        <w:t xml:space="preserve">profiles </w:t>
      </w:r>
      <w:r w:rsidR="1FBDE505" w:rsidRPr="00AC1AD8">
        <w:rPr>
          <w:rStyle w:val="normaltextrun"/>
          <w:color w:val="000000"/>
          <w:bdr w:val="none" w:sz="0" w:space="0" w:color="auto" w:frame="1"/>
          <w:lang w:val="en-US"/>
        </w:rPr>
        <w:t xml:space="preserve">used for the calculation of </w:t>
      </w:r>
      <w:r w:rsidR="3AA26488" w:rsidRPr="00AC1AD8">
        <w:rPr>
          <w:rStyle w:val="normaltextrun"/>
          <w:color w:val="000000"/>
          <w:bdr w:val="none" w:sz="0" w:space="0" w:color="auto" w:frame="1"/>
          <w:lang w:val="en-US"/>
        </w:rPr>
        <w:t>NPP</w:t>
      </w:r>
      <w:r w:rsidRPr="00AC1AD8">
        <w:rPr>
          <w:rStyle w:val="normaltextrun"/>
          <w:color w:val="000000"/>
          <w:bdr w:val="none" w:sz="0" w:space="0" w:color="auto" w:frame="1"/>
          <w:lang w:val="en-US"/>
        </w:rPr>
        <w:t xml:space="preserve">, </w:t>
      </w:r>
      <w:r w:rsidR="213C3251" w:rsidRPr="00AC1AD8">
        <w:rPr>
          <w:rStyle w:val="normaltextrun"/>
          <w:color w:val="000000"/>
          <w:bdr w:val="none" w:sz="0" w:space="0" w:color="auto" w:frame="1"/>
          <w:lang w:val="en-US"/>
        </w:rPr>
        <w:t xml:space="preserve">(b) </w:t>
      </w:r>
      <w:r w:rsidR="3AA26488" w:rsidRPr="00AC1AD8">
        <w:t>2,</w:t>
      </w:r>
      <w:r w:rsidR="009103D2">
        <w:t>119</w:t>
      </w:r>
      <w:r w:rsidR="2ABFC107">
        <w:t xml:space="preserve"> </w:t>
      </w:r>
      <w:r w:rsidR="3AA26488" w:rsidRPr="00AC1AD8">
        <w:rPr>
          <w:rStyle w:val="normaltextrun"/>
          <w:color w:val="000000"/>
          <w:bdr w:val="none" w:sz="0" w:space="0" w:color="auto" w:frame="1"/>
          <w:lang w:val="en-US"/>
        </w:rPr>
        <w:t xml:space="preserve">profiles </w:t>
      </w:r>
      <w:r w:rsidR="00421C0A">
        <w:rPr>
          <w:rStyle w:val="normaltextrun"/>
          <w:color w:val="000000"/>
          <w:bdr w:val="none" w:sz="0" w:space="0" w:color="auto" w:frame="1"/>
          <w:lang w:val="en-US"/>
        </w:rPr>
        <w:t>with</w:t>
      </w:r>
      <w:r w:rsidR="00421C0A" w:rsidRPr="00AC1AD8">
        <w:rPr>
          <w:rStyle w:val="normaltextrun"/>
          <w:color w:val="000000"/>
          <w:bdr w:val="none" w:sz="0" w:space="0" w:color="auto" w:frame="1"/>
          <w:lang w:val="en-US"/>
        </w:rPr>
        <w:t xml:space="preserve"> </w:t>
      </w:r>
      <w:r w:rsidR="097B840C" w:rsidRPr="00AC1AD8">
        <w:rPr>
          <w:rStyle w:val="normaltextrun"/>
          <w:color w:val="000000"/>
          <w:bdr w:val="none" w:sz="0" w:space="0" w:color="auto" w:frame="1"/>
          <w:lang w:val="en-US"/>
        </w:rPr>
        <w:t xml:space="preserve">a </w:t>
      </w:r>
      <w:r w:rsidR="3AA26488" w:rsidRPr="00AC1AD8">
        <w:rPr>
          <w:rStyle w:val="normaltextrun"/>
          <w:color w:val="000000"/>
          <w:bdr w:val="none" w:sz="0" w:space="0" w:color="auto" w:frame="1"/>
          <w:lang w:val="en-US"/>
        </w:rPr>
        <w:t>DCM</w:t>
      </w:r>
      <w:r w:rsidR="61E28D5A" w:rsidRPr="00AC1AD8">
        <w:rPr>
          <w:rStyle w:val="normaltextrun"/>
          <w:color w:val="000000"/>
          <w:bdr w:val="none" w:sz="0" w:space="0" w:color="auto" w:frame="1"/>
          <w:lang w:val="en-US"/>
        </w:rPr>
        <w:t xml:space="preserve"> </w:t>
      </w:r>
      <w:r w:rsidR="2ABFC107" w:rsidRPr="399CD0D1">
        <w:rPr>
          <w:rStyle w:val="normaltextrun"/>
          <w:color w:val="000000" w:themeColor="text1"/>
          <w:lang w:val="en-US"/>
        </w:rPr>
        <w:t>below the MLD</w:t>
      </w:r>
      <w:r w:rsidR="001D0354">
        <w:rPr>
          <w:rStyle w:val="normaltextrun"/>
          <w:color w:val="000000"/>
          <w:bdr w:val="none" w:sz="0" w:space="0" w:color="auto" w:frame="1"/>
          <w:lang w:val="en-US"/>
        </w:rPr>
        <w:t xml:space="preserve">, and </w:t>
      </w:r>
      <w:r w:rsidR="001D0354" w:rsidRPr="00AC1AD8">
        <w:rPr>
          <w:rStyle w:val="normaltextrun"/>
          <w:color w:val="000000"/>
          <w:bdr w:val="none" w:sz="0" w:space="0" w:color="auto" w:frame="1"/>
          <w:lang w:val="en-US"/>
        </w:rPr>
        <w:t>(</w:t>
      </w:r>
      <w:r w:rsidR="001D0354">
        <w:rPr>
          <w:rStyle w:val="normaltextrun"/>
          <w:color w:val="000000"/>
          <w:bdr w:val="none" w:sz="0" w:space="0" w:color="auto" w:frame="1"/>
          <w:lang w:val="en-US"/>
        </w:rPr>
        <w:t>c</w:t>
      </w:r>
      <w:r w:rsidR="001D0354" w:rsidRPr="00AC1AD8">
        <w:rPr>
          <w:rStyle w:val="normaltextrun"/>
          <w:color w:val="000000"/>
          <w:bdr w:val="none" w:sz="0" w:space="0" w:color="auto" w:frame="1"/>
          <w:lang w:val="en-US"/>
        </w:rPr>
        <w:t xml:space="preserve">) </w:t>
      </w:r>
      <w:r w:rsidR="001D0354" w:rsidRPr="009103D2">
        <w:rPr>
          <w:rStyle w:val="normaltextrun"/>
          <w:color w:val="000000" w:themeColor="text1"/>
          <w:lang w:val="en-US"/>
        </w:rPr>
        <w:t xml:space="preserve">1,363 </w:t>
      </w:r>
      <w:r w:rsidR="001D0354" w:rsidRPr="00AC1AD8">
        <w:rPr>
          <w:rStyle w:val="normaltextrun"/>
          <w:color w:val="000000"/>
          <w:bdr w:val="none" w:sz="0" w:space="0" w:color="auto" w:frame="1"/>
          <w:lang w:val="en-US"/>
        </w:rPr>
        <w:t xml:space="preserve">profiles where a </w:t>
      </w:r>
      <w:r w:rsidR="001D0354">
        <w:rPr>
          <w:rStyle w:val="normaltextrun"/>
          <w:color w:val="000000"/>
          <w:bdr w:val="none" w:sz="0" w:space="0" w:color="auto" w:frame="1"/>
          <w:lang w:val="en-US"/>
        </w:rPr>
        <w:t>DCM was also a DB</w:t>
      </w:r>
      <w:r w:rsidR="001D0354" w:rsidRPr="00AC1AD8">
        <w:rPr>
          <w:rStyle w:val="normaltextrun"/>
          <w:color w:val="000000"/>
          <w:bdr w:val="none" w:sz="0" w:space="0" w:color="auto" w:frame="1"/>
          <w:lang w:val="en-US"/>
        </w:rPr>
        <w:t>M</w:t>
      </w:r>
      <w:r w:rsidRPr="00AC1AD8">
        <w:rPr>
          <w:rStyle w:val="normaltextrun"/>
          <w:color w:val="000000"/>
          <w:bdr w:val="none" w:sz="0" w:space="0" w:color="auto" w:frame="1"/>
          <w:lang w:val="en-US"/>
        </w:rPr>
        <w:t>.</w:t>
      </w:r>
      <w:r w:rsidR="2ABFC107" w:rsidRPr="399CD0D1">
        <w:rPr>
          <w:rStyle w:val="normaltextrun"/>
          <w:color w:val="000000" w:themeColor="text1"/>
          <w:lang w:val="en-US"/>
        </w:rPr>
        <w:t xml:space="preserve"> </w:t>
      </w:r>
      <w:r w:rsidR="009878B4">
        <w:rPr>
          <w:rStyle w:val="normaltextrun"/>
          <w:color w:val="000000"/>
          <w:bdr w:val="none" w:sz="0" w:space="0" w:color="auto" w:frame="1"/>
          <w:lang w:val="en-US"/>
        </w:rPr>
        <w:t>C</w:t>
      </w:r>
      <w:r w:rsidR="482A3551" w:rsidRPr="00AC1AD8">
        <w:rPr>
          <w:rStyle w:val="normaltextrun"/>
          <w:color w:val="000000"/>
          <w:bdr w:val="none" w:sz="0" w:space="0" w:color="auto" w:frame="1"/>
          <w:lang w:val="en-US"/>
        </w:rPr>
        <w:t>olor</w:t>
      </w:r>
      <w:r w:rsidR="009878B4">
        <w:rPr>
          <w:rStyle w:val="normaltextrun"/>
          <w:color w:val="000000"/>
          <w:bdr w:val="none" w:sz="0" w:space="0" w:color="auto" w:frame="1"/>
          <w:lang w:val="en-US"/>
        </w:rPr>
        <w:t>s</w:t>
      </w:r>
      <w:r w:rsidR="482A3551" w:rsidRPr="00AC1AD8">
        <w:rPr>
          <w:rStyle w:val="normaltextrun"/>
          <w:color w:val="000000"/>
          <w:bdr w:val="none" w:sz="0" w:space="0" w:color="auto" w:frame="1"/>
          <w:lang w:val="en-US"/>
        </w:rPr>
        <w:t xml:space="preserve"> represent the </w:t>
      </w:r>
      <w:r w:rsidR="536C4044" w:rsidRPr="00AC1AD8">
        <w:rPr>
          <w:rStyle w:val="normaltextrun"/>
          <w:color w:val="000000"/>
          <w:bdr w:val="none" w:sz="0" w:space="0" w:color="auto" w:frame="1"/>
          <w:lang w:val="en-US"/>
        </w:rPr>
        <w:t>f</w:t>
      </w:r>
      <w:r w:rsidR="3AA26488" w:rsidRPr="00AC1AD8">
        <w:rPr>
          <w:rStyle w:val="normaltextrun"/>
          <w:color w:val="000000"/>
          <w:bdr w:val="none" w:sz="0" w:space="0" w:color="auto" w:frame="1"/>
          <w:lang w:val="en-US"/>
        </w:rPr>
        <w:t>rontal zone</w:t>
      </w:r>
      <w:r w:rsidR="482A3551" w:rsidRPr="00AC1AD8">
        <w:rPr>
          <w:rStyle w:val="normaltextrun"/>
          <w:color w:val="000000"/>
          <w:bdr w:val="none" w:sz="0" w:space="0" w:color="auto" w:frame="1"/>
          <w:lang w:val="en-US"/>
        </w:rPr>
        <w:t xml:space="preserve"> in which each profile occur</w:t>
      </w:r>
      <w:r w:rsidR="00C01F42">
        <w:rPr>
          <w:rStyle w:val="normaltextrun"/>
          <w:color w:val="000000"/>
          <w:bdr w:val="none" w:sz="0" w:space="0" w:color="auto" w:frame="1"/>
          <w:lang w:val="en-US"/>
        </w:rPr>
        <w:t>red</w:t>
      </w:r>
      <w:r w:rsidR="009878B4">
        <w:rPr>
          <w:rStyle w:val="normaltextrun"/>
          <w:color w:val="000000"/>
          <w:bdr w:val="none" w:sz="0" w:space="0" w:color="auto" w:frame="1"/>
          <w:lang w:val="en-US"/>
        </w:rPr>
        <w:t xml:space="preserve"> as follows:</w:t>
      </w:r>
      <w:r w:rsidR="482A3551" w:rsidRPr="00AC1AD8">
        <w:rPr>
          <w:rStyle w:val="normaltextrun"/>
          <w:color w:val="000000"/>
          <w:bdr w:val="none" w:sz="0" w:space="0" w:color="auto" w:frame="1"/>
          <w:lang w:val="en-US"/>
        </w:rPr>
        <w:t xml:space="preserve"> </w:t>
      </w:r>
      <w:r w:rsidR="009878B4">
        <w:rPr>
          <w:rStyle w:val="normaltextrun"/>
          <w:color w:val="000000" w:themeColor="text1"/>
          <w:lang w:val="en-US"/>
        </w:rPr>
        <w:t>sea ice zone (</w:t>
      </w:r>
      <w:r w:rsidR="5666CD1C" w:rsidRPr="00AC1AD8">
        <w:rPr>
          <w:rStyle w:val="normaltextrun"/>
          <w:color w:val="000000" w:themeColor="text1"/>
          <w:lang w:val="en-US"/>
        </w:rPr>
        <w:t>SIZ</w:t>
      </w:r>
      <w:r w:rsidR="009878B4">
        <w:rPr>
          <w:rStyle w:val="normaltextrun"/>
          <w:color w:val="000000" w:themeColor="text1"/>
          <w:lang w:val="en-US"/>
        </w:rPr>
        <w:t>)</w:t>
      </w:r>
      <w:r w:rsidR="5666CD1C" w:rsidRPr="00AC1AD8">
        <w:rPr>
          <w:rStyle w:val="normaltextrun"/>
          <w:color w:val="000000" w:themeColor="text1"/>
          <w:lang w:val="en-US"/>
        </w:rPr>
        <w:t xml:space="preserve"> south of the maximum sea-ice extent</w:t>
      </w:r>
      <w:r w:rsidR="009878B4">
        <w:rPr>
          <w:rStyle w:val="normaltextrun"/>
          <w:color w:val="000000" w:themeColor="text1"/>
          <w:lang w:val="en-US"/>
        </w:rPr>
        <w:t>;</w:t>
      </w:r>
      <w:r w:rsidR="00BB33F8">
        <w:rPr>
          <w:rStyle w:val="normaltextrun"/>
          <w:color w:val="000000" w:themeColor="text1"/>
          <w:lang w:val="en-US"/>
        </w:rPr>
        <w:t xml:space="preserve"> </w:t>
      </w:r>
      <w:r w:rsidR="009878B4">
        <w:rPr>
          <w:rStyle w:val="normaltextrun"/>
          <w:color w:val="000000" w:themeColor="text1"/>
          <w:lang w:val="en-US"/>
        </w:rPr>
        <w:t>polar Antarctic zone (</w:t>
      </w:r>
      <w:r w:rsidR="5666CD1C" w:rsidRPr="00AC1AD8">
        <w:rPr>
          <w:rStyle w:val="normaltextrun"/>
          <w:color w:val="000000" w:themeColor="text1"/>
          <w:lang w:val="en-US"/>
        </w:rPr>
        <w:t>PAZ</w:t>
      </w:r>
      <w:r w:rsidR="009878B4">
        <w:rPr>
          <w:rStyle w:val="normaltextrun"/>
          <w:color w:val="000000" w:themeColor="text1"/>
          <w:lang w:val="en-US"/>
        </w:rPr>
        <w:t>)</w:t>
      </w:r>
      <w:r w:rsidR="5666CD1C" w:rsidRPr="00AC1AD8">
        <w:rPr>
          <w:rStyle w:val="normaltextrun"/>
          <w:color w:val="000000" w:themeColor="text1"/>
          <w:lang w:val="en-US"/>
        </w:rPr>
        <w:t xml:space="preserve"> between the </w:t>
      </w:r>
      <w:r w:rsidR="002D5C81">
        <w:rPr>
          <w:rStyle w:val="normaltextrun"/>
          <w:color w:val="000000" w:themeColor="text1"/>
          <w:lang w:val="en-US"/>
        </w:rPr>
        <w:t>SIZ</w:t>
      </w:r>
      <w:r w:rsidR="002D5C81" w:rsidRPr="00AC1AD8">
        <w:rPr>
          <w:rStyle w:val="normaltextrun"/>
          <w:color w:val="000000" w:themeColor="text1"/>
          <w:lang w:val="en-US"/>
        </w:rPr>
        <w:t xml:space="preserve"> </w:t>
      </w:r>
      <w:r w:rsidR="5666CD1C" w:rsidRPr="00AC1AD8">
        <w:rPr>
          <w:rStyle w:val="normaltextrun"/>
          <w:color w:val="000000" w:themeColor="text1"/>
          <w:lang w:val="en-US"/>
        </w:rPr>
        <w:t xml:space="preserve">and </w:t>
      </w:r>
      <w:r w:rsidR="00C8755A">
        <w:rPr>
          <w:rStyle w:val="normaltextrun"/>
          <w:color w:val="000000" w:themeColor="text1"/>
          <w:lang w:val="en-US"/>
        </w:rPr>
        <w:t>polar</w:t>
      </w:r>
      <w:r w:rsidR="005868BD">
        <w:rPr>
          <w:rStyle w:val="normaltextrun"/>
          <w:color w:val="000000" w:themeColor="text1"/>
          <w:lang w:val="en-US"/>
        </w:rPr>
        <w:t xml:space="preserve"> A</w:t>
      </w:r>
      <w:r w:rsidR="5666CD1C" w:rsidRPr="00AC1AD8">
        <w:rPr>
          <w:rStyle w:val="normaltextrun"/>
          <w:color w:val="000000" w:themeColor="text1"/>
          <w:lang w:val="en-US"/>
        </w:rPr>
        <w:t>ntarctic front</w:t>
      </w:r>
      <w:r w:rsidR="009878B4">
        <w:rPr>
          <w:rStyle w:val="normaltextrun"/>
          <w:color w:val="000000" w:themeColor="text1"/>
          <w:lang w:val="en-US"/>
        </w:rPr>
        <w:t>; Subantarctic zone (</w:t>
      </w:r>
      <w:r w:rsidR="50315749" w:rsidRPr="00AC1AD8">
        <w:rPr>
          <w:rStyle w:val="normaltextrun"/>
          <w:color w:val="000000" w:themeColor="text1"/>
          <w:lang w:val="en-US"/>
        </w:rPr>
        <w:t>SAZ</w:t>
      </w:r>
      <w:r w:rsidR="009878B4">
        <w:rPr>
          <w:rStyle w:val="normaltextrun"/>
          <w:color w:val="000000" w:themeColor="text1"/>
          <w:lang w:val="en-US"/>
        </w:rPr>
        <w:t>)</w:t>
      </w:r>
      <w:r w:rsidR="50315749" w:rsidRPr="00AC1AD8">
        <w:rPr>
          <w:rStyle w:val="normaltextrun"/>
          <w:color w:val="000000" w:themeColor="text1"/>
          <w:lang w:val="en-US"/>
        </w:rPr>
        <w:t xml:space="preserve"> between the sub-Antarctic and sub-tropical front</w:t>
      </w:r>
      <w:r w:rsidR="009878B4">
        <w:rPr>
          <w:rStyle w:val="normaltextrun"/>
          <w:color w:val="000000" w:themeColor="text1"/>
          <w:lang w:val="en-US"/>
        </w:rPr>
        <w:t>; subtropical zone</w:t>
      </w:r>
      <w:r w:rsidR="001875F5">
        <w:rPr>
          <w:rStyle w:val="normaltextrun"/>
          <w:color w:val="000000" w:themeColor="text1"/>
          <w:lang w:val="en-US"/>
        </w:rPr>
        <w:t xml:space="preserve"> </w:t>
      </w:r>
      <w:r w:rsidR="009878B4">
        <w:rPr>
          <w:rStyle w:val="normaltextrun"/>
          <w:color w:val="000000" w:themeColor="text1"/>
          <w:lang w:val="en-US"/>
        </w:rPr>
        <w:t>(</w:t>
      </w:r>
      <w:r w:rsidR="50315749" w:rsidRPr="00AC1AD8">
        <w:rPr>
          <w:rStyle w:val="normaltextrun"/>
          <w:color w:val="000000" w:themeColor="text1"/>
          <w:lang w:val="en-US"/>
        </w:rPr>
        <w:t>STZ</w:t>
      </w:r>
      <w:r w:rsidR="009878B4">
        <w:rPr>
          <w:rStyle w:val="normaltextrun"/>
          <w:color w:val="000000" w:themeColor="text1"/>
          <w:lang w:val="en-US"/>
        </w:rPr>
        <w:t>)</w:t>
      </w:r>
      <w:r w:rsidR="50315749" w:rsidRPr="00AC1AD8">
        <w:rPr>
          <w:rStyle w:val="normaltextrun"/>
          <w:color w:val="000000" w:themeColor="text1"/>
          <w:lang w:val="en-US"/>
        </w:rPr>
        <w:t xml:space="preserve"> north of the sub-tropical front</w:t>
      </w:r>
      <w:r w:rsidR="08927E06" w:rsidRPr="00AC1AD8">
        <w:rPr>
          <w:rStyle w:val="normaltextrun"/>
          <w:color w:val="000000" w:themeColor="text1"/>
          <w:lang w:val="en-US"/>
        </w:rPr>
        <w:t xml:space="preserve"> </w:t>
      </w:r>
      <w:r w:rsidR="7C641EE7" w:rsidRPr="00AC1AD8">
        <w:rPr>
          <w:rStyle w:val="normaltextrun"/>
          <w:color w:val="000000" w:themeColor="text1"/>
          <w:lang w:val="en-US"/>
        </w:rPr>
        <w:t>and</w:t>
      </w:r>
      <w:r w:rsidR="08927E06" w:rsidRPr="00AC1AD8">
        <w:rPr>
          <w:rStyle w:val="normaltextrun"/>
          <w:color w:val="000000" w:themeColor="text1"/>
          <w:lang w:val="en-US"/>
        </w:rPr>
        <w:t xml:space="preserve"> </w:t>
      </w:r>
      <w:r w:rsidR="6F91D0AB" w:rsidRPr="00AC1AD8">
        <w:rPr>
          <w:rStyle w:val="normaltextrun"/>
          <w:color w:val="000000" w:themeColor="text1"/>
          <w:lang w:val="en-US"/>
        </w:rPr>
        <w:t>s</w:t>
      </w:r>
      <w:r w:rsidR="08927E06" w:rsidRPr="00AC1AD8">
        <w:rPr>
          <w:rStyle w:val="normaltextrun"/>
          <w:color w:val="000000" w:themeColor="text1"/>
          <w:lang w:val="en-US"/>
        </w:rPr>
        <w:t>outh of</w:t>
      </w:r>
      <w:r w:rsidR="1467EEA0" w:rsidRPr="00AC1AD8">
        <w:rPr>
          <w:rStyle w:val="normaltextrun"/>
          <w:color w:val="000000" w:themeColor="text1"/>
          <w:lang w:val="en-US"/>
        </w:rPr>
        <w:t xml:space="preserve"> 30°S</w:t>
      </w:r>
      <w:r w:rsidR="50315749" w:rsidRPr="00AC1AD8">
        <w:rPr>
          <w:rStyle w:val="normaltextrun"/>
          <w:color w:val="000000" w:themeColor="text1"/>
          <w:lang w:val="en-US"/>
        </w:rPr>
        <w:t>.</w:t>
      </w:r>
      <w:r w:rsidR="00C52CE8">
        <w:rPr>
          <w:rStyle w:val="normaltextrun"/>
          <w:color w:val="000000" w:themeColor="text1"/>
          <w:lang w:val="en-US"/>
        </w:rPr>
        <w:t xml:space="preserve"> </w:t>
      </w:r>
      <w:r w:rsidR="009878B4" w:rsidRPr="2877D44A">
        <w:rPr>
          <w:rStyle w:val="normaltextrun"/>
          <w:color w:val="000000" w:themeColor="text1"/>
          <w:lang w:val="en-US"/>
        </w:rPr>
        <w:t>F</w:t>
      </w:r>
      <w:r w:rsidR="00C52CE8">
        <w:rPr>
          <w:rStyle w:val="normaltextrun"/>
          <w:color w:val="000000" w:themeColor="text1"/>
          <w:lang w:val="en-US"/>
        </w:rPr>
        <w:t xml:space="preserve">ronts are </w:t>
      </w:r>
      <w:r w:rsidR="00A43DD2">
        <w:rPr>
          <w:rStyle w:val="normaltextrun"/>
          <w:color w:val="000000" w:themeColor="text1"/>
          <w:lang w:val="en-US"/>
        </w:rPr>
        <w:t>based on</w:t>
      </w:r>
      <w:r w:rsidR="00C52CE8">
        <w:rPr>
          <w:rStyle w:val="normaltextrun"/>
          <w:color w:val="000000" w:themeColor="text1"/>
          <w:lang w:val="en-US"/>
        </w:rPr>
        <w:t xml:space="preserve"> </w:t>
      </w:r>
      <w:r w:rsidR="00AC34D8">
        <w:rPr>
          <w:rStyle w:val="normaltextrun"/>
          <w:color w:val="000000" w:themeColor="text1"/>
          <w:lang w:val="en-US"/>
        </w:rPr>
        <w:t xml:space="preserve">Bushinsky </w:t>
      </w:r>
      <w:r w:rsidR="00C52CE8">
        <w:rPr>
          <w:rStyle w:val="normaltextrun"/>
          <w:color w:val="000000" w:themeColor="text1"/>
          <w:lang w:val="en-US"/>
        </w:rPr>
        <w:t xml:space="preserve">et al. </w:t>
      </w:r>
      <w:r w:rsidR="00C01F42">
        <w:rPr>
          <w:rStyle w:val="normaltextrun"/>
          <w:color w:val="000000" w:themeColor="text1"/>
          <w:lang w:val="en-US"/>
        </w:rPr>
        <w:t>(</w:t>
      </w:r>
      <w:r w:rsidR="00C52CE8">
        <w:rPr>
          <w:rStyle w:val="normaltextrun"/>
          <w:color w:val="000000" w:themeColor="text1"/>
          <w:lang w:val="en-US"/>
        </w:rPr>
        <w:t>201</w:t>
      </w:r>
      <w:r w:rsidR="00AC34D8">
        <w:rPr>
          <w:rStyle w:val="normaltextrun"/>
          <w:color w:val="000000" w:themeColor="text1"/>
          <w:lang w:val="en-US"/>
        </w:rPr>
        <w:t>7</w:t>
      </w:r>
      <w:r w:rsidR="00C01F42">
        <w:rPr>
          <w:rStyle w:val="normaltextrun"/>
          <w:color w:val="000000" w:themeColor="text1"/>
          <w:lang w:val="en-US"/>
        </w:rPr>
        <w:t>)</w:t>
      </w:r>
      <w:r w:rsidR="00013D60">
        <w:rPr>
          <w:rStyle w:val="normaltextrun"/>
          <w:color w:val="000000" w:themeColor="text1"/>
          <w:lang w:val="en-US"/>
        </w:rPr>
        <w:t xml:space="preserve"> and the </w:t>
      </w:r>
      <w:r w:rsidR="003C260B">
        <w:rPr>
          <w:rStyle w:val="normaltextrun"/>
          <w:color w:val="000000" w:themeColor="text1"/>
          <w:lang w:val="en-US"/>
        </w:rPr>
        <w:t xml:space="preserve">climatological </w:t>
      </w:r>
      <w:r w:rsidR="00013D60">
        <w:rPr>
          <w:rStyle w:val="normaltextrun"/>
          <w:color w:val="000000" w:themeColor="text1"/>
          <w:lang w:val="en-US"/>
        </w:rPr>
        <w:t xml:space="preserve">maximum winter sea ice extent </w:t>
      </w:r>
      <w:r w:rsidR="004F5B43">
        <w:rPr>
          <w:rStyle w:val="normaltextrun"/>
          <w:color w:val="000000" w:themeColor="text1"/>
          <w:lang w:val="en-US"/>
        </w:rPr>
        <w:t>was computed using Copernicus Ocean and Sea Ice Satellite Application Facility (OSI SAF) products</w:t>
      </w:r>
      <w:r w:rsidR="00013D60">
        <w:rPr>
          <w:rStyle w:val="normaltextrun"/>
          <w:color w:val="000000" w:themeColor="text1"/>
          <w:lang w:val="en-US"/>
        </w:rPr>
        <w:t xml:space="preserve"> </w:t>
      </w:r>
      <w:r w:rsidR="004F5B43">
        <w:rPr>
          <w:rStyle w:val="normaltextrun"/>
          <w:color w:val="000000" w:themeColor="text1"/>
          <w:lang w:val="en-US"/>
        </w:rPr>
        <w:t xml:space="preserve">as per </w:t>
      </w:r>
      <w:r w:rsidR="002D7582">
        <w:rPr>
          <w:rStyle w:val="normaltextrun"/>
          <w:color w:val="000000" w:themeColor="text1"/>
          <w:lang w:val="en-US"/>
        </w:rPr>
        <w:t>Liniger et al.</w:t>
      </w:r>
      <w:r w:rsidR="004F5B43">
        <w:rPr>
          <w:rStyle w:val="normaltextrun"/>
          <w:color w:val="000000" w:themeColor="text1"/>
          <w:lang w:val="en-US"/>
        </w:rPr>
        <w:t xml:space="preserve"> (</w:t>
      </w:r>
      <w:r w:rsidR="002D7582">
        <w:rPr>
          <w:rStyle w:val="normaltextrun"/>
          <w:color w:val="000000" w:themeColor="text1"/>
          <w:lang w:val="en-US"/>
        </w:rPr>
        <w:t>2024).</w:t>
      </w:r>
      <w:r w:rsidR="00DB2E28">
        <w:rPr>
          <w:rStyle w:val="normaltextrun"/>
          <w:color w:val="000000" w:themeColor="text1"/>
          <w:lang w:val="en-US"/>
        </w:rPr>
        <w:t xml:space="preserve"> </w:t>
      </w:r>
    </w:p>
    <w:p w14:paraId="55FD4A01" w14:textId="77777777" w:rsidR="009028BD" w:rsidRPr="00AC1AD8" w:rsidRDefault="009028BD" w:rsidP="0053305D">
      <w:pPr>
        <w:snapToGrid w:val="0"/>
        <w:spacing w:line="360" w:lineRule="auto"/>
        <w:jc w:val="both"/>
      </w:pPr>
    </w:p>
    <w:p w14:paraId="6A6BAE7C" w14:textId="1AF85438" w:rsidR="00E83FA3" w:rsidRPr="00AC1AD8" w:rsidRDefault="7639AC9D" w:rsidP="0053305D">
      <w:pPr>
        <w:snapToGrid w:val="0"/>
        <w:spacing w:line="360" w:lineRule="auto"/>
        <w:jc w:val="both"/>
      </w:pPr>
      <w:r w:rsidRPr="00AC1AD8">
        <w:t xml:space="preserve">Float-based </w:t>
      </w:r>
      <w:r w:rsidR="5FD4C4FA" w:rsidRPr="00AC1AD8">
        <w:t xml:space="preserve">practical </w:t>
      </w:r>
      <w:r w:rsidRPr="00AC1AD8">
        <w:t xml:space="preserve">salinity and </w:t>
      </w:r>
      <w:r w:rsidR="5FD4C4FA" w:rsidRPr="00AC1AD8">
        <w:rPr>
          <w:i/>
          <w:iCs/>
        </w:rPr>
        <w:t>in situ</w:t>
      </w:r>
      <w:r w:rsidR="5FD4C4FA" w:rsidRPr="00AC1AD8">
        <w:t xml:space="preserve"> </w:t>
      </w:r>
      <w:r w:rsidRPr="00AC1AD8">
        <w:t>temperature, adjusted and quality-controlled, were used to calculate absolute salinity</w:t>
      </w:r>
      <w:r w:rsidR="5FD4C4FA" w:rsidRPr="00AC1AD8">
        <w:t xml:space="preserve">, </w:t>
      </w:r>
      <w:r w:rsidRPr="00AC1AD8">
        <w:t>conservative temperature</w:t>
      </w:r>
      <w:r w:rsidR="5FD4C4FA" w:rsidRPr="00AC1AD8">
        <w:t>, and density</w:t>
      </w:r>
      <w:r w:rsidRPr="00AC1AD8">
        <w:t xml:space="preserve"> using the Gibbs-Seawater Oceanographic Toolbox (McDougall &amp; Baker, 2011, https://www.teos-10.org). The </w:t>
      </w:r>
      <w:r w:rsidR="780A2CAA" w:rsidRPr="00AC1AD8">
        <w:t xml:space="preserve">MLD </w:t>
      </w:r>
      <w:r w:rsidRPr="00AC1AD8">
        <w:t xml:space="preserve">was calculated based on </w:t>
      </w:r>
      <w:r w:rsidR="780A2CAA" w:rsidRPr="00AC1AD8">
        <w:t xml:space="preserve">a </w:t>
      </w:r>
      <w:r w:rsidR="5FD4C4FA" w:rsidRPr="00AC1AD8">
        <w:t>density</w:t>
      </w:r>
      <w:r w:rsidR="780A2CAA" w:rsidRPr="00AC1AD8">
        <w:t xml:space="preserve"> difference of 0.</w:t>
      </w:r>
      <w:r w:rsidR="5FD4C4FA" w:rsidRPr="00AC1AD8">
        <w:t>03</w:t>
      </w:r>
      <w:r w:rsidR="780A2CAA" w:rsidRPr="00AC1AD8">
        <w:t xml:space="preserve"> </w:t>
      </w:r>
      <w:r w:rsidR="009C6CFE" w:rsidRPr="00AC1AD8">
        <w:t>kg m</w:t>
      </w:r>
      <w:r w:rsidR="009C6CFE" w:rsidRPr="00AC1AD8">
        <w:rPr>
          <w:vertAlign w:val="superscript"/>
        </w:rPr>
        <w:t>-3</w:t>
      </w:r>
      <w:r w:rsidR="009C6CFE" w:rsidRPr="00AC1AD8">
        <w:t xml:space="preserve"> </w:t>
      </w:r>
      <w:r w:rsidR="34D51522" w:rsidRPr="00AC1AD8">
        <w:rPr>
          <w:color w:val="000000" w:themeColor="text1"/>
        </w:rPr>
        <w:t>from density at</w:t>
      </w:r>
      <w:r w:rsidR="7436FDD2" w:rsidRPr="00AC1AD8">
        <w:rPr>
          <w:color w:val="000000" w:themeColor="text1"/>
        </w:rPr>
        <w:t xml:space="preserve"> </w:t>
      </w:r>
      <w:r w:rsidR="3D318973" w:rsidRPr="00AC1AD8">
        <w:rPr>
          <w:color w:val="000000" w:themeColor="text1"/>
        </w:rPr>
        <w:t>10m</w:t>
      </w:r>
      <w:r w:rsidR="3D318973" w:rsidRPr="00AC1AD8">
        <w:t xml:space="preserve"> </w:t>
      </w:r>
      <w:r w:rsidR="780A2CAA" w:rsidRPr="00AC1AD8">
        <w:t xml:space="preserve">(de Boyer </w:t>
      </w:r>
      <w:proofErr w:type="spellStart"/>
      <w:r w:rsidR="780A2CAA" w:rsidRPr="00AC1AD8">
        <w:t>Montégut</w:t>
      </w:r>
      <w:proofErr w:type="spellEnd"/>
      <w:r w:rsidR="780A2CAA" w:rsidRPr="00AC1AD8">
        <w:t xml:space="preserve"> et al. 2004).</w:t>
      </w:r>
      <w:r w:rsidR="3D318973" w:rsidRPr="00AC1AD8">
        <w:t xml:space="preserve"> </w:t>
      </w:r>
      <w:r w:rsidR="1AC82FF8" w:rsidRPr="00AC1AD8">
        <w:t xml:space="preserve">The nitracline </w:t>
      </w:r>
      <w:r w:rsidR="5BFF7663" w:rsidRPr="00AC1AD8">
        <w:t xml:space="preserve">depth </w:t>
      </w:r>
      <w:r w:rsidR="1AC82FF8" w:rsidRPr="00AC1AD8">
        <w:t>(D</w:t>
      </w:r>
      <w:r w:rsidR="1AC82FF8" w:rsidRPr="00AC1AD8">
        <w:rPr>
          <w:vertAlign w:val="subscript"/>
        </w:rPr>
        <w:t>NO3</w:t>
      </w:r>
      <w:r w:rsidR="1AC82FF8" w:rsidRPr="00AC1AD8">
        <w:t xml:space="preserve">) was </w:t>
      </w:r>
      <w:r w:rsidR="66DDBBAF" w:rsidRPr="00AC1AD8">
        <w:t xml:space="preserve">defined as the shallowest depth </w:t>
      </w:r>
      <w:r w:rsidR="66DDBBAF" w:rsidRPr="00AC1AD8">
        <w:lastRenderedPageBreak/>
        <w:t>where the nitrate gradient exceeded</w:t>
      </w:r>
      <w:r w:rsidR="7664FCBA" w:rsidRPr="00AC1AD8">
        <w:t xml:space="preserve"> </w:t>
      </w:r>
      <w:r w:rsidR="57C601A6" w:rsidRPr="00AC1AD8">
        <w:t>0.</w:t>
      </w:r>
      <w:r w:rsidR="1EF64783" w:rsidRPr="00AC1AD8">
        <w:t>0</w:t>
      </w:r>
      <w:r w:rsidR="57C601A6" w:rsidRPr="00AC1AD8">
        <w:t>5</w:t>
      </w:r>
      <w:r w:rsidR="66DDBBAF" w:rsidRPr="00AC1AD8">
        <w:t xml:space="preserve"> µmol kg </w:t>
      </w:r>
      <w:r w:rsidR="66DDBBAF" w:rsidRPr="00AC1AD8">
        <w:rPr>
          <w:vertAlign w:val="superscript"/>
        </w:rPr>
        <w:t>-1</w:t>
      </w:r>
      <w:r w:rsidR="66DDBBAF" w:rsidRPr="00AC1AD8">
        <w:t xml:space="preserve"> </w:t>
      </w:r>
      <w:r w:rsidR="59076DDE" w:rsidRPr="00AC1AD8">
        <w:t xml:space="preserve">m </w:t>
      </w:r>
      <w:r w:rsidR="59076DDE" w:rsidRPr="00AC1AD8">
        <w:rPr>
          <w:vertAlign w:val="superscript"/>
        </w:rPr>
        <w:t>-1</w:t>
      </w:r>
      <w:r w:rsidR="59076DDE" w:rsidRPr="00AC1AD8">
        <w:t xml:space="preserve"> </w:t>
      </w:r>
      <w:r w:rsidR="66DDBBAF" w:rsidRPr="00AC1AD8">
        <w:t>(Letelier et al. 2004)</w:t>
      </w:r>
      <w:r w:rsidR="1EF64783" w:rsidRPr="00AC1AD8">
        <w:t xml:space="preserve"> in a nitrate profile smoothed by a 10-point running median</w:t>
      </w:r>
      <w:r w:rsidR="66DDBBAF" w:rsidRPr="00AC1AD8">
        <w:t xml:space="preserve">. </w:t>
      </w:r>
      <w:r w:rsidR="083E7F9B" w:rsidRPr="00AC1AD8">
        <w:t xml:space="preserve">This method for calculating </w:t>
      </w:r>
      <w:r w:rsidR="5FD4C4FA" w:rsidRPr="00AC1AD8">
        <w:t>D</w:t>
      </w:r>
      <w:r w:rsidR="5FD4C4FA" w:rsidRPr="00AC1AD8">
        <w:rPr>
          <w:vertAlign w:val="subscript"/>
        </w:rPr>
        <w:t>NO3</w:t>
      </w:r>
      <w:r w:rsidR="15D90ED6" w:rsidRPr="00AC1AD8">
        <w:rPr>
          <w:vertAlign w:val="subscript"/>
        </w:rPr>
        <w:t xml:space="preserve"> </w:t>
      </w:r>
      <w:r w:rsidR="7664FCBA" w:rsidRPr="00AC1AD8">
        <w:t>is</w:t>
      </w:r>
      <w:r w:rsidR="73A15C01" w:rsidRPr="00AC1AD8">
        <w:t xml:space="preserve"> appropriate for HNLC areas</w:t>
      </w:r>
      <w:r w:rsidR="009255F1" w:rsidRPr="00AC1AD8">
        <w:t>,</w:t>
      </w:r>
      <w:r w:rsidR="73A15C01" w:rsidRPr="00AC1AD8">
        <w:t xml:space="preserve"> where nitrate tends to be more than 10 µmol kg </w:t>
      </w:r>
      <w:r w:rsidR="73A15C01" w:rsidRPr="00AC1AD8">
        <w:rPr>
          <w:vertAlign w:val="superscript"/>
        </w:rPr>
        <w:t>-1</w:t>
      </w:r>
      <w:r w:rsidR="73A15C01" w:rsidRPr="00AC1AD8">
        <w:t xml:space="preserve"> at the surface (</w:t>
      </w:r>
      <w:r w:rsidR="083E7F9B" w:rsidRPr="00AC1AD8">
        <w:t>Arteaga et al. 2022</w:t>
      </w:r>
      <w:r w:rsidR="73A15C01" w:rsidRPr="00AC1AD8">
        <w:t xml:space="preserve">). </w:t>
      </w:r>
    </w:p>
    <w:p w14:paraId="058F94D0" w14:textId="77777777" w:rsidR="00E83FA3" w:rsidRPr="00AC1AD8" w:rsidRDefault="00E83FA3" w:rsidP="0053305D">
      <w:pPr>
        <w:snapToGrid w:val="0"/>
        <w:spacing w:line="360" w:lineRule="auto"/>
        <w:jc w:val="both"/>
        <w:rPr>
          <w:bCs/>
        </w:rPr>
      </w:pPr>
    </w:p>
    <w:p w14:paraId="6FA6FE1C" w14:textId="57BF6B13" w:rsidR="00957C47" w:rsidRPr="00AC1AD8" w:rsidRDefault="0076179C" w:rsidP="0053305D">
      <w:pPr>
        <w:pStyle w:val="ListParagraph"/>
        <w:numPr>
          <w:ilvl w:val="2"/>
          <w:numId w:val="1"/>
        </w:numPr>
        <w:snapToGrid w:val="0"/>
        <w:spacing w:line="360" w:lineRule="auto"/>
        <w:contextualSpacing w:val="0"/>
        <w:jc w:val="both"/>
        <w:rPr>
          <w:rFonts w:ascii="Times New Roman" w:hAnsi="Times New Roman" w:cs="Times New Roman"/>
          <w:b/>
          <w:bCs/>
          <w:lang w:val="en-AU"/>
        </w:rPr>
      </w:pPr>
      <w:r w:rsidRPr="00AC1AD8">
        <w:rPr>
          <w:rFonts w:ascii="Times New Roman" w:hAnsi="Times New Roman" w:cs="Times New Roman"/>
          <w:b/>
          <w:bCs/>
          <w:lang w:val="en-AU"/>
        </w:rPr>
        <w:t>C</w:t>
      </w:r>
      <w:r w:rsidR="00957C47" w:rsidRPr="00AC1AD8">
        <w:rPr>
          <w:rFonts w:ascii="Times New Roman" w:hAnsi="Times New Roman" w:cs="Times New Roman"/>
          <w:b/>
          <w:bCs/>
          <w:lang w:val="en-AU"/>
        </w:rPr>
        <w:t xml:space="preserve">hlorophyll </w:t>
      </w:r>
      <w:r w:rsidRPr="00AC1AD8">
        <w:rPr>
          <w:rFonts w:ascii="Times New Roman" w:hAnsi="Times New Roman" w:cs="Times New Roman"/>
          <w:b/>
          <w:bCs/>
          <w:lang w:val="en-AU"/>
        </w:rPr>
        <w:t>and phytoplankton carbon</w:t>
      </w:r>
    </w:p>
    <w:p w14:paraId="3CC5E4D9" w14:textId="77777777" w:rsidR="0079126F" w:rsidRDefault="007C4388" w:rsidP="008B55F9">
      <w:pPr>
        <w:snapToGrid w:val="0"/>
        <w:spacing w:line="360" w:lineRule="auto"/>
        <w:jc w:val="both"/>
      </w:pPr>
      <w:r>
        <w:rPr>
          <w:rStyle w:val="normaltextrun"/>
          <w:color w:val="000000"/>
          <w:shd w:val="clear" w:color="auto" w:fill="FFFFFF"/>
        </w:rPr>
        <w:t>During the routine BGC-Argo QC,</w:t>
      </w:r>
      <w:r w:rsidRPr="00AC1AD8">
        <w:rPr>
          <w:rStyle w:val="normaltextrun"/>
          <w:color w:val="000000"/>
          <w:shd w:val="clear" w:color="auto" w:fill="FFFFFF"/>
        </w:rPr>
        <w:t xml:space="preserve"> </w:t>
      </w:r>
      <w:r>
        <w:rPr>
          <w:rStyle w:val="normaltextrun"/>
          <w:color w:val="000000"/>
          <w:shd w:val="clear" w:color="auto" w:fill="FFFFFF"/>
        </w:rPr>
        <w:t>t</w:t>
      </w:r>
      <w:r w:rsidR="248907F4" w:rsidRPr="00AC1AD8">
        <w:rPr>
          <w:rStyle w:val="normaltextrun"/>
          <w:color w:val="000000"/>
          <w:shd w:val="clear" w:color="auto" w:fill="FFFFFF"/>
        </w:rPr>
        <w:t xml:space="preserve">he adjusted </w:t>
      </w:r>
      <w:proofErr w:type="spellStart"/>
      <w:r w:rsidR="00706149">
        <w:rPr>
          <w:rStyle w:val="normaltextrun"/>
          <w:color w:val="000000"/>
          <w:shd w:val="clear" w:color="auto" w:fill="FFFFFF"/>
        </w:rPr>
        <w:t>chl</w:t>
      </w:r>
      <w:proofErr w:type="spellEnd"/>
      <w:r w:rsidR="00706149">
        <w:rPr>
          <w:rStyle w:val="normaltextrun"/>
          <w:color w:val="000000"/>
          <w:shd w:val="clear" w:color="auto" w:fill="FFFFFF"/>
        </w:rPr>
        <w:t xml:space="preserve"> </w:t>
      </w:r>
      <w:r w:rsidR="248907F4" w:rsidRPr="00AC1AD8">
        <w:rPr>
          <w:rStyle w:val="normaltextrun"/>
          <w:color w:val="000000"/>
          <w:shd w:val="clear" w:color="auto" w:fill="FFFFFF"/>
        </w:rPr>
        <w:t>data are dark-corrected</w:t>
      </w:r>
      <w:r w:rsidR="00CA177F">
        <w:rPr>
          <w:rStyle w:val="normaltextrun"/>
          <w:color w:val="000000"/>
          <w:shd w:val="clear" w:color="auto" w:fill="FFFFFF"/>
        </w:rPr>
        <w:t>,</w:t>
      </w:r>
      <w:r w:rsidR="248907F4" w:rsidRPr="00AC1AD8">
        <w:rPr>
          <w:rStyle w:val="normaltextrun"/>
          <w:color w:val="000000"/>
          <w:shd w:val="clear" w:color="auto" w:fill="FFFFFF"/>
        </w:rPr>
        <w:t xml:space="preserve"> NPQ (non-photochemical quenching)-corrected, and divided by 2, reflecting the global </w:t>
      </w:r>
      <w:r w:rsidR="0A2F3F3B" w:rsidRPr="00AC1AD8">
        <w:rPr>
          <w:rStyle w:val="normaltextrun"/>
          <w:color w:val="000000"/>
          <w:shd w:val="clear" w:color="auto" w:fill="FFFFFF"/>
        </w:rPr>
        <w:t xml:space="preserve">linear scaling </w:t>
      </w:r>
      <w:r w:rsidR="248907F4" w:rsidRPr="00AC1AD8">
        <w:rPr>
          <w:rStyle w:val="normaltextrun"/>
          <w:color w:val="000000"/>
          <w:shd w:val="clear" w:color="auto" w:fill="FFFFFF"/>
        </w:rPr>
        <w:t xml:space="preserve">factor between the factory calibration and </w:t>
      </w:r>
      <w:r w:rsidR="248907F4" w:rsidRPr="399CD0D1">
        <w:rPr>
          <w:rStyle w:val="normaltextrun"/>
          <w:i/>
          <w:iCs/>
          <w:color w:val="000000"/>
          <w:shd w:val="clear" w:color="auto" w:fill="FFFFFF"/>
        </w:rPr>
        <w:t xml:space="preserve">in situ </w:t>
      </w:r>
      <w:r w:rsidR="248907F4" w:rsidRPr="00AC1AD8">
        <w:rPr>
          <w:rStyle w:val="normaltextrun"/>
          <w:color w:val="000000"/>
          <w:shd w:val="clear" w:color="auto" w:fill="FFFFFF"/>
        </w:rPr>
        <w:t>chlorophyll (</w:t>
      </w:r>
      <w:proofErr w:type="spellStart"/>
      <w:r w:rsidR="248907F4" w:rsidRPr="00AC1AD8">
        <w:rPr>
          <w:rStyle w:val="normaltextrun"/>
          <w:color w:val="000000"/>
          <w:shd w:val="clear" w:color="auto" w:fill="FFFFFF"/>
        </w:rPr>
        <w:t>Schmechtig</w:t>
      </w:r>
      <w:proofErr w:type="spellEnd"/>
      <w:r w:rsidR="248907F4" w:rsidRPr="00AC1AD8">
        <w:rPr>
          <w:rStyle w:val="normaltextrun"/>
          <w:color w:val="000000"/>
          <w:shd w:val="clear" w:color="auto" w:fill="FFFFFF"/>
        </w:rPr>
        <w:t xml:space="preserve"> et al. 2015; </w:t>
      </w:r>
      <w:r w:rsidR="0030432C">
        <w:rPr>
          <w:rStyle w:val="normaltextrun"/>
          <w:color w:val="000000"/>
          <w:shd w:val="clear" w:color="auto" w:fill="FFFFFF"/>
        </w:rPr>
        <w:t xml:space="preserve">Boss and </w:t>
      </w:r>
      <w:proofErr w:type="spellStart"/>
      <w:r w:rsidR="0030432C">
        <w:rPr>
          <w:rStyle w:val="normaltextrun"/>
          <w:color w:val="000000"/>
          <w:shd w:val="clear" w:color="auto" w:fill="FFFFFF"/>
        </w:rPr>
        <w:t>H</w:t>
      </w:r>
      <w:r w:rsidR="00560C1E">
        <w:rPr>
          <w:rStyle w:val="normaltextrun"/>
          <w:color w:val="000000"/>
          <w:shd w:val="clear" w:color="auto" w:fill="FFFFFF"/>
        </w:rPr>
        <w:t>aëntjens</w:t>
      </w:r>
      <w:proofErr w:type="spellEnd"/>
      <w:r w:rsidR="00560C1E">
        <w:rPr>
          <w:rStyle w:val="normaltextrun"/>
          <w:color w:val="000000"/>
          <w:shd w:val="clear" w:color="auto" w:fill="FFFFFF"/>
        </w:rPr>
        <w:t xml:space="preserve"> 2016; </w:t>
      </w:r>
      <w:proofErr w:type="spellStart"/>
      <w:r w:rsidR="248907F4" w:rsidRPr="00AC1AD8">
        <w:rPr>
          <w:rStyle w:val="normaltextrun"/>
          <w:color w:val="000000"/>
          <w:shd w:val="clear" w:color="auto" w:fill="FFFFFF"/>
        </w:rPr>
        <w:t>Roesler</w:t>
      </w:r>
      <w:proofErr w:type="spellEnd"/>
      <w:r w:rsidR="248907F4" w:rsidRPr="00AC1AD8">
        <w:rPr>
          <w:rStyle w:val="normaltextrun"/>
          <w:color w:val="000000"/>
          <w:shd w:val="clear" w:color="auto" w:fill="FFFFFF"/>
        </w:rPr>
        <w:t xml:space="preserve"> et al. 2017). </w:t>
      </w:r>
      <w:r w:rsidR="23DD16EF" w:rsidRPr="00AC1AD8">
        <w:rPr>
          <w:rStyle w:val="normaltextrun"/>
          <w:color w:val="000000"/>
          <w:shd w:val="clear" w:color="auto" w:fill="FFFFFF"/>
        </w:rPr>
        <w:t>The correction factor is larger in the SO due to iron limitation</w:t>
      </w:r>
      <w:r w:rsidR="006B2EC4">
        <w:rPr>
          <w:rStyle w:val="normaltextrun"/>
          <w:color w:val="000000"/>
          <w:shd w:val="clear" w:color="auto" w:fill="FFFFFF"/>
        </w:rPr>
        <w:t>;</w:t>
      </w:r>
      <w:r w:rsidR="23DD16EF" w:rsidRPr="00AC1AD8">
        <w:rPr>
          <w:rStyle w:val="normaltextrun"/>
          <w:color w:val="000000"/>
          <w:shd w:val="clear" w:color="auto" w:fill="FFFFFF"/>
        </w:rPr>
        <w:t xml:space="preserve"> </w:t>
      </w:r>
      <w:r w:rsidR="006B2EC4">
        <w:rPr>
          <w:rStyle w:val="normaltextrun"/>
          <w:color w:val="000000"/>
          <w:shd w:val="clear" w:color="auto" w:fill="FFFFFF"/>
        </w:rPr>
        <w:t>w</w:t>
      </w:r>
      <w:r w:rsidR="248907F4" w:rsidRPr="00AC1AD8">
        <w:rPr>
          <w:rStyle w:val="normaltextrun"/>
          <w:color w:val="000000"/>
          <w:shd w:val="clear" w:color="auto" w:fill="FFFFFF"/>
        </w:rPr>
        <w:t xml:space="preserve">e </w:t>
      </w:r>
      <w:r w:rsidR="006B2EC4">
        <w:rPr>
          <w:rStyle w:val="normaltextrun"/>
          <w:color w:val="000000"/>
          <w:shd w:val="clear" w:color="auto" w:fill="FFFFFF"/>
        </w:rPr>
        <w:t xml:space="preserve">therefore </w:t>
      </w:r>
      <w:r w:rsidR="23AB6E45" w:rsidRPr="00AC1AD8">
        <w:rPr>
          <w:rStyle w:val="normaltextrun"/>
          <w:color w:val="000000"/>
          <w:shd w:val="clear" w:color="auto" w:fill="FFFFFF"/>
        </w:rPr>
        <w:t xml:space="preserve">multiplied </w:t>
      </w:r>
      <w:proofErr w:type="spellStart"/>
      <w:r w:rsidR="23AB6E45" w:rsidRPr="00AC1AD8">
        <w:rPr>
          <w:rStyle w:val="normaltextrun"/>
          <w:color w:val="000000"/>
          <w:shd w:val="clear" w:color="auto" w:fill="FFFFFF"/>
        </w:rPr>
        <w:t>chl</w:t>
      </w:r>
      <w:proofErr w:type="spellEnd"/>
      <w:r w:rsidR="23AB6E45" w:rsidRPr="00AC1AD8">
        <w:rPr>
          <w:rStyle w:val="normaltextrun"/>
          <w:color w:val="000000"/>
          <w:shd w:val="clear" w:color="auto" w:fill="FFFFFF"/>
        </w:rPr>
        <w:t xml:space="preserve"> by 2</w:t>
      </w:r>
      <w:r w:rsidR="48C68424" w:rsidRPr="00AC1AD8">
        <w:rPr>
          <w:rStyle w:val="normaltextrun"/>
          <w:color w:val="000000"/>
          <w:shd w:val="clear" w:color="auto" w:fill="FFFFFF"/>
        </w:rPr>
        <w:t xml:space="preserve"> (to remove the pre-applied</w:t>
      </w:r>
      <w:r w:rsidR="23AB6E45" w:rsidRPr="00AC1AD8">
        <w:rPr>
          <w:rStyle w:val="normaltextrun"/>
          <w:color w:val="000000"/>
          <w:shd w:val="clear" w:color="auto" w:fill="FFFFFF"/>
        </w:rPr>
        <w:t xml:space="preserve"> </w:t>
      </w:r>
      <w:r w:rsidR="4E355341" w:rsidRPr="00AC1AD8">
        <w:rPr>
          <w:rStyle w:val="normaltextrun"/>
          <w:color w:val="000000"/>
          <w:shd w:val="clear" w:color="auto" w:fill="FFFFFF"/>
        </w:rPr>
        <w:t xml:space="preserve">correction) </w:t>
      </w:r>
      <w:r w:rsidR="23AB6E45" w:rsidRPr="00AC1AD8">
        <w:rPr>
          <w:rStyle w:val="normaltextrun"/>
          <w:color w:val="000000"/>
          <w:shd w:val="clear" w:color="auto" w:fill="FFFFFF"/>
        </w:rPr>
        <w:t xml:space="preserve">and </w:t>
      </w:r>
      <w:r w:rsidR="248907F4" w:rsidRPr="00AC1AD8">
        <w:rPr>
          <w:rStyle w:val="normaltextrun"/>
          <w:color w:val="000000"/>
          <w:shd w:val="clear" w:color="auto" w:fill="FFFFFF"/>
        </w:rPr>
        <w:t>applied a</w:t>
      </w:r>
      <w:r w:rsidR="006B2EC4">
        <w:rPr>
          <w:rStyle w:val="normaltextrun"/>
          <w:color w:val="000000"/>
          <w:shd w:val="clear" w:color="auto" w:fill="FFFFFF"/>
        </w:rPr>
        <w:t>n average</w:t>
      </w:r>
      <w:r w:rsidR="248907F4" w:rsidRPr="00AC1AD8">
        <w:rPr>
          <w:rStyle w:val="normaltextrun"/>
          <w:color w:val="000000"/>
          <w:shd w:val="clear" w:color="auto" w:fill="FFFFFF"/>
        </w:rPr>
        <w:t xml:space="preserve"> slope factor </w:t>
      </w:r>
      <w:r w:rsidR="006B2EC4">
        <w:rPr>
          <w:rStyle w:val="normaltextrun"/>
          <w:color w:val="000000"/>
          <w:shd w:val="clear" w:color="auto" w:fill="FFFFFF"/>
        </w:rPr>
        <w:t xml:space="preserve">for the Southern Ocean, </w:t>
      </w:r>
      <w:r w:rsidR="00DA510C">
        <w:rPr>
          <w:rStyle w:val="normaltextrun"/>
          <w:color w:val="000000"/>
          <w:shd w:val="clear" w:color="auto" w:fill="FFFFFF"/>
        </w:rPr>
        <w:t>dividing by</w:t>
      </w:r>
      <w:r w:rsidR="00DA510C" w:rsidRPr="00AC1AD8">
        <w:rPr>
          <w:rStyle w:val="normaltextrun"/>
          <w:color w:val="000000"/>
          <w:shd w:val="clear" w:color="auto" w:fill="FFFFFF"/>
        </w:rPr>
        <w:t xml:space="preserve"> </w:t>
      </w:r>
      <w:r w:rsidR="001A7F9D">
        <w:rPr>
          <w:rStyle w:val="normaltextrun"/>
          <w:color w:val="000000"/>
          <w:shd w:val="clear" w:color="auto" w:fill="FFFFFF"/>
        </w:rPr>
        <w:t>3.79</w:t>
      </w:r>
      <w:r w:rsidR="001A7F9D" w:rsidRPr="00AC1AD8">
        <w:rPr>
          <w:rStyle w:val="normaltextrun"/>
          <w:color w:val="000000"/>
          <w:shd w:val="clear" w:color="auto" w:fill="FFFFFF"/>
        </w:rPr>
        <w:t xml:space="preserve"> </w:t>
      </w:r>
      <w:r w:rsidR="23DD16EF" w:rsidRPr="00AC1AD8">
        <w:rPr>
          <w:rStyle w:val="normaltextrun"/>
          <w:color w:val="000000"/>
          <w:shd w:val="clear" w:color="auto" w:fill="FFFFFF"/>
        </w:rPr>
        <w:t>(</w:t>
      </w:r>
      <w:r w:rsidR="00A42A89" w:rsidRPr="00AC1AD8">
        <w:rPr>
          <w:rStyle w:val="normaltextrun"/>
          <w:color w:val="000000"/>
          <w:shd w:val="clear" w:color="auto" w:fill="FFFFFF"/>
        </w:rPr>
        <w:t>Schallenberg et al. 2022</w:t>
      </w:r>
      <w:r w:rsidR="23DD16EF" w:rsidRPr="00AC1AD8">
        <w:rPr>
          <w:rStyle w:val="normaltextrun"/>
          <w:color w:val="000000"/>
          <w:shd w:val="clear" w:color="auto" w:fill="FFFFFF"/>
        </w:rPr>
        <w:t>)</w:t>
      </w:r>
      <w:r w:rsidR="3E3CAF1E" w:rsidRPr="00AC1AD8">
        <w:rPr>
          <w:rStyle w:val="normaltextrun"/>
          <w:color w:val="000000"/>
          <w:shd w:val="clear" w:color="auto" w:fill="FFFFFF"/>
        </w:rPr>
        <w:t>.</w:t>
      </w:r>
      <w:r w:rsidR="248907F4" w:rsidRPr="00AC1AD8">
        <w:rPr>
          <w:rStyle w:val="normaltextrun"/>
          <w:color w:val="000000"/>
          <w:shd w:val="clear" w:color="auto" w:fill="FFFFFF"/>
        </w:rPr>
        <w:t xml:space="preserve"> </w:t>
      </w:r>
      <w:r w:rsidR="612F6EA6" w:rsidRPr="00AC1AD8">
        <w:t>A</w:t>
      </w:r>
      <w:r w:rsidR="3E3CAF1E" w:rsidRPr="00AC1AD8">
        <w:t xml:space="preserve"> </w:t>
      </w:r>
      <w:r w:rsidR="612F6EA6" w:rsidRPr="00AC1AD8">
        <w:t xml:space="preserve">7-point </w:t>
      </w:r>
      <w:r w:rsidR="3E3CAF1E" w:rsidRPr="00AC1AD8">
        <w:t xml:space="preserve">running median </w:t>
      </w:r>
      <w:r w:rsidR="612F6EA6" w:rsidRPr="00AC1AD8">
        <w:t xml:space="preserve">filter </w:t>
      </w:r>
      <w:r w:rsidR="3E3CAF1E" w:rsidRPr="00AC1AD8">
        <w:t xml:space="preserve">was applied to both </w:t>
      </w:r>
      <w:proofErr w:type="spellStart"/>
      <w:r w:rsidR="3E3CAF1E" w:rsidRPr="00AC1AD8">
        <w:t>chl</w:t>
      </w:r>
      <w:proofErr w:type="spellEnd"/>
      <w:r w:rsidR="3E3CAF1E" w:rsidRPr="00AC1AD8">
        <w:t xml:space="preserve"> and </w:t>
      </w:r>
      <w:proofErr w:type="spellStart"/>
      <w:r w:rsidR="3E3CAF1E" w:rsidRPr="00AC1AD8">
        <w:t>b</w:t>
      </w:r>
      <w:r w:rsidR="3E3CAF1E" w:rsidRPr="00AC1AD8">
        <w:rPr>
          <w:vertAlign w:val="subscript"/>
        </w:rPr>
        <w:t>bp</w:t>
      </w:r>
      <w:proofErr w:type="spellEnd"/>
      <w:r w:rsidR="3E3CAF1E" w:rsidRPr="00AC1AD8">
        <w:t xml:space="preserve"> profiles as a </w:t>
      </w:r>
      <w:proofErr w:type="spellStart"/>
      <w:r w:rsidR="3E3CAF1E" w:rsidRPr="00AC1AD8">
        <w:t>despiking</w:t>
      </w:r>
      <w:proofErr w:type="spellEnd"/>
      <w:r w:rsidR="3E3CAF1E" w:rsidRPr="00AC1AD8">
        <w:t xml:space="preserve"> method (Su et al. 2021</w:t>
      </w:r>
      <w:r w:rsidR="612F6EA6" w:rsidRPr="00AC1AD8">
        <w:t>; Arteaga et al. 2022</w:t>
      </w:r>
      <w:r w:rsidR="3E3CAF1E" w:rsidRPr="00AC1AD8">
        <w:t xml:space="preserve">). </w:t>
      </w:r>
      <w:r w:rsidR="006463A4">
        <w:t>This</w:t>
      </w:r>
      <w:r w:rsidR="006463A4" w:rsidRPr="00AC1AD8">
        <w:t xml:space="preserve"> </w:t>
      </w:r>
      <w:r w:rsidR="3E3CAF1E" w:rsidRPr="00AC1AD8">
        <w:t xml:space="preserve">removed </w:t>
      </w:r>
      <w:r w:rsidR="612F6EA6" w:rsidRPr="00AC1AD8">
        <w:t xml:space="preserve">spikes due to </w:t>
      </w:r>
      <w:r w:rsidR="3E3CAF1E" w:rsidRPr="00AC1AD8">
        <w:t xml:space="preserve">measurement </w:t>
      </w:r>
      <w:r w:rsidR="612F6EA6" w:rsidRPr="00AC1AD8">
        <w:t xml:space="preserve">and background </w:t>
      </w:r>
      <w:r w:rsidR="3E3CAF1E" w:rsidRPr="00AC1AD8">
        <w:t>noise</w:t>
      </w:r>
      <w:r w:rsidR="29DE7208" w:rsidRPr="00AC1AD8">
        <w:t>,</w:t>
      </w:r>
      <w:r w:rsidR="3E3CAF1E" w:rsidRPr="00AC1AD8">
        <w:t xml:space="preserve"> and large </w:t>
      </w:r>
      <w:r w:rsidR="42EC8EF2" w:rsidRPr="00AC1AD8">
        <w:t xml:space="preserve">phytoplankton </w:t>
      </w:r>
      <w:r w:rsidR="3E3CAF1E" w:rsidRPr="00AC1AD8">
        <w:t>aggregates (Briggs et al. 2011</w:t>
      </w:r>
      <w:r w:rsidR="612F6EA6" w:rsidRPr="00AC1AD8">
        <w:t>; Cornec et al. 2021</w:t>
      </w:r>
      <w:r w:rsidR="3E3CAF1E" w:rsidRPr="00AC1AD8">
        <w:t xml:space="preserve">). </w:t>
      </w:r>
      <w:r w:rsidR="5D9A37D8" w:rsidRPr="00AC1AD8">
        <w:t xml:space="preserve">The mean value of </w:t>
      </w:r>
      <w:proofErr w:type="spellStart"/>
      <w:r w:rsidR="5D9A37D8" w:rsidRPr="00AC1AD8">
        <w:t>chl</w:t>
      </w:r>
      <w:proofErr w:type="spellEnd"/>
      <w:r w:rsidR="5D9A37D8" w:rsidRPr="00AC1AD8">
        <w:t xml:space="preserve"> in the </w:t>
      </w:r>
      <w:r w:rsidR="000B6689">
        <w:t>mixed layer (</w:t>
      </w:r>
      <w:r w:rsidR="5D9A37D8" w:rsidRPr="00AC1AD8">
        <w:t>ML</w:t>
      </w:r>
      <w:r w:rsidR="000B6689">
        <w:t>)</w:t>
      </w:r>
      <w:r w:rsidR="5D9A37D8" w:rsidRPr="00AC1AD8">
        <w:t xml:space="preserve"> was defined as </w:t>
      </w:r>
      <w:proofErr w:type="spellStart"/>
      <w:proofErr w:type="gramStart"/>
      <w:r w:rsidR="5D9A37D8" w:rsidRPr="00AC1AD8">
        <w:t>chl</w:t>
      </w:r>
      <w:r w:rsidR="5D9A37D8" w:rsidRPr="00AC1AD8">
        <w:rPr>
          <w:vertAlign w:val="subscript"/>
        </w:rPr>
        <w:t>MLD</w:t>
      </w:r>
      <w:proofErr w:type="spellEnd"/>
      <w:r w:rsidR="00ED1814">
        <w:t>,</w:t>
      </w:r>
      <w:r w:rsidR="0054396A">
        <w:t xml:space="preserve"> </w:t>
      </w:r>
      <w:r w:rsidR="00ED1814" w:rsidRPr="000C00EF">
        <w:t>and</w:t>
      </w:r>
      <w:proofErr w:type="gramEnd"/>
      <w:r w:rsidR="00ED1814" w:rsidRPr="000C00EF">
        <w:t xml:space="preserve"> used to examine the relationship between </w:t>
      </w:r>
      <w:r w:rsidR="0069332E">
        <w:t xml:space="preserve">subsurface </w:t>
      </w:r>
      <w:r w:rsidR="00ED1814" w:rsidRPr="000C00EF">
        <w:t>NPP and the DCM</w:t>
      </w:r>
      <w:r w:rsidR="00044F3E">
        <w:t xml:space="preserve"> in the correlation analyses</w:t>
      </w:r>
      <w:r w:rsidR="00ED1814" w:rsidRPr="000C00EF">
        <w:t xml:space="preserve">. </w:t>
      </w:r>
    </w:p>
    <w:p w14:paraId="64E94416" w14:textId="193FB9C1" w:rsidR="006871F0" w:rsidRDefault="5D9A37D8" w:rsidP="008B55F9">
      <w:pPr>
        <w:snapToGrid w:val="0"/>
        <w:spacing w:line="360" w:lineRule="auto"/>
        <w:jc w:val="both"/>
      </w:pPr>
      <w:r w:rsidRPr="00AC1AD8">
        <w:t xml:space="preserve"> </w:t>
      </w:r>
    </w:p>
    <w:p w14:paraId="6EA728FC" w14:textId="49A55440" w:rsidR="008B55F9" w:rsidRPr="00AC1AD8" w:rsidRDefault="008B55F9" w:rsidP="008B55F9">
      <w:pPr>
        <w:snapToGrid w:val="0"/>
        <w:spacing w:line="360" w:lineRule="auto"/>
        <w:jc w:val="both"/>
      </w:pPr>
      <w:r w:rsidRPr="00AC1AD8">
        <w:t>We calculate</w:t>
      </w:r>
      <w:r>
        <w:t>d</w:t>
      </w:r>
      <w:r w:rsidRPr="00AC1AD8">
        <w:t xml:space="preserve"> </w:t>
      </w:r>
      <w:proofErr w:type="spellStart"/>
      <w:r w:rsidRPr="00AC1AD8">
        <w:t>C</w:t>
      </w:r>
      <w:r w:rsidRPr="00AC1AD8">
        <w:rPr>
          <w:vertAlign w:val="subscript"/>
        </w:rPr>
        <w:t>phyto</w:t>
      </w:r>
      <w:proofErr w:type="spellEnd"/>
      <w:r w:rsidRPr="00AC1AD8">
        <w:t xml:space="preserve"> based on </w:t>
      </w:r>
      <w:proofErr w:type="spellStart"/>
      <w:r w:rsidRPr="00AC1AD8">
        <w:t>b</w:t>
      </w:r>
      <w:r w:rsidRPr="00AC1AD8">
        <w:rPr>
          <w:vertAlign w:val="subscript"/>
        </w:rPr>
        <w:t>bp</w:t>
      </w:r>
      <w:proofErr w:type="spellEnd"/>
      <w:r w:rsidRPr="00AC1AD8">
        <w:t xml:space="preserve"> from the floats. First, to remove any non-phytoplankton signal, the mean </w:t>
      </w:r>
      <w:proofErr w:type="spellStart"/>
      <w:r w:rsidRPr="00AC1AD8">
        <w:t>b</w:t>
      </w:r>
      <w:r w:rsidRPr="00AC1AD8">
        <w:rPr>
          <w:vertAlign w:val="subscript"/>
        </w:rPr>
        <w:t>bp</w:t>
      </w:r>
      <w:proofErr w:type="spellEnd"/>
      <w:r w:rsidRPr="00AC1AD8">
        <w:rPr>
          <w:vertAlign w:val="subscript"/>
        </w:rPr>
        <w:t xml:space="preserve"> </w:t>
      </w:r>
      <w:r w:rsidRPr="00AC1AD8">
        <w:t xml:space="preserve">between 900 and 1000m was subtracted from the entire float profile (Arteaga et al. 2020). </w:t>
      </w:r>
      <w:r>
        <w:t>Next</w:t>
      </w:r>
      <w:r w:rsidRPr="00AC1AD8">
        <w:t xml:space="preserve">, </w:t>
      </w:r>
      <w:proofErr w:type="spellStart"/>
      <w:r w:rsidRPr="00AC1AD8">
        <w:t>b</w:t>
      </w:r>
      <w:r w:rsidRPr="00AC1AD8">
        <w:rPr>
          <w:vertAlign w:val="subscript"/>
        </w:rPr>
        <w:t>bp</w:t>
      </w:r>
      <w:proofErr w:type="spellEnd"/>
      <w:r w:rsidRPr="00AC1AD8">
        <w:t xml:space="preserve"> at 700nm, measured by the floats, was converted to </w:t>
      </w:r>
      <w:proofErr w:type="spellStart"/>
      <w:r w:rsidRPr="00AC1AD8">
        <w:t>b</w:t>
      </w:r>
      <w:r w:rsidRPr="00AC1AD8">
        <w:rPr>
          <w:vertAlign w:val="subscript"/>
        </w:rPr>
        <w:t>bp</w:t>
      </w:r>
      <w:proofErr w:type="spellEnd"/>
      <w:r w:rsidRPr="00AC1AD8">
        <w:t xml:space="preserve"> at 470nm, </w:t>
      </w:r>
      <w:r>
        <w:t xml:space="preserve">according to </w:t>
      </w:r>
      <w:r w:rsidRPr="00AC1AD8">
        <w:t xml:space="preserve">Morel and </w:t>
      </w:r>
      <w:proofErr w:type="spellStart"/>
      <w:r w:rsidRPr="00AC1AD8">
        <w:t>Maritorena</w:t>
      </w:r>
      <w:proofErr w:type="spellEnd"/>
      <w:r w:rsidRPr="00AC1AD8">
        <w:t xml:space="preserve"> </w:t>
      </w:r>
      <w:r>
        <w:t>(</w:t>
      </w:r>
      <w:r w:rsidRPr="00AC1AD8">
        <w:t xml:space="preserve">2001): </w:t>
      </w:r>
    </w:p>
    <w:p w14:paraId="1DDC4A41" w14:textId="77777777" w:rsidR="008B55F9" w:rsidRPr="00AC1AD8" w:rsidRDefault="008B55F9" w:rsidP="008B55F9">
      <w:pPr>
        <w:pStyle w:val="Heading-Secondary"/>
        <w:snapToGrid w:val="0"/>
        <w:spacing w:before="0" w:after="0" w:line="360" w:lineRule="auto"/>
        <w:ind w:left="0"/>
        <w:jc w:val="right"/>
      </w:pPr>
      <w:r w:rsidRPr="00AC1AD8">
        <w:t>b</w:t>
      </w:r>
      <w:r w:rsidRPr="00AC1AD8">
        <w:rPr>
          <w:vertAlign w:val="subscript"/>
        </w:rPr>
        <w:t>bp470</w:t>
      </w:r>
      <w:r w:rsidRPr="00AC1AD8">
        <w:t xml:space="preserve"> = b</w:t>
      </w:r>
      <w:r w:rsidRPr="00AC1AD8">
        <w:rPr>
          <w:vertAlign w:val="subscript"/>
        </w:rPr>
        <w:t>bp700</w:t>
      </w:r>
      <w:r w:rsidRPr="00AC1AD8">
        <w:t>(</w:t>
      </w:r>
      <m:oMath>
        <m:f>
          <m:fPr>
            <m:ctrlPr>
              <w:rPr>
                <w:rFonts w:ascii="Cambria Math" w:hAnsi="Cambria Math"/>
              </w:rPr>
            </m:ctrlPr>
          </m:fPr>
          <m:num>
            <m:r>
              <w:rPr>
                <w:rFonts w:ascii="Cambria Math" w:hAnsi="Cambria Math"/>
              </w:rPr>
              <m:t>470</m:t>
            </m:r>
          </m:num>
          <m:den>
            <m:r>
              <w:rPr>
                <w:rFonts w:ascii="Cambria Math" w:hAnsi="Cambria Math"/>
              </w:rPr>
              <m:t>700</m:t>
            </m:r>
          </m:den>
        </m:f>
      </m:oMath>
      <w:r w:rsidRPr="00AC1AD8">
        <w:t>)</w:t>
      </w:r>
      <w:r w:rsidRPr="00AC1AD8">
        <w:rPr>
          <w:vertAlign w:val="superscript"/>
        </w:rPr>
        <w:t>-1</w:t>
      </w:r>
      <w:r w:rsidRPr="00AC1AD8">
        <w:rPr>
          <w:color w:val="FF0000"/>
          <w:vertAlign w:val="superscript"/>
        </w:rPr>
        <w:t xml:space="preserve">   </w:t>
      </w:r>
      <w:r w:rsidRPr="00AC1AD8">
        <w:rPr>
          <w:color w:val="000000" w:themeColor="text1"/>
        </w:rPr>
        <w:t>m</w:t>
      </w:r>
      <w:r w:rsidRPr="00AC1AD8">
        <w:rPr>
          <w:color w:val="000000" w:themeColor="text1"/>
          <w:vertAlign w:val="superscript"/>
        </w:rPr>
        <w:t xml:space="preserve">-1                                                                            </w:t>
      </w:r>
      <w:proofErr w:type="gramStart"/>
      <w:r w:rsidRPr="00AC1AD8">
        <w:rPr>
          <w:color w:val="000000" w:themeColor="text1"/>
        </w:rPr>
        <w:t xml:space="preserve">   </w:t>
      </w:r>
      <w:r w:rsidRPr="00AC1AD8">
        <w:t>(</w:t>
      </w:r>
      <w:proofErr w:type="gramEnd"/>
      <w:r w:rsidRPr="00AC1AD8">
        <w:t>1)</w:t>
      </w:r>
    </w:p>
    <w:p w14:paraId="27195916" w14:textId="77777777" w:rsidR="008B55F9" w:rsidRPr="00AC1AD8" w:rsidRDefault="008B55F9" w:rsidP="008B55F9">
      <w:pPr>
        <w:pStyle w:val="Heading-Secondary"/>
        <w:snapToGrid w:val="0"/>
        <w:spacing w:before="0" w:after="0" w:line="360" w:lineRule="auto"/>
        <w:ind w:left="0"/>
        <w:jc w:val="both"/>
      </w:pPr>
      <w:r w:rsidRPr="00AC1AD8">
        <w:t xml:space="preserve">Then, </w:t>
      </w:r>
      <w:proofErr w:type="spellStart"/>
      <w:r w:rsidRPr="00AC1AD8">
        <w:t>C</w:t>
      </w:r>
      <w:r w:rsidRPr="00AC1AD8">
        <w:rPr>
          <w:vertAlign w:val="subscript"/>
        </w:rPr>
        <w:t>phyto</w:t>
      </w:r>
      <w:proofErr w:type="spellEnd"/>
      <w:r w:rsidRPr="00AC1AD8">
        <w:t xml:space="preserve"> was estimated from b</w:t>
      </w:r>
      <w:r w:rsidRPr="00AC1AD8">
        <w:rPr>
          <w:vertAlign w:val="subscript"/>
        </w:rPr>
        <w:t>bp470</w:t>
      </w:r>
      <w:r w:rsidRPr="00AC1AD8">
        <w:t xml:space="preserve"> using the empirical relationship from Graff et al. (2015): </w:t>
      </w:r>
    </w:p>
    <w:p w14:paraId="127B60AF" w14:textId="77777777" w:rsidR="008B55F9" w:rsidRPr="00AC1AD8" w:rsidRDefault="008B55F9" w:rsidP="008B55F9">
      <w:pPr>
        <w:pStyle w:val="Heading-Secondary"/>
        <w:snapToGrid w:val="0"/>
        <w:spacing w:before="0" w:after="0" w:line="360" w:lineRule="auto"/>
        <w:ind w:left="0"/>
        <w:jc w:val="right"/>
      </w:pPr>
      <w:proofErr w:type="spellStart"/>
      <w:r w:rsidRPr="00AC1AD8">
        <w:t>C</w:t>
      </w:r>
      <w:r w:rsidRPr="00AC1AD8">
        <w:rPr>
          <w:vertAlign w:val="subscript"/>
        </w:rPr>
        <w:t>phyto</w:t>
      </w:r>
      <w:proofErr w:type="spellEnd"/>
      <w:r w:rsidRPr="00AC1AD8">
        <w:t xml:space="preserve"> = 12,128</w:t>
      </w:r>
      <w:r w:rsidRPr="00AC1AD8">
        <w:rPr>
          <w:rFonts w:eastAsia="Symbol"/>
          <w:color w:val="000000"/>
          <w:lang w:val="en-AU"/>
        </w:rPr>
        <w:t>×</w:t>
      </w:r>
      <w:r w:rsidRPr="00AC1AD8">
        <w:t xml:space="preserve"> b</w:t>
      </w:r>
      <w:r w:rsidRPr="00AC1AD8">
        <w:rPr>
          <w:vertAlign w:val="subscript"/>
        </w:rPr>
        <w:t>bp470</w:t>
      </w:r>
      <w:r w:rsidRPr="00AC1AD8">
        <w:t xml:space="preserve"> + 0.59 </w:t>
      </w:r>
      <w:r w:rsidRPr="00AC1AD8">
        <w:rPr>
          <w:color w:val="000000"/>
          <w:lang w:val="en-AU"/>
        </w:rPr>
        <w:t>mg C m</w:t>
      </w:r>
      <w:r w:rsidRPr="00AC1AD8">
        <w:rPr>
          <w:color w:val="000000"/>
          <w:vertAlign w:val="superscript"/>
          <w:lang w:val="en-AU"/>
        </w:rPr>
        <w:t>-3</w:t>
      </w:r>
      <w:r w:rsidRPr="00AC1AD8">
        <w:t xml:space="preserve">                                      </w:t>
      </w:r>
      <w:proofErr w:type="gramStart"/>
      <w:r w:rsidRPr="00AC1AD8">
        <w:t xml:space="preserve">   (</w:t>
      </w:r>
      <w:proofErr w:type="gramEnd"/>
      <w:r w:rsidRPr="00AC1AD8">
        <w:t>2)</w:t>
      </w:r>
    </w:p>
    <w:p w14:paraId="3E3D943A" w14:textId="76101693" w:rsidR="00F455A9" w:rsidRPr="00AC1AD8" w:rsidRDefault="008B55F9" w:rsidP="008D0314">
      <w:pPr>
        <w:pStyle w:val="Heading-Secondary"/>
        <w:snapToGrid w:val="0"/>
        <w:spacing w:before="0" w:after="0" w:line="360" w:lineRule="auto"/>
        <w:ind w:left="0"/>
        <w:jc w:val="both"/>
      </w:pPr>
      <w:r>
        <w:t xml:space="preserve">This is based on a global analysis using backscatter and flow cytometry data from the field. This equation has been used in float-based estimates of NPP using </w:t>
      </w:r>
      <w:proofErr w:type="spellStart"/>
      <w:r>
        <w:t>b</w:t>
      </w:r>
      <w:r w:rsidRPr="399CD0D1">
        <w:rPr>
          <w:vertAlign w:val="subscript"/>
        </w:rPr>
        <w:t>bp</w:t>
      </w:r>
      <w:proofErr w:type="spellEnd"/>
      <w:r>
        <w:t xml:space="preserve"> in the North Atlantic (Estapa et al. 2019, Yang et al. 2020), the Gulf of Mexico (Yang et al. 2022) and more recently in the SO (Arteaga et al. 2022). </w:t>
      </w:r>
    </w:p>
    <w:p w14:paraId="2B10C091" w14:textId="3BA4D471" w:rsidR="00957C47" w:rsidRPr="00AC1AD8" w:rsidRDefault="00957C47" w:rsidP="0053305D">
      <w:pPr>
        <w:pStyle w:val="ListParagraph"/>
        <w:snapToGrid w:val="0"/>
        <w:spacing w:line="360" w:lineRule="auto"/>
        <w:ind w:left="0"/>
        <w:contextualSpacing w:val="0"/>
        <w:jc w:val="both"/>
        <w:rPr>
          <w:rFonts w:ascii="Times New Roman" w:hAnsi="Times New Roman" w:cs="Times New Roman"/>
          <w:lang w:val="en-AU"/>
        </w:rPr>
      </w:pPr>
    </w:p>
    <w:p w14:paraId="13CA76A3" w14:textId="333B8804" w:rsidR="00957C47" w:rsidRPr="00AC1AD8" w:rsidRDefault="27C62F30" w:rsidP="0053305D">
      <w:pPr>
        <w:pStyle w:val="ListParagraph"/>
        <w:numPr>
          <w:ilvl w:val="1"/>
          <w:numId w:val="1"/>
        </w:numPr>
        <w:snapToGrid w:val="0"/>
        <w:spacing w:line="360" w:lineRule="auto"/>
        <w:contextualSpacing w:val="0"/>
        <w:jc w:val="both"/>
        <w:rPr>
          <w:rFonts w:ascii="Times New Roman" w:hAnsi="Times New Roman" w:cs="Times New Roman"/>
          <w:b/>
          <w:bCs/>
        </w:rPr>
      </w:pPr>
      <w:r w:rsidRPr="00AC1AD8">
        <w:rPr>
          <w:rFonts w:ascii="Times New Roman" w:hAnsi="Times New Roman" w:cs="Times New Roman"/>
          <w:b/>
          <w:bCs/>
        </w:rPr>
        <w:t xml:space="preserve"> </w:t>
      </w:r>
      <w:r w:rsidR="66912403" w:rsidRPr="00AC1AD8">
        <w:rPr>
          <w:rFonts w:ascii="Times New Roman" w:hAnsi="Times New Roman" w:cs="Times New Roman"/>
          <w:b/>
          <w:bCs/>
        </w:rPr>
        <w:t>A</w:t>
      </w:r>
      <w:r w:rsidR="6296FA44" w:rsidRPr="00AC1AD8">
        <w:rPr>
          <w:rFonts w:ascii="Times New Roman" w:hAnsi="Times New Roman" w:cs="Times New Roman"/>
          <w:b/>
          <w:bCs/>
        </w:rPr>
        <w:t>ttenuation</w:t>
      </w:r>
      <w:r w:rsidR="66912403" w:rsidRPr="00AC1AD8">
        <w:rPr>
          <w:rFonts w:ascii="Times New Roman" w:hAnsi="Times New Roman" w:cs="Times New Roman"/>
          <w:b/>
          <w:bCs/>
        </w:rPr>
        <w:t xml:space="preserve"> coefficient and euphotic depth</w:t>
      </w:r>
    </w:p>
    <w:p w14:paraId="59360223" w14:textId="77777777" w:rsidR="00957C47" w:rsidRPr="00AC1AD8" w:rsidRDefault="00957C47" w:rsidP="0053305D">
      <w:pPr>
        <w:pStyle w:val="ListParagraph"/>
        <w:snapToGrid w:val="0"/>
        <w:spacing w:line="360" w:lineRule="auto"/>
        <w:contextualSpacing w:val="0"/>
        <w:jc w:val="both"/>
        <w:rPr>
          <w:rFonts w:ascii="Times New Roman" w:hAnsi="Times New Roman" w:cs="Times New Roman"/>
          <w:b/>
          <w:bCs/>
        </w:rPr>
      </w:pPr>
    </w:p>
    <w:p w14:paraId="56E86C1A" w14:textId="24B4DAF6" w:rsidR="008A45BB" w:rsidRPr="000C00EF" w:rsidRDefault="008A45BB" w:rsidP="0053305D">
      <w:pPr>
        <w:snapToGrid w:val="0"/>
        <w:spacing w:line="360" w:lineRule="auto"/>
        <w:jc w:val="both"/>
        <w:rPr>
          <w:color w:val="000000"/>
        </w:rPr>
      </w:pPr>
      <w:r w:rsidRPr="000C00EF">
        <w:rPr>
          <w:color w:val="000000" w:themeColor="text1"/>
        </w:rPr>
        <w:lastRenderedPageBreak/>
        <w:t>The diffuse attenuation coefficient at 490nm (</w:t>
      </w:r>
      <w:r w:rsidRPr="000C00EF">
        <w:rPr>
          <w:i/>
          <w:iCs/>
          <w:color w:val="000000" w:themeColor="text1"/>
        </w:rPr>
        <w:t>Kd</w:t>
      </w:r>
      <w:r w:rsidRPr="000C00EF">
        <w:rPr>
          <w:color w:val="000000" w:themeColor="text1"/>
          <w:vertAlign w:val="subscript"/>
        </w:rPr>
        <w:t>490</w:t>
      </w:r>
      <w:r w:rsidRPr="000C00EF">
        <w:rPr>
          <w:color w:val="000000" w:themeColor="text1"/>
        </w:rPr>
        <w:t xml:space="preserve">) was calculated for each depth using </w:t>
      </w:r>
      <w:proofErr w:type="spellStart"/>
      <w:r w:rsidRPr="000C00EF">
        <w:rPr>
          <w:color w:val="000000" w:themeColor="text1"/>
        </w:rPr>
        <w:t>chl</w:t>
      </w:r>
      <w:proofErr w:type="spellEnd"/>
      <w:r w:rsidRPr="000C00EF">
        <w:rPr>
          <w:color w:val="000000" w:themeColor="text1"/>
        </w:rPr>
        <w:t xml:space="preserve"> profiles from the floats (Morel et al., 2007):  </w:t>
      </w:r>
    </w:p>
    <w:p w14:paraId="2D880EC4" w14:textId="77777777" w:rsidR="008A45BB" w:rsidRPr="000C00EF" w:rsidRDefault="008A45BB" w:rsidP="0053305D">
      <w:pPr>
        <w:snapToGrid w:val="0"/>
        <w:spacing w:line="360" w:lineRule="auto"/>
        <w:jc w:val="right"/>
        <w:rPr>
          <w:color w:val="000000" w:themeColor="text1"/>
        </w:rPr>
      </w:pPr>
      <w:r w:rsidRPr="000C00EF">
        <w:rPr>
          <w:i/>
          <w:iCs/>
          <w:color w:val="000000" w:themeColor="text1"/>
        </w:rPr>
        <w:t>Kd</w:t>
      </w:r>
      <w:r w:rsidRPr="000C00EF">
        <w:rPr>
          <w:color w:val="000000" w:themeColor="text1"/>
          <w:vertAlign w:val="subscript"/>
        </w:rPr>
        <w:t>490</w:t>
      </w:r>
      <w:r w:rsidRPr="000C00EF">
        <w:rPr>
          <w:color w:val="000000" w:themeColor="text1"/>
        </w:rPr>
        <w:t>(z)</w:t>
      </w:r>
      <w:r w:rsidRPr="000C00EF">
        <w:rPr>
          <w:color w:val="000000" w:themeColor="text1"/>
          <w:vertAlign w:val="subscript"/>
        </w:rPr>
        <w:t xml:space="preserve"> </w:t>
      </w:r>
      <w:r w:rsidRPr="000C00EF">
        <w:rPr>
          <w:color w:val="000000" w:themeColor="text1"/>
        </w:rPr>
        <w:t>= 0.0166 + 0.0773</w:t>
      </w:r>
      <w:r w:rsidRPr="000C00EF">
        <w:rPr>
          <w:rFonts w:eastAsia="Symbol"/>
          <w:color w:val="000000" w:themeColor="text1"/>
        </w:rPr>
        <w:t>×</w:t>
      </w:r>
      <w:r w:rsidRPr="000C00EF">
        <w:rPr>
          <w:color w:val="000000" w:themeColor="text1"/>
        </w:rPr>
        <w:t>chl(z)</w:t>
      </w:r>
      <w:r w:rsidRPr="000C00EF">
        <w:rPr>
          <w:color w:val="000000" w:themeColor="text1"/>
          <w:vertAlign w:val="superscript"/>
        </w:rPr>
        <w:t xml:space="preserve">0.67155 </w:t>
      </w:r>
      <w:r w:rsidRPr="000C00EF">
        <w:rPr>
          <w:color w:val="000000" w:themeColor="text1"/>
        </w:rPr>
        <w:t>m</w:t>
      </w:r>
      <w:r w:rsidRPr="000C00EF">
        <w:rPr>
          <w:color w:val="000000" w:themeColor="text1"/>
          <w:vertAlign w:val="superscript"/>
        </w:rPr>
        <w:t xml:space="preserve">-1                                        </w:t>
      </w:r>
      <w:proofErr w:type="gramStart"/>
      <w:r w:rsidRPr="000C00EF">
        <w:rPr>
          <w:color w:val="000000" w:themeColor="text1"/>
          <w:vertAlign w:val="superscript"/>
        </w:rPr>
        <w:t xml:space="preserve">   </w:t>
      </w:r>
      <w:r w:rsidRPr="000C00EF">
        <w:rPr>
          <w:color w:val="000000" w:themeColor="text1"/>
        </w:rPr>
        <w:t>(</w:t>
      </w:r>
      <w:proofErr w:type="gramEnd"/>
      <w:r w:rsidRPr="000C00EF">
        <w:rPr>
          <w:color w:val="000000" w:themeColor="text1"/>
        </w:rPr>
        <w:t>3)</w:t>
      </w:r>
    </w:p>
    <w:p w14:paraId="57AB4F91" w14:textId="34AE7127" w:rsidR="008A45BB" w:rsidRPr="000C00EF" w:rsidRDefault="008A45BB" w:rsidP="0053305D">
      <w:pPr>
        <w:snapToGrid w:val="0"/>
        <w:spacing w:line="360" w:lineRule="auto"/>
        <w:jc w:val="both"/>
        <w:rPr>
          <w:color w:val="000000" w:themeColor="text1"/>
        </w:rPr>
      </w:pPr>
      <w:r w:rsidRPr="000C00EF">
        <w:rPr>
          <w:color w:val="000000" w:themeColor="text1"/>
        </w:rPr>
        <w:t>The satellite-derived surface photosynthetically available radiation (PAR</w:t>
      </w:r>
      <w:r w:rsidRPr="000C00EF">
        <w:rPr>
          <w:color w:val="000000" w:themeColor="text1"/>
          <w:vertAlign w:val="subscript"/>
        </w:rPr>
        <w:t>SURF</w:t>
      </w:r>
      <w:r w:rsidRPr="000C00EF">
        <w:rPr>
          <w:color w:val="000000" w:themeColor="text1"/>
        </w:rPr>
        <w:t>) was obtained from NASA MODIS-Aqua (8-day, 9-km composites)</w:t>
      </w:r>
      <w:r w:rsidR="009371DD">
        <w:rPr>
          <w:color w:val="000000" w:themeColor="text1"/>
        </w:rPr>
        <w:t xml:space="preserve">, downloaded from the NASA Ocean </w:t>
      </w:r>
      <w:proofErr w:type="spellStart"/>
      <w:r w:rsidR="009371DD">
        <w:rPr>
          <w:color w:val="000000" w:themeColor="text1"/>
        </w:rPr>
        <w:t>Color</w:t>
      </w:r>
      <w:proofErr w:type="spellEnd"/>
      <w:r w:rsidR="009371DD">
        <w:rPr>
          <w:color w:val="000000" w:themeColor="text1"/>
        </w:rPr>
        <w:t xml:space="preserve"> website (https://oceancolor.gsfc.nasa.gov)</w:t>
      </w:r>
      <w:r w:rsidRPr="000C00EF">
        <w:rPr>
          <w:color w:val="000000" w:themeColor="text1"/>
        </w:rPr>
        <w:t xml:space="preserve">. Each float profile was matched with a </w:t>
      </w:r>
      <w:r w:rsidR="00A42C21">
        <w:rPr>
          <w:color w:val="000000" w:themeColor="text1"/>
        </w:rPr>
        <w:t xml:space="preserve">satellite </w:t>
      </w:r>
      <w:r w:rsidR="00FA1A2A">
        <w:rPr>
          <w:color w:val="000000" w:themeColor="text1"/>
        </w:rPr>
        <w:t xml:space="preserve">value for </w:t>
      </w:r>
      <w:r w:rsidRPr="000C00EF">
        <w:rPr>
          <w:color w:val="000000" w:themeColor="text1"/>
        </w:rPr>
        <w:t>PAR</w:t>
      </w:r>
      <w:r w:rsidRPr="000C00EF">
        <w:rPr>
          <w:color w:val="000000" w:themeColor="text1"/>
          <w:vertAlign w:val="subscript"/>
        </w:rPr>
        <w:t xml:space="preserve">SURF </w:t>
      </w:r>
      <w:r w:rsidRPr="000C00EF">
        <w:rPr>
          <w:color w:val="000000" w:themeColor="text1"/>
        </w:rPr>
        <w:t>(E m</w:t>
      </w:r>
      <w:r w:rsidRPr="000C00EF">
        <w:rPr>
          <w:color w:val="000000" w:themeColor="text1"/>
          <w:vertAlign w:val="superscript"/>
        </w:rPr>
        <w:t>-2</w:t>
      </w:r>
      <w:r w:rsidRPr="000C00EF">
        <w:rPr>
          <w:color w:val="000000" w:themeColor="text1"/>
        </w:rPr>
        <w:t xml:space="preserve"> day</w:t>
      </w:r>
      <w:r w:rsidRPr="000C00EF">
        <w:rPr>
          <w:color w:val="000000" w:themeColor="text1"/>
          <w:vertAlign w:val="superscript"/>
        </w:rPr>
        <w:t>-1</w:t>
      </w:r>
      <w:r w:rsidRPr="000C00EF">
        <w:rPr>
          <w:color w:val="000000" w:themeColor="text1"/>
        </w:rPr>
        <w:t>). The diffuse attenuation coefficient of PAR (</w:t>
      </w:r>
      <w:proofErr w:type="spellStart"/>
      <w:r w:rsidRPr="000C00EF">
        <w:rPr>
          <w:i/>
          <w:iCs/>
          <w:color w:val="000000" w:themeColor="text1"/>
        </w:rPr>
        <w:t>Kd</w:t>
      </w:r>
      <w:r w:rsidRPr="000C00EF">
        <w:rPr>
          <w:color w:val="000000" w:themeColor="text1"/>
          <w:vertAlign w:val="subscript"/>
        </w:rPr>
        <w:t>PAR</w:t>
      </w:r>
      <w:proofErr w:type="spellEnd"/>
      <w:r w:rsidRPr="000C00EF">
        <w:rPr>
          <w:color w:val="000000" w:themeColor="text1"/>
        </w:rPr>
        <w:t xml:space="preserve">) was calculated for each depth </w:t>
      </w:r>
      <w:r w:rsidRPr="000C00EF">
        <w:t xml:space="preserve">using </w:t>
      </w:r>
      <w:r w:rsidRPr="000C00EF">
        <w:rPr>
          <w:i/>
          <w:iCs/>
        </w:rPr>
        <w:t>Kd</w:t>
      </w:r>
      <w:r w:rsidRPr="000C00EF">
        <w:rPr>
          <w:vertAlign w:val="subscript"/>
        </w:rPr>
        <w:t>490</w:t>
      </w:r>
      <w:r w:rsidRPr="000C00EF">
        <w:rPr>
          <w:color w:val="000000" w:themeColor="text1"/>
        </w:rPr>
        <w:t>(z)</w:t>
      </w:r>
      <w:r w:rsidRPr="000C00EF">
        <w:rPr>
          <w:color w:val="000000" w:themeColor="text1"/>
          <w:vertAlign w:val="subscript"/>
        </w:rPr>
        <w:t xml:space="preserve"> </w:t>
      </w:r>
      <w:r w:rsidRPr="000C00EF">
        <w:t>and the MLD (Morel et al., 2007</w:t>
      </w:r>
      <w:r w:rsidRPr="000C00EF">
        <w:rPr>
          <w:color w:val="000000" w:themeColor="text1"/>
        </w:rPr>
        <w:t xml:space="preserve">): </w:t>
      </w:r>
    </w:p>
    <w:p w14:paraId="621849C3" w14:textId="77777777" w:rsidR="008A45BB" w:rsidRPr="000C00EF" w:rsidRDefault="008A45BB" w:rsidP="0053305D">
      <w:pPr>
        <w:snapToGrid w:val="0"/>
        <w:spacing w:line="360" w:lineRule="auto"/>
        <w:jc w:val="right"/>
        <w:rPr>
          <w:color w:val="000000" w:themeColor="text1"/>
        </w:rPr>
      </w:pPr>
      <w:proofErr w:type="spellStart"/>
      <w:r w:rsidRPr="000C00EF">
        <w:rPr>
          <w:i/>
          <w:iCs/>
          <w:color w:val="000000" w:themeColor="text1"/>
        </w:rPr>
        <w:t>Kd</w:t>
      </w:r>
      <w:r w:rsidRPr="000C00EF">
        <w:rPr>
          <w:color w:val="000000" w:themeColor="text1"/>
          <w:vertAlign w:val="subscript"/>
        </w:rPr>
        <w:t>PAR</w:t>
      </w:r>
      <w:proofErr w:type="spellEnd"/>
      <w:r w:rsidRPr="000C00EF">
        <w:rPr>
          <w:color w:val="000000" w:themeColor="text1"/>
          <w:vertAlign w:val="subscript"/>
        </w:rPr>
        <w:t xml:space="preserve"> </w:t>
      </w:r>
      <w:r w:rsidRPr="007D42EE">
        <w:rPr>
          <w:color w:val="000000" w:themeColor="text1"/>
        </w:rPr>
        <w:t>(z)</w:t>
      </w:r>
      <w:r w:rsidRPr="000C00EF">
        <w:rPr>
          <w:color w:val="000000" w:themeColor="text1"/>
        </w:rPr>
        <w:t xml:space="preserve">= </w:t>
      </w:r>
      <w:r w:rsidRPr="000C00EF">
        <w:t xml:space="preserve">0.0864 + 0.884 </w:t>
      </w:r>
      <w:r w:rsidRPr="000C00EF">
        <w:rPr>
          <w:i/>
          <w:iCs/>
        </w:rPr>
        <w:t>Kd</w:t>
      </w:r>
      <w:r w:rsidRPr="000C00EF">
        <w:rPr>
          <w:vertAlign w:val="subscript"/>
        </w:rPr>
        <w:t xml:space="preserve">490 </w:t>
      </w:r>
      <w:r w:rsidRPr="000C00EF">
        <w:t>-0.00137</w:t>
      </w:r>
      <w:r w:rsidRPr="000C00EF">
        <w:rPr>
          <w:rFonts w:eastAsia="Symbol"/>
          <w:color w:val="000000" w:themeColor="text1"/>
        </w:rPr>
        <w:t>×</w:t>
      </w:r>
      <w:r w:rsidRPr="000C00EF">
        <w:rPr>
          <w:i/>
          <w:iCs/>
        </w:rPr>
        <w:t>Kd</w:t>
      </w:r>
      <w:r w:rsidRPr="000C00EF">
        <w:rPr>
          <w:vertAlign w:val="subscript"/>
        </w:rPr>
        <w:t>490</w:t>
      </w:r>
      <w:r w:rsidRPr="000C00EF">
        <w:rPr>
          <w:vertAlign w:val="superscript"/>
        </w:rPr>
        <w:t>-1</w:t>
      </w:r>
      <w:r w:rsidRPr="000C00EF">
        <w:t xml:space="preserve">, when MLD </w:t>
      </w:r>
      <w:r w:rsidRPr="000C00EF">
        <w:rPr>
          <w:rFonts w:ascii="Symbol" w:eastAsia="Symbol" w:hAnsi="Symbol" w:cs="Symbol"/>
        </w:rPr>
        <w:t>£</w:t>
      </w:r>
      <w:r w:rsidRPr="000C00EF">
        <w:t xml:space="preserve"> </w:t>
      </w:r>
      <w:r w:rsidRPr="000C00EF">
        <w:rPr>
          <w:i/>
          <w:iCs/>
        </w:rPr>
        <w:t>Kd</w:t>
      </w:r>
      <w:r w:rsidRPr="000C00EF">
        <w:rPr>
          <w:vertAlign w:val="subscript"/>
        </w:rPr>
        <w:t>490</w:t>
      </w:r>
      <w:r w:rsidRPr="000C00EF">
        <w:rPr>
          <w:vertAlign w:val="superscript"/>
        </w:rPr>
        <w:t xml:space="preserve">-1        </w:t>
      </w:r>
      <w:proofErr w:type="gramStart"/>
      <w:r w:rsidRPr="000C00EF">
        <w:rPr>
          <w:vertAlign w:val="superscript"/>
        </w:rPr>
        <w:t xml:space="preserve">   </w:t>
      </w:r>
      <w:r w:rsidRPr="000C00EF">
        <w:t>(</w:t>
      </w:r>
      <w:proofErr w:type="gramEnd"/>
      <w:r w:rsidRPr="000C00EF">
        <w:t>4a)</w:t>
      </w:r>
    </w:p>
    <w:p w14:paraId="58D2A0BE" w14:textId="77777777" w:rsidR="008A45BB" w:rsidRPr="000C00EF" w:rsidRDefault="008A45BB" w:rsidP="0053305D">
      <w:pPr>
        <w:snapToGrid w:val="0"/>
        <w:spacing w:line="360" w:lineRule="auto"/>
        <w:jc w:val="right"/>
        <w:rPr>
          <w:color w:val="000000" w:themeColor="text1"/>
        </w:rPr>
      </w:pPr>
      <w:proofErr w:type="spellStart"/>
      <w:r w:rsidRPr="000C00EF">
        <w:rPr>
          <w:i/>
          <w:iCs/>
          <w:color w:val="000000" w:themeColor="text1"/>
        </w:rPr>
        <w:t>Kd</w:t>
      </w:r>
      <w:r w:rsidRPr="000C00EF">
        <w:rPr>
          <w:color w:val="000000" w:themeColor="text1"/>
          <w:vertAlign w:val="subscript"/>
        </w:rPr>
        <w:t>PAR</w:t>
      </w:r>
      <w:proofErr w:type="spellEnd"/>
      <w:r w:rsidRPr="000C00EF">
        <w:rPr>
          <w:color w:val="000000" w:themeColor="text1"/>
          <w:vertAlign w:val="subscript"/>
        </w:rPr>
        <w:t xml:space="preserve"> </w:t>
      </w:r>
      <w:r w:rsidRPr="000C00EF">
        <w:rPr>
          <w:color w:val="000000" w:themeColor="text1"/>
        </w:rPr>
        <w:t xml:space="preserve">(z)= </w:t>
      </w:r>
      <w:r w:rsidRPr="000C00EF">
        <w:t xml:space="preserve">0.0665 + 0.874 </w:t>
      </w:r>
      <w:r w:rsidRPr="000C00EF">
        <w:rPr>
          <w:i/>
          <w:iCs/>
        </w:rPr>
        <w:t>Kd</w:t>
      </w:r>
      <w:r w:rsidRPr="000C00EF">
        <w:rPr>
          <w:vertAlign w:val="subscript"/>
        </w:rPr>
        <w:t xml:space="preserve">490 </w:t>
      </w:r>
      <w:r w:rsidRPr="000C00EF">
        <w:t>-0.00121</w:t>
      </w:r>
      <w:r w:rsidRPr="000C00EF">
        <w:rPr>
          <w:rFonts w:eastAsia="Symbol"/>
          <w:color w:val="000000" w:themeColor="text1"/>
        </w:rPr>
        <w:t>×</w:t>
      </w:r>
      <w:r w:rsidRPr="000C00EF">
        <w:rPr>
          <w:i/>
          <w:iCs/>
        </w:rPr>
        <w:t>Kd</w:t>
      </w:r>
      <w:r w:rsidRPr="000C00EF">
        <w:rPr>
          <w:vertAlign w:val="subscript"/>
        </w:rPr>
        <w:t>490</w:t>
      </w:r>
      <w:r w:rsidRPr="000C00EF">
        <w:rPr>
          <w:vertAlign w:val="superscript"/>
        </w:rPr>
        <w:t>-1</w:t>
      </w:r>
      <w:r w:rsidRPr="000C00EF">
        <w:t xml:space="preserve">, when MLD &gt; </w:t>
      </w:r>
      <w:r w:rsidRPr="000C00EF">
        <w:rPr>
          <w:i/>
          <w:iCs/>
        </w:rPr>
        <w:t>Kd</w:t>
      </w:r>
      <w:r w:rsidRPr="000C00EF">
        <w:rPr>
          <w:vertAlign w:val="subscript"/>
        </w:rPr>
        <w:t>490</w:t>
      </w:r>
      <w:r w:rsidRPr="000C00EF">
        <w:rPr>
          <w:vertAlign w:val="superscript"/>
        </w:rPr>
        <w:t xml:space="preserve">-1  </w:t>
      </w:r>
      <w:r w:rsidRPr="000C00EF">
        <w:t xml:space="preserve">   </w:t>
      </w:r>
      <w:proofErr w:type="gramStart"/>
      <w:r w:rsidRPr="000C00EF">
        <w:t xml:space="preserve">   (</w:t>
      </w:r>
      <w:proofErr w:type="gramEnd"/>
      <w:r w:rsidRPr="000C00EF">
        <w:t>4b)</w:t>
      </w:r>
    </w:p>
    <w:p w14:paraId="2A624F5F" w14:textId="77777777" w:rsidR="00B71175" w:rsidRDefault="00B71175" w:rsidP="0053305D">
      <w:pPr>
        <w:snapToGrid w:val="0"/>
        <w:spacing w:line="360" w:lineRule="auto"/>
        <w:jc w:val="both"/>
        <w:rPr>
          <w:color w:val="000000" w:themeColor="text1"/>
        </w:rPr>
      </w:pPr>
      <w:r>
        <w:rPr>
          <w:color w:val="000000" w:themeColor="text1"/>
        </w:rPr>
        <w:t>The profile of PAR, denoted PAR(z) was calculated using:</w:t>
      </w:r>
    </w:p>
    <w:p w14:paraId="36F226DA" w14:textId="5B226C3D" w:rsidR="00B71175" w:rsidRPr="007559B7" w:rsidRDefault="00B71175" w:rsidP="0053305D">
      <w:pPr>
        <w:snapToGrid w:val="0"/>
        <w:spacing w:line="360" w:lineRule="auto"/>
        <w:jc w:val="right"/>
        <w:rPr>
          <w:color w:val="000000" w:themeColor="text1"/>
          <w:lang w:val="da-DK"/>
        </w:rPr>
      </w:pPr>
      <w:r w:rsidRPr="007559B7">
        <w:rPr>
          <w:color w:val="000000" w:themeColor="text1"/>
          <w:lang w:val="da-DK"/>
        </w:rPr>
        <w:t>PAR(z) = PAR</w:t>
      </w:r>
      <w:r w:rsidRPr="007559B7">
        <w:rPr>
          <w:color w:val="000000" w:themeColor="text1"/>
          <w:vertAlign w:val="subscript"/>
          <w:lang w:val="da-DK"/>
        </w:rPr>
        <w:t>SURF</w:t>
      </w:r>
      <w:r w:rsidRPr="007559B7">
        <w:rPr>
          <w:color w:val="000000" w:themeColor="text1"/>
          <w:lang w:val="da-DK"/>
        </w:rPr>
        <w:t xml:space="preserve"> </w:t>
      </w:r>
      <w:r>
        <w:rPr>
          <w:rFonts w:ascii="Symbol" w:eastAsia="Symbol" w:hAnsi="Symbol" w:cs="Symbol"/>
          <w:color w:val="000000" w:themeColor="text1"/>
        </w:rPr>
        <w:t>´</w:t>
      </w:r>
      <w:r w:rsidRPr="007559B7">
        <w:rPr>
          <w:color w:val="000000" w:themeColor="text1"/>
          <w:lang w:val="da-DK"/>
        </w:rPr>
        <w:t xml:space="preserve"> </w:t>
      </w:r>
      <w:r w:rsidRPr="007559B7">
        <w:rPr>
          <w:i/>
          <w:iCs/>
          <w:color w:val="000000" w:themeColor="text1"/>
          <w:lang w:val="da-DK"/>
        </w:rPr>
        <w:t>e</w:t>
      </w:r>
      <w:r w:rsidRPr="007559B7">
        <w:rPr>
          <w:i/>
          <w:iCs/>
          <w:color w:val="000000" w:themeColor="text1"/>
          <w:vertAlign w:val="superscript"/>
          <w:lang w:val="da-DK"/>
        </w:rPr>
        <w:t>(-Kd</w:t>
      </w:r>
      <w:r w:rsidR="00056CF7" w:rsidRPr="007559B7">
        <w:rPr>
          <w:i/>
          <w:iCs/>
          <w:color w:val="000000" w:themeColor="text1"/>
          <w:vertAlign w:val="subscript"/>
          <w:lang w:val="da-DK"/>
        </w:rPr>
        <w:t>PA</w:t>
      </w:r>
      <w:r w:rsidR="00C46041" w:rsidRPr="007559B7">
        <w:rPr>
          <w:i/>
          <w:iCs/>
          <w:color w:val="000000" w:themeColor="text1"/>
          <w:vertAlign w:val="subscript"/>
          <w:lang w:val="da-DK"/>
        </w:rPr>
        <w:t>R</w:t>
      </w:r>
      <w:r w:rsidR="00C46041" w:rsidRPr="007559B7">
        <w:rPr>
          <w:i/>
          <w:iCs/>
          <w:color w:val="000000" w:themeColor="text1"/>
          <w:lang w:val="da-DK"/>
        </w:rPr>
        <w:t>(z)</w:t>
      </w:r>
      <w:r w:rsidRPr="007559B7">
        <w:rPr>
          <w:i/>
          <w:iCs/>
          <w:color w:val="000000" w:themeColor="text1"/>
          <w:vertAlign w:val="superscript"/>
          <w:lang w:val="da-DK"/>
        </w:rPr>
        <w:t>)</w:t>
      </w:r>
      <w:r w:rsidR="001B039D" w:rsidRPr="007559B7">
        <w:rPr>
          <w:color w:val="000000" w:themeColor="text1"/>
          <w:lang w:val="da-DK"/>
        </w:rPr>
        <w:t xml:space="preserve">                                      (5)</w:t>
      </w:r>
    </w:p>
    <w:p w14:paraId="70592FA8" w14:textId="0AB7B64A" w:rsidR="00A2009A" w:rsidRPr="00AC1AD8" w:rsidRDefault="00A2009A" w:rsidP="0053305D">
      <w:pPr>
        <w:snapToGrid w:val="0"/>
        <w:spacing w:line="360" w:lineRule="auto"/>
        <w:jc w:val="both"/>
        <w:rPr>
          <w:color w:val="000000"/>
        </w:rPr>
      </w:pPr>
      <w:r w:rsidRPr="00AC1AD8">
        <w:rPr>
          <w:color w:val="000000" w:themeColor="text1"/>
        </w:rPr>
        <w:t>The euphotic depth (D</w:t>
      </w:r>
      <w:r w:rsidRPr="00AC1AD8">
        <w:rPr>
          <w:color w:val="000000" w:themeColor="text1"/>
          <w:vertAlign w:val="subscript"/>
        </w:rPr>
        <w:t>eu</w:t>
      </w:r>
      <w:r w:rsidRPr="00AC1AD8">
        <w:rPr>
          <w:color w:val="000000" w:themeColor="text1"/>
        </w:rPr>
        <w:t>)</w:t>
      </w:r>
      <w:r w:rsidR="0038437F" w:rsidRPr="00AC1AD8">
        <w:rPr>
          <w:color w:val="000000" w:themeColor="text1"/>
        </w:rPr>
        <w:t xml:space="preserve"> </w:t>
      </w:r>
      <w:r w:rsidRPr="00AC1AD8">
        <w:rPr>
          <w:color w:val="000000" w:themeColor="text1"/>
        </w:rPr>
        <w:t xml:space="preserve">was defined </w:t>
      </w:r>
      <w:r w:rsidR="0038437F" w:rsidRPr="00AC1AD8">
        <w:rPr>
          <w:color w:val="000000" w:themeColor="text1"/>
        </w:rPr>
        <w:t>as</w:t>
      </w:r>
      <w:r w:rsidRPr="00AC1AD8">
        <w:rPr>
          <w:color w:val="000000" w:themeColor="text1"/>
        </w:rPr>
        <w:t xml:space="preserve"> the depth where </w:t>
      </w:r>
      <w:r w:rsidR="00977310">
        <w:rPr>
          <w:color w:val="000000" w:themeColor="text1"/>
        </w:rPr>
        <w:t>PAR</w:t>
      </w:r>
      <w:r w:rsidR="00B71175">
        <w:rPr>
          <w:color w:val="000000" w:themeColor="text1"/>
        </w:rPr>
        <w:t>(z)</w:t>
      </w:r>
      <w:r w:rsidR="00977310">
        <w:rPr>
          <w:color w:val="000000" w:themeColor="text1"/>
        </w:rPr>
        <w:t xml:space="preserve"> </w:t>
      </w:r>
      <w:r w:rsidRPr="00AC1AD8">
        <w:rPr>
          <w:color w:val="000000" w:themeColor="text1"/>
        </w:rPr>
        <w:t xml:space="preserve">was </w:t>
      </w:r>
      <w:r w:rsidR="00EC0489">
        <w:rPr>
          <w:color w:val="000000" w:themeColor="text1"/>
        </w:rPr>
        <w:t>0.</w:t>
      </w:r>
      <w:r w:rsidRPr="00AC1AD8">
        <w:rPr>
          <w:color w:val="000000" w:themeColor="text1"/>
        </w:rPr>
        <w:t xml:space="preserve">1% </w:t>
      </w:r>
      <w:r w:rsidR="00977310">
        <w:rPr>
          <w:color w:val="000000" w:themeColor="text1"/>
        </w:rPr>
        <w:t xml:space="preserve">of </w:t>
      </w:r>
      <w:r w:rsidR="00977310" w:rsidRPr="000C00EF">
        <w:rPr>
          <w:color w:val="000000" w:themeColor="text1"/>
        </w:rPr>
        <w:t>PAR</w:t>
      </w:r>
      <w:r w:rsidR="00977310" w:rsidRPr="000C00EF">
        <w:rPr>
          <w:color w:val="000000" w:themeColor="text1"/>
          <w:vertAlign w:val="subscript"/>
        </w:rPr>
        <w:t>SURF</w:t>
      </w:r>
      <w:r w:rsidR="00977310" w:rsidRPr="00977310" w:rsidDel="00086DA4">
        <w:t xml:space="preserve"> </w:t>
      </w:r>
      <w:r w:rsidR="0038437F" w:rsidRPr="00AC1AD8">
        <w:rPr>
          <w:color w:val="000000" w:themeColor="text1"/>
        </w:rPr>
        <w:t>(</w:t>
      </w:r>
      <w:r w:rsidR="00EC0489">
        <w:rPr>
          <w:color w:val="000000" w:themeColor="text1"/>
        </w:rPr>
        <w:t>Laws et al., 2014</w:t>
      </w:r>
      <w:r w:rsidR="0038437F" w:rsidRPr="00AC1AD8">
        <w:t>).</w:t>
      </w:r>
      <w:r w:rsidR="006303E4" w:rsidRPr="00AC1AD8">
        <w:t xml:space="preserve"> </w:t>
      </w:r>
    </w:p>
    <w:p w14:paraId="5A21835F" w14:textId="77777777" w:rsidR="00245AB3" w:rsidRPr="00AC1AD8" w:rsidRDefault="00245AB3" w:rsidP="0053305D">
      <w:pPr>
        <w:snapToGrid w:val="0"/>
        <w:spacing w:line="360" w:lineRule="auto"/>
        <w:jc w:val="both"/>
      </w:pPr>
    </w:p>
    <w:p w14:paraId="1D3438D4" w14:textId="0955DDCB" w:rsidR="000C228C" w:rsidRPr="00AC1AD8" w:rsidRDefault="5A5EAF1C" w:rsidP="0053305D">
      <w:pPr>
        <w:pStyle w:val="ListParagraph"/>
        <w:numPr>
          <w:ilvl w:val="1"/>
          <w:numId w:val="1"/>
        </w:numPr>
        <w:snapToGrid w:val="0"/>
        <w:spacing w:line="360" w:lineRule="auto"/>
        <w:contextualSpacing w:val="0"/>
        <w:jc w:val="both"/>
        <w:rPr>
          <w:rFonts w:ascii="Times New Roman" w:hAnsi="Times New Roman" w:cs="Times New Roman"/>
          <w:b/>
          <w:bCs/>
          <w:lang w:val="en-AU"/>
        </w:rPr>
      </w:pPr>
      <w:r w:rsidRPr="16DDC7FD">
        <w:rPr>
          <w:rFonts w:ascii="Times New Roman" w:hAnsi="Times New Roman" w:cs="Times New Roman"/>
          <w:b/>
          <w:bCs/>
          <w:lang w:val="en-AU"/>
        </w:rPr>
        <w:t>Carbon-based Productivity Model</w:t>
      </w:r>
      <w:r w:rsidR="27C62F30" w:rsidRPr="16DDC7FD">
        <w:rPr>
          <w:rFonts w:ascii="Times New Roman" w:hAnsi="Times New Roman" w:cs="Times New Roman"/>
          <w:b/>
          <w:bCs/>
          <w:lang w:val="en-AU"/>
        </w:rPr>
        <w:t xml:space="preserve"> </w:t>
      </w:r>
      <w:r w:rsidRPr="16DDC7FD">
        <w:rPr>
          <w:rFonts w:ascii="Times New Roman" w:hAnsi="Times New Roman" w:cs="Times New Roman"/>
          <w:b/>
          <w:bCs/>
          <w:lang w:val="en-AU"/>
        </w:rPr>
        <w:t>(</w:t>
      </w:r>
      <w:proofErr w:type="spellStart"/>
      <w:r w:rsidR="27C62F30" w:rsidRPr="16DDC7FD">
        <w:rPr>
          <w:rFonts w:ascii="Times New Roman" w:hAnsi="Times New Roman" w:cs="Times New Roman"/>
          <w:b/>
          <w:bCs/>
          <w:lang w:val="en-AU"/>
        </w:rPr>
        <w:t>CbPM</w:t>
      </w:r>
      <w:proofErr w:type="spellEnd"/>
      <w:r w:rsidRPr="16DDC7FD">
        <w:rPr>
          <w:rFonts w:ascii="Times New Roman" w:hAnsi="Times New Roman" w:cs="Times New Roman"/>
          <w:b/>
          <w:bCs/>
          <w:lang w:val="en-AU"/>
        </w:rPr>
        <w:t>)</w:t>
      </w:r>
    </w:p>
    <w:p w14:paraId="7DDB9A89" w14:textId="77777777" w:rsidR="003B6F57" w:rsidRDefault="003B6F57" w:rsidP="0053305D">
      <w:pPr>
        <w:snapToGrid w:val="0"/>
        <w:spacing w:line="360" w:lineRule="auto"/>
        <w:jc w:val="both"/>
        <w:rPr>
          <w:color w:val="000000" w:themeColor="text1"/>
        </w:rPr>
      </w:pPr>
    </w:p>
    <w:p w14:paraId="5870B30A" w14:textId="61AB792E" w:rsidR="00F7001E" w:rsidRDefault="379B4406" w:rsidP="006871F0">
      <w:pPr>
        <w:snapToGrid w:val="0"/>
        <w:spacing w:line="360" w:lineRule="auto"/>
        <w:jc w:val="both"/>
      </w:pPr>
      <w:r w:rsidRPr="399CD0D1">
        <w:rPr>
          <w:color w:val="000000" w:themeColor="text1"/>
        </w:rPr>
        <w:t>The model used in this study is the Carbon-based Productivity Model (</w:t>
      </w:r>
      <w:proofErr w:type="spellStart"/>
      <w:r w:rsidRPr="399CD0D1">
        <w:rPr>
          <w:color w:val="000000" w:themeColor="text1"/>
        </w:rPr>
        <w:t>CbPM</w:t>
      </w:r>
      <w:proofErr w:type="spellEnd"/>
      <w:r w:rsidRPr="399CD0D1">
        <w:rPr>
          <w:color w:val="000000" w:themeColor="text1"/>
        </w:rPr>
        <w:t xml:space="preserve">; </w:t>
      </w:r>
      <w:proofErr w:type="spellStart"/>
      <w:r w:rsidRPr="399CD0D1">
        <w:rPr>
          <w:color w:val="000000" w:themeColor="text1"/>
        </w:rPr>
        <w:t>Behrenfeld</w:t>
      </w:r>
      <w:proofErr w:type="spellEnd"/>
      <w:r w:rsidRPr="399CD0D1">
        <w:rPr>
          <w:color w:val="000000" w:themeColor="text1"/>
        </w:rPr>
        <w:t xml:space="preserve"> et al. 2005</w:t>
      </w:r>
      <w:r w:rsidR="00EB5EE9" w:rsidRPr="000C00EF">
        <w:rPr>
          <w:color w:val="000000" w:themeColor="text1"/>
        </w:rPr>
        <w:t>; Westberry et al., 2008</w:t>
      </w:r>
      <w:r w:rsidRPr="399CD0D1">
        <w:rPr>
          <w:color w:val="000000" w:themeColor="text1"/>
        </w:rPr>
        <w:t xml:space="preserve">), which has been recently applied to </w:t>
      </w:r>
      <w:r w:rsidR="44B25BEB" w:rsidRPr="399CD0D1">
        <w:rPr>
          <w:i/>
          <w:iCs/>
        </w:rPr>
        <w:t>in situ</w:t>
      </w:r>
      <w:r w:rsidR="44B25BEB">
        <w:t xml:space="preserve"> </w:t>
      </w:r>
      <w:r w:rsidRPr="399CD0D1">
        <w:rPr>
          <w:color w:val="000000" w:themeColor="text1"/>
        </w:rPr>
        <w:t xml:space="preserve">profiles of </w:t>
      </w:r>
      <w:proofErr w:type="spellStart"/>
      <w:r w:rsidRPr="399CD0D1">
        <w:rPr>
          <w:color w:val="000000" w:themeColor="text1"/>
        </w:rPr>
        <w:t>chl</w:t>
      </w:r>
      <w:proofErr w:type="spellEnd"/>
      <w:r w:rsidRPr="399CD0D1">
        <w:rPr>
          <w:color w:val="000000" w:themeColor="text1"/>
        </w:rPr>
        <w:t xml:space="preserve"> </w:t>
      </w:r>
      <w:r w:rsidR="24F1D345" w:rsidRPr="399CD0D1">
        <w:rPr>
          <w:color w:val="000000" w:themeColor="text1"/>
        </w:rPr>
        <w:t xml:space="preserve">(mg </w:t>
      </w:r>
      <w:proofErr w:type="spellStart"/>
      <w:r w:rsidR="24F1D345" w:rsidRPr="399CD0D1">
        <w:rPr>
          <w:color w:val="000000" w:themeColor="text1"/>
        </w:rPr>
        <w:t>chl</w:t>
      </w:r>
      <w:proofErr w:type="spellEnd"/>
      <w:r w:rsidR="24F1D345" w:rsidRPr="399CD0D1">
        <w:rPr>
          <w:color w:val="000000" w:themeColor="text1"/>
        </w:rPr>
        <w:t xml:space="preserve"> m</w:t>
      </w:r>
      <w:r w:rsidR="24F1D345" w:rsidRPr="399CD0D1">
        <w:rPr>
          <w:color w:val="000000" w:themeColor="text1"/>
          <w:vertAlign w:val="superscript"/>
        </w:rPr>
        <w:t>-3</w:t>
      </w:r>
      <w:r w:rsidR="24F1D345" w:rsidRPr="399CD0D1">
        <w:rPr>
          <w:color w:val="000000" w:themeColor="text1"/>
        </w:rPr>
        <w:t xml:space="preserve">) </w:t>
      </w:r>
      <w:r w:rsidRPr="399CD0D1">
        <w:rPr>
          <w:color w:val="000000" w:themeColor="text1"/>
        </w:rPr>
        <w:t xml:space="preserve">and </w:t>
      </w:r>
      <w:proofErr w:type="spellStart"/>
      <w:r w:rsidRPr="399CD0D1">
        <w:rPr>
          <w:color w:val="000000" w:themeColor="text1"/>
        </w:rPr>
        <w:t>C</w:t>
      </w:r>
      <w:r w:rsidRPr="399CD0D1">
        <w:rPr>
          <w:color w:val="000000" w:themeColor="text1"/>
          <w:vertAlign w:val="subscript"/>
        </w:rPr>
        <w:t>phyto</w:t>
      </w:r>
      <w:proofErr w:type="spellEnd"/>
      <w:r w:rsidRPr="399CD0D1">
        <w:rPr>
          <w:color w:val="000000" w:themeColor="text1"/>
        </w:rPr>
        <w:t xml:space="preserve"> </w:t>
      </w:r>
      <w:r w:rsidR="24F1D345" w:rsidRPr="399CD0D1">
        <w:rPr>
          <w:color w:val="000000" w:themeColor="text1"/>
        </w:rPr>
        <w:t>(mg C m</w:t>
      </w:r>
      <w:r w:rsidR="24F1D345" w:rsidRPr="399CD0D1">
        <w:rPr>
          <w:color w:val="000000" w:themeColor="text1"/>
          <w:vertAlign w:val="superscript"/>
        </w:rPr>
        <w:t>-3</w:t>
      </w:r>
      <w:r w:rsidR="24F1D345" w:rsidRPr="399CD0D1">
        <w:rPr>
          <w:color w:val="000000" w:themeColor="text1"/>
        </w:rPr>
        <w:t xml:space="preserve">) </w:t>
      </w:r>
      <w:r w:rsidRPr="399CD0D1">
        <w:rPr>
          <w:color w:val="000000" w:themeColor="text1"/>
        </w:rPr>
        <w:t>derived from BGC-Argo floats (</w:t>
      </w:r>
      <w:r w:rsidR="062BDE39" w:rsidRPr="399CD0D1">
        <w:rPr>
          <w:color w:val="000000" w:themeColor="text1"/>
        </w:rPr>
        <w:t xml:space="preserve">Estapa et al. 2019, </w:t>
      </w:r>
      <w:r w:rsidR="0074089F">
        <w:rPr>
          <w:color w:val="000000" w:themeColor="text1"/>
        </w:rPr>
        <w:t xml:space="preserve">Long et al. 2021; </w:t>
      </w:r>
      <w:r w:rsidRPr="399CD0D1">
        <w:rPr>
          <w:color w:val="000000" w:themeColor="text1"/>
        </w:rPr>
        <w:t xml:space="preserve">Yang et al. 2021, 2022, Arteaga et al. 2022). </w:t>
      </w:r>
      <w:r w:rsidR="00F7001E" w:rsidRPr="00AC1AD8">
        <w:t xml:space="preserve">The </w:t>
      </w:r>
      <w:proofErr w:type="spellStart"/>
      <w:r w:rsidR="00F7001E" w:rsidRPr="00AC1AD8">
        <w:rPr>
          <w:rStyle w:val="normaltextrun"/>
          <w:color w:val="000000"/>
          <w:shd w:val="clear" w:color="auto" w:fill="FFFFFF"/>
        </w:rPr>
        <w:t>CbPM</w:t>
      </w:r>
      <w:proofErr w:type="spellEnd"/>
      <w:r w:rsidR="00F7001E" w:rsidRPr="00AC1AD8">
        <w:rPr>
          <w:rStyle w:val="normaltextrun"/>
          <w:color w:val="000000"/>
          <w:shd w:val="clear" w:color="auto" w:fill="FFFFFF"/>
        </w:rPr>
        <w:t xml:space="preserve"> uses </w:t>
      </w:r>
      <w:proofErr w:type="spellStart"/>
      <w:r w:rsidR="00F7001E" w:rsidRPr="00AC1AD8">
        <w:rPr>
          <w:rStyle w:val="normaltextrun"/>
          <w:color w:val="000000"/>
          <w:shd w:val="clear" w:color="auto" w:fill="FFFFFF"/>
        </w:rPr>
        <w:t>chl</w:t>
      </w:r>
      <w:proofErr w:type="spellEnd"/>
      <w:r w:rsidR="00F7001E" w:rsidRPr="00AC1AD8">
        <w:rPr>
          <w:rStyle w:val="normaltextrun"/>
          <w:color w:val="000000"/>
          <w:shd w:val="clear" w:color="auto" w:fill="FFFFFF"/>
        </w:rPr>
        <w:t xml:space="preserve"> and </w:t>
      </w:r>
      <w:r w:rsidR="00F7001E" w:rsidRPr="00AC1AD8">
        <w:t>phytoplankton carbon biomass (</w:t>
      </w:r>
      <w:proofErr w:type="spellStart"/>
      <w:r w:rsidR="00F7001E" w:rsidRPr="00AC1AD8">
        <w:t>C</w:t>
      </w:r>
      <w:r w:rsidR="00F7001E" w:rsidRPr="00AC1AD8">
        <w:rPr>
          <w:vertAlign w:val="subscript"/>
        </w:rPr>
        <w:t>phyto</w:t>
      </w:r>
      <w:proofErr w:type="spellEnd"/>
      <w:r w:rsidR="00F7001E" w:rsidRPr="00AC1AD8">
        <w:t xml:space="preserve">) to estimate NPP. </w:t>
      </w:r>
    </w:p>
    <w:p w14:paraId="0F163819" w14:textId="0FCD7791" w:rsidR="000E3459" w:rsidRPr="00AC1AD8" w:rsidRDefault="7B6834C9" w:rsidP="0053305D">
      <w:pPr>
        <w:snapToGrid w:val="0"/>
        <w:spacing w:line="360" w:lineRule="auto"/>
        <w:jc w:val="both"/>
        <w:rPr>
          <w:color w:val="000000"/>
        </w:rPr>
      </w:pPr>
      <w:r w:rsidRPr="399CD0D1">
        <w:rPr>
          <w:color w:val="000000" w:themeColor="text1"/>
        </w:rPr>
        <w:t xml:space="preserve">The </w:t>
      </w:r>
      <w:proofErr w:type="spellStart"/>
      <w:r w:rsidRPr="399CD0D1">
        <w:rPr>
          <w:color w:val="000000" w:themeColor="text1"/>
        </w:rPr>
        <w:t>CbPM</w:t>
      </w:r>
      <w:proofErr w:type="spellEnd"/>
      <w:r w:rsidRPr="399CD0D1">
        <w:rPr>
          <w:color w:val="000000" w:themeColor="text1"/>
        </w:rPr>
        <w:t xml:space="preserve"> uses the </w:t>
      </w:r>
      <w:proofErr w:type="spellStart"/>
      <w:r w:rsidRPr="399CD0D1">
        <w:rPr>
          <w:color w:val="000000" w:themeColor="text1"/>
        </w:rPr>
        <w:t>chl:C</w:t>
      </w:r>
      <w:proofErr w:type="spellEnd"/>
      <w:r w:rsidRPr="399CD0D1">
        <w:rPr>
          <w:color w:val="000000" w:themeColor="text1"/>
        </w:rPr>
        <w:t xml:space="preserve"> ratio at each depth (z) as an indicator of phytoplankton nutrient </w:t>
      </w:r>
      <w:r w:rsidR="0F79D50A" w:rsidRPr="399CD0D1">
        <w:rPr>
          <w:color w:val="000000" w:themeColor="text1"/>
        </w:rPr>
        <w:t>(</w:t>
      </w:r>
      <w:r w:rsidR="00F22EA0" w:rsidRPr="000C00EF">
        <w:rPr>
          <w:i/>
          <w:iCs/>
        </w:rPr>
        <w:t>g</w:t>
      </w:r>
      <w:r w:rsidR="0F79D50A" w:rsidRPr="399CD0D1">
        <w:rPr>
          <w:color w:val="000000" w:themeColor="text1"/>
        </w:rPr>
        <w:t xml:space="preserve">) </w:t>
      </w:r>
      <w:r w:rsidRPr="399CD0D1">
        <w:rPr>
          <w:color w:val="000000" w:themeColor="text1"/>
        </w:rPr>
        <w:t xml:space="preserve">and light </w:t>
      </w:r>
      <w:r w:rsidR="0F79D50A" w:rsidRPr="399CD0D1">
        <w:rPr>
          <w:color w:val="000000" w:themeColor="text1"/>
        </w:rPr>
        <w:t>(</w:t>
      </w:r>
      <w:r w:rsidR="00F22EA0" w:rsidRPr="000C00EF">
        <w:rPr>
          <w:i/>
          <w:iCs/>
        </w:rPr>
        <w:t>f</w:t>
      </w:r>
      <w:r w:rsidR="0F79D50A" w:rsidRPr="399CD0D1">
        <w:rPr>
          <w:color w:val="000000" w:themeColor="text1"/>
        </w:rPr>
        <w:t xml:space="preserve">) </w:t>
      </w:r>
      <w:r w:rsidRPr="399CD0D1">
        <w:rPr>
          <w:color w:val="000000" w:themeColor="text1"/>
        </w:rPr>
        <w:t>stress, and to estimate the phytoplankton division rate (µ</w:t>
      </w:r>
      <w:r w:rsidR="24F1D345" w:rsidRPr="399CD0D1">
        <w:rPr>
          <w:color w:val="000000" w:themeColor="text1"/>
        </w:rPr>
        <w:t>, d</w:t>
      </w:r>
      <w:r w:rsidR="24F1D345" w:rsidRPr="399CD0D1">
        <w:rPr>
          <w:color w:val="000000" w:themeColor="text1"/>
          <w:vertAlign w:val="superscript"/>
        </w:rPr>
        <w:t>-1</w:t>
      </w:r>
      <w:r w:rsidRPr="399CD0D1">
        <w:rPr>
          <w:color w:val="000000" w:themeColor="text1"/>
        </w:rPr>
        <w:t>)</w:t>
      </w:r>
      <w:r w:rsidR="0F79D50A" w:rsidRPr="399CD0D1">
        <w:rPr>
          <w:color w:val="000000" w:themeColor="text1"/>
        </w:rPr>
        <w:t xml:space="preserve">. </w:t>
      </w:r>
      <w:r w:rsidR="57330632" w:rsidRPr="399CD0D1">
        <w:rPr>
          <w:color w:val="000000" w:themeColor="text1"/>
        </w:rPr>
        <w:t xml:space="preserve">The cellular light index </w:t>
      </w:r>
      <w:r w:rsidR="2A65E6DB" w:rsidRPr="399CD0D1">
        <w:rPr>
          <w:color w:val="000000" w:themeColor="text1"/>
        </w:rPr>
        <w:t>(</w:t>
      </w:r>
      <w:r w:rsidR="00A66821" w:rsidRPr="000C00EF">
        <w:rPr>
          <w:i/>
          <w:iCs/>
        </w:rPr>
        <w:t>f</w:t>
      </w:r>
      <w:r w:rsidR="2A65E6DB" w:rsidRPr="399CD0D1">
        <w:rPr>
          <w:color w:val="000000" w:themeColor="text1"/>
        </w:rPr>
        <w:t>) is defined as:</w:t>
      </w:r>
    </w:p>
    <w:p w14:paraId="6272DAAA" w14:textId="24DE25BF" w:rsidR="000E3459" w:rsidRDefault="00A66821" w:rsidP="0053305D">
      <w:pPr>
        <w:snapToGrid w:val="0"/>
        <w:spacing w:line="360" w:lineRule="auto"/>
        <w:jc w:val="right"/>
        <w:rPr>
          <w:color w:val="000000" w:themeColor="text1"/>
        </w:rPr>
      </w:pPr>
      <w:r w:rsidRPr="000C00EF">
        <w:rPr>
          <w:i/>
          <w:iCs/>
        </w:rPr>
        <w:t>f</w:t>
      </w:r>
      <w:r w:rsidR="65D3B515" w:rsidRPr="00AC1AD8">
        <w:rPr>
          <w:color w:val="000000" w:themeColor="text1"/>
        </w:rPr>
        <w:t>(z) = 1-</w:t>
      </w:r>
      <w:proofErr w:type="gramStart"/>
      <w:r w:rsidR="65D3B515" w:rsidRPr="00AC1AD8">
        <w:rPr>
          <w:i/>
          <w:iCs/>
          <w:color w:val="000000" w:themeColor="text1"/>
        </w:rPr>
        <w:t>e</w:t>
      </w:r>
      <w:r w:rsidR="65D3B515" w:rsidRPr="00AC1AD8">
        <w:rPr>
          <w:color w:val="000000" w:themeColor="text1"/>
          <w:vertAlign w:val="superscript"/>
        </w:rPr>
        <w:t>(</w:t>
      </w:r>
      <w:proofErr w:type="gramEnd"/>
      <w:r w:rsidR="65D3B515" w:rsidRPr="00AC1AD8">
        <w:rPr>
          <w:color w:val="000000" w:themeColor="text1"/>
          <w:vertAlign w:val="superscript"/>
        </w:rPr>
        <w:t>-5</w:t>
      </w:r>
      <w:r w:rsidR="00495866">
        <w:rPr>
          <w:color w:val="000000" w:themeColor="text1"/>
          <w:vertAlign w:val="superscript"/>
        </w:rPr>
        <w:t>.0</w:t>
      </w:r>
      <w:r w:rsidR="65D3B515" w:rsidRPr="00AC1AD8">
        <w:rPr>
          <w:color w:val="000000" w:themeColor="text1"/>
          <w:vertAlign w:val="superscript"/>
        </w:rPr>
        <w:t xml:space="preserve"> PAR(z))</w:t>
      </w:r>
      <w:r w:rsidR="65D3B515" w:rsidRPr="00AC1AD8">
        <w:rPr>
          <w:i/>
          <w:iCs/>
          <w:color w:val="000000" w:themeColor="text1"/>
        </w:rPr>
        <w:t xml:space="preserve">               </w:t>
      </w:r>
      <w:r w:rsidR="0EA9FA62" w:rsidRPr="00AC1AD8">
        <w:rPr>
          <w:i/>
          <w:iCs/>
          <w:color w:val="000000" w:themeColor="text1"/>
        </w:rPr>
        <w:t xml:space="preserve"> </w:t>
      </w:r>
      <w:r w:rsidR="51C4498F" w:rsidRPr="00AC1AD8">
        <w:rPr>
          <w:i/>
          <w:iCs/>
          <w:color w:val="000000" w:themeColor="text1"/>
        </w:rPr>
        <w:t xml:space="preserve">      </w:t>
      </w:r>
      <w:r w:rsidR="0EA9FA62" w:rsidRPr="00AC1AD8">
        <w:rPr>
          <w:i/>
          <w:iCs/>
          <w:color w:val="000000" w:themeColor="text1"/>
        </w:rPr>
        <w:t xml:space="preserve">        </w:t>
      </w:r>
      <w:r w:rsidR="65D3B515" w:rsidRPr="00AC1AD8">
        <w:rPr>
          <w:i/>
          <w:iCs/>
          <w:color w:val="000000" w:themeColor="text1"/>
        </w:rPr>
        <w:t xml:space="preserve">                       </w:t>
      </w:r>
      <w:r w:rsidR="65D3B515" w:rsidRPr="00AC1AD8">
        <w:rPr>
          <w:color w:val="000000" w:themeColor="text1"/>
        </w:rPr>
        <w:t>(</w:t>
      </w:r>
      <w:r w:rsidR="001B039D">
        <w:rPr>
          <w:color w:val="000000" w:themeColor="text1"/>
        </w:rPr>
        <w:t>6</w:t>
      </w:r>
      <w:r w:rsidR="65D3B515" w:rsidRPr="00AC1AD8">
        <w:rPr>
          <w:color w:val="000000" w:themeColor="text1"/>
        </w:rPr>
        <w:t>)</w:t>
      </w:r>
    </w:p>
    <w:p w14:paraId="34F0CA03" w14:textId="1988327B" w:rsidR="0079303E" w:rsidRDefault="00DA7CB6" w:rsidP="0053305D">
      <w:pPr>
        <w:snapToGrid w:val="0"/>
        <w:spacing w:line="360" w:lineRule="auto"/>
        <w:jc w:val="both"/>
        <w:rPr>
          <w:color w:val="000000" w:themeColor="text1"/>
        </w:rPr>
      </w:pPr>
      <w:r>
        <w:rPr>
          <w:color w:val="000000" w:themeColor="text1"/>
        </w:rPr>
        <w:t xml:space="preserve">The </w:t>
      </w:r>
      <w:proofErr w:type="spellStart"/>
      <w:r>
        <w:rPr>
          <w:color w:val="000000" w:themeColor="text1"/>
        </w:rPr>
        <w:t>CbPM</w:t>
      </w:r>
      <w:proofErr w:type="spellEnd"/>
      <w:r w:rsidR="0094058D">
        <w:rPr>
          <w:color w:val="000000" w:themeColor="text1"/>
        </w:rPr>
        <w:t xml:space="preserve"> assumes a well-mixed water column</w:t>
      </w:r>
      <w:r w:rsidR="00B13361">
        <w:rPr>
          <w:color w:val="000000" w:themeColor="text1"/>
        </w:rPr>
        <w:t>, homogeneous in the ML,</w:t>
      </w:r>
      <w:r w:rsidR="0094058D">
        <w:rPr>
          <w:color w:val="000000" w:themeColor="text1"/>
        </w:rPr>
        <w:t xml:space="preserve"> and uses surface values from satellite</w:t>
      </w:r>
      <w:r w:rsidR="00263328">
        <w:rPr>
          <w:color w:val="000000" w:themeColor="text1"/>
        </w:rPr>
        <w:t xml:space="preserve"> as the mean value in the ML. </w:t>
      </w:r>
      <w:r w:rsidR="00F33C79">
        <w:rPr>
          <w:color w:val="000000" w:themeColor="text1"/>
        </w:rPr>
        <w:t xml:space="preserve">We </w:t>
      </w:r>
      <w:r w:rsidR="002F233A">
        <w:rPr>
          <w:color w:val="000000" w:themeColor="text1"/>
        </w:rPr>
        <w:t>consider</w:t>
      </w:r>
      <w:r w:rsidR="00F33C79">
        <w:rPr>
          <w:color w:val="000000" w:themeColor="text1"/>
        </w:rPr>
        <w:t xml:space="preserve"> two scenarios</w:t>
      </w:r>
      <w:r w:rsidR="00D007B7">
        <w:rPr>
          <w:color w:val="000000" w:themeColor="text1"/>
        </w:rPr>
        <w:t xml:space="preserve"> for the mixed layer:</w:t>
      </w:r>
      <w:r w:rsidR="00F33C79">
        <w:rPr>
          <w:color w:val="000000" w:themeColor="text1"/>
        </w:rPr>
        <w:t xml:space="preserve"> a </w:t>
      </w:r>
      <w:r w:rsidR="001F7059">
        <w:rPr>
          <w:color w:val="000000" w:themeColor="text1"/>
        </w:rPr>
        <w:t xml:space="preserve">mixed </w:t>
      </w:r>
      <w:r w:rsidR="00F33C79">
        <w:rPr>
          <w:color w:val="000000" w:themeColor="text1"/>
        </w:rPr>
        <w:t xml:space="preserve">and a </w:t>
      </w:r>
      <w:r w:rsidR="00D007B7">
        <w:rPr>
          <w:color w:val="000000" w:themeColor="text1"/>
        </w:rPr>
        <w:t>stratified (</w:t>
      </w:r>
      <w:r w:rsidR="001F7059">
        <w:rPr>
          <w:color w:val="000000" w:themeColor="text1"/>
        </w:rPr>
        <w:t>depth-resolved</w:t>
      </w:r>
      <w:r w:rsidR="00D007B7">
        <w:rPr>
          <w:color w:val="000000" w:themeColor="text1"/>
        </w:rPr>
        <w:t>)</w:t>
      </w:r>
      <w:r w:rsidR="001F7059">
        <w:rPr>
          <w:color w:val="000000" w:themeColor="text1"/>
        </w:rPr>
        <w:t xml:space="preserve"> </w:t>
      </w:r>
      <w:r w:rsidR="00F33C79">
        <w:rPr>
          <w:color w:val="000000" w:themeColor="text1"/>
        </w:rPr>
        <w:t xml:space="preserve">scenario. </w:t>
      </w:r>
      <w:r w:rsidR="001B039D">
        <w:rPr>
          <w:color w:val="000000" w:themeColor="text1"/>
        </w:rPr>
        <w:t xml:space="preserve">The </w:t>
      </w:r>
      <w:r w:rsidR="001F7059">
        <w:rPr>
          <w:color w:val="000000" w:themeColor="text1"/>
        </w:rPr>
        <w:t xml:space="preserve">mixed </w:t>
      </w:r>
      <w:r w:rsidR="001B039D">
        <w:rPr>
          <w:color w:val="000000" w:themeColor="text1"/>
        </w:rPr>
        <w:t>scenario</w:t>
      </w:r>
      <w:r w:rsidR="001B039D" w:rsidRPr="001B039D">
        <w:rPr>
          <w:color w:val="000000" w:themeColor="text1"/>
        </w:rPr>
        <w:t xml:space="preserve"> </w:t>
      </w:r>
      <w:r w:rsidR="001B039D">
        <w:rPr>
          <w:color w:val="000000" w:themeColor="text1"/>
        </w:rPr>
        <w:t>uses the median PAR in the mixed layer (PAR</w:t>
      </w:r>
      <w:r w:rsidR="001B039D" w:rsidRPr="00345DA7">
        <w:rPr>
          <w:color w:val="000000" w:themeColor="text1"/>
          <w:vertAlign w:val="subscript"/>
        </w:rPr>
        <w:t>MLD</w:t>
      </w:r>
      <w:r w:rsidR="001B039D">
        <w:rPr>
          <w:color w:val="000000" w:themeColor="text1"/>
        </w:rPr>
        <w:t>) in place of PAR(z) in Eq. 6. Below the mixed layer</w:t>
      </w:r>
      <w:r w:rsidR="00D007B7">
        <w:rPr>
          <w:color w:val="000000" w:themeColor="text1"/>
        </w:rPr>
        <w:t>,</w:t>
      </w:r>
      <w:r w:rsidR="001B039D">
        <w:rPr>
          <w:color w:val="000000" w:themeColor="text1"/>
        </w:rPr>
        <w:t xml:space="preserve"> to 300m, PAR(z) is used. </w:t>
      </w:r>
      <w:r w:rsidR="001B039D" w:rsidRPr="000B7035">
        <w:rPr>
          <w:color w:val="000000" w:themeColor="text1"/>
        </w:rPr>
        <w:t xml:space="preserve">The </w:t>
      </w:r>
      <w:r w:rsidR="001F7059" w:rsidRPr="000B7035">
        <w:rPr>
          <w:color w:val="000000" w:themeColor="text1"/>
        </w:rPr>
        <w:t xml:space="preserve">depth-resolved </w:t>
      </w:r>
      <w:r w:rsidR="001B039D" w:rsidRPr="000B7035">
        <w:rPr>
          <w:color w:val="000000" w:themeColor="text1"/>
        </w:rPr>
        <w:t xml:space="preserve">scenario simply uses PAR(z) from </w:t>
      </w:r>
      <w:r w:rsidR="002F233A" w:rsidRPr="000B7035">
        <w:rPr>
          <w:color w:val="000000" w:themeColor="text1"/>
        </w:rPr>
        <w:t>the surface to 300m</w:t>
      </w:r>
      <w:r w:rsidR="006C4419" w:rsidRPr="000B7035">
        <w:rPr>
          <w:color w:val="000000" w:themeColor="text1"/>
        </w:rPr>
        <w:t>.</w:t>
      </w:r>
      <w:r w:rsidR="006C4419">
        <w:rPr>
          <w:color w:val="000000" w:themeColor="text1"/>
        </w:rPr>
        <w:t xml:space="preserve"> </w:t>
      </w:r>
      <w:r w:rsidR="000B7035">
        <w:rPr>
          <w:color w:val="000000" w:themeColor="text1"/>
        </w:rPr>
        <w:t xml:space="preserve">Most profiles are aphotic below ~150m (Boyd et al. 2024), </w:t>
      </w:r>
      <w:r w:rsidR="00F47B7D">
        <w:rPr>
          <w:color w:val="000000" w:themeColor="text1"/>
        </w:rPr>
        <w:t xml:space="preserve">so </w:t>
      </w:r>
      <w:proofErr w:type="spellStart"/>
      <w:r w:rsidR="00F47B7D">
        <w:rPr>
          <w:color w:val="000000" w:themeColor="text1"/>
        </w:rPr>
        <w:t>NPP</w:t>
      </w:r>
      <w:r w:rsidR="00F47B7D" w:rsidRPr="000B7035">
        <w:rPr>
          <w:color w:val="000000" w:themeColor="text1"/>
          <w:vertAlign w:val="subscript"/>
        </w:rPr>
        <w:t>z</w:t>
      </w:r>
      <w:proofErr w:type="spellEnd"/>
      <w:r w:rsidR="00F47B7D">
        <w:rPr>
          <w:color w:val="000000" w:themeColor="text1"/>
        </w:rPr>
        <w:t xml:space="preserve"> from </w:t>
      </w:r>
      <w:r w:rsidR="0079303E">
        <w:rPr>
          <w:color w:val="000000" w:themeColor="text1"/>
        </w:rPr>
        <w:t>~</w:t>
      </w:r>
      <w:r w:rsidR="00F47B7D">
        <w:rPr>
          <w:color w:val="000000" w:themeColor="text1"/>
        </w:rPr>
        <w:t>150 to 300m tends to be zero</w:t>
      </w:r>
      <w:r w:rsidR="00447ACC">
        <w:rPr>
          <w:color w:val="000000" w:themeColor="text1"/>
        </w:rPr>
        <w:t xml:space="preserve"> and contributes little to</w:t>
      </w:r>
      <w:r w:rsidR="000B7035">
        <w:rPr>
          <w:color w:val="000000" w:themeColor="text1"/>
        </w:rPr>
        <w:t xml:space="preserve"> total integrated NPP (Figure 2d). </w:t>
      </w:r>
      <w:r w:rsidR="006C4419">
        <w:rPr>
          <w:color w:val="000000" w:themeColor="text1"/>
        </w:rPr>
        <w:t>We present</w:t>
      </w:r>
      <w:r w:rsidR="00E37275">
        <w:rPr>
          <w:color w:val="000000" w:themeColor="text1"/>
        </w:rPr>
        <w:t xml:space="preserve"> the </w:t>
      </w:r>
      <w:r w:rsidR="001F7059">
        <w:rPr>
          <w:color w:val="000000" w:themeColor="text1"/>
        </w:rPr>
        <w:t>mixed</w:t>
      </w:r>
      <w:r w:rsidR="00E37275">
        <w:rPr>
          <w:color w:val="000000" w:themeColor="text1"/>
        </w:rPr>
        <w:t xml:space="preserve"> </w:t>
      </w:r>
      <w:r w:rsidR="00E37275">
        <w:rPr>
          <w:color w:val="000000" w:themeColor="text1"/>
        </w:rPr>
        <w:lastRenderedPageBreak/>
        <w:t xml:space="preserve">scenario in the main manuscript </w:t>
      </w:r>
      <w:r w:rsidR="001F7059">
        <w:rPr>
          <w:color w:val="000000" w:themeColor="text1"/>
        </w:rPr>
        <w:t>with a brief mention of</w:t>
      </w:r>
      <w:r w:rsidR="002F233A">
        <w:rPr>
          <w:color w:val="000000" w:themeColor="text1"/>
        </w:rPr>
        <w:t xml:space="preserve"> </w:t>
      </w:r>
      <w:r w:rsidR="00E37275">
        <w:rPr>
          <w:color w:val="000000" w:themeColor="text1"/>
        </w:rPr>
        <w:t xml:space="preserve">the </w:t>
      </w:r>
      <w:r w:rsidR="001F7059">
        <w:rPr>
          <w:color w:val="000000" w:themeColor="text1"/>
        </w:rPr>
        <w:t>depth-resolved</w:t>
      </w:r>
      <w:r w:rsidR="00E37275">
        <w:rPr>
          <w:color w:val="000000" w:themeColor="text1"/>
        </w:rPr>
        <w:t xml:space="preserve"> </w:t>
      </w:r>
      <w:r w:rsidR="002F233A">
        <w:rPr>
          <w:color w:val="000000" w:themeColor="text1"/>
        </w:rPr>
        <w:t>scenario</w:t>
      </w:r>
      <w:r w:rsidR="001F7059">
        <w:rPr>
          <w:color w:val="000000" w:themeColor="text1"/>
        </w:rPr>
        <w:t>, and all figures from the latter</w:t>
      </w:r>
      <w:r w:rsidR="002F233A">
        <w:rPr>
          <w:color w:val="000000" w:themeColor="text1"/>
        </w:rPr>
        <w:t xml:space="preserve"> in the SI.</w:t>
      </w:r>
    </w:p>
    <w:p w14:paraId="0B5A5A97" w14:textId="1C20E4A8" w:rsidR="003B2932" w:rsidRPr="00AC1AD8" w:rsidRDefault="006E5256" w:rsidP="0053305D">
      <w:pPr>
        <w:snapToGrid w:val="0"/>
        <w:spacing w:line="360" w:lineRule="auto"/>
        <w:jc w:val="both"/>
        <w:rPr>
          <w:color w:val="000000" w:themeColor="text1"/>
        </w:rPr>
      </w:pPr>
      <w:r>
        <w:rPr>
          <w:color w:val="000000" w:themeColor="text1"/>
        </w:rPr>
        <w:t xml:space="preserve"> </w:t>
      </w:r>
    </w:p>
    <w:p w14:paraId="6D98DA72" w14:textId="3604E236" w:rsidR="00495866" w:rsidRDefault="004C74D2" w:rsidP="0053305D">
      <w:pPr>
        <w:snapToGrid w:val="0"/>
        <w:spacing w:line="360" w:lineRule="auto"/>
        <w:jc w:val="both"/>
        <w:rPr>
          <w:color w:val="000000" w:themeColor="text1"/>
        </w:rPr>
      </w:pPr>
      <w:r>
        <w:t xml:space="preserve">The </w:t>
      </w:r>
      <w:proofErr w:type="spellStart"/>
      <w:r>
        <w:t>CbPM</w:t>
      </w:r>
      <w:proofErr w:type="spellEnd"/>
      <w:r w:rsidR="002A4ADD">
        <w:t>,</w:t>
      </w:r>
      <w:r>
        <w:t xml:space="preserve"> as adapted by Westberry et al. 2008</w:t>
      </w:r>
      <w:r w:rsidR="002A4ADD">
        <w:t>,</w:t>
      </w:r>
      <w:r>
        <w:t xml:space="preserve"> derive</w:t>
      </w:r>
      <w:r w:rsidR="002A4ADD">
        <w:t>s</w:t>
      </w:r>
      <w:r>
        <w:t xml:space="preserve"> </w:t>
      </w:r>
      <w:proofErr w:type="spellStart"/>
      <w:r>
        <w:t>chl:C</w:t>
      </w:r>
      <w:proofErr w:type="spellEnd"/>
      <w:r w:rsidR="00457BDE" w:rsidRPr="6F732D41">
        <w:rPr>
          <w:vertAlign w:val="subscript"/>
        </w:rPr>
        <w:t xml:space="preserve"> </w:t>
      </w:r>
      <w:r w:rsidR="00457BDE">
        <w:t>ratios</w:t>
      </w:r>
      <w:r>
        <w:t xml:space="preserve"> below the ML based on the phytoplankton </w:t>
      </w:r>
      <w:r w:rsidR="00624915">
        <w:t xml:space="preserve">response </w:t>
      </w:r>
      <w:r w:rsidR="00457BDE">
        <w:t>to</w:t>
      </w:r>
      <w:r>
        <w:t xml:space="preserve"> light and nutrient </w:t>
      </w:r>
      <w:r w:rsidR="00CE7EFF">
        <w:t>limitation</w:t>
      </w:r>
      <w:r w:rsidR="00495866">
        <w:t xml:space="preserve">, and </w:t>
      </w:r>
      <w:r w:rsidR="00495866">
        <w:rPr>
          <w:color w:val="000000" w:themeColor="text1"/>
        </w:rPr>
        <w:t>a</w:t>
      </w:r>
      <w:r w:rsidR="00495866" w:rsidRPr="00305AB3">
        <w:rPr>
          <w:color w:val="000000" w:themeColor="text1"/>
        </w:rPr>
        <w:t xml:space="preserve"> theoretical </w:t>
      </w:r>
      <w:proofErr w:type="spellStart"/>
      <w:r w:rsidR="00495866" w:rsidRPr="00305AB3">
        <w:rPr>
          <w:color w:val="000000" w:themeColor="text1"/>
        </w:rPr>
        <w:t>chl:C</w:t>
      </w:r>
      <w:proofErr w:type="spellEnd"/>
      <w:r w:rsidR="00495866" w:rsidRPr="00305AB3">
        <w:rPr>
          <w:color w:val="000000" w:themeColor="text1"/>
        </w:rPr>
        <w:t xml:space="preserve"> maximum</w:t>
      </w:r>
      <w:r w:rsidR="00495866">
        <w:rPr>
          <w:color w:val="000000" w:themeColor="text1"/>
        </w:rPr>
        <w:t xml:space="preserve"> (</w:t>
      </w:r>
      <w:proofErr w:type="spellStart"/>
      <w:proofErr w:type="gramStart"/>
      <w:r w:rsidR="00495866" w:rsidRPr="00AC1AD8">
        <w:rPr>
          <w:color w:val="000000" w:themeColor="text1"/>
        </w:rPr>
        <w:t>chl:C</w:t>
      </w:r>
      <w:r w:rsidR="00495866" w:rsidRPr="00AC1AD8">
        <w:rPr>
          <w:color w:val="000000" w:themeColor="text1"/>
          <w:vertAlign w:val="subscript"/>
        </w:rPr>
        <w:t>max</w:t>
      </w:r>
      <w:proofErr w:type="spellEnd"/>
      <w:proofErr w:type="gramEnd"/>
      <w:r w:rsidR="00495866">
        <w:rPr>
          <w:color w:val="000000" w:themeColor="text1"/>
        </w:rPr>
        <w:t>)</w:t>
      </w:r>
      <w:r w:rsidR="00495866" w:rsidRPr="00495866">
        <w:rPr>
          <w:color w:val="000000" w:themeColor="text1"/>
        </w:rPr>
        <w:t>,</w:t>
      </w:r>
      <w:r w:rsidR="00495866" w:rsidRPr="6F732D41">
        <w:rPr>
          <w:color w:val="000000" w:themeColor="text1"/>
        </w:rPr>
        <w:t xml:space="preserve"> at each light level</w:t>
      </w:r>
      <w:r w:rsidR="00495866">
        <w:rPr>
          <w:color w:val="000000" w:themeColor="text1"/>
        </w:rPr>
        <w:t>:</w:t>
      </w:r>
    </w:p>
    <w:p w14:paraId="3041D83F" w14:textId="4D08E7DF" w:rsidR="00495866" w:rsidRPr="00495866" w:rsidRDefault="00495866" w:rsidP="0079303E">
      <w:pPr>
        <w:snapToGrid w:val="0"/>
        <w:spacing w:line="360" w:lineRule="auto"/>
        <w:jc w:val="right"/>
        <w:rPr>
          <w:color w:val="000000" w:themeColor="text1"/>
          <w:lang w:val="da-DK"/>
        </w:rPr>
      </w:pPr>
      <w:proofErr w:type="spellStart"/>
      <w:r w:rsidRPr="00552485">
        <w:rPr>
          <w:color w:val="000000" w:themeColor="text1"/>
          <w:lang w:val="da-DK"/>
        </w:rPr>
        <w:t>chl:C</w:t>
      </w:r>
      <w:proofErr w:type="spellEnd"/>
      <w:r w:rsidRPr="00552485">
        <w:rPr>
          <w:color w:val="000000" w:themeColor="text1"/>
          <w:lang w:val="da-DK"/>
        </w:rPr>
        <w:t>(z) = [0.</w:t>
      </w:r>
      <w:r w:rsidR="00EF2429" w:rsidRPr="00552485">
        <w:rPr>
          <w:color w:val="000000" w:themeColor="text1"/>
          <w:lang w:val="da-DK"/>
        </w:rPr>
        <w:t>0</w:t>
      </w:r>
      <w:r w:rsidRPr="00552485">
        <w:rPr>
          <w:color w:val="000000" w:themeColor="text1"/>
          <w:lang w:val="da-DK"/>
        </w:rPr>
        <w:t xml:space="preserve">22 + (0.045-0.022) </w:t>
      </w:r>
      <w:r w:rsidRPr="2877D44A">
        <w:rPr>
          <w:i/>
          <w:iCs/>
          <w:color w:val="000000" w:themeColor="text1"/>
          <w:lang w:val="da-DK"/>
        </w:rPr>
        <w:t>e</w:t>
      </w:r>
      <w:r w:rsidRPr="00552485">
        <w:rPr>
          <w:color w:val="000000" w:themeColor="text1"/>
          <w:vertAlign w:val="superscript"/>
          <w:lang w:val="da-DK"/>
        </w:rPr>
        <w:t>-3.0 x PAR(</w:t>
      </w:r>
      <w:r w:rsidRPr="2877D44A">
        <w:rPr>
          <w:i/>
          <w:iCs/>
          <w:color w:val="000000" w:themeColor="text1"/>
          <w:vertAlign w:val="superscript"/>
          <w:lang w:val="da-DK"/>
        </w:rPr>
        <w:t>z</w:t>
      </w:r>
      <w:r w:rsidRPr="00552485">
        <w:rPr>
          <w:color w:val="000000" w:themeColor="text1"/>
          <w:vertAlign w:val="superscript"/>
          <w:lang w:val="da-DK"/>
        </w:rPr>
        <w:t>)</w:t>
      </w:r>
      <w:r w:rsidRPr="00552485">
        <w:rPr>
          <w:color w:val="000000" w:themeColor="text1"/>
          <w:lang w:val="da-DK"/>
        </w:rPr>
        <w:t>] – [</w:t>
      </w:r>
      <w:r w:rsidRPr="6F21C01E">
        <w:rPr>
          <w:rFonts w:ascii="Symbol" w:eastAsia="Symbol" w:hAnsi="Symbol" w:cs="Symbol"/>
          <w:color w:val="000000" w:themeColor="text1"/>
        </w:rPr>
        <w:t>D</w:t>
      </w:r>
      <m:oMath>
        <m:f>
          <m:fPr>
            <m:ctrlPr>
              <w:rPr>
                <w:rFonts w:ascii="Cambria Math" w:hAnsi="Cambria Math"/>
                <w:i/>
                <w:color w:val="000000" w:themeColor="text1"/>
                <w:lang w:val="da-DK"/>
              </w:rPr>
            </m:ctrlPr>
          </m:fPr>
          <m:num>
            <m:r>
              <w:rPr>
                <w:rFonts w:ascii="Cambria Math" w:hAnsi="Cambria Math"/>
                <w:color w:val="000000" w:themeColor="text1"/>
                <w:lang w:val="da-DK"/>
              </w:rPr>
              <m:t>chl</m:t>
            </m:r>
          </m:num>
          <m:den>
            <m:sSub>
              <m:sSubPr>
                <m:ctrlPr>
                  <w:rPr>
                    <w:rFonts w:ascii="Cambria Math" w:hAnsi="Cambria Math"/>
                    <w:i/>
                    <w:color w:val="000000" w:themeColor="text1"/>
                    <w:lang w:val="da-DK"/>
                  </w:rPr>
                </m:ctrlPr>
              </m:sSubPr>
              <m:e>
                <m:r>
                  <w:rPr>
                    <w:rFonts w:ascii="Cambria Math" w:hAnsi="Cambria Math"/>
                    <w:color w:val="000000" w:themeColor="text1"/>
                    <w:lang w:val="da-DK"/>
                  </w:rPr>
                  <m:t>C</m:t>
                </m:r>
              </m:e>
              <m:sub>
                <m:r>
                  <w:rPr>
                    <w:rFonts w:ascii="Cambria Math" w:hAnsi="Cambria Math"/>
                    <w:color w:val="000000" w:themeColor="text1"/>
                    <w:lang w:val="da-DK"/>
                  </w:rPr>
                  <m:t>NUT</m:t>
                </m:r>
              </m:sub>
            </m:sSub>
          </m:den>
        </m:f>
        <m:r>
          <w:rPr>
            <w:rFonts w:ascii="Cambria Math" w:hAnsi="Cambria Math"/>
            <w:color w:val="000000" w:themeColor="text1"/>
            <w:lang w:val="da-DK"/>
          </w:rPr>
          <m:t xml:space="preserve"> (1-</m:t>
        </m:r>
        <m:sSup>
          <m:sSupPr>
            <m:ctrlPr>
              <w:rPr>
                <w:rFonts w:ascii="Cambria Math" w:hAnsi="Cambria Math"/>
                <w:i/>
                <w:color w:val="000000" w:themeColor="text1"/>
                <w:lang w:val="da-DK"/>
              </w:rPr>
            </m:ctrlPr>
          </m:sSupPr>
          <m:e>
            <m:r>
              <w:rPr>
                <w:rFonts w:ascii="Cambria Math" w:hAnsi="Cambria Math"/>
                <w:color w:val="000000" w:themeColor="text1"/>
                <w:lang w:val="da-DK"/>
              </w:rPr>
              <m:t>e</m:t>
            </m:r>
          </m:e>
          <m:sup>
            <m:r>
              <w:rPr>
                <w:rFonts w:ascii="Cambria Math" w:hAnsi="Cambria Math"/>
                <w:color w:val="000000" w:themeColor="text1"/>
                <w:lang w:val="da-DK"/>
              </w:rPr>
              <m:t>-0.075D</m:t>
            </m:r>
            <m:sSub>
              <m:sSubPr>
                <m:ctrlPr>
                  <w:rPr>
                    <w:rFonts w:ascii="Cambria Math" w:hAnsi="Cambria Math"/>
                    <w:i/>
                    <w:color w:val="000000" w:themeColor="text1"/>
                    <w:lang w:val="da-DK"/>
                  </w:rPr>
                </m:ctrlPr>
              </m:sSubPr>
              <m:e>
                <m:r>
                  <w:rPr>
                    <w:rFonts w:ascii="Cambria Math" w:hAnsi="Cambria Math"/>
                    <w:color w:val="000000" w:themeColor="text1"/>
                    <w:lang w:val="da-DK"/>
                  </w:rPr>
                  <m:t>z</m:t>
                </m:r>
              </m:e>
              <m:sub>
                <m:r>
                  <w:rPr>
                    <w:rFonts w:ascii="Cambria Math" w:hAnsi="Cambria Math"/>
                    <w:color w:val="000000" w:themeColor="text1"/>
                    <w:lang w:val="da-DK"/>
                  </w:rPr>
                  <m:t>DNO3</m:t>
                </m:r>
              </m:sub>
            </m:sSub>
          </m:sup>
        </m:sSup>
      </m:oMath>
      <w:r w:rsidRPr="00552485">
        <w:rPr>
          <w:color w:val="000000" w:themeColor="text1"/>
          <w:lang w:val="da-DK"/>
        </w:rPr>
        <w:t xml:space="preserve">]     </w:t>
      </w:r>
      <w:proofErr w:type="gramStart"/>
      <w:r w:rsidRPr="00552485">
        <w:rPr>
          <w:color w:val="000000" w:themeColor="text1"/>
          <w:lang w:val="da-DK"/>
        </w:rPr>
        <w:t xml:space="preserve">   (</w:t>
      </w:r>
      <w:proofErr w:type="gramEnd"/>
      <w:r w:rsidR="00FF3CFD" w:rsidRPr="00552485">
        <w:rPr>
          <w:color w:val="000000" w:themeColor="text1"/>
          <w:lang w:val="da-DK"/>
        </w:rPr>
        <w:t>7</w:t>
      </w:r>
      <w:r w:rsidRPr="00552485">
        <w:rPr>
          <w:color w:val="000000" w:themeColor="text1"/>
          <w:lang w:val="da-DK"/>
        </w:rPr>
        <w:t>)</w:t>
      </w:r>
    </w:p>
    <w:p w14:paraId="4178D897" w14:textId="4131ABD8" w:rsidR="00FF3CFD" w:rsidRDefault="00495866" w:rsidP="0053305D">
      <w:pPr>
        <w:snapToGrid w:val="0"/>
        <w:spacing w:line="360" w:lineRule="auto"/>
        <w:jc w:val="both"/>
        <w:rPr>
          <w:color w:val="000000" w:themeColor="text1"/>
          <w:lang w:val="en-US"/>
        </w:rPr>
      </w:pPr>
      <w:r>
        <w:t xml:space="preserve">Where </w:t>
      </w:r>
      <w:r>
        <w:rPr>
          <w:rFonts w:ascii="Symbol" w:eastAsia="Symbol" w:hAnsi="Symbol" w:cs="Symbol"/>
          <w:color w:val="000000" w:themeColor="text1"/>
          <w:lang w:val="da-DK"/>
        </w:rPr>
        <w:t>D</w:t>
      </w:r>
      <m:oMath>
        <m:f>
          <m:fPr>
            <m:ctrlPr>
              <w:rPr>
                <w:rFonts w:ascii="Cambria Math" w:hAnsi="Cambria Math"/>
                <w:i/>
                <w:color w:val="000000" w:themeColor="text1"/>
                <w:lang w:val="da-DK"/>
              </w:rPr>
            </m:ctrlPr>
          </m:fPr>
          <m:num>
            <m:r>
              <w:rPr>
                <w:rFonts w:ascii="Cambria Math" w:hAnsi="Cambria Math"/>
                <w:color w:val="000000" w:themeColor="text1"/>
                <w:lang w:val="da-DK"/>
              </w:rPr>
              <m:t>c</m:t>
            </m:r>
            <m:r>
              <w:rPr>
                <w:rFonts w:ascii="Cambria Math" w:hAnsi="Cambria Math"/>
                <w:color w:val="000000" w:themeColor="text1"/>
                <w:lang w:val="en-US"/>
              </w:rPr>
              <m:t>h</m:t>
            </m:r>
            <m:r>
              <w:rPr>
                <w:rFonts w:ascii="Cambria Math" w:hAnsi="Cambria Math"/>
                <w:color w:val="000000" w:themeColor="text1"/>
                <w:lang w:val="da-DK"/>
              </w:rPr>
              <m:t>l</m:t>
            </m:r>
          </m:num>
          <m:den>
            <m:sSub>
              <m:sSubPr>
                <m:ctrlPr>
                  <w:rPr>
                    <w:rFonts w:ascii="Cambria Math" w:hAnsi="Cambria Math"/>
                    <w:i/>
                    <w:color w:val="000000" w:themeColor="text1"/>
                    <w:lang w:val="da-DK"/>
                  </w:rPr>
                </m:ctrlPr>
              </m:sSubPr>
              <m:e>
                <m:r>
                  <w:rPr>
                    <w:rFonts w:ascii="Cambria Math" w:hAnsi="Cambria Math"/>
                    <w:color w:val="000000" w:themeColor="text1"/>
                    <w:lang w:val="da-DK"/>
                  </w:rPr>
                  <m:t>C</m:t>
                </m:r>
              </m:e>
              <m:sub>
                <m:r>
                  <w:rPr>
                    <w:rFonts w:ascii="Cambria Math" w:hAnsi="Cambria Math"/>
                    <w:color w:val="000000" w:themeColor="text1"/>
                    <w:lang w:val="da-DK"/>
                  </w:rPr>
                  <m:t>NUT</m:t>
                </m:r>
              </m:sub>
            </m:sSub>
          </m:den>
        </m:f>
      </m:oMath>
      <w:r w:rsidRPr="00F81FA5">
        <w:rPr>
          <w:color w:val="000000" w:themeColor="text1"/>
          <w:lang w:val="en-US"/>
        </w:rPr>
        <w:t xml:space="preserve"> </w:t>
      </w:r>
      <w:r>
        <w:rPr>
          <w:color w:val="000000" w:themeColor="text1"/>
          <w:lang w:val="en-US"/>
        </w:rPr>
        <w:t>is the nutrient stress index</w:t>
      </w:r>
      <w:r w:rsidR="00F81FA5">
        <w:rPr>
          <w:color w:val="000000" w:themeColor="text1"/>
          <w:lang w:val="en-US"/>
        </w:rPr>
        <w:t xml:space="preserve"> (</w:t>
      </w:r>
      <w:r w:rsidR="00F81FA5" w:rsidRPr="00F81FA5">
        <w:rPr>
          <w:i/>
          <w:iCs/>
          <w:color w:val="000000" w:themeColor="text1"/>
          <w:lang w:val="en-US"/>
        </w:rPr>
        <w:t>g</w:t>
      </w:r>
      <w:r w:rsidR="00F81FA5">
        <w:rPr>
          <w:color w:val="000000" w:themeColor="text1"/>
          <w:lang w:val="en-US"/>
        </w:rPr>
        <w:t xml:space="preserve">), and is the difference between the </w:t>
      </w:r>
      <w:r w:rsidR="00FF3CFD">
        <w:rPr>
          <w:color w:val="000000" w:themeColor="text1"/>
          <w:lang w:val="en-US"/>
        </w:rPr>
        <w:t xml:space="preserve">surface </w:t>
      </w:r>
      <w:proofErr w:type="spellStart"/>
      <w:r w:rsidR="00F81FA5">
        <w:rPr>
          <w:color w:val="000000" w:themeColor="text1"/>
          <w:lang w:val="en-US"/>
        </w:rPr>
        <w:t>chl:C</w:t>
      </w:r>
      <w:proofErr w:type="spellEnd"/>
      <w:r w:rsidR="00F81FA5">
        <w:rPr>
          <w:color w:val="000000" w:themeColor="text1"/>
          <w:lang w:val="en-US"/>
        </w:rPr>
        <w:t xml:space="preserve"> and the </w:t>
      </w:r>
      <w:proofErr w:type="spellStart"/>
      <w:proofErr w:type="gramStart"/>
      <w:r w:rsidR="00F81FA5">
        <w:rPr>
          <w:color w:val="000000" w:themeColor="text1"/>
          <w:lang w:val="en-US"/>
        </w:rPr>
        <w:t>chl:C</w:t>
      </w:r>
      <w:r w:rsidR="00F81FA5" w:rsidRPr="00F81FA5">
        <w:rPr>
          <w:color w:val="000000" w:themeColor="text1"/>
          <w:vertAlign w:val="subscript"/>
          <w:lang w:val="en-US"/>
        </w:rPr>
        <w:t>max</w:t>
      </w:r>
      <w:proofErr w:type="spellEnd"/>
      <w:proofErr w:type="gramEnd"/>
      <w:r w:rsidR="00FF3CFD">
        <w:rPr>
          <w:color w:val="000000" w:themeColor="text1"/>
          <w:lang w:val="en-US"/>
        </w:rPr>
        <w:t>:</w:t>
      </w:r>
      <w:r>
        <w:rPr>
          <w:color w:val="000000" w:themeColor="text1"/>
          <w:lang w:val="en-US"/>
        </w:rPr>
        <w:t xml:space="preserve"> </w:t>
      </w:r>
    </w:p>
    <w:p w14:paraId="5EB57688" w14:textId="3A4C959C" w:rsidR="00FF3CFD" w:rsidRPr="00EF2429" w:rsidRDefault="00FF3CFD" w:rsidP="00EF2429">
      <w:pPr>
        <w:snapToGrid w:val="0"/>
        <w:spacing w:line="360" w:lineRule="auto"/>
        <w:jc w:val="right"/>
        <w:rPr>
          <w:color w:val="000000" w:themeColor="text1"/>
        </w:rPr>
      </w:pPr>
      <w:proofErr w:type="spellStart"/>
      <w:proofErr w:type="gramStart"/>
      <w:r w:rsidRPr="00AC1AD8">
        <w:rPr>
          <w:color w:val="000000" w:themeColor="text1"/>
        </w:rPr>
        <w:t>chl:C</w:t>
      </w:r>
      <w:r w:rsidRPr="00AC1AD8">
        <w:rPr>
          <w:color w:val="000000" w:themeColor="text1"/>
          <w:vertAlign w:val="subscript"/>
        </w:rPr>
        <w:t>max</w:t>
      </w:r>
      <w:proofErr w:type="spellEnd"/>
      <w:proofErr w:type="gramEnd"/>
      <w:r w:rsidRPr="00AC1AD8">
        <w:rPr>
          <w:color w:val="000000" w:themeColor="text1"/>
        </w:rPr>
        <w:t xml:space="preserve">(z) = 0.022 + (0.045 – 0.022) </w:t>
      </w:r>
      <w:r w:rsidRPr="00AC1AD8">
        <w:rPr>
          <w:rFonts w:eastAsia="Symbol"/>
          <w:color w:val="000000" w:themeColor="text1"/>
        </w:rPr>
        <w:t>×</w:t>
      </w:r>
      <w:r w:rsidRPr="00AC1AD8">
        <w:rPr>
          <w:color w:val="000000" w:themeColor="text1"/>
        </w:rPr>
        <w:t xml:space="preserve"> </w:t>
      </w:r>
      <w:r w:rsidRPr="00495866">
        <w:rPr>
          <w:i/>
          <w:iCs/>
          <w:color w:val="000000" w:themeColor="text1"/>
        </w:rPr>
        <w:t>e</w:t>
      </w:r>
      <w:r w:rsidRPr="00AC1AD8">
        <w:rPr>
          <w:color w:val="000000" w:themeColor="text1"/>
          <w:vertAlign w:val="superscript"/>
        </w:rPr>
        <w:t>-3</w:t>
      </w:r>
      <w:r>
        <w:rPr>
          <w:color w:val="000000" w:themeColor="text1"/>
          <w:vertAlign w:val="superscript"/>
        </w:rPr>
        <w:t>.0</w:t>
      </w:r>
      <w:r w:rsidRPr="00AC1AD8">
        <w:rPr>
          <w:color w:val="000000" w:themeColor="text1"/>
          <w:vertAlign w:val="superscript"/>
        </w:rPr>
        <w:t xml:space="preserve"> PAR(z)/daylength</w:t>
      </w:r>
      <w:r w:rsidRPr="00AC1AD8">
        <w:rPr>
          <w:color w:val="000000" w:themeColor="text1"/>
        </w:rPr>
        <w:t xml:space="preserve">    </w:t>
      </w:r>
      <w:r w:rsidRPr="00AC1AD8">
        <w:rPr>
          <w:i/>
          <w:iCs/>
          <w:color w:val="000000" w:themeColor="text1"/>
        </w:rPr>
        <w:t xml:space="preserve">               </w:t>
      </w:r>
      <w:r w:rsidRPr="00AC1AD8">
        <w:rPr>
          <w:color w:val="000000" w:themeColor="text1"/>
        </w:rPr>
        <w:t>(</w:t>
      </w:r>
      <w:r>
        <w:rPr>
          <w:color w:val="000000" w:themeColor="text1"/>
        </w:rPr>
        <w:t>8</w:t>
      </w:r>
      <w:r w:rsidRPr="00AC1AD8">
        <w:rPr>
          <w:color w:val="000000" w:themeColor="text1"/>
        </w:rPr>
        <w:t>)</w:t>
      </w:r>
    </w:p>
    <w:p w14:paraId="143404D3" w14:textId="77777777" w:rsidR="004F3120" w:rsidRDefault="00D16756" w:rsidP="0053305D">
      <w:pPr>
        <w:snapToGrid w:val="0"/>
        <w:spacing w:line="360" w:lineRule="auto"/>
        <w:jc w:val="both"/>
      </w:pPr>
      <w:r>
        <w:t>When</w:t>
      </w:r>
      <w:r w:rsidR="0076367F">
        <w:t xml:space="preserve"> light decreases, </w:t>
      </w:r>
      <w:proofErr w:type="spellStart"/>
      <w:r w:rsidR="0076367F">
        <w:t>chl:C</w:t>
      </w:r>
      <w:proofErr w:type="spellEnd"/>
      <w:r w:rsidR="0076367F">
        <w:t xml:space="preserve"> ratios increase as phytoplankton increase their cellular pigments</w:t>
      </w:r>
      <w:r w:rsidR="00D007B7">
        <w:t xml:space="preserve"> to </w:t>
      </w:r>
      <w:r w:rsidR="0003770E">
        <w:t>acclimate</w:t>
      </w:r>
      <w:r w:rsidR="00D007B7">
        <w:t xml:space="preserve"> to low light</w:t>
      </w:r>
      <w:r w:rsidR="0005275E">
        <w:t xml:space="preserve"> (Geider et al. 1997; Graff et al. 2016)</w:t>
      </w:r>
      <w:r w:rsidR="00225353">
        <w:t>.</w:t>
      </w:r>
      <w:r w:rsidR="00624915">
        <w:t xml:space="preserve"> So </w:t>
      </w:r>
      <w:proofErr w:type="spellStart"/>
      <w:r w:rsidR="00624915">
        <w:t>chl:C</w:t>
      </w:r>
      <w:proofErr w:type="spellEnd"/>
      <w:r w:rsidR="00624915">
        <w:t xml:space="preserve"> ratios generally increase with depth due to </w:t>
      </w:r>
      <w:proofErr w:type="spellStart"/>
      <w:r w:rsidR="00624915">
        <w:t>photoacclimation</w:t>
      </w:r>
      <w:proofErr w:type="spellEnd"/>
      <w:r w:rsidR="00624915">
        <w:t>.</w:t>
      </w:r>
      <w:r w:rsidR="00225353">
        <w:t xml:space="preserve"> </w:t>
      </w:r>
      <w:r w:rsidR="00624915">
        <w:t>This trend</w:t>
      </w:r>
      <w:r w:rsidR="00EF5449">
        <w:t xml:space="preserve"> </w:t>
      </w:r>
      <w:r w:rsidR="00624915">
        <w:t>is further affected</w:t>
      </w:r>
      <w:r w:rsidR="00D17E85">
        <w:t xml:space="preserve"> by relaxation of nutrient stress</w:t>
      </w:r>
      <w:r w:rsidR="00F81FA5">
        <w:t xml:space="preserve">, </w:t>
      </w:r>
      <w:r w:rsidR="00624915">
        <w:t>which is also depth-dependent. Nutrient stress</w:t>
      </w:r>
      <w:r w:rsidR="00D17E85">
        <w:t xml:space="preserve"> </w:t>
      </w:r>
      <w:r w:rsidR="00EE30B6">
        <w:t xml:space="preserve">increases </w:t>
      </w:r>
      <w:r w:rsidR="0003770E">
        <w:t>with</w:t>
      </w:r>
      <w:r w:rsidR="00EE30B6">
        <w:t xml:space="preserve"> distance </w:t>
      </w:r>
      <w:r w:rsidR="00041514">
        <w:t>to</w:t>
      </w:r>
      <w:r w:rsidR="00EE30B6">
        <w:t xml:space="preserve"> the nitra</w:t>
      </w:r>
      <w:r w:rsidR="008A7BC9">
        <w:t>c</w:t>
      </w:r>
      <w:r w:rsidR="00EE30B6">
        <w:t>line</w:t>
      </w:r>
      <w:r w:rsidR="00F81FA5">
        <w:t xml:space="preserve"> (</w:t>
      </w:r>
      <m:oMath>
        <m:r>
          <w:rPr>
            <w:rFonts w:ascii="Cambria Math" w:hAnsi="Cambria Math"/>
            <w:color w:val="000000" w:themeColor="text1"/>
            <w:lang w:val="en-US"/>
          </w:rPr>
          <m:t>D</m:t>
        </m:r>
        <m:sSub>
          <m:sSubPr>
            <m:ctrlPr>
              <w:rPr>
                <w:rFonts w:ascii="Cambria Math" w:hAnsi="Cambria Math"/>
                <w:i/>
                <w:color w:val="000000" w:themeColor="text1"/>
                <w:lang w:val="da-DK"/>
              </w:rPr>
            </m:ctrlPr>
          </m:sSubPr>
          <m:e>
            <m:r>
              <w:rPr>
                <w:rFonts w:ascii="Cambria Math" w:hAnsi="Cambria Math"/>
                <w:color w:val="000000" w:themeColor="text1"/>
                <w:lang w:val="da-DK"/>
              </w:rPr>
              <m:t>z</m:t>
            </m:r>
          </m:e>
          <m:sub>
            <m:r>
              <w:rPr>
                <w:rFonts w:ascii="Cambria Math" w:hAnsi="Cambria Math"/>
                <w:color w:val="000000" w:themeColor="text1"/>
                <w:lang w:val="da-DK"/>
              </w:rPr>
              <m:t>DNO</m:t>
            </m:r>
            <m:r>
              <w:rPr>
                <w:rFonts w:ascii="Cambria Math" w:hAnsi="Cambria Math"/>
                <w:color w:val="000000" w:themeColor="text1"/>
                <w:lang w:val="en-US"/>
              </w:rPr>
              <m:t>3</m:t>
            </m:r>
          </m:sub>
        </m:sSub>
        <m:r>
          <w:rPr>
            <w:rFonts w:ascii="Cambria Math" w:hAnsi="Cambria Math"/>
            <w:color w:val="000000" w:themeColor="text1"/>
            <w:lang w:val="en-US"/>
          </w:rPr>
          <m:t>)</m:t>
        </m:r>
      </m:oMath>
      <w:r w:rsidR="00624915">
        <w:t>, i.e., from depth towards the surface, and chl:C ratios decrease with nutrient stress</w:t>
      </w:r>
      <w:r w:rsidR="005B734B">
        <w:t>.</w:t>
      </w:r>
      <w:r w:rsidR="00927B7F">
        <w:t xml:space="preserve"> </w:t>
      </w:r>
      <w:r w:rsidR="001C5B93">
        <w:t>T</w:t>
      </w:r>
      <w:r w:rsidR="0003770E">
        <w:t xml:space="preserve">he </w:t>
      </w:r>
      <w:proofErr w:type="spellStart"/>
      <w:r w:rsidR="0003770E">
        <w:t>chl:C</w:t>
      </w:r>
      <w:proofErr w:type="spellEnd"/>
      <w:r w:rsidR="0003770E">
        <w:t xml:space="preserve"> ratio</w:t>
      </w:r>
      <w:r w:rsidR="005421BE">
        <w:t xml:space="preserve"> resulting from the light level at each depth and the distance to the </w:t>
      </w:r>
      <w:r w:rsidR="009D015E">
        <w:t>nitracline</w:t>
      </w:r>
      <w:r w:rsidR="00624915">
        <w:t xml:space="preserve"> (with the nitracline depth derived from </w:t>
      </w:r>
      <w:proofErr w:type="spellStart"/>
      <w:r w:rsidR="00624915">
        <w:t>climatologies</w:t>
      </w:r>
      <w:proofErr w:type="spellEnd"/>
      <w:r w:rsidR="00624915">
        <w:t>)</w:t>
      </w:r>
      <w:r w:rsidR="005421BE">
        <w:t xml:space="preserve"> </w:t>
      </w:r>
      <w:r w:rsidR="009D015E">
        <w:t xml:space="preserve">determines </w:t>
      </w:r>
      <w:r w:rsidR="000A52FF">
        <w:t xml:space="preserve">phytoplankton </w:t>
      </w:r>
      <w:r w:rsidR="00107DCB">
        <w:t xml:space="preserve">growth </w:t>
      </w:r>
      <w:r w:rsidR="00927B7F">
        <w:t>rate</w:t>
      </w:r>
      <w:r w:rsidR="009D015E">
        <w:t>s (µ)</w:t>
      </w:r>
      <w:r w:rsidR="0074452D">
        <w:t xml:space="preserve"> at each depth</w:t>
      </w:r>
      <w:r w:rsidR="00495866">
        <w:t>.</w:t>
      </w:r>
      <w:r w:rsidR="00B13361">
        <w:t xml:space="preserve"> </w:t>
      </w:r>
      <w:r w:rsidR="00503EB7">
        <w:t>The C biomass below the ML is then calculated based on growth and losses, defined by a constant growing rate (R = 0.1 d</w:t>
      </w:r>
      <w:r w:rsidR="00503EB7" w:rsidRPr="00503EB7">
        <w:rPr>
          <w:vertAlign w:val="superscript"/>
        </w:rPr>
        <w:t>-1</w:t>
      </w:r>
      <w:r w:rsidR="00503EB7">
        <w:t>).</w:t>
      </w:r>
    </w:p>
    <w:p w14:paraId="2D1908E7" w14:textId="115C9E1B" w:rsidR="00283AD1" w:rsidRDefault="00283AD1" w:rsidP="0053305D">
      <w:pPr>
        <w:snapToGrid w:val="0"/>
        <w:spacing w:line="360" w:lineRule="auto"/>
        <w:jc w:val="both"/>
      </w:pPr>
    </w:p>
    <w:p w14:paraId="6A5518A4" w14:textId="72E4AC2B" w:rsidR="000E3459" w:rsidRDefault="00730C43" w:rsidP="0053305D">
      <w:pPr>
        <w:snapToGrid w:val="0"/>
        <w:spacing w:line="360" w:lineRule="auto"/>
        <w:jc w:val="both"/>
      </w:pPr>
      <w:r w:rsidRPr="6F732D41">
        <w:rPr>
          <w:color w:val="000000" w:themeColor="text1"/>
        </w:rPr>
        <w:t>Because we are using</w:t>
      </w:r>
      <w:r w:rsidR="00D0650C" w:rsidRPr="6F732D41">
        <w:rPr>
          <w:color w:val="000000" w:themeColor="text1"/>
        </w:rPr>
        <w:t xml:space="preserve"> full profiles of </w:t>
      </w:r>
      <w:proofErr w:type="spellStart"/>
      <w:r w:rsidR="00D0650C" w:rsidRPr="6F732D41">
        <w:rPr>
          <w:color w:val="000000" w:themeColor="text1"/>
        </w:rPr>
        <w:t>chl</w:t>
      </w:r>
      <w:proofErr w:type="spellEnd"/>
      <w:r w:rsidR="00A2547F" w:rsidRPr="6F732D41">
        <w:rPr>
          <w:color w:val="000000" w:themeColor="text1"/>
        </w:rPr>
        <w:t xml:space="preserve"> and </w:t>
      </w:r>
      <w:proofErr w:type="spellStart"/>
      <w:r w:rsidR="00F5667A">
        <w:rPr>
          <w:color w:val="000000" w:themeColor="text1"/>
        </w:rPr>
        <w:t>b</w:t>
      </w:r>
      <w:r w:rsidR="00F5667A" w:rsidRPr="00F5667A">
        <w:rPr>
          <w:color w:val="000000" w:themeColor="text1"/>
          <w:vertAlign w:val="subscript"/>
        </w:rPr>
        <w:t>bp</w:t>
      </w:r>
      <w:proofErr w:type="spellEnd"/>
      <w:r w:rsidR="00F5667A" w:rsidRPr="6F732D41">
        <w:rPr>
          <w:color w:val="000000" w:themeColor="text1"/>
        </w:rPr>
        <w:t xml:space="preserve"> </w:t>
      </w:r>
      <w:r w:rsidR="00D0650C" w:rsidRPr="6F732D41">
        <w:rPr>
          <w:color w:val="000000" w:themeColor="text1"/>
        </w:rPr>
        <w:t>from the floats,</w:t>
      </w:r>
      <w:r w:rsidR="00BF382D" w:rsidRPr="6F732D41">
        <w:rPr>
          <w:color w:val="000000" w:themeColor="text1"/>
        </w:rPr>
        <w:t xml:space="preserve"> </w:t>
      </w:r>
      <w:r w:rsidRPr="6F732D41">
        <w:rPr>
          <w:color w:val="000000" w:themeColor="text1"/>
        </w:rPr>
        <w:t>there is no need</w:t>
      </w:r>
      <w:r w:rsidR="00C81CCB" w:rsidRPr="6F732D41">
        <w:rPr>
          <w:color w:val="000000" w:themeColor="text1"/>
        </w:rPr>
        <w:t xml:space="preserve"> to reconstruct </w:t>
      </w:r>
      <w:proofErr w:type="spellStart"/>
      <w:r w:rsidR="00C81CCB" w:rsidRPr="6F732D41">
        <w:rPr>
          <w:color w:val="000000" w:themeColor="text1"/>
        </w:rPr>
        <w:t>chl:C</w:t>
      </w:r>
      <w:proofErr w:type="spellEnd"/>
      <w:r w:rsidR="00C81CCB" w:rsidRPr="6F732D41">
        <w:rPr>
          <w:color w:val="000000" w:themeColor="text1"/>
        </w:rPr>
        <w:t xml:space="preserve"> ratios below the ML based on a</w:t>
      </w:r>
      <w:r w:rsidR="003D2F05" w:rsidRPr="6F732D41">
        <w:rPr>
          <w:color w:val="000000" w:themeColor="text1"/>
        </w:rPr>
        <w:t xml:space="preserve"> light or</w:t>
      </w:r>
      <w:r w:rsidR="00C81CCB" w:rsidRPr="6F732D41">
        <w:rPr>
          <w:color w:val="000000" w:themeColor="text1"/>
        </w:rPr>
        <w:t xml:space="preserve"> nutrient </w:t>
      </w:r>
      <w:r w:rsidR="003D2F05" w:rsidRPr="6F732D41">
        <w:rPr>
          <w:color w:val="000000" w:themeColor="text1"/>
        </w:rPr>
        <w:t>index</w:t>
      </w:r>
      <w:r w:rsidR="00C81CCB" w:rsidRPr="6F732D41">
        <w:rPr>
          <w:color w:val="000000" w:themeColor="text1"/>
        </w:rPr>
        <w:t xml:space="preserve">. </w:t>
      </w:r>
      <w:r w:rsidR="00244FE2" w:rsidRPr="6F732D41">
        <w:rPr>
          <w:color w:val="000000" w:themeColor="text1"/>
        </w:rPr>
        <w:t>Instead</w:t>
      </w:r>
      <w:r w:rsidR="00C81CCB" w:rsidRPr="6F732D41">
        <w:rPr>
          <w:color w:val="000000" w:themeColor="text1"/>
        </w:rPr>
        <w:t>,</w:t>
      </w:r>
      <w:r w:rsidR="00D0650C" w:rsidRPr="6F732D41">
        <w:rPr>
          <w:color w:val="000000" w:themeColor="text1"/>
        </w:rPr>
        <w:t xml:space="preserve"> t</w:t>
      </w:r>
      <w:r w:rsidR="031D467D" w:rsidRPr="6F732D41">
        <w:rPr>
          <w:color w:val="000000" w:themeColor="text1"/>
        </w:rPr>
        <w:t>he cellular nutrient index</w:t>
      </w:r>
      <w:r w:rsidR="0407A3D8" w:rsidRPr="6F732D41">
        <w:rPr>
          <w:color w:val="000000" w:themeColor="text1"/>
        </w:rPr>
        <w:t xml:space="preserve"> (</w:t>
      </w:r>
      <w:r w:rsidR="00EA69C1" w:rsidRPr="6F732D41">
        <w:rPr>
          <w:i/>
          <w:iCs/>
        </w:rPr>
        <w:t>g</w:t>
      </w:r>
      <w:r w:rsidR="0407A3D8" w:rsidRPr="6F732D41">
        <w:rPr>
          <w:color w:val="000000" w:themeColor="text1"/>
        </w:rPr>
        <w:t>)</w:t>
      </w:r>
      <w:r w:rsidR="00EA69C1" w:rsidRPr="6F732D41">
        <w:rPr>
          <w:color w:val="000000" w:themeColor="text1"/>
        </w:rPr>
        <w:t xml:space="preserve">, at each light level, </w:t>
      </w:r>
      <w:r w:rsidR="001C17C8">
        <w:rPr>
          <w:color w:val="000000" w:themeColor="text1"/>
        </w:rPr>
        <w:t>was</w:t>
      </w:r>
      <w:r w:rsidR="001C17C8" w:rsidRPr="6F732D41">
        <w:rPr>
          <w:color w:val="000000" w:themeColor="text1"/>
        </w:rPr>
        <w:t xml:space="preserve"> </w:t>
      </w:r>
      <w:r w:rsidR="7DDAD473" w:rsidRPr="6F732D41">
        <w:rPr>
          <w:color w:val="000000" w:themeColor="text1"/>
        </w:rPr>
        <w:t xml:space="preserve">modelled </w:t>
      </w:r>
      <w:r w:rsidR="27543A3A" w:rsidRPr="6F732D41">
        <w:rPr>
          <w:color w:val="000000" w:themeColor="text1"/>
        </w:rPr>
        <w:t>following</w:t>
      </w:r>
      <w:r w:rsidR="7DDAD473" w:rsidRPr="6F732D41">
        <w:rPr>
          <w:color w:val="000000" w:themeColor="text1"/>
        </w:rPr>
        <w:t xml:space="preserve"> </w:t>
      </w:r>
      <w:r w:rsidR="00D0650C">
        <w:t xml:space="preserve">Arteaga </w:t>
      </w:r>
      <w:r w:rsidR="7DDAD473">
        <w:t xml:space="preserve">et al. </w:t>
      </w:r>
      <w:r w:rsidR="0A321B76">
        <w:t>(</w:t>
      </w:r>
      <w:r w:rsidR="7DDAD473">
        <w:t>20</w:t>
      </w:r>
      <w:r w:rsidR="00D0650C">
        <w:t>22</w:t>
      </w:r>
      <w:r w:rsidR="7DDAD473">
        <w:t>)</w:t>
      </w:r>
      <w:r w:rsidR="00FF3CFD">
        <w:t>, skipping Eq. 7 and using the float profiles directly in Eq. 9</w:t>
      </w:r>
      <w:r w:rsidR="0B032C8C">
        <w:t>:</w:t>
      </w:r>
    </w:p>
    <w:p w14:paraId="420016C7" w14:textId="5B7E4FE4" w:rsidR="000E3459" w:rsidRPr="00AC1AD8" w:rsidRDefault="00EA69C1" w:rsidP="0053305D">
      <w:pPr>
        <w:snapToGrid w:val="0"/>
        <w:spacing w:line="360" w:lineRule="auto"/>
        <w:jc w:val="right"/>
        <w:rPr>
          <w:color w:val="000000"/>
        </w:rPr>
      </w:pPr>
      <w:r w:rsidRPr="000C00EF">
        <w:rPr>
          <w:i/>
          <w:iCs/>
        </w:rPr>
        <w:t>g</w:t>
      </w:r>
      <w:r w:rsidRPr="000C00EF" w:rsidDel="002055C7">
        <w:rPr>
          <w:i/>
          <w:iCs/>
        </w:rPr>
        <w:t xml:space="preserve"> </w:t>
      </w:r>
      <w:r w:rsidR="000E3459" w:rsidRPr="00AC1AD8">
        <w:rPr>
          <w:color w:val="000000"/>
        </w:rPr>
        <w:t xml:space="preserve">(z) = </w:t>
      </w:r>
      <m:oMath>
        <m:f>
          <m:fPr>
            <m:ctrlPr>
              <w:rPr>
                <w:rFonts w:ascii="Cambria Math" w:hAnsi="Cambria Math"/>
                <w:iCs/>
                <w:color w:val="000000"/>
              </w:rPr>
            </m:ctrlPr>
          </m:fPr>
          <m:num>
            <m:r>
              <m:rPr>
                <m:sty m:val="p"/>
              </m:rPr>
              <w:rPr>
                <w:rFonts w:ascii="Cambria Math" w:hAnsi="Cambria Math"/>
                <w:color w:val="000000"/>
              </w:rPr>
              <m:t>chl:C</m:t>
            </m:r>
            <m:d>
              <m:dPr>
                <m:ctrlPr>
                  <w:rPr>
                    <w:rFonts w:ascii="Cambria Math" w:hAnsi="Cambria Math"/>
                    <w:iCs/>
                    <w:color w:val="000000"/>
                  </w:rPr>
                </m:ctrlPr>
              </m:dPr>
              <m:e>
                <m:r>
                  <m:rPr>
                    <m:sty m:val="p"/>
                  </m:rPr>
                  <w:rPr>
                    <w:rFonts w:ascii="Cambria Math" w:hAnsi="Cambria Math"/>
                    <w:color w:val="000000"/>
                  </w:rPr>
                  <m:t>z</m:t>
                </m:r>
              </m:e>
            </m:d>
            <m:r>
              <m:rPr>
                <m:sty m:val="p"/>
              </m:rPr>
              <w:rPr>
                <w:rFonts w:ascii="Cambria Math" w:hAnsi="Cambria Math"/>
                <w:color w:val="000000"/>
              </w:rPr>
              <m:t>-</m:t>
            </m:r>
            <m:sSub>
              <m:sSubPr>
                <m:ctrlPr>
                  <w:rPr>
                    <w:rFonts w:ascii="Cambria Math" w:hAnsi="Cambria Math"/>
                    <w:iCs/>
                    <w:color w:val="000000"/>
                  </w:rPr>
                </m:ctrlPr>
              </m:sSubPr>
              <m:e>
                <m:r>
                  <m:rPr>
                    <m:sty m:val="p"/>
                  </m:rPr>
                  <w:rPr>
                    <w:rFonts w:ascii="Cambria Math" w:hAnsi="Cambria Math"/>
                    <w:color w:val="000000"/>
                  </w:rPr>
                  <m:t>chl:C</m:t>
                </m:r>
              </m:e>
              <m:sub>
                <m:r>
                  <m:rPr>
                    <m:sty m:val="p"/>
                  </m:rPr>
                  <w:rPr>
                    <w:rFonts w:ascii="Cambria Math" w:hAnsi="Cambria Math"/>
                    <w:color w:val="000000"/>
                  </w:rPr>
                  <m:t>µ=0</m:t>
                </m:r>
              </m:sub>
            </m:sSub>
          </m:num>
          <m:den>
            <m:sSub>
              <m:sSubPr>
                <m:ctrlPr>
                  <w:rPr>
                    <w:rFonts w:ascii="Cambria Math" w:hAnsi="Cambria Math"/>
                    <w:iCs/>
                    <w:color w:val="000000"/>
                  </w:rPr>
                </m:ctrlPr>
              </m:sSubPr>
              <m:e>
                <m:r>
                  <m:rPr>
                    <m:sty m:val="p"/>
                  </m:rPr>
                  <w:rPr>
                    <w:rFonts w:ascii="Cambria Math" w:hAnsi="Cambria Math"/>
                    <w:color w:val="000000"/>
                  </w:rPr>
                  <m:t>chl:C</m:t>
                </m:r>
              </m:e>
              <m:sub>
                <m:r>
                  <m:rPr>
                    <m:sty m:val="p"/>
                  </m:rPr>
                  <w:rPr>
                    <w:rFonts w:ascii="Cambria Math" w:hAnsi="Cambria Math"/>
                    <w:color w:val="000000"/>
                  </w:rPr>
                  <m:t>max</m:t>
                </m:r>
              </m:sub>
            </m:sSub>
            <m:d>
              <m:dPr>
                <m:ctrlPr>
                  <w:rPr>
                    <w:rFonts w:ascii="Cambria Math" w:hAnsi="Cambria Math"/>
                    <w:iCs/>
                    <w:color w:val="000000"/>
                  </w:rPr>
                </m:ctrlPr>
              </m:dPr>
              <m:e>
                <m:r>
                  <m:rPr>
                    <m:sty m:val="p"/>
                  </m:rPr>
                  <w:rPr>
                    <w:rFonts w:ascii="Cambria Math" w:hAnsi="Cambria Math"/>
                    <w:color w:val="000000"/>
                  </w:rPr>
                  <m:t>z</m:t>
                </m:r>
              </m:e>
            </m:d>
            <m:r>
              <m:rPr>
                <m:sty m:val="p"/>
              </m:rPr>
              <w:rPr>
                <w:rFonts w:ascii="Cambria Math" w:hAnsi="Cambria Math"/>
                <w:color w:val="000000"/>
              </w:rPr>
              <m:t>-</m:t>
            </m:r>
            <m:sSub>
              <m:sSubPr>
                <m:ctrlPr>
                  <w:rPr>
                    <w:rFonts w:ascii="Cambria Math" w:hAnsi="Cambria Math"/>
                    <w:iCs/>
                    <w:color w:val="000000"/>
                  </w:rPr>
                </m:ctrlPr>
              </m:sSubPr>
              <m:e>
                <m:r>
                  <m:rPr>
                    <m:sty m:val="p"/>
                  </m:rPr>
                  <w:rPr>
                    <w:rFonts w:ascii="Cambria Math" w:hAnsi="Cambria Math"/>
                    <w:color w:val="000000"/>
                  </w:rPr>
                  <m:t>chl:C</m:t>
                </m:r>
              </m:e>
              <m:sub>
                <m:r>
                  <m:rPr>
                    <m:sty m:val="p"/>
                  </m:rPr>
                  <w:rPr>
                    <w:rFonts w:ascii="Cambria Math" w:hAnsi="Cambria Math"/>
                    <w:color w:val="000000"/>
                  </w:rPr>
                  <m:t>µ=0</m:t>
                </m:r>
              </m:sub>
            </m:sSub>
          </m:den>
        </m:f>
      </m:oMath>
      <w:r w:rsidR="000E3459" w:rsidRPr="00AC1AD8">
        <w:rPr>
          <w:iCs/>
          <w:color w:val="000000"/>
        </w:rPr>
        <w:t xml:space="preserve">   </w:t>
      </w:r>
      <w:r w:rsidR="000E3459" w:rsidRPr="00AC1AD8">
        <w:rPr>
          <w:i/>
          <w:iCs/>
          <w:color w:val="000000"/>
        </w:rPr>
        <w:t xml:space="preserve">     </w:t>
      </w:r>
      <w:r w:rsidR="00CD6092" w:rsidRPr="00AC1AD8">
        <w:rPr>
          <w:i/>
          <w:iCs/>
          <w:color w:val="000000"/>
        </w:rPr>
        <w:t xml:space="preserve">       </w:t>
      </w:r>
      <w:r w:rsidR="000E3459" w:rsidRPr="00AC1AD8">
        <w:rPr>
          <w:i/>
          <w:iCs/>
          <w:color w:val="000000"/>
        </w:rPr>
        <w:t xml:space="preserve">        </w:t>
      </w:r>
      <w:r w:rsidR="00CD6092" w:rsidRPr="00AC1AD8">
        <w:rPr>
          <w:i/>
          <w:iCs/>
          <w:color w:val="000000"/>
        </w:rPr>
        <w:t xml:space="preserve">   </w:t>
      </w:r>
      <w:r w:rsidR="002F5CF8" w:rsidRPr="00AC1AD8">
        <w:rPr>
          <w:i/>
          <w:iCs/>
          <w:color w:val="000000"/>
        </w:rPr>
        <w:t xml:space="preserve">    </w:t>
      </w:r>
      <w:r w:rsidR="000E3459" w:rsidRPr="00AC1AD8">
        <w:rPr>
          <w:i/>
          <w:iCs/>
          <w:color w:val="000000"/>
        </w:rPr>
        <w:t xml:space="preserve">                   </w:t>
      </w:r>
      <w:proofErr w:type="gramStart"/>
      <w:r w:rsidR="000E3459" w:rsidRPr="00AC1AD8">
        <w:rPr>
          <w:i/>
          <w:iCs/>
          <w:color w:val="000000"/>
        </w:rPr>
        <w:t xml:space="preserve">   </w:t>
      </w:r>
      <w:r w:rsidR="000E3459" w:rsidRPr="00AC1AD8">
        <w:rPr>
          <w:color w:val="000000"/>
        </w:rPr>
        <w:t>(</w:t>
      </w:r>
      <w:proofErr w:type="gramEnd"/>
      <w:r w:rsidR="00495866">
        <w:rPr>
          <w:color w:val="000000"/>
        </w:rPr>
        <w:t>9</w:t>
      </w:r>
      <w:r w:rsidR="000E3459" w:rsidRPr="00AC1AD8">
        <w:rPr>
          <w:color w:val="000000"/>
        </w:rPr>
        <w:t>)</w:t>
      </w:r>
    </w:p>
    <w:p w14:paraId="0E98DA03" w14:textId="32E5C47A" w:rsidR="00D83048" w:rsidRDefault="00F87F8E" w:rsidP="0053305D">
      <w:pPr>
        <w:snapToGrid w:val="0"/>
        <w:spacing w:line="360" w:lineRule="auto"/>
        <w:jc w:val="both"/>
      </w:pPr>
      <w:r w:rsidRPr="00AC1AD8">
        <w:t xml:space="preserve">where </w:t>
      </w:r>
      <w:proofErr w:type="spellStart"/>
      <w:r w:rsidRPr="00AC1AD8">
        <w:t>chl:C</w:t>
      </w:r>
      <w:proofErr w:type="spellEnd"/>
      <w:r w:rsidRPr="00AC1AD8">
        <w:rPr>
          <w:vertAlign w:val="subscript"/>
        </w:rPr>
        <w:t>µ=0</w:t>
      </w:r>
      <w:r w:rsidRPr="00AC1AD8">
        <w:t xml:space="preserve"> </w:t>
      </w:r>
      <w:r w:rsidRPr="00AC1AD8">
        <w:rPr>
          <w:iCs/>
          <w:color w:val="000000"/>
        </w:rPr>
        <w:t xml:space="preserve">was set to 0.0003 mg </w:t>
      </w:r>
      <w:proofErr w:type="spellStart"/>
      <w:r w:rsidRPr="00AC1AD8">
        <w:rPr>
          <w:iCs/>
          <w:color w:val="000000"/>
        </w:rPr>
        <w:t>chl</w:t>
      </w:r>
      <w:proofErr w:type="spellEnd"/>
      <w:r w:rsidRPr="00AC1AD8">
        <w:rPr>
          <w:iCs/>
          <w:color w:val="000000"/>
        </w:rPr>
        <w:t xml:space="preserve"> mg C</w:t>
      </w:r>
      <w:r w:rsidRPr="00AC1AD8">
        <w:rPr>
          <w:iCs/>
          <w:color w:val="000000"/>
          <w:vertAlign w:val="superscript"/>
        </w:rPr>
        <w:t>-1</w:t>
      </w:r>
      <w:r w:rsidR="006C7AD8">
        <w:rPr>
          <w:iCs/>
          <w:color w:val="000000"/>
        </w:rPr>
        <w:t xml:space="preserve">, based on the minimum observed satellite </w:t>
      </w:r>
      <w:proofErr w:type="spellStart"/>
      <w:r w:rsidR="006C7AD8">
        <w:rPr>
          <w:iCs/>
          <w:color w:val="000000"/>
        </w:rPr>
        <w:t>chl:C</w:t>
      </w:r>
      <w:proofErr w:type="spellEnd"/>
      <w:r w:rsidR="006C7AD8">
        <w:rPr>
          <w:iCs/>
          <w:color w:val="000000"/>
        </w:rPr>
        <w:t xml:space="preserve"> </w:t>
      </w:r>
      <w:r w:rsidRPr="00AC1AD8">
        <w:rPr>
          <w:iCs/>
          <w:color w:val="000000"/>
        </w:rPr>
        <w:t>(</w:t>
      </w:r>
      <w:proofErr w:type="spellStart"/>
      <w:r w:rsidRPr="00AC1AD8">
        <w:rPr>
          <w:iCs/>
          <w:color w:val="000000"/>
        </w:rPr>
        <w:t>Westberry</w:t>
      </w:r>
      <w:proofErr w:type="spellEnd"/>
      <w:r w:rsidRPr="00AC1AD8">
        <w:rPr>
          <w:iCs/>
          <w:color w:val="000000"/>
        </w:rPr>
        <w:t xml:space="preserve"> et al. 2008).</w:t>
      </w:r>
      <w:r w:rsidR="00210374" w:rsidRPr="00AC1AD8">
        <w:t xml:space="preserve"> </w:t>
      </w:r>
    </w:p>
    <w:p w14:paraId="0E8B3FAB" w14:textId="2B63B25C" w:rsidR="000E3459" w:rsidRPr="00AC1AD8" w:rsidRDefault="00266F74" w:rsidP="0053305D">
      <w:pPr>
        <w:snapToGrid w:val="0"/>
        <w:spacing w:line="360" w:lineRule="auto"/>
        <w:jc w:val="both"/>
      </w:pPr>
      <w:r w:rsidRPr="00AC1AD8">
        <w:t xml:space="preserve">The phytoplankton </w:t>
      </w:r>
      <w:r w:rsidR="00FF3CFD">
        <w:t>growth</w:t>
      </w:r>
      <w:r w:rsidR="00FF3CFD" w:rsidRPr="00AC1AD8">
        <w:t xml:space="preserve"> </w:t>
      </w:r>
      <w:r w:rsidRPr="00AC1AD8">
        <w:t xml:space="preserve">rate </w:t>
      </w:r>
      <w:r w:rsidRPr="00AC1AD8">
        <w:rPr>
          <w:color w:val="000000"/>
        </w:rPr>
        <w:t>(</w:t>
      </w:r>
      <w:r w:rsidR="000B32A7" w:rsidRPr="000C00EF">
        <w:rPr>
          <w:color w:val="000000" w:themeColor="text1"/>
        </w:rPr>
        <w:t>µ, d</w:t>
      </w:r>
      <w:r w:rsidR="000B32A7" w:rsidRPr="000C00EF">
        <w:rPr>
          <w:color w:val="000000" w:themeColor="text1"/>
          <w:vertAlign w:val="superscript"/>
        </w:rPr>
        <w:t>-1</w:t>
      </w:r>
      <w:r w:rsidRPr="00AC1AD8">
        <w:rPr>
          <w:color w:val="000000"/>
        </w:rPr>
        <w:t xml:space="preserve">) </w:t>
      </w:r>
      <w:r w:rsidRPr="00AC1AD8">
        <w:t>is then estimated at each depth (z) using</w:t>
      </w:r>
      <w:r w:rsidR="00CE4117" w:rsidRPr="00AC1AD8">
        <w:t xml:space="preserve"> the equation </w:t>
      </w:r>
    </w:p>
    <w:p w14:paraId="06C721C3" w14:textId="61F42B30" w:rsidR="00E61012" w:rsidRPr="000C00EF" w:rsidRDefault="00E61012" w:rsidP="0053305D">
      <w:pPr>
        <w:snapToGrid w:val="0"/>
        <w:spacing w:line="360" w:lineRule="auto"/>
        <w:jc w:val="right"/>
        <w:rPr>
          <w:color w:val="000000"/>
        </w:rPr>
      </w:pPr>
      <w:r w:rsidRPr="000C00EF">
        <w:t>µ</w:t>
      </w:r>
      <w:r w:rsidRPr="000C00EF">
        <w:rPr>
          <w:color w:val="000000"/>
        </w:rPr>
        <w:t>(z) = µ</w:t>
      </w:r>
      <w:r w:rsidRPr="000C00EF">
        <w:rPr>
          <w:color w:val="000000"/>
          <w:vertAlign w:val="subscript"/>
        </w:rPr>
        <w:t>max</w:t>
      </w:r>
      <w:r w:rsidRPr="000C00EF">
        <w:rPr>
          <w:color w:val="000000"/>
        </w:rPr>
        <w:t xml:space="preserve"> </w:t>
      </w:r>
      <w:r w:rsidRPr="000C00EF">
        <w:rPr>
          <w:rFonts w:eastAsia="Symbol"/>
          <w:color w:val="000000"/>
        </w:rPr>
        <w:t>×</w:t>
      </w:r>
      <w:r w:rsidRPr="000C00EF">
        <w:rPr>
          <w:color w:val="000000"/>
        </w:rPr>
        <w:t xml:space="preserve"> </w:t>
      </w:r>
      <w:r w:rsidRPr="000C00EF">
        <w:rPr>
          <w:i/>
          <w:iCs/>
        </w:rPr>
        <w:t>g</w:t>
      </w:r>
      <w:r w:rsidRPr="000C00EF">
        <w:rPr>
          <w:i/>
          <w:iCs/>
          <w:color w:val="000000"/>
        </w:rPr>
        <w:t xml:space="preserve"> </w:t>
      </w:r>
      <w:r w:rsidRPr="000C00EF">
        <w:rPr>
          <w:color w:val="000000"/>
        </w:rPr>
        <w:t xml:space="preserve">(z) </w:t>
      </w:r>
      <w:r w:rsidRPr="000C00EF">
        <w:rPr>
          <w:rFonts w:eastAsia="Symbol"/>
          <w:color w:val="000000"/>
        </w:rPr>
        <w:t>×</w:t>
      </w:r>
      <w:r w:rsidRPr="000C00EF">
        <w:rPr>
          <w:color w:val="000000"/>
        </w:rPr>
        <w:t xml:space="preserve"> </w:t>
      </w:r>
      <w:r w:rsidRPr="000C00EF">
        <w:rPr>
          <w:i/>
          <w:iCs/>
        </w:rPr>
        <w:t>f</w:t>
      </w:r>
      <w:r w:rsidRPr="000C00EF" w:rsidDel="002055C7">
        <w:rPr>
          <w:i/>
          <w:iCs/>
          <w:color w:val="000000"/>
        </w:rPr>
        <w:t xml:space="preserve"> </w:t>
      </w:r>
      <w:r w:rsidRPr="000C00EF">
        <w:rPr>
          <w:color w:val="000000"/>
        </w:rPr>
        <w:t>(</w:t>
      </w:r>
      <w:proofErr w:type="gramStart"/>
      <w:r w:rsidRPr="000C00EF">
        <w:rPr>
          <w:color w:val="000000"/>
        </w:rPr>
        <w:t>z)</w:t>
      </w:r>
      <w:r w:rsidRPr="000C00EF">
        <w:rPr>
          <w:i/>
          <w:iCs/>
          <w:color w:val="000000"/>
        </w:rPr>
        <w:t xml:space="preserve">   </w:t>
      </w:r>
      <w:proofErr w:type="gramEnd"/>
      <w:r w:rsidRPr="000C00EF">
        <w:rPr>
          <w:i/>
          <w:iCs/>
          <w:color w:val="000000"/>
        </w:rPr>
        <w:t xml:space="preserve">     </w:t>
      </w:r>
      <w:r w:rsidR="00C757A7">
        <w:rPr>
          <w:i/>
          <w:iCs/>
          <w:color w:val="000000"/>
        </w:rPr>
        <w:t xml:space="preserve">          </w:t>
      </w:r>
      <w:r w:rsidRPr="000C00EF">
        <w:rPr>
          <w:i/>
          <w:iCs/>
          <w:color w:val="000000"/>
        </w:rPr>
        <w:t xml:space="preserve">                               </w:t>
      </w:r>
      <w:r w:rsidRPr="000C00EF">
        <w:rPr>
          <w:color w:val="000000"/>
        </w:rPr>
        <w:t>(</w:t>
      </w:r>
      <w:r w:rsidR="00495866">
        <w:rPr>
          <w:color w:val="000000"/>
        </w:rPr>
        <w:t>10</w:t>
      </w:r>
      <w:r w:rsidRPr="000C00EF">
        <w:rPr>
          <w:color w:val="000000"/>
        </w:rPr>
        <w:t>)</w:t>
      </w:r>
    </w:p>
    <w:p w14:paraId="073366C3" w14:textId="0AE314C3" w:rsidR="00245AB3" w:rsidRPr="00AC1AD8" w:rsidRDefault="00F87F8E" w:rsidP="0053305D">
      <w:pPr>
        <w:snapToGrid w:val="0"/>
        <w:spacing w:line="360" w:lineRule="auto"/>
        <w:jc w:val="both"/>
        <w:rPr>
          <w:color w:val="000000"/>
        </w:rPr>
      </w:pPr>
      <w:r w:rsidRPr="00AC1AD8">
        <w:rPr>
          <w:color w:val="000000"/>
        </w:rPr>
        <w:t>where µ</w:t>
      </w:r>
      <w:r w:rsidRPr="00AC1AD8">
        <w:rPr>
          <w:color w:val="000000"/>
          <w:vertAlign w:val="subscript"/>
        </w:rPr>
        <w:t>max</w:t>
      </w:r>
      <w:r w:rsidRPr="00AC1AD8">
        <w:rPr>
          <w:color w:val="000000"/>
        </w:rPr>
        <w:t xml:space="preserve"> was set to 2</w:t>
      </w:r>
      <w:r w:rsidR="00317B22">
        <w:rPr>
          <w:color w:val="000000"/>
        </w:rPr>
        <w:t>, based on</w:t>
      </w:r>
      <w:r w:rsidR="006C7AD8">
        <w:rPr>
          <w:color w:val="000000"/>
        </w:rPr>
        <w:t xml:space="preserve"> a natural observed maximum growth rate</w:t>
      </w:r>
      <w:r w:rsidR="000B43A4" w:rsidRPr="00AC1AD8">
        <w:rPr>
          <w:color w:val="000000"/>
        </w:rPr>
        <w:t xml:space="preserve"> (</w:t>
      </w:r>
      <w:r w:rsidR="00C757A7" w:rsidRPr="000C00EF">
        <w:rPr>
          <w:color w:val="000000"/>
        </w:rPr>
        <w:t>Banse, 1991</w:t>
      </w:r>
      <w:r w:rsidR="000B43A4" w:rsidRPr="00AC1AD8">
        <w:rPr>
          <w:color w:val="000000"/>
        </w:rPr>
        <w:t>). Finally, t</w:t>
      </w:r>
      <w:r w:rsidR="00245AB3" w:rsidRPr="00AC1AD8">
        <w:rPr>
          <w:color w:val="000000"/>
        </w:rPr>
        <w:t xml:space="preserve">he </w:t>
      </w:r>
      <w:r w:rsidR="000B43A4" w:rsidRPr="00AC1AD8">
        <w:rPr>
          <w:color w:val="000000"/>
        </w:rPr>
        <w:t>depth-resolved</w:t>
      </w:r>
      <w:r w:rsidR="00245AB3" w:rsidRPr="00AC1AD8">
        <w:rPr>
          <w:color w:val="000000"/>
        </w:rPr>
        <w:t xml:space="preserve"> daily net primary production</w:t>
      </w:r>
      <w:r w:rsidR="00CE4117" w:rsidRPr="00AC1AD8">
        <w:rPr>
          <w:color w:val="000000"/>
        </w:rPr>
        <w:t xml:space="preserve"> (NPP, mg C m</w:t>
      </w:r>
      <w:r w:rsidR="00CE4117" w:rsidRPr="00AC1AD8">
        <w:rPr>
          <w:color w:val="000000"/>
          <w:vertAlign w:val="superscript"/>
        </w:rPr>
        <w:t>-3</w:t>
      </w:r>
      <w:r w:rsidR="00CE4117" w:rsidRPr="00AC1AD8">
        <w:rPr>
          <w:color w:val="000000"/>
        </w:rPr>
        <w:t xml:space="preserve"> d</w:t>
      </w:r>
      <w:r w:rsidR="00CE4117" w:rsidRPr="00AC1AD8">
        <w:rPr>
          <w:color w:val="000000"/>
          <w:vertAlign w:val="superscript"/>
        </w:rPr>
        <w:t>-1</w:t>
      </w:r>
      <w:r w:rsidR="00CE4117" w:rsidRPr="00AC1AD8">
        <w:rPr>
          <w:color w:val="000000"/>
        </w:rPr>
        <w:t>)</w:t>
      </w:r>
      <w:r w:rsidR="00245AB3" w:rsidRPr="00AC1AD8">
        <w:rPr>
          <w:color w:val="000000"/>
        </w:rPr>
        <w:t xml:space="preserve"> from the </w:t>
      </w:r>
      <w:proofErr w:type="spellStart"/>
      <w:r w:rsidR="00245AB3" w:rsidRPr="00AC1AD8">
        <w:rPr>
          <w:color w:val="000000"/>
        </w:rPr>
        <w:t>CbPM</w:t>
      </w:r>
      <w:proofErr w:type="spellEnd"/>
      <w:r w:rsidR="00245AB3" w:rsidRPr="00AC1AD8">
        <w:rPr>
          <w:color w:val="000000"/>
        </w:rPr>
        <w:t xml:space="preserve"> was </w:t>
      </w:r>
      <w:r w:rsidR="000B43A4" w:rsidRPr="00AC1AD8">
        <w:rPr>
          <w:color w:val="000000"/>
        </w:rPr>
        <w:t>computed</w:t>
      </w:r>
      <w:r w:rsidR="00B13361">
        <w:rPr>
          <w:color w:val="000000"/>
        </w:rPr>
        <w:t xml:space="preserve"> using the </w:t>
      </w:r>
      <w:proofErr w:type="spellStart"/>
      <w:r w:rsidR="00B13361">
        <w:rPr>
          <w:color w:val="000000"/>
        </w:rPr>
        <w:t>C</w:t>
      </w:r>
      <w:r w:rsidR="00B13361" w:rsidRPr="00B13361">
        <w:rPr>
          <w:color w:val="000000"/>
          <w:vertAlign w:val="subscript"/>
        </w:rPr>
        <w:t>phyto</w:t>
      </w:r>
      <w:proofErr w:type="spellEnd"/>
      <w:r w:rsidR="00B13361">
        <w:rPr>
          <w:color w:val="000000"/>
        </w:rPr>
        <w:t xml:space="preserve"> </w:t>
      </w:r>
      <w:r w:rsidR="00C45DB6">
        <w:rPr>
          <w:color w:val="000000"/>
        </w:rPr>
        <w:t xml:space="preserve">derived from the </w:t>
      </w:r>
      <w:proofErr w:type="spellStart"/>
      <w:r w:rsidR="00C45DB6">
        <w:rPr>
          <w:color w:val="000000"/>
        </w:rPr>
        <w:t>b</w:t>
      </w:r>
      <w:r w:rsidR="00C45DB6" w:rsidRPr="00C45DB6">
        <w:rPr>
          <w:color w:val="000000"/>
          <w:vertAlign w:val="subscript"/>
        </w:rPr>
        <w:t>b</w:t>
      </w:r>
      <w:r w:rsidR="00C45DB6" w:rsidRPr="00E31B55">
        <w:rPr>
          <w:color w:val="000000"/>
          <w:vertAlign w:val="subscript"/>
        </w:rPr>
        <w:t>p</w:t>
      </w:r>
      <w:proofErr w:type="spellEnd"/>
      <w:r w:rsidR="00C45DB6">
        <w:rPr>
          <w:color w:val="000000"/>
        </w:rPr>
        <w:t xml:space="preserve"> float </w:t>
      </w:r>
      <w:r w:rsidR="00B13361">
        <w:rPr>
          <w:color w:val="000000"/>
        </w:rPr>
        <w:t xml:space="preserve">profile </w:t>
      </w:r>
      <w:r w:rsidR="00245AB3" w:rsidRPr="00AC1AD8">
        <w:rPr>
          <w:color w:val="000000"/>
        </w:rPr>
        <w:t>as follows:</w:t>
      </w:r>
    </w:p>
    <w:p w14:paraId="5B5EACFC" w14:textId="1B25A210" w:rsidR="00957C47" w:rsidRPr="00AC1AD8" w:rsidRDefault="00CD6092" w:rsidP="0053305D">
      <w:pPr>
        <w:snapToGrid w:val="0"/>
        <w:spacing w:line="360" w:lineRule="auto"/>
        <w:jc w:val="right"/>
        <w:rPr>
          <w:color w:val="000000"/>
        </w:rPr>
      </w:pPr>
      <w:r w:rsidRPr="00AC1AD8">
        <w:lastRenderedPageBreak/>
        <w:t>NPP</w:t>
      </w:r>
      <w:r w:rsidR="005B30A6" w:rsidRPr="00AC1AD8">
        <w:rPr>
          <w:color w:val="000000"/>
        </w:rPr>
        <w:t xml:space="preserve">(z) = </w:t>
      </w:r>
      <w:r w:rsidRPr="00AC1AD8">
        <w:rPr>
          <w:color w:val="000000"/>
        </w:rPr>
        <w:t>µ</w:t>
      </w:r>
      <w:r w:rsidR="00A5025C" w:rsidRPr="00AC1AD8">
        <w:rPr>
          <w:color w:val="000000"/>
        </w:rPr>
        <w:t>(z)</w:t>
      </w:r>
      <w:r w:rsidRPr="00AC1AD8">
        <w:rPr>
          <w:color w:val="000000"/>
        </w:rPr>
        <w:t xml:space="preserve"> </w:t>
      </w:r>
      <w:r w:rsidRPr="00AC1AD8">
        <w:rPr>
          <w:rFonts w:eastAsia="Symbol"/>
          <w:color w:val="000000"/>
        </w:rPr>
        <w:t>×</w:t>
      </w:r>
      <w:r w:rsidRPr="00AC1AD8">
        <w:rPr>
          <w:color w:val="000000"/>
        </w:rPr>
        <w:t xml:space="preserve"> </w:t>
      </w:r>
      <w:proofErr w:type="spellStart"/>
      <w:r w:rsidRPr="00AC1AD8">
        <w:rPr>
          <w:color w:val="000000"/>
        </w:rPr>
        <w:t>C</w:t>
      </w:r>
      <w:r w:rsidRPr="00AC1AD8">
        <w:rPr>
          <w:color w:val="000000"/>
          <w:vertAlign w:val="subscript"/>
        </w:rPr>
        <w:t>phyto</w:t>
      </w:r>
      <w:proofErr w:type="spellEnd"/>
      <w:r w:rsidR="00A5025C" w:rsidRPr="00AC1AD8">
        <w:rPr>
          <w:color w:val="000000"/>
        </w:rPr>
        <w:t>(</w:t>
      </w:r>
      <w:proofErr w:type="gramStart"/>
      <w:r w:rsidR="00A5025C" w:rsidRPr="00AC1AD8">
        <w:rPr>
          <w:color w:val="000000"/>
        </w:rPr>
        <w:t>z)</w:t>
      </w:r>
      <w:r w:rsidR="005B30A6" w:rsidRPr="00AC1AD8">
        <w:rPr>
          <w:i/>
          <w:iCs/>
          <w:color w:val="000000"/>
        </w:rPr>
        <w:t xml:space="preserve">   </w:t>
      </w:r>
      <w:proofErr w:type="gramEnd"/>
      <w:r w:rsidR="005B30A6" w:rsidRPr="00AC1AD8">
        <w:rPr>
          <w:i/>
          <w:iCs/>
          <w:color w:val="000000"/>
        </w:rPr>
        <w:t xml:space="preserve">               </w:t>
      </w:r>
      <w:r w:rsidRPr="00AC1AD8">
        <w:rPr>
          <w:i/>
          <w:iCs/>
          <w:color w:val="000000"/>
        </w:rPr>
        <w:t xml:space="preserve">           </w:t>
      </w:r>
      <w:r w:rsidR="005B30A6" w:rsidRPr="00AC1AD8">
        <w:rPr>
          <w:i/>
          <w:iCs/>
          <w:color w:val="000000"/>
        </w:rPr>
        <w:t xml:space="preserve">                    </w:t>
      </w:r>
      <w:r w:rsidR="005B30A6" w:rsidRPr="00AC1AD8">
        <w:rPr>
          <w:color w:val="000000"/>
        </w:rPr>
        <w:t>(</w:t>
      </w:r>
      <w:r w:rsidR="00495866" w:rsidRPr="00AC1AD8">
        <w:rPr>
          <w:color w:val="000000"/>
        </w:rPr>
        <w:t>1</w:t>
      </w:r>
      <w:r w:rsidR="00495866">
        <w:rPr>
          <w:color w:val="000000"/>
        </w:rPr>
        <w:t>1</w:t>
      </w:r>
      <w:r w:rsidR="005B30A6" w:rsidRPr="00AC1AD8">
        <w:rPr>
          <w:color w:val="000000"/>
        </w:rPr>
        <w:t>)</w:t>
      </w:r>
    </w:p>
    <w:p w14:paraId="27CFB0B9" w14:textId="77777777" w:rsidR="00FE71E6" w:rsidRPr="00AC1AD8" w:rsidRDefault="00FE71E6" w:rsidP="0053305D">
      <w:pPr>
        <w:snapToGrid w:val="0"/>
        <w:spacing w:line="360" w:lineRule="auto"/>
        <w:jc w:val="both"/>
        <w:rPr>
          <w:color w:val="000000"/>
        </w:rPr>
      </w:pPr>
    </w:p>
    <w:p w14:paraId="11D341BE" w14:textId="7C891AE3" w:rsidR="00584E95" w:rsidRPr="00AC1AD8" w:rsidRDefault="00473516" w:rsidP="0053305D">
      <w:pPr>
        <w:pStyle w:val="Heading-Secondary"/>
        <w:numPr>
          <w:ilvl w:val="1"/>
          <w:numId w:val="1"/>
        </w:numPr>
        <w:snapToGrid w:val="0"/>
        <w:spacing w:before="0" w:after="0" w:line="360" w:lineRule="auto"/>
        <w:jc w:val="both"/>
        <w:rPr>
          <w:b/>
        </w:rPr>
      </w:pPr>
      <w:r>
        <w:rPr>
          <w:b/>
        </w:rPr>
        <w:t xml:space="preserve"> </w:t>
      </w:r>
      <w:r w:rsidR="11813710" w:rsidRPr="00AC1AD8">
        <w:rPr>
          <w:b/>
        </w:rPr>
        <w:t xml:space="preserve">Identifying </w:t>
      </w:r>
      <w:r w:rsidR="14E013A9" w:rsidRPr="00AC1AD8">
        <w:rPr>
          <w:b/>
        </w:rPr>
        <w:t>d</w:t>
      </w:r>
      <w:r w:rsidR="11813710" w:rsidRPr="00AC1AD8">
        <w:rPr>
          <w:b/>
        </w:rPr>
        <w:t xml:space="preserve">eep </w:t>
      </w:r>
      <w:r w:rsidR="036D20E1" w:rsidRPr="00AC1AD8">
        <w:rPr>
          <w:b/>
        </w:rPr>
        <w:t>c</w:t>
      </w:r>
      <w:r w:rsidR="11813710" w:rsidRPr="00AC1AD8">
        <w:rPr>
          <w:b/>
        </w:rPr>
        <w:t xml:space="preserve">hlorophyll </w:t>
      </w:r>
      <w:r w:rsidR="000D1B19">
        <w:rPr>
          <w:b/>
        </w:rPr>
        <w:t xml:space="preserve">and biomass </w:t>
      </w:r>
      <w:r w:rsidR="25E9E56F" w:rsidRPr="00AC1AD8">
        <w:rPr>
          <w:b/>
        </w:rPr>
        <w:t>m</w:t>
      </w:r>
      <w:r w:rsidR="11813710" w:rsidRPr="00AC1AD8">
        <w:rPr>
          <w:b/>
        </w:rPr>
        <w:t>axima</w:t>
      </w:r>
    </w:p>
    <w:p w14:paraId="64583CD8" w14:textId="77777777" w:rsidR="00584E95" w:rsidRPr="00AC1AD8" w:rsidRDefault="00584E95" w:rsidP="0053305D">
      <w:pPr>
        <w:pStyle w:val="Heading-Secondary"/>
        <w:snapToGrid w:val="0"/>
        <w:spacing w:before="0" w:after="0" w:line="360" w:lineRule="auto"/>
        <w:ind w:left="0"/>
        <w:jc w:val="both"/>
        <w:rPr>
          <w:b/>
        </w:rPr>
      </w:pPr>
    </w:p>
    <w:p w14:paraId="1CF6B187" w14:textId="12B3F7B9" w:rsidR="6D3FCE60" w:rsidRPr="00AC1AD8" w:rsidRDefault="005A05DD" w:rsidP="0053305D">
      <w:pPr>
        <w:snapToGrid w:val="0"/>
        <w:spacing w:line="360" w:lineRule="auto"/>
        <w:jc w:val="both"/>
      </w:pPr>
      <w:r>
        <w:t>To</w:t>
      </w:r>
      <w:r w:rsidR="00D5461C">
        <w:t xml:space="preserve"> find “true” DCM</w:t>
      </w:r>
      <w:r>
        <w:t>s</w:t>
      </w:r>
      <w:r w:rsidR="00D5461C">
        <w:t xml:space="preserve"> only, a 5-point running median was applied (Cornec et al. 2021) to an interpolated 300m profile of </w:t>
      </w:r>
      <w:proofErr w:type="spellStart"/>
      <w:r w:rsidR="00D5461C">
        <w:t>chl</w:t>
      </w:r>
      <w:proofErr w:type="spellEnd"/>
      <w:r w:rsidR="00D5461C">
        <w:t xml:space="preserve"> with a resolution of 1m, different from the smoothed profile used to estimate NPP</w:t>
      </w:r>
      <w:r w:rsidR="00743471">
        <w:t>,</w:t>
      </w:r>
      <w:r w:rsidR="00075E92">
        <w:t xml:space="preserve"> which is smoothed using</w:t>
      </w:r>
      <w:r w:rsidR="00743471">
        <w:t xml:space="preserve"> a </w:t>
      </w:r>
      <w:r w:rsidR="00743471" w:rsidRPr="00AC1AD8">
        <w:t>7-point running median filter</w:t>
      </w:r>
      <w:r w:rsidR="00743471">
        <w:t xml:space="preserve"> (section 2.1.1 in Methods)</w:t>
      </w:r>
      <w:r w:rsidR="00D5461C">
        <w:t xml:space="preserve">. </w:t>
      </w:r>
      <w:r w:rsidR="00B31966">
        <w:t xml:space="preserve">The </w:t>
      </w:r>
      <w:proofErr w:type="spellStart"/>
      <w:r w:rsidR="00B31966" w:rsidRPr="00AC1AD8">
        <w:rPr>
          <w:rStyle w:val="normaltextrun"/>
          <w:color w:val="000000"/>
          <w:shd w:val="clear" w:color="auto" w:fill="FFFFFF"/>
          <w:lang w:val="en-US"/>
        </w:rPr>
        <w:t>b</w:t>
      </w:r>
      <w:r w:rsidR="00B31966" w:rsidRPr="00AC1AD8">
        <w:rPr>
          <w:rStyle w:val="normaltextrun"/>
          <w:color w:val="000000"/>
          <w:shd w:val="clear" w:color="auto" w:fill="FFFFFF"/>
          <w:vertAlign w:val="subscript"/>
          <w:lang w:val="en-US"/>
        </w:rPr>
        <w:t>bp</w:t>
      </w:r>
      <w:proofErr w:type="spellEnd"/>
      <w:r w:rsidR="00B31966">
        <w:t xml:space="preserve"> profile was smoothed with a 5-point running median followed by a 5-point running mean (</w:t>
      </w:r>
      <w:proofErr w:type="spellStart"/>
      <w:r w:rsidR="00B31966">
        <w:t>Cornec</w:t>
      </w:r>
      <w:proofErr w:type="spellEnd"/>
      <w:r w:rsidR="00B31966">
        <w:t xml:space="preserve"> et al., 2021). </w:t>
      </w:r>
      <w:r w:rsidR="3E379829">
        <w:t xml:space="preserve">We defined </w:t>
      </w:r>
      <w:r w:rsidR="4F8EBBE3">
        <w:t xml:space="preserve">the </w:t>
      </w:r>
      <w:r w:rsidR="3E379829">
        <w:t xml:space="preserve">DCM as the </w:t>
      </w:r>
      <w:r w:rsidR="780249A8">
        <w:t xml:space="preserve">depth of the </w:t>
      </w:r>
      <w:r w:rsidR="3E379829">
        <w:t xml:space="preserve">maximum value of </w:t>
      </w:r>
      <w:proofErr w:type="spellStart"/>
      <w:r w:rsidR="3E379829">
        <w:t>chl</w:t>
      </w:r>
      <w:proofErr w:type="spellEnd"/>
      <w:r w:rsidR="3E379829">
        <w:t xml:space="preserve"> when th</w:t>
      </w:r>
      <w:r w:rsidR="3780095C">
        <w:t>at maximum value</w:t>
      </w:r>
      <w:r w:rsidR="3E379829">
        <w:t xml:space="preserve"> was deeper than 10m and the </w:t>
      </w:r>
      <w:proofErr w:type="spellStart"/>
      <w:r w:rsidR="4BC908C7">
        <w:t>chl</w:t>
      </w:r>
      <w:proofErr w:type="spellEnd"/>
      <w:r w:rsidR="4BC908C7">
        <w:t xml:space="preserve"> concentration at that depth</w:t>
      </w:r>
      <w:r w:rsidR="3E379829">
        <w:t xml:space="preserve"> was more than double the </w:t>
      </w:r>
      <w:proofErr w:type="spellStart"/>
      <w:r w:rsidR="3E379829">
        <w:t>chl</w:t>
      </w:r>
      <w:proofErr w:type="spellEnd"/>
      <w:r w:rsidR="21CF4F5B">
        <w:t xml:space="preserve"> concentration</w:t>
      </w:r>
      <w:r w:rsidR="3E379829">
        <w:t xml:space="preserve"> </w:t>
      </w:r>
      <w:r w:rsidR="00234FF3" w:rsidRPr="000C00EF">
        <w:t xml:space="preserve">in the upper 15m </w:t>
      </w:r>
      <w:r w:rsidR="3E379829">
        <w:t>(</w:t>
      </w:r>
      <w:r w:rsidR="7117899D">
        <w:t>Figure 2</w:t>
      </w:r>
      <w:r w:rsidR="015C5C96">
        <w:t>a</w:t>
      </w:r>
      <w:r w:rsidR="7117899D">
        <w:t xml:space="preserve">; </w:t>
      </w:r>
      <w:r w:rsidR="00234FF3" w:rsidRPr="000C00EF">
        <w:t xml:space="preserve">Lavigne et al., 2015; </w:t>
      </w:r>
      <w:r w:rsidR="3E379829">
        <w:t>Cornec et al.</w:t>
      </w:r>
      <w:r w:rsidR="34C9B089">
        <w:t>,</w:t>
      </w:r>
      <w:r w:rsidR="3E379829">
        <w:t xml:space="preserve"> 2021). </w:t>
      </w:r>
      <w:r w:rsidR="00087E2A" w:rsidRPr="000C00EF">
        <w:t xml:space="preserve">The deep biomass maximum (DBM) is the depth of the maximum value of </w:t>
      </w:r>
      <w:proofErr w:type="spellStart"/>
      <w:r w:rsidR="00087E2A" w:rsidRPr="000C00EF">
        <w:t>b</w:t>
      </w:r>
      <w:r w:rsidR="00087E2A" w:rsidRPr="000C00EF">
        <w:rPr>
          <w:i/>
          <w:iCs/>
          <w:vertAlign w:val="subscript"/>
        </w:rPr>
        <w:t>bp</w:t>
      </w:r>
      <w:proofErr w:type="spellEnd"/>
      <w:r w:rsidR="00087E2A" w:rsidRPr="000C00EF">
        <w:t xml:space="preserve">, when the </w:t>
      </w:r>
      <w:proofErr w:type="spellStart"/>
      <w:r w:rsidR="00087E2A" w:rsidRPr="000C00EF">
        <w:t>b</w:t>
      </w:r>
      <w:r w:rsidR="00087E2A" w:rsidRPr="000C00EF">
        <w:rPr>
          <w:i/>
          <w:iCs/>
          <w:vertAlign w:val="subscript"/>
        </w:rPr>
        <w:t>bp</w:t>
      </w:r>
      <w:proofErr w:type="spellEnd"/>
      <w:r w:rsidR="00087E2A" w:rsidRPr="000C00EF">
        <w:t xml:space="preserve"> concentration at that depth is 1.3 times greater than the </w:t>
      </w:r>
      <w:proofErr w:type="spellStart"/>
      <w:r w:rsidR="00087E2A" w:rsidRPr="000C00EF">
        <w:t>b</w:t>
      </w:r>
      <w:r w:rsidR="00087E2A" w:rsidRPr="000C00EF">
        <w:rPr>
          <w:i/>
          <w:iCs/>
          <w:vertAlign w:val="subscript"/>
        </w:rPr>
        <w:t>bp</w:t>
      </w:r>
      <w:proofErr w:type="spellEnd"/>
      <w:r w:rsidR="00087E2A" w:rsidRPr="000C00EF">
        <w:rPr>
          <w:i/>
          <w:iCs/>
          <w:vertAlign w:val="subscript"/>
        </w:rPr>
        <w:t xml:space="preserve"> </w:t>
      </w:r>
      <w:r w:rsidR="00087E2A" w:rsidRPr="000C00EF">
        <w:t>concentration in the upper 15m (Cornec et al., 2021</w:t>
      </w:r>
      <w:r w:rsidR="00087E2A">
        <w:t xml:space="preserve">). </w:t>
      </w:r>
      <w:r w:rsidR="16C54D99">
        <w:t>In our 12,700 eligible NPP profiles</w:t>
      </w:r>
      <w:r w:rsidR="4785D59D">
        <w:t xml:space="preserve"> (Figure 1a)</w:t>
      </w:r>
      <w:r w:rsidR="16C54D99">
        <w:t>, w</w:t>
      </w:r>
      <w:r w:rsidR="56F760E0">
        <w:t>e found a total of 2,306 DCMs following this criterion</w:t>
      </w:r>
      <w:r w:rsidR="5306DF0F">
        <w:t>.</w:t>
      </w:r>
      <w:r w:rsidR="56F760E0">
        <w:t xml:space="preserve"> </w:t>
      </w:r>
      <w:r w:rsidR="5FFE40DF">
        <w:t>F</w:t>
      </w:r>
      <w:r w:rsidR="0CC8D279">
        <w:t xml:space="preserve">or this study, we only </w:t>
      </w:r>
      <w:r w:rsidR="303DCFEC">
        <w:t>consider</w:t>
      </w:r>
      <w:r w:rsidR="0CC8D279">
        <w:t xml:space="preserve"> DCMs below the MLD</w:t>
      </w:r>
      <w:r w:rsidR="0053544C">
        <w:t xml:space="preserve"> (</w:t>
      </w:r>
      <w:r w:rsidR="00382F6C">
        <w:t>2,119 out of 2,306 or 91%)</w:t>
      </w:r>
      <w:r w:rsidR="56F760E0">
        <w:t>,</w:t>
      </w:r>
      <w:r w:rsidR="2D53617C">
        <w:t xml:space="preserve"> as all other DCMs are expected to be spurious</w:t>
      </w:r>
      <w:r w:rsidR="00234FF3">
        <w:t xml:space="preserve"> (</w:t>
      </w:r>
      <w:r w:rsidR="00355A4C">
        <w:t>Brown et al., 2015</w:t>
      </w:r>
      <w:r w:rsidR="00234FF3">
        <w:t>)</w:t>
      </w:r>
      <w:r w:rsidR="00A5472C">
        <w:t xml:space="preserve">. </w:t>
      </w:r>
      <w:r w:rsidR="008052FC">
        <w:t>Of</w:t>
      </w:r>
      <w:r w:rsidR="005E0A8C">
        <w:rPr>
          <w:rStyle w:val="normaltextrun"/>
          <w:color w:val="000000" w:themeColor="text1"/>
          <w:lang w:val="en-US"/>
        </w:rPr>
        <w:t xml:space="preserve"> these</w:t>
      </w:r>
      <w:r w:rsidR="007B75CF">
        <w:rPr>
          <w:rStyle w:val="normaltextrun"/>
          <w:color w:val="000000" w:themeColor="text1"/>
          <w:lang w:val="en-US"/>
        </w:rPr>
        <w:t xml:space="preserve">, </w:t>
      </w:r>
      <w:r w:rsidR="00142926">
        <w:rPr>
          <w:rStyle w:val="normaltextrun"/>
          <w:color w:val="000000" w:themeColor="text1"/>
          <w:lang w:val="en-US"/>
        </w:rPr>
        <w:t xml:space="preserve">64% (i.e. </w:t>
      </w:r>
      <w:r w:rsidR="007B75CF">
        <w:rPr>
          <w:rStyle w:val="normaltextrun"/>
          <w:color w:val="000000" w:themeColor="text1"/>
          <w:lang w:val="en-US"/>
        </w:rPr>
        <w:t>1,363</w:t>
      </w:r>
      <w:r w:rsidR="00142926">
        <w:rPr>
          <w:rStyle w:val="normaltextrun"/>
          <w:color w:val="000000" w:themeColor="text1"/>
          <w:lang w:val="en-US"/>
        </w:rPr>
        <w:t>)</w:t>
      </w:r>
      <w:r w:rsidR="2F33EC1A" w:rsidRPr="16DDC7FD">
        <w:rPr>
          <w:rStyle w:val="normaltextrun"/>
          <w:color w:val="000000" w:themeColor="text1"/>
          <w:lang w:val="en-US"/>
        </w:rPr>
        <w:t xml:space="preserve"> </w:t>
      </w:r>
      <w:r w:rsidR="00EF573E" w:rsidRPr="16DDC7FD">
        <w:rPr>
          <w:rStyle w:val="normaltextrun"/>
          <w:color w:val="000000" w:themeColor="text1"/>
          <w:lang w:val="en-US"/>
        </w:rPr>
        <w:t>were</w:t>
      </w:r>
      <w:r w:rsidR="02B60863" w:rsidRPr="16DDC7FD">
        <w:rPr>
          <w:rStyle w:val="normaltextrun"/>
          <w:color w:val="000000" w:themeColor="text1"/>
          <w:lang w:val="en-US"/>
        </w:rPr>
        <w:t xml:space="preserve"> also</w:t>
      </w:r>
      <w:r w:rsidR="00EF573E" w:rsidRPr="16DDC7FD">
        <w:rPr>
          <w:rStyle w:val="normaltextrun"/>
          <w:color w:val="000000" w:themeColor="text1"/>
          <w:lang w:val="en-US"/>
        </w:rPr>
        <w:t xml:space="preserve"> DBMs</w:t>
      </w:r>
      <w:r w:rsidR="6D3FCE60">
        <w:t xml:space="preserve">. </w:t>
      </w:r>
      <w:r w:rsidR="002F3119">
        <w:t xml:space="preserve">We denote the depth of the DCM as </w:t>
      </w:r>
      <w:proofErr w:type="spellStart"/>
      <w:r w:rsidR="002F3119">
        <w:t>DCM</w:t>
      </w:r>
      <w:r w:rsidR="002F3119" w:rsidRPr="399CD0D1">
        <w:rPr>
          <w:vertAlign w:val="subscript"/>
        </w:rPr>
        <w:t>z</w:t>
      </w:r>
      <w:proofErr w:type="spellEnd"/>
      <w:r w:rsidR="002F3119">
        <w:rPr>
          <w:vertAlign w:val="subscript"/>
        </w:rPr>
        <w:t xml:space="preserve"> </w:t>
      </w:r>
      <w:r w:rsidR="002F3119">
        <w:t xml:space="preserve">and the depth of the DBM as </w:t>
      </w:r>
      <w:proofErr w:type="spellStart"/>
      <w:r w:rsidR="002F3119">
        <w:t>DBM</w:t>
      </w:r>
      <w:r w:rsidR="002F3119" w:rsidRPr="399CD0D1">
        <w:rPr>
          <w:vertAlign w:val="subscript"/>
        </w:rPr>
        <w:t>z</w:t>
      </w:r>
      <w:proofErr w:type="spellEnd"/>
      <w:r w:rsidR="002F3119">
        <w:t xml:space="preserve">. </w:t>
      </w:r>
      <w:r w:rsidR="002F3119" w:rsidRPr="16DDC7FD">
        <w:rPr>
          <w:rStyle w:val="normaltextrun"/>
          <w:color w:val="000000" w:themeColor="text1"/>
          <w:lang w:val="en-US"/>
        </w:rPr>
        <w:t xml:space="preserve"> </w:t>
      </w:r>
    </w:p>
    <w:p w14:paraId="6FFEDC9B" w14:textId="418ACDE7" w:rsidR="5EA7C4DB" w:rsidRPr="00AC1AD8" w:rsidRDefault="5EA7C4DB" w:rsidP="0053305D">
      <w:pPr>
        <w:snapToGrid w:val="0"/>
        <w:spacing w:line="360" w:lineRule="auto"/>
        <w:jc w:val="both"/>
        <w:rPr>
          <w:b/>
          <w:bCs/>
        </w:rPr>
      </w:pPr>
    </w:p>
    <w:p w14:paraId="1BB120EE" w14:textId="69291C53" w:rsidR="00BF567B" w:rsidRPr="00AC1AD8" w:rsidRDefault="009D1210" w:rsidP="0053305D">
      <w:pPr>
        <w:pStyle w:val="Heading-Secondary"/>
        <w:numPr>
          <w:ilvl w:val="1"/>
          <w:numId w:val="1"/>
        </w:numPr>
        <w:snapToGrid w:val="0"/>
        <w:spacing w:before="0" w:after="0" w:line="360" w:lineRule="auto"/>
        <w:jc w:val="both"/>
        <w:rPr>
          <w:b/>
        </w:rPr>
      </w:pPr>
      <w:r>
        <w:rPr>
          <w:b/>
        </w:rPr>
        <w:t xml:space="preserve"> </w:t>
      </w:r>
      <w:r w:rsidR="00BF567B" w:rsidRPr="00AC1AD8">
        <w:rPr>
          <w:b/>
        </w:rPr>
        <w:t>Subsurface production</w:t>
      </w:r>
    </w:p>
    <w:p w14:paraId="7448618A" w14:textId="77777777" w:rsidR="00FE71E6" w:rsidRPr="00AC1AD8" w:rsidRDefault="00FE71E6" w:rsidP="0053305D">
      <w:pPr>
        <w:snapToGrid w:val="0"/>
        <w:spacing w:line="360" w:lineRule="auto"/>
        <w:jc w:val="both"/>
      </w:pPr>
    </w:p>
    <w:p w14:paraId="570F615D" w14:textId="71B1A437" w:rsidR="00E13E92" w:rsidRPr="00FE255C" w:rsidRDefault="009A463E" w:rsidP="0053305D">
      <w:pPr>
        <w:snapToGrid w:val="0"/>
        <w:spacing w:line="360" w:lineRule="auto"/>
        <w:jc w:val="both"/>
      </w:pPr>
      <w:r>
        <w:t>The upper bound of the DCM (</w:t>
      </w:r>
      <w:proofErr w:type="spellStart"/>
      <w:r>
        <w:t>DCM</w:t>
      </w:r>
      <w:r>
        <w:rPr>
          <w:vertAlign w:val="subscript"/>
        </w:rPr>
        <w:t>upper</w:t>
      </w:r>
      <w:proofErr w:type="spellEnd"/>
      <w:r>
        <w:t xml:space="preserve">) was defined as the depth where the vertical </w:t>
      </w:r>
      <w:proofErr w:type="spellStart"/>
      <w:r>
        <w:t>chl</w:t>
      </w:r>
      <w:proofErr w:type="spellEnd"/>
      <w:r>
        <w:t xml:space="preserve"> gradient was the absolute maximum, above the </w:t>
      </w:r>
      <w:proofErr w:type="spellStart"/>
      <w:r w:rsidRPr="00D212F9">
        <w:t>DCM</w:t>
      </w:r>
      <w:r w:rsidRPr="00D212F9">
        <w:rPr>
          <w:vertAlign w:val="subscript"/>
        </w:rPr>
        <w:t>z</w:t>
      </w:r>
      <w:proofErr w:type="spellEnd"/>
      <w:r>
        <w:t>. Then the lower bound of the DCM (</w:t>
      </w:r>
      <w:proofErr w:type="spellStart"/>
      <w:r>
        <w:t>DCM</w:t>
      </w:r>
      <w:r>
        <w:rPr>
          <w:vertAlign w:val="subscript"/>
        </w:rPr>
        <w:t>lower</w:t>
      </w:r>
      <w:proofErr w:type="spellEnd"/>
      <w:r>
        <w:t xml:space="preserve">) was </w:t>
      </w:r>
      <w:r w:rsidR="00DD7237">
        <w:t xml:space="preserve">defined as </w:t>
      </w:r>
      <w:proofErr w:type="spellStart"/>
      <w:r>
        <w:t>DCM</w:t>
      </w:r>
      <w:r w:rsidRPr="399CD0D1">
        <w:rPr>
          <w:vertAlign w:val="subscript"/>
        </w:rPr>
        <w:t>z</w:t>
      </w:r>
      <w:proofErr w:type="spellEnd"/>
      <w:r>
        <w:t xml:space="preserve"> + (</w:t>
      </w:r>
      <w:proofErr w:type="spellStart"/>
      <w:r>
        <w:t>DCM</w:t>
      </w:r>
      <w:r w:rsidRPr="399CD0D1">
        <w:rPr>
          <w:vertAlign w:val="subscript"/>
        </w:rPr>
        <w:t>z</w:t>
      </w:r>
      <w:proofErr w:type="spellEnd"/>
      <w:r>
        <w:t xml:space="preserve"> – </w:t>
      </w:r>
      <w:proofErr w:type="spellStart"/>
      <w:r>
        <w:t>DCM</w:t>
      </w:r>
      <w:r>
        <w:rPr>
          <w:vertAlign w:val="subscript"/>
        </w:rPr>
        <w:t>upper</w:t>
      </w:r>
      <w:proofErr w:type="spellEnd"/>
      <w:r>
        <w:t xml:space="preserve">). Some DCMs were thinner </w:t>
      </w:r>
      <w:r w:rsidR="000B4ECE">
        <w:t xml:space="preserve">(i.e., narrower depth range) </w:t>
      </w:r>
      <w:r>
        <w:t xml:space="preserve">than others, and therefore usually had a steeper </w:t>
      </w:r>
      <w:proofErr w:type="spellStart"/>
      <w:r>
        <w:t>chl</w:t>
      </w:r>
      <w:proofErr w:type="spellEnd"/>
      <w:r>
        <w:t xml:space="preserve"> gradient. </w:t>
      </w:r>
    </w:p>
    <w:p w14:paraId="6A2A3CA4" w14:textId="77777777" w:rsidR="00E13E92" w:rsidRDefault="00E13E92" w:rsidP="0053305D">
      <w:pPr>
        <w:snapToGrid w:val="0"/>
        <w:spacing w:line="360" w:lineRule="auto"/>
        <w:jc w:val="both"/>
      </w:pPr>
    </w:p>
    <w:p w14:paraId="2950BA8A" w14:textId="0C744D76" w:rsidR="00403CB0" w:rsidRDefault="69D1F5F9">
      <w:pPr>
        <w:spacing w:line="360" w:lineRule="auto"/>
        <w:jc w:val="both"/>
      </w:pPr>
      <w:r>
        <w:t xml:space="preserve">We </w:t>
      </w:r>
      <w:r w:rsidR="2780C6E9">
        <w:t>define</w:t>
      </w:r>
      <w:r>
        <w:t xml:space="preserve"> </w:t>
      </w:r>
      <w:r w:rsidR="00B9050D">
        <w:t>three</w:t>
      </w:r>
      <w:r>
        <w:t xml:space="preserve"> measures of subsurface production</w:t>
      </w:r>
      <w:r w:rsidR="00D84288">
        <w:t xml:space="preserve">. </w:t>
      </w:r>
      <w:r>
        <w:t xml:space="preserve">NPP </w:t>
      </w:r>
      <w:r w:rsidR="4FAE57BB">
        <w:t>integrated across the thickness of</w:t>
      </w:r>
      <w:r>
        <w:t xml:space="preserve"> the DCM </w:t>
      </w:r>
      <w:r w:rsidR="4FAE57BB">
        <w:t xml:space="preserve">feature </w:t>
      </w:r>
      <w:r>
        <w:t>(</w:t>
      </w:r>
      <w:r w:rsidR="00BC281E">
        <w:t>15m average</w:t>
      </w:r>
      <w:r w:rsidR="1ACC2F98">
        <w:t xml:space="preserve">; </w:t>
      </w:r>
      <w:r>
        <w:t>NPP</w:t>
      </w:r>
      <w:r w:rsidRPr="399CD0D1">
        <w:rPr>
          <w:vertAlign w:val="subscript"/>
        </w:rPr>
        <w:t>DCM</w:t>
      </w:r>
      <w:r w:rsidR="000D2A3C">
        <w:t xml:space="preserve"> Figure 2</w:t>
      </w:r>
      <w:r w:rsidR="0093354A">
        <w:t>c</w:t>
      </w:r>
      <w:r>
        <w:t>)</w:t>
      </w:r>
      <w:r w:rsidR="00BC281E">
        <w:t xml:space="preserve"> and the DBM feature (2</w:t>
      </w:r>
      <w:r w:rsidR="00553A2D">
        <w:t>6</w:t>
      </w:r>
      <w:r w:rsidR="00BC281E">
        <w:t>m average; NPP</w:t>
      </w:r>
      <w:r w:rsidR="00BC281E" w:rsidRPr="399CD0D1">
        <w:rPr>
          <w:vertAlign w:val="subscript"/>
        </w:rPr>
        <w:t>D</w:t>
      </w:r>
      <w:r w:rsidR="00BC281E">
        <w:rPr>
          <w:vertAlign w:val="subscript"/>
        </w:rPr>
        <w:t>B</w:t>
      </w:r>
      <w:r w:rsidR="00BC281E" w:rsidRPr="399CD0D1">
        <w:rPr>
          <w:vertAlign w:val="subscript"/>
        </w:rPr>
        <w:t>M</w:t>
      </w:r>
      <w:r w:rsidR="000D2A3C">
        <w:t xml:space="preserve"> Figure 2</w:t>
      </w:r>
      <w:r w:rsidR="0093354A">
        <w:t>a</w:t>
      </w:r>
      <w:r w:rsidR="00BC281E">
        <w:t>)</w:t>
      </w:r>
      <w:r w:rsidR="61330A72">
        <w:t xml:space="preserve"> </w:t>
      </w:r>
      <w:r w:rsidR="00D84288">
        <w:t>w</w:t>
      </w:r>
      <w:r w:rsidR="00140EF5">
        <w:t>as</w:t>
      </w:r>
      <w:r w:rsidR="00D84288">
        <w:t xml:space="preserve"> </w:t>
      </w:r>
      <w:r w:rsidR="000D1B19">
        <w:t>only</w:t>
      </w:r>
      <w:r w:rsidR="61330A72">
        <w:t xml:space="preserve"> estimated if </w:t>
      </w:r>
      <w:r w:rsidR="5FD6AC08">
        <w:t xml:space="preserve">a </w:t>
      </w:r>
      <w:r w:rsidR="00947E08">
        <w:t xml:space="preserve">‘true’ </w:t>
      </w:r>
      <w:r w:rsidR="61330A72">
        <w:t>DCM</w:t>
      </w:r>
      <w:r w:rsidR="1ACC2F98">
        <w:t xml:space="preserve"> </w:t>
      </w:r>
      <w:r w:rsidR="008F05FF">
        <w:t>or DBM</w:t>
      </w:r>
      <w:r w:rsidR="61330A72">
        <w:t xml:space="preserve"> </w:t>
      </w:r>
      <w:r w:rsidR="004C28B2">
        <w:t>wa</w:t>
      </w:r>
      <w:r w:rsidR="653D6BF5">
        <w:t>s</w:t>
      </w:r>
      <w:r w:rsidR="61330A72">
        <w:t xml:space="preserve"> present</w:t>
      </w:r>
      <w:r w:rsidR="005373D6">
        <w:t>.</w:t>
      </w:r>
      <w:r>
        <w:t xml:space="preserve"> </w:t>
      </w:r>
      <w:r w:rsidR="1DB138B6">
        <w:t>NPP</w:t>
      </w:r>
      <w:r>
        <w:t xml:space="preserve"> below the MLD (</w:t>
      </w:r>
      <w:r w:rsidR="00470ED1" w:rsidRPr="000C00EF">
        <w:t>NPP</w:t>
      </w:r>
      <w:r w:rsidR="00470ED1" w:rsidRPr="000C00EF">
        <w:rPr>
          <w:vertAlign w:val="subscript"/>
        </w:rPr>
        <w:t>SUB</w:t>
      </w:r>
      <w:r w:rsidR="394CAF1A">
        <w:t>)</w:t>
      </w:r>
      <w:r>
        <w:t xml:space="preserve"> </w:t>
      </w:r>
      <w:r w:rsidR="23AF5DE1">
        <w:t>was calculated as the</w:t>
      </w:r>
      <w:r w:rsidR="234117A3">
        <w:t xml:space="preserve"> </w:t>
      </w:r>
      <w:r w:rsidR="23AF5DE1">
        <w:t>integral of</w:t>
      </w:r>
      <w:r w:rsidR="234117A3">
        <w:t xml:space="preserve"> NPP below the MLD</w:t>
      </w:r>
      <w:r w:rsidR="78E08F91">
        <w:t xml:space="preserve"> to 300m</w:t>
      </w:r>
      <w:r w:rsidR="23AF5DE1">
        <w:t xml:space="preserve"> (Figure </w:t>
      </w:r>
      <w:r w:rsidR="008F168E">
        <w:t>2</w:t>
      </w:r>
      <w:r w:rsidR="0093354A">
        <w:t>d</w:t>
      </w:r>
      <w:r w:rsidR="23AF5DE1">
        <w:t>)</w:t>
      </w:r>
      <w:r w:rsidR="234117A3">
        <w:t xml:space="preserve">. </w:t>
      </w:r>
      <w:r w:rsidR="65C64D55">
        <w:t xml:space="preserve">We </w:t>
      </w:r>
      <w:r w:rsidR="008F05FF">
        <w:t xml:space="preserve">use </w:t>
      </w:r>
      <w:r w:rsidR="65C64D55">
        <w:t xml:space="preserve">NPP “ALL” </w:t>
      </w:r>
      <w:r w:rsidR="008F05FF">
        <w:t xml:space="preserve">to denote </w:t>
      </w:r>
      <w:r w:rsidR="65C64D55">
        <w:t xml:space="preserve">all profiles with and without a DCM, and NPP “DCM” for profiles </w:t>
      </w:r>
      <w:r w:rsidR="0093354A">
        <w:t>where</w:t>
      </w:r>
      <w:r w:rsidR="65C64D55">
        <w:t xml:space="preserve"> a DCM</w:t>
      </w:r>
      <w:r w:rsidR="00906284">
        <w:t xml:space="preserve"> </w:t>
      </w:r>
      <w:r w:rsidR="0093354A">
        <w:t xml:space="preserve">was present </w:t>
      </w:r>
      <w:r w:rsidR="00906284">
        <w:t>below the MLD</w:t>
      </w:r>
      <w:r w:rsidR="65C64D55">
        <w:t xml:space="preserve">. </w:t>
      </w:r>
      <w:r w:rsidR="11938004">
        <w:t xml:space="preserve">Then, </w:t>
      </w:r>
      <w:r w:rsidR="00422938">
        <w:t>we calculate two types of percentages</w:t>
      </w:r>
      <w:r w:rsidR="00B855A6">
        <w:t>:</w:t>
      </w:r>
      <w:r w:rsidR="00422938">
        <w:t xml:space="preserve"> (1) </w:t>
      </w:r>
      <w:r w:rsidR="11938004">
        <w:t xml:space="preserve">the contribution of </w:t>
      </w:r>
      <w:r w:rsidR="23AF5DE1">
        <w:t>NPP</w:t>
      </w:r>
      <w:r w:rsidR="23AF5DE1" w:rsidRPr="16DDC7FD">
        <w:rPr>
          <w:vertAlign w:val="subscript"/>
        </w:rPr>
        <w:t>DCM</w:t>
      </w:r>
      <w:r w:rsidR="00B9050D">
        <w:rPr>
          <w:vertAlign w:val="subscript"/>
        </w:rPr>
        <w:t xml:space="preserve"> or DBM</w:t>
      </w:r>
      <w:r w:rsidR="23AF5DE1">
        <w:t xml:space="preserve"> </w:t>
      </w:r>
      <w:r w:rsidR="00422938">
        <w:t xml:space="preserve">to the total NPP when DCMs/DBMs are present, </w:t>
      </w:r>
      <w:r w:rsidR="11938004">
        <w:t>and</w:t>
      </w:r>
      <w:r w:rsidR="00422938">
        <w:t xml:space="preserve"> (2)</w:t>
      </w:r>
      <w:r w:rsidR="11938004">
        <w:t xml:space="preserve"> </w:t>
      </w:r>
      <w:r w:rsidR="00422938">
        <w:t xml:space="preserve">the contribution of </w:t>
      </w:r>
      <w:r w:rsidR="00DB1FB0" w:rsidRPr="000C00EF">
        <w:t>NPP</w:t>
      </w:r>
      <w:r w:rsidR="00DB1FB0" w:rsidRPr="000C00EF">
        <w:rPr>
          <w:vertAlign w:val="subscript"/>
        </w:rPr>
        <w:t>SUB</w:t>
      </w:r>
      <w:r w:rsidR="00DB1FB0" w:rsidRPr="000C00EF">
        <w:t xml:space="preserve"> </w:t>
      </w:r>
      <w:r w:rsidR="00EE3E50">
        <w:t xml:space="preserve">to </w:t>
      </w:r>
      <w:r w:rsidR="00422938">
        <w:t xml:space="preserve">the total </w:t>
      </w:r>
      <w:r w:rsidR="00EE3E50">
        <w:t xml:space="preserve">NPP </w:t>
      </w:r>
      <w:r w:rsidR="00422938">
        <w:t xml:space="preserve">when DCMs/DBMs are present </w:t>
      </w:r>
      <w:r w:rsidR="00723EB6">
        <w:t>or not</w:t>
      </w:r>
      <w:r w:rsidR="00422938">
        <w:t xml:space="preserve"> (Table 1). </w:t>
      </w:r>
      <w:r w:rsidR="373F1F5C">
        <w:t>F</w:t>
      </w:r>
      <w:r w:rsidR="00B855A6">
        <w:t xml:space="preserve">or </w:t>
      </w:r>
      <w:r w:rsidR="00B855A6">
        <w:lastRenderedPageBreak/>
        <w:t xml:space="preserve">profiles that had a DCM/DBM, </w:t>
      </w:r>
      <w:r w:rsidR="30B06FDC">
        <w:t>we removed the DCM/DBM and recalculated NPP, to understand the significance of the DCM/DBM</w:t>
      </w:r>
      <w:r w:rsidR="0093314A">
        <w:t>.</w:t>
      </w:r>
      <w:r w:rsidR="00B855A6">
        <w:t xml:space="preserve"> </w:t>
      </w:r>
      <w:r w:rsidR="1C560EA0">
        <w:t>We removed the DCM/DBM as follows</w:t>
      </w:r>
      <w:r w:rsidR="0093314A">
        <w:t>: b</w:t>
      </w:r>
      <w:r w:rsidR="004C273A" w:rsidRPr="00911C3A">
        <w:t xml:space="preserve">elow the MLD, we take the BGC-Argo measured </w:t>
      </w:r>
      <w:proofErr w:type="spellStart"/>
      <w:r w:rsidR="004C273A" w:rsidRPr="00911C3A">
        <w:t>chl</w:t>
      </w:r>
      <w:proofErr w:type="spellEnd"/>
      <w:r w:rsidR="004C273A" w:rsidRPr="00911C3A">
        <w:t xml:space="preserve"> or </w:t>
      </w:r>
      <w:proofErr w:type="spellStart"/>
      <w:r w:rsidR="004C273A" w:rsidRPr="00911C3A">
        <w:rPr>
          <w:rStyle w:val="normaltextrun"/>
          <w:color w:val="000000"/>
          <w:shd w:val="clear" w:color="auto" w:fill="FFFFFF"/>
          <w:lang w:val="en-US"/>
        </w:rPr>
        <w:t>b</w:t>
      </w:r>
      <w:r w:rsidR="004C273A" w:rsidRPr="00911C3A">
        <w:rPr>
          <w:rStyle w:val="normaltextrun"/>
          <w:color w:val="000000"/>
          <w:shd w:val="clear" w:color="auto" w:fill="FFFFFF"/>
          <w:vertAlign w:val="subscript"/>
          <w:lang w:val="en-US"/>
        </w:rPr>
        <w:t>bp</w:t>
      </w:r>
      <w:proofErr w:type="spellEnd"/>
      <w:r w:rsidR="004C273A" w:rsidRPr="00911C3A">
        <w:t xml:space="preserve"> value at each depth if it is smaller than the median MLD value. Otherwise, we take the median MLD value. We then apply the </w:t>
      </w:r>
      <w:proofErr w:type="spellStart"/>
      <w:r w:rsidR="004C273A" w:rsidRPr="00911C3A">
        <w:t>CbPM</w:t>
      </w:r>
      <w:proofErr w:type="spellEnd"/>
      <w:r w:rsidR="004C273A" w:rsidRPr="00911C3A">
        <w:t xml:space="preserve"> the same way we did with the original Argo float profiles.</w:t>
      </w:r>
      <w:r w:rsidR="004C273A">
        <w:t xml:space="preserve"> All</w:t>
      </w:r>
      <w:r w:rsidR="004C273A" w:rsidRPr="00911C3A">
        <w:t xml:space="preserve"> estimates from this method are </w:t>
      </w:r>
      <w:r w:rsidR="004C273A">
        <w:t>denoted</w:t>
      </w:r>
      <w:r w:rsidR="004C273A" w:rsidRPr="00911C3A">
        <w:t xml:space="preserve"> NPP</w:t>
      </w:r>
      <w:r w:rsidR="004C273A" w:rsidRPr="00911C3A">
        <w:rPr>
          <w:vertAlign w:val="subscript"/>
        </w:rPr>
        <w:t>DCM-removed</w:t>
      </w:r>
      <w:r w:rsidR="004C273A" w:rsidRPr="00911C3A">
        <w:t xml:space="preserve"> and NPP</w:t>
      </w:r>
      <w:r w:rsidR="004C273A" w:rsidRPr="00911C3A">
        <w:rPr>
          <w:vertAlign w:val="subscript"/>
        </w:rPr>
        <w:t>DBM-removed</w:t>
      </w:r>
      <w:r w:rsidR="004C273A">
        <w:t xml:space="preserve"> (see Figure 2 for examples)</w:t>
      </w:r>
      <w:r w:rsidR="004C273A" w:rsidRPr="00911C3A">
        <w:t>.</w:t>
      </w:r>
    </w:p>
    <w:p w14:paraId="240591F7" w14:textId="77777777" w:rsidR="00A03E17" w:rsidRDefault="00A03E17" w:rsidP="00A03E17">
      <w:pPr>
        <w:snapToGrid w:val="0"/>
        <w:spacing w:line="360" w:lineRule="auto"/>
        <w:jc w:val="both"/>
      </w:pPr>
    </w:p>
    <w:p w14:paraId="04BD803C" w14:textId="00C9C298" w:rsidR="00A03E17" w:rsidRPr="00AC1AD8" w:rsidRDefault="00A03E17" w:rsidP="00A03E17">
      <w:pPr>
        <w:pStyle w:val="Heading-Secondary"/>
        <w:snapToGrid w:val="0"/>
        <w:spacing w:before="0" w:after="0" w:line="360" w:lineRule="auto"/>
        <w:ind w:left="360"/>
        <w:jc w:val="both"/>
        <w:rPr>
          <w:b/>
        </w:rPr>
      </w:pPr>
      <w:r>
        <w:rPr>
          <w:b/>
        </w:rPr>
        <w:t>2.6. NPP estimates from satellite</w:t>
      </w:r>
    </w:p>
    <w:p w14:paraId="74ED268E" w14:textId="77777777" w:rsidR="00A03E17" w:rsidRDefault="00A03E17" w:rsidP="00A03E17">
      <w:pPr>
        <w:snapToGrid w:val="0"/>
        <w:spacing w:line="360" w:lineRule="auto"/>
        <w:jc w:val="both"/>
      </w:pPr>
    </w:p>
    <w:p w14:paraId="48ED0E98" w14:textId="6100217A" w:rsidR="00A03E17" w:rsidRDefault="00A03E17" w:rsidP="00A03E17">
      <w:pPr>
        <w:snapToGrid w:val="0"/>
        <w:spacing w:line="360" w:lineRule="auto"/>
        <w:jc w:val="both"/>
      </w:pPr>
      <w:r>
        <w:t xml:space="preserve">To compare our BGC-Argo NPP estimates </w:t>
      </w:r>
      <w:r w:rsidR="00B36730">
        <w:t>to</w:t>
      </w:r>
      <w:r>
        <w:t xml:space="preserve"> satellite </w:t>
      </w:r>
      <w:r w:rsidR="00B36730">
        <w:t>estimates</w:t>
      </w:r>
      <w:r w:rsidR="0093354A">
        <w:t>,</w:t>
      </w:r>
      <w:r>
        <w:t xml:space="preserve"> we derived NPP below the ML </w:t>
      </w:r>
      <w:r w:rsidR="00B855A6">
        <w:t>using all the same assumptions as are used for the satellite application of the</w:t>
      </w:r>
      <w:r>
        <w:t xml:space="preserve"> </w:t>
      </w:r>
      <w:proofErr w:type="spellStart"/>
      <w:proofErr w:type="gramStart"/>
      <w:r>
        <w:t>CbPM</w:t>
      </w:r>
      <w:proofErr w:type="spellEnd"/>
      <w:r>
        <w:t xml:space="preserve">, </w:t>
      </w:r>
      <w:r w:rsidR="00B855A6">
        <w:t>but</w:t>
      </w:r>
      <w:proofErr w:type="gramEnd"/>
      <w:r w:rsidR="00B855A6">
        <w:t xml:space="preserve"> </w:t>
      </w:r>
      <w:r>
        <w:t>using the float median in the ML as the surface value</w:t>
      </w:r>
      <w:r w:rsidR="0011378A">
        <w:t xml:space="preserve"> instead of the satellite</w:t>
      </w:r>
      <w:r w:rsidR="00A24F6C">
        <w:t xml:space="preserve"> value</w:t>
      </w:r>
      <w:r w:rsidR="00984ADE">
        <w:t xml:space="preserve"> (Arteaga et al., 2022)</w:t>
      </w:r>
      <w:r>
        <w:t xml:space="preserve">. </w:t>
      </w:r>
      <w:r w:rsidR="00B24DBC">
        <w:t>In the</w:t>
      </w:r>
      <w:r w:rsidR="00A86C50">
        <w:t xml:space="preserve"> adapted </w:t>
      </w:r>
      <w:proofErr w:type="spellStart"/>
      <w:r w:rsidR="00A86C50">
        <w:t>CbPM</w:t>
      </w:r>
      <w:proofErr w:type="spellEnd"/>
      <w:r w:rsidR="00A86C50">
        <w:t xml:space="preserve"> by </w:t>
      </w:r>
      <w:proofErr w:type="spellStart"/>
      <w:r w:rsidR="00A86C50">
        <w:t>Westberry</w:t>
      </w:r>
      <w:proofErr w:type="spellEnd"/>
      <w:r w:rsidR="00A86C50">
        <w:t xml:space="preserve"> et al. </w:t>
      </w:r>
      <w:r w:rsidR="00D91AF7">
        <w:t>(</w:t>
      </w:r>
      <w:r w:rsidR="00A86C50">
        <w:t>2008</w:t>
      </w:r>
      <w:r w:rsidR="00D91AF7">
        <w:t>)</w:t>
      </w:r>
      <w:r w:rsidR="00A86C50">
        <w:t>, the</w:t>
      </w:r>
      <w:r w:rsidR="00B24DBC" w:rsidRPr="6F732D41">
        <w:rPr>
          <w:color w:val="000000" w:themeColor="text1"/>
        </w:rPr>
        <w:t xml:space="preserve"> </w:t>
      </w:r>
      <w:r w:rsidR="00E65B04" w:rsidRPr="6F732D41">
        <w:rPr>
          <w:color w:val="000000" w:themeColor="text1"/>
        </w:rPr>
        <w:t>cellular nutrient index (</w:t>
      </w:r>
      <w:r w:rsidR="00E65B04" w:rsidRPr="6F732D41">
        <w:rPr>
          <w:i/>
          <w:iCs/>
        </w:rPr>
        <w:t>g</w:t>
      </w:r>
      <w:r w:rsidR="00E65B04" w:rsidRPr="6F732D41">
        <w:rPr>
          <w:color w:val="000000" w:themeColor="text1"/>
        </w:rPr>
        <w:t xml:space="preserve">) </w:t>
      </w:r>
      <w:r w:rsidR="00A86C50" w:rsidRPr="6F732D41">
        <w:rPr>
          <w:color w:val="000000" w:themeColor="text1"/>
        </w:rPr>
        <w:t>use</w:t>
      </w:r>
      <w:r w:rsidR="001370DD">
        <w:rPr>
          <w:color w:val="000000" w:themeColor="text1"/>
        </w:rPr>
        <w:t>s</w:t>
      </w:r>
      <w:r w:rsidR="00A86C50" w:rsidRPr="6F732D41">
        <w:rPr>
          <w:color w:val="000000" w:themeColor="text1"/>
        </w:rPr>
        <w:t xml:space="preserve"> the distance</w:t>
      </w:r>
      <w:r w:rsidR="00C440E0" w:rsidRPr="6F732D41">
        <w:rPr>
          <w:color w:val="000000" w:themeColor="text1"/>
        </w:rPr>
        <w:t xml:space="preserve"> to the nitracline at each depth</w:t>
      </w:r>
      <w:r w:rsidR="00712E42">
        <w:rPr>
          <w:color w:val="000000" w:themeColor="text1"/>
        </w:rPr>
        <w:t xml:space="preserve"> (Eq. 7</w:t>
      </w:r>
      <w:r w:rsidR="00825C42">
        <w:rPr>
          <w:color w:val="000000" w:themeColor="text1"/>
        </w:rPr>
        <w:t>-9</w:t>
      </w:r>
      <w:r w:rsidR="00712E42">
        <w:rPr>
          <w:color w:val="000000" w:themeColor="text1"/>
        </w:rPr>
        <w:t>)</w:t>
      </w:r>
      <w:r w:rsidR="00C440E0" w:rsidRPr="6F732D41">
        <w:rPr>
          <w:color w:val="000000" w:themeColor="text1"/>
        </w:rPr>
        <w:t>.</w:t>
      </w:r>
      <w:r w:rsidR="00E65B04">
        <w:t xml:space="preserve"> </w:t>
      </w:r>
      <w:r>
        <w:t xml:space="preserve">Recently, Arteaga et al. (2022) showed that changing the nitracline </w:t>
      </w:r>
      <w:r w:rsidR="0054396A">
        <w:t xml:space="preserve">depth </w:t>
      </w:r>
      <w:r>
        <w:t xml:space="preserve">for the </w:t>
      </w:r>
      <w:proofErr w:type="spellStart"/>
      <w:r>
        <w:t>ferricline</w:t>
      </w:r>
      <w:proofErr w:type="spellEnd"/>
      <w:r>
        <w:t xml:space="preserve"> </w:t>
      </w:r>
      <w:r w:rsidR="0054396A">
        <w:t xml:space="preserve">depth </w:t>
      </w:r>
      <w:r>
        <w:t xml:space="preserve">south of 30°S improved the NPP estimates from satellite. Here, we use the </w:t>
      </w:r>
      <w:proofErr w:type="spellStart"/>
      <w:r>
        <w:t>CbPM</w:t>
      </w:r>
      <w:proofErr w:type="spellEnd"/>
      <w:r w:rsidR="002E106A">
        <w:t xml:space="preserve"> (nitracline)</w:t>
      </w:r>
      <w:r>
        <w:t xml:space="preserve"> adapted by Westberry et al. (2008), </w:t>
      </w:r>
      <w:r w:rsidR="002E106A">
        <w:t xml:space="preserve">using </w:t>
      </w:r>
      <w:r>
        <w:t>nitracline</w:t>
      </w:r>
      <w:r w:rsidR="00FB58D8">
        <w:t xml:space="preserve"> depths</w:t>
      </w:r>
      <w:r w:rsidR="002E106A">
        <w:t xml:space="preserve"> computed using nitrate profiles from the floats,</w:t>
      </w:r>
      <w:r>
        <w:t xml:space="preserve"> (NPP </w:t>
      </w:r>
      <w:proofErr w:type="spellStart"/>
      <w:r>
        <w:t>Sat</w:t>
      </w:r>
      <w:r w:rsidRPr="6F732D41">
        <w:rPr>
          <w:vertAlign w:val="subscript"/>
        </w:rPr>
        <w:t>nit</w:t>
      </w:r>
      <w:proofErr w:type="spellEnd"/>
      <w:r>
        <w:t xml:space="preserve">), and the </w:t>
      </w:r>
      <w:proofErr w:type="spellStart"/>
      <w:r>
        <w:t>CbPM</w:t>
      </w:r>
      <w:proofErr w:type="spellEnd"/>
      <w:r>
        <w:t xml:space="preserve"> </w:t>
      </w:r>
      <w:r w:rsidR="00270F8D">
        <w:t>(</w:t>
      </w:r>
      <w:proofErr w:type="spellStart"/>
      <w:r w:rsidR="00270F8D">
        <w:t>ferricline</w:t>
      </w:r>
      <w:proofErr w:type="spellEnd"/>
      <w:r w:rsidR="00270F8D">
        <w:t xml:space="preserve">) </w:t>
      </w:r>
      <w:r>
        <w:t xml:space="preserve">adapted by Arteaga et al. (2022), </w:t>
      </w:r>
      <w:r w:rsidR="00270F8D">
        <w:t>using a mean</w:t>
      </w:r>
      <w:r>
        <w:t xml:space="preserve"> </w:t>
      </w:r>
      <w:proofErr w:type="spellStart"/>
      <w:r>
        <w:t>ferricline</w:t>
      </w:r>
      <w:proofErr w:type="spellEnd"/>
      <w:r>
        <w:t xml:space="preserve"> </w:t>
      </w:r>
      <w:r w:rsidR="00270F8D">
        <w:t>of 333m</w:t>
      </w:r>
      <w:r>
        <w:t xml:space="preserve"> </w:t>
      </w:r>
      <w:r w:rsidR="000B4ECE">
        <w:t xml:space="preserve">depth </w:t>
      </w:r>
      <w:r>
        <w:t xml:space="preserve">(NPP </w:t>
      </w:r>
      <w:proofErr w:type="spellStart"/>
      <w:r>
        <w:t>Sat</w:t>
      </w:r>
      <w:r w:rsidRPr="6F732D41">
        <w:rPr>
          <w:vertAlign w:val="subscript"/>
        </w:rPr>
        <w:t>fer</w:t>
      </w:r>
      <w:proofErr w:type="spellEnd"/>
      <w:r>
        <w:t>)</w:t>
      </w:r>
      <w:r w:rsidR="00270F8D">
        <w:t>, based on in situ estimates in the Southern Ocean from Tagliabue et al. (2014)</w:t>
      </w:r>
      <w:r>
        <w:t xml:space="preserve">. </w:t>
      </w:r>
    </w:p>
    <w:p w14:paraId="453EC09C" w14:textId="77777777" w:rsidR="00714571" w:rsidRDefault="00714571" w:rsidP="00A03E17">
      <w:pPr>
        <w:snapToGrid w:val="0"/>
        <w:spacing w:line="360" w:lineRule="auto"/>
        <w:jc w:val="both"/>
      </w:pPr>
    </w:p>
    <w:p w14:paraId="55CA82D4" w14:textId="77777777" w:rsidR="00A03E17" w:rsidRPr="00AC1AD8" w:rsidRDefault="00A03E17" w:rsidP="0053305D">
      <w:pPr>
        <w:snapToGrid w:val="0"/>
        <w:spacing w:line="360" w:lineRule="auto"/>
        <w:jc w:val="both"/>
      </w:pPr>
    </w:p>
    <w:p w14:paraId="2F4F7A2D" w14:textId="493F332A" w:rsidR="00600A31" w:rsidRPr="00AC1AD8" w:rsidRDefault="00600A31" w:rsidP="0053305D">
      <w:pPr>
        <w:snapToGrid w:val="0"/>
        <w:spacing w:line="360" w:lineRule="auto"/>
        <w:jc w:val="both"/>
      </w:pPr>
    </w:p>
    <w:p w14:paraId="2A1A119F" w14:textId="25302579" w:rsidR="00600A31" w:rsidRPr="00AC1AD8" w:rsidRDefault="001B7A73" w:rsidP="0053305D">
      <w:pPr>
        <w:snapToGrid w:val="0"/>
        <w:spacing w:line="360" w:lineRule="auto"/>
        <w:jc w:val="both"/>
      </w:pPr>
      <w:r>
        <w:rPr>
          <w:noProof/>
        </w:rPr>
        <w:lastRenderedPageBreak/>
        <w:drawing>
          <wp:inline distT="0" distB="0" distL="0" distR="0" wp14:anchorId="695C971D" wp14:editId="29D174B1">
            <wp:extent cx="5910806" cy="3821229"/>
            <wp:effectExtent l="0" t="0" r="0" b="1905"/>
            <wp:docPr id="7548118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811860" name="Picture 754811860"/>
                    <pic:cNvPicPr/>
                  </pic:nvPicPr>
                  <pic:blipFill rotWithShape="1">
                    <a:blip r:embed="rId12">
                      <a:extLst>
                        <a:ext uri="{28A0092B-C50C-407E-A947-70E740481C1C}">
                          <a14:useLocalDpi xmlns:a14="http://schemas.microsoft.com/office/drawing/2010/main" val="0"/>
                        </a:ext>
                      </a:extLst>
                    </a:blip>
                    <a:srcRect l="1680" t="10696" r="12338" b="10640"/>
                    <a:stretch/>
                  </pic:blipFill>
                  <pic:spPr bwMode="auto">
                    <a:xfrm>
                      <a:off x="0" y="0"/>
                      <a:ext cx="5917788" cy="3825743"/>
                    </a:xfrm>
                    <a:prstGeom prst="rect">
                      <a:avLst/>
                    </a:prstGeom>
                    <a:ln>
                      <a:noFill/>
                    </a:ln>
                    <a:extLst>
                      <a:ext uri="{53640926-AAD7-44D8-BBD7-CCE9431645EC}">
                        <a14:shadowObscured xmlns:a14="http://schemas.microsoft.com/office/drawing/2010/main"/>
                      </a:ext>
                    </a:extLst>
                  </pic:spPr>
                </pic:pic>
              </a:graphicData>
            </a:graphic>
          </wp:inline>
        </w:drawing>
      </w:r>
    </w:p>
    <w:p w14:paraId="648935D8" w14:textId="7095C580" w:rsidR="00600A31" w:rsidRPr="00AC1AD8" w:rsidRDefault="30FCD92F" w:rsidP="0053305D">
      <w:pPr>
        <w:snapToGrid w:val="0"/>
        <w:spacing w:line="360" w:lineRule="auto"/>
        <w:jc w:val="both"/>
      </w:pPr>
      <w:r>
        <w:t xml:space="preserve">Figure 2. </w:t>
      </w:r>
      <w:r w:rsidR="5B95DB85">
        <w:t>Profiles of</w:t>
      </w:r>
      <w:r w:rsidR="000D1B19">
        <w:t xml:space="preserve"> </w:t>
      </w:r>
      <w:r w:rsidR="409C44E8">
        <w:t xml:space="preserve">(a) </w:t>
      </w:r>
      <w:proofErr w:type="spellStart"/>
      <w:r w:rsidR="00782B11">
        <w:t>C</w:t>
      </w:r>
      <w:r w:rsidR="00782B11" w:rsidRPr="6F732D41">
        <w:rPr>
          <w:vertAlign w:val="subscript"/>
        </w:rPr>
        <w:t>phyto</w:t>
      </w:r>
      <w:proofErr w:type="spellEnd"/>
      <w:r w:rsidR="1C1EF0A0">
        <w:t>,</w:t>
      </w:r>
      <w:r w:rsidR="791414E2">
        <w:t xml:space="preserve"> </w:t>
      </w:r>
      <w:r w:rsidR="1F429C22">
        <w:t>(b)</w:t>
      </w:r>
      <w:r w:rsidR="0075462E">
        <w:t xml:space="preserve"> </w:t>
      </w:r>
      <w:proofErr w:type="spellStart"/>
      <w:r w:rsidR="00782B11">
        <w:t>chl:C</w:t>
      </w:r>
      <w:r w:rsidR="00782B11" w:rsidRPr="6F732D41">
        <w:rPr>
          <w:vertAlign w:val="subscript"/>
        </w:rPr>
        <w:t>phyto</w:t>
      </w:r>
      <w:proofErr w:type="spellEnd"/>
      <w:r w:rsidR="00782B11">
        <w:t xml:space="preserve"> ratio</w:t>
      </w:r>
      <w:r w:rsidR="0075462E">
        <w:t>, (c)</w:t>
      </w:r>
      <w:r w:rsidR="1F429C22">
        <w:t xml:space="preserve"> </w:t>
      </w:r>
      <w:proofErr w:type="spellStart"/>
      <w:r w:rsidR="00782B11">
        <w:t>chl</w:t>
      </w:r>
      <w:proofErr w:type="spellEnd"/>
      <w:r w:rsidR="1DAAB1C6">
        <w:t>,</w:t>
      </w:r>
      <w:r w:rsidR="008608AD">
        <w:t xml:space="preserve"> and d)</w:t>
      </w:r>
      <w:r w:rsidR="004F7E62">
        <w:t xml:space="preserve"> NPP</w:t>
      </w:r>
      <w:r w:rsidR="5311CD05">
        <w:t xml:space="preserve"> resulting from the range of methods</w:t>
      </w:r>
      <w:r>
        <w:t>.</w:t>
      </w:r>
      <w:r w:rsidR="791414E2">
        <w:t xml:space="preserve"> </w:t>
      </w:r>
      <w:r w:rsidR="4116C812">
        <w:t xml:space="preserve">Note that in this figure, </w:t>
      </w:r>
      <w:r w:rsidR="00D05D27">
        <w:t xml:space="preserve">all </w:t>
      </w:r>
      <w:r w:rsidR="4116C812">
        <w:t xml:space="preserve">profiles are only shown </w:t>
      </w:r>
      <w:r w:rsidR="0093354A">
        <w:t xml:space="preserve">to </w:t>
      </w:r>
      <w:r w:rsidR="4116C812">
        <w:t>200m as NPP below 200m w</w:t>
      </w:r>
      <w:r w:rsidR="4C27789C">
        <w:t>as</w:t>
      </w:r>
      <w:r w:rsidR="4116C812">
        <w:t xml:space="preserve"> zero. </w:t>
      </w:r>
      <w:r w:rsidR="0024406A">
        <w:t xml:space="preserve">The black line </w:t>
      </w:r>
      <w:r w:rsidR="00F60998">
        <w:t xml:space="preserve">in panel c) </w:t>
      </w:r>
      <w:r w:rsidR="0024406A">
        <w:t>represents</w:t>
      </w:r>
      <w:r w:rsidR="0093354A">
        <w:t xml:space="preserve"> the</w:t>
      </w:r>
      <w:r w:rsidR="0024406A">
        <w:t xml:space="preserve"> </w:t>
      </w:r>
      <w:proofErr w:type="spellStart"/>
      <w:r w:rsidR="00F60998">
        <w:t>chl</w:t>
      </w:r>
      <w:proofErr w:type="spellEnd"/>
      <w:r w:rsidR="00F60998">
        <w:t xml:space="preserve"> profile</w:t>
      </w:r>
      <w:r w:rsidR="0024406A">
        <w:t xml:space="preserve"> after applying all quality control criteria and before smoothing, used to calculate NPP. The </w:t>
      </w:r>
      <w:r w:rsidR="00F60998">
        <w:t>solid green line is the smoothed profile from the float</w:t>
      </w:r>
      <w:r w:rsidR="005655A8">
        <w:t>. The dashed green is for the float profile after removing the DCM</w:t>
      </w:r>
      <w:r w:rsidR="0024406A">
        <w:t>.</w:t>
      </w:r>
      <w:r w:rsidR="005655A8">
        <w:t xml:space="preserve"> The dashed yellow line is for the </w:t>
      </w:r>
      <w:proofErr w:type="spellStart"/>
      <w:r w:rsidR="005655A8">
        <w:t>CbPM</w:t>
      </w:r>
      <w:proofErr w:type="spellEnd"/>
      <w:r w:rsidR="005655A8">
        <w:t xml:space="preserve"> </w:t>
      </w:r>
      <w:r w:rsidR="00B051E1">
        <w:t xml:space="preserve">using the nitracline and the dashed red line is for the </w:t>
      </w:r>
      <w:proofErr w:type="spellStart"/>
      <w:r w:rsidR="00B051E1">
        <w:t>CbPM</w:t>
      </w:r>
      <w:proofErr w:type="spellEnd"/>
      <w:r w:rsidR="00B051E1">
        <w:t xml:space="preserve"> using the </w:t>
      </w:r>
      <w:proofErr w:type="spellStart"/>
      <w:r w:rsidR="00B051E1">
        <w:t>ferricline</w:t>
      </w:r>
      <w:proofErr w:type="spellEnd"/>
      <w:r w:rsidR="00B051E1">
        <w:t xml:space="preserve"> to calculate the nutrient index. </w:t>
      </w:r>
      <w:r w:rsidR="1537B3F6">
        <w:t xml:space="preserve">In </w:t>
      </w:r>
      <w:r w:rsidR="00D05D27">
        <w:t xml:space="preserve">all </w:t>
      </w:r>
      <w:r w:rsidR="00843360">
        <w:t xml:space="preserve">four </w:t>
      </w:r>
      <w:r w:rsidR="1537B3F6">
        <w:t>panels, the same profile</w:t>
      </w:r>
      <w:r w:rsidR="00DA4D34">
        <w:t xml:space="preserve"> (no. </w:t>
      </w:r>
      <w:r w:rsidR="00D05D27">
        <w:t>4</w:t>
      </w:r>
      <w:r w:rsidR="00DA4D34">
        <w:t>)</w:t>
      </w:r>
      <w:r w:rsidR="1537B3F6">
        <w:t xml:space="preserve"> </w:t>
      </w:r>
      <w:r w:rsidR="4852F181">
        <w:t>from fl</w:t>
      </w:r>
      <w:r w:rsidR="25B67F11">
        <w:t>oa</w:t>
      </w:r>
      <w:r w:rsidR="4852F181">
        <w:t>t</w:t>
      </w:r>
      <w:r w:rsidR="00DA4D34">
        <w:t xml:space="preserve"> </w:t>
      </w:r>
      <w:r w:rsidR="00DA77E9">
        <w:t>WMO</w:t>
      </w:r>
      <w:r w:rsidR="00DA4D34">
        <w:t>590</w:t>
      </w:r>
      <w:r w:rsidR="00D05D27">
        <w:t>4105</w:t>
      </w:r>
      <w:r w:rsidR="4852F181">
        <w:t xml:space="preserve"> </w:t>
      </w:r>
      <w:r w:rsidR="1537B3F6">
        <w:t>is shown</w:t>
      </w:r>
      <w:r w:rsidR="00843360">
        <w:t xml:space="preserve">. </w:t>
      </w:r>
      <w:r w:rsidR="00F958C5">
        <w:t xml:space="preserve">Both, the MLD and the nitracline depth for this profile are shown in all panels. </w:t>
      </w:r>
      <w:r w:rsidR="00C72F3B">
        <w:t xml:space="preserve">The </w:t>
      </w:r>
      <w:proofErr w:type="spellStart"/>
      <w:r w:rsidR="00C72F3B">
        <w:t>ferricline</w:t>
      </w:r>
      <w:proofErr w:type="spellEnd"/>
      <w:r w:rsidR="00C72F3B">
        <w:t xml:space="preserve"> depth in the </w:t>
      </w:r>
      <w:proofErr w:type="spellStart"/>
      <w:r w:rsidR="00C72F3B">
        <w:t>CbPM</w:t>
      </w:r>
      <w:r w:rsidR="00EB2793" w:rsidRPr="6F732D41">
        <w:rPr>
          <w:vertAlign w:val="subscript"/>
        </w:rPr>
        <w:t>Fer</w:t>
      </w:r>
      <w:proofErr w:type="spellEnd"/>
      <w:r w:rsidR="00EB2793">
        <w:t xml:space="preserve"> </w:t>
      </w:r>
      <w:r w:rsidR="00C72F3B">
        <w:t>was set to 333m</w:t>
      </w:r>
      <w:r w:rsidR="00EB2793">
        <w:t xml:space="preserve"> in all profiles</w:t>
      </w:r>
      <w:r w:rsidR="00C72F3B">
        <w:t xml:space="preserve"> </w:t>
      </w:r>
      <w:r w:rsidR="00EB2793">
        <w:t>(</w:t>
      </w:r>
      <w:r w:rsidR="00C72F3B">
        <w:t>Arteaga et al</w:t>
      </w:r>
      <w:r w:rsidR="00EB2793">
        <w:t xml:space="preserve">. 2022). </w:t>
      </w:r>
    </w:p>
    <w:p w14:paraId="388D4E76" w14:textId="77777777" w:rsidR="00526D3D" w:rsidRPr="00AC1AD8" w:rsidRDefault="00526D3D" w:rsidP="0053305D">
      <w:pPr>
        <w:snapToGrid w:val="0"/>
        <w:spacing w:line="360" w:lineRule="auto"/>
        <w:jc w:val="both"/>
      </w:pPr>
    </w:p>
    <w:p w14:paraId="6F00430B" w14:textId="22FE957B" w:rsidR="004F142D" w:rsidRDefault="7F9C4CB8" w:rsidP="0053305D">
      <w:pPr>
        <w:snapToGrid w:val="0"/>
        <w:spacing w:line="360" w:lineRule="auto"/>
        <w:jc w:val="both"/>
        <w:rPr>
          <w:rStyle w:val="normaltextrun"/>
          <w:color w:val="000000"/>
          <w:bdr w:val="none" w:sz="0" w:space="0" w:color="auto" w:frame="1"/>
          <w:lang w:val="en-US"/>
        </w:rPr>
      </w:pPr>
      <w:r w:rsidRPr="00AC1AD8">
        <w:t xml:space="preserve">All </w:t>
      </w:r>
      <w:r w:rsidR="015A4A88" w:rsidRPr="00AC1AD8">
        <w:t xml:space="preserve">NPP </w:t>
      </w:r>
      <w:r w:rsidRPr="00AC1AD8">
        <w:t>estimates</w:t>
      </w:r>
      <w:r w:rsidR="00F36C8E">
        <w:t xml:space="preserve"> (Table 1)</w:t>
      </w:r>
      <w:r w:rsidR="00420321">
        <w:t xml:space="preserve"> </w:t>
      </w:r>
      <w:r w:rsidRPr="00AC1AD8">
        <w:t>were not normally distributed</w:t>
      </w:r>
      <w:r w:rsidR="015A4A88" w:rsidRPr="00AC1AD8">
        <w:t>,</w:t>
      </w:r>
      <w:r w:rsidRPr="00AC1AD8">
        <w:t xml:space="preserve"> </w:t>
      </w:r>
      <w:r w:rsidR="5A461090" w:rsidRPr="00AC1AD8">
        <w:t xml:space="preserve">therefore </w:t>
      </w:r>
      <w:r w:rsidRPr="00AC1AD8">
        <w:t>the Kruskal-</w:t>
      </w:r>
      <w:proofErr w:type="gramStart"/>
      <w:r w:rsidRPr="00AC1AD8">
        <w:t>Wallis</w:t>
      </w:r>
      <w:proofErr w:type="gramEnd"/>
      <w:r w:rsidRPr="00AC1AD8">
        <w:t xml:space="preserve"> </w:t>
      </w:r>
      <w:r w:rsidR="3B95436C" w:rsidRPr="00AC1AD8">
        <w:t xml:space="preserve">test </w:t>
      </w:r>
      <w:r w:rsidRPr="00AC1AD8">
        <w:t xml:space="preserve">was used to </w:t>
      </w:r>
      <w:r w:rsidR="6C373C94">
        <w:t>test for</w:t>
      </w:r>
      <w:r w:rsidR="00E276A7">
        <w:t xml:space="preserve"> </w:t>
      </w:r>
      <w:r w:rsidRPr="00AC1AD8">
        <w:t>significan</w:t>
      </w:r>
      <w:r w:rsidR="00EE3E50">
        <w:t>t</w:t>
      </w:r>
      <w:r w:rsidRPr="00AC1AD8">
        <w:t xml:space="preserve"> differences between variables</w:t>
      </w:r>
      <w:r w:rsidR="015A4A88" w:rsidRPr="00AC1AD8">
        <w:t xml:space="preserve"> </w:t>
      </w:r>
      <w:r w:rsidR="00EE3E50">
        <w:t>across</w:t>
      </w:r>
      <w:r w:rsidR="00EE3E50" w:rsidRPr="00AC1AD8">
        <w:t xml:space="preserve"> </w:t>
      </w:r>
      <w:r w:rsidR="015A4A88" w:rsidRPr="00AC1AD8">
        <w:t>DCM</w:t>
      </w:r>
      <w:r w:rsidR="006A3C23">
        <w:t>, DBM,</w:t>
      </w:r>
      <w:r w:rsidR="015A4A88" w:rsidRPr="00AC1AD8">
        <w:t xml:space="preserve"> and ALL</w:t>
      </w:r>
      <w:r w:rsidRPr="00AC1AD8">
        <w:t xml:space="preserve">. </w:t>
      </w:r>
      <w:r w:rsidR="38B85A14" w:rsidRPr="00AC1AD8">
        <w:t xml:space="preserve">To test differences in subsurface NPP between zones, the Kruskal-Wallis and </w:t>
      </w:r>
      <w:r w:rsidR="015A4A88" w:rsidRPr="00AC1AD8">
        <w:t xml:space="preserve">Dunn’s </w:t>
      </w:r>
      <w:r w:rsidR="38B85A14" w:rsidRPr="00AC1AD8">
        <w:t>post-hoc tests were used</w:t>
      </w:r>
      <w:r w:rsidRPr="00AC1AD8">
        <w:t xml:space="preserve">. </w:t>
      </w:r>
      <w:r w:rsidR="38B85A14" w:rsidRPr="00252339">
        <w:t>A correlation test was used to examine the influence of environmental variables</w:t>
      </w:r>
      <w:r w:rsidR="022B5CF8" w:rsidRPr="00252339">
        <w:t xml:space="preserve"> (</w:t>
      </w:r>
      <w:r w:rsidR="1139A731" w:rsidRPr="00252339">
        <w:t>PAR</w:t>
      </w:r>
      <w:r w:rsidR="1139A731" w:rsidRPr="00252339">
        <w:rPr>
          <w:vertAlign w:val="subscript"/>
        </w:rPr>
        <w:t>MLD</w:t>
      </w:r>
      <w:r w:rsidR="1139A731" w:rsidRPr="00252339">
        <w:t>, D</w:t>
      </w:r>
      <w:r w:rsidR="1139A731" w:rsidRPr="00252339">
        <w:rPr>
          <w:vertAlign w:val="subscript"/>
        </w:rPr>
        <w:t>NO3</w:t>
      </w:r>
      <w:r w:rsidR="1139A731" w:rsidRPr="00252339">
        <w:t xml:space="preserve">, </w:t>
      </w:r>
      <w:proofErr w:type="spellStart"/>
      <w:r w:rsidR="1139A731" w:rsidRPr="00252339">
        <w:t>DCM</w:t>
      </w:r>
      <w:r w:rsidR="1139A731" w:rsidRPr="00252339">
        <w:rPr>
          <w:vertAlign w:val="subscript"/>
        </w:rPr>
        <w:t>z</w:t>
      </w:r>
      <w:proofErr w:type="spellEnd"/>
      <w:r w:rsidR="1139A731" w:rsidRPr="00252339">
        <w:t xml:space="preserve">, </w:t>
      </w:r>
      <w:proofErr w:type="spellStart"/>
      <w:r w:rsidR="00152FD5" w:rsidRPr="00252339">
        <w:t>DBM</w:t>
      </w:r>
      <w:r w:rsidR="00152FD5" w:rsidRPr="00252339">
        <w:rPr>
          <w:vertAlign w:val="subscript"/>
        </w:rPr>
        <w:t>z</w:t>
      </w:r>
      <w:proofErr w:type="spellEnd"/>
      <w:r w:rsidR="00152FD5" w:rsidRPr="00252339">
        <w:t xml:space="preserve">, </w:t>
      </w:r>
      <w:r w:rsidR="1139A731" w:rsidRPr="00252339">
        <w:t>MLD,</w:t>
      </w:r>
      <w:r w:rsidR="022B5CF8" w:rsidRPr="00252339">
        <w:t xml:space="preserve"> </w:t>
      </w:r>
      <w:r w:rsidRPr="00252339">
        <w:t>D</w:t>
      </w:r>
      <w:r w:rsidRPr="00252339">
        <w:rPr>
          <w:vertAlign w:val="subscript"/>
        </w:rPr>
        <w:t>eu</w:t>
      </w:r>
      <w:r w:rsidRPr="00252339">
        <w:t xml:space="preserve">, </w:t>
      </w:r>
      <w:r w:rsidR="022B5CF8" w:rsidRPr="00252339">
        <w:t xml:space="preserve">and </w:t>
      </w:r>
      <w:proofErr w:type="spellStart"/>
      <w:r w:rsidR="022B5CF8" w:rsidRPr="00252339">
        <w:t>chl</w:t>
      </w:r>
      <w:r w:rsidR="3428CB27" w:rsidRPr="00252339">
        <w:rPr>
          <w:vertAlign w:val="subscript"/>
        </w:rPr>
        <w:t>MLD</w:t>
      </w:r>
      <w:proofErr w:type="spellEnd"/>
      <w:r w:rsidR="022B5CF8" w:rsidRPr="00252339">
        <w:t>)</w:t>
      </w:r>
      <w:r w:rsidR="38B85A14" w:rsidRPr="00252339">
        <w:t xml:space="preserve"> on the contribution of subsurface production</w:t>
      </w:r>
      <w:r w:rsidR="122EAD90" w:rsidRPr="00252339">
        <w:t xml:space="preserve"> </w:t>
      </w:r>
      <w:r w:rsidR="5653377F" w:rsidRPr="00252339">
        <w:t>to total production</w:t>
      </w:r>
      <w:r w:rsidR="00B31C3A" w:rsidRPr="00252339">
        <w:t xml:space="preserve"> from the different profiles</w:t>
      </w:r>
      <w:r w:rsidR="38B85A14" w:rsidRPr="00252339">
        <w:t>.</w:t>
      </w:r>
      <w:r w:rsidR="38B85A14" w:rsidRPr="00AC1AD8">
        <w:t xml:space="preserve"> </w:t>
      </w:r>
      <w:r w:rsidR="00D118F6">
        <w:t>Root</w:t>
      </w:r>
      <w:r w:rsidR="00E6770C">
        <w:t xml:space="preserve"> </w:t>
      </w:r>
      <w:proofErr w:type="gramStart"/>
      <w:r w:rsidR="00E6770C">
        <w:t>mean</w:t>
      </w:r>
      <w:proofErr w:type="gramEnd"/>
      <w:r w:rsidR="00E6770C">
        <w:t xml:space="preserve"> square error</w:t>
      </w:r>
      <w:r w:rsidR="00B07CEB">
        <w:t>, mean</w:t>
      </w:r>
      <w:r w:rsidR="00D118F6">
        <w:t xml:space="preserve"> normalised</w:t>
      </w:r>
      <w:r w:rsidR="00B07CEB">
        <w:t xml:space="preserve"> bias, and the correlation</w:t>
      </w:r>
      <w:r w:rsidR="0011551D">
        <w:t xml:space="preserve"> coefficient</w:t>
      </w:r>
      <w:r w:rsidR="00B07CEB">
        <w:t xml:space="preserve"> (r), </w:t>
      </w:r>
      <w:r w:rsidR="00E6770C">
        <w:t>were us</w:t>
      </w:r>
      <w:r w:rsidR="00240D63">
        <w:t xml:space="preserve">ed to compare NPP estimates </w:t>
      </w:r>
      <w:r w:rsidR="00240D63">
        <w:lastRenderedPageBreak/>
        <w:t xml:space="preserve">between the </w:t>
      </w:r>
      <w:proofErr w:type="spellStart"/>
      <w:r w:rsidR="00240D63">
        <w:t>CbPM</w:t>
      </w:r>
      <w:r w:rsidR="00240D63" w:rsidRPr="00240D63">
        <w:rPr>
          <w:vertAlign w:val="subscript"/>
        </w:rPr>
        <w:t>Nit</w:t>
      </w:r>
      <w:proofErr w:type="spellEnd"/>
      <w:r w:rsidR="00240D63">
        <w:t xml:space="preserve">, </w:t>
      </w:r>
      <w:proofErr w:type="spellStart"/>
      <w:r w:rsidR="00240D63">
        <w:t>CbPM</w:t>
      </w:r>
      <w:r w:rsidR="00240D63" w:rsidRPr="00240D63">
        <w:rPr>
          <w:vertAlign w:val="subscript"/>
        </w:rPr>
        <w:t>Fer</w:t>
      </w:r>
      <w:proofErr w:type="spellEnd"/>
      <w:r w:rsidR="00240D63">
        <w:t xml:space="preserve">, </w:t>
      </w:r>
      <w:proofErr w:type="spellStart"/>
      <w:r w:rsidR="00240D63">
        <w:t>Argo</w:t>
      </w:r>
      <w:r w:rsidR="00240D63" w:rsidRPr="00240D63">
        <w:rPr>
          <w:vertAlign w:val="subscript"/>
        </w:rPr>
        <w:t>DCM</w:t>
      </w:r>
      <w:proofErr w:type="spellEnd"/>
      <w:r w:rsidR="00240D63" w:rsidRPr="00240D63">
        <w:rPr>
          <w:vertAlign w:val="subscript"/>
        </w:rPr>
        <w:t xml:space="preserve">-removed </w:t>
      </w:r>
      <w:r w:rsidR="00240D63">
        <w:t xml:space="preserve">and Argo float profiles. </w:t>
      </w:r>
      <w:r w:rsidR="38B85A14" w:rsidRPr="00AC1AD8">
        <w:t>All analyses</w:t>
      </w:r>
      <w:r w:rsidR="6C866340" w:rsidRPr="00AC1AD8">
        <w:t>,</w:t>
      </w:r>
      <w:r w:rsidR="38B85A14" w:rsidRPr="00AC1AD8">
        <w:t xml:space="preserve"> including statistical analyses</w:t>
      </w:r>
      <w:r w:rsidR="45BA8EC9" w:rsidRPr="00AC1AD8">
        <w:t>,</w:t>
      </w:r>
      <w:r w:rsidR="38B85A14" w:rsidRPr="00AC1AD8">
        <w:t xml:space="preserve"> were carried out </w:t>
      </w:r>
      <w:r w:rsidR="38B85A14" w:rsidRPr="00AC1AD8">
        <w:rPr>
          <w:rStyle w:val="normaltextrun"/>
          <w:color w:val="000000"/>
          <w:bdr w:val="none" w:sz="0" w:space="0" w:color="auto" w:frame="1"/>
          <w:lang w:val="en-US"/>
        </w:rPr>
        <w:t xml:space="preserve">using MATLAB ver. R2018b. </w:t>
      </w:r>
    </w:p>
    <w:p w14:paraId="2D31831E" w14:textId="77777777" w:rsidR="00F36C8E" w:rsidRDefault="00F36C8E" w:rsidP="0053305D">
      <w:pPr>
        <w:snapToGrid w:val="0"/>
        <w:spacing w:line="360" w:lineRule="auto"/>
        <w:jc w:val="both"/>
        <w:rPr>
          <w:rStyle w:val="normaltextrun"/>
          <w:color w:val="000000"/>
          <w:bdr w:val="none" w:sz="0" w:space="0" w:color="auto" w:frame="1"/>
          <w:lang w:val="en-US"/>
        </w:rPr>
      </w:pPr>
    </w:p>
    <w:p w14:paraId="20A74896" w14:textId="24967761" w:rsidR="00F36C8E" w:rsidRDefault="00F36C8E" w:rsidP="0053305D">
      <w:pPr>
        <w:snapToGrid w:val="0"/>
        <w:spacing w:line="360" w:lineRule="auto"/>
        <w:jc w:val="both"/>
      </w:pPr>
      <w:r w:rsidRPr="000C00EF">
        <w:t xml:space="preserve">Table 1. Definitions </w:t>
      </w:r>
      <w:r w:rsidR="00140EF5">
        <w:t>of</w:t>
      </w:r>
      <w:r w:rsidR="00140EF5" w:rsidRPr="000C00EF">
        <w:t xml:space="preserve"> </w:t>
      </w:r>
      <w:r w:rsidRPr="000C00EF">
        <w:t xml:space="preserve">the acronyms used to describe the different </w:t>
      </w:r>
      <w:r w:rsidR="00140EF5">
        <w:t>(</w:t>
      </w:r>
      <w:r w:rsidRPr="000C00EF">
        <w:t>subsurface</w:t>
      </w:r>
      <w:r w:rsidR="00140EF5">
        <w:t>)</w:t>
      </w:r>
      <w:r w:rsidRPr="000C00EF">
        <w:t xml:space="preserve"> production measures. </w:t>
      </w:r>
    </w:p>
    <w:p w14:paraId="4776FE5C" w14:textId="77777777" w:rsidR="00B96F47" w:rsidRPr="000C00EF" w:rsidRDefault="00B96F47" w:rsidP="0053305D">
      <w:pPr>
        <w:snapToGrid w:val="0"/>
        <w:spacing w:line="360" w:lineRule="auto"/>
        <w:jc w:val="both"/>
      </w:pPr>
    </w:p>
    <w:tbl>
      <w:tblPr>
        <w:tblStyle w:val="TableGrid"/>
        <w:tblW w:w="9634" w:type="dxa"/>
        <w:tblBorders>
          <w:insideH w:val="none" w:sz="0" w:space="0" w:color="auto"/>
          <w:insideV w:val="none" w:sz="0" w:space="0" w:color="auto"/>
        </w:tblBorders>
        <w:tblLook w:val="04A0" w:firstRow="1" w:lastRow="0" w:firstColumn="1" w:lastColumn="0" w:noHBand="0" w:noVBand="1"/>
      </w:tblPr>
      <w:tblGrid>
        <w:gridCol w:w="1980"/>
        <w:gridCol w:w="7654"/>
      </w:tblGrid>
      <w:tr w:rsidR="00F36C8E" w:rsidRPr="000C00EF" w14:paraId="086A693D" w14:textId="77777777" w:rsidTr="00F75A69">
        <w:tc>
          <w:tcPr>
            <w:tcW w:w="1980" w:type="dxa"/>
            <w:tcBorders>
              <w:top w:val="single" w:sz="4" w:space="0" w:color="auto"/>
              <w:bottom w:val="single" w:sz="4" w:space="0" w:color="auto"/>
            </w:tcBorders>
          </w:tcPr>
          <w:p w14:paraId="4C9859A4" w14:textId="77777777" w:rsidR="00F36C8E" w:rsidRPr="000C00EF" w:rsidRDefault="00F36C8E" w:rsidP="0053305D">
            <w:pPr>
              <w:snapToGrid w:val="0"/>
              <w:spacing w:line="360" w:lineRule="auto"/>
              <w:jc w:val="both"/>
              <w:rPr>
                <w:b/>
                <w:bCs/>
                <w:szCs w:val="22"/>
              </w:rPr>
            </w:pPr>
            <w:r w:rsidRPr="000C00EF">
              <w:rPr>
                <w:b/>
                <w:bCs/>
                <w:szCs w:val="22"/>
              </w:rPr>
              <w:t>Label</w:t>
            </w:r>
          </w:p>
        </w:tc>
        <w:tc>
          <w:tcPr>
            <w:tcW w:w="7654" w:type="dxa"/>
            <w:tcBorders>
              <w:top w:val="single" w:sz="4" w:space="0" w:color="auto"/>
              <w:bottom w:val="single" w:sz="4" w:space="0" w:color="auto"/>
            </w:tcBorders>
          </w:tcPr>
          <w:p w14:paraId="0BB3B66F" w14:textId="77777777" w:rsidR="00F36C8E" w:rsidRPr="000C00EF" w:rsidRDefault="00F36C8E" w:rsidP="0053305D">
            <w:pPr>
              <w:snapToGrid w:val="0"/>
              <w:spacing w:line="360" w:lineRule="auto"/>
              <w:jc w:val="both"/>
              <w:rPr>
                <w:b/>
                <w:bCs/>
                <w:szCs w:val="22"/>
              </w:rPr>
            </w:pPr>
            <w:r w:rsidRPr="000C00EF">
              <w:rPr>
                <w:b/>
                <w:bCs/>
                <w:szCs w:val="22"/>
              </w:rPr>
              <w:t>Definition</w:t>
            </w:r>
          </w:p>
        </w:tc>
      </w:tr>
      <w:tr w:rsidR="00F36C8E" w:rsidRPr="000C00EF" w14:paraId="67A87A03" w14:textId="77777777" w:rsidTr="00F75A69">
        <w:tc>
          <w:tcPr>
            <w:tcW w:w="1980" w:type="dxa"/>
            <w:tcBorders>
              <w:top w:val="single" w:sz="4" w:space="0" w:color="auto"/>
            </w:tcBorders>
          </w:tcPr>
          <w:p w14:paraId="75540360" w14:textId="77777777" w:rsidR="00F36C8E" w:rsidRPr="000C00EF" w:rsidRDefault="00F36C8E" w:rsidP="0053305D">
            <w:pPr>
              <w:snapToGrid w:val="0"/>
              <w:spacing w:line="360" w:lineRule="auto"/>
              <w:jc w:val="both"/>
              <w:rPr>
                <w:szCs w:val="22"/>
              </w:rPr>
            </w:pPr>
            <w:r w:rsidRPr="000C00EF">
              <w:rPr>
                <w:szCs w:val="22"/>
              </w:rPr>
              <w:t>NPP (ALL)</w:t>
            </w:r>
          </w:p>
        </w:tc>
        <w:tc>
          <w:tcPr>
            <w:tcW w:w="7654" w:type="dxa"/>
            <w:tcBorders>
              <w:top w:val="single" w:sz="4" w:space="0" w:color="auto"/>
            </w:tcBorders>
          </w:tcPr>
          <w:p w14:paraId="33127F40" w14:textId="77777777" w:rsidR="00F36C8E" w:rsidRPr="000C00EF" w:rsidRDefault="00F36C8E" w:rsidP="0053305D">
            <w:pPr>
              <w:snapToGrid w:val="0"/>
              <w:spacing w:line="360" w:lineRule="auto"/>
              <w:jc w:val="both"/>
              <w:rPr>
                <w:szCs w:val="22"/>
              </w:rPr>
            </w:pPr>
            <w:r w:rsidRPr="000C00EF">
              <w:rPr>
                <w:szCs w:val="22"/>
              </w:rPr>
              <w:t>Vertically-integrated NPP for all profiles, with and without a DCM</w:t>
            </w:r>
          </w:p>
        </w:tc>
      </w:tr>
      <w:tr w:rsidR="00F36C8E" w:rsidRPr="000C00EF" w14:paraId="3762117D" w14:textId="77777777" w:rsidTr="00F75A69">
        <w:tc>
          <w:tcPr>
            <w:tcW w:w="1980" w:type="dxa"/>
          </w:tcPr>
          <w:p w14:paraId="455DB508" w14:textId="77777777" w:rsidR="00F36C8E" w:rsidRPr="000C00EF" w:rsidRDefault="00F36C8E" w:rsidP="0053305D">
            <w:pPr>
              <w:snapToGrid w:val="0"/>
              <w:spacing w:line="360" w:lineRule="auto"/>
              <w:jc w:val="both"/>
              <w:rPr>
                <w:szCs w:val="22"/>
              </w:rPr>
            </w:pPr>
            <w:r w:rsidRPr="000C00EF">
              <w:rPr>
                <w:szCs w:val="22"/>
              </w:rPr>
              <w:t>NPP (DCM)</w:t>
            </w:r>
          </w:p>
        </w:tc>
        <w:tc>
          <w:tcPr>
            <w:tcW w:w="7654" w:type="dxa"/>
          </w:tcPr>
          <w:p w14:paraId="36F6DBFC" w14:textId="77777777" w:rsidR="00F36C8E" w:rsidRPr="000C00EF" w:rsidRDefault="00F36C8E" w:rsidP="0053305D">
            <w:pPr>
              <w:snapToGrid w:val="0"/>
              <w:spacing w:line="360" w:lineRule="auto"/>
              <w:jc w:val="both"/>
              <w:rPr>
                <w:szCs w:val="22"/>
              </w:rPr>
            </w:pPr>
            <w:r w:rsidRPr="000C00EF">
              <w:rPr>
                <w:szCs w:val="22"/>
              </w:rPr>
              <w:t>Vertically-integrated NPP for profiles with a DCM</w:t>
            </w:r>
          </w:p>
        </w:tc>
      </w:tr>
      <w:tr w:rsidR="00BC281E" w:rsidRPr="000C00EF" w14:paraId="7F802F3D" w14:textId="77777777" w:rsidTr="00F75A69">
        <w:tc>
          <w:tcPr>
            <w:tcW w:w="1980" w:type="dxa"/>
          </w:tcPr>
          <w:p w14:paraId="2BA1B142" w14:textId="28D39A38" w:rsidR="00BC281E" w:rsidRPr="000C00EF" w:rsidRDefault="00BC281E" w:rsidP="0053305D">
            <w:pPr>
              <w:snapToGrid w:val="0"/>
              <w:spacing w:line="360" w:lineRule="auto"/>
              <w:jc w:val="both"/>
              <w:rPr>
                <w:szCs w:val="22"/>
              </w:rPr>
            </w:pPr>
            <w:r w:rsidRPr="000C00EF">
              <w:rPr>
                <w:szCs w:val="22"/>
              </w:rPr>
              <w:t>NPP (D</w:t>
            </w:r>
            <w:r>
              <w:rPr>
                <w:szCs w:val="22"/>
              </w:rPr>
              <w:t>B</w:t>
            </w:r>
            <w:r w:rsidRPr="000C00EF">
              <w:rPr>
                <w:szCs w:val="22"/>
              </w:rPr>
              <w:t>M)</w:t>
            </w:r>
          </w:p>
        </w:tc>
        <w:tc>
          <w:tcPr>
            <w:tcW w:w="7654" w:type="dxa"/>
          </w:tcPr>
          <w:p w14:paraId="7519F2B0" w14:textId="1C7D359D" w:rsidR="00BC281E" w:rsidRPr="000C00EF" w:rsidRDefault="00BC281E" w:rsidP="0053305D">
            <w:pPr>
              <w:snapToGrid w:val="0"/>
              <w:spacing w:line="360" w:lineRule="auto"/>
              <w:jc w:val="both"/>
              <w:rPr>
                <w:szCs w:val="22"/>
              </w:rPr>
            </w:pPr>
            <w:r w:rsidRPr="000C00EF">
              <w:rPr>
                <w:szCs w:val="22"/>
              </w:rPr>
              <w:t>Vertically-integrated NPP for profiles with a D</w:t>
            </w:r>
            <w:r>
              <w:rPr>
                <w:szCs w:val="22"/>
              </w:rPr>
              <w:t>B</w:t>
            </w:r>
            <w:r w:rsidRPr="000C00EF">
              <w:rPr>
                <w:szCs w:val="22"/>
              </w:rPr>
              <w:t>M</w:t>
            </w:r>
          </w:p>
        </w:tc>
      </w:tr>
      <w:tr w:rsidR="006A3EEB" w:rsidRPr="000C00EF" w14:paraId="58E98B03" w14:textId="77777777" w:rsidTr="00F75A69">
        <w:tc>
          <w:tcPr>
            <w:tcW w:w="1980" w:type="dxa"/>
          </w:tcPr>
          <w:p w14:paraId="7AED54E2" w14:textId="211CEA7F" w:rsidR="006A3EEB" w:rsidRPr="000C00EF" w:rsidRDefault="00D502D9" w:rsidP="0053305D">
            <w:pPr>
              <w:snapToGrid w:val="0"/>
              <w:spacing w:line="360" w:lineRule="auto"/>
              <w:jc w:val="both"/>
              <w:rPr>
                <w:szCs w:val="22"/>
              </w:rPr>
            </w:pPr>
            <w:r>
              <w:rPr>
                <w:szCs w:val="22"/>
              </w:rPr>
              <w:t>NPP</w:t>
            </w:r>
            <w:r w:rsidRPr="008F06EF">
              <w:rPr>
                <w:szCs w:val="22"/>
                <w:vertAlign w:val="subscript"/>
              </w:rPr>
              <w:t>DCM</w:t>
            </w:r>
            <w:r w:rsidR="00216B71">
              <w:rPr>
                <w:szCs w:val="22"/>
                <w:vertAlign w:val="subscript"/>
              </w:rPr>
              <w:t>-</w:t>
            </w:r>
            <w:r w:rsidR="00216B71" w:rsidRPr="008F06EF">
              <w:rPr>
                <w:szCs w:val="22"/>
                <w:vertAlign w:val="subscript"/>
              </w:rPr>
              <w:t>removed</w:t>
            </w:r>
          </w:p>
        </w:tc>
        <w:tc>
          <w:tcPr>
            <w:tcW w:w="7654" w:type="dxa"/>
          </w:tcPr>
          <w:p w14:paraId="7DDE6C31" w14:textId="56AFA802" w:rsidR="006A3EEB" w:rsidRPr="000C00EF" w:rsidRDefault="008F4C8F" w:rsidP="0053305D">
            <w:pPr>
              <w:snapToGrid w:val="0"/>
              <w:spacing w:line="360" w:lineRule="auto"/>
              <w:jc w:val="both"/>
              <w:rPr>
                <w:szCs w:val="22"/>
              </w:rPr>
            </w:pPr>
            <w:r w:rsidRPr="000C00EF">
              <w:rPr>
                <w:szCs w:val="22"/>
              </w:rPr>
              <w:t>Vertically-integrated NPP for profiles with a D</w:t>
            </w:r>
            <w:r>
              <w:rPr>
                <w:szCs w:val="22"/>
              </w:rPr>
              <w:t>C</w:t>
            </w:r>
            <w:r w:rsidRPr="000C00EF">
              <w:rPr>
                <w:szCs w:val="22"/>
              </w:rPr>
              <w:t>M</w:t>
            </w:r>
            <w:r>
              <w:rPr>
                <w:szCs w:val="22"/>
              </w:rPr>
              <w:t>, after removing the DCM</w:t>
            </w:r>
            <w:r w:rsidRPr="000C00EF" w:rsidDel="000A471B">
              <w:rPr>
                <w:szCs w:val="22"/>
              </w:rPr>
              <w:t xml:space="preserve"> </w:t>
            </w:r>
          </w:p>
        </w:tc>
      </w:tr>
      <w:tr w:rsidR="008F4C8F" w:rsidRPr="000C00EF" w14:paraId="60996869" w14:textId="77777777" w:rsidTr="00F75A69">
        <w:tc>
          <w:tcPr>
            <w:tcW w:w="1980" w:type="dxa"/>
          </w:tcPr>
          <w:p w14:paraId="73D75C83" w14:textId="0F1568BA" w:rsidR="008F4C8F" w:rsidRDefault="008F4C8F" w:rsidP="008F4C8F">
            <w:pPr>
              <w:snapToGrid w:val="0"/>
              <w:spacing w:line="360" w:lineRule="auto"/>
              <w:jc w:val="both"/>
              <w:rPr>
                <w:szCs w:val="22"/>
              </w:rPr>
            </w:pPr>
            <w:r>
              <w:rPr>
                <w:szCs w:val="22"/>
              </w:rPr>
              <w:t>NPP</w:t>
            </w:r>
            <w:r w:rsidRPr="000E3C3E">
              <w:rPr>
                <w:szCs w:val="22"/>
                <w:vertAlign w:val="subscript"/>
              </w:rPr>
              <w:t>D</w:t>
            </w:r>
            <w:r w:rsidR="008B0B2B">
              <w:rPr>
                <w:szCs w:val="22"/>
                <w:vertAlign w:val="subscript"/>
              </w:rPr>
              <w:t>B</w:t>
            </w:r>
            <w:r w:rsidRPr="000E3C3E">
              <w:rPr>
                <w:szCs w:val="22"/>
                <w:vertAlign w:val="subscript"/>
              </w:rPr>
              <w:t>M</w:t>
            </w:r>
            <w:r>
              <w:rPr>
                <w:szCs w:val="22"/>
                <w:vertAlign w:val="subscript"/>
              </w:rPr>
              <w:t>-</w:t>
            </w:r>
            <w:r w:rsidRPr="000E3C3E">
              <w:rPr>
                <w:szCs w:val="22"/>
                <w:vertAlign w:val="subscript"/>
              </w:rPr>
              <w:t>removed</w:t>
            </w:r>
          </w:p>
        </w:tc>
        <w:tc>
          <w:tcPr>
            <w:tcW w:w="7654" w:type="dxa"/>
          </w:tcPr>
          <w:p w14:paraId="2804F0DF" w14:textId="42F56974" w:rsidR="008F4C8F" w:rsidRPr="000C00EF" w:rsidRDefault="008F4C8F" w:rsidP="008F4C8F">
            <w:pPr>
              <w:snapToGrid w:val="0"/>
              <w:spacing w:line="360" w:lineRule="auto"/>
              <w:jc w:val="both"/>
              <w:rPr>
                <w:szCs w:val="22"/>
              </w:rPr>
            </w:pPr>
            <w:r w:rsidRPr="000C00EF">
              <w:rPr>
                <w:szCs w:val="22"/>
              </w:rPr>
              <w:t>Vertically-integrated NPP for profiles with a D</w:t>
            </w:r>
            <w:r>
              <w:rPr>
                <w:szCs w:val="22"/>
              </w:rPr>
              <w:t>C</w:t>
            </w:r>
            <w:r w:rsidRPr="000C00EF">
              <w:rPr>
                <w:szCs w:val="22"/>
              </w:rPr>
              <w:t>M</w:t>
            </w:r>
            <w:r>
              <w:rPr>
                <w:szCs w:val="22"/>
              </w:rPr>
              <w:t>, after removing the D</w:t>
            </w:r>
            <w:r w:rsidR="008B0B2B">
              <w:rPr>
                <w:szCs w:val="22"/>
              </w:rPr>
              <w:t>B</w:t>
            </w:r>
            <w:r>
              <w:rPr>
                <w:szCs w:val="22"/>
              </w:rPr>
              <w:t>M</w:t>
            </w:r>
            <w:r w:rsidRPr="000C00EF" w:rsidDel="000A471B">
              <w:rPr>
                <w:szCs w:val="22"/>
              </w:rPr>
              <w:t xml:space="preserve"> </w:t>
            </w:r>
          </w:p>
        </w:tc>
      </w:tr>
      <w:tr w:rsidR="008F4C8F" w:rsidRPr="000C00EF" w14:paraId="3AD6BFB2" w14:textId="77777777" w:rsidTr="00F75A69">
        <w:tc>
          <w:tcPr>
            <w:tcW w:w="1980" w:type="dxa"/>
          </w:tcPr>
          <w:p w14:paraId="758CE057" w14:textId="1E467447" w:rsidR="008F4C8F" w:rsidRDefault="008F4C8F" w:rsidP="008F4C8F">
            <w:pPr>
              <w:snapToGrid w:val="0"/>
              <w:spacing w:line="360" w:lineRule="auto"/>
              <w:jc w:val="both"/>
              <w:rPr>
                <w:szCs w:val="22"/>
              </w:rPr>
            </w:pPr>
            <w:r>
              <w:rPr>
                <w:szCs w:val="22"/>
              </w:rPr>
              <w:t xml:space="preserve">NPP </w:t>
            </w:r>
            <w:proofErr w:type="spellStart"/>
            <w:r>
              <w:rPr>
                <w:szCs w:val="22"/>
              </w:rPr>
              <w:t>S</w:t>
            </w:r>
            <w:r w:rsidR="00001068">
              <w:rPr>
                <w:szCs w:val="22"/>
              </w:rPr>
              <w:t>at</w:t>
            </w:r>
            <w:r w:rsidRPr="008F06EF">
              <w:rPr>
                <w:szCs w:val="22"/>
                <w:vertAlign w:val="subscript"/>
              </w:rPr>
              <w:t>nit</w:t>
            </w:r>
            <w:proofErr w:type="spellEnd"/>
          </w:p>
        </w:tc>
        <w:tc>
          <w:tcPr>
            <w:tcW w:w="7654" w:type="dxa"/>
          </w:tcPr>
          <w:p w14:paraId="3887550E" w14:textId="7756607B" w:rsidR="008F4C8F" w:rsidRPr="000C00EF" w:rsidRDefault="008F4C8F" w:rsidP="008F4C8F">
            <w:pPr>
              <w:snapToGrid w:val="0"/>
              <w:spacing w:line="360" w:lineRule="auto"/>
              <w:jc w:val="both"/>
              <w:rPr>
                <w:szCs w:val="22"/>
              </w:rPr>
            </w:pPr>
            <w:r w:rsidRPr="000C00EF">
              <w:rPr>
                <w:szCs w:val="22"/>
              </w:rPr>
              <w:t>Vertically-integrated NPP</w:t>
            </w:r>
            <w:r>
              <w:rPr>
                <w:szCs w:val="22"/>
              </w:rPr>
              <w:t xml:space="preserve"> derived from surface values </w:t>
            </w:r>
            <w:r w:rsidR="008B0B2B">
              <w:rPr>
                <w:szCs w:val="22"/>
              </w:rPr>
              <w:t>using the nitracline</w:t>
            </w:r>
          </w:p>
        </w:tc>
      </w:tr>
      <w:tr w:rsidR="008F4C8F" w:rsidRPr="000C00EF" w14:paraId="77993FF7" w14:textId="77777777" w:rsidTr="00F75A69">
        <w:tc>
          <w:tcPr>
            <w:tcW w:w="1980" w:type="dxa"/>
          </w:tcPr>
          <w:p w14:paraId="47032CFE" w14:textId="0AACB189" w:rsidR="008F4C8F" w:rsidRDefault="008F4C8F" w:rsidP="008F4C8F">
            <w:pPr>
              <w:snapToGrid w:val="0"/>
              <w:spacing w:line="360" w:lineRule="auto"/>
              <w:jc w:val="both"/>
              <w:rPr>
                <w:szCs w:val="22"/>
              </w:rPr>
            </w:pPr>
            <w:r>
              <w:rPr>
                <w:szCs w:val="22"/>
              </w:rPr>
              <w:t xml:space="preserve">NPP </w:t>
            </w:r>
            <w:proofErr w:type="spellStart"/>
            <w:r>
              <w:rPr>
                <w:szCs w:val="22"/>
              </w:rPr>
              <w:t>S</w:t>
            </w:r>
            <w:r w:rsidR="00001068">
              <w:rPr>
                <w:szCs w:val="22"/>
              </w:rPr>
              <w:t>at</w:t>
            </w:r>
            <w:r w:rsidRPr="008F06EF">
              <w:rPr>
                <w:szCs w:val="22"/>
                <w:vertAlign w:val="subscript"/>
              </w:rPr>
              <w:t>fer</w:t>
            </w:r>
            <w:proofErr w:type="spellEnd"/>
          </w:p>
        </w:tc>
        <w:tc>
          <w:tcPr>
            <w:tcW w:w="7654" w:type="dxa"/>
          </w:tcPr>
          <w:p w14:paraId="5FE1E19D" w14:textId="61E27413" w:rsidR="008F4C8F" w:rsidRPr="000C00EF" w:rsidRDefault="008F4C8F" w:rsidP="008F4C8F">
            <w:pPr>
              <w:snapToGrid w:val="0"/>
              <w:spacing w:line="360" w:lineRule="auto"/>
              <w:jc w:val="both"/>
              <w:rPr>
                <w:szCs w:val="22"/>
              </w:rPr>
            </w:pPr>
            <w:r w:rsidRPr="000C00EF">
              <w:rPr>
                <w:szCs w:val="22"/>
              </w:rPr>
              <w:t>Vertically-integrated NPP</w:t>
            </w:r>
            <w:r>
              <w:rPr>
                <w:szCs w:val="22"/>
              </w:rPr>
              <w:t xml:space="preserve"> derived from surface values </w:t>
            </w:r>
            <w:r w:rsidR="008B0B2B">
              <w:rPr>
                <w:szCs w:val="22"/>
              </w:rPr>
              <w:t xml:space="preserve">using the </w:t>
            </w:r>
            <w:proofErr w:type="spellStart"/>
            <w:r w:rsidR="008B0B2B">
              <w:rPr>
                <w:szCs w:val="22"/>
              </w:rPr>
              <w:t>ferricline</w:t>
            </w:r>
            <w:proofErr w:type="spellEnd"/>
          </w:p>
        </w:tc>
      </w:tr>
      <w:tr w:rsidR="008F4C8F" w:rsidRPr="000C00EF" w14:paraId="3759F8BE" w14:textId="77777777" w:rsidTr="00F75A69">
        <w:tc>
          <w:tcPr>
            <w:tcW w:w="1980" w:type="dxa"/>
          </w:tcPr>
          <w:p w14:paraId="4845B211" w14:textId="77777777" w:rsidR="008F4C8F" w:rsidRPr="000C00EF" w:rsidRDefault="008F4C8F" w:rsidP="008F4C8F">
            <w:pPr>
              <w:snapToGrid w:val="0"/>
              <w:spacing w:line="360" w:lineRule="auto"/>
              <w:jc w:val="both"/>
              <w:rPr>
                <w:szCs w:val="22"/>
              </w:rPr>
            </w:pPr>
            <w:r w:rsidRPr="000C00EF">
              <w:rPr>
                <w:szCs w:val="22"/>
              </w:rPr>
              <w:t>NPP</w:t>
            </w:r>
            <w:r w:rsidRPr="000C00EF">
              <w:rPr>
                <w:szCs w:val="22"/>
                <w:vertAlign w:val="subscript"/>
              </w:rPr>
              <w:t>DCM</w:t>
            </w:r>
          </w:p>
        </w:tc>
        <w:tc>
          <w:tcPr>
            <w:tcW w:w="7654" w:type="dxa"/>
          </w:tcPr>
          <w:p w14:paraId="34CCFEDB" w14:textId="267794BE" w:rsidR="008F4C8F" w:rsidRPr="000C00EF" w:rsidRDefault="008F4C8F" w:rsidP="008F4C8F">
            <w:pPr>
              <w:snapToGrid w:val="0"/>
              <w:spacing w:line="360" w:lineRule="auto"/>
              <w:jc w:val="both"/>
              <w:rPr>
                <w:szCs w:val="22"/>
              </w:rPr>
            </w:pPr>
            <w:r w:rsidRPr="000C00EF">
              <w:rPr>
                <w:szCs w:val="22"/>
              </w:rPr>
              <w:t xml:space="preserve">Integrated NPP in the DCM </w:t>
            </w:r>
          </w:p>
        </w:tc>
      </w:tr>
      <w:tr w:rsidR="008F4C8F" w:rsidRPr="000C00EF" w14:paraId="30FB1D7F" w14:textId="77777777" w:rsidTr="00F75A69">
        <w:tc>
          <w:tcPr>
            <w:tcW w:w="1980" w:type="dxa"/>
          </w:tcPr>
          <w:p w14:paraId="5EC17046" w14:textId="7848B35B" w:rsidR="008F4C8F" w:rsidRPr="000C00EF" w:rsidRDefault="008F4C8F" w:rsidP="008F4C8F">
            <w:pPr>
              <w:snapToGrid w:val="0"/>
              <w:spacing w:line="360" w:lineRule="auto"/>
              <w:jc w:val="both"/>
              <w:rPr>
                <w:szCs w:val="22"/>
              </w:rPr>
            </w:pPr>
            <w:r w:rsidRPr="000C00EF">
              <w:rPr>
                <w:szCs w:val="22"/>
              </w:rPr>
              <w:t>NPP</w:t>
            </w:r>
            <w:r w:rsidRPr="000C00EF">
              <w:rPr>
                <w:szCs w:val="22"/>
                <w:vertAlign w:val="subscript"/>
              </w:rPr>
              <w:t>D</w:t>
            </w:r>
            <w:r>
              <w:rPr>
                <w:szCs w:val="22"/>
                <w:vertAlign w:val="subscript"/>
              </w:rPr>
              <w:t>B</w:t>
            </w:r>
            <w:r w:rsidRPr="000C00EF">
              <w:rPr>
                <w:szCs w:val="22"/>
                <w:vertAlign w:val="subscript"/>
              </w:rPr>
              <w:t>M</w:t>
            </w:r>
          </w:p>
        </w:tc>
        <w:tc>
          <w:tcPr>
            <w:tcW w:w="7654" w:type="dxa"/>
          </w:tcPr>
          <w:p w14:paraId="3DFD1428" w14:textId="5D1FFAC8" w:rsidR="008F4C8F" w:rsidRPr="000C00EF" w:rsidRDefault="008F4C8F" w:rsidP="008F4C8F">
            <w:pPr>
              <w:snapToGrid w:val="0"/>
              <w:spacing w:line="360" w:lineRule="auto"/>
              <w:jc w:val="both"/>
              <w:rPr>
                <w:szCs w:val="22"/>
              </w:rPr>
            </w:pPr>
            <w:r w:rsidRPr="000C00EF">
              <w:rPr>
                <w:szCs w:val="22"/>
              </w:rPr>
              <w:t>Integrated NPP in the D</w:t>
            </w:r>
            <w:r>
              <w:rPr>
                <w:szCs w:val="22"/>
              </w:rPr>
              <w:t>B</w:t>
            </w:r>
            <w:r w:rsidRPr="000C00EF">
              <w:rPr>
                <w:szCs w:val="22"/>
              </w:rPr>
              <w:t xml:space="preserve">M </w:t>
            </w:r>
          </w:p>
        </w:tc>
      </w:tr>
      <w:tr w:rsidR="008F4C8F" w:rsidRPr="000C00EF" w14:paraId="31CF5677" w14:textId="77777777" w:rsidTr="00F75A69">
        <w:tc>
          <w:tcPr>
            <w:tcW w:w="1980" w:type="dxa"/>
          </w:tcPr>
          <w:p w14:paraId="11A85B0E" w14:textId="77777777" w:rsidR="008F4C8F" w:rsidRPr="000C00EF" w:rsidRDefault="008F4C8F" w:rsidP="008F4C8F">
            <w:pPr>
              <w:snapToGrid w:val="0"/>
              <w:spacing w:line="360" w:lineRule="auto"/>
              <w:jc w:val="both"/>
              <w:rPr>
                <w:szCs w:val="22"/>
              </w:rPr>
            </w:pPr>
            <w:r w:rsidRPr="000C00EF">
              <w:rPr>
                <w:szCs w:val="22"/>
              </w:rPr>
              <w:t>NPP</w:t>
            </w:r>
            <w:r w:rsidRPr="000C00EF">
              <w:rPr>
                <w:szCs w:val="22"/>
                <w:vertAlign w:val="subscript"/>
              </w:rPr>
              <w:t xml:space="preserve">SUB </w:t>
            </w:r>
            <w:r w:rsidRPr="000C00EF">
              <w:rPr>
                <w:szCs w:val="22"/>
              </w:rPr>
              <w:t>(DCM)</w:t>
            </w:r>
          </w:p>
        </w:tc>
        <w:tc>
          <w:tcPr>
            <w:tcW w:w="7654" w:type="dxa"/>
          </w:tcPr>
          <w:p w14:paraId="02B9ED40" w14:textId="77777777" w:rsidR="008F4C8F" w:rsidRPr="000C00EF" w:rsidRDefault="008F4C8F" w:rsidP="008F4C8F">
            <w:pPr>
              <w:snapToGrid w:val="0"/>
              <w:spacing w:line="360" w:lineRule="auto"/>
              <w:jc w:val="both"/>
              <w:rPr>
                <w:szCs w:val="22"/>
              </w:rPr>
            </w:pPr>
            <w:r w:rsidRPr="000C00EF">
              <w:rPr>
                <w:szCs w:val="22"/>
              </w:rPr>
              <w:t>Integrated NPP below the MLD, for profiles with a DCM</w:t>
            </w:r>
          </w:p>
        </w:tc>
      </w:tr>
      <w:tr w:rsidR="008F4C8F" w:rsidRPr="000C00EF" w14:paraId="66D5F1A7" w14:textId="77777777" w:rsidTr="00F75A69">
        <w:tc>
          <w:tcPr>
            <w:tcW w:w="1980" w:type="dxa"/>
          </w:tcPr>
          <w:p w14:paraId="75361C8D" w14:textId="098465D7" w:rsidR="008F4C8F" w:rsidRPr="000C00EF" w:rsidRDefault="008F4C8F" w:rsidP="008F4C8F">
            <w:pPr>
              <w:snapToGrid w:val="0"/>
              <w:spacing w:line="360" w:lineRule="auto"/>
              <w:jc w:val="both"/>
              <w:rPr>
                <w:szCs w:val="22"/>
              </w:rPr>
            </w:pPr>
            <w:r w:rsidRPr="000C00EF">
              <w:rPr>
                <w:szCs w:val="22"/>
              </w:rPr>
              <w:t>NPP</w:t>
            </w:r>
            <w:r w:rsidRPr="000C00EF">
              <w:rPr>
                <w:szCs w:val="22"/>
                <w:vertAlign w:val="subscript"/>
              </w:rPr>
              <w:t xml:space="preserve">SUB </w:t>
            </w:r>
            <w:r w:rsidRPr="000C00EF">
              <w:rPr>
                <w:szCs w:val="22"/>
              </w:rPr>
              <w:t>(D</w:t>
            </w:r>
            <w:r>
              <w:rPr>
                <w:szCs w:val="22"/>
              </w:rPr>
              <w:t>B</w:t>
            </w:r>
            <w:r w:rsidRPr="000C00EF">
              <w:rPr>
                <w:szCs w:val="22"/>
              </w:rPr>
              <w:t>M)</w:t>
            </w:r>
          </w:p>
        </w:tc>
        <w:tc>
          <w:tcPr>
            <w:tcW w:w="7654" w:type="dxa"/>
          </w:tcPr>
          <w:p w14:paraId="37F255E5" w14:textId="5A741FB0" w:rsidR="008F4C8F" w:rsidRPr="000C00EF" w:rsidRDefault="008F4C8F" w:rsidP="008F4C8F">
            <w:pPr>
              <w:snapToGrid w:val="0"/>
              <w:spacing w:line="360" w:lineRule="auto"/>
              <w:jc w:val="both"/>
              <w:rPr>
                <w:szCs w:val="22"/>
              </w:rPr>
            </w:pPr>
            <w:r w:rsidRPr="000C00EF">
              <w:rPr>
                <w:szCs w:val="22"/>
              </w:rPr>
              <w:t>Integrated NPP below the MLD, for profiles with a D</w:t>
            </w:r>
            <w:r>
              <w:rPr>
                <w:szCs w:val="22"/>
              </w:rPr>
              <w:t>B</w:t>
            </w:r>
            <w:r w:rsidRPr="000C00EF">
              <w:rPr>
                <w:szCs w:val="22"/>
              </w:rPr>
              <w:t>M</w:t>
            </w:r>
          </w:p>
        </w:tc>
      </w:tr>
      <w:tr w:rsidR="008F4C8F" w:rsidRPr="000C00EF" w14:paraId="7B2082B6" w14:textId="77777777" w:rsidTr="00F75A69">
        <w:tc>
          <w:tcPr>
            <w:tcW w:w="1980" w:type="dxa"/>
          </w:tcPr>
          <w:p w14:paraId="7A34DF22" w14:textId="77777777" w:rsidR="008F4C8F" w:rsidRPr="000C00EF" w:rsidRDefault="008F4C8F" w:rsidP="008F4C8F">
            <w:pPr>
              <w:snapToGrid w:val="0"/>
              <w:spacing w:line="360" w:lineRule="auto"/>
              <w:jc w:val="both"/>
              <w:rPr>
                <w:szCs w:val="22"/>
              </w:rPr>
            </w:pPr>
            <w:r w:rsidRPr="000C00EF">
              <w:rPr>
                <w:szCs w:val="22"/>
              </w:rPr>
              <w:t>NPP</w:t>
            </w:r>
            <w:r w:rsidRPr="000C00EF">
              <w:rPr>
                <w:szCs w:val="22"/>
                <w:vertAlign w:val="subscript"/>
              </w:rPr>
              <w:t xml:space="preserve">SUB </w:t>
            </w:r>
            <w:r w:rsidRPr="000C00EF">
              <w:rPr>
                <w:szCs w:val="22"/>
              </w:rPr>
              <w:t>(ALL)</w:t>
            </w:r>
          </w:p>
        </w:tc>
        <w:tc>
          <w:tcPr>
            <w:tcW w:w="7654" w:type="dxa"/>
          </w:tcPr>
          <w:p w14:paraId="59610C44" w14:textId="77777777" w:rsidR="008F4C8F" w:rsidRPr="000C00EF" w:rsidRDefault="008F4C8F" w:rsidP="008F4C8F">
            <w:pPr>
              <w:snapToGrid w:val="0"/>
              <w:spacing w:line="360" w:lineRule="auto"/>
              <w:jc w:val="both"/>
              <w:rPr>
                <w:szCs w:val="22"/>
              </w:rPr>
            </w:pPr>
            <w:r w:rsidRPr="000C00EF">
              <w:rPr>
                <w:szCs w:val="22"/>
              </w:rPr>
              <w:t>Integrated NPP below the MLD, for profiles with and without a DCM</w:t>
            </w:r>
          </w:p>
        </w:tc>
      </w:tr>
      <w:tr w:rsidR="008F4C8F" w:rsidRPr="000C00EF" w14:paraId="6E98604B" w14:textId="77777777" w:rsidTr="00F75A69">
        <w:tc>
          <w:tcPr>
            <w:tcW w:w="1980" w:type="dxa"/>
          </w:tcPr>
          <w:p w14:paraId="2943838B" w14:textId="77777777" w:rsidR="008F4C8F" w:rsidRPr="000C00EF" w:rsidRDefault="008F4C8F" w:rsidP="008F4C8F">
            <w:pPr>
              <w:snapToGrid w:val="0"/>
              <w:spacing w:line="360" w:lineRule="auto"/>
              <w:jc w:val="both"/>
              <w:rPr>
                <w:szCs w:val="22"/>
              </w:rPr>
            </w:pPr>
            <w:r w:rsidRPr="000C00EF">
              <w:rPr>
                <w:szCs w:val="22"/>
              </w:rPr>
              <w:t>%NPP</w:t>
            </w:r>
            <w:r w:rsidRPr="000C00EF">
              <w:rPr>
                <w:szCs w:val="22"/>
                <w:vertAlign w:val="subscript"/>
              </w:rPr>
              <w:t>DCM</w:t>
            </w:r>
          </w:p>
        </w:tc>
        <w:tc>
          <w:tcPr>
            <w:tcW w:w="7654" w:type="dxa"/>
          </w:tcPr>
          <w:p w14:paraId="1E1A360D" w14:textId="482F67B4" w:rsidR="008F4C8F" w:rsidRPr="000C00EF" w:rsidRDefault="008F4C8F" w:rsidP="008F4C8F">
            <w:pPr>
              <w:snapToGrid w:val="0"/>
              <w:spacing w:line="360" w:lineRule="auto"/>
              <w:jc w:val="both"/>
              <w:rPr>
                <w:szCs w:val="22"/>
              </w:rPr>
            </w:pPr>
            <w:r w:rsidRPr="000C00EF">
              <w:rPr>
                <w:szCs w:val="22"/>
              </w:rPr>
              <w:t xml:space="preserve">Percentage of NPP in DCM </w:t>
            </w:r>
            <w:r>
              <w:rPr>
                <w:szCs w:val="22"/>
              </w:rPr>
              <w:t>relative to</w:t>
            </w:r>
            <w:r w:rsidRPr="000C00EF">
              <w:rPr>
                <w:szCs w:val="22"/>
              </w:rPr>
              <w:t xml:space="preserve"> total NPP</w:t>
            </w:r>
          </w:p>
        </w:tc>
      </w:tr>
      <w:tr w:rsidR="008F4C8F" w:rsidRPr="000C00EF" w14:paraId="4D8A7EE1" w14:textId="77777777" w:rsidTr="00F75A69">
        <w:tc>
          <w:tcPr>
            <w:tcW w:w="1980" w:type="dxa"/>
          </w:tcPr>
          <w:p w14:paraId="0EBFC4B6" w14:textId="0DA437A6" w:rsidR="008F4C8F" w:rsidRPr="000C00EF" w:rsidRDefault="008F4C8F" w:rsidP="008F4C8F">
            <w:pPr>
              <w:snapToGrid w:val="0"/>
              <w:spacing w:line="360" w:lineRule="auto"/>
              <w:jc w:val="both"/>
              <w:rPr>
                <w:szCs w:val="22"/>
              </w:rPr>
            </w:pPr>
            <w:r w:rsidRPr="000C00EF">
              <w:rPr>
                <w:szCs w:val="22"/>
              </w:rPr>
              <w:t>%NPP</w:t>
            </w:r>
            <w:r w:rsidRPr="000C00EF">
              <w:rPr>
                <w:szCs w:val="22"/>
                <w:vertAlign w:val="subscript"/>
              </w:rPr>
              <w:t>D</w:t>
            </w:r>
            <w:r>
              <w:rPr>
                <w:szCs w:val="22"/>
                <w:vertAlign w:val="subscript"/>
              </w:rPr>
              <w:t>B</w:t>
            </w:r>
            <w:r w:rsidRPr="000C00EF">
              <w:rPr>
                <w:szCs w:val="22"/>
                <w:vertAlign w:val="subscript"/>
              </w:rPr>
              <w:t>M</w:t>
            </w:r>
          </w:p>
        </w:tc>
        <w:tc>
          <w:tcPr>
            <w:tcW w:w="7654" w:type="dxa"/>
          </w:tcPr>
          <w:p w14:paraId="6DEA389B" w14:textId="5DAA4725" w:rsidR="008F4C8F" w:rsidRPr="000C00EF" w:rsidRDefault="008F4C8F" w:rsidP="008F4C8F">
            <w:pPr>
              <w:snapToGrid w:val="0"/>
              <w:spacing w:line="360" w:lineRule="auto"/>
              <w:jc w:val="both"/>
              <w:rPr>
                <w:szCs w:val="22"/>
              </w:rPr>
            </w:pPr>
            <w:r w:rsidRPr="000C00EF">
              <w:rPr>
                <w:szCs w:val="22"/>
              </w:rPr>
              <w:t>Percentage of NPP in D</w:t>
            </w:r>
            <w:r>
              <w:rPr>
                <w:szCs w:val="22"/>
              </w:rPr>
              <w:t>B</w:t>
            </w:r>
            <w:r w:rsidRPr="000C00EF">
              <w:rPr>
                <w:szCs w:val="22"/>
              </w:rPr>
              <w:t xml:space="preserve">M </w:t>
            </w:r>
            <w:r>
              <w:rPr>
                <w:szCs w:val="22"/>
              </w:rPr>
              <w:t>relative to</w:t>
            </w:r>
            <w:r w:rsidRPr="000C00EF">
              <w:rPr>
                <w:szCs w:val="22"/>
              </w:rPr>
              <w:t xml:space="preserve"> total NPP</w:t>
            </w:r>
          </w:p>
        </w:tc>
      </w:tr>
      <w:tr w:rsidR="008F4C8F" w:rsidRPr="000C00EF" w14:paraId="6343C481" w14:textId="77777777" w:rsidTr="00F75A69">
        <w:tc>
          <w:tcPr>
            <w:tcW w:w="1980" w:type="dxa"/>
          </w:tcPr>
          <w:p w14:paraId="66B319B3" w14:textId="77777777" w:rsidR="008F4C8F" w:rsidRPr="000C00EF" w:rsidRDefault="008F4C8F" w:rsidP="008F4C8F">
            <w:pPr>
              <w:snapToGrid w:val="0"/>
              <w:spacing w:line="360" w:lineRule="auto"/>
              <w:jc w:val="both"/>
              <w:rPr>
                <w:szCs w:val="22"/>
              </w:rPr>
            </w:pPr>
            <w:r w:rsidRPr="000C00EF">
              <w:rPr>
                <w:szCs w:val="22"/>
              </w:rPr>
              <w:t>%NPP</w:t>
            </w:r>
            <w:r w:rsidRPr="000C00EF">
              <w:rPr>
                <w:szCs w:val="22"/>
                <w:vertAlign w:val="subscript"/>
              </w:rPr>
              <w:t xml:space="preserve">SUB </w:t>
            </w:r>
            <w:r w:rsidRPr="000C00EF">
              <w:rPr>
                <w:szCs w:val="22"/>
              </w:rPr>
              <w:t>(DCM)</w:t>
            </w:r>
          </w:p>
        </w:tc>
        <w:tc>
          <w:tcPr>
            <w:tcW w:w="7654" w:type="dxa"/>
          </w:tcPr>
          <w:p w14:paraId="7FEDDCFD" w14:textId="396F31C4" w:rsidR="008F4C8F" w:rsidRPr="000C00EF" w:rsidRDefault="008F4C8F" w:rsidP="008F4C8F">
            <w:pPr>
              <w:snapToGrid w:val="0"/>
              <w:spacing w:line="360" w:lineRule="auto"/>
              <w:jc w:val="both"/>
              <w:rPr>
                <w:szCs w:val="22"/>
              </w:rPr>
            </w:pPr>
            <w:r w:rsidRPr="000C00EF">
              <w:rPr>
                <w:szCs w:val="22"/>
              </w:rPr>
              <w:t xml:space="preserve">Percentage of NPP below MLD </w:t>
            </w:r>
            <w:r>
              <w:rPr>
                <w:szCs w:val="22"/>
              </w:rPr>
              <w:t>relative to</w:t>
            </w:r>
            <w:r w:rsidRPr="000C00EF">
              <w:rPr>
                <w:szCs w:val="22"/>
              </w:rPr>
              <w:t xml:space="preserve"> total NPP in profiles with a DCM</w:t>
            </w:r>
          </w:p>
        </w:tc>
      </w:tr>
      <w:tr w:rsidR="008F4C8F" w:rsidRPr="000C00EF" w14:paraId="332A5A74" w14:textId="77777777" w:rsidTr="00F75A69">
        <w:tc>
          <w:tcPr>
            <w:tcW w:w="1980" w:type="dxa"/>
          </w:tcPr>
          <w:p w14:paraId="6BC5D30B" w14:textId="6342C85D" w:rsidR="008F4C8F" w:rsidRPr="000C00EF" w:rsidRDefault="008F4C8F" w:rsidP="008F4C8F">
            <w:pPr>
              <w:snapToGrid w:val="0"/>
              <w:spacing w:line="360" w:lineRule="auto"/>
              <w:jc w:val="both"/>
              <w:rPr>
                <w:szCs w:val="22"/>
              </w:rPr>
            </w:pPr>
            <w:r w:rsidRPr="000C00EF">
              <w:rPr>
                <w:szCs w:val="22"/>
              </w:rPr>
              <w:t>%NPP</w:t>
            </w:r>
            <w:r w:rsidRPr="000C00EF">
              <w:rPr>
                <w:szCs w:val="22"/>
                <w:vertAlign w:val="subscript"/>
              </w:rPr>
              <w:t xml:space="preserve">SUB </w:t>
            </w:r>
            <w:r w:rsidRPr="000C00EF">
              <w:rPr>
                <w:szCs w:val="22"/>
              </w:rPr>
              <w:t>(D</w:t>
            </w:r>
            <w:r>
              <w:rPr>
                <w:szCs w:val="22"/>
              </w:rPr>
              <w:t>B</w:t>
            </w:r>
            <w:r w:rsidRPr="000C00EF">
              <w:rPr>
                <w:szCs w:val="22"/>
              </w:rPr>
              <w:t>M)</w:t>
            </w:r>
          </w:p>
        </w:tc>
        <w:tc>
          <w:tcPr>
            <w:tcW w:w="7654" w:type="dxa"/>
          </w:tcPr>
          <w:p w14:paraId="1F3E46AF" w14:textId="638C270C" w:rsidR="008F4C8F" w:rsidRPr="000C00EF" w:rsidRDefault="008F4C8F" w:rsidP="008F4C8F">
            <w:pPr>
              <w:snapToGrid w:val="0"/>
              <w:spacing w:line="360" w:lineRule="auto"/>
              <w:jc w:val="both"/>
              <w:rPr>
                <w:szCs w:val="22"/>
              </w:rPr>
            </w:pPr>
            <w:r w:rsidRPr="000C00EF">
              <w:rPr>
                <w:szCs w:val="22"/>
              </w:rPr>
              <w:t xml:space="preserve">Percentage of NPP below MLD </w:t>
            </w:r>
            <w:r>
              <w:rPr>
                <w:szCs w:val="22"/>
              </w:rPr>
              <w:t>relative to</w:t>
            </w:r>
            <w:r w:rsidRPr="000C00EF">
              <w:rPr>
                <w:szCs w:val="22"/>
              </w:rPr>
              <w:t xml:space="preserve"> total NPP in profiles with a D</w:t>
            </w:r>
            <w:r>
              <w:rPr>
                <w:szCs w:val="22"/>
              </w:rPr>
              <w:t>B</w:t>
            </w:r>
            <w:r w:rsidRPr="000C00EF">
              <w:rPr>
                <w:szCs w:val="22"/>
              </w:rPr>
              <w:t>M</w:t>
            </w:r>
          </w:p>
        </w:tc>
      </w:tr>
      <w:tr w:rsidR="008F4C8F" w:rsidRPr="000C00EF" w14:paraId="14A07285" w14:textId="77777777" w:rsidTr="00F75A69">
        <w:tc>
          <w:tcPr>
            <w:tcW w:w="1980" w:type="dxa"/>
          </w:tcPr>
          <w:p w14:paraId="39D66699" w14:textId="77777777" w:rsidR="008F4C8F" w:rsidRPr="000C00EF" w:rsidRDefault="008F4C8F" w:rsidP="008F4C8F">
            <w:pPr>
              <w:snapToGrid w:val="0"/>
              <w:spacing w:line="360" w:lineRule="auto"/>
              <w:jc w:val="both"/>
              <w:rPr>
                <w:szCs w:val="22"/>
              </w:rPr>
            </w:pPr>
            <w:r w:rsidRPr="000C00EF">
              <w:rPr>
                <w:szCs w:val="22"/>
              </w:rPr>
              <w:t>%NPP</w:t>
            </w:r>
            <w:r w:rsidRPr="000C00EF">
              <w:rPr>
                <w:szCs w:val="22"/>
                <w:vertAlign w:val="subscript"/>
              </w:rPr>
              <w:t xml:space="preserve">SUB </w:t>
            </w:r>
            <w:r w:rsidRPr="000C00EF">
              <w:rPr>
                <w:szCs w:val="22"/>
              </w:rPr>
              <w:t>(ALL)</w:t>
            </w:r>
          </w:p>
        </w:tc>
        <w:tc>
          <w:tcPr>
            <w:tcW w:w="7654" w:type="dxa"/>
          </w:tcPr>
          <w:p w14:paraId="712ADE56" w14:textId="5AE9E02C" w:rsidR="008F4C8F" w:rsidRPr="000C00EF" w:rsidRDefault="008F4C8F" w:rsidP="008F4C8F">
            <w:pPr>
              <w:snapToGrid w:val="0"/>
              <w:spacing w:line="360" w:lineRule="auto"/>
              <w:jc w:val="both"/>
              <w:rPr>
                <w:szCs w:val="22"/>
              </w:rPr>
            </w:pPr>
            <w:r w:rsidRPr="000C00EF">
              <w:rPr>
                <w:szCs w:val="22"/>
              </w:rPr>
              <w:t xml:space="preserve">Percentage of NPP below MLD </w:t>
            </w:r>
            <w:r>
              <w:rPr>
                <w:szCs w:val="22"/>
              </w:rPr>
              <w:t>relative to</w:t>
            </w:r>
            <w:r w:rsidRPr="000C00EF">
              <w:rPr>
                <w:szCs w:val="22"/>
              </w:rPr>
              <w:t xml:space="preserve"> total NPP in all profiles</w:t>
            </w:r>
          </w:p>
        </w:tc>
      </w:tr>
    </w:tbl>
    <w:p w14:paraId="5334A5EA" w14:textId="46E60282" w:rsidR="005327FA" w:rsidRPr="000B7A37" w:rsidRDefault="00790D99" w:rsidP="008D0314">
      <w:pPr>
        <w:tabs>
          <w:tab w:val="left" w:pos="2538"/>
        </w:tabs>
        <w:snapToGrid w:val="0"/>
        <w:spacing w:line="360" w:lineRule="auto"/>
        <w:jc w:val="both"/>
        <w:rPr>
          <w:b/>
          <w:bCs/>
        </w:rPr>
      </w:pPr>
      <w:r>
        <w:rPr>
          <w:rStyle w:val="normaltextrun"/>
          <w:color w:val="000000"/>
          <w:bdr w:val="none" w:sz="0" w:space="0" w:color="auto" w:frame="1"/>
          <w:lang w:val="en-US"/>
        </w:rPr>
        <w:tab/>
      </w:r>
    </w:p>
    <w:p w14:paraId="26DB2F48" w14:textId="583613E4" w:rsidR="005327FA" w:rsidRPr="000B7A37" w:rsidRDefault="005327FA" w:rsidP="000B7A37">
      <w:pPr>
        <w:pStyle w:val="ListParagraph"/>
        <w:numPr>
          <w:ilvl w:val="0"/>
          <w:numId w:val="1"/>
        </w:numPr>
        <w:snapToGrid w:val="0"/>
        <w:spacing w:line="360" w:lineRule="auto"/>
        <w:jc w:val="both"/>
        <w:rPr>
          <w:rFonts w:ascii="Times New Roman" w:hAnsi="Times New Roman" w:cs="Times New Roman"/>
          <w:b/>
          <w:bCs/>
        </w:rPr>
      </w:pPr>
      <w:r w:rsidRPr="000B7A37">
        <w:rPr>
          <w:rFonts w:ascii="Times New Roman" w:hAnsi="Times New Roman" w:cs="Times New Roman"/>
          <w:b/>
          <w:bCs/>
        </w:rPr>
        <w:t>Results</w:t>
      </w:r>
      <w:r w:rsidR="008B113A" w:rsidRPr="000B7A37">
        <w:rPr>
          <w:rFonts w:ascii="Times New Roman" w:hAnsi="Times New Roman" w:cs="Times New Roman"/>
          <w:b/>
          <w:bCs/>
        </w:rPr>
        <w:t xml:space="preserve"> </w:t>
      </w:r>
    </w:p>
    <w:p w14:paraId="650C22B8" w14:textId="77777777" w:rsidR="00FA6426" w:rsidRPr="000B7A37" w:rsidRDefault="00FA6426" w:rsidP="0053305D">
      <w:pPr>
        <w:pStyle w:val="ListParagraph"/>
        <w:snapToGrid w:val="0"/>
        <w:spacing w:line="360" w:lineRule="auto"/>
        <w:contextualSpacing w:val="0"/>
        <w:jc w:val="both"/>
        <w:rPr>
          <w:rFonts w:ascii="Times New Roman" w:hAnsi="Times New Roman" w:cs="Times New Roman"/>
          <w:b/>
          <w:bCs/>
        </w:rPr>
      </w:pPr>
    </w:p>
    <w:p w14:paraId="24D68042" w14:textId="7FAEC479" w:rsidR="00BE40CE" w:rsidRPr="000B7A37" w:rsidRDefault="00BE40CE" w:rsidP="0053305D">
      <w:pPr>
        <w:snapToGrid w:val="0"/>
        <w:spacing w:line="360" w:lineRule="auto"/>
        <w:ind w:left="360"/>
        <w:jc w:val="both"/>
        <w:rPr>
          <w:b/>
          <w:bCs/>
        </w:rPr>
      </w:pPr>
      <w:r w:rsidRPr="000B7A37">
        <w:rPr>
          <w:b/>
          <w:bCs/>
        </w:rPr>
        <w:t xml:space="preserve">3.1. </w:t>
      </w:r>
      <w:r w:rsidR="00C53DD5" w:rsidRPr="000B7A37">
        <w:rPr>
          <w:b/>
          <w:bCs/>
        </w:rPr>
        <w:t>D</w:t>
      </w:r>
      <w:r w:rsidRPr="000B7A37">
        <w:rPr>
          <w:b/>
          <w:bCs/>
        </w:rPr>
        <w:t xml:space="preserve">eep chlorophyll maxima </w:t>
      </w:r>
      <w:r w:rsidR="0087411E" w:rsidRPr="000B7A37">
        <w:rPr>
          <w:b/>
          <w:bCs/>
        </w:rPr>
        <w:t>occur</w:t>
      </w:r>
      <w:r w:rsidRPr="000B7A37">
        <w:rPr>
          <w:b/>
          <w:bCs/>
        </w:rPr>
        <w:t xml:space="preserve"> </w:t>
      </w:r>
      <w:r w:rsidR="00C53DD5" w:rsidRPr="000B7A37">
        <w:rPr>
          <w:b/>
          <w:bCs/>
        </w:rPr>
        <w:t>across</w:t>
      </w:r>
      <w:r w:rsidRPr="000B7A37">
        <w:rPr>
          <w:b/>
          <w:bCs/>
        </w:rPr>
        <w:t xml:space="preserve"> the Southern Ocean</w:t>
      </w:r>
      <w:r w:rsidR="009E6954" w:rsidRPr="000B7A37">
        <w:rPr>
          <w:b/>
          <w:bCs/>
        </w:rPr>
        <w:t xml:space="preserve"> and</w:t>
      </w:r>
      <w:r w:rsidR="005753CA" w:rsidRPr="000B7A37">
        <w:rPr>
          <w:b/>
          <w:bCs/>
        </w:rPr>
        <w:t xml:space="preserve"> often </w:t>
      </w:r>
      <w:r w:rsidR="009E6954" w:rsidRPr="000B7A37">
        <w:rPr>
          <w:b/>
          <w:bCs/>
        </w:rPr>
        <w:t>coincide with deep biomass maxima</w:t>
      </w:r>
    </w:p>
    <w:p w14:paraId="0EE37DC5" w14:textId="77777777" w:rsidR="00B9401B" w:rsidRPr="000B7A37" w:rsidRDefault="00B9401B" w:rsidP="0053305D">
      <w:pPr>
        <w:snapToGrid w:val="0"/>
        <w:spacing w:line="360" w:lineRule="auto"/>
        <w:jc w:val="both"/>
      </w:pPr>
    </w:p>
    <w:p w14:paraId="3CFCC320" w14:textId="27832695" w:rsidR="00B879D5" w:rsidRDefault="35FE2A93" w:rsidP="0053305D">
      <w:pPr>
        <w:snapToGrid w:val="0"/>
        <w:spacing w:line="360" w:lineRule="auto"/>
        <w:jc w:val="both"/>
      </w:pPr>
      <w:r w:rsidRPr="000B7A37">
        <w:t>W</w:t>
      </w:r>
      <w:r w:rsidR="02EB2EE6" w:rsidRPr="000B7A37">
        <w:t>e observed a total of 2,</w:t>
      </w:r>
      <w:r w:rsidR="00726BD5" w:rsidRPr="000B7A37">
        <w:t>133</w:t>
      </w:r>
      <w:r w:rsidR="00726BD5">
        <w:t xml:space="preserve"> </w:t>
      </w:r>
      <w:r w:rsidR="02EB2EE6">
        <w:t xml:space="preserve">DCMs </w:t>
      </w:r>
      <w:r w:rsidR="01D115CD">
        <w:t xml:space="preserve">in </w:t>
      </w:r>
      <w:r w:rsidR="390AE7B1">
        <w:t>BGC-</w:t>
      </w:r>
      <w:r w:rsidR="4395FF25">
        <w:t>Argo float</w:t>
      </w:r>
      <w:r w:rsidR="01D115CD">
        <w:t xml:space="preserve"> data</w:t>
      </w:r>
      <w:r w:rsidR="4395FF25">
        <w:t xml:space="preserve"> from 30°S to Antarctica (Figure 1</w:t>
      </w:r>
      <w:r w:rsidR="00726BD5">
        <w:t>b</w:t>
      </w:r>
      <w:r w:rsidR="4395FF25">
        <w:t xml:space="preserve">). </w:t>
      </w:r>
      <w:r w:rsidR="10EA5C3C">
        <w:t xml:space="preserve">DCMs </w:t>
      </w:r>
      <w:r w:rsidR="55E0995E">
        <w:t xml:space="preserve">occur </w:t>
      </w:r>
      <w:r w:rsidR="00C0434B">
        <w:t xml:space="preserve">across </w:t>
      </w:r>
      <w:r w:rsidR="10EA5C3C">
        <w:t xml:space="preserve">the four frontal zones </w:t>
      </w:r>
      <w:r w:rsidR="00726BD5">
        <w:t>defined in this study (see Methods 2.1.)</w:t>
      </w:r>
      <w:r w:rsidR="55E0995E">
        <w:t>, consistently throughout the year, with higher frequency in summer</w:t>
      </w:r>
      <w:r w:rsidR="7FBD7618">
        <w:t xml:space="preserve"> (Figure </w:t>
      </w:r>
      <w:r w:rsidR="007A4833">
        <w:t>4</w:t>
      </w:r>
      <w:r w:rsidR="7FBD7618">
        <w:t>)</w:t>
      </w:r>
      <w:r w:rsidR="10EA5C3C">
        <w:t xml:space="preserve">. </w:t>
      </w:r>
      <w:r w:rsidR="00726BD5">
        <w:t xml:space="preserve">DCMs are </w:t>
      </w:r>
      <w:r w:rsidR="00726BD5">
        <w:lastRenderedPageBreak/>
        <w:t xml:space="preserve">dominant in the </w:t>
      </w:r>
      <w:r w:rsidR="00997B91">
        <w:rPr>
          <w:rStyle w:val="normaltextrun"/>
          <w:color w:val="000000" w:themeColor="text1"/>
          <w:lang w:val="en-US"/>
        </w:rPr>
        <w:t>STZ</w:t>
      </w:r>
      <w:r w:rsidR="00726BD5">
        <w:t xml:space="preserve">, with a total of 1,558 DCMs. South of the STZ, the </w:t>
      </w:r>
      <w:r w:rsidR="00997B91">
        <w:rPr>
          <w:rStyle w:val="normaltextrun"/>
          <w:color w:val="000000" w:themeColor="text1"/>
          <w:lang w:val="en-US"/>
        </w:rPr>
        <w:t>SIZ</w:t>
      </w:r>
      <w:r w:rsidR="00997B91" w:rsidRPr="00AC1AD8">
        <w:rPr>
          <w:rStyle w:val="normaltextrun"/>
          <w:color w:val="000000" w:themeColor="text1"/>
          <w:lang w:val="en-US"/>
        </w:rPr>
        <w:t xml:space="preserve"> </w:t>
      </w:r>
      <w:r w:rsidR="00726BD5">
        <w:t>had 255</w:t>
      </w:r>
      <w:r w:rsidR="00997B91">
        <w:t xml:space="preserve"> DCMs</w:t>
      </w:r>
      <w:r w:rsidR="00726BD5">
        <w:t xml:space="preserve">, the </w:t>
      </w:r>
      <w:r w:rsidR="00997B91">
        <w:rPr>
          <w:rStyle w:val="normaltextrun"/>
          <w:color w:val="000000" w:themeColor="text1"/>
          <w:lang w:val="en-US"/>
        </w:rPr>
        <w:t>PAZ</w:t>
      </w:r>
      <w:r w:rsidR="00997B91" w:rsidRPr="00AC1AD8">
        <w:rPr>
          <w:rStyle w:val="normaltextrun"/>
          <w:color w:val="000000" w:themeColor="text1"/>
          <w:lang w:val="en-US"/>
        </w:rPr>
        <w:t xml:space="preserve"> </w:t>
      </w:r>
      <w:r w:rsidR="00726BD5">
        <w:t>189</w:t>
      </w:r>
      <w:r w:rsidR="00997B91">
        <w:t xml:space="preserve"> </w:t>
      </w:r>
      <w:r w:rsidR="00726BD5">
        <w:t xml:space="preserve">and the </w:t>
      </w:r>
      <w:r w:rsidR="00997B91">
        <w:rPr>
          <w:rStyle w:val="normaltextrun"/>
          <w:color w:val="000000" w:themeColor="text1"/>
          <w:lang w:val="en-US"/>
        </w:rPr>
        <w:t>SAZ</w:t>
      </w:r>
      <w:r w:rsidR="00997B91" w:rsidRPr="00AC1AD8">
        <w:rPr>
          <w:rStyle w:val="normaltextrun"/>
          <w:color w:val="000000" w:themeColor="text1"/>
          <w:lang w:val="en-US"/>
        </w:rPr>
        <w:t xml:space="preserve"> </w:t>
      </w:r>
      <w:r w:rsidR="00726BD5">
        <w:t xml:space="preserve">131. </w:t>
      </w:r>
      <w:r w:rsidR="00322963">
        <w:t>North of 40°S, in the STZ, DCMs occur throughout the year</w:t>
      </w:r>
      <w:r w:rsidR="00473B91">
        <w:t>. A</w:t>
      </w:r>
      <w:r w:rsidR="00322963">
        <w:t xml:space="preserve">t 40-60°S DCMs are restricted to spring and summer (November to </w:t>
      </w:r>
      <w:r w:rsidR="00D00AE5">
        <w:t>March), and south of 60°S DCMs occur from September to April (</w:t>
      </w:r>
      <w:r w:rsidR="00D00AE5" w:rsidRPr="008D0314">
        <w:t xml:space="preserve">Figure </w:t>
      </w:r>
      <w:r w:rsidR="00800D8B" w:rsidRPr="008D0314">
        <w:t>3</w:t>
      </w:r>
      <w:r w:rsidR="00D00AE5" w:rsidRPr="008D0314">
        <w:t>)</w:t>
      </w:r>
      <w:r w:rsidR="004917FB" w:rsidRPr="008D0314">
        <w:t>.</w:t>
      </w:r>
      <w:r w:rsidR="00322963">
        <w:t xml:space="preserve"> </w:t>
      </w:r>
      <w:r w:rsidR="4329530D">
        <w:t>Notably</w:t>
      </w:r>
      <w:r w:rsidR="10EA5C3C">
        <w:t xml:space="preserve">, 63% </w:t>
      </w:r>
      <w:r w:rsidR="4329530D">
        <w:t xml:space="preserve">of </w:t>
      </w:r>
      <w:r w:rsidR="00997B91">
        <w:t xml:space="preserve">the </w:t>
      </w:r>
      <w:r w:rsidR="4329530D">
        <w:t>DCMs</w:t>
      </w:r>
      <w:r w:rsidR="00997B91">
        <w:t xml:space="preserve"> occurring south of 30°S</w:t>
      </w:r>
      <w:r w:rsidR="4329530D">
        <w:t xml:space="preserve"> </w:t>
      </w:r>
      <w:r w:rsidR="10EA5C3C">
        <w:t>coincide</w:t>
      </w:r>
      <w:r w:rsidR="4329530D">
        <w:t>d</w:t>
      </w:r>
      <w:r w:rsidR="10EA5C3C">
        <w:t xml:space="preserve"> with a DBM</w:t>
      </w:r>
      <w:r w:rsidR="00697669">
        <w:t>. By region, this amounted to</w:t>
      </w:r>
      <w:r w:rsidR="00997B91">
        <w:t xml:space="preserve"> </w:t>
      </w:r>
      <w:r w:rsidR="00226269">
        <w:t>1,032 (</w:t>
      </w:r>
      <w:r w:rsidR="005C4D71">
        <w:t>75</w:t>
      </w:r>
      <w:r w:rsidR="00997B91">
        <w:t>%</w:t>
      </w:r>
      <w:r w:rsidR="00226269">
        <w:t xml:space="preserve">) </w:t>
      </w:r>
      <w:r w:rsidR="00997B91">
        <w:t>of DBMs</w:t>
      </w:r>
      <w:r w:rsidR="005C4D71">
        <w:t xml:space="preserve"> </w:t>
      </w:r>
      <w:r w:rsidR="00997B91">
        <w:t>in the STZ</w:t>
      </w:r>
      <w:r w:rsidR="005C4D71">
        <w:t>, 148 in the PAZ, 112 in the SIZ, and 67 in the SAZ</w:t>
      </w:r>
      <w:r w:rsidR="00997B91">
        <w:t xml:space="preserve">. </w:t>
      </w:r>
      <w:r w:rsidR="4A86DDAD">
        <w:t xml:space="preserve">DCMs and DBMs </w:t>
      </w:r>
      <w:r w:rsidR="5000D757">
        <w:t xml:space="preserve">most commonly </w:t>
      </w:r>
      <w:r w:rsidR="4A86DDAD">
        <w:t xml:space="preserve">occur </w:t>
      </w:r>
      <w:r w:rsidR="007B12F5">
        <w:t xml:space="preserve">deeper than </w:t>
      </w:r>
      <w:r w:rsidR="2B472876">
        <w:t>100m</w:t>
      </w:r>
      <w:r w:rsidR="21365F68">
        <w:t xml:space="preserve">, </w:t>
      </w:r>
      <w:r w:rsidR="03F08623">
        <w:t xml:space="preserve">and there </w:t>
      </w:r>
      <w:proofErr w:type="gramStart"/>
      <w:r w:rsidR="03F08623">
        <w:t>is</w:t>
      </w:r>
      <w:proofErr w:type="gramEnd"/>
      <w:r w:rsidR="03F08623">
        <w:t xml:space="preserve"> a tendency for</w:t>
      </w:r>
      <w:r w:rsidR="21365F68">
        <w:t xml:space="preserve"> </w:t>
      </w:r>
      <w:r w:rsidR="000B4ECE">
        <w:t xml:space="preserve">concurrent </w:t>
      </w:r>
      <w:r w:rsidR="21365F68">
        <w:t xml:space="preserve">DCMs </w:t>
      </w:r>
      <w:r w:rsidR="03F08623">
        <w:t xml:space="preserve">to be </w:t>
      </w:r>
      <w:r w:rsidR="21365F68">
        <w:t>found deeper than DBMs</w:t>
      </w:r>
      <w:r w:rsidR="7EA5A2A2">
        <w:t xml:space="preserve"> (Figure </w:t>
      </w:r>
      <w:r w:rsidR="007A4833">
        <w:t>5h</w:t>
      </w:r>
      <w:r w:rsidR="7EA5A2A2">
        <w:t>)</w:t>
      </w:r>
      <w:r w:rsidR="0548AFD9">
        <w:t>.</w:t>
      </w:r>
      <w:r w:rsidR="28D95522">
        <w:t xml:space="preserve"> The widespread occurrence of DCMs and DBMs </w:t>
      </w:r>
      <w:r w:rsidR="00A16F55">
        <w:t>strongly suggests</w:t>
      </w:r>
      <w:r w:rsidR="31E19543">
        <w:t xml:space="preserve"> </w:t>
      </w:r>
      <w:r w:rsidR="28D95522">
        <w:t>that they are ecologically important</w:t>
      </w:r>
      <w:r w:rsidR="52880190">
        <w:t xml:space="preserve"> in the Southern Ocean</w:t>
      </w:r>
      <w:r w:rsidR="005C4D71">
        <w:t>, south of 30°S</w:t>
      </w:r>
      <w:r w:rsidR="28D95522">
        <w:t>.</w:t>
      </w:r>
    </w:p>
    <w:p w14:paraId="14049936" w14:textId="2C51AFBA" w:rsidR="00D00AE5" w:rsidRDefault="00D00AE5" w:rsidP="0053305D">
      <w:pPr>
        <w:snapToGrid w:val="0"/>
        <w:spacing w:line="360" w:lineRule="auto"/>
        <w:jc w:val="both"/>
      </w:pPr>
    </w:p>
    <w:p w14:paraId="6F986452" w14:textId="2E524ABA" w:rsidR="00D00AE5" w:rsidRDefault="00061574" w:rsidP="0053305D">
      <w:pPr>
        <w:snapToGrid w:val="0"/>
        <w:spacing w:line="360" w:lineRule="auto"/>
        <w:jc w:val="both"/>
      </w:pPr>
      <w:r>
        <w:rPr>
          <w:noProof/>
        </w:rPr>
        <w:lastRenderedPageBreak/>
        <w:drawing>
          <wp:inline distT="0" distB="0" distL="0" distR="0" wp14:anchorId="26099A70" wp14:editId="245B26CE">
            <wp:extent cx="4809067" cy="6623478"/>
            <wp:effectExtent l="0" t="0" r="4445" b="6350"/>
            <wp:docPr id="15657571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757133" name="Picture 1565757133"/>
                    <pic:cNvPicPr/>
                  </pic:nvPicPr>
                  <pic:blipFill rotWithShape="1">
                    <a:blip r:embed="rId13">
                      <a:extLst>
                        <a:ext uri="{28A0092B-C50C-407E-A947-70E740481C1C}">
                          <a14:useLocalDpi xmlns:a14="http://schemas.microsoft.com/office/drawing/2010/main" val="0"/>
                        </a:ext>
                      </a:extLst>
                    </a:blip>
                    <a:srcRect t="9825" r="59672" b="11572"/>
                    <a:stretch/>
                  </pic:blipFill>
                  <pic:spPr bwMode="auto">
                    <a:xfrm>
                      <a:off x="0" y="0"/>
                      <a:ext cx="4814051" cy="6630342"/>
                    </a:xfrm>
                    <a:prstGeom prst="rect">
                      <a:avLst/>
                    </a:prstGeom>
                    <a:ln>
                      <a:noFill/>
                    </a:ln>
                    <a:extLst>
                      <a:ext uri="{53640926-AAD7-44D8-BBD7-CCE9431645EC}">
                        <a14:shadowObscured xmlns:a14="http://schemas.microsoft.com/office/drawing/2010/main"/>
                      </a:ext>
                    </a:extLst>
                  </pic:spPr>
                </pic:pic>
              </a:graphicData>
            </a:graphic>
          </wp:inline>
        </w:drawing>
      </w:r>
    </w:p>
    <w:p w14:paraId="350D69D4" w14:textId="02C05CF4" w:rsidR="00D00AE5" w:rsidRPr="009E0986" w:rsidRDefault="00D00AE5" w:rsidP="0053305D">
      <w:pPr>
        <w:snapToGrid w:val="0"/>
        <w:spacing w:line="360" w:lineRule="auto"/>
        <w:jc w:val="both"/>
      </w:pPr>
      <w:r w:rsidRPr="008D0314">
        <w:t xml:space="preserve">Figure </w:t>
      </w:r>
      <w:r w:rsidR="00800D8B" w:rsidRPr="008D0314">
        <w:t>3</w:t>
      </w:r>
      <w:r w:rsidRPr="008D0314">
        <w:t xml:space="preserve">. </w:t>
      </w:r>
      <w:r w:rsidR="00800D8B" w:rsidRPr="008D0314">
        <w:t>Seasonal</w:t>
      </w:r>
      <w:r w:rsidR="00800D8B">
        <w:t xml:space="preserve"> cycles with monthly means</w:t>
      </w:r>
      <w:r w:rsidR="00EA7852">
        <w:t xml:space="preserve"> (panels a, c and e)</w:t>
      </w:r>
      <w:r w:rsidR="00800D8B">
        <w:t xml:space="preserve"> and annual means</w:t>
      </w:r>
      <w:r w:rsidR="00EA7852">
        <w:t xml:space="preserve"> (panels b, d and f)</w:t>
      </w:r>
      <w:r w:rsidR="00800D8B">
        <w:t xml:space="preserve"> for each latitudinal group: &lt;40°S, 40-60°S, and &gt;60°S.  The contribution of subsurface NPP to total NPP is shown in panels a) and b), </w:t>
      </w:r>
      <w:r w:rsidR="00800D8B" w:rsidRPr="009E0986">
        <w:t xml:space="preserve">integrated subsurface NPP is shown in panels c) and d), and total integrated NPP in panels e) and f). </w:t>
      </w:r>
      <w:r w:rsidR="008D0314">
        <w:t>The shorter timeseries in a, c and e are due to lack of DCM profiles outside of the summer and spring months at higher latitudes. B</w:t>
      </w:r>
      <w:proofErr w:type="spellStart"/>
      <w:r w:rsidR="009E0986" w:rsidRPr="009E0986">
        <w:rPr>
          <w:rFonts w:eastAsiaTheme="minorHAnsi"/>
          <w:color w:val="3F3F3F"/>
          <w:lang w:val="en-GB" w:eastAsia="en-US"/>
        </w:rPr>
        <w:t>ecause</w:t>
      </w:r>
      <w:proofErr w:type="spellEnd"/>
      <w:r w:rsidR="009E0986" w:rsidRPr="009E0986">
        <w:rPr>
          <w:rFonts w:eastAsiaTheme="minorHAnsi"/>
          <w:color w:val="3F3F3F"/>
          <w:lang w:val="en-GB" w:eastAsia="en-US"/>
        </w:rPr>
        <w:t xml:space="preserve"> there is no data from DCM profiles after summer, the </w:t>
      </w:r>
      <w:r w:rsidR="006E285E">
        <w:t xml:space="preserve">contribution of subsurface NPP to total NPP </w:t>
      </w:r>
      <w:r w:rsidR="009E0986" w:rsidRPr="009E0986">
        <w:rPr>
          <w:rFonts w:eastAsiaTheme="minorHAnsi"/>
          <w:color w:val="3F3F3F"/>
          <w:lang w:val="en-GB" w:eastAsia="en-US"/>
        </w:rPr>
        <w:t>decrease</w:t>
      </w:r>
      <w:r w:rsidR="006E285E">
        <w:rPr>
          <w:rFonts w:eastAsiaTheme="minorHAnsi"/>
          <w:color w:val="3F3F3F"/>
          <w:lang w:val="en-GB" w:eastAsia="en-US"/>
        </w:rPr>
        <w:t>s</w:t>
      </w:r>
      <w:r w:rsidR="009E0986" w:rsidRPr="009E0986">
        <w:rPr>
          <w:rFonts w:eastAsiaTheme="minorHAnsi"/>
          <w:color w:val="3F3F3F"/>
          <w:lang w:val="en-GB" w:eastAsia="en-US"/>
        </w:rPr>
        <w:t xml:space="preserve"> to 20%, although in winter, having no DCMs, the </w:t>
      </w:r>
      <w:r w:rsidR="006E285E">
        <w:t xml:space="preserve">contribution </w:t>
      </w:r>
      <w:r w:rsidR="009E0986" w:rsidRPr="009E0986">
        <w:rPr>
          <w:rFonts w:eastAsiaTheme="minorHAnsi"/>
          <w:color w:val="3F3F3F"/>
          <w:lang w:val="en-GB" w:eastAsia="en-US"/>
        </w:rPr>
        <w:t>will be zero.</w:t>
      </w:r>
    </w:p>
    <w:p w14:paraId="419A5710" w14:textId="77777777" w:rsidR="00D00AE5" w:rsidRPr="009E0986" w:rsidRDefault="00D00AE5" w:rsidP="0053305D">
      <w:pPr>
        <w:snapToGrid w:val="0"/>
        <w:spacing w:line="360" w:lineRule="auto"/>
        <w:jc w:val="both"/>
      </w:pPr>
    </w:p>
    <w:p w14:paraId="1676471B" w14:textId="77777777" w:rsidR="00941621" w:rsidRPr="00FA6426" w:rsidRDefault="00941621" w:rsidP="008273B9">
      <w:pPr>
        <w:snapToGrid w:val="0"/>
        <w:spacing w:line="360" w:lineRule="auto"/>
        <w:jc w:val="both"/>
        <w:rPr>
          <w:b/>
          <w:bCs/>
        </w:rPr>
      </w:pPr>
      <w:r>
        <w:rPr>
          <w:b/>
          <w:bCs/>
        </w:rPr>
        <w:t>3.2.</w:t>
      </w:r>
      <w:r w:rsidRPr="00FA6426">
        <w:rPr>
          <w:b/>
          <w:bCs/>
        </w:rPr>
        <w:t xml:space="preserve"> How productive are deep chlorophyll maxima?</w:t>
      </w:r>
    </w:p>
    <w:p w14:paraId="33D4D7B9" w14:textId="77777777" w:rsidR="00FE5EFC" w:rsidRDefault="00FE5EFC" w:rsidP="00941621">
      <w:pPr>
        <w:pStyle w:val="ListParagraph"/>
        <w:snapToGrid w:val="0"/>
        <w:spacing w:line="360" w:lineRule="auto"/>
        <w:ind w:left="0"/>
        <w:contextualSpacing w:val="0"/>
        <w:jc w:val="both"/>
        <w:rPr>
          <w:rFonts w:ascii="Times New Roman" w:hAnsi="Times New Roman" w:cs="Times New Roman"/>
        </w:rPr>
      </w:pPr>
    </w:p>
    <w:p w14:paraId="52928976" w14:textId="7F9C8CDC" w:rsidR="00941621" w:rsidRPr="00FE5EFC" w:rsidRDefault="002902D9" w:rsidP="00941621">
      <w:pPr>
        <w:pStyle w:val="ListParagraph"/>
        <w:snapToGrid w:val="0"/>
        <w:spacing w:line="360" w:lineRule="auto"/>
        <w:ind w:left="0"/>
        <w:contextualSpacing w:val="0"/>
        <w:jc w:val="both"/>
        <w:rPr>
          <w:rFonts w:ascii="Times New Roman" w:hAnsi="Times New Roman" w:cs="Times New Roman"/>
          <w:b/>
          <w:bCs/>
        </w:rPr>
      </w:pPr>
      <w:r w:rsidRPr="00FE5EFC">
        <w:rPr>
          <w:rFonts w:ascii="Times New Roman" w:hAnsi="Times New Roman" w:cs="Times New Roman"/>
          <w:b/>
          <w:bCs/>
        </w:rPr>
        <w:t xml:space="preserve">3.2.1. </w:t>
      </w:r>
      <w:r w:rsidR="00FE5EFC" w:rsidRPr="00FE5EFC">
        <w:rPr>
          <w:rFonts w:ascii="Times New Roman" w:hAnsi="Times New Roman" w:cs="Times New Roman"/>
          <w:b/>
          <w:bCs/>
        </w:rPr>
        <w:t>Total NPP estimates</w:t>
      </w:r>
    </w:p>
    <w:p w14:paraId="557B84F6" w14:textId="77777777" w:rsidR="002902D9" w:rsidRDefault="002902D9" w:rsidP="00370593">
      <w:pPr>
        <w:snapToGrid w:val="0"/>
        <w:spacing w:line="360" w:lineRule="auto"/>
        <w:jc w:val="both"/>
      </w:pPr>
    </w:p>
    <w:p w14:paraId="693814CC" w14:textId="1BE9452A" w:rsidR="00A8688C" w:rsidRDefault="65CE28EB">
      <w:pPr>
        <w:pStyle w:val="ListParagraph"/>
        <w:spacing w:line="360" w:lineRule="auto"/>
        <w:ind w:left="0"/>
        <w:jc w:val="both"/>
        <w:rPr>
          <w:rFonts w:ascii="Times New Roman" w:hAnsi="Times New Roman" w:cs="Times New Roman"/>
        </w:rPr>
      </w:pPr>
      <w:r w:rsidRPr="1FDB3CBA">
        <w:rPr>
          <w:rFonts w:ascii="Times New Roman" w:hAnsi="Times New Roman" w:cs="Times New Roman"/>
        </w:rPr>
        <w:t xml:space="preserve">Estimates of total integrated NPP (ALL) range from </w:t>
      </w:r>
      <w:r w:rsidR="00C31F75">
        <w:rPr>
          <w:rFonts w:ascii="Times New Roman" w:hAnsi="Times New Roman" w:cs="Times New Roman"/>
        </w:rPr>
        <w:t>&lt;100</w:t>
      </w:r>
      <w:r w:rsidRPr="1FDB3CBA">
        <w:rPr>
          <w:rFonts w:ascii="Times New Roman" w:hAnsi="Times New Roman" w:cs="Times New Roman"/>
        </w:rPr>
        <w:t xml:space="preserve"> to 1</w:t>
      </w:r>
      <w:r w:rsidR="00997B91">
        <w:rPr>
          <w:rFonts w:ascii="Times New Roman" w:hAnsi="Times New Roman" w:cs="Times New Roman"/>
        </w:rPr>
        <w:t>,</w:t>
      </w:r>
      <w:r w:rsidRPr="1FDB3CBA">
        <w:rPr>
          <w:rFonts w:ascii="Times New Roman" w:hAnsi="Times New Roman" w:cs="Times New Roman"/>
        </w:rPr>
        <w:t>500 mg C m</w:t>
      </w:r>
      <w:r w:rsidRPr="1FDB3CBA">
        <w:rPr>
          <w:rFonts w:ascii="Times New Roman" w:hAnsi="Times New Roman" w:cs="Times New Roman"/>
          <w:vertAlign w:val="superscript"/>
        </w:rPr>
        <w:t>-2</w:t>
      </w:r>
      <w:r w:rsidRPr="1FDB3CBA">
        <w:rPr>
          <w:rFonts w:ascii="Times New Roman" w:hAnsi="Times New Roman" w:cs="Times New Roman"/>
        </w:rPr>
        <w:t xml:space="preserve"> day</w:t>
      </w:r>
      <w:r w:rsidRPr="1FDB3CBA">
        <w:rPr>
          <w:rFonts w:ascii="Times New Roman" w:hAnsi="Times New Roman" w:cs="Times New Roman"/>
          <w:vertAlign w:val="superscript"/>
        </w:rPr>
        <w:t>-1</w:t>
      </w:r>
      <w:r w:rsidRPr="1FDB3CBA">
        <w:rPr>
          <w:rFonts w:ascii="Times New Roman" w:hAnsi="Times New Roman" w:cs="Times New Roman"/>
        </w:rPr>
        <w:t xml:space="preserve"> </w:t>
      </w:r>
      <w:r w:rsidR="427AF26A" w:rsidRPr="1FDB3CBA">
        <w:rPr>
          <w:rFonts w:ascii="Times New Roman" w:hAnsi="Times New Roman" w:cs="Times New Roman"/>
        </w:rPr>
        <w:t xml:space="preserve">(Figure </w:t>
      </w:r>
      <w:r w:rsidR="007A4833">
        <w:rPr>
          <w:rFonts w:ascii="Times New Roman" w:hAnsi="Times New Roman" w:cs="Times New Roman"/>
        </w:rPr>
        <w:t>4</w:t>
      </w:r>
      <w:r w:rsidR="007A4833" w:rsidRPr="1FDB3CBA">
        <w:rPr>
          <w:rFonts w:ascii="Times New Roman" w:hAnsi="Times New Roman" w:cs="Times New Roman"/>
        </w:rPr>
        <w:t>a</w:t>
      </w:r>
      <w:r w:rsidR="427AF26A" w:rsidRPr="1FDB3CBA">
        <w:rPr>
          <w:rFonts w:ascii="Times New Roman" w:hAnsi="Times New Roman" w:cs="Times New Roman"/>
        </w:rPr>
        <w:t xml:space="preserve">) </w:t>
      </w:r>
      <w:r w:rsidRPr="1FDB3CBA">
        <w:rPr>
          <w:rFonts w:ascii="Times New Roman" w:hAnsi="Times New Roman" w:cs="Times New Roman"/>
        </w:rPr>
        <w:t xml:space="preserve">with a </w:t>
      </w:r>
      <w:r w:rsidR="2190AC82" w:rsidRPr="1FDB3CBA">
        <w:rPr>
          <w:rFonts w:ascii="Times New Roman" w:hAnsi="Times New Roman" w:cs="Times New Roman"/>
        </w:rPr>
        <w:t xml:space="preserve">mean </w:t>
      </w:r>
      <w:r w:rsidRPr="1FDB3CBA">
        <w:rPr>
          <w:rFonts w:ascii="Times New Roman" w:hAnsi="Times New Roman" w:cs="Times New Roman"/>
        </w:rPr>
        <w:t xml:space="preserve">of </w:t>
      </w:r>
      <w:r w:rsidR="5E650641" w:rsidRPr="1FDB3CBA">
        <w:rPr>
          <w:rFonts w:ascii="Times New Roman" w:hAnsi="Times New Roman" w:cs="Times New Roman"/>
        </w:rPr>
        <w:t xml:space="preserve">355 </w:t>
      </w:r>
      <w:r w:rsidRPr="1FDB3CBA">
        <w:rPr>
          <w:rFonts w:ascii="Times New Roman" w:hAnsi="Times New Roman" w:cs="Times New Roman"/>
        </w:rPr>
        <w:t xml:space="preserve">± </w:t>
      </w:r>
      <w:r w:rsidR="5E650641" w:rsidRPr="1FDB3CBA">
        <w:rPr>
          <w:rFonts w:ascii="Times New Roman" w:hAnsi="Times New Roman" w:cs="Times New Roman"/>
        </w:rPr>
        <w:t xml:space="preserve">396 </w:t>
      </w:r>
      <w:r w:rsidRPr="1FDB3CBA">
        <w:rPr>
          <w:rFonts w:ascii="Times New Roman" w:hAnsi="Times New Roman" w:cs="Times New Roman"/>
        </w:rPr>
        <w:t>mg C m</w:t>
      </w:r>
      <w:r w:rsidRPr="1FDB3CBA">
        <w:rPr>
          <w:rFonts w:ascii="Times New Roman" w:hAnsi="Times New Roman" w:cs="Times New Roman"/>
          <w:vertAlign w:val="superscript"/>
        </w:rPr>
        <w:t>-2</w:t>
      </w:r>
      <w:r w:rsidRPr="1FDB3CBA">
        <w:rPr>
          <w:rFonts w:ascii="Times New Roman" w:hAnsi="Times New Roman" w:cs="Times New Roman"/>
        </w:rPr>
        <w:t xml:space="preserve"> day</w:t>
      </w:r>
      <w:r w:rsidRPr="1FDB3CBA">
        <w:rPr>
          <w:rFonts w:ascii="Times New Roman" w:hAnsi="Times New Roman" w:cs="Times New Roman"/>
          <w:vertAlign w:val="superscript"/>
        </w:rPr>
        <w:t>-1</w:t>
      </w:r>
      <w:r w:rsidRPr="1FDB3CBA">
        <w:rPr>
          <w:rFonts w:ascii="Times New Roman" w:hAnsi="Times New Roman" w:cs="Times New Roman"/>
        </w:rPr>
        <w:t xml:space="preserve"> (standard deviation). Total production was </w:t>
      </w:r>
      <w:r w:rsidR="5C2572ED" w:rsidRPr="1FDB3CBA">
        <w:rPr>
          <w:rFonts w:ascii="Times New Roman" w:hAnsi="Times New Roman" w:cs="Times New Roman"/>
        </w:rPr>
        <w:t xml:space="preserve">on average </w:t>
      </w:r>
      <w:r w:rsidRPr="1FDB3CBA">
        <w:rPr>
          <w:rFonts w:ascii="Times New Roman" w:hAnsi="Times New Roman" w:cs="Times New Roman"/>
        </w:rPr>
        <w:t>higher when DCMs were present</w:t>
      </w:r>
      <w:r w:rsidR="6FBB6674" w:rsidRPr="1FDB3CBA">
        <w:rPr>
          <w:rFonts w:ascii="Times New Roman" w:hAnsi="Times New Roman" w:cs="Times New Roman"/>
        </w:rPr>
        <w:t xml:space="preserve"> (Figure </w:t>
      </w:r>
      <w:r w:rsidR="007A4833">
        <w:rPr>
          <w:rFonts w:ascii="Times New Roman" w:hAnsi="Times New Roman" w:cs="Times New Roman"/>
        </w:rPr>
        <w:t>5</w:t>
      </w:r>
      <w:r w:rsidR="007A4833" w:rsidRPr="1FDB3CBA">
        <w:rPr>
          <w:rFonts w:ascii="Times New Roman" w:hAnsi="Times New Roman" w:cs="Times New Roman"/>
        </w:rPr>
        <w:t>g</w:t>
      </w:r>
      <w:r w:rsidR="6FBB6674" w:rsidRPr="1FDB3CBA">
        <w:rPr>
          <w:rFonts w:ascii="Times New Roman" w:hAnsi="Times New Roman" w:cs="Times New Roman"/>
        </w:rPr>
        <w:t>)</w:t>
      </w:r>
      <w:r w:rsidRPr="1FDB3CBA">
        <w:rPr>
          <w:rFonts w:ascii="Times New Roman" w:hAnsi="Times New Roman" w:cs="Times New Roman"/>
        </w:rPr>
        <w:t xml:space="preserve">. That is, </w:t>
      </w:r>
      <w:r w:rsidR="2C550726" w:rsidRPr="1FDB3CBA">
        <w:rPr>
          <w:rFonts w:ascii="Times New Roman" w:hAnsi="Times New Roman" w:cs="Times New Roman"/>
        </w:rPr>
        <w:t xml:space="preserve">mean </w:t>
      </w:r>
      <w:r w:rsidRPr="1FDB3CBA">
        <w:rPr>
          <w:rFonts w:ascii="Times New Roman" w:hAnsi="Times New Roman" w:cs="Times New Roman"/>
        </w:rPr>
        <w:t>NPP (DCM) (</w:t>
      </w:r>
      <w:r w:rsidR="2C550726" w:rsidRPr="1FDB3CBA">
        <w:rPr>
          <w:rFonts w:ascii="Times New Roman" w:hAnsi="Times New Roman" w:cs="Times New Roman"/>
        </w:rPr>
        <w:t>40</w:t>
      </w:r>
      <w:r w:rsidR="0A8DD391" w:rsidRPr="1FDB3CBA">
        <w:rPr>
          <w:rFonts w:ascii="Times New Roman" w:hAnsi="Times New Roman" w:cs="Times New Roman"/>
        </w:rPr>
        <w:t>6</w:t>
      </w:r>
      <w:r w:rsidR="2C550726" w:rsidRPr="1FDB3CBA">
        <w:rPr>
          <w:rFonts w:ascii="Times New Roman" w:hAnsi="Times New Roman" w:cs="Times New Roman"/>
        </w:rPr>
        <w:t xml:space="preserve"> </w:t>
      </w:r>
      <w:r w:rsidRPr="1FDB3CBA">
        <w:rPr>
          <w:rFonts w:ascii="Times New Roman" w:hAnsi="Times New Roman" w:cs="Times New Roman"/>
        </w:rPr>
        <w:t xml:space="preserve">± </w:t>
      </w:r>
      <w:r w:rsidR="0A8DD391" w:rsidRPr="1FDB3CBA">
        <w:rPr>
          <w:rFonts w:ascii="Times New Roman" w:hAnsi="Times New Roman" w:cs="Times New Roman"/>
        </w:rPr>
        <w:t xml:space="preserve">306 </w:t>
      </w:r>
      <w:r w:rsidRPr="1FDB3CBA">
        <w:rPr>
          <w:rFonts w:ascii="Times New Roman" w:hAnsi="Times New Roman" w:cs="Times New Roman"/>
        </w:rPr>
        <w:t>mg C m</w:t>
      </w:r>
      <w:r w:rsidRPr="1FDB3CBA">
        <w:rPr>
          <w:rFonts w:ascii="Times New Roman" w:hAnsi="Times New Roman" w:cs="Times New Roman"/>
          <w:vertAlign w:val="superscript"/>
        </w:rPr>
        <w:t>-2</w:t>
      </w:r>
      <w:r w:rsidRPr="1FDB3CBA">
        <w:rPr>
          <w:rFonts w:ascii="Times New Roman" w:hAnsi="Times New Roman" w:cs="Times New Roman"/>
        </w:rPr>
        <w:t xml:space="preserve"> day</w:t>
      </w:r>
      <w:r w:rsidRPr="1FDB3CBA">
        <w:rPr>
          <w:rFonts w:ascii="Times New Roman" w:hAnsi="Times New Roman" w:cs="Times New Roman"/>
          <w:vertAlign w:val="superscript"/>
        </w:rPr>
        <w:t>-1</w:t>
      </w:r>
      <w:r w:rsidRPr="1FDB3CBA">
        <w:rPr>
          <w:rFonts w:ascii="Times New Roman" w:hAnsi="Times New Roman" w:cs="Times New Roman"/>
        </w:rPr>
        <w:t xml:space="preserve">) </w:t>
      </w:r>
      <w:r w:rsidR="513B65C4" w:rsidRPr="1FDB3CBA">
        <w:rPr>
          <w:rFonts w:ascii="Times New Roman" w:hAnsi="Times New Roman" w:cs="Times New Roman"/>
        </w:rPr>
        <w:t>was</w:t>
      </w:r>
      <w:r w:rsidRPr="1FDB3CBA">
        <w:rPr>
          <w:rFonts w:ascii="Times New Roman" w:hAnsi="Times New Roman" w:cs="Times New Roman"/>
        </w:rPr>
        <w:t xml:space="preserve"> significantly higher than </w:t>
      </w:r>
      <w:r w:rsidR="513B65C4" w:rsidRPr="1FDB3CBA">
        <w:rPr>
          <w:rFonts w:ascii="Times New Roman" w:hAnsi="Times New Roman" w:cs="Times New Roman"/>
        </w:rPr>
        <w:t xml:space="preserve">mean </w:t>
      </w:r>
      <w:r w:rsidRPr="1FDB3CBA">
        <w:rPr>
          <w:rFonts w:ascii="Times New Roman" w:hAnsi="Times New Roman" w:cs="Times New Roman"/>
        </w:rPr>
        <w:t>NPP (ALL)</w:t>
      </w:r>
      <w:r w:rsidR="00334FC0">
        <w:rPr>
          <w:rFonts w:ascii="Times New Roman" w:hAnsi="Times New Roman" w:cs="Times New Roman"/>
        </w:rPr>
        <w:t xml:space="preserve">. </w:t>
      </w:r>
      <w:r w:rsidR="70FA5C52" w:rsidRPr="1FDB3CBA">
        <w:rPr>
          <w:rFonts w:ascii="Times New Roman" w:hAnsi="Times New Roman" w:cs="Times New Roman"/>
        </w:rPr>
        <w:t>Mean NPP (DBM) was lowe</w:t>
      </w:r>
      <w:r w:rsidR="00334FC0">
        <w:rPr>
          <w:rFonts w:ascii="Times New Roman" w:hAnsi="Times New Roman" w:cs="Times New Roman"/>
        </w:rPr>
        <w:t>r</w:t>
      </w:r>
      <w:r w:rsidR="70FA5C52" w:rsidRPr="1FDB3CBA">
        <w:rPr>
          <w:rFonts w:ascii="Times New Roman" w:hAnsi="Times New Roman" w:cs="Times New Roman"/>
        </w:rPr>
        <w:t xml:space="preserve"> (30</w:t>
      </w:r>
      <w:r w:rsidR="585BC99D" w:rsidRPr="1FDB3CBA">
        <w:rPr>
          <w:rFonts w:ascii="Times New Roman" w:hAnsi="Times New Roman" w:cs="Times New Roman"/>
        </w:rPr>
        <w:t>6</w:t>
      </w:r>
      <w:r w:rsidR="70FA5C52" w:rsidRPr="1FDB3CBA">
        <w:rPr>
          <w:rFonts w:ascii="Times New Roman" w:hAnsi="Times New Roman" w:cs="Times New Roman"/>
        </w:rPr>
        <w:t xml:space="preserve"> ± </w:t>
      </w:r>
      <w:r w:rsidR="585BC99D" w:rsidRPr="1FDB3CBA">
        <w:rPr>
          <w:rFonts w:ascii="Times New Roman" w:hAnsi="Times New Roman" w:cs="Times New Roman"/>
        </w:rPr>
        <w:t>248</w:t>
      </w:r>
      <w:r w:rsidR="70FA5C52" w:rsidRPr="1FDB3CBA">
        <w:rPr>
          <w:rFonts w:ascii="Times New Roman" w:hAnsi="Times New Roman" w:cs="Times New Roman"/>
        </w:rPr>
        <w:t xml:space="preserve"> mg C m</w:t>
      </w:r>
      <w:r w:rsidR="70FA5C52" w:rsidRPr="1FDB3CBA">
        <w:rPr>
          <w:rFonts w:ascii="Times New Roman" w:hAnsi="Times New Roman" w:cs="Times New Roman"/>
          <w:vertAlign w:val="superscript"/>
        </w:rPr>
        <w:t>-2</w:t>
      </w:r>
      <w:r w:rsidR="70FA5C52" w:rsidRPr="1FDB3CBA">
        <w:rPr>
          <w:rFonts w:ascii="Times New Roman" w:hAnsi="Times New Roman" w:cs="Times New Roman"/>
        </w:rPr>
        <w:t xml:space="preserve"> day</w:t>
      </w:r>
      <w:r w:rsidR="70FA5C52" w:rsidRPr="1FDB3CBA">
        <w:rPr>
          <w:rFonts w:ascii="Times New Roman" w:hAnsi="Times New Roman" w:cs="Times New Roman"/>
          <w:vertAlign w:val="superscript"/>
        </w:rPr>
        <w:t>-1</w:t>
      </w:r>
      <w:r w:rsidR="70FA5C52" w:rsidRPr="1FDB3CBA">
        <w:rPr>
          <w:rFonts w:ascii="Times New Roman" w:hAnsi="Times New Roman" w:cs="Times New Roman"/>
        </w:rPr>
        <w:t>)</w:t>
      </w:r>
      <w:r w:rsidR="006F4944" w:rsidRPr="006F4944">
        <w:rPr>
          <w:rFonts w:ascii="Times New Roman" w:hAnsi="Times New Roman" w:cs="Times New Roman"/>
        </w:rPr>
        <w:t xml:space="preserve"> </w:t>
      </w:r>
      <w:r w:rsidR="006F4944" w:rsidRPr="1FDB3CBA">
        <w:rPr>
          <w:rFonts w:ascii="Times New Roman" w:hAnsi="Times New Roman" w:cs="Times New Roman"/>
        </w:rPr>
        <w:t>than mean NPP (ALL)</w:t>
      </w:r>
      <w:r w:rsidR="1CFF34E7" w:rsidRPr="1FDB3CBA">
        <w:rPr>
          <w:rFonts w:ascii="Times New Roman" w:hAnsi="Times New Roman" w:cs="Times New Roman"/>
        </w:rPr>
        <w:t>.</w:t>
      </w:r>
      <w:r w:rsidR="70FA5C52" w:rsidRPr="1FDB3CBA">
        <w:rPr>
          <w:rFonts w:ascii="Times New Roman" w:hAnsi="Times New Roman" w:cs="Times New Roman"/>
        </w:rPr>
        <w:t xml:space="preserve"> </w:t>
      </w:r>
      <w:r w:rsidR="6ED3B036" w:rsidRPr="1FDB3CBA">
        <w:rPr>
          <w:rFonts w:ascii="Times New Roman" w:hAnsi="Times New Roman" w:cs="Times New Roman"/>
        </w:rPr>
        <w:t>Production was highest from November to January for the</w:t>
      </w:r>
      <w:r w:rsidR="305FF588" w:rsidRPr="1FDB3CBA">
        <w:rPr>
          <w:rFonts w:ascii="Times New Roman" w:hAnsi="Times New Roman" w:cs="Times New Roman"/>
        </w:rPr>
        <w:t>se</w:t>
      </w:r>
      <w:r w:rsidR="6ED3B036" w:rsidRPr="1FDB3CBA">
        <w:rPr>
          <w:rFonts w:ascii="Times New Roman" w:hAnsi="Times New Roman" w:cs="Times New Roman"/>
        </w:rPr>
        <w:t xml:space="preserve"> three </w:t>
      </w:r>
      <w:r w:rsidR="24F5077A" w:rsidRPr="1FDB3CBA">
        <w:rPr>
          <w:rFonts w:ascii="Times New Roman" w:hAnsi="Times New Roman" w:cs="Times New Roman"/>
        </w:rPr>
        <w:t>parameters</w:t>
      </w:r>
      <w:r w:rsidR="6ED3B036" w:rsidRPr="1FDB3CBA">
        <w:rPr>
          <w:rFonts w:ascii="Times New Roman" w:hAnsi="Times New Roman" w:cs="Times New Roman"/>
        </w:rPr>
        <w:t xml:space="preserve"> (Figure </w:t>
      </w:r>
      <w:r w:rsidR="007A4833">
        <w:rPr>
          <w:rFonts w:ascii="Times New Roman" w:hAnsi="Times New Roman" w:cs="Times New Roman"/>
        </w:rPr>
        <w:t>4</w:t>
      </w:r>
      <w:r w:rsidR="007A4833" w:rsidRPr="1FDB3CBA">
        <w:rPr>
          <w:rFonts w:ascii="Times New Roman" w:hAnsi="Times New Roman" w:cs="Times New Roman"/>
        </w:rPr>
        <w:t>b</w:t>
      </w:r>
      <w:r w:rsidR="6ED3B036" w:rsidRPr="1FDB3CBA">
        <w:rPr>
          <w:rFonts w:ascii="Times New Roman" w:hAnsi="Times New Roman" w:cs="Times New Roman"/>
        </w:rPr>
        <w:t>)</w:t>
      </w:r>
      <w:r w:rsidR="7A311473" w:rsidRPr="1FDB3CBA">
        <w:rPr>
          <w:rFonts w:ascii="Times New Roman" w:hAnsi="Times New Roman" w:cs="Times New Roman"/>
        </w:rPr>
        <w:t>. Summer is also the period</w:t>
      </w:r>
      <w:r w:rsidR="52F38886" w:rsidRPr="1FDB3CBA">
        <w:rPr>
          <w:rFonts w:ascii="Times New Roman" w:hAnsi="Times New Roman" w:cs="Times New Roman"/>
        </w:rPr>
        <w:t xml:space="preserve"> when DCM occurrence was highest (Figure </w:t>
      </w:r>
      <w:r w:rsidR="007A4833">
        <w:rPr>
          <w:rFonts w:ascii="Times New Roman" w:hAnsi="Times New Roman" w:cs="Times New Roman"/>
        </w:rPr>
        <w:t>4</w:t>
      </w:r>
      <w:r w:rsidR="007A4833" w:rsidRPr="1FDB3CBA">
        <w:rPr>
          <w:rFonts w:ascii="Times New Roman" w:hAnsi="Times New Roman" w:cs="Times New Roman"/>
        </w:rPr>
        <w:t>d</w:t>
      </w:r>
      <w:r w:rsidR="52F38886" w:rsidRPr="1FDB3CBA">
        <w:rPr>
          <w:rFonts w:ascii="Times New Roman" w:hAnsi="Times New Roman" w:cs="Times New Roman"/>
        </w:rPr>
        <w:t>)</w:t>
      </w:r>
      <w:r w:rsidR="6ED3B036" w:rsidRPr="1FDB3CBA">
        <w:rPr>
          <w:rFonts w:ascii="Times New Roman" w:hAnsi="Times New Roman" w:cs="Times New Roman"/>
        </w:rPr>
        <w:t xml:space="preserve">. </w:t>
      </w:r>
      <w:r w:rsidR="688FA479" w:rsidRPr="1FDB3CBA">
        <w:rPr>
          <w:rFonts w:ascii="Times New Roman" w:hAnsi="Times New Roman" w:cs="Times New Roman"/>
        </w:rPr>
        <w:t xml:space="preserve">Total </w:t>
      </w:r>
      <w:r w:rsidR="688FA479" w:rsidRPr="1FDB3CBA">
        <w:rPr>
          <w:rFonts w:ascii="Times New Roman" w:hAnsi="Times New Roman" w:cs="Times New Roman"/>
          <w:lang w:val="en-AU"/>
        </w:rPr>
        <w:t>NPP increases in summer for profiles with and without DCMs or DBMs, but again, the overall seasonal</w:t>
      </w:r>
      <w:r w:rsidR="00334FC0">
        <w:rPr>
          <w:rFonts w:ascii="Times New Roman" w:hAnsi="Times New Roman" w:cs="Times New Roman"/>
          <w:lang w:val="en-AU"/>
        </w:rPr>
        <w:t>ity</w:t>
      </w:r>
      <w:r w:rsidR="688FA479" w:rsidRPr="1FDB3CBA">
        <w:rPr>
          <w:rFonts w:ascii="Times New Roman" w:hAnsi="Times New Roman" w:cs="Times New Roman"/>
          <w:lang w:val="en-AU"/>
        </w:rPr>
        <w:t xml:space="preserve"> is muted when D</w:t>
      </w:r>
      <w:r w:rsidR="0E573FC0" w:rsidRPr="1FDB3CBA">
        <w:rPr>
          <w:rFonts w:ascii="Times New Roman" w:hAnsi="Times New Roman" w:cs="Times New Roman"/>
          <w:lang w:val="en-AU"/>
        </w:rPr>
        <w:t>C</w:t>
      </w:r>
      <w:r w:rsidR="688FA479" w:rsidRPr="1FDB3CBA">
        <w:rPr>
          <w:rFonts w:ascii="Times New Roman" w:hAnsi="Times New Roman" w:cs="Times New Roman"/>
          <w:lang w:val="en-AU"/>
        </w:rPr>
        <w:t xml:space="preserve">Ms or DBMs are present (Figure </w:t>
      </w:r>
      <w:r w:rsidR="007A4833">
        <w:rPr>
          <w:rFonts w:ascii="Times New Roman" w:hAnsi="Times New Roman" w:cs="Times New Roman"/>
          <w:lang w:val="en-AU"/>
        </w:rPr>
        <w:t>4</w:t>
      </w:r>
      <w:r w:rsidR="007A4833" w:rsidRPr="1FDB3CBA">
        <w:rPr>
          <w:rFonts w:ascii="Times New Roman" w:hAnsi="Times New Roman" w:cs="Times New Roman"/>
          <w:lang w:val="en-AU"/>
        </w:rPr>
        <w:t>b</w:t>
      </w:r>
      <w:r w:rsidR="688FA479" w:rsidRPr="1FDB3CBA">
        <w:rPr>
          <w:rFonts w:ascii="Times New Roman" w:hAnsi="Times New Roman" w:cs="Times New Roman"/>
          <w:lang w:val="en-AU"/>
        </w:rPr>
        <w:t xml:space="preserve">). </w:t>
      </w:r>
      <w:r w:rsidR="5140AC6D" w:rsidRPr="1FDB3CBA">
        <w:rPr>
          <w:rFonts w:ascii="Times New Roman" w:hAnsi="Times New Roman" w:cs="Times New Roman"/>
          <w:lang w:val="en-AU"/>
        </w:rPr>
        <w:t xml:space="preserve">For </w:t>
      </w:r>
      <w:r w:rsidR="5AD8E35D" w:rsidRPr="1FDB3CBA">
        <w:rPr>
          <w:rFonts w:ascii="Times New Roman" w:hAnsi="Times New Roman" w:cs="Times New Roman"/>
        </w:rPr>
        <w:t xml:space="preserve">NPP (ALL), on average, mid-latitudes (45-60°S) are </w:t>
      </w:r>
      <w:r w:rsidR="00E75C21">
        <w:rPr>
          <w:rFonts w:ascii="Times New Roman" w:hAnsi="Times New Roman" w:cs="Times New Roman"/>
        </w:rPr>
        <w:t>more</w:t>
      </w:r>
      <w:r w:rsidR="00E75C21" w:rsidRPr="1FDB3CBA">
        <w:rPr>
          <w:rFonts w:ascii="Times New Roman" w:hAnsi="Times New Roman" w:cs="Times New Roman"/>
        </w:rPr>
        <w:t xml:space="preserve"> </w:t>
      </w:r>
      <w:r w:rsidR="5AD8E35D" w:rsidRPr="1FDB3CBA">
        <w:rPr>
          <w:rFonts w:ascii="Times New Roman" w:hAnsi="Times New Roman" w:cs="Times New Roman"/>
        </w:rPr>
        <w:t>productive than the region impacted by sea-ice (&gt;65°S</w:t>
      </w:r>
      <w:r w:rsidR="04551B8B" w:rsidRPr="1FDB3CBA">
        <w:rPr>
          <w:rFonts w:ascii="Times New Roman" w:hAnsi="Times New Roman" w:cs="Times New Roman"/>
        </w:rPr>
        <w:t xml:space="preserve">; Figure </w:t>
      </w:r>
      <w:r w:rsidR="007A4833">
        <w:rPr>
          <w:rFonts w:ascii="Times New Roman" w:hAnsi="Times New Roman" w:cs="Times New Roman"/>
        </w:rPr>
        <w:t>4</w:t>
      </w:r>
      <w:r w:rsidR="007A4833" w:rsidRPr="1FDB3CBA">
        <w:rPr>
          <w:rFonts w:ascii="Times New Roman" w:hAnsi="Times New Roman" w:cs="Times New Roman"/>
        </w:rPr>
        <w:t>c</w:t>
      </w:r>
      <w:r w:rsidR="5AD8E35D" w:rsidRPr="1FDB3CBA">
        <w:rPr>
          <w:rFonts w:ascii="Times New Roman" w:hAnsi="Times New Roman" w:cs="Times New Roman"/>
        </w:rPr>
        <w:t>)</w:t>
      </w:r>
      <w:r w:rsidR="5AC3E0B1" w:rsidRPr="1FDB3CBA">
        <w:rPr>
          <w:rFonts w:ascii="Times New Roman" w:hAnsi="Times New Roman" w:cs="Times New Roman"/>
        </w:rPr>
        <w:t>, where DCM</w:t>
      </w:r>
      <w:r w:rsidR="3507C1FC" w:rsidRPr="1FDB3CBA">
        <w:rPr>
          <w:rFonts w:ascii="Times New Roman" w:hAnsi="Times New Roman" w:cs="Times New Roman"/>
        </w:rPr>
        <w:t xml:space="preserve">s are </w:t>
      </w:r>
      <w:r w:rsidR="00E75C21">
        <w:rPr>
          <w:rFonts w:ascii="Times New Roman" w:hAnsi="Times New Roman" w:cs="Times New Roman"/>
        </w:rPr>
        <w:t>less</w:t>
      </w:r>
      <w:r w:rsidR="00E75C21" w:rsidRPr="1FDB3CBA">
        <w:rPr>
          <w:rFonts w:ascii="Times New Roman" w:hAnsi="Times New Roman" w:cs="Times New Roman"/>
        </w:rPr>
        <w:t xml:space="preserve"> </w:t>
      </w:r>
      <w:r w:rsidR="3507C1FC" w:rsidRPr="1FDB3CBA">
        <w:rPr>
          <w:rFonts w:ascii="Times New Roman" w:hAnsi="Times New Roman" w:cs="Times New Roman"/>
        </w:rPr>
        <w:t>common</w:t>
      </w:r>
      <w:r w:rsidR="5AC3E0B1" w:rsidRPr="1FDB3CBA">
        <w:rPr>
          <w:rFonts w:ascii="Times New Roman" w:hAnsi="Times New Roman" w:cs="Times New Roman"/>
        </w:rPr>
        <w:t xml:space="preserve"> </w:t>
      </w:r>
      <w:r w:rsidR="5AD8E35D" w:rsidRPr="1FDB3CBA">
        <w:rPr>
          <w:rFonts w:ascii="Times New Roman" w:hAnsi="Times New Roman" w:cs="Times New Roman"/>
        </w:rPr>
        <w:t>(Figure</w:t>
      </w:r>
      <w:r w:rsidR="4F0D8062" w:rsidRPr="1FDB3CBA">
        <w:rPr>
          <w:rFonts w:ascii="Times New Roman" w:hAnsi="Times New Roman" w:cs="Times New Roman"/>
        </w:rPr>
        <w:t xml:space="preserve"> 1</w:t>
      </w:r>
      <w:r w:rsidR="00E75C21">
        <w:rPr>
          <w:rFonts w:ascii="Times New Roman" w:hAnsi="Times New Roman" w:cs="Times New Roman"/>
        </w:rPr>
        <w:t xml:space="preserve">b, </w:t>
      </w:r>
      <w:r w:rsidR="007A4833">
        <w:rPr>
          <w:rFonts w:ascii="Times New Roman" w:hAnsi="Times New Roman" w:cs="Times New Roman"/>
        </w:rPr>
        <w:t>6b</w:t>
      </w:r>
      <w:r w:rsidR="5AD8E35D" w:rsidRPr="1FDB3CBA">
        <w:rPr>
          <w:rFonts w:ascii="Times New Roman" w:hAnsi="Times New Roman" w:cs="Times New Roman"/>
        </w:rPr>
        <w:t xml:space="preserve">).  The sea ice zone is impacted by ice cover, making it an annually low but seasonally highly productive area. </w:t>
      </w:r>
      <w:r w:rsidR="441D0D53" w:rsidRPr="1FDB3CBA">
        <w:rPr>
          <w:rFonts w:ascii="Times New Roman" w:hAnsi="Times New Roman" w:cs="Times New Roman"/>
          <w:lang w:val="en-AU"/>
        </w:rPr>
        <w:t xml:space="preserve">NPP estimates are higher, although not significantly, when using the mixed scenario compared to the depth-resolved scenario (see Methods, 2.3.), but </w:t>
      </w:r>
      <w:r w:rsidR="441D0D53" w:rsidRPr="1FDB3CBA">
        <w:rPr>
          <w:rFonts w:ascii="Times New Roman" w:hAnsi="Times New Roman" w:cs="Times New Roman"/>
        </w:rPr>
        <w:t>trends are similar (Table S3).</w:t>
      </w:r>
    </w:p>
    <w:p w14:paraId="2430457F" w14:textId="77777777" w:rsidR="00256FDE" w:rsidRPr="00BD4C7A" w:rsidRDefault="00256FDE" w:rsidP="00A8688C">
      <w:pPr>
        <w:pStyle w:val="ListParagraph"/>
        <w:snapToGrid w:val="0"/>
        <w:spacing w:line="360" w:lineRule="auto"/>
        <w:ind w:left="0"/>
        <w:contextualSpacing w:val="0"/>
        <w:jc w:val="both"/>
        <w:rPr>
          <w:rFonts w:ascii="Times New Roman" w:hAnsi="Times New Roman" w:cs="Times New Roman"/>
        </w:rPr>
      </w:pPr>
    </w:p>
    <w:p w14:paraId="2531D5CC" w14:textId="27E3A9DF" w:rsidR="00881F80" w:rsidRPr="00BD4C7A" w:rsidRDefault="1C00F2FA" w:rsidP="1FDB3CBA">
      <w:pPr>
        <w:pStyle w:val="ListParagraph"/>
        <w:snapToGrid w:val="0"/>
        <w:spacing w:line="360" w:lineRule="auto"/>
        <w:ind w:left="0"/>
        <w:jc w:val="both"/>
        <w:rPr>
          <w:rFonts w:ascii="Times New Roman" w:hAnsi="Times New Roman" w:cs="Times New Roman"/>
        </w:rPr>
      </w:pPr>
      <w:r w:rsidRPr="1FDB3CBA">
        <w:rPr>
          <w:rFonts w:ascii="Times New Roman" w:hAnsi="Times New Roman" w:cs="Times New Roman"/>
        </w:rPr>
        <w:t xml:space="preserve">Our NPP estimates agree with in-situ measurements of NPP from previous studies in the Southern Ocean </w:t>
      </w:r>
      <w:r w:rsidR="00026705">
        <w:rPr>
          <w:rFonts w:ascii="Times New Roman" w:hAnsi="Times New Roman" w:cs="Times New Roman"/>
        </w:rPr>
        <w:t xml:space="preserve">S of 30S </w:t>
      </w:r>
      <w:r w:rsidRPr="1FDB3CBA">
        <w:rPr>
          <w:rFonts w:ascii="Times New Roman" w:hAnsi="Times New Roman" w:cs="Times New Roman"/>
        </w:rPr>
        <w:t xml:space="preserve">(Figure </w:t>
      </w:r>
      <w:r w:rsidR="007A4833">
        <w:rPr>
          <w:rFonts w:ascii="Times New Roman" w:hAnsi="Times New Roman" w:cs="Times New Roman"/>
        </w:rPr>
        <w:t>4</w:t>
      </w:r>
      <w:r w:rsidR="007A4833" w:rsidRPr="1FDB3CBA">
        <w:rPr>
          <w:rFonts w:ascii="Times New Roman" w:hAnsi="Times New Roman" w:cs="Times New Roman"/>
        </w:rPr>
        <w:t>c</w:t>
      </w:r>
      <w:r w:rsidRPr="1FDB3CBA">
        <w:rPr>
          <w:rFonts w:ascii="Times New Roman" w:hAnsi="Times New Roman" w:cs="Times New Roman"/>
        </w:rPr>
        <w:t xml:space="preserve">). </w:t>
      </w:r>
      <w:proofErr w:type="gramStart"/>
      <w:r w:rsidRPr="1FDB3CBA">
        <w:rPr>
          <w:rFonts w:ascii="Times New Roman" w:hAnsi="Times New Roman" w:cs="Times New Roman"/>
        </w:rPr>
        <w:t>The majority of</w:t>
      </w:r>
      <w:proofErr w:type="gramEnd"/>
      <w:r w:rsidRPr="1FDB3CBA">
        <w:rPr>
          <w:rFonts w:ascii="Times New Roman" w:hAnsi="Times New Roman" w:cs="Times New Roman"/>
        </w:rPr>
        <w:t xml:space="preserve"> in-situ measurements were taken during the austral spring and summer</w:t>
      </w:r>
      <w:r w:rsidR="47D3CF4E" w:rsidRPr="1FDB3CBA">
        <w:rPr>
          <w:rFonts w:ascii="Times New Roman" w:hAnsi="Times New Roman" w:cs="Times New Roman"/>
        </w:rPr>
        <w:t>, when NPP is highest.</w:t>
      </w:r>
      <w:r w:rsidR="6ED3B036" w:rsidRPr="1FDB3CBA">
        <w:rPr>
          <w:rFonts w:ascii="Times New Roman" w:hAnsi="Times New Roman" w:cs="Times New Roman"/>
        </w:rPr>
        <w:t xml:space="preserve"> </w:t>
      </w:r>
      <w:r w:rsidR="4FE2C33B" w:rsidRPr="1FDB3CBA">
        <w:rPr>
          <w:rFonts w:ascii="Times New Roman" w:hAnsi="Times New Roman" w:cs="Times New Roman"/>
        </w:rPr>
        <w:t>Because our NPP and NPP</w:t>
      </w:r>
      <w:r w:rsidR="4FE2C33B" w:rsidRPr="1FDB3CBA">
        <w:rPr>
          <w:rFonts w:ascii="Times New Roman" w:hAnsi="Times New Roman" w:cs="Times New Roman"/>
          <w:vertAlign w:val="subscript"/>
        </w:rPr>
        <w:t>SUB</w:t>
      </w:r>
      <w:r w:rsidR="4FE2C33B" w:rsidRPr="1FDB3CBA">
        <w:rPr>
          <w:rFonts w:ascii="Times New Roman" w:hAnsi="Times New Roman" w:cs="Times New Roman"/>
        </w:rPr>
        <w:t xml:space="preserve"> estimates depend heavily on accurate MLD calculations, we compare our MLD values with the literature</w:t>
      </w:r>
      <w:r w:rsidR="487E03B9" w:rsidRPr="1FDB3CBA">
        <w:rPr>
          <w:rFonts w:ascii="Times New Roman" w:hAnsi="Times New Roman" w:cs="Times New Roman"/>
        </w:rPr>
        <w:t xml:space="preserve"> (see SI.1.)</w:t>
      </w:r>
      <w:r w:rsidR="4FE2C33B" w:rsidRPr="1FDB3CBA">
        <w:rPr>
          <w:rFonts w:ascii="Times New Roman" w:hAnsi="Times New Roman" w:cs="Times New Roman"/>
        </w:rPr>
        <w:t>. The observed distribution of MLDs (</w:t>
      </w:r>
      <w:r w:rsidR="303BBAEB" w:rsidRPr="1FDB3CBA">
        <w:rPr>
          <w:rFonts w:ascii="Times New Roman" w:hAnsi="Times New Roman" w:cs="Times New Roman"/>
        </w:rPr>
        <w:t xml:space="preserve">Figure </w:t>
      </w:r>
      <w:r w:rsidR="007A4833">
        <w:rPr>
          <w:rFonts w:ascii="Times New Roman" w:hAnsi="Times New Roman" w:cs="Times New Roman"/>
        </w:rPr>
        <w:t>6</w:t>
      </w:r>
      <w:r w:rsidR="007A4833" w:rsidRPr="1FDB3CBA">
        <w:rPr>
          <w:rFonts w:ascii="Times New Roman" w:hAnsi="Times New Roman" w:cs="Times New Roman"/>
        </w:rPr>
        <w:t>a</w:t>
      </w:r>
      <w:r w:rsidR="303BBAEB" w:rsidRPr="1FDB3CBA">
        <w:rPr>
          <w:rFonts w:ascii="Times New Roman" w:hAnsi="Times New Roman" w:cs="Times New Roman"/>
        </w:rPr>
        <w:t xml:space="preserve">; </w:t>
      </w:r>
      <w:r w:rsidR="4FE2C33B" w:rsidRPr="1FDB3CBA">
        <w:rPr>
          <w:rFonts w:ascii="Times New Roman" w:hAnsi="Times New Roman" w:cs="Times New Roman"/>
        </w:rPr>
        <w:t xml:space="preserve">Figure </w:t>
      </w:r>
      <w:r w:rsidR="6DC75B42" w:rsidRPr="1FDB3CBA">
        <w:rPr>
          <w:rFonts w:ascii="Times New Roman" w:hAnsi="Times New Roman" w:cs="Times New Roman"/>
        </w:rPr>
        <w:t>S1</w:t>
      </w:r>
      <w:r w:rsidR="507FCC0A" w:rsidRPr="1FDB3CBA">
        <w:rPr>
          <w:rFonts w:ascii="Times New Roman" w:hAnsi="Times New Roman" w:cs="Times New Roman"/>
        </w:rPr>
        <w:t>-S4</w:t>
      </w:r>
      <w:r w:rsidR="4FE2C33B" w:rsidRPr="1FDB3CBA">
        <w:rPr>
          <w:rFonts w:ascii="Times New Roman" w:hAnsi="Times New Roman" w:cs="Times New Roman"/>
        </w:rPr>
        <w:t xml:space="preserve">) is consistent with other studies using the density method (Table S1). </w:t>
      </w:r>
    </w:p>
    <w:p w14:paraId="6C28BBC5" w14:textId="77777777" w:rsidR="008830AF" w:rsidRDefault="008830AF" w:rsidP="00941621">
      <w:pPr>
        <w:pStyle w:val="ListParagraph"/>
        <w:snapToGrid w:val="0"/>
        <w:spacing w:line="360" w:lineRule="auto"/>
        <w:ind w:left="0"/>
        <w:contextualSpacing w:val="0"/>
        <w:jc w:val="both"/>
        <w:rPr>
          <w:rFonts w:ascii="Times New Roman" w:hAnsi="Times New Roman" w:cs="Times New Roman"/>
          <w:lang w:val="en-AU"/>
        </w:rPr>
      </w:pPr>
    </w:p>
    <w:p w14:paraId="2743D219" w14:textId="67927CBB" w:rsidR="0032742F" w:rsidRPr="00AC1AD8" w:rsidRDefault="00C35AB4" w:rsidP="0032742F">
      <w:pPr>
        <w:pStyle w:val="ListParagraph"/>
        <w:snapToGrid w:val="0"/>
        <w:spacing w:line="360" w:lineRule="auto"/>
        <w:ind w:left="0"/>
        <w:contextualSpacing w:val="0"/>
        <w:jc w:val="both"/>
        <w:rPr>
          <w:rFonts w:ascii="Times New Roman" w:hAnsi="Times New Roman" w:cs="Times New Roman"/>
          <w:lang w:val="en-AU"/>
        </w:rPr>
      </w:pPr>
      <w:r>
        <w:rPr>
          <w:rFonts w:ascii="Times New Roman" w:hAnsi="Times New Roman" w:cs="Times New Roman"/>
          <w:noProof/>
          <w:lang w:val="en-AU"/>
        </w:rPr>
        <w:lastRenderedPageBreak/>
        <w:drawing>
          <wp:inline distT="0" distB="0" distL="0" distR="0" wp14:anchorId="0792C32E" wp14:editId="2F44325A">
            <wp:extent cx="6162149" cy="5116945"/>
            <wp:effectExtent l="0" t="0" r="0" b="1270"/>
            <wp:docPr id="17841617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161743" name="Picture 1784161743"/>
                    <pic:cNvPicPr/>
                  </pic:nvPicPr>
                  <pic:blipFill rotWithShape="1">
                    <a:blip r:embed="rId14">
                      <a:extLst>
                        <a:ext uri="{28A0092B-C50C-407E-A947-70E740481C1C}">
                          <a14:useLocalDpi xmlns:a14="http://schemas.microsoft.com/office/drawing/2010/main" val="0"/>
                        </a:ext>
                      </a:extLst>
                    </a:blip>
                    <a:srcRect l="11766" t="11176" r="24581" b="14023"/>
                    <a:stretch/>
                  </pic:blipFill>
                  <pic:spPr bwMode="auto">
                    <a:xfrm>
                      <a:off x="0" y="0"/>
                      <a:ext cx="6170975" cy="5124274"/>
                    </a:xfrm>
                    <a:prstGeom prst="rect">
                      <a:avLst/>
                    </a:prstGeom>
                    <a:ln>
                      <a:noFill/>
                    </a:ln>
                    <a:extLst>
                      <a:ext uri="{53640926-AAD7-44D8-BBD7-CCE9431645EC}">
                        <a14:shadowObscured xmlns:a14="http://schemas.microsoft.com/office/drawing/2010/main"/>
                      </a:ext>
                    </a:extLst>
                  </pic:spPr>
                </pic:pic>
              </a:graphicData>
            </a:graphic>
          </wp:inline>
        </w:drawing>
      </w:r>
    </w:p>
    <w:p w14:paraId="6FDFD6C8" w14:textId="546C7735" w:rsidR="0032742F" w:rsidRDefault="146FEBFC" w:rsidP="0032742F">
      <w:pPr>
        <w:snapToGrid w:val="0"/>
        <w:spacing w:line="360" w:lineRule="auto"/>
        <w:jc w:val="both"/>
      </w:pPr>
      <w:r>
        <w:t xml:space="preserve">Figure </w:t>
      </w:r>
      <w:r w:rsidR="007A4833">
        <w:t>4</w:t>
      </w:r>
      <w:r>
        <w:t xml:space="preserve">. (a) </w:t>
      </w:r>
      <w:r w:rsidR="6864651B">
        <w:t>D</w:t>
      </w:r>
      <w:r>
        <w:t xml:space="preserve">ata distribution of total integrated NPP </w:t>
      </w:r>
      <w:r w:rsidR="068AD234">
        <w:t xml:space="preserve">for </w:t>
      </w:r>
      <w:r>
        <w:t xml:space="preserve">all profiles (purple), profiles with a DCM (green), and profiles with a DBM (blue) shown as % of </w:t>
      </w:r>
      <w:r w:rsidR="63FB9B55">
        <w:t xml:space="preserve">all </w:t>
      </w:r>
      <w:r>
        <w:t>profiles</w:t>
      </w:r>
      <w:r w:rsidR="24FFA6FD">
        <w:t xml:space="preserve"> of each type</w:t>
      </w:r>
      <w:r>
        <w:t xml:space="preserve">. </w:t>
      </w:r>
      <w:r w:rsidR="61D38599">
        <w:t xml:space="preserve">(b) </w:t>
      </w:r>
      <w:r>
        <w:t xml:space="preserve">The seasonal cycles with monthly means for total integrated NPP for the three data sets: ALL (purple), with a DCM (green), and with a DBM (blue). </w:t>
      </w:r>
      <w:r w:rsidR="4A7472EE">
        <w:t xml:space="preserve">(c) </w:t>
      </w:r>
      <w:r>
        <w:t>Annual means of NPP (bars) and standard deviation (error bars) for each frontal zone in the Southern Ocean</w:t>
      </w:r>
      <w:r w:rsidR="00026705">
        <w:t xml:space="preserve"> </w:t>
      </w:r>
      <w:r w:rsidR="003F5090">
        <w:t>south</w:t>
      </w:r>
      <w:r w:rsidR="00026705">
        <w:t xml:space="preserve"> of 30S</w:t>
      </w:r>
      <w:r>
        <w:t>, compared to total NPP estimates from other studies. The grey bars and red filled triangles correspond to our annual means for each frontal zone and summer mean for all data across the Southern Ocean, respectively. The Arteaga NPP estimates are based on BGC-Argo float profiles following the same methods as in this study. Because no annual means or overall means are reported in their study, we take estimates based on their Figure 9, where NPP estimates range from &lt;100 to &gt;800 mg C m</w:t>
      </w:r>
      <w:r w:rsidRPr="1FDB3CBA">
        <w:rPr>
          <w:vertAlign w:val="superscript"/>
        </w:rPr>
        <w:t>-2</w:t>
      </w:r>
      <w:r>
        <w:t xml:space="preserve"> day</w:t>
      </w:r>
      <w:r w:rsidRPr="1FDB3CBA">
        <w:rPr>
          <w:vertAlign w:val="superscript"/>
        </w:rPr>
        <w:t>-1</w:t>
      </w:r>
      <w:r>
        <w:t xml:space="preserve"> </w:t>
      </w:r>
      <w:proofErr w:type="gramStart"/>
      <w:r>
        <w:t>annually, and</w:t>
      </w:r>
      <w:proofErr w:type="gramEnd"/>
      <w:r>
        <w:t xml:space="preserve"> can reach 2000 mg C m</w:t>
      </w:r>
      <w:r w:rsidRPr="1FDB3CBA">
        <w:rPr>
          <w:vertAlign w:val="superscript"/>
        </w:rPr>
        <w:t>-2</w:t>
      </w:r>
      <w:r>
        <w:t xml:space="preserve"> day</w:t>
      </w:r>
      <w:r w:rsidRPr="1FDB3CBA">
        <w:rPr>
          <w:vertAlign w:val="superscript"/>
        </w:rPr>
        <w:t>-1</w:t>
      </w:r>
      <w:r>
        <w:t xml:space="preserve">, agreeing with our estimates. Other estimates are from mostly summer </w:t>
      </w:r>
      <w:r w:rsidRPr="1FDB3CBA">
        <w:rPr>
          <w:vertAlign w:val="superscript"/>
        </w:rPr>
        <w:t>14</w:t>
      </w:r>
      <w:r>
        <w:t xml:space="preserve">C incubations. </w:t>
      </w:r>
      <w:r w:rsidR="009B6015">
        <w:t>The DCM occurrence for each month is shown in panel d).</w:t>
      </w:r>
    </w:p>
    <w:p w14:paraId="00E06E01" w14:textId="77777777" w:rsidR="0032742F" w:rsidRDefault="0032742F" w:rsidP="00941621">
      <w:pPr>
        <w:pStyle w:val="ListParagraph"/>
        <w:snapToGrid w:val="0"/>
        <w:spacing w:line="360" w:lineRule="auto"/>
        <w:ind w:left="0"/>
        <w:contextualSpacing w:val="0"/>
        <w:jc w:val="both"/>
        <w:rPr>
          <w:rFonts w:ascii="Times New Roman" w:hAnsi="Times New Roman" w:cs="Times New Roman"/>
          <w:lang w:val="en-AU"/>
        </w:rPr>
      </w:pPr>
    </w:p>
    <w:p w14:paraId="0A66E436" w14:textId="4E4EB679" w:rsidR="00FE5EFC" w:rsidRPr="00D17517" w:rsidRDefault="00FE5EFC" w:rsidP="00FE5EFC">
      <w:pPr>
        <w:snapToGrid w:val="0"/>
        <w:spacing w:line="360" w:lineRule="auto"/>
        <w:jc w:val="both"/>
        <w:rPr>
          <w:b/>
          <w:bCs/>
        </w:rPr>
      </w:pPr>
      <w:r w:rsidRPr="00D17517">
        <w:rPr>
          <w:b/>
          <w:bCs/>
        </w:rPr>
        <w:lastRenderedPageBreak/>
        <w:t>3.2.2. Deep chlorophyll and biomass maxima increase the contribution of subsurface NPP to total NPP</w:t>
      </w:r>
    </w:p>
    <w:p w14:paraId="4E82D89C" w14:textId="77777777" w:rsidR="00FE5EFC" w:rsidRDefault="00FE5EFC" w:rsidP="00941621">
      <w:pPr>
        <w:pStyle w:val="ListParagraph"/>
        <w:snapToGrid w:val="0"/>
        <w:spacing w:line="360" w:lineRule="auto"/>
        <w:ind w:left="0"/>
        <w:contextualSpacing w:val="0"/>
        <w:jc w:val="both"/>
        <w:rPr>
          <w:rFonts w:ascii="Times New Roman" w:hAnsi="Times New Roman" w:cs="Times New Roman"/>
          <w:lang w:val="en-AU"/>
        </w:rPr>
      </w:pPr>
    </w:p>
    <w:p w14:paraId="4E8EB4D7" w14:textId="2F4E3293" w:rsidR="006D664B" w:rsidRDefault="65CE28EB" w:rsidP="1FDB3CBA">
      <w:pPr>
        <w:pStyle w:val="ListParagraph"/>
        <w:snapToGrid w:val="0"/>
        <w:spacing w:line="360" w:lineRule="auto"/>
        <w:ind w:left="0"/>
        <w:jc w:val="both"/>
        <w:rPr>
          <w:rFonts w:ascii="Times New Roman" w:hAnsi="Times New Roman" w:cs="Times New Roman"/>
          <w:lang w:val="en-AU"/>
        </w:rPr>
      </w:pPr>
      <w:r w:rsidRPr="1FDB3CBA">
        <w:rPr>
          <w:rFonts w:ascii="Times New Roman" w:hAnsi="Times New Roman" w:cs="Times New Roman"/>
          <w:lang w:val="en-AU"/>
        </w:rPr>
        <w:t xml:space="preserve">Profiles with a DCM and a DBM had significantly higher NPP below the mixed </w:t>
      </w:r>
      <w:r w:rsidR="75235038" w:rsidRPr="1FDB3CBA">
        <w:rPr>
          <w:rFonts w:ascii="Times New Roman" w:hAnsi="Times New Roman" w:cs="Times New Roman"/>
          <w:lang w:val="en-AU"/>
        </w:rPr>
        <w:t>layer compared</w:t>
      </w:r>
      <w:r w:rsidR="68B941FC" w:rsidRPr="1FDB3CBA">
        <w:rPr>
          <w:rFonts w:ascii="Times New Roman" w:hAnsi="Times New Roman" w:cs="Times New Roman"/>
          <w:lang w:val="en-AU"/>
        </w:rPr>
        <w:t xml:space="preserve"> to all profiles together, with and without DCMs/DBM</w:t>
      </w:r>
      <w:r w:rsidR="574A7787" w:rsidRPr="1FDB3CBA">
        <w:rPr>
          <w:rFonts w:ascii="Times New Roman" w:hAnsi="Times New Roman" w:cs="Times New Roman"/>
          <w:lang w:val="en-AU"/>
        </w:rPr>
        <w:t xml:space="preserve">s (Figure </w:t>
      </w:r>
      <w:r w:rsidR="007A4833">
        <w:rPr>
          <w:rFonts w:ascii="Times New Roman" w:hAnsi="Times New Roman" w:cs="Times New Roman"/>
          <w:lang w:val="en-AU"/>
        </w:rPr>
        <w:t>5</w:t>
      </w:r>
      <w:r w:rsidR="574A7787" w:rsidRPr="1FDB3CBA">
        <w:rPr>
          <w:rFonts w:ascii="Times New Roman" w:hAnsi="Times New Roman" w:cs="Times New Roman"/>
          <w:lang w:val="en-AU"/>
        </w:rPr>
        <w:t>; Table S2)</w:t>
      </w:r>
      <w:r w:rsidRPr="1FDB3CBA">
        <w:rPr>
          <w:rFonts w:ascii="Times New Roman" w:hAnsi="Times New Roman" w:cs="Times New Roman"/>
          <w:lang w:val="en-AU"/>
        </w:rPr>
        <w:t xml:space="preserve">. </w:t>
      </w:r>
      <w:r w:rsidRPr="1FDB3CBA">
        <w:rPr>
          <w:rFonts w:ascii="Times New Roman" w:hAnsi="Times New Roman" w:cs="Times New Roman"/>
        </w:rPr>
        <w:t>NPP</w:t>
      </w:r>
      <w:r w:rsidRPr="1FDB3CBA">
        <w:rPr>
          <w:rFonts w:ascii="Times New Roman" w:hAnsi="Times New Roman" w:cs="Times New Roman"/>
          <w:vertAlign w:val="subscript"/>
        </w:rPr>
        <w:t>SUB</w:t>
      </w:r>
      <w:r w:rsidRPr="1FDB3CBA">
        <w:rPr>
          <w:rFonts w:ascii="Times New Roman" w:hAnsi="Times New Roman" w:cs="Times New Roman"/>
          <w:lang w:val="en-AU"/>
        </w:rPr>
        <w:t xml:space="preserve">(DCM) and </w:t>
      </w:r>
      <w:r w:rsidRPr="1FDB3CBA">
        <w:rPr>
          <w:rFonts w:ascii="Times New Roman" w:hAnsi="Times New Roman" w:cs="Times New Roman"/>
        </w:rPr>
        <w:t>NPP</w:t>
      </w:r>
      <w:r w:rsidRPr="1FDB3CBA">
        <w:rPr>
          <w:rFonts w:ascii="Times New Roman" w:hAnsi="Times New Roman" w:cs="Times New Roman"/>
          <w:vertAlign w:val="subscript"/>
        </w:rPr>
        <w:t>SUB</w:t>
      </w:r>
      <w:r w:rsidRPr="1FDB3CBA">
        <w:rPr>
          <w:rFonts w:ascii="Times New Roman" w:hAnsi="Times New Roman" w:cs="Times New Roman"/>
          <w:lang w:val="en-AU"/>
        </w:rPr>
        <w:t>(DBM) were 153 ± 108 and 161 ± 113 mg C m</w:t>
      </w:r>
      <w:r w:rsidRPr="1FDB3CBA">
        <w:rPr>
          <w:rFonts w:ascii="Times New Roman" w:hAnsi="Times New Roman" w:cs="Times New Roman"/>
          <w:vertAlign w:val="superscript"/>
          <w:lang w:val="en-AU"/>
        </w:rPr>
        <w:t>-2</w:t>
      </w:r>
      <w:r w:rsidRPr="1FDB3CBA">
        <w:rPr>
          <w:rFonts w:ascii="Times New Roman" w:hAnsi="Times New Roman" w:cs="Times New Roman"/>
          <w:lang w:val="en-AU"/>
        </w:rPr>
        <w:t xml:space="preserve"> day</w:t>
      </w:r>
      <w:r w:rsidRPr="1FDB3CBA">
        <w:rPr>
          <w:rFonts w:ascii="Times New Roman" w:hAnsi="Times New Roman" w:cs="Times New Roman"/>
          <w:vertAlign w:val="superscript"/>
          <w:lang w:val="en-AU"/>
        </w:rPr>
        <w:t>-1</w:t>
      </w:r>
      <w:r w:rsidRPr="1FDB3CBA">
        <w:rPr>
          <w:rFonts w:ascii="Times New Roman" w:hAnsi="Times New Roman" w:cs="Times New Roman"/>
          <w:lang w:val="en-AU"/>
        </w:rPr>
        <w:t xml:space="preserve"> respectively </w:t>
      </w:r>
      <w:r w:rsidR="2163A40C" w:rsidRPr="1FDB3CBA">
        <w:rPr>
          <w:rFonts w:ascii="Times New Roman" w:hAnsi="Times New Roman" w:cs="Times New Roman"/>
          <w:lang w:val="en-AU"/>
        </w:rPr>
        <w:t xml:space="preserve">and </w:t>
      </w:r>
      <w:r w:rsidRPr="1FDB3CBA">
        <w:rPr>
          <w:rFonts w:ascii="Times New Roman" w:hAnsi="Times New Roman" w:cs="Times New Roman"/>
          <w:lang w:val="en-AU"/>
        </w:rPr>
        <w:t>NPP</w:t>
      </w:r>
      <w:r w:rsidRPr="1FDB3CBA">
        <w:rPr>
          <w:rFonts w:ascii="Times New Roman" w:hAnsi="Times New Roman" w:cs="Times New Roman"/>
          <w:vertAlign w:val="subscript"/>
          <w:lang w:val="en-AU"/>
        </w:rPr>
        <w:t>SUB</w:t>
      </w:r>
      <w:r w:rsidRPr="1FDB3CBA">
        <w:rPr>
          <w:rFonts w:ascii="Times New Roman" w:hAnsi="Times New Roman" w:cs="Times New Roman"/>
          <w:lang w:val="en-AU"/>
        </w:rPr>
        <w:t xml:space="preserve"> for all profiles combined</w:t>
      </w:r>
      <w:r w:rsidR="75235038" w:rsidRPr="1FDB3CBA">
        <w:rPr>
          <w:rFonts w:ascii="Times New Roman" w:hAnsi="Times New Roman" w:cs="Times New Roman"/>
          <w:lang w:val="en-AU"/>
        </w:rPr>
        <w:t xml:space="preserve">, </w:t>
      </w:r>
      <w:r w:rsidRPr="1FDB3CBA">
        <w:rPr>
          <w:rFonts w:ascii="Times New Roman" w:hAnsi="Times New Roman" w:cs="Times New Roman"/>
        </w:rPr>
        <w:t>NPP</w:t>
      </w:r>
      <w:r w:rsidRPr="1FDB3CBA">
        <w:rPr>
          <w:rFonts w:ascii="Times New Roman" w:hAnsi="Times New Roman" w:cs="Times New Roman"/>
          <w:vertAlign w:val="subscript"/>
        </w:rPr>
        <w:t>SUB</w:t>
      </w:r>
      <w:r w:rsidRPr="1FDB3CBA">
        <w:rPr>
          <w:rFonts w:ascii="Times New Roman" w:hAnsi="Times New Roman" w:cs="Times New Roman"/>
          <w:lang w:val="en-AU"/>
        </w:rPr>
        <w:t>(ALL)</w:t>
      </w:r>
      <w:r w:rsidR="75235038" w:rsidRPr="1FDB3CBA">
        <w:rPr>
          <w:rFonts w:ascii="Times New Roman" w:hAnsi="Times New Roman" w:cs="Times New Roman"/>
          <w:lang w:val="en-AU"/>
        </w:rPr>
        <w:t>,</w:t>
      </w:r>
      <w:r w:rsidR="2163A40C" w:rsidRPr="1FDB3CBA">
        <w:rPr>
          <w:rFonts w:ascii="Times New Roman" w:hAnsi="Times New Roman" w:cs="Times New Roman"/>
          <w:lang w:val="en-AU"/>
        </w:rPr>
        <w:t xml:space="preserve"> was</w:t>
      </w:r>
      <w:r w:rsidRPr="1FDB3CBA">
        <w:rPr>
          <w:rFonts w:ascii="Times New Roman" w:hAnsi="Times New Roman" w:cs="Times New Roman"/>
          <w:lang w:val="en-AU"/>
        </w:rPr>
        <w:t xml:space="preserve"> 21 ±103 mg C m</w:t>
      </w:r>
      <w:r w:rsidRPr="1FDB3CBA">
        <w:rPr>
          <w:rFonts w:ascii="Times New Roman" w:hAnsi="Times New Roman" w:cs="Times New Roman"/>
          <w:vertAlign w:val="superscript"/>
          <w:lang w:val="en-AU"/>
        </w:rPr>
        <w:t>-2</w:t>
      </w:r>
      <w:r w:rsidRPr="1FDB3CBA">
        <w:rPr>
          <w:rFonts w:ascii="Times New Roman" w:hAnsi="Times New Roman" w:cs="Times New Roman"/>
          <w:lang w:val="en-AU"/>
        </w:rPr>
        <w:t xml:space="preserve"> day</w:t>
      </w:r>
      <w:r w:rsidRPr="1FDB3CBA">
        <w:rPr>
          <w:rFonts w:ascii="Times New Roman" w:hAnsi="Times New Roman" w:cs="Times New Roman"/>
          <w:vertAlign w:val="superscript"/>
          <w:lang w:val="en-AU"/>
        </w:rPr>
        <w:t>-1</w:t>
      </w:r>
      <w:r w:rsidRPr="1FDB3CBA">
        <w:rPr>
          <w:rFonts w:ascii="Times New Roman" w:hAnsi="Times New Roman" w:cs="Times New Roman"/>
          <w:lang w:val="en-AU"/>
        </w:rPr>
        <w:t xml:space="preserve">; </w:t>
      </w:r>
      <w:r w:rsidR="75235038" w:rsidRPr="1FDB3CBA">
        <w:rPr>
          <w:rFonts w:ascii="Times New Roman" w:hAnsi="Times New Roman" w:cs="Times New Roman"/>
          <w:lang w:val="en-AU"/>
        </w:rPr>
        <w:t>Table S2</w:t>
      </w:r>
      <w:r w:rsidRPr="1FDB3CBA">
        <w:rPr>
          <w:rFonts w:ascii="Times New Roman" w:hAnsi="Times New Roman" w:cs="Times New Roman"/>
          <w:lang w:val="en-AU"/>
        </w:rPr>
        <w:t xml:space="preserve">). </w:t>
      </w:r>
      <w:r w:rsidR="007D3AD2">
        <w:rPr>
          <w:rFonts w:ascii="Times New Roman" w:hAnsi="Times New Roman" w:cs="Times New Roman"/>
          <w:lang w:val="en-AU"/>
        </w:rPr>
        <w:t>P</w:t>
      </w:r>
      <w:r w:rsidR="007D3AD2" w:rsidRPr="1FDB3CBA">
        <w:rPr>
          <w:rFonts w:ascii="Times New Roman" w:hAnsi="Times New Roman" w:cs="Times New Roman"/>
          <w:lang w:val="en-AU"/>
        </w:rPr>
        <w:t xml:space="preserve">rofiles with a DBM had significantly higher </w:t>
      </w:r>
      <w:r w:rsidR="007D3AD2" w:rsidRPr="1FDB3CBA">
        <w:rPr>
          <w:rFonts w:ascii="Times New Roman" w:hAnsi="Times New Roman" w:cs="Times New Roman"/>
        </w:rPr>
        <w:t>NPP</w:t>
      </w:r>
      <w:r w:rsidR="007D3AD2" w:rsidRPr="1FDB3CBA">
        <w:rPr>
          <w:rFonts w:ascii="Times New Roman" w:hAnsi="Times New Roman" w:cs="Times New Roman"/>
          <w:vertAlign w:val="subscript"/>
        </w:rPr>
        <w:t>SUB</w:t>
      </w:r>
      <w:r w:rsidR="007D3AD2" w:rsidRPr="1FDB3CBA">
        <w:rPr>
          <w:rFonts w:ascii="Times New Roman" w:hAnsi="Times New Roman" w:cs="Times New Roman"/>
          <w:lang w:val="en-AU"/>
        </w:rPr>
        <w:t>(DBM) than profiles with a DCM only (</w:t>
      </w:r>
      <w:r w:rsidR="007D3AD2" w:rsidRPr="1FDB3CBA">
        <w:rPr>
          <w:rFonts w:ascii="Times New Roman" w:hAnsi="Times New Roman" w:cs="Times New Roman"/>
        </w:rPr>
        <w:t>NPP</w:t>
      </w:r>
      <w:r w:rsidR="007D3AD2" w:rsidRPr="1FDB3CBA">
        <w:rPr>
          <w:rFonts w:ascii="Times New Roman" w:hAnsi="Times New Roman" w:cs="Times New Roman"/>
          <w:vertAlign w:val="subscript"/>
        </w:rPr>
        <w:t>SUB</w:t>
      </w:r>
      <w:r w:rsidR="007D3AD2" w:rsidRPr="1FDB3CBA">
        <w:rPr>
          <w:rFonts w:ascii="Times New Roman" w:hAnsi="Times New Roman" w:cs="Times New Roman"/>
          <w:lang w:val="en-AU"/>
        </w:rPr>
        <w:t xml:space="preserve">(DCM); Kruskal-Wallis p&lt;0.05; Figure </w:t>
      </w:r>
      <w:r w:rsidR="007A4833">
        <w:rPr>
          <w:rFonts w:ascii="Times New Roman" w:hAnsi="Times New Roman" w:cs="Times New Roman"/>
          <w:lang w:val="en-AU"/>
        </w:rPr>
        <w:t>5</w:t>
      </w:r>
      <w:r w:rsidR="007A4833" w:rsidRPr="1FDB3CBA">
        <w:rPr>
          <w:rFonts w:ascii="Times New Roman" w:hAnsi="Times New Roman" w:cs="Times New Roman"/>
          <w:lang w:val="en-AU"/>
        </w:rPr>
        <w:t>c</w:t>
      </w:r>
      <w:r w:rsidR="007D3AD2" w:rsidRPr="1FDB3CBA">
        <w:rPr>
          <w:rFonts w:ascii="Times New Roman" w:hAnsi="Times New Roman" w:cs="Times New Roman"/>
          <w:lang w:val="en-AU"/>
        </w:rPr>
        <w:t xml:space="preserve">). </w:t>
      </w:r>
      <w:r w:rsidR="007D3AD2">
        <w:rPr>
          <w:rFonts w:ascii="Times New Roman" w:hAnsi="Times New Roman" w:cs="Times New Roman"/>
        </w:rPr>
        <w:t xml:space="preserve">Similarly, </w:t>
      </w:r>
      <w:r w:rsidR="007D3AD2" w:rsidRPr="1FDB3CBA">
        <w:rPr>
          <w:rFonts w:ascii="Times New Roman" w:hAnsi="Times New Roman" w:cs="Times New Roman"/>
          <w:lang w:val="en-AU"/>
        </w:rPr>
        <w:t>NPP</w:t>
      </w:r>
      <w:r w:rsidR="007D3AD2" w:rsidRPr="1FDB3CBA">
        <w:rPr>
          <w:rFonts w:ascii="Times New Roman" w:hAnsi="Times New Roman" w:cs="Times New Roman"/>
          <w:vertAlign w:val="subscript"/>
          <w:lang w:val="en-AU"/>
        </w:rPr>
        <w:t>D</w:t>
      </w:r>
      <w:r w:rsidR="007D3AD2">
        <w:rPr>
          <w:rFonts w:ascii="Times New Roman" w:hAnsi="Times New Roman" w:cs="Times New Roman"/>
          <w:vertAlign w:val="subscript"/>
          <w:lang w:val="en-AU"/>
        </w:rPr>
        <w:t>B</w:t>
      </w:r>
      <w:r w:rsidR="007D3AD2" w:rsidRPr="1FDB3CBA">
        <w:rPr>
          <w:rFonts w:ascii="Times New Roman" w:hAnsi="Times New Roman" w:cs="Times New Roman"/>
          <w:vertAlign w:val="subscript"/>
          <w:lang w:val="en-AU"/>
        </w:rPr>
        <w:t>M</w:t>
      </w:r>
      <w:r w:rsidR="007D3AD2" w:rsidRPr="1FDB3CBA">
        <w:rPr>
          <w:rFonts w:ascii="Times New Roman" w:hAnsi="Times New Roman" w:cs="Times New Roman"/>
          <w:lang w:val="en-AU"/>
        </w:rPr>
        <w:t xml:space="preserve"> was </w:t>
      </w:r>
      <w:r w:rsidR="007D3AD2">
        <w:rPr>
          <w:rFonts w:ascii="Times New Roman" w:hAnsi="Times New Roman" w:cs="Times New Roman"/>
          <w:lang w:val="en-AU"/>
        </w:rPr>
        <w:t>higher</w:t>
      </w:r>
      <w:r w:rsidR="007D3AD2" w:rsidRPr="1FDB3CBA">
        <w:rPr>
          <w:rFonts w:ascii="Times New Roman" w:hAnsi="Times New Roman" w:cs="Times New Roman"/>
          <w:lang w:val="en-AU"/>
        </w:rPr>
        <w:t xml:space="preserve"> than NPP</w:t>
      </w:r>
      <w:r w:rsidR="007D3AD2" w:rsidRPr="1FDB3CBA">
        <w:rPr>
          <w:rFonts w:ascii="Times New Roman" w:hAnsi="Times New Roman" w:cs="Times New Roman"/>
          <w:vertAlign w:val="subscript"/>
          <w:lang w:val="en-AU"/>
        </w:rPr>
        <w:t>D</w:t>
      </w:r>
      <w:r w:rsidR="007D3AD2">
        <w:rPr>
          <w:rFonts w:ascii="Times New Roman" w:hAnsi="Times New Roman" w:cs="Times New Roman"/>
          <w:vertAlign w:val="subscript"/>
          <w:lang w:val="en-AU"/>
        </w:rPr>
        <w:t>C</w:t>
      </w:r>
      <w:r w:rsidR="007D3AD2" w:rsidRPr="1FDB3CBA">
        <w:rPr>
          <w:rFonts w:ascii="Times New Roman" w:hAnsi="Times New Roman" w:cs="Times New Roman"/>
          <w:vertAlign w:val="subscript"/>
          <w:lang w:val="en-AU"/>
        </w:rPr>
        <w:t>M</w:t>
      </w:r>
      <w:r w:rsidR="007D3AD2" w:rsidRPr="1FDB3CBA">
        <w:rPr>
          <w:rFonts w:ascii="Times New Roman" w:hAnsi="Times New Roman" w:cs="Times New Roman"/>
          <w:lang w:val="en-AU"/>
        </w:rPr>
        <w:t xml:space="preserve"> (Figure </w:t>
      </w:r>
      <w:r w:rsidR="007A4833">
        <w:rPr>
          <w:rFonts w:ascii="Times New Roman" w:hAnsi="Times New Roman" w:cs="Times New Roman"/>
          <w:lang w:val="en-AU"/>
        </w:rPr>
        <w:t>5</w:t>
      </w:r>
      <w:r w:rsidR="007A4833" w:rsidRPr="1FDB3CBA">
        <w:rPr>
          <w:rFonts w:ascii="Times New Roman" w:hAnsi="Times New Roman" w:cs="Times New Roman"/>
          <w:lang w:val="en-AU"/>
        </w:rPr>
        <w:t>b</w:t>
      </w:r>
      <w:r w:rsidR="007D3AD2" w:rsidRPr="1FDB3CBA">
        <w:rPr>
          <w:rFonts w:ascii="Times New Roman" w:hAnsi="Times New Roman" w:cs="Times New Roman"/>
          <w:lang w:val="en-AU"/>
        </w:rPr>
        <w:t xml:space="preserve">), but not significantly (86 ±124 </w:t>
      </w:r>
      <w:r w:rsidR="007D3AD2">
        <w:rPr>
          <w:rFonts w:ascii="Times New Roman" w:hAnsi="Times New Roman" w:cs="Times New Roman"/>
          <w:lang w:val="en-AU"/>
        </w:rPr>
        <w:t xml:space="preserve">vs. </w:t>
      </w:r>
      <w:r w:rsidR="007D3AD2" w:rsidRPr="1FDB3CBA">
        <w:rPr>
          <w:rFonts w:ascii="Times New Roman" w:hAnsi="Times New Roman" w:cs="Times New Roman"/>
          <w:lang w:val="en-AU"/>
        </w:rPr>
        <w:t>57 ±118 mg C m</w:t>
      </w:r>
      <w:r w:rsidR="007D3AD2" w:rsidRPr="1FDB3CBA">
        <w:rPr>
          <w:rFonts w:ascii="Times New Roman" w:hAnsi="Times New Roman" w:cs="Times New Roman"/>
          <w:vertAlign w:val="superscript"/>
          <w:lang w:val="en-AU"/>
        </w:rPr>
        <w:t>-2</w:t>
      </w:r>
      <w:r w:rsidR="007D3AD2" w:rsidRPr="1FDB3CBA">
        <w:rPr>
          <w:rFonts w:ascii="Times New Roman" w:hAnsi="Times New Roman" w:cs="Times New Roman"/>
          <w:lang w:val="en-AU"/>
        </w:rPr>
        <w:t xml:space="preserve"> day</w:t>
      </w:r>
      <w:r w:rsidR="007D3AD2" w:rsidRPr="1FDB3CBA">
        <w:rPr>
          <w:rFonts w:ascii="Times New Roman" w:hAnsi="Times New Roman" w:cs="Times New Roman"/>
          <w:vertAlign w:val="superscript"/>
          <w:lang w:val="en-AU"/>
        </w:rPr>
        <w:t>-1</w:t>
      </w:r>
      <w:r w:rsidR="007D3AD2" w:rsidRPr="1FDB3CBA">
        <w:rPr>
          <w:rFonts w:ascii="Times New Roman" w:hAnsi="Times New Roman" w:cs="Times New Roman"/>
          <w:lang w:val="en-AU"/>
        </w:rPr>
        <w:t>, p&gt;0.05).</w:t>
      </w:r>
    </w:p>
    <w:p w14:paraId="0BAA52AA" w14:textId="77777777" w:rsidR="00131715" w:rsidRPr="00FC10A2" w:rsidRDefault="00131715" w:rsidP="001F7219">
      <w:pPr>
        <w:snapToGrid w:val="0"/>
        <w:spacing w:line="360" w:lineRule="auto"/>
        <w:jc w:val="both"/>
        <w:rPr>
          <w:b/>
          <w:bCs/>
        </w:rPr>
      </w:pPr>
    </w:p>
    <w:p w14:paraId="2031F98F" w14:textId="68317966" w:rsidR="00131715" w:rsidRDefault="001F7219" w:rsidP="00131715">
      <w:pPr>
        <w:pStyle w:val="ListParagraph"/>
        <w:snapToGrid w:val="0"/>
        <w:spacing w:line="360" w:lineRule="auto"/>
        <w:ind w:left="0"/>
        <w:contextualSpacing w:val="0"/>
        <w:jc w:val="both"/>
        <w:rPr>
          <w:rFonts w:ascii="Times New Roman" w:hAnsi="Times New Roman" w:cs="Times New Roman"/>
        </w:rPr>
      </w:pPr>
      <w:r>
        <w:rPr>
          <w:rFonts w:ascii="Times New Roman" w:hAnsi="Times New Roman" w:cs="Times New Roman"/>
        </w:rPr>
        <w:t>When</w:t>
      </w:r>
      <w:r w:rsidR="00131715" w:rsidRPr="009F2BE8">
        <w:rPr>
          <w:rFonts w:ascii="Times New Roman" w:hAnsi="Times New Roman" w:cs="Times New Roman"/>
        </w:rPr>
        <w:t xml:space="preserve"> DCMs and DBMs are present, % NPP</w:t>
      </w:r>
      <w:r w:rsidR="00131715" w:rsidRPr="009F2BE8">
        <w:rPr>
          <w:rFonts w:ascii="Times New Roman" w:hAnsi="Times New Roman" w:cs="Times New Roman"/>
          <w:vertAlign w:val="subscript"/>
        </w:rPr>
        <w:t>SUB</w:t>
      </w:r>
      <w:r w:rsidR="00131715" w:rsidRPr="009F2BE8">
        <w:rPr>
          <w:rFonts w:ascii="Times New Roman" w:hAnsi="Times New Roman" w:cs="Times New Roman"/>
        </w:rPr>
        <w:t xml:space="preserve"> increases significantly, compared to %NPP</w:t>
      </w:r>
      <w:r w:rsidR="00131715" w:rsidRPr="009F2BE8">
        <w:rPr>
          <w:rFonts w:ascii="Times New Roman" w:hAnsi="Times New Roman" w:cs="Times New Roman"/>
          <w:vertAlign w:val="subscript"/>
        </w:rPr>
        <w:t>SUB</w:t>
      </w:r>
      <w:r w:rsidR="00131715" w:rsidRPr="009F2BE8">
        <w:rPr>
          <w:rFonts w:ascii="Times New Roman" w:hAnsi="Times New Roman" w:cs="Times New Roman"/>
        </w:rPr>
        <w:t xml:space="preserve"> in all profiles with and without DCMs and DBMs (76% median vs 1% median; Kruskal-Wallis p&lt;0.05</w:t>
      </w:r>
      <w:r w:rsidR="00A907BA">
        <w:rPr>
          <w:rFonts w:ascii="Times New Roman" w:hAnsi="Times New Roman" w:cs="Times New Roman"/>
        </w:rPr>
        <w:t xml:space="preserve">; Figure </w:t>
      </w:r>
      <w:r w:rsidR="007A4833">
        <w:rPr>
          <w:rFonts w:ascii="Times New Roman" w:hAnsi="Times New Roman" w:cs="Times New Roman"/>
        </w:rPr>
        <w:t>5d</w:t>
      </w:r>
      <w:r w:rsidR="00131715" w:rsidRPr="009F2BE8">
        <w:rPr>
          <w:rFonts w:ascii="Times New Roman" w:hAnsi="Times New Roman" w:cs="Times New Roman"/>
        </w:rPr>
        <w:t xml:space="preserve">). </w:t>
      </w:r>
      <w:r w:rsidR="00131715" w:rsidRPr="399CD0D1">
        <w:rPr>
          <w:rFonts w:ascii="Times New Roman" w:hAnsi="Times New Roman" w:cs="Times New Roman"/>
          <w:lang w:val="en-AU"/>
        </w:rPr>
        <w:t>The contribution of NPP at the DCM to the total NPP</w:t>
      </w:r>
      <w:r w:rsidR="00131715">
        <w:rPr>
          <w:rFonts w:ascii="Times New Roman" w:hAnsi="Times New Roman" w:cs="Times New Roman"/>
          <w:lang w:val="en-AU"/>
        </w:rPr>
        <w:t xml:space="preserve"> in profiles where a DCM is present</w:t>
      </w:r>
      <w:r w:rsidR="00131715" w:rsidRPr="399CD0D1">
        <w:rPr>
          <w:rFonts w:ascii="Times New Roman" w:hAnsi="Times New Roman" w:cs="Times New Roman"/>
          <w:lang w:val="en-AU"/>
        </w:rPr>
        <w:t xml:space="preserve"> (%NPP</w:t>
      </w:r>
      <w:r w:rsidR="00131715" w:rsidRPr="399CD0D1">
        <w:rPr>
          <w:rFonts w:ascii="Times New Roman" w:hAnsi="Times New Roman" w:cs="Times New Roman"/>
          <w:vertAlign w:val="subscript"/>
          <w:lang w:val="en-AU"/>
        </w:rPr>
        <w:t>DCM</w:t>
      </w:r>
      <w:r w:rsidR="00131715" w:rsidRPr="399CD0D1">
        <w:rPr>
          <w:rFonts w:ascii="Times New Roman" w:hAnsi="Times New Roman" w:cs="Times New Roman"/>
          <w:lang w:val="en-AU"/>
        </w:rPr>
        <w:t xml:space="preserve">) ranges between </w:t>
      </w:r>
      <w:r w:rsidR="00807D53">
        <w:rPr>
          <w:rFonts w:ascii="Times New Roman" w:hAnsi="Times New Roman" w:cs="Times New Roman"/>
          <w:lang w:val="en-AU"/>
        </w:rPr>
        <w:t>40</w:t>
      </w:r>
      <w:r w:rsidR="00807D53" w:rsidRPr="399CD0D1">
        <w:rPr>
          <w:rFonts w:ascii="Times New Roman" w:hAnsi="Times New Roman" w:cs="Times New Roman"/>
          <w:lang w:val="en-AU"/>
        </w:rPr>
        <w:t xml:space="preserve"> </w:t>
      </w:r>
      <w:r w:rsidR="00131715" w:rsidRPr="399CD0D1">
        <w:rPr>
          <w:rFonts w:ascii="Times New Roman" w:hAnsi="Times New Roman" w:cs="Times New Roman"/>
          <w:lang w:val="en-AU"/>
        </w:rPr>
        <w:t xml:space="preserve">and </w:t>
      </w:r>
      <w:r w:rsidR="001912A1">
        <w:rPr>
          <w:rFonts w:ascii="Times New Roman" w:hAnsi="Times New Roman" w:cs="Times New Roman"/>
          <w:lang w:val="en-AU"/>
        </w:rPr>
        <w:t>~6</w:t>
      </w:r>
      <w:r w:rsidR="007358DF" w:rsidRPr="399CD0D1">
        <w:rPr>
          <w:rFonts w:ascii="Times New Roman" w:hAnsi="Times New Roman" w:cs="Times New Roman"/>
          <w:lang w:val="en-AU"/>
        </w:rPr>
        <w:t>0</w:t>
      </w:r>
      <w:r w:rsidR="00131715" w:rsidRPr="399CD0D1">
        <w:rPr>
          <w:rFonts w:ascii="Times New Roman" w:hAnsi="Times New Roman" w:cs="Times New Roman"/>
          <w:lang w:val="en-AU"/>
        </w:rPr>
        <w:t>% (</w:t>
      </w:r>
      <w:r w:rsidR="00131715">
        <w:rPr>
          <w:rFonts w:ascii="Times New Roman" w:hAnsi="Times New Roman" w:cs="Times New Roman"/>
          <w:lang w:val="en-AU"/>
        </w:rPr>
        <w:t xml:space="preserve">median </w:t>
      </w:r>
      <w:r w:rsidR="00131715" w:rsidRPr="399CD0D1">
        <w:rPr>
          <w:rFonts w:ascii="Times New Roman" w:hAnsi="Times New Roman" w:cs="Times New Roman"/>
          <w:lang w:val="en-AU"/>
        </w:rPr>
        <w:t>26 ±12%</w:t>
      </w:r>
      <w:r w:rsidR="00807D53">
        <w:rPr>
          <w:rFonts w:ascii="Times New Roman" w:hAnsi="Times New Roman" w:cs="Times New Roman"/>
          <w:lang w:val="en-AU"/>
        </w:rPr>
        <w:t xml:space="preserve">; Figure </w:t>
      </w:r>
      <w:r w:rsidR="007A4833">
        <w:rPr>
          <w:rFonts w:ascii="Times New Roman" w:hAnsi="Times New Roman" w:cs="Times New Roman"/>
          <w:lang w:val="en-AU"/>
        </w:rPr>
        <w:t>5d</w:t>
      </w:r>
      <w:r w:rsidR="00131715" w:rsidRPr="399CD0D1">
        <w:rPr>
          <w:rFonts w:ascii="Times New Roman" w:hAnsi="Times New Roman" w:cs="Times New Roman"/>
          <w:lang w:val="en-AU"/>
        </w:rPr>
        <w:t>).</w:t>
      </w:r>
      <w:r w:rsidR="00131715">
        <w:rPr>
          <w:rFonts w:ascii="Times New Roman" w:hAnsi="Times New Roman" w:cs="Times New Roman"/>
          <w:lang w:val="en-AU"/>
        </w:rPr>
        <w:t xml:space="preserve"> NPP at the DBM contributes between </w:t>
      </w:r>
      <w:r w:rsidR="004F71E3">
        <w:rPr>
          <w:rFonts w:ascii="Times New Roman" w:hAnsi="Times New Roman" w:cs="Times New Roman"/>
          <w:lang w:val="en-AU"/>
        </w:rPr>
        <w:t>6</w:t>
      </w:r>
      <w:r w:rsidR="00131715">
        <w:rPr>
          <w:rFonts w:ascii="Times New Roman" w:hAnsi="Times New Roman" w:cs="Times New Roman"/>
          <w:lang w:val="en-AU"/>
        </w:rPr>
        <w:t>0 and ~80% with a median of 44</w:t>
      </w:r>
      <w:r w:rsidR="00131715" w:rsidRPr="399CD0D1">
        <w:rPr>
          <w:rFonts w:ascii="Times New Roman" w:hAnsi="Times New Roman" w:cs="Times New Roman"/>
          <w:lang w:val="en-AU"/>
        </w:rPr>
        <w:t>±</w:t>
      </w:r>
      <w:r w:rsidR="00131715">
        <w:rPr>
          <w:rFonts w:ascii="Times New Roman" w:hAnsi="Times New Roman" w:cs="Times New Roman"/>
          <w:lang w:val="en-AU"/>
        </w:rPr>
        <w:t>42</w:t>
      </w:r>
      <w:r w:rsidR="00131715" w:rsidRPr="399CD0D1">
        <w:rPr>
          <w:rFonts w:ascii="Times New Roman" w:hAnsi="Times New Roman" w:cs="Times New Roman"/>
          <w:lang w:val="en-AU"/>
        </w:rPr>
        <w:t>% (%NPP</w:t>
      </w:r>
      <w:r w:rsidR="00131715" w:rsidRPr="399CD0D1">
        <w:rPr>
          <w:rFonts w:ascii="Times New Roman" w:hAnsi="Times New Roman" w:cs="Times New Roman"/>
          <w:vertAlign w:val="subscript"/>
          <w:lang w:val="en-AU"/>
        </w:rPr>
        <w:t>D</w:t>
      </w:r>
      <w:r w:rsidR="00131715">
        <w:rPr>
          <w:rFonts w:ascii="Times New Roman" w:hAnsi="Times New Roman" w:cs="Times New Roman"/>
          <w:vertAlign w:val="subscript"/>
          <w:lang w:val="en-AU"/>
        </w:rPr>
        <w:t>B</w:t>
      </w:r>
      <w:r w:rsidR="00131715" w:rsidRPr="399CD0D1">
        <w:rPr>
          <w:rFonts w:ascii="Times New Roman" w:hAnsi="Times New Roman" w:cs="Times New Roman"/>
          <w:vertAlign w:val="subscript"/>
          <w:lang w:val="en-AU"/>
        </w:rPr>
        <w:t>M</w:t>
      </w:r>
      <w:r w:rsidR="00131715">
        <w:rPr>
          <w:rFonts w:ascii="Times New Roman" w:hAnsi="Times New Roman" w:cs="Times New Roman"/>
          <w:lang w:val="en-AU"/>
        </w:rPr>
        <w:t xml:space="preserve">, </w:t>
      </w:r>
      <w:r w:rsidR="00131715" w:rsidRPr="399CD0D1">
        <w:rPr>
          <w:rFonts w:ascii="Times New Roman" w:hAnsi="Times New Roman" w:cs="Times New Roman"/>
          <w:lang w:val="en-AU"/>
        </w:rPr>
        <w:t xml:space="preserve">Figure </w:t>
      </w:r>
      <w:r w:rsidR="007A4833">
        <w:rPr>
          <w:rFonts w:ascii="Times New Roman" w:hAnsi="Times New Roman" w:cs="Times New Roman"/>
          <w:lang w:val="en-AU"/>
        </w:rPr>
        <w:t>5d</w:t>
      </w:r>
      <w:r w:rsidR="00131715" w:rsidRPr="399CD0D1">
        <w:rPr>
          <w:rFonts w:ascii="Times New Roman" w:hAnsi="Times New Roman" w:cs="Times New Roman"/>
          <w:lang w:val="en-AU"/>
        </w:rPr>
        <w:t>)</w:t>
      </w:r>
      <w:r w:rsidR="00131715">
        <w:rPr>
          <w:rFonts w:ascii="Times New Roman" w:hAnsi="Times New Roman" w:cs="Times New Roman"/>
          <w:lang w:val="en-AU"/>
        </w:rPr>
        <w:t xml:space="preserve">. </w:t>
      </w:r>
      <w:r w:rsidR="00DE7A49">
        <w:rPr>
          <w:rFonts w:ascii="Times New Roman" w:hAnsi="Times New Roman" w:cs="Times New Roman"/>
          <w:lang w:val="en-AU"/>
        </w:rPr>
        <w:t xml:space="preserve">The contribution of </w:t>
      </w:r>
      <w:r w:rsidR="00DE7A49" w:rsidRPr="399CD0D1">
        <w:rPr>
          <w:rFonts w:ascii="Times New Roman" w:hAnsi="Times New Roman" w:cs="Times New Roman"/>
          <w:lang w:val="en-AU"/>
        </w:rPr>
        <w:t>%NPP</w:t>
      </w:r>
      <w:r w:rsidR="00DE7A49" w:rsidRPr="399CD0D1">
        <w:rPr>
          <w:rFonts w:ascii="Times New Roman" w:hAnsi="Times New Roman" w:cs="Times New Roman"/>
          <w:vertAlign w:val="subscript"/>
          <w:lang w:val="en-AU"/>
        </w:rPr>
        <w:t>DCM</w:t>
      </w:r>
      <w:r w:rsidR="00DE7A49">
        <w:rPr>
          <w:rFonts w:ascii="Times New Roman" w:hAnsi="Times New Roman" w:cs="Times New Roman"/>
          <w:lang w:val="en-AU"/>
        </w:rPr>
        <w:t xml:space="preserve"> </w:t>
      </w:r>
      <w:r w:rsidR="009D7FA1">
        <w:rPr>
          <w:rFonts w:ascii="Times New Roman" w:hAnsi="Times New Roman" w:cs="Times New Roman"/>
          <w:lang w:val="en-AU"/>
        </w:rPr>
        <w:t xml:space="preserve">is overall skewed towards lower values compared to </w:t>
      </w:r>
      <w:r w:rsidR="009D7FA1" w:rsidRPr="399CD0D1">
        <w:rPr>
          <w:rFonts w:ascii="Times New Roman" w:hAnsi="Times New Roman" w:cs="Times New Roman"/>
          <w:lang w:val="en-AU"/>
        </w:rPr>
        <w:t>%NPP</w:t>
      </w:r>
      <w:r w:rsidR="009D7FA1" w:rsidRPr="399CD0D1">
        <w:rPr>
          <w:rFonts w:ascii="Times New Roman" w:hAnsi="Times New Roman" w:cs="Times New Roman"/>
          <w:vertAlign w:val="subscript"/>
          <w:lang w:val="en-AU"/>
        </w:rPr>
        <w:t>D</w:t>
      </w:r>
      <w:r w:rsidR="009D7FA1">
        <w:rPr>
          <w:rFonts w:ascii="Times New Roman" w:hAnsi="Times New Roman" w:cs="Times New Roman"/>
          <w:vertAlign w:val="subscript"/>
          <w:lang w:val="en-AU"/>
        </w:rPr>
        <w:t>B</w:t>
      </w:r>
      <w:r w:rsidR="009D7FA1" w:rsidRPr="399CD0D1">
        <w:rPr>
          <w:rFonts w:ascii="Times New Roman" w:hAnsi="Times New Roman" w:cs="Times New Roman"/>
          <w:vertAlign w:val="subscript"/>
          <w:lang w:val="en-AU"/>
        </w:rPr>
        <w:t>M</w:t>
      </w:r>
      <w:r w:rsidR="003D61B4">
        <w:rPr>
          <w:rFonts w:ascii="Times New Roman" w:hAnsi="Times New Roman" w:cs="Times New Roman"/>
          <w:lang w:val="en-AU"/>
        </w:rPr>
        <w:t>, where the distribution of the data is constant across</w:t>
      </w:r>
      <w:r w:rsidR="00BA7963">
        <w:rPr>
          <w:rFonts w:ascii="Times New Roman" w:hAnsi="Times New Roman" w:cs="Times New Roman"/>
          <w:lang w:val="en-AU"/>
        </w:rPr>
        <w:t xml:space="preserve"> a wide range of values </w:t>
      </w:r>
      <w:r w:rsidR="009D7FA1">
        <w:rPr>
          <w:rFonts w:ascii="Times New Roman" w:hAnsi="Times New Roman" w:cs="Times New Roman"/>
          <w:lang w:val="en-AU"/>
        </w:rPr>
        <w:t xml:space="preserve">(Figure </w:t>
      </w:r>
      <w:r w:rsidR="007A4833">
        <w:rPr>
          <w:rFonts w:ascii="Times New Roman" w:hAnsi="Times New Roman" w:cs="Times New Roman"/>
          <w:lang w:val="en-AU"/>
        </w:rPr>
        <w:t>5e</w:t>
      </w:r>
      <w:r w:rsidR="009D7FA1">
        <w:rPr>
          <w:rFonts w:ascii="Times New Roman" w:hAnsi="Times New Roman" w:cs="Times New Roman"/>
          <w:lang w:val="en-AU"/>
        </w:rPr>
        <w:t xml:space="preserve">). </w:t>
      </w:r>
      <w:r w:rsidR="00131715">
        <w:rPr>
          <w:rFonts w:ascii="Times New Roman" w:hAnsi="Times New Roman" w:cs="Times New Roman"/>
          <w:lang w:val="en-AU"/>
        </w:rPr>
        <w:t>The distributions of</w:t>
      </w:r>
      <w:r w:rsidR="00131715" w:rsidRPr="399CD0D1">
        <w:rPr>
          <w:rFonts w:ascii="Times New Roman" w:hAnsi="Times New Roman" w:cs="Times New Roman"/>
          <w:lang w:val="en-AU"/>
        </w:rPr>
        <w:t xml:space="preserve"> %</w:t>
      </w:r>
      <w:r w:rsidR="00131715" w:rsidRPr="000C00EF">
        <w:rPr>
          <w:rFonts w:ascii="Times New Roman" w:hAnsi="Times New Roman" w:cs="Times New Roman"/>
          <w:iCs/>
        </w:rPr>
        <w:t>NPP</w:t>
      </w:r>
      <w:r w:rsidR="00131715" w:rsidRPr="000C00EF">
        <w:rPr>
          <w:rFonts w:ascii="Times New Roman" w:hAnsi="Times New Roman" w:cs="Times New Roman"/>
          <w:iCs/>
          <w:vertAlign w:val="subscript"/>
        </w:rPr>
        <w:t>SUB</w:t>
      </w:r>
      <w:r w:rsidR="00131715" w:rsidRPr="399CD0D1">
        <w:rPr>
          <w:rFonts w:ascii="Times New Roman" w:hAnsi="Times New Roman" w:cs="Times New Roman"/>
          <w:lang w:val="en-AU"/>
        </w:rPr>
        <w:t>(DCM)</w:t>
      </w:r>
      <w:r w:rsidR="00131715">
        <w:rPr>
          <w:rFonts w:ascii="Times New Roman" w:hAnsi="Times New Roman" w:cs="Times New Roman"/>
          <w:lang w:val="en-AU"/>
        </w:rPr>
        <w:t xml:space="preserve"> and </w:t>
      </w:r>
      <w:r w:rsidR="00131715" w:rsidRPr="399CD0D1">
        <w:rPr>
          <w:rFonts w:ascii="Times New Roman" w:hAnsi="Times New Roman" w:cs="Times New Roman"/>
          <w:lang w:val="en-AU"/>
        </w:rPr>
        <w:t>%</w:t>
      </w:r>
      <w:r w:rsidR="00131715" w:rsidRPr="000C00EF">
        <w:rPr>
          <w:rFonts w:ascii="Times New Roman" w:hAnsi="Times New Roman" w:cs="Times New Roman"/>
          <w:iCs/>
        </w:rPr>
        <w:t>NPP</w:t>
      </w:r>
      <w:r w:rsidR="00131715" w:rsidRPr="000C00EF">
        <w:rPr>
          <w:rFonts w:ascii="Times New Roman" w:hAnsi="Times New Roman" w:cs="Times New Roman"/>
          <w:iCs/>
          <w:vertAlign w:val="subscript"/>
        </w:rPr>
        <w:t>SUB</w:t>
      </w:r>
      <w:r w:rsidR="00131715" w:rsidRPr="399CD0D1">
        <w:rPr>
          <w:rFonts w:ascii="Times New Roman" w:hAnsi="Times New Roman" w:cs="Times New Roman"/>
          <w:lang w:val="en-AU"/>
        </w:rPr>
        <w:t>(D</w:t>
      </w:r>
      <w:r w:rsidR="00131715">
        <w:rPr>
          <w:rFonts w:ascii="Times New Roman" w:hAnsi="Times New Roman" w:cs="Times New Roman"/>
          <w:lang w:val="en-AU"/>
        </w:rPr>
        <w:t>B</w:t>
      </w:r>
      <w:r w:rsidR="00131715" w:rsidRPr="399CD0D1">
        <w:rPr>
          <w:rFonts w:ascii="Times New Roman" w:hAnsi="Times New Roman" w:cs="Times New Roman"/>
          <w:lang w:val="en-AU"/>
        </w:rPr>
        <w:t>M)</w:t>
      </w:r>
      <w:r w:rsidR="00131715">
        <w:rPr>
          <w:rFonts w:ascii="Times New Roman" w:hAnsi="Times New Roman" w:cs="Times New Roman"/>
          <w:lang w:val="en-AU"/>
        </w:rPr>
        <w:t xml:space="preserve"> are skewed towards higher values, and </w:t>
      </w:r>
      <w:r w:rsidR="00131715" w:rsidRPr="399CD0D1">
        <w:rPr>
          <w:rFonts w:ascii="Times New Roman" w:hAnsi="Times New Roman" w:cs="Times New Roman"/>
          <w:lang w:val="en-AU"/>
        </w:rPr>
        <w:t>%</w:t>
      </w:r>
      <w:r w:rsidR="00131715" w:rsidRPr="000C00EF">
        <w:rPr>
          <w:rFonts w:ascii="Times New Roman" w:hAnsi="Times New Roman" w:cs="Times New Roman"/>
          <w:iCs/>
        </w:rPr>
        <w:t>NPP</w:t>
      </w:r>
      <w:r w:rsidR="00131715" w:rsidRPr="000C00EF">
        <w:rPr>
          <w:rFonts w:ascii="Times New Roman" w:hAnsi="Times New Roman" w:cs="Times New Roman"/>
          <w:iCs/>
          <w:vertAlign w:val="subscript"/>
        </w:rPr>
        <w:t>SUB</w:t>
      </w:r>
      <w:r w:rsidR="00131715" w:rsidRPr="399CD0D1">
        <w:rPr>
          <w:rFonts w:ascii="Times New Roman" w:hAnsi="Times New Roman" w:cs="Times New Roman"/>
          <w:lang w:val="en-AU"/>
        </w:rPr>
        <w:t xml:space="preserve">(ALL) </w:t>
      </w:r>
      <w:r w:rsidR="00131715">
        <w:rPr>
          <w:rFonts w:ascii="Times New Roman" w:hAnsi="Times New Roman" w:cs="Times New Roman"/>
          <w:lang w:val="en-AU"/>
        </w:rPr>
        <w:t>is skewed towards lower values</w:t>
      </w:r>
      <w:r w:rsidR="00131715" w:rsidRPr="399CD0D1">
        <w:rPr>
          <w:rFonts w:ascii="Times New Roman" w:hAnsi="Times New Roman" w:cs="Times New Roman"/>
          <w:lang w:val="en-AU"/>
        </w:rPr>
        <w:t xml:space="preserve"> (Figure </w:t>
      </w:r>
      <w:r w:rsidR="007A4833">
        <w:rPr>
          <w:rFonts w:ascii="Times New Roman" w:hAnsi="Times New Roman" w:cs="Times New Roman"/>
          <w:lang w:val="en-AU"/>
        </w:rPr>
        <w:t>5f</w:t>
      </w:r>
      <w:r w:rsidR="00131715" w:rsidRPr="399CD0D1">
        <w:rPr>
          <w:rFonts w:ascii="Times New Roman" w:hAnsi="Times New Roman" w:cs="Times New Roman"/>
          <w:lang w:val="en-AU"/>
        </w:rPr>
        <w:t xml:space="preserve">). </w:t>
      </w:r>
      <w:proofErr w:type="gramStart"/>
      <w:r w:rsidR="00131715">
        <w:rPr>
          <w:rFonts w:ascii="Times New Roman" w:hAnsi="Times New Roman" w:cs="Times New Roman"/>
        </w:rPr>
        <w:t>Similar to</w:t>
      </w:r>
      <w:proofErr w:type="gramEnd"/>
      <w:r w:rsidR="00131715">
        <w:rPr>
          <w:rFonts w:ascii="Times New Roman" w:hAnsi="Times New Roman" w:cs="Times New Roman"/>
        </w:rPr>
        <w:t xml:space="preserve"> the </w:t>
      </w:r>
      <w:r w:rsidR="00721734">
        <w:rPr>
          <w:rFonts w:ascii="Times New Roman" w:hAnsi="Times New Roman" w:cs="Times New Roman"/>
        </w:rPr>
        <w:t xml:space="preserve">total NPP </w:t>
      </w:r>
      <w:r w:rsidR="00131715">
        <w:rPr>
          <w:rFonts w:ascii="Times New Roman" w:hAnsi="Times New Roman" w:cs="Times New Roman"/>
        </w:rPr>
        <w:t xml:space="preserve">numbers, these conclusions </w:t>
      </w:r>
      <w:r w:rsidR="00131715" w:rsidRPr="00103743">
        <w:rPr>
          <w:rFonts w:ascii="Times New Roman" w:hAnsi="Times New Roman" w:cs="Times New Roman"/>
        </w:rPr>
        <w:t xml:space="preserve">are </w:t>
      </w:r>
      <w:r w:rsidR="00131715">
        <w:rPr>
          <w:rFonts w:ascii="Times New Roman" w:hAnsi="Times New Roman" w:cs="Times New Roman"/>
        </w:rPr>
        <w:t xml:space="preserve">true for </w:t>
      </w:r>
      <w:r w:rsidR="001557CF">
        <w:rPr>
          <w:rFonts w:ascii="Times New Roman" w:hAnsi="Times New Roman" w:cs="Times New Roman"/>
        </w:rPr>
        <w:t>NPP</w:t>
      </w:r>
      <w:r w:rsidR="001557CF" w:rsidRPr="001557CF">
        <w:rPr>
          <w:rFonts w:ascii="Times New Roman" w:hAnsi="Times New Roman" w:cs="Times New Roman"/>
          <w:vertAlign w:val="subscript"/>
        </w:rPr>
        <w:t>SUB</w:t>
      </w:r>
      <w:r w:rsidR="001557CF">
        <w:rPr>
          <w:rFonts w:ascii="Times New Roman" w:hAnsi="Times New Roman" w:cs="Times New Roman"/>
        </w:rPr>
        <w:t xml:space="preserve"> and %NPP</w:t>
      </w:r>
      <w:r w:rsidR="001557CF" w:rsidRPr="001557CF">
        <w:rPr>
          <w:rFonts w:ascii="Times New Roman" w:hAnsi="Times New Roman" w:cs="Times New Roman"/>
          <w:vertAlign w:val="subscript"/>
        </w:rPr>
        <w:t>SUB</w:t>
      </w:r>
      <w:r w:rsidR="001557CF">
        <w:rPr>
          <w:rFonts w:ascii="Times New Roman" w:hAnsi="Times New Roman" w:cs="Times New Roman"/>
        </w:rPr>
        <w:t xml:space="preserve"> for </w:t>
      </w:r>
      <w:r w:rsidR="00131715">
        <w:rPr>
          <w:rFonts w:ascii="Times New Roman" w:hAnsi="Times New Roman" w:cs="Times New Roman"/>
        </w:rPr>
        <w:t>both the mixed and the depth-resolved scenario</w:t>
      </w:r>
      <w:r w:rsidR="00131715" w:rsidRPr="00103743">
        <w:rPr>
          <w:rFonts w:ascii="Times New Roman" w:hAnsi="Times New Roman" w:cs="Times New Roman"/>
        </w:rPr>
        <w:t xml:space="preserve"> (Table S</w:t>
      </w:r>
      <w:r w:rsidR="00CF12AD">
        <w:rPr>
          <w:rFonts w:ascii="Times New Roman" w:hAnsi="Times New Roman" w:cs="Times New Roman"/>
        </w:rPr>
        <w:t>3</w:t>
      </w:r>
      <w:r w:rsidR="00131715" w:rsidRPr="00103743">
        <w:rPr>
          <w:rFonts w:ascii="Times New Roman" w:hAnsi="Times New Roman" w:cs="Times New Roman"/>
        </w:rPr>
        <w:t>).</w:t>
      </w:r>
    </w:p>
    <w:p w14:paraId="68465C58" w14:textId="77777777" w:rsidR="00AD4F73" w:rsidRDefault="00AD4F73" w:rsidP="00131715">
      <w:pPr>
        <w:pStyle w:val="ListParagraph"/>
        <w:snapToGrid w:val="0"/>
        <w:spacing w:line="360" w:lineRule="auto"/>
        <w:ind w:left="0"/>
        <w:contextualSpacing w:val="0"/>
        <w:jc w:val="both"/>
        <w:rPr>
          <w:rFonts w:ascii="Times New Roman" w:hAnsi="Times New Roman" w:cs="Times New Roman"/>
        </w:rPr>
      </w:pPr>
    </w:p>
    <w:p w14:paraId="383FA676" w14:textId="0E52EBF0" w:rsidR="00131715" w:rsidRDefault="00AD4F73" w:rsidP="00131715">
      <w:pPr>
        <w:pStyle w:val="ListParagraph"/>
        <w:snapToGrid w:val="0"/>
        <w:spacing w:line="360" w:lineRule="auto"/>
        <w:ind w:left="0"/>
        <w:contextualSpacing w:val="0"/>
        <w:jc w:val="both"/>
        <w:rPr>
          <w:rFonts w:ascii="Times New Roman" w:hAnsi="Times New Roman" w:cs="Times New Roman"/>
          <w:lang w:val="en-AU"/>
        </w:rPr>
      </w:pPr>
      <w:r w:rsidRPr="00AD4F73">
        <w:rPr>
          <w:rStyle w:val="normaltextrun"/>
          <w:rFonts w:ascii="Times New Roman" w:hAnsi="Times New Roman" w:cs="Times New Roman"/>
          <w:color w:val="000000"/>
          <w:shd w:val="clear" w:color="auto" w:fill="FFFFFF"/>
        </w:rPr>
        <w:t>Because our NPP</w:t>
      </w:r>
      <w:r w:rsidRPr="00AD4F73">
        <w:rPr>
          <w:rStyle w:val="normaltextrun"/>
          <w:rFonts w:ascii="Times New Roman" w:hAnsi="Times New Roman" w:cs="Times New Roman"/>
          <w:color w:val="000000"/>
          <w:shd w:val="clear" w:color="auto" w:fill="FFFFFF"/>
          <w:vertAlign w:val="subscript"/>
        </w:rPr>
        <w:t>SUB</w:t>
      </w:r>
      <w:r w:rsidRPr="00AD4F73">
        <w:rPr>
          <w:rStyle w:val="normaltextrun"/>
          <w:rFonts w:ascii="Times New Roman" w:hAnsi="Times New Roman" w:cs="Times New Roman"/>
          <w:color w:val="000000"/>
          <w:shd w:val="clear" w:color="auto" w:fill="FFFFFF"/>
        </w:rPr>
        <w:t xml:space="preserve"> estimates depend heavily on accurate MLD calculations, we compare our MLD values with the literature. The observed distribution of MLDs (Figure S2) is consistent with other studies using the density method (Table S1). </w:t>
      </w:r>
      <w:r w:rsidRPr="00AD4F73">
        <w:rPr>
          <w:rStyle w:val="eop"/>
          <w:rFonts w:ascii="Times New Roman" w:hAnsi="Times New Roman" w:cs="Times New Roman"/>
          <w:color w:val="000000"/>
          <w:shd w:val="clear" w:color="auto" w:fill="FFFFFF"/>
        </w:rPr>
        <w:t xml:space="preserve"> An extended summary of this comparison can be found in section SI.1. in the SI. </w:t>
      </w:r>
    </w:p>
    <w:p w14:paraId="76925F31" w14:textId="47DFAD08" w:rsidR="00131715" w:rsidRDefault="00131715" w:rsidP="00131715">
      <w:pPr>
        <w:pStyle w:val="ListParagraph"/>
        <w:snapToGrid w:val="0"/>
        <w:spacing w:line="360" w:lineRule="auto"/>
        <w:ind w:left="0"/>
        <w:contextualSpacing w:val="0"/>
        <w:jc w:val="both"/>
        <w:rPr>
          <w:rFonts w:ascii="Times New Roman" w:hAnsi="Times New Roman" w:cs="Times New Roman"/>
          <w:b/>
          <w:bCs/>
          <w:lang w:val="en-AU"/>
        </w:rPr>
      </w:pPr>
    </w:p>
    <w:p w14:paraId="56D1BC1B" w14:textId="42609EFC" w:rsidR="00547981" w:rsidRPr="00AC1AD8" w:rsidRDefault="00547981" w:rsidP="00131715">
      <w:pPr>
        <w:pStyle w:val="ListParagraph"/>
        <w:snapToGrid w:val="0"/>
        <w:spacing w:line="360" w:lineRule="auto"/>
        <w:ind w:left="0"/>
        <w:contextualSpacing w:val="0"/>
        <w:jc w:val="both"/>
        <w:rPr>
          <w:rFonts w:ascii="Times New Roman" w:hAnsi="Times New Roman" w:cs="Times New Roman"/>
          <w:b/>
          <w:bCs/>
          <w:lang w:val="en-AU"/>
        </w:rPr>
      </w:pPr>
      <w:r>
        <w:rPr>
          <w:rFonts w:ascii="Times New Roman" w:hAnsi="Times New Roman" w:cs="Times New Roman"/>
          <w:b/>
          <w:bCs/>
          <w:noProof/>
          <w:lang w:val="en-AU"/>
        </w:rPr>
        <w:lastRenderedPageBreak/>
        <w:drawing>
          <wp:inline distT="0" distB="0" distL="0" distR="0" wp14:anchorId="0FBFF707" wp14:editId="5C7B4000">
            <wp:extent cx="6271774" cy="5938982"/>
            <wp:effectExtent l="0" t="0" r="2540" b="0"/>
            <wp:docPr id="1845651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651174" name="Picture 1845651174"/>
                    <pic:cNvPicPr/>
                  </pic:nvPicPr>
                  <pic:blipFill rotWithShape="1">
                    <a:blip r:embed="rId15">
                      <a:extLst>
                        <a:ext uri="{28A0092B-C50C-407E-A947-70E740481C1C}">
                          <a14:useLocalDpi xmlns:a14="http://schemas.microsoft.com/office/drawing/2010/main" val="0"/>
                        </a:ext>
                      </a:extLst>
                    </a:blip>
                    <a:srcRect l="2739" t="9808" r="36507" b="8777"/>
                    <a:stretch/>
                  </pic:blipFill>
                  <pic:spPr bwMode="auto">
                    <a:xfrm>
                      <a:off x="0" y="0"/>
                      <a:ext cx="6285907" cy="5952365"/>
                    </a:xfrm>
                    <a:prstGeom prst="rect">
                      <a:avLst/>
                    </a:prstGeom>
                    <a:ln>
                      <a:noFill/>
                    </a:ln>
                    <a:extLst>
                      <a:ext uri="{53640926-AAD7-44D8-BBD7-CCE9431645EC}">
                        <a14:shadowObscured xmlns:a14="http://schemas.microsoft.com/office/drawing/2010/main"/>
                      </a:ext>
                    </a:extLst>
                  </pic:spPr>
                </pic:pic>
              </a:graphicData>
            </a:graphic>
          </wp:inline>
        </w:drawing>
      </w:r>
    </w:p>
    <w:p w14:paraId="685AE198" w14:textId="72B11E1E" w:rsidR="00131715" w:rsidRDefault="07043BCA" w:rsidP="1FDB3CBA">
      <w:pPr>
        <w:pStyle w:val="ListParagraph"/>
        <w:snapToGrid w:val="0"/>
        <w:spacing w:line="360" w:lineRule="auto"/>
        <w:ind w:left="0"/>
        <w:jc w:val="both"/>
        <w:rPr>
          <w:rFonts w:ascii="Times New Roman" w:hAnsi="Times New Roman" w:cs="Times New Roman"/>
          <w:lang w:val="en-AU"/>
        </w:rPr>
      </w:pPr>
      <w:r w:rsidRPr="1FDB3CBA">
        <w:rPr>
          <w:rFonts w:ascii="Times New Roman" w:hAnsi="Times New Roman" w:cs="Times New Roman"/>
          <w:lang w:val="en-AU"/>
        </w:rPr>
        <w:t xml:space="preserve">Figure </w:t>
      </w:r>
      <w:r w:rsidR="007A4833">
        <w:rPr>
          <w:rFonts w:ascii="Times New Roman" w:hAnsi="Times New Roman" w:cs="Times New Roman"/>
          <w:lang w:val="en-AU"/>
        </w:rPr>
        <w:t>5</w:t>
      </w:r>
      <w:r w:rsidR="714C743B" w:rsidRPr="1FDB3CBA">
        <w:rPr>
          <w:rFonts w:ascii="Times New Roman" w:hAnsi="Times New Roman" w:cs="Times New Roman"/>
          <w:lang w:val="en-AU"/>
        </w:rPr>
        <w:t>.</w:t>
      </w:r>
      <w:r w:rsidRPr="1FDB3CBA">
        <w:rPr>
          <w:rFonts w:ascii="Times New Roman" w:hAnsi="Times New Roman" w:cs="Times New Roman"/>
          <w:lang w:val="en-AU"/>
        </w:rPr>
        <w:t xml:space="preserve"> </w:t>
      </w:r>
      <w:r w:rsidR="00D310CC">
        <w:rPr>
          <w:rFonts w:ascii="Times New Roman" w:hAnsi="Times New Roman" w:cs="Times New Roman"/>
          <w:lang w:val="en-AU"/>
        </w:rPr>
        <w:t>a) Seasonal distribution of subsurface NPP (</w:t>
      </w:r>
      <w:r w:rsidR="00D310CC" w:rsidRPr="009F2BE8">
        <w:rPr>
          <w:rFonts w:ascii="Times New Roman" w:hAnsi="Times New Roman" w:cs="Times New Roman"/>
        </w:rPr>
        <w:t>mg C m</w:t>
      </w:r>
      <w:r w:rsidR="00D310CC" w:rsidRPr="009F2BE8">
        <w:rPr>
          <w:rFonts w:ascii="Times New Roman" w:hAnsi="Times New Roman" w:cs="Times New Roman"/>
          <w:vertAlign w:val="superscript"/>
        </w:rPr>
        <w:t xml:space="preserve">-2 </w:t>
      </w:r>
      <w:r w:rsidR="00D310CC" w:rsidRPr="009F2BE8">
        <w:rPr>
          <w:rFonts w:ascii="Times New Roman" w:hAnsi="Times New Roman" w:cs="Times New Roman"/>
        </w:rPr>
        <w:t>day</w:t>
      </w:r>
      <w:r w:rsidR="00D310CC" w:rsidRPr="009F2BE8">
        <w:rPr>
          <w:rFonts w:ascii="Times New Roman" w:hAnsi="Times New Roman" w:cs="Times New Roman"/>
          <w:vertAlign w:val="superscript"/>
        </w:rPr>
        <w:t>-1</w:t>
      </w:r>
      <w:r w:rsidR="00D310CC">
        <w:rPr>
          <w:rFonts w:ascii="Times New Roman" w:hAnsi="Times New Roman" w:cs="Times New Roman"/>
          <w:lang w:val="en-AU"/>
        </w:rPr>
        <w:t xml:space="preserve">) with monthly means and standard error for all profiles analysed (dashed purple line), profiles with a DCM (dashed green line), profiles with a DBM (dashed blue line), and NPP in the DCM layer (solid green line) and NPP in the DBM layer (solid blue line). b) </w:t>
      </w:r>
      <w:r w:rsidRPr="1FDB3CBA">
        <w:rPr>
          <w:rFonts w:ascii="Times New Roman" w:hAnsi="Times New Roman" w:cs="Times New Roman"/>
          <w:lang w:val="en-AU"/>
        </w:rPr>
        <w:t>Data distributions for</w:t>
      </w:r>
      <w:r w:rsidR="00D310CC">
        <w:rPr>
          <w:rFonts w:ascii="Times New Roman" w:hAnsi="Times New Roman" w:cs="Times New Roman"/>
          <w:lang w:val="en-AU"/>
        </w:rPr>
        <w:t xml:space="preserve"> NPP in the DCM layer (</w:t>
      </w:r>
      <w:r w:rsidR="00D310CC" w:rsidRPr="009F2BE8">
        <w:rPr>
          <w:rFonts w:ascii="Times New Roman" w:hAnsi="Times New Roman" w:cs="Times New Roman"/>
        </w:rPr>
        <w:t>mg C m</w:t>
      </w:r>
      <w:r w:rsidR="00D310CC" w:rsidRPr="009F2BE8">
        <w:rPr>
          <w:rFonts w:ascii="Times New Roman" w:hAnsi="Times New Roman" w:cs="Times New Roman"/>
          <w:vertAlign w:val="superscript"/>
        </w:rPr>
        <w:t xml:space="preserve">-2 </w:t>
      </w:r>
      <w:r w:rsidR="00D310CC" w:rsidRPr="009F2BE8">
        <w:rPr>
          <w:rFonts w:ascii="Times New Roman" w:hAnsi="Times New Roman" w:cs="Times New Roman"/>
        </w:rPr>
        <w:t>day</w:t>
      </w:r>
      <w:r w:rsidR="00D310CC" w:rsidRPr="009F2BE8">
        <w:rPr>
          <w:rFonts w:ascii="Times New Roman" w:hAnsi="Times New Roman" w:cs="Times New Roman"/>
          <w:vertAlign w:val="superscript"/>
        </w:rPr>
        <w:t>-1</w:t>
      </w:r>
      <w:r w:rsidR="00D310CC">
        <w:rPr>
          <w:rFonts w:ascii="Times New Roman" w:hAnsi="Times New Roman" w:cs="Times New Roman"/>
          <w:lang w:val="en-AU"/>
        </w:rPr>
        <w:t xml:space="preserve">) and NPP in the DBM layer. c) </w:t>
      </w:r>
      <w:r w:rsidR="00D310CC" w:rsidRPr="1FDB3CBA">
        <w:rPr>
          <w:rFonts w:ascii="Times New Roman" w:hAnsi="Times New Roman" w:cs="Times New Roman"/>
          <w:lang w:val="en-AU"/>
        </w:rPr>
        <w:t>Data distributions for</w:t>
      </w:r>
      <w:r w:rsidR="00D310CC">
        <w:rPr>
          <w:rFonts w:ascii="Times New Roman" w:hAnsi="Times New Roman" w:cs="Times New Roman"/>
          <w:lang w:val="en-AU"/>
        </w:rPr>
        <w:t xml:space="preserve"> subsurface NPP (</w:t>
      </w:r>
      <w:r w:rsidR="00D310CC" w:rsidRPr="009F2BE8">
        <w:rPr>
          <w:rFonts w:ascii="Times New Roman" w:hAnsi="Times New Roman" w:cs="Times New Roman"/>
        </w:rPr>
        <w:t>mg C m</w:t>
      </w:r>
      <w:r w:rsidR="00D310CC" w:rsidRPr="009F2BE8">
        <w:rPr>
          <w:rFonts w:ascii="Times New Roman" w:hAnsi="Times New Roman" w:cs="Times New Roman"/>
          <w:vertAlign w:val="superscript"/>
        </w:rPr>
        <w:t xml:space="preserve">-2 </w:t>
      </w:r>
      <w:r w:rsidR="00D310CC" w:rsidRPr="009F2BE8">
        <w:rPr>
          <w:rFonts w:ascii="Times New Roman" w:hAnsi="Times New Roman" w:cs="Times New Roman"/>
        </w:rPr>
        <w:t>day</w:t>
      </w:r>
      <w:r w:rsidR="00D310CC" w:rsidRPr="009F2BE8">
        <w:rPr>
          <w:rFonts w:ascii="Times New Roman" w:hAnsi="Times New Roman" w:cs="Times New Roman"/>
          <w:vertAlign w:val="superscript"/>
        </w:rPr>
        <w:t>-1</w:t>
      </w:r>
      <w:r w:rsidR="00D310CC">
        <w:rPr>
          <w:rFonts w:ascii="Times New Roman" w:hAnsi="Times New Roman" w:cs="Times New Roman"/>
          <w:lang w:val="en-AU"/>
        </w:rPr>
        <w:t xml:space="preserve">) in all profiles, profiles with a DCM and profiles with a DBM. </w:t>
      </w:r>
      <w:r w:rsidRPr="1FDB3CBA">
        <w:rPr>
          <w:rFonts w:ascii="Times New Roman" w:hAnsi="Times New Roman" w:cs="Times New Roman"/>
          <w:lang w:val="en-AU"/>
        </w:rPr>
        <w:t>(</w:t>
      </w:r>
      <w:r w:rsidR="00D310CC">
        <w:rPr>
          <w:rFonts w:ascii="Times New Roman" w:hAnsi="Times New Roman" w:cs="Times New Roman"/>
          <w:lang w:val="en-AU"/>
        </w:rPr>
        <w:t>d</w:t>
      </w:r>
      <w:r w:rsidRPr="1FDB3CBA">
        <w:rPr>
          <w:rFonts w:ascii="Times New Roman" w:hAnsi="Times New Roman" w:cs="Times New Roman"/>
          <w:lang w:val="en-AU"/>
        </w:rPr>
        <w:t xml:space="preserve">) </w:t>
      </w:r>
      <w:r w:rsidR="00D310CC">
        <w:rPr>
          <w:rFonts w:ascii="Times New Roman" w:hAnsi="Times New Roman" w:cs="Times New Roman"/>
          <w:lang w:val="en-AU"/>
        </w:rPr>
        <w:t xml:space="preserve">Monthly means and standard error for the contribution of subsurface NPP to total NPP (%) for the same datasets as in panel a). Panels e) shows the distribution of </w:t>
      </w:r>
      <w:r w:rsidRPr="1FDB3CBA">
        <w:rPr>
          <w:rFonts w:ascii="Times New Roman" w:hAnsi="Times New Roman" w:cs="Times New Roman"/>
          <w:lang w:val="en-AU"/>
        </w:rPr>
        <w:t>%NPP</w:t>
      </w:r>
      <w:r w:rsidRPr="1FDB3CBA">
        <w:rPr>
          <w:rFonts w:ascii="Times New Roman" w:hAnsi="Times New Roman" w:cs="Times New Roman"/>
          <w:vertAlign w:val="subscript"/>
          <w:lang w:val="en-AU"/>
        </w:rPr>
        <w:t>DCM</w:t>
      </w:r>
      <w:r w:rsidRPr="1FDB3CBA">
        <w:rPr>
          <w:rFonts w:ascii="Times New Roman" w:hAnsi="Times New Roman" w:cs="Times New Roman"/>
          <w:lang w:val="en-AU"/>
        </w:rPr>
        <w:t xml:space="preserve"> and %NPP</w:t>
      </w:r>
      <w:r w:rsidRPr="1FDB3CBA">
        <w:rPr>
          <w:rFonts w:ascii="Times New Roman" w:hAnsi="Times New Roman" w:cs="Times New Roman"/>
          <w:vertAlign w:val="subscript"/>
          <w:lang w:val="en-AU"/>
        </w:rPr>
        <w:t>DBM</w:t>
      </w:r>
      <w:r w:rsidRPr="1FDB3CBA">
        <w:rPr>
          <w:rFonts w:ascii="Times New Roman" w:hAnsi="Times New Roman" w:cs="Times New Roman"/>
          <w:lang w:val="en-AU"/>
        </w:rPr>
        <w:t xml:space="preserve">, </w:t>
      </w:r>
      <w:r w:rsidR="00D310CC">
        <w:rPr>
          <w:rFonts w:ascii="Times New Roman" w:hAnsi="Times New Roman" w:cs="Times New Roman"/>
          <w:lang w:val="en-AU"/>
        </w:rPr>
        <w:t xml:space="preserve">and </w:t>
      </w:r>
      <w:r w:rsidRPr="1FDB3CBA">
        <w:rPr>
          <w:rFonts w:ascii="Times New Roman" w:hAnsi="Times New Roman" w:cs="Times New Roman"/>
          <w:lang w:val="en-AU"/>
        </w:rPr>
        <w:t>(</w:t>
      </w:r>
      <w:r w:rsidR="00BF42FE">
        <w:rPr>
          <w:rFonts w:ascii="Times New Roman" w:hAnsi="Times New Roman" w:cs="Times New Roman"/>
          <w:lang w:val="en-AU"/>
        </w:rPr>
        <w:t>f</w:t>
      </w:r>
      <w:r w:rsidRPr="1FDB3CBA">
        <w:rPr>
          <w:rFonts w:ascii="Times New Roman" w:hAnsi="Times New Roman" w:cs="Times New Roman"/>
          <w:lang w:val="en-AU"/>
        </w:rPr>
        <w:t>)</w:t>
      </w:r>
      <w:r w:rsidR="00D310CC">
        <w:rPr>
          <w:rFonts w:ascii="Times New Roman" w:hAnsi="Times New Roman" w:cs="Times New Roman"/>
          <w:lang w:val="en-AU"/>
        </w:rPr>
        <w:t xml:space="preserve"> for</w:t>
      </w:r>
      <w:r w:rsidRPr="1FDB3CBA">
        <w:rPr>
          <w:rFonts w:ascii="Times New Roman" w:hAnsi="Times New Roman" w:cs="Times New Roman"/>
          <w:lang w:val="en-AU"/>
        </w:rPr>
        <w:t xml:space="preserve"> %</w:t>
      </w:r>
      <w:r w:rsidRPr="1FDB3CBA">
        <w:rPr>
          <w:rFonts w:ascii="Times New Roman" w:hAnsi="Times New Roman" w:cs="Times New Roman"/>
        </w:rPr>
        <w:t>NPP</w:t>
      </w:r>
      <w:r w:rsidRPr="1FDB3CBA">
        <w:rPr>
          <w:rFonts w:ascii="Times New Roman" w:hAnsi="Times New Roman" w:cs="Times New Roman"/>
          <w:vertAlign w:val="subscript"/>
        </w:rPr>
        <w:t>SUB</w:t>
      </w:r>
      <w:r w:rsidRPr="1FDB3CBA">
        <w:rPr>
          <w:rFonts w:ascii="Times New Roman" w:hAnsi="Times New Roman" w:cs="Times New Roman"/>
          <w:lang w:val="en-AU"/>
        </w:rPr>
        <w:t>(DCM), %</w:t>
      </w:r>
      <w:r w:rsidRPr="1FDB3CBA">
        <w:rPr>
          <w:rFonts w:ascii="Times New Roman" w:hAnsi="Times New Roman" w:cs="Times New Roman"/>
        </w:rPr>
        <w:t>NPP</w:t>
      </w:r>
      <w:r w:rsidRPr="1FDB3CBA">
        <w:rPr>
          <w:rFonts w:ascii="Times New Roman" w:hAnsi="Times New Roman" w:cs="Times New Roman"/>
          <w:vertAlign w:val="subscript"/>
        </w:rPr>
        <w:t>SUB</w:t>
      </w:r>
      <w:r w:rsidRPr="1FDB3CBA">
        <w:rPr>
          <w:rFonts w:ascii="Times New Roman" w:hAnsi="Times New Roman" w:cs="Times New Roman"/>
          <w:lang w:val="en-AU"/>
        </w:rPr>
        <w:t>(DBM), and %</w:t>
      </w:r>
      <w:r w:rsidRPr="1FDB3CBA">
        <w:rPr>
          <w:rFonts w:ascii="Times New Roman" w:hAnsi="Times New Roman" w:cs="Times New Roman"/>
        </w:rPr>
        <w:t>NPP</w:t>
      </w:r>
      <w:r w:rsidRPr="1FDB3CBA">
        <w:rPr>
          <w:rFonts w:ascii="Times New Roman" w:hAnsi="Times New Roman" w:cs="Times New Roman"/>
          <w:vertAlign w:val="subscript"/>
        </w:rPr>
        <w:t>SUB</w:t>
      </w:r>
      <w:r w:rsidRPr="1FDB3CBA">
        <w:rPr>
          <w:rFonts w:ascii="Times New Roman" w:hAnsi="Times New Roman" w:cs="Times New Roman"/>
          <w:lang w:val="en-AU"/>
        </w:rPr>
        <w:t>(ALL). The right-hand axis in panel</w:t>
      </w:r>
      <w:r w:rsidR="00D310CC">
        <w:rPr>
          <w:rFonts w:ascii="Times New Roman" w:hAnsi="Times New Roman" w:cs="Times New Roman"/>
          <w:lang w:val="en-AU"/>
        </w:rPr>
        <w:t>s c</w:t>
      </w:r>
      <w:r w:rsidRPr="1FDB3CBA">
        <w:rPr>
          <w:rFonts w:ascii="Times New Roman" w:hAnsi="Times New Roman" w:cs="Times New Roman"/>
          <w:lang w:val="en-AU"/>
        </w:rPr>
        <w:t>)</w:t>
      </w:r>
      <w:r w:rsidR="00D310CC">
        <w:rPr>
          <w:rFonts w:ascii="Times New Roman" w:hAnsi="Times New Roman" w:cs="Times New Roman"/>
          <w:lang w:val="en-AU"/>
        </w:rPr>
        <w:t xml:space="preserve"> and f) </w:t>
      </w:r>
      <w:r w:rsidRPr="1FDB3CBA">
        <w:rPr>
          <w:rFonts w:ascii="Times New Roman" w:hAnsi="Times New Roman" w:cs="Times New Roman"/>
          <w:lang w:val="en-AU"/>
        </w:rPr>
        <w:t xml:space="preserve">corresponds to </w:t>
      </w:r>
      <w:r w:rsidRPr="1FDB3CBA">
        <w:rPr>
          <w:rFonts w:ascii="Times New Roman" w:hAnsi="Times New Roman" w:cs="Times New Roman"/>
        </w:rPr>
        <w:t>NPP</w:t>
      </w:r>
      <w:r w:rsidRPr="1FDB3CBA">
        <w:rPr>
          <w:rFonts w:ascii="Times New Roman" w:hAnsi="Times New Roman" w:cs="Times New Roman"/>
          <w:vertAlign w:val="subscript"/>
        </w:rPr>
        <w:t>SUB</w:t>
      </w:r>
      <w:r w:rsidRPr="1FDB3CBA">
        <w:rPr>
          <w:rFonts w:ascii="Times New Roman" w:hAnsi="Times New Roman" w:cs="Times New Roman"/>
          <w:lang w:val="en-AU"/>
        </w:rPr>
        <w:t xml:space="preserve">(DCM), and </w:t>
      </w:r>
      <w:r w:rsidRPr="1FDB3CBA">
        <w:rPr>
          <w:rFonts w:ascii="Times New Roman" w:hAnsi="Times New Roman" w:cs="Times New Roman"/>
        </w:rPr>
        <w:t>NPP</w:t>
      </w:r>
      <w:r w:rsidRPr="1FDB3CBA">
        <w:rPr>
          <w:rFonts w:ascii="Times New Roman" w:hAnsi="Times New Roman" w:cs="Times New Roman"/>
          <w:vertAlign w:val="subscript"/>
        </w:rPr>
        <w:t>SUB</w:t>
      </w:r>
      <w:r w:rsidRPr="1FDB3CBA">
        <w:rPr>
          <w:rFonts w:ascii="Times New Roman" w:hAnsi="Times New Roman" w:cs="Times New Roman"/>
          <w:lang w:val="en-AU"/>
        </w:rPr>
        <w:t>(DBM). Panel (</w:t>
      </w:r>
      <w:r w:rsidR="00D310CC">
        <w:rPr>
          <w:rFonts w:ascii="Times New Roman" w:hAnsi="Times New Roman" w:cs="Times New Roman"/>
          <w:lang w:val="en-AU"/>
        </w:rPr>
        <w:t>g</w:t>
      </w:r>
      <w:r w:rsidRPr="1FDB3CBA">
        <w:rPr>
          <w:rFonts w:ascii="Times New Roman" w:hAnsi="Times New Roman" w:cs="Times New Roman"/>
          <w:lang w:val="en-AU"/>
        </w:rPr>
        <w:t xml:space="preserve">) shows </w:t>
      </w:r>
      <w:r w:rsidR="00D310CC">
        <w:rPr>
          <w:rFonts w:ascii="Times New Roman" w:hAnsi="Times New Roman" w:cs="Times New Roman"/>
          <w:lang w:val="en-AU"/>
        </w:rPr>
        <w:t>means</w:t>
      </w:r>
      <w:r w:rsidR="0080189B">
        <w:rPr>
          <w:rFonts w:ascii="Times New Roman" w:hAnsi="Times New Roman" w:cs="Times New Roman"/>
          <w:lang w:val="en-AU"/>
        </w:rPr>
        <w:t xml:space="preserve"> and standard </w:t>
      </w:r>
      <w:r w:rsidR="0080189B">
        <w:rPr>
          <w:rFonts w:ascii="Times New Roman" w:hAnsi="Times New Roman" w:cs="Times New Roman"/>
          <w:lang w:val="en-AU"/>
        </w:rPr>
        <w:lastRenderedPageBreak/>
        <w:t>errors for all the NPP estimates including NPP in the DCM/DBM layer and subsurface NPP</w:t>
      </w:r>
      <w:r w:rsidRPr="1FDB3CBA">
        <w:rPr>
          <w:rFonts w:ascii="Times New Roman" w:hAnsi="Times New Roman" w:cs="Times New Roman"/>
          <w:lang w:val="en-AU"/>
        </w:rPr>
        <w:t>.</w:t>
      </w:r>
      <w:r w:rsidR="0080189B">
        <w:rPr>
          <w:rFonts w:ascii="Times New Roman" w:hAnsi="Times New Roman" w:cs="Times New Roman"/>
          <w:lang w:val="en-AU"/>
        </w:rPr>
        <w:t xml:space="preserve"> The distribution of DCM and DBM depths is shown in panel h).</w:t>
      </w:r>
    </w:p>
    <w:p w14:paraId="010B8E0B" w14:textId="77777777" w:rsidR="00131715" w:rsidRDefault="00131715" w:rsidP="006D664B">
      <w:pPr>
        <w:snapToGrid w:val="0"/>
        <w:spacing w:line="360" w:lineRule="auto"/>
        <w:jc w:val="both"/>
      </w:pPr>
    </w:p>
    <w:p w14:paraId="099A1F3D" w14:textId="514D552F" w:rsidR="00505D10" w:rsidRPr="00DA5DE2" w:rsidRDefault="00DA5DE2" w:rsidP="007B3CC3">
      <w:pPr>
        <w:snapToGrid w:val="0"/>
        <w:spacing w:line="360" w:lineRule="auto"/>
        <w:jc w:val="both"/>
      </w:pPr>
      <w:r>
        <w:rPr>
          <w:b/>
          <w:bCs/>
        </w:rPr>
        <w:t>3.</w:t>
      </w:r>
      <w:r w:rsidR="00D96171">
        <w:rPr>
          <w:b/>
          <w:bCs/>
        </w:rPr>
        <w:t>3</w:t>
      </w:r>
      <w:r>
        <w:rPr>
          <w:b/>
          <w:bCs/>
        </w:rPr>
        <w:t xml:space="preserve">. </w:t>
      </w:r>
      <w:r w:rsidR="006D63C9">
        <w:rPr>
          <w:b/>
          <w:bCs/>
        </w:rPr>
        <w:t xml:space="preserve">Seasonal and spatial </w:t>
      </w:r>
      <w:r w:rsidR="00D96171">
        <w:rPr>
          <w:b/>
          <w:bCs/>
        </w:rPr>
        <w:t xml:space="preserve">variability of </w:t>
      </w:r>
      <w:r w:rsidR="00126A66">
        <w:rPr>
          <w:b/>
          <w:bCs/>
        </w:rPr>
        <w:t xml:space="preserve">production in </w:t>
      </w:r>
      <w:r w:rsidR="00D96171">
        <w:rPr>
          <w:b/>
          <w:bCs/>
        </w:rPr>
        <w:t>DCM</w:t>
      </w:r>
      <w:r w:rsidR="00126A66">
        <w:rPr>
          <w:b/>
          <w:bCs/>
        </w:rPr>
        <w:t>s and DBMs</w:t>
      </w:r>
      <w:r w:rsidR="00D96171">
        <w:rPr>
          <w:b/>
          <w:bCs/>
        </w:rPr>
        <w:t xml:space="preserve"> </w:t>
      </w:r>
    </w:p>
    <w:p w14:paraId="572C1728" w14:textId="77777777" w:rsidR="002A71A2" w:rsidRDefault="002A71A2" w:rsidP="0053305D">
      <w:pPr>
        <w:pStyle w:val="ListParagraph"/>
        <w:snapToGrid w:val="0"/>
        <w:spacing w:line="360" w:lineRule="auto"/>
        <w:ind w:left="0"/>
        <w:contextualSpacing w:val="0"/>
        <w:jc w:val="both"/>
        <w:rPr>
          <w:rFonts w:ascii="Times New Roman" w:hAnsi="Times New Roman" w:cs="Times New Roman"/>
          <w:lang w:val="en-AU"/>
        </w:rPr>
      </w:pPr>
    </w:p>
    <w:p w14:paraId="498689BA" w14:textId="1A521ECC" w:rsidR="003617C3" w:rsidRDefault="00126A66" w:rsidP="003617C3">
      <w:pPr>
        <w:snapToGrid w:val="0"/>
        <w:spacing w:line="360" w:lineRule="auto"/>
        <w:jc w:val="both"/>
      </w:pPr>
      <w:r>
        <w:t xml:space="preserve">Subsurface NPP </w:t>
      </w:r>
      <w:r w:rsidR="009223D1">
        <w:t xml:space="preserve">is </w:t>
      </w:r>
      <w:r>
        <w:t>strong</w:t>
      </w:r>
      <w:r w:rsidR="009223D1">
        <w:t>ly</w:t>
      </w:r>
      <w:r>
        <w:t xml:space="preserve"> seasonal for all cases, but the difference between summer and winter is </w:t>
      </w:r>
      <w:r w:rsidR="00B036B5">
        <w:t xml:space="preserve">less stark </w:t>
      </w:r>
      <w:r>
        <w:t xml:space="preserve">when DCMs or DBMs are present </w:t>
      </w:r>
      <w:r w:rsidR="00BC6213">
        <w:t xml:space="preserve">(Figure </w:t>
      </w:r>
      <w:r w:rsidR="007A4833">
        <w:t>5a</w:t>
      </w:r>
      <w:r w:rsidR="00BC6213">
        <w:t>)</w:t>
      </w:r>
      <w:r w:rsidR="004321A3" w:rsidRPr="009F2BE8">
        <w:t xml:space="preserve">. </w:t>
      </w:r>
      <w:r w:rsidR="00B036B5" w:rsidRPr="009F2BE8">
        <w:t>NPP</w:t>
      </w:r>
      <w:r w:rsidR="00B036B5" w:rsidRPr="009F2BE8">
        <w:rPr>
          <w:vertAlign w:val="subscript"/>
        </w:rPr>
        <w:t>SUB</w:t>
      </w:r>
      <w:r w:rsidR="00B036B5">
        <w:t xml:space="preserve"> ALL ranges from ~10 </w:t>
      </w:r>
      <w:r w:rsidR="00B036B5" w:rsidRPr="009F2BE8">
        <w:t>mg C m</w:t>
      </w:r>
      <w:r w:rsidR="00B036B5" w:rsidRPr="009F2BE8">
        <w:rPr>
          <w:vertAlign w:val="superscript"/>
        </w:rPr>
        <w:t xml:space="preserve">-2 </w:t>
      </w:r>
      <w:r w:rsidR="00B036B5" w:rsidRPr="009F2BE8">
        <w:t>day</w:t>
      </w:r>
      <w:r w:rsidR="00B036B5" w:rsidRPr="009F2BE8">
        <w:rPr>
          <w:vertAlign w:val="superscript"/>
        </w:rPr>
        <w:t>-1</w:t>
      </w:r>
      <w:r w:rsidR="00B036B5" w:rsidRPr="009F2BE8">
        <w:t xml:space="preserve"> in winter to </w:t>
      </w:r>
      <w:r w:rsidR="00B036B5">
        <w:t>150</w:t>
      </w:r>
      <w:r w:rsidR="00B036B5" w:rsidRPr="009F2BE8">
        <w:t xml:space="preserve"> mg C m</w:t>
      </w:r>
      <w:r w:rsidR="00B036B5" w:rsidRPr="009F2BE8">
        <w:rPr>
          <w:vertAlign w:val="superscript"/>
        </w:rPr>
        <w:t xml:space="preserve">-2 </w:t>
      </w:r>
      <w:r w:rsidR="00B036B5" w:rsidRPr="009F2BE8">
        <w:t>day</w:t>
      </w:r>
      <w:r w:rsidR="00B036B5" w:rsidRPr="009F2BE8">
        <w:rPr>
          <w:vertAlign w:val="superscript"/>
        </w:rPr>
        <w:t>-1</w:t>
      </w:r>
      <w:r w:rsidR="00B036B5" w:rsidRPr="009F2BE8">
        <w:t xml:space="preserve"> in </w:t>
      </w:r>
      <w:r w:rsidR="00B036B5">
        <w:t xml:space="preserve">summer. </w:t>
      </w:r>
      <w:r w:rsidR="004321A3" w:rsidRPr="009F2BE8">
        <w:t>NPP</w:t>
      </w:r>
      <w:r w:rsidR="004321A3" w:rsidRPr="009F2BE8">
        <w:rPr>
          <w:vertAlign w:val="subscript"/>
        </w:rPr>
        <w:t>SUB</w:t>
      </w:r>
      <w:r w:rsidR="004321A3" w:rsidRPr="009F2BE8">
        <w:t>(DCM)</w:t>
      </w:r>
      <w:r w:rsidR="004321A3" w:rsidRPr="009F2BE8">
        <w:rPr>
          <w:vertAlign w:val="subscript"/>
        </w:rPr>
        <w:t xml:space="preserve"> </w:t>
      </w:r>
      <w:r w:rsidR="004321A3" w:rsidRPr="009F2BE8">
        <w:t>increase</w:t>
      </w:r>
      <w:r w:rsidR="00AC5FDC">
        <w:t>s</w:t>
      </w:r>
      <w:r w:rsidR="004321A3" w:rsidRPr="009F2BE8">
        <w:t xml:space="preserve"> from 100 mg C m</w:t>
      </w:r>
      <w:r w:rsidR="004321A3" w:rsidRPr="009F2BE8">
        <w:rPr>
          <w:vertAlign w:val="superscript"/>
        </w:rPr>
        <w:t xml:space="preserve">-2 </w:t>
      </w:r>
      <w:r w:rsidR="004321A3" w:rsidRPr="009F2BE8">
        <w:t>day</w:t>
      </w:r>
      <w:r w:rsidR="004321A3" w:rsidRPr="009F2BE8">
        <w:rPr>
          <w:vertAlign w:val="superscript"/>
        </w:rPr>
        <w:t>-1</w:t>
      </w:r>
      <w:r w:rsidR="004321A3" w:rsidRPr="009F2BE8">
        <w:t xml:space="preserve"> in winter to </w:t>
      </w:r>
      <w:r w:rsidR="00B036B5">
        <w:t>~</w:t>
      </w:r>
      <w:r w:rsidR="004321A3" w:rsidRPr="009F2BE8">
        <w:t>2</w:t>
      </w:r>
      <w:r w:rsidR="00B036B5">
        <w:t>1</w:t>
      </w:r>
      <w:r w:rsidR="004321A3" w:rsidRPr="009F2BE8">
        <w:t>0 mg C m</w:t>
      </w:r>
      <w:r w:rsidR="004321A3" w:rsidRPr="009F2BE8">
        <w:rPr>
          <w:vertAlign w:val="superscript"/>
        </w:rPr>
        <w:t xml:space="preserve">-2 </w:t>
      </w:r>
      <w:r w:rsidR="004321A3" w:rsidRPr="009F2BE8">
        <w:t>day</w:t>
      </w:r>
      <w:r w:rsidR="004321A3" w:rsidRPr="009F2BE8">
        <w:rPr>
          <w:vertAlign w:val="superscript"/>
        </w:rPr>
        <w:t>-1</w:t>
      </w:r>
      <w:r w:rsidR="004321A3" w:rsidRPr="009F2BE8">
        <w:t xml:space="preserve"> in </w:t>
      </w:r>
      <w:r w:rsidR="00B036B5">
        <w:t>summer</w:t>
      </w:r>
      <w:r w:rsidR="004321A3" w:rsidRPr="009F2BE8">
        <w:t xml:space="preserve"> (Figure </w:t>
      </w:r>
      <w:r w:rsidR="007A4833">
        <w:t>5a</w:t>
      </w:r>
      <w:r w:rsidR="004321A3" w:rsidRPr="009F2BE8">
        <w:t>)</w:t>
      </w:r>
      <w:r w:rsidR="00B036B5">
        <w:t>, and the pattern for DBMs is very similar</w:t>
      </w:r>
      <w:r w:rsidR="004321A3" w:rsidRPr="009F2BE8">
        <w:t xml:space="preserve">. </w:t>
      </w:r>
      <w:r w:rsidR="0047716D" w:rsidRPr="009F2BE8">
        <w:t>NPP</w:t>
      </w:r>
      <w:r w:rsidR="0047716D" w:rsidRPr="009F2BE8">
        <w:rPr>
          <w:vertAlign w:val="subscript"/>
        </w:rPr>
        <w:t>SUB</w:t>
      </w:r>
      <w:r w:rsidR="0047716D">
        <w:rPr>
          <w:vertAlign w:val="subscript"/>
        </w:rPr>
        <w:t xml:space="preserve"> </w:t>
      </w:r>
      <w:r w:rsidR="0047716D" w:rsidRPr="009F2BE8">
        <w:t>(DCM</w:t>
      </w:r>
      <w:r w:rsidR="0047716D">
        <w:t>/DBM</w:t>
      </w:r>
      <w:r w:rsidR="0047716D" w:rsidRPr="009F2BE8">
        <w:t>)</w:t>
      </w:r>
      <w:r w:rsidR="0047716D">
        <w:t xml:space="preserve"> contributes to more than half of the total production consistently through the year</w:t>
      </w:r>
      <w:r w:rsidR="003617C3">
        <w:t>, on average for all profiles with a DCM</w:t>
      </w:r>
      <w:r w:rsidR="0047716D" w:rsidRPr="009F2BE8">
        <w:t xml:space="preserve"> (Figure </w:t>
      </w:r>
      <w:r w:rsidR="007A4833">
        <w:t>5d</w:t>
      </w:r>
      <w:r w:rsidR="0047716D" w:rsidRPr="009F2BE8">
        <w:t xml:space="preserve">). </w:t>
      </w:r>
      <w:r w:rsidR="0047716D">
        <w:t>While</w:t>
      </w:r>
      <w:r w:rsidR="0047716D" w:rsidRPr="00AC1AD8">
        <w:t xml:space="preserve"> %</w:t>
      </w:r>
      <w:r w:rsidR="0047716D" w:rsidRPr="000C00EF">
        <w:rPr>
          <w:iCs/>
        </w:rPr>
        <w:t>NPP</w:t>
      </w:r>
      <w:r w:rsidR="0047716D" w:rsidRPr="000C00EF">
        <w:rPr>
          <w:iCs/>
          <w:vertAlign w:val="subscript"/>
        </w:rPr>
        <w:t>SUB</w:t>
      </w:r>
      <w:r w:rsidR="0047716D">
        <w:rPr>
          <w:iCs/>
        </w:rPr>
        <w:t>(ALL) shows pronounced seasonality</w:t>
      </w:r>
      <w:r w:rsidR="0047716D" w:rsidRPr="00AC1AD8">
        <w:t>, %NPP</w:t>
      </w:r>
      <w:r w:rsidR="0047716D" w:rsidRPr="00AC1AD8">
        <w:rPr>
          <w:vertAlign w:val="subscript"/>
        </w:rPr>
        <w:t>DCM</w:t>
      </w:r>
      <w:r w:rsidR="0047716D" w:rsidRPr="00AC1AD8">
        <w:t xml:space="preserve"> </w:t>
      </w:r>
      <w:r w:rsidR="0047716D">
        <w:t xml:space="preserve">and </w:t>
      </w:r>
      <w:r w:rsidR="0047716D" w:rsidRPr="00AC1AD8">
        <w:t>%NPP</w:t>
      </w:r>
      <w:r w:rsidR="0047716D" w:rsidRPr="00AC1AD8">
        <w:rPr>
          <w:vertAlign w:val="subscript"/>
        </w:rPr>
        <w:t>D</w:t>
      </w:r>
      <w:r w:rsidR="0047716D">
        <w:rPr>
          <w:vertAlign w:val="subscript"/>
        </w:rPr>
        <w:t>B</w:t>
      </w:r>
      <w:r w:rsidR="0047716D" w:rsidRPr="00AC1AD8">
        <w:rPr>
          <w:vertAlign w:val="subscript"/>
        </w:rPr>
        <w:t>M</w:t>
      </w:r>
      <w:r w:rsidR="0047716D" w:rsidRPr="00AC1AD8">
        <w:t xml:space="preserve"> stay</w:t>
      </w:r>
      <w:r w:rsidR="0047716D">
        <w:t xml:space="preserve"> </w:t>
      </w:r>
      <w:r w:rsidR="0047716D" w:rsidRPr="00AC1AD8">
        <w:t xml:space="preserve">almost constant throughout the annual cycle at ~20% </w:t>
      </w:r>
      <w:r w:rsidR="0047716D">
        <w:t xml:space="preserve">and </w:t>
      </w:r>
      <w:r w:rsidR="0047716D" w:rsidRPr="00AC1AD8">
        <w:t>~</w:t>
      </w:r>
      <w:r w:rsidR="0047716D">
        <w:t>45</w:t>
      </w:r>
      <w:r w:rsidR="0047716D" w:rsidRPr="00AC1AD8">
        <w:t xml:space="preserve">% </w:t>
      </w:r>
      <w:r w:rsidR="0047716D">
        <w:t>respectively</w:t>
      </w:r>
      <w:r w:rsidR="0047716D" w:rsidRPr="00AC1AD8">
        <w:t xml:space="preserve">. </w:t>
      </w:r>
      <w:r w:rsidR="003617C3">
        <w:t xml:space="preserve">At low latitudes (30-40°S), </w:t>
      </w:r>
      <w:r w:rsidR="003617C3" w:rsidRPr="00AC1AD8">
        <w:t>%</w:t>
      </w:r>
      <w:r w:rsidR="003617C3" w:rsidRPr="000C00EF">
        <w:rPr>
          <w:iCs/>
        </w:rPr>
        <w:t>NPP</w:t>
      </w:r>
      <w:r w:rsidR="003617C3" w:rsidRPr="000C00EF">
        <w:rPr>
          <w:iCs/>
          <w:vertAlign w:val="subscript"/>
        </w:rPr>
        <w:t>SUB</w:t>
      </w:r>
      <w:r w:rsidR="003617C3">
        <w:t xml:space="preserve"> is at least 40% throughout the year, and more than </w:t>
      </w:r>
      <w:r w:rsidR="0054396A">
        <w:t>50%</w:t>
      </w:r>
      <w:r w:rsidR="003617C3">
        <w:t xml:space="preserve"> during the summer. At mid latitudes (40-60°S), DCMs occur only in the summer and </w:t>
      </w:r>
      <w:r w:rsidR="003617C3" w:rsidRPr="00AC1AD8">
        <w:t>%</w:t>
      </w:r>
      <w:r w:rsidR="003617C3" w:rsidRPr="000C00EF">
        <w:rPr>
          <w:iCs/>
        </w:rPr>
        <w:t>NPP</w:t>
      </w:r>
      <w:r w:rsidR="003617C3" w:rsidRPr="000C00EF">
        <w:rPr>
          <w:iCs/>
          <w:vertAlign w:val="subscript"/>
        </w:rPr>
        <w:t>SUB</w:t>
      </w:r>
      <w:r w:rsidR="003617C3">
        <w:t xml:space="preserve"> decreases from 40 to 30</w:t>
      </w:r>
      <w:r w:rsidR="003617C3" w:rsidRPr="008D0314">
        <w:t xml:space="preserve">% (Figure </w:t>
      </w:r>
      <w:r w:rsidR="003F5090" w:rsidRPr="008D0314">
        <w:t>3</w:t>
      </w:r>
      <w:r w:rsidR="003617C3" w:rsidRPr="008D0314">
        <w:t>a and b)</w:t>
      </w:r>
      <w:r w:rsidR="00BD4327" w:rsidRPr="008D0314">
        <w:t>.</w:t>
      </w:r>
      <w:r w:rsidR="00BD4327">
        <w:t xml:space="preserve"> At high latitudes (&gt;60°S), DCM occurrence extends over the spring and summer months, where </w:t>
      </w:r>
      <w:r w:rsidR="00BD4327" w:rsidRPr="00AC1AD8">
        <w:t>%</w:t>
      </w:r>
      <w:r w:rsidR="00BD4327" w:rsidRPr="000C00EF">
        <w:rPr>
          <w:iCs/>
        </w:rPr>
        <w:t>NPP</w:t>
      </w:r>
      <w:r w:rsidR="00BD4327" w:rsidRPr="000C00EF">
        <w:rPr>
          <w:iCs/>
          <w:vertAlign w:val="subscript"/>
        </w:rPr>
        <w:t>SUB</w:t>
      </w:r>
      <w:r w:rsidR="00BD4327">
        <w:t xml:space="preserve"> is ~40% during spring and then drops to &lt;20% at the end of the summer. </w:t>
      </w:r>
    </w:p>
    <w:p w14:paraId="75FC92FD" w14:textId="77777777" w:rsidR="00BD4327" w:rsidRDefault="00BD4327" w:rsidP="003617C3">
      <w:pPr>
        <w:snapToGrid w:val="0"/>
        <w:spacing w:line="360" w:lineRule="auto"/>
        <w:jc w:val="both"/>
      </w:pPr>
    </w:p>
    <w:p w14:paraId="60651120" w14:textId="170CC1A4" w:rsidR="007706B5" w:rsidRDefault="00BD4327" w:rsidP="00BD4327">
      <w:pPr>
        <w:snapToGrid w:val="0"/>
        <w:spacing w:line="360" w:lineRule="auto"/>
        <w:jc w:val="both"/>
      </w:pPr>
      <w:r>
        <w:t>Overall, the contribution of NPP</w:t>
      </w:r>
      <w:r w:rsidRPr="1FDB3CBA">
        <w:rPr>
          <w:vertAlign w:val="subscript"/>
        </w:rPr>
        <w:t>SUB</w:t>
      </w:r>
      <w:r>
        <w:t xml:space="preserve"> to NPP when DCMs are present is highest in subtropical oligotrophic regions of the Southern Ocean (30-</w:t>
      </w:r>
      <w:r w:rsidRPr="008D0314">
        <w:t xml:space="preserve">40°S, Figure </w:t>
      </w:r>
      <w:r w:rsidR="003F5090" w:rsidRPr="008D0314">
        <w:t>3</w:t>
      </w:r>
      <w:r w:rsidRPr="008D0314">
        <w:t>), compared</w:t>
      </w:r>
      <w:r>
        <w:t xml:space="preserve"> to the iron and</w:t>
      </w:r>
      <w:r w:rsidR="00CD1099">
        <w:t>/or</w:t>
      </w:r>
      <w:r>
        <w:t xml:space="preserve"> silicate-limited regions (40-60°S) and the iron-limited sea ice zone (&gt;60°S). NPP</w:t>
      </w:r>
      <w:r w:rsidRPr="1FDB3CBA">
        <w:rPr>
          <w:vertAlign w:val="subscript"/>
        </w:rPr>
        <w:t>SUB</w:t>
      </w:r>
      <w:r>
        <w:t xml:space="preserve"> is highest at mid-latitudes (40-60°S), although these regions are the most productive overall, resulting in low %NPP</w:t>
      </w:r>
      <w:r w:rsidRPr="1FDB3CBA">
        <w:rPr>
          <w:vertAlign w:val="subscript"/>
        </w:rPr>
        <w:t>SUB</w:t>
      </w:r>
      <w:r>
        <w:rPr>
          <w:vertAlign w:val="subscript"/>
        </w:rPr>
        <w:t>.</w:t>
      </w:r>
      <w:r>
        <w:t xml:space="preserve"> DCMs </w:t>
      </w:r>
      <w:r w:rsidR="001437E3">
        <w:t xml:space="preserve">are </w:t>
      </w:r>
      <w:r>
        <w:t xml:space="preserve">less important in regions of higher NPP, south of 40°S. </w:t>
      </w:r>
    </w:p>
    <w:p w14:paraId="5483AE6B" w14:textId="77777777" w:rsidR="00BD4327" w:rsidRPr="00837FC9" w:rsidRDefault="00BD4327" w:rsidP="00BD4327">
      <w:pPr>
        <w:snapToGrid w:val="0"/>
        <w:spacing w:line="360" w:lineRule="auto"/>
        <w:jc w:val="both"/>
      </w:pPr>
    </w:p>
    <w:p w14:paraId="4886CCD6" w14:textId="609EECF3" w:rsidR="00AF540A" w:rsidRPr="00A82E3B" w:rsidRDefault="0CA94E21" w:rsidP="1FDB3CBA">
      <w:pPr>
        <w:pStyle w:val="ListParagraph"/>
        <w:snapToGrid w:val="0"/>
        <w:spacing w:line="360" w:lineRule="auto"/>
        <w:ind w:left="0"/>
        <w:jc w:val="both"/>
        <w:rPr>
          <w:rFonts w:ascii="Times New Roman" w:hAnsi="Times New Roman" w:cs="Times New Roman"/>
        </w:rPr>
      </w:pPr>
      <w:r w:rsidRPr="00837FC9">
        <w:rPr>
          <w:rFonts w:ascii="Times New Roman" w:hAnsi="Times New Roman" w:cs="Times New Roman"/>
        </w:rPr>
        <w:t xml:space="preserve">The seasonal patterns observed are likely related to the spatial patterns, which show that subsurface production is highest at lower latitudes (Figure </w:t>
      </w:r>
      <w:r w:rsidR="007A4833">
        <w:rPr>
          <w:rFonts w:ascii="Times New Roman" w:hAnsi="Times New Roman" w:cs="Times New Roman"/>
        </w:rPr>
        <w:t>6</w:t>
      </w:r>
      <w:r w:rsidRPr="00837FC9">
        <w:rPr>
          <w:rFonts w:ascii="Times New Roman" w:hAnsi="Times New Roman" w:cs="Times New Roman"/>
        </w:rPr>
        <w:t xml:space="preserve">, </w:t>
      </w:r>
      <w:r w:rsidR="007A4833">
        <w:rPr>
          <w:rFonts w:ascii="Times New Roman" w:hAnsi="Times New Roman" w:cs="Times New Roman"/>
        </w:rPr>
        <w:t>7</w:t>
      </w:r>
      <w:r w:rsidRPr="00837FC9">
        <w:rPr>
          <w:rFonts w:ascii="Times New Roman" w:hAnsi="Times New Roman" w:cs="Times New Roman"/>
        </w:rPr>
        <w:t xml:space="preserve">), where seasonality is </w:t>
      </w:r>
      <w:r w:rsidR="000E8F2E" w:rsidRPr="00837FC9">
        <w:rPr>
          <w:rFonts w:ascii="Times New Roman" w:hAnsi="Times New Roman" w:cs="Times New Roman"/>
        </w:rPr>
        <w:t xml:space="preserve">weakest </w:t>
      </w:r>
      <w:r w:rsidRPr="00837FC9">
        <w:rPr>
          <w:rFonts w:ascii="Times New Roman" w:hAnsi="Times New Roman" w:cs="Times New Roman"/>
        </w:rPr>
        <w:t xml:space="preserve">(Figure </w:t>
      </w:r>
      <w:r w:rsidR="007A4833">
        <w:rPr>
          <w:rFonts w:ascii="Times New Roman" w:hAnsi="Times New Roman" w:cs="Times New Roman"/>
        </w:rPr>
        <w:t>5</w:t>
      </w:r>
      <w:r w:rsidR="007A4833" w:rsidRPr="00837FC9">
        <w:rPr>
          <w:rFonts w:ascii="Times New Roman" w:hAnsi="Times New Roman" w:cs="Times New Roman"/>
        </w:rPr>
        <w:t>a</w:t>
      </w:r>
      <w:r w:rsidRPr="00837FC9">
        <w:rPr>
          <w:rFonts w:ascii="Times New Roman" w:hAnsi="Times New Roman" w:cs="Times New Roman"/>
        </w:rPr>
        <w:t xml:space="preserve">). </w:t>
      </w:r>
      <w:r w:rsidR="49A349C1" w:rsidRPr="00837FC9">
        <w:rPr>
          <w:rFonts w:ascii="Times New Roman" w:hAnsi="Times New Roman" w:cs="Times New Roman"/>
          <w:lang w:val="en-AU"/>
        </w:rPr>
        <w:t>Across zones, %</w:t>
      </w:r>
      <w:r w:rsidR="49A349C1" w:rsidRPr="1FDB3CBA">
        <w:rPr>
          <w:rFonts w:ascii="Times New Roman" w:hAnsi="Times New Roman" w:cs="Times New Roman"/>
        </w:rPr>
        <w:t>NPP</w:t>
      </w:r>
      <w:r w:rsidR="49A349C1" w:rsidRPr="1FDB3CBA">
        <w:rPr>
          <w:rFonts w:ascii="Times New Roman" w:hAnsi="Times New Roman" w:cs="Times New Roman"/>
          <w:vertAlign w:val="subscript"/>
        </w:rPr>
        <w:t>SUB</w:t>
      </w:r>
      <w:r w:rsidR="49A349C1" w:rsidRPr="00837FC9" w:rsidDel="00806E92">
        <w:rPr>
          <w:rFonts w:ascii="Times New Roman" w:hAnsi="Times New Roman" w:cs="Times New Roman"/>
          <w:lang w:val="en-AU"/>
        </w:rPr>
        <w:t xml:space="preserve"> </w:t>
      </w:r>
      <w:r w:rsidR="49A349C1" w:rsidRPr="00837FC9">
        <w:rPr>
          <w:rFonts w:ascii="Times New Roman" w:hAnsi="Times New Roman" w:cs="Times New Roman"/>
          <w:lang w:val="en-AU"/>
        </w:rPr>
        <w:t xml:space="preserve">is much higher when DCMs (69 ± 20 %) and DBMs (75 ± 21 %) occur compared to all profiles, with and without DCMs (21 ± 25%; Table S2; Kruskal-Wallis p&lt;0.05). </w:t>
      </w:r>
      <w:r w:rsidRPr="00837FC9">
        <w:rPr>
          <w:rFonts w:ascii="Times New Roman" w:hAnsi="Times New Roman" w:cs="Times New Roman"/>
        </w:rPr>
        <w:t>However, the contribution of subsurface NPP to total NPP (%</w:t>
      </w:r>
      <w:r w:rsidRPr="1FDB3CBA">
        <w:rPr>
          <w:rFonts w:ascii="Times New Roman" w:hAnsi="Times New Roman" w:cs="Times New Roman"/>
        </w:rPr>
        <w:t>NPP</w:t>
      </w:r>
      <w:r w:rsidRPr="1FDB3CBA">
        <w:rPr>
          <w:rFonts w:ascii="Times New Roman" w:hAnsi="Times New Roman" w:cs="Times New Roman"/>
          <w:vertAlign w:val="subscript"/>
        </w:rPr>
        <w:t>SUB</w:t>
      </w:r>
      <w:r w:rsidRPr="00837FC9">
        <w:rPr>
          <w:rFonts w:ascii="Times New Roman" w:hAnsi="Times New Roman" w:cs="Times New Roman"/>
        </w:rPr>
        <w:t>) exhibits a different pattern. The lowest contribution is in the PAZ, which then increases towards the north, reaching a maximum at the STZ</w:t>
      </w:r>
      <w:r w:rsidR="11D81F85" w:rsidRPr="1FDB3CBA">
        <w:rPr>
          <w:rFonts w:ascii="Times New Roman" w:hAnsi="Times New Roman" w:cs="Times New Roman"/>
        </w:rPr>
        <w:t xml:space="preserve"> (Figure </w:t>
      </w:r>
      <w:r w:rsidR="007A4833">
        <w:rPr>
          <w:rFonts w:ascii="Times New Roman" w:hAnsi="Times New Roman" w:cs="Times New Roman"/>
        </w:rPr>
        <w:t>6</w:t>
      </w:r>
      <w:r w:rsidR="007A4833" w:rsidRPr="1FDB3CBA">
        <w:rPr>
          <w:rFonts w:ascii="Times New Roman" w:hAnsi="Times New Roman" w:cs="Times New Roman"/>
        </w:rPr>
        <w:t>f</w:t>
      </w:r>
      <w:r w:rsidR="40F0A13E" w:rsidRPr="1FDB3CBA">
        <w:rPr>
          <w:rFonts w:ascii="Times New Roman" w:hAnsi="Times New Roman" w:cs="Times New Roman"/>
        </w:rPr>
        <w:t xml:space="preserve">; Figure </w:t>
      </w:r>
      <w:r w:rsidR="007A4833">
        <w:rPr>
          <w:rFonts w:ascii="Times New Roman" w:hAnsi="Times New Roman" w:cs="Times New Roman"/>
        </w:rPr>
        <w:t>7</w:t>
      </w:r>
      <w:r w:rsidR="11D81F85" w:rsidRPr="1FDB3CBA">
        <w:rPr>
          <w:rFonts w:ascii="Times New Roman" w:hAnsi="Times New Roman" w:cs="Times New Roman"/>
        </w:rPr>
        <w:t>)</w:t>
      </w:r>
      <w:r w:rsidRPr="00837FC9">
        <w:rPr>
          <w:rFonts w:ascii="Times New Roman" w:hAnsi="Times New Roman" w:cs="Times New Roman"/>
        </w:rPr>
        <w:t xml:space="preserve">. </w:t>
      </w:r>
      <w:r w:rsidRPr="00837FC9">
        <w:rPr>
          <w:rFonts w:ascii="Times New Roman" w:hAnsi="Times New Roman" w:cs="Times New Roman"/>
          <w:shd w:val="clear" w:color="auto" w:fill="FFFFFF"/>
        </w:rPr>
        <w:t>For all profiles, with and without a DCM, %NPP</w:t>
      </w:r>
      <w:r w:rsidRPr="00837FC9">
        <w:rPr>
          <w:rFonts w:ascii="Times New Roman" w:hAnsi="Times New Roman" w:cs="Times New Roman"/>
          <w:shd w:val="clear" w:color="auto" w:fill="FFFFFF"/>
          <w:vertAlign w:val="subscript"/>
        </w:rPr>
        <w:t>SUB</w:t>
      </w:r>
      <w:r w:rsidRPr="00837FC9">
        <w:rPr>
          <w:rFonts w:ascii="Times New Roman" w:hAnsi="Times New Roman" w:cs="Times New Roman"/>
          <w:shd w:val="clear" w:color="auto" w:fill="FFFFFF"/>
        </w:rPr>
        <w:t xml:space="preserve">(ALL) reaches a maximum of approximately 40% in the STZ, with much lower values observed at higher latitudes (Figure </w:t>
      </w:r>
      <w:r w:rsidR="007A4833">
        <w:rPr>
          <w:rFonts w:ascii="Times New Roman" w:hAnsi="Times New Roman" w:cs="Times New Roman"/>
          <w:shd w:val="clear" w:color="auto" w:fill="FFFFFF"/>
        </w:rPr>
        <w:t>7</w:t>
      </w:r>
      <w:r w:rsidRPr="00837FC9">
        <w:rPr>
          <w:rFonts w:ascii="Times New Roman" w:hAnsi="Times New Roman" w:cs="Times New Roman"/>
          <w:shd w:val="clear" w:color="auto" w:fill="FFFFFF"/>
        </w:rPr>
        <w:t>). Moreover, %NPP</w:t>
      </w:r>
      <w:r w:rsidRPr="00837FC9">
        <w:rPr>
          <w:rFonts w:ascii="Times New Roman" w:hAnsi="Times New Roman" w:cs="Times New Roman"/>
          <w:shd w:val="clear" w:color="auto" w:fill="FFFFFF"/>
          <w:vertAlign w:val="subscript"/>
        </w:rPr>
        <w:t>SUB</w:t>
      </w:r>
      <w:r w:rsidRPr="00837FC9">
        <w:rPr>
          <w:rFonts w:ascii="Times New Roman" w:hAnsi="Times New Roman" w:cs="Times New Roman"/>
          <w:shd w:val="clear" w:color="auto" w:fill="FFFFFF"/>
        </w:rPr>
        <w:t xml:space="preserve">(DCM) and (DBM) </w:t>
      </w:r>
      <w:r w:rsidRPr="00837FC9">
        <w:rPr>
          <w:rFonts w:ascii="Times New Roman" w:hAnsi="Times New Roman" w:cs="Times New Roman"/>
          <w:shd w:val="clear" w:color="auto" w:fill="FFFFFF"/>
        </w:rPr>
        <w:lastRenderedPageBreak/>
        <w:t xml:space="preserve">reaches up to 70% north of the sub-tropical front and decreases towards higher latitudes, until it increases again somewhat near Antarctica (Figure </w:t>
      </w:r>
      <w:r w:rsidR="007A4833">
        <w:rPr>
          <w:rFonts w:ascii="Times New Roman" w:hAnsi="Times New Roman" w:cs="Times New Roman"/>
        </w:rPr>
        <w:t>6</w:t>
      </w:r>
      <w:r w:rsidR="007A4833" w:rsidRPr="1FDB3CBA">
        <w:rPr>
          <w:rFonts w:ascii="Times New Roman" w:hAnsi="Times New Roman" w:cs="Times New Roman"/>
        </w:rPr>
        <w:t>f</w:t>
      </w:r>
      <w:r w:rsidR="12CD4584" w:rsidRPr="1FDB3CBA">
        <w:rPr>
          <w:rFonts w:ascii="Times New Roman" w:hAnsi="Times New Roman" w:cs="Times New Roman"/>
        </w:rPr>
        <w:t xml:space="preserve">; </w:t>
      </w:r>
      <w:r w:rsidR="007A4833">
        <w:rPr>
          <w:rFonts w:ascii="Times New Roman" w:hAnsi="Times New Roman" w:cs="Times New Roman"/>
        </w:rPr>
        <w:t>7</w:t>
      </w:r>
      <w:r w:rsidR="007A4833" w:rsidRPr="1FDB3CBA">
        <w:rPr>
          <w:rFonts w:ascii="Times New Roman" w:hAnsi="Times New Roman" w:cs="Times New Roman"/>
        </w:rPr>
        <w:t>a</w:t>
      </w:r>
      <w:r w:rsidRPr="00837FC9">
        <w:rPr>
          <w:rFonts w:ascii="Times New Roman" w:hAnsi="Times New Roman" w:cs="Times New Roman"/>
          <w:shd w:val="clear" w:color="auto" w:fill="FFFFFF"/>
        </w:rPr>
        <w:t xml:space="preserve">). </w:t>
      </w:r>
      <w:r w:rsidRPr="00837FC9">
        <w:rPr>
          <w:rFonts w:ascii="Times New Roman" w:hAnsi="Times New Roman" w:cs="Times New Roman"/>
        </w:rPr>
        <w:t xml:space="preserve">Indeed, the contribution of subsurface NPP to total NPP is always highest in the STZ (Dunn’s test, p&lt;0.0; Figure </w:t>
      </w:r>
      <w:r w:rsidR="007A4833">
        <w:rPr>
          <w:rFonts w:ascii="Times New Roman" w:hAnsi="Times New Roman" w:cs="Times New Roman"/>
        </w:rPr>
        <w:t>7</w:t>
      </w:r>
      <w:r w:rsidRPr="00837FC9">
        <w:rPr>
          <w:rFonts w:ascii="Times New Roman" w:hAnsi="Times New Roman" w:cs="Times New Roman"/>
        </w:rPr>
        <w:t>; Table S2). Overall, both, subsurface NPP and its contribution to total NPP, are higher in the northern zones</w:t>
      </w:r>
      <w:r w:rsidR="00F916A6">
        <w:rPr>
          <w:rFonts w:ascii="Times New Roman" w:hAnsi="Times New Roman" w:cs="Times New Roman"/>
        </w:rPr>
        <w:t xml:space="preserve">. That is, </w:t>
      </w:r>
      <w:r w:rsidR="00F916A6">
        <w:rPr>
          <w:rFonts w:ascii="Times New Roman" w:hAnsi="Times New Roman" w:cs="Times New Roman"/>
          <w:lang w:val="en-AU"/>
        </w:rPr>
        <w:t>contribution</w:t>
      </w:r>
      <w:r w:rsidR="00F916A6" w:rsidRPr="00AC1AD8" w:rsidDel="00E47057">
        <w:rPr>
          <w:rFonts w:ascii="Times New Roman" w:hAnsi="Times New Roman" w:cs="Times New Roman"/>
          <w:lang w:val="en-AU"/>
        </w:rPr>
        <w:t xml:space="preserve"> </w:t>
      </w:r>
      <w:r w:rsidR="00F916A6">
        <w:rPr>
          <w:rFonts w:ascii="Times New Roman" w:hAnsi="Times New Roman" w:cs="Times New Roman"/>
          <w:lang w:val="en-AU"/>
        </w:rPr>
        <w:t xml:space="preserve">of </w:t>
      </w:r>
      <w:r w:rsidR="00F916A6" w:rsidRPr="1FDB3CBA">
        <w:rPr>
          <w:rFonts w:ascii="Times New Roman" w:hAnsi="Times New Roman" w:cs="Times New Roman"/>
        </w:rPr>
        <w:t>NPP</w:t>
      </w:r>
      <w:r w:rsidR="00F916A6" w:rsidRPr="1FDB3CBA">
        <w:rPr>
          <w:rFonts w:ascii="Times New Roman" w:hAnsi="Times New Roman" w:cs="Times New Roman"/>
          <w:vertAlign w:val="subscript"/>
        </w:rPr>
        <w:t>SUB</w:t>
      </w:r>
      <w:r w:rsidR="00F916A6" w:rsidRPr="00AC1AD8">
        <w:rPr>
          <w:rFonts w:ascii="Times New Roman" w:hAnsi="Times New Roman" w:cs="Times New Roman"/>
          <w:lang w:val="en-AU"/>
        </w:rPr>
        <w:t xml:space="preserve">(DCM) </w:t>
      </w:r>
      <w:r w:rsidR="00F916A6">
        <w:rPr>
          <w:rFonts w:ascii="Times New Roman" w:hAnsi="Times New Roman" w:cs="Times New Roman"/>
          <w:lang w:val="en-AU"/>
        </w:rPr>
        <w:t xml:space="preserve">and </w:t>
      </w:r>
      <w:r w:rsidR="00F916A6" w:rsidRPr="1FDB3CBA">
        <w:rPr>
          <w:rFonts w:ascii="Times New Roman" w:hAnsi="Times New Roman" w:cs="Times New Roman"/>
        </w:rPr>
        <w:t>NPP</w:t>
      </w:r>
      <w:r w:rsidR="00F916A6" w:rsidRPr="1FDB3CBA">
        <w:rPr>
          <w:rFonts w:ascii="Times New Roman" w:hAnsi="Times New Roman" w:cs="Times New Roman"/>
          <w:vertAlign w:val="subscript"/>
        </w:rPr>
        <w:t>SUB</w:t>
      </w:r>
      <w:r w:rsidR="00F916A6" w:rsidRPr="00AC1AD8">
        <w:rPr>
          <w:rFonts w:ascii="Times New Roman" w:hAnsi="Times New Roman" w:cs="Times New Roman"/>
          <w:lang w:val="en-AU"/>
        </w:rPr>
        <w:t>(D</w:t>
      </w:r>
      <w:r w:rsidR="00F916A6">
        <w:rPr>
          <w:rFonts w:ascii="Times New Roman" w:hAnsi="Times New Roman" w:cs="Times New Roman"/>
          <w:lang w:val="en-AU"/>
        </w:rPr>
        <w:t>B</w:t>
      </w:r>
      <w:r w:rsidR="00F916A6" w:rsidRPr="00AC1AD8">
        <w:rPr>
          <w:rFonts w:ascii="Times New Roman" w:hAnsi="Times New Roman" w:cs="Times New Roman"/>
          <w:lang w:val="en-AU"/>
        </w:rPr>
        <w:t>M)</w:t>
      </w:r>
      <w:r w:rsidR="00F916A6">
        <w:rPr>
          <w:rFonts w:ascii="Times New Roman" w:hAnsi="Times New Roman" w:cs="Times New Roman"/>
          <w:lang w:val="en-AU"/>
        </w:rPr>
        <w:t xml:space="preserve"> to total NPP is highest</w:t>
      </w:r>
      <w:r w:rsidR="00F916A6" w:rsidRPr="00AC1AD8">
        <w:rPr>
          <w:rFonts w:ascii="Times New Roman" w:hAnsi="Times New Roman" w:cs="Times New Roman"/>
          <w:lang w:val="en-AU"/>
        </w:rPr>
        <w:t xml:space="preserve"> in less productive areas or times</w:t>
      </w:r>
      <w:r w:rsidR="00F916A6">
        <w:rPr>
          <w:rFonts w:ascii="Times New Roman" w:hAnsi="Times New Roman" w:cs="Times New Roman"/>
          <w:lang w:val="en-AU"/>
        </w:rPr>
        <w:t xml:space="preserve"> (Figure </w:t>
      </w:r>
      <w:r w:rsidR="007A4833">
        <w:rPr>
          <w:rFonts w:ascii="Times New Roman" w:hAnsi="Times New Roman" w:cs="Times New Roman"/>
          <w:lang w:val="en-AU"/>
        </w:rPr>
        <w:t>4b</w:t>
      </w:r>
      <w:r w:rsidR="00F916A6">
        <w:rPr>
          <w:rFonts w:ascii="Times New Roman" w:hAnsi="Times New Roman" w:cs="Times New Roman"/>
          <w:lang w:val="en-AU"/>
        </w:rPr>
        <w:t>)</w:t>
      </w:r>
      <w:r w:rsidR="00F916A6" w:rsidRPr="00AC1AD8">
        <w:rPr>
          <w:rFonts w:ascii="Times New Roman" w:hAnsi="Times New Roman" w:cs="Times New Roman"/>
          <w:lang w:val="en-AU"/>
        </w:rPr>
        <w:t xml:space="preserve">, </w:t>
      </w:r>
      <w:r w:rsidR="00F916A6">
        <w:rPr>
          <w:rFonts w:ascii="Times New Roman" w:hAnsi="Times New Roman" w:cs="Times New Roman"/>
          <w:lang w:val="en-AU"/>
        </w:rPr>
        <w:t xml:space="preserve">for example in the summer and at low latitudes, </w:t>
      </w:r>
      <w:r w:rsidR="00F916A6" w:rsidRPr="00AC1AD8">
        <w:rPr>
          <w:rFonts w:ascii="Times New Roman" w:hAnsi="Times New Roman" w:cs="Times New Roman"/>
          <w:lang w:val="en-AU"/>
        </w:rPr>
        <w:t>where DCMs</w:t>
      </w:r>
      <w:r w:rsidR="00F916A6">
        <w:rPr>
          <w:rFonts w:ascii="Times New Roman" w:hAnsi="Times New Roman" w:cs="Times New Roman"/>
          <w:lang w:val="en-AU"/>
        </w:rPr>
        <w:t xml:space="preserve"> and DBMs</w:t>
      </w:r>
      <w:r w:rsidR="00F916A6" w:rsidRPr="00AC1AD8">
        <w:rPr>
          <w:rFonts w:ascii="Times New Roman" w:hAnsi="Times New Roman" w:cs="Times New Roman"/>
          <w:lang w:val="en-AU"/>
        </w:rPr>
        <w:t xml:space="preserve"> occur</w:t>
      </w:r>
      <w:r w:rsidRPr="00837FC9">
        <w:rPr>
          <w:rFonts w:ascii="Times New Roman" w:hAnsi="Times New Roman" w:cs="Times New Roman"/>
        </w:rPr>
        <w:t xml:space="preserve">. </w:t>
      </w:r>
    </w:p>
    <w:p w14:paraId="4702EBC7" w14:textId="77777777" w:rsidR="009F5051" w:rsidRDefault="009F5051" w:rsidP="0047716D">
      <w:pPr>
        <w:pStyle w:val="ListParagraph"/>
        <w:snapToGrid w:val="0"/>
        <w:spacing w:line="360" w:lineRule="auto"/>
        <w:ind w:left="0"/>
        <w:contextualSpacing w:val="0"/>
        <w:jc w:val="both"/>
        <w:rPr>
          <w:rFonts w:ascii="Times New Roman" w:hAnsi="Times New Roman" w:cs="Times New Roman"/>
          <w:lang w:val="en-AU"/>
        </w:rPr>
      </w:pPr>
    </w:p>
    <w:p w14:paraId="02DA0481" w14:textId="5E7157B4" w:rsidR="00F916A6" w:rsidRPr="00A82E3B" w:rsidRDefault="3607D2C5" w:rsidP="00F916A6">
      <w:pPr>
        <w:pStyle w:val="ListParagraph"/>
        <w:snapToGrid w:val="0"/>
        <w:spacing w:line="360" w:lineRule="auto"/>
        <w:ind w:left="0"/>
        <w:jc w:val="both"/>
        <w:rPr>
          <w:rFonts w:ascii="Times New Roman" w:hAnsi="Times New Roman" w:cs="Times New Roman"/>
        </w:rPr>
      </w:pPr>
      <w:r>
        <w:rPr>
          <w:rFonts w:ascii="Times New Roman" w:hAnsi="Times New Roman" w:cs="Times New Roman"/>
          <w:lang w:val="en-AU"/>
        </w:rPr>
        <w:t>In contrast, the</w:t>
      </w:r>
      <w:r w:rsidR="78A61840" w:rsidRPr="00AC1AD8">
        <w:rPr>
          <w:rFonts w:ascii="Times New Roman" w:hAnsi="Times New Roman" w:cs="Times New Roman"/>
          <w:lang w:val="en-AU"/>
        </w:rPr>
        <w:t xml:space="preserve"> amount of NPP below the MLD</w:t>
      </w:r>
      <w:r w:rsidR="62E18202" w:rsidRPr="1FDB3CBA">
        <w:rPr>
          <w:rFonts w:ascii="Times New Roman" w:hAnsi="Times New Roman" w:cs="Times New Roman"/>
          <w:lang w:val="en-AU"/>
        </w:rPr>
        <w:t>,</w:t>
      </w:r>
      <w:r w:rsidR="2EBB0195">
        <w:rPr>
          <w:rFonts w:ascii="Times New Roman" w:hAnsi="Times New Roman" w:cs="Times New Roman"/>
          <w:lang w:val="en-AU"/>
        </w:rPr>
        <w:t xml:space="preserve"> and its contribution to total NPP,</w:t>
      </w:r>
      <w:r w:rsidR="78A61840" w:rsidRPr="00AC1AD8">
        <w:rPr>
          <w:rFonts w:ascii="Times New Roman" w:hAnsi="Times New Roman" w:cs="Times New Roman"/>
          <w:lang w:val="en-AU"/>
        </w:rPr>
        <w:t xml:space="preserve"> is </w:t>
      </w:r>
      <w:r>
        <w:rPr>
          <w:rFonts w:ascii="Times New Roman" w:hAnsi="Times New Roman" w:cs="Times New Roman"/>
          <w:lang w:val="en-AU"/>
        </w:rPr>
        <w:t>lower</w:t>
      </w:r>
      <w:r w:rsidRPr="00AC1AD8">
        <w:rPr>
          <w:rFonts w:ascii="Times New Roman" w:hAnsi="Times New Roman" w:cs="Times New Roman"/>
          <w:lang w:val="en-AU"/>
        </w:rPr>
        <w:t xml:space="preserve"> </w:t>
      </w:r>
      <w:r w:rsidR="78A61840" w:rsidRPr="00AC1AD8">
        <w:rPr>
          <w:rFonts w:ascii="Times New Roman" w:hAnsi="Times New Roman" w:cs="Times New Roman"/>
          <w:lang w:val="en-AU"/>
        </w:rPr>
        <w:t xml:space="preserve">in areas with more production and </w:t>
      </w:r>
      <w:r w:rsidR="78A61840">
        <w:rPr>
          <w:rFonts w:ascii="Times New Roman" w:hAnsi="Times New Roman" w:cs="Times New Roman"/>
          <w:lang w:val="en-AU"/>
        </w:rPr>
        <w:t>fewer</w:t>
      </w:r>
      <w:r w:rsidR="78A61840" w:rsidRPr="00AC1AD8">
        <w:rPr>
          <w:rFonts w:ascii="Times New Roman" w:hAnsi="Times New Roman" w:cs="Times New Roman"/>
          <w:lang w:val="en-AU"/>
        </w:rPr>
        <w:t xml:space="preserve"> DCM</w:t>
      </w:r>
      <w:r w:rsidR="78A61840">
        <w:rPr>
          <w:rFonts w:ascii="Times New Roman" w:hAnsi="Times New Roman" w:cs="Times New Roman"/>
          <w:lang w:val="en-AU"/>
        </w:rPr>
        <w:t xml:space="preserve"> and DBM</w:t>
      </w:r>
      <w:r w:rsidR="78A61840" w:rsidRPr="00AC1AD8">
        <w:rPr>
          <w:rFonts w:ascii="Times New Roman" w:hAnsi="Times New Roman" w:cs="Times New Roman"/>
          <w:lang w:val="en-AU"/>
        </w:rPr>
        <w:t xml:space="preserve"> occurrence. </w:t>
      </w:r>
      <w:r w:rsidR="2BC85EF7" w:rsidRPr="00305AB3">
        <w:rPr>
          <w:rFonts w:ascii="Times New Roman" w:hAnsi="Times New Roman" w:cs="Times New Roman"/>
          <w:color w:val="0D0D0D"/>
          <w:shd w:val="clear" w:color="auto" w:fill="FFFFFF"/>
        </w:rPr>
        <w:t xml:space="preserve">In regions characterized by overall lower </w:t>
      </w:r>
      <w:r w:rsidR="00A16F55">
        <w:rPr>
          <w:rFonts w:ascii="Times New Roman" w:hAnsi="Times New Roman" w:cs="Times New Roman"/>
          <w:color w:val="0D0D0D"/>
          <w:shd w:val="clear" w:color="auto" w:fill="FFFFFF"/>
        </w:rPr>
        <w:t xml:space="preserve">NPP </w:t>
      </w:r>
      <w:r w:rsidR="2BC85EF7" w:rsidRPr="00305AB3">
        <w:rPr>
          <w:rFonts w:ascii="Times New Roman" w:hAnsi="Times New Roman" w:cs="Times New Roman"/>
          <w:color w:val="0D0D0D"/>
          <w:shd w:val="clear" w:color="auto" w:fill="FFFFFF"/>
        </w:rPr>
        <w:t xml:space="preserve">(Figure </w:t>
      </w:r>
      <w:r w:rsidR="007A4833">
        <w:rPr>
          <w:rFonts w:ascii="Times New Roman" w:hAnsi="Times New Roman" w:cs="Times New Roman"/>
          <w:color w:val="0D0D0D"/>
          <w:shd w:val="clear" w:color="auto" w:fill="FFFFFF"/>
        </w:rPr>
        <w:t>6</w:t>
      </w:r>
      <w:r w:rsidR="007A4833" w:rsidRPr="00305AB3">
        <w:rPr>
          <w:rFonts w:ascii="Times New Roman" w:hAnsi="Times New Roman" w:cs="Times New Roman"/>
          <w:color w:val="0D0D0D"/>
          <w:shd w:val="clear" w:color="auto" w:fill="FFFFFF"/>
        </w:rPr>
        <w:t>c</w:t>
      </w:r>
      <w:r w:rsidR="2BC85EF7" w:rsidRPr="00305AB3">
        <w:rPr>
          <w:rFonts w:ascii="Times New Roman" w:hAnsi="Times New Roman" w:cs="Times New Roman"/>
          <w:color w:val="0D0D0D"/>
          <w:shd w:val="clear" w:color="auto" w:fill="FFFFFF"/>
        </w:rPr>
        <w:t xml:space="preserve">), such as the Pacific and Atlantic sections of the Subtropical Zone (STZ), we find more subsurface production (Figure </w:t>
      </w:r>
      <w:r w:rsidR="007A4833">
        <w:rPr>
          <w:rFonts w:ascii="Times New Roman" w:hAnsi="Times New Roman" w:cs="Times New Roman"/>
          <w:color w:val="0D0D0D"/>
          <w:shd w:val="clear" w:color="auto" w:fill="FFFFFF"/>
        </w:rPr>
        <w:t>6</w:t>
      </w:r>
      <w:proofErr w:type="gramStart"/>
      <w:r w:rsidR="007A4833" w:rsidRPr="00305AB3">
        <w:rPr>
          <w:rFonts w:ascii="Times New Roman" w:hAnsi="Times New Roman" w:cs="Times New Roman"/>
          <w:color w:val="0D0D0D"/>
          <w:shd w:val="clear" w:color="auto" w:fill="FFFFFF"/>
        </w:rPr>
        <w:t>e</w:t>
      </w:r>
      <w:r w:rsidR="2BC85EF7" w:rsidRPr="00305AB3">
        <w:rPr>
          <w:rFonts w:ascii="Times New Roman" w:hAnsi="Times New Roman" w:cs="Times New Roman"/>
          <w:color w:val="0D0D0D"/>
          <w:shd w:val="clear" w:color="auto" w:fill="FFFFFF"/>
        </w:rPr>
        <w:t>,f</w:t>
      </w:r>
      <w:proofErr w:type="gramEnd"/>
      <w:r w:rsidR="2BC85EF7" w:rsidRPr="00305AB3">
        <w:rPr>
          <w:rFonts w:ascii="Times New Roman" w:hAnsi="Times New Roman" w:cs="Times New Roman"/>
          <w:color w:val="0D0D0D"/>
          <w:shd w:val="clear" w:color="auto" w:fill="FFFFFF"/>
        </w:rPr>
        <w:t xml:space="preserve">), particularly in areas with deeper DCMs and DBMs (Figure </w:t>
      </w:r>
      <w:r w:rsidR="007A4833">
        <w:rPr>
          <w:rFonts w:ascii="Times New Roman" w:hAnsi="Times New Roman" w:cs="Times New Roman"/>
          <w:color w:val="0D0D0D"/>
          <w:shd w:val="clear" w:color="auto" w:fill="FFFFFF"/>
        </w:rPr>
        <w:t>6</w:t>
      </w:r>
      <w:r w:rsidR="007A4833" w:rsidRPr="00305AB3">
        <w:rPr>
          <w:rFonts w:ascii="Times New Roman" w:hAnsi="Times New Roman" w:cs="Times New Roman"/>
          <w:color w:val="0D0D0D"/>
          <w:shd w:val="clear" w:color="auto" w:fill="FFFFFF"/>
        </w:rPr>
        <w:t>b</w:t>
      </w:r>
      <w:r w:rsidR="2BC85EF7" w:rsidRPr="00305AB3">
        <w:rPr>
          <w:rFonts w:ascii="Times New Roman" w:hAnsi="Times New Roman" w:cs="Times New Roman"/>
          <w:color w:val="0D0D0D"/>
          <w:shd w:val="clear" w:color="auto" w:fill="FFFFFF"/>
        </w:rPr>
        <w:t xml:space="preserve">), and lower surface nitrate (Figure </w:t>
      </w:r>
      <w:r w:rsidR="007A4833">
        <w:rPr>
          <w:rFonts w:ascii="Times New Roman" w:hAnsi="Times New Roman" w:cs="Times New Roman"/>
          <w:color w:val="0D0D0D"/>
          <w:shd w:val="clear" w:color="auto" w:fill="FFFFFF"/>
        </w:rPr>
        <w:t>6</w:t>
      </w:r>
      <w:r w:rsidR="007A4833" w:rsidRPr="00305AB3">
        <w:rPr>
          <w:rFonts w:ascii="Times New Roman" w:hAnsi="Times New Roman" w:cs="Times New Roman"/>
          <w:color w:val="0D0D0D"/>
          <w:shd w:val="clear" w:color="auto" w:fill="FFFFFF"/>
        </w:rPr>
        <w:t>d</w:t>
      </w:r>
      <w:r w:rsidR="2BC85EF7" w:rsidRPr="00305AB3">
        <w:rPr>
          <w:rFonts w:ascii="Times New Roman" w:hAnsi="Times New Roman" w:cs="Times New Roman"/>
          <w:color w:val="0D0D0D"/>
          <w:shd w:val="clear" w:color="auto" w:fill="FFFFFF"/>
        </w:rPr>
        <w:t xml:space="preserve">). </w:t>
      </w:r>
      <w:r w:rsidR="78A61840" w:rsidRPr="00AC1AD8">
        <w:rPr>
          <w:rFonts w:ascii="Times New Roman" w:hAnsi="Times New Roman" w:cs="Times New Roman"/>
          <w:lang w:val="en-AU"/>
        </w:rPr>
        <w:t xml:space="preserve">Thus, the influence of DCMs on the contribution of subsurface NPP increases when total NPP decreases. </w:t>
      </w:r>
      <w:r w:rsidR="00F916A6" w:rsidRPr="003D06F4">
        <w:rPr>
          <w:rFonts w:ascii="Times New Roman" w:hAnsi="Times New Roman" w:cs="Times New Roman"/>
        </w:rPr>
        <w:t>These general trends are true for both the mixed and the depth-resolved scenario, where NPP</w:t>
      </w:r>
      <w:r w:rsidR="00F916A6" w:rsidRPr="003D06F4">
        <w:rPr>
          <w:rFonts w:ascii="Times New Roman" w:hAnsi="Times New Roman" w:cs="Times New Roman"/>
          <w:vertAlign w:val="subscript"/>
        </w:rPr>
        <w:t>SUB</w:t>
      </w:r>
      <w:r w:rsidR="00F916A6" w:rsidRPr="003D06F4">
        <w:rPr>
          <w:rFonts w:ascii="Times New Roman" w:hAnsi="Times New Roman" w:cs="Times New Roman"/>
        </w:rPr>
        <w:t xml:space="preserve"> is generally higher when DCMs and DBMs are present</w:t>
      </w:r>
      <w:r w:rsidR="00F916A6">
        <w:rPr>
          <w:rFonts w:ascii="Times New Roman" w:hAnsi="Times New Roman" w:cs="Times New Roman"/>
        </w:rPr>
        <w:t xml:space="preserve"> (Table S3). </w:t>
      </w:r>
    </w:p>
    <w:p w14:paraId="0C1D3E66" w14:textId="77777777" w:rsidR="00AD4A62" w:rsidRDefault="00AD4A62" w:rsidP="0047716D">
      <w:pPr>
        <w:pStyle w:val="ListParagraph"/>
        <w:snapToGrid w:val="0"/>
        <w:spacing w:line="360" w:lineRule="auto"/>
        <w:ind w:left="0"/>
        <w:contextualSpacing w:val="0"/>
        <w:jc w:val="both"/>
        <w:rPr>
          <w:rFonts w:ascii="Times New Roman" w:hAnsi="Times New Roman" w:cs="Times New Roman"/>
          <w:lang w:val="en-AU"/>
        </w:rPr>
      </w:pPr>
    </w:p>
    <w:p w14:paraId="3108AF72" w14:textId="597A44D9" w:rsidR="00AD4A62" w:rsidRPr="00541A80" w:rsidRDefault="052B0AD9" w:rsidP="00AD4A62">
      <w:pPr>
        <w:snapToGrid w:val="0"/>
        <w:spacing w:line="360" w:lineRule="auto"/>
        <w:jc w:val="both"/>
      </w:pPr>
      <w:r w:rsidRPr="7AD2586B">
        <w:rPr>
          <w:rFonts w:eastAsiaTheme="minorEastAsia"/>
          <w:color w:val="000000" w:themeColor="text1"/>
          <w:lang w:val="en-GB" w:eastAsia="en-US"/>
        </w:rPr>
        <w:t xml:space="preserve">We find no significant correlations with surface </w:t>
      </w:r>
      <w:r>
        <w:t>NO</w:t>
      </w:r>
      <w:r w:rsidRPr="7AD2586B">
        <w:rPr>
          <w:vertAlign w:val="subscript"/>
        </w:rPr>
        <w:t>3</w:t>
      </w:r>
      <w:r>
        <w:t xml:space="preserve">, and we find that DCMs and DBMs occur, even when </w:t>
      </w:r>
      <w:r w:rsidRPr="7AD2586B">
        <w:rPr>
          <w:rFonts w:eastAsiaTheme="minorEastAsia"/>
          <w:color w:val="000000" w:themeColor="text1"/>
          <w:lang w:val="en-GB" w:eastAsia="en-US"/>
        </w:rPr>
        <w:t xml:space="preserve">surface </w:t>
      </w:r>
      <w:r>
        <w:t>NO</w:t>
      </w:r>
      <w:r w:rsidRPr="7AD2586B">
        <w:rPr>
          <w:vertAlign w:val="subscript"/>
        </w:rPr>
        <w:t xml:space="preserve">3 </w:t>
      </w:r>
      <w:r>
        <w:t>is high, indicat</w:t>
      </w:r>
      <w:r w:rsidR="009F78FB">
        <w:t>ing</w:t>
      </w:r>
      <w:r>
        <w:t xml:space="preserve"> iron limitation in HNLC areas in the Southern Ocean (Figures S6-S11)</w:t>
      </w:r>
      <w:r w:rsidRPr="7AD2586B">
        <w:rPr>
          <w:rFonts w:eastAsiaTheme="minorEastAsia"/>
          <w:color w:val="000000" w:themeColor="text1"/>
          <w:lang w:val="en-GB" w:eastAsia="en-US"/>
        </w:rPr>
        <w:t xml:space="preserve">. Not surprisingly, we find positive correlations between </w:t>
      </w:r>
      <w:r>
        <w:t>NPP</w:t>
      </w:r>
      <w:r w:rsidRPr="7AD2586B">
        <w:rPr>
          <w:vertAlign w:val="subscript"/>
        </w:rPr>
        <w:t xml:space="preserve">SUB </w:t>
      </w:r>
      <w:r w:rsidRPr="7AD2586B">
        <w:rPr>
          <w:rFonts w:eastAsiaTheme="minorEastAsia"/>
          <w:color w:val="000000" w:themeColor="text1"/>
          <w:lang w:val="en-GB" w:eastAsia="en-US"/>
        </w:rPr>
        <w:t>(ALL, DCM and DBM) and light (</w:t>
      </w:r>
      <w:r>
        <w:t>PAR</w:t>
      </w:r>
      <w:r w:rsidRPr="7AD2586B">
        <w:rPr>
          <w:vertAlign w:val="subscript"/>
        </w:rPr>
        <w:t>MLD</w:t>
      </w:r>
      <w:r w:rsidRPr="7AD2586B">
        <w:rPr>
          <w:rFonts w:eastAsiaTheme="minorEastAsia"/>
          <w:color w:val="000000" w:themeColor="text1"/>
          <w:lang w:val="en-GB" w:eastAsia="en-US"/>
        </w:rPr>
        <w:t xml:space="preserve"> only, not </w:t>
      </w:r>
      <w:r>
        <w:t>D</w:t>
      </w:r>
      <w:r w:rsidRPr="7AD2586B">
        <w:rPr>
          <w:vertAlign w:val="subscript"/>
        </w:rPr>
        <w:t>eu</w:t>
      </w:r>
      <w:r w:rsidRPr="7AD2586B">
        <w:rPr>
          <w:rFonts w:eastAsiaTheme="minorEastAsia"/>
          <w:color w:val="000000" w:themeColor="text1"/>
          <w:lang w:val="en-GB" w:eastAsia="en-US"/>
        </w:rPr>
        <w:t xml:space="preserve">), but these are significant only in the PAZ (Table S4). </w:t>
      </w:r>
      <w:r>
        <w:t>See SI for additional figures and results (Figures S6-S11; Tables S4 and S5). We find that DCMs occur across the Southern Ocean, where light and iron are limiting. The %NPP</w:t>
      </w:r>
      <w:r w:rsidRPr="7AD2586B">
        <w:rPr>
          <w:vertAlign w:val="subscript"/>
        </w:rPr>
        <w:t xml:space="preserve">SUB </w:t>
      </w:r>
      <w:r>
        <w:t xml:space="preserve">is higher at low latitudes, where DCMs are deeper and total NPP is low (Figure </w:t>
      </w:r>
      <w:r w:rsidR="007A4833">
        <w:t>6</w:t>
      </w:r>
      <w:r>
        <w:t xml:space="preserve">).  </w:t>
      </w:r>
    </w:p>
    <w:p w14:paraId="3CC0F429" w14:textId="77777777" w:rsidR="001846D8" w:rsidRPr="001846D8" w:rsidRDefault="001846D8" w:rsidP="0053305D">
      <w:pPr>
        <w:pStyle w:val="ListParagraph"/>
        <w:snapToGrid w:val="0"/>
        <w:spacing w:line="360" w:lineRule="auto"/>
        <w:ind w:left="0"/>
        <w:contextualSpacing w:val="0"/>
        <w:jc w:val="both"/>
        <w:rPr>
          <w:rFonts w:ascii="Times New Roman" w:hAnsi="Times New Roman" w:cs="Times New Roman"/>
        </w:rPr>
      </w:pPr>
    </w:p>
    <w:p w14:paraId="74844B3F" w14:textId="77777777" w:rsidR="0064459C" w:rsidRPr="00AC1AD8" w:rsidRDefault="0064459C" w:rsidP="0064459C">
      <w:pPr>
        <w:snapToGrid w:val="0"/>
        <w:spacing w:line="360" w:lineRule="auto"/>
        <w:jc w:val="both"/>
      </w:pPr>
      <w:r>
        <w:rPr>
          <w:noProof/>
        </w:rPr>
        <w:lastRenderedPageBreak/>
        <w:drawing>
          <wp:inline distT="0" distB="0" distL="0" distR="0" wp14:anchorId="6104ED81" wp14:editId="7195ED43">
            <wp:extent cx="5597236" cy="7572887"/>
            <wp:effectExtent l="0" t="0" r="3810" b="0"/>
            <wp:docPr id="1674452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45261" name="Picture 167445261"/>
                    <pic:cNvPicPr/>
                  </pic:nvPicPr>
                  <pic:blipFill rotWithShape="1">
                    <a:blip r:embed="rId16">
                      <a:extLst>
                        <a:ext uri="{28A0092B-C50C-407E-A947-70E740481C1C}">
                          <a14:useLocalDpi xmlns:a14="http://schemas.microsoft.com/office/drawing/2010/main" val="0"/>
                        </a:ext>
                      </a:extLst>
                    </a:blip>
                    <a:srcRect l="5529" t="10285" r="53244" b="10778"/>
                    <a:stretch/>
                  </pic:blipFill>
                  <pic:spPr bwMode="auto">
                    <a:xfrm>
                      <a:off x="0" y="0"/>
                      <a:ext cx="5608489" cy="7588112"/>
                    </a:xfrm>
                    <a:prstGeom prst="rect">
                      <a:avLst/>
                    </a:prstGeom>
                    <a:ln>
                      <a:noFill/>
                    </a:ln>
                    <a:extLst>
                      <a:ext uri="{53640926-AAD7-44D8-BBD7-CCE9431645EC}">
                        <a14:shadowObscured xmlns:a14="http://schemas.microsoft.com/office/drawing/2010/main"/>
                      </a:ext>
                    </a:extLst>
                  </pic:spPr>
                </pic:pic>
              </a:graphicData>
            </a:graphic>
          </wp:inline>
        </w:drawing>
      </w:r>
    </w:p>
    <w:p w14:paraId="1247A155" w14:textId="6EBDA470" w:rsidR="0064459C" w:rsidRDefault="1F1700FB" w:rsidP="0064459C">
      <w:pPr>
        <w:snapToGrid w:val="0"/>
        <w:spacing w:line="360" w:lineRule="auto"/>
        <w:jc w:val="both"/>
      </w:pPr>
      <w:r>
        <w:t xml:space="preserve">Figure </w:t>
      </w:r>
      <w:r w:rsidR="007A4833">
        <w:t>6</w:t>
      </w:r>
      <w:r>
        <w:t>. Spatial distribution of (a) MLD for all profiles with and without a DCM, (b) DCM depth (</w:t>
      </w:r>
      <w:proofErr w:type="spellStart"/>
      <w:r>
        <w:t>DCM</w:t>
      </w:r>
      <w:r w:rsidRPr="1FDB3CBA">
        <w:rPr>
          <w:vertAlign w:val="subscript"/>
        </w:rPr>
        <w:t>z</w:t>
      </w:r>
      <w:proofErr w:type="spellEnd"/>
      <w:r>
        <w:t>) (c) total integrated NPP</w:t>
      </w:r>
      <w:r w:rsidR="00F9352D">
        <w:t xml:space="preserve"> for all float profiles</w:t>
      </w:r>
      <w:r>
        <w:t>, (d) surface nitrate averaged over the upper 20m (e) the</w:t>
      </w:r>
      <w:r w:rsidR="00F9352D">
        <w:t xml:space="preserve"> </w:t>
      </w:r>
      <w:r>
        <w:t>contribution of NPP</w:t>
      </w:r>
      <w:r w:rsidRPr="1FDB3CBA">
        <w:rPr>
          <w:vertAlign w:val="subscript"/>
        </w:rPr>
        <w:t>SUB</w:t>
      </w:r>
      <w:r w:rsidRPr="1FDB3CBA">
        <w:rPr>
          <w:color w:val="000000" w:themeColor="text1"/>
        </w:rPr>
        <w:t xml:space="preserve"> </w:t>
      </w:r>
      <w:r>
        <w:t xml:space="preserve">to total NPP </w:t>
      </w:r>
      <w:r w:rsidR="00F9352D">
        <w:t>(%) for all float profiles</w:t>
      </w:r>
      <w:r>
        <w:t>, (f) the</w:t>
      </w:r>
      <w:r w:rsidR="00F9352D">
        <w:t xml:space="preserve"> </w:t>
      </w:r>
      <w:r>
        <w:t xml:space="preserve"> contribution of NPP</w:t>
      </w:r>
      <w:r w:rsidRPr="1FDB3CBA">
        <w:rPr>
          <w:vertAlign w:val="subscript"/>
        </w:rPr>
        <w:t>SUB</w:t>
      </w:r>
      <w:r w:rsidRPr="1FDB3CBA">
        <w:rPr>
          <w:color w:val="000000" w:themeColor="text1"/>
        </w:rPr>
        <w:t xml:space="preserve"> </w:t>
      </w:r>
      <w:r>
        <w:t xml:space="preserve">to total NPP </w:t>
      </w:r>
      <w:r w:rsidR="00F9352D">
        <w:t xml:space="preserve">(%) </w:t>
      </w:r>
      <w:r>
        <w:t>when a DCM and DBM is present, (</w:t>
      </w:r>
      <w:r w:rsidR="00F751FD">
        <w:t>g</w:t>
      </w:r>
      <w:r>
        <w:t>) below-mixed-</w:t>
      </w:r>
      <w:r>
        <w:lastRenderedPageBreak/>
        <w:t xml:space="preserve">layer NPP for all </w:t>
      </w:r>
      <w:r w:rsidR="00715593">
        <w:t xml:space="preserve">float </w:t>
      </w:r>
      <w:r>
        <w:t>profiles</w:t>
      </w:r>
      <w:r w:rsidR="00D81F48">
        <w:t xml:space="preserve"> (</w:t>
      </w:r>
      <w:r w:rsidR="00D81F48" w:rsidRPr="009F2BE8">
        <w:t>mg C m</w:t>
      </w:r>
      <w:r w:rsidR="00D81F48" w:rsidRPr="009F2BE8">
        <w:rPr>
          <w:vertAlign w:val="superscript"/>
        </w:rPr>
        <w:t xml:space="preserve">-2 </w:t>
      </w:r>
      <w:r w:rsidR="00D81F48" w:rsidRPr="009F2BE8">
        <w:t>day</w:t>
      </w:r>
      <w:r w:rsidR="00D81F48" w:rsidRPr="009F2BE8">
        <w:rPr>
          <w:vertAlign w:val="superscript"/>
        </w:rPr>
        <w:t>-1</w:t>
      </w:r>
      <w:r w:rsidR="00D81F48">
        <w:t>)</w:t>
      </w:r>
      <w:r>
        <w:t>, and (</w:t>
      </w:r>
      <w:r w:rsidR="00F751FD">
        <w:t>h</w:t>
      </w:r>
      <w:r>
        <w:t xml:space="preserve">) below-mixed-layer NPP in the presence of a </w:t>
      </w:r>
      <w:r w:rsidR="00715593">
        <w:t xml:space="preserve">DCM and a </w:t>
      </w:r>
      <w:r>
        <w:t>DB</w:t>
      </w:r>
      <w:r w:rsidR="00715593">
        <w:t>M</w:t>
      </w:r>
      <w:r w:rsidR="00D81F48">
        <w:t xml:space="preserve"> (</w:t>
      </w:r>
      <w:r w:rsidR="00D81F48" w:rsidRPr="009F2BE8">
        <w:t>mg C m</w:t>
      </w:r>
      <w:r w:rsidR="00D81F48" w:rsidRPr="009F2BE8">
        <w:rPr>
          <w:vertAlign w:val="superscript"/>
        </w:rPr>
        <w:t xml:space="preserve">-2 </w:t>
      </w:r>
      <w:r w:rsidR="00D81F48" w:rsidRPr="009F2BE8">
        <w:t>day</w:t>
      </w:r>
      <w:r w:rsidR="00D81F48" w:rsidRPr="009F2BE8">
        <w:rPr>
          <w:vertAlign w:val="superscript"/>
        </w:rPr>
        <w:t>-1</w:t>
      </w:r>
      <w:r w:rsidR="00D81F48">
        <w:t>)</w:t>
      </w:r>
      <w:r>
        <w:t xml:space="preserve">. The black lines represent the polar front, the sub-Antarctic front, and the sub-tropical front. The dashed black line shows the limit of the sea-ice zone. </w:t>
      </w:r>
    </w:p>
    <w:p w14:paraId="7CB8F18C" w14:textId="34F89BC8" w:rsidR="00AF0D92" w:rsidRPr="009F2BE8" w:rsidRDefault="00AF0D92" w:rsidP="0053305D">
      <w:pPr>
        <w:pStyle w:val="ListParagraph"/>
        <w:snapToGrid w:val="0"/>
        <w:spacing w:line="360" w:lineRule="auto"/>
        <w:ind w:left="0"/>
        <w:contextualSpacing w:val="0"/>
        <w:jc w:val="both"/>
        <w:rPr>
          <w:rFonts w:ascii="Times New Roman" w:hAnsi="Times New Roman" w:cs="Times New Roman"/>
          <w:lang w:val="en-AU"/>
        </w:rPr>
      </w:pPr>
    </w:p>
    <w:p w14:paraId="37C8F7B8" w14:textId="08C8D3AA" w:rsidR="00C91265" w:rsidRPr="00AC1AD8" w:rsidRDefault="00347BBB" w:rsidP="0053305D">
      <w:pPr>
        <w:snapToGrid w:val="0"/>
        <w:spacing w:line="360" w:lineRule="auto"/>
        <w:jc w:val="both"/>
      </w:pPr>
      <w:r>
        <w:rPr>
          <w:noProof/>
        </w:rPr>
        <w:drawing>
          <wp:inline distT="0" distB="0" distL="0" distR="0" wp14:anchorId="2301E83A" wp14:editId="34B1F634">
            <wp:extent cx="5360894" cy="5565104"/>
            <wp:effectExtent l="0" t="0" r="0" b="0"/>
            <wp:docPr id="4345613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561360" name="Picture 434561360"/>
                    <pic:cNvPicPr/>
                  </pic:nvPicPr>
                  <pic:blipFill rotWithShape="1">
                    <a:blip r:embed="rId17">
                      <a:extLst>
                        <a:ext uri="{28A0092B-C50C-407E-A947-70E740481C1C}">
                          <a14:useLocalDpi xmlns:a14="http://schemas.microsoft.com/office/drawing/2010/main" val="0"/>
                        </a:ext>
                      </a:extLst>
                    </a:blip>
                    <a:srcRect t="14166" r="50731" b="13453"/>
                    <a:stretch/>
                  </pic:blipFill>
                  <pic:spPr bwMode="auto">
                    <a:xfrm>
                      <a:off x="0" y="0"/>
                      <a:ext cx="5366118" cy="5570527"/>
                    </a:xfrm>
                    <a:prstGeom prst="rect">
                      <a:avLst/>
                    </a:prstGeom>
                    <a:ln>
                      <a:noFill/>
                    </a:ln>
                    <a:extLst>
                      <a:ext uri="{53640926-AAD7-44D8-BBD7-CCE9431645EC}">
                        <a14:shadowObscured xmlns:a14="http://schemas.microsoft.com/office/drawing/2010/main"/>
                      </a:ext>
                    </a:extLst>
                  </pic:spPr>
                </pic:pic>
              </a:graphicData>
            </a:graphic>
          </wp:inline>
        </w:drawing>
      </w:r>
    </w:p>
    <w:p w14:paraId="3F531955" w14:textId="7A8C4D73" w:rsidR="002C20D3" w:rsidRDefault="3CF3B1D6" w:rsidP="0053305D">
      <w:pPr>
        <w:snapToGrid w:val="0"/>
        <w:spacing w:line="360" w:lineRule="auto"/>
        <w:jc w:val="both"/>
      </w:pPr>
      <w:r>
        <w:t xml:space="preserve">Figure </w:t>
      </w:r>
      <w:r w:rsidR="007A4833">
        <w:t>7</w:t>
      </w:r>
      <w:r>
        <w:t xml:space="preserve">. </w:t>
      </w:r>
      <w:r w:rsidR="29536A99">
        <w:t>Violin</w:t>
      </w:r>
      <w:r w:rsidR="583751D8">
        <w:t xml:space="preserve"> plots</w:t>
      </w:r>
      <w:r w:rsidR="5269E136">
        <w:t xml:space="preserve"> </w:t>
      </w:r>
      <w:r w:rsidR="0FE7234D">
        <w:t>for the four frontal zones</w:t>
      </w:r>
      <w:r w:rsidR="529BC2D6">
        <w:t>, showing</w:t>
      </w:r>
      <w:r w:rsidR="1B6C6BD6">
        <w:t>: (</w:t>
      </w:r>
      <w:r w:rsidR="64EA9355">
        <w:t xml:space="preserve">a) </w:t>
      </w:r>
      <w:r w:rsidR="238E0DDD">
        <w:t>NPP below the MLD when DCMs occur</w:t>
      </w:r>
      <w:r w:rsidR="00597D47">
        <w:t xml:space="preserve"> (</w:t>
      </w:r>
      <w:r w:rsidR="00597D47" w:rsidRPr="009F2BE8">
        <w:t>mg C m</w:t>
      </w:r>
      <w:r w:rsidR="00597D47" w:rsidRPr="009F2BE8">
        <w:rPr>
          <w:vertAlign w:val="superscript"/>
        </w:rPr>
        <w:t xml:space="preserve">-2 </w:t>
      </w:r>
      <w:r w:rsidR="00597D47" w:rsidRPr="009F2BE8">
        <w:t>day</w:t>
      </w:r>
      <w:r w:rsidR="00597D47" w:rsidRPr="009F2BE8">
        <w:rPr>
          <w:vertAlign w:val="superscript"/>
        </w:rPr>
        <w:t>-1</w:t>
      </w:r>
      <w:r w:rsidR="00597D47">
        <w:t>)</w:t>
      </w:r>
      <w:r w:rsidR="238E0DDD">
        <w:t>, (</w:t>
      </w:r>
      <w:r w:rsidR="15E24F8F">
        <w:t>b</w:t>
      </w:r>
      <w:r w:rsidR="238E0DDD">
        <w:t>) the contribution to total NPP from NPP below the MLD</w:t>
      </w:r>
      <w:r w:rsidR="15E24F8F">
        <w:t xml:space="preserve"> expressed as a percentage</w:t>
      </w:r>
      <w:r w:rsidR="238E0DDD">
        <w:t xml:space="preserve">, </w:t>
      </w:r>
      <w:r w:rsidR="15E24F8F">
        <w:t xml:space="preserve">(c) the </w:t>
      </w:r>
      <w:r w:rsidR="64EA9355">
        <w:t>contribution</w:t>
      </w:r>
      <w:r w:rsidR="29536A99">
        <w:t xml:space="preserve"> </w:t>
      </w:r>
      <w:r w:rsidR="441D881F">
        <w:t xml:space="preserve">of NPP </w:t>
      </w:r>
      <w:r w:rsidR="1526B264">
        <w:t>at the</w:t>
      </w:r>
      <w:r w:rsidR="441D881F">
        <w:t xml:space="preserve"> DCM </w:t>
      </w:r>
      <w:r w:rsidR="29536A99">
        <w:t>to total NPP</w:t>
      </w:r>
      <w:r w:rsidR="15E24F8F">
        <w:t xml:space="preserve"> (%)</w:t>
      </w:r>
      <w:r w:rsidR="29536A99">
        <w:t>, (</w:t>
      </w:r>
      <w:r w:rsidR="15E24F8F">
        <w:t>d</w:t>
      </w:r>
      <w:r w:rsidR="29536A99">
        <w:t xml:space="preserve">) </w:t>
      </w:r>
      <w:r w:rsidR="1526B264">
        <w:t xml:space="preserve">the </w:t>
      </w:r>
      <w:r w:rsidR="441D881F">
        <w:t xml:space="preserve">contribution of NPP </w:t>
      </w:r>
      <w:r w:rsidR="1526B264">
        <w:t>at the</w:t>
      </w:r>
      <w:r w:rsidR="441D881F">
        <w:t xml:space="preserve"> DBM to total NPP</w:t>
      </w:r>
      <w:r w:rsidR="15E24F8F">
        <w:t xml:space="preserve"> (%)</w:t>
      </w:r>
      <w:r w:rsidR="29536A99">
        <w:t xml:space="preserve">, </w:t>
      </w:r>
      <w:r w:rsidR="1B6C6BD6">
        <w:t xml:space="preserve"> </w:t>
      </w:r>
      <w:r w:rsidR="1526B264">
        <w:t xml:space="preserve">(e) the contribution </w:t>
      </w:r>
      <w:r w:rsidR="00597D47">
        <w:t xml:space="preserve">of NPP below the MLD </w:t>
      </w:r>
      <w:r w:rsidR="2B32005E">
        <w:t>to total NPP</w:t>
      </w:r>
      <w:r w:rsidR="007E6954">
        <w:t xml:space="preserve"> (%) </w:t>
      </w:r>
      <w:r w:rsidR="2B32005E">
        <w:t xml:space="preserve"> </w:t>
      </w:r>
      <w:r w:rsidR="1526B264">
        <w:t xml:space="preserve">for all profiles with and without DCMs and DBMs. </w:t>
      </w:r>
      <w:r w:rsidR="4F596D63">
        <w:t>The shade</w:t>
      </w:r>
      <w:r w:rsidR="5FC2A6B8">
        <w:t>d</w:t>
      </w:r>
      <w:r w:rsidR="4F596D63">
        <w:t xml:space="preserve"> area shows the distribution of data for each group, the darker shade is the interquartile range, the </w:t>
      </w:r>
      <w:r w:rsidR="6D963477">
        <w:t xml:space="preserve">coloured </w:t>
      </w:r>
      <w:r w:rsidR="4F596D63">
        <w:t>horizontal line is the mean value</w:t>
      </w:r>
      <w:r w:rsidR="52FF7C13">
        <w:t>, and the white circle is the median value</w:t>
      </w:r>
      <w:r w:rsidR="4F596D63">
        <w:t xml:space="preserve">. </w:t>
      </w:r>
      <w:r w:rsidR="6D963477">
        <w:t>Panel (</w:t>
      </w:r>
      <w:r w:rsidR="1526B264">
        <w:t>f</w:t>
      </w:r>
      <w:r w:rsidR="6D963477">
        <w:t>) shows</w:t>
      </w:r>
      <w:r w:rsidR="009D2019">
        <w:t xml:space="preserve"> all the float profiles </w:t>
      </w:r>
      <w:r w:rsidR="00347BBB">
        <w:lastRenderedPageBreak/>
        <w:t xml:space="preserve">with a DCM </w:t>
      </w:r>
      <w:r w:rsidR="009D2019">
        <w:t xml:space="preserve">in each </w:t>
      </w:r>
      <w:r w:rsidR="6D963477">
        <w:t>frontal zone</w:t>
      </w:r>
      <w:r w:rsidR="009D2019">
        <w:t>.</w:t>
      </w:r>
      <w:r w:rsidR="6D963477">
        <w:t xml:space="preserve"> </w:t>
      </w:r>
      <w:r w:rsidR="75163E23">
        <w:t>The extended version of this figure is presented in figure S5</w:t>
      </w:r>
      <w:r w:rsidR="606042A9">
        <w:t>;</w:t>
      </w:r>
      <w:r w:rsidR="75163E23">
        <w:t xml:space="preserve"> it includes </w:t>
      </w:r>
      <w:r w:rsidR="00715593">
        <w:t>all</w:t>
      </w:r>
      <w:r w:rsidR="75163E23">
        <w:t xml:space="preserve"> NPP</w:t>
      </w:r>
      <w:r w:rsidR="75163E23" w:rsidRPr="1FDB3CBA">
        <w:rPr>
          <w:vertAlign w:val="subscript"/>
        </w:rPr>
        <w:t>SUB</w:t>
      </w:r>
      <w:r w:rsidR="75163E23">
        <w:t xml:space="preserve"> estimates</w:t>
      </w:r>
      <w:r w:rsidR="00715593">
        <w:t>, and their contributions to total NPP,</w:t>
      </w:r>
      <w:r w:rsidR="75163E23">
        <w:t xml:space="preserve"> for all frontal zones. </w:t>
      </w:r>
    </w:p>
    <w:p w14:paraId="4A48AA08" w14:textId="77777777" w:rsidR="00185892" w:rsidRPr="00BE40CE" w:rsidRDefault="00185892" w:rsidP="00185892">
      <w:pPr>
        <w:snapToGrid w:val="0"/>
        <w:spacing w:line="360" w:lineRule="auto"/>
        <w:jc w:val="both"/>
      </w:pPr>
    </w:p>
    <w:p w14:paraId="781CF463" w14:textId="2D6BA7D2" w:rsidR="00AF41A4" w:rsidRDefault="00AF41A4" w:rsidP="00AF41A4">
      <w:pPr>
        <w:snapToGrid w:val="0"/>
        <w:spacing w:line="360" w:lineRule="auto"/>
        <w:ind w:firstLine="720"/>
        <w:jc w:val="both"/>
        <w:rPr>
          <w:b/>
          <w:bCs/>
        </w:rPr>
      </w:pPr>
      <w:r>
        <w:rPr>
          <w:b/>
          <w:bCs/>
        </w:rPr>
        <w:t xml:space="preserve">3.4. </w:t>
      </w:r>
      <w:r w:rsidR="00B22282">
        <w:rPr>
          <w:b/>
          <w:bCs/>
        </w:rPr>
        <w:t>How do satellites represent NPP associated with DCMs and DBMs?</w:t>
      </w:r>
    </w:p>
    <w:p w14:paraId="09D87E54" w14:textId="77777777" w:rsidR="00AF41A4" w:rsidRDefault="00AF41A4" w:rsidP="00AF41A4">
      <w:pPr>
        <w:snapToGrid w:val="0"/>
        <w:spacing w:line="360" w:lineRule="auto"/>
        <w:jc w:val="both"/>
      </w:pPr>
    </w:p>
    <w:p w14:paraId="58F4CF20" w14:textId="76015799" w:rsidR="00560337" w:rsidRDefault="6486E7A5">
      <w:pPr>
        <w:pStyle w:val="ListParagraph"/>
        <w:spacing w:line="360" w:lineRule="auto"/>
        <w:ind w:left="0"/>
        <w:jc w:val="both"/>
        <w:rPr>
          <w:rFonts w:ascii="Times New Roman" w:hAnsi="Times New Roman" w:cs="Times New Roman"/>
        </w:rPr>
      </w:pPr>
      <w:r w:rsidRPr="1FDB3CBA">
        <w:rPr>
          <w:rFonts w:ascii="Times New Roman" w:hAnsi="Times New Roman" w:cs="Times New Roman"/>
        </w:rPr>
        <w:t xml:space="preserve">The </w:t>
      </w:r>
      <w:proofErr w:type="spellStart"/>
      <w:r w:rsidRPr="1FDB3CBA">
        <w:rPr>
          <w:rFonts w:ascii="Times New Roman" w:hAnsi="Times New Roman" w:cs="Times New Roman"/>
        </w:rPr>
        <w:t>CbPM</w:t>
      </w:r>
      <w:proofErr w:type="spellEnd"/>
      <w:r w:rsidRPr="1FDB3CBA">
        <w:rPr>
          <w:rFonts w:ascii="Times New Roman" w:hAnsi="Times New Roman" w:cs="Times New Roman"/>
        </w:rPr>
        <w:t xml:space="preserve"> satellite algorithm doesn’t explicitly account for DCMs or DBMs, but it does use the </w:t>
      </w:r>
      <w:proofErr w:type="spellStart"/>
      <w:r w:rsidRPr="1FDB3CBA">
        <w:rPr>
          <w:rFonts w:ascii="Times New Roman" w:hAnsi="Times New Roman" w:cs="Times New Roman"/>
        </w:rPr>
        <w:t>chl:C</w:t>
      </w:r>
      <w:proofErr w:type="spellEnd"/>
      <w:r w:rsidRPr="1FDB3CBA">
        <w:rPr>
          <w:rFonts w:ascii="Times New Roman" w:hAnsi="Times New Roman" w:cs="Times New Roman"/>
        </w:rPr>
        <w:t xml:space="preserve"> carbon ratio to mimic what happens below the ML. </w:t>
      </w:r>
      <w:proofErr w:type="gramStart"/>
      <w:r w:rsidRPr="1FDB3CBA">
        <w:rPr>
          <w:rFonts w:ascii="Times New Roman" w:hAnsi="Times New Roman" w:cs="Times New Roman"/>
        </w:rPr>
        <w:t>In order to</w:t>
      </w:r>
      <w:proofErr w:type="gramEnd"/>
      <w:r w:rsidRPr="1FDB3CBA">
        <w:rPr>
          <w:rFonts w:ascii="Times New Roman" w:hAnsi="Times New Roman" w:cs="Times New Roman"/>
        </w:rPr>
        <w:t xml:space="preserve"> investigate how well it does when DCMs/DBMs are present, we </w:t>
      </w:r>
      <w:r w:rsidR="5D9F8F62" w:rsidRPr="1FDB3CBA">
        <w:rPr>
          <w:rFonts w:ascii="Times New Roman" w:hAnsi="Times New Roman" w:cs="Times New Roman"/>
        </w:rPr>
        <w:t xml:space="preserve">compare our </w:t>
      </w:r>
      <w:r w:rsidRPr="1FDB3CBA">
        <w:rPr>
          <w:rFonts w:ascii="Times New Roman" w:hAnsi="Times New Roman" w:cs="Times New Roman"/>
        </w:rPr>
        <w:t xml:space="preserve">Argo-derived </w:t>
      </w:r>
      <w:r w:rsidR="5D9F8F62" w:rsidRPr="1FDB3CBA">
        <w:rPr>
          <w:rFonts w:ascii="Times New Roman" w:hAnsi="Times New Roman" w:cs="Times New Roman"/>
        </w:rPr>
        <w:t xml:space="preserve">NPP estimates to </w:t>
      </w:r>
      <w:r w:rsidRPr="1FDB3CBA">
        <w:rPr>
          <w:rFonts w:ascii="Times New Roman" w:hAnsi="Times New Roman" w:cs="Times New Roman"/>
        </w:rPr>
        <w:t>estimates that use the same assumptions as the</w:t>
      </w:r>
      <w:r w:rsidR="5D9F8F62" w:rsidRPr="1FDB3CBA">
        <w:rPr>
          <w:rFonts w:ascii="Times New Roman" w:hAnsi="Times New Roman" w:cs="Times New Roman"/>
        </w:rPr>
        <w:t xml:space="preserve"> satellite </w:t>
      </w:r>
      <w:r w:rsidRPr="1FDB3CBA">
        <w:rPr>
          <w:rFonts w:ascii="Times New Roman" w:hAnsi="Times New Roman" w:cs="Times New Roman"/>
        </w:rPr>
        <w:t xml:space="preserve">algorithms, but with mixed-layer </w:t>
      </w:r>
      <w:proofErr w:type="spellStart"/>
      <w:r w:rsidRPr="1FDB3CBA">
        <w:rPr>
          <w:rFonts w:ascii="Times New Roman" w:hAnsi="Times New Roman" w:cs="Times New Roman"/>
        </w:rPr>
        <w:t>chl</w:t>
      </w:r>
      <w:proofErr w:type="spellEnd"/>
      <w:r w:rsidRPr="1FDB3CBA">
        <w:rPr>
          <w:rFonts w:ascii="Times New Roman" w:hAnsi="Times New Roman" w:cs="Times New Roman"/>
        </w:rPr>
        <w:t xml:space="preserve"> and carbon estimates from the Argo floats, so that results are directly comparable</w:t>
      </w:r>
      <w:r w:rsidR="5D9F8F62" w:rsidRPr="1FDB3CBA">
        <w:rPr>
          <w:rFonts w:ascii="Times New Roman" w:hAnsi="Times New Roman" w:cs="Times New Roman"/>
        </w:rPr>
        <w:t xml:space="preserve"> (NPP</w:t>
      </w:r>
      <w:r w:rsidR="5D9F8F62" w:rsidRPr="1FDB3CBA">
        <w:rPr>
          <w:rFonts w:ascii="Times New Roman" w:hAnsi="Times New Roman" w:cs="Times New Roman"/>
          <w:vertAlign w:val="subscript"/>
        </w:rPr>
        <w:t>SAT</w:t>
      </w:r>
      <w:r w:rsidR="5D9F8F62" w:rsidRPr="1FDB3CBA">
        <w:rPr>
          <w:rFonts w:ascii="Times New Roman" w:hAnsi="Times New Roman" w:cs="Times New Roman"/>
        </w:rPr>
        <w:t>; see Methods</w:t>
      </w:r>
      <w:r w:rsidRPr="1FDB3CBA">
        <w:rPr>
          <w:rFonts w:ascii="Times New Roman" w:hAnsi="Times New Roman" w:cs="Times New Roman"/>
        </w:rPr>
        <w:t xml:space="preserve"> section </w:t>
      </w:r>
      <w:r w:rsidR="7A999E45" w:rsidRPr="1FDB3CBA">
        <w:rPr>
          <w:rFonts w:ascii="Times New Roman" w:hAnsi="Times New Roman" w:cs="Times New Roman"/>
        </w:rPr>
        <w:t>2.6</w:t>
      </w:r>
      <w:r w:rsidR="5D9F8F62" w:rsidRPr="1FDB3CBA">
        <w:rPr>
          <w:rFonts w:ascii="Times New Roman" w:hAnsi="Times New Roman" w:cs="Times New Roman"/>
        </w:rPr>
        <w:t xml:space="preserve">). </w:t>
      </w:r>
      <w:r w:rsidR="627206F4" w:rsidRPr="1FDB3CBA">
        <w:rPr>
          <w:rFonts w:ascii="Times New Roman" w:hAnsi="Times New Roman" w:cs="Times New Roman"/>
        </w:rPr>
        <w:t>Overall, t</w:t>
      </w:r>
      <w:r w:rsidR="5D9F8F62" w:rsidRPr="1FDB3CBA">
        <w:rPr>
          <w:rFonts w:ascii="Times New Roman" w:hAnsi="Times New Roman" w:cs="Times New Roman"/>
        </w:rPr>
        <w:t xml:space="preserve">he </w:t>
      </w:r>
      <w:proofErr w:type="spellStart"/>
      <w:r w:rsidR="5D9F8F62" w:rsidRPr="1FDB3CBA">
        <w:rPr>
          <w:rFonts w:ascii="Times New Roman" w:hAnsi="Times New Roman" w:cs="Times New Roman"/>
        </w:rPr>
        <w:t>CbPM</w:t>
      </w:r>
      <w:proofErr w:type="spellEnd"/>
      <w:r w:rsidR="5D9F8F62" w:rsidRPr="1FDB3CBA">
        <w:rPr>
          <w:rFonts w:ascii="Times New Roman" w:hAnsi="Times New Roman" w:cs="Times New Roman"/>
        </w:rPr>
        <w:t xml:space="preserve"> overestimates NPP across the Southern Ocean when using the nitracline to estimate the nutrient index (Figure </w:t>
      </w:r>
      <w:r w:rsidR="007A4833">
        <w:rPr>
          <w:rFonts w:ascii="Times New Roman" w:hAnsi="Times New Roman" w:cs="Times New Roman"/>
        </w:rPr>
        <w:t>8</w:t>
      </w:r>
      <w:r w:rsidR="007A4833" w:rsidRPr="1FDB3CBA">
        <w:rPr>
          <w:rFonts w:ascii="Times New Roman" w:hAnsi="Times New Roman" w:cs="Times New Roman"/>
        </w:rPr>
        <w:t>a</w:t>
      </w:r>
      <w:r w:rsidR="21499BEE" w:rsidRPr="1FDB3CBA">
        <w:rPr>
          <w:rFonts w:ascii="Times New Roman" w:hAnsi="Times New Roman" w:cs="Times New Roman"/>
        </w:rPr>
        <w:t xml:space="preserve">, </w:t>
      </w:r>
      <w:r w:rsidR="0DA116A9" w:rsidRPr="1FDB3CBA">
        <w:rPr>
          <w:rFonts w:ascii="Times New Roman" w:hAnsi="Times New Roman" w:cs="Times New Roman"/>
        </w:rPr>
        <w:t xml:space="preserve">Figure </w:t>
      </w:r>
      <w:r w:rsidR="007A4833">
        <w:rPr>
          <w:rFonts w:ascii="Times New Roman" w:hAnsi="Times New Roman" w:cs="Times New Roman"/>
        </w:rPr>
        <w:t>9</w:t>
      </w:r>
      <w:proofErr w:type="gramStart"/>
      <w:r w:rsidR="007A4833" w:rsidRPr="1FDB3CBA">
        <w:rPr>
          <w:rFonts w:ascii="Times New Roman" w:hAnsi="Times New Roman" w:cs="Times New Roman"/>
        </w:rPr>
        <w:t>a</w:t>
      </w:r>
      <w:r w:rsidR="0DA116A9" w:rsidRPr="1FDB3CBA">
        <w:rPr>
          <w:rFonts w:ascii="Times New Roman" w:hAnsi="Times New Roman" w:cs="Times New Roman"/>
        </w:rPr>
        <w:t>,b</w:t>
      </w:r>
      <w:proofErr w:type="gramEnd"/>
      <w:r w:rsidR="5D9F8F62" w:rsidRPr="1FDB3CBA">
        <w:rPr>
          <w:rFonts w:ascii="Times New Roman" w:hAnsi="Times New Roman" w:cs="Times New Roman"/>
        </w:rPr>
        <w:t>)</w:t>
      </w:r>
      <w:r w:rsidRPr="1FDB3CBA">
        <w:rPr>
          <w:rFonts w:ascii="Times New Roman" w:hAnsi="Times New Roman" w:cs="Times New Roman"/>
        </w:rPr>
        <w:t>, as found previously by Arteaga et al. (2022)</w:t>
      </w:r>
      <w:r w:rsidR="5D9F8F62" w:rsidRPr="1FDB3CBA">
        <w:rPr>
          <w:rFonts w:ascii="Times New Roman" w:hAnsi="Times New Roman" w:cs="Times New Roman"/>
        </w:rPr>
        <w:t xml:space="preserve">. </w:t>
      </w:r>
      <w:r w:rsidR="627206F4" w:rsidRPr="1FDB3CBA">
        <w:rPr>
          <w:rFonts w:ascii="Times New Roman" w:hAnsi="Times New Roman" w:cs="Times New Roman"/>
        </w:rPr>
        <w:t>Overestimates are highest in the low and high latitude</w:t>
      </w:r>
      <w:r w:rsidR="2CCDB908" w:rsidRPr="1FDB3CBA">
        <w:rPr>
          <w:rFonts w:ascii="Times New Roman" w:hAnsi="Times New Roman" w:cs="Times New Roman"/>
        </w:rPr>
        <w:t>s</w:t>
      </w:r>
      <w:r w:rsidR="627206F4" w:rsidRPr="1FDB3CBA">
        <w:rPr>
          <w:rFonts w:ascii="Times New Roman" w:hAnsi="Times New Roman" w:cs="Times New Roman"/>
        </w:rPr>
        <w:t xml:space="preserve">, and </w:t>
      </w:r>
      <w:r w:rsidR="3DD72D8A" w:rsidRPr="1FDB3CBA">
        <w:rPr>
          <w:rFonts w:ascii="Times New Roman" w:hAnsi="Times New Roman" w:cs="Times New Roman"/>
        </w:rPr>
        <w:t>smallest</w:t>
      </w:r>
      <w:r w:rsidR="627206F4" w:rsidRPr="1FDB3CBA">
        <w:rPr>
          <w:rFonts w:ascii="Times New Roman" w:hAnsi="Times New Roman" w:cs="Times New Roman"/>
        </w:rPr>
        <w:t xml:space="preserve"> in the mid-latitudes</w:t>
      </w:r>
      <w:r w:rsidR="0DA116A9" w:rsidRPr="1FDB3CBA">
        <w:rPr>
          <w:rFonts w:ascii="Times New Roman" w:hAnsi="Times New Roman" w:cs="Times New Roman"/>
        </w:rPr>
        <w:t xml:space="preserve"> (Figure S12)</w:t>
      </w:r>
      <w:r w:rsidR="627206F4" w:rsidRPr="1FDB3CBA">
        <w:rPr>
          <w:rFonts w:ascii="Times New Roman" w:hAnsi="Times New Roman" w:cs="Times New Roman"/>
        </w:rPr>
        <w:t xml:space="preserve">. </w:t>
      </w:r>
      <w:r w:rsidRPr="1FDB3CBA">
        <w:rPr>
          <w:rFonts w:ascii="Times New Roman" w:hAnsi="Times New Roman" w:cs="Times New Roman"/>
        </w:rPr>
        <w:t xml:space="preserve">The </w:t>
      </w:r>
      <w:proofErr w:type="spellStart"/>
      <w:r w:rsidR="457C28D0" w:rsidRPr="1FDB3CBA">
        <w:rPr>
          <w:rFonts w:ascii="Times New Roman" w:hAnsi="Times New Roman" w:cs="Times New Roman"/>
        </w:rPr>
        <w:t>CbPM</w:t>
      </w:r>
      <w:proofErr w:type="spellEnd"/>
      <w:r w:rsidR="457C28D0" w:rsidRPr="1FDB3CBA">
        <w:rPr>
          <w:rFonts w:ascii="Times New Roman" w:hAnsi="Times New Roman" w:cs="Times New Roman"/>
        </w:rPr>
        <w:t xml:space="preserve"> performance </w:t>
      </w:r>
      <w:r w:rsidRPr="1FDB3CBA">
        <w:rPr>
          <w:rFonts w:ascii="Times New Roman" w:hAnsi="Times New Roman" w:cs="Times New Roman"/>
        </w:rPr>
        <w:t xml:space="preserve">improves when the </w:t>
      </w:r>
      <w:r w:rsidR="001F1E81">
        <w:rPr>
          <w:rFonts w:ascii="Times New Roman" w:hAnsi="Times New Roman" w:cs="Times New Roman"/>
        </w:rPr>
        <w:t xml:space="preserve">mean depth of the </w:t>
      </w:r>
      <w:proofErr w:type="spellStart"/>
      <w:r w:rsidRPr="1FDB3CBA">
        <w:rPr>
          <w:rFonts w:ascii="Times New Roman" w:hAnsi="Times New Roman" w:cs="Times New Roman"/>
        </w:rPr>
        <w:t>ferricline</w:t>
      </w:r>
      <w:proofErr w:type="spellEnd"/>
      <w:r w:rsidRPr="1FDB3CBA">
        <w:rPr>
          <w:rFonts w:ascii="Times New Roman" w:hAnsi="Times New Roman" w:cs="Times New Roman"/>
        </w:rPr>
        <w:t xml:space="preserve"> is used as a nutrient reference instead of the nitracline, </w:t>
      </w:r>
      <w:r w:rsidR="627206F4" w:rsidRPr="1FDB3CBA">
        <w:rPr>
          <w:rFonts w:ascii="Times New Roman" w:hAnsi="Times New Roman" w:cs="Times New Roman"/>
        </w:rPr>
        <w:t xml:space="preserve">bringing </w:t>
      </w:r>
      <w:r w:rsidR="5D9F8F62" w:rsidRPr="1FDB3CBA">
        <w:rPr>
          <w:rFonts w:ascii="Times New Roman" w:hAnsi="Times New Roman" w:cs="Times New Roman"/>
        </w:rPr>
        <w:t xml:space="preserve">NPP estimates closer to the float estimates (Figure </w:t>
      </w:r>
      <w:r w:rsidR="007A4833">
        <w:rPr>
          <w:rFonts w:ascii="Times New Roman" w:hAnsi="Times New Roman" w:cs="Times New Roman"/>
        </w:rPr>
        <w:t>9</w:t>
      </w:r>
      <w:proofErr w:type="gramStart"/>
      <w:r w:rsidR="007A4833" w:rsidRPr="1FDB3CBA">
        <w:rPr>
          <w:rFonts w:ascii="Times New Roman" w:hAnsi="Times New Roman" w:cs="Times New Roman"/>
        </w:rPr>
        <w:t>c</w:t>
      </w:r>
      <w:r w:rsidR="0DA116A9" w:rsidRPr="1FDB3CBA">
        <w:rPr>
          <w:rFonts w:ascii="Times New Roman" w:hAnsi="Times New Roman" w:cs="Times New Roman"/>
        </w:rPr>
        <w:t>,d</w:t>
      </w:r>
      <w:proofErr w:type="gramEnd"/>
      <w:r w:rsidR="5D9F8F62" w:rsidRPr="1FDB3CBA">
        <w:rPr>
          <w:rFonts w:ascii="Times New Roman" w:hAnsi="Times New Roman" w:cs="Times New Roman"/>
        </w:rPr>
        <w:t xml:space="preserve">). </w:t>
      </w:r>
      <w:r w:rsidR="627206F4" w:rsidRPr="1FDB3CBA">
        <w:rPr>
          <w:rFonts w:ascii="Times New Roman" w:hAnsi="Times New Roman" w:cs="Times New Roman"/>
        </w:rPr>
        <w:t>Again, however, the discrepancies are highest at the high and low latitudes</w:t>
      </w:r>
      <w:r w:rsidR="21499BEE" w:rsidRPr="1FDB3CBA">
        <w:rPr>
          <w:rFonts w:ascii="Times New Roman" w:hAnsi="Times New Roman" w:cs="Times New Roman"/>
        </w:rPr>
        <w:t xml:space="preserve"> (Figure </w:t>
      </w:r>
      <w:r w:rsidR="007A4833">
        <w:rPr>
          <w:rFonts w:ascii="Times New Roman" w:hAnsi="Times New Roman" w:cs="Times New Roman"/>
        </w:rPr>
        <w:t>8</w:t>
      </w:r>
      <w:r w:rsidR="007A4833" w:rsidRPr="1FDB3CBA">
        <w:rPr>
          <w:rFonts w:ascii="Times New Roman" w:hAnsi="Times New Roman" w:cs="Times New Roman"/>
        </w:rPr>
        <w:t>a</w:t>
      </w:r>
      <w:r w:rsidR="088FF0F3" w:rsidRPr="1FDB3CBA">
        <w:rPr>
          <w:rFonts w:ascii="Times New Roman" w:hAnsi="Times New Roman" w:cs="Times New Roman"/>
        </w:rPr>
        <w:t>)</w:t>
      </w:r>
      <w:r w:rsidR="627206F4" w:rsidRPr="1FDB3CBA">
        <w:rPr>
          <w:rFonts w:ascii="Times New Roman" w:hAnsi="Times New Roman" w:cs="Times New Roman"/>
        </w:rPr>
        <w:t xml:space="preserve">. </w:t>
      </w:r>
      <w:r w:rsidR="60CA528B" w:rsidRPr="1FDB3CBA">
        <w:rPr>
          <w:rFonts w:ascii="Times New Roman" w:hAnsi="Times New Roman" w:cs="Times New Roman"/>
        </w:rPr>
        <w:t>Interestingly, when comparing only profiles where a DCM was present, NPP</w:t>
      </w:r>
      <w:r w:rsidR="0D0C8391" w:rsidRPr="1FDB3CBA">
        <w:rPr>
          <w:rFonts w:ascii="Times New Roman" w:hAnsi="Times New Roman" w:cs="Times New Roman"/>
        </w:rPr>
        <w:t xml:space="preserve"> </w:t>
      </w:r>
      <w:proofErr w:type="spellStart"/>
      <w:r w:rsidR="0D0C8391" w:rsidRPr="1FDB3CBA">
        <w:rPr>
          <w:rFonts w:ascii="Times New Roman" w:hAnsi="Times New Roman" w:cs="Times New Roman"/>
        </w:rPr>
        <w:t>S</w:t>
      </w:r>
      <w:r w:rsidR="60CA528B" w:rsidRPr="1FDB3CBA">
        <w:rPr>
          <w:rFonts w:ascii="Times New Roman" w:hAnsi="Times New Roman" w:cs="Times New Roman"/>
        </w:rPr>
        <w:t>at</w:t>
      </w:r>
      <w:r w:rsidR="0D0C8391" w:rsidRPr="1FDB3CBA">
        <w:rPr>
          <w:rFonts w:ascii="Times New Roman" w:hAnsi="Times New Roman" w:cs="Times New Roman"/>
          <w:vertAlign w:val="subscript"/>
        </w:rPr>
        <w:t>F</w:t>
      </w:r>
      <w:r w:rsidR="60CA528B" w:rsidRPr="1FDB3CBA">
        <w:rPr>
          <w:rFonts w:ascii="Times New Roman" w:hAnsi="Times New Roman" w:cs="Times New Roman"/>
          <w:vertAlign w:val="subscript"/>
        </w:rPr>
        <w:t>er</w:t>
      </w:r>
      <w:proofErr w:type="spellEnd"/>
      <w:r w:rsidR="60CA528B" w:rsidRPr="1FDB3CBA">
        <w:rPr>
          <w:rFonts w:ascii="Times New Roman" w:hAnsi="Times New Roman" w:cs="Times New Roman"/>
        </w:rPr>
        <w:t xml:space="preserve"> compares very favourably to the float estimates, even better than when all profiles are compared (compare Figure </w:t>
      </w:r>
      <w:r w:rsidR="007A4833">
        <w:rPr>
          <w:rFonts w:ascii="Times New Roman" w:hAnsi="Times New Roman" w:cs="Times New Roman"/>
        </w:rPr>
        <w:t>8</w:t>
      </w:r>
      <w:r w:rsidR="007A4833" w:rsidRPr="1FDB3CBA">
        <w:rPr>
          <w:rFonts w:ascii="Times New Roman" w:hAnsi="Times New Roman" w:cs="Times New Roman"/>
        </w:rPr>
        <w:t xml:space="preserve">a </w:t>
      </w:r>
      <w:r w:rsidR="60CA528B" w:rsidRPr="1FDB3CBA">
        <w:rPr>
          <w:rFonts w:ascii="Times New Roman" w:hAnsi="Times New Roman" w:cs="Times New Roman"/>
        </w:rPr>
        <w:t xml:space="preserve">and </w:t>
      </w:r>
      <w:r w:rsidR="5CDD6E8C" w:rsidRPr="1FDB3CBA">
        <w:rPr>
          <w:rFonts w:ascii="Times New Roman" w:hAnsi="Times New Roman" w:cs="Times New Roman"/>
        </w:rPr>
        <w:t>b</w:t>
      </w:r>
      <w:r w:rsidR="21499BEE" w:rsidRPr="1FDB3CBA">
        <w:rPr>
          <w:rFonts w:ascii="Times New Roman" w:hAnsi="Times New Roman" w:cs="Times New Roman"/>
        </w:rPr>
        <w:t xml:space="preserve">, </w:t>
      </w:r>
      <w:r w:rsidR="007A4833">
        <w:rPr>
          <w:rFonts w:ascii="Times New Roman" w:hAnsi="Times New Roman" w:cs="Times New Roman"/>
        </w:rPr>
        <w:t>9</w:t>
      </w:r>
      <w:proofErr w:type="gramStart"/>
      <w:r w:rsidR="007A4833" w:rsidRPr="1FDB3CBA">
        <w:rPr>
          <w:rFonts w:ascii="Times New Roman" w:hAnsi="Times New Roman" w:cs="Times New Roman"/>
        </w:rPr>
        <w:t>c</w:t>
      </w:r>
      <w:r w:rsidR="0DA116A9" w:rsidRPr="1FDB3CBA">
        <w:rPr>
          <w:rFonts w:ascii="Times New Roman" w:hAnsi="Times New Roman" w:cs="Times New Roman"/>
        </w:rPr>
        <w:t>,d</w:t>
      </w:r>
      <w:proofErr w:type="gramEnd"/>
      <w:r w:rsidR="60CA528B" w:rsidRPr="1FDB3CBA">
        <w:rPr>
          <w:rFonts w:ascii="Times New Roman" w:hAnsi="Times New Roman" w:cs="Times New Roman"/>
        </w:rPr>
        <w:t>).</w:t>
      </w:r>
      <w:r w:rsidR="0D0C8391" w:rsidRPr="1FDB3CBA">
        <w:rPr>
          <w:rFonts w:ascii="Times New Roman" w:hAnsi="Times New Roman" w:cs="Times New Roman"/>
        </w:rPr>
        <w:t xml:space="preserve"> </w:t>
      </w:r>
      <w:r w:rsidR="00605EB0" w:rsidRPr="004277F9">
        <w:rPr>
          <w:rFonts w:ascii="Times New Roman" w:hAnsi="Times New Roman" w:cs="Times New Roman"/>
        </w:rPr>
        <w:t xml:space="preserve">The </w:t>
      </w:r>
      <w:proofErr w:type="spellStart"/>
      <w:r w:rsidR="00605EB0" w:rsidRPr="004277F9">
        <w:rPr>
          <w:rFonts w:ascii="Times New Roman" w:hAnsi="Times New Roman" w:cs="Times New Roman"/>
        </w:rPr>
        <w:t>ferricline</w:t>
      </w:r>
      <w:proofErr w:type="spellEnd"/>
      <w:r w:rsidR="00605EB0" w:rsidRPr="004277F9">
        <w:rPr>
          <w:rFonts w:ascii="Times New Roman" w:hAnsi="Times New Roman" w:cs="Times New Roman"/>
        </w:rPr>
        <w:t xml:space="preserve"> version performs best when DCMs are present (r=0.88, RMSE=378.8, P-bias=42.18), compared to all profiles with and without a DCM (r=0.70, RMSE=398.3, P-bias=52.85).</w:t>
      </w:r>
    </w:p>
    <w:p w14:paraId="414E27AE" w14:textId="77777777" w:rsidR="00312125" w:rsidRDefault="00312125" w:rsidP="00AF41A4">
      <w:pPr>
        <w:pStyle w:val="ListParagraph"/>
        <w:snapToGrid w:val="0"/>
        <w:spacing w:line="360" w:lineRule="auto"/>
        <w:ind w:left="0"/>
        <w:contextualSpacing w:val="0"/>
        <w:jc w:val="both"/>
        <w:rPr>
          <w:rFonts w:ascii="Times New Roman" w:hAnsi="Times New Roman" w:cs="Times New Roman"/>
        </w:rPr>
      </w:pPr>
    </w:p>
    <w:p w14:paraId="4DBCF437" w14:textId="10BEF00F" w:rsidR="00560337" w:rsidRDefault="2CCDB908" w:rsidP="1FDB3CBA">
      <w:pPr>
        <w:pStyle w:val="ListParagraph"/>
        <w:snapToGrid w:val="0"/>
        <w:spacing w:line="360" w:lineRule="auto"/>
        <w:ind w:left="0"/>
        <w:jc w:val="both"/>
        <w:rPr>
          <w:rFonts w:ascii="Times New Roman" w:hAnsi="Times New Roman" w:cs="Times New Roman"/>
        </w:rPr>
      </w:pPr>
      <w:r w:rsidRPr="1FDB3CBA">
        <w:rPr>
          <w:rFonts w:ascii="Times New Roman" w:hAnsi="Times New Roman" w:cs="Times New Roman"/>
        </w:rPr>
        <w:t xml:space="preserve">Inspecting the NPP estimates for the subsurface (Figure </w:t>
      </w:r>
      <w:r w:rsidR="007A4833">
        <w:rPr>
          <w:rFonts w:ascii="Times New Roman" w:hAnsi="Times New Roman" w:cs="Times New Roman"/>
        </w:rPr>
        <w:t>8</w:t>
      </w:r>
      <w:r w:rsidR="007A4833" w:rsidRPr="1FDB3CBA">
        <w:rPr>
          <w:rFonts w:ascii="Times New Roman" w:hAnsi="Times New Roman" w:cs="Times New Roman"/>
        </w:rPr>
        <w:t xml:space="preserve">c </w:t>
      </w:r>
      <w:r w:rsidRPr="1FDB3CBA">
        <w:rPr>
          <w:rFonts w:ascii="Times New Roman" w:hAnsi="Times New Roman" w:cs="Times New Roman"/>
        </w:rPr>
        <w:t xml:space="preserve">and </w:t>
      </w:r>
      <w:r w:rsidR="5A4B4677" w:rsidRPr="1FDB3CBA">
        <w:rPr>
          <w:rFonts w:ascii="Times New Roman" w:hAnsi="Times New Roman" w:cs="Times New Roman"/>
        </w:rPr>
        <w:t>d</w:t>
      </w:r>
      <w:r w:rsidRPr="1FDB3CBA">
        <w:rPr>
          <w:rFonts w:ascii="Times New Roman" w:hAnsi="Times New Roman" w:cs="Times New Roman"/>
        </w:rPr>
        <w:t xml:space="preserve">), </w:t>
      </w:r>
      <w:r w:rsidR="60CA528B" w:rsidRPr="1FDB3CBA">
        <w:rPr>
          <w:rFonts w:ascii="Times New Roman" w:hAnsi="Times New Roman" w:cs="Times New Roman"/>
        </w:rPr>
        <w:t xml:space="preserve">we find that the satellite algorithm “creates” a DCM (both for the </w:t>
      </w:r>
      <w:proofErr w:type="spellStart"/>
      <w:r w:rsidR="60CA528B" w:rsidRPr="1FDB3CBA">
        <w:rPr>
          <w:rFonts w:ascii="Times New Roman" w:hAnsi="Times New Roman" w:cs="Times New Roman"/>
        </w:rPr>
        <w:t>ferricline</w:t>
      </w:r>
      <w:proofErr w:type="spellEnd"/>
      <w:r w:rsidR="60CA528B" w:rsidRPr="1FDB3CBA">
        <w:rPr>
          <w:rFonts w:ascii="Times New Roman" w:hAnsi="Times New Roman" w:cs="Times New Roman"/>
        </w:rPr>
        <w:t xml:space="preserve"> and nitracline parameterization</w:t>
      </w:r>
      <w:r w:rsidRPr="1FDB3CBA">
        <w:rPr>
          <w:rFonts w:ascii="Times New Roman" w:hAnsi="Times New Roman" w:cs="Times New Roman"/>
        </w:rPr>
        <w:t xml:space="preserve">; Figure </w:t>
      </w:r>
      <w:r w:rsidR="5B484621" w:rsidRPr="1FDB3CBA">
        <w:rPr>
          <w:rFonts w:ascii="Times New Roman" w:hAnsi="Times New Roman" w:cs="Times New Roman"/>
        </w:rPr>
        <w:t xml:space="preserve">S13 </w:t>
      </w:r>
      <w:r w:rsidRPr="1FDB3CBA">
        <w:rPr>
          <w:rFonts w:ascii="Times New Roman" w:hAnsi="Times New Roman" w:cs="Times New Roman"/>
        </w:rPr>
        <w:t>in the SI</w:t>
      </w:r>
      <w:r w:rsidR="60CA528B" w:rsidRPr="1FDB3CBA">
        <w:rPr>
          <w:rFonts w:ascii="Times New Roman" w:hAnsi="Times New Roman" w:cs="Times New Roman"/>
        </w:rPr>
        <w:t>)</w:t>
      </w:r>
      <w:r w:rsidRPr="1FDB3CBA">
        <w:rPr>
          <w:rFonts w:ascii="Times New Roman" w:hAnsi="Times New Roman" w:cs="Times New Roman"/>
        </w:rPr>
        <w:t>. Even though this feature does not usually sit at the same depth as the measured DCM, it nudges the satellite algorithm</w:t>
      </w:r>
      <w:r w:rsidR="008D0314">
        <w:rPr>
          <w:rFonts w:ascii="Times New Roman" w:hAnsi="Times New Roman" w:cs="Times New Roman"/>
        </w:rPr>
        <w:t xml:space="preserve"> towards higher column-integrated </w:t>
      </w:r>
      <w:proofErr w:type="spellStart"/>
      <w:r w:rsidR="008D0314">
        <w:rPr>
          <w:rFonts w:ascii="Times New Roman" w:hAnsi="Times New Roman" w:cs="Times New Roman"/>
        </w:rPr>
        <w:t>NPP</w:t>
      </w:r>
      <w:proofErr w:type="spellEnd"/>
      <w:r w:rsidRPr="1FDB3CBA">
        <w:rPr>
          <w:rFonts w:ascii="Times New Roman" w:hAnsi="Times New Roman" w:cs="Times New Roman"/>
        </w:rPr>
        <w:t xml:space="preserve"> for cases where a DCM is present, hence the better agreement with the </w:t>
      </w:r>
      <w:r w:rsidR="199F75E9" w:rsidRPr="1FDB3CBA">
        <w:rPr>
          <w:rFonts w:ascii="Times New Roman" w:hAnsi="Times New Roman" w:cs="Times New Roman"/>
        </w:rPr>
        <w:t>observations</w:t>
      </w:r>
      <w:r w:rsidRPr="1FDB3CBA">
        <w:rPr>
          <w:rFonts w:ascii="Times New Roman" w:hAnsi="Times New Roman" w:cs="Times New Roman"/>
        </w:rPr>
        <w:t>. The nitracline parameterization overestimates NPP for all cases</w:t>
      </w:r>
      <w:r w:rsidR="00186A91">
        <w:rPr>
          <w:rFonts w:ascii="Times New Roman" w:hAnsi="Times New Roman" w:cs="Times New Roman"/>
        </w:rPr>
        <w:t xml:space="preserve"> (Figure </w:t>
      </w:r>
      <w:r w:rsidR="007A4833">
        <w:rPr>
          <w:rFonts w:ascii="Times New Roman" w:hAnsi="Times New Roman" w:cs="Times New Roman"/>
        </w:rPr>
        <w:t>9</w:t>
      </w:r>
      <w:r w:rsidR="00186A91">
        <w:rPr>
          <w:rFonts w:ascii="Times New Roman" w:hAnsi="Times New Roman" w:cs="Times New Roman"/>
        </w:rPr>
        <w:t>a and b)</w:t>
      </w:r>
      <w:r w:rsidRPr="1FDB3CBA">
        <w:rPr>
          <w:rFonts w:ascii="Times New Roman" w:hAnsi="Times New Roman" w:cs="Times New Roman"/>
        </w:rPr>
        <w:t xml:space="preserve">. The </w:t>
      </w:r>
      <w:proofErr w:type="spellStart"/>
      <w:r w:rsidRPr="1FDB3CBA">
        <w:rPr>
          <w:rFonts w:ascii="Times New Roman" w:hAnsi="Times New Roman" w:cs="Times New Roman"/>
        </w:rPr>
        <w:t>ferricline</w:t>
      </w:r>
      <w:proofErr w:type="spellEnd"/>
      <w:r w:rsidRPr="1FDB3CBA">
        <w:rPr>
          <w:rFonts w:ascii="Times New Roman" w:hAnsi="Times New Roman" w:cs="Times New Roman"/>
        </w:rPr>
        <w:t xml:space="preserve"> parameterization, however, does well for DCM cases and somewhat over-estimates NPP when no DCM is present</w:t>
      </w:r>
      <w:r w:rsidR="00186A91">
        <w:rPr>
          <w:rFonts w:ascii="Times New Roman" w:hAnsi="Times New Roman" w:cs="Times New Roman"/>
        </w:rPr>
        <w:t xml:space="preserve"> (Figure </w:t>
      </w:r>
      <w:r w:rsidR="007A4833">
        <w:rPr>
          <w:rFonts w:ascii="Times New Roman" w:hAnsi="Times New Roman" w:cs="Times New Roman"/>
        </w:rPr>
        <w:t>9</w:t>
      </w:r>
      <w:r w:rsidR="00186A91">
        <w:rPr>
          <w:rFonts w:ascii="Times New Roman" w:hAnsi="Times New Roman" w:cs="Times New Roman"/>
        </w:rPr>
        <w:t>c and d)</w:t>
      </w:r>
      <w:r w:rsidRPr="1FDB3CBA">
        <w:rPr>
          <w:rFonts w:ascii="Times New Roman" w:hAnsi="Times New Roman" w:cs="Times New Roman"/>
        </w:rPr>
        <w:t xml:space="preserve">. </w:t>
      </w:r>
    </w:p>
    <w:p w14:paraId="5F195820" w14:textId="77777777" w:rsidR="00750653" w:rsidRDefault="00750653" w:rsidP="00AF41A4">
      <w:pPr>
        <w:pStyle w:val="ListParagraph"/>
        <w:snapToGrid w:val="0"/>
        <w:spacing w:line="360" w:lineRule="auto"/>
        <w:ind w:left="0"/>
        <w:contextualSpacing w:val="0"/>
        <w:jc w:val="both"/>
        <w:rPr>
          <w:rFonts w:ascii="Times New Roman" w:hAnsi="Times New Roman" w:cs="Times New Roman"/>
        </w:rPr>
      </w:pPr>
    </w:p>
    <w:p w14:paraId="3B329DDF" w14:textId="371E8706" w:rsidR="00B73A08" w:rsidRPr="00240111" w:rsidRDefault="6486E7A5" w:rsidP="1FDB3CBA">
      <w:pPr>
        <w:pStyle w:val="ListParagraph"/>
        <w:snapToGrid w:val="0"/>
        <w:spacing w:line="360" w:lineRule="auto"/>
        <w:ind w:left="0"/>
        <w:jc w:val="both"/>
        <w:rPr>
          <w:rFonts w:ascii="Times New Roman" w:hAnsi="Times New Roman" w:cs="Times New Roman"/>
        </w:rPr>
      </w:pPr>
      <w:r w:rsidRPr="1FDB3CBA">
        <w:rPr>
          <w:rFonts w:ascii="Times New Roman" w:hAnsi="Times New Roman" w:cs="Times New Roman"/>
        </w:rPr>
        <w:t xml:space="preserve">Our results show that when we remove the DCM from the float profile, </w:t>
      </w:r>
      <w:r w:rsidR="009F78FB">
        <w:rPr>
          <w:rFonts w:ascii="Times New Roman" w:hAnsi="Times New Roman" w:cs="Times New Roman"/>
        </w:rPr>
        <w:t xml:space="preserve">average </w:t>
      </w:r>
      <w:r w:rsidRPr="1FDB3CBA">
        <w:rPr>
          <w:rFonts w:ascii="Times New Roman" w:hAnsi="Times New Roman" w:cs="Times New Roman"/>
        </w:rPr>
        <w:t xml:space="preserve">estimates are </w:t>
      </w:r>
      <w:r w:rsidR="5276E858" w:rsidRPr="1FDB3CBA">
        <w:rPr>
          <w:rFonts w:ascii="Times New Roman" w:hAnsi="Times New Roman" w:cs="Times New Roman"/>
        </w:rPr>
        <w:t>139</w:t>
      </w:r>
      <w:r w:rsidR="004C0D2D">
        <w:rPr>
          <w:rFonts w:ascii="Times New Roman" w:hAnsi="Times New Roman" w:cs="Times New Roman"/>
        </w:rPr>
        <w:t xml:space="preserve"> </w:t>
      </w:r>
      <w:r w:rsidRPr="1FDB3CBA">
        <w:rPr>
          <w:rFonts w:ascii="Times New Roman" w:hAnsi="Times New Roman" w:cs="Times New Roman"/>
        </w:rPr>
        <w:t>mg C m</w:t>
      </w:r>
      <w:r w:rsidRPr="1FDB3CBA">
        <w:rPr>
          <w:rFonts w:ascii="Times New Roman" w:hAnsi="Times New Roman" w:cs="Times New Roman"/>
          <w:vertAlign w:val="superscript"/>
        </w:rPr>
        <w:t xml:space="preserve">-2 </w:t>
      </w:r>
      <w:r w:rsidRPr="1FDB3CBA">
        <w:rPr>
          <w:rFonts w:ascii="Times New Roman" w:hAnsi="Times New Roman" w:cs="Times New Roman"/>
        </w:rPr>
        <w:t>day</w:t>
      </w:r>
      <w:r w:rsidRPr="1FDB3CBA">
        <w:rPr>
          <w:rFonts w:ascii="Times New Roman" w:hAnsi="Times New Roman" w:cs="Times New Roman"/>
          <w:vertAlign w:val="superscript"/>
        </w:rPr>
        <w:t>-1</w:t>
      </w:r>
      <w:r w:rsidRPr="1FDB3CBA">
        <w:rPr>
          <w:rFonts w:ascii="Times New Roman" w:hAnsi="Times New Roman" w:cs="Times New Roman"/>
        </w:rPr>
        <w:t xml:space="preserve"> and </w:t>
      </w:r>
      <w:r w:rsidR="009F78FB">
        <w:rPr>
          <w:rFonts w:ascii="Times New Roman" w:hAnsi="Times New Roman" w:cs="Times New Roman"/>
        </w:rPr>
        <w:t xml:space="preserve">thus </w:t>
      </w:r>
      <w:r w:rsidRPr="1FDB3CBA">
        <w:rPr>
          <w:rFonts w:ascii="Times New Roman" w:hAnsi="Times New Roman" w:cs="Times New Roman"/>
        </w:rPr>
        <w:t>3</w:t>
      </w:r>
      <w:r w:rsidR="7A9EBD5E" w:rsidRPr="1FDB3CBA">
        <w:rPr>
          <w:rFonts w:ascii="Times New Roman" w:hAnsi="Times New Roman" w:cs="Times New Roman"/>
        </w:rPr>
        <w:t>4</w:t>
      </w:r>
      <w:r w:rsidRPr="1FDB3CBA">
        <w:rPr>
          <w:rFonts w:ascii="Times New Roman" w:hAnsi="Times New Roman" w:cs="Times New Roman"/>
        </w:rPr>
        <w:t>-4</w:t>
      </w:r>
      <w:r w:rsidR="7A9EBD5E" w:rsidRPr="1FDB3CBA">
        <w:rPr>
          <w:rFonts w:ascii="Times New Roman" w:hAnsi="Times New Roman" w:cs="Times New Roman"/>
        </w:rPr>
        <w:t>5</w:t>
      </w:r>
      <w:r w:rsidRPr="1FDB3CBA">
        <w:rPr>
          <w:rFonts w:ascii="Times New Roman" w:hAnsi="Times New Roman" w:cs="Times New Roman"/>
        </w:rPr>
        <w:t xml:space="preserve">% </w:t>
      </w:r>
      <w:r w:rsidR="004C0D2D">
        <w:rPr>
          <w:rFonts w:ascii="Times New Roman" w:hAnsi="Times New Roman" w:cs="Times New Roman"/>
        </w:rPr>
        <w:t xml:space="preserve">(mean and median) </w:t>
      </w:r>
      <w:r w:rsidRPr="1FDB3CBA">
        <w:rPr>
          <w:rFonts w:ascii="Times New Roman" w:hAnsi="Times New Roman" w:cs="Times New Roman"/>
        </w:rPr>
        <w:t>lower than the total NPP</w:t>
      </w:r>
      <w:r w:rsidR="009F78FB">
        <w:rPr>
          <w:rFonts w:ascii="Times New Roman" w:hAnsi="Times New Roman" w:cs="Times New Roman"/>
        </w:rPr>
        <w:t xml:space="preserve"> with DCM</w:t>
      </w:r>
      <w:r w:rsidRPr="1FDB3CBA">
        <w:rPr>
          <w:rFonts w:ascii="Times New Roman" w:hAnsi="Times New Roman" w:cs="Times New Roman"/>
        </w:rPr>
        <w:t xml:space="preserve">. </w:t>
      </w:r>
      <w:r w:rsidRPr="1FDB3CBA">
        <w:rPr>
          <w:rFonts w:ascii="Times New Roman" w:hAnsi="Times New Roman" w:cs="Times New Roman"/>
        </w:rPr>
        <w:lastRenderedPageBreak/>
        <w:t>When the DBM is removed</w:t>
      </w:r>
      <w:r w:rsidR="009F78FB">
        <w:rPr>
          <w:rFonts w:ascii="Times New Roman" w:hAnsi="Times New Roman" w:cs="Times New Roman"/>
        </w:rPr>
        <w:t>,</w:t>
      </w:r>
      <w:r w:rsidRPr="1FDB3CBA">
        <w:rPr>
          <w:rFonts w:ascii="Times New Roman" w:hAnsi="Times New Roman" w:cs="Times New Roman"/>
        </w:rPr>
        <w:t xml:space="preserve"> </w:t>
      </w:r>
      <w:r w:rsidR="005042F6">
        <w:rPr>
          <w:rFonts w:ascii="Times New Roman" w:hAnsi="Times New Roman" w:cs="Times New Roman"/>
        </w:rPr>
        <w:t xml:space="preserve">these numbers are </w:t>
      </w:r>
      <w:r w:rsidR="20C44F5D" w:rsidRPr="1FDB3CBA">
        <w:rPr>
          <w:rFonts w:ascii="Times New Roman" w:hAnsi="Times New Roman" w:cs="Times New Roman"/>
        </w:rPr>
        <w:t>49</w:t>
      </w:r>
      <w:r w:rsidR="2418CD17" w:rsidRPr="1FDB3CBA">
        <w:rPr>
          <w:rFonts w:ascii="Times New Roman" w:hAnsi="Times New Roman" w:cs="Times New Roman"/>
        </w:rPr>
        <w:t>.13</w:t>
      </w:r>
      <w:r w:rsidRPr="1FDB3CBA">
        <w:rPr>
          <w:rFonts w:ascii="Times New Roman" w:hAnsi="Times New Roman" w:cs="Times New Roman"/>
        </w:rPr>
        <w:t>-</w:t>
      </w:r>
      <w:r w:rsidR="2418CD17" w:rsidRPr="1FDB3CBA">
        <w:rPr>
          <w:rFonts w:ascii="Times New Roman" w:hAnsi="Times New Roman" w:cs="Times New Roman"/>
        </w:rPr>
        <w:t>88.5</w:t>
      </w:r>
      <w:r w:rsidRPr="1FDB3CBA">
        <w:rPr>
          <w:rFonts w:ascii="Times New Roman" w:hAnsi="Times New Roman" w:cs="Times New Roman"/>
        </w:rPr>
        <w:t xml:space="preserve"> mg C m</w:t>
      </w:r>
      <w:r w:rsidRPr="1FDB3CBA">
        <w:rPr>
          <w:rFonts w:ascii="Times New Roman" w:hAnsi="Times New Roman" w:cs="Times New Roman"/>
          <w:vertAlign w:val="superscript"/>
        </w:rPr>
        <w:t xml:space="preserve">-2 </w:t>
      </w:r>
      <w:r w:rsidRPr="1FDB3CBA">
        <w:rPr>
          <w:rFonts w:ascii="Times New Roman" w:hAnsi="Times New Roman" w:cs="Times New Roman"/>
        </w:rPr>
        <w:t>day</w:t>
      </w:r>
      <w:r w:rsidRPr="1FDB3CBA">
        <w:rPr>
          <w:rFonts w:ascii="Times New Roman" w:hAnsi="Times New Roman" w:cs="Times New Roman"/>
          <w:vertAlign w:val="superscript"/>
        </w:rPr>
        <w:t>-1</w:t>
      </w:r>
      <w:r w:rsidRPr="1FDB3CBA">
        <w:rPr>
          <w:rFonts w:ascii="Times New Roman" w:hAnsi="Times New Roman" w:cs="Times New Roman"/>
        </w:rPr>
        <w:t xml:space="preserve"> </w:t>
      </w:r>
      <w:r w:rsidR="004C0D2D">
        <w:rPr>
          <w:rFonts w:ascii="Times New Roman" w:hAnsi="Times New Roman" w:cs="Times New Roman"/>
        </w:rPr>
        <w:t xml:space="preserve">(mean and median) </w:t>
      </w:r>
      <w:r w:rsidRPr="1FDB3CBA">
        <w:rPr>
          <w:rFonts w:ascii="Times New Roman" w:hAnsi="Times New Roman" w:cs="Times New Roman"/>
        </w:rPr>
        <w:t xml:space="preserve">and </w:t>
      </w:r>
      <w:r w:rsidR="363BD4F1" w:rsidRPr="1FDB3CBA">
        <w:rPr>
          <w:rFonts w:ascii="Times New Roman" w:hAnsi="Times New Roman" w:cs="Times New Roman"/>
        </w:rPr>
        <w:t>16</w:t>
      </w:r>
      <w:r w:rsidRPr="1FDB3CBA">
        <w:rPr>
          <w:rFonts w:ascii="Times New Roman" w:hAnsi="Times New Roman" w:cs="Times New Roman"/>
        </w:rPr>
        <w:t>-</w:t>
      </w:r>
      <w:r w:rsidR="41EB8815" w:rsidRPr="1FDB3CBA">
        <w:rPr>
          <w:rFonts w:ascii="Times New Roman" w:hAnsi="Times New Roman" w:cs="Times New Roman"/>
        </w:rPr>
        <w:t>37</w:t>
      </w:r>
      <w:r w:rsidRPr="1FDB3CBA">
        <w:rPr>
          <w:rFonts w:ascii="Times New Roman" w:hAnsi="Times New Roman" w:cs="Times New Roman"/>
        </w:rPr>
        <w:t>% lower of the total NPP.</w:t>
      </w:r>
    </w:p>
    <w:p w14:paraId="4855BCA2" w14:textId="77777777" w:rsidR="00AF41A4" w:rsidRDefault="00AF41A4" w:rsidP="00AF41A4">
      <w:pPr>
        <w:snapToGrid w:val="0"/>
        <w:spacing w:line="360" w:lineRule="auto"/>
        <w:jc w:val="both"/>
      </w:pPr>
    </w:p>
    <w:p w14:paraId="1C3264C0" w14:textId="161FDFA3" w:rsidR="00AF41A4" w:rsidRDefault="006613BC" w:rsidP="00AF41A4">
      <w:pPr>
        <w:snapToGrid w:val="0"/>
        <w:spacing w:line="360" w:lineRule="auto"/>
        <w:jc w:val="both"/>
      </w:pPr>
      <w:r>
        <w:rPr>
          <w:noProof/>
        </w:rPr>
        <w:drawing>
          <wp:inline distT="0" distB="0" distL="0" distR="0" wp14:anchorId="4815E591" wp14:editId="1082507F">
            <wp:extent cx="6267450" cy="5570772"/>
            <wp:effectExtent l="0" t="0" r="0" b="5080"/>
            <wp:docPr id="18229248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924880" name="Picture 1822924880"/>
                    <pic:cNvPicPr/>
                  </pic:nvPicPr>
                  <pic:blipFill rotWithShape="1">
                    <a:blip r:embed="rId18">
                      <a:extLst>
                        <a:ext uri="{28A0092B-C50C-407E-A947-70E740481C1C}">
                          <a14:useLocalDpi xmlns:a14="http://schemas.microsoft.com/office/drawing/2010/main" val="0"/>
                        </a:ext>
                      </a:extLst>
                    </a:blip>
                    <a:srcRect l="8473" t="11054" r="37680" b="21214"/>
                    <a:stretch/>
                  </pic:blipFill>
                  <pic:spPr bwMode="auto">
                    <a:xfrm>
                      <a:off x="0" y="0"/>
                      <a:ext cx="6275334" cy="5577780"/>
                    </a:xfrm>
                    <a:prstGeom prst="rect">
                      <a:avLst/>
                    </a:prstGeom>
                    <a:ln>
                      <a:noFill/>
                    </a:ln>
                    <a:extLst>
                      <a:ext uri="{53640926-AAD7-44D8-BBD7-CCE9431645EC}">
                        <a14:shadowObscured xmlns:a14="http://schemas.microsoft.com/office/drawing/2010/main"/>
                      </a:ext>
                    </a:extLst>
                  </pic:spPr>
                </pic:pic>
              </a:graphicData>
            </a:graphic>
          </wp:inline>
        </w:drawing>
      </w:r>
    </w:p>
    <w:p w14:paraId="544FE1AE" w14:textId="153B1B71" w:rsidR="00AF41A4" w:rsidRDefault="5D9F8F62" w:rsidP="00AF41A4">
      <w:pPr>
        <w:snapToGrid w:val="0"/>
        <w:spacing w:line="360" w:lineRule="auto"/>
        <w:jc w:val="both"/>
      </w:pPr>
      <w:r>
        <w:t xml:space="preserve">Figure </w:t>
      </w:r>
      <w:r w:rsidR="007A4833">
        <w:t>8</w:t>
      </w:r>
      <w:r>
        <w:t xml:space="preserve">. Latitudinal mean values for (a) </w:t>
      </w:r>
      <w:r w:rsidR="322269C3">
        <w:t>total NPP (mg C m</w:t>
      </w:r>
      <w:r w:rsidR="322269C3" w:rsidRPr="1FDB3CBA">
        <w:rPr>
          <w:vertAlign w:val="superscript"/>
        </w:rPr>
        <w:t>-2</w:t>
      </w:r>
      <w:r w:rsidR="322269C3">
        <w:t xml:space="preserve"> day</w:t>
      </w:r>
      <w:r w:rsidR="322269C3" w:rsidRPr="1FDB3CBA">
        <w:rPr>
          <w:vertAlign w:val="superscript"/>
        </w:rPr>
        <w:t>-1</w:t>
      </w:r>
      <w:r w:rsidR="322269C3">
        <w:t xml:space="preserve">) in all the profiles, with and without a DCM present, </w:t>
      </w:r>
      <w:r>
        <w:t xml:space="preserve">(b) </w:t>
      </w:r>
      <w:r w:rsidR="322269C3">
        <w:t>total NPP (mg C m</w:t>
      </w:r>
      <w:r w:rsidR="322269C3" w:rsidRPr="1FDB3CBA">
        <w:rPr>
          <w:vertAlign w:val="superscript"/>
        </w:rPr>
        <w:t>-2</w:t>
      </w:r>
      <w:r w:rsidR="322269C3">
        <w:t xml:space="preserve"> day</w:t>
      </w:r>
      <w:r w:rsidR="322269C3" w:rsidRPr="1FDB3CBA">
        <w:rPr>
          <w:vertAlign w:val="superscript"/>
        </w:rPr>
        <w:t>-1</w:t>
      </w:r>
      <w:r w:rsidR="322269C3">
        <w:t xml:space="preserve">) in profiles with a DCM present, </w:t>
      </w:r>
      <w:r w:rsidR="596F6753">
        <w:t xml:space="preserve">(c) </w:t>
      </w:r>
      <w:r>
        <w:t>NPP</w:t>
      </w:r>
      <w:r w:rsidRPr="1FDB3CBA">
        <w:rPr>
          <w:vertAlign w:val="subscript"/>
        </w:rPr>
        <w:t>SUB</w:t>
      </w:r>
      <w:r>
        <w:t xml:space="preserve"> (mg C m</w:t>
      </w:r>
      <w:r w:rsidRPr="1FDB3CBA">
        <w:rPr>
          <w:vertAlign w:val="superscript"/>
        </w:rPr>
        <w:t>-2</w:t>
      </w:r>
      <w:r>
        <w:t xml:space="preserve"> day</w:t>
      </w:r>
      <w:r w:rsidRPr="1FDB3CBA">
        <w:rPr>
          <w:vertAlign w:val="superscript"/>
        </w:rPr>
        <w:t>-1</w:t>
      </w:r>
      <w:r>
        <w:t>)</w:t>
      </w:r>
      <w:r w:rsidR="00D32EDE">
        <w:t xml:space="preserve"> for profiles with a DCM</w:t>
      </w:r>
      <w:r>
        <w:t>, and (</w:t>
      </w:r>
      <w:r w:rsidR="596F6753">
        <w:t>d</w:t>
      </w:r>
      <w:r>
        <w:t xml:space="preserve">) </w:t>
      </w:r>
      <w:r w:rsidR="6049A9AA">
        <w:t>NPP</w:t>
      </w:r>
      <w:r w:rsidR="6049A9AA" w:rsidRPr="00D32EDE">
        <w:rPr>
          <w:vertAlign w:val="subscript"/>
        </w:rPr>
        <w:t>SUB</w:t>
      </w:r>
      <w:r w:rsidR="6049A9AA">
        <w:t xml:space="preserve"> </w:t>
      </w:r>
      <w:r>
        <w:t xml:space="preserve">as a percentage </w:t>
      </w:r>
      <w:r w:rsidR="1E64D021">
        <w:t xml:space="preserve">(%) </w:t>
      </w:r>
      <w:r>
        <w:t xml:space="preserve">of total </w:t>
      </w:r>
      <w:r w:rsidR="6A7DC401">
        <w:t>NPP</w:t>
      </w:r>
      <w:r>
        <w:t xml:space="preserve"> in profiles where a DCM was present</w:t>
      </w:r>
      <w:r w:rsidR="596F6753">
        <w:t>.</w:t>
      </w:r>
      <w:r w:rsidR="589E5879">
        <w:t xml:space="preserve"> The estimates are shown for all four methods: using the Argo float profiles of </w:t>
      </w:r>
      <w:proofErr w:type="spellStart"/>
      <w:r w:rsidR="589E5879">
        <w:t>chl</w:t>
      </w:r>
      <w:proofErr w:type="spellEnd"/>
      <w:r w:rsidR="589E5879">
        <w:t xml:space="preserve"> and carbon</w:t>
      </w:r>
      <w:r w:rsidR="41C19B44">
        <w:t xml:space="preserve">, in profiles with a DCM </w:t>
      </w:r>
      <w:r w:rsidR="589E5879">
        <w:t>(solid green)</w:t>
      </w:r>
      <w:r w:rsidR="41C19B44">
        <w:t xml:space="preserve"> and profiles with a DBM (solid blue)</w:t>
      </w:r>
      <w:r w:rsidR="589E5879">
        <w:t>, artificially removing the DCM from the same float profile (dashed green)</w:t>
      </w:r>
      <w:r w:rsidR="41C19B44">
        <w:t xml:space="preserve"> and removing the DBM (dashed blue)</w:t>
      </w:r>
      <w:r w:rsidR="589E5879">
        <w:t xml:space="preserve">, using the </w:t>
      </w:r>
      <w:proofErr w:type="spellStart"/>
      <w:r w:rsidR="589E5879">
        <w:t>CbPM</w:t>
      </w:r>
      <w:proofErr w:type="spellEnd"/>
      <w:r w:rsidR="589E5879">
        <w:t xml:space="preserve"> with the nitracline (</w:t>
      </w:r>
      <w:r w:rsidR="41C19B44">
        <w:t xml:space="preserve">dashed </w:t>
      </w:r>
      <w:r w:rsidR="589E5879">
        <w:t xml:space="preserve">yellow) and the </w:t>
      </w:r>
      <w:proofErr w:type="spellStart"/>
      <w:r w:rsidR="589E5879">
        <w:t>CbPM</w:t>
      </w:r>
      <w:proofErr w:type="spellEnd"/>
      <w:r w:rsidR="589E5879">
        <w:t xml:space="preserve"> with the </w:t>
      </w:r>
      <w:proofErr w:type="spellStart"/>
      <w:r w:rsidR="589E5879">
        <w:t>ferricline</w:t>
      </w:r>
      <w:proofErr w:type="spellEnd"/>
      <w:r w:rsidR="589E5879">
        <w:t xml:space="preserve"> (</w:t>
      </w:r>
      <w:r w:rsidR="41C19B44">
        <w:t xml:space="preserve">dashed </w:t>
      </w:r>
      <w:r w:rsidR="589E5879">
        <w:t>red).</w:t>
      </w:r>
    </w:p>
    <w:p w14:paraId="2B664B7E" w14:textId="77777777" w:rsidR="007A6EDB" w:rsidRPr="004243F8" w:rsidRDefault="007A6EDB" w:rsidP="00AF41A4">
      <w:pPr>
        <w:snapToGrid w:val="0"/>
        <w:spacing w:line="360" w:lineRule="auto"/>
        <w:jc w:val="both"/>
      </w:pPr>
    </w:p>
    <w:p w14:paraId="1791B870" w14:textId="72168D1C" w:rsidR="00AF41A4" w:rsidRDefault="009C25D5" w:rsidP="00AF41A4">
      <w:pPr>
        <w:snapToGrid w:val="0"/>
        <w:spacing w:line="360" w:lineRule="auto"/>
        <w:jc w:val="both"/>
      </w:pPr>
      <w:r>
        <w:rPr>
          <w:noProof/>
        </w:rPr>
        <w:lastRenderedPageBreak/>
        <w:drawing>
          <wp:inline distT="0" distB="0" distL="0" distR="0" wp14:anchorId="63E911B9" wp14:editId="57876A87">
            <wp:extent cx="5810250" cy="3983316"/>
            <wp:effectExtent l="0" t="0" r="0" b="5080"/>
            <wp:docPr id="20185131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513139" name="Picture 2018513139"/>
                    <pic:cNvPicPr/>
                  </pic:nvPicPr>
                  <pic:blipFill rotWithShape="1">
                    <a:blip r:embed="rId19">
                      <a:extLst>
                        <a:ext uri="{28A0092B-C50C-407E-A947-70E740481C1C}">
                          <a14:useLocalDpi xmlns:a14="http://schemas.microsoft.com/office/drawing/2010/main" val="0"/>
                        </a:ext>
                      </a:extLst>
                    </a:blip>
                    <a:srcRect t="11995" r="35520" b="25446"/>
                    <a:stretch/>
                  </pic:blipFill>
                  <pic:spPr bwMode="auto">
                    <a:xfrm>
                      <a:off x="0" y="0"/>
                      <a:ext cx="5814115" cy="3985965"/>
                    </a:xfrm>
                    <a:prstGeom prst="rect">
                      <a:avLst/>
                    </a:prstGeom>
                    <a:ln>
                      <a:noFill/>
                    </a:ln>
                    <a:extLst>
                      <a:ext uri="{53640926-AAD7-44D8-BBD7-CCE9431645EC}">
                        <a14:shadowObscured xmlns:a14="http://schemas.microsoft.com/office/drawing/2010/main"/>
                      </a:ext>
                    </a:extLst>
                  </pic:spPr>
                </pic:pic>
              </a:graphicData>
            </a:graphic>
          </wp:inline>
        </w:drawing>
      </w:r>
    </w:p>
    <w:p w14:paraId="4C5D6D90" w14:textId="34FD7C07" w:rsidR="00AF41A4" w:rsidRDefault="60CA528B" w:rsidP="00AF41A4">
      <w:pPr>
        <w:snapToGrid w:val="0"/>
        <w:spacing w:line="360" w:lineRule="auto"/>
        <w:jc w:val="both"/>
      </w:pPr>
      <w:r>
        <w:t xml:space="preserve">Figure </w:t>
      </w:r>
      <w:r w:rsidR="007A4833">
        <w:t>9</w:t>
      </w:r>
      <w:r w:rsidR="624789E8">
        <w:t>.</w:t>
      </w:r>
      <w:r>
        <w:t xml:space="preserve"> </w:t>
      </w:r>
      <w:r w:rsidR="70C9EA1D">
        <w:t>Scatterplots of vertically-integrated NPP</w:t>
      </w:r>
      <w:r w:rsidR="57BEC733">
        <w:t xml:space="preserve"> </w:t>
      </w:r>
      <w:r w:rsidR="34F36065">
        <w:t xml:space="preserve">a) </w:t>
      </w:r>
      <w:r w:rsidR="2497B853">
        <w:t>from satellite estimates using the Carbon-based Productivity Model (</w:t>
      </w:r>
      <w:proofErr w:type="spellStart"/>
      <w:r w:rsidR="2497B853">
        <w:t>CbPM</w:t>
      </w:r>
      <w:proofErr w:type="spellEnd"/>
      <w:r w:rsidR="2497B853">
        <w:t>) with the nitracline compared to Argo profiles with and without a DCM</w:t>
      </w:r>
      <w:r w:rsidR="347528E9">
        <w:t>, and b)</w:t>
      </w:r>
      <w:r w:rsidR="2497B853">
        <w:t xml:space="preserve"> in profiles where a DCM is present, c) </w:t>
      </w:r>
      <w:r w:rsidR="11B00EB1">
        <w:t xml:space="preserve">from </w:t>
      </w:r>
      <w:r w:rsidR="57BEC733">
        <w:t xml:space="preserve">satellite estimates </w:t>
      </w:r>
      <w:r w:rsidR="403DF8C6">
        <w:t>using the</w:t>
      </w:r>
      <w:r w:rsidR="11B00EB1">
        <w:t xml:space="preserve"> </w:t>
      </w:r>
      <w:proofErr w:type="spellStart"/>
      <w:r w:rsidR="2497B853">
        <w:t>CbPM</w:t>
      </w:r>
      <w:proofErr w:type="spellEnd"/>
      <w:r w:rsidR="2497B853">
        <w:t xml:space="preserve"> </w:t>
      </w:r>
      <w:r w:rsidR="403DF8C6">
        <w:t>with</w:t>
      </w:r>
      <w:r w:rsidR="11B00EB1">
        <w:t xml:space="preserve"> the </w:t>
      </w:r>
      <w:proofErr w:type="spellStart"/>
      <w:r w:rsidR="11B00EB1">
        <w:t>ferricline</w:t>
      </w:r>
      <w:proofErr w:type="spellEnd"/>
      <w:r w:rsidR="57BEC733">
        <w:t xml:space="preserve"> compared to Argo profiles</w:t>
      </w:r>
      <w:r w:rsidR="403DF8C6">
        <w:t xml:space="preserve"> </w:t>
      </w:r>
      <w:r w:rsidR="347528E9">
        <w:t xml:space="preserve">with and without a DCM, and d) </w:t>
      </w:r>
      <w:r w:rsidR="403DF8C6">
        <w:t>in profiles where a DCM is present</w:t>
      </w:r>
      <w:r w:rsidR="2497B853">
        <w:t>.</w:t>
      </w:r>
      <w:r w:rsidR="3B88EC39">
        <w:t xml:space="preserve"> </w:t>
      </w:r>
      <w:r w:rsidR="0215FFA2">
        <w:t xml:space="preserve">The correlation coefficient (r) is shown on each panel, along with the </w:t>
      </w:r>
      <w:r w:rsidR="6A5BA044">
        <w:t xml:space="preserve">root mean square error (RMSE, </w:t>
      </w:r>
      <w:r w:rsidR="36C5AEDF">
        <w:t>mg C m</w:t>
      </w:r>
      <w:r w:rsidR="36C5AEDF" w:rsidRPr="1FDB3CBA">
        <w:rPr>
          <w:vertAlign w:val="superscript"/>
        </w:rPr>
        <w:t>-2</w:t>
      </w:r>
      <w:r w:rsidR="36C5AEDF">
        <w:t xml:space="preserve"> day</w:t>
      </w:r>
      <w:r w:rsidR="36C5AEDF" w:rsidRPr="1FDB3CBA">
        <w:rPr>
          <w:vertAlign w:val="superscript"/>
        </w:rPr>
        <w:t>-1</w:t>
      </w:r>
      <w:r w:rsidR="6A5BA044">
        <w:t>) and the mean normalise</w:t>
      </w:r>
      <w:r w:rsidR="682B21B5">
        <w:t>d</w:t>
      </w:r>
      <w:r w:rsidR="6A5BA044">
        <w:t xml:space="preserve"> bias (P-bias</w:t>
      </w:r>
      <w:r w:rsidR="36C5AEDF">
        <w:t>, mg C m</w:t>
      </w:r>
      <w:r w:rsidR="36C5AEDF" w:rsidRPr="1FDB3CBA">
        <w:rPr>
          <w:vertAlign w:val="superscript"/>
        </w:rPr>
        <w:t>-2</w:t>
      </w:r>
      <w:r w:rsidR="36C5AEDF">
        <w:t xml:space="preserve"> day</w:t>
      </w:r>
      <w:r w:rsidR="36C5AEDF" w:rsidRPr="1FDB3CBA">
        <w:rPr>
          <w:vertAlign w:val="superscript"/>
        </w:rPr>
        <w:t>-1</w:t>
      </w:r>
      <w:r w:rsidR="6A5BA044">
        <w:t xml:space="preserve">). </w:t>
      </w:r>
    </w:p>
    <w:p w14:paraId="02E4AFDC" w14:textId="1F920929" w:rsidR="00650F89" w:rsidRPr="00DE43FC" w:rsidRDefault="00650F89" w:rsidP="00AF41A4">
      <w:pPr>
        <w:pStyle w:val="ListParagraph"/>
        <w:snapToGrid w:val="0"/>
        <w:spacing w:line="360" w:lineRule="auto"/>
        <w:ind w:left="0"/>
        <w:contextualSpacing w:val="0"/>
        <w:jc w:val="both"/>
        <w:rPr>
          <w:rFonts w:ascii="Times New Roman" w:hAnsi="Times New Roman" w:cs="Times New Roman"/>
          <w:strike/>
          <w:lang w:val="en-AU"/>
        </w:rPr>
      </w:pPr>
    </w:p>
    <w:p w14:paraId="60AFD7A9" w14:textId="77777777" w:rsidR="00185892" w:rsidRDefault="00185892" w:rsidP="00185892">
      <w:pPr>
        <w:snapToGrid w:val="0"/>
        <w:spacing w:line="360" w:lineRule="auto"/>
        <w:jc w:val="both"/>
      </w:pPr>
    </w:p>
    <w:p w14:paraId="330A7829" w14:textId="77777777" w:rsidR="00185892" w:rsidRDefault="00185892" w:rsidP="0053305D">
      <w:pPr>
        <w:snapToGrid w:val="0"/>
        <w:spacing w:line="360" w:lineRule="auto"/>
        <w:jc w:val="both"/>
      </w:pPr>
    </w:p>
    <w:p w14:paraId="6E267756" w14:textId="4B1B2066" w:rsidR="00965EF2" w:rsidRPr="00961AB6" w:rsidRDefault="00420321" w:rsidP="0053305D">
      <w:pPr>
        <w:snapToGrid w:val="0"/>
        <w:spacing w:line="360" w:lineRule="auto"/>
        <w:ind w:firstLine="360"/>
        <w:jc w:val="both"/>
        <w:rPr>
          <w:b/>
          <w:bCs/>
        </w:rPr>
      </w:pPr>
      <w:r w:rsidRPr="00961AB6">
        <w:rPr>
          <w:b/>
          <w:bCs/>
        </w:rPr>
        <w:t>4. Discussion</w:t>
      </w:r>
    </w:p>
    <w:p w14:paraId="26B59A3C" w14:textId="6E032D9A" w:rsidR="00D12784" w:rsidRDefault="00D12784" w:rsidP="0053305D">
      <w:pPr>
        <w:snapToGrid w:val="0"/>
        <w:spacing w:line="360" w:lineRule="auto"/>
        <w:jc w:val="both"/>
        <w:rPr>
          <w:color w:val="0D0D0D"/>
          <w:shd w:val="clear" w:color="auto" w:fill="FFFFFF"/>
        </w:rPr>
      </w:pPr>
    </w:p>
    <w:p w14:paraId="4690971B" w14:textId="77777777" w:rsidR="001547E1" w:rsidRDefault="001547E1" w:rsidP="001547E1">
      <w:pPr>
        <w:snapToGrid w:val="0"/>
        <w:spacing w:line="360" w:lineRule="auto"/>
        <w:jc w:val="both"/>
      </w:pPr>
    </w:p>
    <w:p w14:paraId="3401D315" w14:textId="0AC25B8B" w:rsidR="001547E1" w:rsidRPr="00B5559C" w:rsidRDefault="001547E1" w:rsidP="001547E1">
      <w:pPr>
        <w:snapToGrid w:val="0"/>
        <w:spacing w:line="360" w:lineRule="auto"/>
        <w:jc w:val="both"/>
        <w:rPr>
          <w:b/>
          <w:bCs/>
        </w:rPr>
      </w:pPr>
      <w:r w:rsidRPr="1FDB3CBA">
        <w:rPr>
          <w:b/>
          <w:bCs/>
        </w:rPr>
        <w:t>4.1. DCM</w:t>
      </w:r>
      <w:r w:rsidR="00DF7148">
        <w:rPr>
          <w:b/>
          <w:bCs/>
        </w:rPr>
        <w:t>s</w:t>
      </w:r>
      <w:r w:rsidRPr="1FDB3CBA">
        <w:rPr>
          <w:b/>
          <w:bCs/>
        </w:rPr>
        <w:t xml:space="preserve"> are </w:t>
      </w:r>
      <w:r w:rsidR="00DF7148">
        <w:rPr>
          <w:b/>
          <w:bCs/>
        </w:rPr>
        <w:t xml:space="preserve">prevalent </w:t>
      </w:r>
      <w:r w:rsidRPr="1FDB3CBA">
        <w:rPr>
          <w:b/>
          <w:bCs/>
        </w:rPr>
        <w:t xml:space="preserve">across the Southern Ocean  </w:t>
      </w:r>
    </w:p>
    <w:p w14:paraId="450B922A" w14:textId="77777777" w:rsidR="001547E1" w:rsidRPr="00E31D8B" w:rsidRDefault="001547E1" w:rsidP="001547E1">
      <w:pPr>
        <w:snapToGrid w:val="0"/>
        <w:spacing w:line="360" w:lineRule="auto"/>
        <w:jc w:val="both"/>
      </w:pPr>
    </w:p>
    <w:p w14:paraId="67F31E50" w14:textId="6D1A25CA" w:rsidR="001547E1" w:rsidRPr="00E31D8B" w:rsidRDefault="001547E1" w:rsidP="001547E1">
      <w:pPr>
        <w:pStyle w:val="ListParagraph"/>
        <w:snapToGrid w:val="0"/>
        <w:spacing w:line="360" w:lineRule="auto"/>
        <w:ind w:left="0"/>
        <w:jc w:val="both"/>
        <w:rPr>
          <w:rFonts w:ascii="Times New Roman" w:hAnsi="Times New Roman" w:cs="Times New Roman"/>
        </w:rPr>
      </w:pPr>
      <w:r w:rsidRPr="1FDB3CBA">
        <w:rPr>
          <w:rFonts w:ascii="Times New Roman" w:hAnsi="Times New Roman" w:cs="Times New Roman"/>
        </w:rPr>
        <w:t>The latitudinal pattern we observed, namely more common DCMs and DBMs towards the north,</w:t>
      </w:r>
      <w:r w:rsidR="00997B91">
        <w:rPr>
          <w:rFonts w:ascii="Times New Roman" w:hAnsi="Times New Roman" w:cs="Times New Roman"/>
        </w:rPr>
        <w:t xml:space="preserve"> </w:t>
      </w:r>
      <w:r w:rsidR="00785629">
        <w:rPr>
          <w:rFonts w:ascii="Times New Roman" w:hAnsi="Times New Roman" w:cs="Times New Roman"/>
        </w:rPr>
        <w:t>~</w:t>
      </w:r>
      <w:r w:rsidR="00997B91">
        <w:rPr>
          <w:rFonts w:ascii="Times New Roman" w:hAnsi="Times New Roman" w:cs="Times New Roman"/>
        </w:rPr>
        <w:t>30 to 50°S,</w:t>
      </w:r>
      <w:r w:rsidRPr="1FDB3CBA">
        <w:rPr>
          <w:rFonts w:ascii="Times New Roman" w:hAnsi="Times New Roman" w:cs="Times New Roman"/>
        </w:rPr>
        <w:t xml:space="preserve"> is likely linked to the similar gradient in water-column stability</w:t>
      </w:r>
      <w:r w:rsidR="00144952">
        <w:rPr>
          <w:rFonts w:ascii="Times New Roman" w:hAnsi="Times New Roman" w:cs="Times New Roman"/>
        </w:rPr>
        <w:t>, nutrient</w:t>
      </w:r>
      <w:r w:rsidR="00E3433F">
        <w:rPr>
          <w:rFonts w:ascii="Times New Roman" w:hAnsi="Times New Roman" w:cs="Times New Roman"/>
        </w:rPr>
        <w:t>s</w:t>
      </w:r>
      <w:r w:rsidR="00144952">
        <w:rPr>
          <w:rFonts w:ascii="Times New Roman" w:hAnsi="Times New Roman" w:cs="Times New Roman"/>
        </w:rPr>
        <w:t xml:space="preserve"> and light, following the standard DCM </w:t>
      </w:r>
      <w:r w:rsidR="00A92CCD">
        <w:rPr>
          <w:rFonts w:ascii="Times New Roman" w:hAnsi="Times New Roman" w:cs="Times New Roman"/>
        </w:rPr>
        <w:t xml:space="preserve">conceptual </w:t>
      </w:r>
      <w:r w:rsidR="00144952">
        <w:rPr>
          <w:rFonts w:ascii="Times New Roman" w:hAnsi="Times New Roman" w:cs="Times New Roman"/>
        </w:rPr>
        <w:t>model at low latitudes (Cullen, 2015)</w:t>
      </w:r>
      <w:r w:rsidRPr="1FDB3CBA">
        <w:rPr>
          <w:rFonts w:ascii="Times New Roman" w:hAnsi="Times New Roman" w:cs="Times New Roman"/>
        </w:rPr>
        <w:t xml:space="preserve">. </w:t>
      </w:r>
      <w:r w:rsidRPr="1FDB3CBA">
        <w:rPr>
          <w:rFonts w:ascii="Times New Roman" w:hAnsi="Times New Roman" w:cs="Times New Roman"/>
        </w:rPr>
        <w:lastRenderedPageBreak/>
        <w:t xml:space="preserve">Stratified, two-layer conditions are </w:t>
      </w:r>
      <w:r w:rsidR="003D0871">
        <w:rPr>
          <w:rFonts w:ascii="Times New Roman" w:hAnsi="Times New Roman" w:cs="Times New Roman"/>
        </w:rPr>
        <w:t>commonly perceived as essential</w:t>
      </w:r>
      <w:r w:rsidRPr="1FDB3CBA">
        <w:rPr>
          <w:rFonts w:ascii="Times New Roman" w:hAnsi="Times New Roman" w:cs="Times New Roman"/>
        </w:rPr>
        <w:t xml:space="preserve"> for the formation of DCMs (Cullen, 2015; </w:t>
      </w:r>
      <w:proofErr w:type="spellStart"/>
      <w:r w:rsidRPr="1FDB3CBA">
        <w:rPr>
          <w:rFonts w:ascii="Times New Roman" w:hAnsi="Times New Roman" w:cs="Times New Roman"/>
        </w:rPr>
        <w:t>Latasa</w:t>
      </w:r>
      <w:proofErr w:type="spellEnd"/>
      <w:r w:rsidRPr="1FDB3CBA">
        <w:rPr>
          <w:rFonts w:ascii="Times New Roman" w:hAnsi="Times New Roman" w:cs="Times New Roman"/>
        </w:rPr>
        <w:t xml:space="preserve"> et al., 2017). This </w:t>
      </w:r>
      <w:r w:rsidR="00654D75">
        <w:rPr>
          <w:rFonts w:ascii="Times New Roman" w:hAnsi="Times New Roman" w:cs="Times New Roman"/>
        </w:rPr>
        <w:t>stratification</w:t>
      </w:r>
      <w:r w:rsidRPr="1FDB3CBA">
        <w:rPr>
          <w:rFonts w:ascii="Times New Roman" w:hAnsi="Times New Roman" w:cs="Times New Roman"/>
        </w:rPr>
        <w:t xml:space="preserve"> is observed less often towards the poles and in winter </w:t>
      </w:r>
      <w:r>
        <w:rPr>
          <w:rFonts w:ascii="Times New Roman" w:hAnsi="Times New Roman" w:cs="Times New Roman"/>
        </w:rPr>
        <w:t xml:space="preserve">in the Southern Ocean </w:t>
      </w:r>
      <w:r w:rsidRPr="1FDB3CBA">
        <w:rPr>
          <w:rFonts w:ascii="Times New Roman" w:hAnsi="Times New Roman" w:cs="Times New Roman"/>
        </w:rPr>
        <w:t xml:space="preserve">(Cornec et al., 2021). At the same time, the magnitude of the seasonal variability in the ML decreases towards low latitudes. Previous studies have also observed an increase in DCM occurrence from the poles to the equator (Parslow et al., 2001; Ardyna et al., 2013; Mignot et al., 2014; Cullen, 2015; </w:t>
      </w:r>
      <w:proofErr w:type="spellStart"/>
      <w:r w:rsidRPr="1FDB3CBA">
        <w:rPr>
          <w:rFonts w:ascii="Times New Roman" w:hAnsi="Times New Roman" w:cs="Times New Roman"/>
        </w:rPr>
        <w:t>Silsbe</w:t>
      </w:r>
      <w:proofErr w:type="spellEnd"/>
      <w:r w:rsidRPr="1FDB3CBA">
        <w:rPr>
          <w:rFonts w:ascii="Times New Roman" w:hAnsi="Times New Roman" w:cs="Times New Roman"/>
        </w:rPr>
        <w:t xml:space="preserve"> and Malkin, 2016; Baldry et al., 2020; Cornec et al 2021). </w:t>
      </w:r>
    </w:p>
    <w:p w14:paraId="74DEC0B8" w14:textId="77777777" w:rsidR="001547E1" w:rsidRPr="00746833" w:rsidRDefault="001547E1" w:rsidP="001547E1">
      <w:pPr>
        <w:snapToGrid w:val="0"/>
        <w:spacing w:line="360" w:lineRule="auto"/>
        <w:jc w:val="both"/>
        <w:rPr>
          <w:color w:val="0D0D0D"/>
          <w:shd w:val="clear" w:color="auto" w:fill="FFFFFF"/>
          <w:lang w:val="en-GB"/>
        </w:rPr>
      </w:pPr>
    </w:p>
    <w:p w14:paraId="209454FF" w14:textId="636A7BC6" w:rsidR="001547E1" w:rsidRPr="007D62FE" w:rsidRDefault="001547E1" w:rsidP="001547E1">
      <w:pPr>
        <w:snapToGrid w:val="0"/>
        <w:spacing w:line="360" w:lineRule="auto"/>
        <w:jc w:val="both"/>
        <w:rPr>
          <w:color w:val="0D0D0D"/>
          <w:shd w:val="clear" w:color="auto" w:fill="FFFFFF"/>
        </w:rPr>
      </w:pPr>
      <w:r w:rsidRPr="00B879D5">
        <w:rPr>
          <w:color w:val="0D0D0D"/>
          <w:shd w:val="clear" w:color="auto" w:fill="FFFFFF"/>
        </w:rPr>
        <w:t xml:space="preserve">Recent research has </w:t>
      </w:r>
      <w:r w:rsidR="00C328C1">
        <w:rPr>
          <w:color w:val="0D0D0D"/>
          <w:shd w:val="clear" w:color="auto" w:fill="FFFFFF"/>
        </w:rPr>
        <w:t>revealed</w:t>
      </w:r>
      <w:r w:rsidRPr="00B879D5">
        <w:rPr>
          <w:color w:val="0D0D0D"/>
          <w:shd w:val="clear" w:color="auto" w:fill="FFFFFF"/>
        </w:rPr>
        <w:t xml:space="preserve"> DCMs in the Southern Ocean using BGC-Argo float profiles (</w:t>
      </w:r>
      <w:r>
        <w:rPr>
          <w:color w:val="0D0D0D"/>
          <w:shd w:val="clear" w:color="auto" w:fill="FFFFFF"/>
        </w:rPr>
        <w:t xml:space="preserve">Pinkerton et al., 2021; </w:t>
      </w:r>
      <w:r w:rsidRPr="00B879D5">
        <w:rPr>
          <w:color w:val="0D0D0D"/>
          <w:shd w:val="clear" w:color="auto" w:fill="FFFFFF"/>
        </w:rPr>
        <w:t xml:space="preserve">Cornec et al., 2021; </w:t>
      </w:r>
      <w:proofErr w:type="spellStart"/>
      <w:r w:rsidRPr="00B879D5">
        <w:rPr>
          <w:color w:val="0D0D0D"/>
          <w:shd w:val="clear" w:color="auto" w:fill="FFFFFF"/>
        </w:rPr>
        <w:t>Yasunaka</w:t>
      </w:r>
      <w:proofErr w:type="spellEnd"/>
      <w:r w:rsidRPr="00B879D5">
        <w:rPr>
          <w:color w:val="0D0D0D"/>
          <w:shd w:val="clear" w:color="auto" w:fill="FFFFFF"/>
        </w:rPr>
        <w:t xml:space="preserve"> et al., 2022</w:t>
      </w:r>
      <w:r>
        <w:rPr>
          <w:color w:val="0D0D0D"/>
          <w:shd w:val="clear" w:color="auto" w:fill="FFFFFF"/>
        </w:rPr>
        <w:t>; Strutton et al., 2023</w:t>
      </w:r>
      <w:r w:rsidRPr="00B879D5">
        <w:rPr>
          <w:color w:val="0D0D0D"/>
          <w:shd w:val="clear" w:color="auto" w:fill="FFFFFF"/>
        </w:rPr>
        <w:t>), as well as ship-based measurements (Carranza et al., 2018; Latour et al., 2023; Boyd et al., 202</w:t>
      </w:r>
      <w:r>
        <w:rPr>
          <w:color w:val="0D0D0D"/>
          <w:shd w:val="clear" w:color="auto" w:fill="FFFFFF"/>
        </w:rPr>
        <w:t>4</w:t>
      </w:r>
      <w:r w:rsidRPr="00B879D5">
        <w:rPr>
          <w:color w:val="0D0D0D"/>
          <w:shd w:val="clear" w:color="auto" w:fill="FFFFFF"/>
        </w:rPr>
        <w:t xml:space="preserve">). While our understanding of DCMs largely stems from nitrate-limited waters (Cullen 2015), various </w:t>
      </w:r>
      <w:r>
        <w:rPr>
          <w:color w:val="0D0D0D"/>
          <w:shd w:val="clear" w:color="auto" w:fill="FFFFFF"/>
        </w:rPr>
        <w:t>mechanisms</w:t>
      </w:r>
      <w:r w:rsidRPr="00B879D5">
        <w:rPr>
          <w:color w:val="0D0D0D"/>
          <w:shd w:val="clear" w:color="auto" w:fill="FFFFFF"/>
        </w:rPr>
        <w:t xml:space="preserve"> regarding their formation have been </w:t>
      </w:r>
      <w:r>
        <w:rPr>
          <w:color w:val="0D0D0D"/>
          <w:shd w:val="clear" w:color="auto" w:fill="FFFFFF"/>
        </w:rPr>
        <w:t xml:space="preserve">observed for the </w:t>
      </w:r>
      <w:r w:rsidR="00EB603B">
        <w:rPr>
          <w:color w:val="0D0D0D"/>
          <w:shd w:val="clear" w:color="auto" w:fill="FFFFFF"/>
        </w:rPr>
        <w:t xml:space="preserve">iron-limited </w:t>
      </w:r>
      <w:r>
        <w:rPr>
          <w:color w:val="0D0D0D"/>
          <w:shd w:val="clear" w:color="auto" w:fill="FFFFFF"/>
        </w:rPr>
        <w:t>Southern Ocean</w:t>
      </w:r>
      <w:r w:rsidRPr="00B879D5">
        <w:rPr>
          <w:color w:val="0D0D0D"/>
          <w:shd w:val="clear" w:color="auto" w:fill="FFFFFF"/>
        </w:rPr>
        <w:t xml:space="preserve">. These include </w:t>
      </w:r>
      <w:proofErr w:type="spellStart"/>
      <w:r w:rsidRPr="00B879D5">
        <w:rPr>
          <w:color w:val="0D0D0D"/>
          <w:shd w:val="clear" w:color="auto" w:fill="FFFFFF"/>
        </w:rPr>
        <w:t>photoacclimation</w:t>
      </w:r>
      <w:proofErr w:type="spellEnd"/>
      <w:r w:rsidRPr="00B879D5">
        <w:rPr>
          <w:color w:val="0D0D0D"/>
          <w:shd w:val="clear" w:color="auto" w:fill="FFFFFF"/>
        </w:rPr>
        <w:t xml:space="preserve"> (Baldry et al., 2020</w:t>
      </w:r>
      <w:r>
        <w:rPr>
          <w:color w:val="0D0D0D"/>
          <w:shd w:val="clear" w:color="auto" w:fill="FFFFFF"/>
        </w:rPr>
        <w:t>; Cornec et al., 2021a</w:t>
      </w:r>
      <w:r w:rsidRPr="00B879D5">
        <w:rPr>
          <w:color w:val="0D0D0D"/>
          <w:shd w:val="clear" w:color="auto" w:fill="FFFFFF"/>
        </w:rPr>
        <w:t xml:space="preserve">), </w:t>
      </w:r>
      <w:r>
        <w:rPr>
          <w:color w:val="0D0D0D"/>
          <w:shd w:val="clear" w:color="auto" w:fill="FFFFFF"/>
        </w:rPr>
        <w:t>physical</w:t>
      </w:r>
      <w:r w:rsidRPr="00B879D5">
        <w:rPr>
          <w:color w:val="0D0D0D"/>
          <w:shd w:val="clear" w:color="auto" w:fill="FFFFFF"/>
        </w:rPr>
        <w:t xml:space="preserve"> </w:t>
      </w:r>
      <w:r>
        <w:rPr>
          <w:color w:val="0D0D0D"/>
          <w:shd w:val="clear" w:color="auto" w:fill="FFFFFF"/>
        </w:rPr>
        <w:t xml:space="preserve">or biogeochemical </w:t>
      </w:r>
      <w:r w:rsidRPr="00B879D5">
        <w:rPr>
          <w:color w:val="0D0D0D"/>
          <w:shd w:val="clear" w:color="auto" w:fill="FFFFFF"/>
        </w:rPr>
        <w:t>mechanisms such as eddies</w:t>
      </w:r>
      <w:r>
        <w:rPr>
          <w:color w:val="0D0D0D"/>
          <w:shd w:val="clear" w:color="auto" w:fill="FFFFFF"/>
        </w:rPr>
        <w:t xml:space="preserve"> (Cornec et al., 2021b; Strutton et al., 2023)</w:t>
      </w:r>
      <w:r w:rsidRPr="00B879D5">
        <w:rPr>
          <w:color w:val="0D0D0D"/>
          <w:shd w:val="clear" w:color="auto" w:fill="FFFFFF"/>
        </w:rPr>
        <w:t xml:space="preserve">, sea-ice retreat, subduction, and </w:t>
      </w:r>
      <w:r>
        <w:rPr>
          <w:color w:val="0D0D0D"/>
          <w:shd w:val="clear" w:color="auto" w:fill="FFFFFF"/>
        </w:rPr>
        <w:t xml:space="preserve">episodic </w:t>
      </w:r>
      <w:r w:rsidRPr="00B879D5">
        <w:rPr>
          <w:color w:val="0D0D0D"/>
          <w:shd w:val="clear" w:color="auto" w:fill="FFFFFF"/>
        </w:rPr>
        <w:t xml:space="preserve">iron </w:t>
      </w:r>
      <w:r>
        <w:rPr>
          <w:color w:val="0D0D0D"/>
          <w:shd w:val="clear" w:color="auto" w:fill="FFFFFF"/>
        </w:rPr>
        <w:t xml:space="preserve">supplies that </w:t>
      </w:r>
      <w:r w:rsidRPr="00B879D5">
        <w:rPr>
          <w:color w:val="0D0D0D"/>
          <w:shd w:val="clear" w:color="auto" w:fill="FFFFFF"/>
        </w:rPr>
        <w:t xml:space="preserve">induce diatom </w:t>
      </w:r>
      <w:r>
        <w:rPr>
          <w:color w:val="0D0D0D"/>
          <w:shd w:val="clear" w:color="auto" w:fill="FFFFFF"/>
        </w:rPr>
        <w:t>aggregations</w:t>
      </w:r>
      <w:r w:rsidRPr="00B879D5">
        <w:rPr>
          <w:color w:val="0D0D0D"/>
          <w:shd w:val="clear" w:color="auto" w:fill="FFFFFF"/>
        </w:rPr>
        <w:t xml:space="preserve"> at </w:t>
      </w:r>
      <w:r>
        <w:rPr>
          <w:color w:val="0D0D0D"/>
          <w:shd w:val="clear" w:color="auto" w:fill="FFFFFF"/>
        </w:rPr>
        <w:t>depth</w:t>
      </w:r>
      <w:r w:rsidRPr="00B879D5">
        <w:rPr>
          <w:color w:val="0D0D0D"/>
          <w:shd w:val="clear" w:color="auto" w:fill="FFFFFF"/>
        </w:rPr>
        <w:t xml:space="preserve"> (Carranza et al., 2018; Baldry et al., 2020). </w:t>
      </w:r>
      <w:r>
        <w:rPr>
          <w:color w:val="0D0D0D"/>
          <w:shd w:val="clear" w:color="auto" w:fill="FFFFFF"/>
        </w:rPr>
        <w:t xml:space="preserve">More recently, </w:t>
      </w:r>
      <w:r w:rsidR="00A16F55">
        <w:rPr>
          <w:color w:val="0D0D0D"/>
          <w:shd w:val="clear" w:color="auto" w:fill="FFFFFF"/>
        </w:rPr>
        <w:t xml:space="preserve">persistent </w:t>
      </w:r>
      <w:r>
        <w:rPr>
          <w:color w:val="0D0D0D"/>
          <w:shd w:val="clear" w:color="auto" w:fill="FFFFFF"/>
        </w:rPr>
        <w:t>DCMs and DBMs have been found near a</w:t>
      </w:r>
      <w:r w:rsidR="00A16F55">
        <w:rPr>
          <w:color w:val="0D0D0D"/>
          <w:shd w:val="clear" w:color="auto" w:fill="FFFFFF"/>
        </w:rPr>
        <w:t xml:space="preserve"> subsurface </w:t>
      </w:r>
      <w:r>
        <w:rPr>
          <w:color w:val="0D0D0D"/>
          <w:shd w:val="clear" w:color="auto" w:fill="FFFFFF"/>
        </w:rPr>
        <w:t>ammonium maximum</w:t>
      </w:r>
      <w:r w:rsidRPr="2877D44A">
        <w:rPr>
          <w:color w:val="0D0D0D" w:themeColor="text1" w:themeTint="F2"/>
        </w:rPr>
        <w:t>,</w:t>
      </w:r>
      <w:r>
        <w:rPr>
          <w:color w:val="0D0D0D"/>
          <w:shd w:val="clear" w:color="auto" w:fill="FFFFFF"/>
        </w:rPr>
        <w:t xml:space="preserve"> suggesting a sustained </w:t>
      </w:r>
      <w:r w:rsidR="00A16F55">
        <w:rPr>
          <w:color w:val="0D0D0D"/>
          <w:shd w:val="clear" w:color="auto" w:fill="FFFFFF"/>
        </w:rPr>
        <w:t xml:space="preserve">in situ </w:t>
      </w:r>
      <w:r>
        <w:rPr>
          <w:color w:val="0D0D0D"/>
          <w:shd w:val="clear" w:color="auto" w:fill="FFFFFF"/>
        </w:rPr>
        <w:t>supply of recycled iron along with silica</w:t>
      </w:r>
      <w:r w:rsidR="004D49E9">
        <w:rPr>
          <w:color w:val="0D0D0D"/>
          <w:shd w:val="clear" w:color="auto" w:fill="FFFFFF"/>
        </w:rPr>
        <w:t>te</w:t>
      </w:r>
      <w:r>
        <w:rPr>
          <w:color w:val="0D0D0D"/>
          <w:shd w:val="clear" w:color="auto" w:fill="FFFFFF"/>
        </w:rPr>
        <w:t xml:space="preserve"> </w:t>
      </w:r>
      <w:r w:rsidR="00A16F55">
        <w:rPr>
          <w:color w:val="0D0D0D"/>
          <w:shd w:val="clear" w:color="auto" w:fill="FFFFFF"/>
        </w:rPr>
        <w:t xml:space="preserve">resupply </w:t>
      </w:r>
      <w:r>
        <w:rPr>
          <w:color w:val="0D0D0D"/>
          <w:shd w:val="clear" w:color="auto" w:fill="FFFFFF"/>
        </w:rPr>
        <w:t xml:space="preserve">from depth (Boyd et al., 2024). </w:t>
      </w:r>
      <w:r w:rsidRPr="00B879D5">
        <w:rPr>
          <w:color w:val="0D0D0D"/>
          <w:shd w:val="clear" w:color="auto" w:fill="FFFFFF"/>
        </w:rPr>
        <w:t xml:space="preserve">The higher prevalence of DCMs at </w:t>
      </w:r>
      <w:r w:rsidR="00997B91">
        <w:rPr>
          <w:color w:val="0D0D0D"/>
          <w:shd w:val="clear" w:color="auto" w:fill="FFFFFF"/>
        </w:rPr>
        <w:t>the STZ</w:t>
      </w:r>
      <w:r w:rsidRPr="00B879D5">
        <w:rPr>
          <w:color w:val="0D0D0D"/>
          <w:shd w:val="clear" w:color="auto" w:fill="FFFFFF"/>
        </w:rPr>
        <w:t xml:space="preserve">, </w:t>
      </w:r>
      <w:r w:rsidR="00EB603B">
        <w:rPr>
          <w:color w:val="0D0D0D"/>
          <w:shd w:val="clear" w:color="auto" w:fill="FFFFFF"/>
        </w:rPr>
        <w:t xml:space="preserve">and in the SIZ during summer, </w:t>
      </w:r>
      <w:r w:rsidRPr="00B879D5">
        <w:rPr>
          <w:color w:val="0D0D0D"/>
          <w:shd w:val="clear" w:color="auto" w:fill="FFFFFF"/>
        </w:rPr>
        <w:t xml:space="preserve">where light is less limiting, and their strong association with DBMs, </w:t>
      </w:r>
      <w:r>
        <w:rPr>
          <w:color w:val="0D0D0D"/>
          <w:shd w:val="clear" w:color="auto" w:fill="FFFFFF"/>
        </w:rPr>
        <w:t>confirm</w:t>
      </w:r>
      <w:r w:rsidRPr="00B879D5">
        <w:rPr>
          <w:color w:val="0D0D0D"/>
          <w:shd w:val="clear" w:color="auto" w:fill="FFFFFF"/>
        </w:rPr>
        <w:t xml:space="preserve"> that mechanisms other than photo-acclimation contribute to their formation</w:t>
      </w:r>
      <w:r>
        <w:rPr>
          <w:color w:val="0D0D0D"/>
          <w:shd w:val="clear" w:color="auto" w:fill="FFFFFF"/>
        </w:rPr>
        <w:t xml:space="preserve"> in the Southern Ocean, agreeing with mechanisms documented in temperate and tropical waters (Durham and Stocker, 2012).</w:t>
      </w:r>
    </w:p>
    <w:p w14:paraId="59769F43" w14:textId="77777777" w:rsidR="001547E1" w:rsidRDefault="001547E1" w:rsidP="0053305D">
      <w:pPr>
        <w:snapToGrid w:val="0"/>
        <w:spacing w:line="360" w:lineRule="auto"/>
        <w:jc w:val="both"/>
        <w:rPr>
          <w:color w:val="0D0D0D"/>
          <w:shd w:val="clear" w:color="auto" w:fill="FFFFFF"/>
        </w:rPr>
      </w:pPr>
    </w:p>
    <w:p w14:paraId="238357C3" w14:textId="414AE6C0" w:rsidR="00CD1642" w:rsidRPr="00477622" w:rsidRDefault="00CD1642" w:rsidP="0053305D">
      <w:pPr>
        <w:pStyle w:val="ListParagraph"/>
        <w:snapToGrid w:val="0"/>
        <w:spacing w:line="360" w:lineRule="auto"/>
        <w:ind w:left="0"/>
        <w:contextualSpacing w:val="0"/>
        <w:jc w:val="both"/>
        <w:rPr>
          <w:rFonts w:ascii="Times New Roman" w:hAnsi="Times New Roman" w:cs="Times New Roman"/>
          <w:b/>
          <w:bCs/>
        </w:rPr>
      </w:pPr>
      <w:r w:rsidRPr="00477622">
        <w:rPr>
          <w:rFonts w:ascii="Times New Roman" w:hAnsi="Times New Roman" w:cs="Times New Roman"/>
          <w:b/>
          <w:bCs/>
        </w:rPr>
        <w:t>4.</w:t>
      </w:r>
      <w:r w:rsidR="001547E1">
        <w:rPr>
          <w:rFonts w:ascii="Times New Roman" w:hAnsi="Times New Roman" w:cs="Times New Roman"/>
          <w:b/>
          <w:bCs/>
        </w:rPr>
        <w:t>2</w:t>
      </w:r>
      <w:r w:rsidRPr="00477622">
        <w:rPr>
          <w:rFonts w:ascii="Times New Roman" w:hAnsi="Times New Roman" w:cs="Times New Roman"/>
          <w:b/>
          <w:bCs/>
        </w:rPr>
        <w:t xml:space="preserve">. Deep chlorophyll maxima </w:t>
      </w:r>
      <w:r w:rsidR="00477622" w:rsidRPr="00477622">
        <w:rPr>
          <w:rFonts w:ascii="Times New Roman" w:hAnsi="Times New Roman" w:cs="Times New Roman"/>
          <w:b/>
          <w:bCs/>
        </w:rPr>
        <w:t xml:space="preserve">matter </w:t>
      </w:r>
      <w:r w:rsidR="00DF7C44">
        <w:rPr>
          <w:rFonts w:ascii="Times New Roman" w:hAnsi="Times New Roman" w:cs="Times New Roman"/>
          <w:b/>
          <w:bCs/>
        </w:rPr>
        <w:t>for Southern Ocean</w:t>
      </w:r>
      <w:r w:rsidR="00477622" w:rsidRPr="00477622">
        <w:rPr>
          <w:rFonts w:ascii="Times New Roman" w:hAnsi="Times New Roman" w:cs="Times New Roman"/>
          <w:b/>
          <w:bCs/>
        </w:rPr>
        <w:t xml:space="preserve"> primary production</w:t>
      </w:r>
    </w:p>
    <w:p w14:paraId="3F0AC1E0" w14:textId="77777777" w:rsidR="00477622" w:rsidRDefault="00477622" w:rsidP="0053305D">
      <w:pPr>
        <w:pStyle w:val="ListParagraph"/>
        <w:snapToGrid w:val="0"/>
        <w:spacing w:line="360" w:lineRule="auto"/>
        <w:ind w:left="0"/>
        <w:contextualSpacing w:val="0"/>
        <w:jc w:val="both"/>
        <w:rPr>
          <w:rFonts w:ascii="Times New Roman" w:hAnsi="Times New Roman" w:cs="Times New Roman"/>
        </w:rPr>
      </w:pPr>
    </w:p>
    <w:p w14:paraId="0669061F" w14:textId="4EDCA71D" w:rsidR="000C3C4D" w:rsidRDefault="58CBFCFE" w:rsidP="1FDB3CBA">
      <w:pPr>
        <w:pStyle w:val="ListParagraph"/>
        <w:snapToGrid w:val="0"/>
        <w:spacing w:line="360" w:lineRule="auto"/>
        <w:ind w:left="0"/>
        <w:jc w:val="both"/>
        <w:rPr>
          <w:rFonts w:ascii="Times New Roman" w:hAnsi="Times New Roman" w:cs="Times New Roman"/>
        </w:rPr>
      </w:pPr>
      <w:r w:rsidRPr="1FDB3CBA">
        <w:rPr>
          <w:rFonts w:ascii="Times New Roman" w:hAnsi="Times New Roman" w:cs="Times New Roman"/>
        </w:rPr>
        <w:t>We observe DCMs and DBMs everywhere in the Southern Ocean, and while we do see high</w:t>
      </w:r>
      <w:r w:rsidR="006A775F">
        <w:rPr>
          <w:rFonts w:ascii="Times New Roman" w:hAnsi="Times New Roman" w:cs="Times New Roman"/>
        </w:rPr>
        <w:t>er</w:t>
      </w:r>
      <w:r w:rsidRPr="1FDB3CBA">
        <w:rPr>
          <w:rFonts w:ascii="Times New Roman" w:hAnsi="Times New Roman" w:cs="Times New Roman"/>
        </w:rPr>
        <w:t xml:space="preserve"> abundance at low latitudes in the STZ, compared to the PAZ and SAZ, DCMs and DBMs are widespread, </w:t>
      </w:r>
      <w:r w:rsidR="00F916A6">
        <w:rPr>
          <w:rFonts w:ascii="Times New Roman" w:hAnsi="Times New Roman" w:cs="Times New Roman"/>
        </w:rPr>
        <w:t xml:space="preserve">and occur </w:t>
      </w:r>
      <w:r w:rsidR="660B5853" w:rsidRPr="1FDB3CBA">
        <w:rPr>
          <w:rFonts w:ascii="Times New Roman" w:hAnsi="Times New Roman" w:cs="Times New Roman"/>
        </w:rPr>
        <w:t xml:space="preserve">under </w:t>
      </w:r>
      <w:r w:rsidR="59741057" w:rsidRPr="1FDB3CBA">
        <w:rPr>
          <w:rFonts w:ascii="Times New Roman" w:hAnsi="Times New Roman" w:cs="Times New Roman"/>
        </w:rPr>
        <w:t>a range</w:t>
      </w:r>
      <w:r w:rsidR="660B5853" w:rsidRPr="1FDB3CBA">
        <w:rPr>
          <w:rFonts w:ascii="Times New Roman" w:hAnsi="Times New Roman" w:cs="Times New Roman"/>
        </w:rPr>
        <w:t xml:space="preserve"> </w:t>
      </w:r>
      <w:r w:rsidRPr="1FDB3CBA">
        <w:rPr>
          <w:rFonts w:ascii="Times New Roman" w:hAnsi="Times New Roman" w:cs="Times New Roman"/>
        </w:rPr>
        <w:t>of light and nutrient</w:t>
      </w:r>
      <w:r w:rsidR="2F3A45F9" w:rsidRPr="1FDB3CBA">
        <w:rPr>
          <w:rFonts w:ascii="Times New Roman" w:hAnsi="Times New Roman" w:cs="Times New Roman"/>
        </w:rPr>
        <w:t xml:space="preserve"> condition</w:t>
      </w:r>
      <w:r w:rsidR="660B5853" w:rsidRPr="1FDB3CBA">
        <w:rPr>
          <w:rFonts w:ascii="Times New Roman" w:hAnsi="Times New Roman" w:cs="Times New Roman"/>
        </w:rPr>
        <w:t>s</w:t>
      </w:r>
      <w:r w:rsidRPr="1FDB3CBA">
        <w:rPr>
          <w:rFonts w:ascii="Times New Roman" w:hAnsi="Times New Roman" w:cs="Times New Roman"/>
        </w:rPr>
        <w:t>. More importantly, our results show that DCMs are significant in terms of their contribution to total production.</w:t>
      </w:r>
      <w:r w:rsidR="00152BA9">
        <w:rPr>
          <w:rFonts w:ascii="Times New Roman" w:hAnsi="Times New Roman" w:cs="Times New Roman"/>
        </w:rPr>
        <w:t xml:space="preserve"> </w:t>
      </w:r>
      <w:r w:rsidR="009C2EB1">
        <w:rPr>
          <w:rFonts w:ascii="Times New Roman" w:hAnsi="Times New Roman" w:cs="Times New Roman"/>
        </w:rPr>
        <w:t xml:space="preserve">Subsurface </w:t>
      </w:r>
      <w:r w:rsidR="00540EF9">
        <w:rPr>
          <w:rFonts w:ascii="Times New Roman" w:hAnsi="Times New Roman" w:cs="Times New Roman"/>
        </w:rPr>
        <w:t xml:space="preserve">NPP in the presence of </w:t>
      </w:r>
      <w:r w:rsidR="00152BA9">
        <w:rPr>
          <w:rFonts w:ascii="Times New Roman" w:hAnsi="Times New Roman" w:cs="Times New Roman"/>
        </w:rPr>
        <w:t xml:space="preserve">DCMs </w:t>
      </w:r>
      <w:r w:rsidR="00540EF9">
        <w:rPr>
          <w:rFonts w:ascii="Times New Roman" w:hAnsi="Times New Roman" w:cs="Times New Roman"/>
        </w:rPr>
        <w:t xml:space="preserve">contributes </w:t>
      </w:r>
      <w:r w:rsidR="00152BA9">
        <w:rPr>
          <w:rFonts w:ascii="Times New Roman" w:hAnsi="Times New Roman" w:cs="Times New Roman"/>
        </w:rPr>
        <w:t xml:space="preserve">59% of total NPP on average. </w:t>
      </w:r>
      <w:r w:rsidR="008C46AA">
        <w:rPr>
          <w:rFonts w:ascii="Times New Roman" w:hAnsi="Times New Roman" w:cs="Times New Roman"/>
        </w:rPr>
        <w:t xml:space="preserve">This contribution is highest </w:t>
      </w:r>
      <w:r w:rsidR="00457F99">
        <w:rPr>
          <w:rFonts w:ascii="Times New Roman" w:hAnsi="Times New Roman" w:cs="Times New Roman"/>
        </w:rPr>
        <w:t xml:space="preserve">(40-70%) </w:t>
      </w:r>
      <w:r w:rsidR="008C46AA">
        <w:rPr>
          <w:rFonts w:ascii="Times New Roman" w:hAnsi="Times New Roman" w:cs="Times New Roman"/>
        </w:rPr>
        <w:t xml:space="preserve">north of 40°S, and </w:t>
      </w:r>
      <w:r w:rsidR="00457F99">
        <w:rPr>
          <w:rFonts w:ascii="Times New Roman" w:hAnsi="Times New Roman" w:cs="Times New Roman"/>
        </w:rPr>
        <w:t>lower (</w:t>
      </w:r>
      <w:r w:rsidR="00D21ADF">
        <w:rPr>
          <w:rFonts w:ascii="Times New Roman" w:hAnsi="Times New Roman" w:cs="Times New Roman"/>
        </w:rPr>
        <w:t>20-40%</w:t>
      </w:r>
      <w:r w:rsidR="00457F99">
        <w:rPr>
          <w:rFonts w:ascii="Times New Roman" w:hAnsi="Times New Roman" w:cs="Times New Roman"/>
        </w:rPr>
        <w:t>)</w:t>
      </w:r>
      <w:r w:rsidR="008C46AA">
        <w:rPr>
          <w:rFonts w:ascii="Times New Roman" w:hAnsi="Times New Roman" w:cs="Times New Roman"/>
        </w:rPr>
        <w:t xml:space="preserve"> south of 40°S </w:t>
      </w:r>
      <w:r w:rsidR="008C46AA" w:rsidRPr="004D49E9">
        <w:rPr>
          <w:rFonts w:ascii="Times New Roman" w:hAnsi="Times New Roman" w:cs="Times New Roman"/>
        </w:rPr>
        <w:t xml:space="preserve">(Figure </w:t>
      </w:r>
      <w:r w:rsidR="003F5090" w:rsidRPr="004D49E9">
        <w:rPr>
          <w:rFonts w:ascii="Times New Roman" w:hAnsi="Times New Roman" w:cs="Times New Roman"/>
        </w:rPr>
        <w:t>3</w:t>
      </w:r>
      <w:r w:rsidR="008C46AA" w:rsidRPr="004D49E9">
        <w:rPr>
          <w:rFonts w:ascii="Times New Roman" w:hAnsi="Times New Roman" w:cs="Times New Roman"/>
        </w:rPr>
        <w:t>).</w:t>
      </w:r>
      <w:r w:rsidR="008C46AA">
        <w:rPr>
          <w:rFonts w:ascii="Times New Roman" w:hAnsi="Times New Roman" w:cs="Times New Roman"/>
        </w:rPr>
        <w:t xml:space="preserve"> At low latitudes, the contribution of DCMs is consistent throughout the year, while in iron-limited areas south of 40 and 60°S the contribution shows strong seasonality, lasting a few </w:t>
      </w:r>
      <w:r w:rsidR="008C46AA">
        <w:rPr>
          <w:rFonts w:ascii="Times New Roman" w:hAnsi="Times New Roman" w:cs="Times New Roman"/>
        </w:rPr>
        <w:lastRenderedPageBreak/>
        <w:t>months during spring and summer</w:t>
      </w:r>
      <w:r w:rsidR="00457F99">
        <w:rPr>
          <w:rFonts w:ascii="Times New Roman" w:hAnsi="Times New Roman" w:cs="Times New Roman"/>
        </w:rPr>
        <w:t xml:space="preserve">, where the contribution decreases </w:t>
      </w:r>
      <w:r w:rsidR="00D21ADF">
        <w:rPr>
          <w:rFonts w:ascii="Times New Roman" w:hAnsi="Times New Roman" w:cs="Times New Roman"/>
        </w:rPr>
        <w:t xml:space="preserve">to </w:t>
      </w:r>
      <w:r w:rsidR="008E42A8">
        <w:rPr>
          <w:rFonts w:ascii="Times New Roman" w:hAnsi="Times New Roman" w:cs="Times New Roman"/>
        </w:rPr>
        <w:t>~20%</w:t>
      </w:r>
      <w:r w:rsidR="00D21ADF">
        <w:rPr>
          <w:rFonts w:ascii="Times New Roman" w:hAnsi="Times New Roman" w:cs="Times New Roman"/>
        </w:rPr>
        <w:t xml:space="preserve"> </w:t>
      </w:r>
      <w:r w:rsidR="00457F99">
        <w:rPr>
          <w:rFonts w:ascii="Times New Roman" w:hAnsi="Times New Roman" w:cs="Times New Roman"/>
        </w:rPr>
        <w:t>towards the end of the summer</w:t>
      </w:r>
      <w:r w:rsidR="008C46AA">
        <w:rPr>
          <w:rFonts w:ascii="Times New Roman" w:hAnsi="Times New Roman" w:cs="Times New Roman"/>
        </w:rPr>
        <w:t xml:space="preserve">. </w:t>
      </w:r>
      <w:r w:rsidR="00152BA9">
        <w:rPr>
          <w:rFonts w:ascii="Times New Roman" w:hAnsi="Times New Roman" w:cs="Times New Roman"/>
        </w:rPr>
        <w:t>When</w:t>
      </w:r>
      <w:r w:rsidR="00152BA9" w:rsidRPr="009F2BE8">
        <w:rPr>
          <w:rFonts w:ascii="Times New Roman" w:hAnsi="Times New Roman" w:cs="Times New Roman"/>
        </w:rPr>
        <w:t xml:space="preserve"> DCMs and DBMs are present, %NPP</w:t>
      </w:r>
      <w:r w:rsidR="00152BA9" w:rsidRPr="009F2BE8">
        <w:rPr>
          <w:rFonts w:ascii="Times New Roman" w:hAnsi="Times New Roman" w:cs="Times New Roman"/>
          <w:vertAlign w:val="subscript"/>
        </w:rPr>
        <w:t>SUB</w:t>
      </w:r>
      <w:r w:rsidR="00152BA9" w:rsidRPr="009F2BE8">
        <w:rPr>
          <w:rFonts w:ascii="Times New Roman" w:hAnsi="Times New Roman" w:cs="Times New Roman"/>
        </w:rPr>
        <w:t xml:space="preserve"> increases significantly, compared to %NPP</w:t>
      </w:r>
      <w:r w:rsidR="00152BA9" w:rsidRPr="009F2BE8">
        <w:rPr>
          <w:rFonts w:ascii="Times New Roman" w:hAnsi="Times New Roman" w:cs="Times New Roman"/>
          <w:vertAlign w:val="subscript"/>
        </w:rPr>
        <w:t>SUB</w:t>
      </w:r>
      <w:r w:rsidR="00152BA9" w:rsidRPr="009F2BE8">
        <w:rPr>
          <w:rFonts w:ascii="Times New Roman" w:hAnsi="Times New Roman" w:cs="Times New Roman"/>
        </w:rPr>
        <w:t xml:space="preserve"> in all profiles with and without DCMs and DBMs (76% median vs 1% media</w:t>
      </w:r>
      <w:r w:rsidR="00152BA9">
        <w:rPr>
          <w:rFonts w:ascii="Times New Roman" w:hAnsi="Times New Roman" w:cs="Times New Roman"/>
        </w:rPr>
        <w:t xml:space="preserve">n). </w:t>
      </w:r>
      <w:r w:rsidRPr="1FDB3CBA">
        <w:rPr>
          <w:rFonts w:ascii="Times New Roman" w:hAnsi="Times New Roman" w:cs="Times New Roman"/>
        </w:rPr>
        <w:t xml:space="preserve"> </w:t>
      </w:r>
      <w:r w:rsidR="07F71BD9" w:rsidRPr="004D49E9">
        <w:rPr>
          <w:rFonts w:ascii="Times New Roman" w:hAnsi="Times New Roman" w:cs="Times New Roman"/>
        </w:rPr>
        <w:t>W</w:t>
      </w:r>
      <w:r w:rsidR="66BA0DEA" w:rsidRPr="1FDB3CBA">
        <w:rPr>
          <w:rFonts w:ascii="Times New Roman" w:hAnsi="Times New Roman" w:cs="Times New Roman"/>
        </w:rPr>
        <w:t>hen DCMs are not accounted for</w:t>
      </w:r>
      <w:r w:rsidR="7BE7B79E" w:rsidRPr="1FDB3CBA">
        <w:rPr>
          <w:rFonts w:ascii="Times New Roman" w:hAnsi="Times New Roman" w:cs="Times New Roman"/>
        </w:rPr>
        <w:t xml:space="preserve"> or removed</w:t>
      </w:r>
      <w:r w:rsidR="66BA0DEA" w:rsidRPr="1FDB3CBA">
        <w:rPr>
          <w:rFonts w:ascii="Times New Roman" w:hAnsi="Times New Roman" w:cs="Times New Roman"/>
        </w:rPr>
        <w:t xml:space="preserve">, </w:t>
      </w:r>
      <w:r w:rsidR="7BE7B79E" w:rsidRPr="1FDB3CBA">
        <w:rPr>
          <w:rFonts w:ascii="Times New Roman" w:hAnsi="Times New Roman" w:cs="Times New Roman"/>
        </w:rPr>
        <w:t>NPP is</w:t>
      </w:r>
      <w:r w:rsidR="66BA0DEA" w:rsidRPr="1FDB3CBA">
        <w:rPr>
          <w:rFonts w:ascii="Times New Roman" w:hAnsi="Times New Roman" w:cs="Times New Roman"/>
        </w:rPr>
        <w:t xml:space="preserve"> 3</w:t>
      </w:r>
      <w:r w:rsidR="624789E8" w:rsidRPr="1FDB3CBA">
        <w:rPr>
          <w:rFonts w:ascii="Times New Roman" w:hAnsi="Times New Roman" w:cs="Times New Roman"/>
        </w:rPr>
        <w:t>4</w:t>
      </w:r>
      <w:r w:rsidR="66BA0DEA" w:rsidRPr="1FDB3CBA">
        <w:rPr>
          <w:rFonts w:ascii="Times New Roman" w:hAnsi="Times New Roman" w:cs="Times New Roman"/>
        </w:rPr>
        <w:t>-4</w:t>
      </w:r>
      <w:r w:rsidR="624789E8" w:rsidRPr="1FDB3CBA">
        <w:rPr>
          <w:rFonts w:ascii="Times New Roman" w:hAnsi="Times New Roman" w:cs="Times New Roman"/>
        </w:rPr>
        <w:t>5</w:t>
      </w:r>
      <w:r w:rsidR="66BA0DEA" w:rsidRPr="1FDB3CBA">
        <w:rPr>
          <w:rFonts w:ascii="Times New Roman" w:hAnsi="Times New Roman" w:cs="Times New Roman"/>
        </w:rPr>
        <w:t xml:space="preserve">% </w:t>
      </w:r>
      <w:r w:rsidR="7BE7B79E" w:rsidRPr="1FDB3CBA">
        <w:rPr>
          <w:rFonts w:ascii="Times New Roman" w:hAnsi="Times New Roman" w:cs="Times New Roman"/>
        </w:rPr>
        <w:t xml:space="preserve">lower than </w:t>
      </w:r>
      <w:r w:rsidR="66BA0DEA" w:rsidRPr="1FDB3CBA">
        <w:rPr>
          <w:rFonts w:ascii="Times New Roman" w:hAnsi="Times New Roman" w:cs="Times New Roman"/>
        </w:rPr>
        <w:t>total NPP</w:t>
      </w:r>
      <w:r w:rsidR="7BE7B79E" w:rsidRPr="1FDB3CBA">
        <w:rPr>
          <w:rFonts w:ascii="Times New Roman" w:hAnsi="Times New Roman" w:cs="Times New Roman"/>
        </w:rPr>
        <w:t xml:space="preserve"> from </w:t>
      </w:r>
      <w:r w:rsidR="00D0573B">
        <w:rPr>
          <w:rFonts w:ascii="Times New Roman" w:hAnsi="Times New Roman" w:cs="Times New Roman"/>
        </w:rPr>
        <w:t>profiles</w:t>
      </w:r>
      <w:r w:rsidR="00D0573B" w:rsidRPr="1FDB3CBA">
        <w:rPr>
          <w:rFonts w:ascii="Times New Roman" w:hAnsi="Times New Roman" w:cs="Times New Roman"/>
        </w:rPr>
        <w:t xml:space="preserve"> </w:t>
      </w:r>
      <w:r w:rsidR="7BE7B79E" w:rsidRPr="1FDB3CBA">
        <w:rPr>
          <w:rFonts w:ascii="Times New Roman" w:hAnsi="Times New Roman" w:cs="Times New Roman"/>
        </w:rPr>
        <w:t>with a DCM</w:t>
      </w:r>
      <w:r w:rsidR="66BA0DEA" w:rsidRPr="1FDB3CBA">
        <w:rPr>
          <w:rFonts w:ascii="Times New Roman" w:hAnsi="Times New Roman" w:cs="Times New Roman"/>
        </w:rPr>
        <w:t xml:space="preserve">. </w:t>
      </w:r>
    </w:p>
    <w:p w14:paraId="6A2AE43B" w14:textId="0695E40E" w:rsidR="000C3C4D" w:rsidRDefault="000C3C4D" w:rsidP="1FDB3CBA">
      <w:pPr>
        <w:pStyle w:val="ListParagraph"/>
        <w:snapToGrid w:val="0"/>
        <w:spacing w:line="360" w:lineRule="auto"/>
        <w:ind w:left="0"/>
        <w:jc w:val="both"/>
        <w:rPr>
          <w:rFonts w:ascii="Times New Roman" w:hAnsi="Times New Roman" w:cs="Times New Roman"/>
        </w:rPr>
      </w:pPr>
    </w:p>
    <w:p w14:paraId="03466547" w14:textId="386E61D8" w:rsidR="000C3C4D" w:rsidRDefault="104DD24D" w:rsidP="1FDB3CBA">
      <w:pPr>
        <w:pStyle w:val="ListParagraph"/>
        <w:snapToGrid w:val="0"/>
        <w:spacing w:line="360" w:lineRule="auto"/>
        <w:ind w:left="0"/>
        <w:jc w:val="both"/>
        <w:rPr>
          <w:rFonts w:ascii="Times New Roman" w:hAnsi="Times New Roman" w:cs="Times New Roman"/>
        </w:rPr>
      </w:pPr>
      <w:r w:rsidRPr="1FDB3CBA">
        <w:rPr>
          <w:rFonts w:ascii="Times New Roman" w:hAnsi="Times New Roman" w:cs="Times New Roman"/>
        </w:rPr>
        <w:t xml:space="preserve">While DCM studies are limited in the Southern Ocean compared to </w:t>
      </w:r>
      <w:r w:rsidR="00C37DDA">
        <w:rPr>
          <w:rFonts w:ascii="Times New Roman" w:hAnsi="Times New Roman" w:cs="Times New Roman"/>
        </w:rPr>
        <w:t>other basins,</w:t>
      </w:r>
      <w:r w:rsidRPr="1FDB3CBA">
        <w:rPr>
          <w:rFonts w:ascii="Times New Roman" w:hAnsi="Times New Roman" w:cs="Times New Roman"/>
        </w:rPr>
        <w:t xml:space="preserve"> previous Southern Ocean work found higher productivity (211 vs. 152 mg C m</w:t>
      </w:r>
      <w:r w:rsidRPr="1FDB3CBA">
        <w:rPr>
          <w:rFonts w:ascii="Times New Roman" w:hAnsi="Times New Roman" w:cs="Times New Roman"/>
          <w:vertAlign w:val="superscript"/>
        </w:rPr>
        <w:t>-2</w:t>
      </w:r>
      <w:r w:rsidRPr="1FDB3CBA">
        <w:rPr>
          <w:rFonts w:ascii="Times New Roman" w:hAnsi="Times New Roman" w:cs="Times New Roman"/>
        </w:rPr>
        <w:t xml:space="preserve"> day</w:t>
      </w:r>
      <w:r w:rsidRPr="1FDB3CBA">
        <w:rPr>
          <w:rFonts w:ascii="Times New Roman" w:hAnsi="Times New Roman" w:cs="Times New Roman"/>
          <w:vertAlign w:val="superscript"/>
        </w:rPr>
        <w:t>-1</w:t>
      </w:r>
      <w:r w:rsidRPr="1FDB3CBA">
        <w:rPr>
          <w:rFonts w:ascii="Times New Roman" w:hAnsi="Times New Roman" w:cs="Times New Roman"/>
        </w:rPr>
        <w:t xml:space="preserve">) in profiles with diatom DCMs in the summer, compared to profiles with no DCMs (Tripathy et al., 2015). Similarly, field studies in the Polar Antarctic Zone (PAZ) have shown that DCMs resulted in higher NPP, compared to no DCMs during summer (Parslow et al., 2001; Westwood et al., 2011). </w:t>
      </w:r>
      <w:r w:rsidR="784730AA" w:rsidRPr="1FDB3CBA">
        <w:rPr>
          <w:rFonts w:ascii="Times New Roman" w:hAnsi="Times New Roman" w:cs="Times New Roman"/>
        </w:rPr>
        <w:t>A</w:t>
      </w:r>
      <w:r w:rsidR="00805341">
        <w:rPr>
          <w:rFonts w:ascii="Times New Roman" w:hAnsi="Times New Roman" w:cs="Times New Roman"/>
        </w:rPr>
        <w:t xml:space="preserve">nother </w:t>
      </w:r>
      <w:r w:rsidR="784730AA" w:rsidRPr="1FDB3CBA">
        <w:rPr>
          <w:rFonts w:ascii="Times New Roman" w:hAnsi="Times New Roman" w:cs="Times New Roman"/>
        </w:rPr>
        <w:t xml:space="preserve">study (Bouman et al., 2020) found NPP estimates using a realistic non-uniform </w:t>
      </w:r>
      <w:proofErr w:type="spellStart"/>
      <w:r w:rsidR="784730AA" w:rsidRPr="1FDB3CBA">
        <w:rPr>
          <w:rFonts w:ascii="Times New Roman" w:hAnsi="Times New Roman" w:cs="Times New Roman"/>
        </w:rPr>
        <w:t>chl</w:t>
      </w:r>
      <w:proofErr w:type="spellEnd"/>
      <w:r w:rsidR="784730AA" w:rsidRPr="1FDB3CBA">
        <w:rPr>
          <w:rFonts w:ascii="Times New Roman" w:hAnsi="Times New Roman" w:cs="Times New Roman"/>
        </w:rPr>
        <w:t xml:space="preserve"> profile to be higher than those that did not take the vertical distribution of chlorophyll into account. </w:t>
      </w:r>
      <w:r w:rsidR="00805341">
        <w:rPr>
          <w:rFonts w:ascii="Times New Roman" w:hAnsi="Times New Roman" w:cs="Times New Roman"/>
        </w:rPr>
        <w:t>At higher latitudes (~56-60°S), in situ measurements have shown low photosynthetic rates in the DCM/DBM</w:t>
      </w:r>
      <w:r w:rsidR="004967A6">
        <w:rPr>
          <w:rFonts w:ascii="Times New Roman" w:hAnsi="Times New Roman" w:cs="Times New Roman"/>
        </w:rPr>
        <w:t xml:space="preserve"> </w:t>
      </w:r>
      <w:r w:rsidR="00C53B18">
        <w:rPr>
          <w:rFonts w:ascii="Times New Roman" w:hAnsi="Times New Roman" w:cs="Times New Roman"/>
        </w:rPr>
        <w:t>in mid</w:t>
      </w:r>
      <w:r w:rsidR="00DB529A">
        <w:rPr>
          <w:rFonts w:ascii="Times New Roman" w:hAnsi="Times New Roman" w:cs="Times New Roman"/>
        </w:rPr>
        <w:t>-</w:t>
      </w:r>
      <w:r w:rsidR="00C53B18">
        <w:rPr>
          <w:rFonts w:ascii="Times New Roman" w:hAnsi="Times New Roman" w:cs="Times New Roman"/>
        </w:rPr>
        <w:t xml:space="preserve">summer </w:t>
      </w:r>
      <w:r w:rsidR="004967A6">
        <w:rPr>
          <w:rFonts w:ascii="Times New Roman" w:hAnsi="Times New Roman" w:cs="Times New Roman"/>
        </w:rPr>
        <w:t>(</w:t>
      </w:r>
      <w:r w:rsidR="00DB529A">
        <w:rPr>
          <w:rFonts w:ascii="Times New Roman" w:hAnsi="Times New Roman" w:cs="Times New Roman"/>
        </w:rPr>
        <w:t>~30</w:t>
      </w:r>
      <w:r w:rsidR="004967A6">
        <w:rPr>
          <w:rFonts w:ascii="Times New Roman" w:hAnsi="Times New Roman" w:cs="Times New Roman"/>
        </w:rPr>
        <w:t>%</w:t>
      </w:r>
      <w:r w:rsidR="00DB529A">
        <w:rPr>
          <w:rFonts w:ascii="Times New Roman" w:hAnsi="Times New Roman" w:cs="Times New Roman"/>
        </w:rPr>
        <w:t xml:space="preserve"> </w:t>
      </w:r>
      <w:r w:rsidR="004967A6">
        <w:rPr>
          <w:rFonts w:ascii="Times New Roman" w:hAnsi="Times New Roman" w:cs="Times New Roman"/>
        </w:rPr>
        <w:t>of NPP)</w:t>
      </w:r>
      <w:r w:rsidR="00805341">
        <w:rPr>
          <w:rFonts w:ascii="Times New Roman" w:hAnsi="Times New Roman" w:cs="Times New Roman"/>
        </w:rPr>
        <w:t xml:space="preserve">, although the </w:t>
      </w:r>
      <w:r w:rsidR="00C53B18">
        <w:rPr>
          <w:rFonts w:ascii="Times New Roman" w:hAnsi="Times New Roman" w:cs="Times New Roman"/>
        </w:rPr>
        <w:t xml:space="preserve">multi-month </w:t>
      </w:r>
      <w:r w:rsidR="00805341">
        <w:rPr>
          <w:rFonts w:ascii="Times New Roman" w:hAnsi="Times New Roman" w:cs="Times New Roman"/>
        </w:rPr>
        <w:t xml:space="preserve">longevity of the DCM resulted in more </w:t>
      </w:r>
      <w:r w:rsidR="004967A6">
        <w:rPr>
          <w:rFonts w:ascii="Times New Roman" w:hAnsi="Times New Roman" w:cs="Times New Roman"/>
        </w:rPr>
        <w:t xml:space="preserve">downward </w:t>
      </w:r>
      <w:r w:rsidR="00805341">
        <w:rPr>
          <w:rFonts w:ascii="Times New Roman" w:hAnsi="Times New Roman" w:cs="Times New Roman"/>
        </w:rPr>
        <w:t xml:space="preserve">carbon export (Boyd et al., 2024).  </w:t>
      </w:r>
      <w:r w:rsidR="784730AA" w:rsidRPr="1FDB3CBA">
        <w:rPr>
          <w:rFonts w:ascii="Times New Roman" w:hAnsi="Times New Roman" w:cs="Times New Roman"/>
        </w:rPr>
        <w:t>Th</w:t>
      </w:r>
      <w:r w:rsidR="00C37DDA">
        <w:rPr>
          <w:rFonts w:ascii="Times New Roman" w:hAnsi="Times New Roman" w:cs="Times New Roman"/>
        </w:rPr>
        <w:t>e</w:t>
      </w:r>
      <w:r w:rsidR="784730AA" w:rsidRPr="1FDB3CBA">
        <w:rPr>
          <w:rFonts w:ascii="Times New Roman" w:hAnsi="Times New Roman" w:cs="Times New Roman"/>
        </w:rPr>
        <w:t>s</w:t>
      </w:r>
      <w:r w:rsidR="00C37DDA">
        <w:rPr>
          <w:rFonts w:ascii="Times New Roman" w:hAnsi="Times New Roman" w:cs="Times New Roman"/>
        </w:rPr>
        <w:t>e</w:t>
      </w:r>
      <w:r w:rsidR="784730AA" w:rsidRPr="1FDB3CBA">
        <w:rPr>
          <w:rFonts w:ascii="Times New Roman" w:hAnsi="Times New Roman" w:cs="Times New Roman"/>
        </w:rPr>
        <w:t xml:space="preserve"> finding</w:t>
      </w:r>
      <w:r w:rsidR="00C37DDA">
        <w:rPr>
          <w:rFonts w:ascii="Times New Roman" w:hAnsi="Times New Roman" w:cs="Times New Roman"/>
        </w:rPr>
        <w:t>s</w:t>
      </w:r>
      <w:r w:rsidR="784730AA" w:rsidRPr="1FDB3CBA">
        <w:rPr>
          <w:rFonts w:ascii="Times New Roman" w:hAnsi="Times New Roman" w:cs="Times New Roman"/>
        </w:rPr>
        <w:t xml:space="preserve"> agree well with the vertical distribution of NPP recently observed in the Southern Ocean</w:t>
      </w:r>
      <w:r w:rsidR="00C37DDA">
        <w:rPr>
          <w:rFonts w:ascii="Times New Roman" w:hAnsi="Times New Roman" w:cs="Times New Roman"/>
        </w:rPr>
        <w:t xml:space="preserve"> using floats</w:t>
      </w:r>
      <w:r w:rsidR="784730AA" w:rsidRPr="1FDB3CBA">
        <w:rPr>
          <w:rFonts w:ascii="Times New Roman" w:hAnsi="Times New Roman" w:cs="Times New Roman"/>
        </w:rPr>
        <w:t xml:space="preserve">, where higher NPP appears to occur below the MLD at low latitudes (30-50°S), and the depth at which 90% of NPP occurs is deeper at low latitudes (Arteaga et al., 2022). </w:t>
      </w:r>
    </w:p>
    <w:p w14:paraId="06F65E4D" w14:textId="1C9064D9" w:rsidR="1FDB3CBA" w:rsidRDefault="1FDB3CBA" w:rsidP="1FDB3CBA">
      <w:pPr>
        <w:pStyle w:val="ListParagraph"/>
        <w:spacing w:line="360" w:lineRule="auto"/>
        <w:ind w:left="0"/>
        <w:jc w:val="both"/>
        <w:rPr>
          <w:rFonts w:ascii="Times New Roman" w:hAnsi="Times New Roman" w:cs="Times New Roman"/>
        </w:rPr>
      </w:pPr>
    </w:p>
    <w:p w14:paraId="21569775" w14:textId="111A88C3" w:rsidR="00FC78F4" w:rsidRPr="00660D9E" w:rsidRDefault="004D49E9" w:rsidP="2877D44A">
      <w:pPr>
        <w:pStyle w:val="ListParagraph"/>
        <w:spacing w:line="360" w:lineRule="auto"/>
        <w:ind w:left="0"/>
        <w:jc w:val="both"/>
        <w:rPr>
          <w:rFonts w:ascii="Times New Roman" w:hAnsi="Times New Roman" w:cs="Times New Roman"/>
        </w:rPr>
      </w:pPr>
      <w:r>
        <w:rPr>
          <w:rFonts w:ascii="Times New Roman" w:hAnsi="Times New Roman" w:cs="Times New Roman"/>
        </w:rPr>
        <w:t>No</w:t>
      </w:r>
      <w:r w:rsidR="784730AA" w:rsidRPr="2877D44A">
        <w:rPr>
          <w:rFonts w:ascii="Times New Roman" w:hAnsi="Times New Roman" w:cs="Times New Roman"/>
        </w:rPr>
        <w:t xml:space="preserve"> studies ha</w:t>
      </w:r>
      <w:r w:rsidR="319EC4A9" w:rsidRPr="2877D44A">
        <w:rPr>
          <w:rFonts w:ascii="Times New Roman" w:hAnsi="Times New Roman" w:cs="Times New Roman"/>
        </w:rPr>
        <w:t>ve</w:t>
      </w:r>
      <w:r w:rsidR="784730AA" w:rsidRPr="2877D44A">
        <w:rPr>
          <w:rFonts w:ascii="Times New Roman" w:hAnsi="Times New Roman" w:cs="Times New Roman"/>
        </w:rPr>
        <w:t xml:space="preserve"> reported </w:t>
      </w:r>
      <w:r>
        <w:rPr>
          <w:rFonts w:ascii="Times New Roman" w:hAnsi="Times New Roman" w:cs="Times New Roman"/>
        </w:rPr>
        <w:t xml:space="preserve">NPP </w:t>
      </w:r>
      <w:r w:rsidR="784730AA" w:rsidRPr="2877D44A">
        <w:rPr>
          <w:rFonts w:ascii="Times New Roman" w:hAnsi="Times New Roman" w:cs="Times New Roman"/>
        </w:rPr>
        <w:t>estimates</w:t>
      </w:r>
      <w:r>
        <w:rPr>
          <w:rFonts w:ascii="Times New Roman" w:hAnsi="Times New Roman" w:cs="Times New Roman"/>
        </w:rPr>
        <w:t xml:space="preserve"> when DCMs occur</w:t>
      </w:r>
      <w:r w:rsidR="784730AA" w:rsidRPr="2877D44A">
        <w:rPr>
          <w:rFonts w:ascii="Times New Roman" w:hAnsi="Times New Roman" w:cs="Times New Roman"/>
        </w:rPr>
        <w:t xml:space="preserve"> for the Southern Ocean</w:t>
      </w:r>
      <w:r w:rsidR="13BF2794" w:rsidRPr="2877D44A">
        <w:rPr>
          <w:rFonts w:ascii="Times New Roman" w:hAnsi="Times New Roman" w:cs="Times New Roman"/>
        </w:rPr>
        <w:t xml:space="preserve"> on a large scale. </w:t>
      </w:r>
      <w:r w:rsidR="00DE0B93" w:rsidRPr="2877D44A">
        <w:rPr>
          <w:rFonts w:ascii="Times New Roman" w:hAnsi="Times New Roman" w:cs="Times New Roman"/>
        </w:rPr>
        <w:t xml:space="preserve">Boyd et al. </w:t>
      </w:r>
      <w:r w:rsidR="00805341">
        <w:rPr>
          <w:rFonts w:ascii="Times New Roman" w:hAnsi="Times New Roman" w:cs="Times New Roman"/>
        </w:rPr>
        <w:t xml:space="preserve">(2024) </w:t>
      </w:r>
      <w:r w:rsidR="00DE0B93" w:rsidRPr="2877D44A">
        <w:rPr>
          <w:rFonts w:ascii="Times New Roman" w:hAnsi="Times New Roman" w:cs="Times New Roman"/>
        </w:rPr>
        <w:t xml:space="preserve">found that NPP in the DCMs accounted </w:t>
      </w:r>
      <w:r w:rsidR="000D1884" w:rsidRPr="2877D44A">
        <w:rPr>
          <w:rFonts w:ascii="Times New Roman" w:hAnsi="Times New Roman" w:cs="Times New Roman"/>
        </w:rPr>
        <w:t>for up to 20mmol C m</w:t>
      </w:r>
      <w:r w:rsidR="000D1884" w:rsidRPr="2877D44A">
        <w:rPr>
          <w:rFonts w:ascii="Times New Roman" w:hAnsi="Times New Roman" w:cs="Times New Roman"/>
          <w:vertAlign w:val="superscript"/>
        </w:rPr>
        <w:t>-2</w:t>
      </w:r>
      <w:r w:rsidR="000D1884" w:rsidRPr="2877D44A">
        <w:rPr>
          <w:rFonts w:ascii="Times New Roman" w:hAnsi="Times New Roman" w:cs="Times New Roman"/>
        </w:rPr>
        <w:t xml:space="preserve"> day</w:t>
      </w:r>
      <w:r w:rsidR="000D1884" w:rsidRPr="2877D44A">
        <w:rPr>
          <w:rFonts w:ascii="Times New Roman" w:hAnsi="Times New Roman" w:cs="Times New Roman"/>
          <w:vertAlign w:val="superscript"/>
        </w:rPr>
        <w:t>-1</w:t>
      </w:r>
      <w:r w:rsidR="33C05E63" w:rsidRPr="2877D44A">
        <w:rPr>
          <w:rFonts w:ascii="Times New Roman" w:hAnsi="Times New Roman" w:cs="Times New Roman"/>
        </w:rPr>
        <w:t xml:space="preserve">, </w:t>
      </w:r>
      <w:r w:rsidR="00852B93">
        <w:rPr>
          <w:rFonts w:ascii="Times New Roman" w:hAnsi="Times New Roman" w:cs="Times New Roman"/>
        </w:rPr>
        <w:t>and was ~0.5 µmol L</w:t>
      </w:r>
      <w:r w:rsidR="00852B93" w:rsidRPr="00852B93">
        <w:rPr>
          <w:rFonts w:ascii="Times New Roman" w:hAnsi="Times New Roman" w:cs="Times New Roman"/>
          <w:vertAlign w:val="superscript"/>
        </w:rPr>
        <w:t>-1</w:t>
      </w:r>
      <w:r w:rsidR="00852B93">
        <w:rPr>
          <w:rFonts w:ascii="Times New Roman" w:hAnsi="Times New Roman" w:cs="Times New Roman"/>
        </w:rPr>
        <w:t xml:space="preserve"> d</w:t>
      </w:r>
      <w:r w:rsidR="00852B93" w:rsidRPr="00852B93">
        <w:rPr>
          <w:rFonts w:ascii="Times New Roman" w:hAnsi="Times New Roman" w:cs="Times New Roman"/>
          <w:vertAlign w:val="superscript"/>
        </w:rPr>
        <w:t>-1</w:t>
      </w:r>
      <w:r w:rsidR="00852B93">
        <w:rPr>
          <w:rFonts w:ascii="Times New Roman" w:hAnsi="Times New Roman" w:cs="Times New Roman"/>
        </w:rPr>
        <w:t xml:space="preserve"> </w:t>
      </w:r>
      <w:r w:rsidR="00392C52">
        <w:rPr>
          <w:rFonts w:ascii="Times New Roman" w:hAnsi="Times New Roman" w:cs="Times New Roman"/>
        </w:rPr>
        <w:t>lower than</w:t>
      </w:r>
      <w:r w:rsidR="2E4B3FBA" w:rsidRPr="2877D44A">
        <w:rPr>
          <w:rFonts w:ascii="Times New Roman" w:hAnsi="Times New Roman" w:cs="Times New Roman"/>
        </w:rPr>
        <w:t xml:space="preserve"> in the ML.</w:t>
      </w:r>
      <w:r w:rsidR="00392C52">
        <w:rPr>
          <w:rFonts w:ascii="Times New Roman" w:hAnsi="Times New Roman" w:cs="Times New Roman"/>
        </w:rPr>
        <w:t xml:space="preserve"> The iron and silicate-fuelled DCMs lasted ~3 months during the austral summer and their decline was linked to a decrease in light availability.</w:t>
      </w:r>
      <w:r w:rsidR="2E4B3FBA" w:rsidRPr="2877D44A">
        <w:rPr>
          <w:rFonts w:ascii="Times New Roman" w:hAnsi="Times New Roman" w:cs="Times New Roman"/>
        </w:rPr>
        <w:t xml:space="preserve"> </w:t>
      </w:r>
      <w:r w:rsidR="00452F89">
        <w:rPr>
          <w:rFonts w:ascii="Times New Roman" w:hAnsi="Times New Roman" w:cs="Times New Roman"/>
        </w:rPr>
        <w:t>We investigated profiles</w:t>
      </w:r>
      <w:r w:rsidR="007F0660">
        <w:rPr>
          <w:rFonts w:ascii="Times New Roman" w:hAnsi="Times New Roman" w:cs="Times New Roman"/>
        </w:rPr>
        <w:t xml:space="preserve"> from a float</w:t>
      </w:r>
      <w:r w:rsidR="00452F89">
        <w:rPr>
          <w:rFonts w:ascii="Times New Roman" w:hAnsi="Times New Roman" w:cs="Times New Roman"/>
        </w:rPr>
        <w:t xml:space="preserve"> at 54-56°S, and 140-141°E</w:t>
      </w:r>
      <w:r w:rsidR="00E4314B">
        <w:rPr>
          <w:rFonts w:ascii="Times New Roman" w:hAnsi="Times New Roman" w:cs="Times New Roman"/>
        </w:rPr>
        <w:t xml:space="preserve"> (float no. </w:t>
      </w:r>
      <w:r w:rsidR="00E4314B" w:rsidRPr="00E4314B">
        <w:rPr>
          <w:rFonts w:ascii="Times New Roman" w:hAnsi="Times New Roman" w:cs="Times New Roman"/>
        </w:rPr>
        <w:t>5905371</w:t>
      </w:r>
      <w:r w:rsidR="00E4314B">
        <w:rPr>
          <w:rFonts w:ascii="Times New Roman" w:hAnsi="Times New Roman" w:cs="Times New Roman"/>
        </w:rPr>
        <w:t>)</w:t>
      </w:r>
      <w:r w:rsidR="00452F89">
        <w:rPr>
          <w:rFonts w:ascii="Times New Roman" w:hAnsi="Times New Roman" w:cs="Times New Roman"/>
        </w:rPr>
        <w:t xml:space="preserve">, to compare our estimates to Boyd et al., and </w:t>
      </w:r>
      <w:r w:rsidR="007F0660">
        <w:rPr>
          <w:rFonts w:ascii="Times New Roman" w:hAnsi="Times New Roman" w:cs="Times New Roman"/>
        </w:rPr>
        <w:t xml:space="preserve">likewise </w:t>
      </w:r>
      <w:r w:rsidR="00452F89">
        <w:rPr>
          <w:rFonts w:ascii="Times New Roman" w:hAnsi="Times New Roman" w:cs="Times New Roman"/>
        </w:rPr>
        <w:t>found that NPP</w:t>
      </w:r>
      <w:r w:rsidR="00452F89" w:rsidRPr="00452F89">
        <w:rPr>
          <w:rFonts w:ascii="Times New Roman" w:hAnsi="Times New Roman" w:cs="Times New Roman"/>
          <w:vertAlign w:val="subscript"/>
        </w:rPr>
        <w:t>SUB</w:t>
      </w:r>
      <w:r w:rsidR="00452F89">
        <w:rPr>
          <w:rFonts w:ascii="Times New Roman" w:hAnsi="Times New Roman" w:cs="Times New Roman"/>
        </w:rPr>
        <w:t xml:space="preserve"> contributed to 18-24% of the total NPP</w:t>
      </w:r>
      <w:r w:rsidR="009023B8">
        <w:rPr>
          <w:rFonts w:ascii="Times New Roman" w:hAnsi="Times New Roman" w:cs="Times New Roman"/>
        </w:rPr>
        <w:t>, with most occurring in the ML</w:t>
      </w:r>
      <w:r w:rsidR="00E4314B">
        <w:rPr>
          <w:rFonts w:ascii="Times New Roman" w:hAnsi="Times New Roman" w:cs="Times New Roman"/>
        </w:rPr>
        <w:t xml:space="preserve"> during the summer of 20</w:t>
      </w:r>
      <w:r w:rsidR="00795BC1">
        <w:rPr>
          <w:rFonts w:ascii="Times New Roman" w:hAnsi="Times New Roman" w:cs="Times New Roman"/>
        </w:rPr>
        <w:t>20-2021</w:t>
      </w:r>
      <w:r w:rsidR="00452F89">
        <w:rPr>
          <w:rFonts w:ascii="Times New Roman" w:hAnsi="Times New Roman" w:cs="Times New Roman"/>
        </w:rPr>
        <w:t xml:space="preserve">. </w:t>
      </w:r>
      <w:r w:rsidR="00E4314B">
        <w:rPr>
          <w:rFonts w:ascii="Times New Roman" w:hAnsi="Times New Roman" w:cs="Times New Roman"/>
        </w:rPr>
        <w:t>We examined this float and observed that the contribution of NPP</w:t>
      </w:r>
      <w:r w:rsidR="00E4314B" w:rsidRPr="00795BC1">
        <w:rPr>
          <w:rFonts w:ascii="Times New Roman" w:hAnsi="Times New Roman" w:cs="Times New Roman"/>
          <w:vertAlign w:val="subscript"/>
        </w:rPr>
        <w:t>SUB</w:t>
      </w:r>
      <w:r w:rsidR="00E4314B">
        <w:rPr>
          <w:rFonts w:ascii="Times New Roman" w:hAnsi="Times New Roman" w:cs="Times New Roman"/>
        </w:rPr>
        <w:t xml:space="preserve"> varied significantly between the five </w:t>
      </w:r>
      <w:r w:rsidR="00D5654E">
        <w:rPr>
          <w:rFonts w:ascii="Times New Roman" w:hAnsi="Times New Roman" w:cs="Times New Roman"/>
        </w:rPr>
        <w:t>annual cycles</w:t>
      </w:r>
      <w:r w:rsidR="00E4314B">
        <w:rPr>
          <w:rFonts w:ascii="Times New Roman" w:hAnsi="Times New Roman" w:cs="Times New Roman"/>
        </w:rPr>
        <w:t xml:space="preserve"> of data</w:t>
      </w:r>
      <w:r w:rsidR="00795BC1">
        <w:rPr>
          <w:rFonts w:ascii="Times New Roman" w:hAnsi="Times New Roman" w:cs="Times New Roman"/>
        </w:rPr>
        <w:t xml:space="preserve"> available (Figure S15)</w:t>
      </w:r>
      <w:r w:rsidR="00E4314B">
        <w:rPr>
          <w:rFonts w:ascii="Times New Roman" w:hAnsi="Times New Roman" w:cs="Times New Roman"/>
        </w:rPr>
        <w:t>, along the same latitude</w:t>
      </w:r>
      <w:r w:rsidR="00795BC1">
        <w:rPr>
          <w:rFonts w:ascii="Times New Roman" w:hAnsi="Times New Roman" w:cs="Times New Roman"/>
        </w:rPr>
        <w:t xml:space="preserve">, </w:t>
      </w:r>
      <w:r w:rsidR="00E4314B">
        <w:rPr>
          <w:rFonts w:ascii="Times New Roman" w:hAnsi="Times New Roman" w:cs="Times New Roman"/>
        </w:rPr>
        <w:t>~55°S</w:t>
      </w:r>
      <w:r w:rsidR="00795BC1">
        <w:rPr>
          <w:rFonts w:ascii="Times New Roman" w:hAnsi="Times New Roman" w:cs="Times New Roman"/>
        </w:rPr>
        <w:t xml:space="preserve"> (Figure S15f)</w:t>
      </w:r>
      <w:r w:rsidR="008F6CA1" w:rsidRPr="2877D44A">
        <w:rPr>
          <w:rFonts w:ascii="Times New Roman" w:hAnsi="Times New Roman" w:cs="Times New Roman"/>
        </w:rPr>
        <w:t xml:space="preserve">. </w:t>
      </w:r>
      <w:r w:rsidR="00BC3255">
        <w:rPr>
          <w:rFonts w:ascii="Times New Roman" w:hAnsi="Times New Roman" w:cs="Times New Roman"/>
        </w:rPr>
        <w:t>On</w:t>
      </w:r>
      <w:r w:rsidR="00795BC1">
        <w:rPr>
          <w:rFonts w:ascii="Times New Roman" w:hAnsi="Times New Roman" w:cs="Times New Roman"/>
        </w:rPr>
        <w:t xml:space="preserve"> average %NPP</w:t>
      </w:r>
      <w:r w:rsidR="00795BC1" w:rsidRPr="00795BC1">
        <w:rPr>
          <w:rFonts w:ascii="Times New Roman" w:hAnsi="Times New Roman" w:cs="Times New Roman"/>
          <w:vertAlign w:val="subscript"/>
        </w:rPr>
        <w:t>SUB</w:t>
      </w:r>
      <w:r w:rsidR="00795BC1">
        <w:rPr>
          <w:rFonts w:ascii="Times New Roman" w:hAnsi="Times New Roman" w:cs="Times New Roman"/>
        </w:rPr>
        <w:t xml:space="preserve"> is &lt;20%</w:t>
      </w:r>
      <w:r w:rsidR="00BC3255">
        <w:rPr>
          <w:rFonts w:ascii="Times New Roman" w:hAnsi="Times New Roman" w:cs="Times New Roman"/>
        </w:rPr>
        <w:t xml:space="preserve"> across all profiles</w:t>
      </w:r>
      <w:r w:rsidR="00795BC1">
        <w:rPr>
          <w:rFonts w:ascii="Times New Roman" w:hAnsi="Times New Roman" w:cs="Times New Roman"/>
        </w:rPr>
        <w:t xml:space="preserve">. </w:t>
      </w:r>
      <w:r w:rsidR="00392C52">
        <w:rPr>
          <w:rFonts w:ascii="Times New Roman" w:hAnsi="Times New Roman" w:cs="Times New Roman"/>
        </w:rPr>
        <w:t>This is consistent with our general results, where we show that the occurrence and %NPP</w:t>
      </w:r>
      <w:r w:rsidR="00392C52" w:rsidRPr="00795BC1">
        <w:rPr>
          <w:rFonts w:ascii="Times New Roman" w:hAnsi="Times New Roman" w:cs="Times New Roman"/>
          <w:vertAlign w:val="subscript"/>
        </w:rPr>
        <w:t>SUB</w:t>
      </w:r>
      <w:r w:rsidR="00392C52">
        <w:rPr>
          <w:rFonts w:ascii="Times New Roman" w:hAnsi="Times New Roman" w:cs="Times New Roman"/>
        </w:rPr>
        <w:t xml:space="preserve"> is lowest at mid-latitudes (40-60°S) and high latitudes (&gt;60°S), where %NPP</w:t>
      </w:r>
      <w:r w:rsidR="00392C52" w:rsidRPr="00795BC1">
        <w:rPr>
          <w:rFonts w:ascii="Times New Roman" w:hAnsi="Times New Roman" w:cs="Times New Roman"/>
          <w:vertAlign w:val="subscript"/>
        </w:rPr>
        <w:t>SUB</w:t>
      </w:r>
      <w:r w:rsidR="00392C52">
        <w:rPr>
          <w:rFonts w:ascii="Times New Roman" w:hAnsi="Times New Roman" w:cs="Times New Roman"/>
        </w:rPr>
        <w:t xml:space="preserve"> has a strong seasonality potentially linked to the availability of iron and silicate. </w:t>
      </w:r>
      <w:r w:rsidR="00795BC1">
        <w:rPr>
          <w:rFonts w:ascii="Times New Roman" w:hAnsi="Times New Roman" w:cs="Times New Roman"/>
        </w:rPr>
        <w:t xml:space="preserve"> </w:t>
      </w:r>
      <w:r w:rsidR="00234751">
        <w:rPr>
          <w:rFonts w:ascii="Times New Roman" w:hAnsi="Times New Roman" w:cs="Times New Roman"/>
        </w:rPr>
        <w:t xml:space="preserve">This year also seems to have a longer bloom, compared to the </w:t>
      </w:r>
      <w:r w:rsidR="00BC3255">
        <w:rPr>
          <w:rFonts w:ascii="Times New Roman" w:hAnsi="Times New Roman" w:cs="Times New Roman"/>
        </w:rPr>
        <w:t>preceding</w:t>
      </w:r>
      <w:r w:rsidR="00234751">
        <w:rPr>
          <w:rFonts w:ascii="Times New Roman" w:hAnsi="Times New Roman" w:cs="Times New Roman"/>
        </w:rPr>
        <w:t xml:space="preserve"> years. </w:t>
      </w:r>
    </w:p>
    <w:p w14:paraId="11478DEA" w14:textId="77777777" w:rsidR="00795BC1" w:rsidRDefault="00795BC1" w:rsidP="0053305D">
      <w:pPr>
        <w:pStyle w:val="ListParagraph"/>
        <w:snapToGrid w:val="0"/>
        <w:spacing w:line="360" w:lineRule="auto"/>
        <w:ind w:left="0"/>
        <w:contextualSpacing w:val="0"/>
        <w:jc w:val="both"/>
        <w:rPr>
          <w:rFonts w:ascii="Times New Roman" w:hAnsi="Times New Roman" w:cs="Times New Roman"/>
        </w:rPr>
      </w:pPr>
    </w:p>
    <w:p w14:paraId="6263AAAB" w14:textId="3B4FACBB" w:rsidR="00271088" w:rsidRDefault="00420321" w:rsidP="0053305D">
      <w:pPr>
        <w:snapToGrid w:val="0"/>
        <w:spacing w:line="360" w:lineRule="auto"/>
        <w:jc w:val="both"/>
      </w:pPr>
      <w:r>
        <w:rPr>
          <w:b/>
          <w:bCs/>
        </w:rPr>
        <w:t>4</w:t>
      </w:r>
      <w:r w:rsidR="00445CF2" w:rsidRPr="00FA1A44">
        <w:rPr>
          <w:b/>
          <w:bCs/>
        </w:rPr>
        <w:t>.</w:t>
      </w:r>
      <w:r w:rsidR="001547E1">
        <w:rPr>
          <w:b/>
          <w:bCs/>
        </w:rPr>
        <w:t>3</w:t>
      </w:r>
      <w:r w:rsidR="00197EDF" w:rsidRPr="00FA1A44">
        <w:rPr>
          <w:b/>
          <w:bCs/>
        </w:rPr>
        <w:t>. How does DCM occurrence relate to</w:t>
      </w:r>
      <w:r w:rsidR="00676257" w:rsidRPr="00FA1A44">
        <w:rPr>
          <w:b/>
          <w:bCs/>
        </w:rPr>
        <w:t xml:space="preserve"> light and</w:t>
      </w:r>
      <w:r w:rsidR="00197EDF" w:rsidRPr="00FA1A44">
        <w:rPr>
          <w:b/>
          <w:bCs/>
        </w:rPr>
        <w:t xml:space="preserve"> iron limitation?</w:t>
      </w:r>
    </w:p>
    <w:p w14:paraId="0F93B2B5" w14:textId="77777777" w:rsidR="00B22FF5" w:rsidRDefault="00B22FF5" w:rsidP="0053305D">
      <w:pPr>
        <w:snapToGrid w:val="0"/>
        <w:spacing w:line="360" w:lineRule="auto"/>
        <w:jc w:val="both"/>
      </w:pPr>
    </w:p>
    <w:p w14:paraId="7DDCF7F8" w14:textId="43B01776" w:rsidR="00B22FF5" w:rsidRPr="001469A7" w:rsidRDefault="00B22FF5" w:rsidP="0053305D">
      <w:pPr>
        <w:snapToGrid w:val="0"/>
        <w:spacing w:line="360" w:lineRule="auto"/>
        <w:jc w:val="both"/>
        <w:rPr>
          <w:b/>
          <w:bCs/>
        </w:rPr>
      </w:pPr>
      <w:r w:rsidRPr="001469A7">
        <w:tab/>
      </w:r>
      <w:r w:rsidR="00B75BA2" w:rsidRPr="001469A7">
        <w:rPr>
          <w:b/>
          <w:bCs/>
        </w:rPr>
        <w:t>4</w:t>
      </w:r>
      <w:r w:rsidRPr="001469A7">
        <w:rPr>
          <w:b/>
          <w:bCs/>
        </w:rPr>
        <w:t>.</w:t>
      </w:r>
      <w:r w:rsidR="001547E1">
        <w:rPr>
          <w:b/>
          <w:bCs/>
        </w:rPr>
        <w:t>3</w:t>
      </w:r>
      <w:r w:rsidRPr="001469A7">
        <w:rPr>
          <w:b/>
          <w:bCs/>
        </w:rPr>
        <w:t>.1. Light acclimation in DCM formation</w:t>
      </w:r>
    </w:p>
    <w:p w14:paraId="2A9AE41D" w14:textId="77777777" w:rsidR="00A8076C" w:rsidRDefault="00A8076C" w:rsidP="0053305D">
      <w:pPr>
        <w:snapToGrid w:val="0"/>
        <w:spacing w:line="360" w:lineRule="auto"/>
        <w:jc w:val="both"/>
      </w:pPr>
    </w:p>
    <w:p w14:paraId="5319996B" w14:textId="339CE893" w:rsidR="00676257" w:rsidRPr="008A010F" w:rsidRDefault="127AEB67">
      <w:pPr>
        <w:spacing w:line="360" w:lineRule="auto"/>
        <w:jc w:val="both"/>
      </w:pPr>
      <w:r w:rsidRPr="1FDB3CBA">
        <w:t xml:space="preserve">We observe </w:t>
      </w:r>
      <w:r w:rsidR="08161E3D">
        <w:t xml:space="preserve">more and deeper </w:t>
      </w:r>
      <w:r w:rsidRPr="1FDB3CBA">
        <w:t>DCM</w:t>
      </w:r>
      <w:r w:rsidR="17D2CEB0" w:rsidRPr="1FDB3CBA">
        <w:t>s</w:t>
      </w:r>
      <w:r w:rsidR="00605EB0">
        <w:t>, along with more DBMs</w:t>
      </w:r>
      <w:r w:rsidR="004277F9">
        <w:t>,</w:t>
      </w:r>
      <w:r w:rsidRPr="1FDB3CBA">
        <w:t xml:space="preserve"> at low latitudes</w:t>
      </w:r>
      <w:r w:rsidR="004277F9">
        <w:t xml:space="preserve">, </w:t>
      </w:r>
      <w:r w:rsidR="004277F9">
        <w:t>and they are relatively more productive</w:t>
      </w:r>
      <w:r w:rsidR="004277F9">
        <w:rPr>
          <w:rStyle w:val="CommentReference"/>
        </w:rPr>
        <w:t xml:space="preserve">, </w:t>
      </w:r>
      <w:r w:rsidR="004277F9">
        <w:t>due to more light being available there compared to higher latitudes (Figure S14)</w:t>
      </w:r>
      <w:r w:rsidR="004277F9">
        <w:t>.</w:t>
      </w:r>
      <w:r w:rsidR="59BDE8BA" w:rsidRPr="1FDB3CBA">
        <w:t xml:space="preserve"> </w:t>
      </w:r>
      <w:r w:rsidR="004277F9">
        <w:t>DCMs in nitrate-limited waters at low latitudes tend to be</w:t>
      </w:r>
      <w:r w:rsidR="00AD4F73">
        <w:t xml:space="preserve"> </w:t>
      </w:r>
      <w:proofErr w:type="spellStart"/>
      <w:r w:rsidR="74B316E5" w:rsidRPr="1FDB3CBA">
        <w:t>photoacclimati</w:t>
      </w:r>
      <w:r w:rsidR="00AD4F73">
        <w:t>ng</w:t>
      </w:r>
      <w:proofErr w:type="spellEnd"/>
      <w:r w:rsidR="00AD4F73">
        <w:t xml:space="preserve"> DCMs</w:t>
      </w:r>
      <w:r w:rsidR="00B54553">
        <w:t>, following the typical DCM model for oligotrophic waters (Cullen, 2015)</w:t>
      </w:r>
      <w:r w:rsidR="4105B1AB">
        <w:t xml:space="preserve">. </w:t>
      </w:r>
      <w:proofErr w:type="spellStart"/>
      <w:r w:rsidR="11A3851A">
        <w:t>Photoacclimation</w:t>
      </w:r>
      <w:proofErr w:type="spellEnd"/>
      <w:r w:rsidR="11A3851A">
        <w:t xml:space="preserve"> is a well-established </w:t>
      </w:r>
      <w:r w:rsidR="00F875F3">
        <w:t>mechanism</w:t>
      </w:r>
      <w:r w:rsidR="11A3851A">
        <w:t xml:space="preserve"> of DCM formation in the </w:t>
      </w:r>
      <w:r w:rsidR="646267C8">
        <w:t>n</w:t>
      </w:r>
      <w:r w:rsidR="11A3851A">
        <w:t xml:space="preserve">orthern </w:t>
      </w:r>
      <w:r w:rsidR="51A04178">
        <w:t>h</w:t>
      </w:r>
      <w:r w:rsidR="11A3851A">
        <w:t>emisphere (</w:t>
      </w:r>
      <w:r w:rsidR="004D49E9" w:rsidRPr="2877D44A">
        <w:t>Richardson et al., 2000</w:t>
      </w:r>
      <w:r w:rsidR="004D49E9">
        <w:t xml:space="preserve">; </w:t>
      </w:r>
      <w:r w:rsidR="11A3851A" w:rsidRPr="1FDB3CBA">
        <w:rPr>
          <w:color w:val="0D0D0D" w:themeColor="text1" w:themeTint="F2"/>
        </w:rPr>
        <w:t>Durham and Stocker, 2012</w:t>
      </w:r>
      <w:r w:rsidR="00AD4F73">
        <w:rPr>
          <w:color w:val="0D0D0D" w:themeColor="text1" w:themeTint="F2"/>
        </w:rPr>
        <w:t>; Cullen, 2015</w:t>
      </w:r>
      <w:r w:rsidR="11A3851A">
        <w:t>), where</w:t>
      </w:r>
      <w:r w:rsidR="14DEB9C2">
        <w:t xml:space="preserve"> phytoplankton adapt to low light</w:t>
      </w:r>
      <w:r w:rsidR="11A3851A">
        <w:t xml:space="preserve"> levels at depth</w:t>
      </w:r>
      <w:r w:rsidR="14DEB9C2">
        <w:t xml:space="preserve"> by increasing their </w:t>
      </w:r>
      <w:proofErr w:type="spellStart"/>
      <w:r w:rsidR="14DEB9C2">
        <w:t>chl</w:t>
      </w:r>
      <w:proofErr w:type="spellEnd"/>
      <w:r w:rsidR="14DEB9C2">
        <w:t xml:space="preserve"> content</w:t>
      </w:r>
      <w:r w:rsidR="11A3851A">
        <w:t xml:space="preserve"> </w:t>
      </w:r>
      <w:r w:rsidR="14DEB9C2">
        <w:t>(</w:t>
      </w:r>
      <w:proofErr w:type="spellStart"/>
      <w:r w:rsidR="00266D45">
        <w:t>Geider</w:t>
      </w:r>
      <w:proofErr w:type="spellEnd"/>
      <w:r w:rsidR="00266D45">
        <w:t xml:space="preserve"> et al., 1997; </w:t>
      </w:r>
      <w:r w:rsidR="14DEB9C2">
        <w:t xml:space="preserve">Westberry et al., 2016; Graff et al., 2019). </w:t>
      </w:r>
      <w:r w:rsidR="00FE0ADE">
        <w:t xml:space="preserve">Many </w:t>
      </w:r>
      <w:r w:rsidR="00F875F3">
        <w:t xml:space="preserve">northern hemisphere </w:t>
      </w:r>
      <w:r w:rsidR="00FE0ADE">
        <w:t xml:space="preserve">studies have documented DCM formation as a </w:t>
      </w:r>
      <w:r w:rsidR="00F875F3">
        <w:t xml:space="preserve">way </w:t>
      </w:r>
      <w:r w:rsidR="00FE0ADE">
        <w:t>for phytoplankton to access nutrients at depth when light is sufficient</w:t>
      </w:r>
      <w:r w:rsidR="004D49E9">
        <w:t xml:space="preserve"> (</w:t>
      </w:r>
      <w:r w:rsidR="004D49E9">
        <w:rPr>
          <w:color w:val="0D0D0D" w:themeColor="text1" w:themeTint="F2"/>
        </w:rPr>
        <w:t xml:space="preserve">Richardson and </w:t>
      </w:r>
      <w:proofErr w:type="spellStart"/>
      <w:r w:rsidR="004D49E9">
        <w:rPr>
          <w:color w:val="0D0D0D" w:themeColor="text1" w:themeTint="F2"/>
        </w:rPr>
        <w:t>Bendtsen</w:t>
      </w:r>
      <w:proofErr w:type="spellEnd"/>
      <w:r w:rsidR="004D49E9">
        <w:rPr>
          <w:color w:val="0D0D0D" w:themeColor="text1" w:themeTint="F2"/>
        </w:rPr>
        <w:t>, 2019</w:t>
      </w:r>
      <w:r w:rsidR="004D49E9">
        <w:rPr>
          <w:color w:val="0D0D0D" w:themeColor="text1" w:themeTint="F2"/>
        </w:rPr>
        <w:t>)</w:t>
      </w:r>
      <w:r w:rsidR="00FE0ADE">
        <w:t xml:space="preserve">, </w:t>
      </w:r>
      <w:r w:rsidR="00F875F3">
        <w:t xml:space="preserve">while </w:t>
      </w:r>
      <w:r w:rsidR="00FE0ADE">
        <w:t>Southern Ocean</w:t>
      </w:r>
      <w:r w:rsidR="00F875F3">
        <w:t xml:space="preserve"> studies have been added more recently</w:t>
      </w:r>
      <w:r w:rsidR="00FE0ADE">
        <w:t xml:space="preserve"> (</w:t>
      </w:r>
      <w:r w:rsidR="00B54553">
        <w:t xml:space="preserve">Baldry et al., 2020; </w:t>
      </w:r>
      <w:r w:rsidR="00FE0ADE">
        <w:t>Cornec et al. 2021</w:t>
      </w:r>
      <w:r w:rsidR="00B54553">
        <w:t>; Boyd et al. 2024</w:t>
      </w:r>
      <w:r w:rsidR="00FE0ADE">
        <w:t xml:space="preserve">). </w:t>
      </w:r>
      <w:r w:rsidR="0090349B">
        <w:t xml:space="preserve">DCMs at low </w:t>
      </w:r>
      <w:r w:rsidR="00FE0ADE">
        <w:t>latitude</w:t>
      </w:r>
      <w:r w:rsidR="0090349B">
        <w:t>s are form</w:t>
      </w:r>
      <w:r w:rsidR="00F875F3">
        <w:t>ed</w:t>
      </w:r>
      <w:r w:rsidR="0090349B">
        <w:t xml:space="preserve"> by</w:t>
      </w:r>
      <w:r w:rsidR="00FE0ADE">
        <w:t xml:space="preserve"> phytoplankton</w:t>
      </w:r>
      <w:r w:rsidR="0090349B">
        <w:t xml:space="preserve"> species</w:t>
      </w:r>
      <w:r w:rsidR="00FE0ADE">
        <w:t xml:space="preserve"> </w:t>
      </w:r>
      <w:r w:rsidR="0090349B">
        <w:t xml:space="preserve">capable </w:t>
      </w:r>
      <w:r w:rsidR="00F875F3">
        <w:t>of</w:t>
      </w:r>
      <w:r w:rsidR="0090349B">
        <w:t xml:space="preserve"> utilis</w:t>
      </w:r>
      <w:r w:rsidR="00F875F3">
        <w:t>ing</w:t>
      </w:r>
      <w:r w:rsidR="0090349B">
        <w:t xml:space="preserve"> episodic supplies of nutrients. </w:t>
      </w:r>
      <w:r w:rsidR="0090349B" w:rsidRPr="1FDB3CBA">
        <w:t>At low latitudes</w:t>
      </w:r>
      <w:r w:rsidR="00605EB0">
        <w:t xml:space="preserve"> in oligotrophic waters</w:t>
      </w:r>
      <w:r w:rsidR="0090349B" w:rsidRPr="1FDB3CBA">
        <w:t xml:space="preserve">, light at the DCM </w:t>
      </w:r>
      <w:r w:rsidR="00F875F3">
        <w:t xml:space="preserve">tends to be higher than at </w:t>
      </w:r>
      <w:r w:rsidR="00744FAD">
        <w:t>high</w:t>
      </w:r>
      <w:r w:rsidR="00F875F3">
        <w:t xml:space="preserve"> latitudes because of persistent low</w:t>
      </w:r>
      <w:r w:rsidR="0090349B" w:rsidRPr="1FDB3CBA">
        <w:t xml:space="preserve"> nitrate </w:t>
      </w:r>
      <w:r w:rsidR="00F875F3">
        <w:t xml:space="preserve">concentrations </w:t>
      </w:r>
      <w:r w:rsidR="0090349B" w:rsidRPr="1FDB3CBA">
        <w:t>at the surface,</w:t>
      </w:r>
      <w:r w:rsidR="00F875F3">
        <w:t xml:space="preserve"> limiting phytoplankton growth at shallow depths.</w:t>
      </w:r>
      <w:r w:rsidR="0090349B" w:rsidRPr="1FDB3CBA">
        <w:t xml:space="preserve"> </w:t>
      </w:r>
      <w:r w:rsidR="00F875F3">
        <w:t>These DCMs thus</w:t>
      </w:r>
      <w:r w:rsidR="0090349B">
        <w:t xml:space="preserve"> follow the classic formation model of</w:t>
      </w:r>
      <w:r w:rsidR="00F875F3">
        <w:t xml:space="preserve"> optimizing access to</w:t>
      </w:r>
      <w:r w:rsidR="0090349B">
        <w:t xml:space="preserve"> light and nitrate in the northern hemisphere (Cullen, 2015; Richardson and Bendtsen, 2019)</w:t>
      </w:r>
      <w:r w:rsidR="0090349B">
        <w:rPr>
          <w:iCs/>
        </w:rPr>
        <w:t xml:space="preserve">. </w:t>
      </w:r>
      <w:r w:rsidR="0090349B">
        <w:t>W</w:t>
      </w:r>
      <w:r w:rsidR="14DEB9C2" w:rsidRPr="1FDB3CBA">
        <w:t xml:space="preserve">e find </w:t>
      </w:r>
      <w:r w:rsidR="4E7831BC" w:rsidRPr="1FDB3CBA">
        <w:t>that 64.3% of DCMs are als</w:t>
      </w:r>
      <w:r w:rsidR="00266D45">
        <w:t>o</w:t>
      </w:r>
      <w:r w:rsidR="4E7831BC" w:rsidRPr="1FDB3CBA">
        <w:t xml:space="preserve"> </w:t>
      </w:r>
      <w:r w:rsidR="14DEB9C2" w:rsidRPr="1FDB3CBA">
        <w:t>DBM</w:t>
      </w:r>
      <w:r w:rsidR="2C63484E" w:rsidRPr="1FDB3CBA">
        <w:t>s</w:t>
      </w:r>
      <w:r w:rsidR="14DEB9C2" w:rsidRPr="1FDB3CBA">
        <w:t>, so the chlorophyll peak coincides with an actual biomass peak</w:t>
      </w:r>
      <w:r w:rsidR="4682EC05" w:rsidRPr="1FDB3CBA">
        <w:t xml:space="preserve"> and is not just caused by </w:t>
      </w:r>
      <w:proofErr w:type="spellStart"/>
      <w:r w:rsidR="4682EC05" w:rsidRPr="1FDB3CBA">
        <w:t>photoacclimation</w:t>
      </w:r>
      <w:proofErr w:type="spellEnd"/>
      <w:r w:rsidR="65DFC0DA" w:rsidRPr="1FDB3CBA">
        <w:t>.</w:t>
      </w:r>
      <w:r w:rsidR="3255A604" w:rsidRPr="00893041">
        <w:rPr>
          <w:iCs/>
        </w:rPr>
        <w:t xml:space="preserve"> </w:t>
      </w:r>
    </w:p>
    <w:p w14:paraId="4B68C9C8" w14:textId="77777777" w:rsidR="00F55B5C" w:rsidRDefault="00F55B5C" w:rsidP="0053305D">
      <w:pPr>
        <w:snapToGrid w:val="0"/>
        <w:spacing w:line="360" w:lineRule="auto"/>
        <w:jc w:val="both"/>
      </w:pPr>
    </w:p>
    <w:p w14:paraId="7FCF79E0" w14:textId="6AA73752" w:rsidR="00B22FF5" w:rsidRPr="001469A7" w:rsidRDefault="00B22FF5" w:rsidP="0053305D">
      <w:pPr>
        <w:snapToGrid w:val="0"/>
        <w:spacing w:line="360" w:lineRule="auto"/>
        <w:jc w:val="both"/>
        <w:rPr>
          <w:b/>
          <w:bCs/>
        </w:rPr>
      </w:pPr>
      <w:r w:rsidRPr="001469A7">
        <w:tab/>
      </w:r>
      <w:r w:rsidR="00B75BA2" w:rsidRPr="001469A7">
        <w:rPr>
          <w:b/>
          <w:bCs/>
        </w:rPr>
        <w:t>4</w:t>
      </w:r>
      <w:r w:rsidRPr="001469A7">
        <w:rPr>
          <w:b/>
          <w:bCs/>
        </w:rPr>
        <w:t>.</w:t>
      </w:r>
      <w:r w:rsidR="001547E1">
        <w:rPr>
          <w:b/>
          <w:bCs/>
        </w:rPr>
        <w:t>3</w:t>
      </w:r>
      <w:r w:rsidRPr="001469A7">
        <w:rPr>
          <w:b/>
          <w:bCs/>
        </w:rPr>
        <w:t xml:space="preserve">.2. Iron limitation </w:t>
      </w:r>
      <w:r w:rsidR="00331E3B">
        <w:rPr>
          <w:b/>
          <w:bCs/>
        </w:rPr>
        <w:t>and</w:t>
      </w:r>
      <w:r w:rsidR="00331E3B" w:rsidRPr="001469A7">
        <w:rPr>
          <w:b/>
          <w:bCs/>
        </w:rPr>
        <w:t xml:space="preserve"> </w:t>
      </w:r>
      <w:r w:rsidRPr="001469A7">
        <w:rPr>
          <w:b/>
          <w:bCs/>
        </w:rPr>
        <w:t>DCM formation</w:t>
      </w:r>
    </w:p>
    <w:p w14:paraId="36C02542" w14:textId="77777777" w:rsidR="00B22FF5" w:rsidRDefault="00B22FF5" w:rsidP="0053305D">
      <w:pPr>
        <w:snapToGrid w:val="0"/>
        <w:spacing w:line="360" w:lineRule="auto"/>
        <w:jc w:val="both"/>
      </w:pPr>
    </w:p>
    <w:p w14:paraId="01097F74" w14:textId="63E46A47" w:rsidR="00AD0F7F" w:rsidRDefault="009D4CAD" w:rsidP="0053305D">
      <w:pPr>
        <w:snapToGrid w:val="0"/>
        <w:spacing w:line="360" w:lineRule="auto"/>
        <w:jc w:val="both"/>
      </w:pPr>
      <w:r>
        <w:t xml:space="preserve">Generally, </w:t>
      </w:r>
      <w:r w:rsidR="098A08FB">
        <w:t>DCMs form at or below the pycnocline,</w:t>
      </w:r>
      <w:r>
        <w:t xml:space="preserve"> </w:t>
      </w:r>
      <w:r w:rsidR="001220F3">
        <w:t xml:space="preserve">where there is sufficient light at depth </w:t>
      </w:r>
      <w:r w:rsidR="098A08FB">
        <w:t xml:space="preserve">and </w:t>
      </w:r>
      <w:r w:rsidR="001220F3">
        <w:t>phytoplankton can be close to the nitracline</w:t>
      </w:r>
      <w:r w:rsidR="11A3851A">
        <w:t xml:space="preserve"> </w:t>
      </w:r>
      <w:r w:rsidR="098A08FB">
        <w:t xml:space="preserve">(Bathmann et al., 1997; </w:t>
      </w:r>
      <w:proofErr w:type="spellStart"/>
      <w:r w:rsidR="098A08FB">
        <w:t>Cailliau</w:t>
      </w:r>
      <w:proofErr w:type="spellEnd"/>
      <w:r w:rsidR="098A08FB">
        <w:t xml:space="preserve"> et al., 1999; </w:t>
      </w:r>
      <w:proofErr w:type="spellStart"/>
      <w:r w:rsidR="098A08FB">
        <w:t>Quéguiner</w:t>
      </w:r>
      <w:proofErr w:type="spellEnd"/>
      <w:r w:rsidR="098A08FB">
        <w:t>, 2001)</w:t>
      </w:r>
      <w:r w:rsidR="11A3851A">
        <w:t xml:space="preserve">, as observed in the </w:t>
      </w:r>
      <w:r w:rsidR="57AD3F83">
        <w:t xml:space="preserve">temperate </w:t>
      </w:r>
      <w:r w:rsidR="11A3851A">
        <w:t xml:space="preserve">North Atlantic (Richardson </w:t>
      </w:r>
      <w:r w:rsidR="57AD3F83">
        <w:t>and Bendtsen</w:t>
      </w:r>
      <w:r w:rsidR="00872A9F">
        <w:t>,</w:t>
      </w:r>
      <w:r w:rsidR="57AD3F83">
        <w:t xml:space="preserve"> 2019</w:t>
      </w:r>
      <w:r w:rsidR="11A3851A">
        <w:t>)</w:t>
      </w:r>
      <w:r w:rsidR="00872A9F">
        <w:t xml:space="preserve"> and oligotrophic regions (Richardson and Bendtsen, 2017)</w:t>
      </w:r>
      <w:r w:rsidR="098A08FB">
        <w:t xml:space="preserve">. </w:t>
      </w:r>
      <w:r w:rsidR="0E819F87">
        <w:t xml:space="preserve">Compared to the tropics, </w:t>
      </w:r>
      <w:r w:rsidR="098A08FB">
        <w:t xml:space="preserve">Southern Ocean DCMs are generally deeper (64m vs. 37m depth), less intense (1.4 vs. 2.4 mg </w:t>
      </w:r>
      <w:proofErr w:type="spellStart"/>
      <w:r w:rsidR="098A08FB">
        <w:t>chl</w:t>
      </w:r>
      <w:proofErr w:type="spellEnd"/>
      <w:r w:rsidR="098A08FB">
        <w:t xml:space="preserve"> m</w:t>
      </w:r>
      <w:r w:rsidR="098A08FB" w:rsidRPr="1FDB3CBA">
        <w:rPr>
          <w:vertAlign w:val="superscript"/>
        </w:rPr>
        <w:t>-3</w:t>
      </w:r>
      <w:r w:rsidR="098A08FB">
        <w:t>)</w:t>
      </w:r>
      <w:r w:rsidR="00B54553">
        <w:t>,</w:t>
      </w:r>
      <w:r w:rsidR="098A08FB">
        <w:t xml:space="preserve"> </w:t>
      </w:r>
      <w:r w:rsidR="004D6584">
        <w:t>shorter lived</w:t>
      </w:r>
      <w:r w:rsidR="00B54553">
        <w:t xml:space="preserve"> (&lt;3 months), </w:t>
      </w:r>
      <w:r w:rsidR="098A08FB">
        <w:t>and are</w:t>
      </w:r>
      <w:r w:rsidR="00744FAD">
        <w:t xml:space="preserve"> most prevalent</w:t>
      </w:r>
      <w:r w:rsidR="098A08FB">
        <w:t xml:space="preserve"> </w:t>
      </w:r>
      <w:r w:rsidR="00744FAD">
        <w:t>in the</w:t>
      </w:r>
      <w:r w:rsidR="098A08FB">
        <w:t xml:space="preserve"> summer (Cornec et al., 2021). </w:t>
      </w:r>
      <w:r w:rsidR="76735554">
        <w:t xml:space="preserve">We find that </w:t>
      </w:r>
      <w:proofErr w:type="spellStart"/>
      <w:r w:rsidR="76735554">
        <w:t>DCM</w:t>
      </w:r>
      <w:r w:rsidR="76735554" w:rsidRPr="1FDB3CBA">
        <w:rPr>
          <w:vertAlign w:val="subscript"/>
        </w:rPr>
        <w:t>z</w:t>
      </w:r>
      <w:proofErr w:type="spellEnd"/>
      <w:r w:rsidR="76735554">
        <w:t xml:space="preserve"> is deeper when total NPP(ALL) is low</w:t>
      </w:r>
      <w:r w:rsidR="00872A9F">
        <w:t xml:space="preserve"> and light is higher</w:t>
      </w:r>
      <w:r w:rsidR="00744FAD">
        <w:t xml:space="preserve"> at the </w:t>
      </w:r>
      <w:proofErr w:type="spellStart"/>
      <w:r w:rsidR="00744FAD">
        <w:t>DCM</w:t>
      </w:r>
      <w:r w:rsidR="00744FAD" w:rsidRPr="1FDB3CBA">
        <w:rPr>
          <w:vertAlign w:val="subscript"/>
        </w:rPr>
        <w:t>z</w:t>
      </w:r>
      <w:proofErr w:type="spellEnd"/>
      <w:r w:rsidR="00744FAD">
        <w:rPr>
          <w:vertAlign w:val="subscript"/>
        </w:rPr>
        <w:t xml:space="preserve"> </w:t>
      </w:r>
      <w:r w:rsidR="76735554">
        <w:t xml:space="preserve">(Figure </w:t>
      </w:r>
      <w:r w:rsidR="30325965">
        <w:t xml:space="preserve">S14, </w:t>
      </w:r>
      <w:r w:rsidR="6561D530">
        <w:t xml:space="preserve">Figure </w:t>
      </w:r>
      <w:r w:rsidR="00BF5532">
        <w:t>8a</w:t>
      </w:r>
      <w:r w:rsidR="76735554">
        <w:t xml:space="preserve">), especially in the north (&lt;50°S), </w:t>
      </w:r>
      <w:r w:rsidR="00331E3B">
        <w:t xml:space="preserve">suggesting </w:t>
      </w:r>
      <w:r w:rsidR="00B54553">
        <w:t xml:space="preserve">that some DCMs follow </w:t>
      </w:r>
      <w:r w:rsidR="00331E3B">
        <w:t xml:space="preserve">a </w:t>
      </w:r>
      <w:r w:rsidR="00331E3B">
        <w:lastRenderedPageBreak/>
        <w:t>similar</w:t>
      </w:r>
      <w:r w:rsidR="00872A9F">
        <w:t xml:space="preserve"> </w:t>
      </w:r>
      <w:r w:rsidR="76735554">
        <w:t>DCM formation</w:t>
      </w:r>
      <w:r w:rsidR="00872A9F">
        <w:t xml:space="preserve"> mechanism </w:t>
      </w:r>
      <w:r w:rsidR="00331E3B">
        <w:t>as in the</w:t>
      </w:r>
      <w:r w:rsidR="00872A9F">
        <w:t xml:space="preserve"> northern hemisphere,</w:t>
      </w:r>
      <w:r w:rsidR="76735554">
        <w:t xml:space="preserve"> </w:t>
      </w:r>
      <w:r w:rsidR="00872A9F">
        <w:t xml:space="preserve">where phytoplankton </w:t>
      </w:r>
      <w:r w:rsidR="76735554">
        <w:t xml:space="preserve">grow in deeper layers to </w:t>
      </w:r>
      <w:r w:rsidR="00872A9F">
        <w:t xml:space="preserve">access </w:t>
      </w:r>
      <w:r w:rsidR="76735554">
        <w:t>higher nutrient concentrations at depth</w:t>
      </w:r>
      <w:r w:rsidR="00872A9F">
        <w:t xml:space="preserve"> (</w:t>
      </w:r>
      <w:r w:rsidR="00AD4F73">
        <w:t xml:space="preserve">Richardson et al., 2000; </w:t>
      </w:r>
      <w:r w:rsidR="00872A9F">
        <w:t>Cullen, 2015)</w:t>
      </w:r>
      <w:r w:rsidR="76735554">
        <w:t xml:space="preserve">. </w:t>
      </w:r>
      <w:r w:rsidR="00176A6E">
        <w:t xml:space="preserve">While this mechanism may work well in nitrate-limited regions </w:t>
      </w:r>
      <w:r w:rsidR="00202C80">
        <w:t>at</w:t>
      </w:r>
      <w:r w:rsidR="00176A6E">
        <w:t xml:space="preserve"> low</w:t>
      </w:r>
      <w:r w:rsidR="00202C80">
        <w:t xml:space="preserve"> </w:t>
      </w:r>
      <w:r w:rsidR="00176A6E">
        <w:t>latitude</w:t>
      </w:r>
      <w:r w:rsidR="00202C80">
        <w:t>s like in the STZ (~30-40°S)</w:t>
      </w:r>
      <w:r w:rsidR="00176A6E">
        <w:t xml:space="preserve">, where the nitracline sits near </w:t>
      </w:r>
      <w:r w:rsidR="00C96FF6">
        <w:t xml:space="preserve">the </w:t>
      </w:r>
      <w:r w:rsidR="00176A6E">
        <w:t>MLD (</w:t>
      </w:r>
      <w:r w:rsidR="00C96FF6">
        <w:t>Tagliabue et al., 2014</w:t>
      </w:r>
      <w:r w:rsidR="006C3D5E">
        <w:t>; Cornec et al., 2021a</w:t>
      </w:r>
      <w:r w:rsidR="00176A6E">
        <w:t xml:space="preserve">), it doesn’t explain DCM formation in iron-limited waters, where the average depth of the </w:t>
      </w:r>
      <w:proofErr w:type="spellStart"/>
      <w:r w:rsidR="00176A6E">
        <w:t>ferricline</w:t>
      </w:r>
      <w:proofErr w:type="spellEnd"/>
      <w:r w:rsidR="00176A6E">
        <w:t xml:space="preserve"> is ~333m (Tagliabue et al., 2014). </w:t>
      </w:r>
    </w:p>
    <w:p w14:paraId="08068CA8" w14:textId="795A1035" w:rsidR="00B22FF5" w:rsidRDefault="00B22FF5" w:rsidP="0053305D">
      <w:pPr>
        <w:snapToGrid w:val="0"/>
        <w:spacing w:line="360" w:lineRule="auto"/>
        <w:jc w:val="both"/>
      </w:pPr>
    </w:p>
    <w:p w14:paraId="06553617" w14:textId="7D579D3A" w:rsidR="00676257" w:rsidRDefault="76735554" w:rsidP="1FDB3CBA">
      <w:pPr>
        <w:spacing w:line="360" w:lineRule="auto"/>
        <w:jc w:val="both"/>
      </w:pPr>
      <w:r>
        <w:t xml:space="preserve">We observe widespread DCMs and DBMs, including in HNLC areas, where iron is limiting. </w:t>
      </w:r>
      <w:r w:rsidR="444701B7">
        <w:t>We also see that NPP</w:t>
      </w:r>
      <w:r w:rsidR="444701B7" w:rsidRPr="1FDB3CBA">
        <w:rPr>
          <w:vertAlign w:val="subscript"/>
        </w:rPr>
        <w:t>SUB</w:t>
      </w:r>
      <w:r w:rsidR="444701B7">
        <w:t xml:space="preserve"> accounts for </w:t>
      </w:r>
      <w:r w:rsidR="00B54553">
        <w:t>~40%</w:t>
      </w:r>
      <w:r w:rsidR="444701B7">
        <w:t xml:space="preserve"> of the total NPP at higher latitudes</w:t>
      </w:r>
      <w:r w:rsidR="00B54553">
        <w:t xml:space="preserve"> (&lt;60°S) in the spring</w:t>
      </w:r>
      <w:r w:rsidR="444701B7">
        <w:t>, where surface NO</w:t>
      </w:r>
      <w:r w:rsidR="444701B7" w:rsidRPr="1FDB3CBA">
        <w:rPr>
          <w:vertAlign w:val="subscript"/>
        </w:rPr>
        <w:t>3</w:t>
      </w:r>
      <w:r w:rsidR="444701B7">
        <w:t xml:space="preserve"> is high, light is low</w:t>
      </w:r>
      <w:r w:rsidR="00B54553">
        <w:t xml:space="preserve"> (compared to summer months</w:t>
      </w:r>
      <w:proofErr w:type="gramStart"/>
      <w:r w:rsidR="00B54553">
        <w:t>)</w:t>
      </w:r>
      <w:proofErr w:type="gramEnd"/>
      <w:r w:rsidR="00B54553">
        <w:t xml:space="preserve"> </w:t>
      </w:r>
      <w:r w:rsidR="444701B7">
        <w:t xml:space="preserve">and DCMs are shallower than at low latitudes (Figure </w:t>
      </w:r>
      <w:r w:rsidR="1279FE18">
        <w:t>S14</w:t>
      </w:r>
      <w:r w:rsidR="444701B7">
        <w:t xml:space="preserve">). </w:t>
      </w:r>
      <w:r>
        <w:t xml:space="preserve">Previous studies suggested that phytoplankton may grow at great depths as a result of </w:t>
      </w:r>
      <w:r w:rsidR="32276EC7">
        <w:t>a nutrient supply</w:t>
      </w:r>
      <w:r>
        <w:t xml:space="preserve">, with aggregations of </w:t>
      </w:r>
      <w:r w:rsidR="098A08FB">
        <w:t xml:space="preserve">low </w:t>
      </w:r>
      <w:r w:rsidR="0646D04A">
        <w:t>light</w:t>
      </w:r>
      <w:r w:rsidR="00892C17">
        <w:t xml:space="preserve"> </w:t>
      </w:r>
      <w:r w:rsidR="73A4FC22">
        <w:t>and low</w:t>
      </w:r>
      <w:r w:rsidR="40F6CEDA">
        <w:t xml:space="preserve"> </w:t>
      </w:r>
      <w:r w:rsidR="098A08FB">
        <w:t xml:space="preserve">iron-adapted </w:t>
      </w:r>
      <w:r>
        <w:t xml:space="preserve">diatoms in deeper waters often </w:t>
      </w:r>
      <w:r w:rsidR="098A08FB">
        <w:t>dominating</w:t>
      </w:r>
      <w:r>
        <w:t xml:space="preserve"> </w:t>
      </w:r>
      <w:r w:rsidR="6CAAD253">
        <w:t xml:space="preserve">Southern Ocean </w:t>
      </w:r>
      <w:r>
        <w:t>DCM</w:t>
      </w:r>
      <w:r w:rsidR="098A08FB">
        <w:t>s</w:t>
      </w:r>
      <w:r>
        <w:t xml:space="preserve"> (Parslow et al., 2001; </w:t>
      </w:r>
      <w:proofErr w:type="spellStart"/>
      <w:r>
        <w:t>Kopczynska</w:t>
      </w:r>
      <w:proofErr w:type="spellEnd"/>
      <w:r>
        <w:t xml:space="preserve"> et al., 2001; Armand et al., 2008; </w:t>
      </w:r>
      <w:proofErr w:type="spellStart"/>
      <w:r>
        <w:t>Gomi</w:t>
      </w:r>
      <w:proofErr w:type="spellEnd"/>
      <w:r>
        <w:t xml:space="preserve"> et al., 2007; 2010; Westwood et al., 2011; Tripathy et al., 2015). Most recently, the formation of diatom-rich DCMs and DBMs below the MLD has been linked to subsurface peaks of ammonium</w:t>
      </w:r>
      <w:r w:rsidR="4C46FF22">
        <w:t xml:space="preserve"> and a supply of</w:t>
      </w:r>
      <w:r w:rsidR="001469A7">
        <w:t xml:space="preserve"> recycled</w:t>
      </w:r>
      <w:r w:rsidR="4C46FF22">
        <w:t xml:space="preserve"> iron </w:t>
      </w:r>
      <w:r>
        <w:t xml:space="preserve">(Boyd et al., </w:t>
      </w:r>
      <w:r w:rsidR="29BBC24F">
        <w:t>2024</w:t>
      </w:r>
      <w:r>
        <w:t>). Boyd et al. propose a dual mechanism where DCMs and DBMs form as a result of iron recycling within the subsurface ammonium maxima and an upwelling of silicate</w:t>
      </w:r>
      <w:r w:rsidR="013C555F">
        <w:t xml:space="preserve">, which </w:t>
      </w:r>
      <w:r w:rsidR="77024EBB">
        <w:t>sustains the diatom community at depth</w:t>
      </w:r>
      <w:r>
        <w:t xml:space="preserve">. </w:t>
      </w:r>
      <w:r w:rsidR="4F93D265">
        <w:t>Diatoms are known for their ability to survive and adapt to low light conditions</w:t>
      </w:r>
      <w:r w:rsidR="23F1E0A0">
        <w:t xml:space="preserve"> (Strzepek et al. 2012; 2019)</w:t>
      </w:r>
      <w:r w:rsidR="4F93D265">
        <w:t xml:space="preserve">, making </w:t>
      </w:r>
      <w:r w:rsidR="23F1E0A0">
        <w:t xml:space="preserve">it possible for them to thrive at these DCMs that form in the Southern Ocean. </w:t>
      </w:r>
      <w:r w:rsidR="00176A6E">
        <w:t>W</w:t>
      </w:r>
      <w:r w:rsidR="540D911D">
        <w:t xml:space="preserve">e </w:t>
      </w:r>
      <w:r w:rsidR="00176A6E">
        <w:t xml:space="preserve">find </w:t>
      </w:r>
      <w:r w:rsidR="540D911D">
        <w:t xml:space="preserve">that </w:t>
      </w:r>
      <w:r w:rsidR="098A08FB">
        <w:t xml:space="preserve">DCMs are productive across the Southern Ocean, </w:t>
      </w:r>
      <w:r w:rsidR="0F752B7F">
        <w:t xml:space="preserve">especially in terms of absolute numbers, </w:t>
      </w:r>
      <w:r w:rsidR="098A08FB">
        <w:t>regardless of the mechanism of formation</w:t>
      </w:r>
      <w:r w:rsidR="715B7067">
        <w:t xml:space="preserve">. </w:t>
      </w:r>
    </w:p>
    <w:p w14:paraId="45A24D4F" w14:textId="2D4326B6" w:rsidR="00D320D8" w:rsidRPr="00F5155F" w:rsidRDefault="00D320D8" w:rsidP="00FA3B6C">
      <w:pPr>
        <w:snapToGrid w:val="0"/>
        <w:spacing w:line="360" w:lineRule="auto"/>
        <w:jc w:val="both"/>
        <w:rPr>
          <w:b/>
          <w:bCs/>
        </w:rPr>
      </w:pPr>
    </w:p>
    <w:p w14:paraId="39B3B016" w14:textId="0EFA46D5" w:rsidR="000A686D" w:rsidRPr="00016080" w:rsidRDefault="000A686D" w:rsidP="000A686D">
      <w:pPr>
        <w:pStyle w:val="ListParagraph"/>
        <w:snapToGrid w:val="0"/>
        <w:spacing w:line="360" w:lineRule="auto"/>
        <w:ind w:left="0"/>
        <w:contextualSpacing w:val="0"/>
        <w:jc w:val="both"/>
        <w:rPr>
          <w:rFonts w:ascii="Times New Roman" w:hAnsi="Times New Roman" w:cs="Times New Roman"/>
          <w:b/>
          <w:bCs/>
          <w:strike/>
        </w:rPr>
      </w:pPr>
      <w:r w:rsidRPr="00E31D8B">
        <w:rPr>
          <w:rFonts w:ascii="Times New Roman" w:hAnsi="Times New Roman" w:cs="Times New Roman"/>
          <w:b/>
          <w:bCs/>
        </w:rPr>
        <w:t>4.</w:t>
      </w:r>
      <w:r w:rsidR="001547E1">
        <w:rPr>
          <w:rFonts w:ascii="Times New Roman" w:hAnsi="Times New Roman" w:cs="Times New Roman"/>
          <w:b/>
          <w:bCs/>
        </w:rPr>
        <w:t>4</w:t>
      </w:r>
      <w:r w:rsidRPr="00E31D8B">
        <w:rPr>
          <w:rFonts w:ascii="Times New Roman" w:hAnsi="Times New Roman" w:cs="Times New Roman"/>
          <w:b/>
          <w:bCs/>
        </w:rPr>
        <w:t xml:space="preserve">. </w:t>
      </w:r>
      <w:r w:rsidR="00016080">
        <w:rPr>
          <w:rFonts w:ascii="Times New Roman" w:hAnsi="Times New Roman" w:cs="Times New Roman"/>
          <w:b/>
          <w:bCs/>
        </w:rPr>
        <w:t xml:space="preserve">What do our findings mean for satellite estimates of NPP? </w:t>
      </w:r>
    </w:p>
    <w:p w14:paraId="3D77053C" w14:textId="77777777" w:rsidR="000A686D" w:rsidRDefault="000A686D" w:rsidP="000A686D">
      <w:pPr>
        <w:pStyle w:val="ListParagraph"/>
        <w:snapToGrid w:val="0"/>
        <w:spacing w:line="360" w:lineRule="auto"/>
        <w:ind w:left="0"/>
        <w:contextualSpacing w:val="0"/>
        <w:jc w:val="both"/>
        <w:rPr>
          <w:rFonts w:ascii="Times New Roman" w:hAnsi="Times New Roman" w:cs="Times New Roman"/>
        </w:rPr>
      </w:pPr>
    </w:p>
    <w:p w14:paraId="6F42B8DA" w14:textId="46A3C312" w:rsidR="00500FC9" w:rsidRDefault="45FC6BB9" w:rsidP="00083584">
      <w:pPr>
        <w:autoSpaceDE w:val="0"/>
        <w:autoSpaceDN w:val="0"/>
        <w:adjustRightInd w:val="0"/>
        <w:spacing w:line="360" w:lineRule="auto"/>
        <w:jc w:val="both"/>
      </w:pPr>
      <w:r>
        <w:t xml:space="preserve">Our study indicates that current satellite productivity algorithms like the </w:t>
      </w:r>
      <w:proofErr w:type="spellStart"/>
      <w:r>
        <w:t>CbPM</w:t>
      </w:r>
      <w:proofErr w:type="spellEnd"/>
      <w:r>
        <w:t xml:space="preserve"> require further refinement to accurately estimate NPP in the presence of DCMs.</w:t>
      </w:r>
      <w:r w:rsidR="6725A363" w:rsidRPr="1FDB3CBA">
        <w:rPr>
          <w:lang w:val="en-GB"/>
        </w:rPr>
        <w:t xml:space="preserve"> </w:t>
      </w:r>
      <w:r w:rsidR="00500FC9">
        <w:rPr>
          <w:lang w:val="en-GB"/>
        </w:rPr>
        <w:t xml:space="preserve">While the </w:t>
      </w:r>
      <w:proofErr w:type="spellStart"/>
      <w:r w:rsidR="00500FC9">
        <w:rPr>
          <w:lang w:val="en-GB"/>
        </w:rPr>
        <w:t>ferricline</w:t>
      </w:r>
      <w:proofErr w:type="spellEnd"/>
      <w:r w:rsidR="00500FC9">
        <w:rPr>
          <w:lang w:val="en-GB"/>
        </w:rPr>
        <w:t xml:space="preserve"> version of the </w:t>
      </w:r>
      <w:proofErr w:type="spellStart"/>
      <w:r w:rsidR="00500FC9">
        <w:rPr>
          <w:lang w:val="en-GB"/>
        </w:rPr>
        <w:t>CbPM</w:t>
      </w:r>
      <w:proofErr w:type="spellEnd"/>
      <w:r w:rsidR="00500FC9">
        <w:rPr>
          <w:lang w:val="en-GB"/>
        </w:rPr>
        <w:t xml:space="preserve"> performs reasonably well overall when DCMs are present, some important discrepancies remain. </w:t>
      </w:r>
      <w:r w:rsidR="00D44E3E">
        <w:t xml:space="preserve">When using the </w:t>
      </w:r>
      <w:proofErr w:type="spellStart"/>
      <w:r w:rsidR="00D44E3E">
        <w:t>ferricline</w:t>
      </w:r>
      <w:proofErr w:type="spellEnd"/>
      <w:r w:rsidR="00D44E3E">
        <w:t xml:space="preserve">, satellite estimates are closer to float values, although still differ at low and high latitudes. </w:t>
      </w:r>
      <w:r w:rsidR="24B3D0D9" w:rsidRPr="1FDB3CBA">
        <w:rPr>
          <w:rFonts w:ascii="Times-Roman" w:eastAsiaTheme="minorEastAsia" w:hAnsi="Times-Roman" w:cs="Times-Roman"/>
          <w:lang w:val="en-GB" w:eastAsia="en-US"/>
        </w:rPr>
        <w:t xml:space="preserve">At low latitudes, where DCMs are more prevalent, </w:t>
      </w:r>
      <w:r w:rsidR="00016080">
        <w:rPr>
          <w:rFonts w:ascii="Times-Roman" w:eastAsiaTheme="minorEastAsia" w:hAnsi="Times-Roman" w:cs="Times-Roman"/>
          <w:lang w:val="en-GB" w:eastAsia="en-US"/>
        </w:rPr>
        <w:t xml:space="preserve">both </w:t>
      </w:r>
      <w:r w:rsidR="003D39DF">
        <w:rPr>
          <w:rFonts w:ascii="Times-Roman" w:eastAsiaTheme="minorEastAsia" w:hAnsi="Times-Roman" w:cs="Times-Roman"/>
          <w:lang w:val="en-GB" w:eastAsia="en-US"/>
        </w:rPr>
        <w:t xml:space="preserve">adaptations of </w:t>
      </w:r>
      <w:r w:rsidR="24B3D0D9" w:rsidRPr="1FDB3CBA">
        <w:rPr>
          <w:rFonts w:ascii="Times-Roman" w:eastAsiaTheme="minorEastAsia" w:hAnsi="Times-Roman" w:cs="Times-Roman"/>
          <w:lang w:val="en-GB" w:eastAsia="en-US"/>
        </w:rPr>
        <w:t xml:space="preserve">the </w:t>
      </w:r>
      <w:proofErr w:type="spellStart"/>
      <w:r w:rsidR="5AE840C2" w:rsidRPr="1FDB3CBA">
        <w:rPr>
          <w:rFonts w:ascii="Times-Roman" w:eastAsiaTheme="minorEastAsia" w:hAnsi="Times-Roman" w:cs="Times-Roman"/>
          <w:lang w:val="en-GB" w:eastAsia="en-US"/>
        </w:rPr>
        <w:t>CbPM</w:t>
      </w:r>
      <w:proofErr w:type="spellEnd"/>
      <w:r w:rsidR="00016080">
        <w:rPr>
          <w:rFonts w:ascii="Times-Roman" w:eastAsiaTheme="minorEastAsia" w:hAnsi="Times-Roman" w:cs="Times-Roman"/>
          <w:lang w:val="en-GB" w:eastAsia="en-US"/>
        </w:rPr>
        <w:t xml:space="preserve"> </w:t>
      </w:r>
      <w:r w:rsidR="3D61BCE9" w:rsidRPr="1FDB3CBA">
        <w:rPr>
          <w:rFonts w:ascii="Times-Roman" w:eastAsiaTheme="minorEastAsia" w:hAnsi="Times-Roman" w:cs="Times-Roman"/>
          <w:lang w:val="en-GB" w:eastAsia="en-US"/>
        </w:rPr>
        <w:t>significantly</w:t>
      </w:r>
      <w:r w:rsidR="24B3D0D9" w:rsidRPr="1FDB3CBA">
        <w:rPr>
          <w:rFonts w:ascii="Times-Roman" w:eastAsiaTheme="minorEastAsia" w:hAnsi="Times-Roman" w:cs="Times-Roman"/>
          <w:lang w:val="en-GB" w:eastAsia="en-US"/>
        </w:rPr>
        <w:t xml:space="preserve"> overestimate NPP</w:t>
      </w:r>
      <w:r w:rsidR="20540FC3" w:rsidRPr="1FDB3CBA">
        <w:rPr>
          <w:rFonts w:ascii="Times-Roman" w:eastAsiaTheme="minorEastAsia" w:hAnsi="Times-Roman" w:cs="Times-Roman"/>
          <w:lang w:val="en-GB" w:eastAsia="en-US"/>
        </w:rPr>
        <w:t xml:space="preserve"> </w:t>
      </w:r>
      <w:r w:rsidR="24B3D0D9" w:rsidRPr="1FDB3CBA">
        <w:rPr>
          <w:rFonts w:ascii="Times-Roman" w:eastAsiaTheme="minorEastAsia" w:hAnsi="Times-Roman" w:cs="Times-Roman"/>
          <w:lang w:val="en-GB" w:eastAsia="en-US"/>
        </w:rPr>
        <w:t>(Figure S</w:t>
      </w:r>
      <w:r w:rsidR="31294C2F" w:rsidRPr="1FDB3CBA">
        <w:rPr>
          <w:rFonts w:ascii="Times-Roman" w:eastAsiaTheme="minorEastAsia" w:hAnsi="Times-Roman" w:cs="Times-Roman"/>
          <w:lang w:val="en-GB" w:eastAsia="en-US"/>
        </w:rPr>
        <w:t>13</w:t>
      </w:r>
      <w:r w:rsidR="24B3D0D9" w:rsidRPr="1FDB3CBA">
        <w:rPr>
          <w:rFonts w:ascii="Times-Roman" w:eastAsiaTheme="minorEastAsia" w:hAnsi="Times-Roman" w:cs="Times-Roman"/>
          <w:lang w:val="en-GB" w:eastAsia="en-US"/>
        </w:rPr>
        <w:t xml:space="preserve">). </w:t>
      </w:r>
      <w:r w:rsidR="5C2AEADC">
        <w:t xml:space="preserve">Satellite </w:t>
      </w:r>
      <w:r w:rsidR="003D39DF">
        <w:t xml:space="preserve">subsurface </w:t>
      </w:r>
      <w:r w:rsidR="5C2AEADC">
        <w:t xml:space="preserve">NPP estimates, using both nitracline and </w:t>
      </w:r>
      <w:proofErr w:type="spellStart"/>
      <w:r w:rsidR="5C2AEADC">
        <w:t>ferricline</w:t>
      </w:r>
      <w:proofErr w:type="spellEnd"/>
      <w:r w:rsidR="5C2AEADC">
        <w:t xml:space="preserve"> approaches, </w:t>
      </w:r>
      <w:r w:rsidR="22C97E49">
        <w:t xml:space="preserve">are </w:t>
      </w:r>
      <w:r w:rsidR="5C2AEADC">
        <w:t xml:space="preserve">significantly </w:t>
      </w:r>
      <w:r w:rsidR="22C97E49">
        <w:t>higher than</w:t>
      </w:r>
      <w:r w:rsidR="5C2AEADC">
        <w:t xml:space="preserve"> float-based NPP </w:t>
      </w:r>
      <w:r w:rsidR="22C97E49">
        <w:t>values</w:t>
      </w:r>
      <w:r w:rsidR="5C2AEADC">
        <w:t xml:space="preserve"> below the MLD</w:t>
      </w:r>
      <w:r w:rsidR="22C97E49">
        <w:t xml:space="preserve"> (Figure </w:t>
      </w:r>
      <w:r w:rsidR="5C21ED5A">
        <w:t>S13</w:t>
      </w:r>
      <w:r w:rsidR="22C97E49">
        <w:t>)</w:t>
      </w:r>
      <w:r w:rsidR="5C2AEADC">
        <w:t xml:space="preserve">. This overestimation is driven </w:t>
      </w:r>
      <w:r w:rsidR="5C2AEADC">
        <w:lastRenderedPageBreak/>
        <w:t xml:space="preserve">by elevated </w:t>
      </w:r>
      <w:proofErr w:type="spellStart"/>
      <w:r w:rsidR="22C97E49">
        <w:t>chl:C</w:t>
      </w:r>
      <w:r w:rsidR="22C97E49" w:rsidRPr="1FDB3CBA">
        <w:rPr>
          <w:vertAlign w:val="subscript"/>
        </w:rPr>
        <w:t>phyto</w:t>
      </w:r>
      <w:proofErr w:type="spellEnd"/>
      <w:r w:rsidR="5C2AEADC">
        <w:t xml:space="preserve"> ratios predicted by the </w:t>
      </w:r>
      <w:proofErr w:type="spellStart"/>
      <w:r w:rsidR="5C2AEADC">
        <w:t>CbPM</w:t>
      </w:r>
      <w:proofErr w:type="spellEnd"/>
      <w:r w:rsidR="5C2AEADC">
        <w:t>, creating an artificial DCM that does not match the actual DCM in the float profile</w:t>
      </w:r>
      <w:r w:rsidR="7C413C21">
        <w:t xml:space="preserve">. </w:t>
      </w:r>
      <w:r w:rsidR="5C2AEADC">
        <w:t xml:space="preserve">While the </w:t>
      </w:r>
      <w:proofErr w:type="spellStart"/>
      <w:r w:rsidR="5C2AEADC">
        <w:t>CbPM</w:t>
      </w:r>
      <w:proofErr w:type="spellEnd"/>
      <w:r w:rsidR="5C2AEADC">
        <w:t xml:space="preserve"> performs better with the </w:t>
      </w:r>
      <w:proofErr w:type="spellStart"/>
      <w:r w:rsidR="5C2AEADC">
        <w:t>ferricline</w:t>
      </w:r>
      <w:proofErr w:type="spellEnd"/>
      <w:r w:rsidR="5C2AEADC">
        <w:t xml:space="preserve"> approach at high latitudes, it still needs refinement for precise subsurface NPP representation at lower latitudes. </w:t>
      </w:r>
    </w:p>
    <w:p w14:paraId="1D5112FB" w14:textId="77777777" w:rsidR="00500FC9" w:rsidRDefault="00500FC9" w:rsidP="00083584">
      <w:pPr>
        <w:autoSpaceDE w:val="0"/>
        <w:autoSpaceDN w:val="0"/>
        <w:adjustRightInd w:val="0"/>
        <w:spacing w:line="360" w:lineRule="auto"/>
        <w:jc w:val="both"/>
      </w:pPr>
    </w:p>
    <w:p w14:paraId="1603D052" w14:textId="0468FD72" w:rsidR="00FD1CB8" w:rsidRDefault="00FD1CB8" w:rsidP="00083584">
      <w:pPr>
        <w:autoSpaceDE w:val="0"/>
        <w:autoSpaceDN w:val="0"/>
        <w:adjustRightInd w:val="0"/>
        <w:spacing w:line="360" w:lineRule="auto"/>
        <w:jc w:val="both"/>
      </w:pPr>
      <w:r>
        <w:t xml:space="preserve">Other satellite algorithms like the Vertically </w:t>
      </w:r>
      <w:r w:rsidR="00C866C1">
        <w:t>Generalized</w:t>
      </w:r>
      <w:r>
        <w:t xml:space="preserve"> Production Model (VGPM) or the Carbon, Absorption, and Fluorescence Euphotic (CAFE) model, underestimate and overestimate NPP</w:t>
      </w:r>
      <w:r w:rsidR="00C866C1">
        <w:t>, respectively,</w:t>
      </w:r>
      <w:r>
        <w:t xml:space="preserve"> compared to the </w:t>
      </w:r>
      <w:proofErr w:type="spellStart"/>
      <w:r>
        <w:t>CbPM</w:t>
      </w:r>
      <w:proofErr w:type="spellEnd"/>
      <w:r>
        <w:t xml:space="preserve">, especially in the Southern </w:t>
      </w:r>
      <w:proofErr w:type="gramStart"/>
      <w:r>
        <w:t>Ocean  (</w:t>
      </w:r>
      <w:proofErr w:type="gramEnd"/>
      <w:r>
        <w:t xml:space="preserve">Figure 2 in </w:t>
      </w:r>
      <w:proofErr w:type="spellStart"/>
      <w:r>
        <w:t>Westberry</w:t>
      </w:r>
      <w:proofErr w:type="spellEnd"/>
      <w:r>
        <w:t xml:space="preserve"> et al., 2023). Spatially, the </w:t>
      </w:r>
      <w:proofErr w:type="spellStart"/>
      <w:r>
        <w:t>CbPM</w:t>
      </w:r>
      <w:proofErr w:type="spellEnd"/>
      <w:r>
        <w:t xml:space="preserve"> tends to have higher NPP estimates </w:t>
      </w:r>
      <w:r w:rsidR="00DF3962">
        <w:t>particularly in the northern hemisphere. When comparing the VGPM and the CAFE to our DCM-removed profiles (&lt;1000 mg C m</w:t>
      </w:r>
      <w:r w:rsidR="00DF3962" w:rsidRPr="00DF3962">
        <w:rPr>
          <w:vertAlign w:val="superscript"/>
        </w:rPr>
        <w:t>-2</w:t>
      </w:r>
      <w:r w:rsidR="00DF3962">
        <w:t xml:space="preserve"> day</w:t>
      </w:r>
      <w:r w:rsidR="00DF3962" w:rsidRPr="00DF3962">
        <w:rPr>
          <w:vertAlign w:val="superscript"/>
        </w:rPr>
        <w:t>-1</w:t>
      </w:r>
      <w:r w:rsidR="00DF3962">
        <w:t xml:space="preserve">), the CAFE seems to have higher estimates </w:t>
      </w:r>
      <w:r w:rsidR="00C866C1">
        <w:t>(500-1300 mg C m</w:t>
      </w:r>
      <w:r w:rsidR="00C866C1" w:rsidRPr="00DF3962">
        <w:rPr>
          <w:vertAlign w:val="superscript"/>
        </w:rPr>
        <w:t>-2</w:t>
      </w:r>
      <w:r w:rsidR="00C866C1">
        <w:t xml:space="preserve"> day</w:t>
      </w:r>
      <w:r w:rsidR="00C866C1" w:rsidRPr="00DF3962">
        <w:rPr>
          <w:vertAlign w:val="superscript"/>
        </w:rPr>
        <w:t>-1</w:t>
      </w:r>
      <w:r w:rsidR="00C866C1">
        <w:t>), whereas the VGPM has lower estimates overall (200-900 mg C m</w:t>
      </w:r>
      <w:r w:rsidR="00C866C1" w:rsidRPr="00DF3962">
        <w:rPr>
          <w:vertAlign w:val="superscript"/>
        </w:rPr>
        <w:t>-2</w:t>
      </w:r>
      <w:r w:rsidR="00C866C1">
        <w:t xml:space="preserve"> day</w:t>
      </w:r>
      <w:r w:rsidR="00C866C1" w:rsidRPr="00DF3962">
        <w:rPr>
          <w:vertAlign w:val="superscript"/>
        </w:rPr>
        <w:t>-1</w:t>
      </w:r>
      <w:r w:rsidR="00C866C1">
        <w:t xml:space="preserve">). </w:t>
      </w:r>
      <w:r w:rsidR="00834124">
        <w:t xml:space="preserve">However, both the VGPM and the CAFE </w:t>
      </w:r>
      <w:r w:rsidR="00FD34C8">
        <w:t>have NPP estimates closer to the DCM-removed profiles, than the DCM profiles.</w:t>
      </w:r>
    </w:p>
    <w:p w14:paraId="1198B556" w14:textId="77777777" w:rsidR="0085495B" w:rsidRDefault="0085495B" w:rsidP="00083584">
      <w:pPr>
        <w:autoSpaceDE w:val="0"/>
        <w:autoSpaceDN w:val="0"/>
        <w:adjustRightInd w:val="0"/>
        <w:spacing w:line="360" w:lineRule="auto"/>
        <w:jc w:val="both"/>
      </w:pPr>
    </w:p>
    <w:p w14:paraId="36BCD926" w14:textId="26D19CF1" w:rsidR="00035926" w:rsidRDefault="00E559C5" w:rsidP="00083584">
      <w:pPr>
        <w:autoSpaceDE w:val="0"/>
        <w:autoSpaceDN w:val="0"/>
        <w:adjustRightInd w:val="0"/>
        <w:spacing w:line="360" w:lineRule="auto"/>
        <w:jc w:val="both"/>
        <w:rPr>
          <w:lang w:val="en-GB"/>
        </w:rPr>
      </w:pPr>
      <w:r>
        <w:t xml:space="preserve">Our results clearly show that DCMs </w:t>
      </w:r>
      <w:r w:rsidR="00CF288D">
        <w:t>make a significant contribution to</w:t>
      </w:r>
      <w:r>
        <w:t xml:space="preserve"> NPP, and that satellite algorithms could </w:t>
      </w:r>
      <w:r w:rsidR="00CF288D">
        <w:t>quantify</w:t>
      </w:r>
      <w:r>
        <w:t xml:space="preserve"> them</w:t>
      </w:r>
      <w:r w:rsidR="00CF288D">
        <w:t xml:space="preserve"> better</w:t>
      </w:r>
      <w:r>
        <w:t xml:space="preserve">. </w:t>
      </w:r>
      <w:r w:rsidR="2EAB1695">
        <w:t>Future improvements should focus on incorporating more detailed vertical profiles and integrating data</w:t>
      </w:r>
      <w:r w:rsidR="532D84EB">
        <w:t xml:space="preserve"> or </w:t>
      </w:r>
      <w:proofErr w:type="spellStart"/>
      <w:r w:rsidR="532D84EB">
        <w:t>climatologies</w:t>
      </w:r>
      <w:proofErr w:type="spellEnd"/>
      <w:r w:rsidR="2EAB1695">
        <w:t xml:space="preserve"> from BGC-Argo floats. Adapting the </w:t>
      </w:r>
      <w:proofErr w:type="spellStart"/>
      <w:r w:rsidR="2EAB1695">
        <w:t>ferricline</w:t>
      </w:r>
      <w:proofErr w:type="spellEnd"/>
      <w:r w:rsidR="2EAB1695">
        <w:t xml:space="preserve"> depth based on regional and seasonal variations in the Southern Ocean could address limitations observed at low latitudes. Refining these </w:t>
      </w:r>
      <w:r w:rsidR="09DBB0A0">
        <w:t xml:space="preserve">algorithms </w:t>
      </w:r>
      <w:r w:rsidR="2EAB1695">
        <w:t xml:space="preserve">will enhance our understanding of global NPP dynamics and improve </w:t>
      </w:r>
      <w:r w:rsidR="09DBB0A0">
        <w:t xml:space="preserve">model </w:t>
      </w:r>
      <w:r w:rsidR="2EAB1695">
        <w:t>predictions of climate change impacts on ocean primary production.</w:t>
      </w:r>
    </w:p>
    <w:p w14:paraId="69B4EC74" w14:textId="77777777" w:rsidR="003A5003" w:rsidRDefault="003A5003" w:rsidP="0053305D">
      <w:pPr>
        <w:snapToGrid w:val="0"/>
        <w:spacing w:line="360" w:lineRule="auto"/>
        <w:jc w:val="both"/>
        <w:rPr>
          <w:b/>
          <w:bCs/>
        </w:rPr>
      </w:pPr>
    </w:p>
    <w:p w14:paraId="6FA09F29" w14:textId="77777777" w:rsidR="00185DE2" w:rsidRPr="00AC1AD8" w:rsidRDefault="00185DE2" w:rsidP="0053305D">
      <w:pPr>
        <w:snapToGrid w:val="0"/>
        <w:spacing w:line="360" w:lineRule="auto"/>
        <w:jc w:val="both"/>
        <w:rPr>
          <w:b/>
          <w:bCs/>
        </w:rPr>
      </w:pPr>
    </w:p>
    <w:p w14:paraId="1172E2D4" w14:textId="62397A25" w:rsidR="006E1C08" w:rsidRPr="00952C4B" w:rsidRDefault="00B75BA2" w:rsidP="0053305D">
      <w:pPr>
        <w:snapToGrid w:val="0"/>
        <w:spacing w:line="360" w:lineRule="auto"/>
        <w:ind w:left="360"/>
        <w:jc w:val="both"/>
        <w:rPr>
          <w:b/>
          <w:bCs/>
        </w:rPr>
      </w:pPr>
      <w:r>
        <w:rPr>
          <w:b/>
          <w:bCs/>
        </w:rPr>
        <w:t>5</w:t>
      </w:r>
      <w:r w:rsidR="00814E02">
        <w:rPr>
          <w:b/>
          <w:bCs/>
        </w:rPr>
        <w:t>.</w:t>
      </w:r>
      <w:r w:rsidR="006E1C08" w:rsidRPr="00952C4B">
        <w:rPr>
          <w:b/>
          <w:bCs/>
        </w:rPr>
        <w:t xml:space="preserve"> </w:t>
      </w:r>
      <w:r w:rsidR="003A748D" w:rsidRPr="00952C4B">
        <w:rPr>
          <w:b/>
          <w:bCs/>
        </w:rPr>
        <w:t>Conclusions and i</w:t>
      </w:r>
      <w:r w:rsidR="00A730C8" w:rsidRPr="00952C4B">
        <w:rPr>
          <w:b/>
          <w:bCs/>
        </w:rPr>
        <w:t>mplications</w:t>
      </w:r>
      <w:r w:rsidR="00F24244" w:rsidRPr="00952C4B">
        <w:rPr>
          <w:b/>
          <w:bCs/>
        </w:rPr>
        <w:t xml:space="preserve"> </w:t>
      </w:r>
    </w:p>
    <w:p w14:paraId="5D0A432A" w14:textId="77777777" w:rsidR="00797D47" w:rsidRPr="00AC1AD8" w:rsidRDefault="00797D47" w:rsidP="0053305D">
      <w:pPr>
        <w:snapToGrid w:val="0"/>
        <w:spacing w:line="360" w:lineRule="auto"/>
        <w:jc w:val="both"/>
        <w:rPr>
          <w:b/>
          <w:bCs/>
        </w:rPr>
      </w:pPr>
    </w:p>
    <w:p w14:paraId="06D8DDB5" w14:textId="77777777" w:rsidR="00197EDF" w:rsidRDefault="00197EDF" w:rsidP="0053305D">
      <w:pPr>
        <w:snapToGrid w:val="0"/>
        <w:spacing w:line="360" w:lineRule="auto"/>
        <w:jc w:val="both"/>
      </w:pPr>
    </w:p>
    <w:p w14:paraId="11270FFF" w14:textId="32DB16D2" w:rsidR="00197EDF" w:rsidRPr="00AC1AD8" w:rsidRDefault="00197EDF" w:rsidP="0053305D">
      <w:pPr>
        <w:snapToGrid w:val="0"/>
        <w:spacing w:line="360" w:lineRule="auto"/>
        <w:jc w:val="both"/>
      </w:pPr>
      <w:r>
        <w:t>The importance of DCMs and their influence on</w:t>
      </w:r>
      <w:r w:rsidR="003844FC">
        <w:t xml:space="preserve"> </w:t>
      </w:r>
      <w:r>
        <w:t>NPP have never been quantified</w:t>
      </w:r>
      <w:r w:rsidR="00EC5A11">
        <w:t xml:space="preserve"> at </w:t>
      </w:r>
      <w:r w:rsidR="008A2E55">
        <w:t>the scale of</w:t>
      </w:r>
      <w:r w:rsidR="00D54624">
        <w:t xml:space="preserve"> the Southern Ocean</w:t>
      </w:r>
      <w:r>
        <w:t xml:space="preserve">. With the </w:t>
      </w:r>
      <w:r w:rsidR="0097222A">
        <w:t xml:space="preserve">SOCCOM-led </w:t>
      </w:r>
      <w:r>
        <w:t xml:space="preserve">introduction of a large array of </w:t>
      </w:r>
      <w:r w:rsidR="0097222A">
        <w:t xml:space="preserve">BGC-Argo </w:t>
      </w:r>
      <w:r>
        <w:t xml:space="preserve">floats, we are now able to better study bio-optical properties and the vertical structure of phytoplankton features basin-wide, through the seasons. Here, we </w:t>
      </w:r>
      <w:r w:rsidR="00624045">
        <w:t xml:space="preserve">have </w:t>
      </w:r>
      <w:r>
        <w:t>quantif</w:t>
      </w:r>
      <w:r w:rsidR="00624045">
        <w:t>ied</w:t>
      </w:r>
      <w:r>
        <w:t xml:space="preserve"> the contribution of subsurface NPP to total NPP, and the effect </w:t>
      </w:r>
      <w:r w:rsidR="00C212A3">
        <w:t xml:space="preserve">of </w:t>
      </w:r>
      <w:r>
        <w:t>DCM</w:t>
      </w:r>
      <w:r w:rsidR="007E24BB">
        <w:t>s</w:t>
      </w:r>
      <w:r w:rsidR="00220D6A">
        <w:t xml:space="preserve"> </w:t>
      </w:r>
      <w:r w:rsidR="00626529">
        <w:t xml:space="preserve">and DBMs </w:t>
      </w:r>
      <w:r w:rsidR="00220D6A">
        <w:t>on these estimates</w:t>
      </w:r>
      <w:r>
        <w:t xml:space="preserve">. </w:t>
      </w:r>
    </w:p>
    <w:p w14:paraId="0CEEA4EB" w14:textId="77777777" w:rsidR="00197EDF" w:rsidRDefault="00197EDF" w:rsidP="0053305D">
      <w:pPr>
        <w:snapToGrid w:val="0"/>
        <w:spacing w:line="360" w:lineRule="auto"/>
        <w:jc w:val="both"/>
      </w:pPr>
    </w:p>
    <w:p w14:paraId="36B16621" w14:textId="6F4A9DC8" w:rsidR="003A748D" w:rsidRPr="00AC1AD8" w:rsidRDefault="0097222A" w:rsidP="0053305D">
      <w:pPr>
        <w:snapToGrid w:val="0"/>
        <w:spacing w:line="360" w:lineRule="auto"/>
        <w:jc w:val="both"/>
      </w:pPr>
      <w:r>
        <w:lastRenderedPageBreak/>
        <w:t xml:space="preserve">The significant contribution of subsurface NPP to total NPP when DCMs and DBMs are present indicates that DCMs are of biological and ecological importance in the Southern Ocean.  </w:t>
      </w:r>
      <w:r w:rsidR="006805AB">
        <w:t>W</w:t>
      </w:r>
      <w:r w:rsidR="003A748D">
        <w:t>hen DCMs are present, subsurface NPP contributes more than half of the total NPP</w:t>
      </w:r>
      <w:r w:rsidR="009D7A23">
        <w:t>, predominantly at low latitudes north of 40°S throughout the year, from 40% in winter to 70% in the summer</w:t>
      </w:r>
      <w:r w:rsidR="003A748D">
        <w:t xml:space="preserve">. </w:t>
      </w:r>
      <w:r w:rsidR="009D7A23">
        <w:t>At mid and high latitudes, this contribution presents a strong seasonality, decreasing from ~40% in spring to ~</w:t>
      </w:r>
      <w:r w:rsidR="00BF5E59">
        <w:t>25</w:t>
      </w:r>
      <w:r w:rsidR="009D7A23">
        <w:t xml:space="preserve">% in summer. </w:t>
      </w:r>
      <w:r w:rsidR="003A748D">
        <w:t>NPP at the DCM contributes up to ~20% to the total NPP annually</w:t>
      </w:r>
      <w:r w:rsidR="009D7A23">
        <w:t>.</w:t>
      </w:r>
      <w:r w:rsidR="003A748D">
        <w:t xml:space="preserve"> DCMs are especially </w:t>
      </w:r>
      <w:r w:rsidR="00F152EC">
        <w:t xml:space="preserve">important </w:t>
      </w:r>
      <w:r w:rsidR="003A748D">
        <w:t xml:space="preserve">at low latitudes, and in summer. </w:t>
      </w:r>
      <w:r w:rsidR="00EB12E4">
        <w:t>The contribution of subsurface NPP is higher when a DCM coincides with a DBM</w:t>
      </w:r>
      <w:r w:rsidR="001F08AE">
        <w:t>, and b</w:t>
      </w:r>
      <w:r w:rsidR="00EB12E4">
        <w:t>oth</w:t>
      </w:r>
      <w:r w:rsidR="001F08AE">
        <w:t xml:space="preserve"> </w:t>
      </w:r>
      <w:r w:rsidR="00BB1933">
        <w:t>are widespread</w:t>
      </w:r>
      <w:r w:rsidR="00EB12E4">
        <w:t>.</w:t>
      </w:r>
      <w:r w:rsidR="003A748D">
        <w:t xml:space="preserve"> </w:t>
      </w:r>
      <w:r w:rsidR="00626529">
        <w:t xml:space="preserve">Satellite estimates that do not account for DCMs may be underestimating NPP by </w:t>
      </w:r>
      <w:r w:rsidR="00626529">
        <w:rPr>
          <w:rFonts w:eastAsiaTheme="minorHAnsi"/>
          <w:color w:val="000000"/>
          <w:lang w:val="en-GB" w:eastAsia="en-US"/>
        </w:rPr>
        <w:t>3</w:t>
      </w:r>
      <w:r w:rsidR="00A702FA">
        <w:rPr>
          <w:rFonts w:eastAsiaTheme="minorHAnsi"/>
          <w:color w:val="000000"/>
          <w:lang w:val="en-GB" w:eastAsia="en-US"/>
        </w:rPr>
        <w:t>4</w:t>
      </w:r>
      <w:r w:rsidR="00626529">
        <w:rPr>
          <w:rFonts w:eastAsiaTheme="minorHAnsi"/>
          <w:color w:val="000000"/>
          <w:lang w:val="en-GB" w:eastAsia="en-US"/>
        </w:rPr>
        <w:t>-4</w:t>
      </w:r>
      <w:r w:rsidR="00A702FA">
        <w:rPr>
          <w:rFonts w:eastAsiaTheme="minorHAnsi"/>
          <w:color w:val="000000"/>
          <w:lang w:val="en-GB" w:eastAsia="en-US"/>
        </w:rPr>
        <w:t>5</w:t>
      </w:r>
      <w:r w:rsidR="00626529">
        <w:rPr>
          <w:rFonts w:eastAsiaTheme="minorHAnsi"/>
          <w:color w:val="000000"/>
          <w:lang w:val="en-GB" w:eastAsia="en-US"/>
        </w:rPr>
        <w:t>%</w:t>
      </w:r>
      <w:r w:rsidR="00626529">
        <w:t xml:space="preserve"> when DCMs occur. </w:t>
      </w:r>
    </w:p>
    <w:p w14:paraId="1798F47C" w14:textId="77777777" w:rsidR="003A748D" w:rsidRPr="00AC1AD8" w:rsidRDefault="003A748D" w:rsidP="0053305D">
      <w:pPr>
        <w:snapToGrid w:val="0"/>
        <w:spacing w:line="360" w:lineRule="auto"/>
        <w:jc w:val="both"/>
      </w:pPr>
    </w:p>
    <w:p w14:paraId="34F0DEA0" w14:textId="0C544828" w:rsidR="002F4390" w:rsidRDefault="002F4390" w:rsidP="0053305D">
      <w:pPr>
        <w:snapToGrid w:val="0"/>
        <w:spacing w:line="360" w:lineRule="auto"/>
        <w:jc w:val="both"/>
      </w:pPr>
      <w:r>
        <w:t>Most climate models primarily focus on upper ocean processes, where a decrease in phytoplankton biomass is the result of a decrease in the upward supply of nutrients (Bopp et al., 2001; Steinacher et al., 2010). Some mode</w:t>
      </w:r>
      <w:r w:rsidRPr="00D01625">
        <w:t>ls</w:t>
      </w:r>
      <w:r>
        <w:t xml:space="preserve"> </w:t>
      </w:r>
      <w:r w:rsidRPr="00D01625">
        <w:t xml:space="preserve">suggest that warmer temperatures and increased nutrient limitation may disadvantage diatoms and result in a shift towards smaller phytoplankton (Bopp et al., 2005; Marinov et al., 2010). </w:t>
      </w:r>
      <w:r>
        <w:t>In general, o</w:t>
      </w:r>
      <w:r w:rsidR="00C732A9">
        <w:t xml:space="preserve">cean circulation models show that </w:t>
      </w:r>
      <w:r w:rsidR="006E1C08">
        <w:t>warming</w:t>
      </w:r>
      <w:r w:rsidR="000A24BB">
        <w:t xml:space="preserve"> will influence </w:t>
      </w:r>
      <w:r w:rsidR="006E1C08">
        <w:t xml:space="preserve">nutrient cycling and ocean productivity through </w:t>
      </w:r>
      <w:r w:rsidR="1159E308">
        <w:t xml:space="preserve">enhanced </w:t>
      </w:r>
      <w:r w:rsidR="006E1C08">
        <w:t>stratification (Rhein et al., 2013; Bindoff et al., 2019</w:t>
      </w:r>
      <w:r w:rsidR="0014205D">
        <w:t xml:space="preserve">; </w:t>
      </w:r>
      <w:r w:rsidR="006E1C08">
        <w:t xml:space="preserve">IPCC, Fifth Assessment Report AR5). </w:t>
      </w:r>
      <w:r>
        <w:t>Interestingly</w:t>
      </w:r>
      <w:r w:rsidR="00C75E44">
        <w:t>,</w:t>
      </w:r>
      <w:r>
        <w:t xml:space="preserve"> while</w:t>
      </w:r>
      <w:r w:rsidR="00C75E44">
        <w:t xml:space="preserve"> </w:t>
      </w:r>
      <w:r w:rsidR="006E1C08">
        <w:t>CMIP6</w:t>
      </w:r>
      <w:r w:rsidR="59F9258E">
        <w:t xml:space="preserve"> </w:t>
      </w:r>
      <w:r w:rsidR="59F9258E" w:rsidRPr="002B4DD4">
        <w:rPr>
          <w:color w:val="000000" w:themeColor="text1"/>
        </w:rPr>
        <w:t>models</w:t>
      </w:r>
      <w:r w:rsidR="006E1C08" w:rsidRPr="002B4DD4">
        <w:rPr>
          <w:color w:val="000000" w:themeColor="text1"/>
        </w:rPr>
        <w:t xml:space="preserve"> </w:t>
      </w:r>
      <w:r w:rsidRPr="002B4DD4">
        <w:rPr>
          <w:color w:val="000000" w:themeColor="text1"/>
        </w:rPr>
        <w:t xml:space="preserve">project </w:t>
      </w:r>
      <w:r w:rsidR="00C75E44" w:rsidRPr="002B4DD4">
        <w:rPr>
          <w:color w:val="000000" w:themeColor="text1"/>
        </w:rPr>
        <w:t>a global decline of</w:t>
      </w:r>
      <w:r w:rsidR="006E1C08" w:rsidRPr="002B4DD4">
        <w:rPr>
          <w:color w:val="000000" w:themeColor="text1"/>
        </w:rPr>
        <w:t xml:space="preserve"> 4-11% </w:t>
      </w:r>
      <w:r w:rsidR="00C75E44" w:rsidRPr="002B4DD4">
        <w:rPr>
          <w:color w:val="000000" w:themeColor="text1"/>
        </w:rPr>
        <w:t>in</w:t>
      </w:r>
      <w:r w:rsidR="006E1C08" w:rsidRPr="002B4DD4">
        <w:rPr>
          <w:color w:val="000000" w:themeColor="text1"/>
        </w:rPr>
        <w:t xml:space="preserve"> NPP</w:t>
      </w:r>
      <w:r w:rsidR="00C75E44" w:rsidRPr="002B4DD4">
        <w:rPr>
          <w:color w:val="000000" w:themeColor="text1"/>
        </w:rPr>
        <w:t xml:space="preserve"> (Longhurst, 2007; Cullen, 2015; </w:t>
      </w:r>
      <w:proofErr w:type="spellStart"/>
      <w:r w:rsidR="00C75E44" w:rsidRPr="002B4DD4">
        <w:rPr>
          <w:color w:val="000000" w:themeColor="text1"/>
        </w:rPr>
        <w:t>Laufkötter</w:t>
      </w:r>
      <w:proofErr w:type="spellEnd"/>
      <w:r w:rsidR="00C75E44" w:rsidRPr="002B4DD4">
        <w:rPr>
          <w:color w:val="000000" w:themeColor="text1"/>
        </w:rPr>
        <w:t xml:space="preserve"> et al., 2015</w:t>
      </w:r>
      <w:r w:rsidR="002B4DD4" w:rsidRPr="002B4DD4">
        <w:rPr>
          <w:color w:val="000000" w:themeColor="text1"/>
        </w:rPr>
        <w:t xml:space="preserve">; </w:t>
      </w:r>
      <w:r w:rsidR="002B4DD4" w:rsidRPr="002B4DD4">
        <w:rPr>
          <w:rFonts w:eastAsiaTheme="minorHAnsi"/>
          <w:color w:val="000000" w:themeColor="text1"/>
          <w:lang w:val="en-GB" w:eastAsia="en-US"/>
        </w:rPr>
        <w:t>Kwiatkowski et al. 2020</w:t>
      </w:r>
      <w:r w:rsidR="00C75E44" w:rsidRPr="002B4DD4">
        <w:rPr>
          <w:color w:val="000000" w:themeColor="text1"/>
        </w:rPr>
        <w:t>)</w:t>
      </w:r>
      <w:r w:rsidRPr="002B4DD4">
        <w:rPr>
          <w:color w:val="000000" w:themeColor="text1"/>
        </w:rPr>
        <w:t>,</w:t>
      </w:r>
      <w:r w:rsidR="00C75E44" w:rsidRPr="002B4DD4">
        <w:rPr>
          <w:color w:val="000000" w:themeColor="text1"/>
        </w:rPr>
        <w:t xml:space="preserve"> an increase</w:t>
      </w:r>
      <w:r w:rsidR="0040730C" w:rsidRPr="002B4DD4">
        <w:rPr>
          <w:color w:val="000000" w:themeColor="text1"/>
        </w:rPr>
        <w:t xml:space="preserve"> </w:t>
      </w:r>
      <w:r w:rsidR="005C0716" w:rsidRPr="002B4DD4">
        <w:rPr>
          <w:color w:val="000000" w:themeColor="text1"/>
        </w:rPr>
        <w:t>in NPP</w:t>
      </w:r>
      <w:r w:rsidR="00C75E44" w:rsidRPr="002B4DD4">
        <w:rPr>
          <w:color w:val="000000" w:themeColor="text1"/>
        </w:rPr>
        <w:t xml:space="preserve"> </w:t>
      </w:r>
      <w:r w:rsidRPr="002B4DD4">
        <w:rPr>
          <w:color w:val="000000" w:themeColor="text1"/>
        </w:rPr>
        <w:t xml:space="preserve">is predicted </w:t>
      </w:r>
      <w:r w:rsidR="00C75E44" w:rsidRPr="002B4DD4">
        <w:rPr>
          <w:color w:val="000000" w:themeColor="text1"/>
        </w:rPr>
        <w:t>specifically in the Southern Ocean</w:t>
      </w:r>
      <w:r w:rsidR="005C0716" w:rsidRPr="002B4DD4">
        <w:rPr>
          <w:color w:val="000000" w:themeColor="text1"/>
        </w:rPr>
        <w:t xml:space="preserve"> (Bopp et al., </w:t>
      </w:r>
      <w:r w:rsidR="005C0716">
        <w:t xml:space="preserve">2013; </w:t>
      </w:r>
      <w:proofErr w:type="spellStart"/>
      <w:r w:rsidR="005C0716">
        <w:t>Laufkötter</w:t>
      </w:r>
      <w:proofErr w:type="spellEnd"/>
      <w:r w:rsidR="005C0716">
        <w:t xml:space="preserve"> et al., 2015).</w:t>
      </w:r>
      <w:r w:rsidR="006E1C08">
        <w:t xml:space="preserve"> </w:t>
      </w:r>
      <w:r>
        <w:t xml:space="preserve">Ocean </w:t>
      </w:r>
      <w:r w:rsidR="005C0716">
        <w:t xml:space="preserve">models </w:t>
      </w:r>
      <w:r w:rsidR="006E1C08">
        <w:t xml:space="preserve">also show large uncertainty in future projections due to insufficient regional observations and knowledge gaps in the magnitude and spatial </w:t>
      </w:r>
      <w:r w:rsidR="00DC509E">
        <w:t xml:space="preserve">and vertical </w:t>
      </w:r>
      <w:r w:rsidR="006E1C08">
        <w:t xml:space="preserve">variability of NPP (Tagliabue et al., 2021). </w:t>
      </w:r>
      <w:r w:rsidR="00426103">
        <w:t xml:space="preserve">Models are often compared against satellite products and use these as input data when observations are scarce (Aumont et al. 2015), highlighting the need to improve satellite algorithms and estimates, as these are currently the most viable method to study long-term changes on a global scale. </w:t>
      </w:r>
    </w:p>
    <w:p w14:paraId="42C56794" w14:textId="77777777" w:rsidR="0097222A" w:rsidRDefault="0097222A" w:rsidP="0053305D">
      <w:pPr>
        <w:snapToGrid w:val="0"/>
        <w:spacing w:line="360" w:lineRule="auto"/>
        <w:jc w:val="both"/>
      </w:pPr>
    </w:p>
    <w:p w14:paraId="5C6B3CE3" w14:textId="65E012D8" w:rsidR="003A748D" w:rsidRPr="00AC1AD8" w:rsidRDefault="73BF42CC" w:rsidP="0053305D">
      <w:pPr>
        <w:snapToGrid w:val="0"/>
        <w:spacing w:line="360" w:lineRule="auto"/>
        <w:jc w:val="both"/>
      </w:pPr>
      <w:r>
        <w:t xml:space="preserve">DCMs are often observed in stratified waters (Cullen, 2015; Carranza et al., 2018), thus, </w:t>
      </w:r>
      <w:r w:rsidR="4B8CD364">
        <w:t xml:space="preserve">if </w:t>
      </w:r>
      <w:r>
        <w:t xml:space="preserve">the oceans become warmer and more stratified (Li et al., 2020), the </w:t>
      </w:r>
      <w:r w:rsidR="578103DA">
        <w:t xml:space="preserve">vertical distribution of biomass will change, and </w:t>
      </w:r>
      <w:r w:rsidR="27869809">
        <w:t xml:space="preserve">the </w:t>
      </w:r>
      <w:r>
        <w:t xml:space="preserve">occurrence of DCMs may increase. It is therefore important to understand what effect DCMs have on the vertical distribution of NPP, particularly in the Southern Ocean, where no particular attention </w:t>
      </w:r>
      <w:r w:rsidR="003655C8">
        <w:t xml:space="preserve">has been paid </w:t>
      </w:r>
      <w:r>
        <w:t>to DCMs (Arteaga et al., 2022; Bock et al., 2022).</w:t>
      </w:r>
      <w:r w:rsidRPr="1FDB3CBA">
        <w:rPr>
          <w:rFonts w:eastAsiaTheme="minorEastAsia"/>
          <w:color w:val="000000" w:themeColor="text1"/>
          <w:lang w:eastAsia="en-US"/>
        </w:rPr>
        <w:t xml:space="preserve"> </w:t>
      </w:r>
      <w:r w:rsidR="00F62818">
        <w:rPr>
          <w:rFonts w:eastAsiaTheme="minorEastAsia"/>
          <w:color w:val="000000" w:themeColor="text1"/>
          <w:lang w:val="en-GB" w:eastAsia="en-US"/>
        </w:rPr>
        <w:t>The lack of attention paid to</w:t>
      </w:r>
      <w:r w:rsidR="6845FE6B" w:rsidRPr="1FDB3CBA">
        <w:rPr>
          <w:rFonts w:eastAsiaTheme="minorEastAsia"/>
          <w:color w:val="000000" w:themeColor="text1"/>
          <w:lang w:val="en-GB" w:eastAsia="en-US"/>
        </w:rPr>
        <w:t xml:space="preserve"> DCMs and </w:t>
      </w:r>
      <w:r w:rsidR="7AD4770F" w:rsidRPr="1FDB3CBA">
        <w:rPr>
          <w:rFonts w:eastAsiaTheme="minorEastAsia"/>
          <w:color w:val="000000" w:themeColor="text1"/>
          <w:lang w:val="en-GB" w:eastAsia="en-US"/>
        </w:rPr>
        <w:t xml:space="preserve">DBMs </w:t>
      </w:r>
      <w:r w:rsidR="00F62818">
        <w:rPr>
          <w:rFonts w:eastAsiaTheme="minorEastAsia"/>
          <w:color w:val="000000" w:themeColor="text1"/>
          <w:lang w:val="en-GB" w:eastAsia="en-US"/>
        </w:rPr>
        <w:t xml:space="preserve">has </w:t>
      </w:r>
      <w:r w:rsidR="7AD4770F" w:rsidRPr="1FDB3CBA">
        <w:rPr>
          <w:rFonts w:eastAsiaTheme="minorEastAsia"/>
          <w:color w:val="000000" w:themeColor="text1"/>
          <w:lang w:val="en-GB" w:eastAsia="en-US"/>
        </w:rPr>
        <w:t xml:space="preserve">in part </w:t>
      </w:r>
      <w:r w:rsidR="00F62818">
        <w:rPr>
          <w:rFonts w:eastAsiaTheme="minorEastAsia"/>
          <w:color w:val="000000" w:themeColor="text1"/>
          <w:lang w:val="en-GB" w:eastAsia="en-US"/>
        </w:rPr>
        <w:t xml:space="preserve">been </w:t>
      </w:r>
      <w:r w:rsidR="7AD4770F" w:rsidRPr="1FDB3CBA">
        <w:rPr>
          <w:rFonts w:eastAsiaTheme="minorEastAsia"/>
          <w:color w:val="000000" w:themeColor="text1"/>
          <w:lang w:val="en-GB" w:eastAsia="en-US"/>
        </w:rPr>
        <w:t xml:space="preserve">due to a lack of data with </w:t>
      </w:r>
      <w:r w:rsidR="7AD4770F" w:rsidRPr="1FDB3CBA">
        <w:rPr>
          <w:rFonts w:eastAsiaTheme="minorEastAsia"/>
          <w:color w:val="000000" w:themeColor="text1"/>
          <w:lang w:val="en-GB" w:eastAsia="en-US"/>
        </w:rPr>
        <w:lastRenderedPageBreak/>
        <w:t>sufficient spatial coverage</w:t>
      </w:r>
      <w:r w:rsidR="6845FE6B" w:rsidRPr="1FDB3CBA">
        <w:rPr>
          <w:rFonts w:eastAsiaTheme="minorEastAsia"/>
          <w:color w:val="000000" w:themeColor="text1"/>
          <w:lang w:val="en-GB" w:eastAsia="en-US"/>
        </w:rPr>
        <w:t>. O</w:t>
      </w:r>
      <w:r w:rsidR="325A4CB6" w:rsidRPr="1FDB3CBA">
        <w:rPr>
          <w:rFonts w:eastAsiaTheme="minorEastAsia"/>
          <w:color w:val="000000" w:themeColor="text1"/>
          <w:lang w:val="en-GB" w:eastAsia="en-US"/>
        </w:rPr>
        <w:t xml:space="preserve">ur results show that accounting for subsurface </w:t>
      </w:r>
      <w:r w:rsidR="784EA93E" w:rsidRPr="1FDB3CBA">
        <w:rPr>
          <w:rFonts w:eastAsiaTheme="minorEastAsia"/>
          <w:color w:val="000000" w:themeColor="text1"/>
          <w:lang w:val="en-GB" w:eastAsia="en-US"/>
        </w:rPr>
        <w:t>accumulations</w:t>
      </w:r>
      <w:r w:rsidR="325A4CB6" w:rsidRPr="1FDB3CBA">
        <w:rPr>
          <w:rFonts w:eastAsiaTheme="minorEastAsia"/>
          <w:color w:val="000000" w:themeColor="text1"/>
          <w:lang w:val="en-GB" w:eastAsia="en-US"/>
        </w:rPr>
        <w:t xml:space="preserve"> of chlorophyll and biomass matters when estimating total NPP.</w:t>
      </w:r>
      <w:r w:rsidR="2D66FD77" w:rsidRPr="1FDB3CBA">
        <w:rPr>
          <w:rFonts w:eastAsiaTheme="minorEastAsia"/>
          <w:color w:val="000000" w:themeColor="text1"/>
          <w:lang w:val="en-GB" w:eastAsia="en-US"/>
        </w:rPr>
        <w:t xml:space="preserve"> </w:t>
      </w:r>
      <w:r w:rsidR="621E2058" w:rsidRPr="1FDB3CBA">
        <w:rPr>
          <w:rFonts w:eastAsiaTheme="minorEastAsia"/>
          <w:color w:val="000000" w:themeColor="text1"/>
          <w:lang w:val="en-GB" w:eastAsia="en-US"/>
        </w:rPr>
        <w:t xml:space="preserve">While the </w:t>
      </w:r>
      <w:proofErr w:type="spellStart"/>
      <w:r w:rsidR="621E2058" w:rsidRPr="1FDB3CBA">
        <w:rPr>
          <w:rFonts w:eastAsiaTheme="minorEastAsia"/>
          <w:color w:val="000000" w:themeColor="text1"/>
          <w:lang w:val="en-GB" w:eastAsia="en-US"/>
        </w:rPr>
        <w:t>CbPM</w:t>
      </w:r>
      <w:proofErr w:type="spellEnd"/>
      <w:r w:rsidR="621E2058" w:rsidRPr="1FDB3CBA">
        <w:rPr>
          <w:rFonts w:eastAsiaTheme="minorEastAsia"/>
          <w:color w:val="000000" w:themeColor="text1"/>
          <w:lang w:val="en-GB" w:eastAsia="en-US"/>
        </w:rPr>
        <w:t xml:space="preserve"> creates artificial DCMs and overestimates NPP, other satellite algorithms could potentially be missing subsurface features and underestimating NPP in the Southern Ocean, particularly in the summer, when the contribution of DCMs in terms of productivity is highe</w:t>
      </w:r>
      <w:r w:rsidR="00725A19">
        <w:rPr>
          <w:rFonts w:eastAsiaTheme="minorEastAsia"/>
          <w:color w:val="000000" w:themeColor="text1"/>
          <w:lang w:val="en-GB" w:eastAsia="en-US"/>
        </w:rPr>
        <w:t>st.</w:t>
      </w:r>
      <w:r w:rsidR="621E2058" w:rsidRPr="1FDB3CBA">
        <w:rPr>
          <w:rFonts w:eastAsiaTheme="minorEastAsia"/>
          <w:color w:val="000000" w:themeColor="text1"/>
          <w:lang w:val="en-GB" w:eastAsia="en-US"/>
        </w:rPr>
        <w:t xml:space="preserve"> </w:t>
      </w:r>
    </w:p>
    <w:p w14:paraId="16F9D3C8" w14:textId="093E61D2" w:rsidR="00C74EDC" w:rsidRDefault="00C74EDC" w:rsidP="0053305D">
      <w:pPr>
        <w:snapToGrid w:val="0"/>
        <w:spacing w:line="360" w:lineRule="auto"/>
        <w:jc w:val="both"/>
      </w:pPr>
    </w:p>
    <w:p w14:paraId="06C4CE08" w14:textId="77777777" w:rsidR="00DA030B" w:rsidRDefault="00DA030B" w:rsidP="0053305D">
      <w:pPr>
        <w:snapToGrid w:val="0"/>
        <w:spacing w:line="360" w:lineRule="auto"/>
        <w:jc w:val="both"/>
        <w:rPr>
          <w:b/>
          <w:bCs/>
        </w:rPr>
      </w:pPr>
      <w:r>
        <w:rPr>
          <w:b/>
          <w:bCs/>
        </w:rPr>
        <w:t>Acknowledgements</w:t>
      </w:r>
    </w:p>
    <w:p w14:paraId="38DDD479" w14:textId="77777777" w:rsidR="00FB5A7C" w:rsidRDefault="00FB5A7C" w:rsidP="0053305D">
      <w:pPr>
        <w:snapToGrid w:val="0"/>
        <w:spacing w:line="360" w:lineRule="auto"/>
        <w:jc w:val="both"/>
        <w:rPr>
          <w:b/>
          <w:bCs/>
        </w:rPr>
      </w:pPr>
    </w:p>
    <w:p w14:paraId="64C2A225" w14:textId="4BD97275" w:rsidR="00FB5A7C" w:rsidRPr="003A0FFA" w:rsidRDefault="00586A9F" w:rsidP="0053305D">
      <w:pPr>
        <w:snapToGrid w:val="0"/>
        <w:spacing w:line="360" w:lineRule="auto"/>
        <w:jc w:val="both"/>
        <w:rPr>
          <w:color w:val="000000" w:themeColor="text1"/>
        </w:rPr>
      </w:pPr>
      <w:r>
        <w:rPr>
          <w:color w:val="000000" w:themeColor="text1"/>
        </w:rPr>
        <w:t xml:space="preserve">This work was possible thanks to the publicly available data from the </w:t>
      </w:r>
      <w:r w:rsidR="00C95B17" w:rsidRPr="003A0FFA">
        <w:rPr>
          <w:color w:val="000000" w:themeColor="text1"/>
        </w:rPr>
        <w:t>Southern Ocean Carbon and Climate Observations and Modelling (SOCCOM) program</w:t>
      </w:r>
      <w:r>
        <w:rPr>
          <w:color w:val="000000" w:themeColor="text1"/>
        </w:rPr>
        <w:t xml:space="preserve"> </w:t>
      </w:r>
      <w:r w:rsidR="00A404CA">
        <w:rPr>
          <w:color w:val="000000" w:themeColor="text1"/>
        </w:rPr>
        <w:t>and the National Aeronautics and Space Administration (NASA).</w:t>
      </w:r>
      <w:r w:rsidR="00E05B1E">
        <w:rPr>
          <w:color w:val="000000" w:themeColor="text1"/>
        </w:rPr>
        <w:t xml:space="preserve"> </w:t>
      </w:r>
      <w:r w:rsidR="00F01EF9" w:rsidRPr="00F01EF9">
        <w:rPr>
          <w:color w:val="000000" w:themeColor="text1"/>
        </w:rPr>
        <w:t xml:space="preserve">SOCCOM is funded by the National Science Foundation, Division of Polar Programs (NSF PLR -1425989 and OPP-1936222), supplemented by NASA, and by the International Argo Program and the NOAA programs that contribute to it. The Argo Program is part of the Global Ocean Observing System </w:t>
      </w:r>
      <w:r w:rsidR="00FB5A7C" w:rsidRPr="003A0FFA">
        <w:rPr>
          <w:color w:val="000000" w:themeColor="text1"/>
        </w:rPr>
        <w:t xml:space="preserve">The authors would like to thank the Australian Antarctic Division (AAD), in particular Ben Raymond, for facilitating the mirroring repository. </w:t>
      </w:r>
      <w:r w:rsidR="00D40F1D">
        <w:rPr>
          <w:color w:val="000000" w:themeColor="text1"/>
        </w:rPr>
        <w:t xml:space="preserve">We would like to thank </w:t>
      </w:r>
      <w:r w:rsidR="00FF3924">
        <w:rPr>
          <w:color w:val="000000" w:themeColor="text1"/>
        </w:rPr>
        <w:t xml:space="preserve">Dr. </w:t>
      </w:r>
      <w:r w:rsidR="002A5AC7">
        <w:rPr>
          <w:color w:val="000000" w:themeColor="text1"/>
        </w:rPr>
        <w:t xml:space="preserve">Lionel Arteaga and </w:t>
      </w:r>
      <w:r w:rsidR="00FF3924">
        <w:rPr>
          <w:color w:val="000000" w:themeColor="text1"/>
        </w:rPr>
        <w:t xml:space="preserve">Dr. </w:t>
      </w:r>
      <w:r w:rsidR="00D40F1D">
        <w:rPr>
          <w:color w:val="000000" w:themeColor="text1"/>
        </w:rPr>
        <w:t>Guillaume Liniger for helping with the identification of frontal zones</w:t>
      </w:r>
      <w:r w:rsidR="00913FFE">
        <w:rPr>
          <w:color w:val="000000" w:themeColor="text1"/>
        </w:rPr>
        <w:t xml:space="preserve">, as well as </w:t>
      </w:r>
      <w:r w:rsidR="00FF3924">
        <w:rPr>
          <w:color w:val="000000" w:themeColor="text1"/>
        </w:rPr>
        <w:t xml:space="preserve">Dr. </w:t>
      </w:r>
      <w:r w:rsidR="00913FFE">
        <w:rPr>
          <w:color w:val="000000" w:themeColor="text1"/>
        </w:rPr>
        <w:t xml:space="preserve">Lionel Arteaga and </w:t>
      </w:r>
      <w:r w:rsidR="00FF3924">
        <w:rPr>
          <w:color w:val="000000" w:themeColor="text1"/>
        </w:rPr>
        <w:t>Dr. Xiaogang</w:t>
      </w:r>
      <w:r w:rsidR="00913FFE">
        <w:rPr>
          <w:color w:val="000000" w:themeColor="text1"/>
        </w:rPr>
        <w:t xml:space="preserve"> Xing</w:t>
      </w:r>
      <w:r w:rsidR="004D06D5">
        <w:rPr>
          <w:color w:val="000000" w:themeColor="text1"/>
        </w:rPr>
        <w:t xml:space="preserve"> for very helpful feedback during earlier stages of this manuscript</w:t>
      </w:r>
      <w:r w:rsidR="00D40F1D">
        <w:rPr>
          <w:color w:val="000000" w:themeColor="text1"/>
        </w:rPr>
        <w:t xml:space="preserve">. </w:t>
      </w:r>
      <w:r w:rsidR="00FB5A7C" w:rsidRPr="003A0FFA">
        <w:rPr>
          <w:color w:val="000000" w:themeColor="text1"/>
        </w:rPr>
        <w:t xml:space="preserve">This research was supported by the Australian Research Council Centre of Excellence for Climate Extremes (CLEX; CE170100023). P. W. Boyd </w:t>
      </w:r>
      <w:r w:rsidR="00926600">
        <w:rPr>
          <w:color w:val="000000" w:themeColor="text1"/>
        </w:rPr>
        <w:t>is</w:t>
      </w:r>
      <w:r w:rsidR="00926600" w:rsidRPr="003A0FFA">
        <w:rPr>
          <w:color w:val="000000" w:themeColor="text1"/>
        </w:rPr>
        <w:t xml:space="preserve"> </w:t>
      </w:r>
      <w:r w:rsidR="00FB5A7C" w:rsidRPr="003A0FFA">
        <w:rPr>
          <w:color w:val="000000" w:themeColor="text1"/>
        </w:rPr>
        <w:t xml:space="preserve">also supported by the Australian Antarctic Program Partnership as part of the Antarctic Science Collaboration Initiative (ASCI000002). </w:t>
      </w:r>
    </w:p>
    <w:p w14:paraId="4EC94D54" w14:textId="77777777" w:rsidR="00FB5A7C" w:rsidRDefault="00FB5A7C" w:rsidP="0053305D">
      <w:pPr>
        <w:snapToGrid w:val="0"/>
        <w:spacing w:line="360" w:lineRule="auto"/>
        <w:jc w:val="both"/>
        <w:rPr>
          <w:b/>
          <w:bCs/>
        </w:rPr>
      </w:pPr>
    </w:p>
    <w:p w14:paraId="16C48723" w14:textId="424DC6A6" w:rsidR="00DA030B" w:rsidRDefault="00DA030B" w:rsidP="0053305D">
      <w:pPr>
        <w:snapToGrid w:val="0"/>
        <w:spacing w:line="360" w:lineRule="auto"/>
        <w:jc w:val="both"/>
        <w:rPr>
          <w:b/>
          <w:bCs/>
        </w:rPr>
      </w:pPr>
      <w:r>
        <w:rPr>
          <w:b/>
          <w:bCs/>
        </w:rPr>
        <w:t>Author contribution statement</w:t>
      </w:r>
      <w:r w:rsidR="00721CBB">
        <w:rPr>
          <w:b/>
          <w:bCs/>
        </w:rPr>
        <w:t xml:space="preserve"> </w:t>
      </w:r>
    </w:p>
    <w:p w14:paraId="5F21E2E0" w14:textId="77777777" w:rsidR="00CE2D36" w:rsidRPr="00CE2D36" w:rsidRDefault="00CE2D36" w:rsidP="0053305D">
      <w:pPr>
        <w:snapToGrid w:val="0"/>
        <w:spacing w:line="360" w:lineRule="auto"/>
        <w:jc w:val="both"/>
      </w:pPr>
    </w:p>
    <w:p w14:paraId="1A7E8214" w14:textId="484DF91F" w:rsidR="00CE2D36" w:rsidRPr="00CE2D36" w:rsidRDefault="006629FA" w:rsidP="0053305D">
      <w:pPr>
        <w:snapToGrid w:val="0"/>
        <w:spacing w:line="360" w:lineRule="auto"/>
        <w:jc w:val="both"/>
      </w:pPr>
      <w:r>
        <w:t>CRV, CS and PGS</w:t>
      </w:r>
      <w:r w:rsidR="00DC7594">
        <w:t xml:space="preserve"> conceived the idea for the study. </w:t>
      </w:r>
      <w:r w:rsidR="00CE2D36" w:rsidRPr="00CE2D36">
        <w:t>CRV created the code to anal</w:t>
      </w:r>
      <w:r w:rsidR="000337F4">
        <w:t>y</w:t>
      </w:r>
      <w:r w:rsidR="00CE2D36" w:rsidRPr="00CE2D36">
        <w:t xml:space="preserve">se all data with </w:t>
      </w:r>
      <w:r w:rsidR="000E59A2">
        <w:t>advice</w:t>
      </w:r>
      <w:r w:rsidR="000E59A2" w:rsidRPr="00CE2D36">
        <w:t xml:space="preserve"> </w:t>
      </w:r>
      <w:r w:rsidR="00CE2D36" w:rsidRPr="00CE2D36">
        <w:t>from JB and PGS. CRV interpreted the results with input</w:t>
      </w:r>
      <w:r w:rsidR="00CA75FB">
        <w:t xml:space="preserve"> </w:t>
      </w:r>
      <w:r w:rsidR="00CE2D36" w:rsidRPr="00CE2D36">
        <w:t xml:space="preserve">from CS, PGS, </w:t>
      </w:r>
      <w:r w:rsidR="00AC6D96">
        <w:t xml:space="preserve">PWB, </w:t>
      </w:r>
      <w:r w:rsidR="00CE2D36" w:rsidRPr="00CE2D36">
        <w:t>JB and KR.</w:t>
      </w:r>
      <w:r w:rsidR="00CE2D36">
        <w:t xml:space="preserve"> CRV wrote the first version of the manuscript with great help </w:t>
      </w:r>
      <w:r w:rsidR="00110B96">
        <w:t xml:space="preserve">and </w:t>
      </w:r>
      <w:r w:rsidR="003270AE">
        <w:t xml:space="preserve">constructive feedback </w:t>
      </w:r>
      <w:r w:rsidR="00CE2D36">
        <w:t>from CS</w:t>
      </w:r>
      <w:r w:rsidR="00AC6D96">
        <w:t xml:space="preserve">, </w:t>
      </w:r>
      <w:r w:rsidR="00CE2D36">
        <w:t>PGS</w:t>
      </w:r>
      <w:r w:rsidR="00AC6D96">
        <w:t xml:space="preserve"> and PWB</w:t>
      </w:r>
      <w:r w:rsidR="00CE2D36">
        <w:t xml:space="preserve">. All authors commented and contributed to the final version of the manuscript. </w:t>
      </w:r>
    </w:p>
    <w:p w14:paraId="63F93C3A" w14:textId="77777777" w:rsidR="00CE2D36" w:rsidRDefault="00CE2D36" w:rsidP="0053305D">
      <w:pPr>
        <w:snapToGrid w:val="0"/>
        <w:spacing w:line="360" w:lineRule="auto"/>
        <w:jc w:val="both"/>
        <w:rPr>
          <w:b/>
          <w:bCs/>
        </w:rPr>
      </w:pPr>
    </w:p>
    <w:p w14:paraId="67E5DF72" w14:textId="77777777" w:rsidR="00DA030B" w:rsidRDefault="00DA030B" w:rsidP="0053305D">
      <w:pPr>
        <w:snapToGrid w:val="0"/>
        <w:spacing w:line="360" w:lineRule="auto"/>
        <w:jc w:val="both"/>
        <w:rPr>
          <w:b/>
          <w:bCs/>
        </w:rPr>
      </w:pPr>
      <w:r>
        <w:rPr>
          <w:b/>
          <w:bCs/>
        </w:rPr>
        <w:t>Data availability statements</w:t>
      </w:r>
    </w:p>
    <w:p w14:paraId="402B169A" w14:textId="77777777" w:rsidR="00CE2D36" w:rsidRDefault="00CE2D36" w:rsidP="0053305D">
      <w:pPr>
        <w:snapToGrid w:val="0"/>
        <w:spacing w:line="360" w:lineRule="auto"/>
        <w:jc w:val="both"/>
        <w:rPr>
          <w:b/>
          <w:bCs/>
        </w:rPr>
      </w:pPr>
    </w:p>
    <w:p w14:paraId="217A2EEC" w14:textId="00AF4DC2" w:rsidR="00CE2D36" w:rsidRDefault="00CE2D36" w:rsidP="0053305D">
      <w:pPr>
        <w:snapToGrid w:val="0"/>
        <w:spacing w:line="360" w:lineRule="auto"/>
        <w:jc w:val="both"/>
        <w:rPr>
          <w:color w:val="000000" w:themeColor="text1"/>
        </w:rPr>
      </w:pPr>
      <w:r w:rsidRPr="003A0FFA">
        <w:rPr>
          <w:color w:val="000000" w:themeColor="text1"/>
        </w:rPr>
        <w:t xml:space="preserve">BGC Argo float data were collected and made freely available by the Southern Ocean Carbon and Climate Observations and Modelling (SOCCOM) program, and </w:t>
      </w:r>
      <w:r w:rsidRPr="003A0FFA">
        <w:rPr>
          <w:rFonts w:eastAsia="Times"/>
          <w:color w:val="000000" w:themeColor="text1"/>
          <w:lang w:val="en-GB"/>
        </w:rPr>
        <w:t xml:space="preserve">by the International Argo </w:t>
      </w:r>
      <w:r w:rsidRPr="003A0FFA">
        <w:rPr>
          <w:rFonts w:eastAsia="Times"/>
          <w:color w:val="000000" w:themeColor="text1"/>
          <w:lang w:val="en-GB"/>
        </w:rPr>
        <w:lastRenderedPageBreak/>
        <w:t xml:space="preserve">Program and the national programs that contribute to it (https://argo.ucsd.edu,  </w:t>
      </w:r>
      <w:hyperlink r:id="rId20">
        <w:r w:rsidRPr="003A0FFA">
          <w:rPr>
            <w:rStyle w:val="Hyperlink"/>
            <w:rFonts w:eastAsia="Times"/>
          </w:rPr>
          <w:t>https://www.ocean-ops.org</w:t>
        </w:r>
      </w:hyperlink>
      <w:r w:rsidRPr="003A0FFA">
        <w:rPr>
          <w:rFonts w:eastAsia="Times"/>
          <w:color w:val="000000" w:themeColor="text1"/>
          <w:lang w:val="en-GB"/>
        </w:rPr>
        <w:t>).  The Argo Program is part of the Global Ocean Observing System</w:t>
      </w:r>
      <w:r w:rsidRPr="003A0FFA">
        <w:rPr>
          <w:color w:val="000000" w:themeColor="text1"/>
        </w:rPr>
        <w:t xml:space="preserve">. </w:t>
      </w:r>
      <w:r w:rsidRPr="00F74E9A">
        <w:rPr>
          <w:rFonts w:cstheme="minorHAnsi"/>
        </w:rPr>
        <w:t xml:space="preserve">The </w:t>
      </w:r>
      <w:r>
        <w:rPr>
          <w:rFonts w:cstheme="minorHAnsi"/>
        </w:rPr>
        <w:t>PAR</w:t>
      </w:r>
      <w:r w:rsidRPr="00F74E9A">
        <w:rPr>
          <w:rFonts w:cstheme="minorHAnsi"/>
        </w:rPr>
        <w:t xml:space="preserve"> satellite data were obtained from the NASA Ocean </w:t>
      </w:r>
      <w:proofErr w:type="spellStart"/>
      <w:r w:rsidRPr="00F74E9A">
        <w:rPr>
          <w:rFonts w:cstheme="minorHAnsi"/>
        </w:rPr>
        <w:t>Color</w:t>
      </w:r>
      <w:proofErr w:type="spellEnd"/>
      <w:r w:rsidRPr="00F74E9A">
        <w:rPr>
          <w:rFonts w:cstheme="minorHAnsi"/>
        </w:rPr>
        <w:t xml:space="preserve"> web site (https://oceancolor.gsfc.nasa.go</w:t>
      </w:r>
      <w:r w:rsidRPr="003A0FFA">
        <w:rPr>
          <w:rFonts w:cstheme="minorHAnsi"/>
          <w:color w:val="000000" w:themeColor="text1"/>
        </w:rPr>
        <w:t>v</w:t>
      </w:r>
      <w:r w:rsidRPr="003A0FFA">
        <w:rPr>
          <w:rStyle w:val="Hyperlink"/>
          <w:rFonts w:cstheme="minorHAnsi"/>
          <w:color w:val="000000" w:themeColor="text1"/>
          <w:u w:val="none"/>
        </w:rPr>
        <w:t>)</w:t>
      </w:r>
      <w:r w:rsidRPr="003A0FFA">
        <w:rPr>
          <w:rFonts w:cstheme="minorHAnsi"/>
          <w:color w:val="000000" w:themeColor="text1"/>
        </w:rPr>
        <w:t>.</w:t>
      </w:r>
      <w:r w:rsidRPr="00F74E9A">
        <w:rPr>
          <w:rFonts w:cstheme="minorHAnsi"/>
          <w:color w:val="000000" w:themeColor="text1"/>
        </w:rPr>
        <w:t xml:space="preserve"> </w:t>
      </w:r>
      <w:r>
        <w:rPr>
          <w:rFonts w:cstheme="minorHAnsi"/>
        </w:rPr>
        <w:t xml:space="preserve">The original code for the satellite-based </w:t>
      </w:r>
      <w:proofErr w:type="spellStart"/>
      <w:r>
        <w:rPr>
          <w:rFonts w:cstheme="minorHAnsi"/>
        </w:rPr>
        <w:t>CbPM</w:t>
      </w:r>
      <w:proofErr w:type="spellEnd"/>
      <w:r>
        <w:rPr>
          <w:rFonts w:cstheme="minorHAnsi"/>
        </w:rPr>
        <w:t xml:space="preserve"> can be found at </w:t>
      </w:r>
      <w:hyperlink r:id="rId21" w:history="1">
        <w:r w:rsidRPr="00AC2222">
          <w:rPr>
            <w:rStyle w:val="Hyperlink"/>
            <w:rFonts w:cstheme="minorHAnsi"/>
          </w:rPr>
          <w:t>http://sites.science.oregonstate.edu/ocean.productivity/cbpm2.code.php</w:t>
        </w:r>
      </w:hyperlink>
      <w:r>
        <w:rPr>
          <w:rFonts w:cstheme="minorHAnsi"/>
        </w:rPr>
        <w:t>.</w:t>
      </w:r>
    </w:p>
    <w:p w14:paraId="18B80DF0" w14:textId="77777777" w:rsidR="00CE2D36" w:rsidRDefault="00CE2D36" w:rsidP="0053305D">
      <w:pPr>
        <w:snapToGrid w:val="0"/>
        <w:spacing w:line="360" w:lineRule="auto"/>
        <w:jc w:val="both"/>
        <w:rPr>
          <w:b/>
          <w:bCs/>
        </w:rPr>
      </w:pPr>
    </w:p>
    <w:p w14:paraId="151EEF4A" w14:textId="033D52A4" w:rsidR="00DA030B" w:rsidRDefault="00DA030B" w:rsidP="0053305D">
      <w:pPr>
        <w:snapToGrid w:val="0"/>
        <w:spacing w:line="360" w:lineRule="auto"/>
        <w:jc w:val="both"/>
        <w:rPr>
          <w:b/>
          <w:bCs/>
        </w:rPr>
      </w:pPr>
      <w:r>
        <w:rPr>
          <w:b/>
          <w:bCs/>
        </w:rPr>
        <w:t xml:space="preserve">Conflict of interest statement </w:t>
      </w:r>
    </w:p>
    <w:p w14:paraId="1874B2E9" w14:textId="77777777" w:rsidR="00CE2D36" w:rsidRDefault="00CE2D36" w:rsidP="0053305D">
      <w:pPr>
        <w:snapToGrid w:val="0"/>
        <w:spacing w:line="360" w:lineRule="auto"/>
        <w:jc w:val="both"/>
        <w:rPr>
          <w:b/>
          <w:bCs/>
        </w:rPr>
      </w:pPr>
    </w:p>
    <w:p w14:paraId="1AE4B937" w14:textId="1F3CD504" w:rsidR="00CE2D36" w:rsidRPr="00CE2D36" w:rsidRDefault="00CE2D36" w:rsidP="0053305D">
      <w:pPr>
        <w:snapToGrid w:val="0"/>
        <w:spacing w:line="360" w:lineRule="auto"/>
        <w:jc w:val="both"/>
      </w:pPr>
      <w:r w:rsidRPr="00CE2D36">
        <w:t>All authors decla</w:t>
      </w:r>
      <w:r>
        <w:t>re that they have no conflicts of interest.</w:t>
      </w:r>
    </w:p>
    <w:p w14:paraId="70C179B8" w14:textId="77777777" w:rsidR="00960751" w:rsidRPr="00AC1AD8" w:rsidRDefault="00960751" w:rsidP="0053305D">
      <w:pPr>
        <w:snapToGrid w:val="0"/>
        <w:spacing w:line="360" w:lineRule="auto"/>
        <w:jc w:val="both"/>
      </w:pPr>
    </w:p>
    <w:p w14:paraId="49676BDF" w14:textId="0DAA554C" w:rsidR="00960751" w:rsidRPr="00AC1AD8" w:rsidRDefault="00960751" w:rsidP="0053305D">
      <w:pPr>
        <w:snapToGrid w:val="0"/>
        <w:spacing w:line="360" w:lineRule="auto"/>
        <w:jc w:val="both"/>
        <w:rPr>
          <w:b/>
          <w:bCs/>
        </w:rPr>
      </w:pPr>
      <w:r w:rsidRPr="00AC1AD8">
        <w:rPr>
          <w:b/>
          <w:bCs/>
        </w:rPr>
        <w:t xml:space="preserve">References </w:t>
      </w:r>
    </w:p>
    <w:p w14:paraId="721253D3" w14:textId="77777777" w:rsidR="00C74EDC" w:rsidRPr="00CD3120" w:rsidRDefault="00C74EDC" w:rsidP="0053305D">
      <w:pPr>
        <w:widowControl w:val="0"/>
        <w:autoSpaceDE w:val="0"/>
        <w:autoSpaceDN w:val="0"/>
        <w:adjustRightInd w:val="0"/>
        <w:snapToGrid w:val="0"/>
        <w:spacing w:line="360" w:lineRule="auto"/>
        <w:ind w:left="480" w:hanging="480"/>
        <w:jc w:val="both"/>
      </w:pPr>
    </w:p>
    <w:p w14:paraId="4426B465"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Ardyna, M., Babin, M., Gosselin, M., Devred, E., Bélanger, S., Matsuoka, A., &amp; Tremblay, J. E. (2013). Parameterization of vertical chlorophyll a in the Arctic Ocean: Impact of the subsurface chlorophyll maximum on regional, seasonal, and annual primary production estimates. </w:t>
      </w:r>
      <w:r w:rsidRPr="00CD3120">
        <w:rPr>
          <w:i/>
          <w:iCs/>
          <w:noProof/>
        </w:rPr>
        <w:t>Biogeosciences</w:t>
      </w:r>
      <w:r w:rsidRPr="00CD3120">
        <w:rPr>
          <w:noProof/>
        </w:rPr>
        <w:t xml:space="preserve">, </w:t>
      </w:r>
      <w:r w:rsidRPr="00CD3120">
        <w:rPr>
          <w:i/>
          <w:iCs/>
          <w:noProof/>
        </w:rPr>
        <w:t>10</w:t>
      </w:r>
      <w:r w:rsidRPr="00CD3120">
        <w:rPr>
          <w:noProof/>
        </w:rPr>
        <w:t>(6), 4383–4404. https://doi.org/10.5194/bg-10-4383-2013</w:t>
      </w:r>
    </w:p>
    <w:p w14:paraId="1BE37284"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Armand, L. K., Cornet-Barthaux, V., Mosseri, J., &amp; Quéguiner, B. (2008). Late summer diatom biomass and community structure on and around the naturally iron-fertilised Kerguelen Plateau in the Southern Ocean. </w:t>
      </w:r>
      <w:r w:rsidRPr="00CD3120">
        <w:rPr>
          <w:i/>
          <w:iCs/>
          <w:noProof/>
        </w:rPr>
        <w:t>Deep-Sea Research Part II: Topical Studies in Oceanography</w:t>
      </w:r>
      <w:r w:rsidRPr="00CD3120">
        <w:rPr>
          <w:noProof/>
        </w:rPr>
        <w:t xml:space="preserve">, </w:t>
      </w:r>
      <w:r w:rsidRPr="00CD3120">
        <w:rPr>
          <w:i/>
          <w:iCs/>
          <w:noProof/>
        </w:rPr>
        <w:t>55</w:t>
      </w:r>
      <w:r w:rsidRPr="00CD3120">
        <w:rPr>
          <w:noProof/>
        </w:rPr>
        <w:t>(5–7), 653–676. https://doi.org/10.1016/j.dsr2.2007.12.031</w:t>
      </w:r>
    </w:p>
    <w:p w14:paraId="7FACF409"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Armand, L. K., Crosta, X., Quéguiner, B., Mosseri, J., &amp; Garcia, N. (2008). Diatoms preserved in surface sediments of the northeastern Kerguelen Plateau. </w:t>
      </w:r>
      <w:r w:rsidRPr="00CD3120">
        <w:rPr>
          <w:i/>
          <w:iCs/>
          <w:noProof/>
        </w:rPr>
        <w:t>Deep-Sea Research Part II: Topical Studies in Oceanography</w:t>
      </w:r>
      <w:r w:rsidRPr="00CD3120">
        <w:rPr>
          <w:noProof/>
        </w:rPr>
        <w:t xml:space="preserve">, </w:t>
      </w:r>
      <w:r w:rsidRPr="00CD3120">
        <w:rPr>
          <w:i/>
          <w:iCs/>
          <w:noProof/>
        </w:rPr>
        <w:t>55</w:t>
      </w:r>
      <w:r w:rsidRPr="00CD3120">
        <w:rPr>
          <w:noProof/>
        </w:rPr>
        <w:t>(5–7), 677–692. https://doi.org/10.1016/j.dsr2.2007.12.032</w:t>
      </w:r>
    </w:p>
    <w:p w14:paraId="397B0F3F" w14:textId="1DF711AA" w:rsidR="00465E84" w:rsidRPr="00465E84" w:rsidRDefault="00465E84" w:rsidP="0053305D">
      <w:pPr>
        <w:widowControl w:val="0"/>
        <w:autoSpaceDE w:val="0"/>
        <w:autoSpaceDN w:val="0"/>
        <w:adjustRightInd w:val="0"/>
        <w:snapToGrid w:val="0"/>
        <w:spacing w:line="360" w:lineRule="auto"/>
        <w:ind w:left="480" w:hanging="480"/>
        <w:jc w:val="both"/>
        <w:rPr>
          <w:noProof/>
        </w:rPr>
      </w:pPr>
      <w:r w:rsidRPr="00465E84">
        <w:rPr>
          <w:color w:val="222222"/>
          <w:shd w:val="clear" w:color="auto" w:fill="FFFFFF"/>
        </w:rPr>
        <w:t xml:space="preserve">Arteaga, L. A., Pahlow, M., </w:t>
      </w:r>
      <w:proofErr w:type="spellStart"/>
      <w:r w:rsidRPr="00465E84">
        <w:rPr>
          <w:color w:val="222222"/>
          <w:shd w:val="clear" w:color="auto" w:fill="FFFFFF"/>
        </w:rPr>
        <w:t>Bushinsky</w:t>
      </w:r>
      <w:proofErr w:type="spellEnd"/>
      <w:r w:rsidRPr="00465E84">
        <w:rPr>
          <w:color w:val="222222"/>
          <w:shd w:val="clear" w:color="auto" w:fill="FFFFFF"/>
        </w:rPr>
        <w:t>, S. M., &amp; Sarmiento, J. L. (2019). Nutrient controls on export production in the Southern Ocean. </w:t>
      </w:r>
      <w:r w:rsidRPr="00465E84">
        <w:rPr>
          <w:i/>
          <w:iCs/>
          <w:color w:val="222222"/>
          <w:shd w:val="clear" w:color="auto" w:fill="FFFFFF"/>
        </w:rPr>
        <w:t>Global Biogeochemical Cycles</w:t>
      </w:r>
      <w:r w:rsidRPr="00465E84">
        <w:rPr>
          <w:color w:val="222222"/>
          <w:shd w:val="clear" w:color="auto" w:fill="FFFFFF"/>
        </w:rPr>
        <w:t>, </w:t>
      </w:r>
      <w:r w:rsidRPr="00465E84">
        <w:rPr>
          <w:i/>
          <w:iCs/>
          <w:color w:val="222222"/>
          <w:shd w:val="clear" w:color="auto" w:fill="FFFFFF"/>
        </w:rPr>
        <w:t>33</w:t>
      </w:r>
      <w:r w:rsidRPr="00465E84">
        <w:rPr>
          <w:color w:val="222222"/>
          <w:shd w:val="clear" w:color="auto" w:fill="FFFFFF"/>
        </w:rPr>
        <w:t>(8), 942-956.</w:t>
      </w:r>
    </w:p>
    <w:p w14:paraId="3F79E514" w14:textId="1EB496CC" w:rsidR="00465E84" w:rsidRPr="00465E84" w:rsidRDefault="00465E84" w:rsidP="00465E84">
      <w:pPr>
        <w:widowControl w:val="0"/>
        <w:autoSpaceDE w:val="0"/>
        <w:autoSpaceDN w:val="0"/>
        <w:adjustRightInd w:val="0"/>
        <w:snapToGrid w:val="0"/>
        <w:spacing w:line="360" w:lineRule="auto"/>
        <w:ind w:left="480" w:hanging="480"/>
        <w:jc w:val="both"/>
        <w:rPr>
          <w:noProof/>
        </w:rPr>
      </w:pPr>
      <w:r w:rsidRPr="00465E84">
        <w:rPr>
          <w:noProof/>
        </w:rPr>
        <w:t xml:space="preserve">Arteaga, L. A., Boss, E., Behrenfeld, M. J., Westberry, T. K., &amp; Sarmiento, J. L. (2020). Seasonal modulation of phytoplankton biomass in the Southern Ocean. </w:t>
      </w:r>
      <w:r w:rsidRPr="00465E84">
        <w:rPr>
          <w:i/>
          <w:iCs/>
          <w:noProof/>
        </w:rPr>
        <w:t>Nature Communications</w:t>
      </w:r>
      <w:r w:rsidRPr="00465E84">
        <w:rPr>
          <w:noProof/>
        </w:rPr>
        <w:t xml:space="preserve">, </w:t>
      </w:r>
      <w:r w:rsidRPr="00465E84">
        <w:rPr>
          <w:i/>
          <w:iCs/>
          <w:noProof/>
        </w:rPr>
        <w:t>11</w:t>
      </w:r>
      <w:r w:rsidRPr="00465E84">
        <w:rPr>
          <w:noProof/>
        </w:rPr>
        <w:t>(1). https://doi.org/10.1038/s41467-020-19157-2</w:t>
      </w:r>
    </w:p>
    <w:p w14:paraId="291B056A" w14:textId="2C471EEB" w:rsidR="00C74EDC" w:rsidRPr="00465E84" w:rsidRDefault="00C74EDC" w:rsidP="0053305D">
      <w:pPr>
        <w:widowControl w:val="0"/>
        <w:autoSpaceDE w:val="0"/>
        <w:autoSpaceDN w:val="0"/>
        <w:adjustRightInd w:val="0"/>
        <w:snapToGrid w:val="0"/>
        <w:spacing w:line="360" w:lineRule="auto"/>
        <w:ind w:left="480" w:hanging="480"/>
        <w:jc w:val="both"/>
        <w:rPr>
          <w:noProof/>
        </w:rPr>
      </w:pPr>
      <w:r w:rsidRPr="00465E84">
        <w:rPr>
          <w:noProof/>
        </w:rPr>
        <w:t xml:space="preserve">Arteaga, L. A., Behrenfeld, M. J., Boss, E., &amp; Westberry, T. K. (2022). Vertical Structure in Phytoplankton Growth and Productivity Inferred From Biogeochemical-Argo Floats and the Carbon-Based Productivity Model. </w:t>
      </w:r>
      <w:r w:rsidRPr="00465E84">
        <w:rPr>
          <w:i/>
          <w:iCs/>
          <w:noProof/>
        </w:rPr>
        <w:t>Global Biogeochemical Cycles</w:t>
      </w:r>
      <w:r w:rsidRPr="00465E84">
        <w:rPr>
          <w:noProof/>
        </w:rPr>
        <w:t xml:space="preserve">, </w:t>
      </w:r>
      <w:r w:rsidRPr="00465E84">
        <w:rPr>
          <w:i/>
          <w:iCs/>
          <w:noProof/>
        </w:rPr>
        <w:t>36</w:t>
      </w:r>
      <w:r w:rsidRPr="00465E84">
        <w:rPr>
          <w:noProof/>
        </w:rPr>
        <w:t>(8), 1–20. https://doi.org/10.1029/2022GB007389</w:t>
      </w:r>
    </w:p>
    <w:p w14:paraId="359B415C" w14:textId="1F7B32C9" w:rsidR="00BB164C" w:rsidRPr="00BB164C" w:rsidRDefault="00BB164C" w:rsidP="0053305D">
      <w:pPr>
        <w:widowControl w:val="0"/>
        <w:autoSpaceDE w:val="0"/>
        <w:autoSpaceDN w:val="0"/>
        <w:adjustRightInd w:val="0"/>
        <w:snapToGrid w:val="0"/>
        <w:spacing w:line="360" w:lineRule="auto"/>
        <w:ind w:left="480" w:hanging="480"/>
        <w:jc w:val="both"/>
        <w:rPr>
          <w:noProof/>
        </w:rPr>
      </w:pPr>
      <w:r w:rsidRPr="00465E84">
        <w:rPr>
          <w:color w:val="222222"/>
          <w:shd w:val="clear" w:color="auto" w:fill="FFFFFF"/>
        </w:rPr>
        <w:t xml:space="preserve">Aumont, O., </w:t>
      </w:r>
      <w:proofErr w:type="spellStart"/>
      <w:r w:rsidRPr="00465E84">
        <w:rPr>
          <w:color w:val="222222"/>
          <w:shd w:val="clear" w:color="auto" w:fill="FFFFFF"/>
        </w:rPr>
        <w:t>Éthé</w:t>
      </w:r>
      <w:proofErr w:type="spellEnd"/>
      <w:r w:rsidRPr="00465E84">
        <w:rPr>
          <w:color w:val="222222"/>
          <w:shd w:val="clear" w:color="auto" w:fill="FFFFFF"/>
        </w:rPr>
        <w:t>, C., Tagliabue, A., Bopp</w:t>
      </w:r>
      <w:r w:rsidRPr="00BB164C">
        <w:rPr>
          <w:color w:val="222222"/>
          <w:shd w:val="clear" w:color="auto" w:fill="FFFFFF"/>
        </w:rPr>
        <w:t xml:space="preserve">, L., &amp; Gehlen, M. (2015). PISCES-v2: an ocean </w:t>
      </w:r>
      <w:r w:rsidRPr="00BB164C">
        <w:rPr>
          <w:color w:val="222222"/>
          <w:shd w:val="clear" w:color="auto" w:fill="FFFFFF"/>
        </w:rPr>
        <w:lastRenderedPageBreak/>
        <w:t>biogeochemical model for carbon and ecosystem studies. </w:t>
      </w:r>
      <w:r w:rsidRPr="00BB164C">
        <w:rPr>
          <w:i/>
          <w:iCs/>
          <w:color w:val="222222"/>
          <w:shd w:val="clear" w:color="auto" w:fill="FFFFFF"/>
        </w:rPr>
        <w:t>Geoscientific Model Development Discussions</w:t>
      </w:r>
      <w:r w:rsidRPr="00BB164C">
        <w:rPr>
          <w:color w:val="222222"/>
          <w:shd w:val="clear" w:color="auto" w:fill="FFFFFF"/>
        </w:rPr>
        <w:t>, </w:t>
      </w:r>
      <w:r w:rsidRPr="00BB164C">
        <w:rPr>
          <w:i/>
          <w:iCs/>
          <w:color w:val="222222"/>
          <w:shd w:val="clear" w:color="auto" w:fill="FFFFFF"/>
        </w:rPr>
        <w:t>8</w:t>
      </w:r>
      <w:r w:rsidRPr="00BB164C">
        <w:rPr>
          <w:color w:val="222222"/>
          <w:shd w:val="clear" w:color="auto" w:fill="FFFFFF"/>
        </w:rPr>
        <w:t>(2), 1375-1509.</w:t>
      </w:r>
    </w:p>
    <w:p w14:paraId="2C999E29" w14:textId="761598FE"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BB164C">
        <w:rPr>
          <w:noProof/>
        </w:rPr>
        <w:t xml:space="preserve">Baldry, K., Strutton, P. G., Hill, N. A., &amp; Boyd, P. W. (2020). Subsurface Chlorophyll-a Maxima in the Southern Ocean. </w:t>
      </w:r>
      <w:r w:rsidRPr="00BB164C">
        <w:rPr>
          <w:i/>
          <w:iCs/>
          <w:noProof/>
        </w:rPr>
        <w:t>Frontiers in Marine Science</w:t>
      </w:r>
      <w:r w:rsidRPr="00BB164C">
        <w:rPr>
          <w:noProof/>
        </w:rPr>
        <w:t xml:space="preserve">, </w:t>
      </w:r>
      <w:r w:rsidRPr="00BB164C">
        <w:rPr>
          <w:i/>
          <w:iCs/>
          <w:noProof/>
        </w:rPr>
        <w:t>7</w:t>
      </w:r>
      <w:r w:rsidRPr="00BB164C">
        <w:rPr>
          <w:noProof/>
        </w:rPr>
        <w:t>(August). https://doi.org/10.3389</w:t>
      </w:r>
      <w:r w:rsidRPr="00CD3120">
        <w:rPr>
          <w:noProof/>
        </w:rPr>
        <w:t>/fmars.2020.00671</w:t>
      </w:r>
    </w:p>
    <w:p w14:paraId="1C55565A"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Barbieux, M., Uitz, J., Gentili, B., Pasqueron De Fommervault, O., Mignot, A., Poteau, A., … Bricaud, A. (2019). Bio-optical characterization of subsurface chlorophyll maxima in the Mediterranean Sea from a Biogeochemical-Argo float database. </w:t>
      </w:r>
      <w:r w:rsidRPr="00CD3120">
        <w:rPr>
          <w:i/>
          <w:iCs/>
          <w:noProof/>
        </w:rPr>
        <w:t>Biogeosciences</w:t>
      </w:r>
      <w:r w:rsidRPr="00CD3120">
        <w:rPr>
          <w:noProof/>
        </w:rPr>
        <w:t xml:space="preserve">, </w:t>
      </w:r>
      <w:r w:rsidRPr="00CD3120">
        <w:rPr>
          <w:i/>
          <w:iCs/>
          <w:noProof/>
        </w:rPr>
        <w:t>16</w:t>
      </w:r>
      <w:r w:rsidRPr="00CD3120">
        <w:rPr>
          <w:noProof/>
        </w:rPr>
        <w:t>(6), 1321–1342. https://doi.org/10.5194/bg-16-1321-2019</w:t>
      </w:r>
    </w:p>
    <w:p w14:paraId="10DE6ACD"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Bathmann, U. V., Scharek, R., Klaas, C., Dubischar, C. D., &amp; Smetacek, V. (1997). Spring development of phytoplankton biomass and composition in major water masses of the Atlantic sector of the Southern Ocean. </w:t>
      </w:r>
      <w:r w:rsidRPr="00CD3120">
        <w:rPr>
          <w:i/>
          <w:iCs/>
          <w:noProof/>
        </w:rPr>
        <w:t>Deep-Sea Research Part II: Topical Studies in Oceanography</w:t>
      </w:r>
      <w:r w:rsidRPr="00CD3120">
        <w:rPr>
          <w:noProof/>
        </w:rPr>
        <w:t xml:space="preserve">, </w:t>
      </w:r>
      <w:r w:rsidRPr="00CD3120">
        <w:rPr>
          <w:i/>
          <w:iCs/>
          <w:noProof/>
        </w:rPr>
        <w:t>44</w:t>
      </w:r>
      <w:r w:rsidRPr="00CD3120">
        <w:rPr>
          <w:noProof/>
        </w:rPr>
        <w:t>(1–2), 51–67. https://doi.org/10.1016/S0967-0645(96)00063-X</w:t>
      </w:r>
    </w:p>
    <w:p w14:paraId="3FB4057A"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Behrenfeld, M. J., Boss, E., Siegel, D. A., &amp; Shea, D. M. (2005). Carbon-based ocean productivity and phytoplankton physiology from space. </w:t>
      </w:r>
      <w:r w:rsidRPr="00CD3120">
        <w:rPr>
          <w:i/>
          <w:iCs/>
          <w:noProof/>
        </w:rPr>
        <w:t>Global Biogeochemical Cycles</w:t>
      </w:r>
      <w:r w:rsidRPr="00CD3120">
        <w:rPr>
          <w:noProof/>
        </w:rPr>
        <w:t xml:space="preserve">, </w:t>
      </w:r>
      <w:r w:rsidRPr="00CD3120">
        <w:rPr>
          <w:i/>
          <w:iCs/>
          <w:noProof/>
        </w:rPr>
        <w:t>19</w:t>
      </w:r>
      <w:r w:rsidRPr="00CD3120">
        <w:rPr>
          <w:noProof/>
        </w:rPr>
        <w:t>(1), 1–14. https://doi.org/10.1029/2004GB002299</w:t>
      </w:r>
    </w:p>
    <w:p w14:paraId="7842EC56"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Behrenfeld, M. J., &amp; Falkowski, P. G. (1997a). A consumer’s guide to phytoplankton primary productivity models. </w:t>
      </w:r>
      <w:r w:rsidRPr="00CD3120">
        <w:rPr>
          <w:i/>
          <w:iCs/>
          <w:noProof/>
        </w:rPr>
        <w:t>Limnology and Oceanography</w:t>
      </w:r>
      <w:r w:rsidRPr="00CD3120">
        <w:rPr>
          <w:noProof/>
        </w:rPr>
        <w:t xml:space="preserve">, </w:t>
      </w:r>
      <w:r w:rsidRPr="00CD3120">
        <w:rPr>
          <w:i/>
          <w:iCs/>
          <w:noProof/>
        </w:rPr>
        <w:t>42</w:t>
      </w:r>
      <w:r w:rsidRPr="00CD3120">
        <w:rPr>
          <w:noProof/>
        </w:rPr>
        <w:t>(7), 1479–1491. https://doi.org/10.4319/lo.1997.42.7.1479</w:t>
      </w:r>
    </w:p>
    <w:p w14:paraId="3A71A956"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Behrenfeld, M. J., &amp; Falkowski, P. G. (1997b). Photosynthetic rates derived from satellite-based chlorophyll concentration. </w:t>
      </w:r>
      <w:r w:rsidRPr="00CD3120">
        <w:rPr>
          <w:i/>
          <w:iCs/>
          <w:noProof/>
        </w:rPr>
        <w:t>Limnology and Oceanography</w:t>
      </w:r>
      <w:r w:rsidRPr="00CD3120">
        <w:rPr>
          <w:noProof/>
        </w:rPr>
        <w:t xml:space="preserve">, </w:t>
      </w:r>
      <w:r w:rsidRPr="00CD3120">
        <w:rPr>
          <w:i/>
          <w:iCs/>
          <w:noProof/>
        </w:rPr>
        <w:t>42</w:t>
      </w:r>
      <w:r w:rsidRPr="00CD3120">
        <w:rPr>
          <w:noProof/>
        </w:rPr>
        <w:t>(1), 1–20. https://doi.org/10.4319/lo.1997.42.1.0001</w:t>
      </w:r>
    </w:p>
    <w:p w14:paraId="357A1917"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Bendtsen, J., Vives, C. R., &amp; Richardson, K. (2023). Primary production in the North Atlantic estimated from in situ water column data observed by Argo fl oats and remote sensing. </w:t>
      </w:r>
      <w:r w:rsidRPr="00CD3120">
        <w:rPr>
          <w:i/>
          <w:iCs/>
          <w:noProof/>
        </w:rPr>
        <w:t>Frontiers in Marine Science</w:t>
      </w:r>
      <w:r w:rsidRPr="00CD3120">
        <w:rPr>
          <w:noProof/>
        </w:rPr>
        <w:t>, (January), 1–13. https://doi.org/10.3389/fmars.2023.1062413</w:t>
      </w:r>
    </w:p>
    <w:p w14:paraId="282160D2"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Bindoff, N. L., Cheung, W. W., Kairo, J. G., Arístegui, J., Guinder, V. A., Hallberg, R., ... &amp; Williamson, P. (2019). Changing Ocean, Marine Ecosystems, and Dependent Communities. </w:t>
      </w:r>
      <w:r w:rsidRPr="00CD3120">
        <w:rPr>
          <w:i/>
          <w:iCs/>
          <w:noProof/>
        </w:rPr>
        <w:t>IPCC Special Report on the Ocean and Cryosphere in a Changing Climate</w:t>
      </w:r>
      <w:r w:rsidRPr="00CD3120">
        <w:rPr>
          <w:noProof/>
        </w:rPr>
        <w:t>, 477–587.</w:t>
      </w:r>
    </w:p>
    <w:p w14:paraId="238C2D7C"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Bittig, H. C., Maurer, T. L., Plant, J. N., Schmechtig, C., Wong, A. P. S., Claustre, H., … Xing, X. (2019). A BGC-Argo Guide: Planning, Deployment, Data Handling and Usage. </w:t>
      </w:r>
      <w:r w:rsidRPr="00CD3120">
        <w:rPr>
          <w:i/>
          <w:iCs/>
          <w:noProof/>
        </w:rPr>
        <w:t>Frontiers in Marine Science</w:t>
      </w:r>
      <w:r w:rsidRPr="00CD3120">
        <w:rPr>
          <w:noProof/>
        </w:rPr>
        <w:t xml:space="preserve">, </w:t>
      </w:r>
      <w:r w:rsidRPr="00CD3120">
        <w:rPr>
          <w:i/>
          <w:iCs/>
          <w:noProof/>
        </w:rPr>
        <w:t>6</w:t>
      </w:r>
      <w:r w:rsidRPr="00CD3120">
        <w:rPr>
          <w:noProof/>
        </w:rPr>
        <w:t>(August). https://doi.org/10.3389/fmars.2019.00502</w:t>
      </w:r>
    </w:p>
    <w:p w14:paraId="53B9B5AD"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Bock, N., Cornec, M., Claustre, H., &amp; Duhamel, S. (2022). Biogeographical Classification of </w:t>
      </w:r>
      <w:r w:rsidRPr="00CD3120">
        <w:rPr>
          <w:noProof/>
        </w:rPr>
        <w:lastRenderedPageBreak/>
        <w:t xml:space="preserve">the Global Ocean From BGC-Argo Floats. </w:t>
      </w:r>
      <w:r w:rsidRPr="00CD3120">
        <w:rPr>
          <w:i/>
          <w:iCs/>
          <w:noProof/>
        </w:rPr>
        <w:t>Global Biogeochemical Cycles</w:t>
      </w:r>
      <w:r w:rsidRPr="00CD3120">
        <w:rPr>
          <w:noProof/>
        </w:rPr>
        <w:t xml:space="preserve">, </w:t>
      </w:r>
      <w:r w:rsidRPr="00CD3120">
        <w:rPr>
          <w:i/>
          <w:iCs/>
          <w:noProof/>
        </w:rPr>
        <w:t>36</w:t>
      </w:r>
      <w:r w:rsidRPr="00CD3120">
        <w:rPr>
          <w:noProof/>
        </w:rPr>
        <w:t>(6), 1–24. https://doi.org/10.1029/2021GB007233</w:t>
      </w:r>
    </w:p>
    <w:p w14:paraId="167BA091"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Bopp, L., Resplandy, L., Orr, J. C., Doney, S. C., Dunne, J. P., Gehlen, M., … Vichi, M. (2013). Multiple stressors of ocean ecosystems in the 21st century: Projections with CMIP5 models. </w:t>
      </w:r>
      <w:r w:rsidRPr="00CD3120">
        <w:rPr>
          <w:i/>
          <w:iCs/>
          <w:noProof/>
        </w:rPr>
        <w:t>Biogeosciences</w:t>
      </w:r>
      <w:r w:rsidRPr="00CD3120">
        <w:rPr>
          <w:noProof/>
        </w:rPr>
        <w:t xml:space="preserve">, </w:t>
      </w:r>
      <w:r w:rsidRPr="00CD3120">
        <w:rPr>
          <w:i/>
          <w:iCs/>
          <w:noProof/>
        </w:rPr>
        <w:t>10</w:t>
      </w:r>
      <w:r w:rsidRPr="00CD3120">
        <w:rPr>
          <w:noProof/>
        </w:rPr>
        <w:t>(10), 6225–6245. https://doi.org/10.5194/bg-10-6225-2013</w:t>
      </w:r>
    </w:p>
    <w:p w14:paraId="1FCB91AD"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Bopp, L, Aumont, O., Cadule, P., Alvain, S., &amp; Gehlen, M. (2005). Response of diatoms distribution to global warming and potential implications : A global model study, </w:t>
      </w:r>
      <w:r w:rsidRPr="00CD3120">
        <w:rPr>
          <w:i/>
          <w:iCs/>
          <w:noProof/>
        </w:rPr>
        <w:t>32</w:t>
      </w:r>
      <w:r w:rsidRPr="00CD3120">
        <w:rPr>
          <w:noProof/>
        </w:rPr>
        <w:t>(October), 2–5. https://doi.org/10.1029/2005GL023653</w:t>
      </w:r>
    </w:p>
    <w:p w14:paraId="5FA059C3"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Bopp, Laurent, Monfray, P., Aumont, O., Dufresne, J. L., Le Treut, H., Madec, G., … Orr, J. C. (2001). Potential impact of climate change on marine export production. </w:t>
      </w:r>
      <w:r w:rsidRPr="00CD3120">
        <w:rPr>
          <w:i/>
          <w:iCs/>
          <w:noProof/>
        </w:rPr>
        <w:t>Global Biogeochemical Cycles</w:t>
      </w:r>
      <w:r w:rsidRPr="00CD3120">
        <w:rPr>
          <w:noProof/>
        </w:rPr>
        <w:t xml:space="preserve">, </w:t>
      </w:r>
      <w:r w:rsidRPr="00CD3120">
        <w:rPr>
          <w:i/>
          <w:iCs/>
          <w:noProof/>
        </w:rPr>
        <w:t>15</w:t>
      </w:r>
      <w:r w:rsidRPr="00CD3120">
        <w:rPr>
          <w:noProof/>
        </w:rPr>
        <w:t>(1), 81–99. https://doi.org/10.1029/1999GB001256</w:t>
      </w:r>
    </w:p>
    <w:p w14:paraId="25A0655C" w14:textId="60B1C41F" w:rsidR="00C74EDC" w:rsidRPr="00174DA8" w:rsidRDefault="00C74EDC" w:rsidP="0053305D">
      <w:pPr>
        <w:widowControl w:val="0"/>
        <w:autoSpaceDE w:val="0"/>
        <w:autoSpaceDN w:val="0"/>
        <w:adjustRightInd w:val="0"/>
        <w:snapToGrid w:val="0"/>
        <w:spacing w:line="360" w:lineRule="auto"/>
        <w:ind w:left="480" w:hanging="480"/>
        <w:jc w:val="both"/>
        <w:rPr>
          <w:noProof/>
        </w:rPr>
      </w:pPr>
      <w:r w:rsidRPr="00CD3120">
        <w:rPr>
          <w:noProof/>
        </w:rPr>
        <w:t>Boss, E. B., &amp; Haëntjens, N. (2016). SOCCOM Technical Report Series</w:t>
      </w:r>
      <w:r w:rsidR="004E110E">
        <w:rPr>
          <w:noProof/>
        </w:rPr>
        <w:t>.</w:t>
      </w:r>
      <w:r w:rsidRPr="00CD3120">
        <w:rPr>
          <w:noProof/>
        </w:rPr>
        <w:t xml:space="preserve"> Primer regarding </w:t>
      </w:r>
      <w:r w:rsidRPr="00174DA8">
        <w:rPr>
          <w:noProof/>
        </w:rPr>
        <w:t>measurements of chlorophyll fluorescence and the backscattering coefficient with WETLabs FLBB on profiling floats. Retrieved from http://soccom.princeton.edu</w:t>
      </w:r>
    </w:p>
    <w:p w14:paraId="0DAF35F6" w14:textId="4C9F86DF" w:rsidR="00174DA8" w:rsidRPr="00BD4AC3" w:rsidRDefault="00174DA8" w:rsidP="0053305D">
      <w:pPr>
        <w:widowControl w:val="0"/>
        <w:autoSpaceDE w:val="0"/>
        <w:autoSpaceDN w:val="0"/>
        <w:adjustRightInd w:val="0"/>
        <w:snapToGrid w:val="0"/>
        <w:spacing w:line="360" w:lineRule="auto"/>
        <w:ind w:left="480" w:hanging="480"/>
        <w:jc w:val="both"/>
        <w:rPr>
          <w:noProof/>
        </w:rPr>
      </w:pPr>
      <w:r w:rsidRPr="00174DA8">
        <w:rPr>
          <w:color w:val="222222"/>
          <w:shd w:val="clear" w:color="auto" w:fill="FFFFFF"/>
        </w:rPr>
        <w:t xml:space="preserve">Bouman, H. A., Jackson, T., </w:t>
      </w:r>
      <w:proofErr w:type="spellStart"/>
      <w:r w:rsidRPr="00174DA8">
        <w:rPr>
          <w:color w:val="222222"/>
          <w:shd w:val="clear" w:color="auto" w:fill="FFFFFF"/>
        </w:rPr>
        <w:t>Sathyendranath</w:t>
      </w:r>
      <w:proofErr w:type="spellEnd"/>
      <w:r w:rsidRPr="00174DA8">
        <w:rPr>
          <w:color w:val="222222"/>
          <w:shd w:val="clear" w:color="auto" w:fill="FFFFFF"/>
        </w:rPr>
        <w:t>, S., &amp; Platt, T. (2020). Vertical structure in chlorophyll profiles: influence on primary production in the Arctic Ocean. </w:t>
      </w:r>
      <w:r w:rsidRPr="00174DA8">
        <w:rPr>
          <w:i/>
          <w:iCs/>
          <w:color w:val="222222"/>
          <w:shd w:val="clear" w:color="auto" w:fill="FFFFFF"/>
        </w:rPr>
        <w:t xml:space="preserve">Philosophical </w:t>
      </w:r>
      <w:r w:rsidRPr="00BD4AC3">
        <w:rPr>
          <w:i/>
          <w:iCs/>
          <w:color w:val="222222"/>
          <w:shd w:val="clear" w:color="auto" w:fill="FFFFFF"/>
        </w:rPr>
        <w:t>Transactions of the Royal Society A</w:t>
      </w:r>
      <w:r w:rsidRPr="00BD4AC3">
        <w:rPr>
          <w:color w:val="222222"/>
          <w:shd w:val="clear" w:color="auto" w:fill="FFFFFF"/>
        </w:rPr>
        <w:t>, </w:t>
      </w:r>
      <w:r w:rsidRPr="00BD4AC3">
        <w:rPr>
          <w:i/>
          <w:iCs/>
          <w:color w:val="222222"/>
          <w:shd w:val="clear" w:color="auto" w:fill="FFFFFF"/>
        </w:rPr>
        <w:t>378</w:t>
      </w:r>
      <w:r w:rsidRPr="00BD4AC3">
        <w:rPr>
          <w:color w:val="222222"/>
          <w:shd w:val="clear" w:color="auto" w:fill="FFFFFF"/>
        </w:rPr>
        <w:t>(2181), 20190351.</w:t>
      </w:r>
    </w:p>
    <w:p w14:paraId="018951FC" w14:textId="2FB1DCB2" w:rsidR="00BD4AC3" w:rsidRPr="00BD4AC3" w:rsidRDefault="00BD4AC3" w:rsidP="0053305D">
      <w:pPr>
        <w:widowControl w:val="0"/>
        <w:autoSpaceDE w:val="0"/>
        <w:autoSpaceDN w:val="0"/>
        <w:adjustRightInd w:val="0"/>
        <w:snapToGrid w:val="0"/>
        <w:spacing w:line="360" w:lineRule="auto"/>
        <w:ind w:left="480" w:hanging="480"/>
        <w:jc w:val="both"/>
        <w:rPr>
          <w:noProof/>
        </w:rPr>
      </w:pPr>
      <w:r w:rsidRPr="00BD4AC3">
        <w:rPr>
          <w:color w:val="222222"/>
          <w:shd w:val="clear" w:color="auto" w:fill="FFFFFF"/>
        </w:rPr>
        <w:t>Boyd, P. W., Jickells, T., Law, C. S., Blain, S., Boyle, E. A., Buesseler, K. O., ... &amp; Watson, A. J. (2007). Mesoscale iron enrichment experiments 1993-2005: synthesis and future directions. </w:t>
      </w:r>
      <w:r w:rsidRPr="00BD4AC3">
        <w:rPr>
          <w:i/>
          <w:iCs/>
          <w:color w:val="222222"/>
          <w:shd w:val="clear" w:color="auto" w:fill="FFFFFF"/>
        </w:rPr>
        <w:t>science</w:t>
      </w:r>
      <w:r w:rsidRPr="00BD4AC3">
        <w:rPr>
          <w:color w:val="222222"/>
          <w:shd w:val="clear" w:color="auto" w:fill="FFFFFF"/>
        </w:rPr>
        <w:t>, </w:t>
      </w:r>
      <w:r w:rsidRPr="00BD4AC3">
        <w:rPr>
          <w:i/>
          <w:iCs/>
          <w:color w:val="222222"/>
          <w:shd w:val="clear" w:color="auto" w:fill="FFFFFF"/>
        </w:rPr>
        <w:t>315</w:t>
      </w:r>
      <w:r w:rsidRPr="00BD4AC3">
        <w:rPr>
          <w:color w:val="222222"/>
          <w:shd w:val="clear" w:color="auto" w:fill="FFFFFF"/>
        </w:rPr>
        <w:t>(5812), 612-617.</w:t>
      </w:r>
    </w:p>
    <w:p w14:paraId="155D33E5" w14:textId="4AF058BE" w:rsidR="00C74EDC" w:rsidRPr="00BD4AC3" w:rsidRDefault="00C74EDC" w:rsidP="0053305D">
      <w:pPr>
        <w:widowControl w:val="0"/>
        <w:autoSpaceDE w:val="0"/>
        <w:autoSpaceDN w:val="0"/>
        <w:adjustRightInd w:val="0"/>
        <w:snapToGrid w:val="0"/>
        <w:spacing w:line="360" w:lineRule="auto"/>
        <w:ind w:left="480" w:hanging="480"/>
        <w:jc w:val="both"/>
        <w:rPr>
          <w:noProof/>
        </w:rPr>
      </w:pPr>
      <w:r w:rsidRPr="00C22028">
        <w:rPr>
          <w:noProof/>
          <w:lang w:val="da-DK"/>
        </w:rPr>
        <w:t xml:space="preserve">Boyd, P. W., &amp; Trull, T. W. (2007). </w:t>
      </w:r>
      <w:r w:rsidRPr="00BD4AC3">
        <w:rPr>
          <w:noProof/>
        </w:rPr>
        <w:t xml:space="preserve">Understanding the export of biogenic particles in oceanic waters: Is there consensus? </w:t>
      </w:r>
      <w:r w:rsidRPr="00BD4AC3">
        <w:rPr>
          <w:i/>
          <w:iCs/>
          <w:noProof/>
        </w:rPr>
        <w:t>Progress in Oceanography</w:t>
      </w:r>
      <w:r w:rsidRPr="00BD4AC3">
        <w:rPr>
          <w:noProof/>
        </w:rPr>
        <w:t xml:space="preserve">, </w:t>
      </w:r>
      <w:r w:rsidRPr="00BD4AC3">
        <w:rPr>
          <w:i/>
          <w:iCs/>
          <w:noProof/>
        </w:rPr>
        <w:t>72</w:t>
      </w:r>
      <w:r w:rsidRPr="00BD4AC3">
        <w:rPr>
          <w:noProof/>
        </w:rPr>
        <w:t>(4), 276–312. https://doi.org/10.1016/j.pocean.2006.10.007</w:t>
      </w:r>
    </w:p>
    <w:p w14:paraId="339C97E2" w14:textId="108620D7" w:rsidR="00C74EDC" w:rsidRPr="00406CD7" w:rsidRDefault="00C74EDC" w:rsidP="0053305D">
      <w:pPr>
        <w:widowControl w:val="0"/>
        <w:autoSpaceDE w:val="0"/>
        <w:autoSpaceDN w:val="0"/>
        <w:adjustRightInd w:val="0"/>
        <w:snapToGrid w:val="0"/>
        <w:spacing w:line="360" w:lineRule="auto"/>
        <w:ind w:left="480" w:hanging="480"/>
        <w:jc w:val="both"/>
        <w:rPr>
          <w:noProof/>
        </w:rPr>
      </w:pPr>
      <w:r w:rsidRPr="00BD4AC3">
        <w:rPr>
          <w:noProof/>
        </w:rPr>
        <w:t xml:space="preserve">Boyd, </w:t>
      </w:r>
      <w:r w:rsidR="009D3558" w:rsidRPr="00BD4AC3">
        <w:rPr>
          <w:noProof/>
        </w:rPr>
        <w:t xml:space="preserve">P. </w:t>
      </w:r>
      <w:r w:rsidRPr="00BD4AC3">
        <w:rPr>
          <w:noProof/>
        </w:rPr>
        <w:t>W. (2015). Toward</w:t>
      </w:r>
      <w:r w:rsidRPr="00CD3120">
        <w:rPr>
          <w:noProof/>
        </w:rPr>
        <w:t xml:space="preserve"> quantifying the response of the oceans’ biological pump to </w:t>
      </w:r>
      <w:r w:rsidRPr="009D3558">
        <w:rPr>
          <w:noProof/>
        </w:rPr>
        <w:t xml:space="preserve">climate </w:t>
      </w:r>
      <w:r w:rsidRPr="00EF1717">
        <w:rPr>
          <w:noProof/>
        </w:rPr>
        <w:t xml:space="preserve">change. </w:t>
      </w:r>
      <w:r w:rsidRPr="00406CD7">
        <w:rPr>
          <w:i/>
          <w:iCs/>
          <w:noProof/>
        </w:rPr>
        <w:t>Frontiers in Marine Science</w:t>
      </w:r>
      <w:r w:rsidRPr="00406CD7">
        <w:rPr>
          <w:noProof/>
        </w:rPr>
        <w:t xml:space="preserve">, </w:t>
      </w:r>
      <w:r w:rsidRPr="00406CD7">
        <w:rPr>
          <w:i/>
          <w:iCs/>
          <w:noProof/>
        </w:rPr>
        <w:t>2</w:t>
      </w:r>
      <w:r w:rsidRPr="00406CD7">
        <w:rPr>
          <w:noProof/>
        </w:rPr>
        <w:t>(October), 1–15. https://doi.org/10.3389/fmars.2015.00077</w:t>
      </w:r>
    </w:p>
    <w:p w14:paraId="2AB4FA94" w14:textId="67EDC1D8" w:rsidR="009D3558" w:rsidRPr="00406CD7" w:rsidRDefault="009D3558" w:rsidP="0053305D">
      <w:pPr>
        <w:widowControl w:val="0"/>
        <w:autoSpaceDE w:val="0"/>
        <w:autoSpaceDN w:val="0"/>
        <w:adjustRightInd w:val="0"/>
        <w:snapToGrid w:val="0"/>
        <w:spacing w:line="360" w:lineRule="auto"/>
        <w:ind w:left="480" w:hanging="480"/>
        <w:jc w:val="both"/>
        <w:rPr>
          <w:noProof/>
        </w:rPr>
      </w:pPr>
      <w:r w:rsidRPr="00406CD7">
        <w:rPr>
          <w:noProof/>
          <w:lang w:val="en-US"/>
        </w:rPr>
        <w:t xml:space="preserve">Boyd, </w:t>
      </w:r>
      <w:r w:rsidR="00343DFD" w:rsidRPr="00D43740">
        <w:rPr>
          <w:color w:val="222222"/>
          <w:shd w:val="clear" w:color="auto" w:fill="FFFFFF"/>
        </w:rPr>
        <w:t>P. W., Antoine, D., Baldry, K., Cornec, M., Ellwood, M., Halfter, S.</w:t>
      </w:r>
      <w:r w:rsidR="00406CD7" w:rsidRPr="00D43740">
        <w:rPr>
          <w:color w:val="222222"/>
          <w:shd w:val="clear" w:color="auto" w:fill="FFFFFF"/>
        </w:rPr>
        <w:t>, Lacour, L., Latour, P., Strzepek, R.F., Trull, T.W. and</w:t>
      </w:r>
      <w:r w:rsidR="00343DFD" w:rsidRPr="00D43740">
        <w:rPr>
          <w:color w:val="222222"/>
          <w:shd w:val="clear" w:color="auto" w:fill="FFFFFF"/>
        </w:rPr>
        <w:t xml:space="preserve"> Rohr, T. (2024). Controls on </w:t>
      </w:r>
      <w:r w:rsidR="00414CC6">
        <w:rPr>
          <w:color w:val="222222"/>
          <w:shd w:val="clear" w:color="auto" w:fill="FFFFFF"/>
        </w:rPr>
        <w:t>P</w:t>
      </w:r>
      <w:r w:rsidR="00343DFD" w:rsidRPr="00D43740">
        <w:rPr>
          <w:color w:val="222222"/>
          <w:shd w:val="clear" w:color="auto" w:fill="FFFFFF"/>
        </w:rPr>
        <w:t xml:space="preserve">olar </w:t>
      </w:r>
      <w:r w:rsidR="00414CC6">
        <w:rPr>
          <w:color w:val="222222"/>
          <w:shd w:val="clear" w:color="auto" w:fill="FFFFFF"/>
        </w:rPr>
        <w:t>S</w:t>
      </w:r>
      <w:r w:rsidR="00343DFD" w:rsidRPr="00D43740">
        <w:rPr>
          <w:color w:val="222222"/>
          <w:shd w:val="clear" w:color="auto" w:fill="FFFFFF"/>
        </w:rPr>
        <w:t xml:space="preserve">outhern </w:t>
      </w:r>
      <w:r w:rsidR="00D43740">
        <w:rPr>
          <w:color w:val="222222"/>
          <w:shd w:val="clear" w:color="auto" w:fill="FFFFFF"/>
        </w:rPr>
        <w:t>O</w:t>
      </w:r>
      <w:r w:rsidR="00343DFD" w:rsidRPr="00D43740">
        <w:rPr>
          <w:color w:val="222222"/>
          <w:shd w:val="clear" w:color="auto" w:fill="FFFFFF"/>
        </w:rPr>
        <w:t xml:space="preserve">cean </w:t>
      </w:r>
      <w:r w:rsidR="00D43740">
        <w:rPr>
          <w:color w:val="222222"/>
          <w:shd w:val="clear" w:color="auto" w:fill="FFFFFF"/>
        </w:rPr>
        <w:t>D</w:t>
      </w:r>
      <w:r w:rsidR="00343DFD" w:rsidRPr="00D43740">
        <w:rPr>
          <w:color w:val="222222"/>
          <w:shd w:val="clear" w:color="auto" w:fill="FFFFFF"/>
        </w:rPr>
        <w:t xml:space="preserve">eep </w:t>
      </w:r>
      <w:r w:rsidR="00D43740">
        <w:rPr>
          <w:color w:val="222222"/>
          <w:shd w:val="clear" w:color="auto" w:fill="FFFFFF"/>
        </w:rPr>
        <w:t>C</w:t>
      </w:r>
      <w:r w:rsidR="00343DFD" w:rsidRPr="00D43740">
        <w:rPr>
          <w:color w:val="222222"/>
          <w:shd w:val="clear" w:color="auto" w:fill="FFFFFF"/>
        </w:rPr>
        <w:t xml:space="preserve">hlorophyll </w:t>
      </w:r>
      <w:r w:rsidR="00D43740">
        <w:rPr>
          <w:color w:val="222222"/>
          <w:shd w:val="clear" w:color="auto" w:fill="FFFFFF"/>
        </w:rPr>
        <w:t>M</w:t>
      </w:r>
      <w:r w:rsidR="00343DFD" w:rsidRPr="00D43740">
        <w:rPr>
          <w:color w:val="222222"/>
          <w:shd w:val="clear" w:color="auto" w:fill="FFFFFF"/>
        </w:rPr>
        <w:t>axima: Viewpoints from multiple observational platforms. </w:t>
      </w:r>
      <w:r w:rsidR="00343DFD" w:rsidRPr="00D43740">
        <w:rPr>
          <w:i/>
          <w:iCs/>
          <w:color w:val="222222"/>
          <w:shd w:val="clear" w:color="auto" w:fill="FFFFFF"/>
        </w:rPr>
        <w:t>Global Biogeochemical Cycles</w:t>
      </w:r>
      <w:r w:rsidR="00343DFD" w:rsidRPr="00D43740">
        <w:rPr>
          <w:color w:val="222222"/>
          <w:shd w:val="clear" w:color="auto" w:fill="FFFFFF"/>
        </w:rPr>
        <w:t>, </w:t>
      </w:r>
      <w:r w:rsidR="00343DFD" w:rsidRPr="00D43740">
        <w:rPr>
          <w:i/>
          <w:iCs/>
          <w:color w:val="222222"/>
          <w:shd w:val="clear" w:color="auto" w:fill="FFFFFF"/>
        </w:rPr>
        <w:t>38</w:t>
      </w:r>
      <w:r w:rsidR="00343DFD" w:rsidRPr="00D43740">
        <w:rPr>
          <w:color w:val="222222"/>
          <w:shd w:val="clear" w:color="auto" w:fill="FFFFFF"/>
        </w:rPr>
        <w:t>(3), e2023GB008033.</w:t>
      </w:r>
    </w:p>
    <w:p w14:paraId="197B7BB7" w14:textId="359831A3" w:rsidR="00C74EDC" w:rsidRPr="00EF1717" w:rsidRDefault="00C74EDC" w:rsidP="0053305D">
      <w:pPr>
        <w:widowControl w:val="0"/>
        <w:autoSpaceDE w:val="0"/>
        <w:autoSpaceDN w:val="0"/>
        <w:adjustRightInd w:val="0"/>
        <w:snapToGrid w:val="0"/>
        <w:spacing w:line="360" w:lineRule="auto"/>
        <w:ind w:left="480" w:hanging="480"/>
        <w:jc w:val="both"/>
        <w:rPr>
          <w:noProof/>
        </w:rPr>
      </w:pPr>
      <w:r w:rsidRPr="00406CD7">
        <w:rPr>
          <w:noProof/>
        </w:rPr>
        <w:t>Briggs, N., Perry, M. J., Cetinić, I., Lee, C., D’Asaro, E., Gray, A. M., &amp; Rehm, E. (2011). High-resolution observations of aggregate flux during a</w:t>
      </w:r>
      <w:r w:rsidRPr="00EF1717">
        <w:rPr>
          <w:noProof/>
        </w:rPr>
        <w:t xml:space="preserve"> sub-polar North Atlantic spring bloom. </w:t>
      </w:r>
      <w:r w:rsidRPr="00EF1717">
        <w:rPr>
          <w:i/>
          <w:iCs/>
          <w:noProof/>
        </w:rPr>
        <w:t>Deep-Sea Research Part I: Oceanographic Research Papers</w:t>
      </w:r>
      <w:r w:rsidRPr="00EF1717">
        <w:rPr>
          <w:noProof/>
        </w:rPr>
        <w:t xml:space="preserve">, </w:t>
      </w:r>
      <w:r w:rsidRPr="00EF1717">
        <w:rPr>
          <w:i/>
          <w:iCs/>
          <w:noProof/>
        </w:rPr>
        <w:t>58</w:t>
      </w:r>
      <w:r w:rsidRPr="00EF1717">
        <w:rPr>
          <w:noProof/>
        </w:rPr>
        <w:t xml:space="preserve">(10), 1031–1039. </w:t>
      </w:r>
      <w:hyperlink r:id="rId22" w:history="1">
        <w:r w:rsidR="00355A4C" w:rsidRPr="00EF1717">
          <w:rPr>
            <w:rStyle w:val="Hyperlink"/>
            <w:noProof/>
          </w:rPr>
          <w:t>https://doi.org/10.1016/j.dsr.2011.07.007</w:t>
        </w:r>
      </w:hyperlink>
    </w:p>
    <w:p w14:paraId="097C65FF" w14:textId="487FE508" w:rsidR="00355A4C" w:rsidRPr="00AC34D8" w:rsidRDefault="00355A4C" w:rsidP="0053305D">
      <w:pPr>
        <w:widowControl w:val="0"/>
        <w:autoSpaceDE w:val="0"/>
        <w:autoSpaceDN w:val="0"/>
        <w:adjustRightInd w:val="0"/>
        <w:snapToGrid w:val="0"/>
        <w:spacing w:line="360" w:lineRule="auto"/>
        <w:ind w:left="480" w:hanging="480"/>
        <w:jc w:val="both"/>
        <w:rPr>
          <w:noProof/>
        </w:rPr>
      </w:pPr>
      <w:r w:rsidRPr="00EC6E53">
        <w:rPr>
          <w:color w:val="222222"/>
          <w:shd w:val="clear" w:color="auto" w:fill="FFFFFF"/>
        </w:rPr>
        <w:lastRenderedPageBreak/>
        <w:t>Brown, Z. W., Lowry, K. E., Palmer, M. A., van Dijken, G. L., Mills, M. M., Pickart, R. S., &amp; Arrigo, K. R. (2015). Characterizing the subsurface chlorophyll a maximum in the Chukchi Sea and Canada Basin. </w:t>
      </w:r>
      <w:r w:rsidRPr="00EC6E53">
        <w:rPr>
          <w:i/>
          <w:iCs/>
          <w:color w:val="222222"/>
          <w:shd w:val="clear" w:color="auto" w:fill="FFFFFF"/>
        </w:rPr>
        <w:t xml:space="preserve">Deep Sea Research Part II: Topical Studies in </w:t>
      </w:r>
      <w:r w:rsidRPr="00AC34D8">
        <w:rPr>
          <w:i/>
          <w:iCs/>
          <w:color w:val="222222"/>
          <w:shd w:val="clear" w:color="auto" w:fill="FFFFFF"/>
        </w:rPr>
        <w:t>Oceanography</w:t>
      </w:r>
      <w:r w:rsidRPr="00AC34D8">
        <w:rPr>
          <w:color w:val="222222"/>
          <w:shd w:val="clear" w:color="auto" w:fill="FFFFFF"/>
        </w:rPr>
        <w:t>, </w:t>
      </w:r>
      <w:r w:rsidRPr="00AC34D8">
        <w:rPr>
          <w:i/>
          <w:iCs/>
          <w:color w:val="222222"/>
          <w:shd w:val="clear" w:color="auto" w:fill="FFFFFF"/>
        </w:rPr>
        <w:t>118</w:t>
      </w:r>
      <w:r w:rsidRPr="00AC34D8">
        <w:rPr>
          <w:color w:val="222222"/>
          <w:shd w:val="clear" w:color="auto" w:fill="FFFFFF"/>
        </w:rPr>
        <w:t>, 88-104.</w:t>
      </w:r>
    </w:p>
    <w:p w14:paraId="5FBCE3D7" w14:textId="104C1525" w:rsidR="00AC34D8" w:rsidRPr="00AC34D8" w:rsidRDefault="00AC34D8" w:rsidP="0053305D">
      <w:pPr>
        <w:widowControl w:val="0"/>
        <w:autoSpaceDE w:val="0"/>
        <w:autoSpaceDN w:val="0"/>
        <w:adjustRightInd w:val="0"/>
        <w:snapToGrid w:val="0"/>
        <w:spacing w:line="360" w:lineRule="auto"/>
        <w:ind w:left="480" w:hanging="480"/>
        <w:jc w:val="both"/>
        <w:rPr>
          <w:noProof/>
        </w:rPr>
      </w:pPr>
      <w:proofErr w:type="spellStart"/>
      <w:r w:rsidRPr="00AC34D8">
        <w:rPr>
          <w:color w:val="222222"/>
          <w:shd w:val="clear" w:color="auto" w:fill="FFFFFF"/>
        </w:rPr>
        <w:t>Bushinsky</w:t>
      </w:r>
      <w:proofErr w:type="spellEnd"/>
      <w:r w:rsidRPr="00AC34D8">
        <w:rPr>
          <w:color w:val="222222"/>
          <w:shd w:val="clear" w:color="auto" w:fill="FFFFFF"/>
        </w:rPr>
        <w:t>, S. M., Gray, A. R., Johnson, K. S., &amp; Sarmiento, J. L. (2017). Oxygen in the Southern Ocean from Argo floats: Determination of processes driving air‐sea fluxes. </w:t>
      </w:r>
      <w:r w:rsidRPr="00AC34D8">
        <w:rPr>
          <w:i/>
          <w:iCs/>
          <w:color w:val="222222"/>
          <w:shd w:val="clear" w:color="auto" w:fill="FFFFFF"/>
        </w:rPr>
        <w:t>Journal of Geophysical Research: Oceans</w:t>
      </w:r>
      <w:r w:rsidRPr="00AC34D8">
        <w:rPr>
          <w:color w:val="222222"/>
          <w:shd w:val="clear" w:color="auto" w:fill="FFFFFF"/>
        </w:rPr>
        <w:t>, </w:t>
      </w:r>
      <w:r w:rsidRPr="00AC34D8">
        <w:rPr>
          <w:i/>
          <w:iCs/>
          <w:color w:val="222222"/>
          <w:shd w:val="clear" w:color="auto" w:fill="FFFFFF"/>
        </w:rPr>
        <w:t>122</w:t>
      </w:r>
      <w:r w:rsidRPr="00AC34D8">
        <w:rPr>
          <w:color w:val="222222"/>
          <w:shd w:val="clear" w:color="auto" w:fill="FFFFFF"/>
        </w:rPr>
        <w:t>(11), 8661-8682.</w:t>
      </w:r>
    </w:p>
    <w:p w14:paraId="3145E151" w14:textId="312E7EA2"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AC34D8">
        <w:rPr>
          <w:noProof/>
        </w:rPr>
        <w:t xml:space="preserve">Cailliau, C., Belviso, S., Goutx, M., Bedo, A., Park, Y., &amp; Charriaud, E. (1999). Sedimentation pathways in the Indian sector of the Southern Ocean during a production regime dominated by regeneration. </w:t>
      </w:r>
      <w:r w:rsidRPr="00AC34D8">
        <w:rPr>
          <w:i/>
          <w:iCs/>
          <w:noProof/>
        </w:rPr>
        <w:t>Marine Ecology Progress Series</w:t>
      </w:r>
      <w:r w:rsidRPr="00AC34D8">
        <w:rPr>
          <w:noProof/>
        </w:rPr>
        <w:t xml:space="preserve">, </w:t>
      </w:r>
      <w:r w:rsidRPr="00AC34D8">
        <w:rPr>
          <w:i/>
          <w:iCs/>
          <w:noProof/>
        </w:rPr>
        <w:t>190</w:t>
      </w:r>
      <w:r w:rsidRPr="00AC34D8">
        <w:rPr>
          <w:noProof/>
        </w:rPr>
        <w:t>, 53–67. https://doi.org/10.3354/</w:t>
      </w:r>
      <w:r w:rsidRPr="00CD3120">
        <w:rPr>
          <w:noProof/>
        </w:rPr>
        <w:t>meps190053</w:t>
      </w:r>
    </w:p>
    <w:p w14:paraId="60E19EFD"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Carranza, M. M., Gille, S. T., Franks, P. J. S., Johnson, K. S., Pinkel, R., &amp; Girton, J. B. (2018). When mixed layers are not mixed. Storm-driven mixing and bio-optical vertical gradients in mixed layers of the Southern Ocean. </w:t>
      </w:r>
      <w:r w:rsidRPr="00CD3120">
        <w:rPr>
          <w:i/>
          <w:iCs/>
          <w:noProof/>
        </w:rPr>
        <w:t>Journal of Geophysical Research: Oceans</w:t>
      </w:r>
      <w:r w:rsidRPr="00CD3120">
        <w:rPr>
          <w:noProof/>
        </w:rPr>
        <w:t>, 7264–7289. https://doi.org/10.1029/2018JC014416</w:t>
      </w:r>
    </w:p>
    <w:p w14:paraId="4A9D4373" w14:textId="3A47A080" w:rsidR="00C74EDC" w:rsidRPr="00242A54"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Cornec, M., Claustre, H., Mignot, A., Guidi, L., Lacour, L., Poteau, A., … Schmechtig, C. </w:t>
      </w:r>
      <w:r w:rsidRPr="00242A54">
        <w:rPr>
          <w:noProof/>
        </w:rPr>
        <w:t>(2021</w:t>
      </w:r>
      <w:r w:rsidR="00242A54">
        <w:rPr>
          <w:noProof/>
        </w:rPr>
        <w:t>a</w:t>
      </w:r>
      <w:r w:rsidRPr="00242A54">
        <w:rPr>
          <w:noProof/>
        </w:rPr>
        <w:t xml:space="preserve">). Deep Chlorophyll Maxima in the Global Ocean: Occurrences, Drivers and Characteristics. </w:t>
      </w:r>
      <w:r w:rsidRPr="00242A54">
        <w:rPr>
          <w:i/>
          <w:iCs/>
          <w:noProof/>
        </w:rPr>
        <w:t>Global Biogeochemical Cycles</w:t>
      </w:r>
      <w:r w:rsidRPr="00242A54">
        <w:rPr>
          <w:noProof/>
        </w:rPr>
        <w:t xml:space="preserve">, </w:t>
      </w:r>
      <w:r w:rsidRPr="00242A54">
        <w:rPr>
          <w:i/>
          <w:iCs/>
          <w:noProof/>
        </w:rPr>
        <w:t>35</w:t>
      </w:r>
      <w:r w:rsidRPr="00242A54">
        <w:rPr>
          <w:noProof/>
        </w:rPr>
        <w:t>(4), 1–30. https://doi.org/10.1029/2020GB006759</w:t>
      </w:r>
    </w:p>
    <w:p w14:paraId="73387E33" w14:textId="3E026A2A" w:rsidR="00242A54" w:rsidRPr="00242A54" w:rsidRDefault="00242A54" w:rsidP="0053305D">
      <w:pPr>
        <w:widowControl w:val="0"/>
        <w:autoSpaceDE w:val="0"/>
        <w:autoSpaceDN w:val="0"/>
        <w:adjustRightInd w:val="0"/>
        <w:snapToGrid w:val="0"/>
        <w:spacing w:line="360" w:lineRule="auto"/>
        <w:ind w:left="480" w:hanging="480"/>
        <w:jc w:val="both"/>
        <w:rPr>
          <w:noProof/>
        </w:rPr>
      </w:pPr>
      <w:r w:rsidRPr="00242A54">
        <w:rPr>
          <w:color w:val="222222"/>
          <w:shd w:val="clear" w:color="auto" w:fill="FFFFFF"/>
        </w:rPr>
        <w:t xml:space="preserve">Cornec, M., </w:t>
      </w:r>
      <w:proofErr w:type="spellStart"/>
      <w:r w:rsidRPr="00242A54">
        <w:rPr>
          <w:color w:val="222222"/>
          <w:shd w:val="clear" w:color="auto" w:fill="FFFFFF"/>
        </w:rPr>
        <w:t>Laxenaire</w:t>
      </w:r>
      <w:proofErr w:type="spellEnd"/>
      <w:r w:rsidRPr="00242A54">
        <w:rPr>
          <w:color w:val="222222"/>
          <w:shd w:val="clear" w:color="auto" w:fill="FFFFFF"/>
        </w:rPr>
        <w:t>, R., Speich, S., &amp; Claustre, H. (2021</w:t>
      </w:r>
      <w:r>
        <w:rPr>
          <w:color w:val="222222"/>
          <w:shd w:val="clear" w:color="auto" w:fill="FFFFFF"/>
        </w:rPr>
        <w:t>b</w:t>
      </w:r>
      <w:r w:rsidRPr="00242A54">
        <w:rPr>
          <w:color w:val="222222"/>
          <w:shd w:val="clear" w:color="auto" w:fill="FFFFFF"/>
        </w:rPr>
        <w:t>). Impact of mesoscale eddies on deep chlorophyll maxima. </w:t>
      </w:r>
      <w:r w:rsidRPr="00242A54">
        <w:rPr>
          <w:i/>
          <w:iCs/>
          <w:color w:val="222222"/>
          <w:shd w:val="clear" w:color="auto" w:fill="FFFFFF"/>
        </w:rPr>
        <w:t>Geophysical Research Letters</w:t>
      </w:r>
      <w:r w:rsidRPr="00242A54">
        <w:rPr>
          <w:color w:val="222222"/>
          <w:shd w:val="clear" w:color="auto" w:fill="FFFFFF"/>
        </w:rPr>
        <w:t>, </w:t>
      </w:r>
      <w:r w:rsidRPr="00242A54">
        <w:rPr>
          <w:i/>
          <w:iCs/>
          <w:color w:val="222222"/>
          <w:shd w:val="clear" w:color="auto" w:fill="FFFFFF"/>
        </w:rPr>
        <w:t>48</w:t>
      </w:r>
      <w:r w:rsidRPr="00242A54">
        <w:rPr>
          <w:color w:val="222222"/>
          <w:shd w:val="clear" w:color="auto" w:fill="FFFFFF"/>
        </w:rPr>
        <w:t>(15), e2021GL093470.</w:t>
      </w:r>
    </w:p>
    <w:p w14:paraId="0E317011" w14:textId="6ADB1EC6" w:rsidR="00C74EDC" w:rsidRPr="00242A54" w:rsidRDefault="00C74EDC" w:rsidP="0053305D">
      <w:pPr>
        <w:widowControl w:val="0"/>
        <w:autoSpaceDE w:val="0"/>
        <w:autoSpaceDN w:val="0"/>
        <w:adjustRightInd w:val="0"/>
        <w:snapToGrid w:val="0"/>
        <w:spacing w:line="360" w:lineRule="auto"/>
        <w:ind w:left="480" w:hanging="480"/>
        <w:jc w:val="both"/>
        <w:rPr>
          <w:noProof/>
        </w:rPr>
      </w:pPr>
      <w:r w:rsidRPr="00242A54">
        <w:rPr>
          <w:noProof/>
        </w:rPr>
        <w:t xml:space="preserve">Cullen, J. J. (1982). The deep chlorophyll maximum: comparing vertical profiles of chlorophyll a. </w:t>
      </w:r>
      <w:r w:rsidRPr="00242A54">
        <w:rPr>
          <w:i/>
          <w:iCs/>
          <w:noProof/>
        </w:rPr>
        <w:t>Canadian Journal of Fisheries and Aquatic Sciences</w:t>
      </w:r>
      <w:r w:rsidRPr="00242A54">
        <w:rPr>
          <w:noProof/>
        </w:rPr>
        <w:t xml:space="preserve">, </w:t>
      </w:r>
      <w:r w:rsidRPr="00242A54">
        <w:rPr>
          <w:i/>
          <w:iCs/>
          <w:noProof/>
        </w:rPr>
        <w:t>39</w:t>
      </w:r>
      <w:r w:rsidRPr="00242A54">
        <w:rPr>
          <w:noProof/>
        </w:rPr>
        <w:t>(5), 791–803. https://doi.org/10.1139/f82-108</w:t>
      </w:r>
    </w:p>
    <w:p w14:paraId="19A4F520"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Cullen, J. J., &amp; Lewis, M. R. (1995). Biological processes and optical measurements near the sea surface: some issues relevant to remote sensing. </w:t>
      </w:r>
      <w:r w:rsidRPr="00CD3120">
        <w:rPr>
          <w:i/>
          <w:iCs/>
          <w:noProof/>
        </w:rPr>
        <w:t>Journal of Geophysical Research</w:t>
      </w:r>
      <w:r w:rsidRPr="00CD3120">
        <w:rPr>
          <w:noProof/>
        </w:rPr>
        <w:t xml:space="preserve">, </w:t>
      </w:r>
      <w:r w:rsidRPr="00CD3120">
        <w:rPr>
          <w:i/>
          <w:iCs/>
          <w:noProof/>
        </w:rPr>
        <w:t>100</w:t>
      </w:r>
      <w:r w:rsidRPr="00CD3120">
        <w:rPr>
          <w:noProof/>
        </w:rPr>
        <w:t>(C7). https://doi.org/10.1029/95jc00454</w:t>
      </w:r>
    </w:p>
    <w:p w14:paraId="685C81E6"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Cullen, John J. (2015). Subsurface chlorophyll maximum layers: Enduring enigma or mystery solved? </w:t>
      </w:r>
      <w:r w:rsidRPr="00CD3120">
        <w:rPr>
          <w:i/>
          <w:iCs/>
          <w:noProof/>
        </w:rPr>
        <w:t>Annual Review of Marine Science</w:t>
      </w:r>
      <w:r w:rsidRPr="00CD3120">
        <w:rPr>
          <w:noProof/>
        </w:rPr>
        <w:t xml:space="preserve">, </w:t>
      </w:r>
      <w:r w:rsidRPr="00CD3120">
        <w:rPr>
          <w:i/>
          <w:iCs/>
          <w:noProof/>
        </w:rPr>
        <w:t>7</w:t>
      </w:r>
      <w:r w:rsidRPr="00CD3120">
        <w:rPr>
          <w:noProof/>
        </w:rPr>
        <w:t>, 207–239. https://doi.org/10.1146/annurev-marine-010213-135111</w:t>
      </w:r>
    </w:p>
    <w:p w14:paraId="3FF03403" w14:textId="77777777" w:rsidR="00C74EDC" w:rsidRPr="00057693"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de Boyer Montégut, C., Madec, G., Fischer, A. S., Lazar, A., &amp; Iudicone, D. (2004). Mixed layer depth over the global ocean: An examination of profile data and a profile-based </w:t>
      </w:r>
      <w:r w:rsidRPr="00057693">
        <w:rPr>
          <w:noProof/>
        </w:rPr>
        <w:t xml:space="preserve">climatology. </w:t>
      </w:r>
      <w:r w:rsidRPr="00057693">
        <w:rPr>
          <w:i/>
          <w:iCs/>
          <w:noProof/>
        </w:rPr>
        <w:t>Journal of Geophysical Research C: Oceans</w:t>
      </w:r>
      <w:r w:rsidRPr="00057693">
        <w:rPr>
          <w:noProof/>
        </w:rPr>
        <w:t xml:space="preserve">, </w:t>
      </w:r>
      <w:r w:rsidRPr="00057693">
        <w:rPr>
          <w:i/>
          <w:iCs/>
          <w:noProof/>
        </w:rPr>
        <w:t>109</w:t>
      </w:r>
      <w:r w:rsidRPr="00057693">
        <w:rPr>
          <w:noProof/>
        </w:rPr>
        <w:t>(12), 1–20. https://doi.org/10.1029/2004JC002378</w:t>
      </w:r>
    </w:p>
    <w:p w14:paraId="323EE79F" w14:textId="4250AFFE" w:rsidR="00057693" w:rsidRPr="00057693" w:rsidRDefault="00057693" w:rsidP="0053305D">
      <w:pPr>
        <w:widowControl w:val="0"/>
        <w:autoSpaceDE w:val="0"/>
        <w:autoSpaceDN w:val="0"/>
        <w:adjustRightInd w:val="0"/>
        <w:snapToGrid w:val="0"/>
        <w:spacing w:line="360" w:lineRule="auto"/>
        <w:ind w:left="480" w:hanging="480"/>
        <w:jc w:val="both"/>
        <w:rPr>
          <w:noProof/>
        </w:rPr>
      </w:pPr>
      <w:r w:rsidRPr="00057693">
        <w:rPr>
          <w:color w:val="222222"/>
          <w:shd w:val="clear" w:color="auto" w:fill="FFFFFF"/>
        </w:rPr>
        <w:lastRenderedPageBreak/>
        <w:t>Durham, W. M., &amp; Stocker, R. (2012). Thin phytoplankton layers: characteristics, mechanisms, and consequences. </w:t>
      </w:r>
      <w:r w:rsidRPr="00057693">
        <w:rPr>
          <w:i/>
          <w:iCs/>
          <w:color w:val="222222"/>
          <w:shd w:val="clear" w:color="auto" w:fill="FFFFFF"/>
        </w:rPr>
        <w:t>Annual review of marine science</w:t>
      </w:r>
      <w:r w:rsidRPr="00057693">
        <w:rPr>
          <w:color w:val="222222"/>
          <w:shd w:val="clear" w:color="auto" w:fill="FFFFFF"/>
        </w:rPr>
        <w:t>, </w:t>
      </w:r>
      <w:r w:rsidRPr="00057693">
        <w:rPr>
          <w:i/>
          <w:iCs/>
          <w:color w:val="222222"/>
          <w:shd w:val="clear" w:color="auto" w:fill="FFFFFF"/>
        </w:rPr>
        <w:t>4</w:t>
      </w:r>
      <w:r w:rsidRPr="00057693">
        <w:rPr>
          <w:color w:val="222222"/>
          <w:shd w:val="clear" w:color="auto" w:fill="FFFFFF"/>
        </w:rPr>
        <w:t>(1), 177-207.</w:t>
      </w:r>
    </w:p>
    <w:p w14:paraId="7D0840A9" w14:textId="7856BA88" w:rsidR="00C74EDC" w:rsidRPr="00057693" w:rsidRDefault="00C74EDC" w:rsidP="0053305D">
      <w:pPr>
        <w:widowControl w:val="0"/>
        <w:autoSpaceDE w:val="0"/>
        <w:autoSpaceDN w:val="0"/>
        <w:adjustRightInd w:val="0"/>
        <w:snapToGrid w:val="0"/>
        <w:spacing w:line="360" w:lineRule="auto"/>
        <w:ind w:left="480" w:hanging="480"/>
        <w:jc w:val="both"/>
        <w:rPr>
          <w:noProof/>
        </w:rPr>
      </w:pPr>
      <w:r w:rsidRPr="00057693">
        <w:rPr>
          <w:noProof/>
        </w:rPr>
        <w:t xml:space="preserve">Estapa, M. L., Feen, M. L., &amp; Breves, E. (2019). Direct Observations of Biological Carbon Export From Profiling Floats in the Subtropical North Atlantic. </w:t>
      </w:r>
      <w:r w:rsidRPr="00057693">
        <w:rPr>
          <w:i/>
          <w:iCs/>
          <w:noProof/>
        </w:rPr>
        <w:t>Global Biogeochemical Cycles</w:t>
      </w:r>
      <w:r w:rsidRPr="00057693">
        <w:rPr>
          <w:noProof/>
        </w:rPr>
        <w:t xml:space="preserve">, </w:t>
      </w:r>
      <w:r w:rsidRPr="00057693">
        <w:rPr>
          <w:i/>
          <w:iCs/>
          <w:noProof/>
        </w:rPr>
        <w:t>33</w:t>
      </w:r>
      <w:r w:rsidRPr="00057693">
        <w:rPr>
          <w:noProof/>
        </w:rPr>
        <w:t>(3), 282–300. https://doi.org/10.1029/2018GB006098</w:t>
      </w:r>
    </w:p>
    <w:p w14:paraId="40A590FA"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057693">
        <w:rPr>
          <w:noProof/>
        </w:rPr>
        <w:t>Estrada, M., Marrasé, C., Latasa</w:t>
      </w:r>
      <w:r w:rsidRPr="00CD3120">
        <w:rPr>
          <w:noProof/>
        </w:rPr>
        <w:t xml:space="preserve">, M., Berdalet, E., Delgado, M., Estrada, M., … Riera, T. (1993). Variability of deep chlorophyll maximum characteristics in the Northwestern Mediterranean. </w:t>
      </w:r>
      <w:r w:rsidRPr="00CD3120">
        <w:rPr>
          <w:i/>
          <w:iCs/>
          <w:noProof/>
        </w:rPr>
        <w:t>Marine Ecology Progress Series</w:t>
      </w:r>
      <w:r w:rsidRPr="00CD3120">
        <w:rPr>
          <w:noProof/>
        </w:rPr>
        <w:t>, 289–300.</w:t>
      </w:r>
    </w:p>
    <w:p w14:paraId="2AB78AC8"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Fawcett, S. E., Lomas, M. W., Ward, B. B., &amp; Sigman, D. M. (2014). The counterintuitive effect of summer-to-fall mixed layer deepening on eukaryotic new production in the Sargasso Sea. </w:t>
      </w:r>
      <w:r w:rsidRPr="00CD3120">
        <w:rPr>
          <w:i/>
          <w:iCs/>
          <w:noProof/>
        </w:rPr>
        <w:t>Global Biogeochemical Cycles</w:t>
      </w:r>
      <w:r w:rsidRPr="00CD3120">
        <w:rPr>
          <w:noProof/>
        </w:rPr>
        <w:t xml:space="preserve">, </w:t>
      </w:r>
      <w:r w:rsidRPr="00CD3120">
        <w:rPr>
          <w:i/>
          <w:iCs/>
          <w:noProof/>
        </w:rPr>
        <w:t>28</w:t>
      </w:r>
      <w:r w:rsidRPr="00CD3120">
        <w:rPr>
          <w:noProof/>
        </w:rPr>
        <w:t>, 86–102. https://doi.org/10.1002/2013GB004579.Received</w:t>
      </w:r>
    </w:p>
    <w:p w14:paraId="5E53EAD4"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Fennel, K., &amp; Boss, E. (2003). Subsurface maxima of phytoplankton and chlorophyll: Steady-state solutions from a simple model. </w:t>
      </w:r>
      <w:r w:rsidRPr="00CD3120">
        <w:rPr>
          <w:i/>
          <w:iCs/>
          <w:noProof/>
        </w:rPr>
        <w:t>Limnology and Oceanography</w:t>
      </w:r>
      <w:r w:rsidRPr="00CD3120">
        <w:rPr>
          <w:noProof/>
        </w:rPr>
        <w:t xml:space="preserve">, </w:t>
      </w:r>
      <w:r w:rsidRPr="00CD3120">
        <w:rPr>
          <w:i/>
          <w:iCs/>
          <w:noProof/>
        </w:rPr>
        <w:t>48</w:t>
      </w:r>
      <w:r w:rsidRPr="00CD3120">
        <w:rPr>
          <w:noProof/>
        </w:rPr>
        <w:t>(4), 1521–1534. https://doi.org/10.4319/lo.2003.48.4.1521</w:t>
      </w:r>
    </w:p>
    <w:p w14:paraId="5464AE7E"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Field, C. B., Behrenfeld, M. J., Randerson, J. T., &amp; Falkowski, P. (1998). Primary production of the biosphere: Integrating terrestrial and oceanic components. </w:t>
      </w:r>
      <w:r w:rsidRPr="00CD3120">
        <w:rPr>
          <w:i/>
          <w:iCs/>
          <w:noProof/>
        </w:rPr>
        <w:t>Science</w:t>
      </w:r>
      <w:r w:rsidRPr="00CD3120">
        <w:rPr>
          <w:noProof/>
        </w:rPr>
        <w:t xml:space="preserve">, </w:t>
      </w:r>
      <w:r w:rsidRPr="00CD3120">
        <w:rPr>
          <w:i/>
          <w:iCs/>
          <w:noProof/>
        </w:rPr>
        <w:t>281</w:t>
      </w:r>
      <w:r w:rsidRPr="00CD3120">
        <w:rPr>
          <w:noProof/>
        </w:rPr>
        <w:t>(5374), 237–240. https://doi.org/10.1126/science.281.5374.237</w:t>
      </w:r>
    </w:p>
    <w:p w14:paraId="2070BABE" w14:textId="5E76A3DC" w:rsidR="00252056" w:rsidRPr="00252056" w:rsidRDefault="00252056" w:rsidP="0053305D">
      <w:pPr>
        <w:widowControl w:val="0"/>
        <w:autoSpaceDE w:val="0"/>
        <w:autoSpaceDN w:val="0"/>
        <w:adjustRightInd w:val="0"/>
        <w:snapToGrid w:val="0"/>
        <w:spacing w:line="360" w:lineRule="auto"/>
        <w:ind w:left="480" w:hanging="480"/>
        <w:jc w:val="both"/>
        <w:rPr>
          <w:color w:val="222222"/>
          <w:shd w:val="clear" w:color="auto" w:fill="FFFFFF"/>
          <w:lang w:val="en-US"/>
        </w:rPr>
      </w:pPr>
      <w:r w:rsidRPr="002B4DD4">
        <w:rPr>
          <w:color w:val="222222"/>
          <w:shd w:val="clear" w:color="auto" w:fill="FFFFFF"/>
          <w:lang w:val="en-US"/>
        </w:rPr>
        <w:t xml:space="preserve">Geider, R. J., </w:t>
      </w:r>
      <w:proofErr w:type="spellStart"/>
      <w:r w:rsidRPr="002B4DD4">
        <w:rPr>
          <w:color w:val="222222"/>
          <w:shd w:val="clear" w:color="auto" w:fill="FFFFFF"/>
          <w:lang w:val="en-US"/>
        </w:rPr>
        <w:t>MacIntyre</w:t>
      </w:r>
      <w:proofErr w:type="spellEnd"/>
      <w:r w:rsidRPr="002B4DD4">
        <w:rPr>
          <w:color w:val="222222"/>
          <w:shd w:val="clear" w:color="auto" w:fill="FFFFFF"/>
          <w:lang w:val="en-US"/>
        </w:rPr>
        <w:t xml:space="preserve">, H. L., &amp; Kana, T. M. (1997). </w:t>
      </w:r>
      <w:r w:rsidRPr="00252056">
        <w:rPr>
          <w:color w:val="222222"/>
          <w:shd w:val="clear" w:color="auto" w:fill="FFFFFF"/>
        </w:rPr>
        <w:t>Dynamic model of phytoplankton growth and acclimation: responses of the balanced growth rate and the chlorophyll a: carbon ratio to light, nutrient-limitation and temperature. </w:t>
      </w:r>
      <w:r w:rsidRPr="00252056">
        <w:rPr>
          <w:i/>
          <w:iCs/>
          <w:color w:val="222222"/>
          <w:shd w:val="clear" w:color="auto" w:fill="FFFFFF"/>
        </w:rPr>
        <w:t>Marine Ecology Progress Series</w:t>
      </w:r>
      <w:r w:rsidRPr="00252056">
        <w:rPr>
          <w:color w:val="222222"/>
          <w:shd w:val="clear" w:color="auto" w:fill="FFFFFF"/>
        </w:rPr>
        <w:t>, </w:t>
      </w:r>
      <w:r w:rsidRPr="00252056">
        <w:rPr>
          <w:i/>
          <w:iCs/>
          <w:color w:val="222222"/>
          <w:shd w:val="clear" w:color="auto" w:fill="FFFFFF"/>
        </w:rPr>
        <w:t>148</w:t>
      </w:r>
      <w:r w:rsidRPr="00252056">
        <w:rPr>
          <w:color w:val="222222"/>
          <w:shd w:val="clear" w:color="auto" w:fill="FFFFFF"/>
        </w:rPr>
        <w:t>, 187-200.</w:t>
      </w:r>
    </w:p>
    <w:p w14:paraId="726BC93D" w14:textId="28E97D18" w:rsidR="004A04CE" w:rsidRPr="00252056" w:rsidRDefault="004A04CE" w:rsidP="0053305D">
      <w:pPr>
        <w:widowControl w:val="0"/>
        <w:autoSpaceDE w:val="0"/>
        <w:autoSpaceDN w:val="0"/>
        <w:adjustRightInd w:val="0"/>
        <w:snapToGrid w:val="0"/>
        <w:spacing w:line="360" w:lineRule="auto"/>
        <w:ind w:left="480" w:hanging="480"/>
        <w:jc w:val="both"/>
        <w:rPr>
          <w:noProof/>
        </w:rPr>
      </w:pPr>
      <w:r w:rsidRPr="002B4DD4">
        <w:rPr>
          <w:color w:val="222222"/>
          <w:shd w:val="clear" w:color="auto" w:fill="FFFFFF"/>
          <w:lang w:val="en-US"/>
        </w:rPr>
        <w:t xml:space="preserve">Geider, R. J., </w:t>
      </w:r>
      <w:proofErr w:type="spellStart"/>
      <w:r w:rsidRPr="002B4DD4">
        <w:rPr>
          <w:color w:val="222222"/>
          <w:shd w:val="clear" w:color="auto" w:fill="FFFFFF"/>
          <w:lang w:val="en-US"/>
        </w:rPr>
        <w:t>Maclntyre</w:t>
      </w:r>
      <w:proofErr w:type="spellEnd"/>
      <w:r w:rsidRPr="002B4DD4">
        <w:rPr>
          <w:color w:val="222222"/>
          <w:shd w:val="clear" w:color="auto" w:fill="FFFFFF"/>
          <w:lang w:val="en-US"/>
        </w:rPr>
        <w:t xml:space="preserve">, H. L., &amp; Kana, T. M. (1998). </w:t>
      </w:r>
      <w:r w:rsidRPr="00252056">
        <w:rPr>
          <w:color w:val="222222"/>
          <w:shd w:val="clear" w:color="auto" w:fill="FFFFFF"/>
        </w:rPr>
        <w:t>A dynamic regulatory model of phytoplanktonic acclimation to light, nutrients, and temperature. </w:t>
      </w:r>
      <w:r w:rsidRPr="00252056">
        <w:rPr>
          <w:i/>
          <w:iCs/>
          <w:color w:val="222222"/>
          <w:shd w:val="clear" w:color="auto" w:fill="FFFFFF"/>
        </w:rPr>
        <w:t>Limnology and oceanography</w:t>
      </w:r>
      <w:r w:rsidRPr="00252056">
        <w:rPr>
          <w:color w:val="222222"/>
          <w:shd w:val="clear" w:color="auto" w:fill="FFFFFF"/>
        </w:rPr>
        <w:t>, </w:t>
      </w:r>
      <w:r w:rsidRPr="00252056">
        <w:rPr>
          <w:i/>
          <w:iCs/>
          <w:color w:val="222222"/>
          <w:shd w:val="clear" w:color="auto" w:fill="FFFFFF"/>
        </w:rPr>
        <w:t>43</w:t>
      </w:r>
      <w:r w:rsidRPr="00252056">
        <w:rPr>
          <w:color w:val="222222"/>
          <w:shd w:val="clear" w:color="auto" w:fill="FFFFFF"/>
        </w:rPr>
        <w:t>(4), 679-694.</w:t>
      </w:r>
    </w:p>
    <w:p w14:paraId="3586EBB2" w14:textId="40E02803"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252056">
        <w:rPr>
          <w:noProof/>
          <w:lang w:val="en-US"/>
        </w:rPr>
        <w:t xml:space="preserve">Gomi, Y., Fukuchi, M., &amp; Taniguchi, A. (2010). </w:t>
      </w:r>
      <w:r w:rsidRPr="00252056">
        <w:rPr>
          <w:noProof/>
        </w:rPr>
        <w:t>Diatom assemblages at subsurface chlorophyll maximum layer in the eastern Indian sector</w:t>
      </w:r>
      <w:r w:rsidRPr="00CD3120">
        <w:rPr>
          <w:noProof/>
        </w:rPr>
        <w:t xml:space="preserve"> of the Southern Ocean in summer. </w:t>
      </w:r>
      <w:r w:rsidRPr="00CD3120">
        <w:rPr>
          <w:i/>
          <w:iCs/>
          <w:noProof/>
        </w:rPr>
        <w:t>Journal of Plankton Research</w:t>
      </w:r>
      <w:r w:rsidRPr="00CD3120">
        <w:rPr>
          <w:noProof/>
        </w:rPr>
        <w:t xml:space="preserve">, </w:t>
      </w:r>
      <w:r w:rsidRPr="00CD3120">
        <w:rPr>
          <w:i/>
          <w:iCs/>
          <w:noProof/>
        </w:rPr>
        <w:t>32</w:t>
      </w:r>
      <w:r w:rsidRPr="00CD3120">
        <w:rPr>
          <w:noProof/>
        </w:rPr>
        <w:t>(7), 1039–1050. https://doi.org/10.1093/plankt/fbq031</w:t>
      </w:r>
    </w:p>
    <w:p w14:paraId="140CCFED"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Gomi, Y., Taniguchi, A., &amp; Fukuchi, M. (2007). Temporal and spatial variation of the phytoplankton assemblage in the eastern Indian sector of the Southern Ocean in summer 2001/2002. </w:t>
      </w:r>
      <w:r w:rsidRPr="00CD3120">
        <w:rPr>
          <w:i/>
          <w:iCs/>
          <w:noProof/>
        </w:rPr>
        <w:t>Polar Biology</w:t>
      </w:r>
      <w:r w:rsidRPr="00CD3120">
        <w:rPr>
          <w:noProof/>
        </w:rPr>
        <w:t xml:space="preserve">, </w:t>
      </w:r>
      <w:r w:rsidRPr="00CD3120">
        <w:rPr>
          <w:i/>
          <w:iCs/>
          <w:noProof/>
        </w:rPr>
        <w:t>30</w:t>
      </w:r>
      <w:r w:rsidRPr="00CD3120">
        <w:rPr>
          <w:noProof/>
        </w:rPr>
        <w:t>(7), 817–827. https://doi.org/10.1007/s00300-006-0242-2</w:t>
      </w:r>
    </w:p>
    <w:p w14:paraId="4A917CC8" w14:textId="77777777" w:rsidR="00C74EDC" w:rsidRPr="0050774C" w:rsidRDefault="00C74EDC" w:rsidP="0053305D">
      <w:pPr>
        <w:widowControl w:val="0"/>
        <w:autoSpaceDE w:val="0"/>
        <w:autoSpaceDN w:val="0"/>
        <w:adjustRightInd w:val="0"/>
        <w:snapToGrid w:val="0"/>
        <w:spacing w:line="360" w:lineRule="auto"/>
        <w:ind w:left="480" w:hanging="480"/>
        <w:jc w:val="both"/>
        <w:rPr>
          <w:noProof/>
        </w:rPr>
      </w:pPr>
      <w:r w:rsidRPr="00CD3120">
        <w:rPr>
          <w:noProof/>
        </w:rPr>
        <w:t>Graff, J. R., Westberry, T. K., Milligan, A. J., Brown, M. B., Dall’Olmo, G., van Dongen-</w:t>
      </w:r>
      <w:r w:rsidRPr="0050774C">
        <w:rPr>
          <w:noProof/>
        </w:rPr>
        <w:t xml:space="preserve">Vogels, V., … Behrenfeld, M. J. (2015). Analytical phytoplankton carbon measurements spanning diverse ecosystems. </w:t>
      </w:r>
      <w:r w:rsidRPr="0050774C">
        <w:rPr>
          <w:i/>
          <w:iCs/>
          <w:noProof/>
        </w:rPr>
        <w:t xml:space="preserve">Deep-Sea Research Part I: Oceanographic Research </w:t>
      </w:r>
      <w:r w:rsidRPr="0050774C">
        <w:rPr>
          <w:i/>
          <w:iCs/>
          <w:noProof/>
        </w:rPr>
        <w:lastRenderedPageBreak/>
        <w:t>Papers</w:t>
      </w:r>
      <w:r w:rsidRPr="0050774C">
        <w:rPr>
          <w:noProof/>
        </w:rPr>
        <w:t xml:space="preserve">, </w:t>
      </w:r>
      <w:r w:rsidRPr="0050774C">
        <w:rPr>
          <w:i/>
          <w:iCs/>
          <w:noProof/>
        </w:rPr>
        <w:t>102</w:t>
      </w:r>
      <w:r w:rsidRPr="0050774C">
        <w:rPr>
          <w:noProof/>
        </w:rPr>
        <w:t>, 16–25. https://doi.org/10.1016/j.dsr.2015.04.006</w:t>
      </w:r>
    </w:p>
    <w:p w14:paraId="0122EB30" w14:textId="278EC4EC" w:rsidR="0050774C" w:rsidRPr="0050774C" w:rsidRDefault="0050774C" w:rsidP="0053305D">
      <w:pPr>
        <w:widowControl w:val="0"/>
        <w:autoSpaceDE w:val="0"/>
        <w:autoSpaceDN w:val="0"/>
        <w:adjustRightInd w:val="0"/>
        <w:snapToGrid w:val="0"/>
        <w:spacing w:line="360" w:lineRule="auto"/>
        <w:ind w:left="480" w:hanging="480"/>
        <w:jc w:val="both"/>
        <w:rPr>
          <w:noProof/>
        </w:rPr>
      </w:pPr>
      <w:r w:rsidRPr="0050774C">
        <w:rPr>
          <w:color w:val="222222"/>
          <w:shd w:val="clear" w:color="auto" w:fill="FFFFFF"/>
        </w:rPr>
        <w:t xml:space="preserve">Graff, J. R., Westberry, T. K., Milligan, A. J., Brown, M. B., Olmo, G. D., Reifel, K. M., &amp; Behrenfeld, M. J. (2016). </w:t>
      </w:r>
      <w:proofErr w:type="spellStart"/>
      <w:r w:rsidRPr="0050774C">
        <w:rPr>
          <w:color w:val="222222"/>
          <w:shd w:val="clear" w:color="auto" w:fill="FFFFFF"/>
        </w:rPr>
        <w:t>Photoacclimation</w:t>
      </w:r>
      <w:proofErr w:type="spellEnd"/>
      <w:r w:rsidRPr="0050774C">
        <w:rPr>
          <w:color w:val="222222"/>
          <w:shd w:val="clear" w:color="auto" w:fill="FFFFFF"/>
        </w:rPr>
        <w:t xml:space="preserve"> of natural phytoplankton communities. </w:t>
      </w:r>
      <w:r w:rsidRPr="0050774C">
        <w:rPr>
          <w:i/>
          <w:iCs/>
          <w:color w:val="222222"/>
          <w:shd w:val="clear" w:color="auto" w:fill="FFFFFF"/>
        </w:rPr>
        <w:t>Marine Ecology Progress Series</w:t>
      </w:r>
      <w:r w:rsidRPr="0050774C">
        <w:rPr>
          <w:color w:val="222222"/>
          <w:shd w:val="clear" w:color="auto" w:fill="FFFFFF"/>
        </w:rPr>
        <w:t>, </w:t>
      </w:r>
      <w:r w:rsidRPr="0050774C">
        <w:rPr>
          <w:i/>
          <w:iCs/>
          <w:color w:val="222222"/>
          <w:shd w:val="clear" w:color="auto" w:fill="FFFFFF"/>
        </w:rPr>
        <w:t>542</w:t>
      </w:r>
      <w:r w:rsidRPr="0050774C">
        <w:rPr>
          <w:color w:val="222222"/>
          <w:shd w:val="clear" w:color="auto" w:fill="FFFFFF"/>
        </w:rPr>
        <w:t>, 51-62.</w:t>
      </w:r>
    </w:p>
    <w:p w14:paraId="4A6CDBA6" w14:textId="5AAEDB60"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50774C">
        <w:rPr>
          <w:noProof/>
        </w:rPr>
        <w:t xml:space="preserve">Gruber, N., Clement, D., Carter, B. R., Feely, R. A., van Heuven, S., Hoppema, M., … Wanninkhof, R. (2019). The oceanic sink for anthropogenic CO 2 from 1994 to 2007. </w:t>
      </w:r>
      <w:r w:rsidRPr="0050774C">
        <w:rPr>
          <w:i/>
          <w:iCs/>
          <w:noProof/>
        </w:rPr>
        <w:t>Science</w:t>
      </w:r>
      <w:r w:rsidRPr="0050774C">
        <w:rPr>
          <w:noProof/>
        </w:rPr>
        <w:t xml:space="preserve">, </w:t>
      </w:r>
      <w:r w:rsidRPr="0050774C">
        <w:rPr>
          <w:i/>
          <w:iCs/>
          <w:noProof/>
        </w:rPr>
        <w:t>363</w:t>
      </w:r>
      <w:r w:rsidRPr="0050774C">
        <w:rPr>
          <w:noProof/>
        </w:rPr>
        <w:t>(6432), 1193</w:t>
      </w:r>
      <w:r w:rsidRPr="00CD3120">
        <w:rPr>
          <w:noProof/>
        </w:rPr>
        <w:t>–1199. https://doi.org/10.1126/science.aau5153</w:t>
      </w:r>
    </w:p>
    <w:p w14:paraId="4D3344B9"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22028">
        <w:rPr>
          <w:noProof/>
          <w:lang w:val="en-US"/>
        </w:rPr>
        <w:t xml:space="preserve">Gruber, N., Landschutzer, P., &amp; Lovenduski, N. S. (2019). </w:t>
      </w:r>
      <w:r w:rsidRPr="00CD3120">
        <w:rPr>
          <w:noProof/>
        </w:rPr>
        <w:t xml:space="preserve">The Variable Southern Ocean Carbon Sink. </w:t>
      </w:r>
      <w:r w:rsidRPr="00CD3120">
        <w:rPr>
          <w:i/>
          <w:iCs/>
          <w:noProof/>
        </w:rPr>
        <w:t>Science Advances</w:t>
      </w:r>
      <w:r w:rsidRPr="00CD3120">
        <w:rPr>
          <w:noProof/>
        </w:rPr>
        <w:t xml:space="preserve">, </w:t>
      </w:r>
      <w:r w:rsidRPr="00CD3120">
        <w:rPr>
          <w:i/>
          <w:iCs/>
          <w:noProof/>
        </w:rPr>
        <w:t>11</w:t>
      </w:r>
      <w:r w:rsidRPr="00CD3120">
        <w:rPr>
          <w:noProof/>
        </w:rPr>
        <w:t>, 159–186. https://doi.org/10.1126/sciadv.aav6471</w:t>
      </w:r>
    </w:p>
    <w:p w14:paraId="42E049BE"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Henson, S. A., Sanders, R., &amp; Madsen, E. (2012). Global patterns in efficiency of particulate organic carbon export and transfer to the deep ocean. </w:t>
      </w:r>
      <w:r w:rsidRPr="00CD3120">
        <w:rPr>
          <w:i/>
          <w:iCs/>
          <w:noProof/>
        </w:rPr>
        <w:t>Global Biogeochemical Cycles</w:t>
      </w:r>
      <w:r w:rsidRPr="00CD3120">
        <w:rPr>
          <w:noProof/>
        </w:rPr>
        <w:t xml:space="preserve">, </w:t>
      </w:r>
      <w:r w:rsidRPr="00CD3120">
        <w:rPr>
          <w:i/>
          <w:iCs/>
          <w:noProof/>
        </w:rPr>
        <w:t>26</w:t>
      </w:r>
      <w:r w:rsidRPr="00CD3120">
        <w:rPr>
          <w:noProof/>
        </w:rPr>
        <w:t>(1), 1–14. https://doi.org/10.1029/2011GB004099</w:t>
      </w:r>
    </w:p>
    <w:p w14:paraId="3179E460" w14:textId="197FAEB9" w:rsidR="00C74EDC" w:rsidRPr="008A4858" w:rsidRDefault="00C74EDC" w:rsidP="0053305D">
      <w:pPr>
        <w:widowControl w:val="0"/>
        <w:autoSpaceDE w:val="0"/>
        <w:autoSpaceDN w:val="0"/>
        <w:adjustRightInd w:val="0"/>
        <w:snapToGrid w:val="0"/>
        <w:spacing w:line="360" w:lineRule="auto"/>
        <w:ind w:left="480" w:hanging="480"/>
        <w:jc w:val="both"/>
        <w:rPr>
          <w:noProof/>
        </w:rPr>
      </w:pPr>
      <w:r w:rsidRPr="008A4858">
        <w:rPr>
          <w:noProof/>
        </w:rPr>
        <w:t xml:space="preserve">Hickman, A. E., Moore, C. M., Sharples, J., Lucas, M. I., Tilstone, G. H., Krivtsov, V., &amp; Holligan, P. M. (2012). Primary production and nitrate uptake within the seasonal thermocline of a stratified shelf sea. </w:t>
      </w:r>
      <w:r w:rsidRPr="008A4858">
        <w:rPr>
          <w:i/>
          <w:iCs/>
          <w:noProof/>
        </w:rPr>
        <w:t>Marine Ecology Progress Series</w:t>
      </w:r>
      <w:r w:rsidRPr="008A4858">
        <w:rPr>
          <w:noProof/>
        </w:rPr>
        <w:t xml:space="preserve">, </w:t>
      </w:r>
      <w:r w:rsidRPr="008A4858">
        <w:rPr>
          <w:i/>
          <w:iCs/>
          <w:noProof/>
        </w:rPr>
        <w:t>463</w:t>
      </w:r>
      <w:r w:rsidRPr="008A4858">
        <w:rPr>
          <w:noProof/>
        </w:rPr>
        <w:t xml:space="preserve">, 39–57. </w:t>
      </w:r>
      <w:hyperlink r:id="rId23" w:history="1">
        <w:r w:rsidR="008A4858" w:rsidRPr="008A4858">
          <w:rPr>
            <w:rStyle w:val="Hyperlink"/>
            <w:noProof/>
          </w:rPr>
          <w:t>https://doi.org/10.3354/meps09836</w:t>
        </w:r>
      </w:hyperlink>
    </w:p>
    <w:p w14:paraId="050DBFF3" w14:textId="0AE6B9E4" w:rsidR="008A4858" w:rsidRPr="008A4858" w:rsidRDefault="008A4858" w:rsidP="0053305D">
      <w:pPr>
        <w:widowControl w:val="0"/>
        <w:autoSpaceDE w:val="0"/>
        <w:autoSpaceDN w:val="0"/>
        <w:adjustRightInd w:val="0"/>
        <w:snapToGrid w:val="0"/>
        <w:spacing w:line="360" w:lineRule="auto"/>
        <w:ind w:left="480" w:hanging="480"/>
        <w:jc w:val="both"/>
        <w:rPr>
          <w:noProof/>
        </w:rPr>
      </w:pPr>
      <w:r w:rsidRPr="008A4858">
        <w:rPr>
          <w:color w:val="222222"/>
          <w:shd w:val="clear" w:color="auto" w:fill="FFFFFF"/>
        </w:rPr>
        <w:t xml:space="preserve">Hiscock, M. R., Marra, J., Smith Jr, W. O., </w:t>
      </w:r>
      <w:proofErr w:type="spellStart"/>
      <w:r w:rsidRPr="008A4858">
        <w:rPr>
          <w:color w:val="222222"/>
          <w:shd w:val="clear" w:color="auto" w:fill="FFFFFF"/>
        </w:rPr>
        <w:t>Goericke</w:t>
      </w:r>
      <w:proofErr w:type="spellEnd"/>
      <w:r w:rsidRPr="008A4858">
        <w:rPr>
          <w:color w:val="222222"/>
          <w:shd w:val="clear" w:color="auto" w:fill="FFFFFF"/>
        </w:rPr>
        <w:t>, R., Measures, C., Vink, S., ... &amp; Barber, R. T. (2003). Primary productivity and its regulation in the Pacific Sector of the Southern Ocean. </w:t>
      </w:r>
      <w:r w:rsidRPr="008A4858">
        <w:rPr>
          <w:i/>
          <w:iCs/>
          <w:color w:val="222222"/>
          <w:shd w:val="clear" w:color="auto" w:fill="FFFFFF"/>
        </w:rPr>
        <w:t>Deep Sea Research Part II: Topical Studies in Oceanography</w:t>
      </w:r>
      <w:r w:rsidRPr="008A4858">
        <w:rPr>
          <w:color w:val="222222"/>
          <w:shd w:val="clear" w:color="auto" w:fill="FFFFFF"/>
        </w:rPr>
        <w:t>, </w:t>
      </w:r>
      <w:r w:rsidRPr="008A4858">
        <w:rPr>
          <w:i/>
          <w:iCs/>
          <w:color w:val="222222"/>
          <w:shd w:val="clear" w:color="auto" w:fill="FFFFFF"/>
        </w:rPr>
        <w:t>50</w:t>
      </w:r>
      <w:r w:rsidRPr="008A4858">
        <w:rPr>
          <w:color w:val="222222"/>
          <w:shd w:val="clear" w:color="auto" w:fill="FFFFFF"/>
        </w:rPr>
        <w:t>(3-4), 533-558.</w:t>
      </w:r>
    </w:p>
    <w:p w14:paraId="2C3B155C"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8A4858">
        <w:rPr>
          <w:noProof/>
        </w:rPr>
        <w:t xml:space="preserve">Holte, J., &amp; Talley, L. (2009). A new algorithm for finding mixed layer depths with applications to argo data and subantarctic mode water formation. </w:t>
      </w:r>
      <w:r w:rsidRPr="008A4858">
        <w:rPr>
          <w:i/>
          <w:iCs/>
          <w:noProof/>
        </w:rPr>
        <w:t>Journal</w:t>
      </w:r>
      <w:r w:rsidRPr="00CD3120">
        <w:rPr>
          <w:i/>
          <w:iCs/>
          <w:noProof/>
        </w:rPr>
        <w:t xml:space="preserve"> of Atmospheric and Oceanic Technology</w:t>
      </w:r>
      <w:r w:rsidRPr="00CD3120">
        <w:rPr>
          <w:noProof/>
        </w:rPr>
        <w:t xml:space="preserve">, </w:t>
      </w:r>
      <w:r w:rsidRPr="00CD3120">
        <w:rPr>
          <w:i/>
          <w:iCs/>
          <w:noProof/>
        </w:rPr>
        <w:t>26</w:t>
      </w:r>
      <w:r w:rsidRPr="00CD3120">
        <w:rPr>
          <w:noProof/>
        </w:rPr>
        <w:t>(9), 1920–1939. https://doi.org/10.1175/2009JTECHO543.1</w:t>
      </w:r>
    </w:p>
    <w:p w14:paraId="71AF4622"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Huang, Y., Nicholson, D., Huang, B., &amp; Cassar, N. (2021). Global Estimates of Marine Gross Primary Production Based on Machine Learning Upscaling of Field Observations. </w:t>
      </w:r>
      <w:r w:rsidRPr="00CD3120">
        <w:rPr>
          <w:i/>
          <w:iCs/>
          <w:noProof/>
        </w:rPr>
        <w:t>Global Biogeochemical Cycles</w:t>
      </w:r>
      <w:r w:rsidRPr="00CD3120">
        <w:rPr>
          <w:noProof/>
        </w:rPr>
        <w:t xml:space="preserve">, </w:t>
      </w:r>
      <w:r w:rsidRPr="00CD3120">
        <w:rPr>
          <w:i/>
          <w:iCs/>
          <w:noProof/>
        </w:rPr>
        <w:t>35</w:t>
      </w:r>
      <w:r w:rsidRPr="00CD3120">
        <w:rPr>
          <w:noProof/>
        </w:rPr>
        <w:t>(3), 1–18. https://doi.org/10.1029/2020GB006718</w:t>
      </w:r>
    </w:p>
    <w:p w14:paraId="6C226CC7"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Johnson, K. S., Plant, J. N., Dunne, J. P., Talley, L. D., &amp; Sarmiento, J. L. (2017). Annual nitrate drawdown observed by SOCCOM profiling floats and the relationship to annual net community production. </w:t>
      </w:r>
      <w:r w:rsidRPr="00CD3120">
        <w:rPr>
          <w:i/>
          <w:iCs/>
          <w:noProof/>
        </w:rPr>
        <w:t>Journal of Geophysical Research: Oceans</w:t>
      </w:r>
      <w:r w:rsidRPr="00CD3120">
        <w:rPr>
          <w:noProof/>
        </w:rPr>
        <w:t xml:space="preserve">, </w:t>
      </w:r>
      <w:r w:rsidRPr="00CD3120">
        <w:rPr>
          <w:i/>
          <w:iCs/>
          <w:noProof/>
        </w:rPr>
        <w:t>122</w:t>
      </w:r>
      <w:r w:rsidRPr="00CD3120">
        <w:rPr>
          <w:noProof/>
        </w:rPr>
        <w:t>(8), 6668–6683. https://doi.org/10.1002/2017JC012839</w:t>
      </w:r>
    </w:p>
    <w:p w14:paraId="7FB3F3D1" w14:textId="77777777" w:rsidR="00C74EDC" w:rsidRPr="002B4DD4"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Kopczynska, E. E., Dehairs, F., Elskens, M., &amp; Wright, S. (2001). Phytoplankton and microzooplankton variability between the Subtropical and Polar Fronts south of Australia: </w:t>
      </w:r>
      <w:r w:rsidRPr="002B4DD4">
        <w:rPr>
          <w:noProof/>
        </w:rPr>
        <w:t xml:space="preserve">Thriving under regenerative and new production in late summer. </w:t>
      </w:r>
      <w:r w:rsidRPr="002B4DD4">
        <w:rPr>
          <w:i/>
          <w:iCs/>
          <w:noProof/>
        </w:rPr>
        <w:t>Journal of Geophysical Research: Oceans</w:t>
      </w:r>
      <w:r w:rsidRPr="002B4DD4">
        <w:rPr>
          <w:noProof/>
        </w:rPr>
        <w:t xml:space="preserve">, </w:t>
      </w:r>
      <w:r w:rsidRPr="002B4DD4">
        <w:rPr>
          <w:i/>
          <w:iCs/>
          <w:noProof/>
        </w:rPr>
        <w:t>106</w:t>
      </w:r>
      <w:r w:rsidRPr="002B4DD4">
        <w:rPr>
          <w:noProof/>
        </w:rPr>
        <w:t>(C12), 31597–31609. https://doi.org/10.1029/2000jc000278</w:t>
      </w:r>
    </w:p>
    <w:p w14:paraId="02D332FF" w14:textId="7AB3337A" w:rsidR="002B4DD4" w:rsidRPr="002B4DD4" w:rsidRDefault="002B4DD4" w:rsidP="0053305D">
      <w:pPr>
        <w:widowControl w:val="0"/>
        <w:autoSpaceDE w:val="0"/>
        <w:autoSpaceDN w:val="0"/>
        <w:adjustRightInd w:val="0"/>
        <w:snapToGrid w:val="0"/>
        <w:spacing w:line="360" w:lineRule="auto"/>
        <w:ind w:left="480" w:hanging="480"/>
        <w:jc w:val="both"/>
        <w:rPr>
          <w:noProof/>
        </w:rPr>
      </w:pPr>
      <w:r w:rsidRPr="002B4DD4">
        <w:rPr>
          <w:rFonts w:eastAsiaTheme="minorHAnsi"/>
          <w:color w:val="3F3F3F"/>
          <w:lang w:val="en-GB" w:eastAsia="en-US"/>
        </w:rPr>
        <w:t xml:space="preserve">Kwiatkowski, L., Torres, O., Bopp, L., Aumont, O., Chamberlain, M., Christian, J. R., ... &amp; </w:t>
      </w:r>
      <w:proofErr w:type="spellStart"/>
      <w:r w:rsidRPr="002B4DD4">
        <w:rPr>
          <w:rFonts w:eastAsiaTheme="minorHAnsi"/>
          <w:color w:val="3F3F3F"/>
          <w:lang w:val="en-GB" w:eastAsia="en-US"/>
        </w:rPr>
        <w:lastRenderedPageBreak/>
        <w:t>Ziehn</w:t>
      </w:r>
      <w:proofErr w:type="spellEnd"/>
      <w:r w:rsidRPr="002B4DD4">
        <w:rPr>
          <w:rFonts w:eastAsiaTheme="minorHAnsi"/>
          <w:color w:val="3F3F3F"/>
          <w:lang w:val="en-GB" w:eastAsia="en-US"/>
        </w:rPr>
        <w:t xml:space="preserve">, T. (2020). Twenty-first century ocean warming, acidification, deoxygenation, and upper-ocean nutrient and primary production decline from CMIP6 model projections. </w:t>
      </w:r>
      <w:proofErr w:type="spellStart"/>
      <w:r w:rsidRPr="002B4DD4">
        <w:rPr>
          <w:rFonts w:eastAsiaTheme="minorHAnsi"/>
          <w:color w:val="3F3F3F"/>
          <w:lang w:val="en-GB" w:eastAsia="en-US"/>
        </w:rPr>
        <w:t>Biogeosciences</w:t>
      </w:r>
      <w:proofErr w:type="spellEnd"/>
      <w:r w:rsidRPr="002B4DD4">
        <w:rPr>
          <w:rFonts w:eastAsiaTheme="minorHAnsi"/>
          <w:color w:val="3F3F3F"/>
          <w:lang w:val="en-GB" w:eastAsia="en-US"/>
        </w:rPr>
        <w:t>, 17(13), 3439-3470.</w:t>
      </w:r>
    </w:p>
    <w:p w14:paraId="359D9DED" w14:textId="5379CDA6"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2B4DD4">
        <w:rPr>
          <w:noProof/>
        </w:rPr>
        <w:t>Lacour, L., Ardyna, M., Stec, K. F., Claustre, H., Prieur, L., Poteau, A., … Iudicone, D. (2017). Unexpected winter phytoplankton</w:t>
      </w:r>
      <w:r w:rsidRPr="00CD3120">
        <w:rPr>
          <w:noProof/>
        </w:rPr>
        <w:t xml:space="preserve"> blooms in the North Atlantic subpolar gyre. </w:t>
      </w:r>
      <w:r w:rsidRPr="00CD3120">
        <w:rPr>
          <w:i/>
          <w:iCs/>
          <w:noProof/>
        </w:rPr>
        <w:t>Nature Geoscience</w:t>
      </w:r>
      <w:r w:rsidRPr="00CD3120">
        <w:rPr>
          <w:noProof/>
        </w:rPr>
        <w:t xml:space="preserve">, </w:t>
      </w:r>
      <w:r w:rsidRPr="00CD3120">
        <w:rPr>
          <w:i/>
          <w:iCs/>
          <w:noProof/>
        </w:rPr>
        <w:t>10</w:t>
      </w:r>
      <w:r w:rsidRPr="00CD3120">
        <w:rPr>
          <w:noProof/>
        </w:rPr>
        <w:t>(11), 836–839. https://doi.org/10.1038/NGEO3035</w:t>
      </w:r>
    </w:p>
    <w:p w14:paraId="7AC05074"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Latasa, M., Cabello, A. M., Morán, X. A. G., Massana, R., &amp; Scharek, R. (2017). Distribution of phytoplankton groups within the deep chlorophyll maximum. </w:t>
      </w:r>
      <w:r w:rsidRPr="00CD3120">
        <w:rPr>
          <w:i/>
          <w:iCs/>
          <w:noProof/>
        </w:rPr>
        <w:t>Limnology and Oceanography</w:t>
      </w:r>
      <w:r w:rsidRPr="00CD3120">
        <w:rPr>
          <w:noProof/>
        </w:rPr>
        <w:t xml:space="preserve">, </w:t>
      </w:r>
      <w:r w:rsidRPr="00CD3120">
        <w:rPr>
          <w:i/>
          <w:iCs/>
          <w:noProof/>
        </w:rPr>
        <w:t>62</w:t>
      </w:r>
      <w:r w:rsidRPr="00CD3120">
        <w:rPr>
          <w:noProof/>
        </w:rPr>
        <w:t>(2), 665–685. https://doi.org/10.1002/lno.10452</w:t>
      </w:r>
    </w:p>
    <w:p w14:paraId="3EDB7DA8"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Latasa, M., Gutiérrez-Rodríguez, A., Cabello, A. M. M., &amp; Scharek, R. (2016). Influence of light and nutrients on the vertical distribution of marine phytoplankton groups in the deep chlorophyll maximum. </w:t>
      </w:r>
      <w:r w:rsidRPr="00CD3120">
        <w:rPr>
          <w:i/>
          <w:iCs/>
          <w:noProof/>
        </w:rPr>
        <w:t>Scientia Marina</w:t>
      </w:r>
      <w:r w:rsidRPr="00CD3120">
        <w:rPr>
          <w:noProof/>
        </w:rPr>
        <w:t xml:space="preserve">, </w:t>
      </w:r>
      <w:r w:rsidRPr="00CD3120">
        <w:rPr>
          <w:i/>
          <w:iCs/>
          <w:noProof/>
        </w:rPr>
        <w:t>80</w:t>
      </w:r>
      <w:r w:rsidRPr="00CD3120">
        <w:rPr>
          <w:noProof/>
        </w:rPr>
        <w:t>(S1), 57–62. https://doi.org/10.3989/scimar.04316.01a</w:t>
      </w:r>
    </w:p>
    <w:p w14:paraId="05707844" w14:textId="6DAE0F31" w:rsidR="00C74EDC" w:rsidRPr="00EC0489"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Laufkötter, C., Vogt, M., Gruber, N., Aita-Noguchi, M., Aumont, O., Bopp, L., … Volker, C. (2015). Drivers and uncertainties of future global marine primary production in marine ecosystem models. </w:t>
      </w:r>
      <w:r w:rsidRPr="00CD3120">
        <w:rPr>
          <w:i/>
          <w:iCs/>
          <w:noProof/>
        </w:rPr>
        <w:t>Biogeosciences</w:t>
      </w:r>
      <w:r w:rsidRPr="00CD3120">
        <w:rPr>
          <w:noProof/>
        </w:rPr>
        <w:t xml:space="preserve">, </w:t>
      </w:r>
      <w:r w:rsidRPr="00CD3120">
        <w:rPr>
          <w:i/>
          <w:iCs/>
          <w:noProof/>
        </w:rPr>
        <w:t>12</w:t>
      </w:r>
      <w:r w:rsidRPr="00CD3120">
        <w:rPr>
          <w:noProof/>
        </w:rPr>
        <w:t xml:space="preserve">(23), 6955–6984. </w:t>
      </w:r>
      <w:hyperlink r:id="rId24" w:history="1">
        <w:r w:rsidR="00EC0489" w:rsidRPr="00EC0489">
          <w:rPr>
            <w:rStyle w:val="Hyperlink"/>
            <w:noProof/>
          </w:rPr>
          <w:t>https://doi.org/10.5194/bg-12-6955-2015</w:t>
        </w:r>
      </w:hyperlink>
    </w:p>
    <w:p w14:paraId="398CBB17" w14:textId="591EE735" w:rsidR="00EC0489" w:rsidRPr="00EC0489" w:rsidRDefault="00EC0489" w:rsidP="0053305D">
      <w:pPr>
        <w:widowControl w:val="0"/>
        <w:autoSpaceDE w:val="0"/>
        <w:autoSpaceDN w:val="0"/>
        <w:adjustRightInd w:val="0"/>
        <w:snapToGrid w:val="0"/>
        <w:spacing w:line="360" w:lineRule="auto"/>
        <w:ind w:left="480" w:hanging="480"/>
        <w:jc w:val="both"/>
        <w:rPr>
          <w:noProof/>
        </w:rPr>
      </w:pPr>
      <w:r w:rsidRPr="00EC0489">
        <w:rPr>
          <w:color w:val="222222"/>
          <w:shd w:val="clear" w:color="auto" w:fill="FFFFFF"/>
        </w:rPr>
        <w:t>Laws, E. A., Letelier, R. M., &amp; Karl, D. M. (2014). Estimating the compensation irradiance in the ocean: The importance of accounting for non-photosynthetic uptake of inorganic carbon. </w:t>
      </w:r>
      <w:r w:rsidRPr="00EC0489">
        <w:rPr>
          <w:i/>
          <w:iCs/>
          <w:color w:val="222222"/>
          <w:shd w:val="clear" w:color="auto" w:fill="FFFFFF"/>
        </w:rPr>
        <w:t>Deep Sea Research Part I: Oceanographic Research Papers</w:t>
      </w:r>
      <w:r w:rsidRPr="00EC0489">
        <w:rPr>
          <w:color w:val="222222"/>
          <w:shd w:val="clear" w:color="auto" w:fill="FFFFFF"/>
        </w:rPr>
        <w:t>, </w:t>
      </w:r>
      <w:r w:rsidRPr="00EC0489">
        <w:rPr>
          <w:i/>
          <w:iCs/>
          <w:color w:val="222222"/>
          <w:shd w:val="clear" w:color="auto" w:fill="FFFFFF"/>
        </w:rPr>
        <w:t>93</w:t>
      </w:r>
      <w:r w:rsidRPr="00EC0489">
        <w:rPr>
          <w:color w:val="222222"/>
          <w:shd w:val="clear" w:color="auto" w:fill="FFFFFF"/>
        </w:rPr>
        <w:t>, 35-40.</w:t>
      </w:r>
    </w:p>
    <w:p w14:paraId="46C28133" w14:textId="77777777" w:rsidR="00C74EDC" w:rsidRPr="00EC6E53" w:rsidRDefault="00C74EDC" w:rsidP="0053305D">
      <w:pPr>
        <w:widowControl w:val="0"/>
        <w:autoSpaceDE w:val="0"/>
        <w:autoSpaceDN w:val="0"/>
        <w:adjustRightInd w:val="0"/>
        <w:snapToGrid w:val="0"/>
        <w:spacing w:line="360" w:lineRule="auto"/>
        <w:ind w:left="480" w:hanging="480"/>
        <w:jc w:val="both"/>
        <w:rPr>
          <w:noProof/>
        </w:rPr>
      </w:pPr>
      <w:r w:rsidRPr="00EC0489">
        <w:rPr>
          <w:noProof/>
        </w:rPr>
        <w:t>Letelier, R. M., Karl, D. M., Abbott, M. R., &amp; Bidigare, R. R. (2004).</w:t>
      </w:r>
      <w:r w:rsidRPr="00CD3120">
        <w:rPr>
          <w:noProof/>
        </w:rPr>
        <w:t xml:space="preserve"> Light driven seasonal </w:t>
      </w:r>
      <w:r w:rsidRPr="00EC6E53">
        <w:rPr>
          <w:noProof/>
        </w:rPr>
        <w:t xml:space="preserve">patterns of chlorophyll and nitrate in the lower euphotic zone of the North Pacific Subtropical Gyre. </w:t>
      </w:r>
      <w:r w:rsidRPr="00EC6E53">
        <w:rPr>
          <w:i/>
          <w:iCs/>
          <w:noProof/>
        </w:rPr>
        <w:t>Limnology and Oceanography</w:t>
      </w:r>
      <w:r w:rsidRPr="00EC6E53">
        <w:rPr>
          <w:noProof/>
        </w:rPr>
        <w:t xml:space="preserve">, </w:t>
      </w:r>
      <w:r w:rsidRPr="00EC6E53">
        <w:rPr>
          <w:i/>
          <w:iCs/>
          <w:noProof/>
        </w:rPr>
        <w:t>49</w:t>
      </w:r>
      <w:r w:rsidRPr="00EC6E53">
        <w:rPr>
          <w:noProof/>
        </w:rPr>
        <w:t>(2), 508–519. https://doi.org/10.4319/lo.2004.49.2.0508</w:t>
      </w:r>
    </w:p>
    <w:p w14:paraId="007F5034" w14:textId="4726C983" w:rsidR="00EC6E53" w:rsidRPr="009D4CF8" w:rsidRDefault="00EC6E53" w:rsidP="0053305D">
      <w:pPr>
        <w:widowControl w:val="0"/>
        <w:autoSpaceDE w:val="0"/>
        <w:autoSpaceDN w:val="0"/>
        <w:adjustRightInd w:val="0"/>
        <w:snapToGrid w:val="0"/>
        <w:spacing w:line="360" w:lineRule="auto"/>
        <w:ind w:left="480" w:hanging="480"/>
        <w:jc w:val="both"/>
        <w:rPr>
          <w:noProof/>
        </w:rPr>
      </w:pPr>
      <w:r w:rsidRPr="00EC6E53">
        <w:rPr>
          <w:color w:val="222222"/>
          <w:shd w:val="clear" w:color="auto" w:fill="FFFFFF"/>
        </w:rPr>
        <w:t>Li, G., Cheng, L., Zhu, J., Trenberth, K. E., Mann, M. E., &amp; Abraham, J. P. (2020). Increasing ocean stratification over the past half-century. </w:t>
      </w:r>
      <w:r w:rsidRPr="00EC6E53">
        <w:rPr>
          <w:i/>
          <w:iCs/>
          <w:color w:val="222222"/>
          <w:shd w:val="clear" w:color="auto" w:fill="FFFFFF"/>
        </w:rPr>
        <w:t>Nature Climate Change</w:t>
      </w:r>
      <w:r w:rsidRPr="00EC6E53">
        <w:rPr>
          <w:color w:val="222222"/>
          <w:shd w:val="clear" w:color="auto" w:fill="FFFFFF"/>
        </w:rPr>
        <w:t>, </w:t>
      </w:r>
      <w:r w:rsidRPr="00EC6E53">
        <w:rPr>
          <w:i/>
          <w:iCs/>
          <w:color w:val="222222"/>
          <w:shd w:val="clear" w:color="auto" w:fill="FFFFFF"/>
        </w:rPr>
        <w:t>10</w:t>
      </w:r>
      <w:r w:rsidRPr="00EC6E53">
        <w:rPr>
          <w:color w:val="222222"/>
          <w:shd w:val="clear" w:color="auto" w:fill="FFFFFF"/>
        </w:rPr>
        <w:t>(12), 1116-</w:t>
      </w:r>
      <w:r w:rsidRPr="009D4CF8">
        <w:rPr>
          <w:color w:val="222222"/>
          <w:shd w:val="clear" w:color="auto" w:fill="FFFFFF"/>
        </w:rPr>
        <w:t>1123.</w:t>
      </w:r>
    </w:p>
    <w:p w14:paraId="714A0635" w14:textId="21E7FE29" w:rsidR="009D4CF8" w:rsidRPr="009D4CF8" w:rsidRDefault="009D4CF8" w:rsidP="0053305D">
      <w:pPr>
        <w:widowControl w:val="0"/>
        <w:autoSpaceDE w:val="0"/>
        <w:autoSpaceDN w:val="0"/>
        <w:adjustRightInd w:val="0"/>
        <w:snapToGrid w:val="0"/>
        <w:spacing w:line="360" w:lineRule="auto"/>
        <w:ind w:left="480" w:hanging="480"/>
        <w:jc w:val="both"/>
        <w:rPr>
          <w:color w:val="222222"/>
          <w:shd w:val="clear" w:color="auto" w:fill="FFFFFF"/>
        </w:rPr>
      </w:pPr>
      <w:r w:rsidRPr="009D4CF8">
        <w:rPr>
          <w:color w:val="222222"/>
          <w:shd w:val="clear" w:color="auto" w:fill="FFFFFF"/>
        </w:rPr>
        <w:t xml:space="preserve">Liniger, G., Moreau, S., Lannuzel, D., &amp; Strutton, P. (2024). Large contribution of the sea-ice zone to Southern Ocean carbon export revealed by BGC-Argo floats. </w:t>
      </w:r>
      <w:r w:rsidRPr="009D4CF8">
        <w:rPr>
          <w:i/>
          <w:iCs/>
          <w:color w:val="222222"/>
          <w:shd w:val="clear" w:color="auto" w:fill="FFFFFF"/>
        </w:rPr>
        <w:t>Pre-print</w:t>
      </w:r>
      <w:r>
        <w:rPr>
          <w:i/>
          <w:iCs/>
          <w:color w:val="222222"/>
          <w:shd w:val="clear" w:color="auto" w:fill="FFFFFF"/>
        </w:rPr>
        <w:t xml:space="preserve">, Version 2, posted 03 </w:t>
      </w:r>
      <w:proofErr w:type="gramStart"/>
      <w:r>
        <w:rPr>
          <w:i/>
          <w:iCs/>
          <w:color w:val="222222"/>
          <w:shd w:val="clear" w:color="auto" w:fill="FFFFFF"/>
        </w:rPr>
        <w:t>Apr,</w:t>
      </w:r>
      <w:proofErr w:type="gramEnd"/>
      <w:r>
        <w:rPr>
          <w:i/>
          <w:iCs/>
          <w:color w:val="222222"/>
          <w:shd w:val="clear" w:color="auto" w:fill="FFFFFF"/>
        </w:rPr>
        <w:t xml:space="preserve"> 2024</w:t>
      </w:r>
      <w:r w:rsidRPr="009D4CF8">
        <w:rPr>
          <w:i/>
          <w:iCs/>
          <w:color w:val="222222"/>
          <w:shd w:val="clear" w:color="auto" w:fill="FFFFFF"/>
        </w:rPr>
        <w:t xml:space="preserve">. Accessed on 8, </w:t>
      </w:r>
      <w:proofErr w:type="gramStart"/>
      <w:r w:rsidRPr="009D4CF8">
        <w:rPr>
          <w:i/>
          <w:iCs/>
          <w:color w:val="222222"/>
          <w:shd w:val="clear" w:color="auto" w:fill="FFFFFF"/>
        </w:rPr>
        <w:t>July,</w:t>
      </w:r>
      <w:proofErr w:type="gramEnd"/>
      <w:r w:rsidRPr="009D4CF8">
        <w:rPr>
          <w:i/>
          <w:iCs/>
          <w:color w:val="222222"/>
          <w:shd w:val="clear" w:color="auto" w:fill="FFFFFF"/>
        </w:rPr>
        <w:t xml:space="preserve"> 2024</w:t>
      </w:r>
      <w:r w:rsidRPr="009D4CF8">
        <w:rPr>
          <w:color w:val="222222"/>
          <w:shd w:val="clear" w:color="auto" w:fill="FFFFFF"/>
        </w:rPr>
        <w:t>.</w:t>
      </w:r>
    </w:p>
    <w:p w14:paraId="664D08E8" w14:textId="37DE96C0" w:rsidR="00465E84" w:rsidRPr="009D4CF8" w:rsidRDefault="00465E84" w:rsidP="0053305D">
      <w:pPr>
        <w:widowControl w:val="0"/>
        <w:autoSpaceDE w:val="0"/>
        <w:autoSpaceDN w:val="0"/>
        <w:adjustRightInd w:val="0"/>
        <w:snapToGrid w:val="0"/>
        <w:spacing w:line="360" w:lineRule="auto"/>
        <w:ind w:left="480" w:hanging="480"/>
        <w:jc w:val="both"/>
        <w:rPr>
          <w:color w:val="222222"/>
          <w:shd w:val="clear" w:color="auto" w:fill="FFFFFF"/>
        </w:rPr>
      </w:pPr>
      <w:r w:rsidRPr="009D4CF8">
        <w:rPr>
          <w:color w:val="222222"/>
          <w:shd w:val="clear" w:color="auto" w:fill="FFFFFF"/>
        </w:rPr>
        <w:t>Llort, J., Langlais, C., Matear, R., Moreau, S., Lenton, A., &amp; Strutton, P. G. (2018). Evaluating Southern Ocean carbon eddy‐pump from biogeochemical‐Argo floats. </w:t>
      </w:r>
      <w:r w:rsidRPr="009D4CF8">
        <w:rPr>
          <w:i/>
          <w:iCs/>
          <w:color w:val="222222"/>
          <w:shd w:val="clear" w:color="auto" w:fill="FFFFFF"/>
        </w:rPr>
        <w:t>Journal of Geophysical Research: Oceans</w:t>
      </w:r>
      <w:r w:rsidRPr="009D4CF8">
        <w:rPr>
          <w:color w:val="222222"/>
          <w:shd w:val="clear" w:color="auto" w:fill="FFFFFF"/>
        </w:rPr>
        <w:t>, </w:t>
      </w:r>
      <w:r w:rsidRPr="009D4CF8">
        <w:rPr>
          <w:i/>
          <w:iCs/>
          <w:color w:val="222222"/>
          <w:shd w:val="clear" w:color="auto" w:fill="FFFFFF"/>
        </w:rPr>
        <w:t>123</w:t>
      </w:r>
      <w:r w:rsidRPr="009D4CF8">
        <w:rPr>
          <w:color w:val="222222"/>
          <w:shd w:val="clear" w:color="auto" w:fill="FFFFFF"/>
        </w:rPr>
        <w:t>(2), 971-984.</w:t>
      </w:r>
    </w:p>
    <w:p w14:paraId="128CBB97" w14:textId="3DFE77F7" w:rsidR="002411A3" w:rsidRPr="002411A3" w:rsidRDefault="002411A3" w:rsidP="0053305D">
      <w:pPr>
        <w:widowControl w:val="0"/>
        <w:autoSpaceDE w:val="0"/>
        <w:autoSpaceDN w:val="0"/>
        <w:adjustRightInd w:val="0"/>
        <w:snapToGrid w:val="0"/>
        <w:spacing w:line="360" w:lineRule="auto"/>
        <w:ind w:left="480" w:hanging="480"/>
        <w:jc w:val="both"/>
        <w:rPr>
          <w:noProof/>
        </w:rPr>
      </w:pPr>
      <w:r w:rsidRPr="00465E84">
        <w:rPr>
          <w:color w:val="222222"/>
          <w:shd w:val="clear" w:color="auto" w:fill="FFFFFF"/>
        </w:rPr>
        <w:t xml:space="preserve">Long, J. S., Fassbender, A. J., &amp; Estapa, M. L. (2021). Depth‐resolved net primary production </w:t>
      </w:r>
      <w:r w:rsidRPr="00465E84">
        <w:rPr>
          <w:color w:val="222222"/>
          <w:shd w:val="clear" w:color="auto" w:fill="FFFFFF"/>
        </w:rPr>
        <w:lastRenderedPageBreak/>
        <w:t>in the Northeast Pacific Ocean: A comparison of satellite and profiling float estimates in the</w:t>
      </w:r>
      <w:r w:rsidRPr="00C80717">
        <w:rPr>
          <w:color w:val="222222"/>
          <w:shd w:val="clear" w:color="auto" w:fill="FFFFFF"/>
        </w:rPr>
        <w:t xml:space="preserve"> context of two marine heatwaves. </w:t>
      </w:r>
      <w:r w:rsidRPr="00C80717">
        <w:rPr>
          <w:i/>
          <w:iCs/>
          <w:color w:val="222222"/>
          <w:shd w:val="clear" w:color="auto" w:fill="FFFFFF"/>
        </w:rPr>
        <w:t>Geophysical Research Letters</w:t>
      </w:r>
      <w:r w:rsidRPr="00C80717">
        <w:rPr>
          <w:color w:val="222222"/>
          <w:shd w:val="clear" w:color="auto" w:fill="FFFFFF"/>
        </w:rPr>
        <w:t>, </w:t>
      </w:r>
      <w:r w:rsidRPr="00C80717">
        <w:rPr>
          <w:i/>
          <w:iCs/>
          <w:color w:val="222222"/>
          <w:shd w:val="clear" w:color="auto" w:fill="FFFFFF"/>
        </w:rPr>
        <w:t>48</w:t>
      </w:r>
      <w:r w:rsidRPr="00C80717">
        <w:rPr>
          <w:color w:val="222222"/>
          <w:shd w:val="clear" w:color="auto" w:fill="FFFFFF"/>
        </w:rPr>
        <w:t>(19), e2021GL093462.</w:t>
      </w:r>
    </w:p>
    <w:p w14:paraId="2EE359B8" w14:textId="71BA48EE" w:rsidR="00C74EDC" w:rsidRPr="002411A3" w:rsidRDefault="00C74EDC" w:rsidP="0053305D">
      <w:pPr>
        <w:widowControl w:val="0"/>
        <w:autoSpaceDE w:val="0"/>
        <w:autoSpaceDN w:val="0"/>
        <w:adjustRightInd w:val="0"/>
        <w:snapToGrid w:val="0"/>
        <w:spacing w:line="360" w:lineRule="auto"/>
        <w:ind w:left="480" w:hanging="480"/>
        <w:jc w:val="both"/>
        <w:rPr>
          <w:noProof/>
        </w:rPr>
      </w:pPr>
      <w:r w:rsidRPr="002411A3">
        <w:rPr>
          <w:noProof/>
        </w:rPr>
        <w:t xml:space="preserve">Longhurst, A. (2007). </w:t>
      </w:r>
      <w:r w:rsidRPr="002411A3">
        <w:rPr>
          <w:i/>
          <w:iCs/>
          <w:noProof/>
        </w:rPr>
        <w:t>Ecological Geography of the Sea</w:t>
      </w:r>
      <w:r w:rsidRPr="002411A3">
        <w:rPr>
          <w:noProof/>
        </w:rPr>
        <w:t>. https://doi.org/10.1016/0079-6611(95)00015-1</w:t>
      </w:r>
    </w:p>
    <w:p w14:paraId="62F5B9AA" w14:textId="77777777" w:rsidR="00C74EDC" w:rsidRPr="00C37DDA"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Longhurst, A., Sathyendranath, S., Platt, T., &amp; Caverhill, C. (1995). An estimate of global primary production in the ocean from satellite radiometer data. </w:t>
      </w:r>
      <w:r w:rsidRPr="00CD3120">
        <w:rPr>
          <w:i/>
          <w:iCs/>
          <w:noProof/>
        </w:rPr>
        <w:t xml:space="preserve">Journal of Plankton </w:t>
      </w:r>
      <w:r w:rsidRPr="00C37DDA">
        <w:rPr>
          <w:i/>
          <w:iCs/>
          <w:noProof/>
        </w:rPr>
        <w:t>Research</w:t>
      </w:r>
      <w:r w:rsidRPr="00C37DDA">
        <w:rPr>
          <w:noProof/>
        </w:rPr>
        <w:t xml:space="preserve">, </w:t>
      </w:r>
      <w:r w:rsidRPr="00C37DDA">
        <w:rPr>
          <w:i/>
          <w:iCs/>
          <w:noProof/>
        </w:rPr>
        <w:t>17</w:t>
      </w:r>
      <w:r w:rsidRPr="00C37DDA">
        <w:rPr>
          <w:noProof/>
        </w:rPr>
        <w:t>(6), 1245–1271. https://doi.org/10.1093/plankt/17.6.1245</w:t>
      </w:r>
    </w:p>
    <w:p w14:paraId="626C65C6" w14:textId="17A32A69" w:rsidR="00C37DDA" w:rsidRPr="00C37DDA" w:rsidRDefault="00C37DDA" w:rsidP="0053305D">
      <w:pPr>
        <w:widowControl w:val="0"/>
        <w:autoSpaceDE w:val="0"/>
        <w:autoSpaceDN w:val="0"/>
        <w:adjustRightInd w:val="0"/>
        <w:snapToGrid w:val="0"/>
        <w:spacing w:line="360" w:lineRule="auto"/>
        <w:ind w:left="480" w:hanging="480"/>
        <w:jc w:val="both"/>
        <w:rPr>
          <w:noProof/>
        </w:rPr>
      </w:pPr>
      <w:proofErr w:type="spellStart"/>
      <w:r w:rsidRPr="00C37DDA">
        <w:rPr>
          <w:color w:val="222222"/>
          <w:shd w:val="clear" w:color="auto" w:fill="FFFFFF"/>
        </w:rPr>
        <w:t>Marañón</w:t>
      </w:r>
      <w:proofErr w:type="spellEnd"/>
      <w:r w:rsidRPr="00C37DDA">
        <w:rPr>
          <w:color w:val="222222"/>
          <w:shd w:val="clear" w:color="auto" w:fill="FFFFFF"/>
        </w:rPr>
        <w:t xml:space="preserve">, E., Van Wambeke, F., Uitz, J., Boss, E. S., </w:t>
      </w:r>
      <w:proofErr w:type="spellStart"/>
      <w:r w:rsidRPr="00C37DDA">
        <w:rPr>
          <w:color w:val="222222"/>
          <w:shd w:val="clear" w:color="auto" w:fill="FFFFFF"/>
        </w:rPr>
        <w:t>Dimier</w:t>
      </w:r>
      <w:proofErr w:type="spellEnd"/>
      <w:r w:rsidRPr="00C37DDA">
        <w:rPr>
          <w:color w:val="222222"/>
          <w:shd w:val="clear" w:color="auto" w:fill="FFFFFF"/>
        </w:rPr>
        <w:t xml:space="preserve">, C., </w:t>
      </w:r>
      <w:proofErr w:type="spellStart"/>
      <w:r w:rsidRPr="00C37DDA">
        <w:rPr>
          <w:color w:val="222222"/>
          <w:shd w:val="clear" w:color="auto" w:fill="FFFFFF"/>
        </w:rPr>
        <w:t>Dinasquet</w:t>
      </w:r>
      <w:proofErr w:type="spellEnd"/>
      <w:r w:rsidRPr="00C37DDA">
        <w:rPr>
          <w:color w:val="222222"/>
          <w:shd w:val="clear" w:color="auto" w:fill="FFFFFF"/>
        </w:rPr>
        <w:t xml:space="preserve">, J., ... &amp; </w:t>
      </w:r>
      <w:proofErr w:type="spellStart"/>
      <w:r w:rsidRPr="00C37DDA">
        <w:rPr>
          <w:color w:val="222222"/>
          <w:shd w:val="clear" w:color="auto" w:fill="FFFFFF"/>
        </w:rPr>
        <w:t>Zäncker</w:t>
      </w:r>
      <w:proofErr w:type="spellEnd"/>
      <w:r w:rsidRPr="00C37DDA">
        <w:rPr>
          <w:color w:val="222222"/>
          <w:shd w:val="clear" w:color="auto" w:fill="FFFFFF"/>
        </w:rPr>
        <w:t>, B. (2021). Deep maxima of phytoplankton biomass, primary production and bacterial production in the Mediterranean Sea. </w:t>
      </w:r>
      <w:proofErr w:type="spellStart"/>
      <w:r w:rsidRPr="00C37DDA">
        <w:rPr>
          <w:i/>
          <w:iCs/>
          <w:color w:val="222222"/>
          <w:shd w:val="clear" w:color="auto" w:fill="FFFFFF"/>
        </w:rPr>
        <w:t>Biogeosciences</w:t>
      </w:r>
      <w:proofErr w:type="spellEnd"/>
      <w:r w:rsidRPr="00C37DDA">
        <w:rPr>
          <w:color w:val="222222"/>
          <w:shd w:val="clear" w:color="auto" w:fill="FFFFFF"/>
        </w:rPr>
        <w:t>, </w:t>
      </w:r>
      <w:r w:rsidRPr="00C37DDA">
        <w:rPr>
          <w:i/>
          <w:iCs/>
          <w:color w:val="222222"/>
          <w:shd w:val="clear" w:color="auto" w:fill="FFFFFF"/>
        </w:rPr>
        <w:t>18</w:t>
      </w:r>
      <w:r w:rsidRPr="00C37DDA">
        <w:rPr>
          <w:color w:val="222222"/>
          <w:shd w:val="clear" w:color="auto" w:fill="FFFFFF"/>
        </w:rPr>
        <w:t>(5), 1749-1767.</w:t>
      </w:r>
    </w:p>
    <w:p w14:paraId="07E09616" w14:textId="0BB60F0F" w:rsidR="00C74EDC" w:rsidRPr="00C80717" w:rsidRDefault="00C74EDC" w:rsidP="0053305D">
      <w:pPr>
        <w:widowControl w:val="0"/>
        <w:autoSpaceDE w:val="0"/>
        <w:autoSpaceDN w:val="0"/>
        <w:adjustRightInd w:val="0"/>
        <w:snapToGrid w:val="0"/>
        <w:spacing w:line="360" w:lineRule="auto"/>
        <w:ind w:left="480" w:hanging="480"/>
        <w:jc w:val="both"/>
        <w:rPr>
          <w:noProof/>
        </w:rPr>
      </w:pPr>
      <w:r w:rsidRPr="00C37DDA">
        <w:rPr>
          <w:noProof/>
        </w:rPr>
        <w:t>Marinov, I., Doney, S. C., &amp; Lima, I. D. (2010). Response of ocean phytoplankton community structure to climate change over the 21st century: Partitioning the effects of nutrients, temperature and</w:t>
      </w:r>
      <w:r w:rsidRPr="00CD3120">
        <w:rPr>
          <w:noProof/>
        </w:rPr>
        <w:t xml:space="preserve"> light. </w:t>
      </w:r>
      <w:r w:rsidRPr="00CD3120">
        <w:rPr>
          <w:i/>
          <w:iCs/>
          <w:noProof/>
        </w:rPr>
        <w:t>Biogeosciences</w:t>
      </w:r>
      <w:r w:rsidRPr="00CD3120">
        <w:rPr>
          <w:noProof/>
        </w:rPr>
        <w:t xml:space="preserve">, </w:t>
      </w:r>
      <w:r w:rsidRPr="00CD3120">
        <w:rPr>
          <w:i/>
          <w:iCs/>
          <w:noProof/>
        </w:rPr>
        <w:t>7</w:t>
      </w:r>
      <w:r w:rsidRPr="00CD3120">
        <w:rPr>
          <w:noProof/>
        </w:rPr>
        <w:t>(12), 3941–3959. https://doi.org/10.5194/bg-7-</w:t>
      </w:r>
      <w:r w:rsidRPr="00C80717">
        <w:rPr>
          <w:noProof/>
        </w:rPr>
        <w:t>3941-2010</w:t>
      </w:r>
    </w:p>
    <w:p w14:paraId="17FEC816" w14:textId="2FA33DF4" w:rsidR="00B368B9" w:rsidRPr="00C80717" w:rsidRDefault="00C80717" w:rsidP="0053305D">
      <w:pPr>
        <w:widowControl w:val="0"/>
        <w:autoSpaceDE w:val="0"/>
        <w:autoSpaceDN w:val="0"/>
        <w:adjustRightInd w:val="0"/>
        <w:snapToGrid w:val="0"/>
        <w:spacing w:line="360" w:lineRule="auto"/>
        <w:ind w:left="480" w:hanging="480"/>
        <w:jc w:val="both"/>
        <w:rPr>
          <w:noProof/>
        </w:rPr>
      </w:pPr>
      <w:r w:rsidRPr="00C80717">
        <w:rPr>
          <w:color w:val="222222"/>
          <w:shd w:val="clear" w:color="auto" w:fill="FFFFFF"/>
        </w:rPr>
        <w:t>Martin, J. H., Gordon, R. M., &amp; Fitzwater, S. E. (1990). Iron in Antarctic waters. </w:t>
      </w:r>
      <w:r w:rsidRPr="00C80717">
        <w:rPr>
          <w:i/>
          <w:iCs/>
          <w:color w:val="222222"/>
          <w:shd w:val="clear" w:color="auto" w:fill="FFFFFF"/>
        </w:rPr>
        <w:t>Nature</w:t>
      </w:r>
      <w:r w:rsidRPr="00C80717">
        <w:rPr>
          <w:color w:val="222222"/>
          <w:shd w:val="clear" w:color="auto" w:fill="FFFFFF"/>
        </w:rPr>
        <w:t>, </w:t>
      </w:r>
      <w:r w:rsidRPr="00C80717">
        <w:rPr>
          <w:i/>
          <w:iCs/>
          <w:color w:val="222222"/>
          <w:shd w:val="clear" w:color="auto" w:fill="FFFFFF"/>
        </w:rPr>
        <w:t>345</w:t>
      </w:r>
      <w:r w:rsidRPr="00C80717">
        <w:rPr>
          <w:color w:val="222222"/>
          <w:shd w:val="clear" w:color="auto" w:fill="FFFFFF"/>
        </w:rPr>
        <w:t>(6271), 156-158.</w:t>
      </w:r>
    </w:p>
    <w:p w14:paraId="4DEA8FFA" w14:textId="5773FEB2"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80717">
        <w:rPr>
          <w:noProof/>
        </w:rPr>
        <w:t>McDougall, T. J.,</w:t>
      </w:r>
      <w:r w:rsidRPr="00CD3120">
        <w:rPr>
          <w:noProof/>
        </w:rPr>
        <w:t xml:space="preserve"> &amp; Barker, P. M. (2011). </w:t>
      </w:r>
      <w:r w:rsidRPr="00CD3120">
        <w:rPr>
          <w:i/>
          <w:iCs/>
          <w:noProof/>
        </w:rPr>
        <w:t>Getting started with TEOS-10 and the Gibbs Seawater ( GSW )</w:t>
      </w:r>
      <w:r w:rsidRPr="00CD3120">
        <w:rPr>
          <w:noProof/>
        </w:rPr>
        <w:t xml:space="preserve">. </w:t>
      </w:r>
      <w:r w:rsidRPr="00CD3120">
        <w:rPr>
          <w:i/>
          <w:iCs/>
          <w:noProof/>
        </w:rPr>
        <w:t>Scor/Iapso Wg127</w:t>
      </w:r>
      <w:r w:rsidRPr="00CD3120">
        <w:rPr>
          <w:noProof/>
        </w:rPr>
        <w:t>. Retrieved from http://www.teos-10.org/pubs/gsw/v3_04/pdf/Getting_Started.pdf</w:t>
      </w:r>
    </w:p>
    <w:p w14:paraId="3AA23653"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Mignot, A., Claustre, H., Uitz, J., Poteau, A., D’Ortenzio, F., &amp; Xing, X. (2014). Understanding the seasonal dynamics of phytoplankton biomass and the deep chlorophyll maximum in oligotrophic environments: A Bio-Argo float investigation. </w:t>
      </w:r>
      <w:r w:rsidRPr="00CD3120">
        <w:rPr>
          <w:i/>
          <w:iCs/>
          <w:noProof/>
        </w:rPr>
        <w:t>Global Biogeochemical Cycles</w:t>
      </w:r>
      <w:r w:rsidRPr="00CD3120">
        <w:rPr>
          <w:noProof/>
        </w:rPr>
        <w:t xml:space="preserve">, </w:t>
      </w:r>
      <w:r w:rsidRPr="00CD3120">
        <w:rPr>
          <w:i/>
          <w:iCs/>
          <w:noProof/>
        </w:rPr>
        <w:t>28</w:t>
      </w:r>
      <w:r w:rsidRPr="00CD3120">
        <w:rPr>
          <w:noProof/>
        </w:rPr>
        <w:t>, 856–876. https://doi.org/10.1111/1462-2920.13280</w:t>
      </w:r>
    </w:p>
    <w:p w14:paraId="7C0AD315"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Morel, A. (1988). Optical modeling of the upper ocean in relation to its biogenous matter content (case I waters). </w:t>
      </w:r>
      <w:r w:rsidRPr="00CD3120">
        <w:rPr>
          <w:i/>
          <w:iCs/>
          <w:noProof/>
        </w:rPr>
        <w:t>Journal of Geophysical Research</w:t>
      </w:r>
      <w:r w:rsidRPr="00CD3120">
        <w:rPr>
          <w:noProof/>
        </w:rPr>
        <w:t xml:space="preserve">, </w:t>
      </w:r>
      <w:r w:rsidRPr="00CD3120">
        <w:rPr>
          <w:i/>
          <w:iCs/>
          <w:noProof/>
        </w:rPr>
        <w:t>93</w:t>
      </w:r>
      <w:r w:rsidRPr="00CD3120">
        <w:rPr>
          <w:noProof/>
        </w:rPr>
        <w:t>(C9), 10749. https://doi.org/10.1029/jc093ic09p10749</w:t>
      </w:r>
    </w:p>
    <w:p w14:paraId="4650D107"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Morel, A., Huot, Y., Gentili, B., Werdell, P. J., Hooker, S. B., &amp; Franz, B. A. (2007). Examining the consistency of products derived from various ocean color sensors in open ocean (Case 1) waters in the perspective of a multi-sensor approach. </w:t>
      </w:r>
      <w:r w:rsidRPr="00CD3120">
        <w:rPr>
          <w:i/>
          <w:iCs/>
          <w:noProof/>
        </w:rPr>
        <w:t>Remote Sensing of Environment</w:t>
      </w:r>
      <w:r w:rsidRPr="00CD3120">
        <w:rPr>
          <w:noProof/>
        </w:rPr>
        <w:t xml:space="preserve">, </w:t>
      </w:r>
      <w:r w:rsidRPr="00CD3120">
        <w:rPr>
          <w:i/>
          <w:iCs/>
          <w:noProof/>
        </w:rPr>
        <w:t>111</w:t>
      </w:r>
      <w:r w:rsidRPr="00CD3120">
        <w:rPr>
          <w:noProof/>
        </w:rPr>
        <w:t>(1), 69–88. https://doi.org/10.1016/j.rse.2007.03.012</w:t>
      </w:r>
    </w:p>
    <w:p w14:paraId="256FD1E3"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Morel, A., &amp; Maritorena, S. (2001). Bio-optical properties of oceanic waters: A reappraisal. </w:t>
      </w:r>
      <w:r w:rsidRPr="00CD3120">
        <w:rPr>
          <w:i/>
          <w:iCs/>
          <w:noProof/>
        </w:rPr>
        <w:t>Journal of Geophysical Research: Oceans</w:t>
      </w:r>
      <w:r w:rsidRPr="00CD3120">
        <w:rPr>
          <w:noProof/>
        </w:rPr>
        <w:t xml:space="preserve">, </w:t>
      </w:r>
      <w:r w:rsidRPr="00CD3120">
        <w:rPr>
          <w:i/>
          <w:iCs/>
          <w:noProof/>
        </w:rPr>
        <w:t>106</w:t>
      </w:r>
      <w:r w:rsidRPr="00CD3120">
        <w:rPr>
          <w:noProof/>
        </w:rPr>
        <w:t>(C4), 7163–7180. https://doi.org/10.1029/2000jc000319</w:t>
      </w:r>
    </w:p>
    <w:p w14:paraId="4DD3AADC" w14:textId="77777777" w:rsidR="00C74EDC" w:rsidRPr="00AD4F73" w:rsidRDefault="00C74EDC" w:rsidP="0053305D">
      <w:pPr>
        <w:widowControl w:val="0"/>
        <w:autoSpaceDE w:val="0"/>
        <w:autoSpaceDN w:val="0"/>
        <w:adjustRightInd w:val="0"/>
        <w:snapToGrid w:val="0"/>
        <w:spacing w:line="360" w:lineRule="auto"/>
        <w:ind w:left="480" w:hanging="480"/>
        <w:jc w:val="both"/>
        <w:rPr>
          <w:noProof/>
        </w:rPr>
      </w:pPr>
      <w:r w:rsidRPr="00CD3120">
        <w:rPr>
          <w:noProof/>
        </w:rPr>
        <w:lastRenderedPageBreak/>
        <w:t xml:space="preserve">Parslow, J. S., Boyd, P. W., Rintoul, S. R., &amp; Griffiths, F. B. (2001). A persistent subsurface chlorophyll maximum in the Interpolar Frontal Zone south of Australia: Seasonal progression and implications for phytoplankton-light-nutrient interactions. </w:t>
      </w:r>
      <w:r w:rsidRPr="00CD3120">
        <w:rPr>
          <w:i/>
          <w:iCs/>
          <w:noProof/>
        </w:rPr>
        <w:t>Journal of Geophysical Research: Oceans</w:t>
      </w:r>
      <w:r w:rsidRPr="00CD3120">
        <w:rPr>
          <w:noProof/>
        </w:rPr>
        <w:t xml:space="preserve">, </w:t>
      </w:r>
      <w:r w:rsidRPr="00CD3120">
        <w:rPr>
          <w:i/>
          <w:iCs/>
          <w:noProof/>
        </w:rPr>
        <w:t>106</w:t>
      </w:r>
      <w:r w:rsidRPr="00CD3120">
        <w:rPr>
          <w:noProof/>
        </w:rPr>
        <w:t xml:space="preserve">(C12), 31543–31557. </w:t>
      </w:r>
      <w:r w:rsidRPr="00AD4F73">
        <w:rPr>
          <w:noProof/>
        </w:rPr>
        <w:t>https://doi.org/10.1029/2000jc000322</w:t>
      </w:r>
    </w:p>
    <w:p w14:paraId="20DC288C" w14:textId="3D33BE28" w:rsidR="00AD4F73" w:rsidRPr="00AD4F73" w:rsidRDefault="00AD4F73" w:rsidP="0053305D">
      <w:pPr>
        <w:widowControl w:val="0"/>
        <w:autoSpaceDE w:val="0"/>
        <w:autoSpaceDN w:val="0"/>
        <w:adjustRightInd w:val="0"/>
        <w:snapToGrid w:val="0"/>
        <w:spacing w:line="360" w:lineRule="auto"/>
        <w:ind w:left="480" w:hanging="480"/>
        <w:jc w:val="both"/>
        <w:rPr>
          <w:noProof/>
        </w:rPr>
      </w:pPr>
      <w:r w:rsidRPr="00AD4F73">
        <w:rPr>
          <w:color w:val="222222"/>
          <w:shd w:val="clear" w:color="auto" w:fill="FFFFFF"/>
        </w:rPr>
        <w:t>Pinkerton, M. H., Boyd, P. W., Deppeler, S., Hayward, A., Höfer, J., &amp; Moreau, S. (2021). Evidence for the impact of climate change on primary producers in the Southern Ocean. </w:t>
      </w:r>
      <w:r w:rsidRPr="00AD4F73">
        <w:rPr>
          <w:i/>
          <w:iCs/>
          <w:color w:val="222222"/>
          <w:shd w:val="clear" w:color="auto" w:fill="FFFFFF"/>
        </w:rPr>
        <w:t>Frontiers in Ecology and Evolution</w:t>
      </w:r>
      <w:r w:rsidRPr="00AD4F73">
        <w:rPr>
          <w:color w:val="222222"/>
          <w:shd w:val="clear" w:color="auto" w:fill="FFFFFF"/>
        </w:rPr>
        <w:t>, </w:t>
      </w:r>
      <w:r w:rsidRPr="00AD4F73">
        <w:rPr>
          <w:i/>
          <w:iCs/>
          <w:color w:val="222222"/>
          <w:shd w:val="clear" w:color="auto" w:fill="FFFFFF"/>
        </w:rPr>
        <w:t>9</w:t>
      </w:r>
      <w:r w:rsidRPr="00AD4F73">
        <w:rPr>
          <w:color w:val="222222"/>
          <w:shd w:val="clear" w:color="auto" w:fill="FFFFFF"/>
        </w:rPr>
        <w:t>, 592027.</w:t>
      </w:r>
    </w:p>
    <w:p w14:paraId="4C4E9901" w14:textId="38654A32" w:rsidR="00C74EDC" w:rsidRPr="00AD4F73" w:rsidRDefault="00C74EDC" w:rsidP="0053305D">
      <w:pPr>
        <w:widowControl w:val="0"/>
        <w:autoSpaceDE w:val="0"/>
        <w:autoSpaceDN w:val="0"/>
        <w:adjustRightInd w:val="0"/>
        <w:snapToGrid w:val="0"/>
        <w:spacing w:line="360" w:lineRule="auto"/>
        <w:ind w:left="480" w:hanging="480"/>
        <w:jc w:val="both"/>
        <w:rPr>
          <w:noProof/>
        </w:rPr>
      </w:pPr>
      <w:r w:rsidRPr="00AD4F73">
        <w:rPr>
          <w:noProof/>
        </w:rPr>
        <w:t xml:space="preserve">Platt, T., Sathyendranath, S., Caverhill, C., &amp; Lewis, M. R. (1988). Ocean primary production and available light: further algorithms for remote sensing, </w:t>
      </w:r>
      <w:r w:rsidRPr="00AD4F73">
        <w:rPr>
          <w:i/>
          <w:iCs/>
          <w:noProof/>
        </w:rPr>
        <w:t>35</w:t>
      </w:r>
      <w:r w:rsidRPr="00AD4F73">
        <w:rPr>
          <w:noProof/>
        </w:rPr>
        <w:t>(6), 855–879.</w:t>
      </w:r>
    </w:p>
    <w:p w14:paraId="7E50A875"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AD4F73">
        <w:rPr>
          <w:noProof/>
        </w:rPr>
        <w:t>Quéguiner, B. (2001).</w:t>
      </w:r>
      <w:r w:rsidRPr="00CD3120">
        <w:rPr>
          <w:noProof/>
        </w:rPr>
        <w:t xml:space="preserve"> Biogenic silica production in the Australian sector of the Subantarctic Zone of the Southern Ocean in late summer 1998. </w:t>
      </w:r>
      <w:r w:rsidRPr="00CD3120">
        <w:rPr>
          <w:i/>
          <w:iCs/>
          <w:noProof/>
        </w:rPr>
        <w:t>Journal of Geophysical Research: Oceans</w:t>
      </w:r>
      <w:r w:rsidRPr="00CD3120">
        <w:rPr>
          <w:noProof/>
        </w:rPr>
        <w:t xml:space="preserve">, </w:t>
      </w:r>
      <w:r w:rsidRPr="00CD3120">
        <w:rPr>
          <w:i/>
          <w:iCs/>
          <w:noProof/>
        </w:rPr>
        <w:t>106</w:t>
      </w:r>
      <w:r w:rsidRPr="00CD3120">
        <w:rPr>
          <w:noProof/>
        </w:rPr>
        <w:t>(C12), 31627–31636. https://doi.org/10.1029/2000jc000249</w:t>
      </w:r>
    </w:p>
    <w:p w14:paraId="775B7C53"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Rhein, M., Rintoul, S. R., Aoki, S., Campos, E., Chambers, D., Feely, R. A., … Wang, F. (2013). Observations: Ocean. In: Climate Change 2013: The Physical Science Basis. Contribution of Working Group I to the Fifth Assessment Report of the Intergovernmental Panel on Climate Change [Stocker, T.F., D. Qin, G.-K. Plattner, M. Tignor, S.K. Allen, J. Bos. </w:t>
      </w:r>
      <w:r w:rsidRPr="00CD3120">
        <w:rPr>
          <w:i/>
          <w:iCs/>
          <w:noProof/>
        </w:rPr>
        <w:t>Cambridge University Press, Cambridge, United Kingdom and New York, NY, USA, 2013.</w:t>
      </w:r>
    </w:p>
    <w:p w14:paraId="0BBD64AE"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Richardson, K., Visser, A. W., &amp; Pedersen, F. B. (2000). Subsurface phytoplankton blooms fuel pelagic production in the North Sea. </w:t>
      </w:r>
      <w:r w:rsidRPr="00CD3120">
        <w:rPr>
          <w:i/>
          <w:iCs/>
          <w:noProof/>
        </w:rPr>
        <w:t>Journal of Plankton Research</w:t>
      </w:r>
      <w:r w:rsidRPr="00CD3120">
        <w:rPr>
          <w:noProof/>
        </w:rPr>
        <w:t xml:space="preserve">, </w:t>
      </w:r>
      <w:r w:rsidRPr="00CD3120">
        <w:rPr>
          <w:i/>
          <w:iCs/>
          <w:noProof/>
        </w:rPr>
        <w:t>22</w:t>
      </w:r>
      <w:r w:rsidRPr="00CD3120">
        <w:rPr>
          <w:noProof/>
        </w:rPr>
        <w:t>(9), 1663–1671. https://doi.org/10.1093/plankt/22.9.1663</w:t>
      </w:r>
    </w:p>
    <w:p w14:paraId="7BCC29AB"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Richardson, Katherine, &amp; Bendtsen, J. (2019). Vertical distribution of phytoplankton and primary production in relation to nutricline depth in the open ocean. </w:t>
      </w:r>
      <w:r w:rsidRPr="00CD3120">
        <w:rPr>
          <w:i/>
          <w:iCs/>
          <w:noProof/>
        </w:rPr>
        <w:t>Marine Ecology Progress Series</w:t>
      </w:r>
      <w:r w:rsidRPr="00CD3120">
        <w:rPr>
          <w:noProof/>
        </w:rPr>
        <w:t xml:space="preserve">, </w:t>
      </w:r>
      <w:r w:rsidRPr="00CD3120">
        <w:rPr>
          <w:i/>
          <w:iCs/>
          <w:noProof/>
        </w:rPr>
        <w:t>620</w:t>
      </w:r>
      <w:r w:rsidRPr="00CD3120">
        <w:rPr>
          <w:noProof/>
        </w:rPr>
        <w:t>, 33–46. https://doi.org/10.3354/meps12960</w:t>
      </w:r>
    </w:p>
    <w:p w14:paraId="626789BE"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Richardson, Katherine, Bendtsen, J., Christensen, J. T., Adjou, M., Lyngsgaard, M. M., Hilligsøe, K. M., … Nielsen, M. H. (2014). Localised mixing and heterogeneity in the plankton food web in a frontal region of the Sargasso Sea: Implications for eel early life history? </w:t>
      </w:r>
      <w:r w:rsidRPr="00CD3120">
        <w:rPr>
          <w:i/>
          <w:iCs/>
          <w:noProof/>
        </w:rPr>
        <w:t>Marine Ecology Progress Series</w:t>
      </w:r>
      <w:r w:rsidRPr="00CD3120">
        <w:rPr>
          <w:noProof/>
        </w:rPr>
        <w:t xml:space="preserve">, </w:t>
      </w:r>
      <w:r w:rsidRPr="00CD3120">
        <w:rPr>
          <w:i/>
          <w:iCs/>
          <w:noProof/>
        </w:rPr>
        <w:t>504</w:t>
      </w:r>
      <w:r w:rsidRPr="00CD3120">
        <w:rPr>
          <w:noProof/>
        </w:rPr>
        <w:t>, 91–107. https://doi.org/10.3354/meps10766</w:t>
      </w:r>
    </w:p>
    <w:p w14:paraId="391C2B58"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Roesler, C., Uitz, J., Claustre, H., Boss, E., Xing, X., Organelli, E., … Barbieux, M. (2017). Recommendations for obtaining unbiased chlorophyll estimates from in situ chlorophyll fluorometers: A global analysis of WET Labs ECO sensors. </w:t>
      </w:r>
      <w:r w:rsidRPr="00CD3120">
        <w:rPr>
          <w:i/>
          <w:iCs/>
          <w:noProof/>
        </w:rPr>
        <w:t>Limnology and Oceanography: Methods</w:t>
      </w:r>
      <w:r w:rsidRPr="00CD3120">
        <w:rPr>
          <w:noProof/>
        </w:rPr>
        <w:t xml:space="preserve">, </w:t>
      </w:r>
      <w:r w:rsidRPr="00CD3120">
        <w:rPr>
          <w:i/>
          <w:iCs/>
          <w:noProof/>
        </w:rPr>
        <w:t>15</w:t>
      </w:r>
      <w:r w:rsidRPr="00CD3120">
        <w:rPr>
          <w:noProof/>
        </w:rPr>
        <w:t>(6), 572–585. https://doi.org/10.1002/lom3.10185</w:t>
      </w:r>
    </w:p>
    <w:p w14:paraId="08E7FDF8"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22028">
        <w:rPr>
          <w:noProof/>
          <w:lang w:val="en-US"/>
        </w:rPr>
        <w:lastRenderedPageBreak/>
        <w:t xml:space="preserve">Schallenberg, C., Strzepek, R. F., Bestley, S., Wojtasiewicz, B., &amp; Trull, T. W. (2022). </w:t>
      </w:r>
      <w:r w:rsidRPr="00CD3120">
        <w:rPr>
          <w:noProof/>
        </w:rPr>
        <w:t xml:space="preserve">Iron Limitation Drives the Globally Extreme Fluorescence/Chlorophyll Ratios of the Southern Ocean. </w:t>
      </w:r>
      <w:r w:rsidRPr="00CD3120">
        <w:rPr>
          <w:i/>
          <w:iCs/>
          <w:noProof/>
        </w:rPr>
        <w:t>Geophysical Research Letters</w:t>
      </w:r>
      <w:r w:rsidRPr="00CD3120">
        <w:rPr>
          <w:noProof/>
        </w:rPr>
        <w:t xml:space="preserve">, </w:t>
      </w:r>
      <w:r w:rsidRPr="00CD3120">
        <w:rPr>
          <w:i/>
          <w:iCs/>
          <w:noProof/>
        </w:rPr>
        <w:t>49</w:t>
      </w:r>
      <w:r w:rsidRPr="00CD3120">
        <w:rPr>
          <w:noProof/>
        </w:rPr>
        <w:t>(12). https://doi.org/10.1029/2021gl097616</w:t>
      </w:r>
    </w:p>
    <w:p w14:paraId="4706CFA3"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Schmechtig, C., Poteau, A., Claustre, H., D’Ortenzio, F., &amp; Boss, E. (2015). Processing Bio-Argo chlorophyll-a concentration at the DAC Level. </w:t>
      </w:r>
      <w:r w:rsidRPr="00CD3120">
        <w:rPr>
          <w:i/>
          <w:iCs/>
          <w:noProof/>
        </w:rPr>
        <w:t>Argo Data Management</w:t>
      </w:r>
      <w:r w:rsidRPr="00CD3120">
        <w:rPr>
          <w:noProof/>
        </w:rPr>
        <w:t xml:space="preserve">, 1–22. </w:t>
      </w:r>
      <w:r w:rsidRPr="00CD3120">
        <w:rPr>
          <w:color w:val="333333"/>
          <w:shd w:val="clear" w:color="auto" w:fill="FFFFFF"/>
        </w:rPr>
        <w:t>http://doi.org/10.13155/39468</w:t>
      </w:r>
    </w:p>
    <w:p w14:paraId="6B58710F"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Silsbe, G. M., &amp; Malkin, S. Y. (2016). </w:t>
      </w:r>
      <w:r w:rsidRPr="00CD3120">
        <w:rPr>
          <w:i/>
          <w:iCs/>
          <w:noProof/>
        </w:rPr>
        <w:t>Where light and nutrients collide: The global distribution and activity of subsurface chlorophyll maximum layers.</w:t>
      </w:r>
      <w:r w:rsidRPr="00CD3120">
        <w:rPr>
          <w:noProof/>
        </w:rPr>
        <w:t xml:space="preserve"> (Aquatic microbial ecology and biogeochemistry: A dual perspective, Ed.).</w:t>
      </w:r>
    </w:p>
    <w:p w14:paraId="3AF64C47" w14:textId="77777777" w:rsidR="00C74EDC" w:rsidRPr="006E7C47"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Steinacher, M., Joos, F., Frölicher, T. L., Bopp, L., Cadule, P., Cocco, V., … Segschneider, J. </w:t>
      </w:r>
      <w:r w:rsidRPr="006836F0">
        <w:rPr>
          <w:noProof/>
        </w:rPr>
        <w:t xml:space="preserve">(2010). Projected 21st century decrease in marine productivity: A multi-model analysis. </w:t>
      </w:r>
      <w:r w:rsidRPr="006E7C47">
        <w:rPr>
          <w:i/>
          <w:iCs/>
          <w:noProof/>
        </w:rPr>
        <w:t>Biogeosciences</w:t>
      </w:r>
      <w:r w:rsidRPr="006E7C47">
        <w:rPr>
          <w:noProof/>
        </w:rPr>
        <w:t xml:space="preserve">, </w:t>
      </w:r>
      <w:r w:rsidRPr="006E7C47">
        <w:rPr>
          <w:i/>
          <w:iCs/>
          <w:noProof/>
        </w:rPr>
        <w:t>7</w:t>
      </w:r>
      <w:r w:rsidRPr="006E7C47">
        <w:rPr>
          <w:noProof/>
        </w:rPr>
        <w:t>(3), 979–1005. https://doi.org/10.5194/bg-7-979-2010</w:t>
      </w:r>
    </w:p>
    <w:p w14:paraId="45DB6FF4" w14:textId="4DF0A1F1" w:rsidR="006E7C47" w:rsidRPr="006E7C47" w:rsidRDefault="006E7C47" w:rsidP="0053305D">
      <w:pPr>
        <w:widowControl w:val="0"/>
        <w:autoSpaceDE w:val="0"/>
        <w:autoSpaceDN w:val="0"/>
        <w:adjustRightInd w:val="0"/>
        <w:snapToGrid w:val="0"/>
        <w:spacing w:line="360" w:lineRule="auto"/>
        <w:ind w:left="480" w:hanging="480"/>
        <w:jc w:val="both"/>
        <w:rPr>
          <w:color w:val="222222"/>
          <w:shd w:val="clear" w:color="auto" w:fill="FFFFFF"/>
        </w:rPr>
      </w:pPr>
      <w:r w:rsidRPr="006E7C47">
        <w:rPr>
          <w:color w:val="222222"/>
          <w:shd w:val="clear" w:color="auto" w:fill="FFFFFF"/>
        </w:rPr>
        <w:t>Strutton, P. G., Trull, T. W., Phillips, H. E., Duran, E. R., &amp; Pump, S. (2023). Biogeochemical Argo floats reveal the evolution of subsurface chlorophyll and particulate organic carbon in southeast Indian Ocean eddies. </w:t>
      </w:r>
      <w:r w:rsidRPr="006E7C47">
        <w:rPr>
          <w:i/>
          <w:iCs/>
          <w:color w:val="222222"/>
          <w:shd w:val="clear" w:color="auto" w:fill="FFFFFF"/>
        </w:rPr>
        <w:t>Journal of Geophysical Research: Oceans</w:t>
      </w:r>
      <w:r w:rsidRPr="006E7C47">
        <w:rPr>
          <w:color w:val="222222"/>
          <w:shd w:val="clear" w:color="auto" w:fill="FFFFFF"/>
        </w:rPr>
        <w:t>, </w:t>
      </w:r>
      <w:r w:rsidRPr="006E7C47">
        <w:rPr>
          <w:i/>
          <w:iCs/>
          <w:color w:val="222222"/>
          <w:shd w:val="clear" w:color="auto" w:fill="FFFFFF"/>
        </w:rPr>
        <w:t>128</w:t>
      </w:r>
      <w:r w:rsidRPr="006E7C47">
        <w:rPr>
          <w:color w:val="222222"/>
          <w:shd w:val="clear" w:color="auto" w:fill="FFFFFF"/>
        </w:rPr>
        <w:t>(4), e2022JC018984.</w:t>
      </w:r>
    </w:p>
    <w:p w14:paraId="40410EDC" w14:textId="18C482D2" w:rsidR="006836F0" w:rsidRPr="006836F0" w:rsidRDefault="006836F0" w:rsidP="0053305D">
      <w:pPr>
        <w:widowControl w:val="0"/>
        <w:autoSpaceDE w:val="0"/>
        <w:autoSpaceDN w:val="0"/>
        <w:adjustRightInd w:val="0"/>
        <w:snapToGrid w:val="0"/>
        <w:spacing w:line="360" w:lineRule="auto"/>
        <w:ind w:left="480" w:hanging="480"/>
        <w:jc w:val="both"/>
        <w:rPr>
          <w:noProof/>
        </w:rPr>
      </w:pPr>
      <w:r w:rsidRPr="006836F0">
        <w:rPr>
          <w:color w:val="222222"/>
          <w:shd w:val="clear" w:color="auto" w:fill="FFFFFF"/>
        </w:rPr>
        <w:t>Strzepek, R. F., Hunter, K. A., Frew, R. D., Harrison, P. J., &amp; Boyd, P. W. (2012). Iron‐light interactions differ in Southern Ocean phytoplankton. </w:t>
      </w:r>
      <w:r w:rsidRPr="006836F0">
        <w:rPr>
          <w:i/>
          <w:iCs/>
          <w:color w:val="222222"/>
          <w:shd w:val="clear" w:color="auto" w:fill="FFFFFF"/>
        </w:rPr>
        <w:t>Limnology and Oceanography</w:t>
      </w:r>
      <w:r w:rsidRPr="006836F0">
        <w:rPr>
          <w:color w:val="222222"/>
          <w:shd w:val="clear" w:color="auto" w:fill="FFFFFF"/>
        </w:rPr>
        <w:t>, </w:t>
      </w:r>
      <w:r w:rsidRPr="006836F0">
        <w:rPr>
          <w:i/>
          <w:iCs/>
          <w:color w:val="222222"/>
          <w:shd w:val="clear" w:color="auto" w:fill="FFFFFF"/>
        </w:rPr>
        <w:t>57</w:t>
      </w:r>
      <w:r w:rsidRPr="006836F0">
        <w:rPr>
          <w:color w:val="222222"/>
          <w:shd w:val="clear" w:color="auto" w:fill="FFFFFF"/>
        </w:rPr>
        <w:t>(4), 1182-1200.</w:t>
      </w:r>
    </w:p>
    <w:p w14:paraId="3EFC11C6" w14:textId="7FBC910B" w:rsidR="00B368B9" w:rsidRPr="00B368B9" w:rsidRDefault="00B368B9" w:rsidP="0053305D">
      <w:pPr>
        <w:widowControl w:val="0"/>
        <w:autoSpaceDE w:val="0"/>
        <w:autoSpaceDN w:val="0"/>
        <w:adjustRightInd w:val="0"/>
        <w:snapToGrid w:val="0"/>
        <w:spacing w:line="360" w:lineRule="auto"/>
        <w:ind w:left="480" w:hanging="480"/>
        <w:jc w:val="both"/>
        <w:rPr>
          <w:noProof/>
        </w:rPr>
      </w:pPr>
      <w:r w:rsidRPr="00B368B9">
        <w:rPr>
          <w:color w:val="222222"/>
          <w:shd w:val="clear" w:color="auto" w:fill="FFFFFF"/>
        </w:rPr>
        <w:t>Strzepek, R. F., Boyd, P. W., &amp; Sunda, W. G. (2019). Photosynthetic adaptation to low iron, light, and temperature in Southern Ocean phytoplankton. </w:t>
      </w:r>
      <w:r w:rsidRPr="00B368B9">
        <w:rPr>
          <w:i/>
          <w:iCs/>
          <w:color w:val="222222"/>
          <w:shd w:val="clear" w:color="auto" w:fill="FFFFFF"/>
        </w:rPr>
        <w:t>Proceedings of the National Academy of Sciences</w:t>
      </w:r>
      <w:r w:rsidRPr="00B368B9">
        <w:rPr>
          <w:color w:val="222222"/>
          <w:shd w:val="clear" w:color="auto" w:fill="FFFFFF"/>
        </w:rPr>
        <w:t>, </w:t>
      </w:r>
      <w:r w:rsidRPr="00B368B9">
        <w:rPr>
          <w:i/>
          <w:iCs/>
          <w:color w:val="222222"/>
          <w:shd w:val="clear" w:color="auto" w:fill="FFFFFF"/>
        </w:rPr>
        <w:t>116</w:t>
      </w:r>
      <w:r w:rsidRPr="00B368B9">
        <w:rPr>
          <w:color w:val="222222"/>
          <w:shd w:val="clear" w:color="auto" w:fill="FFFFFF"/>
        </w:rPr>
        <w:t>(10), 4388-4393.</w:t>
      </w:r>
    </w:p>
    <w:p w14:paraId="15D91524" w14:textId="43E18D71" w:rsidR="00C74EDC" w:rsidRPr="00465E84" w:rsidRDefault="00C74EDC" w:rsidP="0053305D">
      <w:pPr>
        <w:widowControl w:val="0"/>
        <w:autoSpaceDE w:val="0"/>
        <w:autoSpaceDN w:val="0"/>
        <w:adjustRightInd w:val="0"/>
        <w:snapToGrid w:val="0"/>
        <w:spacing w:line="360" w:lineRule="auto"/>
        <w:ind w:left="480" w:hanging="480"/>
        <w:jc w:val="both"/>
        <w:rPr>
          <w:noProof/>
        </w:rPr>
      </w:pPr>
      <w:r w:rsidRPr="00465E84">
        <w:rPr>
          <w:noProof/>
        </w:rPr>
        <w:t xml:space="preserve">Su, J., Strutton, P. G., &amp; Schallenberg, C. (2021). The subsurface biological structure of Southern Ocean eddies revealed by BGC-Argo floats. </w:t>
      </w:r>
      <w:r w:rsidRPr="00465E84">
        <w:rPr>
          <w:i/>
          <w:iCs/>
          <w:noProof/>
        </w:rPr>
        <w:t>Journal of Marine Systems</w:t>
      </w:r>
      <w:r w:rsidRPr="00465E84">
        <w:rPr>
          <w:noProof/>
        </w:rPr>
        <w:t xml:space="preserve">, </w:t>
      </w:r>
      <w:r w:rsidRPr="00465E84">
        <w:rPr>
          <w:i/>
          <w:iCs/>
          <w:noProof/>
        </w:rPr>
        <w:t>220</w:t>
      </w:r>
      <w:r w:rsidRPr="00465E84">
        <w:rPr>
          <w:noProof/>
        </w:rPr>
        <w:t>(April), 103569. https://doi.org/10.1016/j.jmarsys.2021.103569</w:t>
      </w:r>
    </w:p>
    <w:p w14:paraId="501D2B3F" w14:textId="1EB7E79E" w:rsidR="00465E84" w:rsidRPr="00465E84" w:rsidRDefault="00465E84" w:rsidP="0053305D">
      <w:pPr>
        <w:widowControl w:val="0"/>
        <w:autoSpaceDE w:val="0"/>
        <w:autoSpaceDN w:val="0"/>
        <w:adjustRightInd w:val="0"/>
        <w:snapToGrid w:val="0"/>
        <w:spacing w:line="360" w:lineRule="auto"/>
        <w:ind w:left="480" w:hanging="480"/>
        <w:jc w:val="both"/>
        <w:rPr>
          <w:noProof/>
        </w:rPr>
      </w:pPr>
      <w:r w:rsidRPr="00465E84">
        <w:rPr>
          <w:color w:val="222222"/>
          <w:shd w:val="clear" w:color="auto" w:fill="FFFFFF"/>
        </w:rPr>
        <w:t>Su, J., Schallenberg, C., Rohr, T., Strutton, P. G., &amp; Phillips, H. E. (2022). New estimates of Southern Ocean annual net community production revealed by BGC‐Argo floats. </w:t>
      </w:r>
      <w:r w:rsidRPr="00465E84">
        <w:rPr>
          <w:i/>
          <w:iCs/>
          <w:color w:val="222222"/>
          <w:shd w:val="clear" w:color="auto" w:fill="FFFFFF"/>
        </w:rPr>
        <w:t>Geophysical Research Letters</w:t>
      </w:r>
      <w:r w:rsidRPr="00465E84">
        <w:rPr>
          <w:color w:val="222222"/>
          <w:shd w:val="clear" w:color="auto" w:fill="FFFFFF"/>
        </w:rPr>
        <w:t>, </w:t>
      </w:r>
      <w:r w:rsidRPr="00465E84">
        <w:rPr>
          <w:i/>
          <w:iCs/>
          <w:color w:val="222222"/>
          <w:shd w:val="clear" w:color="auto" w:fill="FFFFFF"/>
        </w:rPr>
        <w:t>49</w:t>
      </w:r>
      <w:r w:rsidRPr="00465E84">
        <w:rPr>
          <w:color w:val="222222"/>
          <w:shd w:val="clear" w:color="auto" w:fill="FFFFFF"/>
        </w:rPr>
        <w:t>(15), e2021GL097372.</w:t>
      </w:r>
    </w:p>
    <w:p w14:paraId="440CB548" w14:textId="58A1BEAF"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465E84">
        <w:rPr>
          <w:noProof/>
        </w:rPr>
        <w:t>Tagliabue, A., Kwiatkowski, L., Bopp, L., Butenschön, M., Cheung, W., Lengaigne, M., &amp; Vialard, J. (2021). Persistent</w:t>
      </w:r>
      <w:r w:rsidRPr="00CD3120">
        <w:rPr>
          <w:noProof/>
        </w:rPr>
        <w:t xml:space="preserve"> Uncertainties in Ocean Net Primary Production Climate Change Projections at Regional Scales Raise Challenges for Assessing Impacts on Ecosystem Services. </w:t>
      </w:r>
      <w:r w:rsidRPr="00CD3120">
        <w:rPr>
          <w:i/>
          <w:iCs/>
          <w:noProof/>
        </w:rPr>
        <w:t>Frontiers in Climate</w:t>
      </w:r>
      <w:r w:rsidRPr="00CD3120">
        <w:rPr>
          <w:noProof/>
        </w:rPr>
        <w:t xml:space="preserve">, </w:t>
      </w:r>
      <w:r w:rsidRPr="00CD3120">
        <w:rPr>
          <w:i/>
          <w:iCs/>
          <w:noProof/>
        </w:rPr>
        <w:t>3</w:t>
      </w:r>
      <w:r w:rsidRPr="00CD3120">
        <w:rPr>
          <w:noProof/>
        </w:rPr>
        <w:t>(November), 1–16. https://doi.org/10.3389/fclim.2021.738224</w:t>
      </w:r>
    </w:p>
    <w:p w14:paraId="369375A1"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Tagliabue, A., Sallée, J. B., Bowie, A. R., Lévy, M., Swart, S., &amp; Boyd, P. W. (2014). Surface-</w:t>
      </w:r>
      <w:r w:rsidRPr="00CD3120">
        <w:rPr>
          <w:noProof/>
        </w:rPr>
        <w:lastRenderedPageBreak/>
        <w:t xml:space="preserve">water iron supplies in the Southern Ocean sustained by deep winter mixing. </w:t>
      </w:r>
      <w:r w:rsidRPr="00CD3120">
        <w:rPr>
          <w:i/>
          <w:iCs/>
          <w:noProof/>
        </w:rPr>
        <w:t>Nature Geoscience</w:t>
      </w:r>
      <w:r w:rsidRPr="00CD3120">
        <w:rPr>
          <w:noProof/>
        </w:rPr>
        <w:t xml:space="preserve">, </w:t>
      </w:r>
      <w:r w:rsidRPr="00CD3120">
        <w:rPr>
          <w:i/>
          <w:iCs/>
          <w:noProof/>
        </w:rPr>
        <w:t>7</w:t>
      </w:r>
      <w:r w:rsidRPr="00CD3120">
        <w:rPr>
          <w:noProof/>
        </w:rPr>
        <w:t>(4), 314–320. https://doi.org/10.1038/ngeo2101</w:t>
      </w:r>
    </w:p>
    <w:p w14:paraId="52147F99" w14:textId="77777777" w:rsidR="00C74EDC" w:rsidRPr="003A78B7"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Tripathy, S. C., Pavithran, S., Sabu, P., Pillai, H. U. K., Dessai, D. R. G., &amp; Anilkumar, N. (2015). Deep chlorophyll maximum and primary productivity in Indian Ocean sector of </w:t>
      </w:r>
      <w:r w:rsidRPr="003A78B7">
        <w:rPr>
          <w:noProof/>
        </w:rPr>
        <w:t xml:space="preserve">the Southern Ocean: Case study in the Subtropical and Polar Front during austral summer 2011. </w:t>
      </w:r>
      <w:r w:rsidRPr="003A78B7">
        <w:rPr>
          <w:i/>
          <w:iCs/>
          <w:noProof/>
        </w:rPr>
        <w:t>Deep-Sea Research Part II: Topical Studies in Oceanography</w:t>
      </w:r>
      <w:r w:rsidRPr="003A78B7">
        <w:rPr>
          <w:noProof/>
        </w:rPr>
        <w:t xml:space="preserve">, </w:t>
      </w:r>
      <w:r w:rsidRPr="003A78B7">
        <w:rPr>
          <w:i/>
          <w:iCs/>
          <w:noProof/>
        </w:rPr>
        <w:t>118</w:t>
      </w:r>
      <w:r w:rsidRPr="003A78B7">
        <w:rPr>
          <w:noProof/>
        </w:rPr>
        <w:t>, 240–249. https://doi.org/10.1016/j.dsr2.2015.01.004</w:t>
      </w:r>
    </w:p>
    <w:p w14:paraId="55F61FCE" w14:textId="117DE0A9" w:rsidR="003A78B7" w:rsidRPr="00AC3979" w:rsidRDefault="003A78B7" w:rsidP="0053305D">
      <w:pPr>
        <w:widowControl w:val="0"/>
        <w:autoSpaceDE w:val="0"/>
        <w:autoSpaceDN w:val="0"/>
        <w:adjustRightInd w:val="0"/>
        <w:snapToGrid w:val="0"/>
        <w:spacing w:line="360" w:lineRule="auto"/>
        <w:ind w:left="480" w:hanging="480"/>
        <w:jc w:val="both"/>
        <w:rPr>
          <w:noProof/>
        </w:rPr>
      </w:pPr>
      <w:r w:rsidRPr="002D0975">
        <w:rPr>
          <w:color w:val="222222"/>
          <w:shd w:val="clear" w:color="auto" w:fill="FFFFFF"/>
        </w:rPr>
        <w:t>Trull, T., Rintoul, S. R., Hadfield, M., &amp; Abraham, E. R. (2001). Circulation and seasonal evolution of polar waters south of Australia: Implications for iron fertilization of the Southern Ocean. </w:t>
      </w:r>
      <w:r w:rsidRPr="002D0975">
        <w:rPr>
          <w:i/>
          <w:iCs/>
          <w:color w:val="222222"/>
          <w:shd w:val="clear" w:color="auto" w:fill="FFFFFF"/>
        </w:rPr>
        <w:t>Deep Sea Research Part II: Topical Studies in Oceanography</w:t>
      </w:r>
      <w:r w:rsidRPr="002D0975">
        <w:rPr>
          <w:color w:val="222222"/>
          <w:shd w:val="clear" w:color="auto" w:fill="FFFFFF"/>
        </w:rPr>
        <w:t>, </w:t>
      </w:r>
      <w:r w:rsidRPr="002D0975">
        <w:rPr>
          <w:i/>
          <w:iCs/>
          <w:color w:val="222222"/>
          <w:shd w:val="clear" w:color="auto" w:fill="FFFFFF"/>
        </w:rPr>
        <w:t>48</w:t>
      </w:r>
      <w:r w:rsidRPr="002D0975">
        <w:rPr>
          <w:color w:val="222222"/>
          <w:shd w:val="clear" w:color="auto" w:fill="FFFFFF"/>
        </w:rPr>
        <w:t>(11-12), 2439-2466.</w:t>
      </w:r>
    </w:p>
    <w:p w14:paraId="0EEEB3E9" w14:textId="2096FF3F" w:rsidR="00AC3979" w:rsidRPr="00AC3979" w:rsidRDefault="00AC3979" w:rsidP="0053305D">
      <w:pPr>
        <w:widowControl w:val="0"/>
        <w:autoSpaceDE w:val="0"/>
        <w:autoSpaceDN w:val="0"/>
        <w:adjustRightInd w:val="0"/>
        <w:snapToGrid w:val="0"/>
        <w:spacing w:line="360" w:lineRule="auto"/>
        <w:ind w:left="480" w:hanging="480"/>
        <w:jc w:val="both"/>
        <w:rPr>
          <w:noProof/>
        </w:rPr>
      </w:pPr>
      <w:r w:rsidRPr="002D0975">
        <w:rPr>
          <w:color w:val="222222"/>
          <w:shd w:val="clear" w:color="auto" w:fill="FFFFFF"/>
        </w:rPr>
        <w:t xml:space="preserve">Uchida, T., </w:t>
      </w:r>
      <w:proofErr w:type="spellStart"/>
      <w:r w:rsidRPr="002D0975">
        <w:rPr>
          <w:color w:val="222222"/>
          <w:shd w:val="clear" w:color="auto" w:fill="FFFFFF"/>
        </w:rPr>
        <w:t>Balwada</w:t>
      </w:r>
      <w:proofErr w:type="spellEnd"/>
      <w:r w:rsidRPr="002D0975">
        <w:rPr>
          <w:color w:val="222222"/>
          <w:shd w:val="clear" w:color="auto" w:fill="FFFFFF"/>
        </w:rPr>
        <w:t>, D., P. Abernathey, R., A. McKinley, G., K. Smith, S., &amp; Lévy, M. (2020). Vertical eddy iron fluxes support primary production in the open Southern Ocean. </w:t>
      </w:r>
      <w:r w:rsidRPr="002D0975">
        <w:rPr>
          <w:i/>
          <w:iCs/>
          <w:color w:val="222222"/>
          <w:shd w:val="clear" w:color="auto" w:fill="FFFFFF"/>
        </w:rPr>
        <w:t>Nature Communications</w:t>
      </w:r>
      <w:r w:rsidRPr="002D0975">
        <w:rPr>
          <w:color w:val="222222"/>
          <w:shd w:val="clear" w:color="auto" w:fill="FFFFFF"/>
        </w:rPr>
        <w:t>, </w:t>
      </w:r>
      <w:r w:rsidRPr="002D0975">
        <w:rPr>
          <w:i/>
          <w:iCs/>
          <w:color w:val="222222"/>
          <w:shd w:val="clear" w:color="auto" w:fill="FFFFFF"/>
        </w:rPr>
        <w:t>11</w:t>
      </w:r>
      <w:r w:rsidRPr="002D0975">
        <w:rPr>
          <w:color w:val="222222"/>
          <w:shd w:val="clear" w:color="auto" w:fill="FFFFFF"/>
        </w:rPr>
        <w:t>(1), 1125.</w:t>
      </w:r>
    </w:p>
    <w:p w14:paraId="776FEFD0" w14:textId="365FA94D" w:rsidR="00C74EDC" w:rsidRPr="003A78B7" w:rsidRDefault="00C74EDC" w:rsidP="0053305D">
      <w:pPr>
        <w:widowControl w:val="0"/>
        <w:autoSpaceDE w:val="0"/>
        <w:autoSpaceDN w:val="0"/>
        <w:adjustRightInd w:val="0"/>
        <w:snapToGrid w:val="0"/>
        <w:spacing w:line="360" w:lineRule="auto"/>
        <w:ind w:left="480" w:hanging="480"/>
        <w:jc w:val="both"/>
        <w:rPr>
          <w:noProof/>
        </w:rPr>
      </w:pPr>
      <w:r w:rsidRPr="00AC3979">
        <w:rPr>
          <w:noProof/>
        </w:rPr>
        <w:t xml:space="preserve">Westberry, T., Behrenfeld, M. J., Siegel, D. A., &amp; Boss, E. (2008). Carbon-based primary productivity modeling with vertically resolved photoacclimation. </w:t>
      </w:r>
      <w:r w:rsidRPr="00AC3979">
        <w:rPr>
          <w:i/>
          <w:iCs/>
          <w:noProof/>
        </w:rPr>
        <w:t>Global Biogeochemical</w:t>
      </w:r>
      <w:r w:rsidRPr="003A78B7">
        <w:rPr>
          <w:i/>
          <w:iCs/>
          <w:noProof/>
        </w:rPr>
        <w:t xml:space="preserve"> Cycles</w:t>
      </w:r>
      <w:r w:rsidRPr="003A78B7">
        <w:rPr>
          <w:noProof/>
        </w:rPr>
        <w:t xml:space="preserve">, </w:t>
      </w:r>
      <w:r w:rsidRPr="003A78B7">
        <w:rPr>
          <w:i/>
          <w:iCs/>
          <w:noProof/>
        </w:rPr>
        <w:t>22</w:t>
      </w:r>
      <w:r w:rsidRPr="003A78B7">
        <w:rPr>
          <w:noProof/>
        </w:rPr>
        <w:t>(2), 1–18. https://doi.org/10.1029/2007GB003078</w:t>
      </w:r>
    </w:p>
    <w:p w14:paraId="1C4FF999"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Westberry, T. K., Silsbe, G. M., &amp; Behrenfeld, M. J. (2023). Gross and net primary production in the global ocean: An ocean color remote sensing perspective. </w:t>
      </w:r>
      <w:r w:rsidRPr="00CD3120">
        <w:rPr>
          <w:i/>
          <w:iCs/>
          <w:noProof/>
        </w:rPr>
        <w:t>Earth-Science Reviews</w:t>
      </w:r>
      <w:r w:rsidRPr="00CD3120">
        <w:rPr>
          <w:noProof/>
        </w:rPr>
        <w:t xml:space="preserve">, </w:t>
      </w:r>
      <w:r w:rsidRPr="00CD3120">
        <w:rPr>
          <w:i/>
          <w:iCs/>
          <w:noProof/>
        </w:rPr>
        <w:t>237</w:t>
      </w:r>
      <w:r w:rsidRPr="00CD3120">
        <w:rPr>
          <w:noProof/>
        </w:rPr>
        <w:t>(January), 104322. https://doi.org/10.1016/j.earscirev.2023.104322</w:t>
      </w:r>
    </w:p>
    <w:p w14:paraId="43271FF3"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Westwood, K. J., Brian Griffiths, F., Webb, J. P., &amp; Wright, S. W. (2011). Primary production in the Sub-Antarctic and Polar Frontal Zones south of Tasmania, Australia; SAZ-Sense survey, 2007. </w:t>
      </w:r>
      <w:r w:rsidRPr="00CD3120">
        <w:rPr>
          <w:i/>
          <w:iCs/>
          <w:noProof/>
        </w:rPr>
        <w:t>Deep-Sea Research Part II: Topical Studies in Oceanography</w:t>
      </w:r>
      <w:r w:rsidRPr="00CD3120">
        <w:rPr>
          <w:noProof/>
        </w:rPr>
        <w:t>. https://doi.org/10.1016/j.dsr2.2011.05.017</w:t>
      </w:r>
    </w:p>
    <w:p w14:paraId="4F017E0D" w14:textId="77777777" w:rsidR="00C74EDC" w:rsidRPr="00CD3120" w:rsidRDefault="00C74EDC" w:rsidP="0053305D">
      <w:pPr>
        <w:widowControl w:val="0"/>
        <w:autoSpaceDE w:val="0"/>
        <w:autoSpaceDN w:val="0"/>
        <w:adjustRightInd w:val="0"/>
        <w:snapToGrid w:val="0"/>
        <w:spacing w:line="360" w:lineRule="auto"/>
        <w:ind w:left="480" w:hanging="480"/>
        <w:jc w:val="both"/>
        <w:rPr>
          <w:noProof/>
        </w:rPr>
      </w:pPr>
      <w:r w:rsidRPr="00CD3120">
        <w:rPr>
          <w:noProof/>
        </w:rPr>
        <w:t xml:space="preserve">Yang, B., Fox, J., Behrenfeld, M. J., Boss, E. S., Haëntjens, N., Halsey, K. H., … Doney, S. C. (2021). In Situ Estimates of Net Primary Production in the Western North Atlantic With Argo Profiling Floats. </w:t>
      </w:r>
      <w:r w:rsidRPr="00CD3120">
        <w:rPr>
          <w:i/>
          <w:iCs/>
          <w:noProof/>
        </w:rPr>
        <w:t>Journal of Geophysical Research: Biogeosciences</w:t>
      </w:r>
      <w:r w:rsidRPr="00CD3120">
        <w:rPr>
          <w:noProof/>
        </w:rPr>
        <w:t xml:space="preserve">, </w:t>
      </w:r>
      <w:r w:rsidRPr="00CD3120">
        <w:rPr>
          <w:i/>
          <w:iCs/>
          <w:noProof/>
        </w:rPr>
        <w:t>126</w:t>
      </w:r>
      <w:r w:rsidRPr="00CD3120">
        <w:rPr>
          <w:noProof/>
        </w:rPr>
        <w:t>(2), 1–16. https://doi.org/10.1029/2020JG006116</w:t>
      </w:r>
    </w:p>
    <w:p w14:paraId="0ACE20A0" w14:textId="7D4ECBAB" w:rsidR="00BD4517" w:rsidRPr="00AC1AD8" w:rsidRDefault="00C74EDC" w:rsidP="0053305D">
      <w:pPr>
        <w:widowControl w:val="0"/>
        <w:autoSpaceDE w:val="0"/>
        <w:autoSpaceDN w:val="0"/>
        <w:adjustRightInd w:val="0"/>
        <w:snapToGrid w:val="0"/>
        <w:spacing w:line="360" w:lineRule="auto"/>
        <w:ind w:left="480" w:hanging="480"/>
        <w:jc w:val="both"/>
      </w:pPr>
      <w:r w:rsidRPr="00CD3120">
        <w:rPr>
          <w:noProof/>
        </w:rPr>
        <w:t xml:space="preserve">Yang, B., Gomez, F., Schmid, C., &amp; Baringer, M. (2022). In situ estimates of net primary production in the open-ocean Gulf of Mexico. </w:t>
      </w:r>
      <w:r w:rsidRPr="00CD3120">
        <w:rPr>
          <w:i/>
          <w:iCs/>
          <w:noProof/>
        </w:rPr>
        <w:t>Limnology And Oceanography Letters</w:t>
      </w:r>
      <w:r w:rsidRPr="00CD3120">
        <w:rPr>
          <w:noProof/>
        </w:rPr>
        <w:t>, 427–434. https://doi.org/10.1002/lol2.10270</w:t>
      </w:r>
    </w:p>
    <w:sectPr w:rsidR="00BD4517" w:rsidRPr="00AC1AD8" w:rsidSect="000A2940">
      <w:headerReference w:type="default" r:id="rId25"/>
      <w:footerReference w:type="even" r:id="rId26"/>
      <w:footerReference w:type="default" r:id="rId27"/>
      <w:pgSz w:w="11906" w:h="16838"/>
      <w:pgMar w:top="1440" w:right="1440" w:bottom="1440" w:left="1440" w:header="708" w:footer="708"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C82418" w14:textId="77777777" w:rsidR="00404B07" w:rsidRDefault="00404B07" w:rsidP="005327FA">
      <w:r>
        <w:separator/>
      </w:r>
    </w:p>
  </w:endnote>
  <w:endnote w:type="continuationSeparator" w:id="0">
    <w:p w14:paraId="026A8B0E" w14:textId="77777777" w:rsidR="00404B07" w:rsidRDefault="00404B07" w:rsidP="005327FA">
      <w:r>
        <w:continuationSeparator/>
      </w:r>
    </w:p>
  </w:endnote>
  <w:endnote w:type="continuationNotice" w:id="1">
    <w:p w14:paraId="6524D274" w14:textId="77777777" w:rsidR="00404B07" w:rsidRDefault="00404B0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panose1 w:val="020B0604020202020204"/>
    <w:charset w:val="00"/>
    <w:family w:val="roman"/>
    <w:notTrueType/>
    <w:pitch w:val="default"/>
    <w:sig w:usb0="00000003" w:usb1="00000000" w:usb2="00000000" w:usb3="00000000" w:csb0="00000001" w:csb1="00000000"/>
  </w:font>
  <w:font w:name="Times">
    <w:altName w:val="Times New Roman"/>
    <w:panose1 w:val="020B0604020202020204"/>
    <w:charset w:val="00"/>
    <w:family w:val="auto"/>
    <w:pitch w:val="variable"/>
    <w:sig w:usb0="E00002FF" w:usb1="5000205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C9D8EC" w14:textId="42F82ECE" w:rsidR="005327FA" w:rsidRDefault="005327FA" w:rsidP="006C337D">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30DC3429" w14:textId="77777777" w:rsidR="005327FA" w:rsidRDefault="005327FA" w:rsidP="006C337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2010817653"/>
      <w:docPartObj>
        <w:docPartGallery w:val="Page Numbers (Bottom of Page)"/>
        <w:docPartUnique/>
      </w:docPartObj>
    </w:sdtPr>
    <w:sdtContent>
      <w:p w14:paraId="1BDDBF3D" w14:textId="351B0BC6" w:rsidR="006C337D" w:rsidRDefault="006C337D" w:rsidP="009063D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22</w:t>
        </w:r>
        <w:r>
          <w:rPr>
            <w:rStyle w:val="PageNumber"/>
          </w:rPr>
          <w:fldChar w:fldCharType="end"/>
        </w:r>
      </w:p>
    </w:sdtContent>
  </w:sdt>
  <w:p w14:paraId="7DDB007F" w14:textId="77777777" w:rsidR="005327FA" w:rsidRDefault="005327FA" w:rsidP="006C337D">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50B27C" w14:textId="77777777" w:rsidR="00404B07" w:rsidRDefault="00404B07" w:rsidP="005327FA">
      <w:r>
        <w:separator/>
      </w:r>
    </w:p>
  </w:footnote>
  <w:footnote w:type="continuationSeparator" w:id="0">
    <w:p w14:paraId="3B4CEC58" w14:textId="77777777" w:rsidR="00404B07" w:rsidRDefault="00404B07" w:rsidP="005327FA">
      <w:r>
        <w:continuationSeparator/>
      </w:r>
    </w:p>
  </w:footnote>
  <w:footnote w:type="continuationNotice" w:id="1">
    <w:p w14:paraId="3EC945AC" w14:textId="77777777" w:rsidR="00404B07" w:rsidRDefault="00404B0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9DEF82" w14:textId="535CAD11" w:rsidR="00DC51C0" w:rsidRDefault="00DC51C0">
    <w:pPr>
      <w:pStyle w:val="Header"/>
    </w:pPr>
    <w:r>
      <w:ptab w:relativeTo="margin" w:alignment="center" w:leader="none"/>
    </w:r>
    <w:r w:rsidR="00A97519">
      <w:t>m</w:t>
    </w:r>
    <w:r>
      <w:t xml:space="preserve">anuscript submitted to </w:t>
    </w:r>
    <w:r w:rsidR="004277F9">
      <w:rPr>
        <w:i/>
        <w:iCs/>
      </w:rPr>
      <w:t>Global Biogeochemical Cycles</w:t>
    </w:r>
  </w:p>
</w:hdr>
</file>

<file path=word/intelligence2.xml><?xml version="1.0" encoding="utf-8"?>
<int2:intelligence xmlns:int2="http://schemas.microsoft.com/office/intelligence/2020/intelligence" xmlns:oel="http://schemas.microsoft.com/office/2019/extlst">
  <int2:observations>
    <int2:textHash int2:hashCode="GDXWn9mynj4R/K" int2:id="yhevGRQR">
      <int2:state int2:value="Rejected" int2:type="AugLoop_Text_Critique"/>
    </int2:textHash>
    <int2:textHash int2:hashCode="NDZRAmvuhize8H" int2:id="3ySIDJTJ">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BE29D1"/>
    <w:multiLevelType w:val="multilevel"/>
    <w:tmpl w:val="D40C8C2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1BBA56D2"/>
    <w:multiLevelType w:val="hybridMultilevel"/>
    <w:tmpl w:val="DACEBB9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FAE7B0A"/>
    <w:multiLevelType w:val="multilevel"/>
    <w:tmpl w:val="D40C8C2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21046181"/>
    <w:multiLevelType w:val="hybridMultilevel"/>
    <w:tmpl w:val="9C9822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A1E0A0F"/>
    <w:multiLevelType w:val="multilevel"/>
    <w:tmpl w:val="D40C8C2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365D5C3C"/>
    <w:multiLevelType w:val="multilevel"/>
    <w:tmpl w:val="D40C8C2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37864243"/>
    <w:multiLevelType w:val="hybridMultilevel"/>
    <w:tmpl w:val="81DC37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8F3786A"/>
    <w:multiLevelType w:val="multilevel"/>
    <w:tmpl w:val="9560ED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51310DFE"/>
    <w:multiLevelType w:val="multilevel"/>
    <w:tmpl w:val="D40C8C2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56147BF1"/>
    <w:multiLevelType w:val="hybridMultilevel"/>
    <w:tmpl w:val="432C603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60FC6C80"/>
    <w:multiLevelType w:val="multilevel"/>
    <w:tmpl w:val="D40C8C2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658C71CA"/>
    <w:multiLevelType w:val="multilevel"/>
    <w:tmpl w:val="D40C8C2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6F6A7675"/>
    <w:multiLevelType w:val="hybridMultilevel"/>
    <w:tmpl w:val="432C603C"/>
    <w:lvl w:ilvl="0" w:tplc="0AC4738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B88679F"/>
    <w:multiLevelType w:val="multilevel"/>
    <w:tmpl w:val="D40C8C2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1698390052">
    <w:abstractNumId w:val="11"/>
  </w:num>
  <w:num w:numId="2" w16cid:durableId="1452549231">
    <w:abstractNumId w:val="7"/>
  </w:num>
  <w:num w:numId="3" w16cid:durableId="714892415">
    <w:abstractNumId w:val="3"/>
  </w:num>
  <w:num w:numId="4" w16cid:durableId="1217352847">
    <w:abstractNumId w:val="10"/>
  </w:num>
  <w:num w:numId="5" w16cid:durableId="466438105">
    <w:abstractNumId w:val="12"/>
  </w:num>
  <w:num w:numId="6" w16cid:durableId="708989136">
    <w:abstractNumId w:val="9"/>
  </w:num>
  <w:num w:numId="7" w16cid:durableId="2091845124">
    <w:abstractNumId w:val="1"/>
  </w:num>
  <w:num w:numId="8" w16cid:durableId="101456573">
    <w:abstractNumId w:val="8"/>
  </w:num>
  <w:num w:numId="9" w16cid:durableId="205338028">
    <w:abstractNumId w:val="13"/>
  </w:num>
  <w:num w:numId="10" w16cid:durableId="549270601">
    <w:abstractNumId w:val="6"/>
  </w:num>
  <w:num w:numId="11" w16cid:durableId="1040590011">
    <w:abstractNumId w:val="5"/>
  </w:num>
  <w:num w:numId="12" w16cid:durableId="1969507419">
    <w:abstractNumId w:val="2"/>
  </w:num>
  <w:num w:numId="13" w16cid:durableId="1898272707">
    <w:abstractNumId w:val="0"/>
  </w:num>
  <w:num w:numId="14" w16cid:durableId="31333800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4"/>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327FA"/>
    <w:rsid w:val="00000C3E"/>
    <w:rsid w:val="00001068"/>
    <w:rsid w:val="00002A3F"/>
    <w:rsid w:val="00002BE3"/>
    <w:rsid w:val="000035A6"/>
    <w:rsid w:val="00003A25"/>
    <w:rsid w:val="00003F02"/>
    <w:rsid w:val="00003FD7"/>
    <w:rsid w:val="00005741"/>
    <w:rsid w:val="00006BEC"/>
    <w:rsid w:val="000074C4"/>
    <w:rsid w:val="00007528"/>
    <w:rsid w:val="00007B49"/>
    <w:rsid w:val="00007BAE"/>
    <w:rsid w:val="00010809"/>
    <w:rsid w:val="00011A98"/>
    <w:rsid w:val="0001269E"/>
    <w:rsid w:val="00012C05"/>
    <w:rsid w:val="00013463"/>
    <w:rsid w:val="00013D01"/>
    <w:rsid w:val="00013D60"/>
    <w:rsid w:val="00013E69"/>
    <w:rsid w:val="0001437C"/>
    <w:rsid w:val="000146F3"/>
    <w:rsid w:val="0001549D"/>
    <w:rsid w:val="000157E5"/>
    <w:rsid w:val="00016080"/>
    <w:rsid w:val="00016144"/>
    <w:rsid w:val="000164B5"/>
    <w:rsid w:val="000165B7"/>
    <w:rsid w:val="00017B36"/>
    <w:rsid w:val="00017CC6"/>
    <w:rsid w:val="00017D41"/>
    <w:rsid w:val="00017F0F"/>
    <w:rsid w:val="0001AB23"/>
    <w:rsid w:val="00020086"/>
    <w:rsid w:val="000201F2"/>
    <w:rsid w:val="00020226"/>
    <w:rsid w:val="00020937"/>
    <w:rsid w:val="000209A3"/>
    <w:rsid w:val="000224FF"/>
    <w:rsid w:val="00022863"/>
    <w:rsid w:val="00022A82"/>
    <w:rsid w:val="00022CA0"/>
    <w:rsid w:val="00022FCC"/>
    <w:rsid w:val="000235CC"/>
    <w:rsid w:val="000237EF"/>
    <w:rsid w:val="00023DE6"/>
    <w:rsid w:val="00026705"/>
    <w:rsid w:val="00026EF7"/>
    <w:rsid w:val="00027B4C"/>
    <w:rsid w:val="000300AD"/>
    <w:rsid w:val="00030D54"/>
    <w:rsid w:val="00031A16"/>
    <w:rsid w:val="00031E2E"/>
    <w:rsid w:val="00032DA6"/>
    <w:rsid w:val="000337F4"/>
    <w:rsid w:val="00033B4D"/>
    <w:rsid w:val="0003419A"/>
    <w:rsid w:val="00035133"/>
    <w:rsid w:val="000354E8"/>
    <w:rsid w:val="00035926"/>
    <w:rsid w:val="00035972"/>
    <w:rsid w:val="00035D52"/>
    <w:rsid w:val="0003605A"/>
    <w:rsid w:val="0003646B"/>
    <w:rsid w:val="0003770E"/>
    <w:rsid w:val="00037E37"/>
    <w:rsid w:val="00037E6E"/>
    <w:rsid w:val="00041024"/>
    <w:rsid w:val="00041514"/>
    <w:rsid w:val="00041881"/>
    <w:rsid w:val="00042048"/>
    <w:rsid w:val="000429FC"/>
    <w:rsid w:val="00043B69"/>
    <w:rsid w:val="00043E9A"/>
    <w:rsid w:val="00043FA1"/>
    <w:rsid w:val="00044285"/>
    <w:rsid w:val="00044793"/>
    <w:rsid w:val="00044C02"/>
    <w:rsid w:val="00044F3E"/>
    <w:rsid w:val="00045690"/>
    <w:rsid w:val="00045E01"/>
    <w:rsid w:val="000463D4"/>
    <w:rsid w:val="000469C6"/>
    <w:rsid w:val="000472C9"/>
    <w:rsid w:val="00050190"/>
    <w:rsid w:val="00050C79"/>
    <w:rsid w:val="00050F20"/>
    <w:rsid w:val="00051485"/>
    <w:rsid w:val="0005275E"/>
    <w:rsid w:val="00052D4F"/>
    <w:rsid w:val="00053843"/>
    <w:rsid w:val="000542B7"/>
    <w:rsid w:val="000542D1"/>
    <w:rsid w:val="00054988"/>
    <w:rsid w:val="000549E9"/>
    <w:rsid w:val="00054F8C"/>
    <w:rsid w:val="00055C22"/>
    <w:rsid w:val="00056B9F"/>
    <w:rsid w:val="00056CF7"/>
    <w:rsid w:val="00057018"/>
    <w:rsid w:val="0005760A"/>
    <w:rsid w:val="00057693"/>
    <w:rsid w:val="00057C62"/>
    <w:rsid w:val="00061133"/>
    <w:rsid w:val="00061574"/>
    <w:rsid w:val="00061D52"/>
    <w:rsid w:val="00061EE3"/>
    <w:rsid w:val="00064A86"/>
    <w:rsid w:val="00064C35"/>
    <w:rsid w:val="00065F85"/>
    <w:rsid w:val="00065FE7"/>
    <w:rsid w:val="00066F36"/>
    <w:rsid w:val="00067034"/>
    <w:rsid w:val="0006787D"/>
    <w:rsid w:val="00067ED3"/>
    <w:rsid w:val="00067F75"/>
    <w:rsid w:val="000717CB"/>
    <w:rsid w:val="00071B6E"/>
    <w:rsid w:val="00071B80"/>
    <w:rsid w:val="000725C4"/>
    <w:rsid w:val="00072764"/>
    <w:rsid w:val="00073543"/>
    <w:rsid w:val="00073844"/>
    <w:rsid w:val="00073CB5"/>
    <w:rsid w:val="000745EB"/>
    <w:rsid w:val="00075041"/>
    <w:rsid w:val="00075E92"/>
    <w:rsid w:val="00079E7A"/>
    <w:rsid w:val="00080CB0"/>
    <w:rsid w:val="000814B4"/>
    <w:rsid w:val="00082050"/>
    <w:rsid w:val="000820DC"/>
    <w:rsid w:val="000824C3"/>
    <w:rsid w:val="00082AF1"/>
    <w:rsid w:val="00082C86"/>
    <w:rsid w:val="00083584"/>
    <w:rsid w:val="000837C2"/>
    <w:rsid w:val="00083E6A"/>
    <w:rsid w:val="000844AE"/>
    <w:rsid w:val="000852F9"/>
    <w:rsid w:val="00085F75"/>
    <w:rsid w:val="00086512"/>
    <w:rsid w:val="00086DA4"/>
    <w:rsid w:val="000879E3"/>
    <w:rsid w:val="00087E2A"/>
    <w:rsid w:val="000903A3"/>
    <w:rsid w:val="0009105E"/>
    <w:rsid w:val="00091299"/>
    <w:rsid w:val="000923D1"/>
    <w:rsid w:val="000925CB"/>
    <w:rsid w:val="000925E7"/>
    <w:rsid w:val="00092B82"/>
    <w:rsid w:val="00092FAA"/>
    <w:rsid w:val="00093311"/>
    <w:rsid w:val="00093EFE"/>
    <w:rsid w:val="00095FB6"/>
    <w:rsid w:val="00096323"/>
    <w:rsid w:val="00096A80"/>
    <w:rsid w:val="00096F92"/>
    <w:rsid w:val="00097CBA"/>
    <w:rsid w:val="000A0386"/>
    <w:rsid w:val="000A0DAA"/>
    <w:rsid w:val="000A0E30"/>
    <w:rsid w:val="000A1A31"/>
    <w:rsid w:val="000A1BB9"/>
    <w:rsid w:val="000A1F69"/>
    <w:rsid w:val="000A24BB"/>
    <w:rsid w:val="000A2940"/>
    <w:rsid w:val="000A3A17"/>
    <w:rsid w:val="000A3C1E"/>
    <w:rsid w:val="000A3DEE"/>
    <w:rsid w:val="000A4105"/>
    <w:rsid w:val="000A471B"/>
    <w:rsid w:val="000A4C61"/>
    <w:rsid w:val="000A52FF"/>
    <w:rsid w:val="000A53B4"/>
    <w:rsid w:val="000A6041"/>
    <w:rsid w:val="000A686D"/>
    <w:rsid w:val="000A757F"/>
    <w:rsid w:val="000A7E38"/>
    <w:rsid w:val="000B01E0"/>
    <w:rsid w:val="000B069C"/>
    <w:rsid w:val="000B0AB6"/>
    <w:rsid w:val="000B0C52"/>
    <w:rsid w:val="000B15FA"/>
    <w:rsid w:val="000B18D4"/>
    <w:rsid w:val="000B1B68"/>
    <w:rsid w:val="000B1C01"/>
    <w:rsid w:val="000B1D13"/>
    <w:rsid w:val="000B32A7"/>
    <w:rsid w:val="000B3D19"/>
    <w:rsid w:val="000B43A4"/>
    <w:rsid w:val="000B4605"/>
    <w:rsid w:val="000B4AB2"/>
    <w:rsid w:val="000B4ECE"/>
    <w:rsid w:val="000B51A7"/>
    <w:rsid w:val="000B6689"/>
    <w:rsid w:val="000B6A70"/>
    <w:rsid w:val="000B7035"/>
    <w:rsid w:val="000B7A37"/>
    <w:rsid w:val="000C00D8"/>
    <w:rsid w:val="000C0ACC"/>
    <w:rsid w:val="000C10B6"/>
    <w:rsid w:val="000C1E43"/>
    <w:rsid w:val="000C228C"/>
    <w:rsid w:val="000C3256"/>
    <w:rsid w:val="000C3AA2"/>
    <w:rsid w:val="000C3C4D"/>
    <w:rsid w:val="000C3CAD"/>
    <w:rsid w:val="000C4549"/>
    <w:rsid w:val="000C4E09"/>
    <w:rsid w:val="000C5362"/>
    <w:rsid w:val="000C5B36"/>
    <w:rsid w:val="000C61AA"/>
    <w:rsid w:val="000C6295"/>
    <w:rsid w:val="000CB484"/>
    <w:rsid w:val="000D0273"/>
    <w:rsid w:val="000D0834"/>
    <w:rsid w:val="000D1884"/>
    <w:rsid w:val="000D1A41"/>
    <w:rsid w:val="000D1A85"/>
    <w:rsid w:val="000D1B19"/>
    <w:rsid w:val="000D29BF"/>
    <w:rsid w:val="000D2A3C"/>
    <w:rsid w:val="000D3CBF"/>
    <w:rsid w:val="000D3D19"/>
    <w:rsid w:val="000D3F7D"/>
    <w:rsid w:val="000D4BA9"/>
    <w:rsid w:val="000D4D6B"/>
    <w:rsid w:val="000D4E3A"/>
    <w:rsid w:val="000D4EF6"/>
    <w:rsid w:val="000D507C"/>
    <w:rsid w:val="000D5C4A"/>
    <w:rsid w:val="000D6E3F"/>
    <w:rsid w:val="000D72DC"/>
    <w:rsid w:val="000E02E9"/>
    <w:rsid w:val="000E05AD"/>
    <w:rsid w:val="000E1540"/>
    <w:rsid w:val="000E1F48"/>
    <w:rsid w:val="000E23D5"/>
    <w:rsid w:val="000E24CF"/>
    <w:rsid w:val="000E2CA6"/>
    <w:rsid w:val="000E2EA0"/>
    <w:rsid w:val="000E3459"/>
    <w:rsid w:val="000E3513"/>
    <w:rsid w:val="000E3A47"/>
    <w:rsid w:val="000E4EA9"/>
    <w:rsid w:val="000E578B"/>
    <w:rsid w:val="000E59A2"/>
    <w:rsid w:val="000E5D10"/>
    <w:rsid w:val="000E5F66"/>
    <w:rsid w:val="000E6388"/>
    <w:rsid w:val="000E69F2"/>
    <w:rsid w:val="000E757C"/>
    <w:rsid w:val="000E7629"/>
    <w:rsid w:val="000E774A"/>
    <w:rsid w:val="000E77A1"/>
    <w:rsid w:val="000E78B6"/>
    <w:rsid w:val="000E8F2E"/>
    <w:rsid w:val="000EC0D5"/>
    <w:rsid w:val="000F009A"/>
    <w:rsid w:val="000F02B9"/>
    <w:rsid w:val="000F0AAF"/>
    <w:rsid w:val="000F14F4"/>
    <w:rsid w:val="000F216F"/>
    <w:rsid w:val="000F21C9"/>
    <w:rsid w:val="000F24EE"/>
    <w:rsid w:val="000F39EE"/>
    <w:rsid w:val="000F3E6C"/>
    <w:rsid w:val="000F447B"/>
    <w:rsid w:val="000F48AB"/>
    <w:rsid w:val="000F4ACA"/>
    <w:rsid w:val="000F4B9E"/>
    <w:rsid w:val="000F53B3"/>
    <w:rsid w:val="000F558B"/>
    <w:rsid w:val="000F7EF6"/>
    <w:rsid w:val="000F7F69"/>
    <w:rsid w:val="00100246"/>
    <w:rsid w:val="00100543"/>
    <w:rsid w:val="0010061A"/>
    <w:rsid w:val="00100B13"/>
    <w:rsid w:val="0010215B"/>
    <w:rsid w:val="001021BA"/>
    <w:rsid w:val="001025D6"/>
    <w:rsid w:val="001025DB"/>
    <w:rsid w:val="00102A0D"/>
    <w:rsid w:val="00103743"/>
    <w:rsid w:val="00103D44"/>
    <w:rsid w:val="00106E80"/>
    <w:rsid w:val="001073F2"/>
    <w:rsid w:val="00107649"/>
    <w:rsid w:val="00107BAC"/>
    <w:rsid w:val="00107DCB"/>
    <w:rsid w:val="00110B96"/>
    <w:rsid w:val="00111BE0"/>
    <w:rsid w:val="00111D7B"/>
    <w:rsid w:val="001123A6"/>
    <w:rsid w:val="0011240B"/>
    <w:rsid w:val="00113305"/>
    <w:rsid w:val="0011378A"/>
    <w:rsid w:val="00113AC6"/>
    <w:rsid w:val="00114838"/>
    <w:rsid w:val="00114949"/>
    <w:rsid w:val="00114BB2"/>
    <w:rsid w:val="0011551D"/>
    <w:rsid w:val="00115A2B"/>
    <w:rsid w:val="00115F67"/>
    <w:rsid w:val="001175D9"/>
    <w:rsid w:val="001213E3"/>
    <w:rsid w:val="00121AD2"/>
    <w:rsid w:val="001220F3"/>
    <w:rsid w:val="00122206"/>
    <w:rsid w:val="00122522"/>
    <w:rsid w:val="0012255C"/>
    <w:rsid w:val="001227F0"/>
    <w:rsid w:val="00123713"/>
    <w:rsid w:val="0012390B"/>
    <w:rsid w:val="00123BE0"/>
    <w:rsid w:val="00124279"/>
    <w:rsid w:val="001243EF"/>
    <w:rsid w:val="0012464C"/>
    <w:rsid w:val="0012470A"/>
    <w:rsid w:val="00124B4C"/>
    <w:rsid w:val="00124B81"/>
    <w:rsid w:val="00124C38"/>
    <w:rsid w:val="0012585F"/>
    <w:rsid w:val="001263DF"/>
    <w:rsid w:val="00126A66"/>
    <w:rsid w:val="00126E31"/>
    <w:rsid w:val="0012782E"/>
    <w:rsid w:val="00130759"/>
    <w:rsid w:val="001309B1"/>
    <w:rsid w:val="001311A6"/>
    <w:rsid w:val="0013159D"/>
    <w:rsid w:val="0013162E"/>
    <w:rsid w:val="00131715"/>
    <w:rsid w:val="001317BC"/>
    <w:rsid w:val="00134046"/>
    <w:rsid w:val="001345AA"/>
    <w:rsid w:val="00134794"/>
    <w:rsid w:val="00134ABB"/>
    <w:rsid w:val="00134B71"/>
    <w:rsid w:val="00134BC4"/>
    <w:rsid w:val="00134E46"/>
    <w:rsid w:val="001356C7"/>
    <w:rsid w:val="00135C7D"/>
    <w:rsid w:val="00135D6C"/>
    <w:rsid w:val="0013697D"/>
    <w:rsid w:val="00137075"/>
    <w:rsid w:val="001370DD"/>
    <w:rsid w:val="001406E4"/>
    <w:rsid w:val="00140A53"/>
    <w:rsid w:val="00140D00"/>
    <w:rsid w:val="00140EF5"/>
    <w:rsid w:val="00141227"/>
    <w:rsid w:val="0014205D"/>
    <w:rsid w:val="001425E3"/>
    <w:rsid w:val="00142926"/>
    <w:rsid w:val="0014352A"/>
    <w:rsid w:val="001436C5"/>
    <w:rsid w:val="001437E3"/>
    <w:rsid w:val="00144952"/>
    <w:rsid w:val="00145BD2"/>
    <w:rsid w:val="00145E16"/>
    <w:rsid w:val="001469A7"/>
    <w:rsid w:val="00146D32"/>
    <w:rsid w:val="00146D68"/>
    <w:rsid w:val="00147607"/>
    <w:rsid w:val="00150251"/>
    <w:rsid w:val="001504E5"/>
    <w:rsid w:val="001505AE"/>
    <w:rsid w:val="00150B8D"/>
    <w:rsid w:val="001513C8"/>
    <w:rsid w:val="00152BA9"/>
    <w:rsid w:val="00152DDB"/>
    <w:rsid w:val="00152FD5"/>
    <w:rsid w:val="001543A2"/>
    <w:rsid w:val="00154651"/>
    <w:rsid w:val="001547E1"/>
    <w:rsid w:val="001548C7"/>
    <w:rsid w:val="00154B9D"/>
    <w:rsid w:val="00154EE4"/>
    <w:rsid w:val="001557CF"/>
    <w:rsid w:val="0015599E"/>
    <w:rsid w:val="001559E2"/>
    <w:rsid w:val="00156D52"/>
    <w:rsid w:val="00156E0D"/>
    <w:rsid w:val="00160A4F"/>
    <w:rsid w:val="00161AA1"/>
    <w:rsid w:val="00161E91"/>
    <w:rsid w:val="00162108"/>
    <w:rsid w:val="0016263C"/>
    <w:rsid w:val="00164033"/>
    <w:rsid w:val="001648DB"/>
    <w:rsid w:val="0016518F"/>
    <w:rsid w:val="001651F4"/>
    <w:rsid w:val="001652B5"/>
    <w:rsid w:val="00165A99"/>
    <w:rsid w:val="00167B2F"/>
    <w:rsid w:val="0017005A"/>
    <w:rsid w:val="00170AB8"/>
    <w:rsid w:val="00170B0F"/>
    <w:rsid w:val="001710A2"/>
    <w:rsid w:val="00171435"/>
    <w:rsid w:val="00171C0C"/>
    <w:rsid w:val="00171C8F"/>
    <w:rsid w:val="00172AE8"/>
    <w:rsid w:val="00173531"/>
    <w:rsid w:val="001735CA"/>
    <w:rsid w:val="001745F7"/>
    <w:rsid w:val="00174DA8"/>
    <w:rsid w:val="00175AA7"/>
    <w:rsid w:val="001760B2"/>
    <w:rsid w:val="001762F2"/>
    <w:rsid w:val="0017659B"/>
    <w:rsid w:val="001766CE"/>
    <w:rsid w:val="00176A6E"/>
    <w:rsid w:val="00176B04"/>
    <w:rsid w:val="00176C79"/>
    <w:rsid w:val="0017722A"/>
    <w:rsid w:val="0017798A"/>
    <w:rsid w:val="001800F2"/>
    <w:rsid w:val="00182034"/>
    <w:rsid w:val="00182374"/>
    <w:rsid w:val="0018427E"/>
    <w:rsid w:val="0018439E"/>
    <w:rsid w:val="001846D8"/>
    <w:rsid w:val="001847C7"/>
    <w:rsid w:val="0018482E"/>
    <w:rsid w:val="001850FB"/>
    <w:rsid w:val="001854CD"/>
    <w:rsid w:val="00185892"/>
    <w:rsid w:val="001858F2"/>
    <w:rsid w:val="00185DE2"/>
    <w:rsid w:val="00186963"/>
    <w:rsid w:val="00186A91"/>
    <w:rsid w:val="001875F5"/>
    <w:rsid w:val="00187D41"/>
    <w:rsid w:val="00190612"/>
    <w:rsid w:val="001911E4"/>
    <w:rsid w:val="001912A1"/>
    <w:rsid w:val="001917D2"/>
    <w:rsid w:val="00193245"/>
    <w:rsid w:val="001939B3"/>
    <w:rsid w:val="00194642"/>
    <w:rsid w:val="00194ACD"/>
    <w:rsid w:val="00195A91"/>
    <w:rsid w:val="00196444"/>
    <w:rsid w:val="00196476"/>
    <w:rsid w:val="001976C2"/>
    <w:rsid w:val="001977FF"/>
    <w:rsid w:val="00197EDF"/>
    <w:rsid w:val="001A0A36"/>
    <w:rsid w:val="001A1099"/>
    <w:rsid w:val="001A17AD"/>
    <w:rsid w:val="001A1CB6"/>
    <w:rsid w:val="001A1F80"/>
    <w:rsid w:val="001A2196"/>
    <w:rsid w:val="001A244B"/>
    <w:rsid w:val="001A400F"/>
    <w:rsid w:val="001A41E0"/>
    <w:rsid w:val="001A4E18"/>
    <w:rsid w:val="001A4FB5"/>
    <w:rsid w:val="001A51FD"/>
    <w:rsid w:val="001A5F2B"/>
    <w:rsid w:val="001A7146"/>
    <w:rsid w:val="001A72A7"/>
    <w:rsid w:val="001A7F9D"/>
    <w:rsid w:val="001B039D"/>
    <w:rsid w:val="001B11E6"/>
    <w:rsid w:val="001B13A5"/>
    <w:rsid w:val="001B1C66"/>
    <w:rsid w:val="001B1D0D"/>
    <w:rsid w:val="001B25AC"/>
    <w:rsid w:val="001B2A1B"/>
    <w:rsid w:val="001B4421"/>
    <w:rsid w:val="001B4EC3"/>
    <w:rsid w:val="001B5A25"/>
    <w:rsid w:val="001B7A73"/>
    <w:rsid w:val="001C0A07"/>
    <w:rsid w:val="001C0CCC"/>
    <w:rsid w:val="001C0E54"/>
    <w:rsid w:val="001C1530"/>
    <w:rsid w:val="001C169B"/>
    <w:rsid w:val="001C17C8"/>
    <w:rsid w:val="001C1F5E"/>
    <w:rsid w:val="001C24A5"/>
    <w:rsid w:val="001C2F31"/>
    <w:rsid w:val="001C31AF"/>
    <w:rsid w:val="001C34BF"/>
    <w:rsid w:val="001C4DFD"/>
    <w:rsid w:val="001C4E0C"/>
    <w:rsid w:val="001C5B93"/>
    <w:rsid w:val="001C5F47"/>
    <w:rsid w:val="001C6426"/>
    <w:rsid w:val="001C67FF"/>
    <w:rsid w:val="001C686C"/>
    <w:rsid w:val="001C7257"/>
    <w:rsid w:val="001C7F68"/>
    <w:rsid w:val="001D028C"/>
    <w:rsid w:val="001D0354"/>
    <w:rsid w:val="001D0542"/>
    <w:rsid w:val="001D0F54"/>
    <w:rsid w:val="001D1B50"/>
    <w:rsid w:val="001D367F"/>
    <w:rsid w:val="001D43A8"/>
    <w:rsid w:val="001D4E53"/>
    <w:rsid w:val="001D5158"/>
    <w:rsid w:val="001D5765"/>
    <w:rsid w:val="001D5AD4"/>
    <w:rsid w:val="001D5BC4"/>
    <w:rsid w:val="001D7980"/>
    <w:rsid w:val="001E003E"/>
    <w:rsid w:val="001E0F2F"/>
    <w:rsid w:val="001E0FD7"/>
    <w:rsid w:val="001E1165"/>
    <w:rsid w:val="001E1844"/>
    <w:rsid w:val="001E49DB"/>
    <w:rsid w:val="001E4AA8"/>
    <w:rsid w:val="001E5508"/>
    <w:rsid w:val="001E6204"/>
    <w:rsid w:val="001E66CD"/>
    <w:rsid w:val="001E7586"/>
    <w:rsid w:val="001E7C8B"/>
    <w:rsid w:val="001F0089"/>
    <w:rsid w:val="001F014F"/>
    <w:rsid w:val="001F08AE"/>
    <w:rsid w:val="001F0B51"/>
    <w:rsid w:val="001F0D09"/>
    <w:rsid w:val="001F1A8C"/>
    <w:rsid w:val="001F1E81"/>
    <w:rsid w:val="001F2789"/>
    <w:rsid w:val="001F4367"/>
    <w:rsid w:val="001F4ABD"/>
    <w:rsid w:val="001F563D"/>
    <w:rsid w:val="001F5D6B"/>
    <w:rsid w:val="001F6300"/>
    <w:rsid w:val="001F6651"/>
    <w:rsid w:val="001F680F"/>
    <w:rsid w:val="001F6E78"/>
    <w:rsid w:val="001F7059"/>
    <w:rsid w:val="001F7219"/>
    <w:rsid w:val="00200667"/>
    <w:rsid w:val="00200D55"/>
    <w:rsid w:val="0020109F"/>
    <w:rsid w:val="0020244C"/>
    <w:rsid w:val="00202C80"/>
    <w:rsid w:val="00203372"/>
    <w:rsid w:val="00203C53"/>
    <w:rsid w:val="00203CE8"/>
    <w:rsid w:val="00204699"/>
    <w:rsid w:val="002049AC"/>
    <w:rsid w:val="00204B6A"/>
    <w:rsid w:val="00204D5A"/>
    <w:rsid w:val="00204DD7"/>
    <w:rsid w:val="002050AF"/>
    <w:rsid w:val="00205396"/>
    <w:rsid w:val="002056F0"/>
    <w:rsid w:val="0020585C"/>
    <w:rsid w:val="00206417"/>
    <w:rsid w:val="0020677B"/>
    <w:rsid w:val="0020699C"/>
    <w:rsid w:val="00206F67"/>
    <w:rsid w:val="00210374"/>
    <w:rsid w:val="002107AA"/>
    <w:rsid w:val="00210C83"/>
    <w:rsid w:val="0021185F"/>
    <w:rsid w:val="00211F0A"/>
    <w:rsid w:val="00212766"/>
    <w:rsid w:val="00212979"/>
    <w:rsid w:val="00212BC0"/>
    <w:rsid w:val="00213720"/>
    <w:rsid w:val="00213871"/>
    <w:rsid w:val="002149C0"/>
    <w:rsid w:val="00214D3B"/>
    <w:rsid w:val="00215388"/>
    <w:rsid w:val="0021574D"/>
    <w:rsid w:val="00215A39"/>
    <w:rsid w:val="00216500"/>
    <w:rsid w:val="002168C4"/>
    <w:rsid w:val="00216B71"/>
    <w:rsid w:val="002171AD"/>
    <w:rsid w:val="0022010E"/>
    <w:rsid w:val="00220D6A"/>
    <w:rsid w:val="00221288"/>
    <w:rsid w:val="002222DF"/>
    <w:rsid w:val="0022257B"/>
    <w:rsid w:val="002227B3"/>
    <w:rsid w:val="00223559"/>
    <w:rsid w:val="00224DC2"/>
    <w:rsid w:val="00225353"/>
    <w:rsid w:val="00225941"/>
    <w:rsid w:val="00226269"/>
    <w:rsid w:val="0022671A"/>
    <w:rsid w:val="00230D7F"/>
    <w:rsid w:val="002310BB"/>
    <w:rsid w:val="00231EB0"/>
    <w:rsid w:val="00232551"/>
    <w:rsid w:val="002328EC"/>
    <w:rsid w:val="00233032"/>
    <w:rsid w:val="002330F3"/>
    <w:rsid w:val="0023347D"/>
    <w:rsid w:val="0023381C"/>
    <w:rsid w:val="00233860"/>
    <w:rsid w:val="0023394F"/>
    <w:rsid w:val="00234751"/>
    <w:rsid w:val="00234FF3"/>
    <w:rsid w:val="002350E0"/>
    <w:rsid w:val="00237BDA"/>
    <w:rsid w:val="00240111"/>
    <w:rsid w:val="0024054B"/>
    <w:rsid w:val="00240D63"/>
    <w:rsid w:val="00240FD3"/>
    <w:rsid w:val="002411A3"/>
    <w:rsid w:val="002412F6"/>
    <w:rsid w:val="00241A39"/>
    <w:rsid w:val="00242261"/>
    <w:rsid w:val="00242A54"/>
    <w:rsid w:val="002432DB"/>
    <w:rsid w:val="00243A9F"/>
    <w:rsid w:val="00243B47"/>
    <w:rsid w:val="0024406A"/>
    <w:rsid w:val="00244205"/>
    <w:rsid w:val="00244FE2"/>
    <w:rsid w:val="00245AB3"/>
    <w:rsid w:val="00246358"/>
    <w:rsid w:val="00246640"/>
    <w:rsid w:val="002468B1"/>
    <w:rsid w:val="00246CF2"/>
    <w:rsid w:val="00246D0E"/>
    <w:rsid w:val="00247B1C"/>
    <w:rsid w:val="00247B87"/>
    <w:rsid w:val="00247CA0"/>
    <w:rsid w:val="00247D55"/>
    <w:rsid w:val="00250059"/>
    <w:rsid w:val="00250197"/>
    <w:rsid w:val="00250734"/>
    <w:rsid w:val="00250D18"/>
    <w:rsid w:val="00251758"/>
    <w:rsid w:val="00251936"/>
    <w:rsid w:val="00252056"/>
    <w:rsid w:val="00252339"/>
    <w:rsid w:val="00252926"/>
    <w:rsid w:val="002530AC"/>
    <w:rsid w:val="0025490A"/>
    <w:rsid w:val="00254BB9"/>
    <w:rsid w:val="0025536D"/>
    <w:rsid w:val="00256274"/>
    <w:rsid w:val="00256FDE"/>
    <w:rsid w:val="0025745A"/>
    <w:rsid w:val="00257543"/>
    <w:rsid w:val="0025760B"/>
    <w:rsid w:val="0025763D"/>
    <w:rsid w:val="00257A3B"/>
    <w:rsid w:val="002601C3"/>
    <w:rsid w:val="00260AD9"/>
    <w:rsid w:val="00260E38"/>
    <w:rsid w:val="00260F58"/>
    <w:rsid w:val="00260FA4"/>
    <w:rsid w:val="00261114"/>
    <w:rsid w:val="0026115E"/>
    <w:rsid w:val="002622A0"/>
    <w:rsid w:val="00263328"/>
    <w:rsid w:val="002635E2"/>
    <w:rsid w:val="002637C4"/>
    <w:rsid w:val="00264A8C"/>
    <w:rsid w:val="0026518A"/>
    <w:rsid w:val="00265513"/>
    <w:rsid w:val="00265682"/>
    <w:rsid w:val="00265B86"/>
    <w:rsid w:val="00266383"/>
    <w:rsid w:val="00266D45"/>
    <w:rsid w:val="00266F74"/>
    <w:rsid w:val="002675A0"/>
    <w:rsid w:val="00270F8D"/>
    <w:rsid w:val="00271088"/>
    <w:rsid w:val="00271359"/>
    <w:rsid w:val="00271945"/>
    <w:rsid w:val="0027224B"/>
    <w:rsid w:val="00274996"/>
    <w:rsid w:val="00274BD8"/>
    <w:rsid w:val="002753FE"/>
    <w:rsid w:val="002758DD"/>
    <w:rsid w:val="00275E14"/>
    <w:rsid w:val="00275F8B"/>
    <w:rsid w:val="00276587"/>
    <w:rsid w:val="002773BA"/>
    <w:rsid w:val="0027B16D"/>
    <w:rsid w:val="00280C27"/>
    <w:rsid w:val="00281304"/>
    <w:rsid w:val="00281976"/>
    <w:rsid w:val="0028346B"/>
    <w:rsid w:val="00283AD1"/>
    <w:rsid w:val="00283DB5"/>
    <w:rsid w:val="00283DFF"/>
    <w:rsid w:val="00283EA7"/>
    <w:rsid w:val="00283F99"/>
    <w:rsid w:val="0028463E"/>
    <w:rsid w:val="002851BC"/>
    <w:rsid w:val="00285399"/>
    <w:rsid w:val="002853B8"/>
    <w:rsid w:val="00286FBE"/>
    <w:rsid w:val="00287EF8"/>
    <w:rsid w:val="002902D9"/>
    <w:rsid w:val="00290566"/>
    <w:rsid w:val="0029168A"/>
    <w:rsid w:val="00291CFB"/>
    <w:rsid w:val="0029247C"/>
    <w:rsid w:val="00292C62"/>
    <w:rsid w:val="00294E22"/>
    <w:rsid w:val="00295418"/>
    <w:rsid w:val="002956E2"/>
    <w:rsid w:val="002962C2"/>
    <w:rsid w:val="00296A0A"/>
    <w:rsid w:val="002972AD"/>
    <w:rsid w:val="00297343"/>
    <w:rsid w:val="00297E84"/>
    <w:rsid w:val="002A025A"/>
    <w:rsid w:val="002A05C9"/>
    <w:rsid w:val="002A0D3C"/>
    <w:rsid w:val="002A109F"/>
    <w:rsid w:val="002A1589"/>
    <w:rsid w:val="002A198E"/>
    <w:rsid w:val="002A2F6C"/>
    <w:rsid w:val="002A36C0"/>
    <w:rsid w:val="002A3EA7"/>
    <w:rsid w:val="002A4371"/>
    <w:rsid w:val="002A47CC"/>
    <w:rsid w:val="002A4ADD"/>
    <w:rsid w:val="002A54A6"/>
    <w:rsid w:val="002A56A2"/>
    <w:rsid w:val="002A5755"/>
    <w:rsid w:val="002A5785"/>
    <w:rsid w:val="002A5AC7"/>
    <w:rsid w:val="002A71A2"/>
    <w:rsid w:val="002B07E9"/>
    <w:rsid w:val="002B0C51"/>
    <w:rsid w:val="002B0DDE"/>
    <w:rsid w:val="002B1206"/>
    <w:rsid w:val="002B1C8F"/>
    <w:rsid w:val="002B228D"/>
    <w:rsid w:val="002B2624"/>
    <w:rsid w:val="002B2754"/>
    <w:rsid w:val="002B27EB"/>
    <w:rsid w:val="002B2A64"/>
    <w:rsid w:val="002B31C4"/>
    <w:rsid w:val="002B3211"/>
    <w:rsid w:val="002B3803"/>
    <w:rsid w:val="002B3B1D"/>
    <w:rsid w:val="002B4092"/>
    <w:rsid w:val="002B491F"/>
    <w:rsid w:val="002B4947"/>
    <w:rsid w:val="002B4B4D"/>
    <w:rsid w:val="002B4DD4"/>
    <w:rsid w:val="002B4F1B"/>
    <w:rsid w:val="002B5033"/>
    <w:rsid w:val="002B5234"/>
    <w:rsid w:val="002B5CA4"/>
    <w:rsid w:val="002B6FB6"/>
    <w:rsid w:val="002B70A0"/>
    <w:rsid w:val="002C0528"/>
    <w:rsid w:val="002C0DEF"/>
    <w:rsid w:val="002C119B"/>
    <w:rsid w:val="002C124F"/>
    <w:rsid w:val="002C1C81"/>
    <w:rsid w:val="002C20D3"/>
    <w:rsid w:val="002C22AD"/>
    <w:rsid w:val="002C2395"/>
    <w:rsid w:val="002C34B1"/>
    <w:rsid w:val="002C3A36"/>
    <w:rsid w:val="002C3B17"/>
    <w:rsid w:val="002C587E"/>
    <w:rsid w:val="002C68F8"/>
    <w:rsid w:val="002C7553"/>
    <w:rsid w:val="002C77D1"/>
    <w:rsid w:val="002C7A4C"/>
    <w:rsid w:val="002C7FD2"/>
    <w:rsid w:val="002CBFA8"/>
    <w:rsid w:val="002D0975"/>
    <w:rsid w:val="002D1D8E"/>
    <w:rsid w:val="002D3D7B"/>
    <w:rsid w:val="002D409E"/>
    <w:rsid w:val="002D4120"/>
    <w:rsid w:val="002D5247"/>
    <w:rsid w:val="002D598C"/>
    <w:rsid w:val="002D5C81"/>
    <w:rsid w:val="002D6271"/>
    <w:rsid w:val="002D6C1A"/>
    <w:rsid w:val="002D6C8C"/>
    <w:rsid w:val="002D70D4"/>
    <w:rsid w:val="002D71F2"/>
    <w:rsid w:val="002D71F9"/>
    <w:rsid w:val="002D7483"/>
    <w:rsid w:val="002D7582"/>
    <w:rsid w:val="002E00DA"/>
    <w:rsid w:val="002E01A8"/>
    <w:rsid w:val="002E106A"/>
    <w:rsid w:val="002E18F0"/>
    <w:rsid w:val="002E1948"/>
    <w:rsid w:val="002E2446"/>
    <w:rsid w:val="002E247D"/>
    <w:rsid w:val="002E3045"/>
    <w:rsid w:val="002E3D82"/>
    <w:rsid w:val="002E4062"/>
    <w:rsid w:val="002E45DA"/>
    <w:rsid w:val="002E5413"/>
    <w:rsid w:val="002E5827"/>
    <w:rsid w:val="002E69CB"/>
    <w:rsid w:val="002E6A2C"/>
    <w:rsid w:val="002E6F2A"/>
    <w:rsid w:val="002E6FF5"/>
    <w:rsid w:val="002E7F33"/>
    <w:rsid w:val="002F03BF"/>
    <w:rsid w:val="002F09AC"/>
    <w:rsid w:val="002F0F8E"/>
    <w:rsid w:val="002F10B1"/>
    <w:rsid w:val="002F139B"/>
    <w:rsid w:val="002F1C54"/>
    <w:rsid w:val="002F2128"/>
    <w:rsid w:val="002F228A"/>
    <w:rsid w:val="002F233A"/>
    <w:rsid w:val="002F2F0E"/>
    <w:rsid w:val="002F3119"/>
    <w:rsid w:val="002F3339"/>
    <w:rsid w:val="002F4056"/>
    <w:rsid w:val="002F4390"/>
    <w:rsid w:val="002F4565"/>
    <w:rsid w:val="002F4C68"/>
    <w:rsid w:val="002F521C"/>
    <w:rsid w:val="002F54B5"/>
    <w:rsid w:val="002F5519"/>
    <w:rsid w:val="002F5992"/>
    <w:rsid w:val="002F5CF8"/>
    <w:rsid w:val="002F643A"/>
    <w:rsid w:val="002F650B"/>
    <w:rsid w:val="002F663C"/>
    <w:rsid w:val="002F7BE8"/>
    <w:rsid w:val="00300B09"/>
    <w:rsid w:val="00301061"/>
    <w:rsid w:val="00301D4D"/>
    <w:rsid w:val="003024BB"/>
    <w:rsid w:val="003027F3"/>
    <w:rsid w:val="003028D3"/>
    <w:rsid w:val="00302D8D"/>
    <w:rsid w:val="003032CA"/>
    <w:rsid w:val="003033D4"/>
    <w:rsid w:val="0030394E"/>
    <w:rsid w:val="0030432C"/>
    <w:rsid w:val="00304E02"/>
    <w:rsid w:val="00304E52"/>
    <w:rsid w:val="0030501B"/>
    <w:rsid w:val="0030504C"/>
    <w:rsid w:val="00305B00"/>
    <w:rsid w:val="003067FE"/>
    <w:rsid w:val="00306E21"/>
    <w:rsid w:val="003076EF"/>
    <w:rsid w:val="003112CE"/>
    <w:rsid w:val="0031157C"/>
    <w:rsid w:val="00311BAE"/>
    <w:rsid w:val="00311C9F"/>
    <w:rsid w:val="00312125"/>
    <w:rsid w:val="00313341"/>
    <w:rsid w:val="003156D0"/>
    <w:rsid w:val="00317B22"/>
    <w:rsid w:val="0032079B"/>
    <w:rsid w:val="003208DD"/>
    <w:rsid w:val="00322712"/>
    <w:rsid w:val="00322963"/>
    <w:rsid w:val="00322CB7"/>
    <w:rsid w:val="00322D40"/>
    <w:rsid w:val="00323399"/>
    <w:rsid w:val="003237CB"/>
    <w:rsid w:val="00323D33"/>
    <w:rsid w:val="003241D5"/>
    <w:rsid w:val="00324449"/>
    <w:rsid w:val="00324CCE"/>
    <w:rsid w:val="00324EFE"/>
    <w:rsid w:val="0032561D"/>
    <w:rsid w:val="00325A1D"/>
    <w:rsid w:val="00325A9E"/>
    <w:rsid w:val="003269FE"/>
    <w:rsid w:val="003270AE"/>
    <w:rsid w:val="0032742F"/>
    <w:rsid w:val="00327ECE"/>
    <w:rsid w:val="00327F66"/>
    <w:rsid w:val="00330138"/>
    <w:rsid w:val="00330337"/>
    <w:rsid w:val="003308DB"/>
    <w:rsid w:val="00331E3B"/>
    <w:rsid w:val="00332071"/>
    <w:rsid w:val="0033220A"/>
    <w:rsid w:val="00332698"/>
    <w:rsid w:val="00333145"/>
    <w:rsid w:val="003339CF"/>
    <w:rsid w:val="00333F05"/>
    <w:rsid w:val="00334029"/>
    <w:rsid w:val="00334132"/>
    <w:rsid w:val="003344FF"/>
    <w:rsid w:val="00334707"/>
    <w:rsid w:val="00334FC0"/>
    <w:rsid w:val="003350C0"/>
    <w:rsid w:val="003354B0"/>
    <w:rsid w:val="00336215"/>
    <w:rsid w:val="003375D7"/>
    <w:rsid w:val="0033788B"/>
    <w:rsid w:val="00340006"/>
    <w:rsid w:val="00340611"/>
    <w:rsid w:val="00340666"/>
    <w:rsid w:val="0034081B"/>
    <w:rsid w:val="00340865"/>
    <w:rsid w:val="00340E8A"/>
    <w:rsid w:val="00340FAF"/>
    <w:rsid w:val="003418D7"/>
    <w:rsid w:val="00341C89"/>
    <w:rsid w:val="003431C5"/>
    <w:rsid w:val="003432D4"/>
    <w:rsid w:val="00343930"/>
    <w:rsid w:val="00343DFD"/>
    <w:rsid w:val="0034440D"/>
    <w:rsid w:val="003444E2"/>
    <w:rsid w:val="00345076"/>
    <w:rsid w:val="00346F7A"/>
    <w:rsid w:val="0034713F"/>
    <w:rsid w:val="00347424"/>
    <w:rsid w:val="0034771E"/>
    <w:rsid w:val="00347BBB"/>
    <w:rsid w:val="00347D8C"/>
    <w:rsid w:val="003500E8"/>
    <w:rsid w:val="00350536"/>
    <w:rsid w:val="00350A54"/>
    <w:rsid w:val="00350E30"/>
    <w:rsid w:val="00351414"/>
    <w:rsid w:val="00351979"/>
    <w:rsid w:val="00351DB6"/>
    <w:rsid w:val="00352194"/>
    <w:rsid w:val="003524EE"/>
    <w:rsid w:val="00352A6F"/>
    <w:rsid w:val="0035370D"/>
    <w:rsid w:val="00353790"/>
    <w:rsid w:val="00353A1B"/>
    <w:rsid w:val="00354211"/>
    <w:rsid w:val="00354984"/>
    <w:rsid w:val="00354C12"/>
    <w:rsid w:val="00354F23"/>
    <w:rsid w:val="00355159"/>
    <w:rsid w:val="003551C1"/>
    <w:rsid w:val="00355437"/>
    <w:rsid w:val="0035545F"/>
    <w:rsid w:val="00355A4C"/>
    <w:rsid w:val="00355F83"/>
    <w:rsid w:val="0036048A"/>
    <w:rsid w:val="003617C3"/>
    <w:rsid w:val="00362365"/>
    <w:rsid w:val="0036308C"/>
    <w:rsid w:val="003638AE"/>
    <w:rsid w:val="00363B13"/>
    <w:rsid w:val="00364587"/>
    <w:rsid w:val="003655C8"/>
    <w:rsid w:val="003656B1"/>
    <w:rsid w:val="00365D7C"/>
    <w:rsid w:val="003669A3"/>
    <w:rsid w:val="00366B10"/>
    <w:rsid w:val="00370593"/>
    <w:rsid w:val="00370DE1"/>
    <w:rsid w:val="00371219"/>
    <w:rsid w:val="00374285"/>
    <w:rsid w:val="003742CF"/>
    <w:rsid w:val="003757C4"/>
    <w:rsid w:val="0037642A"/>
    <w:rsid w:val="0037750E"/>
    <w:rsid w:val="003800D5"/>
    <w:rsid w:val="0038026A"/>
    <w:rsid w:val="00381255"/>
    <w:rsid w:val="00381519"/>
    <w:rsid w:val="003825C1"/>
    <w:rsid w:val="0038275F"/>
    <w:rsid w:val="00382F6C"/>
    <w:rsid w:val="0038314E"/>
    <w:rsid w:val="0038437F"/>
    <w:rsid w:val="003844FC"/>
    <w:rsid w:val="00384B43"/>
    <w:rsid w:val="0038586F"/>
    <w:rsid w:val="0038605A"/>
    <w:rsid w:val="00386961"/>
    <w:rsid w:val="003872C0"/>
    <w:rsid w:val="00387742"/>
    <w:rsid w:val="003877EF"/>
    <w:rsid w:val="0038787A"/>
    <w:rsid w:val="00391F03"/>
    <w:rsid w:val="00392997"/>
    <w:rsid w:val="00392C52"/>
    <w:rsid w:val="00392E17"/>
    <w:rsid w:val="0039326C"/>
    <w:rsid w:val="00393D62"/>
    <w:rsid w:val="00393F1C"/>
    <w:rsid w:val="0039507D"/>
    <w:rsid w:val="00395FF3"/>
    <w:rsid w:val="00396F7D"/>
    <w:rsid w:val="00397340"/>
    <w:rsid w:val="003974D0"/>
    <w:rsid w:val="00397E84"/>
    <w:rsid w:val="00397FD4"/>
    <w:rsid w:val="003A06AB"/>
    <w:rsid w:val="003A098F"/>
    <w:rsid w:val="003A0C9B"/>
    <w:rsid w:val="003A0FFA"/>
    <w:rsid w:val="003A1D80"/>
    <w:rsid w:val="003A1EBF"/>
    <w:rsid w:val="003A2037"/>
    <w:rsid w:val="003A20F4"/>
    <w:rsid w:val="003A279B"/>
    <w:rsid w:val="003A2ACC"/>
    <w:rsid w:val="003A2F18"/>
    <w:rsid w:val="003A32CF"/>
    <w:rsid w:val="003A3B15"/>
    <w:rsid w:val="003A4432"/>
    <w:rsid w:val="003A48B9"/>
    <w:rsid w:val="003A5003"/>
    <w:rsid w:val="003A5243"/>
    <w:rsid w:val="003A586F"/>
    <w:rsid w:val="003A59D6"/>
    <w:rsid w:val="003A5BD1"/>
    <w:rsid w:val="003A5D72"/>
    <w:rsid w:val="003A601D"/>
    <w:rsid w:val="003A7180"/>
    <w:rsid w:val="003A748D"/>
    <w:rsid w:val="003A75D9"/>
    <w:rsid w:val="003A78B7"/>
    <w:rsid w:val="003A7F4E"/>
    <w:rsid w:val="003B0C00"/>
    <w:rsid w:val="003B0C0C"/>
    <w:rsid w:val="003B0C15"/>
    <w:rsid w:val="003B0F6D"/>
    <w:rsid w:val="003B0F74"/>
    <w:rsid w:val="003B10F6"/>
    <w:rsid w:val="003B1201"/>
    <w:rsid w:val="003B1E9B"/>
    <w:rsid w:val="003B2932"/>
    <w:rsid w:val="003B40F4"/>
    <w:rsid w:val="003B43AF"/>
    <w:rsid w:val="003B45D7"/>
    <w:rsid w:val="003B46C5"/>
    <w:rsid w:val="003B4877"/>
    <w:rsid w:val="003B5FFE"/>
    <w:rsid w:val="003B6780"/>
    <w:rsid w:val="003B6F57"/>
    <w:rsid w:val="003B77E7"/>
    <w:rsid w:val="003B796E"/>
    <w:rsid w:val="003B7BC8"/>
    <w:rsid w:val="003C0C25"/>
    <w:rsid w:val="003C0E58"/>
    <w:rsid w:val="003C2568"/>
    <w:rsid w:val="003C260B"/>
    <w:rsid w:val="003C45D1"/>
    <w:rsid w:val="003C4CAB"/>
    <w:rsid w:val="003C5251"/>
    <w:rsid w:val="003C5511"/>
    <w:rsid w:val="003C557A"/>
    <w:rsid w:val="003C59D0"/>
    <w:rsid w:val="003C5D40"/>
    <w:rsid w:val="003C5E83"/>
    <w:rsid w:val="003C61EB"/>
    <w:rsid w:val="003C67DF"/>
    <w:rsid w:val="003C6E8F"/>
    <w:rsid w:val="003C7103"/>
    <w:rsid w:val="003C7220"/>
    <w:rsid w:val="003C74C8"/>
    <w:rsid w:val="003D0540"/>
    <w:rsid w:val="003D06F4"/>
    <w:rsid w:val="003D0871"/>
    <w:rsid w:val="003D1749"/>
    <w:rsid w:val="003D1AA1"/>
    <w:rsid w:val="003D22FE"/>
    <w:rsid w:val="003D2F05"/>
    <w:rsid w:val="003D39DF"/>
    <w:rsid w:val="003D61B4"/>
    <w:rsid w:val="003D667E"/>
    <w:rsid w:val="003D7510"/>
    <w:rsid w:val="003D7BC5"/>
    <w:rsid w:val="003D7CF9"/>
    <w:rsid w:val="003E079C"/>
    <w:rsid w:val="003E087A"/>
    <w:rsid w:val="003E1175"/>
    <w:rsid w:val="003E23D6"/>
    <w:rsid w:val="003E2453"/>
    <w:rsid w:val="003E3054"/>
    <w:rsid w:val="003E3AE8"/>
    <w:rsid w:val="003E3DCE"/>
    <w:rsid w:val="003E4338"/>
    <w:rsid w:val="003E4832"/>
    <w:rsid w:val="003E4A1F"/>
    <w:rsid w:val="003E5CC9"/>
    <w:rsid w:val="003E6C75"/>
    <w:rsid w:val="003E7288"/>
    <w:rsid w:val="003F0730"/>
    <w:rsid w:val="003F11B6"/>
    <w:rsid w:val="003F159A"/>
    <w:rsid w:val="003F1784"/>
    <w:rsid w:val="003F2C52"/>
    <w:rsid w:val="003F314F"/>
    <w:rsid w:val="003F4048"/>
    <w:rsid w:val="003F405E"/>
    <w:rsid w:val="003F419F"/>
    <w:rsid w:val="003F4996"/>
    <w:rsid w:val="003F4AEE"/>
    <w:rsid w:val="003F5090"/>
    <w:rsid w:val="003F50C0"/>
    <w:rsid w:val="003F5243"/>
    <w:rsid w:val="003F58E4"/>
    <w:rsid w:val="003F5DD3"/>
    <w:rsid w:val="003F6817"/>
    <w:rsid w:val="003F6BD2"/>
    <w:rsid w:val="003F6CA9"/>
    <w:rsid w:val="003F768D"/>
    <w:rsid w:val="00400089"/>
    <w:rsid w:val="00400BCD"/>
    <w:rsid w:val="00400DB9"/>
    <w:rsid w:val="004010A2"/>
    <w:rsid w:val="00401235"/>
    <w:rsid w:val="004013B4"/>
    <w:rsid w:val="00401833"/>
    <w:rsid w:val="00402193"/>
    <w:rsid w:val="00402680"/>
    <w:rsid w:val="00403CB0"/>
    <w:rsid w:val="00404685"/>
    <w:rsid w:val="004049F0"/>
    <w:rsid w:val="00404B07"/>
    <w:rsid w:val="00404CDA"/>
    <w:rsid w:val="00405277"/>
    <w:rsid w:val="00405D17"/>
    <w:rsid w:val="004064EF"/>
    <w:rsid w:val="00406A91"/>
    <w:rsid w:val="00406CD7"/>
    <w:rsid w:val="0040730C"/>
    <w:rsid w:val="004074DB"/>
    <w:rsid w:val="0040B7BB"/>
    <w:rsid w:val="00410189"/>
    <w:rsid w:val="00410BA4"/>
    <w:rsid w:val="00410CD3"/>
    <w:rsid w:val="00410E70"/>
    <w:rsid w:val="00410E71"/>
    <w:rsid w:val="004129A1"/>
    <w:rsid w:val="00413280"/>
    <w:rsid w:val="00413729"/>
    <w:rsid w:val="00413C5F"/>
    <w:rsid w:val="00413D1D"/>
    <w:rsid w:val="00414CC6"/>
    <w:rsid w:val="00415518"/>
    <w:rsid w:val="00415771"/>
    <w:rsid w:val="00416436"/>
    <w:rsid w:val="00416704"/>
    <w:rsid w:val="00417FE0"/>
    <w:rsid w:val="00420321"/>
    <w:rsid w:val="004212DC"/>
    <w:rsid w:val="00421A97"/>
    <w:rsid w:val="00421C0A"/>
    <w:rsid w:val="00422938"/>
    <w:rsid w:val="004232F0"/>
    <w:rsid w:val="004243F8"/>
    <w:rsid w:val="0042528B"/>
    <w:rsid w:val="00426103"/>
    <w:rsid w:val="00426F5C"/>
    <w:rsid w:val="00427525"/>
    <w:rsid w:val="004277BF"/>
    <w:rsid w:val="004277F9"/>
    <w:rsid w:val="004301F8"/>
    <w:rsid w:val="004304F1"/>
    <w:rsid w:val="004321A3"/>
    <w:rsid w:val="004322B9"/>
    <w:rsid w:val="004322EB"/>
    <w:rsid w:val="004323F5"/>
    <w:rsid w:val="0043311E"/>
    <w:rsid w:val="00433E26"/>
    <w:rsid w:val="00433EC8"/>
    <w:rsid w:val="00434255"/>
    <w:rsid w:val="004344B9"/>
    <w:rsid w:val="00434595"/>
    <w:rsid w:val="0043466A"/>
    <w:rsid w:val="00434E96"/>
    <w:rsid w:val="0043596D"/>
    <w:rsid w:val="004359BB"/>
    <w:rsid w:val="00437D9F"/>
    <w:rsid w:val="00437DAE"/>
    <w:rsid w:val="00440107"/>
    <w:rsid w:val="0044054B"/>
    <w:rsid w:val="004405D4"/>
    <w:rsid w:val="00442063"/>
    <w:rsid w:val="004427BE"/>
    <w:rsid w:val="00443609"/>
    <w:rsid w:val="00443884"/>
    <w:rsid w:val="00443A94"/>
    <w:rsid w:val="00443BB0"/>
    <w:rsid w:val="00443DB6"/>
    <w:rsid w:val="0044457C"/>
    <w:rsid w:val="004450C3"/>
    <w:rsid w:val="004458C0"/>
    <w:rsid w:val="00445CF2"/>
    <w:rsid w:val="0044610F"/>
    <w:rsid w:val="00446471"/>
    <w:rsid w:val="0044655C"/>
    <w:rsid w:val="004466D6"/>
    <w:rsid w:val="00446C3C"/>
    <w:rsid w:val="00446FE4"/>
    <w:rsid w:val="004470AF"/>
    <w:rsid w:val="00447ACC"/>
    <w:rsid w:val="00450F46"/>
    <w:rsid w:val="00451BDF"/>
    <w:rsid w:val="00451F01"/>
    <w:rsid w:val="004523BF"/>
    <w:rsid w:val="00452F89"/>
    <w:rsid w:val="00453591"/>
    <w:rsid w:val="00453E10"/>
    <w:rsid w:val="00454319"/>
    <w:rsid w:val="004547CC"/>
    <w:rsid w:val="004552CD"/>
    <w:rsid w:val="00455A7F"/>
    <w:rsid w:val="004571F1"/>
    <w:rsid w:val="00457785"/>
    <w:rsid w:val="00457BDE"/>
    <w:rsid w:val="00457F99"/>
    <w:rsid w:val="00457FED"/>
    <w:rsid w:val="00461076"/>
    <w:rsid w:val="0046270D"/>
    <w:rsid w:val="00464006"/>
    <w:rsid w:val="004646AD"/>
    <w:rsid w:val="00464C85"/>
    <w:rsid w:val="00465E84"/>
    <w:rsid w:val="00466103"/>
    <w:rsid w:val="00466C10"/>
    <w:rsid w:val="00466FD0"/>
    <w:rsid w:val="00470ED1"/>
    <w:rsid w:val="004725AA"/>
    <w:rsid w:val="004728A5"/>
    <w:rsid w:val="00472D0B"/>
    <w:rsid w:val="0047328B"/>
    <w:rsid w:val="0047331E"/>
    <w:rsid w:val="00473516"/>
    <w:rsid w:val="00473B91"/>
    <w:rsid w:val="004740DE"/>
    <w:rsid w:val="004740E9"/>
    <w:rsid w:val="004741C5"/>
    <w:rsid w:val="004750AA"/>
    <w:rsid w:val="00475A7D"/>
    <w:rsid w:val="00475DD6"/>
    <w:rsid w:val="00476143"/>
    <w:rsid w:val="004763B3"/>
    <w:rsid w:val="0047692E"/>
    <w:rsid w:val="0047716D"/>
    <w:rsid w:val="00477265"/>
    <w:rsid w:val="00477435"/>
    <w:rsid w:val="00477622"/>
    <w:rsid w:val="00480B0F"/>
    <w:rsid w:val="00480B3C"/>
    <w:rsid w:val="00481144"/>
    <w:rsid w:val="004811D6"/>
    <w:rsid w:val="00481270"/>
    <w:rsid w:val="00482A72"/>
    <w:rsid w:val="00483164"/>
    <w:rsid w:val="004836AD"/>
    <w:rsid w:val="00483E16"/>
    <w:rsid w:val="004852DB"/>
    <w:rsid w:val="004865F3"/>
    <w:rsid w:val="00486C19"/>
    <w:rsid w:val="0048C87F"/>
    <w:rsid w:val="00490ED9"/>
    <w:rsid w:val="004917FB"/>
    <w:rsid w:val="00492FC9"/>
    <w:rsid w:val="004940E9"/>
    <w:rsid w:val="00494630"/>
    <w:rsid w:val="004948EC"/>
    <w:rsid w:val="00494A46"/>
    <w:rsid w:val="00495108"/>
    <w:rsid w:val="004955B4"/>
    <w:rsid w:val="00495866"/>
    <w:rsid w:val="00496226"/>
    <w:rsid w:val="004966FC"/>
    <w:rsid w:val="004967A6"/>
    <w:rsid w:val="0049724C"/>
    <w:rsid w:val="00497C9F"/>
    <w:rsid w:val="004A04CE"/>
    <w:rsid w:val="004A057F"/>
    <w:rsid w:val="004A15C8"/>
    <w:rsid w:val="004A1A0A"/>
    <w:rsid w:val="004A1DBF"/>
    <w:rsid w:val="004A2E93"/>
    <w:rsid w:val="004A458F"/>
    <w:rsid w:val="004A4B33"/>
    <w:rsid w:val="004A4D7D"/>
    <w:rsid w:val="004A522B"/>
    <w:rsid w:val="004A5316"/>
    <w:rsid w:val="004A552C"/>
    <w:rsid w:val="004A6A96"/>
    <w:rsid w:val="004A6BB4"/>
    <w:rsid w:val="004A6EBA"/>
    <w:rsid w:val="004A74A4"/>
    <w:rsid w:val="004A7917"/>
    <w:rsid w:val="004A7959"/>
    <w:rsid w:val="004A7BB8"/>
    <w:rsid w:val="004B137A"/>
    <w:rsid w:val="004B2B72"/>
    <w:rsid w:val="004B30E0"/>
    <w:rsid w:val="004B3317"/>
    <w:rsid w:val="004B38C6"/>
    <w:rsid w:val="004B3BED"/>
    <w:rsid w:val="004B4A2B"/>
    <w:rsid w:val="004B4E2A"/>
    <w:rsid w:val="004B54CC"/>
    <w:rsid w:val="004B566B"/>
    <w:rsid w:val="004B57BB"/>
    <w:rsid w:val="004B5A94"/>
    <w:rsid w:val="004B6D55"/>
    <w:rsid w:val="004B72CE"/>
    <w:rsid w:val="004B7A09"/>
    <w:rsid w:val="004C064A"/>
    <w:rsid w:val="004C0792"/>
    <w:rsid w:val="004C0864"/>
    <w:rsid w:val="004C09AD"/>
    <w:rsid w:val="004C0ACE"/>
    <w:rsid w:val="004C0B30"/>
    <w:rsid w:val="004C0D2D"/>
    <w:rsid w:val="004C132C"/>
    <w:rsid w:val="004C1FAF"/>
    <w:rsid w:val="004C273A"/>
    <w:rsid w:val="004C28B2"/>
    <w:rsid w:val="004C29B2"/>
    <w:rsid w:val="004C2C65"/>
    <w:rsid w:val="004C3811"/>
    <w:rsid w:val="004C3D3F"/>
    <w:rsid w:val="004C3F0E"/>
    <w:rsid w:val="004C4055"/>
    <w:rsid w:val="004C47E8"/>
    <w:rsid w:val="004C57E3"/>
    <w:rsid w:val="004C594C"/>
    <w:rsid w:val="004C5F6D"/>
    <w:rsid w:val="004C6848"/>
    <w:rsid w:val="004C6F33"/>
    <w:rsid w:val="004C74D2"/>
    <w:rsid w:val="004C74D7"/>
    <w:rsid w:val="004C7DF7"/>
    <w:rsid w:val="004D06D5"/>
    <w:rsid w:val="004D0B30"/>
    <w:rsid w:val="004D0FE6"/>
    <w:rsid w:val="004D1558"/>
    <w:rsid w:val="004D1A3C"/>
    <w:rsid w:val="004D39B0"/>
    <w:rsid w:val="004D3D93"/>
    <w:rsid w:val="004D420A"/>
    <w:rsid w:val="004D4954"/>
    <w:rsid w:val="004D49E9"/>
    <w:rsid w:val="004D5278"/>
    <w:rsid w:val="004D5EF8"/>
    <w:rsid w:val="004D6584"/>
    <w:rsid w:val="004D6AA9"/>
    <w:rsid w:val="004D6BB1"/>
    <w:rsid w:val="004D6BC1"/>
    <w:rsid w:val="004D6BD2"/>
    <w:rsid w:val="004D6D23"/>
    <w:rsid w:val="004E0045"/>
    <w:rsid w:val="004E04E0"/>
    <w:rsid w:val="004E06A5"/>
    <w:rsid w:val="004E0B99"/>
    <w:rsid w:val="004E110E"/>
    <w:rsid w:val="004E3216"/>
    <w:rsid w:val="004E382C"/>
    <w:rsid w:val="004E3869"/>
    <w:rsid w:val="004E41CA"/>
    <w:rsid w:val="004E534F"/>
    <w:rsid w:val="004E641A"/>
    <w:rsid w:val="004E665D"/>
    <w:rsid w:val="004E6FF7"/>
    <w:rsid w:val="004E77CA"/>
    <w:rsid w:val="004E7A65"/>
    <w:rsid w:val="004E7BE9"/>
    <w:rsid w:val="004F026C"/>
    <w:rsid w:val="004F06A6"/>
    <w:rsid w:val="004F105F"/>
    <w:rsid w:val="004F1123"/>
    <w:rsid w:val="004F142D"/>
    <w:rsid w:val="004F15EB"/>
    <w:rsid w:val="004F17A2"/>
    <w:rsid w:val="004F1806"/>
    <w:rsid w:val="004F1812"/>
    <w:rsid w:val="004F1FBD"/>
    <w:rsid w:val="004F2753"/>
    <w:rsid w:val="004F3120"/>
    <w:rsid w:val="004F3670"/>
    <w:rsid w:val="004F381C"/>
    <w:rsid w:val="004F3FDE"/>
    <w:rsid w:val="004F4547"/>
    <w:rsid w:val="004F4AD1"/>
    <w:rsid w:val="004F4C5D"/>
    <w:rsid w:val="004F5B43"/>
    <w:rsid w:val="004F6218"/>
    <w:rsid w:val="004F69DF"/>
    <w:rsid w:val="004F6CC3"/>
    <w:rsid w:val="004F716B"/>
    <w:rsid w:val="004F71E3"/>
    <w:rsid w:val="004F7952"/>
    <w:rsid w:val="004F7A37"/>
    <w:rsid w:val="004F7E62"/>
    <w:rsid w:val="004F7EB5"/>
    <w:rsid w:val="00500443"/>
    <w:rsid w:val="00500FC9"/>
    <w:rsid w:val="00501586"/>
    <w:rsid w:val="005027B1"/>
    <w:rsid w:val="00502B45"/>
    <w:rsid w:val="00502F6D"/>
    <w:rsid w:val="005031DB"/>
    <w:rsid w:val="00503935"/>
    <w:rsid w:val="00503E78"/>
    <w:rsid w:val="00503EB7"/>
    <w:rsid w:val="005042F6"/>
    <w:rsid w:val="005043B1"/>
    <w:rsid w:val="005045D8"/>
    <w:rsid w:val="005056A6"/>
    <w:rsid w:val="00505D10"/>
    <w:rsid w:val="00505E1D"/>
    <w:rsid w:val="005064D5"/>
    <w:rsid w:val="00507267"/>
    <w:rsid w:val="00507348"/>
    <w:rsid w:val="005073FD"/>
    <w:rsid w:val="005074FD"/>
    <w:rsid w:val="0050774C"/>
    <w:rsid w:val="00507962"/>
    <w:rsid w:val="00510A50"/>
    <w:rsid w:val="00511260"/>
    <w:rsid w:val="005126B7"/>
    <w:rsid w:val="0051280F"/>
    <w:rsid w:val="00513141"/>
    <w:rsid w:val="00513BFA"/>
    <w:rsid w:val="0051488F"/>
    <w:rsid w:val="00514D8F"/>
    <w:rsid w:val="005150F5"/>
    <w:rsid w:val="00515D7C"/>
    <w:rsid w:val="005160A4"/>
    <w:rsid w:val="00516109"/>
    <w:rsid w:val="005162DC"/>
    <w:rsid w:val="0051690D"/>
    <w:rsid w:val="00516CE1"/>
    <w:rsid w:val="00516F2D"/>
    <w:rsid w:val="0051714B"/>
    <w:rsid w:val="0051725A"/>
    <w:rsid w:val="0051796D"/>
    <w:rsid w:val="00520107"/>
    <w:rsid w:val="005201BE"/>
    <w:rsid w:val="00520534"/>
    <w:rsid w:val="00520AD5"/>
    <w:rsid w:val="00521598"/>
    <w:rsid w:val="00522ACE"/>
    <w:rsid w:val="00522DCF"/>
    <w:rsid w:val="005233FC"/>
    <w:rsid w:val="00523622"/>
    <w:rsid w:val="005236F3"/>
    <w:rsid w:val="005238DC"/>
    <w:rsid w:val="00524332"/>
    <w:rsid w:val="005243B3"/>
    <w:rsid w:val="00524BE7"/>
    <w:rsid w:val="005250F7"/>
    <w:rsid w:val="00525CCA"/>
    <w:rsid w:val="00526D3D"/>
    <w:rsid w:val="00526EA9"/>
    <w:rsid w:val="00527947"/>
    <w:rsid w:val="00527CF9"/>
    <w:rsid w:val="00530B7C"/>
    <w:rsid w:val="00531811"/>
    <w:rsid w:val="00531872"/>
    <w:rsid w:val="00531BF3"/>
    <w:rsid w:val="00531E30"/>
    <w:rsid w:val="00532196"/>
    <w:rsid w:val="0053237F"/>
    <w:rsid w:val="005327FA"/>
    <w:rsid w:val="0053305D"/>
    <w:rsid w:val="0053330C"/>
    <w:rsid w:val="00533C58"/>
    <w:rsid w:val="00534280"/>
    <w:rsid w:val="005342EF"/>
    <w:rsid w:val="00534BAC"/>
    <w:rsid w:val="0053544C"/>
    <w:rsid w:val="00535503"/>
    <w:rsid w:val="00535667"/>
    <w:rsid w:val="005373D6"/>
    <w:rsid w:val="00537BF9"/>
    <w:rsid w:val="00540865"/>
    <w:rsid w:val="00540C5D"/>
    <w:rsid w:val="00540EF9"/>
    <w:rsid w:val="00540F7F"/>
    <w:rsid w:val="0054111E"/>
    <w:rsid w:val="0054150D"/>
    <w:rsid w:val="00541A80"/>
    <w:rsid w:val="005421BE"/>
    <w:rsid w:val="00542388"/>
    <w:rsid w:val="00542C15"/>
    <w:rsid w:val="005431DB"/>
    <w:rsid w:val="0054335F"/>
    <w:rsid w:val="0054396A"/>
    <w:rsid w:val="005441CF"/>
    <w:rsid w:val="005448E1"/>
    <w:rsid w:val="00544BC8"/>
    <w:rsid w:val="00544FA4"/>
    <w:rsid w:val="00545FF6"/>
    <w:rsid w:val="00546100"/>
    <w:rsid w:val="005466A1"/>
    <w:rsid w:val="00547981"/>
    <w:rsid w:val="00547C40"/>
    <w:rsid w:val="00550259"/>
    <w:rsid w:val="005517C6"/>
    <w:rsid w:val="00551D06"/>
    <w:rsid w:val="0055238B"/>
    <w:rsid w:val="00552485"/>
    <w:rsid w:val="0055385A"/>
    <w:rsid w:val="00553A2D"/>
    <w:rsid w:val="00553CD7"/>
    <w:rsid w:val="00554357"/>
    <w:rsid w:val="00555D93"/>
    <w:rsid w:val="00557208"/>
    <w:rsid w:val="00557A58"/>
    <w:rsid w:val="00557AB4"/>
    <w:rsid w:val="00560337"/>
    <w:rsid w:val="0056096C"/>
    <w:rsid w:val="00560C1E"/>
    <w:rsid w:val="00560E6D"/>
    <w:rsid w:val="00561408"/>
    <w:rsid w:val="005614A6"/>
    <w:rsid w:val="0056150B"/>
    <w:rsid w:val="005628C4"/>
    <w:rsid w:val="00562CA3"/>
    <w:rsid w:val="00562FF7"/>
    <w:rsid w:val="00563E60"/>
    <w:rsid w:val="00564DB8"/>
    <w:rsid w:val="005655A8"/>
    <w:rsid w:val="005659C4"/>
    <w:rsid w:val="00566580"/>
    <w:rsid w:val="0056697A"/>
    <w:rsid w:val="005674E2"/>
    <w:rsid w:val="00571016"/>
    <w:rsid w:val="00571733"/>
    <w:rsid w:val="0057244E"/>
    <w:rsid w:val="00572AFC"/>
    <w:rsid w:val="005731A9"/>
    <w:rsid w:val="0057321E"/>
    <w:rsid w:val="00573E0A"/>
    <w:rsid w:val="0057404C"/>
    <w:rsid w:val="005744B7"/>
    <w:rsid w:val="00575137"/>
    <w:rsid w:val="005753CA"/>
    <w:rsid w:val="005755F6"/>
    <w:rsid w:val="00575B3C"/>
    <w:rsid w:val="00575EFF"/>
    <w:rsid w:val="005765F3"/>
    <w:rsid w:val="00576907"/>
    <w:rsid w:val="0057703D"/>
    <w:rsid w:val="0057742E"/>
    <w:rsid w:val="00580715"/>
    <w:rsid w:val="00581FC2"/>
    <w:rsid w:val="005821ED"/>
    <w:rsid w:val="0058252D"/>
    <w:rsid w:val="005825CD"/>
    <w:rsid w:val="00583186"/>
    <w:rsid w:val="0058326D"/>
    <w:rsid w:val="0058397B"/>
    <w:rsid w:val="00584E95"/>
    <w:rsid w:val="00585B4E"/>
    <w:rsid w:val="005868BD"/>
    <w:rsid w:val="00586A9F"/>
    <w:rsid w:val="00586D9B"/>
    <w:rsid w:val="00587332"/>
    <w:rsid w:val="0058766B"/>
    <w:rsid w:val="00587A95"/>
    <w:rsid w:val="00587BAC"/>
    <w:rsid w:val="005906DD"/>
    <w:rsid w:val="0059100B"/>
    <w:rsid w:val="005914D1"/>
    <w:rsid w:val="00592B3F"/>
    <w:rsid w:val="005931ED"/>
    <w:rsid w:val="00593422"/>
    <w:rsid w:val="00593BEC"/>
    <w:rsid w:val="00593C1D"/>
    <w:rsid w:val="005943D4"/>
    <w:rsid w:val="0059488A"/>
    <w:rsid w:val="00594CA7"/>
    <w:rsid w:val="00594D06"/>
    <w:rsid w:val="005952AD"/>
    <w:rsid w:val="005954EC"/>
    <w:rsid w:val="0059615B"/>
    <w:rsid w:val="005962E1"/>
    <w:rsid w:val="00596DE5"/>
    <w:rsid w:val="00597448"/>
    <w:rsid w:val="00597D47"/>
    <w:rsid w:val="00597F0C"/>
    <w:rsid w:val="005A05DD"/>
    <w:rsid w:val="005A1C82"/>
    <w:rsid w:val="005A2E37"/>
    <w:rsid w:val="005A338F"/>
    <w:rsid w:val="005A3550"/>
    <w:rsid w:val="005A35D9"/>
    <w:rsid w:val="005A3EB8"/>
    <w:rsid w:val="005A45F5"/>
    <w:rsid w:val="005A4DFB"/>
    <w:rsid w:val="005A5189"/>
    <w:rsid w:val="005A5660"/>
    <w:rsid w:val="005A63E0"/>
    <w:rsid w:val="005A7567"/>
    <w:rsid w:val="005B01BD"/>
    <w:rsid w:val="005B0855"/>
    <w:rsid w:val="005B09B1"/>
    <w:rsid w:val="005B1571"/>
    <w:rsid w:val="005B2E35"/>
    <w:rsid w:val="005B2E7C"/>
    <w:rsid w:val="005B30A6"/>
    <w:rsid w:val="005B3322"/>
    <w:rsid w:val="005B35EC"/>
    <w:rsid w:val="005B4D64"/>
    <w:rsid w:val="005B5C7E"/>
    <w:rsid w:val="005B6647"/>
    <w:rsid w:val="005B6746"/>
    <w:rsid w:val="005B6901"/>
    <w:rsid w:val="005B6B98"/>
    <w:rsid w:val="005B734B"/>
    <w:rsid w:val="005B7582"/>
    <w:rsid w:val="005B786C"/>
    <w:rsid w:val="005C0032"/>
    <w:rsid w:val="005C0525"/>
    <w:rsid w:val="005C0716"/>
    <w:rsid w:val="005C0B05"/>
    <w:rsid w:val="005C1B6F"/>
    <w:rsid w:val="005C1F65"/>
    <w:rsid w:val="005C2666"/>
    <w:rsid w:val="005C29D7"/>
    <w:rsid w:val="005C2AAA"/>
    <w:rsid w:val="005C3BCF"/>
    <w:rsid w:val="005C3DCC"/>
    <w:rsid w:val="005C4D63"/>
    <w:rsid w:val="005C4D71"/>
    <w:rsid w:val="005C747C"/>
    <w:rsid w:val="005C7DBB"/>
    <w:rsid w:val="005C7FDE"/>
    <w:rsid w:val="005D0103"/>
    <w:rsid w:val="005D0264"/>
    <w:rsid w:val="005D0318"/>
    <w:rsid w:val="005D0929"/>
    <w:rsid w:val="005D093D"/>
    <w:rsid w:val="005D0F06"/>
    <w:rsid w:val="005D2651"/>
    <w:rsid w:val="005D38E5"/>
    <w:rsid w:val="005D4B72"/>
    <w:rsid w:val="005D50B9"/>
    <w:rsid w:val="005D59C3"/>
    <w:rsid w:val="005D600D"/>
    <w:rsid w:val="005D6D5F"/>
    <w:rsid w:val="005D70AB"/>
    <w:rsid w:val="005D722E"/>
    <w:rsid w:val="005D72E9"/>
    <w:rsid w:val="005D7745"/>
    <w:rsid w:val="005E0A8C"/>
    <w:rsid w:val="005E0D47"/>
    <w:rsid w:val="005E116D"/>
    <w:rsid w:val="005E13A1"/>
    <w:rsid w:val="005E172C"/>
    <w:rsid w:val="005E1E5F"/>
    <w:rsid w:val="005E2A16"/>
    <w:rsid w:val="005E2C0E"/>
    <w:rsid w:val="005E2CF7"/>
    <w:rsid w:val="005E2EC5"/>
    <w:rsid w:val="005E3654"/>
    <w:rsid w:val="005E44F2"/>
    <w:rsid w:val="005E4F1C"/>
    <w:rsid w:val="005E57D0"/>
    <w:rsid w:val="005E5907"/>
    <w:rsid w:val="005E5B51"/>
    <w:rsid w:val="005E6548"/>
    <w:rsid w:val="005E6614"/>
    <w:rsid w:val="005E680F"/>
    <w:rsid w:val="005E704D"/>
    <w:rsid w:val="005E72E3"/>
    <w:rsid w:val="005E7974"/>
    <w:rsid w:val="005F1C03"/>
    <w:rsid w:val="005F1C84"/>
    <w:rsid w:val="005F349F"/>
    <w:rsid w:val="005F4EE0"/>
    <w:rsid w:val="005F4FF6"/>
    <w:rsid w:val="005F5E7D"/>
    <w:rsid w:val="005F6B01"/>
    <w:rsid w:val="005F6E69"/>
    <w:rsid w:val="005F70FC"/>
    <w:rsid w:val="00600074"/>
    <w:rsid w:val="00600A31"/>
    <w:rsid w:val="00600CAD"/>
    <w:rsid w:val="0060298E"/>
    <w:rsid w:val="00602AA9"/>
    <w:rsid w:val="00603923"/>
    <w:rsid w:val="00604609"/>
    <w:rsid w:val="0060565A"/>
    <w:rsid w:val="0060593E"/>
    <w:rsid w:val="00605E5F"/>
    <w:rsid w:val="00605EB0"/>
    <w:rsid w:val="006071CB"/>
    <w:rsid w:val="00607480"/>
    <w:rsid w:val="00607C0D"/>
    <w:rsid w:val="00607DB0"/>
    <w:rsid w:val="0061001A"/>
    <w:rsid w:val="006102D9"/>
    <w:rsid w:val="00610368"/>
    <w:rsid w:val="0061062C"/>
    <w:rsid w:val="00610708"/>
    <w:rsid w:val="006110DC"/>
    <w:rsid w:val="00611661"/>
    <w:rsid w:val="00611B37"/>
    <w:rsid w:val="00611F0F"/>
    <w:rsid w:val="0061206B"/>
    <w:rsid w:val="006122E4"/>
    <w:rsid w:val="00612B24"/>
    <w:rsid w:val="0061385F"/>
    <w:rsid w:val="00613978"/>
    <w:rsid w:val="00614751"/>
    <w:rsid w:val="00614F7D"/>
    <w:rsid w:val="00615067"/>
    <w:rsid w:val="006152E7"/>
    <w:rsid w:val="00615687"/>
    <w:rsid w:val="0061580B"/>
    <w:rsid w:val="0061627F"/>
    <w:rsid w:val="00616AA5"/>
    <w:rsid w:val="00616E5B"/>
    <w:rsid w:val="006170C7"/>
    <w:rsid w:val="006171B9"/>
    <w:rsid w:val="00617D25"/>
    <w:rsid w:val="006203BB"/>
    <w:rsid w:val="006206CC"/>
    <w:rsid w:val="0062094B"/>
    <w:rsid w:val="00620D2F"/>
    <w:rsid w:val="00622371"/>
    <w:rsid w:val="00622DE7"/>
    <w:rsid w:val="00622F9B"/>
    <w:rsid w:val="006237AE"/>
    <w:rsid w:val="006238C9"/>
    <w:rsid w:val="00624045"/>
    <w:rsid w:val="006243C1"/>
    <w:rsid w:val="00624915"/>
    <w:rsid w:val="006258F9"/>
    <w:rsid w:val="0062606A"/>
    <w:rsid w:val="00626095"/>
    <w:rsid w:val="00626273"/>
    <w:rsid w:val="00626529"/>
    <w:rsid w:val="00627491"/>
    <w:rsid w:val="00627539"/>
    <w:rsid w:val="006303E4"/>
    <w:rsid w:val="006309AC"/>
    <w:rsid w:val="00630BF5"/>
    <w:rsid w:val="00630CA5"/>
    <w:rsid w:val="00631114"/>
    <w:rsid w:val="0063118B"/>
    <w:rsid w:val="006318BD"/>
    <w:rsid w:val="0063197B"/>
    <w:rsid w:val="006322FD"/>
    <w:rsid w:val="006328C7"/>
    <w:rsid w:val="00633E23"/>
    <w:rsid w:val="006345EF"/>
    <w:rsid w:val="00634B22"/>
    <w:rsid w:val="00635200"/>
    <w:rsid w:val="00635629"/>
    <w:rsid w:val="006359FC"/>
    <w:rsid w:val="00635E5B"/>
    <w:rsid w:val="00635E78"/>
    <w:rsid w:val="00637142"/>
    <w:rsid w:val="00637167"/>
    <w:rsid w:val="00640605"/>
    <w:rsid w:val="0064094E"/>
    <w:rsid w:val="00640B53"/>
    <w:rsid w:val="00641679"/>
    <w:rsid w:val="00641C7B"/>
    <w:rsid w:val="00642745"/>
    <w:rsid w:val="00642BC4"/>
    <w:rsid w:val="00643FEA"/>
    <w:rsid w:val="006443C8"/>
    <w:rsid w:val="0064459C"/>
    <w:rsid w:val="00644936"/>
    <w:rsid w:val="006463A4"/>
    <w:rsid w:val="00646F96"/>
    <w:rsid w:val="006470A1"/>
    <w:rsid w:val="006501E5"/>
    <w:rsid w:val="0065020B"/>
    <w:rsid w:val="00650F89"/>
    <w:rsid w:val="00651492"/>
    <w:rsid w:val="00652374"/>
    <w:rsid w:val="00652A74"/>
    <w:rsid w:val="00652BE9"/>
    <w:rsid w:val="00653113"/>
    <w:rsid w:val="006537B4"/>
    <w:rsid w:val="0065395B"/>
    <w:rsid w:val="00653D9F"/>
    <w:rsid w:val="00653F47"/>
    <w:rsid w:val="00654AA5"/>
    <w:rsid w:val="00654D75"/>
    <w:rsid w:val="00654E1B"/>
    <w:rsid w:val="00655566"/>
    <w:rsid w:val="00655FA9"/>
    <w:rsid w:val="00656B65"/>
    <w:rsid w:val="00657464"/>
    <w:rsid w:val="00657BFF"/>
    <w:rsid w:val="0066024D"/>
    <w:rsid w:val="00660838"/>
    <w:rsid w:val="00660D9E"/>
    <w:rsid w:val="00660FD4"/>
    <w:rsid w:val="006613BC"/>
    <w:rsid w:val="00661B1C"/>
    <w:rsid w:val="00661BFD"/>
    <w:rsid w:val="006629FA"/>
    <w:rsid w:val="006633DE"/>
    <w:rsid w:val="006647B8"/>
    <w:rsid w:val="0066487B"/>
    <w:rsid w:val="00664A23"/>
    <w:rsid w:val="00665908"/>
    <w:rsid w:val="00666A52"/>
    <w:rsid w:val="00666ADA"/>
    <w:rsid w:val="00666B0E"/>
    <w:rsid w:val="0066722D"/>
    <w:rsid w:val="00670FDB"/>
    <w:rsid w:val="00671333"/>
    <w:rsid w:val="006714A1"/>
    <w:rsid w:val="00671762"/>
    <w:rsid w:val="0067195B"/>
    <w:rsid w:val="006720A0"/>
    <w:rsid w:val="00672115"/>
    <w:rsid w:val="00672570"/>
    <w:rsid w:val="0067455D"/>
    <w:rsid w:val="00676257"/>
    <w:rsid w:val="006768E2"/>
    <w:rsid w:val="006769DE"/>
    <w:rsid w:val="00677A3C"/>
    <w:rsid w:val="00677E9D"/>
    <w:rsid w:val="0068041F"/>
    <w:rsid w:val="006805AB"/>
    <w:rsid w:val="006805C7"/>
    <w:rsid w:val="006805C9"/>
    <w:rsid w:val="006809D9"/>
    <w:rsid w:val="00682060"/>
    <w:rsid w:val="006822FA"/>
    <w:rsid w:val="00682D27"/>
    <w:rsid w:val="00682D8B"/>
    <w:rsid w:val="006832FA"/>
    <w:rsid w:val="006836F0"/>
    <w:rsid w:val="00684625"/>
    <w:rsid w:val="00684B53"/>
    <w:rsid w:val="006850BC"/>
    <w:rsid w:val="0068547F"/>
    <w:rsid w:val="0068662E"/>
    <w:rsid w:val="0068673B"/>
    <w:rsid w:val="00686B9B"/>
    <w:rsid w:val="006871F0"/>
    <w:rsid w:val="00690A26"/>
    <w:rsid w:val="00691360"/>
    <w:rsid w:val="00691DC6"/>
    <w:rsid w:val="00692EEC"/>
    <w:rsid w:val="0069332E"/>
    <w:rsid w:val="0069366A"/>
    <w:rsid w:val="006940D3"/>
    <w:rsid w:val="00694C44"/>
    <w:rsid w:val="00694FE8"/>
    <w:rsid w:val="006956D9"/>
    <w:rsid w:val="006963AD"/>
    <w:rsid w:val="00697103"/>
    <w:rsid w:val="00697669"/>
    <w:rsid w:val="00697E9D"/>
    <w:rsid w:val="0069F33A"/>
    <w:rsid w:val="006A04F6"/>
    <w:rsid w:val="006A08FC"/>
    <w:rsid w:val="006A0FBB"/>
    <w:rsid w:val="006A21E1"/>
    <w:rsid w:val="006A23C7"/>
    <w:rsid w:val="006A26EB"/>
    <w:rsid w:val="006A3C23"/>
    <w:rsid w:val="006A3EEB"/>
    <w:rsid w:val="006A424E"/>
    <w:rsid w:val="006A4A19"/>
    <w:rsid w:val="006A57C7"/>
    <w:rsid w:val="006A6382"/>
    <w:rsid w:val="006A65BE"/>
    <w:rsid w:val="006A75B2"/>
    <w:rsid w:val="006A7643"/>
    <w:rsid w:val="006A7665"/>
    <w:rsid w:val="006A775F"/>
    <w:rsid w:val="006A790B"/>
    <w:rsid w:val="006A7D5A"/>
    <w:rsid w:val="006B1B48"/>
    <w:rsid w:val="006B1BC8"/>
    <w:rsid w:val="006B1CFF"/>
    <w:rsid w:val="006B2D02"/>
    <w:rsid w:val="006B2EC4"/>
    <w:rsid w:val="006B34E7"/>
    <w:rsid w:val="006B3FCE"/>
    <w:rsid w:val="006B4D40"/>
    <w:rsid w:val="006B4D50"/>
    <w:rsid w:val="006B4DC4"/>
    <w:rsid w:val="006B4F38"/>
    <w:rsid w:val="006B4F63"/>
    <w:rsid w:val="006B4FF6"/>
    <w:rsid w:val="006B59A4"/>
    <w:rsid w:val="006B5C40"/>
    <w:rsid w:val="006B5CC1"/>
    <w:rsid w:val="006B71BB"/>
    <w:rsid w:val="006C0598"/>
    <w:rsid w:val="006C1997"/>
    <w:rsid w:val="006C19D6"/>
    <w:rsid w:val="006C2030"/>
    <w:rsid w:val="006C2557"/>
    <w:rsid w:val="006C2AA8"/>
    <w:rsid w:val="006C2DB9"/>
    <w:rsid w:val="006C2EF0"/>
    <w:rsid w:val="006C3342"/>
    <w:rsid w:val="006C337D"/>
    <w:rsid w:val="006C3D5E"/>
    <w:rsid w:val="006C4419"/>
    <w:rsid w:val="006C4B7E"/>
    <w:rsid w:val="006C4BFC"/>
    <w:rsid w:val="006C4C04"/>
    <w:rsid w:val="006C4CFF"/>
    <w:rsid w:val="006C4EF3"/>
    <w:rsid w:val="006C5E53"/>
    <w:rsid w:val="006C7884"/>
    <w:rsid w:val="006C7AD8"/>
    <w:rsid w:val="006D0C93"/>
    <w:rsid w:val="006D0D97"/>
    <w:rsid w:val="006D15C5"/>
    <w:rsid w:val="006D1CEB"/>
    <w:rsid w:val="006D26B3"/>
    <w:rsid w:val="006D2EF8"/>
    <w:rsid w:val="006D3176"/>
    <w:rsid w:val="006D4A83"/>
    <w:rsid w:val="006D4C85"/>
    <w:rsid w:val="006D4EFA"/>
    <w:rsid w:val="006D56E4"/>
    <w:rsid w:val="006D63C9"/>
    <w:rsid w:val="006D664B"/>
    <w:rsid w:val="006D67D3"/>
    <w:rsid w:val="006E0668"/>
    <w:rsid w:val="006E175E"/>
    <w:rsid w:val="006E1829"/>
    <w:rsid w:val="006E1C08"/>
    <w:rsid w:val="006E1C94"/>
    <w:rsid w:val="006E2019"/>
    <w:rsid w:val="006E21DE"/>
    <w:rsid w:val="006E262A"/>
    <w:rsid w:val="006E285E"/>
    <w:rsid w:val="006E2A55"/>
    <w:rsid w:val="006E351E"/>
    <w:rsid w:val="006E4390"/>
    <w:rsid w:val="006E43AC"/>
    <w:rsid w:val="006E4794"/>
    <w:rsid w:val="006E4F3C"/>
    <w:rsid w:val="006E5256"/>
    <w:rsid w:val="006E5758"/>
    <w:rsid w:val="006E6444"/>
    <w:rsid w:val="006E6687"/>
    <w:rsid w:val="006E7C47"/>
    <w:rsid w:val="006E7E13"/>
    <w:rsid w:val="006E7EE3"/>
    <w:rsid w:val="006F04FA"/>
    <w:rsid w:val="006F18E5"/>
    <w:rsid w:val="006F315E"/>
    <w:rsid w:val="006F3D0F"/>
    <w:rsid w:val="006F4450"/>
    <w:rsid w:val="006F4944"/>
    <w:rsid w:val="006F4BF5"/>
    <w:rsid w:val="006F5059"/>
    <w:rsid w:val="006F5146"/>
    <w:rsid w:val="006F71FF"/>
    <w:rsid w:val="007015BD"/>
    <w:rsid w:val="007015E0"/>
    <w:rsid w:val="00701618"/>
    <w:rsid w:val="00702FF5"/>
    <w:rsid w:val="007031C6"/>
    <w:rsid w:val="007037DE"/>
    <w:rsid w:val="00703BBF"/>
    <w:rsid w:val="0070429F"/>
    <w:rsid w:val="0070494C"/>
    <w:rsid w:val="00704C30"/>
    <w:rsid w:val="00705931"/>
    <w:rsid w:val="00706091"/>
    <w:rsid w:val="00706149"/>
    <w:rsid w:val="007061D5"/>
    <w:rsid w:val="0070647A"/>
    <w:rsid w:val="0070672C"/>
    <w:rsid w:val="00706781"/>
    <w:rsid w:val="007068C7"/>
    <w:rsid w:val="00707D08"/>
    <w:rsid w:val="007100BF"/>
    <w:rsid w:val="007116E7"/>
    <w:rsid w:val="007127D2"/>
    <w:rsid w:val="007129C9"/>
    <w:rsid w:val="00712A8D"/>
    <w:rsid w:val="00712E42"/>
    <w:rsid w:val="00713B05"/>
    <w:rsid w:val="00713B32"/>
    <w:rsid w:val="00713D9F"/>
    <w:rsid w:val="00714571"/>
    <w:rsid w:val="00714648"/>
    <w:rsid w:val="00714DE1"/>
    <w:rsid w:val="0071515B"/>
    <w:rsid w:val="0071542C"/>
    <w:rsid w:val="00715593"/>
    <w:rsid w:val="007156EF"/>
    <w:rsid w:val="00715B59"/>
    <w:rsid w:val="00716173"/>
    <w:rsid w:val="00716AE2"/>
    <w:rsid w:val="007200F0"/>
    <w:rsid w:val="00720AB0"/>
    <w:rsid w:val="00720D35"/>
    <w:rsid w:val="00721734"/>
    <w:rsid w:val="00721897"/>
    <w:rsid w:val="00721CBB"/>
    <w:rsid w:val="00721EE1"/>
    <w:rsid w:val="007234B0"/>
    <w:rsid w:val="00723A3F"/>
    <w:rsid w:val="00723EB6"/>
    <w:rsid w:val="0072409E"/>
    <w:rsid w:val="00724344"/>
    <w:rsid w:val="00724933"/>
    <w:rsid w:val="00724B50"/>
    <w:rsid w:val="00724CFF"/>
    <w:rsid w:val="00724F6E"/>
    <w:rsid w:val="0072533D"/>
    <w:rsid w:val="0072564F"/>
    <w:rsid w:val="00725A19"/>
    <w:rsid w:val="00725C4A"/>
    <w:rsid w:val="00726BD5"/>
    <w:rsid w:val="007270E6"/>
    <w:rsid w:val="00727ADD"/>
    <w:rsid w:val="00727C8B"/>
    <w:rsid w:val="00727F5C"/>
    <w:rsid w:val="0072DB07"/>
    <w:rsid w:val="00730152"/>
    <w:rsid w:val="00730360"/>
    <w:rsid w:val="00730663"/>
    <w:rsid w:val="00730C43"/>
    <w:rsid w:val="007319AE"/>
    <w:rsid w:val="00731FC5"/>
    <w:rsid w:val="00732C34"/>
    <w:rsid w:val="0073387F"/>
    <w:rsid w:val="00733A81"/>
    <w:rsid w:val="00733D4E"/>
    <w:rsid w:val="00733D7B"/>
    <w:rsid w:val="0073406A"/>
    <w:rsid w:val="00734890"/>
    <w:rsid w:val="007358DF"/>
    <w:rsid w:val="00735A18"/>
    <w:rsid w:val="00735D27"/>
    <w:rsid w:val="00735E4C"/>
    <w:rsid w:val="00737E8D"/>
    <w:rsid w:val="00740118"/>
    <w:rsid w:val="0074089F"/>
    <w:rsid w:val="00740CA7"/>
    <w:rsid w:val="00740D12"/>
    <w:rsid w:val="00741698"/>
    <w:rsid w:val="007420C1"/>
    <w:rsid w:val="007429FD"/>
    <w:rsid w:val="00742D6E"/>
    <w:rsid w:val="00742F36"/>
    <w:rsid w:val="00743471"/>
    <w:rsid w:val="0074452D"/>
    <w:rsid w:val="00744FAD"/>
    <w:rsid w:val="00745070"/>
    <w:rsid w:val="00745089"/>
    <w:rsid w:val="00745922"/>
    <w:rsid w:val="00745AAD"/>
    <w:rsid w:val="00745EBF"/>
    <w:rsid w:val="00745ED5"/>
    <w:rsid w:val="0074605C"/>
    <w:rsid w:val="0074621F"/>
    <w:rsid w:val="0074635F"/>
    <w:rsid w:val="00746833"/>
    <w:rsid w:val="00746B83"/>
    <w:rsid w:val="00746BEB"/>
    <w:rsid w:val="00746C44"/>
    <w:rsid w:val="00747A85"/>
    <w:rsid w:val="00747CC3"/>
    <w:rsid w:val="00747F25"/>
    <w:rsid w:val="00750653"/>
    <w:rsid w:val="00750CDF"/>
    <w:rsid w:val="00750E63"/>
    <w:rsid w:val="00751CCF"/>
    <w:rsid w:val="00752AF8"/>
    <w:rsid w:val="007534D5"/>
    <w:rsid w:val="007537D6"/>
    <w:rsid w:val="007538DE"/>
    <w:rsid w:val="007539E7"/>
    <w:rsid w:val="00754359"/>
    <w:rsid w:val="0075462E"/>
    <w:rsid w:val="00754843"/>
    <w:rsid w:val="00755338"/>
    <w:rsid w:val="007559B7"/>
    <w:rsid w:val="00756317"/>
    <w:rsid w:val="00761415"/>
    <w:rsid w:val="0076179C"/>
    <w:rsid w:val="00761A17"/>
    <w:rsid w:val="00761FA1"/>
    <w:rsid w:val="007620FF"/>
    <w:rsid w:val="0076232D"/>
    <w:rsid w:val="0076367F"/>
    <w:rsid w:val="00763F66"/>
    <w:rsid w:val="00764EAE"/>
    <w:rsid w:val="0076594C"/>
    <w:rsid w:val="00766A4A"/>
    <w:rsid w:val="007672F9"/>
    <w:rsid w:val="0077035A"/>
    <w:rsid w:val="007706B5"/>
    <w:rsid w:val="00770A56"/>
    <w:rsid w:val="00770B1C"/>
    <w:rsid w:val="00770E54"/>
    <w:rsid w:val="00770F0B"/>
    <w:rsid w:val="0077168C"/>
    <w:rsid w:val="00771FBE"/>
    <w:rsid w:val="00771FEF"/>
    <w:rsid w:val="0077205E"/>
    <w:rsid w:val="00772062"/>
    <w:rsid w:val="00772284"/>
    <w:rsid w:val="00772396"/>
    <w:rsid w:val="0077259E"/>
    <w:rsid w:val="00772B25"/>
    <w:rsid w:val="00772CB0"/>
    <w:rsid w:val="00773902"/>
    <w:rsid w:val="00774729"/>
    <w:rsid w:val="00774EF4"/>
    <w:rsid w:val="007752DA"/>
    <w:rsid w:val="00775D52"/>
    <w:rsid w:val="007763EA"/>
    <w:rsid w:val="0077674B"/>
    <w:rsid w:val="007774DD"/>
    <w:rsid w:val="00780034"/>
    <w:rsid w:val="00780D8C"/>
    <w:rsid w:val="00780DC9"/>
    <w:rsid w:val="00780E45"/>
    <w:rsid w:val="007813B7"/>
    <w:rsid w:val="007816C4"/>
    <w:rsid w:val="00781703"/>
    <w:rsid w:val="007822BD"/>
    <w:rsid w:val="007824D3"/>
    <w:rsid w:val="00782B11"/>
    <w:rsid w:val="00783177"/>
    <w:rsid w:val="00784022"/>
    <w:rsid w:val="0078453E"/>
    <w:rsid w:val="00785629"/>
    <w:rsid w:val="007866CF"/>
    <w:rsid w:val="00786ACA"/>
    <w:rsid w:val="0078752A"/>
    <w:rsid w:val="00787EA1"/>
    <w:rsid w:val="00787EF4"/>
    <w:rsid w:val="0078D789"/>
    <w:rsid w:val="0079090E"/>
    <w:rsid w:val="0079099D"/>
    <w:rsid w:val="00790D99"/>
    <w:rsid w:val="0079126F"/>
    <w:rsid w:val="00791B70"/>
    <w:rsid w:val="00791B77"/>
    <w:rsid w:val="007921ED"/>
    <w:rsid w:val="00792669"/>
    <w:rsid w:val="00792AED"/>
    <w:rsid w:val="00792E63"/>
    <w:rsid w:val="0079303E"/>
    <w:rsid w:val="00793EA9"/>
    <w:rsid w:val="007948F5"/>
    <w:rsid w:val="007952AA"/>
    <w:rsid w:val="00795BC1"/>
    <w:rsid w:val="00795CE6"/>
    <w:rsid w:val="0079649F"/>
    <w:rsid w:val="007966A5"/>
    <w:rsid w:val="00796FE2"/>
    <w:rsid w:val="007970CF"/>
    <w:rsid w:val="00797188"/>
    <w:rsid w:val="00797603"/>
    <w:rsid w:val="00797D47"/>
    <w:rsid w:val="007A057C"/>
    <w:rsid w:val="007A201C"/>
    <w:rsid w:val="007A3B9B"/>
    <w:rsid w:val="007A3D5F"/>
    <w:rsid w:val="007A4215"/>
    <w:rsid w:val="007A4833"/>
    <w:rsid w:val="007A5109"/>
    <w:rsid w:val="007A51AD"/>
    <w:rsid w:val="007A5833"/>
    <w:rsid w:val="007A59C2"/>
    <w:rsid w:val="007A5D03"/>
    <w:rsid w:val="007A63B8"/>
    <w:rsid w:val="007A6A4B"/>
    <w:rsid w:val="007A6EDB"/>
    <w:rsid w:val="007B0752"/>
    <w:rsid w:val="007B110B"/>
    <w:rsid w:val="007B118E"/>
    <w:rsid w:val="007B12F5"/>
    <w:rsid w:val="007B16F0"/>
    <w:rsid w:val="007B1BF7"/>
    <w:rsid w:val="007B1CAB"/>
    <w:rsid w:val="007B2939"/>
    <w:rsid w:val="007B298C"/>
    <w:rsid w:val="007B3CC3"/>
    <w:rsid w:val="007B4093"/>
    <w:rsid w:val="007B4933"/>
    <w:rsid w:val="007B5B97"/>
    <w:rsid w:val="007B6521"/>
    <w:rsid w:val="007B75CF"/>
    <w:rsid w:val="007B7669"/>
    <w:rsid w:val="007B7E80"/>
    <w:rsid w:val="007C0821"/>
    <w:rsid w:val="007C0A8B"/>
    <w:rsid w:val="007C15B1"/>
    <w:rsid w:val="007C15BF"/>
    <w:rsid w:val="007C1682"/>
    <w:rsid w:val="007C1C84"/>
    <w:rsid w:val="007C1F6C"/>
    <w:rsid w:val="007C24EB"/>
    <w:rsid w:val="007C2E6A"/>
    <w:rsid w:val="007C2FAA"/>
    <w:rsid w:val="007C3385"/>
    <w:rsid w:val="007C4250"/>
    <w:rsid w:val="007C4388"/>
    <w:rsid w:val="007C46D8"/>
    <w:rsid w:val="007C47E4"/>
    <w:rsid w:val="007C5170"/>
    <w:rsid w:val="007C70AA"/>
    <w:rsid w:val="007C751B"/>
    <w:rsid w:val="007D04F0"/>
    <w:rsid w:val="007D1BD4"/>
    <w:rsid w:val="007D2F05"/>
    <w:rsid w:val="007D3AD2"/>
    <w:rsid w:val="007D3B6D"/>
    <w:rsid w:val="007D42EE"/>
    <w:rsid w:val="007D5AE2"/>
    <w:rsid w:val="007D62FE"/>
    <w:rsid w:val="007D64D2"/>
    <w:rsid w:val="007D64F5"/>
    <w:rsid w:val="007E0BA0"/>
    <w:rsid w:val="007E0DE2"/>
    <w:rsid w:val="007E10E4"/>
    <w:rsid w:val="007E197D"/>
    <w:rsid w:val="007E1A8D"/>
    <w:rsid w:val="007E1D61"/>
    <w:rsid w:val="007E1E96"/>
    <w:rsid w:val="007E24BB"/>
    <w:rsid w:val="007E29F2"/>
    <w:rsid w:val="007E36B9"/>
    <w:rsid w:val="007E3F48"/>
    <w:rsid w:val="007E46A6"/>
    <w:rsid w:val="007E60F8"/>
    <w:rsid w:val="007E687C"/>
    <w:rsid w:val="007E6954"/>
    <w:rsid w:val="007F0660"/>
    <w:rsid w:val="007F098E"/>
    <w:rsid w:val="007F0C6F"/>
    <w:rsid w:val="007F1C68"/>
    <w:rsid w:val="007F2102"/>
    <w:rsid w:val="007F2808"/>
    <w:rsid w:val="007F2CFD"/>
    <w:rsid w:val="007F35FB"/>
    <w:rsid w:val="007F3C7D"/>
    <w:rsid w:val="007F465E"/>
    <w:rsid w:val="007F63BF"/>
    <w:rsid w:val="007F6D7D"/>
    <w:rsid w:val="007F7568"/>
    <w:rsid w:val="007FB979"/>
    <w:rsid w:val="00800D8B"/>
    <w:rsid w:val="008013E5"/>
    <w:rsid w:val="00801611"/>
    <w:rsid w:val="0080189B"/>
    <w:rsid w:val="008043FD"/>
    <w:rsid w:val="008046A1"/>
    <w:rsid w:val="008052FC"/>
    <w:rsid w:val="00805341"/>
    <w:rsid w:val="00805830"/>
    <w:rsid w:val="008059DE"/>
    <w:rsid w:val="00805C8B"/>
    <w:rsid w:val="00805FB9"/>
    <w:rsid w:val="008064BE"/>
    <w:rsid w:val="00806CAB"/>
    <w:rsid w:val="00806E92"/>
    <w:rsid w:val="008079E3"/>
    <w:rsid w:val="00807B33"/>
    <w:rsid w:val="00807D53"/>
    <w:rsid w:val="00810F49"/>
    <w:rsid w:val="00811343"/>
    <w:rsid w:val="00811727"/>
    <w:rsid w:val="00811C9A"/>
    <w:rsid w:val="00811E15"/>
    <w:rsid w:val="00814AF4"/>
    <w:rsid w:val="00814E02"/>
    <w:rsid w:val="00815134"/>
    <w:rsid w:val="008153E0"/>
    <w:rsid w:val="0081588B"/>
    <w:rsid w:val="00816E3C"/>
    <w:rsid w:val="0081716D"/>
    <w:rsid w:val="00817270"/>
    <w:rsid w:val="008204F8"/>
    <w:rsid w:val="00820887"/>
    <w:rsid w:val="00820D3D"/>
    <w:rsid w:val="008215ED"/>
    <w:rsid w:val="00821E13"/>
    <w:rsid w:val="00822035"/>
    <w:rsid w:val="008222EB"/>
    <w:rsid w:val="00822D9B"/>
    <w:rsid w:val="00823571"/>
    <w:rsid w:val="00823C91"/>
    <w:rsid w:val="00823CE7"/>
    <w:rsid w:val="00823EEB"/>
    <w:rsid w:val="00824772"/>
    <w:rsid w:val="00824780"/>
    <w:rsid w:val="00824785"/>
    <w:rsid w:val="00824A1D"/>
    <w:rsid w:val="00825184"/>
    <w:rsid w:val="008254B8"/>
    <w:rsid w:val="00825C42"/>
    <w:rsid w:val="00825E01"/>
    <w:rsid w:val="008273B9"/>
    <w:rsid w:val="008274E0"/>
    <w:rsid w:val="008275FA"/>
    <w:rsid w:val="00830392"/>
    <w:rsid w:val="0083083B"/>
    <w:rsid w:val="008312E4"/>
    <w:rsid w:val="008315FA"/>
    <w:rsid w:val="00832279"/>
    <w:rsid w:val="00832B9E"/>
    <w:rsid w:val="008334D5"/>
    <w:rsid w:val="00834124"/>
    <w:rsid w:val="008346CE"/>
    <w:rsid w:val="00834DF8"/>
    <w:rsid w:val="00835F4A"/>
    <w:rsid w:val="00836B53"/>
    <w:rsid w:val="00836FDF"/>
    <w:rsid w:val="0083710A"/>
    <w:rsid w:val="008372E4"/>
    <w:rsid w:val="00837C1C"/>
    <w:rsid w:val="00837EE0"/>
    <w:rsid w:val="00837FC9"/>
    <w:rsid w:val="00840293"/>
    <w:rsid w:val="0084068B"/>
    <w:rsid w:val="00842386"/>
    <w:rsid w:val="008424C0"/>
    <w:rsid w:val="00842FBE"/>
    <w:rsid w:val="00843360"/>
    <w:rsid w:val="00843799"/>
    <w:rsid w:val="00844014"/>
    <w:rsid w:val="00844D49"/>
    <w:rsid w:val="00845118"/>
    <w:rsid w:val="00845216"/>
    <w:rsid w:val="008453C1"/>
    <w:rsid w:val="00845B62"/>
    <w:rsid w:val="0084615E"/>
    <w:rsid w:val="008468DC"/>
    <w:rsid w:val="00846FE6"/>
    <w:rsid w:val="00847BE0"/>
    <w:rsid w:val="00851059"/>
    <w:rsid w:val="0085186A"/>
    <w:rsid w:val="00851953"/>
    <w:rsid w:val="00851B02"/>
    <w:rsid w:val="00851C75"/>
    <w:rsid w:val="00852292"/>
    <w:rsid w:val="0085263C"/>
    <w:rsid w:val="00852B93"/>
    <w:rsid w:val="00853A17"/>
    <w:rsid w:val="0085410D"/>
    <w:rsid w:val="0085495B"/>
    <w:rsid w:val="00854A33"/>
    <w:rsid w:val="00854BC4"/>
    <w:rsid w:val="00854F82"/>
    <w:rsid w:val="008561F4"/>
    <w:rsid w:val="00856422"/>
    <w:rsid w:val="00856E11"/>
    <w:rsid w:val="008574B8"/>
    <w:rsid w:val="008578A8"/>
    <w:rsid w:val="00857F27"/>
    <w:rsid w:val="0086079D"/>
    <w:rsid w:val="008608AD"/>
    <w:rsid w:val="008626C7"/>
    <w:rsid w:val="00862B04"/>
    <w:rsid w:val="0086319A"/>
    <w:rsid w:val="0086621B"/>
    <w:rsid w:val="008677C7"/>
    <w:rsid w:val="008700FC"/>
    <w:rsid w:val="00870AE6"/>
    <w:rsid w:val="00871E3E"/>
    <w:rsid w:val="0087281C"/>
    <w:rsid w:val="008729A4"/>
    <w:rsid w:val="00872A9F"/>
    <w:rsid w:val="008733B9"/>
    <w:rsid w:val="008734CF"/>
    <w:rsid w:val="00873D97"/>
    <w:rsid w:val="0087411E"/>
    <w:rsid w:val="00874146"/>
    <w:rsid w:val="00874336"/>
    <w:rsid w:val="0087451E"/>
    <w:rsid w:val="0087567F"/>
    <w:rsid w:val="008760D8"/>
    <w:rsid w:val="00877E17"/>
    <w:rsid w:val="008800F4"/>
    <w:rsid w:val="00880370"/>
    <w:rsid w:val="00880446"/>
    <w:rsid w:val="0088098D"/>
    <w:rsid w:val="00881039"/>
    <w:rsid w:val="008811D5"/>
    <w:rsid w:val="00881F80"/>
    <w:rsid w:val="00882F0C"/>
    <w:rsid w:val="008830AF"/>
    <w:rsid w:val="00883EDA"/>
    <w:rsid w:val="008851DC"/>
    <w:rsid w:val="008852CE"/>
    <w:rsid w:val="00885341"/>
    <w:rsid w:val="0088584C"/>
    <w:rsid w:val="008867B2"/>
    <w:rsid w:val="00886E30"/>
    <w:rsid w:val="00887117"/>
    <w:rsid w:val="00890894"/>
    <w:rsid w:val="00890B55"/>
    <w:rsid w:val="00890FC7"/>
    <w:rsid w:val="00891311"/>
    <w:rsid w:val="008913EB"/>
    <w:rsid w:val="00891FC1"/>
    <w:rsid w:val="00892A29"/>
    <w:rsid w:val="00892C17"/>
    <w:rsid w:val="00893041"/>
    <w:rsid w:val="0089356F"/>
    <w:rsid w:val="0089364E"/>
    <w:rsid w:val="0089526A"/>
    <w:rsid w:val="00895E65"/>
    <w:rsid w:val="008964E6"/>
    <w:rsid w:val="00896531"/>
    <w:rsid w:val="00896CE7"/>
    <w:rsid w:val="0089710F"/>
    <w:rsid w:val="008A010F"/>
    <w:rsid w:val="008A097A"/>
    <w:rsid w:val="008A1119"/>
    <w:rsid w:val="008A131F"/>
    <w:rsid w:val="008A175F"/>
    <w:rsid w:val="008A1CB2"/>
    <w:rsid w:val="008A2168"/>
    <w:rsid w:val="008A2E55"/>
    <w:rsid w:val="008A3C06"/>
    <w:rsid w:val="008A45BB"/>
    <w:rsid w:val="008A46F8"/>
    <w:rsid w:val="008A4858"/>
    <w:rsid w:val="008A5EA8"/>
    <w:rsid w:val="008A5FC6"/>
    <w:rsid w:val="008A66F6"/>
    <w:rsid w:val="008A6830"/>
    <w:rsid w:val="008A7BC9"/>
    <w:rsid w:val="008A7C25"/>
    <w:rsid w:val="008B0379"/>
    <w:rsid w:val="008B0B2B"/>
    <w:rsid w:val="008B0B7B"/>
    <w:rsid w:val="008B0DEA"/>
    <w:rsid w:val="008B0F04"/>
    <w:rsid w:val="008B113A"/>
    <w:rsid w:val="008B1B2B"/>
    <w:rsid w:val="008B23AA"/>
    <w:rsid w:val="008B368E"/>
    <w:rsid w:val="008B3BFC"/>
    <w:rsid w:val="008B3E77"/>
    <w:rsid w:val="008B4229"/>
    <w:rsid w:val="008B4463"/>
    <w:rsid w:val="008B4546"/>
    <w:rsid w:val="008B55F9"/>
    <w:rsid w:val="008B6412"/>
    <w:rsid w:val="008B65B4"/>
    <w:rsid w:val="008B68BE"/>
    <w:rsid w:val="008B6996"/>
    <w:rsid w:val="008B6A11"/>
    <w:rsid w:val="008B70FE"/>
    <w:rsid w:val="008C1119"/>
    <w:rsid w:val="008C3115"/>
    <w:rsid w:val="008C349F"/>
    <w:rsid w:val="008C46AA"/>
    <w:rsid w:val="008C54BE"/>
    <w:rsid w:val="008C62F7"/>
    <w:rsid w:val="008C6918"/>
    <w:rsid w:val="008C702B"/>
    <w:rsid w:val="008C790E"/>
    <w:rsid w:val="008D0075"/>
    <w:rsid w:val="008D0314"/>
    <w:rsid w:val="008D1EAA"/>
    <w:rsid w:val="008D1FA2"/>
    <w:rsid w:val="008D20A5"/>
    <w:rsid w:val="008D265C"/>
    <w:rsid w:val="008D32BF"/>
    <w:rsid w:val="008D3D33"/>
    <w:rsid w:val="008D3FBB"/>
    <w:rsid w:val="008D3FDE"/>
    <w:rsid w:val="008D517D"/>
    <w:rsid w:val="008D55CE"/>
    <w:rsid w:val="008D57ED"/>
    <w:rsid w:val="008D59F6"/>
    <w:rsid w:val="008D6F2C"/>
    <w:rsid w:val="008D7398"/>
    <w:rsid w:val="008D7537"/>
    <w:rsid w:val="008E0249"/>
    <w:rsid w:val="008E08C5"/>
    <w:rsid w:val="008E11DD"/>
    <w:rsid w:val="008E1359"/>
    <w:rsid w:val="008E17FC"/>
    <w:rsid w:val="008E2194"/>
    <w:rsid w:val="008E2C26"/>
    <w:rsid w:val="008E3500"/>
    <w:rsid w:val="008E3535"/>
    <w:rsid w:val="008E3E1E"/>
    <w:rsid w:val="008E3F3A"/>
    <w:rsid w:val="008E4241"/>
    <w:rsid w:val="008E42A8"/>
    <w:rsid w:val="008E4FCA"/>
    <w:rsid w:val="008E60FD"/>
    <w:rsid w:val="008E7823"/>
    <w:rsid w:val="008F05FF"/>
    <w:rsid w:val="008F06EF"/>
    <w:rsid w:val="008F104F"/>
    <w:rsid w:val="008F146E"/>
    <w:rsid w:val="008F1551"/>
    <w:rsid w:val="008F168E"/>
    <w:rsid w:val="008F2242"/>
    <w:rsid w:val="008F22FD"/>
    <w:rsid w:val="008F2A79"/>
    <w:rsid w:val="008F3639"/>
    <w:rsid w:val="008F44A7"/>
    <w:rsid w:val="008F4C8F"/>
    <w:rsid w:val="008F4D4F"/>
    <w:rsid w:val="008F5273"/>
    <w:rsid w:val="008F5C03"/>
    <w:rsid w:val="008F6647"/>
    <w:rsid w:val="008F6CA1"/>
    <w:rsid w:val="008F73A8"/>
    <w:rsid w:val="008F7C0F"/>
    <w:rsid w:val="00901961"/>
    <w:rsid w:val="009023B8"/>
    <w:rsid w:val="009028BD"/>
    <w:rsid w:val="00902A16"/>
    <w:rsid w:val="009031D9"/>
    <w:rsid w:val="0090349B"/>
    <w:rsid w:val="009058BB"/>
    <w:rsid w:val="00905FEF"/>
    <w:rsid w:val="00906284"/>
    <w:rsid w:val="00906A20"/>
    <w:rsid w:val="00906B5B"/>
    <w:rsid w:val="00906FB9"/>
    <w:rsid w:val="009071BA"/>
    <w:rsid w:val="009073A5"/>
    <w:rsid w:val="00907705"/>
    <w:rsid w:val="009103D2"/>
    <w:rsid w:val="00910524"/>
    <w:rsid w:val="009109EA"/>
    <w:rsid w:val="00910BFA"/>
    <w:rsid w:val="00910E30"/>
    <w:rsid w:val="00910F82"/>
    <w:rsid w:val="00911599"/>
    <w:rsid w:val="00911AB1"/>
    <w:rsid w:val="00911B34"/>
    <w:rsid w:val="00911C3A"/>
    <w:rsid w:val="00911E7E"/>
    <w:rsid w:val="00913408"/>
    <w:rsid w:val="00913FFE"/>
    <w:rsid w:val="00914BAC"/>
    <w:rsid w:val="00914C25"/>
    <w:rsid w:val="00914D3C"/>
    <w:rsid w:val="00915133"/>
    <w:rsid w:val="00915264"/>
    <w:rsid w:val="00915307"/>
    <w:rsid w:val="00915BFF"/>
    <w:rsid w:val="00916182"/>
    <w:rsid w:val="00917121"/>
    <w:rsid w:val="0091713E"/>
    <w:rsid w:val="00917281"/>
    <w:rsid w:val="009173F6"/>
    <w:rsid w:val="00920772"/>
    <w:rsid w:val="00921A0E"/>
    <w:rsid w:val="009223D1"/>
    <w:rsid w:val="00922836"/>
    <w:rsid w:val="00922AFC"/>
    <w:rsid w:val="00924FF0"/>
    <w:rsid w:val="009255F1"/>
    <w:rsid w:val="009256CB"/>
    <w:rsid w:val="00926079"/>
    <w:rsid w:val="009264AB"/>
    <w:rsid w:val="00926600"/>
    <w:rsid w:val="0092672F"/>
    <w:rsid w:val="0092744D"/>
    <w:rsid w:val="00927B7F"/>
    <w:rsid w:val="00927BD7"/>
    <w:rsid w:val="00930003"/>
    <w:rsid w:val="009307BA"/>
    <w:rsid w:val="009310D6"/>
    <w:rsid w:val="00931182"/>
    <w:rsid w:val="009312E3"/>
    <w:rsid w:val="0093149F"/>
    <w:rsid w:val="009317F8"/>
    <w:rsid w:val="00932759"/>
    <w:rsid w:val="0093314A"/>
    <w:rsid w:val="0093315A"/>
    <w:rsid w:val="0093354A"/>
    <w:rsid w:val="00934341"/>
    <w:rsid w:val="00934B54"/>
    <w:rsid w:val="00934D8B"/>
    <w:rsid w:val="009350F7"/>
    <w:rsid w:val="009355B6"/>
    <w:rsid w:val="0093575E"/>
    <w:rsid w:val="00935CF6"/>
    <w:rsid w:val="009371DD"/>
    <w:rsid w:val="00937496"/>
    <w:rsid w:val="0093772A"/>
    <w:rsid w:val="00937CDF"/>
    <w:rsid w:val="0094003E"/>
    <w:rsid w:val="00940155"/>
    <w:rsid w:val="0094058D"/>
    <w:rsid w:val="00940AF1"/>
    <w:rsid w:val="0094115C"/>
    <w:rsid w:val="00941292"/>
    <w:rsid w:val="00941621"/>
    <w:rsid w:val="00941C5A"/>
    <w:rsid w:val="00942CD0"/>
    <w:rsid w:val="00944FA4"/>
    <w:rsid w:val="00945AA0"/>
    <w:rsid w:val="009467D1"/>
    <w:rsid w:val="00947026"/>
    <w:rsid w:val="00947E08"/>
    <w:rsid w:val="0095235E"/>
    <w:rsid w:val="00952777"/>
    <w:rsid w:val="009527ED"/>
    <w:rsid w:val="00952903"/>
    <w:rsid w:val="00952C4B"/>
    <w:rsid w:val="00952C77"/>
    <w:rsid w:val="00952DB7"/>
    <w:rsid w:val="00952E4C"/>
    <w:rsid w:val="0095322D"/>
    <w:rsid w:val="0095340B"/>
    <w:rsid w:val="00955032"/>
    <w:rsid w:val="0095681B"/>
    <w:rsid w:val="00957C47"/>
    <w:rsid w:val="00960751"/>
    <w:rsid w:val="009612FE"/>
    <w:rsid w:val="0096181A"/>
    <w:rsid w:val="00961AB6"/>
    <w:rsid w:val="00961D9E"/>
    <w:rsid w:val="00961FA2"/>
    <w:rsid w:val="009631F8"/>
    <w:rsid w:val="0096394E"/>
    <w:rsid w:val="00963BF8"/>
    <w:rsid w:val="00964210"/>
    <w:rsid w:val="009644D7"/>
    <w:rsid w:val="00964F36"/>
    <w:rsid w:val="009657FD"/>
    <w:rsid w:val="00965831"/>
    <w:rsid w:val="00965EF2"/>
    <w:rsid w:val="00966048"/>
    <w:rsid w:val="00966938"/>
    <w:rsid w:val="00967C70"/>
    <w:rsid w:val="009708E9"/>
    <w:rsid w:val="00970F17"/>
    <w:rsid w:val="00971C24"/>
    <w:rsid w:val="00971D53"/>
    <w:rsid w:val="0097222A"/>
    <w:rsid w:val="00972CC1"/>
    <w:rsid w:val="00972E7A"/>
    <w:rsid w:val="0097447A"/>
    <w:rsid w:val="00975427"/>
    <w:rsid w:val="00975479"/>
    <w:rsid w:val="009755F6"/>
    <w:rsid w:val="00976164"/>
    <w:rsid w:val="009761B7"/>
    <w:rsid w:val="00977310"/>
    <w:rsid w:val="00977526"/>
    <w:rsid w:val="00977BD1"/>
    <w:rsid w:val="00977E9F"/>
    <w:rsid w:val="00979A4F"/>
    <w:rsid w:val="00980438"/>
    <w:rsid w:val="0098047B"/>
    <w:rsid w:val="009809EB"/>
    <w:rsid w:val="00980EBB"/>
    <w:rsid w:val="0098115E"/>
    <w:rsid w:val="00981719"/>
    <w:rsid w:val="00981A84"/>
    <w:rsid w:val="00983461"/>
    <w:rsid w:val="00983EA0"/>
    <w:rsid w:val="0098471B"/>
    <w:rsid w:val="00984ADE"/>
    <w:rsid w:val="00984EED"/>
    <w:rsid w:val="00985408"/>
    <w:rsid w:val="00985DB1"/>
    <w:rsid w:val="0098639E"/>
    <w:rsid w:val="00986642"/>
    <w:rsid w:val="009875CA"/>
    <w:rsid w:val="009878B4"/>
    <w:rsid w:val="009906E6"/>
    <w:rsid w:val="00990AED"/>
    <w:rsid w:val="00990FA1"/>
    <w:rsid w:val="00992FE6"/>
    <w:rsid w:val="00994366"/>
    <w:rsid w:val="0099453D"/>
    <w:rsid w:val="009945FD"/>
    <w:rsid w:val="00994EA6"/>
    <w:rsid w:val="00995610"/>
    <w:rsid w:val="00995F77"/>
    <w:rsid w:val="009961C3"/>
    <w:rsid w:val="009962D5"/>
    <w:rsid w:val="00997581"/>
    <w:rsid w:val="00997B91"/>
    <w:rsid w:val="009A0E3B"/>
    <w:rsid w:val="009A10C3"/>
    <w:rsid w:val="009A10E2"/>
    <w:rsid w:val="009A16B8"/>
    <w:rsid w:val="009A2BB2"/>
    <w:rsid w:val="009A426B"/>
    <w:rsid w:val="009A463E"/>
    <w:rsid w:val="009A544D"/>
    <w:rsid w:val="009A55B4"/>
    <w:rsid w:val="009A604C"/>
    <w:rsid w:val="009A623C"/>
    <w:rsid w:val="009A6B79"/>
    <w:rsid w:val="009A6BDF"/>
    <w:rsid w:val="009A70B9"/>
    <w:rsid w:val="009A797B"/>
    <w:rsid w:val="009B0C50"/>
    <w:rsid w:val="009B0F94"/>
    <w:rsid w:val="009B23E6"/>
    <w:rsid w:val="009B272F"/>
    <w:rsid w:val="009B27B9"/>
    <w:rsid w:val="009B2F8B"/>
    <w:rsid w:val="009B4FC8"/>
    <w:rsid w:val="009B555B"/>
    <w:rsid w:val="009B59AA"/>
    <w:rsid w:val="009B6015"/>
    <w:rsid w:val="009B68B9"/>
    <w:rsid w:val="009B762E"/>
    <w:rsid w:val="009C0313"/>
    <w:rsid w:val="009C0D98"/>
    <w:rsid w:val="009C0DF1"/>
    <w:rsid w:val="009C1500"/>
    <w:rsid w:val="009C25D5"/>
    <w:rsid w:val="009C2EB1"/>
    <w:rsid w:val="009C3D4E"/>
    <w:rsid w:val="009C421A"/>
    <w:rsid w:val="009C450E"/>
    <w:rsid w:val="009C5068"/>
    <w:rsid w:val="009C51DA"/>
    <w:rsid w:val="009C54AB"/>
    <w:rsid w:val="009C57D8"/>
    <w:rsid w:val="009C5E24"/>
    <w:rsid w:val="009C606F"/>
    <w:rsid w:val="009C654B"/>
    <w:rsid w:val="009C6CFE"/>
    <w:rsid w:val="009D0035"/>
    <w:rsid w:val="009D015E"/>
    <w:rsid w:val="009D0457"/>
    <w:rsid w:val="009D04AD"/>
    <w:rsid w:val="009D1210"/>
    <w:rsid w:val="009D1AC5"/>
    <w:rsid w:val="009D2019"/>
    <w:rsid w:val="009D21B0"/>
    <w:rsid w:val="009D221D"/>
    <w:rsid w:val="009D2E6F"/>
    <w:rsid w:val="009D313D"/>
    <w:rsid w:val="009D3558"/>
    <w:rsid w:val="009D3C84"/>
    <w:rsid w:val="009D3FA9"/>
    <w:rsid w:val="009D4884"/>
    <w:rsid w:val="009D4CAD"/>
    <w:rsid w:val="009D4CF8"/>
    <w:rsid w:val="009D4EA7"/>
    <w:rsid w:val="009D53DB"/>
    <w:rsid w:val="009D571D"/>
    <w:rsid w:val="009D62EC"/>
    <w:rsid w:val="009D645D"/>
    <w:rsid w:val="009D6965"/>
    <w:rsid w:val="009D72AE"/>
    <w:rsid w:val="009D7A23"/>
    <w:rsid w:val="009D7EE5"/>
    <w:rsid w:val="009D7FA1"/>
    <w:rsid w:val="009E0075"/>
    <w:rsid w:val="009E0219"/>
    <w:rsid w:val="009E0986"/>
    <w:rsid w:val="009E0E44"/>
    <w:rsid w:val="009E19CA"/>
    <w:rsid w:val="009E26C8"/>
    <w:rsid w:val="009E2D9D"/>
    <w:rsid w:val="009E34E7"/>
    <w:rsid w:val="009E3DDE"/>
    <w:rsid w:val="009E4253"/>
    <w:rsid w:val="009E431B"/>
    <w:rsid w:val="009E46CB"/>
    <w:rsid w:val="009E4780"/>
    <w:rsid w:val="009E4FA1"/>
    <w:rsid w:val="009E531C"/>
    <w:rsid w:val="009E5685"/>
    <w:rsid w:val="009E5C8D"/>
    <w:rsid w:val="009E6954"/>
    <w:rsid w:val="009E6BE4"/>
    <w:rsid w:val="009E6BF7"/>
    <w:rsid w:val="009E6F19"/>
    <w:rsid w:val="009E76A7"/>
    <w:rsid w:val="009E7C29"/>
    <w:rsid w:val="009E7F1B"/>
    <w:rsid w:val="009F001D"/>
    <w:rsid w:val="009F18EB"/>
    <w:rsid w:val="009F247C"/>
    <w:rsid w:val="009F2BE8"/>
    <w:rsid w:val="009F3E4E"/>
    <w:rsid w:val="009F3FE7"/>
    <w:rsid w:val="009F4172"/>
    <w:rsid w:val="009F5051"/>
    <w:rsid w:val="009F60A7"/>
    <w:rsid w:val="009F6690"/>
    <w:rsid w:val="009F6A5A"/>
    <w:rsid w:val="009F6EB5"/>
    <w:rsid w:val="009F7494"/>
    <w:rsid w:val="009F78FB"/>
    <w:rsid w:val="00A0158D"/>
    <w:rsid w:val="00A01EA7"/>
    <w:rsid w:val="00A01F0B"/>
    <w:rsid w:val="00A022D0"/>
    <w:rsid w:val="00A03CDB"/>
    <w:rsid w:val="00A03E17"/>
    <w:rsid w:val="00A04713"/>
    <w:rsid w:val="00A04BBC"/>
    <w:rsid w:val="00A04EB5"/>
    <w:rsid w:val="00A05965"/>
    <w:rsid w:val="00A05984"/>
    <w:rsid w:val="00A05BBA"/>
    <w:rsid w:val="00A05E79"/>
    <w:rsid w:val="00A0626D"/>
    <w:rsid w:val="00A0670B"/>
    <w:rsid w:val="00A07629"/>
    <w:rsid w:val="00A076B5"/>
    <w:rsid w:val="00A07BBC"/>
    <w:rsid w:val="00A07E4E"/>
    <w:rsid w:val="00A10DC9"/>
    <w:rsid w:val="00A10E74"/>
    <w:rsid w:val="00A11A01"/>
    <w:rsid w:val="00A11F12"/>
    <w:rsid w:val="00A120D9"/>
    <w:rsid w:val="00A1212C"/>
    <w:rsid w:val="00A1309C"/>
    <w:rsid w:val="00A13998"/>
    <w:rsid w:val="00A14140"/>
    <w:rsid w:val="00A1514C"/>
    <w:rsid w:val="00A1589B"/>
    <w:rsid w:val="00A15B62"/>
    <w:rsid w:val="00A15F31"/>
    <w:rsid w:val="00A164F3"/>
    <w:rsid w:val="00A166D4"/>
    <w:rsid w:val="00A168CC"/>
    <w:rsid w:val="00A16F55"/>
    <w:rsid w:val="00A178B5"/>
    <w:rsid w:val="00A2009A"/>
    <w:rsid w:val="00A204DC"/>
    <w:rsid w:val="00A20615"/>
    <w:rsid w:val="00A20CE7"/>
    <w:rsid w:val="00A2150B"/>
    <w:rsid w:val="00A21778"/>
    <w:rsid w:val="00A23B21"/>
    <w:rsid w:val="00A23BDE"/>
    <w:rsid w:val="00A23D7C"/>
    <w:rsid w:val="00A24527"/>
    <w:rsid w:val="00A24E2E"/>
    <w:rsid w:val="00A24F6C"/>
    <w:rsid w:val="00A24FF3"/>
    <w:rsid w:val="00A25427"/>
    <w:rsid w:val="00A2547F"/>
    <w:rsid w:val="00A270D7"/>
    <w:rsid w:val="00A27520"/>
    <w:rsid w:val="00A27605"/>
    <w:rsid w:val="00A27FDB"/>
    <w:rsid w:val="00A30536"/>
    <w:rsid w:val="00A30817"/>
    <w:rsid w:val="00A309EF"/>
    <w:rsid w:val="00A30F9B"/>
    <w:rsid w:val="00A32DB1"/>
    <w:rsid w:val="00A3322A"/>
    <w:rsid w:val="00A34115"/>
    <w:rsid w:val="00A341BE"/>
    <w:rsid w:val="00A346BF"/>
    <w:rsid w:val="00A34AA1"/>
    <w:rsid w:val="00A35292"/>
    <w:rsid w:val="00A35687"/>
    <w:rsid w:val="00A35739"/>
    <w:rsid w:val="00A35B95"/>
    <w:rsid w:val="00A364A6"/>
    <w:rsid w:val="00A368C6"/>
    <w:rsid w:val="00A36F0C"/>
    <w:rsid w:val="00A4034B"/>
    <w:rsid w:val="00A404CA"/>
    <w:rsid w:val="00A4051B"/>
    <w:rsid w:val="00A40836"/>
    <w:rsid w:val="00A408CB"/>
    <w:rsid w:val="00A40DD0"/>
    <w:rsid w:val="00A40F87"/>
    <w:rsid w:val="00A41478"/>
    <w:rsid w:val="00A41566"/>
    <w:rsid w:val="00A4177C"/>
    <w:rsid w:val="00A422BB"/>
    <w:rsid w:val="00A428BB"/>
    <w:rsid w:val="00A42A71"/>
    <w:rsid w:val="00A42A89"/>
    <w:rsid w:val="00A42C21"/>
    <w:rsid w:val="00A43202"/>
    <w:rsid w:val="00A43416"/>
    <w:rsid w:val="00A43DD2"/>
    <w:rsid w:val="00A43FBC"/>
    <w:rsid w:val="00A440DA"/>
    <w:rsid w:val="00A44602"/>
    <w:rsid w:val="00A4590C"/>
    <w:rsid w:val="00A4678F"/>
    <w:rsid w:val="00A46C91"/>
    <w:rsid w:val="00A46FAF"/>
    <w:rsid w:val="00A474A6"/>
    <w:rsid w:val="00A5025C"/>
    <w:rsid w:val="00A50594"/>
    <w:rsid w:val="00A509FA"/>
    <w:rsid w:val="00A512BA"/>
    <w:rsid w:val="00A5207B"/>
    <w:rsid w:val="00A522AF"/>
    <w:rsid w:val="00A52585"/>
    <w:rsid w:val="00A52587"/>
    <w:rsid w:val="00A536F5"/>
    <w:rsid w:val="00A5472C"/>
    <w:rsid w:val="00A54B53"/>
    <w:rsid w:val="00A552A8"/>
    <w:rsid w:val="00A559B4"/>
    <w:rsid w:val="00A55CA7"/>
    <w:rsid w:val="00A55FE0"/>
    <w:rsid w:val="00A57F43"/>
    <w:rsid w:val="00A60666"/>
    <w:rsid w:val="00A61F2C"/>
    <w:rsid w:val="00A62D5D"/>
    <w:rsid w:val="00A6315B"/>
    <w:rsid w:val="00A63E84"/>
    <w:rsid w:val="00A64315"/>
    <w:rsid w:val="00A6597D"/>
    <w:rsid w:val="00A65A55"/>
    <w:rsid w:val="00A65EBA"/>
    <w:rsid w:val="00A66013"/>
    <w:rsid w:val="00A66259"/>
    <w:rsid w:val="00A663D7"/>
    <w:rsid w:val="00A663D8"/>
    <w:rsid w:val="00A66821"/>
    <w:rsid w:val="00A67402"/>
    <w:rsid w:val="00A67E31"/>
    <w:rsid w:val="00A702FA"/>
    <w:rsid w:val="00A7043E"/>
    <w:rsid w:val="00A70E61"/>
    <w:rsid w:val="00A718AE"/>
    <w:rsid w:val="00A730C8"/>
    <w:rsid w:val="00A73E6F"/>
    <w:rsid w:val="00A73FD0"/>
    <w:rsid w:val="00A74080"/>
    <w:rsid w:val="00A74DC2"/>
    <w:rsid w:val="00A74F94"/>
    <w:rsid w:val="00A754EC"/>
    <w:rsid w:val="00A75846"/>
    <w:rsid w:val="00A77735"/>
    <w:rsid w:val="00A804C4"/>
    <w:rsid w:val="00A8076C"/>
    <w:rsid w:val="00A812F8"/>
    <w:rsid w:val="00A81ED9"/>
    <w:rsid w:val="00A822D3"/>
    <w:rsid w:val="00A8253A"/>
    <w:rsid w:val="00A828D7"/>
    <w:rsid w:val="00A82E3B"/>
    <w:rsid w:val="00A83ECE"/>
    <w:rsid w:val="00A841DB"/>
    <w:rsid w:val="00A84719"/>
    <w:rsid w:val="00A852EC"/>
    <w:rsid w:val="00A857DD"/>
    <w:rsid w:val="00A85A0E"/>
    <w:rsid w:val="00A85C6B"/>
    <w:rsid w:val="00A8688C"/>
    <w:rsid w:val="00A86ADE"/>
    <w:rsid w:val="00A86C50"/>
    <w:rsid w:val="00A907BA"/>
    <w:rsid w:val="00A90B0D"/>
    <w:rsid w:val="00A90B10"/>
    <w:rsid w:val="00A911E5"/>
    <w:rsid w:val="00A92CCD"/>
    <w:rsid w:val="00A92D01"/>
    <w:rsid w:val="00A93655"/>
    <w:rsid w:val="00A93EDD"/>
    <w:rsid w:val="00A95D06"/>
    <w:rsid w:val="00A96B26"/>
    <w:rsid w:val="00A96DBA"/>
    <w:rsid w:val="00A9734A"/>
    <w:rsid w:val="00A97519"/>
    <w:rsid w:val="00A97915"/>
    <w:rsid w:val="00A9799F"/>
    <w:rsid w:val="00A979A0"/>
    <w:rsid w:val="00A97EB4"/>
    <w:rsid w:val="00AA1487"/>
    <w:rsid w:val="00AA152B"/>
    <w:rsid w:val="00AA1847"/>
    <w:rsid w:val="00AA1A26"/>
    <w:rsid w:val="00AA2356"/>
    <w:rsid w:val="00AA2692"/>
    <w:rsid w:val="00AA2B41"/>
    <w:rsid w:val="00AA315E"/>
    <w:rsid w:val="00AA40DB"/>
    <w:rsid w:val="00AA41D9"/>
    <w:rsid w:val="00AA45F2"/>
    <w:rsid w:val="00AA5864"/>
    <w:rsid w:val="00AA633D"/>
    <w:rsid w:val="00AA68F4"/>
    <w:rsid w:val="00AA755C"/>
    <w:rsid w:val="00AA7EA4"/>
    <w:rsid w:val="00AA85A2"/>
    <w:rsid w:val="00AB0A7B"/>
    <w:rsid w:val="00AB1037"/>
    <w:rsid w:val="00AB1460"/>
    <w:rsid w:val="00AB14E8"/>
    <w:rsid w:val="00AB195A"/>
    <w:rsid w:val="00AB1BA1"/>
    <w:rsid w:val="00AB3EDB"/>
    <w:rsid w:val="00AB42EA"/>
    <w:rsid w:val="00AB430A"/>
    <w:rsid w:val="00AB59D5"/>
    <w:rsid w:val="00AB5BED"/>
    <w:rsid w:val="00AB6DD6"/>
    <w:rsid w:val="00AB6FE8"/>
    <w:rsid w:val="00AB7931"/>
    <w:rsid w:val="00AB7D13"/>
    <w:rsid w:val="00AC08BC"/>
    <w:rsid w:val="00AC0A25"/>
    <w:rsid w:val="00AC0D96"/>
    <w:rsid w:val="00AC1023"/>
    <w:rsid w:val="00AC18DA"/>
    <w:rsid w:val="00AC1A0F"/>
    <w:rsid w:val="00AC1AD8"/>
    <w:rsid w:val="00AC1D0F"/>
    <w:rsid w:val="00AC34D8"/>
    <w:rsid w:val="00AC3979"/>
    <w:rsid w:val="00AC3CB8"/>
    <w:rsid w:val="00AC49F2"/>
    <w:rsid w:val="00AC4E72"/>
    <w:rsid w:val="00AC5FDC"/>
    <w:rsid w:val="00AC66E5"/>
    <w:rsid w:val="00AC6D96"/>
    <w:rsid w:val="00AC7530"/>
    <w:rsid w:val="00AC75A3"/>
    <w:rsid w:val="00AC76D4"/>
    <w:rsid w:val="00AC7D0E"/>
    <w:rsid w:val="00AD0997"/>
    <w:rsid w:val="00AD0CC9"/>
    <w:rsid w:val="00AD0DC6"/>
    <w:rsid w:val="00AD0F7F"/>
    <w:rsid w:val="00AD10FB"/>
    <w:rsid w:val="00AD1F44"/>
    <w:rsid w:val="00AD2028"/>
    <w:rsid w:val="00AD2228"/>
    <w:rsid w:val="00AD231F"/>
    <w:rsid w:val="00AD2731"/>
    <w:rsid w:val="00AD2752"/>
    <w:rsid w:val="00AD27F0"/>
    <w:rsid w:val="00AD2C33"/>
    <w:rsid w:val="00AD3A02"/>
    <w:rsid w:val="00AD3D56"/>
    <w:rsid w:val="00AD42F0"/>
    <w:rsid w:val="00AD452A"/>
    <w:rsid w:val="00AD4542"/>
    <w:rsid w:val="00AD465B"/>
    <w:rsid w:val="00AD4A62"/>
    <w:rsid w:val="00AD4F73"/>
    <w:rsid w:val="00AD6184"/>
    <w:rsid w:val="00AE0409"/>
    <w:rsid w:val="00AE081C"/>
    <w:rsid w:val="00AE0960"/>
    <w:rsid w:val="00AE0CB1"/>
    <w:rsid w:val="00AE0F64"/>
    <w:rsid w:val="00AE119D"/>
    <w:rsid w:val="00AE1472"/>
    <w:rsid w:val="00AE19E9"/>
    <w:rsid w:val="00AE2931"/>
    <w:rsid w:val="00AE2BA8"/>
    <w:rsid w:val="00AE36DC"/>
    <w:rsid w:val="00AE3E1A"/>
    <w:rsid w:val="00AE4BC3"/>
    <w:rsid w:val="00AE50E3"/>
    <w:rsid w:val="00AE5299"/>
    <w:rsid w:val="00AE67B3"/>
    <w:rsid w:val="00AE7477"/>
    <w:rsid w:val="00AF05F4"/>
    <w:rsid w:val="00AF0D87"/>
    <w:rsid w:val="00AF0D92"/>
    <w:rsid w:val="00AF1DB7"/>
    <w:rsid w:val="00AF24BB"/>
    <w:rsid w:val="00AF26CA"/>
    <w:rsid w:val="00AF2907"/>
    <w:rsid w:val="00AF3413"/>
    <w:rsid w:val="00AF3514"/>
    <w:rsid w:val="00AF37AE"/>
    <w:rsid w:val="00AF3E0B"/>
    <w:rsid w:val="00AF41A4"/>
    <w:rsid w:val="00AF42F8"/>
    <w:rsid w:val="00AF43DD"/>
    <w:rsid w:val="00AF4A46"/>
    <w:rsid w:val="00AF4F94"/>
    <w:rsid w:val="00AF540A"/>
    <w:rsid w:val="00AF58CF"/>
    <w:rsid w:val="00AF6A67"/>
    <w:rsid w:val="00AF704B"/>
    <w:rsid w:val="00AF7414"/>
    <w:rsid w:val="00AF75C3"/>
    <w:rsid w:val="00B00824"/>
    <w:rsid w:val="00B0099B"/>
    <w:rsid w:val="00B00BEC"/>
    <w:rsid w:val="00B00D0A"/>
    <w:rsid w:val="00B011F1"/>
    <w:rsid w:val="00B01E25"/>
    <w:rsid w:val="00B02081"/>
    <w:rsid w:val="00B0231A"/>
    <w:rsid w:val="00B027A4"/>
    <w:rsid w:val="00B036B5"/>
    <w:rsid w:val="00B0409F"/>
    <w:rsid w:val="00B04206"/>
    <w:rsid w:val="00B0453E"/>
    <w:rsid w:val="00B04B77"/>
    <w:rsid w:val="00B04EEC"/>
    <w:rsid w:val="00B051E1"/>
    <w:rsid w:val="00B05CA2"/>
    <w:rsid w:val="00B06892"/>
    <w:rsid w:val="00B0695B"/>
    <w:rsid w:val="00B07A65"/>
    <w:rsid w:val="00B07CEB"/>
    <w:rsid w:val="00B10247"/>
    <w:rsid w:val="00B1049C"/>
    <w:rsid w:val="00B10ACF"/>
    <w:rsid w:val="00B10DFC"/>
    <w:rsid w:val="00B13361"/>
    <w:rsid w:val="00B1356C"/>
    <w:rsid w:val="00B138FC"/>
    <w:rsid w:val="00B14287"/>
    <w:rsid w:val="00B145C5"/>
    <w:rsid w:val="00B14D5A"/>
    <w:rsid w:val="00B15118"/>
    <w:rsid w:val="00B15396"/>
    <w:rsid w:val="00B15A0F"/>
    <w:rsid w:val="00B15D1E"/>
    <w:rsid w:val="00B160EC"/>
    <w:rsid w:val="00B173C3"/>
    <w:rsid w:val="00B20428"/>
    <w:rsid w:val="00B21258"/>
    <w:rsid w:val="00B21481"/>
    <w:rsid w:val="00B21CA4"/>
    <w:rsid w:val="00B21DB8"/>
    <w:rsid w:val="00B22282"/>
    <w:rsid w:val="00B224C8"/>
    <w:rsid w:val="00B22734"/>
    <w:rsid w:val="00B22FF5"/>
    <w:rsid w:val="00B235F4"/>
    <w:rsid w:val="00B23D48"/>
    <w:rsid w:val="00B243F2"/>
    <w:rsid w:val="00B24DBC"/>
    <w:rsid w:val="00B250DC"/>
    <w:rsid w:val="00B25106"/>
    <w:rsid w:val="00B25495"/>
    <w:rsid w:val="00B2551A"/>
    <w:rsid w:val="00B256CC"/>
    <w:rsid w:val="00B25FF8"/>
    <w:rsid w:val="00B268F5"/>
    <w:rsid w:val="00B27BFC"/>
    <w:rsid w:val="00B27E6F"/>
    <w:rsid w:val="00B317E8"/>
    <w:rsid w:val="00B31966"/>
    <w:rsid w:val="00B31C3A"/>
    <w:rsid w:val="00B32F68"/>
    <w:rsid w:val="00B332E1"/>
    <w:rsid w:val="00B341AE"/>
    <w:rsid w:val="00B34364"/>
    <w:rsid w:val="00B3458F"/>
    <w:rsid w:val="00B363CC"/>
    <w:rsid w:val="00B36646"/>
    <w:rsid w:val="00B36730"/>
    <w:rsid w:val="00B36876"/>
    <w:rsid w:val="00B368B9"/>
    <w:rsid w:val="00B37015"/>
    <w:rsid w:val="00B370BE"/>
    <w:rsid w:val="00B37313"/>
    <w:rsid w:val="00B37F0B"/>
    <w:rsid w:val="00B41B73"/>
    <w:rsid w:val="00B41E9F"/>
    <w:rsid w:val="00B42503"/>
    <w:rsid w:val="00B426DE"/>
    <w:rsid w:val="00B42CAC"/>
    <w:rsid w:val="00B434CB"/>
    <w:rsid w:val="00B43666"/>
    <w:rsid w:val="00B44291"/>
    <w:rsid w:val="00B4622F"/>
    <w:rsid w:val="00B46496"/>
    <w:rsid w:val="00B46547"/>
    <w:rsid w:val="00B46E87"/>
    <w:rsid w:val="00B4737A"/>
    <w:rsid w:val="00B513C6"/>
    <w:rsid w:val="00B5183E"/>
    <w:rsid w:val="00B51E14"/>
    <w:rsid w:val="00B51F06"/>
    <w:rsid w:val="00B528CE"/>
    <w:rsid w:val="00B53057"/>
    <w:rsid w:val="00B5356B"/>
    <w:rsid w:val="00B5376B"/>
    <w:rsid w:val="00B544D6"/>
    <w:rsid w:val="00B54553"/>
    <w:rsid w:val="00B5559C"/>
    <w:rsid w:val="00B55762"/>
    <w:rsid w:val="00B55AB8"/>
    <w:rsid w:val="00B55E6B"/>
    <w:rsid w:val="00B56186"/>
    <w:rsid w:val="00B5645E"/>
    <w:rsid w:val="00B57D34"/>
    <w:rsid w:val="00B57D73"/>
    <w:rsid w:val="00B60D1A"/>
    <w:rsid w:val="00B60E49"/>
    <w:rsid w:val="00B611DE"/>
    <w:rsid w:val="00B629FE"/>
    <w:rsid w:val="00B6304A"/>
    <w:rsid w:val="00B64167"/>
    <w:rsid w:val="00B641B2"/>
    <w:rsid w:val="00B643A4"/>
    <w:rsid w:val="00B65E7B"/>
    <w:rsid w:val="00B66A1D"/>
    <w:rsid w:val="00B66A70"/>
    <w:rsid w:val="00B67C3E"/>
    <w:rsid w:val="00B6BD08"/>
    <w:rsid w:val="00B7051F"/>
    <w:rsid w:val="00B70845"/>
    <w:rsid w:val="00B71175"/>
    <w:rsid w:val="00B71461"/>
    <w:rsid w:val="00B720BA"/>
    <w:rsid w:val="00B734C8"/>
    <w:rsid w:val="00B73A08"/>
    <w:rsid w:val="00B73A13"/>
    <w:rsid w:val="00B73EEE"/>
    <w:rsid w:val="00B74044"/>
    <w:rsid w:val="00B74176"/>
    <w:rsid w:val="00B743F8"/>
    <w:rsid w:val="00B74425"/>
    <w:rsid w:val="00B747AE"/>
    <w:rsid w:val="00B74838"/>
    <w:rsid w:val="00B759F8"/>
    <w:rsid w:val="00B75BA2"/>
    <w:rsid w:val="00B75BD8"/>
    <w:rsid w:val="00B76531"/>
    <w:rsid w:val="00B779F7"/>
    <w:rsid w:val="00B77D94"/>
    <w:rsid w:val="00B801BA"/>
    <w:rsid w:val="00B801F9"/>
    <w:rsid w:val="00B80397"/>
    <w:rsid w:val="00B81A6C"/>
    <w:rsid w:val="00B82EB9"/>
    <w:rsid w:val="00B8383F"/>
    <w:rsid w:val="00B840A6"/>
    <w:rsid w:val="00B84CB3"/>
    <w:rsid w:val="00B851E5"/>
    <w:rsid w:val="00B855A6"/>
    <w:rsid w:val="00B871C7"/>
    <w:rsid w:val="00B87555"/>
    <w:rsid w:val="00B87595"/>
    <w:rsid w:val="00B879D5"/>
    <w:rsid w:val="00B87D54"/>
    <w:rsid w:val="00B87D7A"/>
    <w:rsid w:val="00B90466"/>
    <w:rsid w:val="00B9050D"/>
    <w:rsid w:val="00B905D6"/>
    <w:rsid w:val="00B90F9D"/>
    <w:rsid w:val="00B93273"/>
    <w:rsid w:val="00B93A3B"/>
    <w:rsid w:val="00B9401B"/>
    <w:rsid w:val="00B940A4"/>
    <w:rsid w:val="00B950C0"/>
    <w:rsid w:val="00B95D20"/>
    <w:rsid w:val="00B95EBC"/>
    <w:rsid w:val="00B963EE"/>
    <w:rsid w:val="00B96855"/>
    <w:rsid w:val="00B96F47"/>
    <w:rsid w:val="00B971E5"/>
    <w:rsid w:val="00B97546"/>
    <w:rsid w:val="00B97CE3"/>
    <w:rsid w:val="00B97F1C"/>
    <w:rsid w:val="00B97FDC"/>
    <w:rsid w:val="00BA00DF"/>
    <w:rsid w:val="00BA0834"/>
    <w:rsid w:val="00BA11EF"/>
    <w:rsid w:val="00BA1694"/>
    <w:rsid w:val="00BA17E3"/>
    <w:rsid w:val="00BA19C4"/>
    <w:rsid w:val="00BA221F"/>
    <w:rsid w:val="00BA26A6"/>
    <w:rsid w:val="00BA2FB7"/>
    <w:rsid w:val="00BA33C8"/>
    <w:rsid w:val="00BA357C"/>
    <w:rsid w:val="00BA3DAF"/>
    <w:rsid w:val="00BA4579"/>
    <w:rsid w:val="00BA495B"/>
    <w:rsid w:val="00BA604F"/>
    <w:rsid w:val="00BA67D5"/>
    <w:rsid w:val="00BA7963"/>
    <w:rsid w:val="00BA79BD"/>
    <w:rsid w:val="00BB03BB"/>
    <w:rsid w:val="00BB071F"/>
    <w:rsid w:val="00BB164C"/>
    <w:rsid w:val="00BB16A0"/>
    <w:rsid w:val="00BB1933"/>
    <w:rsid w:val="00BB1DE4"/>
    <w:rsid w:val="00BB228C"/>
    <w:rsid w:val="00BB2AF9"/>
    <w:rsid w:val="00BB2C20"/>
    <w:rsid w:val="00BB31E2"/>
    <w:rsid w:val="00BB33D2"/>
    <w:rsid w:val="00BB33F8"/>
    <w:rsid w:val="00BB345C"/>
    <w:rsid w:val="00BB371D"/>
    <w:rsid w:val="00BB4717"/>
    <w:rsid w:val="00BB566E"/>
    <w:rsid w:val="00BB5C41"/>
    <w:rsid w:val="00BB5E02"/>
    <w:rsid w:val="00BB6047"/>
    <w:rsid w:val="00BB6058"/>
    <w:rsid w:val="00BB68B5"/>
    <w:rsid w:val="00BB6FDD"/>
    <w:rsid w:val="00BB789A"/>
    <w:rsid w:val="00BC12FA"/>
    <w:rsid w:val="00BC1736"/>
    <w:rsid w:val="00BC1B23"/>
    <w:rsid w:val="00BC1DEF"/>
    <w:rsid w:val="00BC206D"/>
    <w:rsid w:val="00BC2228"/>
    <w:rsid w:val="00BC23DF"/>
    <w:rsid w:val="00BC2611"/>
    <w:rsid w:val="00BC281E"/>
    <w:rsid w:val="00BC30E3"/>
    <w:rsid w:val="00BC3255"/>
    <w:rsid w:val="00BC34FF"/>
    <w:rsid w:val="00BC4103"/>
    <w:rsid w:val="00BC527D"/>
    <w:rsid w:val="00BC5890"/>
    <w:rsid w:val="00BC5C6D"/>
    <w:rsid w:val="00BC611D"/>
    <w:rsid w:val="00BC6213"/>
    <w:rsid w:val="00BC62A8"/>
    <w:rsid w:val="00BC727C"/>
    <w:rsid w:val="00BC7D48"/>
    <w:rsid w:val="00BC7E93"/>
    <w:rsid w:val="00BD0342"/>
    <w:rsid w:val="00BD1CD0"/>
    <w:rsid w:val="00BD2052"/>
    <w:rsid w:val="00BD264A"/>
    <w:rsid w:val="00BD2FE5"/>
    <w:rsid w:val="00BD3F5E"/>
    <w:rsid w:val="00BD4327"/>
    <w:rsid w:val="00BD43CF"/>
    <w:rsid w:val="00BD445D"/>
    <w:rsid w:val="00BD4517"/>
    <w:rsid w:val="00BD497E"/>
    <w:rsid w:val="00BD4AC3"/>
    <w:rsid w:val="00BD4C7A"/>
    <w:rsid w:val="00BD4DF4"/>
    <w:rsid w:val="00BD538D"/>
    <w:rsid w:val="00BD54F7"/>
    <w:rsid w:val="00BD659B"/>
    <w:rsid w:val="00BD6A44"/>
    <w:rsid w:val="00BD6BE6"/>
    <w:rsid w:val="00BD7309"/>
    <w:rsid w:val="00BD7760"/>
    <w:rsid w:val="00BD7F98"/>
    <w:rsid w:val="00BE0183"/>
    <w:rsid w:val="00BE0A81"/>
    <w:rsid w:val="00BE1638"/>
    <w:rsid w:val="00BE40CE"/>
    <w:rsid w:val="00BE52EB"/>
    <w:rsid w:val="00BE58E8"/>
    <w:rsid w:val="00BE627C"/>
    <w:rsid w:val="00BE6D06"/>
    <w:rsid w:val="00BE7965"/>
    <w:rsid w:val="00BF131A"/>
    <w:rsid w:val="00BF1C3E"/>
    <w:rsid w:val="00BF2783"/>
    <w:rsid w:val="00BF2859"/>
    <w:rsid w:val="00BF2B35"/>
    <w:rsid w:val="00BF2B69"/>
    <w:rsid w:val="00BF2E29"/>
    <w:rsid w:val="00BF2FE2"/>
    <w:rsid w:val="00BF302B"/>
    <w:rsid w:val="00BF382D"/>
    <w:rsid w:val="00BF42FE"/>
    <w:rsid w:val="00BF48B6"/>
    <w:rsid w:val="00BF4F6C"/>
    <w:rsid w:val="00BF5532"/>
    <w:rsid w:val="00BF567B"/>
    <w:rsid w:val="00BF5BBD"/>
    <w:rsid w:val="00BF5E59"/>
    <w:rsid w:val="00BF6CE2"/>
    <w:rsid w:val="00BF6DE4"/>
    <w:rsid w:val="00BF6E9F"/>
    <w:rsid w:val="00BF763A"/>
    <w:rsid w:val="00C007E5"/>
    <w:rsid w:val="00C01009"/>
    <w:rsid w:val="00C0124E"/>
    <w:rsid w:val="00C018A5"/>
    <w:rsid w:val="00C01F42"/>
    <w:rsid w:val="00C021FF"/>
    <w:rsid w:val="00C025A8"/>
    <w:rsid w:val="00C03A2A"/>
    <w:rsid w:val="00C0434B"/>
    <w:rsid w:val="00C047CA"/>
    <w:rsid w:val="00C04828"/>
    <w:rsid w:val="00C06AF2"/>
    <w:rsid w:val="00C107E7"/>
    <w:rsid w:val="00C11671"/>
    <w:rsid w:val="00C11B4A"/>
    <w:rsid w:val="00C1266F"/>
    <w:rsid w:val="00C14D16"/>
    <w:rsid w:val="00C15BB4"/>
    <w:rsid w:val="00C166C2"/>
    <w:rsid w:val="00C17246"/>
    <w:rsid w:val="00C1753E"/>
    <w:rsid w:val="00C20A5C"/>
    <w:rsid w:val="00C20B40"/>
    <w:rsid w:val="00C212A3"/>
    <w:rsid w:val="00C2161C"/>
    <w:rsid w:val="00C22028"/>
    <w:rsid w:val="00C23785"/>
    <w:rsid w:val="00C23841"/>
    <w:rsid w:val="00C2422B"/>
    <w:rsid w:val="00C24853"/>
    <w:rsid w:val="00C24963"/>
    <w:rsid w:val="00C24BE6"/>
    <w:rsid w:val="00C25A2F"/>
    <w:rsid w:val="00C25D0D"/>
    <w:rsid w:val="00C25E8B"/>
    <w:rsid w:val="00C25F3E"/>
    <w:rsid w:val="00C260B8"/>
    <w:rsid w:val="00C2619C"/>
    <w:rsid w:val="00C2730C"/>
    <w:rsid w:val="00C27C2E"/>
    <w:rsid w:val="00C27C74"/>
    <w:rsid w:val="00C30069"/>
    <w:rsid w:val="00C3103D"/>
    <w:rsid w:val="00C31A75"/>
    <w:rsid w:val="00C31ECE"/>
    <w:rsid w:val="00C31F75"/>
    <w:rsid w:val="00C31FBE"/>
    <w:rsid w:val="00C3264B"/>
    <w:rsid w:val="00C328C1"/>
    <w:rsid w:val="00C33522"/>
    <w:rsid w:val="00C336BF"/>
    <w:rsid w:val="00C35603"/>
    <w:rsid w:val="00C35AB4"/>
    <w:rsid w:val="00C36304"/>
    <w:rsid w:val="00C365E9"/>
    <w:rsid w:val="00C368DB"/>
    <w:rsid w:val="00C36D5D"/>
    <w:rsid w:val="00C37193"/>
    <w:rsid w:val="00C379CD"/>
    <w:rsid w:val="00C37DDA"/>
    <w:rsid w:val="00C40149"/>
    <w:rsid w:val="00C40AAB"/>
    <w:rsid w:val="00C414C2"/>
    <w:rsid w:val="00C41561"/>
    <w:rsid w:val="00C41D02"/>
    <w:rsid w:val="00C41F13"/>
    <w:rsid w:val="00C425E1"/>
    <w:rsid w:val="00C42B6B"/>
    <w:rsid w:val="00C43945"/>
    <w:rsid w:val="00C440E0"/>
    <w:rsid w:val="00C44197"/>
    <w:rsid w:val="00C44D44"/>
    <w:rsid w:val="00C45DB6"/>
    <w:rsid w:val="00C46041"/>
    <w:rsid w:val="00C4717B"/>
    <w:rsid w:val="00C4742E"/>
    <w:rsid w:val="00C4771C"/>
    <w:rsid w:val="00C47988"/>
    <w:rsid w:val="00C47C15"/>
    <w:rsid w:val="00C504D9"/>
    <w:rsid w:val="00C5175C"/>
    <w:rsid w:val="00C51767"/>
    <w:rsid w:val="00C52355"/>
    <w:rsid w:val="00C523D0"/>
    <w:rsid w:val="00C52CE8"/>
    <w:rsid w:val="00C52DBC"/>
    <w:rsid w:val="00C52FBE"/>
    <w:rsid w:val="00C533FA"/>
    <w:rsid w:val="00C53B18"/>
    <w:rsid w:val="00C53DD5"/>
    <w:rsid w:val="00C540AB"/>
    <w:rsid w:val="00C54223"/>
    <w:rsid w:val="00C546EB"/>
    <w:rsid w:val="00C55555"/>
    <w:rsid w:val="00C56643"/>
    <w:rsid w:val="00C56B48"/>
    <w:rsid w:val="00C5768F"/>
    <w:rsid w:val="00C5BC68"/>
    <w:rsid w:val="00C60282"/>
    <w:rsid w:val="00C604ED"/>
    <w:rsid w:val="00C6108C"/>
    <w:rsid w:val="00C615A7"/>
    <w:rsid w:val="00C61ABB"/>
    <w:rsid w:val="00C6206D"/>
    <w:rsid w:val="00C63AF1"/>
    <w:rsid w:val="00C64E8F"/>
    <w:rsid w:val="00C6529F"/>
    <w:rsid w:val="00C652A3"/>
    <w:rsid w:val="00C65522"/>
    <w:rsid w:val="00C65D67"/>
    <w:rsid w:val="00C72A6F"/>
    <w:rsid w:val="00C72F3B"/>
    <w:rsid w:val="00C72F56"/>
    <w:rsid w:val="00C732A9"/>
    <w:rsid w:val="00C736AC"/>
    <w:rsid w:val="00C7383C"/>
    <w:rsid w:val="00C738BD"/>
    <w:rsid w:val="00C73B2F"/>
    <w:rsid w:val="00C74068"/>
    <w:rsid w:val="00C74BE8"/>
    <w:rsid w:val="00C74EDC"/>
    <w:rsid w:val="00C75433"/>
    <w:rsid w:val="00C757A7"/>
    <w:rsid w:val="00C75E44"/>
    <w:rsid w:val="00C75F30"/>
    <w:rsid w:val="00C7649B"/>
    <w:rsid w:val="00C76509"/>
    <w:rsid w:val="00C76907"/>
    <w:rsid w:val="00C76F3E"/>
    <w:rsid w:val="00C774B8"/>
    <w:rsid w:val="00C776D2"/>
    <w:rsid w:val="00C77F5A"/>
    <w:rsid w:val="00C80717"/>
    <w:rsid w:val="00C80EB7"/>
    <w:rsid w:val="00C8148F"/>
    <w:rsid w:val="00C81CCB"/>
    <w:rsid w:val="00C82221"/>
    <w:rsid w:val="00C8320A"/>
    <w:rsid w:val="00C846E3"/>
    <w:rsid w:val="00C850BA"/>
    <w:rsid w:val="00C85599"/>
    <w:rsid w:val="00C8562D"/>
    <w:rsid w:val="00C86286"/>
    <w:rsid w:val="00C866C1"/>
    <w:rsid w:val="00C86DD0"/>
    <w:rsid w:val="00C86E04"/>
    <w:rsid w:val="00C86E91"/>
    <w:rsid w:val="00C86EAE"/>
    <w:rsid w:val="00C86F3F"/>
    <w:rsid w:val="00C8755A"/>
    <w:rsid w:val="00C876AA"/>
    <w:rsid w:val="00C87861"/>
    <w:rsid w:val="00C87983"/>
    <w:rsid w:val="00C87E48"/>
    <w:rsid w:val="00C90849"/>
    <w:rsid w:val="00C91265"/>
    <w:rsid w:val="00C914D1"/>
    <w:rsid w:val="00C91539"/>
    <w:rsid w:val="00C916AF"/>
    <w:rsid w:val="00C91AE2"/>
    <w:rsid w:val="00C92E8E"/>
    <w:rsid w:val="00C9328E"/>
    <w:rsid w:val="00C932BA"/>
    <w:rsid w:val="00C934A6"/>
    <w:rsid w:val="00C93515"/>
    <w:rsid w:val="00C93634"/>
    <w:rsid w:val="00C9370B"/>
    <w:rsid w:val="00C93AE4"/>
    <w:rsid w:val="00C944BE"/>
    <w:rsid w:val="00C945C7"/>
    <w:rsid w:val="00C946DA"/>
    <w:rsid w:val="00C94740"/>
    <w:rsid w:val="00C95421"/>
    <w:rsid w:val="00C95B17"/>
    <w:rsid w:val="00C96FF6"/>
    <w:rsid w:val="00C9773D"/>
    <w:rsid w:val="00CA01E3"/>
    <w:rsid w:val="00CA0607"/>
    <w:rsid w:val="00CA0719"/>
    <w:rsid w:val="00CA177F"/>
    <w:rsid w:val="00CA179A"/>
    <w:rsid w:val="00CA19A1"/>
    <w:rsid w:val="00CA19AA"/>
    <w:rsid w:val="00CA1A1B"/>
    <w:rsid w:val="00CA1A95"/>
    <w:rsid w:val="00CA2292"/>
    <w:rsid w:val="00CA3592"/>
    <w:rsid w:val="00CA3C5E"/>
    <w:rsid w:val="00CA3CCF"/>
    <w:rsid w:val="00CA40E9"/>
    <w:rsid w:val="00CA454B"/>
    <w:rsid w:val="00CA4C03"/>
    <w:rsid w:val="00CA4CE2"/>
    <w:rsid w:val="00CA52A4"/>
    <w:rsid w:val="00CA588E"/>
    <w:rsid w:val="00CA5B95"/>
    <w:rsid w:val="00CA5FBB"/>
    <w:rsid w:val="00CA631B"/>
    <w:rsid w:val="00CA6452"/>
    <w:rsid w:val="00CA64A9"/>
    <w:rsid w:val="00CA64B0"/>
    <w:rsid w:val="00CA664B"/>
    <w:rsid w:val="00CA6B0F"/>
    <w:rsid w:val="00CA7466"/>
    <w:rsid w:val="00CA75FB"/>
    <w:rsid w:val="00CB06C4"/>
    <w:rsid w:val="00CB090E"/>
    <w:rsid w:val="00CB13E3"/>
    <w:rsid w:val="00CB204C"/>
    <w:rsid w:val="00CB2DC3"/>
    <w:rsid w:val="00CB371E"/>
    <w:rsid w:val="00CB3992"/>
    <w:rsid w:val="00CB3BC9"/>
    <w:rsid w:val="00CB3CA4"/>
    <w:rsid w:val="00CB3DD4"/>
    <w:rsid w:val="00CB4520"/>
    <w:rsid w:val="00CB4545"/>
    <w:rsid w:val="00CB4831"/>
    <w:rsid w:val="00CB4C13"/>
    <w:rsid w:val="00CB4C36"/>
    <w:rsid w:val="00CB5A2B"/>
    <w:rsid w:val="00CB5BC9"/>
    <w:rsid w:val="00CB5D39"/>
    <w:rsid w:val="00CB5E2E"/>
    <w:rsid w:val="00CB7EFD"/>
    <w:rsid w:val="00CC1040"/>
    <w:rsid w:val="00CC1679"/>
    <w:rsid w:val="00CC1B53"/>
    <w:rsid w:val="00CC1F43"/>
    <w:rsid w:val="00CC208C"/>
    <w:rsid w:val="00CC3ED2"/>
    <w:rsid w:val="00CC3F41"/>
    <w:rsid w:val="00CC4ABA"/>
    <w:rsid w:val="00CC4BCF"/>
    <w:rsid w:val="00CC52CE"/>
    <w:rsid w:val="00CC5CDB"/>
    <w:rsid w:val="00CC5F2E"/>
    <w:rsid w:val="00CC6405"/>
    <w:rsid w:val="00CC6A66"/>
    <w:rsid w:val="00CC6E9C"/>
    <w:rsid w:val="00CC7F1D"/>
    <w:rsid w:val="00CCB3F8"/>
    <w:rsid w:val="00CD0613"/>
    <w:rsid w:val="00CD0963"/>
    <w:rsid w:val="00CD0A16"/>
    <w:rsid w:val="00CD0E3B"/>
    <w:rsid w:val="00CD1099"/>
    <w:rsid w:val="00CD1642"/>
    <w:rsid w:val="00CD1DD0"/>
    <w:rsid w:val="00CD2723"/>
    <w:rsid w:val="00CD2931"/>
    <w:rsid w:val="00CD36D9"/>
    <w:rsid w:val="00CD450B"/>
    <w:rsid w:val="00CD4B89"/>
    <w:rsid w:val="00CD4CA6"/>
    <w:rsid w:val="00CD5046"/>
    <w:rsid w:val="00CD531D"/>
    <w:rsid w:val="00CD6092"/>
    <w:rsid w:val="00CD7C44"/>
    <w:rsid w:val="00CE01E5"/>
    <w:rsid w:val="00CE0934"/>
    <w:rsid w:val="00CE18B4"/>
    <w:rsid w:val="00CE1A39"/>
    <w:rsid w:val="00CE23E4"/>
    <w:rsid w:val="00CE250B"/>
    <w:rsid w:val="00CE2904"/>
    <w:rsid w:val="00CE2D36"/>
    <w:rsid w:val="00CE34FA"/>
    <w:rsid w:val="00CE3670"/>
    <w:rsid w:val="00CE4117"/>
    <w:rsid w:val="00CE4249"/>
    <w:rsid w:val="00CE4B66"/>
    <w:rsid w:val="00CE4C9B"/>
    <w:rsid w:val="00CE4E58"/>
    <w:rsid w:val="00CE5091"/>
    <w:rsid w:val="00CE554E"/>
    <w:rsid w:val="00CE5ACC"/>
    <w:rsid w:val="00CE5C21"/>
    <w:rsid w:val="00CE6431"/>
    <w:rsid w:val="00CE678C"/>
    <w:rsid w:val="00CE715C"/>
    <w:rsid w:val="00CE73DD"/>
    <w:rsid w:val="00CE7A17"/>
    <w:rsid w:val="00CE7EFF"/>
    <w:rsid w:val="00CEE1BF"/>
    <w:rsid w:val="00CF072C"/>
    <w:rsid w:val="00CF07A2"/>
    <w:rsid w:val="00CF0B44"/>
    <w:rsid w:val="00CF12AD"/>
    <w:rsid w:val="00CF1430"/>
    <w:rsid w:val="00CF1795"/>
    <w:rsid w:val="00CF2777"/>
    <w:rsid w:val="00CF288D"/>
    <w:rsid w:val="00CF2C9E"/>
    <w:rsid w:val="00CF2D0A"/>
    <w:rsid w:val="00CF3289"/>
    <w:rsid w:val="00CF337E"/>
    <w:rsid w:val="00CF3C77"/>
    <w:rsid w:val="00CF403B"/>
    <w:rsid w:val="00CF4114"/>
    <w:rsid w:val="00CF47FB"/>
    <w:rsid w:val="00CF5FB3"/>
    <w:rsid w:val="00CF66B3"/>
    <w:rsid w:val="00CF6F6D"/>
    <w:rsid w:val="00CF74EE"/>
    <w:rsid w:val="00CF7A40"/>
    <w:rsid w:val="00D00198"/>
    <w:rsid w:val="00D007B7"/>
    <w:rsid w:val="00D00AE5"/>
    <w:rsid w:val="00D01625"/>
    <w:rsid w:val="00D01A1F"/>
    <w:rsid w:val="00D02914"/>
    <w:rsid w:val="00D0422D"/>
    <w:rsid w:val="00D04314"/>
    <w:rsid w:val="00D046DD"/>
    <w:rsid w:val="00D04E04"/>
    <w:rsid w:val="00D051DE"/>
    <w:rsid w:val="00D0573B"/>
    <w:rsid w:val="00D05B9C"/>
    <w:rsid w:val="00D05D27"/>
    <w:rsid w:val="00D0650C"/>
    <w:rsid w:val="00D06C0B"/>
    <w:rsid w:val="00D07450"/>
    <w:rsid w:val="00D07742"/>
    <w:rsid w:val="00D10418"/>
    <w:rsid w:val="00D107D4"/>
    <w:rsid w:val="00D10C6E"/>
    <w:rsid w:val="00D118F6"/>
    <w:rsid w:val="00D11C6C"/>
    <w:rsid w:val="00D11EFE"/>
    <w:rsid w:val="00D12784"/>
    <w:rsid w:val="00D12AA8"/>
    <w:rsid w:val="00D12EC4"/>
    <w:rsid w:val="00D13E8B"/>
    <w:rsid w:val="00D1496C"/>
    <w:rsid w:val="00D15322"/>
    <w:rsid w:val="00D15F85"/>
    <w:rsid w:val="00D166A2"/>
    <w:rsid w:val="00D16756"/>
    <w:rsid w:val="00D16A41"/>
    <w:rsid w:val="00D16A46"/>
    <w:rsid w:val="00D16AFE"/>
    <w:rsid w:val="00D17517"/>
    <w:rsid w:val="00D17901"/>
    <w:rsid w:val="00D17D03"/>
    <w:rsid w:val="00D17E85"/>
    <w:rsid w:val="00D207EB"/>
    <w:rsid w:val="00D2084D"/>
    <w:rsid w:val="00D20BC6"/>
    <w:rsid w:val="00D20C06"/>
    <w:rsid w:val="00D20DE3"/>
    <w:rsid w:val="00D212F9"/>
    <w:rsid w:val="00D2161A"/>
    <w:rsid w:val="00D21ADF"/>
    <w:rsid w:val="00D22C99"/>
    <w:rsid w:val="00D22E4C"/>
    <w:rsid w:val="00D2435F"/>
    <w:rsid w:val="00D246D7"/>
    <w:rsid w:val="00D25B08"/>
    <w:rsid w:val="00D25EC1"/>
    <w:rsid w:val="00D266BB"/>
    <w:rsid w:val="00D26F82"/>
    <w:rsid w:val="00D27DC4"/>
    <w:rsid w:val="00D310CC"/>
    <w:rsid w:val="00D319A8"/>
    <w:rsid w:val="00D320D8"/>
    <w:rsid w:val="00D32944"/>
    <w:rsid w:val="00D32A2E"/>
    <w:rsid w:val="00D32CD2"/>
    <w:rsid w:val="00D32EDE"/>
    <w:rsid w:val="00D33A04"/>
    <w:rsid w:val="00D33B09"/>
    <w:rsid w:val="00D33D3C"/>
    <w:rsid w:val="00D344A0"/>
    <w:rsid w:val="00D34571"/>
    <w:rsid w:val="00D34623"/>
    <w:rsid w:val="00D34B46"/>
    <w:rsid w:val="00D34CD8"/>
    <w:rsid w:val="00D35873"/>
    <w:rsid w:val="00D358AB"/>
    <w:rsid w:val="00D35C21"/>
    <w:rsid w:val="00D36503"/>
    <w:rsid w:val="00D36E91"/>
    <w:rsid w:val="00D37ECC"/>
    <w:rsid w:val="00D40F1D"/>
    <w:rsid w:val="00D41269"/>
    <w:rsid w:val="00D41429"/>
    <w:rsid w:val="00D414DA"/>
    <w:rsid w:val="00D41690"/>
    <w:rsid w:val="00D417DD"/>
    <w:rsid w:val="00D41C54"/>
    <w:rsid w:val="00D41C61"/>
    <w:rsid w:val="00D43740"/>
    <w:rsid w:val="00D43968"/>
    <w:rsid w:val="00D44823"/>
    <w:rsid w:val="00D44CDB"/>
    <w:rsid w:val="00D44E3E"/>
    <w:rsid w:val="00D4529F"/>
    <w:rsid w:val="00D452E1"/>
    <w:rsid w:val="00D45F9E"/>
    <w:rsid w:val="00D461F9"/>
    <w:rsid w:val="00D46672"/>
    <w:rsid w:val="00D46794"/>
    <w:rsid w:val="00D46F4A"/>
    <w:rsid w:val="00D470BF"/>
    <w:rsid w:val="00D472E0"/>
    <w:rsid w:val="00D47B02"/>
    <w:rsid w:val="00D50040"/>
    <w:rsid w:val="00D500E7"/>
    <w:rsid w:val="00D50171"/>
    <w:rsid w:val="00D502D9"/>
    <w:rsid w:val="00D50883"/>
    <w:rsid w:val="00D51934"/>
    <w:rsid w:val="00D51F43"/>
    <w:rsid w:val="00D52DD6"/>
    <w:rsid w:val="00D53594"/>
    <w:rsid w:val="00D53B3A"/>
    <w:rsid w:val="00D54094"/>
    <w:rsid w:val="00D5461C"/>
    <w:rsid w:val="00D54624"/>
    <w:rsid w:val="00D547BA"/>
    <w:rsid w:val="00D548FE"/>
    <w:rsid w:val="00D54A4E"/>
    <w:rsid w:val="00D54B96"/>
    <w:rsid w:val="00D54E50"/>
    <w:rsid w:val="00D5500C"/>
    <w:rsid w:val="00D5503E"/>
    <w:rsid w:val="00D55575"/>
    <w:rsid w:val="00D55B75"/>
    <w:rsid w:val="00D564BF"/>
    <w:rsid w:val="00D5654E"/>
    <w:rsid w:val="00D56AEA"/>
    <w:rsid w:val="00D57639"/>
    <w:rsid w:val="00D57A1A"/>
    <w:rsid w:val="00D602AA"/>
    <w:rsid w:val="00D60502"/>
    <w:rsid w:val="00D606B8"/>
    <w:rsid w:val="00D61C8C"/>
    <w:rsid w:val="00D6346A"/>
    <w:rsid w:val="00D63AA3"/>
    <w:rsid w:val="00D64267"/>
    <w:rsid w:val="00D64505"/>
    <w:rsid w:val="00D646CE"/>
    <w:rsid w:val="00D659A8"/>
    <w:rsid w:val="00D66573"/>
    <w:rsid w:val="00D669DC"/>
    <w:rsid w:val="00D70432"/>
    <w:rsid w:val="00D70E05"/>
    <w:rsid w:val="00D718B9"/>
    <w:rsid w:val="00D71E06"/>
    <w:rsid w:val="00D71F23"/>
    <w:rsid w:val="00D72129"/>
    <w:rsid w:val="00D72B1F"/>
    <w:rsid w:val="00D72B6A"/>
    <w:rsid w:val="00D73257"/>
    <w:rsid w:val="00D73600"/>
    <w:rsid w:val="00D73D9F"/>
    <w:rsid w:val="00D74EBF"/>
    <w:rsid w:val="00D754A0"/>
    <w:rsid w:val="00D75A53"/>
    <w:rsid w:val="00D77209"/>
    <w:rsid w:val="00D77AB2"/>
    <w:rsid w:val="00D808E3"/>
    <w:rsid w:val="00D8193C"/>
    <w:rsid w:val="00D81E49"/>
    <w:rsid w:val="00D81F48"/>
    <w:rsid w:val="00D822BE"/>
    <w:rsid w:val="00D83048"/>
    <w:rsid w:val="00D83BC9"/>
    <w:rsid w:val="00D83C94"/>
    <w:rsid w:val="00D84288"/>
    <w:rsid w:val="00D84B4E"/>
    <w:rsid w:val="00D84BAF"/>
    <w:rsid w:val="00D84CF1"/>
    <w:rsid w:val="00D87CC5"/>
    <w:rsid w:val="00D901B5"/>
    <w:rsid w:val="00D91035"/>
    <w:rsid w:val="00D913E8"/>
    <w:rsid w:val="00D9195D"/>
    <w:rsid w:val="00D919D3"/>
    <w:rsid w:val="00D91AF7"/>
    <w:rsid w:val="00D91BEF"/>
    <w:rsid w:val="00D927AB"/>
    <w:rsid w:val="00D92B9B"/>
    <w:rsid w:val="00D9344A"/>
    <w:rsid w:val="00D9399A"/>
    <w:rsid w:val="00D9413F"/>
    <w:rsid w:val="00D943E4"/>
    <w:rsid w:val="00D9487A"/>
    <w:rsid w:val="00D94D4B"/>
    <w:rsid w:val="00D94F6A"/>
    <w:rsid w:val="00D9530C"/>
    <w:rsid w:val="00D96171"/>
    <w:rsid w:val="00D964CC"/>
    <w:rsid w:val="00D96755"/>
    <w:rsid w:val="00D9677E"/>
    <w:rsid w:val="00DA030B"/>
    <w:rsid w:val="00DA0484"/>
    <w:rsid w:val="00DA0AE6"/>
    <w:rsid w:val="00DA0E2C"/>
    <w:rsid w:val="00DA198B"/>
    <w:rsid w:val="00DA2033"/>
    <w:rsid w:val="00DA2648"/>
    <w:rsid w:val="00DA2C34"/>
    <w:rsid w:val="00DA33BB"/>
    <w:rsid w:val="00DA3DC1"/>
    <w:rsid w:val="00DA3F27"/>
    <w:rsid w:val="00DA445C"/>
    <w:rsid w:val="00DA4D34"/>
    <w:rsid w:val="00DA510C"/>
    <w:rsid w:val="00DA5DE2"/>
    <w:rsid w:val="00DA64C0"/>
    <w:rsid w:val="00DA77E9"/>
    <w:rsid w:val="00DA7CB6"/>
    <w:rsid w:val="00DA7F40"/>
    <w:rsid w:val="00DB059A"/>
    <w:rsid w:val="00DB09ED"/>
    <w:rsid w:val="00DB0D55"/>
    <w:rsid w:val="00DB0E40"/>
    <w:rsid w:val="00DB1074"/>
    <w:rsid w:val="00DB1FB0"/>
    <w:rsid w:val="00DB1FFC"/>
    <w:rsid w:val="00DB20B5"/>
    <w:rsid w:val="00DB2678"/>
    <w:rsid w:val="00DB2E28"/>
    <w:rsid w:val="00DB3333"/>
    <w:rsid w:val="00DB33E0"/>
    <w:rsid w:val="00DB35A4"/>
    <w:rsid w:val="00DB4953"/>
    <w:rsid w:val="00DB4D7F"/>
    <w:rsid w:val="00DB529A"/>
    <w:rsid w:val="00DB5701"/>
    <w:rsid w:val="00DB592D"/>
    <w:rsid w:val="00DB5BEA"/>
    <w:rsid w:val="00DB670D"/>
    <w:rsid w:val="00DB6B09"/>
    <w:rsid w:val="00DB74CD"/>
    <w:rsid w:val="00DB791D"/>
    <w:rsid w:val="00DB7F05"/>
    <w:rsid w:val="00DB7FD1"/>
    <w:rsid w:val="00DC0736"/>
    <w:rsid w:val="00DC0A8E"/>
    <w:rsid w:val="00DC17B8"/>
    <w:rsid w:val="00DC21F6"/>
    <w:rsid w:val="00DC2554"/>
    <w:rsid w:val="00DC309C"/>
    <w:rsid w:val="00DC3735"/>
    <w:rsid w:val="00DC4492"/>
    <w:rsid w:val="00DC48B1"/>
    <w:rsid w:val="00DC48EA"/>
    <w:rsid w:val="00DC509E"/>
    <w:rsid w:val="00DC50F2"/>
    <w:rsid w:val="00DC51C0"/>
    <w:rsid w:val="00DC52B6"/>
    <w:rsid w:val="00DC551A"/>
    <w:rsid w:val="00DC670B"/>
    <w:rsid w:val="00DC7155"/>
    <w:rsid w:val="00DC7594"/>
    <w:rsid w:val="00DC75A7"/>
    <w:rsid w:val="00DD037A"/>
    <w:rsid w:val="00DD249A"/>
    <w:rsid w:val="00DD250D"/>
    <w:rsid w:val="00DD270F"/>
    <w:rsid w:val="00DD2CC7"/>
    <w:rsid w:val="00DD3154"/>
    <w:rsid w:val="00DD3879"/>
    <w:rsid w:val="00DD3AE2"/>
    <w:rsid w:val="00DD40A9"/>
    <w:rsid w:val="00DD4139"/>
    <w:rsid w:val="00DD4E72"/>
    <w:rsid w:val="00DD4F15"/>
    <w:rsid w:val="00DD562C"/>
    <w:rsid w:val="00DD62ED"/>
    <w:rsid w:val="00DD6305"/>
    <w:rsid w:val="00DD6DA2"/>
    <w:rsid w:val="00DD722F"/>
    <w:rsid w:val="00DD7237"/>
    <w:rsid w:val="00DD7C31"/>
    <w:rsid w:val="00DD7FDF"/>
    <w:rsid w:val="00DE0B93"/>
    <w:rsid w:val="00DE0CEA"/>
    <w:rsid w:val="00DE0DCD"/>
    <w:rsid w:val="00DE1C91"/>
    <w:rsid w:val="00DE2E0B"/>
    <w:rsid w:val="00DE30C5"/>
    <w:rsid w:val="00DE32CE"/>
    <w:rsid w:val="00DE3652"/>
    <w:rsid w:val="00DE3655"/>
    <w:rsid w:val="00DE38FD"/>
    <w:rsid w:val="00DE43FC"/>
    <w:rsid w:val="00DE45AF"/>
    <w:rsid w:val="00DE47C3"/>
    <w:rsid w:val="00DE4C71"/>
    <w:rsid w:val="00DE6393"/>
    <w:rsid w:val="00DE65A9"/>
    <w:rsid w:val="00DE7560"/>
    <w:rsid w:val="00DE7772"/>
    <w:rsid w:val="00DE7A49"/>
    <w:rsid w:val="00DF0320"/>
    <w:rsid w:val="00DF0A50"/>
    <w:rsid w:val="00DF1874"/>
    <w:rsid w:val="00DF1BA6"/>
    <w:rsid w:val="00DF1BD7"/>
    <w:rsid w:val="00DF387C"/>
    <w:rsid w:val="00DF3962"/>
    <w:rsid w:val="00DF40FE"/>
    <w:rsid w:val="00DF4D20"/>
    <w:rsid w:val="00DF5DBF"/>
    <w:rsid w:val="00DF611C"/>
    <w:rsid w:val="00DF6868"/>
    <w:rsid w:val="00DF6D70"/>
    <w:rsid w:val="00DF7148"/>
    <w:rsid w:val="00DF7A18"/>
    <w:rsid w:val="00DF7C44"/>
    <w:rsid w:val="00DF7CD9"/>
    <w:rsid w:val="00DF8897"/>
    <w:rsid w:val="00E00E30"/>
    <w:rsid w:val="00E014B2"/>
    <w:rsid w:val="00E0183B"/>
    <w:rsid w:val="00E01D7B"/>
    <w:rsid w:val="00E01E4D"/>
    <w:rsid w:val="00E020FB"/>
    <w:rsid w:val="00E028A1"/>
    <w:rsid w:val="00E03393"/>
    <w:rsid w:val="00E034AD"/>
    <w:rsid w:val="00E0363D"/>
    <w:rsid w:val="00E0391A"/>
    <w:rsid w:val="00E04208"/>
    <w:rsid w:val="00E0438B"/>
    <w:rsid w:val="00E053C7"/>
    <w:rsid w:val="00E05B1E"/>
    <w:rsid w:val="00E070BC"/>
    <w:rsid w:val="00E07132"/>
    <w:rsid w:val="00E07628"/>
    <w:rsid w:val="00E0789E"/>
    <w:rsid w:val="00E07CF4"/>
    <w:rsid w:val="00E10014"/>
    <w:rsid w:val="00E1096E"/>
    <w:rsid w:val="00E1240C"/>
    <w:rsid w:val="00E1311B"/>
    <w:rsid w:val="00E135E7"/>
    <w:rsid w:val="00E13840"/>
    <w:rsid w:val="00E13E5C"/>
    <w:rsid w:val="00E13E92"/>
    <w:rsid w:val="00E1449B"/>
    <w:rsid w:val="00E14BC3"/>
    <w:rsid w:val="00E150A1"/>
    <w:rsid w:val="00E152B0"/>
    <w:rsid w:val="00E1670E"/>
    <w:rsid w:val="00E16F94"/>
    <w:rsid w:val="00E1728C"/>
    <w:rsid w:val="00E22637"/>
    <w:rsid w:val="00E230F4"/>
    <w:rsid w:val="00E23A06"/>
    <w:rsid w:val="00E23B63"/>
    <w:rsid w:val="00E24490"/>
    <w:rsid w:val="00E24775"/>
    <w:rsid w:val="00E24E37"/>
    <w:rsid w:val="00E24F5B"/>
    <w:rsid w:val="00E25CC0"/>
    <w:rsid w:val="00E265C5"/>
    <w:rsid w:val="00E26830"/>
    <w:rsid w:val="00E26C91"/>
    <w:rsid w:val="00E276A7"/>
    <w:rsid w:val="00E279B7"/>
    <w:rsid w:val="00E27D88"/>
    <w:rsid w:val="00E30BAD"/>
    <w:rsid w:val="00E30E8B"/>
    <w:rsid w:val="00E31001"/>
    <w:rsid w:val="00E31B55"/>
    <w:rsid w:val="00E31D8B"/>
    <w:rsid w:val="00E32195"/>
    <w:rsid w:val="00E3237B"/>
    <w:rsid w:val="00E32B99"/>
    <w:rsid w:val="00E32EA5"/>
    <w:rsid w:val="00E32EAF"/>
    <w:rsid w:val="00E3300C"/>
    <w:rsid w:val="00E33766"/>
    <w:rsid w:val="00E33791"/>
    <w:rsid w:val="00E338C6"/>
    <w:rsid w:val="00E3433F"/>
    <w:rsid w:val="00E34438"/>
    <w:rsid w:val="00E357C3"/>
    <w:rsid w:val="00E364E4"/>
    <w:rsid w:val="00E36F2E"/>
    <w:rsid w:val="00E37275"/>
    <w:rsid w:val="00E3781F"/>
    <w:rsid w:val="00E37B77"/>
    <w:rsid w:val="00E37F06"/>
    <w:rsid w:val="00E40DA9"/>
    <w:rsid w:val="00E40EC3"/>
    <w:rsid w:val="00E412B8"/>
    <w:rsid w:val="00E41696"/>
    <w:rsid w:val="00E41BBD"/>
    <w:rsid w:val="00E4247B"/>
    <w:rsid w:val="00E43079"/>
    <w:rsid w:val="00E4314B"/>
    <w:rsid w:val="00E43ABD"/>
    <w:rsid w:val="00E44278"/>
    <w:rsid w:val="00E442EC"/>
    <w:rsid w:val="00E44330"/>
    <w:rsid w:val="00E44F33"/>
    <w:rsid w:val="00E453D5"/>
    <w:rsid w:val="00E454E1"/>
    <w:rsid w:val="00E47057"/>
    <w:rsid w:val="00E50E81"/>
    <w:rsid w:val="00E511AD"/>
    <w:rsid w:val="00E52254"/>
    <w:rsid w:val="00E526FA"/>
    <w:rsid w:val="00E52CCB"/>
    <w:rsid w:val="00E52E8F"/>
    <w:rsid w:val="00E53714"/>
    <w:rsid w:val="00E53BAA"/>
    <w:rsid w:val="00E53FD5"/>
    <w:rsid w:val="00E547A4"/>
    <w:rsid w:val="00E54C6F"/>
    <w:rsid w:val="00E54CF5"/>
    <w:rsid w:val="00E54D76"/>
    <w:rsid w:val="00E558BB"/>
    <w:rsid w:val="00E559C5"/>
    <w:rsid w:val="00E5615A"/>
    <w:rsid w:val="00E56AF6"/>
    <w:rsid w:val="00E57151"/>
    <w:rsid w:val="00E573E2"/>
    <w:rsid w:val="00E5747F"/>
    <w:rsid w:val="00E57A7B"/>
    <w:rsid w:val="00E57D96"/>
    <w:rsid w:val="00E604FF"/>
    <w:rsid w:val="00E6087A"/>
    <w:rsid w:val="00E60971"/>
    <w:rsid w:val="00E61012"/>
    <w:rsid w:val="00E615C4"/>
    <w:rsid w:val="00E634D2"/>
    <w:rsid w:val="00E63B51"/>
    <w:rsid w:val="00E63C76"/>
    <w:rsid w:val="00E64158"/>
    <w:rsid w:val="00E652F4"/>
    <w:rsid w:val="00E65B04"/>
    <w:rsid w:val="00E65F26"/>
    <w:rsid w:val="00E673DF"/>
    <w:rsid w:val="00E6770C"/>
    <w:rsid w:val="00E67EB5"/>
    <w:rsid w:val="00E70B57"/>
    <w:rsid w:val="00E70D56"/>
    <w:rsid w:val="00E70F4D"/>
    <w:rsid w:val="00E72262"/>
    <w:rsid w:val="00E743E0"/>
    <w:rsid w:val="00E7458F"/>
    <w:rsid w:val="00E7483A"/>
    <w:rsid w:val="00E74A41"/>
    <w:rsid w:val="00E75503"/>
    <w:rsid w:val="00E75C21"/>
    <w:rsid w:val="00E77AE7"/>
    <w:rsid w:val="00E824EE"/>
    <w:rsid w:val="00E82803"/>
    <w:rsid w:val="00E832DC"/>
    <w:rsid w:val="00E833CB"/>
    <w:rsid w:val="00E83915"/>
    <w:rsid w:val="00E83FA3"/>
    <w:rsid w:val="00E851CE"/>
    <w:rsid w:val="00E86FAD"/>
    <w:rsid w:val="00E87109"/>
    <w:rsid w:val="00E9064D"/>
    <w:rsid w:val="00E9080D"/>
    <w:rsid w:val="00E9091C"/>
    <w:rsid w:val="00E909A5"/>
    <w:rsid w:val="00E9156F"/>
    <w:rsid w:val="00E91898"/>
    <w:rsid w:val="00E91BBC"/>
    <w:rsid w:val="00E91EB0"/>
    <w:rsid w:val="00E91FAB"/>
    <w:rsid w:val="00E922D1"/>
    <w:rsid w:val="00E925C5"/>
    <w:rsid w:val="00E927FE"/>
    <w:rsid w:val="00E93944"/>
    <w:rsid w:val="00E93991"/>
    <w:rsid w:val="00E9445A"/>
    <w:rsid w:val="00E94C5D"/>
    <w:rsid w:val="00E9522B"/>
    <w:rsid w:val="00E9549F"/>
    <w:rsid w:val="00E955E8"/>
    <w:rsid w:val="00E958C4"/>
    <w:rsid w:val="00E95E57"/>
    <w:rsid w:val="00E9609C"/>
    <w:rsid w:val="00E9635C"/>
    <w:rsid w:val="00E96926"/>
    <w:rsid w:val="00E973B0"/>
    <w:rsid w:val="00EA151C"/>
    <w:rsid w:val="00EA1B63"/>
    <w:rsid w:val="00EA2818"/>
    <w:rsid w:val="00EA2DCD"/>
    <w:rsid w:val="00EA3713"/>
    <w:rsid w:val="00EA41E2"/>
    <w:rsid w:val="00EA5299"/>
    <w:rsid w:val="00EA52E9"/>
    <w:rsid w:val="00EA55CA"/>
    <w:rsid w:val="00EA5A6A"/>
    <w:rsid w:val="00EA69C1"/>
    <w:rsid w:val="00EA6C83"/>
    <w:rsid w:val="00EA7318"/>
    <w:rsid w:val="00EA77C0"/>
    <w:rsid w:val="00EA7852"/>
    <w:rsid w:val="00EA78B1"/>
    <w:rsid w:val="00EB08E9"/>
    <w:rsid w:val="00EB0DAF"/>
    <w:rsid w:val="00EB100E"/>
    <w:rsid w:val="00EB10BD"/>
    <w:rsid w:val="00EB12E4"/>
    <w:rsid w:val="00EB19BC"/>
    <w:rsid w:val="00EB1F5E"/>
    <w:rsid w:val="00EB2622"/>
    <w:rsid w:val="00EB2793"/>
    <w:rsid w:val="00EB2DDE"/>
    <w:rsid w:val="00EB3A74"/>
    <w:rsid w:val="00EB3C1C"/>
    <w:rsid w:val="00EB3CB0"/>
    <w:rsid w:val="00EB4E4D"/>
    <w:rsid w:val="00EB53D5"/>
    <w:rsid w:val="00EB5EE9"/>
    <w:rsid w:val="00EB603B"/>
    <w:rsid w:val="00EB6202"/>
    <w:rsid w:val="00EB6B4D"/>
    <w:rsid w:val="00EB6F45"/>
    <w:rsid w:val="00EB7848"/>
    <w:rsid w:val="00EC0489"/>
    <w:rsid w:val="00EC0A25"/>
    <w:rsid w:val="00EC10EA"/>
    <w:rsid w:val="00EC2608"/>
    <w:rsid w:val="00EC38C3"/>
    <w:rsid w:val="00EC3A00"/>
    <w:rsid w:val="00EC3E29"/>
    <w:rsid w:val="00EC4889"/>
    <w:rsid w:val="00EC5A11"/>
    <w:rsid w:val="00EC5CAC"/>
    <w:rsid w:val="00EC6E53"/>
    <w:rsid w:val="00EC7BC1"/>
    <w:rsid w:val="00ED01C9"/>
    <w:rsid w:val="00ED0BD4"/>
    <w:rsid w:val="00ED1041"/>
    <w:rsid w:val="00ED121F"/>
    <w:rsid w:val="00ED1814"/>
    <w:rsid w:val="00ED1CAA"/>
    <w:rsid w:val="00ED2381"/>
    <w:rsid w:val="00ED3267"/>
    <w:rsid w:val="00ED3406"/>
    <w:rsid w:val="00ED3C8D"/>
    <w:rsid w:val="00ED47E4"/>
    <w:rsid w:val="00ED49A1"/>
    <w:rsid w:val="00ED53A7"/>
    <w:rsid w:val="00ED5F03"/>
    <w:rsid w:val="00ED5F7F"/>
    <w:rsid w:val="00ED6394"/>
    <w:rsid w:val="00ED63C6"/>
    <w:rsid w:val="00ED65AE"/>
    <w:rsid w:val="00ED712A"/>
    <w:rsid w:val="00ED734F"/>
    <w:rsid w:val="00ED7EE3"/>
    <w:rsid w:val="00EE168B"/>
    <w:rsid w:val="00EE194C"/>
    <w:rsid w:val="00EE26FB"/>
    <w:rsid w:val="00EE2717"/>
    <w:rsid w:val="00EE2C93"/>
    <w:rsid w:val="00EE30B6"/>
    <w:rsid w:val="00EE3507"/>
    <w:rsid w:val="00EE3582"/>
    <w:rsid w:val="00EE3E50"/>
    <w:rsid w:val="00EE40CA"/>
    <w:rsid w:val="00EE474C"/>
    <w:rsid w:val="00EE48AD"/>
    <w:rsid w:val="00EE4BB9"/>
    <w:rsid w:val="00EE4EA0"/>
    <w:rsid w:val="00EE4FBD"/>
    <w:rsid w:val="00EE569D"/>
    <w:rsid w:val="00EE5BE4"/>
    <w:rsid w:val="00EE5DE3"/>
    <w:rsid w:val="00EE6848"/>
    <w:rsid w:val="00EE7F30"/>
    <w:rsid w:val="00EE7FC1"/>
    <w:rsid w:val="00EF1717"/>
    <w:rsid w:val="00EF186D"/>
    <w:rsid w:val="00EF2429"/>
    <w:rsid w:val="00EF3AB8"/>
    <w:rsid w:val="00EF4318"/>
    <w:rsid w:val="00EF49DE"/>
    <w:rsid w:val="00EF5449"/>
    <w:rsid w:val="00EF5713"/>
    <w:rsid w:val="00EF573E"/>
    <w:rsid w:val="00EF585E"/>
    <w:rsid w:val="00EF58D2"/>
    <w:rsid w:val="00EF7920"/>
    <w:rsid w:val="00EF79AF"/>
    <w:rsid w:val="00F000A7"/>
    <w:rsid w:val="00F01CA4"/>
    <w:rsid w:val="00F01EF9"/>
    <w:rsid w:val="00F02082"/>
    <w:rsid w:val="00F02548"/>
    <w:rsid w:val="00F02E9A"/>
    <w:rsid w:val="00F02F9D"/>
    <w:rsid w:val="00F03359"/>
    <w:rsid w:val="00F039A8"/>
    <w:rsid w:val="00F03CD8"/>
    <w:rsid w:val="00F03E2D"/>
    <w:rsid w:val="00F03E51"/>
    <w:rsid w:val="00F04276"/>
    <w:rsid w:val="00F04C9D"/>
    <w:rsid w:val="00F05441"/>
    <w:rsid w:val="00F05877"/>
    <w:rsid w:val="00F05DDD"/>
    <w:rsid w:val="00F07CB1"/>
    <w:rsid w:val="00F110A5"/>
    <w:rsid w:val="00F12277"/>
    <w:rsid w:val="00F12AA2"/>
    <w:rsid w:val="00F12B48"/>
    <w:rsid w:val="00F12BF2"/>
    <w:rsid w:val="00F12E21"/>
    <w:rsid w:val="00F134D4"/>
    <w:rsid w:val="00F140E4"/>
    <w:rsid w:val="00F142DE"/>
    <w:rsid w:val="00F143B2"/>
    <w:rsid w:val="00F14A8C"/>
    <w:rsid w:val="00F14C15"/>
    <w:rsid w:val="00F14C61"/>
    <w:rsid w:val="00F152EC"/>
    <w:rsid w:val="00F15C53"/>
    <w:rsid w:val="00F15DE4"/>
    <w:rsid w:val="00F1642D"/>
    <w:rsid w:val="00F164EB"/>
    <w:rsid w:val="00F204D9"/>
    <w:rsid w:val="00F20647"/>
    <w:rsid w:val="00F207FE"/>
    <w:rsid w:val="00F21E7E"/>
    <w:rsid w:val="00F22EA0"/>
    <w:rsid w:val="00F24181"/>
    <w:rsid w:val="00F24244"/>
    <w:rsid w:val="00F248CB"/>
    <w:rsid w:val="00F25685"/>
    <w:rsid w:val="00F30540"/>
    <w:rsid w:val="00F30734"/>
    <w:rsid w:val="00F30F4B"/>
    <w:rsid w:val="00F316BE"/>
    <w:rsid w:val="00F319A0"/>
    <w:rsid w:val="00F31C52"/>
    <w:rsid w:val="00F32731"/>
    <w:rsid w:val="00F32790"/>
    <w:rsid w:val="00F33237"/>
    <w:rsid w:val="00F33350"/>
    <w:rsid w:val="00F336DC"/>
    <w:rsid w:val="00F3381C"/>
    <w:rsid w:val="00F33C79"/>
    <w:rsid w:val="00F35405"/>
    <w:rsid w:val="00F358B2"/>
    <w:rsid w:val="00F3633F"/>
    <w:rsid w:val="00F3694E"/>
    <w:rsid w:val="00F36A66"/>
    <w:rsid w:val="00F36C8E"/>
    <w:rsid w:val="00F37268"/>
    <w:rsid w:val="00F4065C"/>
    <w:rsid w:val="00F40938"/>
    <w:rsid w:val="00F40A4F"/>
    <w:rsid w:val="00F41389"/>
    <w:rsid w:val="00F41CD7"/>
    <w:rsid w:val="00F424AE"/>
    <w:rsid w:val="00F426FB"/>
    <w:rsid w:val="00F42A5F"/>
    <w:rsid w:val="00F43704"/>
    <w:rsid w:val="00F43837"/>
    <w:rsid w:val="00F44B68"/>
    <w:rsid w:val="00F44C4B"/>
    <w:rsid w:val="00F453EE"/>
    <w:rsid w:val="00F4551E"/>
    <w:rsid w:val="00F455A9"/>
    <w:rsid w:val="00F45633"/>
    <w:rsid w:val="00F46E91"/>
    <w:rsid w:val="00F47122"/>
    <w:rsid w:val="00F4748D"/>
    <w:rsid w:val="00F475C6"/>
    <w:rsid w:val="00F47B7D"/>
    <w:rsid w:val="00F50437"/>
    <w:rsid w:val="00F50BC6"/>
    <w:rsid w:val="00F513E0"/>
    <w:rsid w:val="00F5155F"/>
    <w:rsid w:val="00F525A7"/>
    <w:rsid w:val="00F52993"/>
    <w:rsid w:val="00F52D60"/>
    <w:rsid w:val="00F535E8"/>
    <w:rsid w:val="00F54091"/>
    <w:rsid w:val="00F54743"/>
    <w:rsid w:val="00F54C20"/>
    <w:rsid w:val="00F55A67"/>
    <w:rsid w:val="00F55ADF"/>
    <w:rsid w:val="00F55B5C"/>
    <w:rsid w:val="00F56295"/>
    <w:rsid w:val="00F5667A"/>
    <w:rsid w:val="00F60998"/>
    <w:rsid w:val="00F6134D"/>
    <w:rsid w:val="00F61A5A"/>
    <w:rsid w:val="00F61B23"/>
    <w:rsid w:val="00F6235A"/>
    <w:rsid w:val="00F6243B"/>
    <w:rsid w:val="00F62570"/>
    <w:rsid w:val="00F62818"/>
    <w:rsid w:val="00F6298B"/>
    <w:rsid w:val="00F62A18"/>
    <w:rsid w:val="00F62BE8"/>
    <w:rsid w:val="00F63297"/>
    <w:rsid w:val="00F64037"/>
    <w:rsid w:val="00F64B0A"/>
    <w:rsid w:val="00F64F50"/>
    <w:rsid w:val="00F6562C"/>
    <w:rsid w:val="00F65740"/>
    <w:rsid w:val="00F65C30"/>
    <w:rsid w:val="00F668EF"/>
    <w:rsid w:val="00F66F73"/>
    <w:rsid w:val="00F6709D"/>
    <w:rsid w:val="00F67404"/>
    <w:rsid w:val="00F676CC"/>
    <w:rsid w:val="00F67B40"/>
    <w:rsid w:val="00F6DA94"/>
    <w:rsid w:val="00F7001E"/>
    <w:rsid w:val="00F7012A"/>
    <w:rsid w:val="00F705DB"/>
    <w:rsid w:val="00F70A57"/>
    <w:rsid w:val="00F712EF"/>
    <w:rsid w:val="00F71C1E"/>
    <w:rsid w:val="00F71FF7"/>
    <w:rsid w:val="00F721EA"/>
    <w:rsid w:val="00F73215"/>
    <w:rsid w:val="00F73C39"/>
    <w:rsid w:val="00F74213"/>
    <w:rsid w:val="00F742F2"/>
    <w:rsid w:val="00F74C96"/>
    <w:rsid w:val="00F74E3D"/>
    <w:rsid w:val="00F7511B"/>
    <w:rsid w:val="00F751FD"/>
    <w:rsid w:val="00F75A69"/>
    <w:rsid w:val="00F760F0"/>
    <w:rsid w:val="00F761F6"/>
    <w:rsid w:val="00F762D5"/>
    <w:rsid w:val="00F76B05"/>
    <w:rsid w:val="00F76E77"/>
    <w:rsid w:val="00F76FED"/>
    <w:rsid w:val="00F80C21"/>
    <w:rsid w:val="00F811BB"/>
    <w:rsid w:val="00F81914"/>
    <w:rsid w:val="00F81E6F"/>
    <w:rsid w:val="00F81E73"/>
    <w:rsid w:val="00F81FA5"/>
    <w:rsid w:val="00F82060"/>
    <w:rsid w:val="00F82098"/>
    <w:rsid w:val="00F82222"/>
    <w:rsid w:val="00F82366"/>
    <w:rsid w:val="00F825DB"/>
    <w:rsid w:val="00F834CF"/>
    <w:rsid w:val="00F83743"/>
    <w:rsid w:val="00F83C8A"/>
    <w:rsid w:val="00F84009"/>
    <w:rsid w:val="00F84913"/>
    <w:rsid w:val="00F856D5"/>
    <w:rsid w:val="00F86569"/>
    <w:rsid w:val="00F86BB1"/>
    <w:rsid w:val="00F86DDA"/>
    <w:rsid w:val="00F875F3"/>
    <w:rsid w:val="00F87BBC"/>
    <w:rsid w:val="00F87F8E"/>
    <w:rsid w:val="00F908FD"/>
    <w:rsid w:val="00F9102E"/>
    <w:rsid w:val="00F916A6"/>
    <w:rsid w:val="00F91BCA"/>
    <w:rsid w:val="00F9251E"/>
    <w:rsid w:val="00F92A9F"/>
    <w:rsid w:val="00F93272"/>
    <w:rsid w:val="00F93459"/>
    <w:rsid w:val="00F9352D"/>
    <w:rsid w:val="00F93D73"/>
    <w:rsid w:val="00F93E45"/>
    <w:rsid w:val="00F93F5D"/>
    <w:rsid w:val="00F94154"/>
    <w:rsid w:val="00F9486D"/>
    <w:rsid w:val="00F94DE3"/>
    <w:rsid w:val="00F95079"/>
    <w:rsid w:val="00F951AA"/>
    <w:rsid w:val="00F958C5"/>
    <w:rsid w:val="00F966D7"/>
    <w:rsid w:val="00F9776E"/>
    <w:rsid w:val="00F97A46"/>
    <w:rsid w:val="00FA14BD"/>
    <w:rsid w:val="00FA1526"/>
    <w:rsid w:val="00FA1A2A"/>
    <w:rsid w:val="00FA1A44"/>
    <w:rsid w:val="00FA1EB2"/>
    <w:rsid w:val="00FA2523"/>
    <w:rsid w:val="00FA2FA7"/>
    <w:rsid w:val="00FA32A4"/>
    <w:rsid w:val="00FA353F"/>
    <w:rsid w:val="00FA3B6C"/>
    <w:rsid w:val="00FA3E6E"/>
    <w:rsid w:val="00FA616C"/>
    <w:rsid w:val="00FA6426"/>
    <w:rsid w:val="00FA7EB3"/>
    <w:rsid w:val="00FB0C04"/>
    <w:rsid w:val="00FB12ED"/>
    <w:rsid w:val="00FB1687"/>
    <w:rsid w:val="00FB1869"/>
    <w:rsid w:val="00FB217F"/>
    <w:rsid w:val="00FB22A9"/>
    <w:rsid w:val="00FB22FF"/>
    <w:rsid w:val="00FB2480"/>
    <w:rsid w:val="00FB24AF"/>
    <w:rsid w:val="00FB27E0"/>
    <w:rsid w:val="00FB2AF8"/>
    <w:rsid w:val="00FB2D6B"/>
    <w:rsid w:val="00FB339D"/>
    <w:rsid w:val="00FB34CD"/>
    <w:rsid w:val="00FB3AF4"/>
    <w:rsid w:val="00FB407A"/>
    <w:rsid w:val="00FB58B4"/>
    <w:rsid w:val="00FB58D8"/>
    <w:rsid w:val="00FB5A7C"/>
    <w:rsid w:val="00FB5D7F"/>
    <w:rsid w:val="00FB7139"/>
    <w:rsid w:val="00FB77F3"/>
    <w:rsid w:val="00FB7B10"/>
    <w:rsid w:val="00FC024A"/>
    <w:rsid w:val="00FC02AD"/>
    <w:rsid w:val="00FC0CD0"/>
    <w:rsid w:val="00FC10A2"/>
    <w:rsid w:val="00FC1375"/>
    <w:rsid w:val="00FC166A"/>
    <w:rsid w:val="00FC2A19"/>
    <w:rsid w:val="00FC2E82"/>
    <w:rsid w:val="00FC344F"/>
    <w:rsid w:val="00FC3C38"/>
    <w:rsid w:val="00FC3DE6"/>
    <w:rsid w:val="00FC5685"/>
    <w:rsid w:val="00FC586E"/>
    <w:rsid w:val="00FC5988"/>
    <w:rsid w:val="00FC625F"/>
    <w:rsid w:val="00FC6267"/>
    <w:rsid w:val="00FC6F80"/>
    <w:rsid w:val="00FC78F4"/>
    <w:rsid w:val="00FC7B33"/>
    <w:rsid w:val="00FC7B7E"/>
    <w:rsid w:val="00FC7D50"/>
    <w:rsid w:val="00FD02D0"/>
    <w:rsid w:val="00FD1CB8"/>
    <w:rsid w:val="00FD208F"/>
    <w:rsid w:val="00FD238F"/>
    <w:rsid w:val="00FD2794"/>
    <w:rsid w:val="00FD34C8"/>
    <w:rsid w:val="00FD4446"/>
    <w:rsid w:val="00FD4DAC"/>
    <w:rsid w:val="00FD50F8"/>
    <w:rsid w:val="00FD5461"/>
    <w:rsid w:val="00FD5F2B"/>
    <w:rsid w:val="00FD631C"/>
    <w:rsid w:val="00FD6B11"/>
    <w:rsid w:val="00FD6C61"/>
    <w:rsid w:val="00FD70E1"/>
    <w:rsid w:val="00FD7491"/>
    <w:rsid w:val="00FD74B6"/>
    <w:rsid w:val="00FD7D28"/>
    <w:rsid w:val="00FD7E46"/>
    <w:rsid w:val="00FE09A4"/>
    <w:rsid w:val="00FE0ADE"/>
    <w:rsid w:val="00FE0F30"/>
    <w:rsid w:val="00FE1343"/>
    <w:rsid w:val="00FE2373"/>
    <w:rsid w:val="00FE255C"/>
    <w:rsid w:val="00FE35B7"/>
    <w:rsid w:val="00FE459A"/>
    <w:rsid w:val="00FE506E"/>
    <w:rsid w:val="00FE5389"/>
    <w:rsid w:val="00FE5574"/>
    <w:rsid w:val="00FE5E40"/>
    <w:rsid w:val="00FE5EFC"/>
    <w:rsid w:val="00FE6AEA"/>
    <w:rsid w:val="00FE6F70"/>
    <w:rsid w:val="00FE71E6"/>
    <w:rsid w:val="00FE7EC2"/>
    <w:rsid w:val="00FF06F3"/>
    <w:rsid w:val="00FF0B5C"/>
    <w:rsid w:val="00FF128E"/>
    <w:rsid w:val="00FF2DD0"/>
    <w:rsid w:val="00FF2EAE"/>
    <w:rsid w:val="00FF3271"/>
    <w:rsid w:val="00FF3924"/>
    <w:rsid w:val="00FF3CFD"/>
    <w:rsid w:val="00FF4A68"/>
    <w:rsid w:val="00FF51B7"/>
    <w:rsid w:val="00FF51CE"/>
    <w:rsid w:val="00FF6593"/>
    <w:rsid w:val="00FF7DC2"/>
    <w:rsid w:val="010D5938"/>
    <w:rsid w:val="010F371A"/>
    <w:rsid w:val="012763C6"/>
    <w:rsid w:val="012EB170"/>
    <w:rsid w:val="0132D1CB"/>
    <w:rsid w:val="013C555F"/>
    <w:rsid w:val="014E772B"/>
    <w:rsid w:val="0152BF47"/>
    <w:rsid w:val="015A4A88"/>
    <w:rsid w:val="015C5C96"/>
    <w:rsid w:val="01679372"/>
    <w:rsid w:val="01699C11"/>
    <w:rsid w:val="016C80FD"/>
    <w:rsid w:val="0171970C"/>
    <w:rsid w:val="0174A863"/>
    <w:rsid w:val="01925F74"/>
    <w:rsid w:val="01974350"/>
    <w:rsid w:val="019C5D26"/>
    <w:rsid w:val="01CBB8B2"/>
    <w:rsid w:val="01D115CD"/>
    <w:rsid w:val="01D8758E"/>
    <w:rsid w:val="01D90D1F"/>
    <w:rsid w:val="01E355AF"/>
    <w:rsid w:val="01E63D4C"/>
    <w:rsid w:val="01F2C9DE"/>
    <w:rsid w:val="01F4B324"/>
    <w:rsid w:val="01F6CC3E"/>
    <w:rsid w:val="01FF0B51"/>
    <w:rsid w:val="0200B42A"/>
    <w:rsid w:val="0202290F"/>
    <w:rsid w:val="0204E657"/>
    <w:rsid w:val="020C7AF9"/>
    <w:rsid w:val="0212920D"/>
    <w:rsid w:val="02143EA0"/>
    <w:rsid w:val="0215FFA2"/>
    <w:rsid w:val="022151F3"/>
    <w:rsid w:val="0228FB21"/>
    <w:rsid w:val="022B5CF8"/>
    <w:rsid w:val="023A9007"/>
    <w:rsid w:val="023F223C"/>
    <w:rsid w:val="025E0AC3"/>
    <w:rsid w:val="02667463"/>
    <w:rsid w:val="026BC5AF"/>
    <w:rsid w:val="027E030C"/>
    <w:rsid w:val="0281A0D9"/>
    <w:rsid w:val="028806EB"/>
    <w:rsid w:val="0288B8DF"/>
    <w:rsid w:val="02A42B8C"/>
    <w:rsid w:val="02A6F46A"/>
    <w:rsid w:val="02ADF2A9"/>
    <w:rsid w:val="02AE82BA"/>
    <w:rsid w:val="02B60863"/>
    <w:rsid w:val="02D162DE"/>
    <w:rsid w:val="02D1BDDB"/>
    <w:rsid w:val="02D68BC2"/>
    <w:rsid w:val="02E644C4"/>
    <w:rsid w:val="02E94F98"/>
    <w:rsid w:val="02EB2EE6"/>
    <w:rsid w:val="02ED10F6"/>
    <w:rsid w:val="02FED11E"/>
    <w:rsid w:val="0309AD5E"/>
    <w:rsid w:val="0309B7EF"/>
    <w:rsid w:val="031531F7"/>
    <w:rsid w:val="031A21D5"/>
    <w:rsid w:val="031D467D"/>
    <w:rsid w:val="03219EDB"/>
    <w:rsid w:val="033FE8B2"/>
    <w:rsid w:val="035E6B64"/>
    <w:rsid w:val="03641553"/>
    <w:rsid w:val="0367FF6A"/>
    <w:rsid w:val="036D20E1"/>
    <w:rsid w:val="036D4C21"/>
    <w:rsid w:val="037034B0"/>
    <w:rsid w:val="0374DD80"/>
    <w:rsid w:val="03765CC4"/>
    <w:rsid w:val="037712AD"/>
    <w:rsid w:val="037CC948"/>
    <w:rsid w:val="038580C6"/>
    <w:rsid w:val="038AAC14"/>
    <w:rsid w:val="0396A7B9"/>
    <w:rsid w:val="03B1633E"/>
    <w:rsid w:val="03CFE480"/>
    <w:rsid w:val="03D28F8A"/>
    <w:rsid w:val="03E26AE7"/>
    <w:rsid w:val="03E377F2"/>
    <w:rsid w:val="03E46196"/>
    <w:rsid w:val="03E84775"/>
    <w:rsid w:val="03EADD2C"/>
    <w:rsid w:val="03F08623"/>
    <w:rsid w:val="0407A3D8"/>
    <w:rsid w:val="04094626"/>
    <w:rsid w:val="041D713A"/>
    <w:rsid w:val="042440E3"/>
    <w:rsid w:val="043A6D6D"/>
    <w:rsid w:val="04408F20"/>
    <w:rsid w:val="04551B8B"/>
    <w:rsid w:val="0459E252"/>
    <w:rsid w:val="04642A0B"/>
    <w:rsid w:val="04679B6B"/>
    <w:rsid w:val="04710141"/>
    <w:rsid w:val="0472F78E"/>
    <w:rsid w:val="0473BDD8"/>
    <w:rsid w:val="047A531C"/>
    <w:rsid w:val="048BC53D"/>
    <w:rsid w:val="048DD525"/>
    <w:rsid w:val="0497582B"/>
    <w:rsid w:val="04B39F36"/>
    <w:rsid w:val="04C817E9"/>
    <w:rsid w:val="04CF5C7C"/>
    <w:rsid w:val="04D3FDE8"/>
    <w:rsid w:val="04D7765D"/>
    <w:rsid w:val="04E1961D"/>
    <w:rsid w:val="04E331AE"/>
    <w:rsid w:val="04E65779"/>
    <w:rsid w:val="05001C74"/>
    <w:rsid w:val="0507253D"/>
    <w:rsid w:val="05096443"/>
    <w:rsid w:val="050A6452"/>
    <w:rsid w:val="05108574"/>
    <w:rsid w:val="0516C1CC"/>
    <w:rsid w:val="05176C4C"/>
    <w:rsid w:val="051E912D"/>
    <w:rsid w:val="05215127"/>
    <w:rsid w:val="052B0AD9"/>
    <w:rsid w:val="052B16F0"/>
    <w:rsid w:val="052FCC04"/>
    <w:rsid w:val="0534837C"/>
    <w:rsid w:val="0536E2BB"/>
    <w:rsid w:val="0540444B"/>
    <w:rsid w:val="054410C7"/>
    <w:rsid w:val="0548AFD9"/>
    <w:rsid w:val="05499615"/>
    <w:rsid w:val="05509558"/>
    <w:rsid w:val="055D56CC"/>
    <w:rsid w:val="05603C51"/>
    <w:rsid w:val="056576F8"/>
    <w:rsid w:val="0569EF4A"/>
    <w:rsid w:val="056F48DC"/>
    <w:rsid w:val="056FB8D5"/>
    <w:rsid w:val="0573E010"/>
    <w:rsid w:val="05812920"/>
    <w:rsid w:val="0590DC04"/>
    <w:rsid w:val="0591B449"/>
    <w:rsid w:val="059A0693"/>
    <w:rsid w:val="059B8B10"/>
    <w:rsid w:val="05A52298"/>
    <w:rsid w:val="05C63D48"/>
    <w:rsid w:val="05D4C5FB"/>
    <w:rsid w:val="05E6F107"/>
    <w:rsid w:val="05ED106D"/>
    <w:rsid w:val="05EE4237"/>
    <w:rsid w:val="05FCC17D"/>
    <w:rsid w:val="0608C41C"/>
    <w:rsid w:val="0618E19E"/>
    <w:rsid w:val="061E1441"/>
    <w:rsid w:val="06224CFF"/>
    <w:rsid w:val="0624F3BA"/>
    <w:rsid w:val="062BDE39"/>
    <w:rsid w:val="0637A4FE"/>
    <w:rsid w:val="06396CD3"/>
    <w:rsid w:val="06421169"/>
    <w:rsid w:val="06445CBD"/>
    <w:rsid w:val="0646D04A"/>
    <w:rsid w:val="06512E27"/>
    <w:rsid w:val="065231E5"/>
    <w:rsid w:val="0659B374"/>
    <w:rsid w:val="0662EFC9"/>
    <w:rsid w:val="0666CBAC"/>
    <w:rsid w:val="0669BD3A"/>
    <w:rsid w:val="0669ECDE"/>
    <w:rsid w:val="066AB74D"/>
    <w:rsid w:val="066CC090"/>
    <w:rsid w:val="06842491"/>
    <w:rsid w:val="068AD234"/>
    <w:rsid w:val="06A137B8"/>
    <w:rsid w:val="06A534A4"/>
    <w:rsid w:val="06A60707"/>
    <w:rsid w:val="06B4E44D"/>
    <w:rsid w:val="06B8E114"/>
    <w:rsid w:val="06D649E5"/>
    <w:rsid w:val="06EF51EC"/>
    <w:rsid w:val="07043BCA"/>
    <w:rsid w:val="0705A7EE"/>
    <w:rsid w:val="070F9DB0"/>
    <w:rsid w:val="071291E3"/>
    <w:rsid w:val="07214C82"/>
    <w:rsid w:val="0721DF3E"/>
    <w:rsid w:val="07254838"/>
    <w:rsid w:val="072D3C22"/>
    <w:rsid w:val="072F864C"/>
    <w:rsid w:val="07317BE6"/>
    <w:rsid w:val="073ADA38"/>
    <w:rsid w:val="073ADF23"/>
    <w:rsid w:val="073E87CF"/>
    <w:rsid w:val="07414382"/>
    <w:rsid w:val="075D741A"/>
    <w:rsid w:val="077F6687"/>
    <w:rsid w:val="0783C4FB"/>
    <w:rsid w:val="078610F7"/>
    <w:rsid w:val="07862794"/>
    <w:rsid w:val="078CFF01"/>
    <w:rsid w:val="078F50F7"/>
    <w:rsid w:val="0790627E"/>
    <w:rsid w:val="079B6F63"/>
    <w:rsid w:val="07A90479"/>
    <w:rsid w:val="07B8FC50"/>
    <w:rsid w:val="07B9F3AD"/>
    <w:rsid w:val="07BCF7A9"/>
    <w:rsid w:val="07CC2A5D"/>
    <w:rsid w:val="07CD3CDC"/>
    <w:rsid w:val="07D6004D"/>
    <w:rsid w:val="07D9FA57"/>
    <w:rsid w:val="07E6B8D9"/>
    <w:rsid w:val="07EC52F6"/>
    <w:rsid w:val="07EEF45D"/>
    <w:rsid w:val="07F1DDB6"/>
    <w:rsid w:val="07F2764D"/>
    <w:rsid w:val="07F56F3C"/>
    <w:rsid w:val="07F71BD9"/>
    <w:rsid w:val="0806627F"/>
    <w:rsid w:val="08161E3D"/>
    <w:rsid w:val="081E1EA5"/>
    <w:rsid w:val="083ABC8A"/>
    <w:rsid w:val="083E7F9B"/>
    <w:rsid w:val="08432EB6"/>
    <w:rsid w:val="085DAF09"/>
    <w:rsid w:val="086292FD"/>
    <w:rsid w:val="08770093"/>
    <w:rsid w:val="08804A92"/>
    <w:rsid w:val="088FF0F3"/>
    <w:rsid w:val="08927E06"/>
    <w:rsid w:val="08A52240"/>
    <w:rsid w:val="08A80284"/>
    <w:rsid w:val="08A979B0"/>
    <w:rsid w:val="08D307A8"/>
    <w:rsid w:val="08D4C0A4"/>
    <w:rsid w:val="08D91AF6"/>
    <w:rsid w:val="08D98076"/>
    <w:rsid w:val="08FD5A8A"/>
    <w:rsid w:val="08FE5D82"/>
    <w:rsid w:val="090FF366"/>
    <w:rsid w:val="091B937D"/>
    <w:rsid w:val="0942075C"/>
    <w:rsid w:val="0944D4DA"/>
    <w:rsid w:val="0947DA3D"/>
    <w:rsid w:val="09490A10"/>
    <w:rsid w:val="094A3A2F"/>
    <w:rsid w:val="09502EBC"/>
    <w:rsid w:val="0950A031"/>
    <w:rsid w:val="0952D53A"/>
    <w:rsid w:val="095313EC"/>
    <w:rsid w:val="095FD116"/>
    <w:rsid w:val="096696DD"/>
    <w:rsid w:val="0966C5EE"/>
    <w:rsid w:val="096C1E2A"/>
    <w:rsid w:val="09732738"/>
    <w:rsid w:val="0974953D"/>
    <w:rsid w:val="097A0D0C"/>
    <w:rsid w:val="097B840C"/>
    <w:rsid w:val="098A08FB"/>
    <w:rsid w:val="09938596"/>
    <w:rsid w:val="09B14CD3"/>
    <w:rsid w:val="09BACE1A"/>
    <w:rsid w:val="09BC10EA"/>
    <w:rsid w:val="09CDB332"/>
    <w:rsid w:val="09D657CB"/>
    <w:rsid w:val="09DBB0A0"/>
    <w:rsid w:val="09DCD566"/>
    <w:rsid w:val="09E0253E"/>
    <w:rsid w:val="09F1CBEF"/>
    <w:rsid w:val="09F4C24A"/>
    <w:rsid w:val="0A1F9B27"/>
    <w:rsid w:val="0A2F3F3B"/>
    <w:rsid w:val="0A308702"/>
    <w:rsid w:val="0A321B76"/>
    <w:rsid w:val="0A3527A3"/>
    <w:rsid w:val="0A41C017"/>
    <w:rsid w:val="0A424F82"/>
    <w:rsid w:val="0A44AE64"/>
    <w:rsid w:val="0A57BBE5"/>
    <w:rsid w:val="0A58E4CA"/>
    <w:rsid w:val="0A5CE8FA"/>
    <w:rsid w:val="0A5E216B"/>
    <w:rsid w:val="0A651B17"/>
    <w:rsid w:val="0A6750BE"/>
    <w:rsid w:val="0A70032F"/>
    <w:rsid w:val="0A71E2D0"/>
    <w:rsid w:val="0A72AAD8"/>
    <w:rsid w:val="0A7D9AF7"/>
    <w:rsid w:val="0A80FBE3"/>
    <w:rsid w:val="0A85674B"/>
    <w:rsid w:val="0A85870E"/>
    <w:rsid w:val="0A8CB70B"/>
    <w:rsid w:val="0A8DD391"/>
    <w:rsid w:val="0A937449"/>
    <w:rsid w:val="0AA33319"/>
    <w:rsid w:val="0AA48A24"/>
    <w:rsid w:val="0AA63AA7"/>
    <w:rsid w:val="0AA7A52B"/>
    <w:rsid w:val="0AAF60EF"/>
    <w:rsid w:val="0ABE9C72"/>
    <w:rsid w:val="0AC997ED"/>
    <w:rsid w:val="0ACD9794"/>
    <w:rsid w:val="0AD7500D"/>
    <w:rsid w:val="0ADA8407"/>
    <w:rsid w:val="0AF7472E"/>
    <w:rsid w:val="0B01DCDF"/>
    <w:rsid w:val="0B032C8C"/>
    <w:rsid w:val="0B048BC9"/>
    <w:rsid w:val="0B0CBDF4"/>
    <w:rsid w:val="0B11677F"/>
    <w:rsid w:val="0B243284"/>
    <w:rsid w:val="0B2C680A"/>
    <w:rsid w:val="0B373BA1"/>
    <w:rsid w:val="0B39A77E"/>
    <w:rsid w:val="0B3BC6D4"/>
    <w:rsid w:val="0B448EC3"/>
    <w:rsid w:val="0B64003A"/>
    <w:rsid w:val="0B663E6F"/>
    <w:rsid w:val="0B710F98"/>
    <w:rsid w:val="0B71E3B0"/>
    <w:rsid w:val="0B7B4BA8"/>
    <w:rsid w:val="0B80934D"/>
    <w:rsid w:val="0B85DC9E"/>
    <w:rsid w:val="0B8B9BD1"/>
    <w:rsid w:val="0B8D37E5"/>
    <w:rsid w:val="0B94B863"/>
    <w:rsid w:val="0BA2BBC9"/>
    <w:rsid w:val="0BA56DEA"/>
    <w:rsid w:val="0BB057DD"/>
    <w:rsid w:val="0BC6A301"/>
    <w:rsid w:val="0BC816E9"/>
    <w:rsid w:val="0BC9AD2A"/>
    <w:rsid w:val="0BCB0C77"/>
    <w:rsid w:val="0BCB21EC"/>
    <w:rsid w:val="0BD9CEDE"/>
    <w:rsid w:val="0BDAC162"/>
    <w:rsid w:val="0BDECAA4"/>
    <w:rsid w:val="0BE06DD8"/>
    <w:rsid w:val="0BE1F339"/>
    <w:rsid w:val="0C031EDD"/>
    <w:rsid w:val="0C0A9A75"/>
    <w:rsid w:val="0C0B1579"/>
    <w:rsid w:val="0C0F2150"/>
    <w:rsid w:val="0C0F5AC2"/>
    <w:rsid w:val="0C11BADA"/>
    <w:rsid w:val="0C124366"/>
    <w:rsid w:val="0C15EC7C"/>
    <w:rsid w:val="0C16B292"/>
    <w:rsid w:val="0C1A1125"/>
    <w:rsid w:val="0C1E063D"/>
    <w:rsid w:val="0C2B735F"/>
    <w:rsid w:val="0C377578"/>
    <w:rsid w:val="0C439886"/>
    <w:rsid w:val="0C44C97F"/>
    <w:rsid w:val="0C47658F"/>
    <w:rsid w:val="0C4DFD60"/>
    <w:rsid w:val="0C58F162"/>
    <w:rsid w:val="0C604D4C"/>
    <w:rsid w:val="0C6462CA"/>
    <w:rsid w:val="0C6DCA1C"/>
    <w:rsid w:val="0C6F950E"/>
    <w:rsid w:val="0C72D8D8"/>
    <w:rsid w:val="0C7DAEC5"/>
    <w:rsid w:val="0C7FCF80"/>
    <w:rsid w:val="0C8EEC23"/>
    <w:rsid w:val="0C90188C"/>
    <w:rsid w:val="0C92CA69"/>
    <w:rsid w:val="0C9DC566"/>
    <w:rsid w:val="0CA54B55"/>
    <w:rsid w:val="0CA94E21"/>
    <w:rsid w:val="0CAB996D"/>
    <w:rsid w:val="0CB065C8"/>
    <w:rsid w:val="0CBBE01C"/>
    <w:rsid w:val="0CC8D279"/>
    <w:rsid w:val="0CDBE59F"/>
    <w:rsid w:val="0CE6E1CA"/>
    <w:rsid w:val="0CF32635"/>
    <w:rsid w:val="0CF562EA"/>
    <w:rsid w:val="0CF592EE"/>
    <w:rsid w:val="0CFEB7BE"/>
    <w:rsid w:val="0D080E36"/>
    <w:rsid w:val="0D084FBF"/>
    <w:rsid w:val="0D0ADCD3"/>
    <w:rsid w:val="0D0C8391"/>
    <w:rsid w:val="0D0F56BC"/>
    <w:rsid w:val="0D1C950C"/>
    <w:rsid w:val="0D220EB3"/>
    <w:rsid w:val="0D2435A3"/>
    <w:rsid w:val="0D295D5E"/>
    <w:rsid w:val="0D2F091C"/>
    <w:rsid w:val="0D2F6F85"/>
    <w:rsid w:val="0D5505E3"/>
    <w:rsid w:val="0D58DB1D"/>
    <w:rsid w:val="0D5CFA31"/>
    <w:rsid w:val="0D5E2FBC"/>
    <w:rsid w:val="0D6B97F9"/>
    <w:rsid w:val="0D7531FD"/>
    <w:rsid w:val="0D7712D0"/>
    <w:rsid w:val="0D777F01"/>
    <w:rsid w:val="0D7BDCA6"/>
    <w:rsid w:val="0D7DC308"/>
    <w:rsid w:val="0D860809"/>
    <w:rsid w:val="0D8F0E18"/>
    <w:rsid w:val="0D984DA5"/>
    <w:rsid w:val="0D99A6B2"/>
    <w:rsid w:val="0D9E04E1"/>
    <w:rsid w:val="0DA116A9"/>
    <w:rsid w:val="0DB0E980"/>
    <w:rsid w:val="0DBF7472"/>
    <w:rsid w:val="0DCF3497"/>
    <w:rsid w:val="0DD04CD3"/>
    <w:rsid w:val="0DD8BCF6"/>
    <w:rsid w:val="0DF48C26"/>
    <w:rsid w:val="0E08391B"/>
    <w:rsid w:val="0E1EBA91"/>
    <w:rsid w:val="0E230260"/>
    <w:rsid w:val="0E4541D1"/>
    <w:rsid w:val="0E49C462"/>
    <w:rsid w:val="0E523429"/>
    <w:rsid w:val="0E573FC0"/>
    <w:rsid w:val="0E5A9A0F"/>
    <w:rsid w:val="0E5E7C9C"/>
    <w:rsid w:val="0E6554CF"/>
    <w:rsid w:val="0E68EF73"/>
    <w:rsid w:val="0E819F87"/>
    <w:rsid w:val="0E9057EB"/>
    <w:rsid w:val="0E950DDC"/>
    <w:rsid w:val="0EA98472"/>
    <w:rsid w:val="0EA9FA62"/>
    <w:rsid w:val="0EAE0783"/>
    <w:rsid w:val="0EAEC3D4"/>
    <w:rsid w:val="0EB5F509"/>
    <w:rsid w:val="0EB6535F"/>
    <w:rsid w:val="0EBF9F4D"/>
    <w:rsid w:val="0EC08E5B"/>
    <w:rsid w:val="0EC2AD98"/>
    <w:rsid w:val="0ECBCAEE"/>
    <w:rsid w:val="0ECCCED6"/>
    <w:rsid w:val="0ECDA833"/>
    <w:rsid w:val="0ED2A671"/>
    <w:rsid w:val="0ED6501E"/>
    <w:rsid w:val="0EDBAFA9"/>
    <w:rsid w:val="0EE3A40F"/>
    <w:rsid w:val="0EF2FD7F"/>
    <w:rsid w:val="0EF7D764"/>
    <w:rsid w:val="0EFE51E7"/>
    <w:rsid w:val="0F014DEC"/>
    <w:rsid w:val="0F0898C6"/>
    <w:rsid w:val="0F2B9515"/>
    <w:rsid w:val="0F35859C"/>
    <w:rsid w:val="0F36D6A9"/>
    <w:rsid w:val="0F3D399D"/>
    <w:rsid w:val="0F4CB780"/>
    <w:rsid w:val="0F5803DE"/>
    <w:rsid w:val="0F5F588C"/>
    <w:rsid w:val="0F692408"/>
    <w:rsid w:val="0F702666"/>
    <w:rsid w:val="0F702E2C"/>
    <w:rsid w:val="0F727304"/>
    <w:rsid w:val="0F752B7F"/>
    <w:rsid w:val="0F79D50A"/>
    <w:rsid w:val="0F8D2786"/>
    <w:rsid w:val="0F92D547"/>
    <w:rsid w:val="0F93C41C"/>
    <w:rsid w:val="0FAE7681"/>
    <w:rsid w:val="0FBE9078"/>
    <w:rsid w:val="0FC92415"/>
    <w:rsid w:val="0FCE758D"/>
    <w:rsid w:val="0FD61C12"/>
    <w:rsid w:val="0FE7234D"/>
    <w:rsid w:val="0FEA9B1F"/>
    <w:rsid w:val="0FEFDBE7"/>
    <w:rsid w:val="0FFCE4A8"/>
    <w:rsid w:val="100E8493"/>
    <w:rsid w:val="10108055"/>
    <w:rsid w:val="1018F6EF"/>
    <w:rsid w:val="101B9735"/>
    <w:rsid w:val="102273F9"/>
    <w:rsid w:val="1026EC88"/>
    <w:rsid w:val="102EF1A1"/>
    <w:rsid w:val="1034F131"/>
    <w:rsid w:val="1039B7AC"/>
    <w:rsid w:val="104028BD"/>
    <w:rsid w:val="104554D3"/>
    <w:rsid w:val="104DD24D"/>
    <w:rsid w:val="104E065E"/>
    <w:rsid w:val="1059E5E1"/>
    <w:rsid w:val="105A788E"/>
    <w:rsid w:val="105C1F26"/>
    <w:rsid w:val="10756DB2"/>
    <w:rsid w:val="108E056C"/>
    <w:rsid w:val="1090F3D9"/>
    <w:rsid w:val="1096510D"/>
    <w:rsid w:val="109A9D62"/>
    <w:rsid w:val="109DB160"/>
    <w:rsid w:val="10B23DEB"/>
    <w:rsid w:val="10CC2A7E"/>
    <w:rsid w:val="10CFB3F7"/>
    <w:rsid w:val="10D4D525"/>
    <w:rsid w:val="10EA5C3C"/>
    <w:rsid w:val="10F7BC30"/>
    <w:rsid w:val="10F8F454"/>
    <w:rsid w:val="10F94FCC"/>
    <w:rsid w:val="10FCFC53"/>
    <w:rsid w:val="1102FD7E"/>
    <w:rsid w:val="1103D8F9"/>
    <w:rsid w:val="11057A16"/>
    <w:rsid w:val="111E55F6"/>
    <w:rsid w:val="111F927C"/>
    <w:rsid w:val="1139A731"/>
    <w:rsid w:val="1140DD95"/>
    <w:rsid w:val="11511AB1"/>
    <w:rsid w:val="1159E308"/>
    <w:rsid w:val="115A5570"/>
    <w:rsid w:val="11639407"/>
    <w:rsid w:val="116B4199"/>
    <w:rsid w:val="1178BC78"/>
    <w:rsid w:val="117EBFFD"/>
    <w:rsid w:val="11813710"/>
    <w:rsid w:val="11814A79"/>
    <w:rsid w:val="118162D6"/>
    <w:rsid w:val="11938004"/>
    <w:rsid w:val="119B5DA4"/>
    <w:rsid w:val="11A3851A"/>
    <w:rsid w:val="11B00EB1"/>
    <w:rsid w:val="11B366DF"/>
    <w:rsid w:val="11B51518"/>
    <w:rsid w:val="11B76796"/>
    <w:rsid w:val="11CA87D3"/>
    <w:rsid w:val="11CB5859"/>
    <w:rsid w:val="11D36327"/>
    <w:rsid w:val="11D81F85"/>
    <w:rsid w:val="11E3B107"/>
    <w:rsid w:val="11F092A2"/>
    <w:rsid w:val="11F3C5BC"/>
    <w:rsid w:val="11F5BC5C"/>
    <w:rsid w:val="11F9B5FB"/>
    <w:rsid w:val="1202A7B0"/>
    <w:rsid w:val="1219031B"/>
    <w:rsid w:val="122267BD"/>
    <w:rsid w:val="12250028"/>
    <w:rsid w:val="122B21B1"/>
    <w:rsid w:val="122EAD90"/>
    <w:rsid w:val="12312005"/>
    <w:rsid w:val="1233FF9F"/>
    <w:rsid w:val="12378FAA"/>
    <w:rsid w:val="123FEC4F"/>
    <w:rsid w:val="12537293"/>
    <w:rsid w:val="1264BF4D"/>
    <w:rsid w:val="12742E8D"/>
    <w:rsid w:val="1279FE18"/>
    <w:rsid w:val="127AEB67"/>
    <w:rsid w:val="127C7DF1"/>
    <w:rsid w:val="128449F5"/>
    <w:rsid w:val="12852E00"/>
    <w:rsid w:val="128AFEB4"/>
    <w:rsid w:val="1297438B"/>
    <w:rsid w:val="12A6FD36"/>
    <w:rsid w:val="12B24D2E"/>
    <w:rsid w:val="12B92E68"/>
    <w:rsid w:val="12B98BB2"/>
    <w:rsid w:val="12BC26BE"/>
    <w:rsid w:val="12C1D17E"/>
    <w:rsid w:val="12CD4584"/>
    <w:rsid w:val="12D14AE3"/>
    <w:rsid w:val="12E621FD"/>
    <w:rsid w:val="12E6650C"/>
    <w:rsid w:val="12F4B0B2"/>
    <w:rsid w:val="12FD15E9"/>
    <w:rsid w:val="12FF5A10"/>
    <w:rsid w:val="130975FB"/>
    <w:rsid w:val="13137B62"/>
    <w:rsid w:val="131BE4B4"/>
    <w:rsid w:val="13250E89"/>
    <w:rsid w:val="134A65F5"/>
    <w:rsid w:val="134CB0EA"/>
    <w:rsid w:val="13526F00"/>
    <w:rsid w:val="13575D35"/>
    <w:rsid w:val="1357BAE2"/>
    <w:rsid w:val="136295EB"/>
    <w:rsid w:val="136F39A3"/>
    <w:rsid w:val="1377E913"/>
    <w:rsid w:val="13814CFF"/>
    <w:rsid w:val="13961923"/>
    <w:rsid w:val="13976D09"/>
    <w:rsid w:val="139CB2A5"/>
    <w:rsid w:val="139E0AE8"/>
    <w:rsid w:val="139E0DE3"/>
    <w:rsid w:val="13A0F453"/>
    <w:rsid w:val="13A23E72"/>
    <w:rsid w:val="13A39216"/>
    <w:rsid w:val="13B7516C"/>
    <w:rsid w:val="13BF2794"/>
    <w:rsid w:val="13C338EA"/>
    <w:rsid w:val="13D6C843"/>
    <w:rsid w:val="13D769DD"/>
    <w:rsid w:val="13F3D37B"/>
    <w:rsid w:val="13F9C21A"/>
    <w:rsid w:val="13FAF415"/>
    <w:rsid w:val="140665DD"/>
    <w:rsid w:val="14066AA0"/>
    <w:rsid w:val="14088A75"/>
    <w:rsid w:val="140FFEEE"/>
    <w:rsid w:val="1414D464"/>
    <w:rsid w:val="1416EB86"/>
    <w:rsid w:val="141EC8BA"/>
    <w:rsid w:val="144E996B"/>
    <w:rsid w:val="14508E00"/>
    <w:rsid w:val="145F2171"/>
    <w:rsid w:val="1462D789"/>
    <w:rsid w:val="14671A37"/>
    <w:rsid w:val="1467EEA0"/>
    <w:rsid w:val="1467F505"/>
    <w:rsid w:val="146FEBFC"/>
    <w:rsid w:val="1477CA16"/>
    <w:rsid w:val="147F2AFA"/>
    <w:rsid w:val="1482B460"/>
    <w:rsid w:val="149424A3"/>
    <w:rsid w:val="14C777AE"/>
    <w:rsid w:val="14CD2A0D"/>
    <w:rsid w:val="14DEB9C2"/>
    <w:rsid w:val="14E013A9"/>
    <w:rsid w:val="14F0833E"/>
    <w:rsid w:val="14F28251"/>
    <w:rsid w:val="1504E5FB"/>
    <w:rsid w:val="15090A39"/>
    <w:rsid w:val="150E2F9A"/>
    <w:rsid w:val="151A68A1"/>
    <w:rsid w:val="15220447"/>
    <w:rsid w:val="152675A5"/>
    <w:rsid w:val="1526B264"/>
    <w:rsid w:val="1527DC69"/>
    <w:rsid w:val="152DE878"/>
    <w:rsid w:val="153774F1"/>
    <w:rsid w:val="1537B3F6"/>
    <w:rsid w:val="153F0D4E"/>
    <w:rsid w:val="15533093"/>
    <w:rsid w:val="155D8181"/>
    <w:rsid w:val="15882469"/>
    <w:rsid w:val="158C2A9D"/>
    <w:rsid w:val="15942572"/>
    <w:rsid w:val="15A09192"/>
    <w:rsid w:val="15AB4C4B"/>
    <w:rsid w:val="15AC10D5"/>
    <w:rsid w:val="15C20010"/>
    <w:rsid w:val="15CAA4E0"/>
    <w:rsid w:val="15D90ED6"/>
    <w:rsid w:val="15E24F8F"/>
    <w:rsid w:val="15EFC6E8"/>
    <w:rsid w:val="15F39627"/>
    <w:rsid w:val="160C6134"/>
    <w:rsid w:val="160E2F36"/>
    <w:rsid w:val="162D3724"/>
    <w:rsid w:val="163F598A"/>
    <w:rsid w:val="16400F58"/>
    <w:rsid w:val="164BC1DA"/>
    <w:rsid w:val="164C2D9B"/>
    <w:rsid w:val="1651E8D6"/>
    <w:rsid w:val="1653E9F9"/>
    <w:rsid w:val="1658853C"/>
    <w:rsid w:val="166C7A27"/>
    <w:rsid w:val="167987B7"/>
    <w:rsid w:val="1684C50B"/>
    <w:rsid w:val="16899B81"/>
    <w:rsid w:val="168EEC90"/>
    <w:rsid w:val="1695EB49"/>
    <w:rsid w:val="169F7F84"/>
    <w:rsid w:val="16A635B1"/>
    <w:rsid w:val="16A9E496"/>
    <w:rsid w:val="16AB7D2F"/>
    <w:rsid w:val="16AF7B3D"/>
    <w:rsid w:val="16B65EFA"/>
    <w:rsid w:val="16BE2491"/>
    <w:rsid w:val="16C106EE"/>
    <w:rsid w:val="16C54D99"/>
    <w:rsid w:val="16C9934A"/>
    <w:rsid w:val="16C99B1C"/>
    <w:rsid w:val="16CA8187"/>
    <w:rsid w:val="16D57B12"/>
    <w:rsid w:val="16D6F847"/>
    <w:rsid w:val="16DA454F"/>
    <w:rsid w:val="16DB32D8"/>
    <w:rsid w:val="16DDC7FD"/>
    <w:rsid w:val="16E3B0DE"/>
    <w:rsid w:val="16EC89D6"/>
    <w:rsid w:val="16FDF278"/>
    <w:rsid w:val="17085712"/>
    <w:rsid w:val="17131094"/>
    <w:rsid w:val="1717B1EE"/>
    <w:rsid w:val="171B9CC1"/>
    <w:rsid w:val="171C25D6"/>
    <w:rsid w:val="171E5C88"/>
    <w:rsid w:val="17269133"/>
    <w:rsid w:val="1728419C"/>
    <w:rsid w:val="17292F46"/>
    <w:rsid w:val="172C79A2"/>
    <w:rsid w:val="17301558"/>
    <w:rsid w:val="17307665"/>
    <w:rsid w:val="1731AAFB"/>
    <w:rsid w:val="173414C3"/>
    <w:rsid w:val="17479FB0"/>
    <w:rsid w:val="1750A425"/>
    <w:rsid w:val="1758EB75"/>
    <w:rsid w:val="175CE0FA"/>
    <w:rsid w:val="175EFA6F"/>
    <w:rsid w:val="177A9721"/>
    <w:rsid w:val="177C6FBB"/>
    <w:rsid w:val="178EA843"/>
    <w:rsid w:val="179BE65B"/>
    <w:rsid w:val="17A732C7"/>
    <w:rsid w:val="17A775FE"/>
    <w:rsid w:val="17AC7E0F"/>
    <w:rsid w:val="17BC5AC5"/>
    <w:rsid w:val="17C05D54"/>
    <w:rsid w:val="17C74F5F"/>
    <w:rsid w:val="17D2CEB0"/>
    <w:rsid w:val="17D6AF06"/>
    <w:rsid w:val="17D7C996"/>
    <w:rsid w:val="17D81E24"/>
    <w:rsid w:val="17D86E23"/>
    <w:rsid w:val="17DD5A5C"/>
    <w:rsid w:val="17E3821F"/>
    <w:rsid w:val="17E3ED70"/>
    <w:rsid w:val="17EF7187"/>
    <w:rsid w:val="17F538E5"/>
    <w:rsid w:val="17F5D8F8"/>
    <w:rsid w:val="1803F3E7"/>
    <w:rsid w:val="180B22F7"/>
    <w:rsid w:val="180E1ACE"/>
    <w:rsid w:val="181CF7E9"/>
    <w:rsid w:val="182B333F"/>
    <w:rsid w:val="182F689D"/>
    <w:rsid w:val="18331DF5"/>
    <w:rsid w:val="1837D5AD"/>
    <w:rsid w:val="18439BAB"/>
    <w:rsid w:val="18466406"/>
    <w:rsid w:val="185C5046"/>
    <w:rsid w:val="1862A94C"/>
    <w:rsid w:val="186B18B3"/>
    <w:rsid w:val="186C2387"/>
    <w:rsid w:val="1870A735"/>
    <w:rsid w:val="1871D7C7"/>
    <w:rsid w:val="1875F36C"/>
    <w:rsid w:val="18812F3C"/>
    <w:rsid w:val="1888A0C3"/>
    <w:rsid w:val="189745E8"/>
    <w:rsid w:val="18991760"/>
    <w:rsid w:val="18A0D56B"/>
    <w:rsid w:val="18ABA23E"/>
    <w:rsid w:val="18AC729F"/>
    <w:rsid w:val="18CE4E79"/>
    <w:rsid w:val="18DF74CB"/>
    <w:rsid w:val="18E96F2B"/>
    <w:rsid w:val="18E983D4"/>
    <w:rsid w:val="18EFA285"/>
    <w:rsid w:val="18F3C307"/>
    <w:rsid w:val="19018F5E"/>
    <w:rsid w:val="190FC3A3"/>
    <w:rsid w:val="19149257"/>
    <w:rsid w:val="191A4857"/>
    <w:rsid w:val="191F5CF7"/>
    <w:rsid w:val="192F6356"/>
    <w:rsid w:val="193A5176"/>
    <w:rsid w:val="194A81AC"/>
    <w:rsid w:val="194E05BC"/>
    <w:rsid w:val="1950F898"/>
    <w:rsid w:val="1951E62C"/>
    <w:rsid w:val="19582B26"/>
    <w:rsid w:val="19611910"/>
    <w:rsid w:val="1968C6C6"/>
    <w:rsid w:val="1969A59A"/>
    <w:rsid w:val="19747FD7"/>
    <w:rsid w:val="19767C7C"/>
    <w:rsid w:val="197824D5"/>
    <w:rsid w:val="197E2089"/>
    <w:rsid w:val="1985B323"/>
    <w:rsid w:val="198FE1FE"/>
    <w:rsid w:val="199D7E28"/>
    <w:rsid w:val="199F75E9"/>
    <w:rsid w:val="199F8B32"/>
    <w:rsid w:val="199FAFB3"/>
    <w:rsid w:val="19A5DCC6"/>
    <w:rsid w:val="19AF28F7"/>
    <w:rsid w:val="19B635C6"/>
    <w:rsid w:val="19BC55C3"/>
    <w:rsid w:val="19CFFC30"/>
    <w:rsid w:val="19D1C2EB"/>
    <w:rsid w:val="19D7DB73"/>
    <w:rsid w:val="19DB7954"/>
    <w:rsid w:val="19F54C8C"/>
    <w:rsid w:val="19F60B8A"/>
    <w:rsid w:val="1A015AD4"/>
    <w:rsid w:val="1A0ABBF8"/>
    <w:rsid w:val="1A10CC0A"/>
    <w:rsid w:val="1A1590A6"/>
    <w:rsid w:val="1A17FA8C"/>
    <w:rsid w:val="1A2BCA04"/>
    <w:rsid w:val="1A2F50DF"/>
    <w:rsid w:val="1A30F2A4"/>
    <w:rsid w:val="1A372711"/>
    <w:rsid w:val="1A372FD4"/>
    <w:rsid w:val="1A51984D"/>
    <w:rsid w:val="1A5FE25E"/>
    <w:rsid w:val="1A83B513"/>
    <w:rsid w:val="1A8CA897"/>
    <w:rsid w:val="1A967BBA"/>
    <w:rsid w:val="1A990FD0"/>
    <w:rsid w:val="1A9D5633"/>
    <w:rsid w:val="1AAD2FEB"/>
    <w:rsid w:val="1AC82FF8"/>
    <w:rsid w:val="1ACC2F98"/>
    <w:rsid w:val="1AD67CBD"/>
    <w:rsid w:val="1ADF51E3"/>
    <w:rsid w:val="1ADFFA0C"/>
    <w:rsid w:val="1AE09A08"/>
    <w:rsid w:val="1AE6BC23"/>
    <w:rsid w:val="1AE70B9A"/>
    <w:rsid w:val="1AEE7190"/>
    <w:rsid w:val="1B061BF6"/>
    <w:rsid w:val="1B0DD890"/>
    <w:rsid w:val="1B13F536"/>
    <w:rsid w:val="1B17209A"/>
    <w:rsid w:val="1B1A8200"/>
    <w:rsid w:val="1B277F05"/>
    <w:rsid w:val="1B3B8014"/>
    <w:rsid w:val="1B42271D"/>
    <w:rsid w:val="1B5014B8"/>
    <w:rsid w:val="1B5063E9"/>
    <w:rsid w:val="1B6C6BD6"/>
    <w:rsid w:val="1B904C95"/>
    <w:rsid w:val="1B94C03C"/>
    <w:rsid w:val="1B9B713A"/>
    <w:rsid w:val="1B9D2B35"/>
    <w:rsid w:val="1B9D9373"/>
    <w:rsid w:val="1BA456C2"/>
    <w:rsid w:val="1BCC113D"/>
    <w:rsid w:val="1BEF686F"/>
    <w:rsid w:val="1BF01932"/>
    <w:rsid w:val="1BF5011F"/>
    <w:rsid w:val="1C00F2FA"/>
    <w:rsid w:val="1C09B4E0"/>
    <w:rsid w:val="1C0AB647"/>
    <w:rsid w:val="1C143BDA"/>
    <w:rsid w:val="1C1EF0A0"/>
    <w:rsid w:val="1C468A2E"/>
    <w:rsid w:val="1C4891B0"/>
    <w:rsid w:val="1C4CADC6"/>
    <w:rsid w:val="1C4F5319"/>
    <w:rsid w:val="1C560EA0"/>
    <w:rsid w:val="1C5811A8"/>
    <w:rsid w:val="1C62279D"/>
    <w:rsid w:val="1C645145"/>
    <w:rsid w:val="1C672521"/>
    <w:rsid w:val="1C85B1FF"/>
    <w:rsid w:val="1C8D9F47"/>
    <w:rsid w:val="1C9A7968"/>
    <w:rsid w:val="1CA237DA"/>
    <w:rsid w:val="1CAFAB3A"/>
    <w:rsid w:val="1CB8058F"/>
    <w:rsid w:val="1CBDF1B7"/>
    <w:rsid w:val="1CC4552B"/>
    <w:rsid w:val="1CC70226"/>
    <w:rsid w:val="1CCF48C0"/>
    <w:rsid w:val="1CD75075"/>
    <w:rsid w:val="1CD98569"/>
    <w:rsid w:val="1CDC0E85"/>
    <w:rsid w:val="1CF0024B"/>
    <w:rsid w:val="1CFF34E7"/>
    <w:rsid w:val="1D166C17"/>
    <w:rsid w:val="1D1BA93D"/>
    <w:rsid w:val="1D1CC44E"/>
    <w:rsid w:val="1D25A05C"/>
    <w:rsid w:val="1D26125A"/>
    <w:rsid w:val="1D281B2B"/>
    <w:rsid w:val="1D2C6AF2"/>
    <w:rsid w:val="1D4322CC"/>
    <w:rsid w:val="1D49C596"/>
    <w:rsid w:val="1D5BC6B0"/>
    <w:rsid w:val="1D68922A"/>
    <w:rsid w:val="1D710D70"/>
    <w:rsid w:val="1D8067D6"/>
    <w:rsid w:val="1D88DC00"/>
    <w:rsid w:val="1D94581D"/>
    <w:rsid w:val="1DA89B80"/>
    <w:rsid w:val="1DAAB1C6"/>
    <w:rsid w:val="1DB138B6"/>
    <w:rsid w:val="1DB3CCC7"/>
    <w:rsid w:val="1DBBD888"/>
    <w:rsid w:val="1DEC5958"/>
    <w:rsid w:val="1DF4EF28"/>
    <w:rsid w:val="1DF85998"/>
    <w:rsid w:val="1E04BF4C"/>
    <w:rsid w:val="1E05E768"/>
    <w:rsid w:val="1E1241BA"/>
    <w:rsid w:val="1E231FD9"/>
    <w:rsid w:val="1E3AEFFE"/>
    <w:rsid w:val="1E3E14F3"/>
    <w:rsid w:val="1E3F4C86"/>
    <w:rsid w:val="1E54D506"/>
    <w:rsid w:val="1E64D021"/>
    <w:rsid w:val="1E66DC4C"/>
    <w:rsid w:val="1E72C8DF"/>
    <w:rsid w:val="1E7B6FB9"/>
    <w:rsid w:val="1E7BD055"/>
    <w:rsid w:val="1E8D4E33"/>
    <w:rsid w:val="1E8D8B4E"/>
    <w:rsid w:val="1E8DFD31"/>
    <w:rsid w:val="1EB204FF"/>
    <w:rsid w:val="1EBA9CFF"/>
    <w:rsid w:val="1EC0880C"/>
    <w:rsid w:val="1EC49086"/>
    <w:rsid w:val="1EC73F1D"/>
    <w:rsid w:val="1ED2F5F8"/>
    <w:rsid w:val="1EE5EBA4"/>
    <w:rsid w:val="1EF64783"/>
    <w:rsid w:val="1F020431"/>
    <w:rsid w:val="1F03D8BF"/>
    <w:rsid w:val="1F06AED2"/>
    <w:rsid w:val="1F09045D"/>
    <w:rsid w:val="1F14702C"/>
    <w:rsid w:val="1F1700FB"/>
    <w:rsid w:val="1F1F5F3C"/>
    <w:rsid w:val="1F204E04"/>
    <w:rsid w:val="1F2507C8"/>
    <w:rsid w:val="1F262A84"/>
    <w:rsid w:val="1F342536"/>
    <w:rsid w:val="1F429C22"/>
    <w:rsid w:val="1F45687C"/>
    <w:rsid w:val="1F5B68EA"/>
    <w:rsid w:val="1F5F71DA"/>
    <w:rsid w:val="1F6B9E8E"/>
    <w:rsid w:val="1F79F8E6"/>
    <w:rsid w:val="1F7F460E"/>
    <w:rsid w:val="1F86B839"/>
    <w:rsid w:val="1F8ED3D4"/>
    <w:rsid w:val="1F9ABC6E"/>
    <w:rsid w:val="1F9EC5E3"/>
    <w:rsid w:val="1FA4513F"/>
    <w:rsid w:val="1FAA25D8"/>
    <w:rsid w:val="1FB3FDDA"/>
    <w:rsid w:val="1FBDE505"/>
    <w:rsid w:val="1FC0B858"/>
    <w:rsid w:val="1FC2CAE2"/>
    <w:rsid w:val="1FCDC4A2"/>
    <w:rsid w:val="1FDB3CBA"/>
    <w:rsid w:val="1FDE77F9"/>
    <w:rsid w:val="1FE04A76"/>
    <w:rsid w:val="1FE378F0"/>
    <w:rsid w:val="1FE4822F"/>
    <w:rsid w:val="1FE5CA9E"/>
    <w:rsid w:val="1FFA5ECE"/>
    <w:rsid w:val="1FFB6322"/>
    <w:rsid w:val="1FFE6C88"/>
    <w:rsid w:val="2015C866"/>
    <w:rsid w:val="2035E03D"/>
    <w:rsid w:val="20364524"/>
    <w:rsid w:val="203EA71F"/>
    <w:rsid w:val="20457FB9"/>
    <w:rsid w:val="20470DFA"/>
    <w:rsid w:val="2051FB62"/>
    <w:rsid w:val="20540FC3"/>
    <w:rsid w:val="20623687"/>
    <w:rsid w:val="2067E934"/>
    <w:rsid w:val="2068A113"/>
    <w:rsid w:val="206A8E80"/>
    <w:rsid w:val="2086688C"/>
    <w:rsid w:val="2088CC30"/>
    <w:rsid w:val="2090CC69"/>
    <w:rsid w:val="209710A4"/>
    <w:rsid w:val="20B4A246"/>
    <w:rsid w:val="20B5187A"/>
    <w:rsid w:val="20B5C5AE"/>
    <w:rsid w:val="20B9CEDD"/>
    <w:rsid w:val="20C44F5D"/>
    <w:rsid w:val="20E25B74"/>
    <w:rsid w:val="20EAE52D"/>
    <w:rsid w:val="20FC5EB6"/>
    <w:rsid w:val="210AC1BC"/>
    <w:rsid w:val="21153B88"/>
    <w:rsid w:val="211A6244"/>
    <w:rsid w:val="211CEAAC"/>
    <w:rsid w:val="212E5D96"/>
    <w:rsid w:val="2135904B"/>
    <w:rsid w:val="21365F68"/>
    <w:rsid w:val="213A9644"/>
    <w:rsid w:val="213C3251"/>
    <w:rsid w:val="21499BEE"/>
    <w:rsid w:val="21599FC1"/>
    <w:rsid w:val="215BDA4D"/>
    <w:rsid w:val="2163A40C"/>
    <w:rsid w:val="2166280C"/>
    <w:rsid w:val="216DEA8B"/>
    <w:rsid w:val="2173BDE9"/>
    <w:rsid w:val="2178B537"/>
    <w:rsid w:val="217E7964"/>
    <w:rsid w:val="2189BC99"/>
    <w:rsid w:val="2190AC82"/>
    <w:rsid w:val="21945E50"/>
    <w:rsid w:val="21952787"/>
    <w:rsid w:val="21A28B9B"/>
    <w:rsid w:val="21C3BAD5"/>
    <w:rsid w:val="21CD07FA"/>
    <w:rsid w:val="21CE64E4"/>
    <w:rsid w:val="21CF4F5B"/>
    <w:rsid w:val="21D40918"/>
    <w:rsid w:val="21E0E6AE"/>
    <w:rsid w:val="21E2B28B"/>
    <w:rsid w:val="22087BC8"/>
    <w:rsid w:val="220C8FCD"/>
    <w:rsid w:val="2218D61A"/>
    <w:rsid w:val="221CF172"/>
    <w:rsid w:val="221D482E"/>
    <w:rsid w:val="221DE57F"/>
    <w:rsid w:val="223D8233"/>
    <w:rsid w:val="224384A4"/>
    <w:rsid w:val="2250ED79"/>
    <w:rsid w:val="2254984F"/>
    <w:rsid w:val="2259CB8B"/>
    <w:rsid w:val="225D50A4"/>
    <w:rsid w:val="226E9753"/>
    <w:rsid w:val="226FEE21"/>
    <w:rsid w:val="227B7709"/>
    <w:rsid w:val="227C6AA8"/>
    <w:rsid w:val="229156A6"/>
    <w:rsid w:val="22959E2B"/>
    <w:rsid w:val="22B5D3D7"/>
    <w:rsid w:val="22BAFF15"/>
    <w:rsid w:val="22C97E49"/>
    <w:rsid w:val="22CF0C8E"/>
    <w:rsid w:val="22CF3B53"/>
    <w:rsid w:val="22E4C42F"/>
    <w:rsid w:val="22E88C0A"/>
    <w:rsid w:val="22F7AAAE"/>
    <w:rsid w:val="231D865A"/>
    <w:rsid w:val="2325211C"/>
    <w:rsid w:val="2329BDE6"/>
    <w:rsid w:val="232B4369"/>
    <w:rsid w:val="233D856D"/>
    <w:rsid w:val="233ECCAC"/>
    <w:rsid w:val="233F18E6"/>
    <w:rsid w:val="234117A3"/>
    <w:rsid w:val="23417DC8"/>
    <w:rsid w:val="2342D56B"/>
    <w:rsid w:val="234498E2"/>
    <w:rsid w:val="23714C8B"/>
    <w:rsid w:val="2374CFD8"/>
    <w:rsid w:val="2381F8DE"/>
    <w:rsid w:val="238D3EBE"/>
    <w:rsid w:val="238E0DDD"/>
    <w:rsid w:val="238EDAA3"/>
    <w:rsid w:val="2396D253"/>
    <w:rsid w:val="23A73115"/>
    <w:rsid w:val="23AB6E45"/>
    <w:rsid w:val="23AD1BB1"/>
    <w:rsid w:val="23ADA2CD"/>
    <w:rsid w:val="23AF5DE1"/>
    <w:rsid w:val="23C8C159"/>
    <w:rsid w:val="23CB1DA6"/>
    <w:rsid w:val="23CC689E"/>
    <w:rsid w:val="23CD2A35"/>
    <w:rsid w:val="23CF77E2"/>
    <w:rsid w:val="23D943C5"/>
    <w:rsid w:val="23DA12FA"/>
    <w:rsid w:val="23DD16EF"/>
    <w:rsid w:val="23E19588"/>
    <w:rsid w:val="23E3DF45"/>
    <w:rsid w:val="23E9ADCA"/>
    <w:rsid w:val="23EBA075"/>
    <w:rsid w:val="23F1E0A0"/>
    <w:rsid w:val="23F7CDF1"/>
    <w:rsid w:val="241591A8"/>
    <w:rsid w:val="2416374D"/>
    <w:rsid w:val="24180D6C"/>
    <w:rsid w:val="2418CD17"/>
    <w:rsid w:val="24236045"/>
    <w:rsid w:val="2430E139"/>
    <w:rsid w:val="24353524"/>
    <w:rsid w:val="243F0FB1"/>
    <w:rsid w:val="2446E2E7"/>
    <w:rsid w:val="24474238"/>
    <w:rsid w:val="244DE4FD"/>
    <w:rsid w:val="24672AC3"/>
    <w:rsid w:val="2469938F"/>
    <w:rsid w:val="246E6FBD"/>
    <w:rsid w:val="248331C1"/>
    <w:rsid w:val="248907F4"/>
    <w:rsid w:val="24916213"/>
    <w:rsid w:val="24958BEF"/>
    <w:rsid w:val="2497B853"/>
    <w:rsid w:val="249D4B01"/>
    <w:rsid w:val="24A1B626"/>
    <w:rsid w:val="24B28BE5"/>
    <w:rsid w:val="24B3D0D9"/>
    <w:rsid w:val="24C6DD81"/>
    <w:rsid w:val="24D9B6BD"/>
    <w:rsid w:val="24E01E4D"/>
    <w:rsid w:val="24E77591"/>
    <w:rsid w:val="24E98B8C"/>
    <w:rsid w:val="24E9D791"/>
    <w:rsid w:val="24F1D345"/>
    <w:rsid w:val="24F5077A"/>
    <w:rsid w:val="24FAEBFB"/>
    <w:rsid w:val="24FFA6FD"/>
    <w:rsid w:val="2500F2AA"/>
    <w:rsid w:val="25015228"/>
    <w:rsid w:val="2501D035"/>
    <w:rsid w:val="2506775C"/>
    <w:rsid w:val="250D1CC3"/>
    <w:rsid w:val="2518CF8A"/>
    <w:rsid w:val="2519B006"/>
    <w:rsid w:val="252229BB"/>
    <w:rsid w:val="25253B0B"/>
    <w:rsid w:val="2526218A"/>
    <w:rsid w:val="252804A4"/>
    <w:rsid w:val="252DC882"/>
    <w:rsid w:val="253DB4D1"/>
    <w:rsid w:val="253F7B25"/>
    <w:rsid w:val="254AADBD"/>
    <w:rsid w:val="254B71FB"/>
    <w:rsid w:val="25569267"/>
    <w:rsid w:val="25576156"/>
    <w:rsid w:val="256838FF"/>
    <w:rsid w:val="2571271D"/>
    <w:rsid w:val="257AB10B"/>
    <w:rsid w:val="25888E3B"/>
    <w:rsid w:val="2588FBA8"/>
    <w:rsid w:val="258A9801"/>
    <w:rsid w:val="258BD0AF"/>
    <w:rsid w:val="258CC345"/>
    <w:rsid w:val="258ECD14"/>
    <w:rsid w:val="2591B63F"/>
    <w:rsid w:val="25946D33"/>
    <w:rsid w:val="2595690D"/>
    <w:rsid w:val="259C1205"/>
    <w:rsid w:val="259F7E53"/>
    <w:rsid w:val="25B5B01B"/>
    <w:rsid w:val="25B67F11"/>
    <w:rsid w:val="25B93582"/>
    <w:rsid w:val="25BC1667"/>
    <w:rsid w:val="25CF0C75"/>
    <w:rsid w:val="25CF165D"/>
    <w:rsid w:val="25D696FE"/>
    <w:rsid w:val="25DC5260"/>
    <w:rsid w:val="25DCC310"/>
    <w:rsid w:val="25DF3390"/>
    <w:rsid w:val="25E9E56F"/>
    <w:rsid w:val="25EB0922"/>
    <w:rsid w:val="25ECE0BF"/>
    <w:rsid w:val="25F031D1"/>
    <w:rsid w:val="25FBA0E0"/>
    <w:rsid w:val="25FC1A36"/>
    <w:rsid w:val="260E9D39"/>
    <w:rsid w:val="26263AF1"/>
    <w:rsid w:val="262893F5"/>
    <w:rsid w:val="26346ED1"/>
    <w:rsid w:val="2661871C"/>
    <w:rsid w:val="266898AA"/>
    <w:rsid w:val="266E6AC9"/>
    <w:rsid w:val="268A21E6"/>
    <w:rsid w:val="2694E946"/>
    <w:rsid w:val="2697018F"/>
    <w:rsid w:val="26AB59CD"/>
    <w:rsid w:val="26BE6EE3"/>
    <w:rsid w:val="26C5FAA3"/>
    <w:rsid w:val="26DC4F5D"/>
    <w:rsid w:val="26E3D23C"/>
    <w:rsid w:val="26ECB2F4"/>
    <w:rsid w:val="26F36641"/>
    <w:rsid w:val="26F5EF7C"/>
    <w:rsid w:val="27007333"/>
    <w:rsid w:val="27020529"/>
    <w:rsid w:val="270C2416"/>
    <w:rsid w:val="2711DA08"/>
    <w:rsid w:val="27141642"/>
    <w:rsid w:val="2727B932"/>
    <w:rsid w:val="272D86A0"/>
    <w:rsid w:val="2738372D"/>
    <w:rsid w:val="2739021E"/>
    <w:rsid w:val="2744991B"/>
    <w:rsid w:val="2744D7EC"/>
    <w:rsid w:val="2748C909"/>
    <w:rsid w:val="2748F9C9"/>
    <w:rsid w:val="27543A3A"/>
    <w:rsid w:val="2756CBF7"/>
    <w:rsid w:val="276985F3"/>
    <w:rsid w:val="276BED07"/>
    <w:rsid w:val="276E697D"/>
    <w:rsid w:val="277F96DD"/>
    <w:rsid w:val="2780C6E9"/>
    <w:rsid w:val="27869809"/>
    <w:rsid w:val="278B18F1"/>
    <w:rsid w:val="278DCFEB"/>
    <w:rsid w:val="279070B1"/>
    <w:rsid w:val="2794ED2C"/>
    <w:rsid w:val="27998AFD"/>
    <w:rsid w:val="27B35436"/>
    <w:rsid w:val="27BAB661"/>
    <w:rsid w:val="27C33820"/>
    <w:rsid w:val="27C50AFC"/>
    <w:rsid w:val="27C5A50D"/>
    <w:rsid w:val="27C62F30"/>
    <w:rsid w:val="27E28EEF"/>
    <w:rsid w:val="27EC48A0"/>
    <w:rsid w:val="27ED6EF8"/>
    <w:rsid w:val="27F8A2C8"/>
    <w:rsid w:val="28083A34"/>
    <w:rsid w:val="281957EE"/>
    <w:rsid w:val="281C3810"/>
    <w:rsid w:val="28237AD3"/>
    <w:rsid w:val="2824C7A6"/>
    <w:rsid w:val="282AC4EC"/>
    <w:rsid w:val="2836EE11"/>
    <w:rsid w:val="283CE7AE"/>
    <w:rsid w:val="2843397B"/>
    <w:rsid w:val="2844E820"/>
    <w:rsid w:val="28469C7B"/>
    <w:rsid w:val="284A95CC"/>
    <w:rsid w:val="285622DF"/>
    <w:rsid w:val="2866DB6E"/>
    <w:rsid w:val="2872FB19"/>
    <w:rsid w:val="2877D44A"/>
    <w:rsid w:val="28845E69"/>
    <w:rsid w:val="28860142"/>
    <w:rsid w:val="288C85C9"/>
    <w:rsid w:val="28A47137"/>
    <w:rsid w:val="28AA1B08"/>
    <w:rsid w:val="28AFD195"/>
    <w:rsid w:val="28B3A206"/>
    <w:rsid w:val="28C87674"/>
    <w:rsid w:val="28D95522"/>
    <w:rsid w:val="28E52394"/>
    <w:rsid w:val="28FC5EF8"/>
    <w:rsid w:val="29003774"/>
    <w:rsid w:val="29025E39"/>
    <w:rsid w:val="290DE7DC"/>
    <w:rsid w:val="2913C051"/>
    <w:rsid w:val="2924C7B3"/>
    <w:rsid w:val="29268760"/>
    <w:rsid w:val="292A46C4"/>
    <w:rsid w:val="2931807C"/>
    <w:rsid w:val="2933BAF8"/>
    <w:rsid w:val="2937D50F"/>
    <w:rsid w:val="2950A352"/>
    <w:rsid w:val="29536A99"/>
    <w:rsid w:val="295AB262"/>
    <w:rsid w:val="298202B8"/>
    <w:rsid w:val="298C5CD1"/>
    <w:rsid w:val="298FA141"/>
    <w:rsid w:val="2994CFCB"/>
    <w:rsid w:val="29A312E4"/>
    <w:rsid w:val="29B81484"/>
    <w:rsid w:val="29B9F985"/>
    <w:rsid w:val="29BBC24F"/>
    <w:rsid w:val="29BCEDFE"/>
    <w:rsid w:val="29C799E2"/>
    <w:rsid w:val="29C9D202"/>
    <w:rsid w:val="29DDFF6C"/>
    <w:rsid w:val="29DE7208"/>
    <w:rsid w:val="29F83DC9"/>
    <w:rsid w:val="2A018D53"/>
    <w:rsid w:val="2A0623CB"/>
    <w:rsid w:val="2A0ECB7A"/>
    <w:rsid w:val="2A1220BA"/>
    <w:rsid w:val="2A12251D"/>
    <w:rsid w:val="2A1ECC5D"/>
    <w:rsid w:val="2A207B9B"/>
    <w:rsid w:val="2A2B64C2"/>
    <w:rsid w:val="2A5C027C"/>
    <w:rsid w:val="2A5F59F4"/>
    <w:rsid w:val="2A5FBD3A"/>
    <w:rsid w:val="2A60C4BB"/>
    <w:rsid w:val="2A65E6DB"/>
    <w:rsid w:val="2A6AC4E6"/>
    <w:rsid w:val="2A6B793C"/>
    <w:rsid w:val="2A7C39DD"/>
    <w:rsid w:val="2A8759F2"/>
    <w:rsid w:val="2A934517"/>
    <w:rsid w:val="2A943A1A"/>
    <w:rsid w:val="2A9A6CFF"/>
    <w:rsid w:val="2A9F4677"/>
    <w:rsid w:val="2AA20875"/>
    <w:rsid w:val="2AA5EE81"/>
    <w:rsid w:val="2AAA3E75"/>
    <w:rsid w:val="2AACE423"/>
    <w:rsid w:val="2ABA9046"/>
    <w:rsid w:val="2ABFC107"/>
    <w:rsid w:val="2AD31600"/>
    <w:rsid w:val="2AEA16BB"/>
    <w:rsid w:val="2AEE4AC0"/>
    <w:rsid w:val="2AEF97F0"/>
    <w:rsid w:val="2AFD45CF"/>
    <w:rsid w:val="2B143317"/>
    <w:rsid w:val="2B148F3D"/>
    <w:rsid w:val="2B17D94A"/>
    <w:rsid w:val="2B1A2FB1"/>
    <w:rsid w:val="2B2AAFEB"/>
    <w:rsid w:val="2B2C34D1"/>
    <w:rsid w:val="2B31AA31"/>
    <w:rsid w:val="2B32005E"/>
    <w:rsid w:val="2B33CE67"/>
    <w:rsid w:val="2B35AED1"/>
    <w:rsid w:val="2B377781"/>
    <w:rsid w:val="2B3A09D7"/>
    <w:rsid w:val="2B3C0DF6"/>
    <w:rsid w:val="2B46BCDF"/>
    <w:rsid w:val="2B472876"/>
    <w:rsid w:val="2B4DCB5F"/>
    <w:rsid w:val="2B5918E9"/>
    <w:rsid w:val="2B5B7704"/>
    <w:rsid w:val="2B672539"/>
    <w:rsid w:val="2B686458"/>
    <w:rsid w:val="2B728A87"/>
    <w:rsid w:val="2B84DB6E"/>
    <w:rsid w:val="2B92EDAC"/>
    <w:rsid w:val="2B9B960D"/>
    <w:rsid w:val="2BA23869"/>
    <w:rsid w:val="2BA3178D"/>
    <w:rsid w:val="2BA5F1E3"/>
    <w:rsid w:val="2BB236F2"/>
    <w:rsid w:val="2BBE152D"/>
    <w:rsid w:val="2BC85EF7"/>
    <w:rsid w:val="2BCA8F10"/>
    <w:rsid w:val="2BD0A80E"/>
    <w:rsid w:val="2BDBC65D"/>
    <w:rsid w:val="2BDD33C5"/>
    <w:rsid w:val="2BE06EC2"/>
    <w:rsid w:val="2BE28FC7"/>
    <w:rsid w:val="2BEDF68F"/>
    <w:rsid w:val="2BFA220C"/>
    <w:rsid w:val="2BFED043"/>
    <w:rsid w:val="2C00541E"/>
    <w:rsid w:val="2C015129"/>
    <w:rsid w:val="2C03A9D8"/>
    <w:rsid w:val="2C049AAF"/>
    <w:rsid w:val="2C10050E"/>
    <w:rsid w:val="2C10B4BA"/>
    <w:rsid w:val="2C12C2F8"/>
    <w:rsid w:val="2C1E27B2"/>
    <w:rsid w:val="2C27C58B"/>
    <w:rsid w:val="2C3E9DA6"/>
    <w:rsid w:val="2C4C7954"/>
    <w:rsid w:val="2C550726"/>
    <w:rsid w:val="2C58E8D7"/>
    <w:rsid w:val="2C5E992B"/>
    <w:rsid w:val="2C60577C"/>
    <w:rsid w:val="2C63484E"/>
    <w:rsid w:val="2C6ED9C5"/>
    <w:rsid w:val="2C8E2784"/>
    <w:rsid w:val="2C94B4DB"/>
    <w:rsid w:val="2C973367"/>
    <w:rsid w:val="2C9FD90D"/>
    <w:rsid w:val="2CA43FC3"/>
    <w:rsid w:val="2CA59186"/>
    <w:rsid w:val="2CA8527E"/>
    <w:rsid w:val="2CB2CF5B"/>
    <w:rsid w:val="2CB4E9AE"/>
    <w:rsid w:val="2CBA8A0D"/>
    <w:rsid w:val="2CC8C0AB"/>
    <w:rsid w:val="2CCA7E40"/>
    <w:rsid w:val="2CCC8695"/>
    <w:rsid w:val="2CCDB908"/>
    <w:rsid w:val="2CD0C8A0"/>
    <w:rsid w:val="2CD5F0F3"/>
    <w:rsid w:val="2CD9E328"/>
    <w:rsid w:val="2CDBF362"/>
    <w:rsid w:val="2CEB2EEB"/>
    <w:rsid w:val="2CF041FD"/>
    <w:rsid w:val="2CF3808F"/>
    <w:rsid w:val="2CF4F2F6"/>
    <w:rsid w:val="2CFDF8C9"/>
    <w:rsid w:val="2D209536"/>
    <w:rsid w:val="2D221A1D"/>
    <w:rsid w:val="2D25FBCC"/>
    <w:rsid w:val="2D325DA9"/>
    <w:rsid w:val="2D332E87"/>
    <w:rsid w:val="2D3EF6CE"/>
    <w:rsid w:val="2D4161DE"/>
    <w:rsid w:val="2D53617C"/>
    <w:rsid w:val="2D609826"/>
    <w:rsid w:val="2D630584"/>
    <w:rsid w:val="2D64114F"/>
    <w:rsid w:val="2D66FD77"/>
    <w:rsid w:val="2D69C038"/>
    <w:rsid w:val="2D6F2602"/>
    <w:rsid w:val="2D7FEBD1"/>
    <w:rsid w:val="2D8B37C8"/>
    <w:rsid w:val="2D96FAB6"/>
    <w:rsid w:val="2D9E9400"/>
    <w:rsid w:val="2DA433FD"/>
    <w:rsid w:val="2DAE5C1C"/>
    <w:rsid w:val="2DB969A9"/>
    <w:rsid w:val="2DDA91A0"/>
    <w:rsid w:val="2DE60940"/>
    <w:rsid w:val="2DF9673E"/>
    <w:rsid w:val="2E020E6E"/>
    <w:rsid w:val="2E15B638"/>
    <w:rsid w:val="2E1612B2"/>
    <w:rsid w:val="2E1BBE34"/>
    <w:rsid w:val="2E21926C"/>
    <w:rsid w:val="2E263B70"/>
    <w:rsid w:val="2E33E9D3"/>
    <w:rsid w:val="2E4161E7"/>
    <w:rsid w:val="2E417991"/>
    <w:rsid w:val="2E436D13"/>
    <w:rsid w:val="2E4B3FBA"/>
    <w:rsid w:val="2E5CC194"/>
    <w:rsid w:val="2E5E7101"/>
    <w:rsid w:val="2E6A332D"/>
    <w:rsid w:val="2E6B33CB"/>
    <w:rsid w:val="2E920A03"/>
    <w:rsid w:val="2EA54112"/>
    <w:rsid w:val="2EA68973"/>
    <w:rsid w:val="2EA79F94"/>
    <w:rsid w:val="2EAB1695"/>
    <w:rsid w:val="2EAD3C76"/>
    <w:rsid w:val="2EB50D28"/>
    <w:rsid w:val="2EB760C4"/>
    <w:rsid w:val="2EB7C637"/>
    <w:rsid w:val="2EBB0195"/>
    <w:rsid w:val="2EC514FB"/>
    <w:rsid w:val="2ECEFEE8"/>
    <w:rsid w:val="2EE11007"/>
    <w:rsid w:val="2EE8A181"/>
    <w:rsid w:val="2EEFC48B"/>
    <w:rsid w:val="2EFB76C1"/>
    <w:rsid w:val="2F06925D"/>
    <w:rsid w:val="2F11C126"/>
    <w:rsid w:val="2F2682CA"/>
    <w:rsid w:val="2F273B99"/>
    <w:rsid w:val="2F2A97C6"/>
    <w:rsid w:val="2F2C76DF"/>
    <w:rsid w:val="2F33EC1A"/>
    <w:rsid w:val="2F37F5D6"/>
    <w:rsid w:val="2F3A45F9"/>
    <w:rsid w:val="2F52BB10"/>
    <w:rsid w:val="2F58857E"/>
    <w:rsid w:val="2F6BA42C"/>
    <w:rsid w:val="2F6DFFF8"/>
    <w:rsid w:val="2F8D1B68"/>
    <w:rsid w:val="2F962881"/>
    <w:rsid w:val="2FA7807D"/>
    <w:rsid w:val="2FC75D26"/>
    <w:rsid w:val="2FC7FE06"/>
    <w:rsid w:val="2FCE27BF"/>
    <w:rsid w:val="2FD2C26C"/>
    <w:rsid w:val="2FD371C1"/>
    <w:rsid w:val="2FDAA20B"/>
    <w:rsid w:val="2FDF92D4"/>
    <w:rsid w:val="2FE80502"/>
    <w:rsid w:val="2FF891F5"/>
    <w:rsid w:val="30055604"/>
    <w:rsid w:val="30261A3A"/>
    <w:rsid w:val="30325965"/>
    <w:rsid w:val="303510B5"/>
    <w:rsid w:val="303BBAEB"/>
    <w:rsid w:val="303DCFEC"/>
    <w:rsid w:val="30482727"/>
    <w:rsid w:val="304D1139"/>
    <w:rsid w:val="3053E59B"/>
    <w:rsid w:val="3059E630"/>
    <w:rsid w:val="305FF588"/>
    <w:rsid w:val="30612B99"/>
    <w:rsid w:val="3061D6EF"/>
    <w:rsid w:val="3065BABF"/>
    <w:rsid w:val="30763C1F"/>
    <w:rsid w:val="30834B95"/>
    <w:rsid w:val="308430A9"/>
    <w:rsid w:val="30873946"/>
    <w:rsid w:val="3095B40E"/>
    <w:rsid w:val="30990208"/>
    <w:rsid w:val="309F52FE"/>
    <w:rsid w:val="30A36402"/>
    <w:rsid w:val="30A7B9DD"/>
    <w:rsid w:val="30B06FDC"/>
    <w:rsid w:val="30B17BED"/>
    <w:rsid w:val="30B36DC6"/>
    <w:rsid w:val="30B417DE"/>
    <w:rsid w:val="30B83654"/>
    <w:rsid w:val="30C3DF5A"/>
    <w:rsid w:val="30D18901"/>
    <w:rsid w:val="30E37D51"/>
    <w:rsid w:val="30E3CE41"/>
    <w:rsid w:val="30E74513"/>
    <w:rsid w:val="30EA4580"/>
    <w:rsid w:val="30EB7B61"/>
    <w:rsid w:val="30EBBA37"/>
    <w:rsid w:val="30ED311F"/>
    <w:rsid w:val="30EF4677"/>
    <w:rsid w:val="30FB93C5"/>
    <w:rsid w:val="30FCD92F"/>
    <w:rsid w:val="31126F65"/>
    <w:rsid w:val="311A080C"/>
    <w:rsid w:val="3120FDC1"/>
    <w:rsid w:val="312624C8"/>
    <w:rsid w:val="31294C2F"/>
    <w:rsid w:val="312BB101"/>
    <w:rsid w:val="312C59FA"/>
    <w:rsid w:val="313071E8"/>
    <w:rsid w:val="313FB6EB"/>
    <w:rsid w:val="3149E545"/>
    <w:rsid w:val="314B9813"/>
    <w:rsid w:val="314E4BB7"/>
    <w:rsid w:val="3151F36B"/>
    <w:rsid w:val="316198A7"/>
    <w:rsid w:val="3163D499"/>
    <w:rsid w:val="3164D600"/>
    <w:rsid w:val="3166AE71"/>
    <w:rsid w:val="316C69F2"/>
    <w:rsid w:val="31726CEF"/>
    <w:rsid w:val="31764D5E"/>
    <w:rsid w:val="3184532B"/>
    <w:rsid w:val="31888CDD"/>
    <w:rsid w:val="319AD229"/>
    <w:rsid w:val="319EC4A9"/>
    <w:rsid w:val="31A1AB8D"/>
    <w:rsid w:val="31A2D81C"/>
    <w:rsid w:val="31AC2F9F"/>
    <w:rsid w:val="31AF930E"/>
    <w:rsid w:val="31C3B320"/>
    <w:rsid w:val="31C90382"/>
    <w:rsid w:val="31C9BD7F"/>
    <w:rsid w:val="31D55C56"/>
    <w:rsid w:val="31DAFB9F"/>
    <w:rsid w:val="31DBF179"/>
    <w:rsid w:val="31E19543"/>
    <w:rsid w:val="31F38B0D"/>
    <w:rsid w:val="31F91815"/>
    <w:rsid w:val="31FC7A66"/>
    <w:rsid w:val="31FF3A37"/>
    <w:rsid w:val="320A5443"/>
    <w:rsid w:val="320D13AA"/>
    <w:rsid w:val="3218C995"/>
    <w:rsid w:val="3219DCCE"/>
    <w:rsid w:val="322269C3"/>
    <w:rsid w:val="32276EC7"/>
    <w:rsid w:val="322EDD96"/>
    <w:rsid w:val="32347848"/>
    <w:rsid w:val="3238EFB1"/>
    <w:rsid w:val="323F8723"/>
    <w:rsid w:val="324AAE1A"/>
    <w:rsid w:val="324C38C2"/>
    <w:rsid w:val="32504A26"/>
    <w:rsid w:val="3255A604"/>
    <w:rsid w:val="325A15D9"/>
    <w:rsid w:val="325A4CB6"/>
    <w:rsid w:val="327B8E16"/>
    <w:rsid w:val="3280F08E"/>
    <w:rsid w:val="328376E7"/>
    <w:rsid w:val="329FAFF9"/>
    <w:rsid w:val="32A6A4B0"/>
    <w:rsid w:val="32A84030"/>
    <w:rsid w:val="32AC0A95"/>
    <w:rsid w:val="32B127F0"/>
    <w:rsid w:val="32B33F68"/>
    <w:rsid w:val="32B3B3C7"/>
    <w:rsid w:val="32B58603"/>
    <w:rsid w:val="32B6DD49"/>
    <w:rsid w:val="32DAC973"/>
    <w:rsid w:val="32DBAF21"/>
    <w:rsid w:val="32F5818D"/>
    <w:rsid w:val="32F7DF5F"/>
    <w:rsid w:val="32FE530A"/>
    <w:rsid w:val="331E3BA7"/>
    <w:rsid w:val="333746B6"/>
    <w:rsid w:val="333B8B16"/>
    <w:rsid w:val="334299B0"/>
    <w:rsid w:val="3349533F"/>
    <w:rsid w:val="33658818"/>
    <w:rsid w:val="3368D6E2"/>
    <w:rsid w:val="336D0CA1"/>
    <w:rsid w:val="338F5B7C"/>
    <w:rsid w:val="33967166"/>
    <w:rsid w:val="33A4DF17"/>
    <w:rsid w:val="33AC4501"/>
    <w:rsid w:val="33B8ABE4"/>
    <w:rsid w:val="33B9D0B2"/>
    <w:rsid w:val="33BA687A"/>
    <w:rsid w:val="33C05E63"/>
    <w:rsid w:val="33C2A8E2"/>
    <w:rsid w:val="33C9305D"/>
    <w:rsid w:val="33CD02B8"/>
    <w:rsid w:val="33E3AC98"/>
    <w:rsid w:val="33EA79EE"/>
    <w:rsid w:val="33F0ADF9"/>
    <w:rsid w:val="33FAACBC"/>
    <w:rsid w:val="3403F6AE"/>
    <w:rsid w:val="34069CBC"/>
    <w:rsid w:val="3424115A"/>
    <w:rsid w:val="3426A3B9"/>
    <w:rsid w:val="3428CB27"/>
    <w:rsid w:val="342B7CAE"/>
    <w:rsid w:val="34327795"/>
    <w:rsid w:val="3439854D"/>
    <w:rsid w:val="343AFF2C"/>
    <w:rsid w:val="3443F8A4"/>
    <w:rsid w:val="344F3AE1"/>
    <w:rsid w:val="3454186F"/>
    <w:rsid w:val="3462DD74"/>
    <w:rsid w:val="346CF27D"/>
    <w:rsid w:val="347528E9"/>
    <w:rsid w:val="34781671"/>
    <w:rsid w:val="347E9E27"/>
    <w:rsid w:val="34887882"/>
    <w:rsid w:val="348F257D"/>
    <w:rsid w:val="348F2BDE"/>
    <w:rsid w:val="34900FBE"/>
    <w:rsid w:val="3497716A"/>
    <w:rsid w:val="34B3EE35"/>
    <w:rsid w:val="34BA7E98"/>
    <w:rsid w:val="34BF0F45"/>
    <w:rsid w:val="34C4A8C3"/>
    <w:rsid w:val="34C714BC"/>
    <w:rsid w:val="34C9B089"/>
    <w:rsid w:val="34D51522"/>
    <w:rsid w:val="34D932DF"/>
    <w:rsid w:val="34E3B2AF"/>
    <w:rsid w:val="34F36065"/>
    <w:rsid w:val="34F36312"/>
    <w:rsid w:val="34F41C2E"/>
    <w:rsid w:val="3502DD45"/>
    <w:rsid w:val="3507C1FC"/>
    <w:rsid w:val="35194B3E"/>
    <w:rsid w:val="351A586F"/>
    <w:rsid w:val="3524CD85"/>
    <w:rsid w:val="3527C9C8"/>
    <w:rsid w:val="352B82E7"/>
    <w:rsid w:val="35438EE2"/>
    <w:rsid w:val="35507188"/>
    <w:rsid w:val="3563A805"/>
    <w:rsid w:val="35649081"/>
    <w:rsid w:val="35692A1B"/>
    <w:rsid w:val="3580DDFF"/>
    <w:rsid w:val="35907814"/>
    <w:rsid w:val="359153DA"/>
    <w:rsid w:val="3594ACE4"/>
    <w:rsid w:val="359564EA"/>
    <w:rsid w:val="35986E58"/>
    <w:rsid w:val="3598D7F8"/>
    <w:rsid w:val="359B628D"/>
    <w:rsid w:val="359D98E4"/>
    <w:rsid w:val="35AF8B6F"/>
    <w:rsid w:val="35CF9D78"/>
    <w:rsid w:val="35DF3E5D"/>
    <w:rsid w:val="35E27D68"/>
    <w:rsid w:val="35E5BF35"/>
    <w:rsid w:val="35F06B75"/>
    <w:rsid w:val="35F6E67F"/>
    <w:rsid w:val="35FE2A93"/>
    <w:rsid w:val="3607D2C5"/>
    <w:rsid w:val="3610E726"/>
    <w:rsid w:val="3615C0D3"/>
    <w:rsid w:val="36201CD0"/>
    <w:rsid w:val="3622009C"/>
    <w:rsid w:val="363509CA"/>
    <w:rsid w:val="363BD4F1"/>
    <w:rsid w:val="3646381B"/>
    <w:rsid w:val="364644A1"/>
    <w:rsid w:val="36548CD1"/>
    <w:rsid w:val="3657091F"/>
    <w:rsid w:val="3660E350"/>
    <w:rsid w:val="366563C0"/>
    <w:rsid w:val="36692A2D"/>
    <w:rsid w:val="366A56B1"/>
    <w:rsid w:val="366E7877"/>
    <w:rsid w:val="36779036"/>
    <w:rsid w:val="36856B1D"/>
    <w:rsid w:val="368ADC7B"/>
    <w:rsid w:val="368CD651"/>
    <w:rsid w:val="368E1D89"/>
    <w:rsid w:val="368FB101"/>
    <w:rsid w:val="3694C92D"/>
    <w:rsid w:val="36AB4DFE"/>
    <w:rsid w:val="36ADFFA6"/>
    <w:rsid w:val="36AE6B51"/>
    <w:rsid w:val="36B0FB4C"/>
    <w:rsid w:val="36B652F0"/>
    <w:rsid w:val="36BC3D04"/>
    <w:rsid w:val="36C153BD"/>
    <w:rsid w:val="36C5AEDF"/>
    <w:rsid w:val="36CAE272"/>
    <w:rsid w:val="36D1C7A1"/>
    <w:rsid w:val="36E7566E"/>
    <w:rsid w:val="36ED85F1"/>
    <w:rsid w:val="36F2BC24"/>
    <w:rsid w:val="36F5EA6C"/>
    <w:rsid w:val="36F92782"/>
    <w:rsid w:val="37035E07"/>
    <w:rsid w:val="370F3EDE"/>
    <w:rsid w:val="371946C9"/>
    <w:rsid w:val="371AA007"/>
    <w:rsid w:val="371D1408"/>
    <w:rsid w:val="372003E2"/>
    <w:rsid w:val="3723CEE0"/>
    <w:rsid w:val="3727AE82"/>
    <w:rsid w:val="372D0A97"/>
    <w:rsid w:val="3735DC65"/>
    <w:rsid w:val="373F1F5C"/>
    <w:rsid w:val="374DDA8B"/>
    <w:rsid w:val="376B2A5B"/>
    <w:rsid w:val="376D5ABF"/>
    <w:rsid w:val="3780095C"/>
    <w:rsid w:val="3784ED25"/>
    <w:rsid w:val="3790BC99"/>
    <w:rsid w:val="3790CE15"/>
    <w:rsid w:val="3794CD72"/>
    <w:rsid w:val="379B4406"/>
    <w:rsid w:val="379CF44A"/>
    <w:rsid w:val="37B207CF"/>
    <w:rsid w:val="37CBC0FE"/>
    <w:rsid w:val="37E7AB35"/>
    <w:rsid w:val="37E8D965"/>
    <w:rsid w:val="37EE6C9D"/>
    <w:rsid w:val="37F45203"/>
    <w:rsid w:val="37F8164C"/>
    <w:rsid w:val="37FBFAE5"/>
    <w:rsid w:val="3806155A"/>
    <w:rsid w:val="380821F8"/>
    <w:rsid w:val="380984D8"/>
    <w:rsid w:val="381E0757"/>
    <w:rsid w:val="382D7E64"/>
    <w:rsid w:val="38311DF8"/>
    <w:rsid w:val="3831F02F"/>
    <w:rsid w:val="3848096C"/>
    <w:rsid w:val="3849B656"/>
    <w:rsid w:val="384D6BB9"/>
    <w:rsid w:val="385A3AE6"/>
    <w:rsid w:val="3860DD19"/>
    <w:rsid w:val="38792089"/>
    <w:rsid w:val="387CA02D"/>
    <w:rsid w:val="387FAC41"/>
    <w:rsid w:val="38809730"/>
    <w:rsid w:val="38881E90"/>
    <w:rsid w:val="3891BACD"/>
    <w:rsid w:val="38961809"/>
    <w:rsid w:val="389AFF80"/>
    <w:rsid w:val="38A07218"/>
    <w:rsid w:val="38B20218"/>
    <w:rsid w:val="38B85A14"/>
    <w:rsid w:val="38B9EF9E"/>
    <w:rsid w:val="38CE659D"/>
    <w:rsid w:val="38DE45CA"/>
    <w:rsid w:val="38E09330"/>
    <w:rsid w:val="38E09F54"/>
    <w:rsid w:val="38E0C5F4"/>
    <w:rsid w:val="38E79836"/>
    <w:rsid w:val="38E934F2"/>
    <w:rsid w:val="3903B4F0"/>
    <w:rsid w:val="390AE7B1"/>
    <w:rsid w:val="390E4FC8"/>
    <w:rsid w:val="391769C7"/>
    <w:rsid w:val="3919569F"/>
    <w:rsid w:val="3927A67D"/>
    <w:rsid w:val="392C9E76"/>
    <w:rsid w:val="39358422"/>
    <w:rsid w:val="393B3214"/>
    <w:rsid w:val="394851E9"/>
    <w:rsid w:val="394CAF1A"/>
    <w:rsid w:val="3959ED2E"/>
    <w:rsid w:val="3963C618"/>
    <w:rsid w:val="3965F87F"/>
    <w:rsid w:val="396A8560"/>
    <w:rsid w:val="396CAA8C"/>
    <w:rsid w:val="39790089"/>
    <w:rsid w:val="3982317F"/>
    <w:rsid w:val="3994D70B"/>
    <w:rsid w:val="39977BCC"/>
    <w:rsid w:val="399AA7C8"/>
    <w:rsid w:val="399CD0D1"/>
    <w:rsid w:val="39A4EE76"/>
    <w:rsid w:val="39B31F43"/>
    <w:rsid w:val="39BC7256"/>
    <w:rsid w:val="39CBBA60"/>
    <w:rsid w:val="39CC2300"/>
    <w:rsid w:val="39D5DD35"/>
    <w:rsid w:val="39E00391"/>
    <w:rsid w:val="39E60C13"/>
    <w:rsid w:val="39EACA44"/>
    <w:rsid w:val="39EE5858"/>
    <w:rsid w:val="39F0FA7C"/>
    <w:rsid w:val="39FF9DFF"/>
    <w:rsid w:val="3A184A39"/>
    <w:rsid w:val="3A1C6BD8"/>
    <w:rsid w:val="3A1EDF3F"/>
    <w:rsid w:val="3A352B99"/>
    <w:rsid w:val="3A3607C0"/>
    <w:rsid w:val="3A55BFFF"/>
    <w:rsid w:val="3A6A5F6D"/>
    <w:rsid w:val="3A6D4019"/>
    <w:rsid w:val="3A76946B"/>
    <w:rsid w:val="3A793BF1"/>
    <w:rsid w:val="3A848E81"/>
    <w:rsid w:val="3A84C56E"/>
    <w:rsid w:val="3A9A0318"/>
    <w:rsid w:val="3A9CFC7F"/>
    <w:rsid w:val="3A9D9DD4"/>
    <w:rsid w:val="3AA09B8B"/>
    <w:rsid w:val="3AA0BDF8"/>
    <w:rsid w:val="3AA26488"/>
    <w:rsid w:val="3AA27B39"/>
    <w:rsid w:val="3AB45886"/>
    <w:rsid w:val="3AB9BB2B"/>
    <w:rsid w:val="3ABF4FEC"/>
    <w:rsid w:val="3AD1492B"/>
    <w:rsid w:val="3ADA57DA"/>
    <w:rsid w:val="3ADCFF0D"/>
    <w:rsid w:val="3AE7EEBF"/>
    <w:rsid w:val="3AE89177"/>
    <w:rsid w:val="3AF7737E"/>
    <w:rsid w:val="3AF9EA90"/>
    <w:rsid w:val="3AFF89DA"/>
    <w:rsid w:val="3B019BB4"/>
    <w:rsid w:val="3B087AED"/>
    <w:rsid w:val="3B11A56B"/>
    <w:rsid w:val="3B150334"/>
    <w:rsid w:val="3B28A727"/>
    <w:rsid w:val="3B4ABC1E"/>
    <w:rsid w:val="3B4C13FE"/>
    <w:rsid w:val="3B51B18B"/>
    <w:rsid w:val="3B535E53"/>
    <w:rsid w:val="3B6A6C4D"/>
    <w:rsid w:val="3B7A0FC7"/>
    <w:rsid w:val="3B7D1893"/>
    <w:rsid w:val="3B7EEF50"/>
    <w:rsid w:val="3B81DC74"/>
    <w:rsid w:val="3B866FA7"/>
    <w:rsid w:val="3B86710A"/>
    <w:rsid w:val="3B88EC39"/>
    <w:rsid w:val="3B8A52CE"/>
    <w:rsid w:val="3B8E1022"/>
    <w:rsid w:val="3B921445"/>
    <w:rsid w:val="3B95436C"/>
    <w:rsid w:val="3B9E2D1B"/>
    <w:rsid w:val="3BA727B1"/>
    <w:rsid w:val="3BB0C61F"/>
    <w:rsid w:val="3BC3E248"/>
    <w:rsid w:val="3BC81F52"/>
    <w:rsid w:val="3BCAE87D"/>
    <w:rsid w:val="3BCBAC05"/>
    <w:rsid w:val="3BE4869D"/>
    <w:rsid w:val="3BE9080E"/>
    <w:rsid w:val="3BF9D939"/>
    <w:rsid w:val="3C01CC6D"/>
    <w:rsid w:val="3C10F297"/>
    <w:rsid w:val="3C1A832A"/>
    <w:rsid w:val="3C211C06"/>
    <w:rsid w:val="3C258010"/>
    <w:rsid w:val="3C2BA196"/>
    <w:rsid w:val="3C376513"/>
    <w:rsid w:val="3C4AB789"/>
    <w:rsid w:val="3C4BFA56"/>
    <w:rsid w:val="3C5024E9"/>
    <w:rsid w:val="3C5B3865"/>
    <w:rsid w:val="3C64FBCF"/>
    <w:rsid w:val="3C6CC853"/>
    <w:rsid w:val="3C730844"/>
    <w:rsid w:val="3C757267"/>
    <w:rsid w:val="3C785BF6"/>
    <w:rsid w:val="3C78DFA1"/>
    <w:rsid w:val="3C8578F2"/>
    <w:rsid w:val="3C8E1103"/>
    <w:rsid w:val="3C9879D5"/>
    <w:rsid w:val="3C9AC16A"/>
    <w:rsid w:val="3CA03F22"/>
    <w:rsid w:val="3CA44B4E"/>
    <w:rsid w:val="3CA73FD7"/>
    <w:rsid w:val="3CB1EF5C"/>
    <w:rsid w:val="3CB795A5"/>
    <w:rsid w:val="3CB8929E"/>
    <w:rsid w:val="3CC0ED8B"/>
    <w:rsid w:val="3CC6FB87"/>
    <w:rsid w:val="3CDB227B"/>
    <w:rsid w:val="3CDD5F12"/>
    <w:rsid w:val="3CDE2F77"/>
    <w:rsid w:val="3CE39DE0"/>
    <w:rsid w:val="3CE752D5"/>
    <w:rsid w:val="3CE88E1F"/>
    <w:rsid w:val="3CE97979"/>
    <w:rsid w:val="3CEE4E63"/>
    <w:rsid w:val="3CEEECB1"/>
    <w:rsid w:val="3CF04E5D"/>
    <w:rsid w:val="3CF3B1D6"/>
    <w:rsid w:val="3D1DACD5"/>
    <w:rsid w:val="3D1DAF44"/>
    <w:rsid w:val="3D2D16B9"/>
    <w:rsid w:val="3D318973"/>
    <w:rsid w:val="3D376170"/>
    <w:rsid w:val="3D3D1A96"/>
    <w:rsid w:val="3D5F8195"/>
    <w:rsid w:val="3D61BCE9"/>
    <w:rsid w:val="3D621A0F"/>
    <w:rsid w:val="3D7095C8"/>
    <w:rsid w:val="3D7AD13E"/>
    <w:rsid w:val="3D81F8C0"/>
    <w:rsid w:val="3D83D5A7"/>
    <w:rsid w:val="3D925C49"/>
    <w:rsid w:val="3D955FA7"/>
    <w:rsid w:val="3D98C636"/>
    <w:rsid w:val="3D9976EA"/>
    <w:rsid w:val="3D9BA599"/>
    <w:rsid w:val="3D9E079A"/>
    <w:rsid w:val="3D9F0690"/>
    <w:rsid w:val="3DB34234"/>
    <w:rsid w:val="3DB79FDC"/>
    <w:rsid w:val="3DBD140A"/>
    <w:rsid w:val="3DC0EDF1"/>
    <w:rsid w:val="3DC64E26"/>
    <w:rsid w:val="3DCA2E05"/>
    <w:rsid w:val="3DD72D8A"/>
    <w:rsid w:val="3DE61B5A"/>
    <w:rsid w:val="3DF010D5"/>
    <w:rsid w:val="3DF73093"/>
    <w:rsid w:val="3DFF8DC5"/>
    <w:rsid w:val="3E04BB64"/>
    <w:rsid w:val="3E058FC5"/>
    <w:rsid w:val="3E122E9B"/>
    <w:rsid w:val="3E2332EA"/>
    <w:rsid w:val="3E233A4C"/>
    <w:rsid w:val="3E2EA2E9"/>
    <w:rsid w:val="3E345D64"/>
    <w:rsid w:val="3E379829"/>
    <w:rsid w:val="3E3CAF1E"/>
    <w:rsid w:val="3E45882C"/>
    <w:rsid w:val="3E4650A7"/>
    <w:rsid w:val="3E47E774"/>
    <w:rsid w:val="3E541292"/>
    <w:rsid w:val="3E5C88AB"/>
    <w:rsid w:val="3E5CCCBA"/>
    <w:rsid w:val="3E671B0E"/>
    <w:rsid w:val="3E6C6A7F"/>
    <w:rsid w:val="3E7DAE48"/>
    <w:rsid w:val="3E880956"/>
    <w:rsid w:val="3E8B40A4"/>
    <w:rsid w:val="3E901124"/>
    <w:rsid w:val="3E906287"/>
    <w:rsid w:val="3E91BBDF"/>
    <w:rsid w:val="3E92E5B7"/>
    <w:rsid w:val="3E993435"/>
    <w:rsid w:val="3EAB7C1E"/>
    <w:rsid w:val="3EB56FC5"/>
    <w:rsid w:val="3EB6396E"/>
    <w:rsid w:val="3ECE16AC"/>
    <w:rsid w:val="3ED736A3"/>
    <w:rsid w:val="3ED7E7F2"/>
    <w:rsid w:val="3EE000EE"/>
    <w:rsid w:val="3EF256E2"/>
    <w:rsid w:val="3F0408CA"/>
    <w:rsid w:val="3F096316"/>
    <w:rsid w:val="3F133C34"/>
    <w:rsid w:val="3F16D0BD"/>
    <w:rsid w:val="3F1E31FD"/>
    <w:rsid w:val="3F3D3786"/>
    <w:rsid w:val="3F40386C"/>
    <w:rsid w:val="3F4A058E"/>
    <w:rsid w:val="3F606E73"/>
    <w:rsid w:val="3F631B2A"/>
    <w:rsid w:val="3F7C20BB"/>
    <w:rsid w:val="3F9533FB"/>
    <w:rsid w:val="3FA3F157"/>
    <w:rsid w:val="3FA7BB34"/>
    <w:rsid w:val="3FAE43FC"/>
    <w:rsid w:val="3FB27BCB"/>
    <w:rsid w:val="3FB5B28D"/>
    <w:rsid w:val="3FC0DBCA"/>
    <w:rsid w:val="3FCC5CA0"/>
    <w:rsid w:val="3FCE77EC"/>
    <w:rsid w:val="3FD14D05"/>
    <w:rsid w:val="3FDBC759"/>
    <w:rsid w:val="3FE08D3B"/>
    <w:rsid w:val="3FF39C81"/>
    <w:rsid w:val="3FF5CB7A"/>
    <w:rsid w:val="3FF88E4D"/>
    <w:rsid w:val="3FF94B4A"/>
    <w:rsid w:val="3FFAC408"/>
    <w:rsid w:val="3FFB2214"/>
    <w:rsid w:val="40006A1B"/>
    <w:rsid w:val="4017EC58"/>
    <w:rsid w:val="401E8E4F"/>
    <w:rsid w:val="40287385"/>
    <w:rsid w:val="402D1D03"/>
    <w:rsid w:val="402F7CDB"/>
    <w:rsid w:val="4033EE59"/>
    <w:rsid w:val="4038040A"/>
    <w:rsid w:val="4038C347"/>
    <w:rsid w:val="403DF8C6"/>
    <w:rsid w:val="40405FEF"/>
    <w:rsid w:val="40520B97"/>
    <w:rsid w:val="40540CAF"/>
    <w:rsid w:val="4070956E"/>
    <w:rsid w:val="4079A4F2"/>
    <w:rsid w:val="407BAADB"/>
    <w:rsid w:val="407D60C5"/>
    <w:rsid w:val="407EECEB"/>
    <w:rsid w:val="4080C2FB"/>
    <w:rsid w:val="4089D316"/>
    <w:rsid w:val="409451B5"/>
    <w:rsid w:val="409C44E8"/>
    <w:rsid w:val="409CE2C4"/>
    <w:rsid w:val="40A3FF63"/>
    <w:rsid w:val="40AC3E6C"/>
    <w:rsid w:val="40AEF323"/>
    <w:rsid w:val="40B6CF03"/>
    <w:rsid w:val="40C08EFF"/>
    <w:rsid w:val="40D4C4CD"/>
    <w:rsid w:val="40D75F1B"/>
    <w:rsid w:val="40D907E7"/>
    <w:rsid w:val="40DC08CD"/>
    <w:rsid w:val="40F0A13E"/>
    <w:rsid w:val="40F22C53"/>
    <w:rsid w:val="40F3BD8A"/>
    <w:rsid w:val="40F6CEDA"/>
    <w:rsid w:val="40F81541"/>
    <w:rsid w:val="40FCECFD"/>
    <w:rsid w:val="41045070"/>
    <w:rsid w:val="4105B1AB"/>
    <w:rsid w:val="410AD3F7"/>
    <w:rsid w:val="4116C812"/>
    <w:rsid w:val="411769C3"/>
    <w:rsid w:val="41183C37"/>
    <w:rsid w:val="411FAB41"/>
    <w:rsid w:val="412461B7"/>
    <w:rsid w:val="41301C40"/>
    <w:rsid w:val="4134DF53"/>
    <w:rsid w:val="413B0A41"/>
    <w:rsid w:val="41419B0D"/>
    <w:rsid w:val="4149995E"/>
    <w:rsid w:val="4153E51B"/>
    <w:rsid w:val="415ECC15"/>
    <w:rsid w:val="4186652E"/>
    <w:rsid w:val="4187FD5D"/>
    <w:rsid w:val="419B4567"/>
    <w:rsid w:val="419D51AF"/>
    <w:rsid w:val="41AF549D"/>
    <w:rsid w:val="41AFA66E"/>
    <w:rsid w:val="41B2D30B"/>
    <w:rsid w:val="41BFAA18"/>
    <w:rsid w:val="41C19B44"/>
    <w:rsid w:val="41C21286"/>
    <w:rsid w:val="41C80349"/>
    <w:rsid w:val="41C84757"/>
    <w:rsid w:val="41C95CA1"/>
    <w:rsid w:val="41CD31DD"/>
    <w:rsid w:val="41D2C886"/>
    <w:rsid w:val="41DC39C1"/>
    <w:rsid w:val="41E56B3D"/>
    <w:rsid w:val="41E605C9"/>
    <w:rsid w:val="41E999A5"/>
    <w:rsid w:val="41E9A472"/>
    <w:rsid w:val="41EB8815"/>
    <w:rsid w:val="41EC7BFA"/>
    <w:rsid w:val="41EFDC11"/>
    <w:rsid w:val="41F51005"/>
    <w:rsid w:val="41F9C317"/>
    <w:rsid w:val="42048C20"/>
    <w:rsid w:val="420AD293"/>
    <w:rsid w:val="420E5119"/>
    <w:rsid w:val="42101E4F"/>
    <w:rsid w:val="4217EBB4"/>
    <w:rsid w:val="422E19B8"/>
    <w:rsid w:val="422F0B58"/>
    <w:rsid w:val="4231E7DB"/>
    <w:rsid w:val="4236ACDB"/>
    <w:rsid w:val="424AAD0A"/>
    <w:rsid w:val="424B910F"/>
    <w:rsid w:val="424C8728"/>
    <w:rsid w:val="4262ADCF"/>
    <w:rsid w:val="42697DBE"/>
    <w:rsid w:val="4275B090"/>
    <w:rsid w:val="427AF26A"/>
    <w:rsid w:val="4286F2B1"/>
    <w:rsid w:val="428E512F"/>
    <w:rsid w:val="428F97A2"/>
    <w:rsid w:val="42949C2F"/>
    <w:rsid w:val="429AB118"/>
    <w:rsid w:val="429F9FC7"/>
    <w:rsid w:val="42A55D12"/>
    <w:rsid w:val="42AC4A2C"/>
    <w:rsid w:val="42AD8908"/>
    <w:rsid w:val="42C67DF1"/>
    <w:rsid w:val="42CCBAC1"/>
    <w:rsid w:val="42D0B2A5"/>
    <w:rsid w:val="42D1C7C2"/>
    <w:rsid w:val="42D5FB94"/>
    <w:rsid w:val="42E26045"/>
    <w:rsid w:val="42EC8EF2"/>
    <w:rsid w:val="42ED251B"/>
    <w:rsid w:val="42F338EA"/>
    <w:rsid w:val="43028470"/>
    <w:rsid w:val="430A73C6"/>
    <w:rsid w:val="4316004B"/>
    <w:rsid w:val="43204053"/>
    <w:rsid w:val="43209022"/>
    <w:rsid w:val="4329530D"/>
    <w:rsid w:val="4333E43A"/>
    <w:rsid w:val="43422C03"/>
    <w:rsid w:val="43482D06"/>
    <w:rsid w:val="4354DEDF"/>
    <w:rsid w:val="43576C80"/>
    <w:rsid w:val="437489C7"/>
    <w:rsid w:val="437EED41"/>
    <w:rsid w:val="438197AF"/>
    <w:rsid w:val="4388B8C1"/>
    <w:rsid w:val="4395FF25"/>
    <w:rsid w:val="43B778E1"/>
    <w:rsid w:val="43BE4D11"/>
    <w:rsid w:val="43D0A5D2"/>
    <w:rsid w:val="43D2AE83"/>
    <w:rsid w:val="4403188C"/>
    <w:rsid w:val="440AFBDF"/>
    <w:rsid w:val="441D0D53"/>
    <w:rsid w:val="441D881F"/>
    <w:rsid w:val="4422C312"/>
    <w:rsid w:val="4424C6CA"/>
    <w:rsid w:val="44251E24"/>
    <w:rsid w:val="442843E7"/>
    <w:rsid w:val="442B8853"/>
    <w:rsid w:val="44343E6D"/>
    <w:rsid w:val="444701B7"/>
    <w:rsid w:val="44470D6D"/>
    <w:rsid w:val="4447DC71"/>
    <w:rsid w:val="444E1893"/>
    <w:rsid w:val="444E40BB"/>
    <w:rsid w:val="44631B4F"/>
    <w:rsid w:val="4469E8F6"/>
    <w:rsid w:val="4477627A"/>
    <w:rsid w:val="4483E153"/>
    <w:rsid w:val="448B873E"/>
    <w:rsid w:val="44953149"/>
    <w:rsid w:val="44B25BEB"/>
    <w:rsid w:val="44B33365"/>
    <w:rsid w:val="44B8DEE4"/>
    <w:rsid w:val="44C0980A"/>
    <w:rsid w:val="44C1F93B"/>
    <w:rsid w:val="44C4D314"/>
    <w:rsid w:val="44CE08C1"/>
    <w:rsid w:val="44CEA631"/>
    <w:rsid w:val="44D02D98"/>
    <w:rsid w:val="44E10B5E"/>
    <w:rsid w:val="44E54798"/>
    <w:rsid w:val="44EE4A5B"/>
    <w:rsid w:val="44EEBE66"/>
    <w:rsid w:val="44F2FE37"/>
    <w:rsid w:val="44F55150"/>
    <w:rsid w:val="44F8ACB3"/>
    <w:rsid w:val="44FD0726"/>
    <w:rsid w:val="4504583F"/>
    <w:rsid w:val="4509D2FD"/>
    <w:rsid w:val="450F9C7E"/>
    <w:rsid w:val="45199EB7"/>
    <w:rsid w:val="451FF0DE"/>
    <w:rsid w:val="452134BE"/>
    <w:rsid w:val="4525AC82"/>
    <w:rsid w:val="4531B013"/>
    <w:rsid w:val="453DC876"/>
    <w:rsid w:val="454D378C"/>
    <w:rsid w:val="4553FF16"/>
    <w:rsid w:val="456B9D2B"/>
    <w:rsid w:val="456D4CF6"/>
    <w:rsid w:val="4574FFC9"/>
    <w:rsid w:val="457C28D0"/>
    <w:rsid w:val="458106B6"/>
    <w:rsid w:val="4583E7B2"/>
    <w:rsid w:val="4595AC63"/>
    <w:rsid w:val="45978472"/>
    <w:rsid w:val="45A6EBC7"/>
    <w:rsid w:val="45A8E9ED"/>
    <w:rsid w:val="45BA8EC9"/>
    <w:rsid w:val="45BC62C6"/>
    <w:rsid w:val="45BCF2D0"/>
    <w:rsid w:val="45C10DE1"/>
    <w:rsid w:val="45C41448"/>
    <w:rsid w:val="45C5AD51"/>
    <w:rsid w:val="45C6419F"/>
    <w:rsid w:val="45E24B1C"/>
    <w:rsid w:val="45F17C23"/>
    <w:rsid w:val="45FA4F41"/>
    <w:rsid w:val="45FC6BB9"/>
    <w:rsid w:val="4603B319"/>
    <w:rsid w:val="46142988"/>
    <w:rsid w:val="4623C5CA"/>
    <w:rsid w:val="462649CE"/>
    <w:rsid w:val="4626ACFB"/>
    <w:rsid w:val="463101AA"/>
    <w:rsid w:val="4643008A"/>
    <w:rsid w:val="464A94E7"/>
    <w:rsid w:val="464D0BBA"/>
    <w:rsid w:val="464EFE97"/>
    <w:rsid w:val="46615A6C"/>
    <w:rsid w:val="4665EC3A"/>
    <w:rsid w:val="4673C7E2"/>
    <w:rsid w:val="4682EC05"/>
    <w:rsid w:val="46A32D17"/>
    <w:rsid w:val="46A7788B"/>
    <w:rsid w:val="46A8D8F4"/>
    <w:rsid w:val="46ADA434"/>
    <w:rsid w:val="46ADEDDD"/>
    <w:rsid w:val="46B7CFC8"/>
    <w:rsid w:val="46BF4CB1"/>
    <w:rsid w:val="46D0559E"/>
    <w:rsid w:val="46D121B1"/>
    <w:rsid w:val="46D1E372"/>
    <w:rsid w:val="46D87F86"/>
    <w:rsid w:val="46FF81DD"/>
    <w:rsid w:val="4713046D"/>
    <w:rsid w:val="471CAFCB"/>
    <w:rsid w:val="471D09FE"/>
    <w:rsid w:val="471DAA90"/>
    <w:rsid w:val="4725C82A"/>
    <w:rsid w:val="47265FBB"/>
    <w:rsid w:val="47480880"/>
    <w:rsid w:val="475E4FA1"/>
    <w:rsid w:val="4760EFDC"/>
    <w:rsid w:val="476A5576"/>
    <w:rsid w:val="4781C75B"/>
    <w:rsid w:val="47833358"/>
    <w:rsid w:val="4785D59D"/>
    <w:rsid w:val="4798A639"/>
    <w:rsid w:val="47AB786A"/>
    <w:rsid w:val="47BA34EA"/>
    <w:rsid w:val="47C2C533"/>
    <w:rsid w:val="47C7761A"/>
    <w:rsid w:val="47D3CF4E"/>
    <w:rsid w:val="47E368BE"/>
    <w:rsid w:val="47E5A690"/>
    <w:rsid w:val="47EB680A"/>
    <w:rsid w:val="47ECD78D"/>
    <w:rsid w:val="480A3348"/>
    <w:rsid w:val="480BDB95"/>
    <w:rsid w:val="4810AC6C"/>
    <w:rsid w:val="4816AF6F"/>
    <w:rsid w:val="4819A38A"/>
    <w:rsid w:val="482A3551"/>
    <w:rsid w:val="483601A2"/>
    <w:rsid w:val="483FBD99"/>
    <w:rsid w:val="48419E79"/>
    <w:rsid w:val="48481648"/>
    <w:rsid w:val="48497495"/>
    <w:rsid w:val="4852F181"/>
    <w:rsid w:val="4877B199"/>
    <w:rsid w:val="487A1B45"/>
    <w:rsid w:val="487E03B9"/>
    <w:rsid w:val="488119D2"/>
    <w:rsid w:val="488C59DE"/>
    <w:rsid w:val="4895E705"/>
    <w:rsid w:val="4898A20C"/>
    <w:rsid w:val="4899F7F7"/>
    <w:rsid w:val="48A04F3F"/>
    <w:rsid w:val="48A33DED"/>
    <w:rsid w:val="48B31B74"/>
    <w:rsid w:val="48B9E440"/>
    <w:rsid w:val="48C68424"/>
    <w:rsid w:val="48C92BFB"/>
    <w:rsid w:val="48D01368"/>
    <w:rsid w:val="48E8076B"/>
    <w:rsid w:val="490F4770"/>
    <w:rsid w:val="49371EDC"/>
    <w:rsid w:val="494AAFC6"/>
    <w:rsid w:val="494BCA4A"/>
    <w:rsid w:val="49538A73"/>
    <w:rsid w:val="4954AB43"/>
    <w:rsid w:val="495642AD"/>
    <w:rsid w:val="4968A26C"/>
    <w:rsid w:val="4985CAA6"/>
    <w:rsid w:val="4987A398"/>
    <w:rsid w:val="49A2C078"/>
    <w:rsid w:val="49A349C1"/>
    <w:rsid w:val="49B15BF3"/>
    <w:rsid w:val="49B69562"/>
    <w:rsid w:val="49B6EEAD"/>
    <w:rsid w:val="49BB1186"/>
    <w:rsid w:val="49BB93AC"/>
    <w:rsid w:val="49BE02E4"/>
    <w:rsid w:val="49E097DC"/>
    <w:rsid w:val="4A07289B"/>
    <w:rsid w:val="4A24C8F9"/>
    <w:rsid w:val="4A2AE67D"/>
    <w:rsid w:val="4A33AA15"/>
    <w:rsid w:val="4A483F2B"/>
    <w:rsid w:val="4A56B6DF"/>
    <w:rsid w:val="4A5934C2"/>
    <w:rsid w:val="4A595CC0"/>
    <w:rsid w:val="4A6B0B51"/>
    <w:rsid w:val="4A6D679F"/>
    <w:rsid w:val="4A7472EE"/>
    <w:rsid w:val="4A86DDAD"/>
    <w:rsid w:val="4A8F6815"/>
    <w:rsid w:val="4A9148AB"/>
    <w:rsid w:val="4A93DF7F"/>
    <w:rsid w:val="4AA154AB"/>
    <w:rsid w:val="4AA1CD8B"/>
    <w:rsid w:val="4AA3B658"/>
    <w:rsid w:val="4AA6FBA1"/>
    <w:rsid w:val="4AAAE4D4"/>
    <w:rsid w:val="4AB69670"/>
    <w:rsid w:val="4ABC0387"/>
    <w:rsid w:val="4AC7561D"/>
    <w:rsid w:val="4AC7AC63"/>
    <w:rsid w:val="4AC90115"/>
    <w:rsid w:val="4AD269D6"/>
    <w:rsid w:val="4AF0033B"/>
    <w:rsid w:val="4AF0EE0D"/>
    <w:rsid w:val="4AF768D9"/>
    <w:rsid w:val="4AFF0959"/>
    <w:rsid w:val="4B074DC4"/>
    <w:rsid w:val="4B0DAC3D"/>
    <w:rsid w:val="4B14F438"/>
    <w:rsid w:val="4B1DF13A"/>
    <w:rsid w:val="4B202330"/>
    <w:rsid w:val="4B2FD541"/>
    <w:rsid w:val="4B33CE69"/>
    <w:rsid w:val="4B3443A3"/>
    <w:rsid w:val="4B373BC6"/>
    <w:rsid w:val="4B3D2EB0"/>
    <w:rsid w:val="4B40B2CF"/>
    <w:rsid w:val="4B6BDF0E"/>
    <w:rsid w:val="4B7798CC"/>
    <w:rsid w:val="4B7A22B1"/>
    <w:rsid w:val="4B80A20F"/>
    <w:rsid w:val="4B847BDB"/>
    <w:rsid w:val="4B886AEB"/>
    <w:rsid w:val="4B8CD364"/>
    <w:rsid w:val="4B94DA49"/>
    <w:rsid w:val="4B9BBF8D"/>
    <w:rsid w:val="4BA35864"/>
    <w:rsid w:val="4BB3335B"/>
    <w:rsid w:val="4BBC176B"/>
    <w:rsid w:val="4BC71B04"/>
    <w:rsid w:val="4BC908C7"/>
    <w:rsid w:val="4BCC2C88"/>
    <w:rsid w:val="4BE7FEA2"/>
    <w:rsid w:val="4BF52D21"/>
    <w:rsid w:val="4BFA8E0A"/>
    <w:rsid w:val="4BFB5022"/>
    <w:rsid w:val="4C032B3B"/>
    <w:rsid w:val="4C0620D2"/>
    <w:rsid w:val="4C0D68AA"/>
    <w:rsid w:val="4C1760C0"/>
    <w:rsid w:val="4C1D54A9"/>
    <w:rsid w:val="4C25FD50"/>
    <w:rsid w:val="4C27789C"/>
    <w:rsid w:val="4C2BF4DE"/>
    <w:rsid w:val="4C3DBF25"/>
    <w:rsid w:val="4C424250"/>
    <w:rsid w:val="4C46FF22"/>
    <w:rsid w:val="4C48DF8F"/>
    <w:rsid w:val="4C4BE7B3"/>
    <w:rsid w:val="4C54A2DB"/>
    <w:rsid w:val="4C5DD144"/>
    <w:rsid w:val="4C6CC424"/>
    <w:rsid w:val="4C7DFCDA"/>
    <w:rsid w:val="4C80AB4A"/>
    <w:rsid w:val="4C884A7E"/>
    <w:rsid w:val="4C8CD954"/>
    <w:rsid w:val="4C96993B"/>
    <w:rsid w:val="4C9DBD87"/>
    <w:rsid w:val="4CA25ADD"/>
    <w:rsid w:val="4CA8F652"/>
    <w:rsid w:val="4CB58E0B"/>
    <w:rsid w:val="4CB64549"/>
    <w:rsid w:val="4CB97C7D"/>
    <w:rsid w:val="4CBDF7C6"/>
    <w:rsid w:val="4CCEB49A"/>
    <w:rsid w:val="4CD10CCF"/>
    <w:rsid w:val="4CDC99E0"/>
    <w:rsid w:val="4CEDE023"/>
    <w:rsid w:val="4CEFB3E0"/>
    <w:rsid w:val="4D0EF90D"/>
    <w:rsid w:val="4D4279E8"/>
    <w:rsid w:val="4D49FA18"/>
    <w:rsid w:val="4D5A748B"/>
    <w:rsid w:val="4D654131"/>
    <w:rsid w:val="4D6D3443"/>
    <w:rsid w:val="4D6FFFC3"/>
    <w:rsid w:val="4D76058B"/>
    <w:rsid w:val="4D795E00"/>
    <w:rsid w:val="4D840F87"/>
    <w:rsid w:val="4D8DEB2F"/>
    <w:rsid w:val="4D971901"/>
    <w:rsid w:val="4DA154A7"/>
    <w:rsid w:val="4DA2FA22"/>
    <w:rsid w:val="4DA522E2"/>
    <w:rsid w:val="4DAD5CA4"/>
    <w:rsid w:val="4DAFDA7F"/>
    <w:rsid w:val="4DC4EDC7"/>
    <w:rsid w:val="4DDDA002"/>
    <w:rsid w:val="4DDFEB10"/>
    <w:rsid w:val="4DE25BA0"/>
    <w:rsid w:val="4DEB6B5F"/>
    <w:rsid w:val="4DEBB296"/>
    <w:rsid w:val="4DF08191"/>
    <w:rsid w:val="4DFF3A89"/>
    <w:rsid w:val="4E0D6921"/>
    <w:rsid w:val="4E21ADFA"/>
    <w:rsid w:val="4E2859CF"/>
    <w:rsid w:val="4E2B9E56"/>
    <w:rsid w:val="4E2ED682"/>
    <w:rsid w:val="4E31E4F4"/>
    <w:rsid w:val="4E32CCBF"/>
    <w:rsid w:val="4E354261"/>
    <w:rsid w:val="4E355341"/>
    <w:rsid w:val="4E38624D"/>
    <w:rsid w:val="4E43C907"/>
    <w:rsid w:val="4E5FC39E"/>
    <w:rsid w:val="4E64C969"/>
    <w:rsid w:val="4E673EBE"/>
    <w:rsid w:val="4E721DE3"/>
    <w:rsid w:val="4E744C36"/>
    <w:rsid w:val="4E7831BC"/>
    <w:rsid w:val="4E7F3246"/>
    <w:rsid w:val="4E81B6E0"/>
    <w:rsid w:val="4E8C31EE"/>
    <w:rsid w:val="4E9B9F2C"/>
    <w:rsid w:val="4EB3D949"/>
    <w:rsid w:val="4EB81000"/>
    <w:rsid w:val="4EB81BEA"/>
    <w:rsid w:val="4ECE6760"/>
    <w:rsid w:val="4ED047CC"/>
    <w:rsid w:val="4EE3751A"/>
    <w:rsid w:val="4EE55387"/>
    <w:rsid w:val="4EE89B85"/>
    <w:rsid w:val="4EE95B77"/>
    <w:rsid w:val="4EF644EC"/>
    <w:rsid w:val="4EFA252E"/>
    <w:rsid w:val="4EFCF42E"/>
    <w:rsid w:val="4EFD47DC"/>
    <w:rsid w:val="4F0C08ED"/>
    <w:rsid w:val="4F0D17AA"/>
    <w:rsid w:val="4F0D8062"/>
    <w:rsid w:val="4F1ED783"/>
    <w:rsid w:val="4F20D7C1"/>
    <w:rsid w:val="4F2A7779"/>
    <w:rsid w:val="4F2F3CBF"/>
    <w:rsid w:val="4F2F9BE1"/>
    <w:rsid w:val="4F3F04D9"/>
    <w:rsid w:val="4F44B1F1"/>
    <w:rsid w:val="4F482763"/>
    <w:rsid w:val="4F4E4C6E"/>
    <w:rsid w:val="4F4FF107"/>
    <w:rsid w:val="4F596D63"/>
    <w:rsid w:val="4F6A5657"/>
    <w:rsid w:val="4F6D23E5"/>
    <w:rsid w:val="4F6E70F5"/>
    <w:rsid w:val="4F713A4E"/>
    <w:rsid w:val="4F7D244F"/>
    <w:rsid w:val="4F8EBBE3"/>
    <w:rsid w:val="4F93D265"/>
    <w:rsid w:val="4FAE57BB"/>
    <w:rsid w:val="4FAF7459"/>
    <w:rsid w:val="4FB345A7"/>
    <w:rsid w:val="4FBFF33D"/>
    <w:rsid w:val="4FD6AD30"/>
    <w:rsid w:val="4FDC8B0F"/>
    <w:rsid w:val="4FE2C33B"/>
    <w:rsid w:val="4FE87EA0"/>
    <w:rsid w:val="4FF1E158"/>
    <w:rsid w:val="5000D757"/>
    <w:rsid w:val="502B9551"/>
    <w:rsid w:val="502F8BAE"/>
    <w:rsid w:val="50315749"/>
    <w:rsid w:val="50351289"/>
    <w:rsid w:val="50457577"/>
    <w:rsid w:val="504AFEAC"/>
    <w:rsid w:val="5051DAEC"/>
    <w:rsid w:val="50558875"/>
    <w:rsid w:val="50568D2A"/>
    <w:rsid w:val="5056A199"/>
    <w:rsid w:val="506C2BB4"/>
    <w:rsid w:val="5072F76D"/>
    <w:rsid w:val="5073EC36"/>
    <w:rsid w:val="507E8D12"/>
    <w:rsid w:val="507FCC0A"/>
    <w:rsid w:val="508182BF"/>
    <w:rsid w:val="5086B77B"/>
    <w:rsid w:val="5092154D"/>
    <w:rsid w:val="5092A928"/>
    <w:rsid w:val="50986405"/>
    <w:rsid w:val="509F98C0"/>
    <w:rsid w:val="50BE6234"/>
    <w:rsid w:val="50D1E9C9"/>
    <w:rsid w:val="50D2654F"/>
    <w:rsid w:val="50D4260D"/>
    <w:rsid w:val="50D982CF"/>
    <w:rsid w:val="50DFEFEC"/>
    <w:rsid w:val="50F04C10"/>
    <w:rsid w:val="50FEB442"/>
    <w:rsid w:val="5104747B"/>
    <w:rsid w:val="510BCAEF"/>
    <w:rsid w:val="510CB207"/>
    <w:rsid w:val="510DD66C"/>
    <w:rsid w:val="51145366"/>
    <w:rsid w:val="5115D453"/>
    <w:rsid w:val="512A159E"/>
    <w:rsid w:val="512D9CF5"/>
    <w:rsid w:val="51349474"/>
    <w:rsid w:val="513B65C4"/>
    <w:rsid w:val="513BB318"/>
    <w:rsid w:val="5140AC6D"/>
    <w:rsid w:val="51579CFA"/>
    <w:rsid w:val="51579D11"/>
    <w:rsid w:val="517050A8"/>
    <w:rsid w:val="518A100E"/>
    <w:rsid w:val="5195567F"/>
    <w:rsid w:val="5195FC67"/>
    <w:rsid w:val="5199B673"/>
    <w:rsid w:val="51A04178"/>
    <w:rsid w:val="51A732E7"/>
    <w:rsid w:val="51AEF7B3"/>
    <w:rsid w:val="51C2D1E9"/>
    <w:rsid w:val="51C4498F"/>
    <w:rsid w:val="51D14E44"/>
    <w:rsid w:val="51DDA692"/>
    <w:rsid w:val="51DF9B21"/>
    <w:rsid w:val="51F7AED9"/>
    <w:rsid w:val="5202F410"/>
    <w:rsid w:val="52044034"/>
    <w:rsid w:val="5208C6B5"/>
    <w:rsid w:val="5220D79F"/>
    <w:rsid w:val="52320B73"/>
    <w:rsid w:val="52486CB9"/>
    <w:rsid w:val="524C1266"/>
    <w:rsid w:val="52518834"/>
    <w:rsid w:val="52535110"/>
    <w:rsid w:val="526068D8"/>
    <w:rsid w:val="5266F957"/>
    <w:rsid w:val="5266FF24"/>
    <w:rsid w:val="5269E136"/>
    <w:rsid w:val="526BDD3A"/>
    <w:rsid w:val="52726CBF"/>
    <w:rsid w:val="5273E40F"/>
    <w:rsid w:val="5274D49B"/>
    <w:rsid w:val="5276E858"/>
    <w:rsid w:val="5277E6D9"/>
    <w:rsid w:val="5279B5A8"/>
    <w:rsid w:val="5279FF29"/>
    <w:rsid w:val="5287D259"/>
    <w:rsid w:val="52880190"/>
    <w:rsid w:val="529BC2D6"/>
    <w:rsid w:val="529EEE3D"/>
    <w:rsid w:val="52A34DB6"/>
    <w:rsid w:val="52A710CD"/>
    <w:rsid w:val="52A8865B"/>
    <w:rsid w:val="52B16CED"/>
    <w:rsid w:val="52B30973"/>
    <w:rsid w:val="52B64362"/>
    <w:rsid w:val="52B6AFE1"/>
    <w:rsid w:val="52B8C1A9"/>
    <w:rsid w:val="52BC4DFF"/>
    <w:rsid w:val="52C41FCE"/>
    <w:rsid w:val="52C5FB08"/>
    <w:rsid w:val="52C72D62"/>
    <w:rsid w:val="52CE69F1"/>
    <w:rsid w:val="52CF2C64"/>
    <w:rsid w:val="52CF8F50"/>
    <w:rsid w:val="52DAE42E"/>
    <w:rsid w:val="52E56A6B"/>
    <w:rsid w:val="52EE1006"/>
    <w:rsid w:val="52EE4255"/>
    <w:rsid w:val="52F2EA83"/>
    <w:rsid w:val="52F38886"/>
    <w:rsid w:val="52F4F50E"/>
    <w:rsid w:val="52F6490E"/>
    <w:rsid w:val="52F87D3F"/>
    <w:rsid w:val="52FB9622"/>
    <w:rsid w:val="52FF7C13"/>
    <w:rsid w:val="53063DCA"/>
    <w:rsid w:val="5306DF0F"/>
    <w:rsid w:val="5311CD05"/>
    <w:rsid w:val="5325825E"/>
    <w:rsid w:val="5328AA2E"/>
    <w:rsid w:val="532A1622"/>
    <w:rsid w:val="532C9889"/>
    <w:rsid w:val="532D84EB"/>
    <w:rsid w:val="532EFF77"/>
    <w:rsid w:val="5334E0F8"/>
    <w:rsid w:val="5340EA9C"/>
    <w:rsid w:val="5342D4A1"/>
    <w:rsid w:val="53505C45"/>
    <w:rsid w:val="5354B934"/>
    <w:rsid w:val="535DDF52"/>
    <w:rsid w:val="536C4044"/>
    <w:rsid w:val="537370A4"/>
    <w:rsid w:val="53769804"/>
    <w:rsid w:val="5380A429"/>
    <w:rsid w:val="5392946D"/>
    <w:rsid w:val="5392959F"/>
    <w:rsid w:val="53AA982F"/>
    <w:rsid w:val="53AC0CD6"/>
    <w:rsid w:val="53AD2DCD"/>
    <w:rsid w:val="53AF71E5"/>
    <w:rsid w:val="53CE8DC1"/>
    <w:rsid w:val="53E56C4D"/>
    <w:rsid w:val="53EBF9CB"/>
    <w:rsid w:val="53FE73C4"/>
    <w:rsid w:val="540D911D"/>
    <w:rsid w:val="54140227"/>
    <w:rsid w:val="541C8E20"/>
    <w:rsid w:val="54264A87"/>
    <w:rsid w:val="544B0817"/>
    <w:rsid w:val="5459171A"/>
    <w:rsid w:val="545F56C9"/>
    <w:rsid w:val="546C25CF"/>
    <w:rsid w:val="546D9356"/>
    <w:rsid w:val="546E0733"/>
    <w:rsid w:val="54794C1C"/>
    <w:rsid w:val="54884754"/>
    <w:rsid w:val="548A6821"/>
    <w:rsid w:val="548AEFA7"/>
    <w:rsid w:val="548EE223"/>
    <w:rsid w:val="54982211"/>
    <w:rsid w:val="54995430"/>
    <w:rsid w:val="549B93C5"/>
    <w:rsid w:val="549DD8B5"/>
    <w:rsid w:val="54AE7CC8"/>
    <w:rsid w:val="54B1236B"/>
    <w:rsid w:val="54B23238"/>
    <w:rsid w:val="54B47D90"/>
    <w:rsid w:val="54D4BE0F"/>
    <w:rsid w:val="54D5F4B5"/>
    <w:rsid w:val="54E22473"/>
    <w:rsid w:val="54E357FE"/>
    <w:rsid w:val="54E4FD8D"/>
    <w:rsid w:val="54F4F3EB"/>
    <w:rsid w:val="54FE9B7C"/>
    <w:rsid w:val="550AD5AE"/>
    <w:rsid w:val="550E1D05"/>
    <w:rsid w:val="55175225"/>
    <w:rsid w:val="5521F271"/>
    <w:rsid w:val="552B47C6"/>
    <w:rsid w:val="552BE717"/>
    <w:rsid w:val="552EAD4C"/>
    <w:rsid w:val="553C2999"/>
    <w:rsid w:val="554C0A18"/>
    <w:rsid w:val="5554D34A"/>
    <w:rsid w:val="555CBC6E"/>
    <w:rsid w:val="55611BE6"/>
    <w:rsid w:val="55642AB7"/>
    <w:rsid w:val="556BEAB7"/>
    <w:rsid w:val="55784716"/>
    <w:rsid w:val="55800D7B"/>
    <w:rsid w:val="558302D3"/>
    <w:rsid w:val="5591B66E"/>
    <w:rsid w:val="559505A6"/>
    <w:rsid w:val="5595D737"/>
    <w:rsid w:val="55A1570C"/>
    <w:rsid w:val="55B5C07F"/>
    <w:rsid w:val="55BF9D83"/>
    <w:rsid w:val="55D2870F"/>
    <w:rsid w:val="55D4160A"/>
    <w:rsid w:val="55E0995E"/>
    <w:rsid w:val="55F11C49"/>
    <w:rsid w:val="55F282B9"/>
    <w:rsid w:val="55F602E8"/>
    <w:rsid w:val="55FA5B6C"/>
    <w:rsid w:val="5609880A"/>
    <w:rsid w:val="560AE498"/>
    <w:rsid w:val="560C886B"/>
    <w:rsid w:val="56175DC0"/>
    <w:rsid w:val="561A0DD6"/>
    <w:rsid w:val="562CC40D"/>
    <w:rsid w:val="5649A634"/>
    <w:rsid w:val="5653377F"/>
    <w:rsid w:val="56572208"/>
    <w:rsid w:val="565A0875"/>
    <w:rsid w:val="5662BD75"/>
    <w:rsid w:val="5666CD1C"/>
    <w:rsid w:val="566FC43E"/>
    <w:rsid w:val="5671B1CF"/>
    <w:rsid w:val="567E03FB"/>
    <w:rsid w:val="56809196"/>
    <w:rsid w:val="56814380"/>
    <w:rsid w:val="56829E86"/>
    <w:rsid w:val="56893106"/>
    <w:rsid w:val="569098E2"/>
    <w:rsid w:val="569A6BDD"/>
    <w:rsid w:val="56AC1704"/>
    <w:rsid w:val="56B5CF31"/>
    <w:rsid w:val="56BCD133"/>
    <w:rsid w:val="56D7C736"/>
    <w:rsid w:val="56F760E0"/>
    <w:rsid w:val="56F96B1A"/>
    <w:rsid w:val="570344EB"/>
    <w:rsid w:val="5707A589"/>
    <w:rsid w:val="57082855"/>
    <w:rsid w:val="5708292C"/>
    <w:rsid w:val="570CE396"/>
    <w:rsid w:val="5710C433"/>
    <w:rsid w:val="5712786F"/>
    <w:rsid w:val="571F329D"/>
    <w:rsid w:val="5728E403"/>
    <w:rsid w:val="57301A7B"/>
    <w:rsid w:val="57330632"/>
    <w:rsid w:val="573AB26E"/>
    <w:rsid w:val="5740357E"/>
    <w:rsid w:val="574A7787"/>
    <w:rsid w:val="575B437C"/>
    <w:rsid w:val="5770073F"/>
    <w:rsid w:val="57765AC6"/>
    <w:rsid w:val="578103DA"/>
    <w:rsid w:val="57837801"/>
    <w:rsid w:val="57A40A5B"/>
    <w:rsid w:val="57A4E858"/>
    <w:rsid w:val="57AA28B8"/>
    <w:rsid w:val="57AD3F83"/>
    <w:rsid w:val="57B47E3A"/>
    <w:rsid w:val="57BEC733"/>
    <w:rsid w:val="57C355F5"/>
    <w:rsid w:val="57C601A6"/>
    <w:rsid w:val="57C850F8"/>
    <w:rsid w:val="57E24813"/>
    <w:rsid w:val="57EF2441"/>
    <w:rsid w:val="57F0BF94"/>
    <w:rsid w:val="57F240AB"/>
    <w:rsid w:val="57FBE537"/>
    <w:rsid w:val="580697FD"/>
    <w:rsid w:val="5808B4A6"/>
    <w:rsid w:val="5811165A"/>
    <w:rsid w:val="5812CA02"/>
    <w:rsid w:val="581CD4C8"/>
    <w:rsid w:val="581E34C2"/>
    <w:rsid w:val="582139E9"/>
    <w:rsid w:val="582AE904"/>
    <w:rsid w:val="583751D8"/>
    <w:rsid w:val="58379B8B"/>
    <w:rsid w:val="583A059F"/>
    <w:rsid w:val="583E4A00"/>
    <w:rsid w:val="5859954A"/>
    <w:rsid w:val="585BC99D"/>
    <w:rsid w:val="586BF256"/>
    <w:rsid w:val="586DBF8C"/>
    <w:rsid w:val="5870A3DA"/>
    <w:rsid w:val="587BA3BE"/>
    <w:rsid w:val="587E0952"/>
    <w:rsid w:val="58903325"/>
    <w:rsid w:val="589D98D3"/>
    <w:rsid w:val="589E5879"/>
    <w:rsid w:val="589E650B"/>
    <w:rsid w:val="58A99942"/>
    <w:rsid w:val="58B3BCAE"/>
    <w:rsid w:val="58CAE98B"/>
    <w:rsid w:val="58CBEADC"/>
    <w:rsid w:val="58CBFCFE"/>
    <w:rsid w:val="58CBFE0A"/>
    <w:rsid w:val="58CD2168"/>
    <w:rsid w:val="58CECB42"/>
    <w:rsid w:val="58E03B91"/>
    <w:rsid w:val="58E3482B"/>
    <w:rsid w:val="58E99BC9"/>
    <w:rsid w:val="58F2F27C"/>
    <w:rsid w:val="58F55701"/>
    <w:rsid w:val="58F713DD"/>
    <w:rsid w:val="58F8ADD6"/>
    <w:rsid w:val="59076DDE"/>
    <w:rsid w:val="590ABB09"/>
    <w:rsid w:val="591B0747"/>
    <w:rsid w:val="591FA9FC"/>
    <w:rsid w:val="593DB41F"/>
    <w:rsid w:val="59477C61"/>
    <w:rsid w:val="595D3F74"/>
    <w:rsid w:val="595D5B5A"/>
    <w:rsid w:val="5962A49A"/>
    <w:rsid w:val="59664B4C"/>
    <w:rsid w:val="5967EDAD"/>
    <w:rsid w:val="596B938D"/>
    <w:rsid w:val="596F6753"/>
    <w:rsid w:val="59741057"/>
    <w:rsid w:val="597DD373"/>
    <w:rsid w:val="598508B9"/>
    <w:rsid w:val="598D7893"/>
    <w:rsid w:val="599BA04D"/>
    <w:rsid w:val="59A4E310"/>
    <w:rsid w:val="59A76576"/>
    <w:rsid w:val="59B3CF2E"/>
    <w:rsid w:val="59B7D07F"/>
    <w:rsid w:val="59BB0062"/>
    <w:rsid w:val="59BDE8BA"/>
    <w:rsid w:val="59C0A859"/>
    <w:rsid w:val="59C1064D"/>
    <w:rsid w:val="59D2A8BF"/>
    <w:rsid w:val="59D59658"/>
    <w:rsid w:val="59D5F9C7"/>
    <w:rsid w:val="59DDF3CB"/>
    <w:rsid w:val="59E4153D"/>
    <w:rsid w:val="59E5168B"/>
    <w:rsid w:val="59E5AD23"/>
    <w:rsid w:val="59EEA321"/>
    <w:rsid w:val="59F9258E"/>
    <w:rsid w:val="5A063DD7"/>
    <w:rsid w:val="5A07A68F"/>
    <w:rsid w:val="5A089657"/>
    <w:rsid w:val="5A119BE1"/>
    <w:rsid w:val="5A13C431"/>
    <w:rsid w:val="5A188979"/>
    <w:rsid w:val="5A19D9B3"/>
    <w:rsid w:val="5A225FCC"/>
    <w:rsid w:val="5A261DEE"/>
    <w:rsid w:val="5A2633BE"/>
    <w:rsid w:val="5A27E408"/>
    <w:rsid w:val="5A2C0386"/>
    <w:rsid w:val="5A2EBCDD"/>
    <w:rsid w:val="5A367C82"/>
    <w:rsid w:val="5A384918"/>
    <w:rsid w:val="5A3C5AF4"/>
    <w:rsid w:val="5A461090"/>
    <w:rsid w:val="5A4B4677"/>
    <w:rsid w:val="5A52902F"/>
    <w:rsid w:val="5A56BF5A"/>
    <w:rsid w:val="5A588A3D"/>
    <w:rsid w:val="5A5EAF1C"/>
    <w:rsid w:val="5A661892"/>
    <w:rsid w:val="5A66CAB3"/>
    <w:rsid w:val="5A6E7350"/>
    <w:rsid w:val="5A7713E5"/>
    <w:rsid w:val="5A79BBE1"/>
    <w:rsid w:val="5A7A1A0D"/>
    <w:rsid w:val="5A8F88E9"/>
    <w:rsid w:val="5A928265"/>
    <w:rsid w:val="5A98D239"/>
    <w:rsid w:val="5A9F2787"/>
    <w:rsid w:val="5A9F2D3E"/>
    <w:rsid w:val="5AA05862"/>
    <w:rsid w:val="5AA5EE27"/>
    <w:rsid w:val="5AA68936"/>
    <w:rsid w:val="5AA68B6A"/>
    <w:rsid w:val="5AAA8024"/>
    <w:rsid w:val="5AADCFE8"/>
    <w:rsid w:val="5AAEC92B"/>
    <w:rsid w:val="5AB33A41"/>
    <w:rsid w:val="5AB50425"/>
    <w:rsid w:val="5AB5CDE7"/>
    <w:rsid w:val="5AC28B6E"/>
    <w:rsid w:val="5AC3E0B1"/>
    <w:rsid w:val="5AD73AB1"/>
    <w:rsid w:val="5AD8E35D"/>
    <w:rsid w:val="5AE23E89"/>
    <w:rsid w:val="5AE840C2"/>
    <w:rsid w:val="5AF85D55"/>
    <w:rsid w:val="5B04D13C"/>
    <w:rsid w:val="5B0B53ED"/>
    <w:rsid w:val="5B148BB9"/>
    <w:rsid w:val="5B22E273"/>
    <w:rsid w:val="5B263DD5"/>
    <w:rsid w:val="5B30774B"/>
    <w:rsid w:val="5B3E72CC"/>
    <w:rsid w:val="5B484621"/>
    <w:rsid w:val="5B56A7E1"/>
    <w:rsid w:val="5B5D076F"/>
    <w:rsid w:val="5B5D806C"/>
    <w:rsid w:val="5B6099E9"/>
    <w:rsid w:val="5B6A48CF"/>
    <w:rsid w:val="5B6EA307"/>
    <w:rsid w:val="5B71CA28"/>
    <w:rsid w:val="5B757A73"/>
    <w:rsid w:val="5B8843CB"/>
    <w:rsid w:val="5B95DB85"/>
    <w:rsid w:val="5BB5AA14"/>
    <w:rsid w:val="5BC29A60"/>
    <w:rsid w:val="5BC4EE3F"/>
    <w:rsid w:val="5BD4E6FB"/>
    <w:rsid w:val="5BDCBF19"/>
    <w:rsid w:val="5BE10AF9"/>
    <w:rsid w:val="5BE6AED4"/>
    <w:rsid w:val="5BEB85C1"/>
    <w:rsid w:val="5BF4F68C"/>
    <w:rsid w:val="5BF51DE6"/>
    <w:rsid w:val="5BFF7663"/>
    <w:rsid w:val="5C01403E"/>
    <w:rsid w:val="5C049200"/>
    <w:rsid w:val="5C0B941D"/>
    <w:rsid w:val="5C1E87AD"/>
    <w:rsid w:val="5C204320"/>
    <w:rsid w:val="5C21ED5A"/>
    <w:rsid w:val="5C2572ED"/>
    <w:rsid w:val="5C2AEADC"/>
    <w:rsid w:val="5C2B783D"/>
    <w:rsid w:val="5C2C7D79"/>
    <w:rsid w:val="5C2D10F5"/>
    <w:rsid w:val="5C338DA4"/>
    <w:rsid w:val="5C37C567"/>
    <w:rsid w:val="5C425997"/>
    <w:rsid w:val="5C4F12B5"/>
    <w:rsid w:val="5C551028"/>
    <w:rsid w:val="5C76468F"/>
    <w:rsid w:val="5C7BC9EF"/>
    <w:rsid w:val="5C7EBFE5"/>
    <w:rsid w:val="5C9A9463"/>
    <w:rsid w:val="5C9E9390"/>
    <w:rsid w:val="5CA1C91D"/>
    <w:rsid w:val="5CA48661"/>
    <w:rsid w:val="5CA9D2DD"/>
    <w:rsid w:val="5CCDC897"/>
    <w:rsid w:val="5CD4CDEC"/>
    <w:rsid w:val="5CD620C6"/>
    <w:rsid w:val="5CD66A11"/>
    <w:rsid w:val="5CDB0F61"/>
    <w:rsid w:val="5CDD6E8C"/>
    <w:rsid w:val="5CE40635"/>
    <w:rsid w:val="5CEC289D"/>
    <w:rsid w:val="5CFE6FEA"/>
    <w:rsid w:val="5D1C283B"/>
    <w:rsid w:val="5D1FBD42"/>
    <w:rsid w:val="5D2A8AE1"/>
    <w:rsid w:val="5D2BE605"/>
    <w:rsid w:val="5D324FB0"/>
    <w:rsid w:val="5D416439"/>
    <w:rsid w:val="5D445314"/>
    <w:rsid w:val="5D57402E"/>
    <w:rsid w:val="5D62F43B"/>
    <w:rsid w:val="5D79B809"/>
    <w:rsid w:val="5D7A5B25"/>
    <w:rsid w:val="5D7ADD11"/>
    <w:rsid w:val="5D85FBBB"/>
    <w:rsid w:val="5D8F1C63"/>
    <w:rsid w:val="5D917B67"/>
    <w:rsid w:val="5D992880"/>
    <w:rsid w:val="5D9A37D8"/>
    <w:rsid w:val="5D9EDD7A"/>
    <w:rsid w:val="5D9F8F62"/>
    <w:rsid w:val="5DAEBFB7"/>
    <w:rsid w:val="5DB830C8"/>
    <w:rsid w:val="5DB91E89"/>
    <w:rsid w:val="5DC6DCF1"/>
    <w:rsid w:val="5DCC4E90"/>
    <w:rsid w:val="5DD14271"/>
    <w:rsid w:val="5DD7F924"/>
    <w:rsid w:val="5DDDCD20"/>
    <w:rsid w:val="5DE3A54B"/>
    <w:rsid w:val="5DE48999"/>
    <w:rsid w:val="5DEF7049"/>
    <w:rsid w:val="5E2489C2"/>
    <w:rsid w:val="5E2BA153"/>
    <w:rsid w:val="5E36C00F"/>
    <w:rsid w:val="5E4898EC"/>
    <w:rsid w:val="5E5864AC"/>
    <w:rsid w:val="5E63F661"/>
    <w:rsid w:val="5E650641"/>
    <w:rsid w:val="5E795CB3"/>
    <w:rsid w:val="5E7A08A3"/>
    <w:rsid w:val="5E820B99"/>
    <w:rsid w:val="5E8ACFF7"/>
    <w:rsid w:val="5E8C4ED1"/>
    <w:rsid w:val="5E93F4E8"/>
    <w:rsid w:val="5EA7C4DB"/>
    <w:rsid w:val="5EAAA504"/>
    <w:rsid w:val="5EB69087"/>
    <w:rsid w:val="5EC0EFC0"/>
    <w:rsid w:val="5ED62D3A"/>
    <w:rsid w:val="5ED78C9A"/>
    <w:rsid w:val="5F02E0B1"/>
    <w:rsid w:val="5F0D2BA5"/>
    <w:rsid w:val="5F0EDF49"/>
    <w:rsid w:val="5F1EA7D5"/>
    <w:rsid w:val="5F1FC853"/>
    <w:rsid w:val="5F45DD47"/>
    <w:rsid w:val="5F4D2D04"/>
    <w:rsid w:val="5F56B3E5"/>
    <w:rsid w:val="5F5BED65"/>
    <w:rsid w:val="5F5E3B74"/>
    <w:rsid w:val="5F64D91D"/>
    <w:rsid w:val="5F733D01"/>
    <w:rsid w:val="5F76561E"/>
    <w:rsid w:val="5F768DC0"/>
    <w:rsid w:val="5F7C0B14"/>
    <w:rsid w:val="5F8004A7"/>
    <w:rsid w:val="5F803157"/>
    <w:rsid w:val="5F9AFF6B"/>
    <w:rsid w:val="5FA59447"/>
    <w:rsid w:val="5FC2A6B8"/>
    <w:rsid w:val="5FCEAFA1"/>
    <w:rsid w:val="5FD4C4FA"/>
    <w:rsid w:val="5FD6AC08"/>
    <w:rsid w:val="5FF1CA78"/>
    <w:rsid w:val="5FF22AAB"/>
    <w:rsid w:val="5FF439FA"/>
    <w:rsid w:val="5FF80CEF"/>
    <w:rsid w:val="5FFE40DF"/>
    <w:rsid w:val="6007AE39"/>
    <w:rsid w:val="6007CDCA"/>
    <w:rsid w:val="60105C5F"/>
    <w:rsid w:val="6011211F"/>
    <w:rsid w:val="60118628"/>
    <w:rsid w:val="6012651F"/>
    <w:rsid w:val="6013A9D8"/>
    <w:rsid w:val="6016C205"/>
    <w:rsid w:val="601F2B7D"/>
    <w:rsid w:val="6020D9B9"/>
    <w:rsid w:val="6025ECCB"/>
    <w:rsid w:val="602C871B"/>
    <w:rsid w:val="6030F767"/>
    <w:rsid w:val="60325867"/>
    <w:rsid w:val="6038678F"/>
    <w:rsid w:val="604101AF"/>
    <w:rsid w:val="60414557"/>
    <w:rsid w:val="6045CDA3"/>
    <w:rsid w:val="6049A9AA"/>
    <w:rsid w:val="605CE950"/>
    <w:rsid w:val="6060087E"/>
    <w:rsid w:val="606042A9"/>
    <w:rsid w:val="60620AFE"/>
    <w:rsid w:val="606FFDB4"/>
    <w:rsid w:val="6070CB81"/>
    <w:rsid w:val="6075D2A2"/>
    <w:rsid w:val="60848470"/>
    <w:rsid w:val="60882AAB"/>
    <w:rsid w:val="6099D19C"/>
    <w:rsid w:val="609ABD42"/>
    <w:rsid w:val="609AFAE6"/>
    <w:rsid w:val="60AAED79"/>
    <w:rsid w:val="60B249C0"/>
    <w:rsid w:val="60B30F46"/>
    <w:rsid w:val="60BB76DE"/>
    <w:rsid w:val="60BE82CC"/>
    <w:rsid w:val="60BF39FF"/>
    <w:rsid w:val="60C615A3"/>
    <w:rsid w:val="60CA528B"/>
    <w:rsid w:val="60D1DD52"/>
    <w:rsid w:val="60E7CD72"/>
    <w:rsid w:val="61039E9F"/>
    <w:rsid w:val="61102F2A"/>
    <w:rsid w:val="611D784A"/>
    <w:rsid w:val="6124BA85"/>
    <w:rsid w:val="61291AD1"/>
    <w:rsid w:val="612B6815"/>
    <w:rsid w:val="612F6EA6"/>
    <w:rsid w:val="61330A72"/>
    <w:rsid w:val="615A29E7"/>
    <w:rsid w:val="615C0663"/>
    <w:rsid w:val="615EC96B"/>
    <w:rsid w:val="615F953C"/>
    <w:rsid w:val="61641D47"/>
    <w:rsid w:val="61674D4E"/>
    <w:rsid w:val="6168C0D4"/>
    <w:rsid w:val="616BC6EA"/>
    <w:rsid w:val="616E0051"/>
    <w:rsid w:val="6177613A"/>
    <w:rsid w:val="61844F4A"/>
    <w:rsid w:val="6196A060"/>
    <w:rsid w:val="619F6EB6"/>
    <w:rsid w:val="61A50930"/>
    <w:rsid w:val="61A75582"/>
    <w:rsid w:val="61A92371"/>
    <w:rsid w:val="61AB6D6B"/>
    <w:rsid w:val="61B1A23E"/>
    <w:rsid w:val="61B32096"/>
    <w:rsid w:val="61B95CA4"/>
    <w:rsid w:val="61C3C3F5"/>
    <w:rsid w:val="61C3D3CF"/>
    <w:rsid w:val="61CA064D"/>
    <w:rsid w:val="61CB4F89"/>
    <w:rsid w:val="61D12737"/>
    <w:rsid w:val="61D38599"/>
    <w:rsid w:val="61D47829"/>
    <w:rsid w:val="61D86552"/>
    <w:rsid w:val="61DC6BD6"/>
    <w:rsid w:val="61E080E0"/>
    <w:rsid w:val="61E28D5A"/>
    <w:rsid w:val="61EF995E"/>
    <w:rsid w:val="61F9B2A6"/>
    <w:rsid w:val="61FBE32D"/>
    <w:rsid w:val="61FF5728"/>
    <w:rsid w:val="6213D1DA"/>
    <w:rsid w:val="621BAFBF"/>
    <w:rsid w:val="621C9B5C"/>
    <w:rsid w:val="621E2058"/>
    <w:rsid w:val="6221767E"/>
    <w:rsid w:val="62244B1A"/>
    <w:rsid w:val="622D5CA6"/>
    <w:rsid w:val="623381E3"/>
    <w:rsid w:val="624789E8"/>
    <w:rsid w:val="62489BC9"/>
    <w:rsid w:val="6259B4BA"/>
    <w:rsid w:val="6267F796"/>
    <w:rsid w:val="626904B1"/>
    <w:rsid w:val="627206F4"/>
    <w:rsid w:val="6272116F"/>
    <w:rsid w:val="62772CAA"/>
    <w:rsid w:val="628308B0"/>
    <w:rsid w:val="62868C21"/>
    <w:rsid w:val="6289CAE2"/>
    <w:rsid w:val="6296FA44"/>
    <w:rsid w:val="62A40326"/>
    <w:rsid w:val="62A610B7"/>
    <w:rsid w:val="62A9A8C5"/>
    <w:rsid w:val="62AEFBDB"/>
    <w:rsid w:val="62B75037"/>
    <w:rsid w:val="62CEC31F"/>
    <w:rsid w:val="62D14C6F"/>
    <w:rsid w:val="62D91A0F"/>
    <w:rsid w:val="62DDD24E"/>
    <w:rsid w:val="62E18202"/>
    <w:rsid w:val="62E78D2C"/>
    <w:rsid w:val="62EA6070"/>
    <w:rsid w:val="62ED6F32"/>
    <w:rsid w:val="62F11456"/>
    <w:rsid w:val="62F2F3DB"/>
    <w:rsid w:val="63031DAF"/>
    <w:rsid w:val="6303F86C"/>
    <w:rsid w:val="630F9A7F"/>
    <w:rsid w:val="63153343"/>
    <w:rsid w:val="63455B6E"/>
    <w:rsid w:val="634CD351"/>
    <w:rsid w:val="6357B137"/>
    <w:rsid w:val="63638651"/>
    <w:rsid w:val="636758A3"/>
    <w:rsid w:val="63723500"/>
    <w:rsid w:val="6373FFD6"/>
    <w:rsid w:val="6379881F"/>
    <w:rsid w:val="63798D2D"/>
    <w:rsid w:val="638BF3B5"/>
    <w:rsid w:val="63A07130"/>
    <w:rsid w:val="63AC3F3C"/>
    <w:rsid w:val="63BEBE90"/>
    <w:rsid w:val="63C6A958"/>
    <w:rsid w:val="63D3FE48"/>
    <w:rsid w:val="63D43F24"/>
    <w:rsid w:val="63E2506C"/>
    <w:rsid w:val="63E6749E"/>
    <w:rsid w:val="63E6BAEC"/>
    <w:rsid w:val="63EC1942"/>
    <w:rsid w:val="63FB9B55"/>
    <w:rsid w:val="6402CFDA"/>
    <w:rsid w:val="641BAA75"/>
    <w:rsid w:val="641CDE40"/>
    <w:rsid w:val="641ED911"/>
    <w:rsid w:val="642286D1"/>
    <w:rsid w:val="64384E20"/>
    <w:rsid w:val="643EE0F4"/>
    <w:rsid w:val="6440E158"/>
    <w:rsid w:val="6460B09D"/>
    <w:rsid w:val="646267C8"/>
    <w:rsid w:val="6466EA18"/>
    <w:rsid w:val="6467A7E3"/>
    <w:rsid w:val="646808F0"/>
    <w:rsid w:val="6476814C"/>
    <w:rsid w:val="6486E7A5"/>
    <w:rsid w:val="649D0526"/>
    <w:rsid w:val="64ACCC76"/>
    <w:rsid w:val="64B6D140"/>
    <w:rsid w:val="64BABB99"/>
    <w:rsid w:val="64C00D5D"/>
    <w:rsid w:val="64C649F1"/>
    <w:rsid w:val="64D92DA8"/>
    <w:rsid w:val="64EA9355"/>
    <w:rsid w:val="64FBAA97"/>
    <w:rsid w:val="64FFF3C5"/>
    <w:rsid w:val="65006FFA"/>
    <w:rsid w:val="6501B157"/>
    <w:rsid w:val="65056DC4"/>
    <w:rsid w:val="6506673D"/>
    <w:rsid w:val="650E31EF"/>
    <w:rsid w:val="651F6CC6"/>
    <w:rsid w:val="65269702"/>
    <w:rsid w:val="65273A20"/>
    <w:rsid w:val="652F3D40"/>
    <w:rsid w:val="653D6BF5"/>
    <w:rsid w:val="653F2CB6"/>
    <w:rsid w:val="65402AE7"/>
    <w:rsid w:val="654CCD2D"/>
    <w:rsid w:val="6561D530"/>
    <w:rsid w:val="656B3D19"/>
    <w:rsid w:val="656BC47C"/>
    <w:rsid w:val="656DBDBF"/>
    <w:rsid w:val="6578987E"/>
    <w:rsid w:val="659650D1"/>
    <w:rsid w:val="659A56EF"/>
    <w:rsid w:val="65A18B74"/>
    <w:rsid w:val="65A46063"/>
    <w:rsid w:val="65BA20B7"/>
    <w:rsid w:val="65BCC5E9"/>
    <w:rsid w:val="65BDECBB"/>
    <w:rsid w:val="65BE2CE3"/>
    <w:rsid w:val="65BFCBAB"/>
    <w:rsid w:val="65C0D364"/>
    <w:rsid w:val="65C64D55"/>
    <w:rsid w:val="65CE28EB"/>
    <w:rsid w:val="65D3B515"/>
    <w:rsid w:val="65DAB155"/>
    <w:rsid w:val="65DD6187"/>
    <w:rsid w:val="65DE1F05"/>
    <w:rsid w:val="65DFC0DA"/>
    <w:rsid w:val="65E01E14"/>
    <w:rsid w:val="65E8DCC9"/>
    <w:rsid w:val="65FF40B9"/>
    <w:rsid w:val="66091044"/>
    <w:rsid w:val="660B5853"/>
    <w:rsid w:val="660BBD61"/>
    <w:rsid w:val="66201C55"/>
    <w:rsid w:val="662D2695"/>
    <w:rsid w:val="6631EC9F"/>
    <w:rsid w:val="664339CA"/>
    <w:rsid w:val="66628A87"/>
    <w:rsid w:val="6664CB1B"/>
    <w:rsid w:val="6669F02D"/>
    <w:rsid w:val="666A3D48"/>
    <w:rsid w:val="667BB032"/>
    <w:rsid w:val="668AB5B1"/>
    <w:rsid w:val="668C7EAC"/>
    <w:rsid w:val="668CCDC7"/>
    <w:rsid w:val="66912403"/>
    <w:rsid w:val="669647C8"/>
    <w:rsid w:val="6697674A"/>
    <w:rsid w:val="66BA0DEA"/>
    <w:rsid w:val="66BB71F2"/>
    <w:rsid w:val="66BC83D4"/>
    <w:rsid w:val="66C30A81"/>
    <w:rsid w:val="66C6AE8F"/>
    <w:rsid w:val="66D646E7"/>
    <w:rsid w:val="66D6563B"/>
    <w:rsid w:val="66DDBBAF"/>
    <w:rsid w:val="66E228CC"/>
    <w:rsid w:val="66E4E065"/>
    <w:rsid w:val="66E518EA"/>
    <w:rsid w:val="66EB9422"/>
    <w:rsid w:val="66F00C7F"/>
    <w:rsid w:val="66F04EE7"/>
    <w:rsid w:val="66F16C68"/>
    <w:rsid w:val="66F3630D"/>
    <w:rsid w:val="66F571EA"/>
    <w:rsid w:val="66FBB225"/>
    <w:rsid w:val="670F6E15"/>
    <w:rsid w:val="671474AA"/>
    <w:rsid w:val="6718954B"/>
    <w:rsid w:val="67209F91"/>
    <w:rsid w:val="6725A363"/>
    <w:rsid w:val="6737E3D4"/>
    <w:rsid w:val="67555EBB"/>
    <w:rsid w:val="675C1F50"/>
    <w:rsid w:val="67696D80"/>
    <w:rsid w:val="677F623C"/>
    <w:rsid w:val="678203DC"/>
    <w:rsid w:val="678326B4"/>
    <w:rsid w:val="679FED1D"/>
    <w:rsid w:val="67A6A392"/>
    <w:rsid w:val="67AF4CDA"/>
    <w:rsid w:val="67AFD634"/>
    <w:rsid w:val="67B6A17D"/>
    <w:rsid w:val="67BD8734"/>
    <w:rsid w:val="67C0DC00"/>
    <w:rsid w:val="67C4B709"/>
    <w:rsid w:val="67C54EF7"/>
    <w:rsid w:val="67CA984F"/>
    <w:rsid w:val="67D1B1A0"/>
    <w:rsid w:val="67DF8565"/>
    <w:rsid w:val="67F2043A"/>
    <w:rsid w:val="67FD1FBC"/>
    <w:rsid w:val="6804E834"/>
    <w:rsid w:val="6811C08E"/>
    <w:rsid w:val="681C50B4"/>
    <w:rsid w:val="682B21B5"/>
    <w:rsid w:val="6832467A"/>
    <w:rsid w:val="68381392"/>
    <w:rsid w:val="683AD008"/>
    <w:rsid w:val="6845FE6B"/>
    <w:rsid w:val="684770F9"/>
    <w:rsid w:val="684E56E2"/>
    <w:rsid w:val="68562D31"/>
    <w:rsid w:val="686033A5"/>
    <w:rsid w:val="6864651B"/>
    <w:rsid w:val="68654CFF"/>
    <w:rsid w:val="686B2A1A"/>
    <w:rsid w:val="686C46F7"/>
    <w:rsid w:val="68746596"/>
    <w:rsid w:val="68770267"/>
    <w:rsid w:val="687ABC38"/>
    <w:rsid w:val="687C9F2D"/>
    <w:rsid w:val="687D4931"/>
    <w:rsid w:val="687F0999"/>
    <w:rsid w:val="68876483"/>
    <w:rsid w:val="688FA479"/>
    <w:rsid w:val="68A3BFB8"/>
    <w:rsid w:val="68B46F54"/>
    <w:rsid w:val="68B87BE6"/>
    <w:rsid w:val="68B941FC"/>
    <w:rsid w:val="68D862C7"/>
    <w:rsid w:val="68DA8F03"/>
    <w:rsid w:val="68DFC0FC"/>
    <w:rsid w:val="68E3A28A"/>
    <w:rsid w:val="68E3CFE9"/>
    <w:rsid w:val="68F159FF"/>
    <w:rsid w:val="68F17308"/>
    <w:rsid w:val="68F374AD"/>
    <w:rsid w:val="68FBE913"/>
    <w:rsid w:val="6902276F"/>
    <w:rsid w:val="6908262F"/>
    <w:rsid w:val="690F0D84"/>
    <w:rsid w:val="690F6541"/>
    <w:rsid w:val="6914C236"/>
    <w:rsid w:val="69268EC7"/>
    <w:rsid w:val="692D24FD"/>
    <w:rsid w:val="69383F06"/>
    <w:rsid w:val="6950BE36"/>
    <w:rsid w:val="6956C3F0"/>
    <w:rsid w:val="6967791A"/>
    <w:rsid w:val="696965AC"/>
    <w:rsid w:val="696A6C3A"/>
    <w:rsid w:val="696C9099"/>
    <w:rsid w:val="697335A1"/>
    <w:rsid w:val="69915E60"/>
    <w:rsid w:val="69961ED2"/>
    <w:rsid w:val="69989196"/>
    <w:rsid w:val="699EF6D3"/>
    <w:rsid w:val="69A15071"/>
    <w:rsid w:val="69AEBD93"/>
    <w:rsid w:val="69B2F3F3"/>
    <w:rsid w:val="69BE921E"/>
    <w:rsid w:val="69C3B35C"/>
    <w:rsid w:val="69C8C312"/>
    <w:rsid w:val="69CC3012"/>
    <w:rsid w:val="69D1F5F9"/>
    <w:rsid w:val="69D36D11"/>
    <w:rsid w:val="69D853F0"/>
    <w:rsid w:val="69EE137B"/>
    <w:rsid w:val="69FF75D5"/>
    <w:rsid w:val="69FFC23C"/>
    <w:rsid w:val="6A12EB4E"/>
    <w:rsid w:val="6A12F028"/>
    <w:rsid w:val="6A31E9EA"/>
    <w:rsid w:val="6A32C8D2"/>
    <w:rsid w:val="6A36DE28"/>
    <w:rsid w:val="6A3B1678"/>
    <w:rsid w:val="6A3D7B9F"/>
    <w:rsid w:val="6A5BA044"/>
    <w:rsid w:val="6A7AAB69"/>
    <w:rsid w:val="6A7DC401"/>
    <w:rsid w:val="6A88E456"/>
    <w:rsid w:val="6A8FFD78"/>
    <w:rsid w:val="6A9929EA"/>
    <w:rsid w:val="6A9CE153"/>
    <w:rsid w:val="6AA583DE"/>
    <w:rsid w:val="6AAD7984"/>
    <w:rsid w:val="6AB1F56E"/>
    <w:rsid w:val="6ABB79FC"/>
    <w:rsid w:val="6AC61803"/>
    <w:rsid w:val="6AD98BAD"/>
    <w:rsid w:val="6AE05EAA"/>
    <w:rsid w:val="6AE08D4F"/>
    <w:rsid w:val="6AE5AFCE"/>
    <w:rsid w:val="6B0BC5CA"/>
    <w:rsid w:val="6B1AB69F"/>
    <w:rsid w:val="6B28947E"/>
    <w:rsid w:val="6B2AE30E"/>
    <w:rsid w:val="6B2B8530"/>
    <w:rsid w:val="6B2C4477"/>
    <w:rsid w:val="6B3143E2"/>
    <w:rsid w:val="6B4A13C5"/>
    <w:rsid w:val="6B4B43BB"/>
    <w:rsid w:val="6B4BE984"/>
    <w:rsid w:val="6B4F32C7"/>
    <w:rsid w:val="6B64E2EB"/>
    <w:rsid w:val="6B65E3F8"/>
    <w:rsid w:val="6B65FCE9"/>
    <w:rsid w:val="6B70788F"/>
    <w:rsid w:val="6B823B14"/>
    <w:rsid w:val="6B834D0B"/>
    <w:rsid w:val="6B8D1111"/>
    <w:rsid w:val="6B9D10A2"/>
    <w:rsid w:val="6BB1F871"/>
    <w:rsid w:val="6BBAD7A3"/>
    <w:rsid w:val="6BC24324"/>
    <w:rsid w:val="6BCC68B0"/>
    <w:rsid w:val="6BD742DA"/>
    <w:rsid w:val="6BDAE8CB"/>
    <w:rsid w:val="6BDE6C84"/>
    <w:rsid w:val="6BDF8FEC"/>
    <w:rsid w:val="6BEDC310"/>
    <w:rsid w:val="6BF08DB2"/>
    <w:rsid w:val="6BF3C623"/>
    <w:rsid w:val="6C2BF6AF"/>
    <w:rsid w:val="6C33D458"/>
    <w:rsid w:val="6C373C94"/>
    <w:rsid w:val="6C401F90"/>
    <w:rsid w:val="6C56F680"/>
    <w:rsid w:val="6C576EDB"/>
    <w:rsid w:val="6C5D3826"/>
    <w:rsid w:val="6C7B804B"/>
    <w:rsid w:val="6C866340"/>
    <w:rsid w:val="6C8A731B"/>
    <w:rsid w:val="6C91EBB7"/>
    <w:rsid w:val="6C91FCD1"/>
    <w:rsid w:val="6C966820"/>
    <w:rsid w:val="6C979BC7"/>
    <w:rsid w:val="6CA6C4B4"/>
    <w:rsid w:val="6CAAD253"/>
    <w:rsid w:val="6CAB6FE0"/>
    <w:rsid w:val="6CB073B4"/>
    <w:rsid w:val="6CB6FA10"/>
    <w:rsid w:val="6CC2E884"/>
    <w:rsid w:val="6CC744A7"/>
    <w:rsid w:val="6CC920EB"/>
    <w:rsid w:val="6CCF9E04"/>
    <w:rsid w:val="6CDFC777"/>
    <w:rsid w:val="6CE1491B"/>
    <w:rsid w:val="6CE3B30C"/>
    <w:rsid w:val="6CF41217"/>
    <w:rsid w:val="6CFC0F4B"/>
    <w:rsid w:val="6D06A8CE"/>
    <w:rsid w:val="6D0E9654"/>
    <w:rsid w:val="6D0F00AA"/>
    <w:rsid w:val="6D18E35D"/>
    <w:rsid w:val="6D20643B"/>
    <w:rsid w:val="6D28C568"/>
    <w:rsid w:val="6D2CB46B"/>
    <w:rsid w:val="6D3FCE60"/>
    <w:rsid w:val="6D46FEBE"/>
    <w:rsid w:val="6D61317B"/>
    <w:rsid w:val="6D791F71"/>
    <w:rsid w:val="6D8661E4"/>
    <w:rsid w:val="6D895689"/>
    <w:rsid w:val="6D8F685B"/>
    <w:rsid w:val="6D963477"/>
    <w:rsid w:val="6DAE5135"/>
    <w:rsid w:val="6DB67190"/>
    <w:rsid w:val="6DC75B42"/>
    <w:rsid w:val="6DC92AFD"/>
    <w:rsid w:val="6DC93EC8"/>
    <w:rsid w:val="6DCD10F4"/>
    <w:rsid w:val="6DD68696"/>
    <w:rsid w:val="6DD8D2F8"/>
    <w:rsid w:val="6DE107A8"/>
    <w:rsid w:val="6DE410E2"/>
    <w:rsid w:val="6DE930EA"/>
    <w:rsid w:val="6DED0206"/>
    <w:rsid w:val="6DF91A62"/>
    <w:rsid w:val="6DFA61CA"/>
    <w:rsid w:val="6DFDA6E9"/>
    <w:rsid w:val="6E02B0C9"/>
    <w:rsid w:val="6E036D4C"/>
    <w:rsid w:val="6E091030"/>
    <w:rsid w:val="6E193E07"/>
    <w:rsid w:val="6E243A2A"/>
    <w:rsid w:val="6E284A10"/>
    <w:rsid w:val="6E3AF974"/>
    <w:rsid w:val="6E4DF5E4"/>
    <w:rsid w:val="6E5B6636"/>
    <w:rsid w:val="6E5C51D7"/>
    <w:rsid w:val="6E64BA16"/>
    <w:rsid w:val="6E708F1A"/>
    <w:rsid w:val="6E75652A"/>
    <w:rsid w:val="6E7BEFE7"/>
    <w:rsid w:val="6E841E80"/>
    <w:rsid w:val="6E909114"/>
    <w:rsid w:val="6E92F322"/>
    <w:rsid w:val="6E958942"/>
    <w:rsid w:val="6E9B9089"/>
    <w:rsid w:val="6EAA66B5"/>
    <w:rsid w:val="6EBE8C8D"/>
    <w:rsid w:val="6EC6CA3A"/>
    <w:rsid w:val="6ED3B036"/>
    <w:rsid w:val="6EDE2D09"/>
    <w:rsid w:val="6EEC699A"/>
    <w:rsid w:val="6EFDDD38"/>
    <w:rsid w:val="6F0AD355"/>
    <w:rsid w:val="6F10ECC2"/>
    <w:rsid w:val="6F13AAA3"/>
    <w:rsid w:val="6F1A2486"/>
    <w:rsid w:val="6F1ED150"/>
    <w:rsid w:val="6F1EED16"/>
    <w:rsid w:val="6F21C01E"/>
    <w:rsid w:val="6F262B1C"/>
    <w:rsid w:val="6F269477"/>
    <w:rsid w:val="6F2C51CD"/>
    <w:rsid w:val="6F330B9F"/>
    <w:rsid w:val="6F339DDF"/>
    <w:rsid w:val="6F3873C4"/>
    <w:rsid w:val="6F49D2DE"/>
    <w:rsid w:val="6F58134A"/>
    <w:rsid w:val="6F5ABD0C"/>
    <w:rsid w:val="6F5EAA26"/>
    <w:rsid w:val="6F732D41"/>
    <w:rsid w:val="6F7FE143"/>
    <w:rsid w:val="6F869CAF"/>
    <w:rsid w:val="6F8FE993"/>
    <w:rsid w:val="6F91D0AB"/>
    <w:rsid w:val="6F99774A"/>
    <w:rsid w:val="6FB0A2ED"/>
    <w:rsid w:val="6FB6E410"/>
    <w:rsid w:val="6FBB6674"/>
    <w:rsid w:val="6FBBFE45"/>
    <w:rsid w:val="6FC64B3E"/>
    <w:rsid w:val="6FC756E4"/>
    <w:rsid w:val="6FCA6D5A"/>
    <w:rsid w:val="6FCF0B66"/>
    <w:rsid w:val="6FD91969"/>
    <w:rsid w:val="6FEA675A"/>
    <w:rsid w:val="6FFD345B"/>
    <w:rsid w:val="700849CA"/>
    <w:rsid w:val="700B4E68"/>
    <w:rsid w:val="7011A9B2"/>
    <w:rsid w:val="701312B5"/>
    <w:rsid w:val="701A813F"/>
    <w:rsid w:val="7022730E"/>
    <w:rsid w:val="702333EC"/>
    <w:rsid w:val="70333524"/>
    <w:rsid w:val="703CEA8C"/>
    <w:rsid w:val="7050D7FC"/>
    <w:rsid w:val="7052F260"/>
    <w:rsid w:val="7054A9DF"/>
    <w:rsid w:val="70570FC9"/>
    <w:rsid w:val="7057B024"/>
    <w:rsid w:val="70657B37"/>
    <w:rsid w:val="7071DA4D"/>
    <w:rsid w:val="707D9A7C"/>
    <w:rsid w:val="70824ADB"/>
    <w:rsid w:val="708BF7C4"/>
    <w:rsid w:val="709120C0"/>
    <w:rsid w:val="709B39E2"/>
    <w:rsid w:val="70ADCF3B"/>
    <w:rsid w:val="70B2E7EE"/>
    <w:rsid w:val="70BD7130"/>
    <w:rsid w:val="70C7BF27"/>
    <w:rsid w:val="70C7FF6D"/>
    <w:rsid w:val="70C9EA1D"/>
    <w:rsid w:val="70D807DF"/>
    <w:rsid w:val="70D97A12"/>
    <w:rsid w:val="70ED757B"/>
    <w:rsid w:val="70FA5C52"/>
    <w:rsid w:val="71055BEB"/>
    <w:rsid w:val="7106450C"/>
    <w:rsid w:val="710895BE"/>
    <w:rsid w:val="7113AF2E"/>
    <w:rsid w:val="7117899D"/>
    <w:rsid w:val="7117B12A"/>
    <w:rsid w:val="711F8B18"/>
    <w:rsid w:val="7120D1AC"/>
    <w:rsid w:val="7122279E"/>
    <w:rsid w:val="71244D22"/>
    <w:rsid w:val="712916EF"/>
    <w:rsid w:val="712FB484"/>
    <w:rsid w:val="714C4F24"/>
    <w:rsid w:val="714C743B"/>
    <w:rsid w:val="7150E9D6"/>
    <w:rsid w:val="7151465A"/>
    <w:rsid w:val="7152F387"/>
    <w:rsid w:val="715B7067"/>
    <w:rsid w:val="71742C29"/>
    <w:rsid w:val="71A2CE65"/>
    <w:rsid w:val="71A41256"/>
    <w:rsid w:val="71B7F158"/>
    <w:rsid w:val="71BDA734"/>
    <w:rsid w:val="71BEEF49"/>
    <w:rsid w:val="71C52E3E"/>
    <w:rsid w:val="71CE87FC"/>
    <w:rsid w:val="71D52AE2"/>
    <w:rsid w:val="71D8D951"/>
    <w:rsid w:val="71DA19F1"/>
    <w:rsid w:val="71DCE2C9"/>
    <w:rsid w:val="71E20777"/>
    <w:rsid w:val="71EA6C7A"/>
    <w:rsid w:val="71F13C0B"/>
    <w:rsid w:val="71F326E8"/>
    <w:rsid w:val="71F81705"/>
    <w:rsid w:val="71FA1FBC"/>
    <w:rsid w:val="71FDCD4F"/>
    <w:rsid w:val="72005846"/>
    <w:rsid w:val="720BA100"/>
    <w:rsid w:val="7215CDCB"/>
    <w:rsid w:val="72188543"/>
    <w:rsid w:val="72219E7E"/>
    <w:rsid w:val="7225C023"/>
    <w:rsid w:val="722EB664"/>
    <w:rsid w:val="7231CF43"/>
    <w:rsid w:val="72368475"/>
    <w:rsid w:val="7240E444"/>
    <w:rsid w:val="72514CEE"/>
    <w:rsid w:val="72556841"/>
    <w:rsid w:val="725E68AB"/>
    <w:rsid w:val="726F0FFB"/>
    <w:rsid w:val="72748E48"/>
    <w:rsid w:val="727D738E"/>
    <w:rsid w:val="72849AC5"/>
    <w:rsid w:val="728B1D1B"/>
    <w:rsid w:val="728E857D"/>
    <w:rsid w:val="729B3E5D"/>
    <w:rsid w:val="72A7FB05"/>
    <w:rsid w:val="72A82FAF"/>
    <w:rsid w:val="72B94BA0"/>
    <w:rsid w:val="72BCA20D"/>
    <w:rsid w:val="72BD653C"/>
    <w:rsid w:val="72C289AA"/>
    <w:rsid w:val="72C78610"/>
    <w:rsid w:val="72CA0C0D"/>
    <w:rsid w:val="72D023FD"/>
    <w:rsid w:val="72D786D7"/>
    <w:rsid w:val="72DC4C10"/>
    <w:rsid w:val="72DE1841"/>
    <w:rsid w:val="72FD3E1B"/>
    <w:rsid w:val="730666C7"/>
    <w:rsid w:val="73092C17"/>
    <w:rsid w:val="730C90A3"/>
    <w:rsid w:val="73120FDA"/>
    <w:rsid w:val="7319B11F"/>
    <w:rsid w:val="7320177A"/>
    <w:rsid w:val="732A0181"/>
    <w:rsid w:val="7336D5D1"/>
    <w:rsid w:val="733C9726"/>
    <w:rsid w:val="734393C7"/>
    <w:rsid w:val="73501606"/>
    <w:rsid w:val="73524979"/>
    <w:rsid w:val="73638B82"/>
    <w:rsid w:val="736765D8"/>
    <w:rsid w:val="736767B5"/>
    <w:rsid w:val="7374E053"/>
    <w:rsid w:val="737CC4F2"/>
    <w:rsid w:val="7390ADC1"/>
    <w:rsid w:val="739822F6"/>
    <w:rsid w:val="739BACDA"/>
    <w:rsid w:val="73A15C01"/>
    <w:rsid w:val="73A365EB"/>
    <w:rsid w:val="73A4FC22"/>
    <w:rsid w:val="73B54399"/>
    <w:rsid w:val="73B6C822"/>
    <w:rsid w:val="73B97D08"/>
    <w:rsid w:val="73BDDD14"/>
    <w:rsid w:val="73BF42CC"/>
    <w:rsid w:val="73CDCCB4"/>
    <w:rsid w:val="73D02765"/>
    <w:rsid w:val="73DCE26E"/>
    <w:rsid w:val="73E61C9C"/>
    <w:rsid w:val="73ECD0D2"/>
    <w:rsid w:val="73ED8FEE"/>
    <w:rsid w:val="73EFD0C6"/>
    <w:rsid w:val="73F16929"/>
    <w:rsid w:val="7407F613"/>
    <w:rsid w:val="74109544"/>
    <w:rsid w:val="741101C1"/>
    <w:rsid w:val="7416D6D5"/>
    <w:rsid w:val="742F3A0D"/>
    <w:rsid w:val="7436FDD2"/>
    <w:rsid w:val="743AF10C"/>
    <w:rsid w:val="743FAF57"/>
    <w:rsid w:val="744417B7"/>
    <w:rsid w:val="7449ACCA"/>
    <w:rsid w:val="744B2548"/>
    <w:rsid w:val="744D9C64"/>
    <w:rsid w:val="744F6F41"/>
    <w:rsid w:val="74558455"/>
    <w:rsid w:val="7458726E"/>
    <w:rsid w:val="745BE616"/>
    <w:rsid w:val="74651B49"/>
    <w:rsid w:val="74666890"/>
    <w:rsid w:val="74756195"/>
    <w:rsid w:val="7479C97B"/>
    <w:rsid w:val="747CA53D"/>
    <w:rsid w:val="747CF098"/>
    <w:rsid w:val="7482E743"/>
    <w:rsid w:val="748BC9DF"/>
    <w:rsid w:val="748EF04C"/>
    <w:rsid w:val="74939AFD"/>
    <w:rsid w:val="7494EC88"/>
    <w:rsid w:val="7497A776"/>
    <w:rsid w:val="749F69C4"/>
    <w:rsid w:val="749FBD29"/>
    <w:rsid w:val="74A10385"/>
    <w:rsid w:val="74A13D03"/>
    <w:rsid w:val="74AE70EE"/>
    <w:rsid w:val="74B316E5"/>
    <w:rsid w:val="74B73CD0"/>
    <w:rsid w:val="74C1D69D"/>
    <w:rsid w:val="74F17B4B"/>
    <w:rsid w:val="74FE5A4C"/>
    <w:rsid w:val="75029748"/>
    <w:rsid w:val="750845FE"/>
    <w:rsid w:val="750F803A"/>
    <w:rsid w:val="75163E23"/>
    <w:rsid w:val="75197607"/>
    <w:rsid w:val="751B021A"/>
    <w:rsid w:val="751C2397"/>
    <w:rsid w:val="751DAEE0"/>
    <w:rsid w:val="751F74AC"/>
    <w:rsid w:val="75235038"/>
    <w:rsid w:val="75283483"/>
    <w:rsid w:val="752CDE9A"/>
    <w:rsid w:val="754447DB"/>
    <w:rsid w:val="75459AA3"/>
    <w:rsid w:val="754A3504"/>
    <w:rsid w:val="754D6E8D"/>
    <w:rsid w:val="7550D433"/>
    <w:rsid w:val="7553C79D"/>
    <w:rsid w:val="756BB5C5"/>
    <w:rsid w:val="75747A92"/>
    <w:rsid w:val="75852B69"/>
    <w:rsid w:val="7586E1E5"/>
    <w:rsid w:val="758D9060"/>
    <w:rsid w:val="7593B25C"/>
    <w:rsid w:val="7595056B"/>
    <w:rsid w:val="759BA77A"/>
    <w:rsid w:val="75A5DCB9"/>
    <w:rsid w:val="75AD9905"/>
    <w:rsid w:val="75B6455E"/>
    <w:rsid w:val="75B8A006"/>
    <w:rsid w:val="75C22733"/>
    <w:rsid w:val="75E4DABA"/>
    <w:rsid w:val="76084933"/>
    <w:rsid w:val="760E1816"/>
    <w:rsid w:val="7611B81E"/>
    <w:rsid w:val="761C343B"/>
    <w:rsid w:val="761CC621"/>
    <w:rsid w:val="7624C295"/>
    <w:rsid w:val="7638CDFD"/>
    <w:rsid w:val="7639AC9D"/>
    <w:rsid w:val="7642A7A8"/>
    <w:rsid w:val="76529B41"/>
    <w:rsid w:val="765EF8BF"/>
    <w:rsid w:val="7664269A"/>
    <w:rsid w:val="7664FCBA"/>
    <w:rsid w:val="766AE555"/>
    <w:rsid w:val="766E53D1"/>
    <w:rsid w:val="7672F71C"/>
    <w:rsid w:val="76735554"/>
    <w:rsid w:val="767CE1A7"/>
    <w:rsid w:val="76885D76"/>
    <w:rsid w:val="768EF33D"/>
    <w:rsid w:val="76AB9A5C"/>
    <w:rsid w:val="76B357DE"/>
    <w:rsid w:val="76B8DD31"/>
    <w:rsid w:val="76B9EA9D"/>
    <w:rsid w:val="76C59CCC"/>
    <w:rsid w:val="76C786C0"/>
    <w:rsid w:val="76C8B100"/>
    <w:rsid w:val="76CAF9C8"/>
    <w:rsid w:val="76D98602"/>
    <w:rsid w:val="76DA5DEE"/>
    <w:rsid w:val="76EC90E8"/>
    <w:rsid w:val="77024D0E"/>
    <w:rsid w:val="77024EBB"/>
    <w:rsid w:val="77110F4D"/>
    <w:rsid w:val="771E2227"/>
    <w:rsid w:val="7723862A"/>
    <w:rsid w:val="772767D4"/>
    <w:rsid w:val="77312CE2"/>
    <w:rsid w:val="773263B9"/>
    <w:rsid w:val="7734BBDB"/>
    <w:rsid w:val="7738CFBF"/>
    <w:rsid w:val="7740841B"/>
    <w:rsid w:val="77478DA1"/>
    <w:rsid w:val="7753105A"/>
    <w:rsid w:val="775479E1"/>
    <w:rsid w:val="7755E9A6"/>
    <w:rsid w:val="7759AEDC"/>
    <w:rsid w:val="776A8CF6"/>
    <w:rsid w:val="776B4001"/>
    <w:rsid w:val="776E2E30"/>
    <w:rsid w:val="77742405"/>
    <w:rsid w:val="77753C47"/>
    <w:rsid w:val="777D509A"/>
    <w:rsid w:val="7789475E"/>
    <w:rsid w:val="77945E1A"/>
    <w:rsid w:val="779A6E2E"/>
    <w:rsid w:val="77A1B34D"/>
    <w:rsid w:val="77A629EE"/>
    <w:rsid w:val="77A65AC0"/>
    <w:rsid w:val="77A73E5F"/>
    <w:rsid w:val="77A76875"/>
    <w:rsid w:val="77B05A7B"/>
    <w:rsid w:val="77B9D0EA"/>
    <w:rsid w:val="77BCE934"/>
    <w:rsid w:val="77C62AB4"/>
    <w:rsid w:val="77E389CA"/>
    <w:rsid w:val="77E8D294"/>
    <w:rsid w:val="77F00108"/>
    <w:rsid w:val="77F0F407"/>
    <w:rsid w:val="77F196EE"/>
    <w:rsid w:val="77F6C1E7"/>
    <w:rsid w:val="77FA4B5A"/>
    <w:rsid w:val="77FC3E5C"/>
    <w:rsid w:val="780249A8"/>
    <w:rsid w:val="780A2CAA"/>
    <w:rsid w:val="78247380"/>
    <w:rsid w:val="783B0813"/>
    <w:rsid w:val="7846605D"/>
    <w:rsid w:val="784730AA"/>
    <w:rsid w:val="784A7B14"/>
    <w:rsid w:val="784EA93E"/>
    <w:rsid w:val="78567099"/>
    <w:rsid w:val="785A96EF"/>
    <w:rsid w:val="786268CA"/>
    <w:rsid w:val="7868CF03"/>
    <w:rsid w:val="78723764"/>
    <w:rsid w:val="788219C9"/>
    <w:rsid w:val="7886551F"/>
    <w:rsid w:val="78885CF7"/>
    <w:rsid w:val="78891AB5"/>
    <w:rsid w:val="788BE676"/>
    <w:rsid w:val="78A61840"/>
    <w:rsid w:val="78BF1149"/>
    <w:rsid w:val="78BFD18E"/>
    <w:rsid w:val="78C59ECA"/>
    <w:rsid w:val="78C74D32"/>
    <w:rsid w:val="78D499B8"/>
    <w:rsid w:val="78DCDE0E"/>
    <w:rsid w:val="78E08F91"/>
    <w:rsid w:val="78E98167"/>
    <w:rsid w:val="78EBD767"/>
    <w:rsid w:val="78F532C0"/>
    <w:rsid w:val="78FDBAFC"/>
    <w:rsid w:val="78FF0E16"/>
    <w:rsid w:val="79043ADB"/>
    <w:rsid w:val="7906A9CA"/>
    <w:rsid w:val="79083EF3"/>
    <w:rsid w:val="790C770B"/>
    <w:rsid w:val="790E26BB"/>
    <w:rsid w:val="791414E2"/>
    <w:rsid w:val="791DB5EE"/>
    <w:rsid w:val="79240034"/>
    <w:rsid w:val="792490F6"/>
    <w:rsid w:val="792BE391"/>
    <w:rsid w:val="7935CA96"/>
    <w:rsid w:val="79377667"/>
    <w:rsid w:val="79381C93"/>
    <w:rsid w:val="794D7C51"/>
    <w:rsid w:val="7960DC19"/>
    <w:rsid w:val="79628912"/>
    <w:rsid w:val="7965CA40"/>
    <w:rsid w:val="796BA8AB"/>
    <w:rsid w:val="79707A22"/>
    <w:rsid w:val="79741227"/>
    <w:rsid w:val="797AC206"/>
    <w:rsid w:val="797F73D6"/>
    <w:rsid w:val="798D39F9"/>
    <w:rsid w:val="798E3AA6"/>
    <w:rsid w:val="7992CCFE"/>
    <w:rsid w:val="79958334"/>
    <w:rsid w:val="799BBF07"/>
    <w:rsid w:val="79A28617"/>
    <w:rsid w:val="79A63B3D"/>
    <w:rsid w:val="79AB91FB"/>
    <w:rsid w:val="79ABF6E2"/>
    <w:rsid w:val="79B8CDF5"/>
    <w:rsid w:val="79BFCC23"/>
    <w:rsid w:val="79E1F51E"/>
    <w:rsid w:val="79E4B2B1"/>
    <w:rsid w:val="7A039D14"/>
    <w:rsid w:val="7A26B13B"/>
    <w:rsid w:val="7A26C98F"/>
    <w:rsid w:val="7A311473"/>
    <w:rsid w:val="7A3FD010"/>
    <w:rsid w:val="7A40519A"/>
    <w:rsid w:val="7A5240FB"/>
    <w:rsid w:val="7A61B038"/>
    <w:rsid w:val="7A6FBAED"/>
    <w:rsid w:val="7A7A1126"/>
    <w:rsid w:val="7A7C3B39"/>
    <w:rsid w:val="7A84733C"/>
    <w:rsid w:val="7A94D816"/>
    <w:rsid w:val="7A999E45"/>
    <w:rsid w:val="7A9EBD5E"/>
    <w:rsid w:val="7AA6FF81"/>
    <w:rsid w:val="7AACBB74"/>
    <w:rsid w:val="7AAE8689"/>
    <w:rsid w:val="7AB00C2C"/>
    <w:rsid w:val="7AB0814F"/>
    <w:rsid w:val="7AB7D2B8"/>
    <w:rsid w:val="7AB8715C"/>
    <w:rsid w:val="7AD2586B"/>
    <w:rsid w:val="7AD3FFBA"/>
    <w:rsid w:val="7AD4770F"/>
    <w:rsid w:val="7ADABACC"/>
    <w:rsid w:val="7AEFF3E4"/>
    <w:rsid w:val="7AF11EB7"/>
    <w:rsid w:val="7AF89529"/>
    <w:rsid w:val="7AF8BE4B"/>
    <w:rsid w:val="7AF9F9E2"/>
    <w:rsid w:val="7AFB1739"/>
    <w:rsid w:val="7B03D00D"/>
    <w:rsid w:val="7B0D6D38"/>
    <w:rsid w:val="7B1CAB94"/>
    <w:rsid w:val="7B2EA394"/>
    <w:rsid w:val="7B300037"/>
    <w:rsid w:val="7B328C15"/>
    <w:rsid w:val="7B36E826"/>
    <w:rsid w:val="7B3BD0A7"/>
    <w:rsid w:val="7B3F99E5"/>
    <w:rsid w:val="7B467482"/>
    <w:rsid w:val="7B50608B"/>
    <w:rsid w:val="7B519DC7"/>
    <w:rsid w:val="7B5B9D29"/>
    <w:rsid w:val="7B5ED9D0"/>
    <w:rsid w:val="7B5EDF4F"/>
    <w:rsid w:val="7B6212E9"/>
    <w:rsid w:val="7B6281FC"/>
    <w:rsid w:val="7B646677"/>
    <w:rsid w:val="7B6834C9"/>
    <w:rsid w:val="7B71FE36"/>
    <w:rsid w:val="7B7D280C"/>
    <w:rsid w:val="7B8F8874"/>
    <w:rsid w:val="7BA1A46D"/>
    <w:rsid w:val="7BAC2ACF"/>
    <w:rsid w:val="7BBEC6E9"/>
    <w:rsid w:val="7BC91F23"/>
    <w:rsid w:val="7BD1603C"/>
    <w:rsid w:val="7BDCBE51"/>
    <w:rsid w:val="7BE08F09"/>
    <w:rsid w:val="7BE45EC3"/>
    <w:rsid w:val="7BE7B79E"/>
    <w:rsid w:val="7BEA5284"/>
    <w:rsid w:val="7BF08A96"/>
    <w:rsid w:val="7BF8D85C"/>
    <w:rsid w:val="7C157BDA"/>
    <w:rsid w:val="7C25905A"/>
    <w:rsid w:val="7C32B147"/>
    <w:rsid w:val="7C3F5B09"/>
    <w:rsid w:val="7C413C21"/>
    <w:rsid w:val="7C439231"/>
    <w:rsid w:val="7C4C145C"/>
    <w:rsid w:val="7C5DD793"/>
    <w:rsid w:val="7C61F93B"/>
    <w:rsid w:val="7C641EE7"/>
    <w:rsid w:val="7C67FF2C"/>
    <w:rsid w:val="7C69D076"/>
    <w:rsid w:val="7C6A4D35"/>
    <w:rsid w:val="7C6BC1D4"/>
    <w:rsid w:val="7C736026"/>
    <w:rsid w:val="7C7C4AB6"/>
    <w:rsid w:val="7C815D95"/>
    <w:rsid w:val="7C8FF5B0"/>
    <w:rsid w:val="7C918DEE"/>
    <w:rsid w:val="7C9A29D4"/>
    <w:rsid w:val="7CAAD8C6"/>
    <w:rsid w:val="7CAF5C33"/>
    <w:rsid w:val="7CB7DC3B"/>
    <w:rsid w:val="7CB87BF5"/>
    <w:rsid w:val="7CC16069"/>
    <w:rsid w:val="7CC41325"/>
    <w:rsid w:val="7CC96991"/>
    <w:rsid w:val="7CCBE6C5"/>
    <w:rsid w:val="7CD85FDD"/>
    <w:rsid w:val="7CE619D7"/>
    <w:rsid w:val="7CE69CB9"/>
    <w:rsid w:val="7CF11AFE"/>
    <w:rsid w:val="7CFA30B0"/>
    <w:rsid w:val="7D09D393"/>
    <w:rsid w:val="7D0E8C0C"/>
    <w:rsid w:val="7D4C6414"/>
    <w:rsid w:val="7D5B1A61"/>
    <w:rsid w:val="7D5E345E"/>
    <w:rsid w:val="7D68BB69"/>
    <w:rsid w:val="7D8195F8"/>
    <w:rsid w:val="7D831D1C"/>
    <w:rsid w:val="7D8E1BA5"/>
    <w:rsid w:val="7D92826C"/>
    <w:rsid w:val="7D9B9912"/>
    <w:rsid w:val="7DA3C1FC"/>
    <w:rsid w:val="7DAC6929"/>
    <w:rsid w:val="7DC92EF9"/>
    <w:rsid w:val="7DDA8185"/>
    <w:rsid w:val="7DDAD473"/>
    <w:rsid w:val="7DE067DD"/>
    <w:rsid w:val="7DE5D977"/>
    <w:rsid w:val="7DEA7741"/>
    <w:rsid w:val="7DEBF71D"/>
    <w:rsid w:val="7DFAB193"/>
    <w:rsid w:val="7DFD6429"/>
    <w:rsid w:val="7E0E62EA"/>
    <w:rsid w:val="7E1FA720"/>
    <w:rsid w:val="7E20F9D0"/>
    <w:rsid w:val="7E27325E"/>
    <w:rsid w:val="7E2D23AD"/>
    <w:rsid w:val="7E2D4CDC"/>
    <w:rsid w:val="7E2FEE84"/>
    <w:rsid w:val="7E385E3C"/>
    <w:rsid w:val="7E3B70CF"/>
    <w:rsid w:val="7E3DFCAB"/>
    <w:rsid w:val="7E3FD261"/>
    <w:rsid w:val="7E42F89F"/>
    <w:rsid w:val="7E43DAB7"/>
    <w:rsid w:val="7E4D7ACF"/>
    <w:rsid w:val="7E516C4C"/>
    <w:rsid w:val="7E5386F5"/>
    <w:rsid w:val="7E59216A"/>
    <w:rsid w:val="7E71EA96"/>
    <w:rsid w:val="7E747972"/>
    <w:rsid w:val="7E77769B"/>
    <w:rsid w:val="7EA459F4"/>
    <w:rsid w:val="7EA5A2A2"/>
    <w:rsid w:val="7EA7CD1A"/>
    <w:rsid w:val="7EABF2EB"/>
    <w:rsid w:val="7EAD7E8E"/>
    <w:rsid w:val="7EAE1108"/>
    <w:rsid w:val="7EB10C15"/>
    <w:rsid w:val="7EB8DE96"/>
    <w:rsid w:val="7EC1D7AA"/>
    <w:rsid w:val="7EC4808B"/>
    <w:rsid w:val="7EC84AAA"/>
    <w:rsid w:val="7ECD9FCC"/>
    <w:rsid w:val="7ED52C48"/>
    <w:rsid w:val="7ED6ABAC"/>
    <w:rsid w:val="7ED7A65E"/>
    <w:rsid w:val="7EDC0870"/>
    <w:rsid w:val="7EEBB6F5"/>
    <w:rsid w:val="7EED7717"/>
    <w:rsid w:val="7F048BCA"/>
    <w:rsid w:val="7F09111F"/>
    <w:rsid w:val="7F16D85A"/>
    <w:rsid w:val="7F1FFE8E"/>
    <w:rsid w:val="7F240802"/>
    <w:rsid w:val="7F2925B0"/>
    <w:rsid w:val="7F43AA10"/>
    <w:rsid w:val="7F5A48C1"/>
    <w:rsid w:val="7F6EF422"/>
    <w:rsid w:val="7F70A398"/>
    <w:rsid w:val="7F80E27A"/>
    <w:rsid w:val="7F867868"/>
    <w:rsid w:val="7F9C4CB8"/>
    <w:rsid w:val="7F9DF293"/>
    <w:rsid w:val="7FA70A0D"/>
    <w:rsid w:val="7FB33631"/>
    <w:rsid w:val="7FB57033"/>
    <w:rsid w:val="7FBB5E2B"/>
    <w:rsid w:val="7FBD7618"/>
    <w:rsid w:val="7FC91D3D"/>
    <w:rsid w:val="7FCA76B9"/>
    <w:rsid w:val="7FCE9890"/>
    <w:rsid w:val="7FDE3E7D"/>
    <w:rsid w:val="7FDFB043"/>
    <w:rsid w:val="7FE416C4"/>
  </w:rsids>
  <m:mathPr>
    <m:mathFont m:val="Cambria Math"/>
    <m:brkBin m:val="before"/>
    <m:brkBinSub m:val="--"/>
    <m:smallFrac m:val="0"/>
    <m:dispDef/>
    <m:lMargin m:val="0"/>
    <m:rMargin m:val="0"/>
    <m:defJc m:val="centerGroup"/>
    <m:wrapIndent m:val="1440"/>
    <m:intLim m:val="subSup"/>
    <m:naryLim m:val="undOvr"/>
  </m:mathPr>
  <w:themeFontLang w:val="en-AU"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9AC7F2"/>
  <w15:chartTrackingRefBased/>
  <w15:docId w15:val="{6CF8F150-7739-FA4C-9CB3-EC95A66E09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F6E9F"/>
    <w:rPr>
      <w:rFonts w:ascii="Times New Roman" w:eastAsia="Times New Roman" w:hAnsi="Times New Roman" w:cs="Times New Roman"/>
      <w:lang w:eastAsia="en-GB"/>
    </w:rPr>
  </w:style>
  <w:style w:type="paragraph" w:styleId="Heading1">
    <w:name w:val="heading 1"/>
    <w:basedOn w:val="Normal"/>
    <w:next w:val="Normal"/>
    <w:link w:val="Heading1Char"/>
    <w:uiPriority w:val="9"/>
    <w:qFormat/>
    <w:rsid w:val="00D33B09"/>
    <w:pPr>
      <w:keepNext/>
      <w:keepLines/>
      <w:spacing w:before="240"/>
      <w:outlineLvl w:val="0"/>
    </w:pPr>
    <w:rPr>
      <w:rFonts w:asciiTheme="majorHAnsi" w:eastAsiaTheme="majorEastAsia" w:hAnsiTheme="majorHAnsi" w:cstheme="majorBidi"/>
      <w:color w:val="2F5496" w:themeColor="accent1" w:themeShade="BF"/>
      <w:sz w:val="32"/>
      <w:szCs w:val="32"/>
      <w:lang w:val="en-GB" w:eastAsia="en-US"/>
    </w:rPr>
  </w:style>
  <w:style w:type="paragraph" w:styleId="Heading2">
    <w:name w:val="heading 2"/>
    <w:basedOn w:val="Normal"/>
    <w:link w:val="Heading2Char"/>
    <w:uiPriority w:val="9"/>
    <w:qFormat/>
    <w:rsid w:val="00182034"/>
    <w:pPr>
      <w:spacing w:before="100" w:beforeAutospacing="1" w:after="100" w:afterAutospacing="1"/>
      <w:outlineLvl w:val="1"/>
    </w:pPr>
    <w:rPr>
      <w:b/>
      <w:bCs/>
      <w:sz w:val="36"/>
      <w:szCs w:val="36"/>
    </w:rPr>
  </w:style>
  <w:style w:type="paragraph" w:styleId="Heading3">
    <w:name w:val="heading 3"/>
    <w:basedOn w:val="Normal"/>
    <w:next w:val="Normal"/>
    <w:link w:val="Heading3Char"/>
    <w:uiPriority w:val="9"/>
    <w:semiHidden/>
    <w:unhideWhenUsed/>
    <w:qFormat/>
    <w:rsid w:val="009D4CF8"/>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327FA"/>
    <w:pPr>
      <w:ind w:left="720"/>
      <w:contextualSpacing/>
    </w:pPr>
    <w:rPr>
      <w:rFonts w:asciiTheme="minorHAnsi" w:eastAsiaTheme="minorHAnsi" w:hAnsiTheme="minorHAnsi" w:cstheme="minorBidi"/>
      <w:lang w:val="en-GB" w:eastAsia="en-US"/>
    </w:rPr>
  </w:style>
  <w:style w:type="paragraph" w:styleId="Footer">
    <w:name w:val="footer"/>
    <w:basedOn w:val="Normal"/>
    <w:link w:val="FooterChar"/>
    <w:uiPriority w:val="99"/>
    <w:unhideWhenUsed/>
    <w:rsid w:val="005327FA"/>
    <w:pPr>
      <w:tabs>
        <w:tab w:val="center" w:pos="4513"/>
        <w:tab w:val="right" w:pos="9026"/>
      </w:tabs>
    </w:pPr>
    <w:rPr>
      <w:rFonts w:asciiTheme="minorHAnsi" w:eastAsiaTheme="minorHAnsi" w:hAnsiTheme="minorHAnsi" w:cstheme="minorBidi"/>
      <w:lang w:val="en-GB" w:eastAsia="en-US"/>
    </w:rPr>
  </w:style>
  <w:style w:type="character" w:customStyle="1" w:styleId="FooterChar">
    <w:name w:val="Footer Char"/>
    <w:basedOn w:val="DefaultParagraphFont"/>
    <w:link w:val="Footer"/>
    <w:uiPriority w:val="99"/>
    <w:rsid w:val="005327FA"/>
    <w:rPr>
      <w:lang w:val="en-GB"/>
    </w:rPr>
  </w:style>
  <w:style w:type="character" w:styleId="PageNumber">
    <w:name w:val="page number"/>
    <w:basedOn w:val="DefaultParagraphFont"/>
    <w:uiPriority w:val="99"/>
    <w:semiHidden/>
    <w:unhideWhenUsed/>
    <w:rsid w:val="005327FA"/>
  </w:style>
  <w:style w:type="paragraph" w:styleId="NormalWeb">
    <w:name w:val="Normal (Web)"/>
    <w:basedOn w:val="Normal"/>
    <w:uiPriority w:val="99"/>
    <w:semiHidden/>
    <w:unhideWhenUsed/>
    <w:rsid w:val="000C228C"/>
    <w:pPr>
      <w:spacing w:before="100" w:beforeAutospacing="1" w:after="100" w:afterAutospacing="1"/>
    </w:pPr>
  </w:style>
  <w:style w:type="character" w:customStyle="1" w:styleId="Heading2Char">
    <w:name w:val="Heading 2 Char"/>
    <w:basedOn w:val="DefaultParagraphFont"/>
    <w:link w:val="Heading2"/>
    <w:uiPriority w:val="9"/>
    <w:rsid w:val="00182034"/>
    <w:rPr>
      <w:rFonts w:ascii="Times New Roman" w:eastAsia="Times New Roman" w:hAnsi="Times New Roman" w:cs="Times New Roman"/>
      <w:b/>
      <w:bCs/>
      <w:sz w:val="36"/>
      <w:szCs w:val="36"/>
      <w:lang w:eastAsia="en-GB"/>
    </w:rPr>
  </w:style>
  <w:style w:type="character" w:customStyle="1" w:styleId="apple-tab-span">
    <w:name w:val="apple-tab-span"/>
    <w:basedOn w:val="DefaultParagraphFont"/>
    <w:rsid w:val="00182034"/>
  </w:style>
  <w:style w:type="character" w:customStyle="1" w:styleId="Heading1Char">
    <w:name w:val="Heading 1 Char"/>
    <w:basedOn w:val="DefaultParagraphFont"/>
    <w:link w:val="Heading1"/>
    <w:uiPriority w:val="9"/>
    <w:rsid w:val="00D33B09"/>
    <w:rPr>
      <w:rFonts w:asciiTheme="majorHAnsi" w:eastAsiaTheme="majorEastAsia" w:hAnsiTheme="majorHAnsi" w:cstheme="majorBidi"/>
      <w:color w:val="2F5496" w:themeColor="accent1" w:themeShade="BF"/>
      <w:sz w:val="32"/>
      <w:szCs w:val="32"/>
      <w:lang w:val="en-GB"/>
    </w:rPr>
  </w:style>
  <w:style w:type="character" w:customStyle="1" w:styleId="normaltextrun">
    <w:name w:val="normaltextrun"/>
    <w:basedOn w:val="DefaultParagraphFont"/>
    <w:rsid w:val="0001437C"/>
  </w:style>
  <w:style w:type="character" w:styleId="Hyperlink">
    <w:name w:val="Hyperlink"/>
    <w:basedOn w:val="DefaultParagraphFont"/>
    <w:uiPriority w:val="99"/>
    <w:unhideWhenUsed/>
    <w:rsid w:val="00BF6E9F"/>
    <w:rPr>
      <w:color w:val="0563C1" w:themeColor="hyperlink"/>
      <w:u w:val="single"/>
    </w:rPr>
  </w:style>
  <w:style w:type="character" w:styleId="UnresolvedMention">
    <w:name w:val="Unresolved Mention"/>
    <w:basedOn w:val="DefaultParagraphFont"/>
    <w:uiPriority w:val="99"/>
    <w:semiHidden/>
    <w:unhideWhenUsed/>
    <w:rsid w:val="00BF6E9F"/>
    <w:rPr>
      <w:color w:val="605E5C"/>
      <w:shd w:val="clear" w:color="auto" w:fill="E1DFDD"/>
    </w:rPr>
  </w:style>
  <w:style w:type="character" w:customStyle="1" w:styleId="eop">
    <w:name w:val="eop"/>
    <w:basedOn w:val="DefaultParagraphFont"/>
    <w:rsid w:val="00BF6E9F"/>
  </w:style>
  <w:style w:type="paragraph" w:customStyle="1" w:styleId="Heading-Secondary">
    <w:name w:val="Heading-Secondary"/>
    <w:basedOn w:val="Normal"/>
    <w:qFormat/>
    <w:rsid w:val="00BF1C3E"/>
    <w:pPr>
      <w:keepNext/>
      <w:spacing w:before="240" w:after="120"/>
      <w:ind w:left="720"/>
      <w:outlineLvl w:val="0"/>
    </w:pPr>
    <w:rPr>
      <w:bCs/>
      <w:kern w:val="28"/>
      <w:lang w:val="en-US" w:eastAsia="en-US"/>
    </w:rPr>
  </w:style>
  <w:style w:type="character" w:styleId="PlaceholderText">
    <w:name w:val="Placeholder Text"/>
    <w:basedOn w:val="DefaultParagraphFont"/>
    <w:uiPriority w:val="99"/>
    <w:semiHidden/>
    <w:rsid w:val="000E1540"/>
    <w:rPr>
      <w:color w:val="808080"/>
    </w:rPr>
  </w:style>
  <w:style w:type="character" w:styleId="LineNumber">
    <w:name w:val="line number"/>
    <w:basedOn w:val="DefaultParagraphFont"/>
    <w:uiPriority w:val="99"/>
    <w:semiHidden/>
    <w:unhideWhenUsed/>
    <w:rsid w:val="00FA353F"/>
  </w:style>
  <w:style w:type="character" w:styleId="CommentReference">
    <w:name w:val="annotation reference"/>
    <w:basedOn w:val="DefaultParagraphFont"/>
    <w:uiPriority w:val="99"/>
    <w:semiHidden/>
    <w:unhideWhenUsed/>
    <w:rsid w:val="00505E1D"/>
    <w:rPr>
      <w:sz w:val="16"/>
      <w:szCs w:val="16"/>
    </w:rPr>
  </w:style>
  <w:style w:type="paragraph" w:styleId="CommentText">
    <w:name w:val="annotation text"/>
    <w:basedOn w:val="Normal"/>
    <w:link w:val="CommentTextChar"/>
    <w:uiPriority w:val="99"/>
    <w:unhideWhenUsed/>
    <w:rsid w:val="00505E1D"/>
    <w:rPr>
      <w:sz w:val="20"/>
      <w:szCs w:val="20"/>
    </w:rPr>
  </w:style>
  <w:style w:type="character" w:customStyle="1" w:styleId="CommentTextChar">
    <w:name w:val="Comment Text Char"/>
    <w:basedOn w:val="DefaultParagraphFont"/>
    <w:link w:val="CommentText"/>
    <w:uiPriority w:val="99"/>
    <w:rsid w:val="00505E1D"/>
    <w:rPr>
      <w:rFonts w:ascii="Times New Roman" w:eastAsia="Times New Roman" w:hAnsi="Times New Roman" w:cs="Times New Roman"/>
      <w:sz w:val="20"/>
      <w:szCs w:val="20"/>
      <w:lang w:eastAsia="en-GB"/>
    </w:rPr>
  </w:style>
  <w:style w:type="paragraph" w:styleId="CommentSubject">
    <w:name w:val="annotation subject"/>
    <w:basedOn w:val="CommentText"/>
    <w:next w:val="CommentText"/>
    <w:link w:val="CommentSubjectChar"/>
    <w:uiPriority w:val="99"/>
    <w:semiHidden/>
    <w:unhideWhenUsed/>
    <w:rsid w:val="00505E1D"/>
    <w:rPr>
      <w:b/>
      <w:bCs/>
    </w:rPr>
  </w:style>
  <w:style w:type="character" w:customStyle="1" w:styleId="CommentSubjectChar">
    <w:name w:val="Comment Subject Char"/>
    <w:basedOn w:val="CommentTextChar"/>
    <w:link w:val="CommentSubject"/>
    <w:uiPriority w:val="99"/>
    <w:semiHidden/>
    <w:rsid w:val="00505E1D"/>
    <w:rPr>
      <w:rFonts w:ascii="Times New Roman" w:eastAsia="Times New Roman" w:hAnsi="Times New Roman" w:cs="Times New Roman"/>
      <w:b/>
      <w:bCs/>
      <w:sz w:val="20"/>
      <w:szCs w:val="20"/>
      <w:lang w:eastAsia="en-GB"/>
    </w:rPr>
  </w:style>
  <w:style w:type="paragraph" w:styleId="Revision">
    <w:name w:val="Revision"/>
    <w:hidden/>
    <w:uiPriority w:val="99"/>
    <w:semiHidden/>
    <w:rsid w:val="0098639E"/>
    <w:rPr>
      <w:rFonts w:ascii="Times New Roman" w:eastAsia="Times New Roman" w:hAnsi="Times New Roman" w:cs="Times New Roman"/>
      <w:lang w:eastAsia="en-GB"/>
    </w:rPr>
  </w:style>
  <w:style w:type="paragraph" w:customStyle="1" w:styleId="Affiliation">
    <w:name w:val="Affiliation"/>
    <w:basedOn w:val="Normal"/>
    <w:qFormat/>
    <w:rsid w:val="000F216F"/>
    <w:pPr>
      <w:spacing w:before="120"/>
    </w:pPr>
    <w:rPr>
      <w:lang w:val="en-US" w:eastAsia="en-US"/>
    </w:rPr>
  </w:style>
  <w:style w:type="paragraph" w:styleId="Header">
    <w:name w:val="header"/>
    <w:basedOn w:val="Normal"/>
    <w:link w:val="HeaderChar"/>
    <w:uiPriority w:val="99"/>
    <w:unhideWhenUsed/>
    <w:rsid w:val="009D571D"/>
    <w:pPr>
      <w:tabs>
        <w:tab w:val="center" w:pos="4513"/>
        <w:tab w:val="right" w:pos="9026"/>
      </w:tabs>
    </w:pPr>
  </w:style>
  <w:style w:type="character" w:customStyle="1" w:styleId="HeaderChar">
    <w:name w:val="Header Char"/>
    <w:basedOn w:val="DefaultParagraphFont"/>
    <w:link w:val="Header"/>
    <w:uiPriority w:val="99"/>
    <w:rsid w:val="009D571D"/>
    <w:rPr>
      <w:rFonts w:ascii="Times New Roman" w:eastAsia="Times New Roman" w:hAnsi="Times New Roman" w:cs="Times New Roman"/>
      <w:lang w:eastAsia="en-GB"/>
    </w:rPr>
  </w:style>
  <w:style w:type="table" w:styleId="TableGrid">
    <w:name w:val="Table Grid"/>
    <w:basedOn w:val="TableNormal"/>
    <w:uiPriority w:val="39"/>
    <w:rsid w:val="00F36C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semiHidden/>
    <w:rsid w:val="009D4CF8"/>
    <w:rPr>
      <w:rFonts w:asciiTheme="majorHAnsi" w:eastAsiaTheme="majorEastAsia" w:hAnsiTheme="majorHAnsi" w:cstheme="majorBidi"/>
      <w:color w:val="1F3763" w:themeColor="accent1" w:themeShade="7F"/>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677919">
      <w:bodyDiv w:val="1"/>
      <w:marLeft w:val="0"/>
      <w:marRight w:val="0"/>
      <w:marTop w:val="0"/>
      <w:marBottom w:val="0"/>
      <w:divBdr>
        <w:top w:val="none" w:sz="0" w:space="0" w:color="auto"/>
        <w:left w:val="none" w:sz="0" w:space="0" w:color="auto"/>
        <w:bottom w:val="none" w:sz="0" w:space="0" w:color="auto"/>
        <w:right w:val="none" w:sz="0" w:space="0" w:color="auto"/>
      </w:divBdr>
    </w:div>
    <w:div w:id="33895794">
      <w:bodyDiv w:val="1"/>
      <w:marLeft w:val="0"/>
      <w:marRight w:val="0"/>
      <w:marTop w:val="0"/>
      <w:marBottom w:val="0"/>
      <w:divBdr>
        <w:top w:val="none" w:sz="0" w:space="0" w:color="auto"/>
        <w:left w:val="none" w:sz="0" w:space="0" w:color="auto"/>
        <w:bottom w:val="none" w:sz="0" w:space="0" w:color="auto"/>
        <w:right w:val="none" w:sz="0" w:space="0" w:color="auto"/>
      </w:divBdr>
    </w:div>
    <w:div w:id="57016882">
      <w:bodyDiv w:val="1"/>
      <w:marLeft w:val="0"/>
      <w:marRight w:val="0"/>
      <w:marTop w:val="0"/>
      <w:marBottom w:val="0"/>
      <w:divBdr>
        <w:top w:val="none" w:sz="0" w:space="0" w:color="auto"/>
        <w:left w:val="none" w:sz="0" w:space="0" w:color="auto"/>
        <w:bottom w:val="none" w:sz="0" w:space="0" w:color="auto"/>
        <w:right w:val="none" w:sz="0" w:space="0" w:color="auto"/>
      </w:divBdr>
    </w:div>
    <w:div w:id="126242161">
      <w:bodyDiv w:val="1"/>
      <w:marLeft w:val="0"/>
      <w:marRight w:val="0"/>
      <w:marTop w:val="0"/>
      <w:marBottom w:val="0"/>
      <w:divBdr>
        <w:top w:val="none" w:sz="0" w:space="0" w:color="auto"/>
        <w:left w:val="none" w:sz="0" w:space="0" w:color="auto"/>
        <w:bottom w:val="none" w:sz="0" w:space="0" w:color="auto"/>
        <w:right w:val="none" w:sz="0" w:space="0" w:color="auto"/>
      </w:divBdr>
      <w:divsChild>
        <w:div w:id="732195811">
          <w:marLeft w:val="0"/>
          <w:marRight w:val="0"/>
          <w:marTop w:val="0"/>
          <w:marBottom w:val="0"/>
          <w:divBdr>
            <w:top w:val="none" w:sz="0" w:space="0" w:color="auto"/>
            <w:left w:val="none" w:sz="0" w:space="0" w:color="auto"/>
            <w:bottom w:val="none" w:sz="0" w:space="0" w:color="auto"/>
            <w:right w:val="none" w:sz="0" w:space="0" w:color="auto"/>
          </w:divBdr>
          <w:divsChild>
            <w:div w:id="1088160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72786">
      <w:bodyDiv w:val="1"/>
      <w:marLeft w:val="0"/>
      <w:marRight w:val="0"/>
      <w:marTop w:val="0"/>
      <w:marBottom w:val="0"/>
      <w:divBdr>
        <w:top w:val="none" w:sz="0" w:space="0" w:color="auto"/>
        <w:left w:val="none" w:sz="0" w:space="0" w:color="auto"/>
        <w:bottom w:val="none" w:sz="0" w:space="0" w:color="auto"/>
        <w:right w:val="none" w:sz="0" w:space="0" w:color="auto"/>
      </w:divBdr>
    </w:div>
    <w:div w:id="335035976">
      <w:bodyDiv w:val="1"/>
      <w:marLeft w:val="0"/>
      <w:marRight w:val="0"/>
      <w:marTop w:val="0"/>
      <w:marBottom w:val="0"/>
      <w:divBdr>
        <w:top w:val="none" w:sz="0" w:space="0" w:color="auto"/>
        <w:left w:val="none" w:sz="0" w:space="0" w:color="auto"/>
        <w:bottom w:val="none" w:sz="0" w:space="0" w:color="auto"/>
        <w:right w:val="none" w:sz="0" w:space="0" w:color="auto"/>
      </w:divBdr>
    </w:div>
    <w:div w:id="390662089">
      <w:bodyDiv w:val="1"/>
      <w:marLeft w:val="0"/>
      <w:marRight w:val="0"/>
      <w:marTop w:val="0"/>
      <w:marBottom w:val="0"/>
      <w:divBdr>
        <w:top w:val="none" w:sz="0" w:space="0" w:color="auto"/>
        <w:left w:val="none" w:sz="0" w:space="0" w:color="auto"/>
        <w:bottom w:val="none" w:sz="0" w:space="0" w:color="auto"/>
        <w:right w:val="none" w:sz="0" w:space="0" w:color="auto"/>
      </w:divBdr>
    </w:div>
    <w:div w:id="510989592">
      <w:bodyDiv w:val="1"/>
      <w:marLeft w:val="0"/>
      <w:marRight w:val="0"/>
      <w:marTop w:val="0"/>
      <w:marBottom w:val="0"/>
      <w:divBdr>
        <w:top w:val="none" w:sz="0" w:space="0" w:color="auto"/>
        <w:left w:val="none" w:sz="0" w:space="0" w:color="auto"/>
        <w:bottom w:val="none" w:sz="0" w:space="0" w:color="auto"/>
        <w:right w:val="none" w:sz="0" w:space="0" w:color="auto"/>
      </w:divBdr>
    </w:div>
    <w:div w:id="512109127">
      <w:bodyDiv w:val="1"/>
      <w:marLeft w:val="0"/>
      <w:marRight w:val="0"/>
      <w:marTop w:val="0"/>
      <w:marBottom w:val="0"/>
      <w:divBdr>
        <w:top w:val="none" w:sz="0" w:space="0" w:color="auto"/>
        <w:left w:val="none" w:sz="0" w:space="0" w:color="auto"/>
        <w:bottom w:val="none" w:sz="0" w:space="0" w:color="auto"/>
        <w:right w:val="none" w:sz="0" w:space="0" w:color="auto"/>
      </w:divBdr>
    </w:div>
    <w:div w:id="576786680">
      <w:bodyDiv w:val="1"/>
      <w:marLeft w:val="0"/>
      <w:marRight w:val="0"/>
      <w:marTop w:val="0"/>
      <w:marBottom w:val="0"/>
      <w:divBdr>
        <w:top w:val="none" w:sz="0" w:space="0" w:color="auto"/>
        <w:left w:val="none" w:sz="0" w:space="0" w:color="auto"/>
        <w:bottom w:val="none" w:sz="0" w:space="0" w:color="auto"/>
        <w:right w:val="none" w:sz="0" w:space="0" w:color="auto"/>
      </w:divBdr>
    </w:div>
    <w:div w:id="585311564">
      <w:bodyDiv w:val="1"/>
      <w:marLeft w:val="0"/>
      <w:marRight w:val="0"/>
      <w:marTop w:val="0"/>
      <w:marBottom w:val="0"/>
      <w:divBdr>
        <w:top w:val="none" w:sz="0" w:space="0" w:color="auto"/>
        <w:left w:val="none" w:sz="0" w:space="0" w:color="auto"/>
        <w:bottom w:val="none" w:sz="0" w:space="0" w:color="auto"/>
        <w:right w:val="none" w:sz="0" w:space="0" w:color="auto"/>
      </w:divBdr>
    </w:div>
    <w:div w:id="586504871">
      <w:bodyDiv w:val="1"/>
      <w:marLeft w:val="0"/>
      <w:marRight w:val="0"/>
      <w:marTop w:val="0"/>
      <w:marBottom w:val="0"/>
      <w:divBdr>
        <w:top w:val="none" w:sz="0" w:space="0" w:color="auto"/>
        <w:left w:val="none" w:sz="0" w:space="0" w:color="auto"/>
        <w:bottom w:val="none" w:sz="0" w:space="0" w:color="auto"/>
        <w:right w:val="none" w:sz="0" w:space="0" w:color="auto"/>
      </w:divBdr>
    </w:div>
    <w:div w:id="600381487">
      <w:bodyDiv w:val="1"/>
      <w:marLeft w:val="0"/>
      <w:marRight w:val="0"/>
      <w:marTop w:val="0"/>
      <w:marBottom w:val="0"/>
      <w:divBdr>
        <w:top w:val="none" w:sz="0" w:space="0" w:color="auto"/>
        <w:left w:val="none" w:sz="0" w:space="0" w:color="auto"/>
        <w:bottom w:val="none" w:sz="0" w:space="0" w:color="auto"/>
        <w:right w:val="none" w:sz="0" w:space="0" w:color="auto"/>
      </w:divBdr>
    </w:div>
    <w:div w:id="682363853">
      <w:bodyDiv w:val="1"/>
      <w:marLeft w:val="0"/>
      <w:marRight w:val="0"/>
      <w:marTop w:val="0"/>
      <w:marBottom w:val="0"/>
      <w:divBdr>
        <w:top w:val="none" w:sz="0" w:space="0" w:color="auto"/>
        <w:left w:val="none" w:sz="0" w:space="0" w:color="auto"/>
        <w:bottom w:val="none" w:sz="0" w:space="0" w:color="auto"/>
        <w:right w:val="none" w:sz="0" w:space="0" w:color="auto"/>
      </w:divBdr>
    </w:div>
    <w:div w:id="755174588">
      <w:bodyDiv w:val="1"/>
      <w:marLeft w:val="0"/>
      <w:marRight w:val="0"/>
      <w:marTop w:val="0"/>
      <w:marBottom w:val="0"/>
      <w:divBdr>
        <w:top w:val="none" w:sz="0" w:space="0" w:color="auto"/>
        <w:left w:val="none" w:sz="0" w:space="0" w:color="auto"/>
        <w:bottom w:val="none" w:sz="0" w:space="0" w:color="auto"/>
        <w:right w:val="none" w:sz="0" w:space="0" w:color="auto"/>
      </w:divBdr>
    </w:div>
    <w:div w:id="796142598">
      <w:bodyDiv w:val="1"/>
      <w:marLeft w:val="0"/>
      <w:marRight w:val="0"/>
      <w:marTop w:val="0"/>
      <w:marBottom w:val="0"/>
      <w:divBdr>
        <w:top w:val="none" w:sz="0" w:space="0" w:color="auto"/>
        <w:left w:val="none" w:sz="0" w:space="0" w:color="auto"/>
        <w:bottom w:val="none" w:sz="0" w:space="0" w:color="auto"/>
        <w:right w:val="none" w:sz="0" w:space="0" w:color="auto"/>
      </w:divBdr>
    </w:div>
    <w:div w:id="822038910">
      <w:bodyDiv w:val="1"/>
      <w:marLeft w:val="0"/>
      <w:marRight w:val="0"/>
      <w:marTop w:val="0"/>
      <w:marBottom w:val="0"/>
      <w:divBdr>
        <w:top w:val="none" w:sz="0" w:space="0" w:color="auto"/>
        <w:left w:val="none" w:sz="0" w:space="0" w:color="auto"/>
        <w:bottom w:val="none" w:sz="0" w:space="0" w:color="auto"/>
        <w:right w:val="none" w:sz="0" w:space="0" w:color="auto"/>
      </w:divBdr>
    </w:div>
    <w:div w:id="835221345">
      <w:bodyDiv w:val="1"/>
      <w:marLeft w:val="0"/>
      <w:marRight w:val="0"/>
      <w:marTop w:val="0"/>
      <w:marBottom w:val="0"/>
      <w:divBdr>
        <w:top w:val="none" w:sz="0" w:space="0" w:color="auto"/>
        <w:left w:val="none" w:sz="0" w:space="0" w:color="auto"/>
        <w:bottom w:val="none" w:sz="0" w:space="0" w:color="auto"/>
        <w:right w:val="none" w:sz="0" w:space="0" w:color="auto"/>
      </w:divBdr>
    </w:div>
    <w:div w:id="984510970">
      <w:bodyDiv w:val="1"/>
      <w:marLeft w:val="0"/>
      <w:marRight w:val="0"/>
      <w:marTop w:val="0"/>
      <w:marBottom w:val="0"/>
      <w:divBdr>
        <w:top w:val="none" w:sz="0" w:space="0" w:color="auto"/>
        <w:left w:val="none" w:sz="0" w:space="0" w:color="auto"/>
        <w:bottom w:val="none" w:sz="0" w:space="0" w:color="auto"/>
        <w:right w:val="none" w:sz="0" w:space="0" w:color="auto"/>
      </w:divBdr>
    </w:div>
    <w:div w:id="1010984528">
      <w:bodyDiv w:val="1"/>
      <w:marLeft w:val="0"/>
      <w:marRight w:val="0"/>
      <w:marTop w:val="0"/>
      <w:marBottom w:val="0"/>
      <w:divBdr>
        <w:top w:val="none" w:sz="0" w:space="0" w:color="auto"/>
        <w:left w:val="none" w:sz="0" w:space="0" w:color="auto"/>
        <w:bottom w:val="none" w:sz="0" w:space="0" w:color="auto"/>
        <w:right w:val="none" w:sz="0" w:space="0" w:color="auto"/>
      </w:divBdr>
    </w:div>
    <w:div w:id="1212575876">
      <w:bodyDiv w:val="1"/>
      <w:marLeft w:val="0"/>
      <w:marRight w:val="0"/>
      <w:marTop w:val="0"/>
      <w:marBottom w:val="0"/>
      <w:divBdr>
        <w:top w:val="none" w:sz="0" w:space="0" w:color="auto"/>
        <w:left w:val="none" w:sz="0" w:space="0" w:color="auto"/>
        <w:bottom w:val="none" w:sz="0" w:space="0" w:color="auto"/>
        <w:right w:val="none" w:sz="0" w:space="0" w:color="auto"/>
      </w:divBdr>
    </w:div>
    <w:div w:id="1213662941">
      <w:bodyDiv w:val="1"/>
      <w:marLeft w:val="0"/>
      <w:marRight w:val="0"/>
      <w:marTop w:val="0"/>
      <w:marBottom w:val="0"/>
      <w:divBdr>
        <w:top w:val="none" w:sz="0" w:space="0" w:color="auto"/>
        <w:left w:val="none" w:sz="0" w:space="0" w:color="auto"/>
        <w:bottom w:val="none" w:sz="0" w:space="0" w:color="auto"/>
        <w:right w:val="none" w:sz="0" w:space="0" w:color="auto"/>
      </w:divBdr>
    </w:div>
    <w:div w:id="1266187964">
      <w:bodyDiv w:val="1"/>
      <w:marLeft w:val="0"/>
      <w:marRight w:val="0"/>
      <w:marTop w:val="0"/>
      <w:marBottom w:val="0"/>
      <w:divBdr>
        <w:top w:val="none" w:sz="0" w:space="0" w:color="auto"/>
        <w:left w:val="none" w:sz="0" w:space="0" w:color="auto"/>
        <w:bottom w:val="none" w:sz="0" w:space="0" w:color="auto"/>
        <w:right w:val="none" w:sz="0" w:space="0" w:color="auto"/>
      </w:divBdr>
    </w:div>
    <w:div w:id="1284078534">
      <w:bodyDiv w:val="1"/>
      <w:marLeft w:val="0"/>
      <w:marRight w:val="0"/>
      <w:marTop w:val="0"/>
      <w:marBottom w:val="0"/>
      <w:divBdr>
        <w:top w:val="none" w:sz="0" w:space="0" w:color="auto"/>
        <w:left w:val="none" w:sz="0" w:space="0" w:color="auto"/>
        <w:bottom w:val="none" w:sz="0" w:space="0" w:color="auto"/>
        <w:right w:val="none" w:sz="0" w:space="0" w:color="auto"/>
      </w:divBdr>
    </w:div>
    <w:div w:id="1320189711">
      <w:bodyDiv w:val="1"/>
      <w:marLeft w:val="0"/>
      <w:marRight w:val="0"/>
      <w:marTop w:val="0"/>
      <w:marBottom w:val="0"/>
      <w:divBdr>
        <w:top w:val="none" w:sz="0" w:space="0" w:color="auto"/>
        <w:left w:val="none" w:sz="0" w:space="0" w:color="auto"/>
        <w:bottom w:val="none" w:sz="0" w:space="0" w:color="auto"/>
        <w:right w:val="none" w:sz="0" w:space="0" w:color="auto"/>
      </w:divBdr>
    </w:div>
    <w:div w:id="1337537102">
      <w:bodyDiv w:val="1"/>
      <w:marLeft w:val="0"/>
      <w:marRight w:val="0"/>
      <w:marTop w:val="0"/>
      <w:marBottom w:val="0"/>
      <w:divBdr>
        <w:top w:val="none" w:sz="0" w:space="0" w:color="auto"/>
        <w:left w:val="none" w:sz="0" w:space="0" w:color="auto"/>
        <w:bottom w:val="none" w:sz="0" w:space="0" w:color="auto"/>
        <w:right w:val="none" w:sz="0" w:space="0" w:color="auto"/>
      </w:divBdr>
    </w:div>
    <w:div w:id="1359428285">
      <w:bodyDiv w:val="1"/>
      <w:marLeft w:val="0"/>
      <w:marRight w:val="0"/>
      <w:marTop w:val="0"/>
      <w:marBottom w:val="0"/>
      <w:divBdr>
        <w:top w:val="none" w:sz="0" w:space="0" w:color="auto"/>
        <w:left w:val="none" w:sz="0" w:space="0" w:color="auto"/>
        <w:bottom w:val="none" w:sz="0" w:space="0" w:color="auto"/>
        <w:right w:val="none" w:sz="0" w:space="0" w:color="auto"/>
      </w:divBdr>
    </w:div>
    <w:div w:id="1368335365">
      <w:bodyDiv w:val="1"/>
      <w:marLeft w:val="0"/>
      <w:marRight w:val="0"/>
      <w:marTop w:val="0"/>
      <w:marBottom w:val="0"/>
      <w:divBdr>
        <w:top w:val="none" w:sz="0" w:space="0" w:color="auto"/>
        <w:left w:val="none" w:sz="0" w:space="0" w:color="auto"/>
        <w:bottom w:val="none" w:sz="0" w:space="0" w:color="auto"/>
        <w:right w:val="none" w:sz="0" w:space="0" w:color="auto"/>
      </w:divBdr>
    </w:div>
    <w:div w:id="1386686524">
      <w:bodyDiv w:val="1"/>
      <w:marLeft w:val="0"/>
      <w:marRight w:val="0"/>
      <w:marTop w:val="0"/>
      <w:marBottom w:val="0"/>
      <w:divBdr>
        <w:top w:val="none" w:sz="0" w:space="0" w:color="auto"/>
        <w:left w:val="none" w:sz="0" w:space="0" w:color="auto"/>
        <w:bottom w:val="none" w:sz="0" w:space="0" w:color="auto"/>
        <w:right w:val="none" w:sz="0" w:space="0" w:color="auto"/>
      </w:divBdr>
    </w:div>
    <w:div w:id="1390618208">
      <w:bodyDiv w:val="1"/>
      <w:marLeft w:val="0"/>
      <w:marRight w:val="0"/>
      <w:marTop w:val="0"/>
      <w:marBottom w:val="0"/>
      <w:divBdr>
        <w:top w:val="none" w:sz="0" w:space="0" w:color="auto"/>
        <w:left w:val="none" w:sz="0" w:space="0" w:color="auto"/>
        <w:bottom w:val="none" w:sz="0" w:space="0" w:color="auto"/>
        <w:right w:val="none" w:sz="0" w:space="0" w:color="auto"/>
      </w:divBdr>
    </w:div>
    <w:div w:id="1516654539">
      <w:bodyDiv w:val="1"/>
      <w:marLeft w:val="0"/>
      <w:marRight w:val="0"/>
      <w:marTop w:val="0"/>
      <w:marBottom w:val="0"/>
      <w:divBdr>
        <w:top w:val="none" w:sz="0" w:space="0" w:color="auto"/>
        <w:left w:val="none" w:sz="0" w:space="0" w:color="auto"/>
        <w:bottom w:val="none" w:sz="0" w:space="0" w:color="auto"/>
        <w:right w:val="none" w:sz="0" w:space="0" w:color="auto"/>
      </w:divBdr>
    </w:div>
    <w:div w:id="1532918612">
      <w:bodyDiv w:val="1"/>
      <w:marLeft w:val="0"/>
      <w:marRight w:val="0"/>
      <w:marTop w:val="0"/>
      <w:marBottom w:val="0"/>
      <w:divBdr>
        <w:top w:val="none" w:sz="0" w:space="0" w:color="auto"/>
        <w:left w:val="none" w:sz="0" w:space="0" w:color="auto"/>
        <w:bottom w:val="none" w:sz="0" w:space="0" w:color="auto"/>
        <w:right w:val="none" w:sz="0" w:space="0" w:color="auto"/>
      </w:divBdr>
    </w:div>
    <w:div w:id="1570458168">
      <w:bodyDiv w:val="1"/>
      <w:marLeft w:val="0"/>
      <w:marRight w:val="0"/>
      <w:marTop w:val="0"/>
      <w:marBottom w:val="0"/>
      <w:divBdr>
        <w:top w:val="none" w:sz="0" w:space="0" w:color="auto"/>
        <w:left w:val="none" w:sz="0" w:space="0" w:color="auto"/>
        <w:bottom w:val="none" w:sz="0" w:space="0" w:color="auto"/>
        <w:right w:val="none" w:sz="0" w:space="0" w:color="auto"/>
      </w:divBdr>
    </w:div>
    <w:div w:id="1588609699">
      <w:bodyDiv w:val="1"/>
      <w:marLeft w:val="0"/>
      <w:marRight w:val="0"/>
      <w:marTop w:val="0"/>
      <w:marBottom w:val="0"/>
      <w:divBdr>
        <w:top w:val="none" w:sz="0" w:space="0" w:color="auto"/>
        <w:left w:val="none" w:sz="0" w:space="0" w:color="auto"/>
        <w:bottom w:val="none" w:sz="0" w:space="0" w:color="auto"/>
        <w:right w:val="none" w:sz="0" w:space="0" w:color="auto"/>
      </w:divBdr>
    </w:div>
    <w:div w:id="1602643926">
      <w:bodyDiv w:val="1"/>
      <w:marLeft w:val="0"/>
      <w:marRight w:val="0"/>
      <w:marTop w:val="0"/>
      <w:marBottom w:val="0"/>
      <w:divBdr>
        <w:top w:val="none" w:sz="0" w:space="0" w:color="auto"/>
        <w:left w:val="none" w:sz="0" w:space="0" w:color="auto"/>
        <w:bottom w:val="none" w:sz="0" w:space="0" w:color="auto"/>
        <w:right w:val="none" w:sz="0" w:space="0" w:color="auto"/>
      </w:divBdr>
    </w:div>
    <w:div w:id="1654795548">
      <w:bodyDiv w:val="1"/>
      <w:marLeft w:val="0"/>
      <w:marRight w:val="0"/>
      <w:marTop w:val="0"/>
      <w:marBottom w:val="0"/>
      <w:divBdr>
        <w:top w:val="none" w:sz="0" w:space="0" w:color="auto"/>
        <w:left w:val="none" w:sz="0" w:space="0" w:color="auto"/>
        <w:bottom w:val="none" w:sz="0" w:space="0" w:color="auto"/>
        <w:right w:val="none" w:sz="0" w:space="0" w:color="auto"/>
      </w:divBdr>
    </w:div>
    <w:div w:id="1658192001">
      <w:bodyDiv w:val="1"/>
      <w:marLeft w:val="0"/>
      <w:marRight w:val="0"/>
      <w:marTop w:val="0"/>
      <w:marBottom w:val="0"/>
      <w:divBdr>
        <w:top w:val="none" w:sz="0" w:space="0" w:color="auto"/>
        <w:left w:val="none" w:sz="0" w:space="0" w:color="auto"/>
        <w:bottom w:val="none" w:sz="0" w:space="0" w:color="auto"/>
        <w:right w:val="none" w:sz="0" w:space="0" w:color="auto"/>
      </w:divBdr>
    </w:div>
    <w:div w:id="1671369406">
      <w:bodyDiv w:val="1"/>
      <w:marLeft w:val="0"/>
      <w:marRight w:val="0"/>
      <w:marTop w:val="0"/>
      <w:marBottom w:val="0"/>
      <w:divBdr>
        <w:top w:val="none" w:sz="0" w:space="0" w:color="auto"/>
        <w:left w:val="none" w:sz="0" w:space="0" w:color="auto"/>
        <w:bottom w:val="none" w:sz="0" w:space="0" w:color="auto"/>
        <w:right w:val="none" w:sz="0" w:space="0" w:color="auto"/>
      </w:divBdr>
    </w:div>
    <w:div w:id="1677999319">
      <w:bodyDiv w:val="1"/>
      <w:marLeft w:val="0"/>
      <w:marRight w:val="0"/>
      <w:marTop w:val="0"/>
      <w:marBottom w:val="0"/>
      <w:divBdr>
        <w:top w:val="none" w:sz="0" w:space="0" w:color="auto"/>
        <w:left w:val="none" w:sz="0" w:space="0" w:color="auto"/>
        <w:bottom w:val="none" w:sz="0" w:space="0" w:color="auto"/>
        <w:right w:val="none" w:sz="0" w:space="0" w:color="auto"/>
      </w:divBdr>
    </w:div>
    <w:div w:id="1701005799">
      <w:bodyDiv w:val="1"/>
      <w:marLeft w:val="0"/>
      <w:marRight w:val="0"/>
      <w:marTop w:val="0"/>
      <w:marBottom w:val="0"/>
      <w:divBdr>
        <w:top w:val="none" w:sz="0" w:space="0" w:color="auto"/>
        <w:left w:val="none" w:sz="0" w:space="0" w:color="auto"/>
        <w:bottom w:val="none" w:sz="0" w:space="0" w:color="auto"/>
        <w:right w:val="none" w:sz="0" w:space="0" w:color="auto"/>
      </w:divBdr>
    </w:div>
    <w:div w:id="1732923060">
      <w:bodyDiv w:val="1"/>
      <w:marLeft w:val="0"/>
      <w:marRight w:val="0"/>
      <w:marTop w:val="0"/>
      <w:marBottom w:val="0"/>
      <w:divBdr>
        <w:top w:val="none" w:sz="0" w:space="0" w:color="auto"/>
        <w:left w:val="none" w:sz="0" w:space="0" w:color="auto"/>
        <w:bottom w:val="none" w:sz="0" w:space="0" w:color="auto"/>
        <w:right w:val="none" w:sz="0" w:space="0" w:color="auto"/>
      </w:divBdr>
    </w:div>
    <w:div w:id="1770933295">
      <w:bodyDiv w:val="1"/>
      <w:marLeft w:val="0"/>
      <w:marRight w:val="0"/>
      <w:marTop w:val="0"/>
      <w:marBottom w:val="0"/>
      <w:divBdr>
        <w:top w:val="none" w:sz="0" w:space="0" w:color="auto"/>
        <w:left w:val="none" w:sz="0" w:space="0" w:color="auto"/>
        <w:bottom w:val="none" w:sz="0" w:space="0" w:color="auto"/>
        <w:right w:val="none" w:sz="0" w:space="0" w:color="auto"/>
      </w:divBdr>
    </w:div>
    <w:div w:id="1825387340">
      <w:bodyDiv w:val="1"/>
      <w:marLeft w:val="0"/>
      <w:marRight w:val="0"/>
      <w:marTop w:val="0"/>
      <w:marBottom w:val="0"/>
      <w:divBdr>
        <w:top w:val="none" w:sz="0" w:space="0" w:color="auto"/>
        <w:left w:val="none" w:sz="0" w:space="0" w:color="auto"/>
        <w:bottom w:val="none" w:sz="0" w:space="0" w:color="auto"/>
        <w:right w:val="none" w:sz="0" w:space="0" w:color="auto"/>
      </w:divBdr>
    </w:div>
    <w:div w:id="1848668444">
      <w:bodyDiv w:val="1"/>
      <w:marLeft w:val="0"/>
      <w:marRight w:val="0"/>
      <w:marTop w:val="0"/>
      <w:marBottom w:val="0"/>
      <w:divBdr>
        <w:top w:val="none" w:sz="0" w:space="0" w:color="auto"/>
        <w:left w:val="none" w:sz="0" w:space="0" w:color="auto"/>
        <w:bottom w:val="none" w:sz="0" w:space="0" w:color="auto"/>
        <w:right w:val="none" w:sz="0" w:space="0" w:color="auto"/>
      </w:divBdr>
    </w:div>
    <w:div w:id="1900165874">
      <w:bodyDiv w:val="1"/>
      <w:marLeft w:val="0"/>
      <w:marRight w:val="0"/>
      <w:marTop w:val="0"/>
      <w:marBottom w:val="0"/>
      <w:divBdr>
        <w:top w:val="none" w:sz="0" w:space="0" w:color="auto"/>
        <w:left w:val="none" w:sz="0" w:space="0" w:color="auto"/>
        <w:bottom w:val="none" w:sz="0" w:space="0" w:color="auto"/>
        <w:right w:val="none" w:sz="0" w:space="0" w:color="auto"/>
      </w:divBdr>
    </w:div>
    <w:div w:id="1957176791">
      <w:bodyDiv w:val="1"/>
      <w:marLeft w:val="0"/>
      <w:marRight w:val="0"/>
      <w:marTop w:val="0"/>
      <w:marBottom w:val="0"/>
      <w:divBdr>
        <w:top w:val="none" w:sz="0" w:space="0" w:color="auto"/>
        <w:left w:val="none" w:sz="0" w:space="0" w:color="auto"/>
        <w:bottom w:val="none" w:sz="0" w:space="0" w:color="auto"/>
        <w:right w:val="none" w:sz="0" w:space="0" w:color="auto"/>
      </w:divBdr>
    </w:div>
    <w:div w:id="2004045417">
      <w:bodyDiv w:val="1"/>
      <w:marLeft w:val="0"/>
      <w:marRight w:val="0"/>
      <w:marTop w:val="0"/>
      <w:marBottom w:val="0"/>
      <w:divBdr>
        <w:top w:val="none" w:sz="0" w:space="0" w:color="auto"/>
        <w:left w:val="none" w:sz="0" w:space="0" w:color="auto"/>
        <w:bottom w:val="none" w:sz="0" w:space="0" w:color="auto"/>
        <w:right w:val="none" w:sz="0" w:space="0" w:color="auto"/>
      </w:divBdr>
    </w:div>
    <w:div w:id="2056350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sites.science.oregonstate.edu/ocean.productivity/cbpm2.code.php" TargetMode="Externa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hyperlink" Target="https://www.ocean-ops.org/board/?t=argo"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yperlink" Target="https://doi.org/10.5194/bg-12-6955-2015" TargetMode="Externa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hyperlink" Target="https://doi.org/10.3354/meps09836"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hyperlink" Target="https://doi.org/10.1016/j.dsr.2011.07.007" TargetMode="External"/><Relationship Id="rId27" Type="http://schemas.openxmlformats.org/officeDocument/2006/relationships/footer" Target="footer2.xml"/><Relationship Id="rId30" Type="http://schemas.microsoft.com/office/2020/10/relationships/intelligence" Target="intelligence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7C759ADFA57AB439C1171F736463DC3" ma:contentTypeVersion="4" ma:contentTypeDescription="Create a new document." ma:contentTypeScope="" ma:versionID="2d06f3992c6cd4271cbc5725aa69cfde">
  <xsd:schema xmlns:xsd="http://www.w3.org/2001/XMLSchema" xmlns:xs="http://www.w3.org/2001/XMLSchema" xmlns:p="http://schemas.microsoft.com/office/2006/metadata/properties" xmlns:ns2="37513395-c703-437a-86fa-0df4ead16726" targetNamespace="http://schemas.microsoft.com/office/2006/metadata/properties" ma:root="true" ma:fieldsID="9f1b80093960ba534bda861046fef4f2" ns2:_="">
    <xsd:import namespace="37513395-c703-437a-86fa-0df4ead1672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7513395-c703-437a-86fa-0df4ead1672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134282C-F0F1-C14F-85C0-3A71525CD942}">
  <ds:schemaRefs>
    <ds:schemaRef ds:uri="http://schemas.openxmlformats.org/officeDocument/2006/bibliography"/>
  </ds:schemaRefs>
</ds:datastoreItem>
</file>

<file path=customXml/itemProps2.xml><?xml version="1.0" encoding="utf-8"?>
<ds:datastoreItem xmlns:ds="http://schemas.openxmlformats.org/officeDocument/2006/customXml" ds:itemID="{8850336E-4F62-49DC-A742-AAA042A3FEE9}">
  <ds:schemaRefs>
    <ds:schemaRef ds:uri="http://schemas.microsoft.com/sharepoint/v3/contenttype/forms"/>
  </ds:schemaRefs>
</ds:datastoreItem>
</file>

<file path=customXml/itemProps3.xml><?xml version="1.0" encoding="utf-8"?>
<ds:datastoreItem xmlns:ds="http://schemas.openxmlformats.org/officeDocument/2006/customXml" ds:itemID="{9194FD8B-E6A6-4625-AF3C-8BA5B31BEBA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0C02D51-6507-4D23-8A1B-E386B8A259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7513395-c703-437a-86fa-0df4ead167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3927f91-cda1-4696-af89-8c9f1ceffa91}" enabled="0" method="" siteId="{a3927f91-cda1-4696-af89-8c9f1ceffa91}" removed="1"/>
</clbl:labelList>
</file>

<file path=docProps/app.xml><?xml version="1.0" encoding="utf-8"?>
<Properties xmlns="http://schemas.openxmlformats.org/officeDocument/2006/extended-properties" xmlns:vt="http://schemas.openxmlformats.org/officeDocument/2006/docPropsVTypes">
  <Template>Normal.dotm</Template>
  <TotalTime>379</TotalTime>
  <Pages>45</Pages>
  <Words>13977</Words>
  <Characters>79671</Characters>
  <Application>Microsoft Office Word</Application>
  <DocSecurity>0</DocSecurity>
  <Lines>663</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Clara Rodriguez Vives</dc:creator>
  <cp:keywords/>
  <dc:description/>
  <cp:lastModifiedBy>Clara Rodriguez Vives</cp:lastModifiedBy>
  <cp:revision>135</cp:revision>
  <cp:lastPrinted>2023-02-09T07:06:00Z</cp:lastPrinted>
  <dcterms:created xsi:type="dcterms:W3CDTF">2024-08-13T01:20:00Z</dcterms:created>
  <dcterms:modified xsi:type="dcterms:W3CDTF">2024-08-15T05:44:00Z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0x010100D7C759ADFA57AB439C1171F736463DC3</vt:lpwstr>
  </property>
  <property fmtid="{D5CDD505-2E9C-101B-9397-08002B2CF9AE}" pid="3" name="GrammarlyDocumentId">
    <vt:lpwstr>94f7880fff1fe09bf9159c0a70624103d07d9e71f3117ed29a9e41f134bd89e0</vt:lpwstr>
  </property>
</Properties>
</file>