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ind w:left="72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480" w:lineRule="auto"/>
        <w:ind w:left="450" w:hanging="45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073158" cy="308275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73158" cy="30827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90663" cy="3106094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0663" cy="31060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Fig 1. Waveforms and scalp topographies depicting the LPP 400-1000 ms following onset of high-morph afraid faces in racial/ethnic minority children from high and low crime risk neighborhoods. </w:t>
      </w:r>
    </w:p>
    <w:sectPr>
      <w:headerReference r:id="rId9" w:type="default"/>
      <w:headerReference r:id="rId10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ind w:right="360"/>
      <w:rPr>
        <w:rFonts w:ascii="Times New Roman" w:cs="Times New Roman" w:eastAsia="Times New Roman" w:hAnsi="Times New Roman"/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line="480" w:lineRule="auto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KfXyhj5rMEhSvN4QNen6ihoZeA==">CgMxLjA4AHIhMWNYMFpZVEU5aFpyWi1sc3VfWW9JakhJZ1ctaG9Xc05p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