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513B3F2" w14:textId="6DE82B02" w:rsidR="004F3660" w:rsidRPr="00FC51BE" w:rsidRDefault="004F3660" w:rsidP="004F3660">
      <w:pPr>
        <w:spacing w:before="240"/>
        <w:rPr>
          <w:b/>
          <w:u w:val="single"/>
        </w:rPr>
      </w:pPr>
      <w:r w:rsidRPr="00FC51BE">
        <w:rPr>
          <w:b/>
          <w:u w:val="single"/>
        </w:rPr>
        <w:t>Title</w:t>
      </w:r>
      <w:r w:rsidR="00FC51BE" w:rsidRPr="00FC51BE">
        <w:rPr>
          <w:b/>
          <w:u w:val="single"/>
        </w:rPr>
        <w:t xml:space="preserve"> page</w:t>
      </w:r>
    </w:p>
    <w:p w14:paraId="7FEB09A0" w14:textId="09F20405" w:rsidR="004F3660" w:rsidRDefault="004F3660" w:rsidP="004F3660">
      <w:pPr>
        <w:spacing w:before="240"/>
      </w:pPr>
      <w:r>
        <w:t xml:space="preserve">Managing acute </w:t>
      </w:r>
      <w:proofErr w:type="spellStart"/>
      <w:r>
        <w:t>esophageal</w:t>
      </w:r>
      <w:proofErr w:type="spellEnd"/>
      <w:r>
        <w:t xml:space="preserve"> necrosis secondary to diabetic ketoacidosis in a rural centre: a case report and </w:t>
      </w:r>
      <w:r w:rsidR="00FC51BE">
        <w:t xml:space="preserve">proposed </w:t>
      </w:r>
      <w:r>
        <w:t>algorithm for management.</w:t>
      </w:r>
    </w:p>
    <w:p w14:paraId="76DD4099" w14:textId="77777777" w:rsidR="004F3660" w:rsidRDefault="004F3660" w:rsidP="004F3660">
      <w:pPr>
        <w:spacing w:before="240"/>
        <w:rPr>
          <w:b/>
        </w:rPr>
      </w:pPr>
      <w:r>
        <w:rPr>
          <w:b/>
        </w:rPr>
        <w:t>Authors</w:t>
      </w:r>
    </w:p>
    <w:p w14:paraId="210428FE" w14:textId="77777777" w:rsidR="004F3660" w:rsidRDefault="004F3660" w:rsidP="004F3660">
      <w:pPr>
        <w:spacing w:before="240"/>
      </w:pPr>
      <w:r>
        <w:t>Annie Jiao Wang</w:t>
      </w:r>
      <w:r>
        <w:rPr>
          <w:vertAlign w:val="superscript"/>
        </w:rPr>
        <w:t>1-2</w:t>
      </w:r>
      <w:r>
        <w:t xml:space="preserve"> </w:t>
      </w:r>
    </w:p>
    <w:p w14:paraId="37A5520B" w14:textId="436A6269" w:rsidR="004F3660" w:rsidRDefault="004F3660" w:rsidP="004F3660">
      <w:pPr>
        <w:spacing w:before="240"/>
        <w:rPr>
          <w:vertAlign w:val="superscript"/>
        </w:rPr>
      </w:pPr>
      <w:r>
        <w:t>Khang Duy Ricky Le</w:t>
      </w:r>
      <w:r>
        <w:rPr>
          <w:vertAlign w:val="superscript"/>
        </w:rPr>
        <w:t>1-2</w:t>
      </w:r>
      <w:r w:rsidR="00580EC5">
        <w:rPr>
          <w:vertAlign w:val="superscript"/>
        </w:rPr>
        <w:t>, 5</w:t>
      </w:r>
    </w:p>
    <w:p w14:paraId="5C494B8F" w14:textId="19D960FC" w:rsidR="004F3660" w:rsidRPr="00061D75" w:rsidRDefault="004F3660" w:rsidP="004F3660">
      <w:pPr>
        <w:spacing w:before="240"/>
        <w:rPr>
          <w:vertAlign w:val="superscript"/>
        </w:rPr>
      </w:pPr>
      <w:proofErr w:type="spellStart"/>
      <w:r>
        <w:t>Shasha</w:t>
      </w:r>
      <w:proofErr w:type="spellEnd"/>
      <w:r>
        <w:t xml:space="preserve"> Haycock</w:t>
      </w:r>
      <w:r>
        <w:rPr>
          <w:vertAlign w:val="superscript"/>
        </w:rPr>
        <w:t>1-2</w:t>
      </w:r>
      <w:r w:rsidR="00580EC5">
        <w:rPr>
          <w:vertAlign w:val="superscript"/>
        </w:rPr>
        <w:t>, 5</w:t>
      </w:r>
    </w:p>
    <w:p w14:paraId="02E48572" w14:textId="77777777" w:rsidR="004F3660" w:rsidRPr="00061D75" w:rsidRDefault="004F3660" w:rsidP="004F3660">
      <w:pPr>
        <w:spacing w:before="240"/>
        <w:rPr>
          <w:vertAlign w:val="superscript"/>
        </w:rPr>
      </w:pPr>
      <w:r>
        <w:t>Brendan Desmond</w:t>
      </w:r>
      <w:r>
        <w:rPr>
          <w:vertAlign w:val="superscript"/>
        </w:rPr>
        <w:t>3-4</w:t>
      </w:r>
    </w:p>
    <w:p w14:paraId="13E00763" w14:textId="77777777" w:rsidR="004F3660" w:rsidRDefault="004F3660" w:rsidP="004F3660">
      <w:pPr>
        <w:spacing w:before="240"/>
      </w:pPr>
      <w:r>
        <w:t>Matthew Shears</w:t>
      </w:r>
      <w:r>
        <w:rPr>
          <w:vertAlign w:val="superscript"/>
        </w:rPr>
        <w:t>1</w:t>
      </w:r>
    </w:p>
    <w:p w14:paraId="431220E6" w14:textId="77777777" w:rsidR="004F3660" w:rsidRDefault="004F3660" w:rsidP="004F3660">
      <w:pPr>
        <w:spacing w:before="240"/>
        <w:rPr>
          <w:b/>
        </w:rPr>
      </w:pPr>
      <w:r>
        <w:rPr>
          <w:b/>
        </w:rPr>
        <w:t>Author’s Affiliation(s)</w:t>
      </w:r>
      <w:r>
        <w:rPr>
          <w:b/>
        </w:rPr>
        <w:br/>
      </w:r>
    </w:p>
    <w:p w14:paraId="2984F345" w14:textId="77777777" w:rsidR="004F3660" w:rsidRDefault="004F3660" w:rsidP="004F3660">
      <w:pPr>
        <w:numPr>
          <w:ilvl w:val="0"/>
          <w:numId w:val="1"/>
        </w:numPr>
        <w:rPr>
          <w:color w:val="212121"/>
        </w:rPr>
      </w:pPr>
      <w:r>
        <w:rPr>
          <w:color w:val="212121"/>
          <w:highlight w:val="white"/>
        </w:rPr>
        <w:t>Department of General Surgery, Northeast Health Wangaratta, Wangaratta, Victoria, Australia</w:t>
      </w:r>
    </w:p>
    <w:p w14:paraId="6C755E21" w14:textId="77777777" w:rsidR="004F3660" w:rsidRDefault="004F3660" w:rsidP="004F3660">
      <w:pPr>
        <w:numPr>
          <w:ilvl w:val="0"/>
          <w:numId w:val="1"/>
        </w:numPr>
        <w:rPr>
          <w:color w:val="212121"/>
        </w:rPr>
      </w:pPr>
      <w:r>
        <w:rPr>
          <w:color w:val="212121"/>
          <w:highlight w:val="white"/>
        </w:rPr>
        <w:t>Department of General Surgical Specialties, The Royal Melbourne Hospital, Melbourne, Victoria, Australia.</w:t>
      </w:r>
    </w:p>
    <w:p w14:paraId="6DA8FD70" w14:textId="77777777" w:rsidR="004F3660" w:rsidRDefault="004F3660" w:rsidP="004F3660">
      <w:pPr>
        <w:numPr>
          <w:ilvl w:val="0"/>
          <w:numId w:val="1"/>
        </w:numPr>
        <w:rPr>
          <w:color w:val="212121"/>
        </w:rPr>
      </w:pPr>
      <w:r>
        <w:rPr>
          <w:color w:val="212121"/>
          <w:highlight w:val="white"/>
        </w:rPr>
        <w:t>Department of Hepatobiliary and Upper Gastrointestinal Surgery, Peter MacCallum Cancer Centre, Melbourne, Victoria, Australia.</w:t>
      </w:r>
    </w:p>
    <w:p w14:paraId="070FAFCC" w14:textId="77777777" w:rsidR="004F3660" w:rsidRDefault="004F3660" w:rsidP="004F3660">
      <w:pPr>
        <w:numPr>
          <w:ilvl w:val="0"/>
          <w:numId w:val="1"/>
        </w:numPr>
        <w:spacing w:after="240"/>
        <w:rPr>
          <w:color w:val="212121"/>
        </w:rPr>
      </w:pPr>
      <w:r>
        <w:rPr>
          <w:color w:val="212121"/>
          <w:highlight w:val="white"/>
        </w:rPr>
        <w:t>Hepatobiliary and Upper Gastrointestinal Surgery, The Royal Melbourne Hospital, Melbourne, Victoria, Australia.</w:t>
      </w:r>
    </w:p>
    <w:p w14:paraId="6F342AD2" w14:textId="5E7EC1D8" w:rsidR="00580EC5" w:rsidRDefault="00580EC5" w:rsidP="004F3660">
      <w:pPr>
        <w:numPr>
          <w:ilvl w:val="0"/>
          <w:numId w:val="1"/>
        </w:numPr>
        <w:spacing w:after="240"/>
        <w:rPr>
          <w:color w:val="212121"/>
        </w:rPr>
      </w:pPr>
      <w:r>
        <w:rPr>
          <w:color w:val="212121"/>
        </w:rPr>
        <w:t>Melbourne Medical School, The University of Melbourne</w:t>
      </w:r>
    </w:p>
    <w:p w14:paraId="7FD7CD31" w14:textId="77777777" w:rsidR="004F3660" w:rsidRDefault="004F3660" w:rsidP="004F3660">
      <w:pPr>
        <w:spacing w:before="240"/>
        <w:rPr>
          <w:b/>
        </w:rPr>
      </w:pPr>
      <w:r>
        <w:rPr>
          <w:b/>
        </w:rPr>
        <w:t>Corresponding author’s full contact details:</w:t>
      </w:r>
    </w:p>
    <w:p w14:paraId="14E7D7D3" w14:textId="77777777" w:rsidR="004F3660" w:rsidRDefault="004F3660" w:rsidP="004F3660">
      <w:pPr>
        <w:spacing w:before="240"/>
      </w:pPr>
      <w:r>
        <w:t>Name: Annie Jiao Wang</w:t>
      </w:r>
    </w:p>
    <w:p w14:paraId="1D4F796B" w14:textId="77777777" w:rsidR="004F3660" w:rsidRDefault="004F3660" w:rsidP="004F3660">
      <w:pPr>
        <w:spacing w:before="240"/>
      </w:pPr>
      <w:r>
        <w:t>Address: 300 Grattan St. Parkville, Victoria, 3050 Australia</w:t>
      </w:r>
    </w:p>
    <w:p w14:paraId="0CF1C774" w14:textId="77777777" w:rsidR="004F3660" w:rsidRDefault="004F3660" w:rsidP="004F3660">
      <w:pPr>
        <w:spacing w:before="240" w:after="240"/>
      </w:pPr>
      <w:r>
        <w:t xml:space="preserve">Email: </w:t>
      </w:r>
      <w:hyperlink r:id="rId6">
        <w:r>
          <w:rPr>
            <w:color w:val="1155CC"/>
            <w:u w:val="single"/>
          </w:rPr>
          <w:t>annie.wang@mh.org.au</w:t>
        </w:r>
      </w:hyperlink>
    </w:p>
    <w:p w14:paraId="68AF99CC" w14:textId="77777777" w:rsidR="004F3660" w:rsidRDefault="004F3660" w:rsidP="004F3660">
      <w:pPr>
        <w:spacing w:after="160" w:line="256" w:lineRule="auto"/>
        <w:rPr>
          <w:rFonts w:ascii="Calibri" w:eastAsia="Calibri" w:hAnsi="Calibri" w:cs="Calibri"/>
        </w:rPr>
      </w:pPr>
    </w:p>
    <w:p w14:paraId="33AC1781" w14:textId="77777777" w:rsidR="004F3660" w:rsidRDefault="004F3660" w:rsidP="004F3660">
      <w:pPr>
        <w:spacing w:before="240"/>
      </w:pPr>
    </w:p>
    <w:p w14:paraId="6C0E7505" w14:textId="77777777" w:rsidR="004F3660" w:rsidRDefault="004F3660" w:rsidP="004F3660">
      <w:pPr>
        <w:spacing w:before="240"/>
      </w:pPr>
      <w:r>
        <w:t xml:space="preserve"> </w:t>
      </w:r>
    </w:p>
    <w:p w14:paraId="7D6B0246" w14:textId="77777777" w:rsidR="003B620D" w:rsidRDefault="003B620D" w:rsidP="004F3660">
      <w:pPr>
        <w:spacing w:before="240"/>
      </w:pPr>
    </w:p>
    <w:p w14:paraId="1B31CD24" w14:textId="77777777" w:rsidR="003B620D" w:rsidRDefault="003B620D" w:rsidP="004F3660">
      <w:pPr>
        <w:spacing w:before="240"/>
      </w:pPr>
    </w:p>
    <w:p w14:paraId="01AC33C3" w14:textId="77777777" w:rsidR="004F3660" w:rsidRDefault="004F3660" w:rsidP="004F3660">
      <w:pPr>
        <w:spacing w:before="240"/>
      </w:pPr>
      <w:r>
        <w:t xml:space="preserve"> </w:t>
      </w:r>
    </w:p>
    <w:p w14:paraId="464A6587" w14:textId="71951E4A" w:rsidR="004F3660" w:rsidRPr="003B620D" w:rsidRDefault="004F3660" w:rsidP="00FC51BE">
      <w:pPr>
        <w:spacing w:before="240" w:line="480" w:lineRule="auto"/>
        <w:rPr>
          <w:b/>
          <w:u w:val="single"/>
        </w:rPr>
      </w:pPr>
      <w:r>
        <w:rPr>
          <w:b/>
          <w:u w:val="single"/>
        </w:rPr>
        <w:t xml:space="preserve">Abstract </w:t>
      </w:r>
    </w:p>
    <w:p w14:paraId="593EDF97" w14:textId="64A35EBC" w:rsidR="004F3660" w:rsidRDefault="004F3660" w:rsidP="00FC51BE">
      <w:pPr>
        <w:spacing w:before="240" w:line="480" w:lineRule="auto"/>
      </w:pPr>
      <w:r>
        <w:lastRenderedPageBreak/>
        <w:t xml:space="preserve">Acute </w:t>
      </w:r>
      <w:proofErr w:type="spellStart"/>
      <w:r>
        <w:t>esophageal</w:t>
      </w:r>
      <w:proofErr w:type="spellEnd"/>
      <w:r>
        <w:t xml:space="preserve"> necrosis (A</w:t>
      </w:r>
      <w:r w:rsidR="00061D75">
        <w:t>E</w:t>
      </w:r>
      <w:r>
        <w:t>N) is a rare phenomenon, usually presenting with hematemesis or melena in patients that are already unwell with concurrent pathology. We present a case of A</w:t>
      </w:r>
      <w:r w:rsidR="00061D75">
        <w:t>E</w:t>
      </w:r>
      <w:r>
        <w:t>N in an acutely unwell 82-year-old man who presented in diabetic ketoacidosis (DKA). He was successfully managed in our rural centre with remote guidance from a tertiary centre. We propose a treatment algorithm to guide management of those presenting to a resource limited centre with A</w:t>
      </w:r>
      <w:r w:rsidR="00061D75">
        <w:t>E</w:t>
      </w:r>
      <w:r>
        <w:t xml:space="preserve">N. </w:t>
      </w:r>
    </w:p>
    <w:p w14:paraId="77D74504" w14:textId="6590F3F7" w:rsidR="004F3660" w:rsidRDefault="004F3660" w:rsidP="00FC51BE">
      <w:pPr>
        <w:spacing w:before="240" w:line="480" w:lineRule="auto"/>
      </w:pPr>
      <w:r>
        <w:t>Initial management of A</w:t>
      </w:r>
      <w:r w:rsidR="00061D75">
        <w:t>E</w:t>
      </w:r>
      <w:r>
        <w:t>N should prioritise resuscitation and correction of any underlying pathology, such as DKA. Early endoscopic assessment is required for diagnosis of A</w:t>
      </w:r>
      <w:r w:rsidR="00061D75">
        <w:t>E</w:t>
      </w:r>
      <w:r>
        <w:t xml:space="preserve">N and quantification of the extent of necrosis. Early repeat endoscopy (48-72hrs) is recommended to assess </w:t>
      </w:r>
      <w:r w:rsidR="00061D75">
        <w:t>healing and</w:t>
      </w:r>
      <w:r>
        <w:t xml:space="preserve"> is useful in guiding ongoing management. In resource limited settings, early referral and transfer for patients with A</w:t>
      </w:r>
      <w:r w:rsidR="00061D75">
        <w:t>E</w:t>
      </w:r>
      <w:r>
        <w:t xml:space="preserve">N is recommended in the absence of intensive care support, endoscopy or limited blood products. </w:t>
      </w:r>
    </w:p>
    <w:p w14:paraId="6D000303" w14:textId="77777777" w:rsidR="004F3660" w:rsidRPr="00FC51BE" w:rsidRDefault="004F3660" w:rsidP="00FC51BE">
      <w:pPr>
        <w:spacing w:before="240" w:line="480" w:lineRule="auto"/>
        <w:rPr>
          <w:b/>
          <w:bCs/>
          <w:u w:val="single"/>
        </w:rPr>
      </w:pPr>
      <w:r w:rsidRPr="00FC51BE">
        <w:rPr>
          <w:b/>
          <w:bCs/>
          <w:u w:val="single"/>
        </w:rPr>
        <w:t>Keywords</w:t>
      </w:r>
    </w:p>
    <w:p w14:paraId="34807EE7" w14:textId="47A0DEFD" w:rsidR="004F3660" w:rsidRDefault="004F3660" w:rsidP="00FC51BE">
      <w:pPr>
        <w:spacing w:before="240" w:line="480" w:lineRule="auto"/>
      </w:pPr>
      <w:r>
        <w:t xml:space="preserve">Acute </w:t>
      </w:r>
      <w:proofErr w:type="spellStart"/>
      <w:r>
        <w:t>esophageal</w:t>
      </w:r>
      <w:proofErr w:type="spellEnd"/>
      <w:r>
        <w:t xml:space="preserve"> necrosis, </w:t>
      </w:r>
      <w:proofErr w:type="spellStart"/>
      <w:r>
        <w:t>Gurvits</w:t>
      </w:r>
      <w:proofErr w:type="spellEnd"/>
      <w:r>
        <w:t xml:space="preserve"> syndrome, diabetic ketoacidosis, necrotising esophagitis, endoscopic surgery, rural surgery</w:t>
      </w:r>
    </w:p>
    <w:p w14:paraId="23C72F8B" w14:textId="77777777" w:rsidR="00FC51BE" w:rsidRDefault="00FC51BE" w:rsidP="00FC51BE">
      <w:pPr>
        <w:spacing w:before="240" w:line="480" w:lineRule="auto"/>
      </w:pPr>
    </w:p>
    <w:p w14:paraId="2BB3F841" w14:textId="3C3BDD32" w:rsidR="00FC51BE" w:rsidRPr="00FC51BE" w:rsidRDefault="00FC51BE" w:rsidP="00FC51BE">
      <w:pPr>
        <w:spacing w:before="240" w:line="480" w:lineRule="auto"/>
        <w:rPr>
          <w:b/>
          <w:bCs/>
          <w:u w:val="single"/>
        </w:rPr>
      </w:pPr>
      <w:r>
        <w:rPr>
          <w:b/>
          <w:bCs/>
          <w:u w:val="single"/>
        </w:rPr>
        <w:t>Main text</w:t>
      </w:r>
    </w:p>
    <w:p w14:paraId="41825223" w14:textId="74B3DAB7" w:rsidR="004F3660" w:rsidRDefault="00FC51BE" w:rsidP="00FC51BE">
      <w:pPr>
        <w:spacing w:before="240" w:line="480" w:lineRule="auto"/>
        <w:rPr>
          <w:b/>
        </w:rPr>
      </w:pPr>
      <w:r>
        <w:rPr>
          <w:b/>
        </w:rPr>
        <w:t>Background</w:t>
      </w:r>
    </w:p>
    <w:p w14:paraId="71CE2E07" w14:textId="4CF1D82C" w:rsidR="004F3660" w:rsidRDefault="004F3660" w:rsidP="00FC51BE">
      <w:pPr>
        <w:spacing w:before="240" w:line="480" w:lineRule="auto"/>
      </w:pPr>
      <w:r>
        <w:t xml:space="preserve">Acute </w:t>
      </w:r>
      <w:proofErr w:type="spellStart"/>
      <w:r>
        <w:t>esophageal</w:t>
      </w:r>
      <w:proofErr w:type="spellEnd"/>
      <w:r>
        <w:t xml:space="preserve"> necrosis (A</w:t>
      </w:r>
      <w:r w:rsidR="00061D75">
        <w:t>E</w:t>
      </w:r>
      <w:r>
        <w:t>N) is a rare phenomenon, with an estimated incidence up to 0.28%, occurring in critically unwell patients</w:t>
      </w:r>
      <w:r>
        <w:fldChar w:fldCharType="begin"/>
      </w:r>
      <w:r>
        <w:instrText xml:space="preserve"> ADDIN EN.CITE &lt;EndNote&gt;&lt;Cite&gt;&lt;Author&gt;Augusto&lt;/Author&gt;&lt;Year&gt;2004&lt;/Year&gt;&lt;RecNum&gt;149&lt;/RecNum&gt;&lt;DisplayText&gt;(1)&lt;/DisplayText&gt;&lt;record&gt;&lt;rec-number&gt;149&lt;/rec-number&gt;&lt;foreign-keys&gt;&lt;key app="EN" db-id="2dtv9wfac9vfxyerawvxvezya0vxp59dtra9" timestamp="1719228885"&gt;149&lt;/key&gt;&lt;/foreign-keys&gt;&lt;ref-type name="Journal Article"&gt;17&lt;/ref-type&gt;&lt;contributors&gt;&lt;authors&gt;&lt;author&gt;Augusto, F.&lt;/author&gt;&lt;author&gt;Fernandes, V.&lt;/author&gt;&lt;author&gt;Cremers, M. I.&lt;/author&gt;&lt;author&gt;Oliveira, A. P.&lt;/author&gt;&lt;author&gt;Lobato, C.&lt;/author&gt;&lt;author&gt;Alves, A. L.&lt;/author&gt;&lt;author&gt;Pinho, C.&lt;/author&gt;&lt;author&gt;de Freitas, J.&lt;/author&gt;&lt;/authors&gt;&lt;/contributors&gt;&lt;auth-address&gt;Department of Gastroenterology, S Bernardo Hospital, Setubal, Portugal.&lt;/auth-address&gt;&lt;titles&gt;&lt;title&gt;Acute necrotizing esophagitis: a large retrospective case series&lt;/title&gt;&lt;secondary-title&gt;Endoscopy&lt;/secondary-title&gt;&lt;/titles&gt;&lt;periodical&gt;&lt;full-title&gt;Endoscopy&lt;/full-title&gt;&lt;/periodical&gt;&lt;pages&gt;411-5&lt;/pages&gt;&lt;volume&gt;36&lt;/volume&gt;&lt;number&gt;5&lt;/number&gt;&lt;edition&gt;2004/04/22&lt;/edition&gt;&lt;keywords&gt;&lt;keyword&gt;Acute Disease&lt;/keyword&gt;&lt;keyword&gt;Adult&lt;/keyword&gt;&lt;keyword&gt;Aged&lt;/keyword&gt;&lt;keyword&gt;Aged, 80 and over&lt;/keyword&gt;&lt;keyword&gt;Esophagitis/*etiology/*pathology/therapy&lt;/keyword&gt;&lt;keyword&gt;Esophagoscopy&lt;/keyword&gt;&lt;keyword&gt;Esophagus/*pathology&lt;/keyword&gt;&lt;keyword&gt;Female&lt;/keyword&gt;&lt;keyword&gt;Humans&lt;/keyword&gt;&lt;keyword&gt;Male&lt;/keyword&gt;&lt;keyword&gt;Middle Aged&lt;/keyword&gt;&lt;keyword&gt;Necrosis&lt;/keyword&gt;&lt;keyword&gt;Retrospective Studies&lt;/keyword&gt;&lt;keyword&gt;Risk Factors&lt;/keyword&gt;&lt;keyword&gt;Treatment Outcome&lt;/keyword&gt;&lt;/keywords&gt;&lt;dates&gt;&lt;year&gt;2004&lt;/year&gt;&lt;pub-dates&gt;&lt;date&gt;May&lt;/date&gt;&lt;/pub-dates&gt;&lt;/dates&gt;&lt;isbn&gt;0013-726X (Print)&amp;#xD;0013-726X (Linking)&lt;/isbn&gt;&lt;accession-num&gt;15100949&lt;/accession-num&gt;&lt;urls&gt;&lt;related-urls&gt;&lt;url&gt;https://www.ncbi.nlm.nih.gov/pubmed/15100949&lt;/url&gt;&lt;/related-urls&gt;&lt;/urls&gt;&lt;electronic-resource-num&gt;10.1055/s-2004-814318&lt;/electronic-resource-num&gt;&lt;/record&gt;&lt;/Cite&gt;&lt;/EndNote&gt;</w:instrText>
      </w:r>
      <w:r>
        <w:fldChar w:fldCharType="separate"/>
      </w:r>
      <w:r>
        <w:rPr>
          <w:noProof/>
        </w:rPr>
        <w:t>(1)</w:t>
      </w:r>
      <w:r>
        <w:fldChar w:fldCharType="end"/>
      </w:r>
      <w:r>
        <w:t>. Diagnosis is difficult, as presentations of A</w:t>
      </w:r>
      <w:r w:rsidR="00061D75">
        <w:t>E</w:t>
      </w:r>
      <w:r>
        <w:t>N can be variable, from non-specific abdominal complaints to upper gastrointestinal bleeding to profound shock</w:t>
      </w:r>
      <w:r>
        <w:fldChar w:fldCharType="begin"/>
      </w:r>
      <w:r>
        <w:instrText xml:space="preserve"> ADDIN EN.CITE &lt;EndNote&gt;&lt;Cite&gt;&lt;Author&gt;Rehman&lt;/Author&gt;&lt;Year&gt;2021&lt;/Year&gt;&lt;RecNum&gt;150&lt;/RecNum&gt;&lt;DisplayText&gt;(2)&lt;/DisplayText&gt;&lt;record&gt;&lt;rec-number&gt;150&lt;/rec-number&gt;&lt;foreign-keys&gt;&lt;key app="EN" db-id="2dtv9wfac9vfxyerawvxvezya0vxp59dtra9" timestamp="1719229019"&gt;150&lt;/key&gt;&lt;/foreign-keys&gt;&lt;ref-type name="Journal Article"&gt;17&lt;/ref-type&gt;&lt;contributors&gt;&lt;authors&gt;&lt;author&gt;Rehman, O.&lt;/author&gt;&lt;author&gt;Jaferi, U.&lt;/author&gt;&lt;author&gt;Padda, I.&lt;/author&gt;&lt;author&gt;Khehra, N.&lt;/author&gt;&lt;author&gt;Atwal, H.&lt;/author&gt;&lt;author&gt;Parmar, M.&lt;/author&gt;&lt;/authors&gt;&lt;/contributors&gt;&lt;auth-address&gt;Internal Medicine, Hamilton Medical Center, Dalton, USA.&amp;#xD;Family Medicine, Hamilton Medical Center, Dalton, USA.&amp;#xD;Public Health, University of Washington, Seattle, USA.&amp;#xD;Medicine, Saint James School of Medicine, Arnos Vale, VCT.&amp;#xD;Basic Sciences, Nova Southeastern University Dr. Kiran C. Patel College Of Osteopathic Medicine, Clearwater, USA.&lt;/auth-address&gt;&lt;titles&gt;&lt;title&gt;Epidemiology, Pathogenesis, and Clinical Manifestations of Acute Esophageal Necrosis in Adults&lt;/title&gt;&lt;secondary-title&gt;Cureus&lt;/secondary-title&gt;&lt;/titles&gt;&lt;periodical&gt;&lt;full-title&gt;Cureus&lt;/full-title&gt;&lt;/periodical&gt;&lt;pages&gt;e16618&lt;/pages&gt;&lt;volume&gt;13&lt;/volume&gt;&lt;number&gt;7&lt;/number&gt;&lt;edition&gt;2021/08/28&lt;/edition&gt;&lt;keywords&gt;&lt;keyword&gt;acute esophageal necrosis (aen)&lt;/keyword&gt;&lt;keyword&gt;black esophagus&lt;/keyword&gt;&lt;keyword&gt;clinical manifestations&lt;/keyword&gt;&lt;keyword&gt;diabetic ketoacidosis&lt;/keyword&gt;&lt;keyword&gt;diagnosis&lt;/keyword&gt;&lt;keyword&gt;endoscopy&lt;/keyword&gt;&lt;keyword&gt;epidemiology&lt;/keyword&gt;&lt;keyword&gt;gurvits syndrome&lt;/keyword&gt;&lt;keyword&gt;risk factors&lt;/keyword&gt;&lt;keyword&gt;treatment&lt;/keyword&gt;&lt;/keywords&gt;&lt;dates&gt;&lt;year&gt;2021&lt;/year&gt;&lt;pub-dates&gt;&lt;date&gt;Jul&lt;/date&gt;&lt;/pub-dates&gt;&lt;/dates&gt;&lt;isbn&gt;2168-8184 (Print)&amp;#xD;2168-8184 (Electronic)&amp;#xD;2168-8184 (Linking)&lt;/isbn&gt;&lt;accession-num&gt;34447648&lt;/accession-num&gt;&lt;urls&gt;&lt;related-urls&gt;&lt;url&gt;https://www.ncbi.nlm.nih.gov/pubmed/34447648&lt;/url&gt;&lt;/related-urls&gt;&lt;/urls&gt;&lt;custom2&gt;PMC8381445&lt;/custom2&gt;&lt;electronic-resource-num&gt;10.7759/cureus.16618&lt;/electronic-resource-num&gt;&lt;/record&gt;&lt;/Cite&gt;&lt;/EndNote&gt;</w:instrText>
      </w:r>
      <w:r>
        <w:fldChar w:fldCharType="separate"/>
      </w:r>
      <w:r>
        <w:rPr>
          <w:noProof/>
        </w:rPr>
        <w:t>(2)</w:t>
      </w:r>
      <w:r>
        <w:fldChar w:fldCharType="end"/>
      </w:r>
      <w:r>
        <w:t xml:space="preserve">. Gold-standard diagnosis is the identification of </w:t>
      </w:r>
      <w:r>
        <w:lastRenderedPageBreak/>
        <w:t>circumferential discoloured black mucosa with sharp demarcation at the gastro-</w:t>
      </w:r>
      <w:proofErr w:type="spellStart"/>
      <w:r>
        <w:t>esophageal</w:t>
      </w:r>
      <w:proofErr w:type="spellEnd"/>
      <w:r>
        <w:t xml:space="preserve"> junction on endoscopy</w:t>
      </w:r>
      <w:r>
        <w:fldChar w:fldCharType="begin"/>
      </w:r>
      <w:r>
        <w:instrText xml:space="preserve"> ADDIN EN.CITE &lt;EndNote&gt;&lt;Cite&gt;&lt;Author&gt;Gurvits&lt;/Author&gt;&lt;Year&gt;2010&lt;/Year&gt;&lt;RecNum&gt;148&lt;/RecNum&gt;&lt;DisplayText&gt;(3)&lt;/DisplayText&gt;&lt;record&gt;&lt;rec-number&gt;148&lt;/rec-number&gt;&lt;foreign-keys&gt;&lt;key app="EN" db-id="2dtv9wfac9vfxyerawvxvezya0vxp59dtra9" timestamp="1719226579"&gt;148&lt;/key&gt;&lt;/foreign-keys&gt;&lt;ref-type name="Journal Article"&gt;17&lt;/ref-type&gt;&lt;contributors&gt;&lt;authors&gt;&lt;author&gt;Gurvits, G. E.&lt;/author&gt;&lt;/authors&gt;&lt;/contributors&gt;&lt;auth-address&gt;Department of Gastroenterology, St. Vincent&amp;apos;s Medical Center/New York Medical College, 170 West 12th Street, New York, NY 10011, USA. dr.gurvits@hotmail.com&lt;/auth-address&gt;&lt;titles&gt;&lt;title&gt;Black esophagus: acute esophageal necrosis syndrome&lt;/title&gt;&lt;secondary-title&gt;World J Gastroenterol&lt;/secondary-title&gt;&lt;/titles&gt;&lt;periodical&gt;&lt;full-title&gt;World J Gastroenterol&lt;/full-title&gt;&lt;/periodical&gt;&lt;pages&gt;3219-25&lt;/pages&gt;&lt;volume&gt;16&lt;/volume&gt;&lt;number&gt;26&lt;/number&gt;&lt;edition&gt;2010/07/09&lt;/edition&gt;&lt;keywords&gt;&lt;keyword&gt;Acute Disease&lt;/keyword&gt;&lt;keyword&gt;Diagnosis, Differential&lt;/keyword&gt;&lt;keyword&gt;Esophageal Diseases/diagnosis/*pathology/therapy&lt;/keyword&gt;&lt;keyword&gt;Esophagus/blood supply/*pathology/physiopathology&lt;/keyword&gt;&lt;keyword&gt;Gastric Outlet Obstruction/pathology&lt;/keyword&gt;&lt;keyword&gt;Humans&lt;/keyword&gt;&lt;keyword&gt;Ischemia/pathology&lt;/keyword&gt;&lt;keyword&gt;Necrosis&lt;/keyword&gt;&lt;keyword&gt;Prognosis&lt;/keyword&gt;&lt;keyword&gt;Syndrome&lt;/keyword&gt;&lt;/keywords&gt;&lt;dates&gt;&lt;year&gt;2010&lt;/year&gt;&lt;pub-dates&gt;&lt;date&gt;Jul 14&lt;/date&gt;&lt;/pub-dates&gt;&lt;/dates&gt;&lt;isbn&gt;2219-2840 (Electronic)&amp;#xD;1007-9327 (Print)&amp;#xD;1007-9327 (Linking)&lt;/isbn&gt;&lt;accession-num&gt;20614476&lt;/accession-num&gt;&lt;urls&gt;&lt;related-urls&gt;&lt;url&gt;https://www.ncbi.nlm.nih.gov/pubmed/20614476&lt;/url&gt;&lt;url&gt;https://www.ncbi.nlm.nih.gov/pmc/articles/PMC2900712/pdf/WJG-16-3219.pdf&lt;/url&gt;&lt;/related-urls&gt;&lt;/urls&gt;&lt;custom2&gt;PMC2900712&lt;/custom2&gt;&lt;electronic-resource-num&gt;10.3748/wjg.v16.i26.3219&lt;/electronic-resource-num&gt;&lt;/record&gt;&lt;/Cite&gt;&lt;/EndNote&gt;</w:instrText>
      </w:r>
      <w:r>
        <w:fldChar w:fldCharType="separate"/>
      </w:r>
      <w:r>
        <w:rPr>
          <w:noProof/>
        </w:rPr>
        <w:t>(3)</w:t>
      </w:r>
      <w:r>
        <w:fldChar w:fldCharType="end"/>
      </w:r>
      <w:r>
        <w:t>. Despite the growing recognition of this condition, its pathophysiology remains poorly characterised. Diabetic ketoacidosis (DKA) is suggested as a common inciting factor</w:t>
      </w:r>
      <w:r>
        <w:fldChar w:fldCharType="begin">
          <w:fldData xml:space="preserve">PEVuZE5vdGU+PENpdGU+PEF1dGhvcj5HdXJ2aXRzPC9BdXRob3I+PFllYXI+MjAxMDwvWWVhcj48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</w:fldData>
        </w:fldChar>
      </w:r>
      <w:r>
        <w:instrText xml:space="preserve"> ADDIN EN.CITE </w:instrText>
      </w:r>
      <w:r>
        <w:fldChar w:fldCharType="begin">
          <w:fldData xml:space="preserve">PEVuZE5vdGU+PENpdGU+PEF1dGhvcj5HdXJ2aXRzPC9BdXRob3I+PFllYXI+MjAxMDwvWWVhcj48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</w:fldData>
        </w:fldChar>
      </w:r>
      <w:r>
        <w:instrText xml:space="preserve"> ADDIN EN.CITE.DATA </w:instrText>
      </w:r>
      <w:r>
        <w:fldChar w:fldCharType="end"/>
      </w:r>
      <w:r>
        <w:fldChar w:fldCharType="separate"/>
      </w:r>
      <w:r>
        <w:rPr>
          <w:noProof/>
        </w:rPr>
        <w:t>(3, 4)</w:t>
      </w:r>
      <w:r>
        <w:fldChar w:fldCharType="end"/>
      </w:r>
      <w:r>
        <w:t>. In the absence of DKA, states of profound hypoperfusion, have also been implicated in the development of A</w:t>
      </w:r>
      <w:r w:rsidR="00061D75">
        <w:t>E</w:t>
      </w:r>
      <w:r>
        <w:t>N. Notably, A</w:t>
      </w:r>
      <w:r w:rsidR="00061D75">
        <w:t>E</w:t>
      </w:r>
      <w:r>
        <w:t>N leads to a significant burden of morbidity, with an associated mortality rate of 32%</w:t>
      </w:r>
      <w:r>
        <w:fldChar w:fldCharType="begin"/>
      </w:r>
      <w:r>
        <w:instrText xml:space="preserve"> ADDIN EN.CITE &lt;EndNote&gt;&lt;Cite&gt;&lt;Author&gt;Gurvits&lt;/Author&gt;&lt;Year&gt;2007&lt;/Year&gt;&lt;RecNum&gt;152&lt;/RecNum&gt;&lt;DisplayText&gt;(5)&lt;/DisplayText&gt;&lt;record&gt;&lt;rec-number&gt;152&lt;/rec-number&gt;&lt;foreign-keys&gt;&lt;key app="EN" db-id="2dtv9wfac9vfxyerawvxvezya0vxp59dtra9" timestamp="1719233816"&gt;152&lt;/key&gt;&lt;/foreign-keys&gt;&lt;ref-type name="Journal Article"&gt;17&lt;/ref-type&gt;&lt;contributors&gt;&lt;authors&gt;&lt;author&gt;Gurvits, G. E.&lt;/author&gt;&lt;author&gt;Shapsis, A.&lt;/author&gt;&lt;author&gt;Lau, N.&lt;/author&gt;&lt;author&gt;Gualtieri, N.&lt;/author&gt;&lt;author&gt;Robilotti, J. G.&lt;/author&gt;&lt;/authors&gt;&lt;/contributors&gt;&lt;auth-address&gt;Department of Gastroenterology, St. Vincent&amp;apos;s Medical Center, New York Medical College, 153 West 11th Street, NR 11, New York, NY10011, USA.&lt;/auth-address&gt;&lt;titles&gt;&lt;title&gt;Acute esophageal necrosis: a rare syndrome&lt;/title&gt;&lt;secondary-title&gt;J Gastroenterol&lt;/secondary-title&gt;&lt;/titles&gt;&lt;periodical&gt;&lt;full-title&gt;J Gastroenterol&lt;/full-title&gt;&lt;/periodical&gt;&lt;pages&gt;29-38&lt;/pages&gt;&lt;volume&gt;42&lt;/volume&gt;&lt;number&gt;1&lt;/number&gt;&lt;edition&gt;2007/02/27&lt;/edition&gt;&lt;keywords&gt;&lt;keyword&gt;Acute Disease&lt;/keyword&gt;&lt;keyword&gt;Adult&lt;/keyword&gt;&lt;keyword&gt;Aged&lt;/keyword&gt;&lt;keyword&gt;Aged, 80 and over&lt;/keyword&gt;&lt;keyword&gt;Esophageal Diseases/*pathology&lt;/keyword&gt;&lt;keyword&gt;Esophagoscopy&lt;/keyword&gt;&lt;keyword&gt;Esophagus/*pathology&lt;/keyword&gt;&lt;keyword&gt;Fatal Outcome&lt;/keyword&gt;&lt;keyword&gt;Female&lt;/keyword&gt;&lt;keyword&gt;Gastrointestinal Hemorrhage/etiology&lt;/keyword&gt;&lt;keyword&gt;Hematemesis/etiology&lt;/keyword&gt;&lt;keyword&gt;Humans&lt;/keyword&gt;&lt;keyword&gt;Male&lt;/keyword&gt;&lt;keyword&gt;Middle Aged&lt;/keyword&gt;&lt;keyword&gt;Necrosis&lt;/keyword&gt;&lt;keyword&gt;Risk Factors&lt;/keyword&gt;&lt;keyword&gt;Syndrome&lt;/keyword&gt;&lt;/keywords&gt;&lt;dates&gt;&lt;year&gt;2007&lt;/year&gt;&lt;pub-dates&gt;&lt;date&gt;Jan&lt;/date&gt;&lt;/pub-dates&gt;&lt;/dates&gt;&lt;isbn&gt;0944-1174 (Print)&amp;#xD;0944-1174 (Linking)&lt;/isbn&gt;&lt;accession-num&gt;17322991&lt;/accession-num&gt;&lt;urls&gt;&lt;related-urls&gt;&lt;url&gt;https://www.ncbi.nlm.nih.gov/pubmed/17322991&lt;/url&gt;&lt;/related-urls&gt;&lt;/urls&gt;&lt;electronic-resource-num&gt;10.1007/s00535-006-1974-z&lt;/electronic-resource-num&gt;&lt;/record&gt;&lt;/Cite&gt;&lt;/EndNote&gt;</w:instrText>
      </w:r>
      <w:r>
        <w:fldChar w:fldCharType="separate"/>
      </w:r>
      <w:r>
        <w:rPr>
          <w:noProof/>
        </w:rPr>
        <w:t>(5)</w:t>
      </w:r>
      <w:r>
        <w:fldChar w:fldCharType="end"/>
      </w:r>
      <w:r>
        <w:t>. Complications may include stricture, perforation, mediastinitis and sepsis</w:t>
      </w:r>
      <w:r>
        <w:fldChar w:fldCharType="begin"/>
      </w:r>
      <w:r>
        <w:instrText xml:space="preserve"> ADDIN EN.CITE &lt;EndNote&gt;&lt;Cite&gt;&lt;Author&gt;Gurvits&lt;/Author&gt;&lt;Year&gt;2010&lt;/Year&gt;&lt;RecNum&gt;148&lt;/RecNum&gt;&lt;DisplayText&gt;(3)&lt;/DisplayText&gt;&lt;record&gt;&lt;rec-number&gt;148&lt;/rec-number&gt;&lt;foreign-keys&gt;&lt;key app="EN" db-id="2dtv9wfac9vfxyerawvxvezya0vxp59dtra9" timestamp="1719226579"&gt;148&lt;/key&gt;&lt;/foreign-keys&gt;&lt;ref-type name="Journal Article"&gt;17&lt;/ref-type&gt;&lt;contributors&gt;&lt;authors&gt;&lt;author&gt;Gurvits, G. E.&lt;/author&gt;&lt;/authors&gt;&lt;/contributors&gt;&lt;auth-address&gt;Department of Gastroenterology, St. Vincent&amp;apos;s Medical Center/New York Medical College, 170 West 12th Street, New York, NY 10011, USA. dr.gurvits@hotmail.com&lt;/auth-address&gt;&lt;titles&gt;&lt;title&gt;Black esophagus: acute esophageal necrosis syndrome&lt;/title&gt;&lt;secondary-title&gt;World J Gastroenterol&lt;/secondary-title&gt;&lt;/titles&gt;&lt;periodical&gt;&lt;full-title&gt;World J Gastroenterol&lt;/full-title&gt;&lt;/periodical&gt;&lt;pages&gt;3219-25&lt;/pages&gt;&lt;volume&gt;16&lt;/volume&gt;&lt;number&gt;26&lt;/number&gt;&lt;edition&gt;2010/07/09&lt;/edition&gt;&lt;keywords&gt;&lt;keyword&gt;Acute Disease&lt;/keyword&gt;&lt;keyword&gt;Diagnosis, Differential&lt;/keyword&gt;&lt;keyword&gt;Esophageal Diseases/diagnosis/*pathology/therapy&lt;/keyword&gt;&lt;keyword&gt;Esophagus/blood supply/*pathology/physiopathology&lt;/keyword&gt;&lt;keyword&gt;Gastric Outlet Obstruction/pathology&lt;/keyword&gt;&lt;keyword&gt;Humans&lt;/keyword&gt;&lt;keyword&gt;Ischemia/pathology&lt;/keyword&gt;&lt;keyword&gt;Necrosis&lt;/keyword&gt;&lt;keyword&gt;Prognosis&lt;/keyword&gt;&lt;keyword&gt;Syndrome&lt;/keyword&gt;&lt;/keywords&gt;&lt;dates&gt;&lt;year&gt;2010&lt;/year&gt;&lt;pub-dates&gt;&lt;date&gt;Jul 14&lt;/date&gt;&lt;/pub-dates&gt;&lt;/dates&gt;&lt;isbn&gt;2219-2840 (Electronic)&amp;#xD;1007-9327 (Print)&amp;#xD;1007-9327 (Linking)&lt;/isbn&gt;&lt;accession-num&gt;20614476&lt;/accession-num&gt;&lt;urls&gt;&lt;related-urls&gt;&lt;url&gt;https://www.ncbi.nlm.nih.gov/pubmed/20614476&lt;/url&gt;&lt;url&gt;https://www.ncbi.nlm.nih.gov/pmc/articles/PMC2900712/pdf/WJG-16-3219.pdf&lt;/url&gt;&lt;/related-urls&gt;&lt;/urls&gt;&lt;custom2&gt;PMC2900712&lt;/custom2&gt;&lt;electronic-resource-num&gt;10.3748/wjg.v16.i26.3219&lt;/electronic-resource-num&gt;&lt;/record&gt;&lt;/Cite&gt;&lt;/EndNote&gt;</w:instrText>
      </w:r>
      <w:r>
        <w:fldChar w:fldCharType="separate"/>
      </w:r>
      <w:r>
        <w:rPr>
          <w:noProof/>
        </w:rPr>
        <w:t>(3)</w:t>
      </w:r>
      <w:r>
        <w:fldChar w:fldCharType="end"/>
      </w:r>
      <w:r>
        <w:t>.</w:t>
      </w:r>
    </w:p>
    <w:p w14:paraId="0DC8A501" w14:textId="12303732" w:rsidR="004F3660" w:rsidRDefault="004F3660" w:rsidP="00FC51BE">
      <w:pPr>
        <w:spacing w:before="240" w:line="480" w:lineRule="auto"/>
      </w:pPr>
      <w:r>
        <w:t>Demands of managing patients with severe conditions that may lead to A</w:t>
      </w:r>
      <w:r w:rsidR="00061D75">
        <w:t>E</w:t>
      </w:r>
      <w:r>
        <w:t>N, such as DKA or sepsis, may delay definitive diagnosis through endoscopy. In rural settings, these issues may be amplified in the context of resource limitations, unfamiliarity with the condition and absence of evidence-based guidelines for the diagnosis and management of this condition. This case report and literature review describes a case of A</w:t>
      </w:r>
      <w:r w:rsidR="00061D75">
        <w:t>E</w:t>
      </w:r>
      <w:r>
        <w:t>N in a rural setting and proposes an algorithm for management with a focus on resource-poor settings.</w:t>
      </w:r>
    </w:p>
    <w:p w14:paraId="656EBE8C" w14:textId="77777777" w:rsidR="004F3660" w:rsidRDefault="004F3660" w:rsidP="00FC51BE">
      <w:pPr>
        <w:spacing w:before="240" w:line="480" w:lineRule="auto"/>
        <w:rPr>
          <w:b/>
        </w:rPr>
      </w:pPr>
      <w:r>
        <w:rPr>
          <w:b/>
        </w:rPr>
        <w:t>Case presentation</w:t>
      </w:r>
    </w:p>
    <w:p w14:paraId="05B9374D" w14:textId="4D0454E8" w:rsidR="00FC51BE" w:rsidRPr="00FC51BE" w:rsidRDefault="00FC51BE" w:rsidP="00FC51BE">
      <w:pPr>
        <w:spacing w:before="240" w:line="480" w:lineRule="auto"/>
        <w:rPr>
          <w:bCs/>
          <w:u w:val="single"/>
        </w:rPr>
      </w:pPr>
      <w:r>
        <w:rPr>
          <w:bCs/>
          <w:u w:val="single"/>
        </w:rPr>
        <w:t>Case history and examination</w:t>
      </w:r>
    </w:p>
    <w:p w14:paraId="1F44194E" w14:textId="7D3D1924" w:rsidR="00FC51BE" w:rsidRDefault="004F3660" w:rsidP="00FC51BE">
      <w:pPr>
        <w:spacing w:before="240" w:line="480" w:lineRule="auto"/>
      </w:pPr>
      <w:r>
        <w:t>An 82-year-old man presented in DKA following an unwitnessed fall preceded by days of nausea with vague abdominal pain. His comorbidities included cerebrovascular disease, type 2 diabetes mellitus, and a previous diagnosis of ulcerative esophagitis. He was previously a smoker and consumed alcohol occasionally.</w:t>
      </w:r>
      <w:r w:rsidR="00FC51BE">
        <w:t xml:space="preserve"> </w:t>
      </w:r>
      <w:r>
        <w:t>Initial blood tests revealed a blood glucose of 29mmol/L, pH 7.18, and ketones of 7mmol/L. Additionally, he had an acute kidney injury and electrolyte derangements manifesting in non-sustained ventricular tachycardia. He was commenced on insulin, electrolyte replacement, fluid therapy and admitted to the intensive care unit (ICU).</w:t>
      </w:r>
      <w:r w:rsidR="00FC51BE">
        <w:t xml:space="preserve"> The patient developed hematemesis and melena day 1 of admission.</w:t>
      </w:r>
    </w:p>
    <w:p w14:paraId="406AB2EA" w14:textId="144F19DE" w:rsidR="00FC51BE" w:rsidRPr="00FC51BE" w:rsidRDefault="00FC51BE" w:rsidP="00FC51BE">
      <w:pPr>
        <w:spacing w:before="240" w:line="480" w:lineRule="auto"/>
        <w:rPr>
          <w:u w:val="single"/>
        </w:rPr>
      </w:pPr>
      <w:r>
        <w:rPr>
          <w:u w:val="single"/>
        </w:rPr>
        <w:lastRenderedPageBreak/>
        <w:t>Differential Diagnosis, investigation and management</w:t>
      </w:r>
    </w:p>
    <w:p w14:paraId="45B592EE" w14:textId="6AC0B06C" w:rsidR="00FC51BE" w:rsidRPr="00FC51BE" w:rsidRDefault="00FC51BE" w:rsidP="00FC51BE">
      <w:pPr>
        <w:spacing w:before="240" w:line="480" w:lineRule="auto"/>
      </w:pPr>
      <w:r>
        <w:t xml:space="preserve">Repeat blood testing showed that the </w:t>
      </w:r>
      <w:proofErr w:type="spellStart"/>
      <w:r>
        <w:t>hemoglobin</w:t>
      </w:r>
      <w:proofErr w:type="spellEnd"/>
      <w:r>
        <w:t xml:space="preserve"> decremented from 121g/L to 82g/L. In the setting of suspected new upper gastrointestinal bleeding (UGIB), the patient was referred to General Surgery for consideration of urgent gastroscopy, resuscitated with packed red cells and commenced on high dose intravenous proton pump inhibitor (PPI). </w:t>
      </w:r>
    </w:p>
    <w:p w14:paraId="7908972F" w14:textId="0CCB2E26" w:rsidR="00437259" w:rsidRDefault="004F3660" w:rsidP="00FC51BE">
      <w:pPr>
        <w:spacing w:before="240" w:line="480" w:lineRule="auto"/>
      </w:pPr>
      <w:r>
        <w:t xml:space="preserve">Gastroscopy was performed which identified 12cm of circumferential necrotic mucosa at the distal </w:t>
      </w:r>
      <w:proofErr w:type="spellStart"/>
      <w:r>
        <w:t>esophagus</w:t>
      </w:r>
      <w:proofErr w:type="spellEnd"/>
      <w:r w:rsidR="00437259">
        <w:t xml:space="preserve"> (Figure 1)</w:t>
      </w:r>
      <w:r>
        <w:t xml:space="preserve">. There was no evidence of active bleeding. The patient was kept nil by mouth and referred to a tertiary centre for advice. He subsequently became febrile with concerns for possible mediastinitis and was commenced on broad spectrum antimicrobials – Piperacillin/Tazobactam and </w:t>
      </w:r>
      <w:proofErr w:type="spellStart"/>
      <w:r>
        <w:t>Caspofungin</w:t>
      </w:r>
      <w:proofErr w:type="spellEnd"/>
      <w:r>
        <w:t xml:space="preserve">. Computer tomography (CT) imaging of the chest and abdomen demonstrated bilateral pleural effusions, and bi-basal atelectasis without evidence of mediastinitis. A repeat gastroscopy performed at 48 hours demonstrated slough at the distal </w:t>
      </w:r>
      <w:proofErr w:type="spellStart"/>
      <w:r>
        <w:t>esophagus</w:t>
      </w:r>
      <w:proofErr w:type="spellEnd"/>
      <w:r>
        <w:t xml:space="preserve"> and healing of the </w:t>
      </w:r>
      <w:proofErr w:type="spellStart"/>
      <w:r>
        <w:t>esophagus</w:t>
      </w:r>
      <w:proofErr w:type="spellEnd"/>
      <w:r>
        <w:t xml:space="preserve"> mucosa without extension of the necrosis</w:t>
      </w:r>
      <w:r w:rsidR="00437259">
        <w:t xml:space="preserve"> (Figure 2)</w:t>
      </w:r>
      <w:r>
        <w:t xml:space="preserve">. No biopsies were taken due to improved appearances of the </w:t>
      </w:r>
      <w:proofErr w:type="spellStart"/>
      <w:r>
        <w:t>esophagus</w:t>
      </w:r>
      <w:proofErr w:type="spellEnd"/>
      <w:r>
        <w:t>. A nasogastric tube (NGT) was inserted to allow for enteral feeding. The patient fully recovered from his DKA, however had a prolonged admission with delirium and urosepsis. His follow up gastroscopy at the 6-week mark demonstrated complete resolution of the A</w:t>
      </w:r>
      <w:r w:rsidR="00561968">
        <w:t>E</w:t>
      </w:r>
      <w:r>
        <w:t>N</w:t>
      </w:r>
      <w:r w:rsidR="00437259">
        <w:t xml:space="preserve"> (Figure 3)</w:t>
      </w:r>
      <w:r>
        <w:t>.</w:t>
      </w:r>
    </w:p>
    <w:p w14:paraId="57B3B354" w14:textId="22750D45" w:rsidR="004F3660" w:rsidRDefault="00FC51BE" w:rsidP="00FC51BE">
      <w:pPr>
        <w:spacing w:before="240" w:line="480" w:lineRule="auto"/>
        <w:rPr>
          <w:b/>
        </w:rPr>
      </w:pPr>
      <w:r>
        <w:rPr>
          <w:b/>
        </w:rPr>
        <w:t>Discussion</w:t>
      </w:r>
    </w:p>
    <w:p w14:paraId="23F383A5" w14:textId="0DA9F08B" w:rsidR="004F3660" w:rsidRDefault="004F3660" w:rsidP="00FC51BE">
      <w:pPr>
        <w:spacing w:before="240" w:line="480" w:lineRule="auto"/>
      </w:pPr>
      <w:r>
        <w:t>Currently there are no “best-practice” guidelines on the management of A</w:t>
      </w:r>
      <w:r w:rsidR="00061D75">
        <w:t>E</w:t>
      </w:r>
      <w:r>
        <w:t>N. Management of A</w:t>
      </w:r>
      <w:r w:rsidR="00061D75">
        <w:t>E</w:t>
      </w:r>
      <w:r>
        <w:t xml:space="preserve">N is largely conservative. Surgical intervention is usually reserved for severe cases with evidence of complication including perforation or mediastinitis. </w:t>
      </w:r>
    </w:p>
    <w:p w14:paraId="500E1A85" w14:textId="25F19164" w:rsidR="004F3660" w:rsidRDefault="004F3660" w:rsidP="00FC51BE">
      <w:pPr>
        <w:spacing w:before="240" w:line="480" w:lineRule="auto"/>
      </w:pPr>
      <w:r>
        <w:t>In contrast to other mucosal pathologies, such as those of the colon, there is a significant gap in the literature as to how best to grade the severity of A</w:t>
      </w:r>
      <w:r w:rsidR="00061D75">
        <w:t>E</w:t>
      </w:r>
      <w:r>
        <w:t xml:space="preserve">N, with no existing scoring systems </w:t>
      </w:r>
      <w:r>
        <w:lastRenderedPageBreak/>
        <w:t>for triage and prognostication. Herein, we summarise the salient components of management and propose a treatment algorithm for A</w:t>
      </w:r>
      <w:r w:rsidR="00061D75">
        <w:t>E</w:t>
      </w:r>
      <w:r>
        <w:t>N (Figure 4), with nuanced consideration into coordination and delivery of safe care in rural and remote settings.</w:t>
      </w:r>
    </w:p>
    <w:p w14:paraId="481C4864" w14:textId="77777777" w:rsidR="004F3660" w:rsidRPr="00FC51BE" w:rsidRDefault="004F3660" w:rsidP="00FC51BE">
      <w:pPr>
        <w:spacing w:before="240" w:line="480" w:lineRule="auto"/>
        <w:rPr>
          <w:i/>
          <w:iCs/>
        </w:rPr>
      </w:pPr>
      <w:r w:rsidRPr="00FC51BE">
        <w:rPr>
          <w:i/>
          <w:iCs/>
        </w:rPr>
        <w:t>Non-operative approaches</w:t>
      </w:r>
    </w:p>
    <w:p w14:paraId="001209A3" w14:textId="7CA2388F" w:rsidR="004F3660" w:rsidRDefault="004F3660" w:rsidP="00FC51BE">
      <w:pPr>
        <w:spacing w:before="240" w:line="480" w:lineRule="auto"/>
      </w:pPr>
      <w:r>
        <w:t>Management is primarily conservative following the formalisation of diagnosis by endoscopy</w:t>
      </w:r>
      <w:r>
        <w:fldChar w:fldCharType="begin">
          <w:fldData xml:space="preserve">PEVuZE5vdGU+PENpdGU+PEF1dGhvcj5TY2hpemFzPC9BdXRob3I+PFllYXI+MjAyMDwvWWVhcj48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</w:fldData>
        </w:fldChar>
      </w:r>
      <w:r>
        <w:instrText xml:space="preserve"> ADDIN EN.CITE </w:instrText>
      </w:r>
      <w:r>
        <w:fldChar w:fldCharType="begin">
          <w:fldData xml:space="preserve">PEVuZE5vdGU+PENpdGU+PEF1dGhvcj5TY2hpemFzPC9BdXRob3I+PFllYXI+MjAyMDwvWWVhcj48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</w:fldData>
        </w:fldChar>
      </w:r>
      <w:r>
        <w:instrText xml:space="preserve"> ADDIN EN.CITE.DATA </w:instrText>
      </w:r>
      <w:r>
        <w:fldChar w:fldCharType="end"/>
      </w:r>
      <w:r>
        <w:fldChar w:fldCharType="separate"/>
      </w:r>
      <w:r>
        <w:rPr>
          <w:noProof/>
        </w:rPr>
        <w:t>(6)</w:t>
      </w:r>
      <w:r>
        <w:fldChar w:fldCharType="end"/>
      </w:r>
      <w:r>
        <w:t xml:space="preserve">. The management priorities are resuscitation, correcting the underlying pathology and optimisation of perfusion and nutrition. </w:t>
      </w:r>
    </w:p>
    <w:p w14:paraId="0DC524E9" w14:textId="77777777" w:rsidR="004F3660" w:rsidRDefault="004F3660" w:rsidP="00FC51BE">
      <w:pPr>
        <w:spacing w:before="240" w:line="480" w:lineRule="auto"/>
        <w:rPr>
          <w:i/>
        </w:rPr>
      </w:pPr>
      <w:r>
        <w:rPr>
          <w:i/>
        </w:rPr>
        <w:t>Resuscitation</w:t>
      </w:r>
    </w:p>
    <w:p w14:paraId="5F25C719" w14:textId="1987ABE8" w:rsidR="004F3660" w:rsidRDefault="004F3660" w:rsidP="00FC51BE">
      <w:pPr>
        <w:spacing w:before="240" w:line="480" w:lineRule="auto"/>
      </w:pPr>
      <w:r>
        <w:t xml:space="preserve">Goal-directed fluid resuscitation should occur in reference to evidence-based guidelines that consider the patient’s hemodynamic status, comorbidities and biochemical derangements. Regular monitoring with real-time approaches is recommended, particularly in the setting of instability. Administration of blood products is recommended, particularly in the setting of high bleeding and decrementing of </w:t>
      </w:r>
      <w:proofErr w:type="spellStart"/>
      <w:r>
        <w:t>hemoglobin</w:t>
      </w:r>
      <w:proofErr w:type="spellEnd"/>
      <w:r>
        <w:t xml:space="preserve"> levels</w:t>
      </w:r>
      <w:r w:rsidR="00FE6BB3">
        <w:fldChar w:fldCharType="begin">
          <w:fldData xml:space="preserve">PEVuZE5vdGU+PENpdGU+PEF1dGhvcj5MYWluZTwvQXV0aG9yPjxZZWFyPjIwMjE8L1llYXI+PFJl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</w:fldData>
        </w:fldChar>
      </w:r>
      <w:r w:rsidR="00FE6BB3">
        <w:instrText xml:space="preserve"> ADDIN EN.CITE </w:instrText>
      </w:r>
      <w:r w:rsidR="00FE6BB3">
        <w:fldChar w:fldCharType="begin">
          <w:fldData xml:space="preserve">PEVuZE5vdGU+PENpdGU+PEF1dGhvcj5MYWluZTwvQXV0aG9yPjxZZWFyPjIwMjE8L1llYXI+PFJl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</w:fldData>
        </w:fldChar>
      </w:r>
      <w:r w:rsidR="00FE6BB3">
        <w:instrText xml:space="preserve"> ADDIN EN.CITE.DATA </w:instrText>
      </w:r>
      <w:r w:rsidR="00FE6BB3">
        <w:fldChar w:fldCharType="end"/>
      </w:r>
      <w:r w:rsidR="00FE6BB3">
        <w:fldChar w:fldCharType="separate"/>
      </w:r>
      <w:r w:rsidR="00FE6BB3">
        <w:rPr>
          <w:noProof/>
        </w:rPr>
        <w:t>(7)</w:t>
      </w:r>
      <w:r w:rsidR="00FE6BB3">
        <w:fldChar w:fldCharType="end"/>
      </w:r>
      <w:r>
        <w:t>. Early hematology consultation or transfer may be warranted if blood product resources are limited.</w:t>
      </w:r>
    </w:p>
    <w:p w14:paraId="4753FCB9" w14:textId="5215161F" w:rsidR="004F3660" w:rsidRDefault="004F3660" w:rsidP="00FC51BE">
      <w:pPr>
        <w:spacing w:before="240" w:line="480" w:lineRule="auto"/>
      </w:pPr>
      <w:r>
        <w:t>High-dose PPI should be considered for all patients</w:t>
      </w:r>
      <w:r w:rsidR="00FE6BB3">
        <w:t xml:space="preserve"> with UGIB</w:t>
      </w:r>
      <w:r>
        <w:t xml:space="preserve"> for the protection of </w:t>
      </w:r>
      <w:proofErr w:type="spellStart"/>
      <w:r>
        <w:t>esophageal</w:t>
      </w:r>
      <w:proofErr w:type="spellEnd"/>
      <w:r>
        <w:t xml:space="preserve"> mucosa from acid reflux</w:t>
      </w:r>
      <w:r w:rsidR="00FE6BB3">
        <w:fldChar w:fldCharType="begin">
          <w:fldData xml:space="preserve">PEVuZE5vdGU+PENpdGU+PEF1dGhvcj5MYWluZTwvQXV0aG9yPjxZZWFyPjIwMjE8L1llYXI+PFJl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</w:fldData>
        </w:fldChar>
      </w:r>
      <w:r w:rsidR="00FE6BB3">
        <w:instrText xml:space="preserve"> ADDIN EN.CITE </w:instrText>
      </w:r>
      <w:r w:rsidR="00FE6BB3">
        <w:fldChar w:fldCharType="begin">
          <w:fldData xml:space="preserve">PEVuZE5vdGU+PENpdGU+PEF1dGhvcj5MYWluZTwvQXV0aG9yPjxZZWFyPjIwMjE8L1llYXI+PFJl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</w:fldData>
        </w:fldChar>
      </w:r>
      <w:r w:rsidR="00FE6BB3">
        <w:instrText xml:space="preserve"> ADDIN EN.CITE.DATA </w:instrText>
      </w:r>
      <w:r w:rsidR="00FE6BB3">
        <w:fldChar w:fldCharType="end"/>
      </w:r>
      <w:r w:rsidR="00FE6BB3">
        <w:fldChar w:fldCharType="separate"/>
      </w:r>
      <w:r w:rsidR="00FE6BB3">
        <w:rPr>
          <w:noProof/>
        </w:rPr>
        <w:t>(7)</w:t>
      </w:r>
      <w:r w:rsidR="00FE6BB3">
        <w:fldChar w:fldCharType="end"/>
      </w:r>
      <w:r>
        <w:t>. In the absence of sepsis, prophylactic antibiotics are not recommended. Despite this, judicious monitoring of the patient should occur and in the event of rapid deterioration, associated with fever, rigors or shock and in these cases, broad-spectrum antibiotics and antifungals should be considered</w:t>
      </w:r>
      <w:r>
        <w:fldChar w:fldCharType="begin">
          <w:fldData xml:space="preserve">PEVuZE5vdGU+PENpdGU+PEF1dGhvcj5EaWFzPC9BdXRob3I+PFllYXI+MjAxOTwvWWVhcj48UmVj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</w:fldData>
        </w:fldChar>
      </w:r>
      <w:r w:rsidR="00FE6BB3">
        <w:instrText xml:space="preserve"> ADDIN EN.CITE </w:instrText>
      </w:r>
      <w:r w:rsidR="00FE6BB3">
        <w:fldChar w:fldCharType="begin">
          <w:fldData xml:space="preserve">PEVuZE5vdGU+PENpdGU+PEF1dGhvcj5EaWFzPC9BdXRob3I+PFllYXI+MjAxOTwvWWVhcj48UmVj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</w:fldData>
        </w:fldChar>
      </w:r>
      <w:r w:rsidR="00FE6BB3">
        <w:instrText xml:space="preserve"> ADDIN EN.CITE.DATA </w:instrText>
      </w:r>
      <w:r w:rsidR="00FE6BB3">
        <w:fldChar w:fldCharType="end"/>
      </w:r>
      <w:r>
        <w:fldChar w:fldCharType="separate"/>
      </w:r>
      <w:r w:rsidR="00FE6BB3">
        <w:rPr>
          <w:noProof/>
        </w:rPr>
        <w:t>(4, 8)</w:t>
      </w:r>
      <w:r>
        <w:fldChar w:fldCharType="end"/>
      </w:r>
      <w:r>
        <w:t xml:space="preserve">. </w:t>
      </w:r>
    </w:p>
    <w:p w14:paraId="7C131B99" w14:textId="22EA421B" w:rsidR="004F3660" w:rsidRDefault="004F3660" w:rsidP="00FC51BE">
      <w:pPr>
        <w:spacing w:before="240" w:line="480" w:lineRule="auto"/>
      </w:pPr>
      <w:r>
        <w:t xml:space="preserve">There are mixed opinions about the role of enteric feeding tubes i.e. NGT insertion for decompression and enteral nutrition as well as further prevention of gastric reflux, due to the risk of </w:t>
      </w:r>
      <w:proofErr w:type="spellStart"/>
      <w:r>
        <w:t>esophageal</w:t>
      </w:r>
      <w:proofErr w:type="spellEnd"/>
      <w:r>
        <w:t xml:space="preserve"> perforation</w:t>
      </w:r>
      <w:r>
        <w:fldChar w:fldCharType="begin">
          <w:fldData xml:space="preserve">PEVuZE5vdGU+PENpdGU+PEF1dGhvcj5EaWFzPC9BdXRob3I+PFllYXI+MjAxOTwvWWVhcj48UmVj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=
</w:fldData>
        </w:fldChar>
      </w:r>
      <w:r w:rsidR="00FE6BB3">
        <w:instrText xml:space="preserve"> ADDIN EN.CITE </w:instrText>
      </w:r>
      <w:r w:rsidR="00FE6BB3">
        <w:fldChar w:fldCharType="begin">
          <w:fldData xml:space="preserve">PEVuZE5vdGU+PENpdGU+PEF1dGhvcj5EaWFzPC9BdXRob3I+PFllYXI+MjAxOTwvWWVhcj48UmVj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=
</w:fldData>
        </w:fldChar>
      </w:r>
      <w:r w:rsidR="00FE6BB3">
        <w:instrText xml:space="preserve"> ADDIN EN.CITE.DATA </w:instrText>
      </w:r>
      <w:r w:rsidR="00FE6BB3">
        <w:fldChar w:fldCharType="end"/>
      </w:r>
      <w:r>
        <w:fldChar w:fldCharType="separate"/>
      </w:r>
      <w:r w:rsidR="00FE6BB3">
        <w:rPr>
          <w:noProof/>
        </w:rPr>
        <w:t>(3, 4, 9)</w:t>
      </w:r>
      <w:r>
        <w:fldChar w:fldCharType="end"/>
      </w:r>
      <w:r>
        <w:t xml:space="preserve">. Our case highlights that NGT insertion is safe in the setting of mild mucosal injury. However, for cases of more extensive </w:t>
      </w:r>
      <w:proofErr w:type="spellStart"/>
      <w:r>
        <w:t>esophageal</w:t>
      </w:r>
      <w:proofErr w:type="spellEnd"/>
      <w:r>
        <w:t xml:space="preserve"> necrosis, </w:t>
      </w:r>
      <w:r>
        <w:lastRenderedPageBreak/>
        <w:t>nasogastric intubation should be avoided or placed with endoscopic guidance. Parenteral nutrition should be considered as an alternative avenue for nutrition if nasogastric intubation is avoided.</w:t>
      </w:r>
    </w:p>
    <w:p w14:paraId="0416A6FC" w14:textId="77777777" w:rsidR="004F3660" w:rsidRDefault="004F3660" w:rsidP="00FC51BE">
      <w:pPr>
        <w:spacing w:before="240" w:line="480" w:lineRule="auto"/>
        <w:rPr>
          <w:i/>
        </w:rPr>
      </w:pPr>
      <w:r>
        <w:rPr>
          <w:i/>
        </w:rPr>
        <w:t>Restoring and maintaining homeostasis</w:t>
      </w:r>
    </w:p>
    <w:p w14:paraId="7410C253" w14:textId="7A1D3D92" w:rsidR="004F3660" w:rsidRDefault="004F3660" w:rsidP="00FC51BE">
      <w:pPr>
        <w:spacing w:before="240" w:line="480" w:lineRule="auto"/>
      </w:pPr>
      <w:r>
        <w:t>Nutrition is a fundamental consideration, with particular focus on quality of nutrition to improve mucosal healing, as well as route of nutrition in the context of mucosal injury. In the immediate setting, enteral or parenteral nutrition should be considered with dietitian input to prevent further injury associated with oral intake and to optimise healing</w:t>
      </w:r>
      <w:r>
        <w:fldChar w:fldCharType="begin">
          <w:fldData xml:space="preserve">PEVuZE5vdGU+PENpdGU+PEF1dGhvcj5EaWFzPC9BdXRob3I+PFllYXI+MjAxOTwvWWVhcj48UmVj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</w:fldData>
        </w:fldChar>
      </w:r>
      <w:r w:rsidR="00FE6BB3">
        <w:instrText xml:space="preserve"> ADDIN EN.CITE </w:instrText>
      </w:r>
      <w:r w:rsidR="00FE6BB3">
        <w:fldChar w:fldCharType="begin">
          <w:fldData xml:space="preserve">PEVuZE5vdGU+PENpdGU+PEF1dGhvcj5EaWFzPC9BdXRob3I+PFllYXI+MjAxOTwvWWVhcj48UmVj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</w:fldData>
        </w:fldChar>
      </w:r>
      <w:r w:rsidR="00FE6BB3">
        <w:instrText xml:space="preserve"> ADDIN EN.CITE.DATA </w:instrText>
      </w:r>
      <w:r w:rsidR="00FE6BB3">
        <w:fldChar w:fldCharType="end"/>
      </w:r>
      <w:r>
        <w:fldChar w:fldCharType="separate"/>
      </w:r>
      <w:r w:rsidR="00FE6BB3">
        <w:rPr>
          <w:noProof/>
        </w:rPr>
        <w:t>(4, 10)</w:t>
      </w:r>
      <w:r>
        <w:fldChar w:fldCharType="end"/>
      </w:r>
    </w:p>
    <w:p w14:paraId="69AA3D28" w14:textId="77777777" w:rsidR="004F3660" w:rsidRDefault="004F3660" w:rsidP="00FC51BE">
      <w:pPr>
        <w:spacing w:before="240" w:line="480" w:lineRule="auto"/>
        <w:rPr>
          <w:i/>
        </w:rPr>
      </w:pPr>
      <w:r>
        <w:rPr>
          <w:i/>
        </w:rPr>
        <w:t>Tertiary centre referral and transfer</w:t>
      </w:r>
    </w:p>
    <w:p w14:paraId="42F91D3E" w14:textId="6AB26CEF" w:rsidR="004F3660" w:rsidRDefault="004F3660" w:rsidP="00FC51BE">
      <w:pPr>
        <w:spacing w:before="240" w:line="480" w:lineRule="auto"/>
      </w:pPr>
      <w:r>
        <w:t>In situations where resources for ongoing care of the patient are not available, such as access to ICU, endoscopy or specialist upper gastrointestinal (GI) surgical care, transfer to tertiary centres who are able to provide this support should be considered. This should occur in a timely manner to avoid further deterioration of the patient due to complications of A</w:t>
      </w:r>
      <w:r w:rsidR="00061D75">
        <w:t>E</w:t>
      </w:r>
      <w:r>
        <w:t>N, namely perforation.</w:t>
      </w:r>
    </w:p>
    <w:p w14:paraId="69E3BB12" w14:textId="77777777" w:rsidR="004F3660" w:rsidRPr="00FC51BE" w:rsidRDefault="004F3660" w:rsidP="00FC51BE">
      <w:pPr>
        <w:spacing w:before="240" w:line="480" w:lineRule="auto"/>
        <w:rPr>
          <w:i/>
          <w:iCs/>
        </w:rPr>
      </w:pPr>
      <w:r w:rsidRPr="00FC51BE">
        <w:rPr>
          <w:i/>
          <w:iCs/>
        </w:rPr>
        <w:t>Operative approaches</w:t>
      </w:r>
    </w:p>
    <w:p w14:paraId="0E4E05E3" w14:textId="77777777" w:rsidR="004F3660" w:rsidRDefault="004F3660" w:rsidP="00FC51BE">
      <w:pPr>
        <w:spacing w:before="240" w:line="480" w:lineRule="auto"/>
        <w:rPr>
          <w:i/>
        </w:rPr>
      </w:pPr>
      <w:r>
        <w:rPr>
          <w:i/>
        </w:rPr>
        <w:t>Endoscopic</w:t>
      </w:r>
    </w:p>
    <w:p w14:paraId="7D0F3725" w14:textId="76BCD7C3" w:rsidR="004F3660" w:rsidRDefault="004F3660" w:rsidP="00FC51BE">
      <w:pPr>
        <w:spacing w:before="240" w:line="480" w:lineRule="auto"/>
        <w:rPr>
          <w:i/>
        </w:rPr>
      </w:pPr>
      <w:r>
        <w:t>Endoscopy remains the gold-standard for diagnosis of A</w:t>
      </w:r>
      <w:r w:rsidR="00061D75">
        <w:t>E</w:t>
      </w:r>
      <w:r>
        <w:t xml:space="preserve">N. Regarding endoscopic interventions, in settings of acute </w:t>
      </w:r>
      <w:proofErr w:type="spellStart"/>
      <w:r>
        <w:t>esophageal</w:t>
      </w:r>
      <w:proofErr w:type="spellEnd"/>
      <w:r>
        <w:t xml:space="preserve"> bleeding, endoscopic guided submucosal injections of adrenaline may be helpful</w:t>
      </w:r>
      <w:r>
        <w:fldChar w:fldCharType="begin"/>
      </w:r>
      <w:r>
        <w:instrText xml:space="preserve"> ADDIN EN.CITE &lt;EndNote&gt;&lt;Cite&gt;&lt;Author&gt;Dias&lt;/Author&gt;&lt;Year&gt;2019&lt;/Year&gt;&lt;RecNum&gt;151&lt;/RecNum&gt;&lt;DisplayText&gt;(4)&lt;/DisplayText&gt;&lt;record&gt;&lt;rec-number&gt;151&lt;/rec-number&gt;&lt;foreign-keys&gt;&lt;key app="EN" db-id="2dtv9wfac9vfxyerawvxvezya0vxp59dtra9" timestamp="1719233287"&gt;151&lt;/key&gt;&lt;/foreign-keys&gt;&lt;ref-type name="Journal Article"&gt;17&lt;/ref-type&gt;&lt;contributors&gt;&lt;authors&gt;&lt;author&gt;Dias, E.&lt;/author&gt;&lt;author&gt;Santos-Antunes, J.&lt;/author&gt;&lt;author&gt;Macedo, G.&lt;/author&gt;&lt;/authors&gt;&lt;/contributors&gt;&lt;auth-address&gt;Gastroenterology Department, Faculty of Medicine, Centro Hospitalar de Sao Joao, Porto, Portugal.&lt;/auth-address&gt;&lt;titles&gt;&lt;title&gt;Diagnosis and management of acute esophageal necrosis&lt;/title&gt;&lt;secondary-title&gt;Ann Gastroenterol&lt;/secondary-title&gt;&lt;/titles&gt;&lt;periodical&gt;&lt;full-title&gt;Ann Gastroenterol&lt;/full-title&gt;&lt;/periodical&gt;&lt;pages&gt;529-540&lt;/pages&gt;&lt;volume&gt;32&lt;/volume&gt;&lt;number&gt;6&lt;/number&gt;&lt;edition&gt;2019/11/09&lt;/edition&gt;&lt;keywords&gt;&lt;keyword&gt;Acute esophageal necrosis&lt;/keyword&gt;&lt;keyword&gt;acute necrotizing esophagitis&lt;/keyword&gt;&lt;keyword&gt;black esophagus&lt;/keyword&gt;&lt;keyword&gt;gastrointestinal bleeding&lt;/keyword&gt;&lt;/keywords&gt;&lt;dates&gt;&lt;year&gt;2019&lt;/year&gt;&lt;pub-dates&gt;&lt;date&gt;Nov-Dec&lt;/date&gt;&lt;/pub-dates&gt;&lt;/dates&gt;&lt;isbn&gt;1108-7471 (Print)&amp;#xD;1792-7463 (Electronic)&amp;#xD;1108-7471 (Linking)&lt;/isbn&gt;&lt;accession-num&gt;31700229&lt;/accession-num&gt;&lt;urls&gt;&lt;related-urls&gt;&lt;url&gt;https://www.ncbi.nlm.nih.gov/pubmed/31700229&lt;/url&gt;&lt;/related-urls&gt;&lt;/urls&gt;&lt;custom2&gt;PMC6826069&lt;/custom2&gt;&lt;electronic-resource-num&gt;10.20524/aog.2019.0418&lt;/electronic-resource-num&gt;&lt;/record&gt;&lt;/Cite&gt;&lt;/EndNote&gt;</w:instrText>
      </w:r>
      <w:r>
        <w:fldChar w:fldCharType="separate"/>
      </w:r>
      <w:r>
        <w:rPr>
          <w:noProof/>
        </w:rPr>
        <w:t>(4)</w:t>
      </w:r>
      <w:r>
        <w:fldChar w:fldCharType="end"/>
      </w:r>
      <w:r>
        <w:t>. There is very limited evidence to support the placement of metal-covered stents or usage of balloon tamponade in the setting of bleeding associated with A</w:t>
      </w:r>
      <w:r w:rsidR="00061D75">
        <w:t>E</w:t>
      </w:r>
      <w:r>
        <w:t>N, with one case describing perforation associated with balloon tamponade</w:t>
      </w:r>
      <w:r>
        <w:fldChar w:fldCharType="begin"/>
      </w:r>
      <w:r w:rsidR="00FE6BB3">
        <w:instrText xml:space="preserve"> ADDIN EN.CITE &lt;EndNote&gt;&lt;Cite&gt;&lt;Author&gt;Wu&lt;/Author&gt;&lt;Year&gt;2014&lt;/Year&gt;&lt;RecNum&gt;154&lt;/RecNum&gt;&lt;DisplayText&gt;(11)&lt;/DisplayText&gt;&lt;record&gt;&lt;rec-number&gt;154&lt;/rec-number&gt;&lt;foreign-keys&gt;&lt;key app="EN" db-id="2dtv9wfac9vfxyerawvxvezya0vxp59dtra9" timestamp="1719236885"&gt;154&lt;/key&gt;&lt;/foreign-keys&gt;&lt;ref-type name="Journal Article"&gt;17&lt;/ref-type&gt;&lt;contributors&gt;&lt;authors&gt;&lt;author&gt;Wu, M. H.&lt;/author&gt;&lt;author&gt;Wu, H. Y.&lt;/author&gt;&lt;/authors&gt;&lt;/contributors&gt;&lt;auth-address&gt;Department of Surgery, Tainan Municipal Hospital, 670 Chung-Te Rd, Tainan, 701, Taiwan, ROC, m2201@mail.ncku.edu.tw.&lt;/auth-address&gt;&lt;titles&gt;&lt;title&gt;Incremental change in acute esophageal necrosis: report of two cases&lt;/title&gt;&lt;secondary-title&gt;Surg Today&lt;/secondary-title&gt;&lt;/titles&gt;&lt;periodical&gt;&lt;full-title&gt;Surg Today&lt;/full-title&gt;&lt;/periodical&gt;&lt;pages&gt;363-5&lt;/pages&gt;&lt;volume&gt;44&lt;/volume&gt;&lt;number&gt;2&lt;/number&gt;&lt;edition&gt;2013/03/07&lt;/edition&gt;&lt;keywords&gt;&lt;keyword&gt;Acute Disease&lt;/keyword&gt;&lt;keyword&gt;Aged&lt;/keyword&gt;&lt;keyword&gt;Early Diagnosis&lt;/keyword&gt;&lt;keyword&gt;Esophageal Perforation/etiology&lt;/keyword&gt;&lt;keyword&gt;Esophagectomy/methods&lt;/keyword&gt;&lt;keyword&gt;Esophagoscopy&lt;/keyword&gt;&lt;keyword&gt;Esophagus/*pathology/*surgery&lt;/keyword&gt;&lt;keyword&gt;Fatal Outcome&lt;/keyword&gt;&lt;keyword&gt;Humans&lt;/keyword&gt;&lt;keyword&gt;Male&lt;/keyword&gt;&lt;keyword&gt;Middle Aged&lt;/keyword&gt;&lt;keyword&gt;Necrosis&lt;/keyword&gt;&lt;keyword&gt;Plastic Surgery Procedures&lt;/keyword&gt;&lt;keyword&gt;Stents/adverse effects&lt;/keyword&gt;&lt;keyword&gt;Treatment Outcome&lt;/keyword&gt;&lt;/keywords&gt;&lt;dates&gt;&lt;year&gt;2014&lt;/year&gt;&lt;pub-dates&gt;&lt;date&gt;Feb&lt;/date&gt;&lt;/pub-dates&gt;&lt;/dates&gt;&lt;isbn&gt;1436-2813 (Electronic)&amp;#xD;0941-1291 (Linking)&lt;/isbn&gt;&lt;accession-num&gt;23463535&lt;/accession-num&gt;&lt;urls&gt;&lt;related-urls&gt;&lt;url&gt;https://www.ncbi.nlm.nih.gov/pubmed/23463535&lt;/url&gt;&lt;/related-urls&gt;&lt;/urls&gt;&lt;electronic-resource-num&gt;10.1007/s00595-013-0526-4&lt;/electronic-resource-num&gt;&lt;/record&gt;&lt;/Cite&gt;&lt;/EndNote&gt;</w:instrText>
      </w:r>
      <w:r>
        <w:fldChar w:fldCharType="separate"/>
      </w:r>
      <w:r w:rsidR="00FE6BB3">
        <w:rPr>
          <w:noProof/>
        </w:rPr>
        <w:t>(11)</w:t>
      </w:r>
      <w:r>
        <w:fldChar w:fldCharType="end"/>
      </w:r>
      <w:r>
        <w:t xml:space="preserve">. Further research is required to establish safety of endoscopic interventions. </w:t>
      </w:r>
    </w:p>
    <w:p w14:paraId="4BC393FB" w14:textId="77777777" w:rsidR="004F3660" w:rsidRPr="00061D75" w:rsidRDefault="004F3660" w:rsidP="00FC51BE">
      <w:pPr>
        <w:spacing w:before="240" w:line="480" w:lineRule="auto"/>
        <w:rPr>
          <w:i/>
          <w:iCs/>
        </w:rPr>
      </w:pPr>
      <w:r w:rsidRPr="00061D75">
        <w:rPr>
          <w:i/>
          <w:iCs/>
        </w:rPr>
        <w:lastRenderedPageBreak/>
        <w:t xml:space="preserve">Surgical management </w:t>
      </w:r>
    </w:p>
    <w:p w14:paraId="2910E2AB" w14:textId="133AEDE7" w:rsidR="004F3660" w:rsidRDefault="004F3660" w:rsidP="00FC51BE">
      <w:pPr>
        <w:spacing w:before="240" w:line="480" w:lineRule="auto"/>
      </w:pPr>
      <w:r>
        <w:t>Surgical intervention for A</w:t>
      </w:r>
      <w:r w:rsidR="00061D75">
        <w:t>E</w:t>
      </w:r>
      <w:r>
        <w:t>N is reserved for severe complications such as perforation and downstream sequelae including mediastinitis. Emergent esophagectomy would be considered in the first instance followed by elective reconstruction</w:t>
      </w:r>
      <w:r>
        <w:fldChar w:fldCharType="begin"/>
      </w:r>
      <w:r w:rsidR="00FE6BB3">
        <w:instrText xml:space="preserve"> ADDIN EN.CITE &lt;EndNote&gt;&lt;Cite&gt;&lt;Author&gt;Wu&lt;/Author&gt;&lt;Year&gt;2014&lt;/Year&gt;&lt;RecNum&gt;154&lt;/RecNum&gt;&lt;DisplayText&gt;(11)&lt;/DisplayText&gt;&lt;record&gt;&lt;rec-number&gt;154&lt;/rec-number&gt;&lt;foreign-keys&gt;&lt;key app="EN" db-id="2dtv9wfac9vfxyerawvxvezya0vxp59dtra9" timestamp="1719236885"&gt;154&lt;/key&gt;&lt;/foreign-keys&gt;&lt;ref-type name="Journal Article"&gt;17&lt;/ref-type&gt;&lt;contributors&gt;&lt;authors&gt;&lt;author&gt;Wu, M. H.&lt;/author&gt;&lt;author&gt;Wu, H. Y.&lt;/author&gt;&lt;/authors&gt;&lt;/contributors&gt;&lt;auth-address&gt;Department of Surgery, Tainan Municipal Hospital, 670 Chung-Te Rd, Tainan, 701, Taiwan, ROC, m2201@mail.ncku.edu.tw.&lt;/auth-address&gt;&lt;titles&gt;&lt;title&gt;Incremental change in acute esophageal necrosis: report of two cases&lt;/title&gt;&lt;secondary-title&gt;Surg Today&lt;/secondary-title&gt;&lt;/titles&gt;&lt;periodical&gt;&lt;full-title&gt;Surg Today&lt;/full-title&gt;&lt;/periodical&gt;&lt;pages&gt;363-5&lt;/pages&gt;&lt;volume&gt;44&lt;/volume&gt;&lt;number&gt;2&lt;/number&gt;&lt;edition&gt;2013/03/07&lt;/edition&gt;&lt;keywords&gt;&lt;keyword&gt;Acute Disease&lt;/keyword&gt;&lt;keyword&gt;Aged&lt;/keyword&gt;&lt;keyword&gt;Early Diagnosis&lt;/keyword&gt;&lt;keyword&gt;Esophageal Perforation/etiology&lt;/keyword&gt;&lt;keyword&gt;Esophagectomy/methods&lt;/keyword&gt;&lt;keyword&gt;Esophagoscopy&lt;/keyword&gt;&lt;keyword&gt;Esophagus/*pathology/*surgery&lt;/keyword&gt;&lt;keyword&gt;Fatal Outcome&lt;/keyword&gt;&lt;keyword&gt;Humans&lt;/keyword&gt;&lt;keyword&gt;Male&lt;/keyword&gt;&lt;keyword&gt;Middle Aged&lt;/keyword&gt;&lt;keyword&gt;Necrosis&lt;/keyword&gt;&lt;keyword&gt;Plastic Surgery Procedures&lt;/keyword&gt;&lt;keyword&gt;Stents/adverse effects&lt;/keyword&gt;&lt;keyword&gt;Treatment Outcome&lt;/keyword&gt;&lt;/keywords&gt;&lt;dates&gt;&lt;year&gt;2014&lt;/year&gt;&lt;pub-dates&gt;&lt;date&gt;Feb&lt;/date&gt;&lt;/pub-dates&gt;&lt;/dates&gt;&lt;isbn&gt;1436-2813 (Electronic)&amp;#xD;0941-1291 (Linking)&lt;/isbn&gt;&lt;accession-num&gt;23463535&lt;/accession-num&gt;&lt;urls&gt;&lt;related-urls&gt;&lt;url&gt;https://www.ncbi.nlm.nih.gov/pubmed/23463535&lt;/url&gt;&lt;/related-urls&gt;&lt;/urls&gt;&lt;electronic-resource-num&gt;10.1007/s00595-013-0526-4&lt;/electronic-resource-num&gt;&lt;/record&gt;&lt;/Cite&gt;&lt;/EndNote&gt;</w:instrText>
      </w:r>
      <w:r>
        <w:fldChar w:fldCharType="separate"/>
      </w:r>
      <w:r w:rsidR="00FE6BB3">
        <w:rPr>
          <w:noProof/>
        </w:rPr>
        <w:t>(11)</w:t>
      </w:r>
      <w:r>
        <w:fldChar w:fldCharType="end"/>
      </w:r>
      <w:r>
        <w:t xml:space="preserve">. Therefore, the role of timely triage and transfer of patients from rural or resource poor settings to a tertiary centre for definitive management, is strongly recommended. </w:t>
      </w:r>
    </w:p>
    <w:p w14:paraId="07D495D6" w14:textId="77777777" w:rsidR="004F3660" w:rsidRDefault="004F3660" w:rsidP="00FC51BE">
      <w:pPr>
        <w:spacing w:before="240" w:line="480" w:lineRule="auto"/>
      </w:pPr>
      <w:r>
        <w:rPr>
          <w:u w:val="single"/>
        </w:rPr>
        <w:t xml:space="preserve">Follow-up </w:t>
      </w:r>
    </w:p>
    <w:p w14:paraId="67AB2802" w14:textId="2C2AD5E8" w:rsidR="001F7C00" w:rsidRDefault="004F3660" w:rsidP="00FC51BE">
      <w:pPr>
        <w:spacing w:before="240" w:line="480" w:lineRule="auto"/>
      </w:pPr>
      <w:r>
        <w:t xml:space="preserve">With appropriate management of underlying conditions in the absence of operative intervention, the </w:t>
      </w:r>
      <w:proofErr w:type="spellStart"/>
      <w:r>
        <w:t>esophageal</w:t>
      </w:r>
      <w:proofErr w:type="spellEnd"/>
      <w:r>
        <w:t xml:space="preserve"> mucosa will likely recover within the period of a month</w:t>
      </w:r>
      <w:r>
        <w:fldChar w:fldCharType="begin"/>
      </w:r>
      <w:r>
        <w:instrText xml:space="preserve"> ADDIN EN.CITE &lt;EndNote&gt;&lt;Cite&gt;&lt;Author&gt;Dias&lt;/Author&gt;&lt;Year&gt;2019&lt;/Year&gt;&lt;RecNum&gt;151&lt;/RecNum&gt;&lt;DisplayText&gt;(4)&lt;/DisplayText&gt;&lt;record&gt;&lt;rec-number&gt;151&lt;/rec-number&gt;&lt;foreign-keys&gt;&lt;key app="EN" db-id="2dtv9wfac9vfxyerawvxvezya0vxp59dtra9" timestamp="1719233287"&gt;151&lt;/key&gt;&lt;/foreign-keys&gt;&lt;ref-type name="Journal Article"&gt;17&lt;/ref-type&gt;&lt;contributors&gt;&lt;authors&gt;&lt;author&gt;Dias, E.&lt;/author&gt;&lt;author&gt;Santos-Antunes, J.&lt;/author&gt;&lt;author&gt;Macedo, G.&lt;/author&gt;&lt;/authors&gt;&lt;/contributors&gt;&lt;auth-address&gt;Gastroenterology Department, Faculty of Medicine, Centro Hospitalar de Sao Joao, Porto, Portugal.&lt;/auth-address&gt;&lt;titles&gt;&lt;title&gt;Diagnosis and management of acute esophageal necrosis&lt;/title&gt;&lt;secondary-title&gt;Ann Gastroenterol&lt;/secondary-title&gt;&lt;/titles&gt;&lt;periodical&gt;&lt;full-title&gt;Ann Gastroenterol&lt;/full-title&gt;&lt;/periodical&gt;&lt;pages&gt;529-540&lt;/pages&gt;&lt;volume&gt;32&lt;/volume&gt;&lt;number&gt;6&lt;/number&gt;&lt;edition&gt;2019/11/09&lt;/edition&gt;&lt;keywords&gt;&lt;keyword&gt;Acute esophageal necrosis&lt;/keyword&gt;&lt;keyword&gt;acute necrotizing esophagitis&lt;/keyword&gt;&lt;keyword&gt;black esophagus&lt;/keyword&gt;&lt;keyword&gt;gastrointestinal bleeding&lt;/keyword&gt;&lt;/keywords&gt;&lt;dates&gt;&lt;year&gt;2019&lt;/year&gt;&lt;pub-dates&gt;&lt;date&gt;Nov-Dec&lt;/date&gt;&lt;/pub-dates&gt;&lt;/dates&gt;&lt;isbn&gt;1108-7471 (Print)&amp;#xD;1792-7463 (Electronic)&amp;#xD;1108-7471 (Linking)&lt;/isbn&gt;&lt;accession-num&gt;31700229&lt;/accession-num&gt;&lt;urls&gt;&lt;related-urls&gt;&lt;url&gt;https://www.ncbi.nlm.nih.gov/pubmed/31700229&lt;/url&gt;&lt;/related-urls&gt;&lt;/urls&gt;&lt;custom2&gt;PMC6826069&lt;/custom2&gt;&lt;electronic-resource-num&gt;10.20524/aog.2019.0418&lt;/electronic-resource-num&gt;&lt;/record&gt;&lt;/Cite&gt;&lt;/EndNote&gt;</w:instrText>
      </w:r>
      <w:r>
        <w:fldChar w:fldCharType="separate"/>
      </w:r>
      <w:r>
        <w:rPr>
          <w:noProof/>
        </w:rPr>
        <w:t>(4)</w:t>
      </w:r>
      <w:r>
        <w:fldChar w:fldCharType="end"/>
      </w:r>
      <w:r>
        <w:t>. Repeat endoscopy in 4 weeks should be considered for patients in all cases to assess extent of recovery as well as complications of A</w:t>
      </w:r>
      <w:r w:rsidR="00061D75">
        <w:t>E</w:t>
      </w:r>
      <w:r>
        <w:t>N, such as strictures. In the setting of strictures, serial balloon dilatation may be required to prevent significant dysphagia and malnutrition</w:t>
      </w:r>
      <w:r>
        <w:fldChar w:fldCharType="begin"/>
      </w:r>
      <w:r w:rsidR="00FE6BB3">
        <w:instrText xml:space="preserve"> ADDIN EN.CITE &lt;EndNote&gt;&lt;Cite&gt;&lt;Author&gt;Shafa&lt;/Author&gt;&lt;Year&gt;2016&lt;/Year&gt;&lt;RecNum&gt;155&lt;/RecNum&gt;&lt;DisplayText&gt;(9)&lt;/DisplayText&gt;&lt;record&gt;&lt;rec-number&gt;155&lt;/rec-number&gt;&lt;foreign-keys&gt;&lt;key app="EN" db-id="2dtv9wfac9vfxyerawvxvezya0vxp59dtra9" timestamp="1719237124"&gt;155&lt;/key&gt;&lt;/foreign-keys&gt;&lt;ref-type name="Journal Article"&gt;17&lt;/ref-type&gt;&lt;contributors&gt;&lt;authors&gt;&lt;author&gt;Shafa, S.&lt;/author&gt;&lt;author&gt;Sharma, N.&lt;/author&gt;&lt;author&gt;Keshishian, J.&lt;/author&gt;&lt;author&gt;Dellon, E. S.&lt;/author&gt;&lt;/authors&gt;&lt;/contributors&gt;&lt;auth-address&gt;Division of Gastroenterology and Hepatology, Center for Esophageal Disease and Swallowing, University of North Carolina School of Medicine, Chapel Hill, NC; Division of Gastroenterology and Hepatology, Georgetown University Hospital, Washington, DC.&amp;#xD;Division of Gastroenterology and Hepatology, Center for Esophageal Disease and Swallowing, University of North Carolina School of Medicine, Chapel Hill, NC; Division of Digestive Diseases and Nutrition, University of Southern Florida, Tampa, FL.&amp;#xD;Division of Digestive Diseases and Nutrition, University of Southern Florida, Tampa, FL.&amp;#xD;Division of Gastroenterology and Hepatology, Center for Esophageal Disease and Swallowing, University of North Carolina School of Medicine, Chapel Hill, NC.&lt;/auth-address&gt;&lt;titles&gt;&lt;title&gt;The Black Esophagus: A Rare But Deadly Disease&lt;/title&gt;&lt;secondary-title&gt;ACG Case Rep J&lt;/secondary-title&gt;&lt;/titles&gt;&lt;periodical&gt;&lt;full-title&gt;ACG Case Rep J&lt;/full-title&gt;&lt;/periodical&gt;&lt;pages&gt;88-91&lt;/pages&gt;&lt;volume&gt;3&lt;/volume&gt;&lt;number&gt;2&lt;/number&gt;&lt;edition&gt;2016/03/10&lt;/edition&gt;&lt;dates&gt;&lt;year&gt;2016&lt;/year&gt;&lt;pub-dates&gt;&lt;date&gt;Jan&lt;/date&gt;&lt;/pub-dates&gt;&lt;/dates&gt;&lt;isbn&gt;2326-3253 (Print)&amp;#xD;2326-3253 (Electronic)&amp;#xD;2326-3253 (Linking)&lt;/isbn&gt;&lt;accession-num&gt;26958555&lt;/accession-num&gt;&lt;urls&gt;&lt;related-urls&gt;&lt;url&gt;https://www.ncbi.nlm.nih.gov/pubmed/26958555&lt;/url&gt;&lt;/related-urls&gt;&lt;/urls&gt;&lt;custom2&gt;PMC4748191&lt;/custom2&gt;&lt;electronic-resource-num&gt;10.14309/crj.2016.9&lt;/electronic-resource-num&gt;&lt;/record&gt;&lt;/Cite&gt;&lt;/EndNote&gt;</w:instrText>
      </w:r>
      <w:r>
        <w:fldChar w:fldCharType="separate"/>
      </w:r>
      <w:r w:rsidR="00FE6BB3">
        <w:rPr>
          <w:noProof/>
        </w:rPr>
        <w:t>(9)</w:t>
      </w:r>
      <w:r>
        <w:fldChar w:fldCharType="end"/>
      </w:r>
      <w:r>
        <w:t xml:space="preserve">. </w:t>
      </w:r>
    </w:p>
    <w:p w14:paraId="0DC9BB80" w14:textId="77777777" w:rsidR="001F7C00" w:rsidRDefault="001F7C00" w:rsidP="00FC51BE">
      <w:pPr>
        <w:spacing w:before="240" w:line="480" w:lineRule="auto"/>
        <w:rPr>
          <w:b/>
        </w:rPr>
      </w:pPr>
    </w:p>
    <w:p w14:paraId="3BDE2839" w14:textId="25E2EDCE" w:rsidR="004F3660" w:rsidRDefault="004F3660" w:rsidP="00FC51BE">
      <w:pPr>
        <w:spacing w:before="240" w:line="480" w:lineRule="auto"/>
        <w:rPr>
          <w:b/>
        </w:rPr>
      </w:pPr>
      <w:r>
        <w:rPr>
          <w:b/>
        </w:rPr>
        <w:t>Con</w:t>
      </w:r>
      <w:r w:rsidR="001F7C00">
        <w:rPr>
          <w:b/>
        </w:rPr>
        <w:t>c</w:t>
      </w:r>
      <w:r>
        <w:rPr>
          <w:b/>
        </w:rPr>
        <w:t>lusion</w:t>
      </w:r>
    </w:p>
    <w:p w14:paraId="54B9EC9F" w14:textId="3B6DA3D7" w:rsidR="004F3660" w:rsidRDefault="004F3660" w:rsidP="00FC51BE">
      <w:pPr>
        <w:spacing w:before="240" w:line="480" w:lineRule="auto"/>
      </w:pPr>
      <w:r>
        <w:t>A</w:t>
      </w:r>
      <w:r w:rsidR="00061D75">
        <w:t>E</w:t>
      </w:r>
      <w:r>
        <w:t xml:space="preserve">N is a rare phenomenon occurring in the acutely unwell and comorbid which requires early recognition as it may have significant clinical implications. The mainstay of management is largely conservative. Early referral to specialist upper GI service should be considered in resource limited settings to guide management for these patients. </w:t>
      </w:r>
    </w:p>
    <w:p w14:paraId="7C6766E2" w14:textId="77777777" w:rsidR="001F7C00" w:rsidRDefault="003B620D" w:rsidP="001F7C00">
      <w:pPr>
        <w:spacing w:before="240" w:after="240" w:line="480" w:lineRule="auto"/>
        <w:rPr>
          <w:b/>
        </w:rPr>
      </w:pPr>
      <w:r>
        <w:rPr>
          <w:b/>
        </w:rPr>
        <w:t>Acknowledgements</w:t>
      </w:r>
    </w:p>
    <w:p w14:paraId="39E3C5C3" w14:textId="3FCED252" w:rsidR="003B620D" w:rsidRPr="001F7C00" w:rsidRDefault="003B620D" w:rsidP="001F7C00">
      <w:pPr>
        <w:spacing w:before="240" w:after="240" w:line="480" w:lineRule="auto"/>
        <w:rPr>
          <w:b/>
        </w:rPr>
      </w:pPr>
      <w:r>
        <w:t>None</w:t>
      </w:r>
    </w:p>
    <w:p w14:paraId="517B2BCF" w14:textId="145A81E7" w:rsidR="00843048" w:rsidRPr="00843048" w:rsidRDefault="00843048" w:rsidP="00FC51BE">
      <w:pPr>
        <w:spacing w:before="240" w:line="480" w:lineRule="auto"/>
        <w:rPr>
          <w:b/>
          <w:bCs/>
        </w:rPr>
      </w:pPr>
      <w:r>
        <w:rPr>
          <w:b/>
          <w:bCs/>
        </w:rPr>
        <w:t>Informed consent statement</w:t>
      </w:r>
    </w:p>
    <w:p w14:paraId="5DD321F4" w14:textId="6F362B18" w:rsidR="00843048" w:rsidRDefault="00843048" w:rsidP="00FC51BE">
      <w:pPr>
        <w:spacing w:before="240" w:line="480" w:lineRule="auto"/>
      </w:pPr>
      <w:r w:rsidRPr="00843048">
        <w:lastRenderedPageBreak/>
        <w:t>Informed consent for publication of the patient's clinical data and images was obtained from the patient.</w:t>
      </w:r>
    </w:p>
    <w:p w14:paraId="7BB76866" w14:textId="06116974" w:rsidR="004F3660" w:rsidRDefault="004F3660" w:rsidP="00FC51BE">
      <w:pPr>
        <w:spacing w:before="240" w:line="480" w:lineRule="auto"/>
      </w:pPr>
      <w:r>
        <w:rPr>
          <w:b/>
        </w:rPr>
        <w:t>References</w:t>
      </w:r>
    </w:p>
    <w:p w14:paraId="01D212D1" w14:textId="77777777" w:rsidR="004F3660" w:rsidRPr="00FE6BB3" w:rsidRDefault="004F3660" w:rsidP="00FE6BB3">
      <w:pPr>
        <w:spacing w:line="480" w:lineRule="auto"/>
      </w:pPr>
    </w:p>
    <w:p w14:paraId="79892C43" w14:textId="77777777" w:rsidR="00FE6BB3" w:rsidRPr="00FE6BB3" w:rsidRDefault="004F3660" w:rsidP="00FE6BB3">
      <w:pPr>
        <w:pStyle w:val="EndNoteBibliography"/>
        <w:spacing w:line="480" w:lineRule="auto"/>
        <w:rPr>
          <w:rFonts w:ascii="Times New Roman" w:hAnsi="Times New Roman" w:cs="Times New Roman"/>
          <w:noProof/>
        </w:rPr>
      </w:pPr>
      <w:r w:rsidRPr="00FE6BB3">
        <w:rPr>
          <w:rFonts w:ascii="Times New Roman" w:eastAsia="Times New Roman" w:hAnsi="Times New Roman" w:cs="Times New Roman"/>
        </w:rPr>
        <w:fldChar w:fldCharType="begin"/>
      </w:r>
      <w:r w:rsidRPr="00FE6BB3">
        <w:rPr>
          <w:rFonts w:ascii="Times New Roman" w:eastAsia="Times New Roman" w:hAnsi="Times New Roman" w:cs="Times New Roman"/>
        </w:rPr>
        <w:instrText xml:space="preserve"> ADDIN EN.REFLIST </w:instrText>
      </w:r>
      <w:r w:rsidRPr="00FE6BB3">
        <w:rPr>
          <w:rFonts w:ascii="Times New Roman" w:eastAsia="Times New Roman" w:hAnsi="Times New Roman" w:cs="Times New Roman"/>
        </w:rPr>
        <w:fldChar w:fldCharType="separate"/>
      </w:r>
      <w:r w:rsidR="00FE6BB3" w:rsidRPr="00FE6BB3">
        <w:rPr>
          <w:rFonts w:ascii="Times New Roman" w:hAnsi="Times New Roman" w:cs="Times New Roman"/>
          <w:noProof/>
        </w:rPr>
        <w:t>1.</w:t>
      </w:r>
      <w:r w:rsidR="00FE6BB3" w:rsidRPr="00FE6BB3">
        <w:rPr>
          <w:rFonts w:ascii="Times New Roman" w:hAnsi="Times New Roman" w:cs="Times New Roman"/>
          <w:noProof/>
        </w:rPr>
        <w:tab/>
        <w:t>Augusto F, Fernandes V, Cremers MI, Oliveira AP, Lobato C, Alves AL, et al. Acute necrotizing esophagitis: a large retrospective case series. Endoscopy. 2004;36(5):411-5.</w:t>
      </w:r>
    </w:p>
    <w:p w14:paraId="2FD327E9" w14:textId="77777777" w:rsidR="00FE6BB3" w:rsidRPr="00FE6BB3" w:rsidRDefault="00FE6BB3" w:rsidP="00FE6BB3">
      <w:pPr>
        <w:pStyle w:val="EndNoteBibliography"/>
        <w:spacing w:line="480" w:lineRule="auto"/>
        <w:rPr>
          <w:rFonts w:ascii="Times New Roman" w:hAnsi="Times New Roman" w:cs="Times New Roman"/>
          <w:noProof/>
        </w:rPr>
      </w:pPr>
      <w:r w:rsidRPr="00FE6BB3">
        <w:rPr>
          <w:rFonts w:ascii="Times New Roman" w:hAnsi="Times New Roman" w:cs="Times New Roman"/>
          <w:noProof/>
        </w:rPr>
        <w:t>2.</w:t>
      </w:r>
      <w:r w:rsidRPr="00FE6BB3">
        <w:rPr>
          <w:rFonts w:ascii="Times New Roman" w:hAnsi="Times New Roman" w:cs="Times New Roman"/>
          <w:noProof/>
        </w:rPr>
        <w:tab/>
        <w:t>Rehman O, Jaferi U, Padda I, Khehra N, Atwal H, Parmar M. Epidemiology, Pathogenesis, and Clinical Manifestations of Acute Esophageal Necrosis in Adults. Cureus. 2021;13(7):e16618.</w:t>
      </w:r>
    </w:p>
    <w:p w14:paraId="1CF53069" w14:textId="77777777" w:rsidR="00FE6BB3" w:rsidRPr="00FE6BB3" w:rsidRDefault="00FE6BB3" w:rsidP="00FE6BB3">
      <w:pPr>
        <w:pStyle w:val="EndNoteBibliography"/>
        <w:spacing w:line="480" w:lineRule="auto"/>
        <w:rPr>
          <w:rFonts w:ascii="Times New Roman" w:hAnsi="Times New Roman" w:cs="Times New Roman"/>
          <w:noProof/>
        </w:rPr>
      </w:pPr>
      <w:r w:rsidRPr="00FE6BB3">
        <w:rPr>
          <w:rFonts w:ascii="Times New Roman" w:hAnsi="Times New Roman" w:cs="Times New Roman"/>
          <w:noProof/>
        </w:rPr>
        <w:t>3.</w:t>
      </w:r>
      <w:r w:rsidRPr="00FE6BB3">
        <w:rPr>
          <w:rFonts w:ascii="Times New Roman" w:hAnsi="Times New Roman" w:cs="Times New Roman"/>
          <w:noProof/>
        </w:rPr>
        <w:tab/>
        <w:t>Gurvits GE. Black esophagus: acute esophageal necrosis syndrome. World J Gastroenterol. 2010;16(26):3219-25.</w:t>
      </w:r>
    </w:p>
    <w:p w14:paraId="2E3D4980" w14:textId="77777777" w:rsidR="00FE6BB3" w:rsidRPr="00FE6BB3" w:rsidRDefault="00FE6BB3" w:rsidP="00FE6BB3">
      <w:pPr>
        <w:pStyle w:val="EndNoteBibliography"/>
        <w:spacing w:line="480" w:lineRule="auto"/>
        <w:rPr>
          <w:rFonts w:ascii="Times New Roman" w:hAnsi="Times New Roman" w:cs="Times New Roman"/>
          <w:noProof/>
        </w:rPr>
      </w:pPr>
      <w:r w:rsidRPr="00FE6BB3">
        <w:rPr>
          <w:rFonts w:ascii="Times New Roman" w:hAnsi="Times New Roman" w:cs="Times New Roman"/>
          <w:noProof/>
        </w:rPr>
        <w:t>4.</w:t>
      </w:r>
      <w:r w:rsidRPr="00FE6BB3">
        <w:rPr>
          <w:rFonts w:ascii="Times New Roman" w:hAnsi="Times New Roman" w:cs="Times New Roman"/>
          <w:noProof/>
        </w:rPr>
        <w:tab/>
        <w:t>Dias E, Santos-Antunes J, Macedo G. Diagnosis and management of acute esophageal necrosis. Ann Gastroenterol. 2019;32(6):529-40.</w:t>
      </w:r>
    </w:p>
    <w:p w14:paraId="3ABF367A" w14:textId="77777777" w:rsidR="00FE6BB3" w:rsidRPr="00FE6BB3" w:rsidRDefault="00FE6BB3" w:rsidP="00FE6BB3">
      <w:pPr>
        <w:pStyle w:val="EndNoteBibliography"/>
        <w:spacing w:line="480" w:lineRule="auto"/>
        <w:rPr>
          <w:rFonts w:ascii="Times New Roman" w:hAnsi="Times New Roman" w:cs="Times New Roman"/>
          <w:noProof/>
        </w:rPr>
      </w:pPr>
      <w:r w:rsidRPr="00FE6BB3">
        <w:rPr>
          <w:rFonts w:ascii="Times New Roman" w:hAnsi="Times New Roman" w:cs="Times New Roman"/>
          <w:noProof/>
        </w:rPr>
        <w:t>5.</w:t>
      </w:r>
      <w:r w:rsidRPr="00FE6BB3">
        <w:rPr>
          <w:rFonts w:ascii="Times New Roman" w:hAnsi="Times New Roman" w:cs="Times New Roman"/>
          <w:noProof/>
        </w:rPr>
        <w:tab/>
        <w:t>Gurvits GE, Shapsis A, Lau N, Gualtieri N, Robilotti JG. Acute esophageal necrosis: a rare syndrome. J Gastroenterol. 2007;42(1):29-38.</w:t>
      </w:r>
    </w:p>
    <w:p w14:paraId="07084DA0" w14:textId="77777777" w:rsidR="00FE6BB3" w:rsidRPr="00FE6BB3" w:rsidRDefault="00FE6BB3" w:rsidP="00FE6BB3">
      <w:pPr>
        <w:pStyle w:val="EndNoteBibliography"/>
        <w:spacing w:line="480" w:lineRule="auto"/>
        <w:rPr>
          <w:rFonts w:ascii="Times New Roman" w:hAnsi="Times New Roman" w:cs="Times New Roman"/>
          <w:noProof/>
        </w:rPr>
      </w:pPr>
      <w:r w:rsidRPr="00FE6BB3">
        <w:rPr>
          <w:rFonts w:ascii="Times New Roman" w:hAnsi="Times New Roman" w:cs="Times New Roman"/>
          <w:noProof/>
        </w:rPr>
        <w:t>6.</w:t>
      </w:r>
      <w:r w:rsidRPr="00FE6BB3">
        <w:rPr>
          <w:rFonts w:ascii="Times New Roman" w:hAnsi="Times New Roman" w:cs="Times New Roman"/>
          <w:noProof/>
        </w:rPr>
        <w:tab/>
        <w:t>Schizas D, Theochari NA, Mylonas KS, Kanavidis P, Spartalis E, Triantafyllou S, et al. Acute esophageal necrosis: A systematic review and pooled analysis. World J Gastrointest Surg. 2020;12(3):104-15.</w:t>
      </w:r>
    </w:p>
    <w:p w14:paraId="385DA9B3" w14:textId="77777777" w:rsidR="00FE6BB3" w:rsidRPr="00FE6BB3" w:rsidRDefault="00FE6BB3" w:rsidP="00FE6BB3">
      <w:pPr>
        <w:pStyle w:val="EndNoteBibliography"/>
        <w:spacing w:line="480" w:lineRule="auto"/>
        <w:rPr>
          <w:rFonts w:ascii="Times New Roman" w:hAnsi="Times New Roman" w:cs="Times New Roman"/>
          <w:noProof/>
        </w:rPr>
      </w:pPr>
      <w:r w:rsidRPr="00FE6BB3">
        <w:rPr>
          <w:rFonts w:ascii="Times New Roman" w:hAnsi="Times New Roman" w:cs="Times New Roman"/>
          <w:noProof/>
        </w:rPr>
        <w:t>7.</w:t>
      </w:r>
      <w:r w:rsidRPr="00FE6BB3">
        <w:rPr>
          <w:rFonts w:ascii="Times New Roman" w:hAnsi="Times New Roman" w:cs="Times New Roman"/>
          <w:noProof/>
        </w:rPr>
        <w:tab/>
        <w:t>Laine L, Barkun AN, Saltzman JR, Martel M, Leontiadis GI. ACG Clinical Guideline: Upper Gastrointestinal and Ulcer Bleeding. Am J Gastroenterol. 2021;116(5):899-917.</w:t>
      </w:r>
    </w:p>
    <w:p w14:paraId="6368A0BA" w14:textId="77777777" w:rsidR="00FE6BB3" w:rsidRPr="00FE6BB3" w:rsidRDefault="00FE6BB3" w:rsidP="00FE6BB3">
      <w:pPr>
        <w:pStyle w:val="EndNoteBibliography"/>
        <w:spacing w:line="480" w:lineRule="auto"/>
        <w:rPr>
          <w:rFonts w:ascii="Times New Roman" w:hAnsi="Times New Roman" w:cs="Times New Roman"/>
          <w:noProof/>
        </w:rPr>
      </w:pPr>
      <w:r w:rsidRPr="00FE6BB3">
        <w:rPr>
          <w:rFonts w:ascii="Times New Roman" w:hAnsi="Times New Roman" w:cs="Times New Roman"/>
          <w:noProof/>
        </w:rPr>
        <w:t>8.</w:t>
      </w:r>
      <w:r w:rsidRPr="00FE6BB3">
        <w:rPr>
          <w:rFonts w:ascii="Times New Roman" w:hAnsi="Times New Roman" w:cs="Times New Roman"/>
          <w:noProof/>
        </w:rPr>
        <w:tab/>
        <w:t>Elsayed H, Shaker H, Whittle I, Hussein S. The impact of systemic fungal infection in patients with perforated oesophagus. Ann R Coll Surg Engl. 2012;94(8):579-84.</w:t>
      </w:r>
    </w:p>
    <w:p w14:paraId="2F83C43E" w14:textId="77777777" w:rsidR="00FE6BB3" w:rsidRPr="00FE6BB3" w:rsidRDefault="00FE6BB3" w:rsidP="00FE6BB3">
      <w:pPr>
        <w:pStyle w:val="EndNoteBibliography"/>
        <w:spacing w:line="480" w:lineRule="auto"/>
        <w:rPr>
          <w:rFonts w:ascii="Times New Roman" w:hAnsi="Times New Roman" w:cs="Times New Roman"/>
          <w:noProof/>
        </w:rPr>
      </w:pPr>
      <w:r w:rsidRPr="00FE6BB3">
        <w:rPr>
          <w:rFonts w:ascii="Times New Roman" w:hAnsi="Times New Roman" w:cs="Times New Roman"/>
          <w:noProof/>
        </w:rPr>
        <w:t>9.</w:t>
      </w:r>
      <w:r w:rsidRPr="00FE6BB3">
        <w:rPr>
          <w:rFonts w:ascii="Times New Roman" w:hAnsi="Times New Roman" w:cs="Times New Roman"/>
          <w:noProof/>
        </w:rPr>
        <w:tab/>
        <w:t>Shafa S, Sharma N, Keshishian J, Dellon ES. The Black Esophagus: A Rare But Deadly Disease. ACG Case Rep J. 2016;3(2):88-91.</w:t>
      </w:r>
    </w:p>
    <w:p w14:paraId="3D3FCB70" w14:textId="77777777" w:rsidR="00FE6BB3" w:rsidRPr="00FE6BB3" w:rsidRDefault="00FE6BB3" w:rsidP="00FE6BB3">
      <w:pPr>
        <w:pStyle w:val="EndNoteBibliography"/>
        <w:spacing w:line="480" w:lineRule="auto"/>
        <w:rPr>
          <w:rFonts w:ascii="Times New Roman" w:hAnsi="Times New Roman" w:cs="Times New Roman"/>
          <w:noProof/>
        </w:rPr>
      </w:pPr>
      <w:r w:rsidRPr="00FE6BB3">
        <w:rPr>
          <w:rFonts w:ascii="Times New Roman" w:hAnsi="Times New Roman" w:cs="Times New Roman"/>
          <w:noProof/>
        </w:rPr>
        <w:t>10.</w:t>
      </w:r>
      <w:r w:rsidRPr="00FE6BB3">
        <w:rPr>
          <w:rFonts w:ascii="Times New Roman" w:hAnsi="Times New Roman" w:cs="Times New Roman"/>
          <w:noProof/>
        </w:rPr>
        <w:tab/>
        <w:t>Brar TS, Helton R, Zaidi Z. Total Parenteral Nutrition Successfully Treating Black Esophagus Secondary to Hypovolemic Shock. Case Rep Gastrointest Med. 2017;2017:4396870.</w:t>
      </w:r>
    </w:p>
    <w:p w14:paraId="7E56BBB0" w14:textId="77777777" w:rsidR="00FE6BB3" w:rsidRPr="00FE6BB3" w:rsidRDefault="00FE6BB3" w:rsidP="00FE6BB3">
      <w:pPr>
        <w:pStyle w:val="EndNoteBibliography"/>
        <w:spacing w:line="480" w:lineRule="auto"/>
        <w:rPr>
          <w:rFonts w:ascii="Times New Roman" w:hAnsi="Times New Roman" w:cs="Times New Roman"/>
          <w:noProof/>
        </w:rPr>
      </w:pPr>
      <w:r w:rsidRPr="00FE6BB3">
        <w:rPr>
          <w:rFonts w:ascii="Times New Roman" w:hAnsi="Times New Roman" w:cs="Times New Roman"/>
          <w:noProof/>
        </w:rPr>
        <w:t>11.</w:t>
      </w:r>
      <w:r w:rsidRPr="00FE6BB3">
        <w:rPr>
          <w:rFonts w:ascii="Times New Roman" w:hAnsi="Times New Roman" w:cs="Times New Roman"/>
          <w:noProof/>
        </w:rPr>
        <w:tab/>
        <w:t>Wu MH, Wu HY. Incremental change in acute esophageal necrosis: report of two cases. Surg Today. 2014;44(2):363-5.</w:t>
      </w:r>
    </w:p>
    <w:p w14:paraId="357554AD" w14:textId="536C571C" w:rsidR="00577E3F" w:rsidRDefault="004F3660" w:rsidP="00FE6BB3">
      <w:pPr>
        <w:spacing w:line="480" w:lineRule="auto"/>
      </w:pPr>
      <w:r w:rsidRPr="00FE6BB3">
        <w:lastRenderedPageBreak/>
        <w:fldChar w:fldCharType="end"/>
      </w:r>
    </w:p>
    <w:p w14:paraId="59E79F11" w14:textId="090FAB80" w:rsidR="00577E3F" w:rsidRDefault="00577E3F" w:rsidP="00577E3F">
      <w:pPr>
        <w:spacing w:before="240" w:after="240" w:line="480" w:lineRule="auto"/>
        <w:rPr>
          <w:b/>
          <w:u w:val="single"/>
        </w:rPr>
      </w:pPr>
      <w:r>
        <w:rPr>
          <w:b/>
          <w:u w:val="single"/>
        </w:rPr>
        <w:t>Disclosures</w:t>
      </w:r>
    </w:p>
    <w:p w14:paraId="09FB2F42" w14:textId="3D29D309" w:rsidR="00577E3F" w:rsidRDefault="00577E3F" w:rsidP="00577E3F">
      <w:pPr>
        <w:spacing w:before="240" w:after="240" w:line="480" w:lineRule="auto"/>
        <w:rPr>
          <w:b/>
        </w:rPr>
      </w:pPr>
      <w:r>
        <w:rPr>
          <w:b/>
        </w:rPr>
        <w:t>List of abbreviations</w:t>
      </w:r>
    </w:p>
    <w:p w14:paraId="74D8D915" w14:textId="0F2AD1CE" w:rsidR="00FE6BB3" w:rsidRPr="00577E3F" w:rsidRDefault="00577E3F" w:rsidP="00577E3F">
      <w:pPr>
        <w:spacing w:before="240" w:after="240" w:line="480" w:lineRule="auto"/>
        <w:rPr>
          <w:bCs/>
        </w:rPr>
      </w:pPr>
      <w:r>
        <w:rPr>
          <w:bCs/>
        </w:rPr>
        <w:t xml:space="preserve">Acute </w:t>
      </w:r>
      <w:proofErr w:type="spellStart"/>
      <w:r>
        <w:rPr>
          <w:bCs/>
        </w:rPr>
        <w:t>esophageal</w:t>
      </w:r>
      <w:proofErr w:type="spellEnd"/>
      <w:r>
        <w:rPr>
          <w:bCs/>
        </w:rPr>
        <w:t xml:space="preserve"> necrosis; AEN, </w:t>
      </w:r>
      <w:r w:rsidR="00FE6BB3">
        <w:rPr>
          <w:bCs/>
        </w:rPr>
        <w:t>Diabetic ketoacidosis; DKA, Intensive care unit; ICU, Proton pump inhibitor; PPI, Computer tomography; CT, nasogastric tube; NGT, Upper gastrointestinal; GI, Upper gastrointestinal bleeding; UGIB</w:t>
      </w:r>
    </w:p>
    <w:p w14:paraId="56075C36" w14:textId="77777777" w:rsidR="00577E3F" w:rsidRPr="00A273E7" w:rsidRDefault="00577E3F" w:rsidP="00577E3F">
      <w:pPr>
        <w:spacing w:before="240" w:after="240" w:line="480" w:lineRule="auto"/>
        <w:rPr>
          <w:b/>
          <w:bCs/>
          <w:color w:val="000000"/>
          <w:lang w:eastAsia="en-AU"/>
        </w:rPr>
      </w:pPr>
      <w:r w:rsidRPr="00A273E7">
        <w:rPr>
          <w:b/>
          <w:bCs/>
          <w:color w:val="000000"/>
          <w:lang w:eastAsia="en-AU"/>
        </w:rPr>
        <w:t>Ethics approval and consent to participate</w:t>
      </w:r>
    </w:p>
    <w:p w14:paraId="736977E7" w14:textId="77777777" w:rsidR="00577E3F" w:rsidRDefault="00577E3F" w:rsidP="00577E3F">
      <w:pPr>
        <w:spacing w:line="480" w:lineRule="auto"/>
        <w:rPr>
          <w:color w:val="000000"/>
          <w:lang w:eastAsia="en-AU"/>
        </w:rPr>
      </w:pPr>
      <w:r w:rsidRPr="00A273E7">
        <w:rPr>
          <w:color w:val="000000"/>
          <w:lang w:eastAsia="en-AU"/>
        </w:rPr>
        <w:t>The case report generation process was discussed with our local ethics and governance team. No formal ethics approval was required following the discussions and therefore was waived. The patient provided consent for the de-identification and use of their medical information and data for the generation and publication of this case report. </w:t>
      </w:r>
    </w:p>
    <w:p w14:paraId="39FEEEA9" w14:textId="77777777" w:rsidR="00B34324" w:rsidRPr="00FD4E3A" w:rsidRDefault="00B34324" w:rsidP="00577E3F">
      <w:pPr>
        <w:spacing w:line="480" w:lineRule="auto"/>
        <w:rPr>
          <w:color w:val="000000"/>
          <w:lang w:eastAsia="en-AU"/>
        </w:rPr>
      </w:pPr>
    </w:p>
    <w:p w14:paraId="3029D586" w14:textId="77777777" w:rsidR="00577E3F" w:rsidRPr="00A273E7" w:rsidRDefault="00577E3F" w:rsidP="00577E3F">
      <w:pPr>
        <w:spacing w:line="480" w:lineRule="auto"/>
        <w:rPr>
          <w:b/>
          <w:bCs/>
          <w:color w:val="000000"/>
          <w:lang w:eastAsia="en-AU"/>
        </w:rPr>
      </w:pPr>
      <w:r w:rsidRPr="00A273E7">
        <w:rPr>
          <w:b/>
          <w:bCs/>
          <w:color w:val="000000"/>
          <w:lang w:eastAsia="en-AU"/>
        </w:rPr>
        <w:t>Consent for publication</w:t>
      </w:r>
    </w:p>
    <w:p w14:paraId="4FF15237" w14:textId="77777777" w:rsidR="00577E3F" w:rsidRDefault="00577E3F" w:rsidP="00577E3F">
      <w:pPr>
        <w:spacing w:line="480" w:lineRule="auto"/>
        <w:rPr>
          <w:color w:val="000000"/>
          <w:lang w:eastAsia="en-AU"/>
        </w:rPr>
      </w:pPr>
      <w:r w:rsidRPr="00A273E7">
        <w:rPr>
          <w:color w:val="000000"/>
          <w:lang w:eastAsia="en-AU"/>
        </w:rPr>
        <w:t>The patient provided informed consent that was written and signed for generation and publication of this manuscript using their de-identified medical information</w:t>
      </w:r>
    </w:p>
    <w:p w14:paraId="73056C07" w14:textId="77777777" w:rsidR="00B34324" w:rsidRPr="00FD4E3A" w:rsidRDefault="00B34324" w:rsidP="00577E3F">
      <w:pPr>
        <w:spacing w:line="480" w:lineRule="auto"/>
        <w:rPr>
          <w:color w:val="000000"/>
          <w:lang w:eastAsia="en-AU"/>
        </w:rPr>
      </w:pPr>
    </w:p>
    <w:p w14:paraId="77EBEE54" w14:textId="77777777" w:rsidR="00577E3F" w:rsidRPr="00A273E7" w:rsidRDefault="00577E3F" w:rsidP="00577E3F">
      <w:pPr>
        <w:spacing w:line="480" w:lineRule="auto"/>
        <w:rPr>
          <w:b/>
          <w:bCs/>
        </w:rPr>
      </w:pPr>
      <w:r w:rsidRPr="00A273E7">
        <w:rPr>
          <w:b/>
          <w:bCs/>
        </w:rPr>
        <w:t>Data availability statement</w:t>
      </w:r>
    </w:p>
    <w:p w14:paraId="3123115D" w14:textId="77777777" w:rsidR="00577E3F" w:rsidRPr="00A273E7" w:rsidRDefault="00577E3F" w:rsidP="00577E3F">
      <w:pPr>
        <w:spacing w:before="240" w:after="240" w:line="480" w:lineRule="auto"/>
        <w:rPr>
          <w:lang w:eastAsia="en-AU"/>
        </w:rPr>
      </w:pPr>
      <w:r w:rsidRPr="00A273E7">
        <w:rPr>
          <w:lang w:eastAsia="en-AU"/>
        </w:rPr>
        <w:t>Data can be requested from corresponding author when required. All relevant data has been provided in the generation of this manuscript which is intended for open access publication</w:t>
      </w:r>
    </w:p>
    <w:p w14:paraId="295DF893" w14:textId="77777777" w:rsidR="00577E3F" w:rsidRPr="00FD4E3A" w:rsidRDefault="00577E3F" w:rsidP="00577E3F">
      <w:pPr>
        <w:tabs>
          <w:tab w:val="left" w:pos="924"/>
        </w:tabs>
        <w:spacing w:line="480" w:lineRule="auto"/>
        <w:rPr>
          <w:b/>
          <w:bCs/>
        </w:rPr>
      </w:pPr>
      <w:r w:rsidRPr="00A273E7">
        <w:rPr>
          <w:b/>
          <w:bCs/>
        </w:rPr>
        <w:t>Competing interests</w:t>
      </w:r>
    </w:p>
    <w:p w14:paraId="1515E670" w14:textId="77777777" w:rsidR="00577E3F" w:rsidRPr="00A273E7" w:rsidRDefault="00577E3F" w:rsidP="00577E3F">
      <w:pPr>
        <w:tabs>
          <w:tab w:val="left" w:pos="924"/>
        </w:tabs>
        <w:spacing w:line="480" w:lineRule="auto"/>
      </w:pPr>
      <w:r w:rsidRPr="00A273E7">
        <w:t>Nil</w:t>
      </w:r>
    </w:p>
    <w:p w14:paraId="043611A9" w14:textId="77777777" w:rsidR="00577E3F" w:rsidRPr="00FD4E3A" w:rsidRDefault="00577E3F" w:rsidP="00577E3F">
      <w:pPr>
        <w:tabs>
          <w:tab w:val="left" w:pos="924"/>
        </w:tabs>
        <w:spacing w:line="480" w:lineRule="auto"/>
        <w:rPr>
          <w:b/>
          <w:bCs/>
        </w:rPr>
      </w:pPr>
      <w:r w:rsidRPr="00A273E7">
        <w:rPr>
          <w:b/>
          <w:bCs/>
        </w:rPr>
        <w:t xml:space="preserve">Funding </w:t>
      </w:r>
    </w:p>
    <w:p w14:paraId="29503200" w14:textId="77777777" w:rsidR="00577E3F" w:rsidRPr="00A273E7" w:rsidRDefault="00577E3F" w:rsidP="00577E3F">
      <w:pPr>
        <w:tabs>
          <w:tab w:val="left" w:pos="924"/>
        </w:tabs>
        <w:spacing w:line="480" w:lineRule="auto"/>
      </w:pPr>
      <w:r w:rsidRPr="00A273E7">
        <w:lastRenderedPageBreak/>
        <w:t>Nil</w:t>
      </w:r>
    </w:p>
    <w:p w14:paraId="049AE6EC" w14:textId="77777777" w:rsidR="00577E3F" w:rsidRPr="00A273E7" w:rsidRDefault="00577E3F" w:rsidP="00577E3F">
      <w:pPr>
        <w:tabs>
          <w:tab w:val="left" w:pos="924"/>
        </w:tabs>
        <w:spacing w:line="480" w:lineRule="auto"/>
      </w:pPr>
    </w:p>
    <w:p w14:paraId="459992B2" w14:textId="77777777" w:rsidR="00577E3F" w:rsidRPr="00A273E7" w:rsidRDefault="00577E3F" w:rsidP="00577E3F">
      <w:pPr>
        <w:tabs>
          <w:tab w:val="left" w:pos="924"/>
        </w:tabs>
        <w:spacing w:line="480" w:lineRule="auto"/>
        <w:rPr>
          <w:b/>
          <w:bCs/>
        </w:rPr>
      </w:pPr>
      <w:r w:rsidRPr="00A273E7">
        <w:rPr>
          <w:b/>
          <w:bCs/>
        </w:rPr>
        <w:t>Authors’ contributions</w:t>
      </w:r>
    </w:p>
    <w:p w14:paraId="2F9DA1E3" w14:textId="77777777" w:rsidR="00577E3F" w:rsidRPr="00A273E7" w:rsidRDefault="00577E3F" w:rsidP="00577E3F">
      <w:pPr>
        <w:tabs>
          <w:tab w:val="left" w:pos="924"/>
        </w:tabs>
        <w:spacing w:line="480" w:lineRule="auto"/>
      </w:pPr>
    </w:p>
    <w:p w14:paraId="4D585888" w14:textId="16A2316B" w:rsidR="00577E3F" w:rsidRDefault="00577E3F" w:rsidP="00577E3F">
      <w:pPr>
        <w:tabs>
          <w:tab w:val="left" w:pos="924"/>
        </w:tabs>
        <w:spacing w:line="480" w:lineRule="auto"/>
      </w:pPr>
      <w:r>
        <w:t>Annie Jiao Wang</w:t>
      </w:r>
      <w:r w:rsidRPr="00A273E7">
        <w:t xml:space="preserve"> – Conceptualisation, methodology, validation, formal analysis, investigation, data curation, resources, writing – original draft, writing – review and editing, project </w:t>
      </w:r>
      <w:r>
        <w:t>administration</w:t>
      </w:r>
    </w:p>
    <w:p w14:paraId="16481928" w14:textId="77777777" w:rsidR="00577E3F" w:rsidRPr="00A273E7" w:rsidRDefault="00577E3F" w:rsidP="00577E3F">
      <w:pPr>
        <w:tabs>
          <w:tab w:val="left" w:pos="924"/>
        </w:tabs>
        <w:spacing w:line="480" w:lineRule="auto"/>
      </w:pPr>
    </w:p>
    <w:p w14:paraId="00A1852A" w14:textId="2689C734" w:rsidR="00577E3F" w:rsidRPr="00A273E7" w:rsidRDefault="00577E3F" w:rsidP="00577E3F">
      <w:pPr>
        <w:tabs>
          <w:tab w:val="left" w:pos="924"/>
        </w:tabs>
        <w:spacing w:line="480" w:lineRule="auto"/>
      </w:pPr>
      <w:r w:rsidRPr="00A273E7">
        <w:t>Khang Duy Ricky Le – Methodology, validation, formal analysis, investigation, data curation, resources, writing – original draft, writing – review and editing</w:t>
      </w:r>
    </w:p>
    <w:p w14:paraId="4F7E5C9F" w14:textId="77777777" w:rsidR="00577E3F" w:rsidRPr="00A273E7" w:rsidRDefault="00577E3F" w:rsidP="00577E3F">
      <w:pPr>
        <w:tabs>
          <w:tab w:val="left" w:pos="924"/>
        </w:tabs>
        <w:spacing w:line="480" w:lineRule="auto"/>
      </w:pPr>
    </w:p>
    <w:p w14:paraId="3DB41ABA" w14:textId="372CDE5A" w:rsidR="00577E3F" w:rsidRDefault="00577E3F" w:rsidP="00577E3F">
      <w:pPr>
        <w:tabs>
          <w:tab w:val="left" w:pos="924"/>
        </w:tabs>
        <w:spacing w:line="480" w:lineRule="auto"/>
      </w:pPr>
      <w:proofErr w:type="spellStart"/>
      <w:r>
        <w:t>Shasha</w:t>
      </w:r>
      <w:proofErr w:type="spellEnd"/>
      <w:r>
        <w:t xml:space="preserve"> Haycock</w:t>
      </w:r>
      <w:r w:rsidRPr="00A273E7">
        <w:t xml:space="preserve"> –</w:t>
      </w:r>
      <w:r>
        <w:t xml:space="preserve"> </w:t>
      </w:r>
      <w:r w:rsidRPr="00A273E7">
        <w:t>writing – review and editing</w:t>
      </w:r>
    </w:p>
    <w:p w14:paraId="2FEB980D" w14:textId="77777777" w:rsidR="00577E3F" w:rsidRDefault="00577E3F" w:rsidP="00577E3F">
      <w:pPr>
        <w:tabs>
          <w:tab w:val="left" w:pos="924"/>
        </w:tabs>
        <w:spacing w:line="480" w:lineRule="auto"/>
      </w:pPr>
    </w:p>
    <w:p w14:paraId="4EB24211" w14:textId="371ABCAF" w:rsidR="00577E3F" w:rsidRPr="00A273E7" w:rsidRDefault="00577E3F" w:rsidP="00577E3F">
      <w:pPr>
        <w:tabs>
          <w:tab w:val="left" w:pos="924"/>
        </w:tabs>
        <w:spacing w:line="480" w:lineRule="auto"/>
      </w:pPr>
      <w:r>
        <w:t>Brendan Desmond – Conceptualisation, writing – review and editing</w:t>
      </w:r>
    </w:p>
    <w:p w14:paraId="41722424" w14:textId="77777777" w:rsidR="00577E3F" w:rsidRPr="00A273E7" w:rsidRDefault="00577E3F" w:rsidP="00577E3F">
      <w:pPr>
        <w:tabs>
          <w:tab w:val="left" w:pos="924"/>
        </w:tabs>
        <w:spacing w:line="480" w:lineRule="auto"/>
      </w:pPr>
    </w:p>
    <w:p w14:paraId="52E1595C" w14:textId="48CC99F5" w:rsidR="00577E3F" w:rsidRPr="00A273E7" w:rsidRDefault="00577E3F" w:rsidP="00577E3F">
      <w:pPr>
        <w:tabs>
          <w:tab w:val="left" w:pos="924"/>
        </w:tabs>
        <w:spacing w:line="480" w:lineRule="auto"/>
      </w:pPr>
      <w:r>
        <w:t>Matthew Shears</w:t>
      </w:r>
      <w:r w:rsidRPr="00A273E7">
        <w:t xml:space="preserve"> –</w:t>
      </w:r>
      <w:r>
        <w:t xml:space="preserve"> </w:t>
      </w:r>
      <w:r w:rsidRPr="00A273E7">
        <w:t xml:space="preserve">supervision </w:t>
      </w:r>
    </w:p>
    <w:p w14:paraId="2A2E07EC" w14:textId="77777777" w:rsidR="00577E3F" w:rsidRPr="00A273E7" w:rsidRDefault="00577E3F" w:rsidP="00577E3F">
      <w:pPr>
        <w:tabs>
          <w:tab w:val="left" w:pos="924"/>
        </w:tabs>
        <w:spacing w:line="480" w:lineRule="auto"/>
      </w:pPr>
    </w:p>
    <w:p w14:paraId="42F2B8FC" w14:textId="77777777" w:rsidR="00577E3F" w:rsidRPr="00A273E7" w:rsidRDefault="00577E3F" w:rsidP="00577E3F">
      <w:pPr>
        <w:tabs>
          <w:tab w:val="left" w:pos="924"/>
        </w:tabs>
        <w:spacing w:line="480" w:lineRule="auto"/>
      </w:pPr>
      <w:r w:rsidRPr="00A273E7">
        <w:rPr>
          <w:b/>
          <w:bCs/>
        </w:rPr>
        <w:t>Acknowledgements</w:t>
      </w:r>
    </w:p>
    <w:p w14:paraId="74AF63A0" w14:textId="77777777" w:rsidR="00577E3F" w:rsidRPr="00A273E7" w:rsidRDefault="00577E3F" w:rsidP="00577E3F">
      <w:pPr>
        <w:tabs>
          <w:tab w:val="left" w:pos="924"/>
        </w:tabs>
        <w:spacing w:line="480" w:lineRule="auto"/>
      </w:pPr>
    </w:p>
    <w:p w14:paraId="078DE74A" w14:textId="77777777" w:rsidR="00577E3F" w:rsidRDefault="00577E3F" w:rsidP="00577E3F">
      <w:pPr>
        <w:spacing w:line="480" w:lineRule="auto"/>
      </w:pPr>
      <w:r w:rsidRPr="00A273E7">
        <w:t>Nil</w:t>
      </w:r>
    </w:p>
    <w:p w14:paraId="69EEC697" w14:textId="77777777" w:rsidR="00577E3F" w:rsidRDefault="00577E3F" w:rsidP="00577E3F">
      <w:pPr>
        <w:spacing w:before="240" w:after="240" w:line="480" w:lineRule="auto"/>
        <w:rPr>
          <w:b/>
          <w:bCs/>
          <w:color w:val="000000"/>
          <w:lang w:eastAsia="en-AU"/>
        </w:rPr>
      </w:pPr>
      <w:r>
        <w:rPr>
          <w:b/>
          <w:bCs/>
          <w:color w:val="000000"/>
          <w:lang w:eastAsia="en-AU"/>
        </w:rPr>
        <w:t>Key clinical message</w:t>
      </w:r>
    </w:p>
    <w:p w14:paraId="2067881F" w14:textId="6291BCE8" w:rsidR="001748E2" w:rsidRPr="00B34324" w:rsidRDefault="00082532" w:rsidP="00577E3F">
      <w:pPr>
        <w:spacing w:before="240" w:after="240" w:line="480" w:lineRule="auto"/>
      </w:pPr>
      <w:r>
        <w:t>In suspected cases of AEN in acutely unwell patients with UGIB or other abdominal complaints,</w:t>
      </w:r>
      <w:r w:rsidR="00AC25FC">
        <w:t xml:space="preserve"> </w:t>
      </w:r>
      <w:r>
        <w:t>e</w:t>
      </w:r>
      <w:r w:rsidR="00AC25FC">
        <w:t xml:space="preserve">arly endoscopic examination is recommended if available. Early referral to </w:t>
      </w:r>
      <w:r w:rsidR="00AC25FC">
        <w:lastRenderedPageBreak/>
        <w:t>specialist upper GI service should be considered in resource limited settings to guide management for these patients.</w:t>
      </w:r>
    </w:p>
    <w:p w14:paraId="26F0FB56" w14:textId="4470B44A" w:rsidR="001748E2" w:rsidRDefault="001748E2" w:rsidP="00577E3F">
      <w:pPr>
        <w:spacing w:before="240" w:after="240" w:line="480" w:lineRule="auto"/>
        <w:rPr>
          <w:b/>
          <w:bCs/>
          <w:color w:val="000000"/>
          <w:u w:val="single"/>
          <w:lang w:eastAsia="en-AU"/>
        </w:rPr>
      </w:pPr>
      <w:r w:rsidRPr="001748E2">
        <w:rPr>
          <w:b/>
          <w:bCs/>
          <w:color w:val="000000"/>
          <w:u w:val="single"/>
          <w:lang w:eastAsia="en-AU"/>
        </w:rPr>
        <w:t>Figure legends</w:t>
      </w:r>
    </w:p>
    <w:p w14:paraId="653E3B73" w14:textId="77777777" w:rsidR="001748E2" w:rsidRDefault="001748E2" w:rsidP="001748E2">
      <w:pPr>
        <w:widowControl w:val="0"/>
        <w:pBdr>
          <w:top w:val="nil"/>
          <w:left w:val="nil"/>
          <w:bottom w:val="nil"/>
          <w:right w:val="nil"/>
          <w:between w:val="nil"/>
        </w:pBdr>
      </w:pPr>
      <w:r>
        <w:t xml:space="preserve">Figure 1. Initial gastroscopy - acute necrosis of the distal </w:t>
      </w:r>
      <w:proofErr w:type="spellStart"/>
      <w:r>
        <w:t>esophageal</w:t>
      </w:r>
      <w:proofErr w:type="spellEnd"/>
      <w:r>
        <w:t xml:space="preserve"> mucosa</w:t>
      </w:r>
    </w:p>
    <w:p w14:paraId="4FFC263F" w14:textId="77777777" w:rsidR="001748E2" w:rsidRDefault="001748E2" w:rsidP="001748E2">
      <w:pPr>
        <w:widowControl w:val="0"/>
        <w:pBdr>
          <w:top w:val="nil"/>
          <w:left w:val="nil"/>
          <w:bottom w:val="nil"/>
          <w:right w:val="nil"/>
          <w:between w:val="nil"/>
        </w:pBdr>
      </w:pPr>
    </w:p>
    <w:p w14:paraId="47A21EAE" w14:textId="1303C216" w:rsidR="001748E2" w:rsidRDefault="001748E2" w:rsidP="00577E3F">
      <w:pPr>
        <w:spacing w:before="240" w:after="240" w:line="480" w:lineRule="auto"/>
      </w:pPr>
      <w:r>
        <w:t xml:space="preserve">Figure 2. Endoscopic appearances of healing distal </w:t>
      </w:r>
      <w:proofErr w:type="spellStart"/>
      <w:r>
        <w:t>esophageal</w:t>
      </w:r>
      <w:proofErr w:type="spellEnd"/>
      <w:r>
        <w:t xml:space="preserve"> mucosa at 48hrs</w:t>
      </w:r>
    </w:p>
    <w:p w14:paraId="6A4F7595" w14:textId="055ECB85" w:rsidR="001748E2" w:rsidRDefault="001748E2" w:rsidP="00577E3F">
      <w:pPr>
        <w:spacing w:before="240" w:after="240" w:line="480" w:lineRule="auto"/>
      </w:pPr>
      <w:r>
        <w:t>Figure 3. Resolution at 6-week follow-up gastroscopy</w:t>
      </w:r>
    </w:p>
    <w:p w14:paraId="25DD101B" w14:textId="77777777" w:rsidR="001748E2" w:rsidRDefault="001748E2" w:rsidP="001748E2">
      <w:pPr>
        <w:spacing w:before="240"/>
      </w:pPr>
      <w:r>
        <w:t xml:space="preserve">Figure 4. Proposed management algorithm for acute </w:t>
      </w:r>
      <w:proofErr w:type="spellStart"/>
      <w:r>
        <w:t>esophageal</w:t>
      </w:r>
      <w:proofErr w:type="spellEnd"/>
      <w:r>
        <w:t xml:space="preserve"> necrosis in a rural centre</w:t>
      </w:r>
    </w:p>
    <w:p w14:paraId="136776D5" w14:textId="77777777" w:rsidR="001748E2" w:rsidRDefault="001748E2" w:rsidP="00577E3F">
      <w:pPr>
        <w:spacing w:before="240" w:after="240" w:line="480" w:lineRule="auto"/>
        <w:rPr>
          <w:b/>
          <w:bCs/>
          <w:color w:val="000000"/>
          <w:u w:val="single"/>
          <w:lang w:eastAsia="en-AU"/>
        </w:rPr>
      </w:pPr>
    </w:p>
    <w:p w14:paraId="0CFDD81A" w14:textId="77777777" w:rsidR="00F1710D" w:rsidRDefault="00F1710D" w:rsidP="00577E3F">
      <w:pPr>
        <w:spacing w:before="240" w:after="240" w:line="480" w:lineRule="auto"/>
        <w:rPr>
          <w:b/>
          <w:bCs/>
          <w:color w:val="000000"/>
          <w:u w:val="single"/>
          <w:lang w:eastAsia="en-AU"/>
        </w:rPr>
      </w:pPr>
    </w:p>
    <w:p w14:paraId="298E2AEB" w14:textId="77777777" w:rsidR="00F1710D" w:rsidRDefault="00F1710D" w:rsidP="00577E3F">
      <w:pPr>
        <w:spacing w:before="240" w:after="240" w:line="480" w:lineRule="auto"/>
        <w:rPr>
          <w:b/>
          <w:bCs/>
          <w:color w:val="000000"/>
          <w:u w:val="single"/>
          <w:lang w:eastAsia="en-AU"/>
        </w:rPr>
      </w:pPr>
    </w:p>
    <w:p w14:paraId="071A19AB" w14:textId="77777777" w:rsidR="00F1710D" w:rsidRDefault="00F1710D" w:rsidP="00577E3F">
      <w:pPr>
        <w:spacing w:before="240" w:after="240" w:line="480" w:lineRule="auto"/>
        <w:rPr>
          <w:b/>
          <w:bCs/>
          <w:color w:val="000000"/>
          <w:u w:val="single"/>
          <w:lang w:eastAsia="en-AU"/>
        </w:rPr>
      </w:pPr>
    </w:p>
    <w:p w14:paraId="28659AF8" w14:textId="77777777" w:rsidR="00F1710D" w:rsidRDefault="00F1710D" w:rsidP="00577E3F">
      <w:pPr>
        <w:spacing w:before="240" w:after="240" w:line="480" w:lineRule="auto"/>
        <w:rPr>
          <w:b/>
          <w:bCs/>
          <w:color w:val="000000"/>
          <w:u w:val="single"/>
          <w:lang w:eastAsia="en-AU"/>
        </w:rPr>
      </w:pPr>
    </w:p>
    <w:p w14:paraId="4342DB7E" w14:textId="6051926C" w:rsidR="00F1710D" w:rsidRPr="00F1710D" w:rsidRDefault="00F1710D" w:rsidP="00577E3F">
      <w:pPr>
        <w:spacing w:before="240" w:after="240" w:line="480" w:lineRule="auto"/>
        <w:rPr>
          <w:b/>
          <w:bCs/>
          <w:color w:val="000000"/>
          <w:u w:val="single"/>
          <w:lang w:eastAsia="en-AU"/>
        </w:rPr>
      </w:pPr>
      <w:r>
        <w:rPr>
          <w:b/>
          <w:bCs/>
          <w:color w:val="000000"/>
          <w:u w:val="single"/>
          <w:lang w:eastAsia="en-AU"/>
        </w:rPr>
        <w:t>Figures</w:t>
      </w:r>
    </w:p>
    <w:p w14:paraId="3075F3CE" w14:textId="7D4893E4" w:rsidR="004F3660" w:rsidRPr="001748E2" w:rsidRDefault="001748E2" w:rsidP="004F3660">
      <w:pPr>
        <w:spacing w:before="240"/>
        <w:rPr>
          <w:b/>
          <w:bCs/>
        </w:rPr>
      </w:pPr>
      <w:r>
        <w:rPr>
          <w:b/>
          <w:bCs/>
        </w:rPr>
        <w:t>Figure 1</w:t>
      </w:r>
    </w:p>
    <w:tbl>
      <w:tblPr>
        <w:tblW w:w="9346" w:type="dxa"/>
        <w:tblLayout w:type="fixed"/>
        <w:tblLook w:val="0600" w:firstRow="0" w:lastRow="0" w:firstColumn="0" w:lastColumn="0" w:noHBand="1" w:noVBand="1"/>
      </w:tblPr>
      <w:tblGrid>
        <w:gridCol w:w="4616"/>
        <w:gridCol w:w="4730"/>
      </w:tblGrid>
      <w:tr w:rsidR="004F3660" w14:paraId="609E5818" w14:textId="77777777" w:rsidTr="003B620D">
        <w:tc>
          <w:tcPr>
            <w:tcW w:w="9346" w:type="dxa"/>
            <w:gridSpan w:val="2"/>
            <w:shd w:val="clear" w:color="auto" w:fill="auto"/>
            <w:tcMar>
              <w:top w:w="100" w:type="dxa"/>
              <w:left w:w="100" w:type="dxa"/>
              <w:bottom w:w="100" w:type="dxa"/>
              <w:right w:w="100" w:type="dxa"/>
            </w:tcMar>
          </w:tcPr>
          <w:p w14:paraId="1AC77213" w14:textId="77777777" w:rsidR="004F3660" w:rsidRDefault="004F3660" w:rsidP="00550660">
            <w:pPr>
              <w:widowControl w:val="0"/>
            </w:pPr>
            <w:r>
              <w:rPr>
                <w:noProof/>
              </w:rPr>
              <w:drawing>
                <wp:inline distT="114300" distB="114300" distL="114300" distR="114300" wp14:anchorId="0EDEAE8F" wp14:editId="668511B3">
                  <wp:extent cx="2724150" cy="2064356"/>
                  <wp:effectExtent l="0" t="0" r="0" b="6350"/>
                  <wp:docPr id="101293665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
                          <a:srcRect/>
                          <a:stretch>
                            <a:fillRect/>
                          </a:stretch>
                        </pic:blipFill>
                        <pic:spPr>
                          <a:xfrm>
                            <a:off x="0" y="0"/>
                            <a:ext cx="2726868" cy="2066416"/>
                          </a:xfrm>
                          <a:prstGeom prst="rect">
                            <a:avLst/>
                          </a:prstGeom>
                          <a:ln/>
                        </pic:spPr>
                      </pic:pic>
                    </a:graphicData>
                  </a:graphic>
                </wp:inline>
              </w:drawing>
            </w:r>
          </w:p>
          <w:p w14:paraId="62D0D7CE" w14:textId="77777777" w:rsidR="001748E2" w:rsidRDefault="001748E2" w:rsidP="00550660">
            <w:pPr>
              <w:widowControl w:val="0"/>
            </w:pPr>
          </w:p>
          <w:p w14:paraId="3816E00E" w14:textId="22749FE5" w:rsidR="001748E2" w:rsidRPr="001748E2" w:rsidRDefault="001748E2" w:rsidP="00550660">
            <w:pPr>
              <w:widowControl w:val="0"/>
              <w:rPr>
                <w:b/>
                <w:bCs/>
              </w:rPr>
            </w:pPr>
            <w:r>
              <w:rPr>
                <w:b/>
                <w:bCs/>
              </w:rPr>
              <w:lastRenderedPageBreak/>
              <w:t>Figure 2</w:t>
            </w:r>
          </w:p>
        </w:tc>
      </w:tr>
      <w:tr w:rsidR="004F3660" w14:paraId="0A6D69A7" w14:textId="77777777" w:rsidTr="001748E2">
        <w:trPr>
          <w:gridAfter w:val="1"/>
          <w:wAfter w:w="4730" w:type="dxa"/>
        </w:trPr>
        <w:tc>
          <w:tcPr>
            <w:tcW w:w="4616" w:type="dxa"/>
            <w:shd w:val="clear" w:color="auto" w:fill="auto"/>
            <w:tcMar>
              <w:top w:w="100" w:type="dxa"/>
              <w:left w:w="100" w:type="dxa"/>
              <w:bottom w:w="100" w:type="dxa"/>
              <w:right w:w="100" w:type="dxa"/>
            </w:tcMar>
          </w:tcPr>
          <w:p w14:paraId="42F6A038" w14:textId="77777777" w:rsidR="004F3660" w:rsidRDefault="004F3660" w:rsidP="00550660">
            <w:pPr>
              <w:widowControl w:val="0"/>
              <w:pBdr>
                <w:top w:val="nil"/>
                <w:left w:val="nil"/>
                <w:bottom w:val="nil"/>
                <w:right w:val="nil"/>
                <w:between w:val="nil"/>
              </w:pBdr>
            </w:pPr>
            <w:r>
              <w:rPr>
                <w:noProof/>
              </w:rPr>
              <w:lastRenderedPageBreak/>
              <w:drawing>
                <wp:inline distT="114300" distB="114300" distL="114300" distR="114300" wp14:anchorId="6B1D94A2" wp14:editId="68DBEDFB">
                  <wp:extent cx="2724150" cy="2120900"/>
                  <wp:effectExtent l="0" t="0" r="0" b="0"/>
                  <wp:docPr id="176810416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2724150" cy="2120900"/>
                          </a:xfrm>
                          <a:prstGeom prst="rect">
                            <a:avLst/>
                          </a:prstGeom>
                          <a:ln/>
                        </pic:spPr>
                      </pic:pic>
                    </a:graphicData>
                  </a:graphic>
                </wp:inline>
              </w:drawing>
            </w:r>
          </w:p>
        </w:tc>
      </w:tr>
      <w:tr w:rsidR="004F3660" w14:paraId="5C627C0C" w14:textId="77777777" w:rsidTr="003B620D">
        <w:trPr>
          <w:trHeight w:val="420"/>
        </w:trPr>
        <w:tc>
          <w:tcPr>
            <w:tcW w:w="9346" w:type="dxa"/>
            <w:gridSpan w:val="2"/>
            <w:shd w:val="clear" w:color="auto" w:fill="auto"/>
            <w:tcMar>
              <w:top w:w="100" w:type="dxa"/>
              <w:left w:w="100" w:type="dxa"/>
              <w:bottom w:w="100" w:type="dxa"/>
              <w:right w:w="100" w:type="dxa"/>
            </w:tcMar>
          </w:tcPr>
          <w:p w14:paraId="227ACEF6" w14:textId="11E28BC2" w:rsidR="004F3660" w:rsidRPr="001748E2" w:rsidRDefault="001748E2" w:rsidP="00550660">
            <w:pPr>
              <w:widowControl w:val="0"/>
              <w:pBdr>
                <w:top w:val="nil"/>
                <w:left w:val="nil"/>
                <w:bottom w:val="nil"/>
                <w:right w:val="nil"/>
                <w:between w:val="nil"/>
              </w:pBdr>
              <w:rPr>
                <w:b/>
                <w:bCs/>
              </w:rPr>
            </w:pPr>
            <w:r>
              <w:rPr>
                <w:b/>
                <w:bCs/>
              </w:rPr>
              <w:t>Figure 3</w:t>
            </w:r>
          </w:p>
        </w:tc>
      </w:tr>
      <w:tr w:rsidR="004F3660" w14:paraId="6003D386" w14:textId="77777777" w:rsidTr="003B620D">
        <w:trPr>
          <w:trHeight w:val="420"/>
        </w:trPr>
        <w:tc>
          <w:tcPr>
            <w:tcW w:w="9346" w:type="dxa"/>
            <w:gridSpan w:val="2"/>
            <w:shd w:val="clear" w:color="auto" w:fill="auto"/>
            <w:tcMar>
              <w:top w:w="100" w:type="dxa"/>
              <w:left w:w="100" w:type="dxa"/>
              <w:bottom w:w="100" w:type="dxa"/>
              <w:right w:w="100" w:type="dxa"/>
            </w:tcMar>
          </w:tcPr>
          <w:p w14:paraId="493DB98B" w14:textId="4CA94A02" w:rsidR="004F3660" w:rsidRDefault="001748E2" w:rsidP="00550660">
            <w:pPr>
              <w:widowControl w:val="0"/>
              <w:pBdr>
                <w:top w:val="nil"/>
                <w:left w:val="nil"/>
                <w:bottom w:val="nil"/>
                <w:right w:val="nil"/>
                <w:between w:val="nil"/>
              </w:pBdr>
            </w:pPr>
            <w:r>
              <w:rPr>
                <w:noProof/>
                <w14:ligatures w14:val="standardContextual"/>
              </w:rPr>
              <w:drawing>
                <wp:inline distT="0" distB="0" distL="0" distR="0" wp14:anchorId="15890965" wp14:editId="4867AE02">
                  <wp:extent cx="2724150" cy="2028924"/>
                  <wp:effectExtent l="0" t="0" r="0" b="3175"/>
                  <wp:docPr id="4123630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363039" name="Picture 412363039"/>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35256" cy="2037195"/>
                          </a:xfrm>
                          <a:prstGeom prst="rect">
                            <a:avLst/>
                          </a:prstGeom>
                        </pic:spPr>
                      </pic:pic>
                    </a:graphicData>
                  </a:graphic>
                </wp:inline>
              </w:drawing>
            </w:r>
          </w:p>
        </w:tc>
      </w:tr>
    </w:tbl>
    <w:p w14:paraId="27DEB223" w14:textId="77777777" w:rsidR="001748E2" w:rsidRDefault="001748E2">
      <w:r>
        <w:br w:type="page"/>
      </w:r>
    </w:p>
    <w:tbl>
      <w:tblPr>
        <w:tblW w:w="9346" w:type="dxa"/>
        <w:tblLayout w:type="fixed"/>
        <w:tblLook w:val="0600" w:firstRow="0" w:lastRow="0" w:firstColumn="0" w:lastColumn="0" w:noHBand="1" w:noVBand="1"/>
      </w:tblPr>
      <w:tblGrid>
        <w:gridCol w:w="9346"/>
      </w:tblGrid>
      <w:tr w:rsidR="004F3660" w14:paraId="7ED94277" w14:textId="77777777" w:rsidTr="003B620D">
        <w:trPr>
          <w:trHeight w:val="420"/>
        </w:trPr>
        <w:tc>
          <w:tcPr>
            <w:tcW w:w="9346" w:type="dxa"/>
            <w:shd w:val="clear" w:color="auto" w:fill="auto"/>
            <w:tcMar>
              <w:top w:w="100" w:type="dxa"/>
              <w:left w:w="100" w:type="dxa"/>
              <w:bottom w:w="100" w:type="dxa"/>
              <w:right w:w="100" w:type="dxa"/>
            </w:tcMar>
          </w:tcPr>
          <w:p w14:paraId="7109AE34" w14:textId="0F82CC27" w:rsidR="004F3660" w:rsidRDefault="004F3660" w:rsidP="00550660">
            <w:pPr>
              <w:widowControl w:val="0"/>
              <w:pBdr>
                <w:top w:val="nil"/>
                <w:left w:val="nil"/>
                <w:bottom w:val="nil"/>
                <w:right w:val="nil"/>
                <w:between w:val="nil"/>
              </w:pBdr>
            </w:pPr>
          </w:p>
          <w:p w14:paraId="0DD6A735" w14:textId="6271091B" w:rsidR="001748E2" w:rsidRDefault="001748E2" w:rsidP="00550660">
            <w:pPr>
              <w:widowControl w:val="0"/>
              <w:pBdr>
                <w:top w:val="nil"/>
                <w:left w:val="nil"/>
                <w:bottom w:val="nil"/>
                <w:right w:val="nil"/>
                <w:between w:val="nil"/>
              </w:pBdr>
            </w:pPr>
          </w:p>
        </w:tc>
      </w:tr>
    </w:tbl>
    <w:p w14:paraId="6A6C4EBE" w14:textId="5815C675" w:rsidR="001748E2" w:rsidRDefault="001748E2" w:rsidP="004F3660">
      <w:pPr>
        <w:rPr>
          <w:b/>
          <w:bCs/>
        </w:rPr>
      </w:pPr>
      <w:r>
        <w:rPr>
          <w:b/>
          <w:bCs/>
        </w:rPr>
        <w:t>Figure 4</w:t>
      </w:r>
    </w:p>
    <w:p w14:paraId="2107E71F" w14:textId="77777777" w:rsidR="001748E2" w:rsidRPr="001748E2" w:rsidRDefault="001748E2" w:rsidP="004F3660">
      <w:pPr>
        <w:rPr>
          <w:b/>
          <w:bCs/>
        </w:rPr>
      </w:pPr>
    </w:p>
    <w:p w14:paraId="47B15721" w14:textId="1F6FADB4" w:rsidR="005D6A47" w:rsidRDefault="004F3660" w:rsidP="005D6A47">
      <w:r>
        <w:rPr>
          <w:noProof/>
        </w:rPr>
        <mc:AlternateContent>
          <mc:Choice Requires="wps">
            <w:drawing>
              <wp:anchor distT="0" distB="0" distL="114300" distR="114300" simplePos="0" relativeHeight="251659264" behindDoc="0" locked="0" layoutInCell="1" allowOverlap="1" wp14:anchorId="7E433E16" wp14:editId="74B1DC29">
                <wp:simplePos x="0" y="0"/>
                <wp:positionH relativeFrom="column">
                  <wp:posOffset>4507230</wp:posOffset>
                </wp:positionH>
                <wp:positionV relativeFrom="paragraph">
                  <wp:posOffset>367431</wp:posOffset>
                </wp:positionV>
                <wp:extent cx="320842" cy="183916"/>
                <wp:effectExtent l="0" t="0" r="0" b="0"/>
                <wp:wrapNone/>
                <wp:docPr id="2003535558" name="Text Box 2"/>
                <wp:cNvGraphicFramePr/>
                <a:graphic xmlns:a="http://schemas.openxmlformats.org/drawingml/2006/main">
                  <a:graphicData uri="http://schemas.microsoft.com/office/word/2010/wordprocessingShape">
                    <wps:wsp>
                      <wps:cNvSpPr txBox="1"/>
                      <wps:spPr>
                        <a:xfrm>
                          <a:off x="0" y="0"/>
                          <a:ext cx="320842" cy="183916"/>
                        </a:xfrm>
                        <a:prstGeom prst="rect">
                          <a:avLst/>
                        </a:prstGeom>
                        <a:solidFill>
                          <a:schemeClr val="lt1"/>
                        </a:solidFill>
                        <a:ln w="6350">
                          <a:noFill/>
                        </a:ln>
                      </wps:spPr>
                      <wps:txbx>
                        <w:txbxContent>
                          <w:p w14:paraId="7D44A131" w14:textId="77777777" w:rsidR="004F3660" w:rsidRPr="00061D75" w:rsidRDefault="004F3660" w:rsidP="004F3660">
                            <w:pPr>
                              <w:rPr>
                                <w:sz w:val="13"/>
                                <w:szCs w:val="13"/>
                              </w:rPr>
                            </w:pPr>
                            <w:r w:rsidRPr="00061D75">
                              <w:rPr>
                                <w:sz w:val="13"/>
                                <w:szCs w:val="13"/>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433E16" id="_x0000_t202" coordsize="21600,21600" o:spt="202" path="m,l,21600r21600,l21600,xe">
                <v:stroke joinstyle="miter"/>
                <v:path gradientshapeok="t" o:connecttype="rect"/>
              </v:shapetype>
              <v:shape id="Text Box 2" o:spid="_x0000_s1026" type="#_x0000_t202" style="position:absolute;margin-left:354.9pt;margin-top:28.95pt;width:25.25pt;height:1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" fillcolor="white [3201]" stroked="f" strokeweight=".5pt">
                <v:textbox>
                  <w:txbxContent>
                    <w:p w14:paraId="7D44A131" w14:textId="77777777" w:rsidR="004F3660" w:rsidRPr="00061D75" w:rsidRDefault="004F3660" w:rsidP="004F3660">
                      <w:pPr>
                        <w:rPr>
                          <w:sz w:val="13"/>
                          <w:szCs w:val="13"/>
                        </w:rPr>
                      </w:pPr>
                      <w:r w:rsidRPr="00061D75">
                        <w:rPr>
                          <w:sz w:val="13"/>
                          <w:szCs w:val="13"/>
                        </w:rPr>
                        <w:t>No</w:t>
                      </w:r>
                    </w:p>
                  </w:txbxContent>
                </v:textbox>
              </v:shape>
            </w:pict>
          </mc:Fallback>
        </mc:AlternateContent>
      </w:r>
      <w:r w:rsidR="005D6A47" w:rsidRPr="005D6A47">
        <w:t xml:space="preserve"> </w:t>
      </w:r>
      <w:r w:rsidR="005D6A47">
        <w:rPr>
          <w:noProof/>
        </w:rPr>
        <w:drawing>
          <wp:inline distT="0" distB="0" distL="0" distR="0" wp14:anchorId="7031F5D8" wp14:editId="060C42EA">
            <wp:extent cx="5733415" cy="6815455"/>
            <wp:effectExtent l="0" t="0" r="0" b="4445"/>
            <wp:docPr id="9280753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3415" cy="6815455"/>
                    </a:xfrm>
                    <a:prstGeom prst="rect">
                      <a:avLst/>
                    </a:prstGeom>
                    <a:noFill/>
                    <a:ln>
                      <a:noFill/>
                    </a:ln>
                  </pic:spPr>
                </pic:pic>
              </a:graphicData>
            </a:graphic>
          </wp:inline>
        </w:drawing>
      </w:r>
    </w:p>
    <w:p w14:paraId="4326FF20" w14:textId="796869F9" w:rsidR="004F3660" w:rsidRPr="00021BC7" w:rsidRDefault="004F3660" w:rsidP="004F3660"/>
    <w:p w14:paraId="4A164E4F" w14:textId="77777777" w:rsidR="004F3660" w:rsidRPr="00D7616E" w:rsidRDefault="004F3660" w:rsidP="004F3660"/>
    <w:p w14:paraId="54C704D0" w14:textId="77777777" w:rsidR="004F3660" w:rsidRDefault="004F3660" w:rsidP="004F3660">
      <w:pPr>
        <w:spacing w:before="240"/>
      </w:pPr>
    </w:p>
    <w:p w14:paraId="008F0DBF" w14:textId="77777777" w:rsidR="004F3660" w:rsidRDefault="004F3660" w:rsidP="004F3660"/>
    <w:p w14:paraId="0B0EF7C9" w14:textId="50DAF38F" w:rsidR="00476B8D" w:rsidRDefault="00476B8D"/>
    <w:sectPr w:rsidR="00476B8D" w:rsidSect="004F3660">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ptos Display">
    <w:panose1 w:val="020B0004020202020204"/>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78F03ED"/>
    <w:multiLevelType w:val="multilevel"/>
    <w:tmpl w:val="9864DA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16cid:durableId="2543600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Arial&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dtv9wfac9vfxyerawvxvezya0vxp59dtra9&quot;&gt;My EndNote Library&lt;record-ids&gt;&lt;item&gt;143&lt;/item&gt;&lt;item&gt;148&lt;/item&gt;&lt;item&gt;149&lt;/item&gt;&lt;item&gt;150&lt;/item&gt;&lt;item&gt;151&lt;/item&gt;&lt;item&gt;152&lt;/item&gt;&lt;item&gt;153&lt;/item&gt;&lt;item&gt;154&lt;/item&gt;&lt;item&gt;155&lt;/item&gt;&lt;item&gt;156&lt;/item&gt;&lt;item&gt;162&lt;/item&gt;&lt;/record-ids&gt;&lt;/item&gt;&lt;/Libraries&gt;"/>
  </w:docVars>
  <w:rsids>
    <w:rsidRoot w:val="004F3660"/>
    <w:rsid w:val="00016453"/>
    <w:rsid w:val="0003219C"/>
    <w:rsid w:val="000509F3"/>
    <w:rsid w:val="00061D75"/>
    <w:rsid w:val="00082532"/>
    <w:rsid w:val="00097504"/>
    <w:rsid w:val="000F02A4"/>
    <w:rsid w:val="000F1AB0"/>
    <w:rsid w:val="00102A82"/>
    <w:rsid w:val="00134554"/>
    <w:rsid w:val="001748E2"/>
    <w:rsid w:val="001F7C00"/>
    <w:rsid w:val="00203601"/>
    <w:rsid w:val="00212E1A"/>
    <w:rsid w:val="002C5859"/>
    <w:rsid w:val="00383B71"/>
    <w:rsid w:val="003B620D"/>
    <w:rsid w:val="003B68D2"/>
    <w:rsid w:val="00403144"/>
    <w:rsid w:val="004104B1"/>
    <w:rsid w:val="00413F68"/>
    <w:rsid w:val="00433292"/>
    <w:rsid w:val="00437259"/>
    <w:rsid w:val="00473E90"/>
    <w:rsid w:val="00476B8D"/>
    <w:rsid w:val="004F3660"/>
    <w:rsid w:val="005242D8"/>
    <w:rsid w:val="00537523"/>
    <w:rsid w:val="00543AF9"/>
    <w:rsid w:val="00554D83"/>
    <w:rsid w:val="00560508"/>
    <w:rsid w:val="00561968"/>
    <w:rsid w:val="00577E3F"/>
    <w:rsid w:val="00580EC5"/>
    <w:rsid w:val="00595BE2"/>
    <w:rsid w:val="00597296"/>
    <w:rsid w:val="005D6A47"/>
    <w:rsid w:val="00664D40"/>
    <w:rsid w:val="0067525C"/>
    <w:rsid w:val="006F627C"/>
    <w:rsid w:val="00766383"/>
    <w:rsid w:val="0078634B"/>
    <w:rsid w:val="00794743"/>
    <w:rsid w:val="007A347D"/>
    <w:rsid w:val="00803FB2"/>
    <w:rsid w:val="00810580"/>
    <w:rsid w:val="00810734"/>
    <w:rsid w:val="00814C2F"/>
    <w:rsid w:val="008326CC"/>
    <w:rsid w:val="00843048"/>
    <w:rsid w:val="009034AF"/>
    <w:rsid w:val="00956C9A"/>
    <w:rsid w:val="009E04D7"/>
    <w:rsid w:val="00A01565"/>
    <w:rsid w:val="00A11B3F"/>
    <w:rsid w:val="00A44D6B"/>
    <w:rsid w:val="00AB6B50"/>
    <w:rsid w:val="00AC25FC"/>
    <w:rsid w:val="00B34324"/>
    <w:rsid w:val="00B47605"/>
    <w:rsid w:val="00B91F66"/>
    <w:rsid w:val="00BA59F6"/>
    <w:rsid w:val="00C15CBF"/>
    <w:rsid w:val="00C429CA"/>
    <w:rsid w:val="00CB368A"/>
    <w:rsid w:val="00CE3C48"/>
    <w:rsid w:val="00CF58D2"/>
    <w:rsid w:val="00D3331F"/>
    <w:rsid w:val="00D34777"/>
    <w:rsid w:val="00DF0A15"/>
    <w:rsid w:val="00E25A7C"/>
    <w:rsid w:val="00E77B4E"/>
    <w:rsid w:val="00E86700"/>
    <w:rsid w:val="00E9021D"/>
    <w:rsid w:val="00EC34FE"/>
    <w:rsid w:val="00F1710D"/>
    <w:rsid w:val="00F442EA"/>
    <w:rsid w:val="00F50EEB"/>
    <w:rsid w:val="00F553C8"/>
    <w:rsid w:val="00F71F96"/>
    <w:rsid w:val="00FC51BE"/>
    <w:rsid w:val="00FD4ED7"/>
    <w:rsid w:val="00FE6BB3"/>
    <w:rsid w:val="00FF4F4B"/>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178556"/>
  <w15:chartTrackingRefBased/>
  <w15:docId w15:val="{55A25791-BBB8-7C48-A76F-E05D63FF1A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A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D6A47"/>
    <w:rPr>
      <w:rFonts w:ascii="Times New Roman" w:eastAsia="Times New Roman" w:hAnsi="Times New Roman" w:cs="Times New Roman"/>
      <w:kern w:val="0"/>
      <w:lang w:eastAsia="en-GB"/>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
    <w:name w:val="EndNote Bibliography"/>
    <w:basedOn w:val="Normal"/>
    <w:link w:val="EndNoteBibliographyChar"/>
    <w:rsid w:val="004F3660"/>
    <w:rPr>
      <w:rFonts w:ascii="Arial" w:eastAsia="Arial" w:hAnsi="Arial" w:cs="Arial"/>
      <w:sz w:val="22"/>
      <w:szCs w:val="22"/>
      <w:lang w:val="en-GB"/>
    </w:rPr>
  </w:style>
  <w:style w:type="character" w:customStyle="1" w:styleId="EndNoteBibliographyChar">
    <w:name w:val="EndNote Bibliography Char"/>
    <w:basedOn w:val="DefaultParagraphFont"/>
    <w:link w:val="EndNoteBibliography"/>
    <w:rsid w:val="004F3660"/>
    <w:rPr>
      <w:rFonts w:ascii="Arial" w:eastAsia="Arial" w:hAnsi="Arial" w:cs="Arial"/>
      <w:kern w:val="0"/>
      <w:sz w:val="22"/>
      <w:szCs w:val="22"/>
      <w:lang w:val="en-GB" w:eastAsia="en-GB"/>
      <w14:ligatures w14:val="none"/>
    </w:rPr>
  </w:style>
  <w:style w:type="character" w:styleId="CommentReference">
    <w:name w:val="annotation reference"/>
    <w:basedOn w:val="DefaultParagraphFont"/>
    <w:uiPriority w:val="99"/>
    <w:semiHidden/>
    <w:unhideWhenUsed/>
    <w:rsid w:val="004F3660"/>
    <w:rPr>
      <w:sz w:val="16"/>
      <w:szCs w:val="16"/>
    </w:rPr>
  </w:style>
  <w:style w:type="paragraph" w:styleId="CommentText">
    <w:name w:val="annotation text"/>
    <w:basedOn w:val="Normal"/>
    <w:link w:val="CommentTextChar"/>
    <w:uiPriority w:val="99"/>
    <w:unhideWhenUsed/>
    <w:rsid w:val="004F3660"/>
    <w:rPr>
      <w:rFonts w:ascii="Arial" w:eastAsia="Arial" w:hAnsi="Arial" w:cs="Arial"/>
      <w:sz w:val="20"/>
      <w:szCs w:val="20"/>
      <w:lang w:val="en-GB"/>
    </w:rPr>
  </w:style>
  <w:style w:type="character" w:customStyle="1" w:styleId="CommentTextChar">
    <w:name w:val="Comment Text Char"/>
    <w:basedOn w:val="DefaultParagraphFont"/>
    <w:link w:val="CommentText"/>
    <w:uiPriority w:val="99"/>
    <w:rsid w:val="004F3660"/>
    <w:rPr>
      <w:rFonts w:ascii="Arial" w:eastAsia="Arial" w:hAnsi="Arial" w:cs="Arial"/>
      <w:kern w:val="0"/>
      <w:sz w:val="20"/>
      <w:szCs w:val="20"/>
      <w:lang w:val="en-GB" w:eastAsia="en-GB"/>
      <w14:ligatures w14:val="none"/>
    </w:rPr>
  </w:style>
  <w:style w:type="paragraph" w:styleId="Revision">
    <w:name w:val="Revision"/>
    <w:hidden/>
    <w:uiPriority w:val="99"/>
    <w:semiHidden/>
    <w:rsid w:val="00E77B4E"/>
    <w:rPr>
      <w:rFonts w:ascii="Arial" w:eastAsia="Arial" w:hAnsi="Arial" w:cs="Arial"/>
      <w:kern w:val="0"/>
      <w:sz w:val="22"/>
      <w:szCs w:val="22"/>
      <w:lang w:val="en-GB" w:eastAsia="en-GB"/>
      <w14:ligatures w14:val="none"/>
    </w:rPr>
  </w:style>
  <w:style w:type="paragraph" w:customStyle="1" w:styleId="EndNoteBibliographyTitle">
    <w:name w:val="EndNote Bibliography Title"/>
    <w:basedOn w:val="Normal"/>
    <w:link w:val="EndNoteBibliographyTitleChar"/>
    <w:rsid w:val="00577E3F"/>
    <w:pPr>
      <w:spacing w:line="276" w:lineRule="auto"/>
      <w:jc w:val="center"/>
    </w:pPr>
    <w:rPr>
      <w:rFonts w:ascii="Arial" w:eastAsia="Arial" w:hAnsi="Arial" w:cs="Arial"/>
      <w:sz w:val="22"/>
      <w:szCs w:val="22"/>
      <w:lang w:val="en-GB"/>
    </w:rPr>
  </w:style>
  <w:style w:type="character" w:customStyle="1" w:styleId="EndNoteBibliographyTitleChar">
    <w:name w:val="EndNote Bibliography Title Char"/>
    <w:basedOn w:val="DefaultParagraphFont"/>
    <w:link w:val="EndNoteBibliographyTitle"/>
    <w:rsid w:val="00577E3F"/>
    <w:rPr>
      <w:rFonts w:ascii="Arial" w:eastAsia="Arial" w:hAnsi="Arial" w:cs="Arial"/>
      <w:kern w:val="0"/>
      <w:sz w:val="22"/>
      <w:szCs w:val="22"/>
      <w:lang w:val="en-GB"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3606693">
      <w:bodyDiv w:val="1"/>
      <w:marLeft w:val="0"/>
      <w:marRight w:val="0"/>
      <w:marTop w:val="0"/>
      <w:marBottom w:val="0"/>
      <w:divBdr>
        <w:top w:val="none" w:sz="0" w:space="0" w:color="auto"/>
        <w:left w:val="none" w:sz="0" w:space="0" w:color="auto"/>
        <w:bottom w:val="none" w:sz="0" w:space="0" w:color="auto"/>
        <w:right w:val="none" w:sz="0" w:space="0" w:color="auto"/>
      </w:divBdr>
      <w:divsChild>
        <w:div w:id="653484116">
          <w:marLeft w:val="0"/>
          <w:marRight w:val="0"/>
          <w:marTop w:val="0"/>
          <w:marBottom w:val="0"/>
          <w:divBdr>
            <w:top w:val="none" w:sz="0" w:space="0" w:color="auto"/>
            <w:left w:val="none" w:sz="0" w:space="0" w:color="auto"/>
            <w:bottom w:val="none" w:sz="0" w:space="0" w:color="auto"/>
            <w:right w:val="none" w:sz="0" w:space="0" w:color="auto"/>
          </w:divBdr>
        </w:div>
      </w:divsChild>
    </w:div>
    <w:div w:id="871772900">
      <w:bodyDiv w:val="1"/>
      <w:marLeft w:val="0"/>
      <w:marRight w:val="0"/>
      <w:marTop w:val="0"/>
      <w:marBottom w:val="0"/>
      <w:divBdr>
        <w:top w:val="none" w:sz="0" w:space="0" w:color="auto"/>
        <w:left w:val="none" w:sz="0" w:space="0" w:color="auto"/>
        <w:bottom w:val="none" w:sz="0" w:space="0" w:color="auto"/>
        <w:right w:val="none" w:sz="0" w:space="0" w:color="auto"/>
      </w:divBdr>
      <w:divsChild>
        <w:div w:id="630131674">
          <w:marLeft w:val="0"/>
          <w:marRight w:val="0"/>
          <w:marTop w:val="0"/>
          <w:marBottom w:val="0"/>
          <w:divBdr>
            <w:top w:val="none" w:sz="0" w:space="0" w:color="auto"/>
            <w:left w:val="none" w:sz="0" w:space="0" w:color="auto"/>
            <w:bottom w:val="none" w:sz="0" w:space="0" w:color="auto"/>
            <w:right w:val="none" w:sz="0" w:space="0" w:color="auto"/>
          </w:divBdr>
        </w:div>
      </w:divsChild>
    </w:div>
  </w:divs>
  <w:doNotRelyOnCSS/>
  <w:doNotOrganizeInFolder/>
  <w:doNotUseLongFileNames/>
  <w:pixelsPerInch w:val="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annie.wang@mh.org.au" TargetMode="Externa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0982FD-4E55-8B4A-8573-4FFB99F67C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.~WRD0000</Template>
  <TotalTime>39</TotalTime>
  <Pages>13</Pages>
  <Words>4976</Words>
  <Characters>28368</Characters>
  <Application>Microsoft Office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Annie Wang</dc:creator>
  <cp:keywords/>
  <dc:description/>
  <cp:lastModifiedBy>Annie Wang</cp:lastModifiedBy>
  <cp:revision>10</cp:revision>
  <dcterms:created xsi:type="dcterms:W3CDTF">2024-07-09T01:42:00Z</dcterms:created>
  <dcterms:modified xsi:type="dcterms:W3CDTF">2024-07-11T11:43:00Z</dcterms:modified>
</cp:coreProperties>
</file>