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EA1D0" w14:textId="77777777" w:rsidR="00F626E4" w:rsidRPr="00E34C51" w:rsidRDefault="00F626E4" w:rsidP="003016B1">
      <w:pPr>
        <w:jc w:val="center"/>
        <w:rPr>
          <w:rFonts w:ascii="Calibri" w:eastAsia="Calibri" w:hAnsi="Calibri" w:cs="Calibri"/>
          <w:lang w:val="en-US"/>
        </w:rPr>
      </w:pPr>
      <w:r w:rsidRPr="00E34C51">
        <w:rPr>
          <w:rFonts w:ascii="Calibri" w:eastAsia="Calibri" w:hAnsi="Calibri" w:cs="Calibri"/>
          <w:b/>
          <w:lang w:val="en-US"/>
        </w:rPr>
        <w:t>Abnormal breast temperature and cortical enlargement of the axillary lymph nodes through the thermography</w:t>
      </w:r>
    </w:p>
    <w:p w14:paraId="271F40E0" w14:textId="77777777" w:rsidR="00F626E4" w:rsidRPr="00E34C51" w:rsidRDefault="00F626E4" w:rsidP="003016B1">
      <w:pPr>
        <w:jc w:val="center"/>
        <w:rPr>
          <w:lang w:val="en-US"/>
        </w:rPr>
      </w:pPr>
    </w:p>
    <w:p w14:paraId="154A1962" w14:textId="77777777" w:rsidR="00753605" w:rsidRPr="00C70FB5" w:rsidRDefault="00753605" w:rsidP="00753605">
      <w:pPr>
        <w:jc w:val="center"/>
        <w:rPr>
          <w:lang w:val="es-MX"/>
        </w:rPr>
      </w:pPr>
      <w:r w:rsidRPr="00C70FB5">
        <w:rPr>
          <w:lang w:val="es-MX"/>
        </w:rPr>
        <w:t>Francisco-J Renero-C</w:t>
      </w:r>
      <w:r w:rsidRPr="00C70FB5">
        <w:rPr>
          <w:vertAlign w:val="superscript"/>
          <w:lang w:val="es-MX"/>
        </w:rPr>
        <w:t>1</w:t>
      </w:r>
      <w:r w:rsidRPr="00C70FB5">
        <w:rPr>
          <w:lang w:val="es-MX"/>
        </w:rPr>
        <w:t>, Tania-</w:t>
      </w:r>
      <w:proofErr w:type="spellStart"/>
      <w:r w:rsidRPr="00C70FB5">
        <w:rPr>
          <w:lang w:val="es-MX"/>
        </w:rPr>
        <w:t>Cristell</w:t>
      </w:r>
      <w:proofErr w:type="spellEnd"/>
      <w:r w:rsidRPr="00C70FB5">
        <w:rPr>
          <w:lang w:val="es-MX"/>
        </w:rPr>
        <w:t xml:space="preserve"> Martínez-Azmitia</w:t>
      </w:r>
      <w:r w:rsidRPr="00C70FB5">
        <w:rPr>
          <w:vertAlign w:val="superscript"/>
          <w:lang w:val="es-MX"/>
        </w:rPr>
        <w:t>2</w:t>
      </w:r>
    </w:p>
    <w:p w14:paraId="56BC78D3" w14:textId="77777777" w:rsidR="00753605" w:rsidRPr="00C70FB5" w:rsidRDefault="00753605" w:rsidP="00753605">
      <w:pPr>
        <w:jc w:val="center"/>
        <w:rPr>
          <w:lang w:val="es-MX"/>
        </w:rPr>
      </w:pPr>
    </w:p>
    <w:p w14:paraId="177427A6" w14:textId="77777777" w:rsidR="00753605" w:rsidRPr="00C70FB5" w:rsidRDefault="00753605" w:rsidP="00753605">
      <w:pPr>
        <w:jc w:val="center"/>
        <w:rPr>
          <w:lang w:val="es-MX"/>
        </w:rPr>
      </w:pPr>
      <w:r w:rsidRPr="00C70FB5">
        <w:rPr>
          <w:vertAlign w:val="superscript"/>
          <w:lang w:val="es-MX"/>
        </w:rPr>
        <w:t>1</w:t>
      </w:r>
      <w:r>
        <w:rPr>
          <w:lang w:val="es-MX"/>
        </w:rPr>
        <w:t xml:space="preserve">Instituto </w:t>
      </w:r>
      <w:r w:rsidRPr="00C70FB5">
        <w:rPr>
          <w:lang w:val="es-MX"/>
        </w:rPr>
        <w:t>N</w:t>
      </w:r>
      <w:r>
        <w:rPr>
          <w:lang w:val="es-MX"/>
        </w:rPr>
        <w:t xml:space="preserve">acional de </w:t>
      </w:r>
      <w:r w:rsidRPr="00C70FB5">
        <w:rPr>
          <w:lang w:val="es-MX"/>
        </w:rPr>
        <w:t>A</w:t>
      </w:r>
      <w:r>
        <w:rPr>
          <w:lang w:val="es-MX"/>
        </w:rPr>
        <w:t xml:space="preserve">strofísica, Óptica y </w:t>
      </w:r>
      <w:r w:rsidRPr="00C70FB5">
        <w:rPr>
          <w:lang w:val="es-MX"/>
        </w:rPr>
        <w:t>E</w:t>
      </w:r>
      <w:r>
        <w:rPr>
          <w:lang w:val="es-MX"/>
        </w:rPr>
        <w:t>lectrónica (INAOE)</w:t>
      </w:r>
      <w:r w:rsidRPr="00C70FB5">
        <w:rPr>
          <w:lang w:val="es-MX"/>
        </w:rPr>
        <w:t xml:space="preserve">, </w:t>
      </w:r>
      <w:proofErr w:type="spellStart"/>
      <w:r w:rsidRPr="00C70FB5">
        <w:rPr>
          <w:lang w:val="es-MX"/>
        </w:rPr>
        <w:t>Bio</w:t>
      </w:r>
      <w:r>
        <w:rPr>
          <w:lang w:val="es-MX"/>
        </w:rPr>
        <w:t>fotónica</w:t>
      </w:r>
      <w:proofErr w:type="spellEnd"/>
    </w:p>
    <w:p w14:paraId="5E21BB7B" w14:textId="77777777" w:rsidR="00753605" w:rsidRPr="00C70FB5" w:rsidRDefault="00753605" w:rsidP="00753605">
      <w:pPr>
        <w:jc w:val="center"/>
        <w:rPr>
          <w:lang w:val="es-MX"/>
        </w:rPr>
      </w:pPr>
      <w:r w:rsidRPr="00C70FB5">
        <w:rPr>
          <w:lang w:val="es-MX"/>
        </w:rPr>
        <w:t>Luis Enrique Erro No 1. Tonantzintla, Puebla</w:t>
      </w:r>
    </w:p>
    <w:p w14:paraId="4F225605" w14:textId="77777777" w:rsidR="00753605" w:rsidRPr="00C70FB5" w:rsidRDefault="00753605" w:rsidP="00753605">
      <w:pPr>
        <w:jc w:val="center"/>
        <w:rPr>
          <w:lang w:val="es-MX"/>
        </w:rPr>
      </w:pPr>
      <w:r w:rsidRPr="00C70FB5">
        <w:rPr>
          <w:lang w:val="es-MX"/>
        </w:rPr>
        <w:t>72840</w:t>
      </w:r>
    </w:p>
    <w:p w14:paraId="734ACCB7" w14:textId="77777777" w:rsidR="00753605" w:rsidRPr="00C70FB5" w:rsidRDefault="00753605" w:rsidP="00753605">
      <w:pPr>
        <w:jc w:val="center"/>
        <w:rPr>
          <w:lang w:val="es-MX"/>
        </w:rPr>
      </w:pPr>
      <w:r w:rsidRPr="00C70FB5">
        <w:rPr>
          <w:lang w:val="es-MX"/>
        </w:rPr>
        <w:t>México</w:t>
      </w:r>
    </w:p>
    <w:p w14:paraId="179C6C96" w14:textId="77777777" w:rsidR="00753605" w:rsidRPr="00DE39D8" w:rsidRDefault="00000000" w:rsidP="00753605">
      <w:pPr>
        <w:jc w:val="center"/>
        <w:rPr>
          <w:rStyle w:val="Hipervnculo"/>
          <w:lang w:val="es-MX"/>
        </w:rPr>
      </w:pPr>
      <w:hyperlink r:id="rId5" w:history="1">
        <w:r w:rsidR="00753605" w:rsidRPr="00C70FB5">
          <w:rPr>
            <w:rStyle w:val="Hipervnculo"/>
            <w:lang w:val="es-MX"/>
          </w:rPr>
          <w:t>paco@inaoep.mx</w:t>
        </w:r>
      </w:hyperlink>
    </w:p>
    <w:p w14:paraId="742A8211" w14:textId="292FCCD1" w:rsidR="00E353C9" w:rsidRPr="00C70FB5" w:rsidRDefault="00000000" w:rsidP="00E353C9">
      <w:pPr>
        <w:jc w:val="center"/>
        <w:rPr>
          <w:lang w:val="es-MX"/>
        </w:rPr>
      </w:pPr>
      <w:hyperlink r:id="rId6" w:history="1">
        <w:r w:rsidR="00E353C9" w:rsidRPr="0095727D">
          <w:rPr>
            <w:rStyle w:val="Hipervnculo"/>
            <w:lang w:val="es-MX"/>
          </w:rPr>
          <w:t>https://orcid.org/0000-0003-1273-4725</w:t>
        </w:r>
      </w:hyperlink>
      <w:r w:rsidR="00E353C9">
        <w:rPr>
          <w:lang w:val="es-MX"/>
        </w:rPr>
        <w:t xml:space="preserve"> </w:t>
      </w:r>
    </w:p>
    <w:p w14:paraId="66FE83BE" w14:textId="77777777" w:rsidR="00753605" w:rsidRPr="00C70FB5" w:rsidRDefault="00753605" w:rsidP="00753605">
      <w:pPr>
        <w:jc w:val="center"/>
        <w:rPr>
          <w:lang w:val="es-MX"/>
        </w:rPr>
      </w:pPr>
    </w:p>
    <w:p w14:paraId="4D10F447" w14:textId="77777777" w:rsidR="00753605" w:rsidRDefault="00753605" w:rsidP="00753605">
      <w:pPr>
        <w:jc w:val="center"/>
        <w:rPr>
          <w:lang w:val="es-MX"/>
        </w:rPr>
      </w:pPr>
      <w:r w:rsidRPr="00C70FB5">
        <w:rPr>
          <w:vertAlign w:val="superscript"/>
          <w:lang w:val="es-MX"/>
        </w:rPr>
        <w:t>2</w:t>
      </w:r>
      <w:r w:rsidRPr="00C70FB5">
        <w:rPr>
          <w:lang w:val="es-MX"/>
        </w:rPr>
        <w:t>I</w:t>
      </w:r>
      <w:r>
        <w:rPr>
          <w:lang w:val="es-MX"/>
        </w:rPr>
        <w:t xml:space="preserve">nstituto de </w:t>
      </w:r>
      <w:r w:rsidRPr="00C70FB5">
        <w:rPr>
          <w:lang w:val="es-MX"/>
        </w:rPr>
        <w:t>S</w:t>
      </w:r>
      <w:r>
        <w:rPr>
          <w:lang w:val="es-MX"/>
        </w:rPr>
        <w:t xml:space="preserve">eguridad </w:t>
      </w:r>
      <w:r w:rsidRPr="00C70FB5">
        <w:rPr>
          <w:lang w:val="es-MX"/>
        </w:rPr>
        <w:t>S</w:t>
      </w:r>
      <w:r>
        <w:rPr>
          <w:lang w:val="es-MX"/>
        </w:rPr>
        <w:t xml:space="preserve">ocial al </w:t>
      </w:r>
      <w:r w:rsidRPr="00C70FB5">
        <w:rPr>
          <w:lang w:val="es-MX"/>
        </w:rPr>
        <w:t>S</w:t>
      </w:r>
      <w:r>
        <w:rPr>
          <w:lang w:val="es-MX"/>
        </w:rPr>
        <w:t xml:space="preserve">ervicio de los </w:t>
      </w:r>
      <w:r w:rsidRPr="00C70FB5">
        <w:rPr>
          <w:lang w:val="es-MX"/>
        </w:rPr>
        <w:t>T</w:t>
      </w:r>
      <w:r>
        <w:rPr>
          <w:lang w:val="es-MX"/>
        </w:rPr>
        <w:t xml:space="preserve">rabajadores del </w:t>
      </w:r>
      <w:r w:rsidRPr="00C70FB5">
        <w:rPr>
          <w:lang w:val="es-MX"/>
        </w:rPr>
        <w:t>E</w:t>
      </w:r>
      <w:r>
        <w:rPr>
          <w:lang w:val="es-MX"/>
        </w:rPr>
        <w:t xml:space="preserve">stado de </w:t>
      </w:r>
      <w:r w:rsidRPr="00C70FB5">
        <w:rPr>
          <w:lang w:val="es-MX"/>
        </w:rPr>
        <w:t>P</w:t>
      </w:r>
      <w:r>
        <w:rPr>
          <w:lang w:val="es-MX"/>
        </w:rPr>
        <w:t>uebla (ISSSTEP)</w:t>
      </w:r>
    </w:p>
    <w:p w14:paraId="1E7822FC" w14:textId="77777777" w:rsidR="00753605" w:rsidRPr="00C70FB5" w:rsidRDefault="00753605" w:rsidP="00753605">
      <w:pPr>
        <w:jc w:val="center"/>
        <w:rPr>
          <w:lang w:val="es-MX"/>
        </w:rPr>
      </w:pPr>
      <w:r>
        <w:rPr>
          <w:lang w:val="es-MX"/>
        </w:rPr>
        <w:t>Imagenología diagnóstica y terapéutica</w:t>
      </w:r>
    </w:p>
    <w:p w14:paraId="01E2D333" w14:textId="77777777" w:rsidR="00753605" w:rsidRPr="00C70FB5" w:rsidRDefault="00753605" w:rsidP="00753605">
      <w:pPr>
        <w:jc w:val="center"/>
        <w:rPr>
          <w:lang w:val="es-MX"/>
        </w:rPr>
      </w:pPr>
      <w:r w:rsidRPr="00C70FB5">
        <w:rPr>
          <w:lang w:val="es-MX"/>
        </w:rPr>
        <w:t>Avenida Emiliano Zapata 4730. San Baltazar Campeche, Puebla</w:t>
      </w:r>
    </w:p>
    <w:p w14:paraId="75CD0119" w14:textId="77777777" w:rsidR="00753605" w:rsidRPr="00C70FB5" w:rsidRDefault="00753605" w:rsidP="00753605">
      <w:pPr>
        <w:jc w:val="center"/>
        <w:rPr>
          <w:lang w:val="es-MX"/>
        </w:rPr>
      </w:pPr>
      <w:r w:rsidRPr="00C70FB5">
        <w:rPr>
          <w:lang w:val="es-MX"/>
        </w:rPr>
        <w:t>72550</w:t>
      </w:r>
    </w:p>
    <w:p w14:paraId="54B0176A" w14:textId="77777777" w:rsidR="00753605" w:rsidRPr="00C70FB5" w:rsidRDefault="00753605" w:rsidP="00753605">
      <w:pPr>
        <w:jc w:val="center"/>
        <w:rPr>
          <w:lang w:val="es-MX"/>
        </w:rPr>
      </w:pPr>
      <w:r w:rsidRPr="00C70FB5">
        <w:rPr>
          <w:lang w:val="es-MX"/>
        </w:rPr>
        <w:t>México</w:t>
      </w:r>
    </w:p>
    <w:p w14:paraId="027F2DAE" w14:textId="77777777" w:rsidR="00753605" w:rsidRPr="00C70FB5" w:rsidRDefault="00000000" w:rsidP="00753605">
      <w:pPr>
        <w:jc w:val="center"/>
        <w:rPr>
          <w:lang w:val="es-MX"/>
        </w:rPr>
      </w:pPr>
      <w:hyperlink r:id="rId7" w:history="1">
        <w:r w:rsidR="00753605" w:rsidRPr="00C70FB5">
          <w:rPr>
            <w:rStyle w:val="Hipervnculo"/>
            <w:lang w:val="es-MX"/>
          </w:rPr>
          <w:t>criss_mazt@hotmail.com</w:t>
        </w:r>
      </w:hyperlink>
    </w:p>
    <w:p w14:paraId="2414C3A1" w14:textId="77777777" w:rsidR="004E1C93" w:rsidRPr="00974F45" w:rsidRDefault="004E1C93" w:rsidP="00F626E4">
      <w:pPr>
        <w:rPr>
          <w:lang w:val="es-MX"/>
        </w:rPr>
      </w:pPr>
    </w:p>
    <w:p w14:paraId="0E9E93AD" w14:textId="77777777" w:rsidR="004E1C93" w:rsidRPr="00974F45" w:rsidRDefault="004E1C93" w:rsidP="00F626E4">
      <w:pPr>
        <w:rPr>
          <w:lang w:val="es-MX"/>
        </w:rPr>
      </w:pPr>
    </w:p>
    <w:p w14:paraId="34E77ACE" w14:textId="0C6FB586" w:rsidR="008B7701" w:rsidRPr="00384C7D" w:rsidRDefault="00384C7D" w:rsidP="00F626E4">
      <w:r w:rsidRPr="00384C7D">
        <w:rPr>
          <w:b/>
          <w:bCs/>
        </w:rPr>
        <w:t>Key clinical message</w:t>
      </w:r>
    </w:p>
    <w:p w14:paraId="323D98F6" w14:textId="7178379A" w:rsidR="005A47EE" w:rsidRDefault="009238DC" w:rsidP="00E34C51">
      <w:pPr>
        <w:jc w:val="both"/>
      </w:pPr>
      <w:r>
        <w:t>The breast thermography for e</w:t>
      </w:r>
      <w:r w:rsidR="005A47EE" w:rsidRPr="005A47EE">
        <w:t>arly detection of breast sickness in women younger than 50 years.</w:t>
      </w:r>
      <w:r>
        <w:t xml:space="preserve"> The breast thermogram of a woman, in her 20s, showed average temperature difference of about 1°</w:t>
      </w:r>
      <w:r w:rsidR="007368A8">
        <w:t>C,</w:t>
      </w:r>
      <w:r>
        <w:t xml:space="preserve"> while the ultrasound reported a simple cyst with enlarged and vascularized lymph node</w:t>
      </w:r>
      <w:r w:rsidR="007368A8">
        <w:t xml:space="preserve"> in both axillae</w:t>
      </w:r>
      <w:r>
        <w:t>.</w:t>
      </w:r>
    </w:p>
    <w:p w14:paraId="3133124E" w14:textId="77777777" w:rsidR="005A47EE" w:rsidRDefault="005A47EE" w:rsidP="00E34C51">
      <w:pPr>
        <w:jc w:val="both"/>
      </w:pPr>
    </w:p>
    <w:p w14:paraId="15B28CEE" w14:textId="77777777" w:rsidR="00E34C51" w:rsidRDefault="00E34C51" w:rsidP="00E34C51">
      <w:pPr>
        <w:jc w:val="both"/>
      </w:pPr>
    </w:p>
    <w:p w14:paraId="7A94E168" w14:textId="70F0F7A9" w:rsidR="00E34C51" w:rsidRPr="00E34C51" w:rsidRDefault="00E34C51" w:rsidP="00E34C51">
      <w:pPr>
        <w:jc w:val="both"/>
        <w:rPr>
          <w:b/>
          <w:bCs/>
        </w:rPr>
      </w:pPr>
      <w:r w:rsidRPr="00E34C51">
        <w:rPr>
          <w:b/>
          <w:bCs/>
        </w:rPr>
        <w:t>Introduction</w:t>
      </w:r>
    </w:p>
    <w:p w14:paraId="0156FEB8" w14:textId="77777777" w:rsidR="00E34C51" w:rsidRDefault="00E34C51" w:rsidP="00E34C51">
      <w:pPr>
        <w:jc w:val="both"/>
      </w:pPr>
    </w:p>
    <w:p w14:paraId="6FBB2859" w14:textId="77777777" w:rsidR="00E34C51" w:rsidRPr="00DA4424" w:rsidRDefault="00E34C51" w:rsidP="00E34C51">
      <w:pPr>
        <w:jc w:val="both"/>
      </w:pPr>
      <w:r w:rsidRPr="00DA4424">
        <w:t>In all over the world, it was reported that in the 2020, the number of deaths and new cases for breast cancer were 684,996 and 2,262,419, respectively. According to the age, the deaths were 131,322 of women younger than 50 years, and 553,674 of older than 50 years. For the year 2040, it is expected that the number of deaths increase to above 50%, while for the new cases 40%.</w:t>
      </w:r>
      <w:r w:rsidRPr="003B2463">
        <w:rPr>
          <w:sz w:val="24"/>
          <w:szCs w:val="24"/>
          <w:vertAlign w:val="superscript"/>
        </w:rPr>
        <w:t>1</w:t>
      </w:r>
      <w:r w:rsidRPr="00DA4424">
        <w:t xml:space="preserve"> </w:t>
      </w:r>
    </w:p>
    <w:p w14:paraId="7A07E413" w14:textId="2BE48B93" w:rsidR="00E34C51" w:rsidRPr="00DA4424" w:rsidRDefault="00E34C51" w:rsidP="00E34C51">
      <w:pPr>
        <w:jc w:val="both"/>
      </w:pPr>
      <w:r w:rsidRPr="00DA4424">
        <w:tab/>
        <w:t xml:space="preserve">The goal of the health professionals is to prolong life quality. This can be done, identifying, as early as possible, those signs and symptoms that may diminish the health condition </w:t>
      </w:r>
      <w:r w:rsidR="00DE47B9">
        <w:t xml:space="preserve">of </w:t>
      </w:r>
      <w:r w:rsidRPr="00DA4424">
        <w:t>the human being. For the breast cancer, for the women under the 50 years or younger, to whom the mammography is not recommended, and to increase the chance the early detection of abnormalities in the breast, and to reach most of the target population, qualitative and quantitative non-invasive technology is required.</w:t>
      </w:r>
    </w:p>
    <w:p w14:paraId="1BC5B5F3" w14:textId="1234F256" w:rsidR="00E34C51" w:rsidRPr="00DA4424" w:rsidRDefault="00E34C51" w:rsidP="00E34C51">
      <w:pPr>
        <w:jc w:val="both"/>
      </w:pPr>
      <w:r w:rsidRPr="00DA4424">
        <w:tab/>
        <w:t>For the present case, the abnormality was recognized by the thermography of the breast [Appendix A]. It is a non-invasive technology, which promises</w:t>
      </w:r>
      <w:r>
        <w:t xml:space="preserve">, by quantitatively </w:t>
      </w:r>
      <w:r>
        <w:lastRenderedPageBreak/>
        <w:t>comparing physiologically equivalent regions of interest,</w:t>
      </w:r>
      <w:r w:rsidRPr="00DA4424">
        <w:t xml:space="preserve"> to identify early manifestations of the </w:t>
      </w:r>
      <w:r w:rsidR="00DE47B9">
        <w:t xml:space="preserve">abnormal </w:t>
      </w:r>
      <w:r w:rsidRPr="00DA4424">
        <w:t>heat conservation</w:t>
      </w:r>
      <w:r w:rsidR="00DE47B9">
        <w:t>/dissipation</w:t>
      </w:r>
      <w:r w:rsidRPr="00DA4424">
        <w:t xml:space="preserve"> on the study tissue. </w:t>
      </w:r>
    </w:p>
    <w:p w14:paraId="39543599" w14:textId="0AE1E74C" w:rsidR="00E34C51" w:rsidRDefault="00E34C51" w:rsidP="00E34C51">
      <w:pPr>
        <w:jc w:val="both"/>
      </w:pPr>
      <w:r w:rsidRPr="00DA4424">
        <w:tab/>
        <w:t>To follow the health of the breast, independently of the women age, the thermography of the breast may be incorporated into the different visit to the health professionals.</w:t>
      </w:r>
    </w:p>
    <w:p w14:paraId="34FB16F2" w14:textId="77777777" w:rsidR="00E34C51" w:rsidRDefault="00E34C51" w:rsidP="00E34C51">
      <w:pPr>
        <w:jc w:val="both"/>
      </w:pPr>
    </w:p>
    <w:p w14:paraId="279AB955" w14:textId="576820B7" w:rsidR="00E34C51" w:rsidRPr="00E34C51" w:rsidRDefault="00E34C51" w:rsidP="00E34C51">
      <w:pPr>
        <w:jc w:val="both"/>
        <w:rPr>
          <w:b/>
          <w:bCs/>
        </w:rPr>
      </w:pPr>
      <w:r w:rsidRPr="00E34C51">
        <w:rPr>
          <w:b/>
          <w:bCs/>
        </w:rPr>
        <w:t>Case</w:t>
      </w:r>
      <w:r w:rsidR="007A2B5F">
        <w:rPr>
          <w:b/>
          <w:bCs/>
        </w:rPr>
        <w:t xml:space="preserve"> history</w:t>
      </w:r>
    </w:p>
    <w:p w14:paraId="6B7ACDE6" w14:textId="77777777" w:rsidR="00E34C51" w:rsidRDefault="00E34C51" w:rsidP="00E34C51">
      <w:pPr>
        <w:jc w:val="both"/>
      </w:pPr>
    </w:p>
    <w:p w14:paraId="5490BD2D" w14:textId="79654EDF" w:rsidR="007A2B5F" w:rsidRDefault="00E34C51" w:rsidP="00E34C51">
      <w:pPr>
        <w:jc w:val="both"/>
      </w:pPr>
      <w:r w:rsidRPr="00DA4424">
        <w:t>A woman in her 20s signed the informed consent to participate in a campaign for breast thermography. She received all the information about her participation in the campaign, furthermore, all her questions were answered. The thermography was acquired according to the protocol of the American Academy of Thermology.</w:t>
      </w:r>
      <w:r>
        <w:rPr>
          <w:sz w:val="24"/>
          <w:szCs w:val="24"/>
          <w:vertAlign w:val="superscript"/>
        </w:rPr>
        <w:t>2</w:t>
      </w:r>
      <w:r w:rsidRPr="00DA4424">
        <w:t xml:space="preserve"> From her thermogram, it was showed that average temperature difference, between the right and the left breast, was more than 1°C, which is considered abnormal.</w:t>
      </w:r>
      <w:r>
        <w:rPr>
          <w:sz w:val="24"/>
          <w:szCs w:val="24"/>
          <w:vertAlign w:val="superscript"/>
        </w:rPr>
        <w:t>2</w:t>
      </w:r>
      <w:r w:rsidRPr="00DA4424">
        <w:t xml:space="preserve"> </w:t>
      </w:r>
    </w:p>
    <w:p w14:paraId="1CB08E78" w14:textId="77777777" w:rsidR="007A2B5F" w:rsidRDefault="007A2B5F" w:rsidP="00E34C51">
      <w:pPr>
        <w:jc w:val="both"/>
      </w:pPr>
    </w:p>
    <w:p w14:paraId="54233B08" w14:textId="56E3CD12" w:rsidR="007A2B5F" w:rsidRPr="007A2B5F" w:rsidRDefault="007A2B5F" w:rsidP="00E34C51">
      <w:pPr>
        <w:jc w:val="both"/>
        <w:rPr>
          <w:b/>
          <w:bCs/>
        </w:rPr>
      </w:pPr>
      <w:r w:rsidRPr="007A2B5F">
        <w:rPr>
          <w:b/>
          <w:bCs/>
        </w:rPr>
        <w:t>Method</w:t>
      </w:r>
    </w:p>
    <w:p w14:paraId="4E51DE4B" w14:textId="3B135EF3" w:rsidR="00E34C51" w:rsidRDefault="00DE47B9" w:rsidP="00E34C51">
      <w:pPr>
        <w:jc w:val="both"/>
      </w:pPr>
      <w:r>
        <w:t>A</w:t>
      </w:r>
      <w:r w:rsidR="00E34C51" w:rsidRPr="00DA4424">
        <w:t xml:space="preserve"> second thermogram was acquire seven weeks later which results were likely to those of the previous one. In both thermograms, the right breast was hotter than the left one. Under these findings, a breast ultrasound was required. The results showed, in the left breast, a simple cyst of 2.4-millimeter diameter predominant on the superior external quadrant. The lymph nodes on both axillae were abnormal, with diffuse cortical enlargement of 8 and 3 millimetre for the right and the left, respectively. Furthermore, rim blood vessel was observed on both lymph nodes.</w:t>
      </w:r>
    </w:p>
    <w:p w14:paraId="3C8273A3" w14:textId="77777777" w:rsidR="00B47010" w:rsidRDefault="00B47010" w:rsidP="00E34C51">
      <w:pPr>
        <w:jc w:val="both"/>
      </w:pPr>
    </w:p>
    <w:p w14:paraId="584B6B81" w14:textId="3EDD3DD2" w:rsidR="00B47010" w:rsidRPr="00E34C51" w:rsidRDefault="00B47010" w:rsidP="00B47010">
      <w:pPr>
        <w:jc w:val="both"/>
        <w:rPr>
          <w:b/>
          <w:bCs/>
        </w:rPr>
      </w:pPr>
      <w:r w:rsidRPr="00E34C51">
        <w:rPr>
          <w:b/>
          <w:bCs/>
        </w:rPr>
        <w:t xml:space="preserve">Conclusions </w:t>
      </w:r>
      <w:r>
        <w:rPr>
          <w:b/>
          <w:bCs/>
        </w:rPr>
        <w:t>and results</w:t>
      </w:r>
    </w:p>
    <w:p w14:paraId="1CCAB408" w14:textId="77777777" w:rsidR="00B47010" w:rsidRPr="00DA4424" w:rsidRDefault="00B47010" w:rsidP="00E34C51">
      <w:pPr>
        <w:jc w:val="both"/>
      </w:pPr>
    </w:p>
    <w:p w14:paraId="16BE2E4C" w14:textId="409F0ABB" w:rsidR="00E34C51" w:rsidRPr="00DA4424" w:rsidRDefault="00E34C51" w:rsidP="00DE47B9">
      <w:pPr>
        <w:jc w:val="both"/>
      </w:pPr>
      <w:r w:rsidRPr="00DA4424">
        <w:t>The thermography study is directed to compare the heat conservation</w:t>
      </w:r>
      <w:r w:rsidR="009F219A">
        <w:t>/dissipation</w:t>
      </w:r>
      <w:r w:rsidRPr="00DA4424">
        <w:t xml:space="preserve"> between the right and left breasts, which is done by computing the average temperature on the regions of interest (ROI). In this study, the average temperatures were computed on seven ROI, all-over the breast, covering the four quadrants of the breast, the axilla, and the Nipple together with the Aureole (N+A).</w:t>
      </w:r>
    </w:p>
    <w:p w14:paraId="1902D99A" w14:textId="77777777" w:rsidR="00E34C51" w:rsidRPr="00DA4424" w:rsidRDefault="00E34C51" w:rsidP="00E34C51">
      <w:pPr>
        <w:ind w:firstLine="708"/>
        <w:jc w:val="both"/>
      </w:pPr>
      <w:r w:rsidRPr="00DA4424">
        <w:t>The results are despite on table 1. The first column shows the name of ROI, the second and third columns contain the average temperature of each ROI; The average temperature difference (ATD), between the right and left ROI, is shown on the fourth column. It is shown, that the ATD from all-over breast was 0.8°C, which is not statistically significant. However, the ATD from the quadrants Q1, Q3, Q4, and the N+A were equal-greater than 1.0°C, which is considered abnormal</w:t>
      </w:r>
      <w:r>
        <w:t>.</w:t>
      </w:r>
      <w:r>
        <w:rPr>
          <w:sz w:val="24"/>
          <w:szCs w:val="24"/>
          <w:vertAlign w:val="superscript"/>
        </w:rPr>
        <w:t>2</w:t>
      </w:r>
    </w:p>
    <w:p w14:paraId="1D62A112" w14:textId="77777777" w:rsidR="00E34C51" w:rsidRPr="00DA4424" w:rsidRDefault="00E34C51" w:rsidP="00E34C51">
      <w:pPr>
        <w:jc w:val="both"/>
      </w:pPr>
    </w:p>
    <w:p w14:paraId="6BC9E4E3" w14:textId="77777777" w:rsidR="00E34C51" w:rsidRPr="00DA4424" w:rsidRDefault="00E34C51" w:rsidP="00E34C51">
      <w:pPr>
        <w:ind w:left="708"/>
        <w:jc w:val="both"/>
      </w:pPr>
      <w:r w:rsidRPr="00E34C51">
        <w:rPr>
          <w:b/>
          <w:bCs/>
        </w:rPr>
        <w:t>Table 1.</w:t>
      </w:r>
      <w:r w:rsidRPr="00DA4424">
        <w:t xml:space="preserve"> Results from first breast thermogram. The seven regions of interest where the average temperature (AT) was computed. The fourth column shows the average temperature difference between right and left breasts on the seven regions of interest.</w:t>
      </w:r>
    </w:p>
    <w:tbl>
      <w:tblPr>
        <w:tblStyle w:val="Tablaconcuadrcula"/>
        <w:tblW w:w="0" w:type="auto"/>
        <w:tblLook w:val="04A0" w:firstRow="1" w:lastRow="0" w:firstColumn="1" w:lastColumn="0" w:noHBand="0" w:noVBand="1"/>
      </w:tblPr>
      <w:tblGrid>
        <w:gridCol w:w="1980"/>
        <w:gridCol w:w="2268"/>
        <w:gridCol w:w="2268"/>
        <w:gridCol w:w="2312"/>
      </w:tblGrid>
      <w:tr w:rsidR="00E34C51" w:rsidRPr="00DA4424" w14:paraId="4FFAE892" w14:textId="77777777" w:rsidTr="00D6740E">
        <w:tc>
          <w:tcPr>
            <w:tcW w:w="1980" w:type="dxa"/>
          </w:tcPr>
          <w:p w14:paraId="3B5EBEE4" w14:textId="77777777" w:rsidR="00E34C51" w:rsidRPr="00DA4424" w:rsidRDefault="00E34C51" w:rsidP="00E34C51">
            <w:pPr>
              <w:jc w:val="both"/>
            </w:pPr>
            <w:r w:rsidRPr="00DA4424">
              <w:t>Skin tissue</w:t>
            </w:r>
          </w:p>
        </w:tc>
        <w:tc>
          <w:tcPr>
            <w:tcW w:w="2268" w:type="dxa"/>
          </w:tcPr>
          <w:p w14:paraId="3CCE165B" w14:textId="77777777" w:rsidR="00E34C51" w:rsidRPr="00DA4424" w:rsidRDefault="00E34C51" w:rsidP="00E34C51">
            <w:pPr>
              <w:jc w:val="both"/>
            </w:pPr>
            <w:r w:rsidRPr="00DA4424">
              <w:rPr>
                <w:rFonts w:ascii="Helvetica Neue" w:hAnsi="Helvetica Neue"/>
                <w:color w:val="000000"/>
                <w:sz w:val="20"/>
                <w:szCs w:val="20"/>
              </w:rPr>
              <w:t>AT Right (°C)</w:t>
            </w:r>
          </w:p>
        </w:tc>
        <w:tc>
          <w:tcPr>
            <w:tcW w:w="2268" w:type="dxa"/>
          </w:tcPr>
          <w:p w14:paraId="493C7F9E" w14:textId="77777777" w:rsidR="00E34C51" w:rsidRPr="00DA4424" w:rsidRDefault="00E34C51" w:rsidP="00E34C51">
            <w:pPr>
              <w:jc w:val="both"/>
            </w:pPr>
            <w:r w:rsidRPr="00DA4424">
              <w:rPr>
                <w:rFonts w:ascii="Helvetica Neue" w:hAnsi="Helvetica Neue"/>
                <w:color w:val="000000"/>
                <w:sz w:val="20"/>
                <w:szCs w:val="20"/>
              </w:rPr>
              <w:t>AT Left (°C)</w:t>
            </w:r>
          </w:p>
        </w:tc>
        <w:tc>
          <w:tcPr>
            <w:tcW w:w="2312" w:type="dxa"/>
          </w:tcPr>
          <w:p w14:paraId="30F8B315" w14:textId="77777777" w:rsidR="00E34C51" w:rsidRPr="00DA4424" w:rsidRDefault="00E34C51" w:rsidP="00E34C51">
            <w:pPr>
              <w:jc w:val="both"/>
            </w:pPr>
            <w:r w:rsidRPr="00DA4424">
              <w:rPr>
                <w:rFonts w:ascii="Helvetica Neue" w:hAnsi="Helvetica Neue"/>
                <w:color w:val="000000"/>
                <w:sz w:val="20"/>
                <w:szCs w:val="20"/>
              </w:rPr>
              <w:t xml:space="preserve"> AT Difference ATD(°C)</w:t>
            </w:r>
          </w:p>
        </w:tc>
      </w:tr>
      <w:tr w:rsidR="00E34C51" w:rsidRPr="00DA4424" w14:paraId="47AECA6E" w14:textId="77777777" w:rsidTr="00D6740E">
        <w:tc>
          <w:tcPr>
            <w:tcW w:w="1980" w:type="dxa"/>
          </w:tcPr>
          <w:p w14:paraId="67B90EDD" w14:textId="77777777" w:rsidR="00E34C51" w:rsidRPr="00DA4424" w:rsidRDefault="00E34C51" w:rsidP="00E34C51">
            <w:pPr>
              <w:jc w:val="both"/>
            </w:pPr>
            <w:r w:rsidRPr="00DA4424">
              <w:rPr>
                <w:rFonts w:ascii="Helvetica Neue" w:hAnsi="Helvetica Neue"/>
                <w:color w:val="000000"/>
                <w:sz w:val="20"/>
                <w:szCs w:val="20"/>
              </w:rPr>
              <w:t>AT overall</w:t>
            </w:r>
          </w:p>
        </w:tc>
        <w:tc>
          <w:tcPr>
            <w:tcW w:w="2268" w:type="dxa"/>
          </w:tcPr>
          <w:p w14:paraId="417C2EB8" w14:textId="77777777" w:rsidR="00E34C51" w:rsidRPr="00DA4424" w:rsidRDefault="00E34C51" w:rsidP="00E34C51">
            <w:pPr>
              <w:jc w:val="both"/>
            </w:pPr>
            <w:r w:rsidRPr="00DA4424">
              <w:rPr>
                <w:rFonts w:ascii="Helvetica Neue" w:hAnsi="Helvetica Neue"/>
                <w:color w:val="000000"/>
                <w:sz w:val="20"/>
                <w:szCs w:val="20"/>
              </w:rPr>
              <w:t>32.9</w:t>
            </w:r>
          </w:p>
        </w:tc>
        <w:tc>
          <w:tcPr>
            <w:tcW w:w="2268" w:type="dxa"/>
          </w:tcPr>
          <w:p w14:paraId="54191B0A" w14:textId="77777777" w:rsidR="00E34C51" w:rsidRPr="00DA4424" w:rsidRDefault="00E34C51" w:rsidP="00E34C51">
            <w:pPr>
              <w:jc w:val="both"/>
            </w:pPr>
            <w:r w:rsidRPr="00DA4424">
              <w:rPr>
                <w:rFonts w:ascii="Helvetica Neue" w:hAnsi="Helvetica Neue"/>
                <w:color w:val="000000"/>
                <w:sz w:val="20"/>
                <w:szCs w:val="20"/>
              </w:rPr>
              <w:t>32.1</w:t>
            </w:r>
          </w:p>
        </w:tc>
        <w:tc>
          <w:tcPr>
            <w:tcW w:w="2312" w:type="dxa"/>
          </w:tcPr>
          <w:p w14:paraId="622F326F" w14:textId="77777777" w:rsidR="00E34C51" w:rsidRPr="00DA4424" w:rsidRDefault="00E34C51" w:rsidP="00E34C51">
            <w:pPr>
              <w:jc w:val="both"/>
            </w:pPr>
            <w:r w:rsidRPr="00DA4424">
              <w:rPr>
                <w:rFonts w:ascii="Helvetica Neue" w:hAnsi="Helvetica Neue"/>
                <w:color w:val="000000"/>
                <w:sz w:val="20"/>
                <w:szCs w:val="20"/>
              </w:rPr>
              <w:t>0.8</w:t>
            </w:r>
          </w:p>
        </w:tc>
      </w:tr>
      <w:tr w:rsidR="00E34C51" w:rsidRPr="00DA4424" w14:paraId="77F5209A" w14:textId="77777777" w:rsidTr="00D6740E">
        <w:tc>
          <w:tcPr>
            <w:tcW w:w="1980" w:type="dxa"/>
          </w:tcPr>
          <w:p w14:paraId="1798AC57" w14:textId="77777777" w:rsidR="00E34C51" w:rsidRPr="00DA4424" w:rsidRDefault="00E34C51" w:rsidP="00E34C51">
            <w:pPr>
              <w:jc w:val="both"/>
            </w:pPr>
            <w:r w:rsidRPr="00DA4424">
              <w:rPr>
                <w:rFonts w:ascii="Helvetica Neue" w:hAnsi="Helvetica Neue"/>
                <w:color w:val="000000"/>
                <w:sz w:val="20"/>
                <w:szCs w:val="20"/>
              </w:rPr>
              <w:lastRenderedPageBreak/>
              <w:t>Q1 Upper-outer</w:t>
            </w:r>
          </w:p>
        </w:tc>
        <w:tc>
          <w:tcPr>
            <w:tcW w:w="2268" w:type="dxa"/>
          </w:tcPr>
          <w:p w14:paraId="571838EE" w14:textId="77777777" w:rsidR="00E34C51" w:rsidRPr="00DA4424" w:rsidRDefault="00E34C51" w:rsidP="00E34C51">
            <w:pPr>
              <w:jc w:val="both"/>
            </w:pPr>
            <w:r w:rsidRPr="00DA4424">
              <w:rPr>
                <w:rFonts w:ascii="Helvetica Neue" w:hAnsi="Helvetica Neue"/>
                <w:color w:val="000000"/>
                <w:sz w:val="20"/>
                <w:szCs w:val="20"/>
              </w:rPr>
              <w:t>32.7</w:t>
            </w:r>
          </w:p>
        </w:tc>
        <w:tc>
          <w:tcPr>
            <w:tcW w:w="2268" w:type="dxa"/>
          </w:tcPr>
          <w:p w14:paraId="574CEC8F" w14:textId="77777777" w:rsidR="00E34C51" w:rsidRPr="00DA4424" w:rsidRDefault="00E34C51" w:rsidP="00E34C51">
            <w:pPr>
              <w:jc w:val="both"/>
            </w:pPr>
            <w:r w:rsidRPr="00DA4424">
              <w:rPr>
                <w:rFonts w:ascii="Helvetica Neue" w:hAnsi="Helvetica Neue"/>
                <w:color w:val="000000"/>
                <w:sz w:val="20"/>
                <w:szCs w:val="20"/>
              </w:rPr>
              <w:t>31.7</w:t>
            </w:r>
          </w:p>
        </w:tc>
        <w:tc>
          <w:tcPr>
            <w:tcW w:w="2312" w:type="dxa"/>
          </w:tcPr>
          <w:p w14:paraId="3D1C0B95" w14:textId="77777777" w:rsidR="00E34C51" w:rsidRPr="00DA4424" w:rsidRDefault="00E34C51" w:rsidP="00E34C51">
            <w:pPr>
              <w:jc w:val="both"/>
            </w:pPr>
            <w:r w:rsidRPr="00DA4424">
              <w:rPr>
                <w:rFonts w:ascii="Helvetica Neue" w:hAnsi="Helvetica Neue"/>
                <w:color w:val="9C5700"/>
                <w:sz w:val="20"/>
                <w:szCs w:val="20"/>
              </w:rPr>
              <w:t>1.0</w:t>
            </w:r>
          </w:p>
        </w:tc>
      </w:tr>
      <w:tr w:rsidR="00E34C51" w:rsidRPr="00DA4424" w14:paraId="5A4FE73D" w14:textId="77777777" w:rsidTr="00D6740E">
        <w:tc>
          <w:tcPr>
            <w:tcW w:w="1980" w:type="dxa"/>
          </w:tcPr>
          <w:p w14:paraId="11F0AD1C" w14:textId="77777777" w:rsidR="00E34C51" w:rsidRPr="00DA4424" w:rsidRDefault="00E34C51" w:rsidP="00E34C51">
            <w:pPr>
              <w:jc w:val="both"/>
            </w:pPr>
            <w:r w:rsidRPr="00DA4424">
              <w:rPr>
                <w:rFonts w:ascii="Helvetica Neue" w:hAnsi="Helvetica Neue"/>
                <w:color w:val="000000"/>
                <w:sz w:val="20"/>
                <w:szCs w:val="20"/>
              </w:rPr>
              <w:t>Q2 Upper-inner</w:t>
            </w:r>
          </w:p>
        </w:tc>
        <w:tc>
          <w:tcPr>
            <w:tcW w:w="2268" w:type="dxa"/>
          </w:tcPr>
          <w:p w14:paraId="592DB3B5" w14:textId="77777777" w:rsidR="00E34C51" w:rsidRPr="00DA4424" w:rsidRDefault="00E34C51" w:rsidP="00E34C51">
            <w:pPr>
              <w:jc w:val="both"/>
            </w:pPr>
            <w:r w:rsidRPr="00DA4424">
              <w:rPr>
                <w:rFonts w:ascii="Helvetica Neue" w:hAnsi="Helvetica Neue"/>
                <w:color w:val="000000"/>
                <w:sz w:val="20"/>
                <w:szCs w:val="20"/>
              </w:rPr>
              <w:t>32.3</w:t>
            </w:r>
          </w:p>
        </w:tc>
        <w:tc>
          <w:tcPr>
            <w:tcW w:w="2268" w:type="dxa"/>
          </w:tcPr>
          <w:p w14:paraId="49540ADC" w14:textId="77777777" w:rsidR="00E34C51" w:rsidRPr="00DA4424" w:rsidRDefault="00E34C51" w:rsidP="00E34C51">
            <w:pPr>
              <w:jc w:val="both"/>
            </w:pPr>
            <w:r w:rsidRPr="00DA4424">
              <w:rPr>
                <w:rFonts w:ascii="Helvetica Neue" w:hAnsi="Helvetica Neue"/>
                <w:color w:val="000000"/>
                <w:sz w:val="20"/>
                <w:szCs w:val="20"/>
              </w:rPr>
              <w:t>31.8</w:t>
            </w:r>
          </w:p>
        </w:tc>
        <w:tc>
          <w:tcPr>
            <w:tcW w:w="2312" w:type="dxa"/>
          </w:tcPr>
          <w:p w14:paraId="3831672C" w14:textId="77777777" w:rsidR="00E34C51" w:rsidRPr="00DA4424" w:rsidRDefault="00E34C51" w:rsidP="00E34C51">
            <w:pPr>
              <w:jc w:val="both"/>
            </w:pPr>
            <w:r w:rsidRPr="00DA4424">
              <w:rPr>
                <w:rFonts w:ascii="Helvetica Neue" w:hAnsi="Helvetica Neue"/>
                <w:color w:val="000000"/>
                <w:sz w:val="20"/>
                <w:szCs w:val="20"/>
              </w:rPr>
              <w:t>0.5</w:t>
            </w:r>
          </w:p>
        </w:tc>
      </w:tr>
      <w:tr w:rsidR="00E34C51" w:rsidRPr="00DA4424" w14:paraId="19698C37" w14:textId="77777777" w:rsidTr="00D6740E">
        <w:tc>
          <w:tcPr>
            <w:tcW w:w="1980" w:type="dxa"/>
          </w:tcPr>
          <w:p w14:paraId="4666EA59" w14:textId="77777777" w:rsidR="00E34C51" w:rsidRPr="00DA4424" w:rsidRDefault="00E34C51" w:rsidP="00E34C51">
            <w:pPr>
              <w:jc w:val="both"/>
            </w:pPr>
            <w:r w:rsidRPr="00DA4424">
              <w:rPr>
                <w:rFonts w:ascii="Helvetica Neue" w:hAnsi="Helvetica Neue"/>
                <w:color w:val="000000"/>
                <w:sz w:val="20"/>
                <w:szCs w:val="20"/>
              </w:rPr>
              <w:t>Q3 Lower-inner</w:t>
            </w:r>
          </w:p>
        </w:tc>
        <w:tc>
          <w:tcPr>
            <w:tcW w:w="2268" w:type="dxa"/>
          </w:tcPr>
          <w:p w14:paraId="75393457" w14:textId="77777777" w:rsidR="00E34C51" w:rsidRPr="00DA4424" w:rsidRDefault="00E34C51" w:rsidP="00E34C51">
            <w:pPr>
              <w:jc w:val="both"/>
            </w:pPr>
            <w:r w:rsidRPr="00DA4424">
              <w:rPr>
                <w:rFonts w:ascii="Helvetica Neue" w:hAnsi="Helvetica Neue"/>
                <w:color w:val="000000"/>
                <w:sz w:val="20"/>
                <w:szCs w:val="20"/>
              </w:rPr>
              <w:t>33.1</w:t>
            </w:r>
          </w:p>
        </w:tc>
        <w:tc>
          <w:tcPr>
            <w:tcW w:w="2268" w:type="dxa"/>
          </w:tcPr>
          <w:p w14:paraId="2E99EFE8" w14:textId="77777777" w:rsidR="00E34C51" w:rsidRPr="00DA4424" w:rsidRDefault="00E34C51" w:rsidP="00E34C51">
            <w:pPr>
              <w:jc w:val="both"/>
            </w:pPr>
            <w:r w:rsidRPr="00DA4424">
              <w:rPr>
                <w:rFonts w:ascii="Helvetica Neue" w:hAnsi="Helvetica Neue"/>
                <w:color w:val="000000"/>
                <w:sz w:val="20"/>
                <w:szCs w:val="20"/>
              </w:rPr>
              <w:t>32.0</w:t>
            </w:r>
          </w:p>
        </w:tc>
        <w:tc>
          <w:tcPr>
            <w:tcW w:w="2312" w:type="dxa"/>
          </w:tcPr>
          <w:p w14:paraId="62956C53" w14:textId="77777777" w:rsidR="00E34C51" w:rsidRPr="00DA4424" w:rsidRDefault="00E34C51" w:rsidP="00E34C51">
            <w:pPr>
              <w:jc w:val="both"/>
            </w:pPr>
            <w:r w:rsidRPr="00DA4424">
              <w:rPr>
                <w:rFonts w:ascii="Helvetica Neue" w:hAnsi="Helvetica Neue"/>
                <w:color w:val="9C5700"/>
                <w:sz w:val="20"/>
                <w:szCs w:val="20"/>
              </w:rPr>
              <w:t>1.1</w:t>
            </w:r>
          </w:p>
        </w:tc>
      </w:tr>
      <w:tr w:rsidR="00E34C51" w:rsidRPr="00DA4424" w14:paraId="6DF70699" w14:textId="77777777" w:rsidTr="00D6740E">
        <w:tc>
          <w:tcPr>
            <w:tcW w:w="1980" w:type="dxa"/>
          </w:tcPr>
          <w:p w14:paraId="0134C837" w14:textId="77777777" w:rsidR="00E34C51" w:rsidRPr="00DA4424" w:rsidRDefault="00E34C51" w:rsidP="00E34C51">
            <w:pPr>
              <w:jc w:val="both"/>
            </w:pPr>
            <w:r w:rsidRPr="00DA4424">
              <w:rPr>
                <w:rFonts w:ascii="Helvetica Neue" w:hAnsi="Helvetica Neue"/>
                <w:color w:val="000000"/>
                <w:sz w:val="20"/>
                <w:szCs w:val="20"/>
              </w:rPr>
              <w:t>Q4 Lower-outer</w:t>
            </w:r>
          </w:p>
        </w:tc>
        <w:tc>
          <w:tcPr>
            <w:tcW w:w="2268" w:type="dxa"/>
          </w:tcPr>
          <w:p w14:paraId="60F19C3A" w14:textId="77777777" w:rsidR="00E34C51" w:rsidRPr="00DA4424" w:rsidRDefault="00E34C51" w:rsidP="00E34C51">
            <w:pPr>
              <w:jc w:val="both"/>
            </w:pPr>
            <w:r w:rsidRPr="00DA4424">
              <w:rPr>
                <w:rFonts w:ascii="Helvetica Neue" w:hAnsi="Helvetica Neue"/>
                <w:color w:val="000000"/>
                <w:sz w:val="20"/>
                <w:szCs w:val="20"/>
              </w:rPr>
              <w:t>33.2</w:t>
            </w:r>
          </w:p>
        </w:tc>
        <w:tc>
          <w:tcPr>
            <w:tcW w:w="2268" w:type="dxa"/>
          </w:tcPr>
          <w:p w14:paraId="30034A65" w14:textId="77777777" w:rsidR="00E34C51" w:rsidRPr="00DA4424" w:rsidRDefault="00E34C51" w:rsidP="00E34C51">
            <w:pPr>
              <w:jc w:val="both"/>
            </w:pPr>
            <w:r w:rsidRPr="00DA4424">
              <w:rPr>
                <w:rFonts w:ascii="Helvetica Neue" w:hAnsi="Helvetica Neue"/>
                <w:color w:val="000000"/>
                <w:sz w:val="20"/>
                <w:szCs w:val="20"/>
              </w:rPr>
              <w:t>32.0</w:t>
            </w:r>
          </w:p>
        </w:tc>
        <w:tc>
          <w:tcPr>
            <w:tcW w:w="2312" w:type="dxa"/>
          </w:tcPr>
          <w:p w14:paraId="0949C429" w14:textId="77777777" w:rsidR="00E34C51" w:rsidRPr="00DA4424" w:rsidRDefault="00E34C51" w:rsidP="00E34C51">
            <w:pPr>
              <w:jc w:val="both"/>
            </w:pPr>
            <w:r w:rsidRPr="00DA4424">
              <w:rPr>
                <w:rFonts w:ascii="Helvetica Neue" w:hAnsi="Helvetica Neue"/>
                <w:color w:val="9C5700"/>
                <w:sz w:val="20"/>
                <w:szCs w:val="20"/>
              </w:rPr>
              <w:t>1.2</w:t>
            </w:r>
          </w:p>
        </w:tc>
      </w:tr>
      <w:tr w:rsidR="00E34C51" w:rsidRPr="00DA4424" w14:paraId="5C445D5C" w14:textId="77777777" w:rsidTr="00D6740E">
        <w:tc>
          <w:tcPr>
            <w:tcW w:w="1980" w:type="dxa"/>
          </w:tcPr>
          <w:p w14:paraId="38C51424" w14:textId="77777777" w:rsidR="00E34C51" w:rsidRPr="00DA4424" w:rsidRDefault="00E34C51" w:rsidP="00E34C51">
            <w:pPr>
              <w:jc w:val="both"/>
            </w:pPr>
            <w:r w:rsidRPr="00DA4424">
              <w:rPr>
                <w:rFonts w:ascii="Helvetica Neue" w:hAnsi="Helvetica Neue"/>
                <w:color w:val="000000"/>
                <w:sz w:val="20"/>
                <w:szCs w:val="20"/>
              </w:rPr>
              <w:t>Armpit</w:t>
            </w:r>
          </w:p>
        </w:tc>
        <w:tc>
          <w:tcPr>
            <w:tcW w:w="2268" w:type="dxa"/>
          </w:tcPr>
          <w:p w14:paraId="7BA28CF4" w14:textId="77777777" w:rsidR="00E34C51" w:rsidRPr="00DA4424" w:rsidRDefault="00E34C51" w:rsidP="00E34C51">
            <w:pPr>
              <w:jc w:val="both"/>
            </w:pPr>
            <w:r w:rsidRPr="00DA4424">
              <w:rPr>
                <w:rFonts w:ascii="Helvetica Neue" w:hAnsi="Helvetica Neue"/>
                <w:color w:val="000000"/>
                <w:sz w:val="20"/>
                <w:szCs w:val="20"/>
              </w:rPr>
              <w:t>34.4</w:t>
            </w:r>
          </w:p>
        </w:tc>
        <w:tc>
          <w:tcPr>
            <w:tcW w:w="2268" w:type="dxa"/>
          </w:tcPr>
          <w:p w14:paraId="260671B7" w14:textId="77777777" w:rsidR="00E34C51" w:rsidRPr="00DA4424" w:rsidRDefault="00E34C51" w:rsidP="00E34C51">
            <w:pPr>
              <w:jc w:val="both"/>
            </w:pPr>
            <w:r w:rsidRPr="00DA4424">
              <w:rPr>
                <w:rFonts w:ascii="Helvetica Neue" w:hAnsi="Helvetica Neue"/>
                <w:color w:val="000000"/>
                <w:sz w:val="20"/>
                <w:szCs w:val="20"/>
              </w:rPr>
              <w:t>34.0</w:t>
            </w:r>
          </w:p>
        </w:tc>
        <w:tc>
          <w:tcPr>
            <w:tcW w:w="2312" w:type="dxa"/>
          </w:tcPr>
          <w:p w14:paraId="604543BC" w14:textId="77777777" w:rsidR="00E34C51" w:rsidRPr="00DA4424" w:rsidRDefault="00E34C51" w:rsidP="00E34C51">
            <w:pPr>
              <w:jc w:val="both"/>
            </w:pPr>
            <w:r w:rsidRPr="00DA4424">
              <w:rPr>
                <w:rFonts w:ascii="Helvetica Neue" w:hAnsi="Helvetica Neue"/>
                <w:color w:val="000000"/>
                <w:sz w:val="20"/>
                <w:szCs w:val="20"/>
              </w:rPr>
              <w:t>0.4</w:t>
            </w:r>
          </w:p>
        </w:tc>
      </w:tr>
      <w:tr w:rsidR="00E34C51" w:rsidRPr="00DA4424" w14:paraId="0708AB48" w14:textId="77777777" w:rsidTr="00D6740E">
        <w:tc>
          <w:tcPr>
            <w:tcW w:w="1980" w:type="dxa"/>
          </w:tcPr>
          <w:p w14:paraId="45BE7900" w14:textId="77777777" w:rsidR="00E34C51" w:rsidRPr="00DA4424" w:rsidRDefault="00E34C51" w:rsidP="00E34C51">
            <w:pPr>
              <w:jc w:val="both"/>
            </w:pPr>
            <w:r w:rsidRPr="00DA4424">
              <w:rPr>
                <w:rFonts w:ascii="Helvetica Neue" w:hAnsi="Helvetica Neue"/>
                <w:color w:val="000000"/>
                <w:sz w:val="20"/>
                <w:szCs w:val="20"/>
              </w:rPr>
              <w:t xml:space="preserve">AT </w:t>
            </w:r>
            <w:proofErr w:type="spellStart"/>
            <w:r w:rsidRPr="00DA4424">
              <w:rPr>
                <w:rFonts w:ascii="Helvetica Neue" w:hAnsi="Helvetica Neue"/>
                <w:color w:val="000000"/>
                <w:sz w:val="20"/>
                <w:szCs w:val="20"/>
              </w:rPr>
              <w:t>nipple+aureole</w:t>
            </w:r>
            <w:proofErr w:type="spellEnd"/>
          </w:p>
        </w:tc>
        <w:tc>
          <w:tcPr>
            <w:tcW w:w="2268" w:type="dxa"/>
          </w:tcPr>
          <w:p w14:paraId="3734C207" w14:textId="77777777" w:rsidR="00E34C51" w:rsidRPr="00DA4424" w:rsidRDefault="00E34C51" w:rsidP="00E34C51">
            <w:pPr>
              <w:jc w:val="both"/>
            </w:pPr>
            <w:r w:rsidRPr="00DA4424">
              <w:rPr>
                <w:rFonts w:ascii="Helvetica Neue" w:hAnsi="Helvetica Neue"/>
                <w:color w:val="000000"/>
                <w:sz w:val="20"/>
                <w:szCs w:val="20"/>
              </w:rPr>
              <w:t>32.8</w:t>
            </w:r>
          </w:p>
        </w:tc>
        <w:tc>
          <w:tcPr>
            <w:tcW w:w="2268" w:type="dxa"/>
          </w:tcPr>
          <w:p w14:paraId="7E0455E3" w14:textId="77777777" w:rsidR="00E34C51" w:rsidRPr="00DA4424" w:rsidRDefault="00E34C51" w:rsidP="00E34C51">
            <w:pPr>
              <w:jc w:val="both"/>
            </w:pPr>
            <w:r w:rsidRPr="00DA4424">
              <w:rPr>
                <w:rFonts w:ascii="Helvetica Neue" w:hAnsi="Helvetica Neue"/>
                <w:color w:val="000000"/>
                <w:sz w:val="20"/>
                <w:szCs w:val="20"/>
              </w:rPr>
              <w:t>31.6</w:t>
            </w:r>
          </w:p>
        </w:tc>
        <w:tc>
          <w:tcPr>
            <w:tcW w:w="2312" w:type="dxa"/>
          </w:tcPr>
          <w:p w14:paraId="075FF362" w14:textId="77777777" w:rsidR="00E34C51" w:rsidRPr="00DA4424" w:rsidRDefault="00E34C51" w:rsidP="00E34C51">
            <w:pPr>
              <w:jc w:val="both"/>
              <w:rPr>
                <w:rFonts w:ascii="Helvetica Neue" w:hAnsi="Helvetica Neue"/>
                <w:color w:val="9C5700"/>
                <w:sz w:val="20"/>
                <w:szCs w:val="20"/>
              </w:rPr>
            </w:pPr>
            <w:r w:rsidRPr="00DA4424">
              <w:rPr>
                <w:rFonts w:ascii="Helvetica Neue" w:hAnsi="Helvetica Neue"/>
                <w:color w:val="9C5700"/>
                <w:sz w:val="20"/>
                <w:szCs w:val="20"/>
              </w:rPr>
              <w:t>1.2</w:t>
            </w:r>
          </w:p>
        </w:tc>
      </w:tr>
    </w:tbl>
    <w:p w14:paraId="729F90DE" w14:textId="77777777" w:rsidR="00E34C51" w:rsidRPr="00DA4424" w:rsidRDefault="00E34C51" w:rsidP="00E34C51">
      <w:pPr>
        <w:jc w:val="both"/>
      </w:pPr>
    </w:p>
    <w:p w14:paraId="6E8578D3" w14:textId="40F57731" w:rsidR="00E34C51" w:rsidRPr="00DA4424" w:rsidRDefault="00DE47B9" w:rsidP="00E34C51">
      <w:pPr>
        <w:ind w:firstLine="708"/>
        <w:jc w:val="both"/>
      </w:pPr>
      <w:r>
        <w:t>The</w:t>
      </w:r>
      <w:r w:rsidR="00E34C51" w:rsidRPr="00DA4424">
        <w:t xml:space="preserve"> results</w:t>
      </w:r>
      <w:r>
        <w:t>, from the second thermogram</w:t>
      </w:r>
      <w:r w:rsidR="00E34C51" w:rsidRPr="00DA4424">
        <w:t xml:space="preserve">, </w:t>
      </w:r>
      <w:r>
        <w:t xml:space="preserve">are </w:t>
      </w:r>
      <w:r w:rsidR="00E34C51" w:rsidRPr="00DA4424">
        <w:t>displayed in table 2. The fourth column shows ATD, between the right and left ROI. The ATD from all-over breast was still of about 0.8°C. At this time, the ATD from the quadrants Q1, Q2, and the N+A were equal-greater than 1.0°C, which is considered abnormal.</w:t>
      </w:r>
      <w:r w:rsidR="00E34C51">
        <w:rPr>
          <w:sz w:val="24"/>
          <w:szCs w:val="24"/>
          <w:vertAlign w:val="superscript"/>
        </w:rPr>
        <w:t>2</w:t>
      </w:r>
    </w:p>
    <w:p w14:paraId="11793150" w14:textId="77777777" w:rsidR="00E34C51" w:rsidRPr="00DA4424" w:rsidRDefault="00E34C51" w:rsidP="00E34C51">
      <w:pPr>
        <w:jc w:val="both"/>
      </w:pPr>
    </w:p>
    <w:p w14:paraId="71658ADF" w14:textId="77777777" w:rsidR="00E34C51" w:rsidRPr="00DA4424" w:rsidRDefault="00E34C51" w:rsidP="00E34C51">
      <w:pPr>
        <w:ind w:left="708"/>
        <w:jc w:val="both"/>
      </w:pPr>
      <w:r w:rsidRPr="00E34C51">
        <w:rPr>
          <w:b/>
          <w:bCs/>
        </w:rPr>
        <w:t>Table 2.</w:t>
      </w:r>
      <w:r w:rsidRPr="00DA4424">
        <w:t xml:space="preserve"> Results from second breast thermogram, which was took seven weeks after from the first one. </w:t>
      </w:r>
    </w:p>
    <w:tbl>
      <w:tblPr>
        <w:tblStyle w:val="Tablaconcuadrcula"/>
        <w:tblW w:w="0" w:type="auto"/>
        <w:tblLook w:val="04A0" w:firstRow="1" w:lastRow="0" w:firstColumn="1" w:lastColumn="0" w:noHBand="0" w:noVBand="1"/>
      </w:tblPr>
      <w:tblGrid>
        <w:gridCol w:w="1980"/>
        <w:gridCol w:w="2268"/>
        <w:gridCol w:w="2268"/>
        <w:gridCol w:w="2312"/>
      </w:tblGrid>
      <w:tr w:rsidR="00E34C51" w:rsidRPr="00DA4424" w14:paraId="15690B1D" w14:textId="77777777" w:rsidTr="00D6740E">
        <w:tc>
          <w:tcPr>
            <w:tcW w:w="1980" w:type="dxa"/>
          </w:tcPr>
          <w:p w14:paraId="5F8D91C8" w14:textId="77777777" w:rsidR="00E34C51" w:rsidRPr="00DA4424" w:rsidRDefault="00E34C51" w:rsidP="00E34C51">
            <w:pPr>
              <w:jc w:val="both"/>
            </w:pPr>
            <w:r w:rsidRPr="00DA4424">
              <w:t>Skin tissue</w:t>
            </w:r>
          </w:p>
        </w:tc>
        <w:tc>
          <w:tcPr>
            <w:tcW w:w="2268" w:type="dxa"/>
          </w:tcPr>
          <w:p w14:paraId="551EA0C3" w14:textId="77777777" w:rsidR="00E34C51" w:rsidRPr="00DA4424" w:rsidRDefault="00E34C51" w:rsidP="00E34C51">
            <w:pPr>
              <w:jc w:val="both"/>
            </w:pPr>
            <w:r w:rsidRPr="00DA4424">
              <w:rPr>
                <w:rFonts w:ascii="Helvetica Neue" w:hAnsi="Helvetica Neue"/>
                <w:color w:val="000000"/>
                <w:sz w:val="20"/>
                <w:szCs w:val="20"/>
              </w:rPr>
              <w:t>AT Right (°C)</w:t>
            </w:r>
          </w:p>
        </w:tc>
        <w:tc>
          <w:tcPr>
            <w:tcW w:w="2268" w:type="dxa"/>
          </w:tcPr>
          <w:p w14:paraId="130A4364" w14:textId="77777777" w:rsidR="00E34C51" w:rsidRPr="00DA4424" w:rsidRDefault="00E34C51" w:rsidP="00E34C51">
            <w:pPr>
              <w:jc w:val="both"/>
            </w:pPr>
            <w:r w:rsidRPr="00DA4424">
              <w:rPr>
                <w:rFonts w:ascii="Helvetica Neue" w:hAnsi="Helvetica Neue"/>
                <w:color w:val="000000"/>
                <w:sz w:val="20"/>
                <w:szCs w:val="20"/>
              </w:rPr>
              <w:t>AT Left (°C)</w:t>
            </w:r>
          </w:p>
        </w:tc>
        <w:tc>
          <w:tcPr>
            <w:tcW w:w="2312" w:type="dxa"/>
          </w:tcPr>
          <w:p w14:paraId="0BC8120C" w14:textId="77777777" w:rsidR="00E34C51" w:rsidRPr="00DA4424" w:rsidRDefault="00E34C51" w:rsidP="00E34C51">
            <w:pPr>
              <w:jc w:val="both"/>
            </w:pPr>
            <w:r w:rsidRPr="00DA4424">
              <w:rPr>
                <w:rFonts w:ascii="Helvetica Neue" w:hAnsi="Helvetica Neue"/>
                <w:color w:val="000000"/>
                <w:sz w:val="20"/>
                <w:szCs w:val="20"/>
              </w:rPr>
              <w:t>AT Difference ATD(°C)</w:t>
            </w:r>
          </w:p>
        </w:tc>
      </w:tr>
      <w:tr w:rsidR="00E34C51" w:rsidRPr="00DA4424" w14:paraId="039E7D51" w14:textId="77777777" w:rsidTr="00D6740E">
        <w:tc>
          <w:tcPr>
            <w:tcW w:w="1980" w:type="dxa"/>
          </w:tcPr>
          <w:p w14:paraId="79DC0636" w14:textId="77777777" w:rsidR="00E34C51" w:rsidRPr="00DA4424" w:rsidRDefault="00E34C51" w:rsidP="00E34C51">
            <w:pPr>
              <w:jc w:val="both"/>
            </w:pPr>
            <w:r w:rsidRPr="00DA4424">
              <w:rPr>
                <w:rFonts w:ascii="Helvetica Neue" w:hAnsi="Helvetica Neue"/>
                <w:color w:val="000000"/>
                <w:sz w:val="20"/>
                <w:szCs w:val="20"/>
              </w:rPr>
              <w:t>AT overall</w:t>
            </w:r>
          </w:p>
        </w:tc>
        <w:tc>
          <w:tcPr>
            <w:tcW w:w="2268" w:type="dxa"/>
          </w:tcPr>
          <w:p w14:paraId="08E74C0B" w14:textId="77777777" w:rsidR="00E34C51" w:rsidRPr="00DA4424" w:rsidRDefault="00E34C51" w:rsidP="00E34C51">
            <w:pPr>
              <w:jc w:val="both"/>
            </w:pPr>
            <w:r w:rsidRPr="00DA4424">
              <w:rPr>
                <w:rFonts w:ascii="Helvetica Neue" w:hAnsi="Helvetica Neue"/>
                <w:color w:val="000000"/>
                <w:sz w:val="20"/>
                <w:szCs w:val="20"/>
              </w:rPr>
              <w:t>35.3</w:t>
            </w:r>
          </w:p>
        </w:tc>
        <w:tc>
          <w:tcPr>
            <w:tcW w:w="2268" w:type="dxa"/>
          </w:tcPr>
          <w:p w14:paraId="2C5CF061" w14:textId="77777777" w:rsidR="00E34C51" w:rsidRPr="00DA4424" w:rsidRDefault="00E34C51" w:rsidP="00E34C51">
            <w:pPr>
              <w:jc w:val="both"/>
            </w:pPr>
            <w:r w:rsidRPr="00DA4424">
              <w:rPr>
                <w:rFonts w:ascii="Helvetica Neue" w:hAnsi="Helvetica Neue"/>
                <w:color w:val="000000"/>
                <w:sz w:val="20"/>
                <w:szCs w:val="20"/>
              </w:rPr>
              <w:t>34.5</w:t>
            </w:r>
          </w:p>
        </w:tc>
        <w:tc>
          <w:tcPr>
            <w:tcW w:w="2312" w:type="dxa"/>
          </w:tcPr>
          <w:p w14:paraId="047E7D6D" w14:textId="77777777" w:rsidR="00E34C51" w:rsidRPr="00DA4424" w:rsidRDefault="00E34C51" w:rsidP="00E34C51">
            <w:pPr>
              <w:jc w:val="both"/>
            </w:pPr>
            <w:r w:rsidRPr="00DA4424">
              <w:rPr>
                <w:rFonts w:ascii="Helvetica Neue" w:hAnsi="Helvetica Neue"/>
                <w:color w:val="000000"/>
                <w:sz w:val="20"/>
                <w:szCs w:val="20"/>
              </w:rPr>
              <w:t>0.8</w:t>
            </w:r>
          </w:p>
        </w:tc>
      </w:tr>
      <w:tr w:rsidR="00E34C51" w:rsidRPr="00DA4424" w14:paraId="48ED2273" w14:textId="77777777" w:rsidTr="00D6740E">
        <w:tc>
          <w:tcPr>
            <w:tcW w:w="1980" w:type="dxa"/>
          </w:tcPr>
          <w:p w14:paraId="723A412C" w14:textId="77777777" w:rsidR="00E34C51" w:rsidRPr="00DA4424" w:rsidRDefault="00E34C51" w:rsidP="00E34C51">
            <w:pPr>
              <w:jc w:val="both"/>
            </w:pPr>
            <w:r w:rsidRPr="00DA4424">
              <w:rPr>
                <w:rFonts w:ascii="Helvetica Neue" w:hAnsi="Helvetica Neue"/>
                <w:color w:val="000000"/>
                <w:sz w:val="20"/>
                <w:szCs w:val="20"/>
              </w:rPr>
              <w:t>Q1 Upper-outer</w:t>
            </w:r>
          </w:p>
        </w:tc>
        <w:tc>
          <w:tcPr>
            <w:tcW w:w="2268" w:type="dxa"/>
          </w:tcPr>
          <w:p w14:paraId="3FE33064" w14:textId="77777777" w:rsidR="00E34C51" w:rsidRPr="00DA4424" w:rsidRDefault="00E34C51" w:rsidP="00E34C51">
            <w:pPr>
              <w:jc w:val="both"/>
            </w:pPr>
            <w:r w:rsidRPr="00DA4424">
              <w:rPr>
                <w:rFonts w:ascii="Helvetica Neue" w:hAnsi="Helvetica Neue"/>
                <w:color w:val="000000"/>
                <w:sz w:val="20"/>
                <w:szCs w:val="20"/>
              </w:rPr>
              <w:t>35.3</w:t>
            </w:r>
          </w:p>
        </w:tc>
        <w:tc>
          <w:tcPr>
            <w:tcW w:w="2268" w:type="dxa"/>
          </w:tcPr>
          <w:p w14:paraId="09C44C77" w14:textId="77777777" w:rsidR="00E34C51" w:rsidRPr="00DA4424" w:rsidRDefault="00E34C51" w:rsidP="00E34C51">
            <w:pPr>
              <w:jc w:val="both"/>
            </w:pPr>
            <w:r w:rsidRPr="00DA4424">
              <w:rPr>
                <w:rFonts w:ascii="Helvetica Neue" w:hAnsi="Helvetica Neue"/>
                <w:color w:val="000000"/>
                <w:sz w:val="20"/>
                <w:szCs w:val="20"/>
              </w:rPr>
              <w:t>34.3</w:t>
            </w:r>
          </w:p>
        </w:tc>
        <w:tc>
          <w:tcPr>
            <w:tcW w:w="2312" w:type="dxa"/>
          </w:tcPr>
          <w:p w14:paraId="4AB6266E" w14:textId="77777777" w:rsidR="00E34C51" w:rsidRPr="00DA4424" w:rsidRDefault="00E34C51" w:rsidP="00E34C51">
            <w:pPr>
              <w:jc w:val="both"/>
            </w:pPr>
            <w:r w:rsidRPr="00DA4424">
              <w:rPr>
                <w:rFonts w:ascii="Helvetica Neue" w:hAnsi="Helvetica Neue"/>
                <w:color w:val="928003"/>
                <w:sz w:val="20"/>
                <w:szCs w:val="20"/>
              </w:rPr>
              <w:t>1.0</w:t>
            </w:r>
          </w:p>
        </w:tc>
      </w:tr>
      <w:tr w:rsidR="00E34C51" w:rsidRPr="00DA4424" w14:paraId="5255F179" w14:textId="77777777" w:rsidTr="00D6740E">
        <w:tc>
          <w:tcPr>
            <w:tcW w:w="1980" w:type="dxa"/>
          </w:tcPr>
          <w:p w14:paraId="4C4F8379" w14:textId="77777777" w:rsidR="00E34C51" w:rsidRPr="00DA4424" w:rsidRDefault="00E34C51" w:rsidP="00E34C51">
            <w:pPr>
              <w:jc w:val="both"/>
            </w:pPr>
            <w:r w:rsidRPr="00DA4424">
              <w:rPr>
                <w:rFonts w:ascii="Helvetica Neue" w:hAnsi="Helvetica Neue"/>
                <w:color w:val="000000"/>
                <w:sz w:val="20"/>
                <w:szCs w:val="20"/>
              </w:rPr>
              <w:t>Q2 Upper-inner</w:t>
            </w:r>
          </w:p>
        </w:tc>
        <w:tc>
          <w:tcPr>
            <w:tcW w:w="2268" w:type="dxa"/>
          </w:tcPr>
          <w:p w14:paraId="21738FCD" w14:textId="77777777" w:rsidR="00E34C51" w:rsidRPr="00DA4424" w:rsidRDefault="00E34C51" w:rsidP="00E34C51">
            <w:pPr>
              <w:jc w:val="both"/>
            </w:pPr>
            <w:r w:rsidRPr="00DA4424">
              <w:rPr>
                <w:rFonts w:ascii="Helvetica Neue" w:hAnsi="Helvetica Neue"/>
                <w:color w:val="000000"/>
                <w:sz w:val="20"/>
                <w:szCs w:val="20"/>
              </w:rPr>
              <w:t>34.8</w:t>
            </w:r>
          </w:p>
        </w:tc>
        <w:tc>
          <w:tcPr>
            <w:tcW w:w="2268" w:type="dxa"/>
          </w:tcPr>
          <w:p w14:paraId="696072F4" w14:textId="77777777" w:rsidR="00E34C51" w:rsidRPr="00DA4424" w:rsidRDefault="00E34C51" w:rsidP="00E34C51">
            <w:pPr>
              <w:jc w:val="both"/>
            </w:pPr>
            <w:r w:rsidRPr="00DA4424">
              <w:rPr>
                <w:rFonts w:ascii="Helvetica Neue" w:hAnsi="Helvetica Neue"/>
                <w:color w:val="000000"/>
                <w:sz w:val="20"/>
                <w:szCs w:val="20"/>
              </w:rPr>
              <w:t>33.5</w:t>
            </w:r>
          </w:p>
        </w:tc>
        <w:tc>
          <w:tcPr>
            <w:tcW w:w="2312" w:type="dxa"/>
          </w:tcPr>
          <w:p w14:paraId="3426DF6C" w14:textId="77777777" w:rsidR="00E34C51" w:rsidRPr="00DA4424" w:rsidRDefault="00E34C51" w:rsidP="00E34C51">
            <w:pPr>
              <w:jc w:val="both"/>
            </w:pPr>
            <w:r w:rsidRPr="00DA4424">
              <w:rPr>
                <w:rFonts w:ascii="Helvetica Neue" w:hAnsi="Helvetica Neue"/>
                <w:color w:val="9C5700"/>
                <w:sz w:val="20"/>
                <w:szCs w:val="20"/>
              </w:rPr>
              <w:t>1.3</w:t>
            </w:r>
          </w:p>
        </w:tc>
      </w:tr>
      <w:tr w:rsidR="00E34C51" w:rsidRPr="00DA4424" w14:paraId="6A012EC0" w14:textId="77777777" w:rsidTr="00D6740E">
        <w:tc>
          <w:tcPr>
            <w:tcW w:w="1980" w:type="dxa"/>
          </w:tcPr>
          <w:p w14:paraId="461D947C" w14:textId="77777777" w:rsidR="00E34C51" w:rsidRPr="00DA4424" w:rsidRDefault="00E34C51" w:rsidP="00E34C51">
            <w:pPr>
              <w:jc w:val="both"/>
            </w:pPr>
            <w:r w:rsidRPr="00DA4424">
              <w:rPr>
                <w:rFonts w:ascii="Helvetica Neue" w:hAnsi="Helvetica Neue"/>
                <w:color w:val="000000"/>
                <w:sz w:val="20"/>
                <w:szCs w:val="20"/>
              </w:rPr>
              <w:t>Q3 Lower-inner</w:t>
            </w:r>
          </w:p>
        </w:tc>
        <w:tc>
          <w:tcPr>
            <w:tcW w:w="2268" w:type="dxa"/>
          </w:tcPr>
          <w:p w14:paraId="77D6379A" w14:textId="77777777" w:rsidR="00E34C51" w:rsidRPr="00DA4424" w:rsidRDefault="00E34C51" w:rsidP="00E34C51">
            <w:pPr>
              <w:jc w:val="both"/>
            </w:pPr>
            <w:r w:rsidRPr="00DA4424">
              <w:rPr>
                <w:rFonts w:ascii="Helvetica Neue" w:hAnsi="Helvetica Neue"/>
                <w:color w:val="000000"/>
                <w:sz w:val="20"/>
                <w:szCs w:val="20"/>
              </w:rPr>
              <w:t>35.7</w:t>
            </w:r>
          </w:p>
        </w:tc>
        <w:tc>
          <w:tcPr>
            <w:tcW w:w="2268" w:type="dxa"/>
          </w:tcPr>
          <w:p w14:paraId="702017FD" w14:textId="77777777" w:rsidR="00E34C51" w:rsidRPr="00DA4424" w:rsidRDefault="00E34C51" w:rsidP="00E34C51">
            <w:pPr>
              <w:jc w:val="both"/>
            </w:pPr>
            <w:r w:rsidRPr="00DA4424">
              <w:rPr>
                <w:rFonts w:ascii="Helvetica Neue" w:hAnsi="Helvetica Neue"/>
                <w:color w:val="000000"/>
                <w:sz w:val="20"/>
                <w:szCs w:val="20"/>
              </w:rPr>
              <w:t>34.8</w:t>
            </w:r>
          </w:p>
        </w:tc>
        <w:tc>
          <w:tcPr>
            <w:tcW w:w="2312" w:type="dxa"/>
          </w:tcPr>
          <w:p w14:paraId="1A45274B" w14:textId="77777777" w:rsidR="00E34C51" w:rsidRPr="00DA4424" w:rsidRDefault="00E34C51" w:rsidP="00E34C51">
            <w:pPr>
              <w:jc w:val="both"/>
            </w:pPr>
            <w:r w:rsidRPr="00DA4424">
              <w:rPr>
                <w:rFonts w:ascii="Helvetica Neue" w:hAnsi="Helvetica Neue"/>
                <w:color w:val="000000"/>
                <w:sz w:val="20"/>
                <w:szCs w:val="20"/>
              </w:rPr>
              <w:t>0.9</w:t>
            </w:r>
          </w:p>
        </w:tc>
      </w:tr>
      <w:tr w:rsidR="00E34C51" w:rsidRPr="00DA4424" w14:paraId="76F2DD82" w14:textId="77777777" w:rsidTr="00D6740E">
        <w:tc>
          <w:tcPr>
            <w:tcW w:w="1980" w:type="dxa"/>
          </w:tcPr>
          <w:p w14:paraId="4A6B7908" w14:textId="77777777" w:rsidR="00E34C51" w:rsidRPr="00DA4424" w:rsidRDefault="00E34C51" w:rsidP="00E34C51">
            <w:pPr>
              <w:jc w:val="both"/>
            </w:pPr>
            <w:r w:rsidRPr="00DA4424">
              <w:rPr>
                <w:rFonts w:ascii="Helvetica Neue" w:hAnsi="Helvetica Neue"/>
                <w:color w:val="000000"/>
                <w:sz w:val="20"/>
                <w:szCs w:val="20"/>
              </w:rPr>
              <w:t>Q4 Lower-outer</w:t>
            </w:r>
          </w:p>
        </w:tc>
        <w:tc>
          <w:tcPr>
            <w:tcW w:w="2268" w:type="dxa"/>
          </w:tcPr>
          <w:p w14:paraId="180EF65C" w14:textId="77777777" w:rsidR="00E34C51" w:rsidRPr="00DA4424" w:rsidRDefault="00E34C51" w:rsidP="00E34C51">
            <w:pPr>
              <w:jc w:val="both"/>
            </w:pPr>
            <w:r w:rsidRPr="00DA4424">
              <w:rPr>
                <w:rFonts w:ascii="Helvetica Neue" w:hAnsi="Helvetica Neue"/>
                <w:color w:val="000000"/>
                <w:sz w:val="20"/>
                <w:szCs w:val="20"/>
              </w:rPr>
              <w:t>35.7</w:t>
            </w:r>
          </w:p>
        </w:tc>
        <w:tc>
          <w:tcPr>
            <w:tcW w:w="2268" w:type="dxa"/>
          </w:tcPr>
          <w:p w14:paraId="110DE1B8" w14:textId="77777777" w:rsidR="00E34C51" w:rsidRPr="00DA4424" w:rsidRDefault="00E34C51" w:rsidP="00E34C51">
            <w:pPr>
              <w:jc w:val="both"/>
            </w:pPr>
            <w:r w:rsidRPr="00DA4424">
              <w:rPr>
                <w:rFonts w:ascii="Helvetica Neue" w:hAnsi="Helvetica Neue"/>
                <w:color w:val="000000"/>
                <w:sz w:val="20"/>
                <w:szCs w:val="20"/>
              </w:rPr>
              <w:t>35.1</w:t>
            </w:r>
          </w:p>
        </w:tc>
        <w:tc>
          <w:tcPr>
            <w:tcW w:w="2312" w:type="dxa"/>
          </w:tcPr>
          <w:p w14:paraId="5C990F75" w14:textId="77777777" w:rsidR="00E34C51" w:rsidRPr="00DA4424" w:rsidRDefault="00E34C51" w:rsidP="00E34C51">
            <w:pPr>
              <w:jc w:val="both"/>
            </w:pPr>
            <w:r w:rsidRPr="00DA4424">
              <w:rPr>
                <w:rFonts w:ascii="Helvetica Neue" w:hAnsi="Helvetica Neue"/>
                <w:color w:val="000000"/>
                <w:sz w:val="20"/>
                <w:szCs w:val="20"/>
              </w:rPr>
              <w:t>0.5</w:t>
            </w:r>
          </w:p>
        </w:tc>
      </w:tr>
      <w:tr w:rsidR="00E34C51" w:rsidRPr="00DA4424" w14:paraId="017EE47B" w14:textId="77777777" w:rsidTr="00D6740E">
        <w:tc>
          <w:tcPr>
            <w:tcW w:w="1980" w:type="dxa"/>
          </w:tcPr>
          <w:p w14:paraId="5E28B48B" w14:textId="77777777" w:rsidR="00E34C51" w:rsidRPr="00DA4424" w:rsidRDefault="00E34C51" w:rsidP="00E34C51">
            <w:pPr>
              <w:jc w:val="both"/>
            </w:pPr>
            <w:r w:rsidRPr="00DA4424">
              <w:rPr>
                <w:rFonts w:ascii="Helvetica Neue" w:hAnsi="Helvetica Neue"/>
                <w:color w:val="000000"/>
                <w:sz w:val="20"/>
                <w:szCs w:val="20"/>
              </w:rPr>
              <w:t>Armpit</w:t>
            </w:r>
          </w:p>
        </w:tc>
        <w:tc>
          <w:tcPr>
            <w:tcW w:w="2268" w:type="dxa"/>
          </w:tcPr>
          <w:p w14:paraId="5AA31D20" w14:textId="77777777" w:rsidR="00E34C51" w:rsidRPr="00DA4424" w:rsidRDefault="00E34C51" w:rsidP="00E34C51">
            <w:pPr>
              <w:jc w:val="both"/>
            </w:pPr>
            <w:r w:rsidRPr="00DA4424">
              <w:rPr>
                <w:rFonts w:ascii="Helvetica Neue" w:hAnsi="Helvetica Neue"/>
                <w:color w:val="000000"/>
                <w:sz w:val="20"/>
                <w:szCs w:val="20"/>
              </w:rPr>
              <w:t>35.9</w:t>
            </w:r>
          </w:p>
        </w:tc>
        <w:tc>
          <w:tcPr>
            <w:tcW w:w="2268" w:type="dxa"/>
          </w:tcPr>
          <w:p w14:paraId="3EA12C4B" w14:textId="77777777" w:rsidR="00E34C51" w:rsidRPr="00DA4424" w:rsidRDefault="00E34C51" w:rsidP="00E34C51">
            <w:pPr>
              <w:jc w:val="both"/>
            </w:pPr>
            <w:r w:rsidRPr="00DA4424">
              <w:rPr>
                <w:rFonts w:ascii="Helvetica Neue" w:hAnsi="Helvetica Neue"/>
                <w:color w:val="000000"/>
                <w:sz w:val="20"/>
                <w:szCs w:val="20"/>
              </w:rPr>
              <w:t>36.6</w:t>
            </w:r>
          </w:p>
        </w:tc>
        <w:tc>
          <w:tcPr>
            <w:tcW w:w="2312" w:type="dxa"/>
          </w:tcPr>
          <w:p w14:paraId="482D00A7" w14:textId="77777777" w:rsidR="00E34C51" w:rsidRPr="00DA4424" w:rsidRDefault="00E34C51" w:rsidP="00E34C51">
            <w:pPr>
              <w:jc w:val="both"/>
            </w:pPr>
            <w:r w:rsidRPr="00DA4424">
              <w:rPr>
                <w:rFonts w:ascii="Helvetica Neue" w:hAnsi="Helvetica Neue"/>
                <w:color w:val="000000"/>
                <w:sz w:val="20"/>
                <w:szCs w:val="20"/>
              </w:rPr>
              <w:t>-0.7</w:t>
            </w:r>
          </w:p>
        </w:tc>
      </w:tr>
      <w:tr w:rsidR="00E34C51" w:rsidRPr="00DA4424" w14:paraId="5A94D28F" w14:textId="77777777" w:rsidTr="00D6740E">
        <w:tc>
          <w:tcPr>
            <w:tcW w:w="1980" w:type="dxa"/>
          </w:tcPr>
          <w:p w14:paraId="7C10060A" w14:textId="77777777" w:rsidR="00E34C51" w:rsidRPr="00DA4424" w:rsidRDefault="00E34C51" w:rsidP="00E34C51">
            <w:pPr>
              <w:jc w:val="both"/>
            </w:pPr>
            <w:r w:rsidRPr="00DA4424">
              <w:rPr>
                <w:rFonts w:ascii="Helvetica Neue" w:hAnsi="Helvetica Neue"/>
                <w:color w:val="000000"/>
                <w:sz w:val="20"/>
                <w:szCs w:val="20"/>
              </w:rPr>
              <w:t xml:space="preserve">AT </w:t>
            </w:r>
            <w:proofErr w:type="spellStart"/>
            <w:r w:rsidRPr="00DA4424">
              <w:rPr>
                <w:rFonts w:ascii="Helvetica Neue" w:hAnsi="Helvetica Neue"/>
                <w:color w:val="000000"/>
                <w:sz w:val="20"/>
                <w:szCs w:val="20"/>
              </w:rPr>
              <w:t>nipple+aureole</w:t>
            </w:r>
            <w:proofErr w:type="spellEnd"/>
          </w:p>
        </w:tc>
        <w:tc>
          <w:tcPr>
            <w:tcW w:w="2268" w:type="dxa"/>
          </w:tcPr>
          <w:p w14:paraId="0DC4B927" w14:textId="77777777" w:rsidR="00E34C51" w:rsidRPr="00DA4424" w:rsidRDefault="00E34C51" w:rsidP="00E34C51">
            <w:pPr>
              <w:jc w:val="both"/>
            </w:pPr>
            <w:r w:rsidRPr="00DA4424">
              <w:rPr>
                <w:rFonts w:ascii="Helvetica Neue" w:hAnsi="Helvetica Neue"/>
                <w:color w:val="000000"/>
                <w:sz w:val="20"/>
                <w:szCs w:val="20"/>
              </w:rPr>
              <w:t>35.6</w:t>
            </w:r>
          </w:p>
        </w:tc>
        <w:tc>
          <w:tcPr>
            <w:tcW w:w="2268" w:type="dxa"/>
          </w:tcPr>
          <w:p w14:paraId="4EFFD46D" w14:textId="77777777" w:rsidR="00E34C51" w:rsidRPr="00DA4424" w:rsidRDefault="00E34C51" w:rsidP="00E34C51">
            <w:pPr>
              <w:jc w:val="both"/>
            </w:pPr>
            <w:r w:rsidRPr="00DA4424">
              <w:rPr>
                <w:rFonts w:ascii="Helvetica Neue" w:hAnsi="Helvetica Neue"/>
                <w:color w:val="000000"/>
                <w:sz w:val="20"/>
                <w:szCs w:val="20"/>
              </w:rPr>
              <w:t>34.4</w:t>
            </w:r>
          </w:p>
        </w:tc>
        <w:tc>
          <w:tcPr>
            <w:tcW w:w="2312" w:type="dxa"/>
          </w:tcPr>
          <w:p w14:paraId="47852979" w14:textId="77777777" w:rsidR="00E34C51" w:rsidRPr="00DA4424" w:rsidRDefault="00E34C51" w:rsidP="00E34C51">
            <w:pPr>
              <w:jc w:val="both"/>
              <w:rPr>
                <w:rFonts w:ascii="Helvetica Neue" w:hAnsi="Helvetica Neue"/>
                <w:color w:val="9C5700"/>
                <w:sz w:val="20"/>
                <w:szCs w:val="20"/>
              </w:rPr>
            </w:pPr>
            <w:r w:rsidRPr="00DA4424">
              <w:rPr>
                <w:rFonts w:ascii="Helvetica Neue" w:hAnsi="Helvetica Neue"/>
                <w:color w:val="9C5700"/>
                <w:sz w:val="20"/>
                <w:szCs w:val="20"/>
              </w:rPr>
              <w:t>1.2</w:t>
            </w:r>
          </w:p>
        </w:tc>
      </w:tr>
    </w:tbl>
    <w:p w14:paraId="1A5E9C5B" w14:textId="77777777" w:rsidR="00E34C51" w:rsidRPr="00DA4424" w:rsidRDefault="00E34C51" w:rsidP="00E34C51">
      <w:pPr>
        <w:jc w:val="both"/>
      </w:pPr>
    </w:p>
    <w:p w14:paraId="1F97114D" w14:textId="14A47E70" w:rsidR="00DE47B9" w:rsidRDefault="00DE47B9" w:rsidP="009F219A">
      <w:pPr>
        <w:ind w:firstLine="708"/>
        <w:jc w:val="both"/>
      </w:pPr>
      <w:r>
        <w:t>The volunteer</w:t>
      </w:r>
      <w:r w:rsidR="00E34C51" w:rsidRPr="00DA4424">
        <w:t xml:space="preserve"> </w:t>
      </w:r>
      <w:r>
        <w:t>got an</w:t>
      </w:r>
      <w:r w:rsidR="00E34C51" w:rsidRPr="00DA4424">
        <w:t xml:space="preserve"> ultrasound of her breast. The results showed a simple cyst of 2.4-millimeter diameter predominant on the upper-outer quadrant of the left breast (Q1). The lymph nodes. on both axillae, were abnormal, with diffuse cortical enlargement of 8 and 3 millimetre for the right and the left, respectively. Furthermore, rim blood vessel was observed on both lymph nodes. At the time this report was submitted, the woman was attending by the health professional team, where she is receiving all the necessary attentions. </w:t>
      </w:r>
    </w:p>
    <w:p w14:paraId="4B46E8B5" w14:textId="0C450165" w:rsidR="00DE47B9" w:rsidRPr="00846851" w:rsidRDefault="00DE47B9" w:rsidP="00DE47B9">
      <w:pPr>
        <w:ind w:firstLine="708"/>
        <w:jc w:val="both"/>
      </w:pPr>
      <w:r w:rsidRPr="00846851">
        <w:t xml:space="preserve">The volunteer, who participated in the campaign for breast thermography, received information that improved the quality of her life, as she said, thanks to the thermography, I now know that I have health issues </w:t>
      </w:r>
      <w:r w:rsidR="009F219A" w:rsidRPr="00846851">
        <w:t xml:space="preserve">with my breast </w:t>
      </w:r>
      <w:r w:rsidRPr="00846851">
        <w:t xml:space="preserve">to attend with the medical team. </w:t>
      </w:r>
    </w:p>
    <w:p w14:paraId="7A5A4D81" w14:textId="77777777" w:rsidR="00DE47B9" w:rsidRPr="00846851" w:rsidRDefault="00DE47B9" w:rsidP="00DE47B9">
      <w:pPr>
        <w:ind w:firstLine="708"/>
        <w:jc w:val="both"/>
      </w:pPr>
      <w:r w:rsidRPr="00846851">
        <w:t>A more detailed data, and its analysis, is required to study why the hotter breast does not correspond to breast where the cyst is present. Furthermore, to study the axillary average temperature, over some period, requires more cases.</w:t>
      </w:r>
    </w:p>
    <w:p w14:paraId="755C4153" w14:textId="77777777" w:rsidR="00DE47B9" w:rsidRPr="00846851" w:rsidRDefault="00DE47B9" w:rsidP="00DE47B9">
      <w:pPr>
        <w:ind w:firstLine="708"/>
        <w:jc w:val="both"/>
      </w:pPr>
      <w:r w:rsidRPr="00846851">
        <w:t xml:space="preserve">The thermography of the breast may be incorporated as a complement study into standard protocols. </w:t>
      </w:r>
    </w:p>
    <w:p w14:paraId="216C1AA5" w14:textId="05ECE552" w:rsidR="00DE47B9" w:rsidRPr="00DA4424" w:rsidRDefault="00DE47B9" w:rsidP="002A4842">
      <w:pPr>
        <w:ind w:firstLine="708"/>
        <w:jc w:val="both"/>
      </w:pPr>
      <w:r w:rsidRPr="00846851">
        <w:t xml:space="preserve">The </w:t>
      </w:r>
      <w:r w:rsidR="009F219A" w:rsidRPr="00846851">
        <w:t>volunteer</w:t>
      </w:r>
      <w:r w:rsidRPr="00846851">
        <w:t xml:space="preserve"> informed that; she was aware that her both lymph nodes were enlarged; she did not put much attention to that. It was the thermography that provides information about the breast’s health and took pertinent actions. </w:t>
      </w:r>
    </w:p>
    <w:p w14:paraId="02CB42C9" w14:textId="77777777" w:rsidR="00E34C51" w:rsidRDefault="00E34C51" w:rsidP="00E34C51">
      <w:pPr>
        <w:jc w:val="both"/>
      </w:pPr>
    </w:p>
    <w:p w14:paraId="7B981ED1" w14:textId="16E2E8CF" w:rsidR="00E34C51" w:rsidRPr="00E34C51" w:rsidRDefault="00E34C51" w:rsidP="00E34C51">
      <w:pPr>
        <w:jc w:val="both"/>
        <w:rPr>
          <w:b/>
          <w:bCs/>
        </w:rPr>
      </w:pPr>
      <w:r w:rsidRPr="00E34C51">
        <w:rPr>
          <w:b/>
          <w:bCs/>
        </w:rPr>
        <w:t>Discussion</w:t>
      </w:r>
    </w:p>
    <w:p w14:paraId="0DDF91FA" w14:textId="77777777" w:rsidR="00E34C51" w:rsidRDefault="00E34C51" w:rsidP="00E34C51">
      <w:pPr>
        <w:jc w:val="both"/>
      </w:pPr>
    </w:p>
    <w:p w14:paraId="293F3B9E" w14:textId="1A6CE723" w:rsidR="00E34C51" w:rsidRPr="00DA4424" w:rsidRDefault="00E34C51" w:rsidP="00E34C51">
      <w:pPr>
        <w:jc w:val="both"/>
      </w:pPr>
      <w:r w:rsidRPr="00DA4424">
        <w:t>In terms of heat conservation</w:t>
      </w:r>
      <w:r w:rsidR="000C0B23">
        <w:t>/dissipation</w:t>
      </w:r>
      <w:r w:rsidRPr="00DA4424">
        <w:t xml:space="preserve">, which is autonomous physiological process, the thermography technique is useful to compare, objectively, the average temperature at the </w:t>
      </w:r>
      <w:r w:rsidRPr="00DA4424">
        <w:lastRenderedPageBreak/>
        <w:t>different equivalent, physiologically, ROIs. In the breast thermography, it is not appropriate to suppose that the average temperature difference must always be associated to some kind of cancer; it could be aroused from inflammation, infection, trauma, physical issues, or some other.</w:t>
      </w:r>
    </w:p>
    <w:p w14:paraId="79DEDB43" w14:textId="727604B4" w:rsidR="00E34C51" w:rsidRPr="00DA4424" w:rsidRDefault="00E34C51" w:rsidP="00E34C51">
      <w:pPr>
        <w:ind w:firstLine="708"/>
        <w:jc w:val="both"/>
      </w:pPr>
      <w:r w:rsidRPr="00DA4424">
        <w:t>From the case presented here, location of the cyst does not correspond to the hotter ROI, that is, according to the ultrasound study the cyst is predominantly in the quadrant Q1 of the left breast, while, from the thermograms the hotter regions are present in the quadrants Q1, Q2, Q3 and Q4 of the right breast. Another aspect of heat dissipation</w:t>
      </w:r>
      <w:r w:rsidR="000C0B23">
        <w:t>/conservation</w:t>
      </w:r>
      <w:r w:rsidRPr="00DA4424">
        <w:t xml:space="preserve"> is observed in the </w:t>
      </w:r>
      <w:r w:rsidR="000C0B23" w:rsidRPr="00DA4424">
        <w:t>axillae</w:t>
      </w:r>
      <w:r w:rsidRPr="00DA4424">
        <w:t xml:space="preserve">, where, according to the ultrasound study, both lymph nodes were abnormal. However, from the isolated thermograms, the ATD from the </w:t>
      </w:r>
      <w:r>
        <w:t>axillae</w:t>
      </w:r>
      <w:r w:rsidRPr="00DA4424">
        <w:t xml:space="preserve"> are considered normal</w:t>
      </w:r>
      <w:r>
        <w:t>.</w:t>
      </w:r>
      <w:r>
        <w:rPr>
          <w:sz w:val="24"/>
          <w:szCs w:val="24"/>
          <w:vertAlign w:val="superscript"/>
        </w:rPr>
        <w:t>2</w:t>
      </w:r>
      <w:r w:rsidRPr="00DA4424">
        <w:t xml:space="preserve"> To search for evolution of the axillary’s average temperature, arithmetic operations were conducting, between both thermograms, then it can be demonstrated that ATD of the left armpits tends to be hotter than the right. </w:t>
      </w:r>
    </w:p>
    <w:p w14:paraId="758E8263" w14:textId="349F5983" w:rsidR="00E34C51" w:rsidRPr="00DA4424" w:rsidRDefault="00E34C51" w:rsidP="00E34C51">
      <w:pPr>
        <w:ind w:firstLine="708"/>
        <w:jc w:val="both"/>
      </w:pPr>
      <w:r w:rsidRPr="00DA4424">
        <w:t>It is well accepted that the axillary lymph node may be considered the sentinel lymph node for the breast cancer. Once, the lymph node is detected, it is biopsied to identify the cancer type.</w:t>
      </w:r>
      <w:r>
        <w:rPr>
          <w:sz w:val="24"/>
          <w:szCs w:val="24"/>
          <w:vertAlign w:val="superscript"/>
        </w:rPr>
        <w:t>3,4,5,6</w:t>
      </w:r>
      <w:r w:rsidRPr="00DA4424">
        <w:t xml:space="preserve"> However, it seems that, no techniques, nor protocols are reported for its early detection in young women. Thus, that seems that the thermography can be a way to have information of its presence. A series of thermogram protocol must be developed to look for this lymph node.</w:t>
      </w:r>
    </w:p>
    <w:p w14:paraId="1367CAA7" w14:textId="772D0347" w:rsidR="00E34C51" w:rsidRDefault="00E34C51" w:rsidP="00146880">
      <w:pPr>
        <w:ind w:firstLine="708"/>
        <w:jc w:val="both"/>
      </w:pPr>
      <w:r w:rsidRPr="00DA4424">
        <w:t>Most young women are unaware of their breast health, that is, that some signs or symptoms may pass unnoticed even for the health professional team. Thus, the thermography of the breast may be an alternative to have objective information of the breast. Furthermore, the thermography may be incorporated to the available protocols. For example, the Papanikolaou study may be accompanied by a breast thermography. That is not because the cervix cancer has a correlation with breast sickness, it is to provide an “integral” study for the women health.</w:t>
      </w:r>
    </w:p>
    <w:p w14:paraId="7769EEBC" w14:textId="6A7376F6" w:rsidR="00E34C51" w:rsidRDefault="00E34C51" w:rsidP="00146880">
      <w:pPr>
        <w:ind w:firstLine="708"/>
        <w:jc w:val="both"/>
      </w:pPr>
      <w:r w:rsidRPr="00DA4424">
        <w:t xml:space="preserve">The thermography of the breast may provide information to differentiate between benign </w:t>
      </w:r>
      <w:bookmarkStart w:id="0" w:name="_Hlk171578721"/>
      <w:r w:rsidRPr="00DA4424">
        <w:t xml:space="preserve">sickness </w:t>
      </w:r>
      <w:bookmarkEnd w:id="0"/>
      <w:r w:rsidRPr="00DA4424">
        <w:t>to some breast cancer.</w:t>
      </w:r>
      <w:r>
        <w:rPr>
          <w:sz w:val="24"/>
          <w:szCs w:val="24"/>
          <w:vertAlign w:val="superscript"/>
        </w:rPr>
        <w:t xml:space="preserve">7 </w:t>
      </w:r>
    </w:p>
    <w:p w14:paraId="1B6E1DA1" w14:textId="77777777" w:rsidR="00E34C51" w:rsidRDefault="00E34C51" w:rsidP="00E34C51">
      <w:pPr>
        <w:jc w:val="both"/>
      </w:pPr>
    </w:p>
    <w:p w14:paraId="330EBA00" w14:textId="02C6EAC1" w:rsidR="00DE39D8" w:rsidRDefault="00DE39D8" w:rsidP="00E34C51">
      <w:pPr>
        <w:jc w:val="both"/>
        <w:rPr>
          <w:b/>
          <w:bCs/>
        </w:rPr>
      </w:pPr>
      <w:r w:rsidRPr="002A4842">
        <w:rPr>
          <w:b/>
          <w:bCs/>
        </w:rPr>
        <w:t>Authors contributions</w:t>
      </w:r>
    </w:p>
    <w:p w14:paraId="33635CD3" w14:textId="77777777" w:rsidR="002A4842" w:rsidRPr="002A4842" w:rsidRDefault="002A4842" w:rsidP="00E34C51">
      <w:pPr>
        <w:jc w:val="both"/>
        <w:rPr>
          <w:b/>
          <w:bCs/>
        </w:rPr>
      </w:pPr>
    </w:p>
    <w:p w14:paraId="5C1D1A52" w14:textId="6A938BD5" w:rsidR="002A4842" w:rsidRPr="002A4842" w:rsidRDefault="002A4842" w:rsidP="002A4842">
      <w:pPr>
        <w:jc w:val="both"/>
        <w:rPr>
          <w:lang w:val="en-US"/>
        </w:rPr>
      </w:pPr>
      <w:r>
        <w:rPr>
          <w:lang w:val="en-US"/>
        </w:rPr>
        <w:t xml:space="preserve">Francisco-J </w:t>
      </w:r>
      <w:r w:rsidRPr="002A4842">
        <w:rPr>
          <w:lang w:val="en-US"/>
        </w:rPr>
        <w:t>Renero</w:t>
      </w:r>
      <w:r>
        <w:rPr>
          <w:lang w:val="en-US"/>
        </w:rPr>
        <w:t xml:space="preserve">-C: </w:t>
      </w:r>
      <w:r w:rsidRPr="002A4842">
        <w:rPr>
          <w:lang w:val="en-US"/>
        </w:rPr>
        <w:t>Conceptualization – data curation – formal analysis – investigation – methodology – project administration – writing original draft – writing review and editing.</w:t>
      </w:r>
    </w:p>
    <w:p w14:paraId="6387AFB4" w14:textId="77777777" w:rsidR="002A4842" w:rsidRPr="002A4842" w:rsidRDefault="002A4842" w:rsidP="002A4842">
      <w:pPr>
        <w:jc w:val="both"/>
        <w:rPr>
          <w:lang w:val="en-US"/>
        </w:rPr>
      </w:pPr>
    </w:p>
    <w:p w14:paraId="4497D73C" w14:textId="6E1C26A7" w:rsidR="002A4842" w:rsidRPr="002A4842" w:rsidRDefault="002A4842" w:rsidP="002A4842">
      <w:pPr>
        <w:jc w:val="both"/>
        <w:rPr>
          <w:lang w:val="es-MX"/>
        </w:rPr>
      </w:pPr>
      <w:r>
        <w:rPr>
          <w:lang w:val="en-US"/>
        </w:rPr>
        <w:t xml:space="preserve">Tania-Cristell </w:t>
      </w:r>
      <w:r w:rsidRPr="002A4842">
        <w:rPr>
          <w:lang w:val="es-MX"/>
        </w:rPr>
        <w:t>Martínez</w:t>
      </w:r>
      <w:r>
        <w:rPr>
          <w:lang w:val="es-MX"/>
        </w:rPr>
        <w:t>-</w:t>
      </w:r>
      <w:proofErr w:type="spellStart"/>
      <w:r>
        <w:rPr>
          <w:lang w:val="es-MX"/>
        </w:rPr>
        <w:t>Azmitia</w:t>
      </w:r>
      <w:proofErr w:type="spellEnd"/>
      <w:r>
        <w:rPr>
          <w:lang w:val="es-MX"/>
        </w:rPr>
        <w:t xml:space="preserve">: </w:t>
      </w:r>
      <w:r w:rsidRPr="002A4842">
        <w:t xml:space="preserve">Conceptualization – supervision – validation </w:t>
      </w:r>
    </w:p>
    <w:p w14:paraId="18971BFA" w14:textId="77777777" w:rsidR="00DE39D8" w:rsidRDefault="00DE39D8" w:rsidP="00E34C51">
      <w:pPr>
        <w:jc w:val="both"/>
      </w:pPr>
    </w:p>
    <w:p w14:paraId="132D0625" w14:textId="77777777" w:rsidR="00DE39D8" w:rsidRDefault="00DE39D8" w:rsidP="00E34C51">
      <w:pPr>
        <w:jc w:val="both"/>
      </w:pPr>
    </w:p>
    <w:p w14:paraId="12C73C11" w14:textId="3360C211" w:rsidR="00E34C51" w:rsidRPr="00E34C51" w:rsidRDefault="00E34C51" w:rsidP="00E34C51">
      <w:pPr>
        <w:jc w:val="both"/>
        <w:rPr>
          <w:b/>
          <w:bCs/>
        </w:rPr>
      </w:pPr>
      <w:r w:rsidRPr="00E34C51">
        <w:rPr>
          <w:b/>
          <w:bCs/>
        </w:rPr>
        <w:t>References</w:t>
      </w:r>
    </w:p>
    <w:p w14:paraId="7B800A8F" w14:textId="77777777" w:rsidR="00E34C51" w:rsidRDefault="00E34C51" w:rsidP="00E34C51">
      <w:pPr>
        <w:jc w:val="both"/>
      </w:pPr>
    </w:p>
    <w:p w14:paraId="7D0287DB" w14:textId="77777777" w:rsidR="00E34C51" w:rsidRPr="009B22E2" w:rsidRDefault="00E34C51" w:rsidP="00E34C51">
      <w:pPr>
        <w:pStyle w:val="Prrafodelista"/>
        <w:numPr>
          <w:ilvl w:val="0"/>
          <w:numId w:val="1"/>
        </w:numPr>
        <w:spacing w:line="278" w:lineRule="auto"/>
        <w:jc w:val="both"/>
      </w:pPr>
      <w:r w:rsidRPr="009B22E2">
        <w:t xml:space="preserve">Arnold M, Morgan E, </w:t>
      </w:r>
      <w:proofErr w:type="spellStart"/>
      <w:r w:rsidRPr="009B22E2">
        <w:t>Rumgay</w:t>
      </w:r>
      <w:proofErr w:type="spellEnd"/>
      <w:r w:rsidRPr="009B22E2">
        <w:t xml:space="preserve"> H, </w:t>
      </w:r>
      <w:proofErr w:type="spellStart"/>
      <w:r w:rsidRPr="009B22E2">
        <w:t>AlMafra</w:t>
      </w:r>
      <w:proofErr w:type="spellEnd"/>
      <w:r w:rsidRPr="009B22E2">
        <w:t xml:space="preserve"> A, Singh D, </w:t>
      </w:r>
      <w:proofErr w:type="spellStart"/>
      <w:r w:rsidRPr="009B22E2">
        <w:t>Laversanne</w:t>
      </w:r>
      <w:proofErr w:type="spellEnd"/>
      <w:r w:rsidRPr="009B22E2">
        <w:t xml:space="preserve"> M, </w:t>
      </w:r>
      <w:proofErr w:type="spellStart"/>
      <w:r w:rsidRPr="009B22E2">
        <w:t>Vignat</w:t>
      </w:r>
      <w:proofErr w:type="spellEnd"/>
      <w:r w:rsidRPr="009B22E2">
        <w:t xml:space="preserve"> J, Gralow JR, Cardoso F, </w:t>
      </w:r>
      <w:proofErr w:type="spellStart"/>
      <w:r w:rsidRPr="009B22E2">
        <w:t>Siesling</w:t>
      </w:r>
      <w:proofErr w:type="spellEnd"/>
      <w:r w:rsidRPr="009B22E2">
        <w:t xml:space="preserve"> S, </w:t>
      </w:r>
      <w:proofErr w:type="spellStart"/>
      <w:r w:rsidRPr="009B22E2">
        <w:t>Soerjomataram</w:t>
      </w:r>
      <w:proofErr w:type="spellEnd"/>
      <w:r w:rsidRPr="009B22E2">
        <w:t xml:space="preserve"> I. Current and future burden of breast cancer: Global statistics for 2020 and 2040. The Breast. </w:t>
      </w:r>
      <w:proofErr w:type="gramStart"/>
      <w:r w:rsidRPr="009B22E2">
        <w:t>2022;66:15</w:t>
      </w:r>
      <w:proofErr w:type="gramEnd"/>
      <w:r w:rsidRPr="009B22E2">
        <w:t>. [accessed June 17, 2024]. Available from https://doi.org/10.1016/j.breast.2022.08.010.</w:t>
      </w:r>
    </w:p>
    <w:p w14:paraId="6522CBFA" w14:textId="77777777" w:rsidR="00E34C51" w:rsidRPr="009B22E2" w:rsidRDefault="00E34C51" w:rsidP="00E34C51">
      <w:pPr>
        <w:pStyle w:val="Prrafodelista"/>
        <w:numPr>
          <w:ilvl w:val="0"/>
          <w:numId w:val="1"/>
        </w:numPr>
        <w:spacing w:line="278" w:lineRule="auto"/>
        <w:jc w:val="both"/>
      </w:pPr>
      <w:r w:rsidRPr="009B22E2">
        <w:lastRenderedPageBreak/>
        <w:t>American Academy of Thermology, A Guidelines for Breast Thermology: Greenville, SC; 2021; [Accessed May 1, 2024].  Available from https://aathermology.org/wp-content/uploads/2018/04/AAT-Breast-Guidelines-2021v2.pdf</w:t>
      </w:r>
    </w:p>
    <w:p w14:paraId="02F8138F" w14:textId="77777777" w:rsidR="00E34C51" w:rsidRPr="009B22E2" w:rsidRDefault="00E34C51" w:rsidP="00E34C51">
      <w:pPr>
        <w:pStyle w:val="Prrafodelista"/>
        <w:numPr>
          <w:ilvl w:val="0"/>
          <w:numId w:val="1"/>
        </w:numPr>
        <w:spacing w:line="278" w:lineRule="auto"/>
        <w:jc w:val="both"/>
      </w:pPr>
      <w:r w:rsidRPr="009B22E2">
        <w:t xml:space="preserve">Chen MY, Gillanders WE. Staging of the Axilla in Breast Cancer and the Evolving Role of Axillary Ultrasound. Breast Cancer (Dove Med Press). </w:t>
      </w:r>
      <w:proofErr w:type="gramStart"/>
      <w:r w:rsidRPr="009B22E2">
        <w:t>2021;13:311</w:t>
      </w:r>
      <w:proofErr w:type="gramEnd"/>
      <w:r w:rsidRPr="009B22E2">
        <w:t xml:space="preserve">.  [Accessed June 10, 2024] Available from </w:t>
      </w:r>
      <w:hyperlink r:id="rId8" w:history="1">
        <w:r w:rsidRPr="009B22E2">
          <w:rPr>
            <w:rStyle w:val="Hipervnculo"/>
            <w:color w:val="auto"/>
          </w:rPr>
          <w:t>https://doi.org/10.2147/BCTT.S273039</w:t>
        </w:r>
      </w:hyperlink>
    </w:p>
    <w:p w14:paraId="02131158" w14:textId="77777777" w:rsidR="00E34C51" w:rsidRPr="009B22E2" w:rsidRDefault="00E34C51" w:rsidP="00E34C51">
      <w:pPr>
        <w:pStyle w:val="Prrafodelista"/>
        <w:numPr>
          <w:ilvl w:val="0"/>
          <w:numId w:val="1"/>
        </w:numPr>
        <w:spacing w:line="278" w:lineRule="auto"/>
        <w:jc w:val="both"/>
      </w:pPr>
      <w:r w:rsidRPr="009B22E2">
        <w:t xml:space="preserve">Yadav S.K., Bharath S., Sharma D, Srivastava A, Jha CK, Agarwal G, Khadka S, Singh M, Shekhar S, Goyal A. A systematic review and meta-analysis of diagnostic performance of fluorescein-guided sentinel lymph node biopsy in early breast cancer. Breast Cancer Res Treat. </w:t>
      </w:r>
      <w:proofErr w:type="gramStart"/>
      <w:r w:rsidRPr="009B22E2">
        <w:t>2024;66:15</w:t>
      </w:r>
      <w:proofErr w:type="gramEnd"/>
      <w:r w:rsidRPr="009B22E2">
        <w:t xml:space="preserve">. [Accessed June 5, 2024]. Available from </w:t>
      </w:r>
      <w:hyperlink r:id="rId9" w:history="1">
        <w:r w:rsidRPr="009B22E2">
          <w:rPr>
            <w:rStyle w:val="Hipervnculo"/>
            <w:color w:val="auto"/>
          </w:rPr>
          <w:t>https://doi.org/10.1007/s10549-024-07310-0</w:t>
        </w:r>
      </w:hyperlink>
      <w:r w:rsidRPr="009B22E2">
        <w:t xml:space="preserve"> </w:t>
      </w:r>
    </w:p>
    <w:p w14:paraId="308D1FE2" w14:textId="77777777" w:rsidR="00E34C51" w:rsidRPr="009B22E2" w:rsidRDefault="00E34C51" w:rsidP="00E34C51">
      <w:pPr>
        <w:pStyle w:val="Prrafodelista"/>
        <w:numPr>
          <w:ilvl w:val="0"/>
          <w:numId w:val="1"/>
        </w:numPr>
        <w:spacing w:line="278" w:lineRule="auto"/>
        <w:jc w:val="both"/>
      </w:pPr>
      <w:r w:rsidRPr="009B22E2">
        <w:t xml:space="preserve">Yang L, Zhao X, Yang L, Chang L, Cao C, Xiaolong L, Wang Q, Song Z. A new prediction nomogram of non-sentinel lymph node metastasis in cT1-2 breast cancer patients with positive sentinel lymph nodes. Sci Rep. </w:t>
      </w:r>
      <w:proofErr w:type="gramStart"/>
      <w:r w:rsidRPr="009B22E2">
        <w:t>2024;14:9596</w:t>
      </w:r>
      <w:proofErr w:type="gramEnd"/>
      <w:r w:rsidRPr="009B22E2">
        <w:t xml:space="preserve">. [Accessed June 5, 2024]. Available from </w:t>
      </w:r>
      <w:hyperlink r:id="rId10" w:history="1">
        <w:r w:rsidRPr="009B22E2">
          <w:rPr>
            <w:rStyle w:val="Hipervnculo"/>
            <w:color w:val="auto"/>
          </w:rPr>
          <w:t>https://doi.org/10.1038/s41598-024-60198-0</w:t>
        </w:r>
      </w:hyperlink>
      <w:r w:rsidRPr="009B22E2">
        <w:t xml:space="preserve"> </w:t>
      </w:r>
    </w:p>
    <w:p w14:paraId="310CF372" w14:textId="77777777" w:rsidR="00E34C51" w:rsidRPr="009B22E2" w:rsidRDefault="00E34C51" w:rsidP="00E34C51">
      <w:pPr>
        <w:pStyle w:val="Prrafodelista"/>
        <w:numPr>
          <w:ilvl w:val="0"/>
          <w:numId w:val="1"/>
        </w:numPr>
        <w:spacing w:line="278" w:lineRule="auto"/>
        <w:jc w:val="both"/>
        <w:rPr>
          <w:rStyle w:val="Hipervnculo"/>
          <w:color w:val="auto"/>
          <w:u w:val="none"/>
        </w:rPr>
      </w:pPr>
      <w:r w:rsidRPr="009B22E2">
        <w:t xml:space="preserve">Abel F, Landsmann A, Hejduk P, Ruppert C, Borkowski K, </w:t>
      </w:r>
      <w:proofErr w:type="spellStart"/>
      <w:r w:rsidRPr="009B22E2">
        <w:t>Ciritsis</w:t>
      </w:r>
      <w:proofErr w:type="spellEnd"/>
      <w:r w:rsidRPr="009B22E2">
        <w:t xml:space="preserve"> A, Rossi C, Boss A. Detecting Abnormal Axillary Lymph Nodes on Mammograms Using a Deep Convolutional Neural Network. Diagnostics. 2022;12(6):1347. [Accessed June 12, 2024]. Available from </w:t>
      </w:r>
      <w:hyperlink r:id="rId11" w:history="1">
        <w:r w:rsidRPr="009B22E2">
          <w:rPr>
            <w:rStyle w:val="Hipervnculo"/>
            <w:color w:val="auto"/>
          </w:rPr>
          <w:t>https://doi.org/10.3390/diagnostics12061347</w:t>
        </w:r>
      </w:hyperlink>
    </w:p>
    <w:p w14:paraId="58E42026" w14:textId="77777777" w:rsidR="00E34C51" w:rsidRPr="009B22E2" w:rsidRDefault="00E34C51" w:rsidP="00E34C51">
      <w:pPr>
        <w:pStyle w:val="Prrafodelista"/>
        <w:numPr>
          <w:ilvl w:val="0"/>
          <w:numId w:val="1"/>
        </w:numPr>
        <w:spacing w:line="278" w:lineRule="auto"/>
        <w:jc w:val="both"/>
      </w:pPr>
      <w:proofErr w:type="spellStart"/>
      <w:r w:rsidRPr="009B22E2">
        <w:t>Stachs</w:t>
      </w:r>
      <w:proofErr w:type="spellEnd"/>
      <w:r w:rsidRPr="009B22E2">
        <w:t xml:space="preserve"> A, </w:t>
      </w:r>
      <w:proofErr w:type="spellStart"/>
      <w:r w:rsidRPr="009B22E2">
        <w:t>Stubert</w:t>
      </w:r>
      <w:proofErr w:type="spellEnd"/>
      <w:r w:rsidRPr="009B22E2">
        <w:t xml:space="preserve"> J, Reimer T, Hartmann S. Benign Breast Disease in Women. </w:t>
      </w:r>
      <w:proofErr w:type="spellStart"/>
      <w:r w:rsidRPr="009B22E2">
        <w:t>Dtsch</w:t>
      </w:r>
      <w:proofErr w:type="spellEnd"/>
      <w:r w:rsidRPr="009B22E2">
        <w:t xml:space="preserve"> </w:t>
      </w:r>
      <w:proofErr w:type="spellStart"/>
      <w:r w:rsidRPr="009B22E2">
        <w:t>Arztebl</w:t>
      </w:r>
      <w:proofErr w:type="spellEnd"/>
      <w:r w:rsidRPr="009B22E2">
        <w:t xml:space="preserve"> Int. </w:t>
      </w:r>
      <w:proofErr w:type="gramStart"/>
      <w:r w:rsidRPr="009B22E2">
        <w:t>2019;116:565</w:t>
      </w:r>
      <w:proofErr w:type="gramEnd"/>
      <w:r w:rsidRPr="009B22E2">
        <w:t>. [Accessed June 17, 2024]. Available from https://doi.org/10.3238/arztebl.2019.056</w:t>
      </w:r>
    </w:p>
    <w:p w14:paraId="05B6123B" w14:textId="77777777" w:rsidR="00E34C51" w:rsidRDefault="00E34C51" w:rsidP="00E34C51"/>
    <w:p w14:paraId="3EC56DDE" w14:textId="77777777" w:rsidR="00E34C51" w:rsidRDefault="00E34C51" w:rsidP="00E34C51"/>
    <w:p w14:paraId="6570FDA6" w14:textId="77777777" w:rsidR="00974F45" w:rsidRPr="00974F45" w:rsidRDefault="00974F45" w:rsidP="00974F45">
      <w:pPr>
        <w:spacing w:after="160" w:line="278" w:lineRule="auto"/>
        <w:jc w:val="both"/>
        <w:rPr>
          <w:rFonts w:asciiTheme="minorHAnsi" w:eastAsiaTheme="minorHAnsi" w:hAnsiTheme="minorHAnsi" w:cstheme="minorBidi"/>
          <w:b/>
          <w:bCs/>
          <w:kern w:val="2"/>
          <w:sz w:val="24"/>
          <w:szCs w:val="24"/>
          <w:lang w:val="en-US" w:eastAsia="en-US"/>
          <w14:ligatures w14:val="standardContextual"/>
        </w:rPr>
      </w:pPr>
      <w:r w:rsidRPr="00974F45">
        <w:rPr>
          <w:rFonts w:asciiTheme="minorHAnsi" w:eastAsiaTheme="minorHAnsi" w:hAnsiTheme="minorHAnsi" w:cstheme="minorBidi"/>
          <w:b/>
          <w:bCs/>
          <w:kern w:val="2"/>
          <w:sz w:val="24"/>
          <w:szCs w:val="24"/>
          <w:lang w:val="en-US" w:eastAsia="en-US"/>
          <w14:ligatures w14:val="standardContextual"/>
        </w:rPr>
        <w:t>Appendix A</w:t>
      </w:r>
    </w:p>
    <w:p w14:paraId="3ABFC0F7" w14:textId="77777777" w:rsidR="00974F45" w:rsidRPr="00974F45" w:rsidRDefault="00974F45" w:rsidP="00974F45">
      <w:pPr>
        <w:spacing w:after="160" w:line="278" w:lineRule="auto"/>
        <w:jc w:val="both"/>
        <w:rPr>
          <w:rFonts w:asciiTheme="minorHAnsi" w:eastAsiaTheme="minorHAnsi" w:hAnsiTheme="minorHAnsi" w:cstheme="minorBidi"/>
          <w:kern w:val="2"/>
          <w:sz w:val="24"/>
          <w:szCs w:val="24"/>
          <w:lang w:val="en-US" w:eastAsia="en-US"/>
          <w14:ligatures w14:val="standardContextual"/>
        </w:rPr>
      </w:pPr>
      <w:r w:rsidRPr="00974F45">
        <w:rPr>
          <w:rFonts w:asciiTheme="minorHAnsi" w:eastAsiaTheme="minorHAnsi" w:hAnsiTheme="minorHAnsi" w:cstheme="minorBidi"/>
          <w:kern w:val="2"/>
          <w:sz w:val="24"/>
          <w:szCs w:val="24"/>
          <w:lang w:val="en-US" w:eastAsia="en-US"/>
          <w14:ligatures w14:val="standardContextual"/>
        </w:rPr>
        <w:t>The thermography is a technique for recording thermal radiation from the study region. This technology does not emit any type of signals, it is based on meshes of thermal radiation sensors, the electronics of the device convert the thermal radiation, coming from each pixel, into temperature values which are stored in a digital file. The temperature values are displayed as a thermal map in false color which is called the thermogram.</w:t>
      </w:r>
    </w:p>
    <w:p w14:paraId="13361BBF" w14:textId="5EBF2165" w:rsidR="00974F45" w:rsidRPr="00974F45" w:rsidRDefault="00974F45" w:rsidP="00974F45">
      <w:pPr>
        <w:spacing w:after="160" w:line="278" w:lineRule="auto"/>
        <w:rPr>
          <w:rFonts w:asciiTheme="minorHAnsi" w:eastAsiaTheme="minorHAnsi" w:hAnsiTheme="minorHAnsi" w:cstheme="minorBidi"/>
          <w:kern w:val="2"/>
          <w:sz w:val="24"/>
          <w:szCs w:val="24"/>
          <w:lang w:val="en-US" w:eastAsia="en-US"/>
          <w14:ligatures w14:val="standardContextual"/>
        </w:rPr>
      </w:pPr>
      <w:r w:rsidRPr="00974F45">
        <w:rPr>
          <w:rFonts w:asciiTheme="minorHAnsi" w:eastAsiaTheme="minorHAnsi" w:hAnsiTheme="minorHAnsi" w:cstheme="minorBidi"/>
          <w:kern w:val="2"/>
          <w:sz w:val="24"/>
          <w:szCs w:val="24"/>
          <w:lang w:val="en-US" w:eastAsia="en-US"/>
          <w14:ligatures w14:val="standardContextual"/>
        </w:rPr>
        <w:t>.</w:t>
      </w:r>
    </w:p>
    <w:p w14:paraId="558BF0A5" w14:textId="4AF96AB8" w:rsidR="00974F45" w:rsidRPr="00974F45" w:rsidRDefault="00974F45" w:rsidP="00974F45">
      <w:pPr>
        <w:rPr>
          <w:lang w:val="en-US"/>
        </w:rPr>
      </w:pPr>
      <w:r w:rsidRPr="00974F45">
        <w:rPr>
          <w:lang w:val="en-US"/>
        </w:rPr>
        <w:t>.</w:t>
      </w:r>
    </w:p>
    <w:p w14:paraId="421341F7" w14:textId="77777777" w:rsidR="00E34C51" w:rsidRPr="00974F45" w:rsidRDefault="00E34C51" w:rsidP="00E34C51">
      <w:pPr>
        <w:rPr>
          <w:lang w:val="en-US"/>
        </w:rPr>
      </w:pPr>
    </w:p>
    <w:sectPr w:rsidR="00E34C51" w:rsidRPr="00974F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Neue">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823CF9"/>
    <w:multiLevelType w:val="hybridMultilevel"/>
    <w:tmpl w:val="710432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36591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6E4"/>
    <w:rsid w:val="0002393B"/>
    <w:rsid w:val="000C0B23"/>
    <w:rsid w:val="00146880"/>
    <w:rsid w:val="00186DD8"/>
    <w:rsid w:val="002A4842"/>
    <w:rsid w:val="003016B1"/>
    <w:rsid w:val="00384C7D"/>
    <w:rsid w:val="004E1C93"/>
    <w:rsid w:val="005A47EE"/>
    <w:rsid w:val="005A735C"/>
    <w:rsid w:val="00731607"/>
    <w:rsid w:val="007368A8"/>
    <w:rsid w:val="00753605"/>
    <w:rsid w:val="007A2B5F"/>
    <w:rsid w:val="00846851"/>
    <w:rsid w:val="008B7701"/>
    <w:rsid w:val="009238DC"/>
    <w:rsid w:val="00974F45"/>
    <w:rsid w:val="009F219A"/>
    <w:rsid w:val="00A030F7"/>
    <w:rsid w:val="00B47010"/>
    <w:rsid w:val="00DE39D8"/>
    <w:rsid w:val="00DE47B9"/>
    <w:rsid w:val="00E34C51"/>
    <w:rsid w:val="00E353C9"/>
    <w:rsid w:val="00EA0BA8"/>
    <w:rsid w:val="00ED2573"/>
    <w:rsid w:val="00F626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E3352"/>
  <w15:chartTrackingRefBased/>
  <w15:docId w15:val="{7DFA28B8-2C91-47AA-A7FD-AA13EE16C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E4"/>
    <w:pPr>
      <w:spacing w:after="0" w:line="276" w:lineRule="auto"/>
    </w:pPr>
    <w:rPr>
      <w:rFonts w:ascii="Arial" w:eastAsia="Arial" w:hAnsi="Arial" w:cs="Arial"/>
      <w:kern w:val="0"/>
      <w:sz w:val="22"/>
      <w:szCs w:val="22"/>
      <w:lang w:val="en-GB" w:eastAsia="en-GB"/>
      <w14:ligatures w14:val="none"/>
    </w:rPr>
  </w:style>
  <w:style w:type="paragraph" w:styleId="Ttulo1">
    <w:name w:val="heading 1"/>
    <w:basedOn w:val="Normal"/>
    <w:next w:val="Normal"/>
    <w:link w:val="Ttulo1Car"/>
    <w:uiPriority w:val="9"/>
    <w:qFormat/>
    <w:rsid w:val="00F626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626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626E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626E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626E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626E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626E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626E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626E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26E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626E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626E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626E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626E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626E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626E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626E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626E4"/>
    <w:rPr>
      <w:rFonts w:eastAsiaTheme="majorEastAsia" w:cstheme="majorBidi"/>
      <w:color w:val="272727" w:themeColor="text1" w:themeTint="D8"/>
    </w:rPr>
  </w:style>
  <w:style w:type="paragraph" w:styleId="Ttulo">
    <w:name w:val="Title"/>
    <w:basedOn w:val="Normal"/>
    <w:next w:val="Normal"/>
    <w:link w:val="TtuloCar"/>
    <w:uiPriority w:val="10"/>
    <w:qFormat/>
    <w:rsid w:val="00F626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626E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626E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626E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626E4"/>
    <w:pPr>
      <w:spacing w:before="160"/>
      <w:jc w:val="center"/>
    </w:pPr>
    <w:rPr>
      <w:i/>
      <w:iCs/>
      <w:color w:val="404040" w:themeColor="text1" w:themeTint="BF"/>
    </w:rPr>
  </w:style>
  <w:style w:type="character" w:customStyle="1" w:styleId="CitaCar">
    <w:name w:val="Cita Car"/>
    <w:basedOn w:val="Fuentedeprrafopredeter"/>
    <w:link w:val="Cita"/>
    <w:uiPriority w:val="29"/>
    <w:rsid w:val="00F626E4"/>
    <w:rPr>
      <w:i/>
      <w:iCs/>
      <w:color w:val="404040" w:themeColor="text1" w:themeTint="BF"/>
    </w:rPr>
  </w:style>
  <w:style w:type="paragraph" w:styleId="Prrafodelista">
    <w:name w:val="List Paragraph"/>
    <w:basedOn w:val="Normal"/>
    <w:uiPriority w:val="34"/>
    <w:qFormat/>
    <w:rsid w:val="00F626E4"/>
    <w:pPr>
      <w:ind w:left="720"/>
      <w:contextualSpacing/>
    </w:pPr>
  </w:style>
  <w:style w:type="character" w:styleId="nfasisintenso">
    <w:name w:val="Intense Emphasis"/>
    <w:basedOn w:val="Fuentedeprrafopredeter"/>
    <w:uiPriority w:val="21"/>
    <w:qFormat/>
    <w:rsid w:val="00F626E4"/>
    <w:rPr>
      <w:i/>
      <w:iCs/>
      <w:color w:val="0F4761" w:themeColor="accent1" w:themeShade="BF"/>
    </w:rPr>
  </w:style>
  <w:style w:type="paragraph" w:styleId="Citadestacada">
    <w:name w:val="Intense Quote"/>
    <w:basedOn w:val="Normal"/>
    <w:next w:val="Normal"/>
    <w:link w:val="CitadestacadaCar"/>
    <w:uiPriority w:val="30"/>
    <w:qFormat/>
    <w:rsid w:val="00F62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626E4"/>
    <w:rPr>
      <w:i/>
      <w:iCs/>
      <w:color w:val="0F4761" w:themeColor="accent1" w:themeShade="BF"/>
    </w:rPr>
  </w:style>
  <w:style w:type="character" w:styleId="Referenciaintensa">
    <w:name w:val="Intense Reference"/>
    <w:basedOn w:val="Fuentedeprrafopredeter"/>
    <w:uiPriority w:val="32"/>
    <w:qFormat/>
    <w:rsid w:val="00F626E4"/>
    <w:rPr>
      <w:b/>
      <w:bCs/>
      <w:smallCaps/>
      <w:color w:val="0F4761" w:themeColor="accent1" w:themeShade="BF"/>
      <w:spacing w:val="5"/>
    </w:rPr>
  </w:style>
  <w:style w:type="character" w:styleId="Hipervnculo">
    <w:name w:val="Hyperlink"/>
    <w:basedOn w:val="Fuentedeprrafopredeter"/>
    <w:uiPriority w:val="99"/>
    <w:unhideWhenUsed/>
    <w:rsid w:val="00F626E4"/>
    <w:rPr>
      <w:color w:val="467886" w:themeColor="hyperlink"/>
      <w:u w:val="single"/>
    </w:rPr>
  </w:style>
  <w:style w:type="character" w:styleId="Mencinsinresolver">
    <w:name w:val="Unresolved Mention"/>
    <w:basedOn w:val="Fuentedeprrafopredeter"/>
    <w:uiPriority w:val="99"/>
    <w:semiHidden/>
    <w:unhideWhenUsed/>
    <w:rsid w:val="00F626E4"/>
    <w:rPr>
      <w:color w:val="605E5C"/>
      <w:shd w:val="clear" w:color="auto" w:fill="E1DFDD"/>
    </w:rPr>
  </w:style>
  <w:style w:type="table" w:styleId="Tablaconcuadrcula">
    <w:name w:val="Table Grid"/>
    <w:basedOn w:val="Tablanormal"/>
    <w:uiPriority w:val="39"/>
    <w:rsid w:val="00E34C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47/BCTT.S27303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riss_mazt@hot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cid.org/0000-0003-1273-4725" TargetMode="External"/><Relationship Id="rId11" Type="http://schemas.openxmlformats.org/officeDocument/2006/relationships/hyperlink" Target="https://doi.org/10.3390/diagnostics12061347" TargetMode="External"/><Relationship Id="rId5" Type="http://schemas.openxmlformats.org/officeDocument/2006/relationships/hyperlink" Target="mailto:paco@inaoep.mx" TargetMode="External"/><Relationship Id="rId10" Type="http://schemas.openxmlformats.org/officeDocument/2006/relationships/hyperlink" Target="https://doi.org/10.1038/s41598-024-60198-0" TargetMode="External"/><Relationship Id="rId4" Type="http://schemas.openxmlformats.org/officeDocument/2006/relationships/webSettings" Target="webSettings.xml"/><Relationship Id="rId9" Type="http://schemas.openxmlformats.org/officeDocument/2006/relationships/hyperlink" Target="https://doi.org/10.1007/s10549-024-07310-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1390</TotalTime>
  <Pages>5</Pages>
  <Words>1884</Words>
  <Characters>10362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Renero</dc:creator>
  <cp:keywords/>
  <dc:description/>
  <cp:lastModifiedBy>Francisco Renero</cp:lastModifiedBy>
  <cp:revision>17</cp:revision>
  <dcterms:created xsi:type="dcterms:W3CDTF">2024-07-11T13:59:00Z</dcterms:created>
  <dcterms:modified xsi:type="dcterms:W3CDTF">2024-07-18T16:16:00Z</dcterms:modified>
</cp:coreProperties>
</file>