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95663" w14:textId="77777777" w:rsidR="00D06651" w:rsidRDefault="00D06651" w:rsidP="00D06651">
      <w:pPr>
        <w:spacing w:after="0" w:line="240" w:lineRule="auto"/>
        <w:rPr>
          <w:rFonts w:eastAsia="Times New Roman" w:cstheme="minorHAnsi"/>
          <w:b/>
          <w:bCs/>
          <w:color w:val="000000"/>
          <w:kern w:val="0"/>
          <w:lang w:eastAsia="en-GB"/>
          <w14:ligatures w14:val="none"/>
        </w:rPr>
      </w:pPr>
      <w:r w:rsidRPr="000D3313">
        <w:rPr>
          <w:rFonts w:eastAsia="Times New Roman" w:cstheme="minorHAnsi"/>
          <w:b/>
          <w:bCs/>
          <w:color w:val="000000"/>
          <w:kern w:val="0"/>
          <w:lang w:eastAsia="en-GB"/>
          <w14:ligatures w14:val="none"/>
        </w:rPr>
        <w:t>Figure 2 – Cost-effective</w:t>
      </w:r>
      <w:r>
        <w:rPr>
          <w:rFonts w:eastAsia="Times New Roman" w:cstheme="minorHAnsi"/>
          <w:b/>
          <w:bCs/>
          <w:color w:val="000000"/>
          <w:kern w:val="0"/>
          <w:lang w:eastAsia="en-GB"/>
          <w14:ligatures w14:val="none"/>
        </w:rPr>
        <w:t xml:space="preserve"> acceptability curve showing probability pES is cost-effective for different willingness-to-pay levels for an extra diagnosis</w:t>
      </w:r>
    </w:p>
    <w:p w14:paraId="3C73BE26" w14:textId="77777777" w:rsidR="00D06651" w:rsidRDefault="00D06651" w:rsidP="00D06651">
      <w:pPr>
        <w:spacing w:after="0" w:line="240" w:lineRule="auto"/>
        <w:rPr>
          <w:rFonts w:eastAsia="Times New Roman" w:cstheme="minorHAnsi"/>
          <w:b/>
          <w:bCs/>
          <w:color w:val="000000"/>
          <w:kern w:val="0"/>
          <w:lang w:eastAsia="en-GB"/>
          <w14:ligatures w14:val="none"/>
        </w:rPr>
      </w:pPr>
    </w:p>
    <w:p w14:paraId="3F529BC2" w14:textId="77777777" w:rsidR="00D06651" w:rsidRDefault="00D06651" w:rsidP="00D06651">
      <w:pPr>
        <w:spacing w:after="0" w:line="240" w:lineRule="auto"/>
        <w:rPr>
          <w:rFonts w:eastAsia="Times New Roman" w:cstheme="minorHAnsi"/>
          <w:b/>
          <w:bCs/>
          <w:color w:val="000000"/>
          <w:kern w:val="0"/>
          <w:lang w:eastAsia="en-GB"/>
          <w14:ligatures w14:val="none"/>
        </w:rPr>
      </w:pPr>
      <w:r>
        <w:rPr>
          <w:noProof/>
        </w:rPr>
        <w:drawing>
          <wp:inline distT="0" distB="0" distL="0" distR="0" wp14:anchorId="5F2E4727" wp14:editId="0D6C8FAB">
            <wp:extent cx="4572000" cy="2743200"/>
            <wp:effectExtent l="0" t="0" r="0" b="0"/>
            <wp:docPr id="34" name="Chart 34">
              <a:extLst xmlns:a="http://schemas.openxmlformats.org/drawingml/2006/main">
                <a:ext uri="{FF2B5EF4-FFF2-40B4-BE49-F238E27FC236}">
                  <a16:creationId xmlns:a16="http://schemas.microsoft.com/office/drawing/2014/main" id="{93FF16F3-FE19-788B-D1F5-23157C17B63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64CE8B58" w14:textId="77777777" w:rsidR="00861BB6" w:rsidRDefault="00861BB6"/>
    <w:sectPr w:rsidR="00861B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651"/>
    <w:rsid w:val="000C13EA"/>
    <w:rsid w:val="00861BB6"/>
    <w:rsid w:val="00D06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C612F"/>
  <w15:chartTrackingRefBased/>
  <w15:docId w15:val="{159903BB-FBC8-4E6B-AEA4-C7EBC95B0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66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fshome\user$\SmithE13\RESEARCH\EXPRESS\WS5%20analysis\PSA.xlsm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CEAC!$B$3</c:f>
              <c:strCache>
                <c:ptCount val="1"/>
                <c:pt idx="0">
                  <c:v>Probability cost-effective</c:v>
                </c:pt>
              </c:strCache>
            </c:strRef>
          </c:tx>
          <c:spPr>
            <a:ln w="1270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CEAC!$A$4:$A$24</c:f>
              <c:numCache>
                <c:formatCode>General</c:formatCode>
                <c:ptCount val="21"/>
                <c:pt idx="0">
                  <c:v>0</c:v>
                </c:pt>
                <c:pt idx="1">
                  <c:v>1000</c:v>
                </c:pt>
                <c:pt idx="2">
                  <c:v>2000</c:v>
                </c:pt>
                <c:pt idx="3">
                  <c:v>3000</c:v>
                </c:pt>
                <c:pt idx="4">
                  <c:v>4000</c:v>
                </c:pt>
                <c:pt idx="5">
                  <c:v>5000</c:v>
                </c:pt>
                <c:pt idx="6">
                  <c:v>6000</c:v>
                </c:pt>
                <c:pt idx="7">
                  <c:v>7000</c:v>
                </c:pt>
                <c:pt idx="8">
                  <c:v>8000</c:v>
                </c:pt>
                <c:pt idx="9">
                  <c:v>9000</c:v>
                </c:pt>
                <c:pt idx="10">
                  <c:v>10000</c:v>
                </c:pt>
                <c:pt idx="11">
                  <c:v>11000</c:v>
                </c:pt>
                <c:pt idx="12">
                  <c:v>12000</c:v>
                </c:pt>
                <c:pt idx="13">
                  <c:v>13000</c:v>
                </c:pt>
                <c:pt idx="14">
                  <c:v>14000</c:v>
                </c:pt>
                <c:pt idx="15">
                  <c:v>15000</c:v>
                </c:pt>
                <c:pt idx="16">
                  <c:v>16000</c:v>
                </c:pt>
                <c:pt idx="17">
                  <c:v>17000</c:v>
                </c:pt>
                <c:pt idx="18">
                  <c:v>18000</c:v>
                </c:pt>
                <c:pt idx="19">
                  <c:v>19000</c:v>
                </c:pt>
                <c:pt idx="20">
                  <c:v>20000</c:v>
                </c:pt>
              </c:numCache>
            </c:numRef>
          </c:cat>
          <c:val>
            <c:numRef>
              <c:f>CEAC!$B$4:$B$24</c:f>
              <c:numCache>
                <c:formatCode>0%</c:formatCode>
                <c:ptCount val="21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3.0000000000000001E-3</c:v>
                </c:pt>
                <c:pt idx="9">
                  <c:v>4.8000000000000001E-2</c:v>
                </c:pt>
                <c:pt idx="10">
                  <c:v>0.18</c:v>
                </c:pt>
                <c:pt idx="11">
                  <c:v>0.41899999999999998</c:v>
                </c:pt>
                <c:pt idx="12">
                  <c:v>0.65800000000000003</c:v>
                </c:pt>
                <c:pt idx="13">
                  <c:v>0.84799999999999998</c:v>
                </c:pt>
                <c:pt idx="14">
                  <c:v>0.93500000000000005</c:v>
                </c:pt>
                <c:pt idx="15">
                  <c:v>0.97699999999999998</c:v>
                </c:pt>
                <c:pt idx="16">
                  <c:v>0.99299999999999999</c:v>
                </c:pt>
                <c:pt idx="17">
                  <c:v>0.997</c:v>
                </c:pt>
                <c:pt idx="18">
                  <c:v>0.999</c:v>
                </c:pt>
                <c:pt idx="19">
                  <c:v>1</c:v>
                </c:pt>
                <c:pt idx="20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6C66-4586-A2A8-BDB3884887F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116893152"/>
        <c:axId val="1116894232"/>
      </c:lineChart>
      <c:catAx>
        <c:axId val="111689315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/>
                  <a:t>Willingness</a:t>
                </a:r>
                <a:r>
                  <a:rPr lang="en-GB" baseline="0"/>
                  <a:t>-to-pay (£ per additional diagnosis)</a:t>
                </a:r>
                <a:endParaRPr lang="en-GB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116894232"/>
        <c:crosses val="autoZero"/>
        <c:auto val="1"/>
        <c:lblAlgn val="ctr"/>
        <c:lblOffset val="100"/>
        <c:noMultiLvlLbl val="0"/>
      </c:catAx>
      <c:valAx>
        <c:axId val="1116894232"/>
        <c:scaling>
          <c:orientation val="minMax"/>
          <c:max val="1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/>
                  <a:t>Probability cost-effective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11689315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Smith</dc:creator>
  <cp:keywords/>
  <dc:description/>
  <cp:lastModifiedBy>Emma Smith</cp:lastModifiedBy>
  <cp:revision>1</cp:revision>
  <dcterms:created xsi:type="dcterms:W3CDTF">2024-07-31T11:43:00Z</dcterms:created>
  <dcterms:modified xsi:type="dcterms:W3CDTF">2024-07-31T11:43:00Z</dcterms:modified>
</cp:coreProperties>
</file>