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D3647" w14:textId="34DEF8FD" w:rsidR="00275227" w:rsidRDefault="00275227" w:rsidP="00275227">
      <w:pPr>
        <w:spacing w:before="0" w:after="0" w:line="240" w:lineRule="auto"/>
        <w:ind w:left="2160" w:firstLine="720"/>
        <w:rPr>
          <w:rFonts w:ascii="Calibri Light" w:hAnsi="Calibri Light"/>
          <w:b/>
          <w:bCs/>
          <w:sz w:val="32"/>
          <w:szCs w:val="32"/>
        </w:rPr>
      </w:pPr>
      <w:r>
        <w:rPr>
          <w:rFonts w:ascii="Calibri Light" w:hAnsi="Calibri Light"/>
          <w:b/>
          <w:bCs/>
          <w:sz w:val="32"/>
          <w:szCs w:val="32"/>
        </w:rPr>
        <w:t xml:space="preserve">   Title Page</w:t>
      </w:r>
    </w:p>
    <w:p w14:paraId="4275E892" w14:textId="733DE2E7" w:rsidR="00275227" w:rsidRDefault="00275227" w:rsidP="00275227">
      <w:pPr>
        <w:spacing w:before="0" w:after="0" w:line="240" w:lineRule="auto"/>
        <w:ind w:left="1440" w:firstLine="720"/>
        <w:rPr>
          <w:rFonts w:ascii="Calibri Light" w:hAnsi="Calibri Light"/>
          <w:b/>
          <w:bCs/>
          <w:sz w:val="32"/>
          <w:szCs w:val="32"/>
        </w:rPr>
      </w:pPr>
      <w:r>
        <w:rPr>
          <w:rFonts w:ascii="Calibri Light" w:hAnsi="Calibri Light"/>
          <w:b/>
          <w:bCs/>
          <w:sz w:val="32"/>
          <w:szCs w:val="32"/>
        </w:rPr>
        <w:t>Manuscript type Case Report</w:t>
      </w:r>
    </w:p>
    <w:p w14:paraId="52D7CB7B" w14:textId="4067EEA6" w:rsidR="004F7087" w:rsidRPr="00167EEE" w:rsidRDefault="004F7087" w:rsidP="00275227">
      <w:pPr>
        <w:spacing w:before="0" w:after="0" w:line="240" w:lineRule="auto"/>
        <w:ind w:firstLine="720"/>
        <w:rPr>
          <w:rFonts w:ascii="Calibri Light" w:hAnsi="Calibri Light"/>
          <w:b/>
          <w:bCs/>
          <w:sz w:val="32"/>
          <w:szCs w:val="32"/>
        </w:rPr>
      </w:pPr>
      <w:r w:rsidRPr="00167EEE">
        <w:rPr>
          <w:rFonts w:ascii="Calibri Light" w:hAnsi="Calibri Light"/>
          <w:b/>
          <w:bCs/>
          <w:sz w:val="32"/>
          <w:szCs w:val="32"/>
        </w:rPr>
        <w:t>Chronic Brucellosis with Sacroiliitis: A Case Report</w:t>
      </w:r>
    </w:p>
    <w:p w14:paraId="2D02EE71" w14:textId="77777777" w:rsidR="00275227" w:rsidRDefault="00275227" w:rsidP="004D1683">
      <w:pPr>
        <w:spacing w:before="0" w:after="0" w:line="240" w:lineRule="auto"/>
      </w:pPr>
    </w:p>
    <w:p w14:paraId="6E9847E3" w14:textId="10A4BFF4" w:rsidR="00275227" w:rsidRPr="00DF124E" w:rsidRDefault="00275227" w:rsidP="00275227">
      <w:pPr>
        <w:pStyle w:val="Heading1"/>
        <w:rPr>
          <w:rFonts w:cs="Calibri"/>
          <w:sz w:val="20"/>
          <w:szCs w:val="20"/>
        </w:rPr>
      </w:pPr>
      <w:r>
        <w:rPr>
          <w:rFonts w:cs="Calibri"/>
          <w:sz w:val="20"/>
          <w:szCs w:val="20"/>
        </w:rPr>
        <w:t>Authorship</w:t>
      </w:r>
    </w:p>
    <w:p w14:paraId="6C254F24" w14:textId="76B67217" w:rsidR="00275227" w:rsidRDefault="00275227" w:rsidP="004D1683">
      <w:pPr>
        <w:spacing w:before="0" w:after="0" w:line="240" w:lineRule="auto"/>
      </w:pPr>
    </w:p>
    <w:p w14:paraId="295CAFC7" w14:textId="46169A2B" w:rsidR="004D1683" w:rsidRPr="00AB6B6E" w:rsidRDefault="004D1683" w:rsidP="004D1683">
      <w:pPr>
        <w:spacing w:before="0" w:after="0" w:line="240" w:lineRule="auto"/>
        <w:rPr>
          <w:b/>
          <w:bCs/>
          <w:color w:val="4F81BD" w:themeColor="accent1"/>
        </w:rPr>
      </w:pPr>
      <w:hyperlink w:anchor="_AUTHOR_INFORMATION" w:history="1">
        <w:r w:rsidRPr="00AB6B6E">
          <w:rPr>
            <w:rStyle w:val="Hyperlink"/>
            <w:b/>
            <w:bCs/>
            <w:color w:val="4F81BD" w:themeColor="accent1"/>
          </w:rPr>
          <w:t>Bibek Shrestha</w:t>
        </w:r>
        <w:r w:rsidRPr="00AB6B6E">
          <w:rPr>
            <w:rStyle w:val="Hyperlink"/>
            <w:b/>
            <w:bCs/>
            <w:color w:val="4F81BD" w:themeColor="accent1"/>
            <w:vertAlign w:val="superscript"/>
          </w:rPr>
          <w:t>1</w:t>
        </w:r>
      </w:hyperlink>
      <w:r w:rsidRPr="00AB6B6E">
        <w:rPr>
          <w:b/>
          <w:bCs/>
          <w:color w:val="4F81BD" w:themeColor="accent1"/>
          <w:vertAlign w:val="superscript"/>
        </w:rPr>
        <w:t xml:space="preserve"> </w:t>
      </w:r>
      <w:r w:rsidRPr="00AB6B6E">
        <w:rPr>
          <w:b/>
          <w:bCs/>
          <w:color w:val="4F81BD" w:themeColor="accent1"/>
        </w:rPr>
        <w:t xml:space="preserve">, </w:t>
      </w:r>
      <w:hyperlink w:anchor="_AUTHOR_INFORMATION" w:history="1">
        <w:r w:rsidRPr="00AB6B6E">
          <w:rPr>
            <w:rStyle w:val="Hyperlink"/>
            <w:b/>
            <w:bCs/>
            <w:color w:val="4F81BD" w:themeColor="accent1"/>
          </w:rPr>
          <w:t xml:space="preserve">Pradeep Shrestha </w:t>
        </w:r>
        <w:r w:rsidRPr="00AB6B6E">
          <w:rPr>
            <w:rStyle w:val="Hyperlink"/>
            <w:b/>
            <w:bCs/>
            <w:color w:val="4F81BD" w:themeColor="accent1"/>
            <w:vertAlign w:val="superscript"/>
          </w:rPr>
          <w:t>2</w:t>
        </w:r>
      </w:hyperlink>
      <w:r w:rsidRPr="00AB6B6E">
        <w:rPr>
          <w:b/>
          <w:bCs/>
          <w:color w:val="4F81BD" w:themeColor="accent1"/>
        </w:rPr>
        <w:t xml:space="preserve">, </w:t>
      </w:r>
      <w:hyperlink w:anchor="_AUTHOR_INFORMATION" w:history="1">
        <w:r w:rsidRPr="00AB6B6E">
          <w:rPr>
            <w:rStyle w:val="Hyperlink"/>
            <w:b/>
            <w:bCs/>
            <w:color w:val="4F81BD" w:themeColor="accent1"/>
          </w:rPr>
          <w:t>Sudip Bastakoti</w:t>
        </w:r>
        <w:r w:rsidRPr="00AB6B6E">
          <w:rPr>
            <w:rStyle w:val="Hyperlink"/>
            <w:b/>
            <w:bCs/>
            <w:color w:val="4F81BD" w:themeColor="accent1"/>
            <w:vertAlign w:val="superscript"/>
          </w:rPr>
          <w:t>3</w:t>
        </w:r>
      </w:hyperlink>
      <w:r w:rsidRPr="00AB6B6E">
        <w:rPr>
          <w:rStyle w:val="Hyperlink"/>
          <w:b/>
          <w:bCs/>
          <w:color w:val="4F81BD" w:themeColor="accent1"/>
          <w:vertAlign w:val="superscript"/>
        </w:rPr>
        <w:t xml:space="preserve"> </w:t>
      </w:r>
      <w:r w:rsidRPr="00AB6B6E">
        <w:rPr>
          <w:rStyle w:val="Hyperlink"/>
          <w:b/>
          <w:bCs/>
          <w:color w:val="4F81BD" w:themeColor="accent1"/>
        </w:rPr>
        <w:t xml:space="preserve">, </w:t>
      </w:r>
      <w:r w:rsidRPr="00AB6B6E">
        <w:rPr>
          <w:b/>
          <w:bCs/>
          <w:color w:val="4F81BD" w:themeColor="accent1"/>
        </w:rPr>
        <w:t xml:space="preserve">Prahlad Gupta </w:t>
      </w:r>
      <w:r w:rsidRPr="00AB6B6E">
        <w:rPr>
          <w:b/>
          <w:bCs/>
          <w:color w:val="4F81BD" w:themeColor="accent1"/>
          <w:vertAlign w:val="superscript"/>
        </w:rPr>
        <w:t>4</w:t>
      </w:r>
      <w:r w:rsidRPr="00AB6B6E">
        <w:rPr>
          <w:b/>
          <w:bCs/>
          <w:color w:val="4F81BD" w:themeColor="accent1"/>
        </w:rPr>
        <w:t>, Shiva Ram Ale Magar</w:t>
      </w:r>
      <w:r w:rsidRPr="00AB6B6E">
        <w:rPr>
          <w:b/>
          <w:bCs/>
          <w:color w:val="4F81BD" w:themeColor="accent1"/>
          <w:vertAlign w:val="superscript"/>
        </w:rPr>
        <w:t>5</w:t>
      </w:r>
      <w:r w:rsidRPr="00AB6B6E">
        <w:rPr>
          <w:b/>
          <w:bCs/>
          <w:color w:val="4F81BD" w:themeColor="accent1"/>
        </w:rPr>
        <w:t xml:space="preserve"> </w:t>
      </w:r>
    </w:p>
    <w:p w14:paraId="63D029DA" w14:textId="77777777" w:rsidR="004D1683" w:rsidRDefault="004D1683" w:rsidP="004D1683">
      <w:pPr>
        <w:spacing w:before="0" w:after="0" w:line="240" w:lineRule="auto"/>
      </w:pPr>
    </w:p>
    <w:p w14:paraId="43E271C1" w14:textId="77777777" w:rsidR="004D1683" w:rsidRDefault="004D1683" w:rsidP="004D1683">
      <w:pPr>
        <w:spacing w:before="0" w:after="0" w:line="240" w:lineRule="auto"/>
      </w:pPr>
      <w:r>
        <w:rPr>
          <w:vertAlign w:val="superscript"/>
        </w:rPr>
        <w:t>1</w:t>
      </w:r>
      <w:r>
        <w:t>Fourth Year Medical Student, Tribhuvan University Teaching Hospital, Kathmandu, Nepal</w:t>
      </w:r>
    </w:p>
    <w:p w14:paraId="6132BF9E" w14:textId="77777777" w:rsidR="004D1683" w:rsidRDefault="004D1683" w:rsidP="004D1683">
      <w:pPr>
        <w:spacing w:before="0" w:after="0" w:line="240" w:lineRule="auto"/>
      </w:pPr>
      <w:r>
        <w:t xml:space="preserve">Email: </w:t>
      </w:r>
      <w:r w:rsidRPr="005F06DD">
        <w:t>shresthabibek85iom@gmail.com</w:t>
      </w:r>
    </w:p>
    <w:p w14:paraId="72EE0DAD" w14:textId="77777777" w:rsidR="004D1683" w:rsidRDefault="004D1683" w:rsidP="004D1683">
      <w:pPr>
        <w:spacing w:before="0" w:after="0" w:line="240" w:lineRule="auto"/>
      </w:pPr>
    </w:p>
    <w:p w14:paraId="318F9AA9" w14:textId="77777777" w:rsidR="004D1683" w:rsidRDefault="004D1683" w:rsidP="004D1683">
      <w:pPr>
        <w:spacing w:before="0" w:after="0" w:line="240" w:lineRule="auto"/>
      </w:pPr>
      <w:r>
        <w:rPr>
          <w:vertAlign w:val="superscript"/>
        </w:rPr>
        <w:t>2</w:t>
      </w:r>
      <w:r>
        <w:t>Intern doctor, Tribhuvan University Teaching Hospital, Kathmandu, Nepal</w:t>
      </w:r>
    </w:p>
    <w:p w14:paraId="6D2D2620" w14:textId="77777777" w:rsidR="004D1683" w:rsidRDefault="004D1683" w:rsidP="004D1683">
      <w:pPr>
        <w:spacing w:before="0" w:after="0" w:line="240" w:lineRule="auto"/>
      </w:pPr>
      <w:r>
        <w:t xml:space="preserve">Email: </w:t>
      </w:r>
      <w:r w:rsidRPr="005F06DD">
        <w:t>pradeepstha023@gmail.com</w:t>
      </w:r>
    </w:p>
    <w:p w14:paraId="781C8691" w14:textId="77777777" w:rsidR="004D1683" w:rsidRDefault="004D1683" w:rsidP="004D1683">
      <w:pPr>
        <w:spacing w:before="0" w:after="0" w:line="240" w:lineRule="auto"/>
      </w:pPr>
    </w:p>
    <w:p w14:paraId="79636D12" w14:textId="77777777" w:rsidR="004D1683" w:rsidRDefault="004D1683" w:rsidP="004D1683">
      <w:pPr>
        <w:spacing w:before="0" w:after="0" w:line="240" w:lineRule="auto"/>
      </w:pPr>
      <w:r>
        <w:rPr>
          <w:vertAlign w:val="superscript"/>
        </w:rPr>
        <w:t>3</w:t>
      </w:r>
      <w:r>
        <w:t>House Officer, MD, Internal Medicine, Tribhuvan University Teaching Hospital,</w:t>
      </w:r>
      <w:r w:rsidRPr="002176EB">
        <w:t xml:space="preserve"> </w:t>
      </w:r>
      <w:r>
        <w:t>Kathmandu, Nepal</w:t>
      </w:r>
    </w:p>
    <w:p w14:paraId="765C4A3D" w14:textId="77777777" w:rsidR="004D1683" w:rsidRDefault="004D1683" w:rsidP="004D1683">
      <w:pPr>
        <w:spacing w:before="0" w:after="0" w:line="240" w:lineRule="auto"/>
      </w:pPr>
      <w:r>
        <w:t>Email: sbastakoti05@gmail.com</w:t>
      </w:r>
    </w:p>
    <w:p w14:paraId="4D990C5B" w14:textId="77777777" w:rsidR="004D1683" w:rsidRDefault="004D1683" w:rsidP="004D1683">
      <w:pPr>
        <w:spacing w:before="0" w:after="0" w:line="240" w:lineRule="auto"/>
      </w:pPr>
    </w:p>
    <w:p w14:paraId="037BE531" w14:textId="77777777" w:rsidR="004D1683" w:rsidRDefault="004D1683" w:rsidP="004D1683">
      <w:pPr>
        <w:spacing w:before="0" w:after="0" w:line="240" w:lineRule="auto"/>
      </w:pPr>
      <w:r>
        <w:rPr>
          <w:vertAlign w:val="superscript"/>
        </w:rPr>
        <w:t>4</w:t>
      </w:r>
      <w:r>
        <w:t>Fourth Year Medical Student, Tribhuvan University Teaching Hospital,</w:t>
      </w:r>
      <w:r w:rsidRPr="002176EB">
        <w:t xml:space="preserve"> </w:t>
      </w:r>
      <w:r>
        <w:t>Kathmandu, Nepal</w:t>
      </w:r>
    </w:p>
    <w:p w14:paraId="43142C04" w14:textId="77777777" w:rsidR="004D1683" w:rsidRDefault="004D1683" w:rsidP="004D1683">
      <w:pPr>
        <w:spacing w:before="0" w:after="0" w:line="240" w:lineRule="auto"/>
      </w:pPr>
      <w:r>
        <w:t xml:space="preserve">Email: </w:t>
      </w:r>
      <w:r w:rsidRPr="005F06DD">
        <w:t>prahlad</w:t>
      </w:r>
      <w:r>
        <w:t>.</w:t>
      </w:r>
      <w:r w:rsidRPr="005F06DD">
        <w:t>gupta1113@gmail.com</w:t>
      </w:r>
    </w:p>
    <w:p w14:paraId="77E97D87" w14:textId="77777777" w:rsidR="004D1683" w:rsidRDefault="004D1683" w:rsidP="004D1683">
      <w:pPr>
        <w:spacing w:before="0" w:after="0" w:line="240" w:lineRule="auto"/>
      </w:pPr>
    </w:p>
    <w:p w14:paraId="53818958" w14:textId="77777777" w:rsidR="004D1683" w:rsidRDefault="004D1683" w:rsidP="004D1683">
      <w:pPr>
        <w:spacing w:before="0" w:after="0" w:line="240" w:lineRule="auto"/>
      </w:pPr>
      <w:r>
        <w:rPr>
          <w:vertAlign w:val="superscript"/>
        </w:rPr>
        <w:t>5</w:t>
      </w:r>
      <w:r>
        <w:t>Fourth Year Medical Student, Tribhuvan University Teaching Hospital,</w:t>
      </w:r>
      <w:r w:rsidRPr="002176EB">
        <w:t xml:space="preserve"> </w:t>
      </w:r>
      <w:r>
        <w:t>Kathmandu, Nepal</w:t>
      </w:r>
    </w:p>
    <w:p w14:paraId="2B7EE4FD" w14:textId="0CFE0DBA" w:rsidR="004D1683" w:rsidRDefault="004D1683" w:rsidP="004D1683">
      <w:pPr>
        <w:spacing w:before="0" w:after="0" w:line="240" w:lineRule="auto"/>
      </w:pPr>
      <w:r>
        <w:t xml:space="preserve">Email: </w:t>
      </w:r>
      <w:hyperlink r:id="rId8" w:history="1">
        <w:r w:rsidRPr="005832FF">
          <w:rPr>
            <w:rStyle w:val="Hyperlink"/>
          </w:rPr>
          <w:t>shivaramalemagar@gmail.com</w:t>
        </w:r>
      </w:hyperlink>
    </w:p>
    <w:p w14:paraId="0CC2EF06" w14:textId="77777777" w:rsidR="004D1683" w:rsidRDefault="004D1683" w:rsidP="004D1683">
      <w:pPr>
        <w:spacing w:before="0" w:after="0" w:line="240" w:lineRule="auto"/>
      </w:pPr>
    </w:p>
    <w:p w14:paraId="0F5A2AB0" w14:textId="2086E0F5" w:rsidR="004D1683" w:rsidRPr="00DF124E" w:rsidRDefault="004D1683" w:rsidP="004D1683">
      <w:pPr>
        <w:pStyle w:val="Heading1"/>
        <w:rPr>
          <w:rFonts w:cs="Calibri"/>
          <w:sz w:val="20"/>
          <w:szCs w:val="20"/>
        </w:rPr>
      </w:pPr>
      <w:r>
        <w:rPr>
          <w:rFonts w:cs="Calibri"/>
          <w:sz w:val="20"/>
          <w:szCs w:val="20"/>
        </w:rPr>
        <w:t>Statement of Contribution</w:t>
      </w:r>
    </w:p>
    <w:p w14:paraId="112463A7" w14:textId="77777777" w:rsidR="004D1683" w:rsidRPr="00DF124E" w:rsidRDefault="004D1683" w:rsidP="004D1683">
      <w:pPr>
        <w:pStyle w:val="ListParagraph"/>
        <w:numPr>
          <w:ilvl w:val="0"/>
          <w:numId w:val="1"/>
        </w:numPr>
        <w:rPr>
          <w:rFonts w:cs="Calibri"/>
        </w:rPr>
      </w:pPr>
      <w:r w:rsidRPr="00DF124E">
        <w:rPr>
          <w:rFonts w:cs="Calibri"/>
        </w:rPr>
        <w:t>Bibek Shrestha: Conceptualization; Writing-original draft; writing- review and editing</w:t>
      </w:r>
    </w:p>
    <w:p w14:paraId="3C0FBC9C" w14:textId="77777777" w:rsidR="004D1683" w:rsidRPr="00DF124E" w:rsidRDefault="004D1683" w:rsidP="004D1683">
      <w:pPr>
        <w:pStyle w:val="ListParagraph"/>
        <w:numPr>
          <w:ilvl w:val="0"/>
          <w:numId w:val="1"/>
        </w:numPr>
        <w:rPr>
          <w:rFonts w:cs="Calibri"/>
        </w:rPr>
      </w:pPr>
      <w:r w:rsidRPr="00DF124E">
        <w:rPr>
          <w:rFonts w:cs="Calibri"/>
        </w:rPr>
        <w:t>Prahlad Gupta: Conceptualization; Writing-original draft; writing- review and editing</w:t>
      </w:r>
    </w:p>
    <w:p w14:paraId="42C37654" w14:textId="77777777" w:rsidR="004D1683" w:rsidRPr="00DF124E" w:rsidRDefault="004D1683" w:rsidP="004D1683">
      <w:pPr>
        <w:pStyle w:val="ListParagraph"/>
        <w:numPr>
          <w:ilvl w:val="0"/>
          <w:numId w:val="1"/>
        </w:numPr>
        <w:rPr>
          <w:rFonts w:cs="Calibri"/>
        </w:rPr>
      </w:pPr>
      <w:r w:rsidRPr="00DF124E">
        <w:rPr>
          <w:rFonts w:cs="Calibri"/>
        </w:rPr>
        <w:t>Shivaram Ale Magar: Conceptualization; Writing-original draft; writing- review and editing</w:t>
      </w:r>
    </w:p>
    <w:p w14:paraId="5F9F3D32" w14:textId="77777777" w:rsidR="004D1683" w:rsidRPr="00DF124E" w:rsidRDefault="004D1683" w:rsidP="004D1683">
      <w:pPr>
        <w:pStyle w:val="ListParagraph"/>
        <w:numPr>
          <w:ilvl w:val="0"/>
          <w:numId w:val="1"/>
        </w:numPr>
        <w:rPr>
          <w:rFonts w:cs="Calibri"/>
        </w:rPr>
      </w:pPr>
      <w:r w:rsidRPr="00DF124E">
        <w:rPr>
          <w:rFonts w:cs="Calibri"/>
        </w:rPr>
        <w:t>Dr Pradeep Shrestha: Conceptualization; Writing-original draft; writing- review and editing</w:t>
      </w:r>
    </w:p>
    <w:p w14:paraId="29FFDDBB" w14:textId="5E035212" w:rsidR="00F17BBE" w:rsidRDefault="004D1683" w:rsidP="004D1683">
      <w:pPr>
        <w:pStyle w:val="ListParagraph"/>
        <w:numPr>
          <w:ilvl w:val="0"/>
          <w:numId w:val="1"/>
        </w:numPr>
        <w:rPr>
          <w:rFonts w:cs="Calibri"/>
        </w:rPr>
      </w:pPr>
      <w:r w:rsidRPr="00DF124E">
        <w:rPr>
          <w:rFonts w:cs="Calibri"/>
        </w:rPr>
        <w:t>Dr Sudeep: Writing – review and writing</w:t>
      </w:r>
    </w:p>
    <w:p w14:paraId="14079ADD" w14:textId="40452631" w:rsidR="00D80E9A" w:rsidRPr="00DF124E" w:rsidRDefault="00D80E9A" w:rsidP="00D80E9A">
      <w:pPr>
        <w:pStyle w:val="Heading1"/>
        <w:rPr>
          <w:rFonts w:cs="Calibri"/>
          <w:sz w:val="20"/>
          <w:szCs w:val="20"/>
        </w:rPr>
      </w:pPr>
      <w:r>
        <w:rPr>
          <w:rFonts w:cs="Calibri"/>
          <w:sz w:val="20"/>
          <w:szCs w:val="20"/>
        </w:rPr>
        <w:t>Corresponding author</w:t>
      </w:r>
    </w:p>
    <w:p w14:paraId="286FBF08" w14:textId="642EEF91" w:rsidR="00D80E9A" w:rsidRDefault="00D80E9A" w:rsidP="00D80E9A">
      <w:pPr>
        <w:rPr>
          <w:rFonts w:cs="Calibri"/>
        </w:rPr>
      </w:pPr>
      <w:r>
        <w:rPr>
          <w:rFonts w:cs="Calibri"/>
        </w:rPr>
        <w:t>Bibek Shrestha</w:t>
      </w:r>
    </w:p>
    <w:p w14:paraId="5831FDE9" w14:textId="77777777" w:rsidR="00D80E9A" w:rsidRDefault="00D80E9A" w:rsidP="00D80E9A">
      <w:pPr>
        <w:spacing w:before="0" w:after="0" w:line="240" w:lineRule="auto"/>
      </w:pPr>
      <w:r>
        <w:t>Fourth Year Medical Student, Tribhuvan University Teaching Hospital, Kathmandu, Nepal</w:t>
      </w:r>
    </w:p>
    <w:p w14:paraId="10E6CB88" w14:textId="77777777" w:rsidR="00D80E9A" w:rsidRDefault="00D80E9A" w:rsidP="00D80E9A">
      <w:pPr>
        <w:spacing w:before="0" w:after="0" w:line="240" w:lineRule="auto"/>
      </w:pPr>
      <w:r>
        <w:t xml:space="preserve">Email: </w:t>
      </w:r>
      <w:r w:rsidRPr="005F06DD">
        <w:t>shresthabibek85iom@gmail.com</w:t>
      </w:r>
    </w:p>
    <w:p w14:paraId="2C0F0B51" w14:textId="691EA47B" w:rsidR="00D80E9A" w:rsidRDefault="00D80E9A" w:rsidP="00D80E9A">
      <w:pPr>
        <w:rPr>
          <w:rFonts w:cs="Calibri"/>
        </w:rPr>
      </w:pPr>
      <w:r>
        <w:rPr>
          <w:rFonts w:cs="Calibri"/>
        </w:rPr>
        <w:t xml:space="preserve">Email: </w:t>
      </w:r>
      <w:hyperlink r:id="rId9" w:history="1">
        <w:r w:rsidRPr="005832FF">
          <w:rPr>
            <w:rStyle w:val="Hyperlink"/>
            <w:rFonts w:cs="Calibri"/>
          </w:rPr>
          <w:t>shresthabibek85iom@gmail.com</w:t>
        </w:r>
      </w:hyperlink>
    </w:p>
    <w:p w14:paraId="2D8C9FD9" w14:textId="2B2B6F9C" w:rsidR="00D80E9A" w:rsidRPr="00DF124E" w:rsidRDefault="00D80E9A" w:rsidP="00D80E9A">
      <w:pPr>
        <w:pStyle w:val="Heading1"/>
        <w:rPr>
          <w:rFonts w:cs="Calibri"/>
          <w:sz w:val="20"/>
          <w:szCs w:val="20"/>
        </w:rPr>
      </w:pPr>
      <w:r>
        <w:rPr>
          <w:rFonts w:cs="Calibri"/>
          <w:sz w:val="20"/>
          <w:szCs w:val="20"/>
        </w:rPr>
        <w:t>Disclosure</w:t>
      </w:r>
      <w:r>
        <w:rPr>
          <w:rFonts w:cs="Calibri"/>
          <w:sz w:val="20"/>
          <w:szCs w:val="20"/>
        </w:rPr>
        <w:tab/>
      </w:r>
    </w:p>
    <w:p w14:paraId="4D474D7C" w14:textId="3089F9EA" w:rsidR="00D80E9A" w:rsidRDefault="00D80E9A" w:rsidP="00D80E9A">
      <w:pPr>
        <w:rPr>
          <w:rFonts w:cs="Calibri"/>
        </w:rPr>
      </w:pPr>
      <w:r>
        <w:rPr>
          <w:rFonts w:cs="Calibri"/>
        </w:rPr>
        <w:t>None</w:t>
      </w:r>
    </w:p>
    <w:p w14:paraId="73FE1BAC" w14:textId="5EFFF710" w:rsidR="00D80E9A" w:rsidRPr="00DF124E" w:rsidRDefault="00D80E9A" w:rsidP="00D80E9A">
      <w:pPr>
        <w:pStyle w:val="Heading1"/>
        <w:rPr>
          <w:rFonts w:cs="Calibri"/>
          <w:sz w:val="20"/>
          <w:szCs w:val="20"/>
        </w:rPr>
      </w:pPr>
      <w:r>
        <w:rPr>
          <w:rFonts w:cs="Calibri"/>
          <w:sz w:val="20"/>
          <w:szCs w:val="20"/>
        </w:rPr>
        <w:t>Data availability statement</w:t>
      </w:r>
    </w:p>
    <w:p w14:paraId="590D72E8" w14:textId="2EAE1267" w:rsidR="00D80E9A" w:rsidRDefault="006623CB" w:rsidP="00D80E9A">
      <w:pPr>
        <w:rPr>
          <w:rFonts w:cs="Calibri"/>
        </w:rPr>
      </w:pPr>
      <w:r>
        <w:rPr>
          <w:rFonts w:cs="Calibri"/>
        </w:rPr>
        <w:t>None</w:t>
      </w:r>
    </w:p>
    <w:p w14:paraId="0A2EC2E3" w14:textId="15A01EF1" w:rsidR="006623CB" w:rsidRPr="00DF124E" w:rsidRDefault="006623CB" w:rsidP="006623CB">
      <w:pPr>
        <w:pStyle w:val="Heading1"/>
        <w:rPr>
          <w:rFonts w:cs="Calibri"/>
          <w:sz w:val="20"/>
          <w:szCs w:val="20"/>
        </w:rPr>
      </w:pPr>
      <w:r>
        <w:rPr>
          <w:rFonts w:cs="Calibri"/>
          <w:sz w:val="20"/>
          <w:szCs w:val="20"/>
        </w:rPr>
        <w:t>Funding statement</w:t>
      </w:r>
    </w:p>
    <w:p w14:paraId="3AB9EFBC" w14:textId="6EB1F688" w:rsidR="006623CB" w:rsidRDefault="006623CB" w:rsidP="00D80E9A">
      <w:pPr>
        <w:rPr>
          <w:rFonts w:cs="Calibri"/>
        </w:rPr>
      </w:pPr>
      <w:r>
        <w:rPr>
          <w:rFonts w:cs="Calibri"/>
        </w:rPr>
        <w:t>None</w:t>
      </w:r>
    </w:p>
    <w:p w14:paraId="00B3ACD5" w14:textId="77777777" w:rsidR="00275227" w:rsidRDefault="00275227" w:rsidP="00D80E9A">
      <w:pPr>
        <w:rPr>
          <w:rFonts w:cs="Calibri"/>
        </w:rPr>
      </w:pPr>
    </w:p>
    <w:p w14:paraId="5E659784" w14:textId="2AD4AD82" w:rsidR="006623CB" w:rsidRPr="00DF124E" w:rsidRDefault="006623CB" w:rsidP="006623CB">
      <w:pPr>
        <w:pStyle w:val="Heading1"/>
        <w:rPr>
          <w:rFonts w:cs="Calibri"/>
          <w:sz w:val="20"/>
          <w:szCs w:val="20"/>
        </w:rPr>
      </w:pPr>
      <w:r>
        <w:rPr>
          <w:rFonts w:cs="Calibri"/>
          <w:sz w:val="20"/>
          <w:szCs w:val="20"/>
        </w:rPr>
        <w:lastRenderedPageBreak/>
        <w:t>Conflict of interest</w:t>
      </w:r>
    </w:p>
    <w:p w14:paraId="3F6D47BB" w14:textId="6F8AADE2" w:rsidR="006623CB" w:rsidRDefault="006623CB" w:rsidP="00D80E9A">
      <w:pPr>
        <w:rPr>
          <w:rFonts w:cs="Calibri"/>
        </w:rPr>
      </w:pPr>
      <w:r>
        <w:rPr>
          <w:rFonts w:cs="Calibri"/>
        </w:rPr>
        <w:t>None</w:t>
      </w:r>
    </w:p>
    <w:p w14:paraId="2484E10C" w14:textId="5D163B6D" w:rsidR="006623CB" w:rsidRPr="00DF124E" w:rsidRDefault="006623CB" w:rsidP="006623CB">
      <w:pPr>
        <w:pStyle w:val="Heading1"/>
        <w:rPr>
          <w:rFonts w:cs="Calibri"/>
          <w:sz w:val="20"/>
          <w:szCs w:val="20"/>
        </w:rPr>
      </w:pPr>
      <w:r>
        <w:rPr>
          <w:rFonts w:cs="Calibri"/>
          <w:sz w:val="20"/>
          <w:szCs w:val="20"/>
        </w:rPr>
        <w:t>Patient consent statement</w:t>
      </w:r>
    </w:p>
    <w:p w14:paraId="77A588FA" w14:textId="52BC4C73" w:rsidR="006623CB" w:rsidRDefault="006623CB" w:rsidP="00D80E9A">
      <w:pPr>
        <w:rPr>
          <w:rFonts w:cs="Calibri"/>
        </w:rPr>
      </w:pPr>
      <w:r w:rsidRPr="006623CB">
        <w:rPr>
          <w:rFonts w:cs="Calibri"/>
        </w:rPr>
        <w:t>Written informed consent was obtained from the patient for publication of this case report and accompanying images, complying with the requirements as mentioned in Wiley’s CCR Consent Form.</w:t>
      </w:r>
    </w:p>
    <w:p w14:paraId="2396A659" w14:textId="77777777" w:rsidR="00275227" w:rsidRDefault="00275227" w:rsidP="00275227">
      <w:pPr>
        <w:spacing w:before="0" w:after="0" w:line="240" w:lineRule="auto"/>
        <w:ind w:firstLine="720"/>
        <w:rPr>
          <w:rFonts w:ascii="Calibri Light" w:hAnsi="Calibri Light"/>
          <w:b/>
          <w:bCs/>
          <w:sz w:val="32"/>
          <w:szCs w:val="32"/>
        </w:rPr>
      </w:pPr>
    </w:p>
    <w:p w14:paraId="5A08F59B" w14:textId="77777777" w:rsidR="00275227" w:rsidRDefault="00275227">
      <w:pPr>
        <w:spacing w:before="0"/>
        <w:rPr>
          <w:rFonts w:ascii="Calibri Light" w:hAnsi="Calibri Light"/>
          <w:b/>
          <w:bCs/>
          <w:sz w:val="32"/>
          <w:szCs w:val="32"/>
        </w:rPr>
      </w:pPr>
      <w:r>
        <w:rPr>
          <w:rFonts w:ascii="Calibri Light" w:hAnsi="Calibri Light"/>
          <w:b/>
          <w:bCs/>
          <w:sz w:val="32"/>
          <w:szCs w:val="32"/>
        </w:rPr>
        <w:br w:type="page"/>
      </w:r>
    </w:p>
    <w:p w14:paraId="1F69A64E" w14:textId="65787AB9" w:rsidR="00275227" w:rsidRPr="00275227" w:rsidRDefault="00275227" w:rsidP="00275227">
      <w:pPr>
        <w:spacing w:before="0" w:after="0" w:line="240" w:lineRule="auto"/>
        <w:ind w:firstLine="720"/>
        <w:rPr>
          <w:rFonts w:ascii="Calibri Light" w:hAnsi="Calibri Light"/>
          <w:b/>
          <w:bCs/>
          <w:sz w:val="32"/>
          <w:szCs w:val="32"/>
        </w:rPr>
      </w:pPr>
      <w:r w:rsidRPr="00167EEE">
        <w:rPr>
          <w:rFonts w:ascii="Calibri Light" w:hAnsi="Calibri Light"/>
          <w:b/>
          <w:bCs/>
          <w:sz w:val="32"/>
          <w:szCs w:val="32"/>
        </w:rPr>
        <w:lastRenderedPageBreak/>
        <w:t>Chronic Brucellosis with Sacroiliitis: A Case Report</w:t>
      </w:r>
    </w:p>
    <w:p w14:paraId="2FC4BA35" w14:textId="54760B65" w:rsidR="005F06DD" w:rsidRPr="00B11E23" w:rsidRDefault="003633C5" w:rsidP="00B11E23">
      <w:pPr>
        <w:pStyle w:val="Heading1"/>
      </w:pPr>
      <w:r>
        <w:t>ABSTRACT</w:t>
      </w:r>
    </w:p>
    <w:p w14:paraId="08D0BE33" w14:textId="2F9C21A3" w:rsidR="005F06DD" w:rsidRDefault="000D2480" w:rsidP="00F17BBE">
      <w:pPr>
        <w:pStyle w:val="Title"/>
        <w:rPr>
          <w:rFonts w:asciiTheme="minorHAnsi" w:hAnsiTheme="minorHAnsi" w:cstheme="minorHAnsi"/>
          <w:caps w:val="0"/>
          <w:color w:val="222222"/>
          <w:spacing w:val="0"/>
          <w:sz w:val="20"/>
          <w:szCs w:val="20"/>
          <w:shd w:val="clear" w:color="auto" w:fill="FFFFFF"/>
        </w:rPr>
      </w:pPr>
      <w:r w:rsidRPr="000D2480">
        <w:rPr>
          <w:rFonts w:asciiTheme="minorHAnsi" w:hAnsiTheme="minorHAnsi" w:cstheme="minorHAnsi"/>
          <w:caps w:val="0"/>
          <w:color w:val="222222"/>
          <w:spacing w:val="0"/>
          <w:sz w:val="20"/>
          <w:szCs w:val="20"/>
          <w:shd w:val="clear" w:color="auto" w:fill="FFFFFF"/>
        </w:rPr>
        <w:t xml:space="preserve">Brucella exploits host immune defences to establish chronic infections </w:t>
      </w:r>
      <w:r>
        <w:rPr>
          <w:rFonts w:asciiTheme="minorHAnsi" w:hAnsiTheme="minorHAnsi" w:cstheme="minorHAnsi"/>
          <w:caps w:val="0"/>
          <w:color w:val="222222"/>
          <w:spacing w:val="0"/>
          <w:sz w:val="20"/>
          <w:szCs w:val="20"/>
          <w:shd w:val="clear" w:color="auto" w:fill="FFFFFF"/>
        </w:rPr>
        <w:t>and affects multiple organs. It</w:t>
      </w:r>
      <w:r w:rsidR="00352959">
        <w:rPr>
          <w:rFonts w:asciiTheme="minorHAnsi" w:hAnsiTheme="minorHAnsi" w:cstheme="minorHAnsi"/>
          <w:caps w:val="0"/>
          <w:color w:val="222222"/>
          <w:spacing w:val="0"/>
          <w:sz w:val="20"/>
          <w:szCs w:val="20"/>
          <w:shd w:val="clear" w:color="auto" w:fill="FFFFFF"/>
        </w:rPr>
        <w:t xml:space="preserve"> is an endemic zoonotic disease which affects different organs of human and osteoarticular manifestation is rare</w:t>
      </w:r>
      <w:r w:rsidR="005F06DD" w:rsidRPr="005F06DD">
        <w:rPr>
          <w:rFonts w:asciiTheme="minorHAnsi" w:hAnsiTheme="minorHAnsi" w:cstheme="minorHAnsi"/>
          <w:caps w:val="0"/>
          <w:color w:val="222222"/>
          <w:spacing w:val="0"/>
          <w:sz w:val="20"/>
          <w:szCs w:val="20"/>
          <w:shd w:val="clear" w:color="auto" w:fill="FFFFFF"/>
        </w:rPr>
        <w:t xml:space="preserve">. This case report presents a 41-year-old Female married, presented with fever, low back pain and other multiple joint pain for 4 months with a history of Goat farming. Sacroiliitis was documented by positive results from serological tests (ELISA). Radiological </w:t>
      </w:r>
      <w:r w:rsidR="00352959">
        <w:rPr>
          <w:rFonts w:asciiTheme="minorHAnsi" w:hAnsiTheme="minorHAnsi" w:cstheme="minorHAnsi"/>
          <w:caps w:val="0"/>
          <w:color w:val="222222"/>
          <w:spacing w:val="0"/>
          <w:sz w:val="20"/>
          <w:szCs w:val="20"/>
          <w:shd w:val="clear" w:color="auto" w:fill="FFFFFF"/>
        </w:rPr>
        <w:t>findings</w:t>
      </w:r>
      <w:r w:rsidR="005F06DD" w:rsidRPr="005F06DD">
        <w:rPr>
          <w:rFonts w:asciiTheme="minorHAnsi" w:hAnsiTheme="minorHAnsi" w:cstheme="minorHAnsi"/>
          <w:caps w:val="0"/>
          <w:color w:val="222222"/>
          <w:spacing w:val="0"/>
          <w:sz w:val="20"/>
          <w:szCs w:val="20"/>
          <w:shd w:val="clear" w:color="auto" w:fill="FFFFFF"/>
        </w:rPr>
        <w:t xml:space="preserve"> suggested of right sacroiliitis and fracture line on the right sacral </w:t>
      </w:r>
      <w:r w:rsidR="00527354" w:rsidRPr="005F06DD">
        <w:rPr>
          <w:rFonts w:asciiTheme="minorHAnsi" w:hAnsiTheme="minorHAnsi" w:cstheme="minorHAnsi"/>
          <w:caps w:val="0"/>
          <w:color w:val="222222"/>
          <w:spacing w:val="0"/>
          <w:sz w:val="20"/>
          <w:szCs w:val="20"/>
          <w:shd w:val="clear" w:color="auto" w:fill="FFFFFF"/>
        </w:rPr>
        <w:t>ala</w:t>
      </w:r>
      <w:r w:rsidR="00352959">
        <w:rPr>
          <w:rFonts w:asciiTheme="minorHAnsi" w:hAnsiTheme="minorHAnsi" w:cstheme="minorHAnsi"/>
          <w:caps w:val="0"/>
          <w:color w:val="222222"/>
          <w:spacing w:val="0"/>
          <w:sz w:val="20"/>
          <w:szCs w:val="20"/>
          <w:shd w:val="clear" w:color="auto" w:fill="FFFFFF"/>
        </w:rPr>
        <w:t xml:space="preserve"> though</w:t>
      </w:r>
      <w:r w:rsidR="005F06DD" w:rsidRPr="005F06DD">
        <w:rPr>
          <w:rFonts w:asciiTheme="minorHAnsi" w:hAnsiTheme="minorHAnsi" w:cstheme="minorHAnsi"/>
          <w:caps w:val="0"/>
          <w:color w:val="222222"/>
          <w:spacing w:val="0"/>
          <w:sz w:val="20"/>
          <w:szCs w:val="20"/>
          <w:shd w:val="clear" w:color="auto" w:fill="FFFFFF"/>
        </w:rPr>
        <w:t xml:space="preserve"> had no history of trauma. Treatment consisted of non-steroidal anti-inflammatory drugs (NSAIDs), doxycycline, rifampicin, and gentamicin. To properly treat this infection, a detailed history and physical examination </w:t>
      </w:r>
      <w:r w:rsidR="00352959">
        <w:rPr>
          <w:rFonts w:asciiTheme="minorHAnsi" w:hAnsiTheme="minorHAnsi" w:cstheme="minorHAnsi"/>
          <w:caps w:val="0"/>
          <w:color w:val="222222"/>
          <w:spacing w:val="0"/>
          <w:sz w:val="20"/>
          <w:szCs w:val="20"/>
          <w:shd w:val="clear" w:color="auto" w:fill="FFFFFF"/>
        </w:rPr>
        <w:t>along with</w:t>
      </w:r>
      <w:r w:rsidR="005F06DD" w:rsidRPr="005F06DD">
        <w:rPr>
          <w:rFonts w:asciiTheme="minorHAnsi" w:hAnsiTheme="minorHAnsi" w:cstheme="minorHAnsi"/>
          <w:caps w:val="0"/>
          <w:color w:val="222222"/>
          <w:spacing w:val="0"/>
          <w:sz w:val="20"/>
          <w:szCs w:val="20"/>
          <w:shd w:val="clear" w:color="auto" w:fill="FFFFFF"/>
        </w:rPr>
        <w:t xml:space="preserve"> complete pathology, radiographic findings, and any necessary work-up</w:t>
      </w:r>
      <w:r w:rsidR="00B805A8">
        <w:rPr>
          <w:rFonts w:asciiTheme="minorHAnsi" w:hAnsiTheme="minorHAnsi" w:cstheme="minorHAnsi"/>
          <w:caps w:val="0"/>
          <w:color w:val="222222"/>
          <w:spacing w:val="0"/>
          <w:sz w:val="20"/>
          <w:szCs w:val="20"/>
          <w:shd w:val="clear" w:color="auto" w:fill="FFFFFF"/>
        </w:rPr>
        <w:t xml:space="preserve"> is needed.</w:t>
      </w:r>
    </w:p>
    <w:p w14:paraId="43CE19F4" w14:textId="77777777" w:rsidR="005F06DD" w:rsidRDefault="005F06DD" w:rsidP="00F17BBE">
      <w:pPr>
        <w:pStyle w:val="Title"/>
        <w:rPr>
          <w:rFonts w:asciiTheme="minorHAnsi" w:hAnsiTheme="minorHAnsi" w:cstheme="minorHAnsi"/>
          <w:caps w:val="0"/>
          <w:color w:val="222222"/>
          <w:spacing w:val="0"/>
          <w:sz w:val="20"/>
          <w:szCs w:val="20"/>
          <w:shd w:val="clear" w:color="auto" w:fill="FFFFFF"/>
        </w:rPr>
      </w:pPr>
    </w:p>
    <w:p w14:paraId="3DD74137" w14:textId="4B1D72E8" w:rsidR="00F17BBE" w:rsidRPr="00F17BBE" w:rsidRDefault="00FF6ECC" w:rsidP="00F17BBE">
      <w:pPr>
        <w:pStyle w:val="Title"/>
        <w:rPr>
          <w:color w:val="auto"/>
          <w:shd w:val="clear" w:color="auto" w:fill="FFFFFF"/>
        </w:rPr>
      </w:pPr>
      <w:r w:rsidRPr="00BC0E77">
        <w:rPr>
          <w:color w:val="auto"/>
          <w:shd w:val="clear" w:color="auto" w:fill="FFFFFF"/>
        </w:rPr>
        <w:t>KEY CLINICAL MESSAGE</w:t>
      </w:r>
    </w:p>
    <w:p w14:paraId="534B3542" w14:textId="1C9887BF" w:rsidR="00F17BBE" w:rsidRDefault="005F06DD" w:rsidP="00DF4E72">
      <w:pPr>
        <w:pStyle w:val="Title"/>
        <w:rPr>
          <w:rFonts w:ascii="Calibri" w:hAnsi="Calibri"/>
          <w:caps w:val="0"/>
          <w:color w:val="auto"/>
          <w:spacing w:val="0"/>
          <w:sz w:val="20"/>
          <w:szCs w:val="20"/>
        </w:rPr>
      </w:pPr>
      <w:r w:rsidRPr="005F06DD">
        <w:rPr>
          <w:rFonts w:ascii="Calibri" w:hAnsi="Calibri"/>
          <w:caps w:val="0"/>
          <w:color w:val="auto"/>
          <w:spacing w:val="0"/>
          <w:sz w:val="20"/>
          <w:szCs w:val="20"/>
        </w:rPr>
        <w:t xml:space="preserve">Brucellosis and its consequence, sacroiliitis, are uncommon and difficult to diagnose, but they should be considered in a case presenting with prolonged fever, joint pain, and back pain. The diagnosis requires a combination of history, serological examinations, and radiographic studies. When the condition is detected and treated early, the prognosis is </w:t>
      </w:r>
      <w:r w:rsidR="00862A5B">
        <w:rPr>
          <w:rFonts w:ascii="Calibri" w:hAnsi="Calibri"/>
          <w:caps w:val="0"/>
          <w:color w:val="auto"/>
          <w:spacing w:val="0"/>
          <w:sz w:val="20"/>
          <w:szCs w:val="20"/>
        </w:rPr>
        <w:t>good.</w:t>
      </w:r>
    </w:p>
    <w:p w14:paraId="3911A998" w14:textId="77777777" w:rsidR="005F06DD" w:rsidRPr="005F06DD" w:rsidRDefault="005F06DD" w:rsidP="005F06DD"/>
    <w:p w14:paraId="14BCE4E3" w14:textId="1C21AF35" w:rsidR="00DF4E72" w:rsidRDefault="00DF4E72" w:rsidP="00DF4E72">
      <w:pPr>
        <w:pStyle w:val="Title"/>
        <w:rPr>
          <w:color w:val="auto"/>
          <w:shd w:val="clear" w:color="auto" w:fill="FFFFFF"/>
        </w:rPr>
      </w:pPr>
      <w:r>
        <w:rPr>
          <w:color w:val="auto"/>
          <w:shd w:val="clear" w:color="auto" w:fill="FFFFFF"/>
        </w:rPr>
        <w:t>KEYWORDS</w:t>
      </w:r>
    </w:p>
    <w:p w14:paraId="5439497D" w14:textId="08B8E193" w:rsidR="00527354" w:rsidRPr="005F06DD" w:rsidRDefault="005F06DD" w:rsidP="005F06DD">
      <w:r w:rsidRPr="005F06DD">
        <w:t>Spine, Brucella, spinal brucellosis, infection, spondylodiscitis.</w:t>
      </w:r>
    </w:p>
    <w:p w14:paraId="7541C653" w14:textId="77777777" w:rsidR="00866E07" w:rsidRPr="003633C5" w:rsidRDefault="00866E07" w:rsidP="003633C5">
      <w:pPr>
        <w:pStyle w:val="Heading1"/>
      </w:pPr>
      <w:r>
        <w:t>Introduction</w:t>
      </w:r>
    </w:p>
    <w:p w14:paraId="35E1FBB8" w14:textId="341E02A2" w:rsidR="005F06DD" w:rsidRDefault="005F06DD" w:rsidP="005F06DD">
      <w:r>
        <w:t xml:space="preserve">Brucellosis is </w:t>
      </w:r>
      <w:r w:rsidR="000D2480">
        <w:t>an</w:t>
      </w:r>
      <w:r>
        <w:t xml:space="preserve"> </w:t>
      </w:r>
      <w:r w:rsidR="003346E9">
        <w:t xml:space="preserve">endemic </w:t>
      </w:r>
      <w:r>
        <w:t xml:space="preserve">zoonotic disease that affects wildlife and </w:t>
      </w:r>
      <w:r w:rsidR="003346E9">
        <w:t>its</w:t>
      </w:r>
      <w:r>
        <w:t xml:space="preserve"> transmission to humans occurs through direct contact with infected animals or contaminated animal products. Brucella exploits host immune defences to establish chronic infections which eventually leads to clinical manifestation running from fever, fatigue, joint pain to more severe complications such as endocarditis and neurological disorders. </w:t>
      </w:r>
      <w:r w:rsidRPr="005F06DD">
        <w:rPr>
          <w:vertAlign w:val="superscript"/>
        </w:rPr>
        <w:t>1</w:t>
      </w:r>
      <w:r>
        <w:t xml:space="preserve"> Human brucellosis is a complex illness that affects many different organs and has a wide variety of symptoms, from mild to severe. This intricacy tends to result in incorrect diagnosis. If left untreated, it could progress to the chronic stage and raise the possibility of disability.</w:t>
      </w:r>
      <w:r w:rsidRPr="005F06DD">
        <w:rPr>
          <w:vertAlign w:val="superscript"/>
        </w:rPr>
        <w:t>2</w:t>
      </w:r>
      <w:r>
        <w:t xml:space="preserve"> </w:t>
      </w:r>
    </w:p>
    <w:p w14:paraId="776263BF" w14:textId="227AF074" w:rsidR="00866E07" w:rsidRDefault="005F06DD" w:rsidP="005F06DD">
      <w:r>
        <w:t xml:space="preserve">In the axial skeleton, brucellosis of the spine manifests itself in a variety of ways, including spondylitis, spondylodiscitis, pure discitis, sacroiliitis, and even facet joint infection. </w:t>
      </w:r>
      <w:r w:rsidRPr="005F06DD">
        <w:rPr>
          <w:vertAlign w:val="superscript"/>
        </w:rPr>
        <w:t>3</w:t>
      </w:r>
      <w:r>
        <w:t xml:space="preserve"> Early diagnosis and </w:t>
      </w:r>
      <w:r w:rsidR="003346E9">
        <w:t>its prompt treatment</w:t>
      </w:r>
      <w:r>
        <w:t xml:space="preserve"> is essential for Spinal involvement to prevent </w:t>
      </w:r>
      <w:r w:rsidR="003346E9">
        <w:t xml:space="preserve">further </w:t>
      </w:r>
      <w:r>
        <w:t>permanent neurological deficit. The infection might be mild,</w:t>
      </w:r>
      <w:r w:rsidR="003346E9">
        <w:t xml:space="preserve"> or severe</w:t>
      </w:r>
      <w:r>
        <w:t xml:space="preserve"> and it rarely leads to chronic disease. Untreated infections can lead to serious complications</w:t>
      </w:r>
      <w:r w:rsidR="003346E9">
        <w:t xml:space="preserve"> which involves different organs</w:t>
      </w:r>
      <w:r>
        <w:t xml:space="preserve"> and even death.</w:t>
      </w:r>
      <w:r w:rsidRPr="005F06DD">
        <w:rPr>
          <w:vertAlign w:val="superscript"/>
        </w:rPr>
        <w:t>4</w:t>
      </w:r>
      <w:r>
        <w:t xml:space="preserve"> </w:t>
      </w:r>
      <w:r w:rsidR="0033565F">
        <w:t>In this, we will discuss a case of 41-year-old Female diagnosed with Brucellosis which complicated to right sacroiliitis which is a rare complication.</w:t>
      </w:r>
    </w:p>
    <w:p w14:paraId="626F7965" w14:textId="54183C28" w:rsidR="00866E07" w:rsidRDefault="00A47744" w:rsidP="00866E07">
      <w:pPr>
        <w:pStyle w:val="Heading1"/>
      </w:pPr>
      <w:r>
        <w:t>Case History/ Examination</w:t>
      </w:r>
    </w:p>
    <w:p w14:paraId="32C59559" w14:textId="0A12ADF9" w:rsidR="005F06DD" w:rsidRDefault="005F06DD" w:rsidP="005F06DD">
      <w:r>
        <w:t xml:space="preserve">A 41-year-old Female married, goat farming by occupation presented to our hospital with chief complaints of fever, low back pain and other multiple joint pain for 4 months. She started having a fever which was intermittent with the maximum temperature documented 102° Fahrenheit, </w:t>
      </w:r>
      <w:r w:rsidR="00393D0F">
        <w:t xml:space="preserve">febrile </w:t>
      </w:r>
      <w:r>
        <w:t xml:space="preserve">episodes </w:t>
      </w:r>
      <w:r w:rsidR="00393D0F">
        <w:t>lasted</w:t>
      </w:r>
      <w:r>
        <w:t xml:space="preserve"> 1-2 days followed by patients being afebrile for days to a week and used to get relieved by Paracetamol. She had a low back pain along with involvement of other joints including bilateral shoulder, elbow, wrist, and knee region. </w:t>
      </w:r>
      <w:r>
        <w:lastRenderedPageBreak/>
        <w:t xml:space="preserve">Morning stiffness was present for </w:t>
      </w:r>
      <w:r w:rsidR="003A0326">
        <w:t xml:space="preserve">half </w:t>
      </w:r>
      <w:r w:rsidR="00D34723">
        <w:t>a</w:t>
      </w:r>
      <w:r w:rsidR="003A0326">
        <w:t xml:space="preserve"> to one hour</w:t>
      </w:r>
      <w:r>
        <w:t xml:space="preserve"> and joint pain was relieved by activities. </w:t>
      </w:r>
      <w:r w:rsidR="003F4D08">
        <w:t>She had no history of trauma or injury.</w:t>
      </w:r>
    </w:p>
    <w:p w14:paraId="1AEF7136" w14:textId="0958F04A" w:rsidR="00A47744" w:rsidRDefault="005F06DD" w:rsidP="005F06DD">
      <w:r>
        <w:t xml:space="preserve">On examination </w:t>
      </w:r>
      <w:r w:rsidR="003346E9">
        <w:t>s</w:t>
      </w:r>
      <w:r>
        <w:t xml:space="preserve">he was afebrile, blood pressure was </w:t>
      </w:r>
      <w:r w:rsidR="00CD1BE7">
        <w:t>normal (</w:t>
      </w:r>
      <w:r>
        <w:t>110/70 mmHg</w:t>
      </w:r>
      <w:r w:rsidR="00CD1BE7">
        <w:t>)</w:t>
      </w:r>
      <w:r>
        <w:t xml:space="preserve">, pulse rate was </w:t>
      </w:r>
      <w:r w:rsidR="00CD1BE7">
        <w:t>normal (</w:t>
      </w:r>
      <w:r>
        <w:t>78 beats per minute</w:t>
      </w:r>
      <w:r w:rsidR="00CD1BE7">
        <w:t>)</w:t>
      </w:r>
      <w:r>
        <w:t xml:space="preserve">, and SPO2 was </w:t>
      </w:r>
      <w:r w:rsidR="00CD1BE7">
        <w:t>adequate (</w:t>
      </w:r>
      <w:r>
        <w:t>96%</w:t>
      </w:r>
      <w:r w:rsidR="00CD1BE7">
        <w:t>)</w:t>
      </w:r>
      <w:r w:rsidR="003346E9">
        <w:t xml:space="preserve"> which suggests stable vitals</w:t>
      </w:r>
      <w:r>
        <w:t>. A neurological examination was</w:t>
      </w:r>
      <w:r w:rsidR="003346E9">
        <w:t xml:space="preserve"> performed as was found to be</w:t>
      </w:r>
      <w:r>
        <w:t xml:space="preserve"> normal. </w:t>
      </w:r>
      <w:proofErr w:type="spellStart"/>
      <w:r>
        <w:t>Fabers</w:t>
      </w:r>
      <w:proofErr w:type="spellEnd"/>
      <w:r>
        <w:t xml:space="preserve">’ test and Sacroiliac Compression test of the right sacroiliac side were positive. </w:t>
      </w:r>
    </w:p>
    <w:p w14:paraId="31C9B918" w14:textId="661D8DBD" w:rsidR="00A47744" w:rsidRDefault="00A47744" w:rsidP="00A47744">
      <w:pPr>
        <w:pStyle w:val="Heading1"/>
      </w:pPr>
      <w:r>
        <w:t>Methods</w:t>
      </w:r>
    </w:p>
    <w:p w14:paraId="43A87CD4" w14:textId="1A7525C9" w:rsidR="00A47744" w:rsidRDefault="00A47744" w:rsidP="005F06DD">
      <w:r>
        <w:t>Upon investigation, her White Blood Count was 5800/</w:t>
      </w:r>
      <w:proofErr w:type="spellStart"/>
      <w:r>
        <w:t>cmm</w:t>
      </w:r>
      <w:proofErr w:type="spellEnd"/>
      <w:r>
        <w:t xml:space="preserve"> [ Normal 4000-11000], Haemoglobin was 11.3 gm% [Normal: 12-18 gm%], PCV was 33.9% [Normal: 37.5-45%], Platelets were 2,68,000/</w:t>
      </w:r>
      <w:proofErr w:type="spellStart"/>
      <w:r>
        <w:t>cumm</w:t>
      </w:r>
      <w:proofErr w:type="spellEnd"/>
      <w:r>
        <w:t xml:space="preserve"> [Normal: 150000-400000], ESR was 42 mm/hr [Normal: 0-20 mm/hr], </w:t>
      </w:r>
      <w:proofErr w:type="spellStart"/>
      <w:r>
        <w:t>HsCRP</w:t>
      </w:r>
      <w:proofErr w:type="spellEnd"/>
      <w:r>
        <w:t xml:space="preserve"> was 10.69 [&gt;3 is high risk], vitamin B12 was 481 </w:t>
      </w:r>
      <w:proofErr w:type="spellStart"/>
      <w:r>
        <w:t>pg</w:t>
      </w:r>
      <w:proofErr w:type="spellEnd"/>
      <w:r>
        <w:t>/ml. This interprets as Serological tests (ELISA for detecting anti-Brucella antibodies) were positive and were 1:160. The patient also underwent other serological tests of ANA, RA Factor, HLAB27 typing, all of which turned negative. Further, the Mantoux test showed induration of 4 mm which indicates a negative result. The Urinalysis and stool culture were normal. Her ultrasonography of the abdomen and pelvis was found to be normal.</w:t>
      </w:r>
    </w:p>
    <w:p w14:paraId="525D119B" w14:textId="4A36292B" w:rsidR="00AB6B6E" w:rsidRDefault="00924946" w:rsidP="00924946">
      <w:pPr>
        <w:ind w:left="720"/>
      </w:pPr>
      <w:r>
        <w:t xml:space="preserve">Figure: 1 X ray of </w:t>
      </w:r>
      <w:r w:rsidRPr="00924946">
        <w:t>pelvis and lower spine.</w:t>
      </w:r>
      <w:r>
        <w:t xml:space="preserve"> </w:t>
      </w:r>
      <w:r w:rsidR="00751175">
        <w:t>Sclerosis around right sacroiliac joint suggesting of Right sacroiliitis</w:t>
      </w:r>
    </w:p>
    <w:p w14:paraId="486D46A3" w14:textId="1F480212" w:rsidR="00BF7D9F" w:rsidRDefault="00924946" w:rsidP="005F06DD">
      <w:r>
        <w:rPr>
          <w:noProof/>
        </w:rPr>
        <w:drawing>
          <wp:anchor distT="0" distB="0" distL="114300" distR="114300" simplePos="0" relativeHeight="251659776" behindDoc="1" locked="0" layoutInCell="1" allowOverlap="1" wp14:anchorId="6E3CCAC6" wp14:editId="5CD9C3EE">
            <wp:simplePos x="0" y="0"/>
            <wp:positionH relativeFrom="column">
              <wp:posOffset>818955</wp:posOffset>
            </wp:positionH>
            <wp:positionV relativeFrom="paragraph">
              <wp:posOffset>3175</wp:posOffset>
            </wp:positionV>
            <wp:extent cx="3546230" cy="2538730"/>
            <wp:effectExtent l="0" t="0" r="0" b="0"/>
            <wp:wrapNone/>
            <wp:docPr id="1533025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25860" name="Picture 153302586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46230" cy="2538730"/>
                    </a:xfrm>
                    <a:prstGeom prst="rect">
                      <a:avLst/>
                    </a:prstGeom>
                  </pic:spPr>
                </pic:pic>
              </a:graphicData>
            </a:graphic>
            <wp14:sizeRelH relativeFrom="page">
              <wp14:pctWidth>0</wp14:pctWidth>
            </wp14:sizeRelH>
            <wp14:sizeRelV relativeFrom="page">
              <wp14:pctHeight>0</wp14:pctHeight>
            </wp14:sizeRelV>
          </wp:anchor>
        </w:drawing>
      </w:r>
    </w:p>
    <w:p w14:paraId="452A856C" w14:textId="1992D2BA" w:rsidR="00BF7D9F" w:rsidRDefault="00170908" w:rsidP="005F06DD">
      <w:r>
        <w:rPr>
          <w:noProof/>
        </w:rPr>
        <mc:AlternateContent>
          <mc:Choice Requires="wps">
            <w:drawing>
              <wp:anchor distT="0" distB="0" distL="114300" distR="114300" simplePos="0" relativeHeight="251673088" behindDoc="0" locked="0" layoutInCell="1" allowOverlap="1" wp14:anchorId="603B6BB5" wp14:editId="2C0366FD">
                <wp:simplePos x="0" y="0"/>
                <wp:positionH relativeFrom="column">
                  <wp:posOffset>2159000</wp:posOffset>
                </wp:positionH>
                <wp:positionV relativeFrom="paragraph">
                  <wp:posOffset>134620</wp:posOffset>
                </wp:positionV>
                <wp:extent cx="198755" cy="215900"/>
                <wp:effectExtent l="73025" t="24765" r="23495" b="64135"/>
                <wp:wrapNone/>
                <wp:docPr id="129501212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755" cy="215900"/>
                        </a:xfrm>
                        <a:prstGeom prst="straightConnector1">
                          <a:avLst/>
                        </a:prstGeom>
                        <a:noFill/>
                        <a:ln w="3175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70564F0" id="_x0000_t32" coordsize="21600,21600" o:spt="32" o:oned="t" path="m,l21600,21600e" filled="f">
                <v:path arrowok="t" fillok="f" o:connecttype="none"/>
                <o:lock v:ext="edit" shapetype="t"/>
              </v:shapetype>
              <v:shape id="AutoShape 4" o:spid="_x0000_s1026" type="#_x0000_t32" style="position:absolute;margin-left:170pt;margin-top:10.6pt;width:15.65pt;height:17pt;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" strokecolor="#c0504d [3205]" strokeweight="2.5pt">
                <v:stroke endarrow="block"/>
                <v:shadow color="#868686"/>
              </v:shape>
            </w:pict>
          </mc:Fallback>
        </mc:AlternateContent>
      </w:r>
    </w:p>
    <w:p w14:paraId="2FF00ECF" w14:textId="77777777" w:rsidR="00BF7D9F" w:rsidRDefault="00BF7D9F" w:rsidP="005F06DD"/>
    <w:p w14:paraId="4DAFA961" w14:textId="77777777" w:rsidR="00BF7D9F" w:rsidRDefault="00BF7D9F" w:rsidP="005F06DD"/>
    <w:p w14:paraId="4DB572C9" w14:textId="77777777" w:rsidR="00BF7D9F" w:rsidRDefault="00BF7D9F" w:rsidP="005F06DD"/>
    <w:p w14:paraId="085FF8ED" w14:textId="77777777" w:rsidR="00BF7D9F" w:rsidRDefault="00BF7D9F" w:rsidP="005F06DD"/>
    <w:p w14:paraId="563357D1" w14:textId="77777777" w:rsidR="00924946" w:rsidRDefault="00924946" w:rsidP="005F06DD"/>
    <w:p w14:paraId="38D33B4B" w14:textId="77777777" w:rsidR="004D1683" w:rsidRDefault="00745E43" w:rsidP="004D1683">
      <w:pPr>
        <w:ind w:left="720"/>
      </w:pPr>
      <w:r>
        <w:t xml:space="preserve">      </w:t>
      </w:r>
    </w:p>
    <w:p w14:paraId="50846B1E" w14:textId="77777777" w:rsidR="008C0A21" w:rsidRDefault="008C0A21" w:rsidP="004D1683"/>
    <w:p w14:paraId="3F92FDD2" w14:textId="41D3C3CA" w:rsidR="008C0A21" w:rsidRDefault="0025553F" w:rsidP="008C0A21">
      <w:r>
        <w:t xml:space="preserve">X ray of </w:t>
      </w:r>
      <w:r w:rsidRPr="00924946">
        <w:t>pelvis and lower spine</w:t>
      </w:r>
      <w:r>
        <w:t xml:space="preserve"> (Figure 1) revealed sclerosis around right sacroiliac joint suggestive of Right Sacroiliitis. Computed Tomography Scan of chest and abdomen revealed predominantly sclerotic changes in </w:t>
      </w:r>
      <w:proofErr w:type="spellStart"/>
      <w:r>
        <w:t>articular</w:t>
      </w:r>
      <w:proofErr w:type="spellEnd"/>
      <w:r>
        <w:t xml:space="preserve"> surface of right sacroiliac joint suggestive of right sacroiliitis associated with a hypodense fracture line in the adjacent sacral ala.</w:t>
      </w:r>
      <w:r w:rsidR="008C0A21">
        <w:t xml:space="preserve"> </w:t>
      </w:r>
      <w:r w:rsidR="008C0A21" w:rsidRPr="00745E43">
        <w:t>Axial bone window CT scan</w:t>
      </w:r>
      <w:r w:rsidR="008C0A21">
        <w:t xml:space="preserve"> (Figure 2) revealed sclerosis and erosion around right sacroiliac joint. Sacroiliac joint in post-contrast images of MRI Spine shows a subchondral low signal in right iliac surface (likely sclerosis) and subchondral marrow enhancement in both sacral and iliac surface of right sacroiliac joint, enhancement of the adjacent tissue was also seen, also patchy subchondral marrow oedema at the sacral aspect of left sacroiliac joint.  </w:t>
      </w:r>
    </w:p>
    <w:p w14:paraId="565CFE39" w14:textId="77777777" w:rsidR="008C0A21" w:rsidRDefault="008C0A21" w:rsidP="008C0A21"/>
    <w:p w14:paraId="1A174535" w14:textId="77777777" w:rsidR="008C0A21" w:rsidRDefault="008C0A21" w:rsidP="004D1683">
      <w:pPr>
        <w:ind w:firstLine="720"/>
      </w:pPr>
    </w:p>
    <w:p w14:paraId="5AB5AD15" w14:textId="77777777" w:rsidR="008C0A21" w:rsidRDefault="008C0A21" w:rsidP="008C0A21"/>
    <w:p w14:paraId="06C62288" w14:textId="4C4052CF" w:rsidR="00311D90" w:rsidRDefault="00745E43" w:rsidP="004D1683">
      <w:pPr>
        <w:ind w:firstLine="720"/>
      </w:pPr>
      <w:r>
        <w:lastRenderedPageBreak/>
        <w:t xml:space="preserve"> </w:t>
      </w:r>
      <w:r w:rsidR="00311D90">
        <w:t xml:space="preserve">Figure: 2 </w:t>
      </w:r>
      <w:r w:rsidRPr="00745E43">
        <w:t>Axial bone window CT scan</w:t>
      </w:r>
      <w:r>
        <w:t xml:space="preserve"> showing Sacroiliitis of Right Sacroiliac Joint</w:t>
      </w:r>
    </w:p>
    <w:p w14:paraId="1B489AD8" w14:textId="4B6C8418" w:rsidR="00311D90" w:rsidRDefault="0025553F" w:rsidP="005F06DD">
      <w:r>
        <w:rPr>
          <w:noProof/>
        </w:rPr>
        <w:drawing>
          <wp:anchor distT="0" distB="0" distL="114300" distR="114300" simplePos="0" relativeHeight="251671040" behindDoc="1" locked="0" layoutInCell="1" allowOverlap="1" wp14:anchorId="655716DD" wp14:editId="0BC32BC0">
            <wp:simplePos x="0" y="0"/>
            <wp:positionH relativeFrom="column">
              <wp:posOffset>542290</wp:posOffset>
            </wp:positionH>
            <wp:positionV relativeFrom="paragraph">
              <wp:posOffset>3810</wp:posOffset>
            </wp:positionV>
            <wp:extent cx="4061460" cy="3326765"/>
            <wp:effectExtent l="0" t="0" r="0" b="0"/>
            <wp:wrapTight wrapText="bothSides">
              <wp:wrapPolygon edited="0">
                <wp:start x="0" y="0"/>
                <wp:lineTo x="0" y="21522"/>
                <wp:lineTo x="21478" y="21522"/>
                <wp:lineTo x="21478" y="0"/>
                <wp:lineTo x="0" y="0"/>
              </wp:wrapPolygon>
            </wp:wrapTight>
            <wp:docPr id="139625455" name="Picture 1" descr="A close-up of an x-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25455" name="Picture 1" descr="A close-up of an x-ray"/>
                    <pic:cNvPicPr/>
                  </pic:nvPicPr>
                  <pic:blipFill>
                    <a:blip r:embed="rId11">
                      <a:extLst>
                        <a:ext uri="{28A0092B-C50C-407E-A947-70E740481C1C}">
                          <a14:useLocalDpi xmlns:a14="http://schemas.microsoft.com/office/drawing/2010/main" val="0"/>
                        </a:ext>
                      </a:extLst>
                    </a:blip>
                    <a:stretch>
                      <a:fillRect/>
                    </a:stretch>
                  </pic:blipFill>
                  <pic:spPr>
                    <a:xfrm>
                      <a:off x="0" y="0"/>
                      <a:ext cx="4061460" cy="3326765"/>
                    </a:xfrm>
                    <a:prstGeom prst="rect">
                      <a:avLst/>
                    </a:prstGeom>
                  </pic:spPr>
                </pic:pic>
              </a:graphicData>
            </a:graphic>
            <wp14:sizeRelH relativeFrom="margin">
              <wp14:pctWidth>0</wp14:pctWidth>
            </wp14:sizeRelH>
            <wp14:sizeRelV relativeFrom="margin">
              <wp14:pctHeight>0</wp14:pctHeight>
            </wp14:sizeRelV>
          </wp:anchor>
        </w:drawing>
      </w:r>
    </w:p>
    <w:p w14:paraId="193BD065" w14:textId="77777777" w:rsidR="00311D90" w:rsidRDefault="00311D90" w:rsidP="005F06DD"/>
    <w:p w14:paraId="41C1AB88" w14:textId="77777777" w:rsidR="00311D90" w:rsidRDefault="00311D90" w:rsidP="005F06DD"/>
    <w:p w14:paraId="6260FEB5" w14:textId="753666CD" w:rsidR="00311D90" w:rsidRDefault="00311D90" w:rsidP="005F06DD"/>
    <w:p w14:paraId="47968A7D" w14:textId="238737AE" w:rsidR="00311D90" w:rsidRDefault="00170908" w:rsidP="005F06DD">
      <w:r>
        <w:rPr>
          <w:noProof/>
        </w:rPr>
        <mc:AlternateContent>
          <mc:Choice Requires="wps">
            <w:drawing>
              <wp:anchor distT="0" distB="0" distL="114300" distR="114300" simplePos="0" relativeHeight="251672064" behindDoc="0" locked="0" layoutInCell="1" allowOverlap="1" wp14:anchorId="1861D1FF" wp14:editId="343D021F">
                <wp:simplePos x="0" y="0"/>
                <wp:positionH relativeFrom="column">
                  <wp:posOffset>2002155</wp:posOffset>
                </wp:positionH>
                <wp:positionV relativeFrom="paragraph">
                  <wp:posOffset>162560</wp:posOffset>
                </wp:positionV>
                <wp:extent cx="182245" cy="279400"/>
                <wp:effectExtent l="78105" t="22225" r="15875" b="60325"/>
                <wp:wrapNone/>
                <wp:docPr id="3905034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245" cy="279400"/>
                        </a:xfrm>
                        <a:prstGeom prst="straightConnector1">
                          <a:avLst/>
                        </a:prstGeom>
                        <a:noFill/>
                        <a:ln w="31750">
                          <a:solidFill>
                            <a:schemeClr val="accent2">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D7EED0F" id="AutoShape 3" o:spid="_x0000_s1026" type="#_x0000_t32" style="position:absolute;margin-left:157.65pt;margin-top:12.8pt;width:14.35pt;height:22pt;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" strokecolor="#c0504d [3205]" strokeweight="2.5pt">
                <v:stroke endarrow="block"/>
                <v:shadow color="#868686"/>
              </v:shape>
            </w:pict>
          </mc:Fallback>
        </mc:AlternateContent>
      </w:r>
    </w:p>
    <w:p w14:paraId="747CE706" w14:textId="30E139A0" w:rsidR="00311D90" w:rsidRDefault="00311D90" w:rsidP="005F06DD"/>
    <w:p w14:paraId="02700ACE" w14:textId="77777777" w:rsidR="00311D90" w:rsidRDefault="00311D90" w:rsidP="005F06DD"/>
    <w:p w14:paraId="07D33FAC" w14:textId="77777777" w:rsidR="00311D90" w:rsidRDefault="00311D90" w:rsidP="005F06DD"/>
    <w:p w14:paraId="4B66E52F" w14:textId="77777777" w:rsidR="00311D90" w:rsidRDefault="00311D90" w:rsidP="005F06DD"/>
    <w:p w14:paraId="6A282EAC" w14:textId="77777777" w:rsidR="00311D90" w:rsidRDefault="00311D90" w:rsidP="005F06DD"/>
    <w:p w14:paraId="08C87CF8" w14:textId="77777777" w:rsidR="00311D90" w:rsidRDefault="00311D90" w:rsidP="005F06DD"/>
    <w:p w14:paraId="77210336" w14:textId="77777777" w:rsidR="00311D90" w:rsidRDefault="00311D90" w:rsidP="005F06DD"/>
    <w:p w14:paraId="54942922" w14:textId="77777777" w:rsidR="00A47744" w:rsidRDefault="00A47744" w:rsidP="005F06DD"/>
    <w:p w14:paraId="7139329B" w14:textId="0A72E533" w:rsidR="00A47744" w:rsidRDefault="00A47744" w:rsidP="00A47744">
      <w:pPr>
        <w:pStyle w:val="Heading1"/>
      </w:pPr>
      <w:r>
        <w:t>Conclusion and results</w:t>
      </w:r>
    </w:p>
    <w:p w14:paraId="7158E02F" w14:textId="06A74000" w:rsidR="005F06DD" w:rsidRDefault="00D34723" w:rsidP="005F06DD">
      <w:r>
        <w:t xml:space="preserve">Diagnosis was made following correlation of Clinical history, examination, serology and radiological investigation. </w:t>
      </w:r>
      <w:r w:rsidR="005F06DD">
        <w:t>Her treatment was arranged in the form of a combination of doxycycline (100 mg; twice a day) and rifampicin (600 mg; once a day) and Gentamicin (320 mg; IV)</w:t>
      </w:r>
      <w:r w:rsidR="00C734E0">
        <w:t xml:space="preserve">. </w:t>
      </w:r>
      <w:r w:rsidR="00CD0706">
        <w:t>Following the treatment, the patient was closely observed. Her joint pain and low back pain was slowly decreased, and fever was also subsided. She was discharged on the 18</w:t>
      </w:r>
      <w:r w:rsidR="00CD0706" w:rsidRPr="00CD0706">
        <w:rPr>
          <w:vertAlign w:val="superscript"/>
        </w:rPr>
        <w:t>th</w:t>
      </w:r>
      <w:r w:rsidR="00CD0706">
        <w:t xml:space="preserve"> day of her stay</w:t>
      </w:r>
      <w:r w:rsidR="003346E9">
        <w:t xml:space="preserve"> from hospital</w:t>
      </w:r>
      <w:r w:rsidR="00CD0706">
        <w:t xml:space="preserve">. She had </w:t>
      </w:r>
      <w:proofErr w:type="gramStart"/>
      <w:r w:rsidR="00CD0706">
        <w:t>follow</w:t>
      </w:r>
      <w:proofErr w:type="gramEnd"/>
      <w:r w:rsidR="00CD0706">
        <w:t xml:space="preserve"> up appointment at the outpatient department </w:t>
      </w:r>
      <w:r w:rsidR="00050793">
        <w:t xml:space="preserve">after 4 weeks of discharge </w:t>
      </w:r>
      <w:r w:rsidR="00CD0706">
        <w:t xml:space="preserve">and no fresh issues were identified. </w:t>
      </w:r>
    </w:p>
    <w:p w14:paraId="5BEC98D3" w14:textId="77777777" w:rsidR="00A47744" w:rsidRDefault="00A47744" w:rsidP="005F06DD"/>
    <w:p w14:paraId="149EDD6E" w14:textId="77777777" w:rsidR="00866E07" w:rsidRDefault="00866E07" w:rsidP="00866E07">
      <w:pPr>
        <w:pStyle w:val="Heading1"/>
      </w:pPr>
      <w:r>
        <w:t>Discussion</w:t>
      </w:r>
    </w:p>
    <w:p w14:paraId="76AB130D" w14:textId="4BE1B6C0" w:rsidR="007203B1" w:rsidRPr="00BD4883" w:rsidRDefault="007203B1" w:rsidP="005F06DD">
      <w:bookmarkStart w:id="0" w:name="_AUTHOR_INFORMATION"/>
      <w:bookmarkEnd w:id="0"/>
      <w:r>
        <w:t>Brucellosis is a common endemic zoonotic disease which affects people worldwide. It’s mode of transmission is by consuming unpasteurized milk, touching affected animal products or taking raw meat without proper cooking.</w:t>
      </w:r>
      <w:r w:rsidRPr="007203B1">
        <w:rPr>
          <w:vertAlign w:val="superscript"/>
        </w:rPr>
        <w:t xml:space="preserve"> </w:t>
      </w:r>
      <w:r w:rsidRPr="005F06DD">
        <w:rPr>
          <w:vertAlign w:val="superscript"/>
        </w:rPr>
        <w:t>5</w:t>
      </w:r>
      <w:r>
        <w:t xml:space="preserve"> The symptoms include non-specific and mild, which makes difficult to diagnose brucellosis in its early course so can be progressed to spinal brucellosis. Though clinical features and imaging modality provide a thorough assessment about the illness, but the diagnosis of brucellosis can be confirmed only by if isolated from blood, bone marrow or other tissues.</w:t>
      </w:r>
      <w:r w:rsidRPr="007203B1">
        <w:rPr>
          <w:vertAlign w:val="superscript"/>
        </w:rPr>
        <w:t xml:space="preserve"> </w:t>
      </w:r>
      <w:r w:rsidRPr="005F06DD">
        <w:rPr>
          <w:vertAlign w:val="superscript"/>
        </w:rPr>
        <w:t>6</w:t>
      </w:r>
      <w:r>
        <w:t xml:space="preserve"> </w:t>
      </w:r>
      <w:r w:rsidR="00BD4883">
        <w:t>One of the studies found skeletal involvement in 21.8% of acute cases, 34.7% of subacute cases 25.7% of chronic cases, and 27.3% of relapsed cases, for a total of 25.3%.</w:t>
      </w:r>
      <w:r w:rsidR="00BD4883" w:rsidRPr="005F06DD">
        <w:rPr>
          <w:vertAlign w:val="superscript"/>
        </w:rPr>
        <w:t>7</w:t>
      </w:r>
      <w:r w:rsidR="00BD4883">
        <w:t xml:space="preserve"> This study suggests that osteoarticular involvement is more in subacute, chronic and relapsed case rather than acute case. In our case, patient had chronic course and had history of fever, back pain for more than 5 months.</w:t>
      </w:r>
    </w:p>
    <w:p w14:paraId="2A74A461" w14:textId="2E5F3968" w:rsidR="00BD4883" w:rsidRPr="00BD4883" w:rsidRDefault="00BD4883" w:rsidP="005F06DD">
      <w:r>
        <w:t>Brucella in an acute phase presents with nonspecific and vague symptoms such as undulating fever, weight loss, and weariness whereas in chronic phase presents years after initial exposure with involvement of musculoskeletal system with a symptom of back pain, arthralgias and sweating.</w:t>
      </w:r>
      <w:r w:rsidRPr="00BD4883">
        <w:rPr>
          <w:vertAlign w:val="superscript"/>
        </w:rPr>
        <w:t xml:space="preserve"> </w:t>
      </w:r>
      <w:r w:rsidRPr="005F06DD">
        <w:rPr>
          <w:vertAlign w:val="superscript"/>
        </w:rPr>
        <w:t>4</w:t>
      </w:r>
      <w:r>
        <w:t xml:space="preserve"> In our case, patient had a </w:t>
      </w:r>
      <w:r>
        <w:lastRenderedPageBreak/>
        <w:t>symptom of fever, low back pain and other multiple joint pain for 6 months suggestive of chronic brucellosis with spinal involvement. Clinical history, examination and investigation findings are important and need to be correlated for the proper diagnosis of brucellosis. If brucella involves axial skeletal then it will manifest in variety of ways which includes spondylitis, spondylodiscitis, pure discitis, sacroiliitis and even facet joint involvement.</w:t>
      </w:r>
      <w:r w:rsidRPr="00BD4883">
        <w:rPr>
          <w:vertAlign w:val="superscript"/>
        </w:rPr>
        <w:t xml:space="preserve"> </w:t>
      </w:r>
      <w:r w:rsidRPr="005F06DD">
        <w:rPr>
          <w:vertAlign w:val="superscript"/>
        </w:rPr>
        <w:t>3</w:t>
      </w:r>
      <w:r>
        <w:t xml:space="preserve"> Typically, Brucellosis presents with mild anaemia, thrombocytopenia, relative lymphocytosis, along with leukopenia raised ESR and CRP level in routine laboratory test of blood.</w:t>
      </w:r>
      <w:r w:rsidRPr="00BD4883">
        <w:rPr>
          <w:vertAlign w:val="superscript"/>
        </w:rPr>
        <w:t xml:space="preserve"> </w:t>
      </w:r>
      <w:r w:rsidR="00A1322C" w:rsidRPr="005F06DD">
        <w:rPr>
          <w:vertAlign w:val="superscript"/>
        </w:rPr>
        <w:t>8</w:t>
      </w:r>
      <w:r w:rsidR="00A1322C">
        <w:t xml:space="preserve"> Laboratory</w:t>
      </w:r>
      <w:r>
        <w:t xml:space="preserve"> findings of this case included elevated ESR, CRP level</w:t>
      </w:r>
      <w:r w:rsidR="00756BFF">
        <w:t xml:space="preserve"> and </w:t>
      </w:r>
      <w:r w:rsidR="006F5C8C">
        <w:t>mild anaemia</w:t>
      </w:r>
      <w:r>
        <w:t xml:space="preserve"> which suggests being chronic infection.</w:t>
      </w:r>
    </w:p>
    <w:p w14:paraId="6E5E3B09" w14:textId="390C0315" w:rsidR="00A1322C" w:rsidRPr="00A1322C" w:rsidRDefault="00A1322C" w:rsidP="005F06DD">
      <w:r>
        <w:t xml:space="preserve">Isolation and identification of the cause is necessary for the definitive diagnosis of brucellosis whereas it is time consuming, requires trained and specialized staff and </w:t>
      </w:r>
      <w:r w:rsidR="00B11E23">
        <w:t>possess</w:t>
      </w:r>
      <w:r>
        <w:t xml:space="preserve"> a risk. Considering all these factors, serological testing is recommended generally. </w:t>
      </w:r>
      <w:r w:rsidRPr="005F06DD">
        <w:rPr>
          <w:vertAlign w:val="superscript"/>
        </w:rPr>
        <w:t>9</w:t>
      </w:r>
      <w:r>
        <w:t xml:space="preserve"> Serological testing for diagnosing brucellosis are divided into two types based on whether antibody is produced against lipopolysaccharides or other bacterial antigens.</w:t>
      </w:r>
      <w:r w:rsidRPr="00A1322C">
        <w:rPr>
          <w:vertAlign w:val="superscript"/>
        </w:rPr>
        <w:t xml:space="preserve"> </w:t>
      </w:r>
      <w:r w:rsidRPr="005F06DD">
        <w:rPr>
          <w:vertAlign w:val="superscript"/>
        </w:rPr>
        <w:t>10</w:t>
      </w:r>
      <w:r>
        <w:t xml:space="preserve"> Significant titres for diagnosis </w:t>
      </w:r>
      <w:r w:rsidR="002B1303">
        <w:t>brucellosis in</w:t>
      </w:r>
      <w:r>
        <w:t xml:space="preserve"> Serological Agglutination Test is over 1:160 </w:t>
      </w:r>
      <w:r w:rsidR="00B11E23">
        <w:t>whereas</w:t>
      </w:r>
      <w:r>
        <w:t xml:space="preserve"> in endemic areas, above 1:320.</w:t>
      </w:r>
      <w:r w:rsidR="002B1303" w:rsidRPr="002B1303">
        <w:rPr>
          <w:vertAlign w:val="superscript"/>
        </w:rPr>
        <w:t xml:space="preserve"> </w:t>
      </w:r>
      <w:r w:rsidR="002B1303" w:rsidRPr="005F06DD">
        <w:rPr>
          <w:vertAlign w:val="superscript"/>
        </w:rPr>
        <w:t>11</w:t>
      </w:r>
      <w:r w:rsidR="002B1303">
        <w:t xml:space="preserve"> In this case, patient had serological agglutination profile test for two times at an interval of 4 weeks and the titre was 1:160 which is significant and consistent for the diagnosis of Brucellosis.</w:t>
      </w:r>
    </w:p>
    <w:p w14:paraId="3D77D22F" w14:textId="181753A6" w:rsidR="00866E07" w:rsidRDefault="005F06DD" w:rsidP="005F06DD">
      <w:r>
        <w:t>Radiological assessment, such as computed tomography (CT), and magnetic resonance imaging (MRI) can aid to identify spinal brucellosis. They can identify the damaged areas. The CT scan allows for exact determination of disease characteristics such as vertebral degeneration and sclerosis. MRI is sensitive</w:t>
      </w:r>
      <w:r w:rsidR="00EC19AF">
        <w:t xml:space="preserve"> and </w:t>
      </w:r>
      <w:r w:rsidR="00B11E23">
        <w:t>helpful to</w:t>
      </w:r>
      <w:r>
        <w:t xml:space="preserve"> </w:t>
      </w:r>
      <w:r w:rsidR="00EC19AF">
        <w:t>look over pathology</w:t>
      </w:r>
      <w:r>
        <w:t xml:space="preserve"> such as the breakdown of vertebral body bone, intervertebral discs, and abscesses within </w:t>
      </w:r>
      <w:r w:rsidR="00EC19AF">
        <w:t xml:space="preserve">spinal </w:t>
      </w:r>
      <w:r>
        <w:t>canal</w:t>
      </w:r>
      <w:r w:rsidR="00EC19AF">
        <w:t xml:space="preserve"> as well as outside the spinal canal</w:t>
      </w:r>
      <w:r>
        <w:t>.</w:t>
      </w:r>
      <w:r w:rsidRPr="005F06DD">
        <w:rPr>
          <w:vertAlign w:val="superscript"/>
        </w:rPr>
        <w:t>12</w:t>
      </w:r>
      <w:r>
        <w:t xml:space="preserve"> In this case, predominantly sclerotic changes</w:t>
      </w:r>
      <w:r w:rsidR="00EC19AF">
        <w:t xml:space="preserve"> suggestive of pathology</w:t>
      </w:r>
      <w:r>
        <w:t xml:space="preserve"> in </w:t>
      </w:r>
      <w:proofErr w:type="spellStart"/>
      <w:r>
        <w:t>articular</w:t>
      </w:r>
      <w:proofErr w:type="spellEnd"/>
      <w:r>
        <w:t xml:space="preserve"> surface of right sacroiliac joint was found in CT scan. MRI whole spine was done and suggested loss of cervical lordosis, disc desiccation at multiple levels, mild disc bulge at C5-C6. The patient should be the primary consideration when selecting a suitable antibiotic combination. The WHO-recommended triple regimen of doxycycline (100 mg twice a day), rifampi</w:t>
      </w:r>
      <w:r w:rsidR="00626FA3">
        <w:t>ci</w:t>
      </w:r>
      <w:r>
        <w:t>n (600 mg/day), and streptomycin (1 g/day IM, 21 days) over six months is more successful for the therapy.</w:t>
      </w:r>
      <w:r w:rsidRPr="005F06DD">
        <w:rPr>
          <w:vertAlign w:val="superscript"/>
        </w:rPr>
        <w:t>13-14</w:t>
      </w:r>
      <w:r>
        <w:t xml:space="preserve"> However in this case, the patient was under combination of doxycycline (100 mg; twice a day) </w:t>
      </w:r>
      <w:r w:rsidR="00B11E23">
        <w:t xml:space="preserve">, </w:t>
      </w:r>
      <w:r>
        <w:t>rifampicin (600 mg; once a day) and Gentamicin (320 mg; IV )</w:t>
      </w:r>
    </w:p>
    <w:p w14:paraId="53D085C7" w14:textId="77777777" w:rsidR="00866E07" w:rsidRDefault="00866E07" w:rsidP="00866E07">
      <w:pPr>
        <w:pStyle w:val="Heading1"/>
      </w:pPr>
      <w:r>
        <w:t>References</w:t>
      </w:r>
    </w:p>
    <w:p w14:paraId="631A053A" w14:textId="6ABBBAE7" w:rsidR="00AE60A5" w:rsidRPr="005F06DD" w:rsidRDefault="00AE60A5" w:rsidP="005F06DD">
      <w:pPr>
        <w:pStyle w:val="ListParagraph"/>
        <w:numPr>
          <w:ilvl w:val="0"/>
          <w:numId w:val="2"/>
        </w:numPr>
        <w:autoSpaceDE w:val="0"/>
        <w:autoSpaceDN w:val="0"/>
        <w:rPr>
          <w:rFonts w:eastAsia="Times New Roman"/>
        </w:rPr>
      </w:pPr>
      <w:r w:rsidRPr="00AE60A5">
        <w:rPr>
          <w:rFonts w:eastAsia="Times New Roman"/>
        </w:rPr>
        <w:t xml:space="preserve">Atluri VL, Xavier MN, de Jong MF, den </w:t>
      </w:r>
      <w:proofErr w:type="spellStart"/>
      <w:r w:rsidRPr="00AE60A5">
        <w:rPr>
          <w:rFonts w:eastAsia="Times New Roman"/>
        </w:rPr>
        <w:t>Hartigh</w:t>
      </w:r>
      <w:proofErr w:type="spellEnd"/>
      <w:r w:rsidRPr="00AE60A5">
        <w:rPr>
          <w:rFonts w:eastAsia="Times New Roman"/>
        </w:rPr>
        <w:t xml:space="preserve"> AB, Tsolis RM. Interactions of the human pathogenic Brucella species with their hosts. </w:t>
      </w:r>
      <w:r w:rsidRPr="00AE60A5">
        <w:rPr>
          <w:rFonts w:eastAsia="Times New Roman"/>
          <w:i/>
          <w:iCs/>
        </w:rPr>
        <w:t xml:space="preserve">Annu Rev </w:t>
      </w:r>
      <w:proofErr w:type="spellStart"/>
      <w:r w:rsidRPr="00AE60A5">
        <w:rPr>
          <w:rFonts w:eastAsia="Times New Roman"/>
          <w:i/>
          <w:iCs/>
        </w:rPr>
        <w:t>Microbiol</w:t>
      </w:r>
      <w:proofErr w:type="spellEnd"/>
      <w:r w:rsidRPr="00AE60A5">
        <w:rPr>
          <w:rFonts w:eastAsia="Times New Roman"/>
        </w:rPr>
        <w:t xml:space="preserve">. </w:t>
      </w:r>
      <w:proofErr w:type="gramStart"/>
      <w:r w:rsidRPr="00AE60A5">
        <w:rPr>
          <w:rFonts w:eastAsia="Times New Roman"/>
        </w:rPr>
        <w:t>2011;65:523</w:t>
      </w:r>
      <w:proofErr w:type="gramEnd"/>
      <w:r w:rsidRPr="00AE60A5">
        <w:rPr>
          <w:rFonts w:eastAsia="Times New Roman"/>
        </w:rPr>
        <w:t>-541. doi:10.1146/annurev-micro-090110-102905</w:t>
      </w:r>
    </w:p>
    <w:p w14:paraId="5576F9C0" w14:textId="3C7A6A54" w:rsidR="00AE60A5" w:rsidRPr="005F06DD" w:rsidRDefault="00AE60A5" w:rsidP="005F06DD">
      <w:pPr>
        <w:pStyle w:val="ListParagraph"/>
        <w:numPr>
          <w:ilvl w:val="0"/>
          <w:numId w:val="2"/>
        </w:numPr>
        <w:autoSpaceDE w:val="0"/>
        <w:autoSpaceDN w:val="0"/>
        <w:rPr>
          <w:rFonts w:eastAsia="Times New Roman"/>
        </w:rPr>
      </w:pPr>
      <w:r w:rsidRPr="00AE60A5">
        <w:rPr>
          <w:rFonts w:eastAsia="Times New Roman"/>
        </w:rPr>
        <w:t xml:space="preserve">Ulu-Kilic A, </w:t>
      </w:r>
      <w:proofErr w:type="spellStart"/>
      <w:r w:rsidRPr="00AE60A5">
        <w:rPr>
          <w:rFonts w:eastAsia="Times New Roman"/>
        </w:rPr>
        <w:t>Metan</w:t>
      </w:r>
      <w:proofErr w:type="spellEnd"/>
      <w:r w:rsidRPr="00AE60A5">
        <w:rPr>
          <w:rFonts w:eastAsia="Times New Roman"/>
        </w:rPr>
        <w:t xml:space="preserve"> G, Alp E. Clinical presentations and diagnosis of brucellosis. </w:t>
      </w:r>
      <w:r w:rsidRPr="00AE60A5">
        <w:rPr>
          <w:rFonts w:eastAsia="Times New Roman"/>
          <w:i/>
          <w:iCs/>
        </w:rPr>
        <w:t xml:space="preserve">Recent Pat </w:t>
      </w:r>
      <w:proofErr w:type="spellStart"/>
      <w:r w:rsidRPr="00AE60A5">
        <w:rPr>
          <w:rFonts w:eastAsia="Times New Roman"/>
          <w:i/>
          <w:iCs/>
        </w:rPr>
        <w:t>Antiinfect</w:t>
      </w:r>
      <w:proofErr w:type="spellEnd"/>
      <w:r w:rsidRPr="00AE60A5">
        <w:rPr>
          <w:rFonts w:eastAsia="Times New Roman"/>
          <w:i/>
          <w:iCs/>
        </w:rPr>
        <w:t xml:space="preserve"> Drug </w:t>
      </w:r>
      <w:proofErr w:type="spellStart"/>
      <w:r w:rsidRPr="00AE60A5">
        <w:rPr>
          <w:rFonts w:eastAsia="Times New Roman"/>
          <w:i/>
          <w:iCs/>
        </w:rPr>
        <w:t>Discov</w:t>
      </w:r>
      <w:proofErr w:type="spellEnd"/>
      <w:r w:rsidRPr="00AE60A5">
        <w:rPr>
          <w:rFonts w:eastAsia="Times New Roman"/>
        </w:rPr>
        <w:t>. 2013;8(1):34-41.</w:t>
      </w:r>
    </w:p>
    <w:p w14:paraId="6244C67F" w14:textId="630478FF" w:rsidR="00AE60A5" w:rsidRPr="005F06DD" w:rsidRDefault="00AE60A5" w:rsidP="005F06DD">
      <w:pPr>
        <w:pStyle w:val="ListParagraph"/>
        <w:numPr>
          <w:ilvl w:val="0"/>
          <w:numId w:val="2"/>
        </w:numPr>
        <w:autoSpaceDE w:val="0"/>
        <w:autoSpaceDN w:val="0"/>
        <w:rPr>
          <w:rFonts w:eastAsia="Times New Roman"/>
        </w:rPr>
      </w:pPr>
      <w:proofErr w:type="spellStart"/>
      <w:r w:rsidRPr="00AE60A5">
        <w:rPr>
          <w:rFonts w:eastAsia="Times New Roman"/>
        </w:rPr>
        <w:t>Esmaeilnejad</w:t>
      </w:r>
      <w:proofErr w:type="spellEnd"/>
      <w:r w:rsidRPr="00AE60A5">
        <w:rPr>
          <w:rFonts w:eastAsia="Times New Roman"/>
        </w:rPr>
        <w:t xml:space="preserve">-Ganji SM, </w:t>
      </w:r>
      <w:proofErr w:type="spellStart"/>
      <w:r w:rsidRPr="00AE60A5">
        <w:rPr>
          <w:rFonts w:eastAsia="Times New Roman"/>
        </w:rPr>
        <w:t>Esmaeilnejad</w:t>
      </w:r>
      <w:proofErr w:type="spellEnd"/>
      <w:r w:rsidRPr="00AE60A5">
        <w:rPr>
          <w:rFonts w:eastAsia="Times New Roman"/>
        </w:rPr>
        <w:t>-Ganji SMR. Osteoarticular manifestations of human brucellosis: A review. </w:t>
      </w:r>
      <w:r w:rsidRPr="00AE60A5">
        <w:rPr>
          <w:rFonts w:eastAsia="Times New Roman"/>
          <w:i/>
          <w:iCs/>
        </w:rPr>
        <w:t xml:space="preserve">World J </w:t>
      </w:r>
      <w:proofErr w:type="spellStart"/>
      <w:r w:rsidRPr="00AE60A5">
        <w:rPr>
          <w:rFonts w:eastAsia="Times New Roman"/>
          <w:i/>
          <w:iCs/>
        </w:rPr>
        <w:t>Orthop</w:t>
      </w:r>
      <w:proofErr w:type="spellEnd"/>
      <w:r w:rsidRPr="00AE60A5">
        <w:rPr>
          <w:rFonts w:eastAsia="Times New Roman"/>
        </w:rPr>
        <w:t>. 2019;10(2):54-62. Published 2019 Feb 18. doi:10.5312/</w:t>
      </w:r>
      <w:proofErr w:type="gramStart"/>
      <w:r w:rsidRPr="00AE60A5">
        <w:rPr>
          <w:rFonts w:eastAsia="Times New Roman"/>
        </w:rPr>
        <w:t>wjo.v10.i</w:t>
      </w:r>
      <w:proofErr w:type="gramEnd"/>
      <w:r w:rsidRPr="00AE60A5">
        <w:rPr>
          <w:rFonts w:eastAsia="Times New Roman"/>
        </w:rPr>
        <w:t>2.54</w:t>
      </w:r>
    </w:p>
    <w:p w14:paraId="7D7ED036" w14:textId="7C0C5AD3" w:rsidR="005F06DD" w:rsidRPr="005F06DD" w:rsidRDefault="005F06DD" w:rsidP="005F06DD">
      <w:pPr>
        <w:pStyle w:val="ListParagraph"/>
        <w:numPr>
          <w:ilvl w:val="0"/>
          <w:numId w:val="2"/>
        </w:numPr>
        <w:autoSpaceDE w:val="0"/>
        <w:autoSpaceDN w:val="0"/>
        <w:rPr>
          <w:rFonts w:eastAsia="Times New Roman"/>
        </w:rPr>
      </w:pPr>
      <w:r w:rsidRPr="005F06DD">
        <w:rPr>
          <w:rFonts w:eastAsia="Times New Roman"/>
        </w:rPr>
        <w:t>About Brucellosis. Brucellosis. Published May 2, 2024.</w:t>
      </w:r>
      <w:r>
        <w:rPr>
          <w:rFonts w:eastAsia="Times New Roman"/>
        </w:rPr>
        <w:t xml:space="preserve"> </w:t>
      </w:r>
      <w:r w:rsidRPr="005F06DD">
        <w:rPr>
          <w:rFonts w:eastAsia="Times New Roman"/>
        </w:rPr>
        <w:t>https://www.cdc.gov/brucellosis/about/index.html?utm_medium=email&amp;utm_source=transaction</w:t>
      </w:r>
    </w:p>
    <w:p w14:paraId="0506A67A" w14:textId="3C5B66B3" w:rsidR="005F06DD" w:rsidRPr="005F06DD" w:rsidRDefault="005F06DD" w:rsidP="005F06DD">
      <w:pPr>
        <w:pStyle w:val="ListParagraph"/>
        <w:numPr>
          <w:ilvl w:val="0"/>
          <w:numId w:val="2"/>
        </w:numPr>
        <w:autoSpaceDE w:val="0"/>
        <w:autoSpaceDN w:val="0"/>
        <w:rPr>
          <w:rFonts w:eastAsia="Times New Roman"/>
        </w:rPr>
      </w:pPr>
      <w:proofErr w:type="spellStart"/>
      <w:r w:rsidRPr="005F06DD">
        <w:rPr>
          <w:rFonts w:eastAsia="Times New Roman"/>
        </w:rPr>
        <w:t>Gotuzzo</w:t>
      </w:r>
      <w:proofErr w:type="spellEnd"/>
      <w:r w:rsidRPr="005F06DD">
        <w:rPr>
          <w:rFonts w:eastAsia="Times New Roman"/>
        </w:rPr>
        <w:t xml:space="preserve"> E, Seas C, Guerra JG, et al. Brucellar arthritis: a study of 39 Peruvian families. </w:t>
      </w:r>
      <w:r w:rsidRPr="00AE60A5">
        <w:rPr>
          <w:rFonts w:eastAsia="Times New Roman"/>
          <w:i/>
          <w:iCs/>
        </w:rPr>
        <w:t>Ann Rheum Dis</w:t>
      </w:r>
      <w:r w:rsidRPr="005F06DD">
        <w:rPr>
          <w:rFonts w:eastAsia="Times New Roman"/>
        </w:rPr>
        <w:t>. 1987;46(7):506-509. doi:10.1136/ard.46.7.506</w:t>
      </w:r>
    </w:p>
    <w:p w14:paraId="6B2D375D" w14:textId="653EDD99" w:rsidR="005F06DD" w:rsidRPr="005F06DD" w:rsidRDefault="005F06DD" w:rsidP="005F06DD">
      <w:pPr>
        <w:pStyle w:val="ListParagraph"/>
        <w:numPr>
          <w:ilvl w:val="0"/>
          <w:numId w:val="2"/>
        </w:numPr>
        <w:autoSpaceDE w:val="0"/>
        <w:autoSpaceDN w:val="0"/>
        <w:rPr>
          <w:rFonts w:eastAsia="Times New Roman"/>
        </w:rPr>
      </w:pPr>
      <w:r w:rsidRPr="005F06DD">
        <w:rPr>
          <w:rFonts w:eastAsia="Times New Roman"/>
        </w:rPr>
        <w:t xml:space="preserve">Chelli Bouaziz M, Ladeb MF, Chakroun M, Chaabane S. Spinal brucellosis: a review. </w:t>
      </w:r>
      <w:r w:rsidRPr="00AE60A5">
        <w:rPr>
          <w:rFonts w:eastAsia="Times New Roman"/>
          <w:i/>
          <w:iCs/>
        </w:rPr>
        <w:t xml:space="preserve">Skeletal </w:t>
      </w:r>
      <w:proofErr w:type="spellStart"/>
      <w:r w:rsidRPr="00AE60A5">
        <w:rPr>
          <w:rFonts w:eastAsia="Times New Roman"/>
          <w:i/>
          <w:iCs/>
        </w:rPr>
        <w:t>Radiol</w:t>
      </w:r>
      <w:proofErr w:type="spellEnd"/>
      <w:r w:rsidRPr="005F06DD">
        <w:rPr>
          <w:rFonts w:eastAsia="Times New Roman"/>
        </w:rPr>
        <w:t>. 2008;37(9):785-790. doi:10.1007/s00256-007-0371-x</w:t>
      </w:r>
    </w:p>
    <w:p w14:paraId="40B1C898" w14:textId="0144AFC6" w:rsidR="005F06DD" w:rsidRPr="005F06DD" w:rsidRDefault="005F06DD" w:rsidP="005F06DD">
      <w:pPr>
        <w:pStyle w:val="ListParagraph"/>
        <w:numPr>
          <w:ilvl w:val="0"/>
          <w:numId w:val="2"/>
        </w:numPr>
        <w:autoSpaceDE w:val="0"/>
        <w:autoSpaceDN w:val="0"/>
        <w:rPr>
          <w:rFonts w:eastAsia="Times New Roman"/>
        </w:rPr>
      </w:pPr>
      <w:proofErr w:type="spellStart"/>
      <w:r w:rsidRPr="005F06DD">
        <w:rPr>
          <w:rFonts w:eastAsia="Times New Roman"/>
        </w:rPr>
        <w:t>Buzgan</w:t>
      </w:r>
      <w:proofErr w:type="spellEnd"/>
      <w:r w:rsidRPr="005F06DD">
        <w:rPr>
          <w:rFonts w:eastAsia="Times New Roman"/>
        </w:rPr>
        <w:t xml:space="preserve"> T, </w:t>
      </w:r>
      <w:proofErr w:type="spellStart"/>
      <w:r w:rsidRPr="005F06DD">
        <w:rPr>
          <w:rFonts w:eastAsia="Times New Roman"/>
        </w:rPr>
        <w:t>Karahocagil</w:t>
      </w:r>
      <w:proofErr w:type="spellEnd"/>
      <w:r w:rsidRPr="005F06DD">
        <w:rPr>
          <w:rFonts w:eastAsia="Times New Roman"/>
        </w:rPr>
        <w:t xml:space="preserve"> MK, Irmak H, et al. Clinical manifestations and complications in 1028 cases of brucellosis: a retrospective evaluation and review of the literature. </w:t>
      </w:r>
      <w:r w:rsidRPr="00AE60A5">
        <w:rPr>
          <w:rFonts w:eastAsia="Times New Roman"/>
          <w:i/>
          <w:iCs/>
        </w:rPr>
        <w:t>Int J Infect Dis</w:t>
      </w:r>
      <w:r w:rsidRPr="005F06DD">
        <w:rPr>
          <w:rFonts w:eastAsia="Times New Roman"/>
        </w:rPr>
        <w:t>. 2010;14(6</w:t>
      </w:r>
      <w:proofErr w:type="gramStart"/>
      <w:r w:rsidRPr="005F06DD">
        <w:rPr>
          <w:rFonts w:eastAsia="Times New Roman"/>
        </w:rPr>
        <w:t>):e</w:t>
      </w:r>
      <w:proofErr w:type="gramEnd"/>
      <w:r w:rsidRPr="005F06DD">
        <w:rPr>
          <w:rFonts w:eastAsia="Times New Roman"/>
        </w:rPr>
        <w:t xml:space="preserve">469-e478. </w:t>
      </w:r>
      <w:proofErr w:type="gramStart"/>
      <w:r w:rsidRPr="005F06DD">
        <w:rPr>
          <w:rFonts w:eastAsia="Times New Roman"/>
        </w:rPr>
        <w:t>doi:10.1016/j.ijid</w:t>
      </w:r>
      <w:proofErr w:type="gramEnd"/>
      <w:r w:rsidRPr="005F06DD">
        <w:rPr>
          <w:rFonts w:eastAsia="Times New Roman"/>
        </w:rPr>
        <w:t>.2009.06.031</w:t>
      </w:r>
    </w:p>
    <w:p w14:paraId="7F6958F0" w14:textId="2C3D6C20" w:rsidR="005F06DD" w:rsidRPr="005F06DD" w:rsidRDefault="005F06DD" w:rsidP="005F06DD">
      <w:pPr>
        <w:pStyle w:val="ListParagraph"/>
        <w:numPr>
          <w:ilvl w:val="0"/>
          <w:numId w:val="2"/>
        </w:numPr>
        <w:autoSpaceDE w:val="0"/>
        <w:autoSpaceDN w:val="0"/>
        <w:rPr>
          <w:rFonts w:eastAsia="Times New Roman"/>
        </w:rPr>
      </w:pPr>
      <w:r w:rsidRPr="005F06DD">
        <w:rPr>
          <w:rFonts w:eastAsia="Times New Roman"/>
        </w:rPr>
        <w:t>Herrick JA, Lederman RJ, Sullivan B, Powers JH, Palmore TN. Brucella arteritis: clinical manifestations, treatment, and prognosis</w:t>
      </w:r>
      <w:r w:rsidRPr="00AE60A5">
        <w:rPr>
          <w:rFonts w:eastAsia="Times New Roman"/>
          <w:i/>
          <w:iCs/>
        </w:rPr>
        <w:t>. Lancet Infect Dis</w:t>
      </w:r>
      <w:r w:rsidRPr="005F06DD">
        <w:rPr>
          <w:rFonts w:eastAsia="Times New Roman"/>
        </w:rPr>
        <w:t>. 2014;14(6):520-526. doi:10.1016/S1473-3099(13)70270-6</w:t>
      </w:r>
    </w:p>
    <w:p w14:paraId="0785FAB5" w14:textId="7419CF39" w:rsidR="005F06DD" w:rsidRPr="005F06DD" w:rsidRDefault="005F06DD" w:rsidP="005F06DD">
      <w:pPr>
        <w:pStyle w:val="ListParagraph"/>
        <w:numPr>
          <w:ilvl w:val="0"/>
          <w:numId w:val="2"/>
        </w:numPr>
        <w:autoSpaceDE w:val="0"/>
        <w:autoSpaceDN w:val="0"/>
        <w:rPr>
          <w:rFonts w:eastAsia="Times New Roman"/>
        </w:rPr>
      </w:pPr>
      <w:r w:rsidRPr="005F06DD">
        <w:rPr>
          <w:rFonts w:eastAsia="Times New Roman"/>
        </w:rPr>
        <w:lastRenderedPageBreak/>
        <w:t xml:space="preserve">Pappas G, Akritidis N, </w:t>
      </w:r>
      <w:proofErr w:type="spellStart"/>
      <w:r w:rsidRPr="005F06DD">
        <w:rPr>
          <w:rFonts w:eastAsia="Times New Roman"/>
        </w:rPr>
        <w:t>Bosilkovski</w:t>
      </w:r>
      <w:proofErr w:type="spellEnd"/>
      <w:r w:rsidRPr="005F06DD">
        <w:rPr>
          <w:rFonts w:eastAsia="Times New Roman"/>
        </w:rPr>
        <w:t xml:space="preserve"> M, </w:t>
      </w:r>
      <w:proofErr w:type="spellStart"/>
      <w:r w:rsidRPr="005F06DD">
        <w:rPr>
          <w:rFonts w:eastAsia="Times New Roman"/>
        </w:rPr>
        <w:t>Tsianos</w:t>
      </w:r>
      <w:proofErr w:type="spellEnd"/>
      <w:r w:rsidRPr="005F06DD">
        <w:rPr>
          <w:rFonts w:eastAsia="Times New Roman"/>
        </w:rPr>
        <w:t xml:space="preserve"> E. Brucellosis. </w:t>
      </w:r>
      <w:r w:rsidRPr="00AE60A5">
        <w:rPr>
          <w:rFonts w:eastAsia="Times New Roman"/>
          <w:i/>
          <w:iCs/>
        </w:rPr>
        <w:t>New England Journal of Medicine/the New England Journal of Medicine</w:t>
      </w:r>
      <w:r w:rsidRPr="005F06DD">
        <w:rPr>
          <w:rFonts w:eastAsia="Times New Roman"/>
        </w:rPr>
        <w:t>. 2005;352(22):2325-2336. doi:10.1056/nejmra050570</w:t>
      </w:r>
    </w:p>
    <w:p w14:paraId="39EFAD9F" w14:textId="3BED96B5" w:rsidR="005F06DD" w:rsidRPr="005F06DD" w:rsidRDefault="005F06DD" w:rsidP="005F06DD">
      <w:pPr>
        <w:pStyle w:val="ListParagraph"/>
        <w:numPr>
          <w:ilvl w:val="0"/>
          <w:numId w:val="2"/>
        </w:numPr>
        <w:autoSpaceDE w:val="0"/>
        <w:autoSpaceDN w:val="0"/>
        <w:rPr>
          <w:rFonts w:eastAsia="Times New Roman"/>
        </w:rPr>
      </w:pPr>
      <w:r w:rsidRPr="005F06DD">
        <w:rPr>
          <w:rFonts w:eastAsia="Times New Roman"/>
        </w:rPr>
        <w:t xml:space="preserve">Padilla </w:t>
      </w:r>
      <w:proofErr w:type="spellStart"/>
      <w:r w:rsidRPr="005F06DD">
        <w:rPr>
          <w:rFonts w:eastAsia="Times New Roman"/>
        </w:rPr>
        <w:t>Poester</w:t>
      </w:r>
      <w:proofErr w:type="spellEnd"/>
      <w:r w:rsidRPr="005F06DD">
        <w:rPr>
          <w:rFonts w:eastAsia="Times New Roman"/>
        </w:rPr>
        <w:t xml:space="preserve"> F, Nielsen K, Samartino LE, Yu WL. Diagnosis of Brucellosis. </w:t>
      </w:r>
      <w:r w:rsidRPr="00AE60A5">
        <w:rPr>
          <w:rFonts w:eastAsia="Times New Roman"/>
          <w:i/>
          <w:iCs/>
        </w:rPr>
        <w:t>The Open Veterinary Science Journal</w:t>
      </w:r>
      <w:r w:rsidRPr="005F06DD">
        <w:rPr>
          <w:rFonts w:eastAsia="Times New Roman"/>
        </w:rPr>
        <w:t xml:space="preserve">. </w:t>
      </w:r>
      <w:proofErr w:type="gramStart"/>
      <w:r w:rsidRPr="005F06DD">
        <w:rPr>
          <w:rFonts w:eastAsia="Times New Roman"/>
        </w:rPr>
        <w:t>2010;4:46</w:t>
      </w:r>
      <w:proofErr w:type="gramEnd"/>
      <w:r w:rsidRPr="005F06DD">
        <w:rPr>
          <w:rFonts w:eastAsia="Times New Roman"/>
        </w:rPr>
        <w:t>-60.</w:t>
      </w:r>
    </w:p>
    <w:p w14:paraId="3AE48B9F" w14:textId="14675325" w:rsidR="005F06DD" w:rsidRPr="005F06DD" w:rsidRDefault="005F06DD" w:rsidP="005F06DD">
      <w:pPr>
        <w:pStyle w:val="ListParagraph"/>
        <w:numPr>
          <w:ilvl w:val="0"/>
          <w:numId w:val="2"/>
        </w:numPr>
        <w:autoSpaceDE w:val="0"/>
        <w:autoSpaceDN w:val="0"/>
        <w:rPr>
          <w:rFonts w:eastAsia="Times New Roman"/>
        </w:rPr>
      </w:pPr>
      <w:proofErr w:type="spellStart"/>
      <w:r w:rsidRPr="005F06DD">
        <w:rPr>
          <w:rFonts w:eastAsia="Times New Roman"/>
        </w:rPr>
        <w:t>Gotuzzo</w:t>
      </w:r>
      <w:proofErr w:type="spellEnd"/>
      <w:r w:rsidRPr="005F06DD">
        <w:rPr>
          <w:rFonts w:eastAsia="Times New Roman"/>
        </w:rPr>
        <w:t xml:space="preserve"> E, Carrillo C, Guerra J, Llosa L. An evaluation of diagnostic methods for brucellosis--the value of bone marrow culture. </w:t>
      </w:r>
      <w:r w:rsidRPr="00AE60A5">
        <w:rPr>
          <w:rFonts w:eastAsia="Times New Roman"/>
          <w:i/>
          <w:iCs/>
        </w:rPr>
        <w:t>J Infect Dis</w:t>
      </w:r>
      <w:r w:rsidRPr="005F06DD">
        <w:rPr>
          <w:rFonts w:eastAsia="Times New Roman"/>
        </w:rPr>
        <w:t>. 1986;153(1):122-125. doi:10.1093/</w:t>
      </w:r>
      <w:proofErr w:type="spellStart"/>
      <w:r w:rsidRPr="005F06DD">
        <w:rPr>
          <w:rFonts w:eastAsia="Times New Roman"/>
        </w:rPr>
        <w:t>infdis</w:t>
      </w:r>
      <w:proofErr w:type="spellEnd"/>
      <w:r w:rsidRPr="005F06DD">
        <w:rPr>
          <w:rFonts w:eastAsia="Times New Roman"/>
        </w:rPr>
        <w:t>/153.1.122</w:t>
      </w:r>
    </w:p>
    <w:p w14:paraId="6CCD2AF3" w14:textId="778A46EA" w:rsidR="005F06DD" w:rsidRPr="005F06DD" w:rsidRDefault="005F06DD" w:rsidP="005F06DD">
      <w:pPr>
        <w:pStyle w:val="ListParagraph"/>
        <w:numPr>
          <w:ilvl w:val="0"/>
          <w:numId w:val="2"/>
        </w:numPr>
        <w:autoSpaceDE w:val="0"/>
        <w:autoSpaceDN w:val="0"/>
        <w:rPr>
          <w:rFonts w:eastAsia="Times New Roman"/>
        </w:rPr>
      </w:pPr>
      <w:proofErr w:type="spellStart"/>
      <w:r w:rsidRPr="005F06DD">
        <w:rPr>
          <w:rFonts w:eastAsia="Times New Roman"/>
        </w:rPr>
        <w:t>Unuvar</w:t>
      </w:r>
      <w:proofErr w:type="spellEnd"/>
      <w:r w:rsidRPr="005F06DD">
        <w:rPr>
          <w:rFonts w:eastAsia="Times New Roman"/>
        </w:rPr>
        <w:t xml:space="preserve"> GK, Kilic AU, </w:t>
      </w:r>
      <w:proofErr w:type="spellStart"/>
      <w:r w:rsidRPr="005F06DD">
        <w:rPr>
          <w:rFonts w:eastAsia="Times New Roman"/>
        </w:rPr>
        <w:t>Doganay</w:t>
      </w:r>
      <w:proofErr w:type="spellEnd"/>
      <w:r w:rsidRPr="005F06DD">
        <w:rPr>
          <w:rFonts w:eastAsia="Times New Roman"/>
        </w:rPr>
        <w:t xml:space="preserve"> M. Current therapeutic strategy in osteoarticular brucellosis. </w:t>
      </w:r>
      <w:r w:rsidRPr="00AE60A5">
        <w:rPr>
          <w:rFonts w:eastAsia="Times New Roman"/>
          <w:i/>
          <w:iCs/>
        </w:rPr>
        <w:t xml:space="preserve">North Clin </w:t>
      </w:r>
      <w:proofErr w:type="spellStart"/>
      <w:r w:rsidRPr="00AE60A5">
        <w:rPr>
          <w:rFonts w:eastAsia="Times New Roman"/>
          <w:i/>
          <w:iCs/>
        </w:rPr>
        <w:t>Istanb</w:t>
      </w:r>
      <w:proofErr w:type="spellEnd"/>
      <w:r w:rsidRPr="005F06DD">
        <w:rPr>
          <w:rFonts w:eastAsia="Times New Roman"/>
        </w:rPr>
        <w:t>. 2019;6(4):415-420. Published 2019 Oct 24. doi:10.14744/nci.2019.05658</w:t>
      </w:r>
    </w:p>
    <w:p w14:paraId="15F5A477" w14:textId="0CCE3E60" w:rsidR="005F06DD" w:rsidRPr="005F06DD" w:rsidRDefault="005F06DD" w:rsidP="005F06DD">
      <w:pPr>
        <w:pStyle w:val="ListParagraph"/>
        <w:numPr>
          <w:ilvl w:val="0"/>
          <w:numId w:val="2"/>
        </w:numPr>
        <w:autoSpaceDE w:val="0"/>
        <w:autoSpaceDN w:val="0"/>
        <w:rPr>
          <w:rFonts w:eastAsia="Times New Roman"/>
        </w:rPr>
      </w:pPr>
      <w:r w:rsidRPr="005F06DD">
        <w:rPr>
          <w:rFonts w:eastAsia="Times New Roman"/>
        </w:rPr>
        <w:t xml:space="preserve">Pappas G, Papadimitriou P, Christou L, Akritidis N. Future trends in human brucellosis treatment. </w:t>
      </w:r>
      <w:r w:rsidRPr="00AE60A5">
        <w:rPr>
          <w:rFonts w:eastAsia="Times New Roman"/>
          <w:i/>
          <w:iCs/>
        </w:rPr>
        <w:t xml:space="preserve">Expert </w:t>
      </w:r>
      <w:proofErr w:type="spellStart"/>
      <w:r w:rsidRPr="00AE60A5">
        <w:rPr>
          <w:rFonts w:eastAsia="Times New Roman"/>
          <w:i/>
          <w:iCs/>
        </w:rPr>
        <w:t>Opin</w:t>
      </w:r>
      <w:proofErr w:type="spellEnd"/>
      <w:r w:rsidRPr="00AE60A5">
        <w:rPr>
          <w:rFonts w:eastAsia="Times New Roman"/>
          <w:i/>
          <w:iCs/>
        </w:rPr>
        <w:t xml:space="preserve"> </w:t>
      </w:r>
      <w:proofErr w:type="spellStart"/>
      <w:r w:rsidRPr="00AE60A5">
        <w:rPr>
          <w:rFonts w:eastAsia="Times New Roman"/>
          <w:i/>
          <w:iCs/>
        </w:rPr>
        <w:t>Investig</w:t>
      </w:r>
      <w:proofErr w:type="spellEnd"/>
      <w:r w:rsidRPr="00AE60A5">
        <w:rPr>
          <w:rFonts w:eastAsia="Times New Roman"/>
          <w:i/>
          <w:iCs/>
        </w:rPr>
        <w:t xml:space="preserve"> Drugs</w:t>
      </w:r>
      <w:r w:rsidRPr="005F06DD">
        <w:rPr>
          <w:rFonts w:eastAsia="Times New Roman"/>
        </w:rPr>
        <w:t>. 2006;15(10):1141-1149. doi:10.1517/13543784.15.10.1141</w:t>
      </w:r>
    </w:p>
    <w:p w14:paraId="0BB32A32" w14:textId="71D24295" w:rsidR="005F06DD" w:rsidRDefault="005F06DD" w:rsidP="005F06DD">
      <w:pPr>
        <w:pStyle w:val="ListParagraph"/>
        <w:numPr>
          <w:ilvl w:val="0"/>
          <w:numId w:val="2"/>
        </w:numPr>
        <w:autoSpaceDE w:val="0"/>
        <w:autoSpaceDN w:val="0"/>
        <w:rPr>
          <w:rFonts w:eastAsia="Times New Roman"/>
        </w:rPr>
      </w:pPr>
      <w:r w:rsidRPr="005F06DD">
        <w:rPr>
          <w:rFonts w:eastAsia="Times New Roman"/>
        </w:rPr>
        <w:t xml:space="preserve">Brucellosis in Humans and Animals. Google Books. </w:t>
      </w:r>
      <w:hyperlink r:id="rId12" w:history="1">
        <w:r w:rsidR="00AB3336" w:rsidRPr="000C0E25">
          <w:rPr>
            <w:rStyle w:val="Hyperlink"/>
            <w:rFonts w:eastAsia="Times New Roman"/>
          </w:rPr>
          <w:t>https://books.google.com.np/books?hl=en&amp;lr=&amp;id=nCcGbURUDMgC&amp;oi=fnd&amp;pg=PP2&amp;ots=G5W1QQ3VwZ&amp;sig=G_k7yHDGLjii8qWhQ1jE_gY_fcQ&amp;redir_esc=y#v=onepage&amp;q&amp;f=false</w:t>
        </w:r>
      </w:hyperlink>
    </w:p>
    <w:p w14:paraId="60CCE576" w14:textId="6820442F" w:rsidR="00AB3336" w:rsidRDefault="00AB3336" w:rsidP="00AB3336">
      <w:pPr>
        <w:pStyle w:val="Heading1"/>
      </w:pPr>
      <w:r>
        <w:t>Images</w:t>
      </w:r>
    </w:p>
    <w:p w14:paraId="260651F9" w14:textId="77777777" w:rsidR="00AB3336" w:rsidRDefault="00AB3336" w:rsidP="00AB3336">
      <w:pPr>
        <w:pStyle w:val="ListParagraph"/>
        <w:numPr>
          <w:ilvl w:val="0"/>
          <w:numId w:val="3"/>
        </w:numPr>
      </w:pPr>
      <w:r>
        <w:t xml:space="preserve">Figure: 1 X ray of </w:t>
      </w:r>
      <w:r w:rsidRPr="00924946">
        <w:t>pelvis and lower spine.</w:t>
      </w:r>
      <w:r>
        <w:t xml:space="preserve"> Sclerosis around right sacroiliac joint suggesting of Right sacroiliitis</w:t>
      </w:r>
    </w:p>
    <w:p w14:paraId="7C08997B" w14:textId="77777777" w:rsidR="00AB3336" w:rsidRDefault="00AB3336" w:rsidP="00AB3336">
      <w:pPr>
        <w:pStyle w:val="ListParagraph"/>
        <w:numPr>
          <w:ilvl w:val="0"/>
          <w:numId w:val="3"/>
        </w:numPr>
      </w:pPr>
      <w:r>
        <w:t xml:space="preserve">Figure: 2 </w:t>
      </w:r>
      <w:r w:rsidRPr="00745E43">
        <w:t>Axial bone window CT scan</w:t>
      </w:r>
      <w:r>
        <w:t xml:space="preserve"> showing Sacroiliitis of Right Sacroiliac Joint</w:t>
      </w:r>
    </w:p>
    <w:p w14:paraId="3BABD6BA" w14:textId="77777777" w:rsidR="00D1380F" w:rsidRDefault="00D1380F" w:rsidP="00D1380F"/>
    <w:p w14:paraId="76E3AE86" w14:textId="4C6A423E" w:rsidR="00D1380F" w:rsidRDefault="00D1380F" w:rsidP="00D1380F">
      <w:pPr>
        <w:pStyle w:val="Heading1"/>
      </w:pPr>
      <w:r>
        <w:t>Declerations</w:t>
      </w:r>
    </w:p>
    <w:p w14:paraId="2CE71911" w14:textId="77777777" w:rsidR="00D1380F" w:rsidRPr="00D1380F" w:rsidRDefault="00D1380F" w:rsidP="00D1380F">
      <w:pPr>
        <w:numPr>
          <w:ilvl w:val="0"/>
          <w:numId w:val="4"/>
        </w:numPr>
        <w:rPr>
          <w:lang w:val="en-US"/>
        </w:rPr>
      </w:pPr>
      <w:r w:rsidRPr="00D1380F">
        <w:rPr>
          <w:lang w:val="en-US"/>
        </w:rPr>
        <w:t>Ethics approval and consent to participate: The Institutional Review Board of the Institute of Medicine, Nepal, does not mandate ethical approval for the writing or publication of case reports, and patient consent was obtained. Informed written consent was obtained from the patient before writing this case report.</w:t>
      </w:r>
    </w:p>
    <w:p w14:paraId="38B96BF4" w14:textId="77777777" w:rsidR="00D1380F" w:rsidRPr="00D1380F" w:rsidRDefault="00D1380F" w:rsidP="00D1380F">
      <w:pPr>
        <w:numPr>
          <w:ilvl w:val="0"/>
          <w:numId w:val="4"/>
        </w:numPr>
        <w:rPr>
          <w:lang w:val="en-US"/>
        </w:rPr>
      </w:pPr>
      <w:r w:rsidRPr="00D1380F">
        <w:rPr>
          <w:lang w:val="en-US"/>
        </w:rPr>
        <w:t>Consent for publication: Informed written consent was obtained from the patient for the publication of this case report in a scientific journal.</w:t>
      </w:r>
    </w:p>
    <w:p w14:paraId="3C6F541F" w14:textId="59678C44" w:rsidR="00D1380F" w:rsidRPr="00D1380F" w:rsidRDefault="00D1380F" w:rsidP="00D1380F">
      <w:pPr>
        <w:numPr>
          <w:ilvl w:val="0"/>
          <w:numId w:val="4"/>
        </w:numPr>
        <w:rPr>
          <w:lang w:val="en-US"/>
        </w:rPr>
      </w:pPr>
      <w:r w:rsidRPr="00D1380F">
        <w:rPr>
          <w:lang w:val="en-US"/>
        </w:rPr>
        <w:t xml:space="preserve">Availability of data and materials: The datasets used and/or </w:t>
      </w:r>
      <w:r w:rsidRPr="00D1380F">
        <w:rPr>
          <w:lang w:val="en-US"/>
        </w:rPr>
        <w:t>analyzed</w:t>
      </w:r>
      <w:r w:rsidRPr="00D1380F">
        <w:rPr>
          <w:lang w:val="en-US"/>
        </w:rPr>
        <w:t xml:space="preserve"> during the current study are available from the corresponding author upon reasonable request.</w:t>
      </w:r>
    </w:p>
    <w:p w14:paraId="15FAF2FE" w14:textId="77777777" w:rsidR="00D1380F" w:rsidRPr="00D1380F" w:rsidRDefault="00D1380F" w:rsidP="00D1380F">
      <w:pPr>
        <w:numPr>
          <w:ilvl w:val="0"/>
          <w:numId w:val="4"/>
        </w:numPr>
        <w:rPr>
          <w:lang w:val="en-US"/>
        </w:rPr>
      </w:pPr>
      <w:r w:rsidRPr="00D1380F">
        <w:rPr>
          <w:lang w:val="en-US"/>
        </w:rPr>
        <w:t>Competing interests: None</w:t>
      </w:r>
    </w:p>
    <w:p w14:paraId="5748C9EC" w14:textId="77777777" w:rsidR="00D1380F" w:rsidRPr="00D1380F" w:rsidRDefault="00D1380F" w:rsidP="00D1380F">
      <w:pPr>
        <w:numPr>
          <w:ilvl w:val="0"/>
          <w:numId w:val="4"/>
        </w:numPr>
        <w:rPr>
          <w:lang w:val="en-US"/>
        </w:rPr>
      </w:pPr>
      <w:r w:rsidRPr="00D1380F">
        <w:rPr>
          <w:lang w:val="en-US"/>
        </w:rPr>
        <w:t>Funding: None</w:t>
      </w:r>
    </w:p>
    <w:p w14:paraId="1E773FCC" w14:textId="77777777" w:rsidR="00D1380F" w:rsidRPr="00D1380F" w:rsidRDefault="00D1380F" w:rsidP="00D1380F">
      <w:pPr>
        <w:numPr>
          <w:ilvl w:val="0"/>
          <w:numId w:val="4"/>
        </w:numPr>
        <w:rPr>
          <w:lang w:val="en-US"/>
        </w:rPr>
      </w:pPr>
      <w:r w:rsidRPr="00D1380F">
        <w:rPr>
          <w:lang w:val="en-US"/>
        </w:rPr>
        <w:t>Acknowledgements: None</w:t>
      </w:r>
    </w:p>
    <w:p w14:paraId="41084FA1" w14:textId="77777777" w:rsidR="00D1380F" w:rsidRDefault="00D1380F" w:rsidP="00D1380F"/>
    <w:p w14:paraId="565E56C8" w14:textId="7D715608" w:rsidR="00AB3336" w:rsidRPr="00AB3336" w:rsidRDefault="00AB3336" w:rsidP="00D1380F">
      <w:pPr>
        <w:pStyle w:val="ListParagraph"/>
        <w:autoSpaceDE w:val="0"/>
        <w:autoSpaceDN w:val="0"/>
        <w:rPr>
          <w:rFonts w:eastAsia="Times New Roman"/>
        </w:rPr>
      </w:pPr>
    </w:p>
    <w:p w14:paraId="73668625" w14:textId="77777777" w:rsidR="005F06DD" w:rsidRPr="005F06DD" w:rsidRDefault="005F06DD" w:rsidP="005F06DD">
      <w:pPr>
        <w:autoSpaceDE w:val="0"/>
        <w:autoSpaceDN w:val="0"/>
        <w:rPr>
          <w:rFonts w:eastAsia="Times New Roman"/>
        </w:rPr>
      </w:pPr>
    </w:p>
    <w:p w14:paraId="01A9012F" w14:textId="17B5B9A7" w:rsidR="005D7E33" w:rsidRDefault="005D7E33" w:rsidP="005F06DD">
      <w:pPr>
        <w:autoSpaceDE w:val="0"/>
        <w:autoSpaceDN w:val="0"/>
        <w:rPr>
          <w:rFonts w:eastAsia="Times New Roman"/>
        </w:rPr>
      </w:pPr>
    </w:p>
    <w:p w14:paraId="451B1A57" w14:textId="480B4F6F" w:rsidR="00241AF8" w:rsidRDefault="00241AF8" w:rsidP="00241AF8">
      <w:pPr>
        <w:autoSpaceDE w:val="0"/>
        <w:autoSpaceDN w:val="0"/>
        <w:ind w:hanging="640"/>
        <w:rPr>
          <w:rFonts w:eastAsia="Times New Roman"/>
        </w:rPr>
      </w:pPr>
    </w:p>
    <w:p w14:paraId="3BCE61BC" w14:textId="77777777" w:rsidR="00866E07" w:rsidRDefault="00866E07" w:rsidP="00866E07">
      <w:r>
        <w:rPr>
          <w:rFonts w:eastAsia="Times New Roman"/>
        </w:rPr>
        <w:t> </w:t>
      </w:r>
    </w:p>
    <w:p w14:paraId="778832E0" w14:textId="77777777" w:rsidR="005F6F8C" w:rsidRDefault="005F6F8C"/>
    <w:sectPr w:rsidR="005F6F8C" w:rsidSect="00F11A80">
      <w:pgSz w:w="11906" w:h="16838"/>
      <w:pgMar w:top="1440" w:right="1440" w:bottom="1440" w:left="1440" w:header="115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17041" w14:textId="77777777" w:rsidR="002F1E21" w:rsidRDefault="002F1E21" w:rsidP="00535930">
      <w:pPr>
        <w:spacing w:before="0" w:after="0" w:line="240" w:lineRule="auto"/>
      </w:pPr>
      <w:r>
        <w:separator/>
      </w:r>
    </w:p>
  </w:endnote>
  <w:endnote w:type="continuationSeparator" w:id="0">
    <w:p w14:paraId="00A352BC" w14:textId="77777777" w:rsidR="002F1E21" w:rsidRDefault="002F1E21" w:rsidP="0053593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3F2AD" w14:textId="77777777" w:rsidR="002F1E21" w:rsidRDefault="002F1E21" w:rsidP="00535930">
      <w:pPr>
        <w:spacing w:before="0" w:after="0" w:line="240" w:lineRule="auto"/>
      </w:pPr>
      <w:r>
        <w:separator/>
      </w:r>
    </w:p>
  </w:footnote>
  <w:footnote w:type="continuationSeparator" w:id="0">
    <w:p w14:paraId="33E2724F" w14:textId="77777777" w:rsidR="002F1E21" w:rsidRDefault="002F1E21" w:rsidP="0053593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95FBA"/>
    <w:multiLevelType w:val="hybridMultilevel"/>
    <w:tmpl w:val="B9F80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B3946"/>
    <w:multiLevelType w:val="multilevel"/>
    <w:tmpl w:val="FD44D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B271F5"/>
    <w:multiLevelType w:val="hybridMultilevel"/>
    <w:tmpl w:val="8A520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540647"/>
    <w:multiLevelType w:val="hybridMultilevel"/>
    <w:tmpl w:val="F83A6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1450207">
    <w:abstractNumId w:val="2"/>
  </w:num>
  <w:num w:numId="2" w16cid:durableId="1900749351">
    <w:abstractNumId w:val="3"/>
  </w:num>
  <w:num w:numId="3" w16cid:durableId="334847648">
    <w:abstractNumId w:val="0"/>
  </w:num>
  <w:num w:numId="4" w16cid:durableId="563673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E07"/>
    <w:rsid w:val="000175ED"/>
    <w:rsid w:val="000272DC"/>
    <w:rsid w:val="00050793"/>
    <w:rsid w:val="00087EA1"/>
    <w:rsid w:val="000917AE"/>
    <w:rsid w:val="000D2480"/>
    <w:rsid w:val="000E3163"/>
    <w:rsid w:val="00100E6B"/>
    <w:rsid w:val="0012685F"/>
    <w:rsid w:val="00167EEE"/>
    <w:rsid w:val="001704A6"/>
    <w:rsid w:val="00170908"/>
    <w:rsid w:val="00183480"/>
    <w:rsid w:val="001A74D3"/>
    <w:rsid w:val="001C124E"/>
    <w:rsid w:val="001D4EB7"/>
    <w:rsid w:val="001F0153"/>
    <w:rsid w:val="002018CD"/>
    <w:rsid w:val="002176EB"/>
    <w:rsid w:val="00241AF8"/>
    <w:rsid w:val="002513C5"/>
    <w:rsid w:val="0025553F"/>
    <w:rsid w:val="00264381"/>
    <w:rsid w:val="00275227"/>
    <w:rsid w:val="0028462B"/>
    <w:rsid w:val="002A0975"/>
    <w:rsid w:val="002A3147"/>
    <w:rsid w:val="002A410E"/>
    <w:rsid w:val="002B1303"/>
    <w:rsid w:val="002D4B15"/>
    <w:rsid w:val="002F1E21"/>
    <w:rsid w:val="00311D90"/>
    <w:rsid w:val="003259FB"/>
    <w:rsid w:val="003346E9"/>
    <w:rsid w:val="0033565F"/>
    <w:rsid w:val="00352959"/>
    <w:rsid w:val="003633C5"/>
    <w:rsid w:val="00386862"/>
    <w:rsid w:val="00393D0F"/>
    <w:rsid w:val="00397DF6"/>
    <w:rsid w:val="003A0326"/>
    <w:rsid w:val="003C6429"/>
    <w:rsid w:val="003C68A9"/>
    <w:rsid w:val="003C6971"/>
    <w:rsid w:val="003C6C1E"/>
    <w:rsid w:val="003C7A90"/>
    <w:rsid w:val="003F4D08"/>
    <w:rsid w:val="00460CCB"/>
    <w:rsid w:val="004A28F2"/>
    <w:rsid w:val="004A6FE1"/>
    <w:rsid w:val="004D1683"/>
    <w:rsid w:val="004F644B"/>
    <w:rsid w:val="004F7087"/>
    <w:rsid w:val="00527354"/>
    <w:rsid w:val="005312F9"/>
    <w:rsid w:val="0053224D"/>
    <w:rsid w:val="00535930"/>
    <w:rsid w:val="00541752"/>
    <w:rsid w:val="00544ED1"/>
    <w:rsid w:val="00560EFA"/>
    <w:rsid w:val="00572FAC"/>
    <w:rsid w:val="0057444B"/>
    <w:rsid w:val="005D11A3"/>
    <w:rsid w:val="005D5681"/>
    <w:rsid w:val="005D7E33"/>
    <w:rsid w:val="005E6A6F"/>
    <w:rsid w:val="005F06DD"/>
    <w:rsid w:val="005F4BF2"/>
    <w:rsid w:val="005F6F8C"/>
    <w:rsid w:val="00626FA3"/>
    <w:rsid w:val="006316F0"/>
    <w:rsid w:val="0063181D"/>
    <w:rsid w:val="006623CB"/>
    <w:rsid w:val="00667032"/>
    <w:rsid w:val="006704B0"/>
    <w:rsid w:val="006B49D3"/>
    <w:rsid w:val="006C60EB"/>
    <w:rsid w:val="006D42CE"/>
    <w:rsid w:val="006F0F3C"/>
    <w:rsid w:val="006F5C8C"/>
    <w:rsid w:val="00701AEA"/>
    <w:rsid w:val="0071282D"/>
    <w:rsid w:val="007166A6"/>
    <w:rsid w:val="007203B1"/>
    <w:rsid w:val="00723AC6"/>
    <w:rsid w:val="00733C86"/>
    <w:rsid w:val="00745E43"/>
    <w:rsid w:val="00750A6A"/>
    <w:rsid w:val="00751175"/>
    <w:rsid w:val="00756BFF"/>
    <w:rsid w:val="007A58D6"/>
    <w:rsid w:val="007B1503"/>
    <w:rsid w:val="007B47A3"/>
    <w:rsid w:val="007C1D9B"/>
    <w:rsid w:val="00862A5B"/>
    <w:rsid w:val="00866E07"/>
    <w:rsid w:val="0088297F"/>
    <w:rsid w:val="008C0A21"/>
    <w:rsid w:val="00924946"/>
    <w:rsid w:val="009466BB"/>
    <w:rsid w:val="00952E6C"/>
    <w:rsid w:val="00981B1B"/>
    <w:rsid w:val="00994D97"/>
    <w:rsid w:val="009A0D43"/>
    <w:rsid w:val="009B3CC5"/>
    <w:rsid w:val="009F55D7"/>
    <w:rsid w:val="00A1322C"/>
    <w:rsid w:val="00A41CC7"/>
    <w:rsid w:val="00A47744"/>
    <w:rsid w:val="00A73DDA"/>
    <w:rsid w:val="00A9406C"/>
    <w:rsid w:val="00AB3336"/>
    <w:rsid w:val="00AB6B6E"/>
    <w:rsid w:val="00AC06DE"/>
    <w:rsid w:val="00AE60A5"/>
    <w:rsid w:val="00B046FC"/>
    <w:rsid w:val="00B11E23"/>
    <w:rsid w:val="00B24B85"/>
    <w:rsid w:val="00B72EB4"/>
    <w:rsid w:val="00B805A8"/>
    <w:rsid w:val="00B92B0F"/>
    <w:rsid w:val="00BC0E77"/>
    <w:rsid w:val="00BC2B63"/>
    <w:rsid w:val="00BD4883"/>
    <w:rsid w:val="00BD523F"/>
    <w:rsid w:val="00BF7D9F"/>
    <w:rsid w:val="00C2792D"/>
    <w:rsid w:val="00C336D2"/>
    <w:rsid w:val="00C52F33"/>
    <w:rsid w:val="00C734E0"/>
    <w:rsid w:val="00CB1578"/>
    <w:rsid w:val="00CB3C5D"/>
    <w:rsid w:val="00CC1F3B"/>
    <w:rsid w:val="00CC601E"/>
    <w:rsid w:val="00CD0706"/>
    <w:rsid w:val="00CD0DAE"/>
    <w:rsid w:val="00CD1BE7"/>
    <w:rsid w:val="00CF3E20"/>
    <w:rsid w:val="00D1380F"/>
    <w:rsid w:val="00D236DF"/>
    <w:rsid w:val="00D33052"/>
    <w:rsid w:val="00D34723"/>
    <w:rsid w:val="00D74029"/>
    <w:rsid w:val="00D77937"/>
    <w:rsid w:val="00D80E9A"/>
    <w:rsid w:val="00D83968"/>
    <w:rsid w:val="00D96B4A"/>
    <w:rsid w:val="00DB08DF"/>
    <w:rsid w:val="00DE2B40"/>
    <w:rsid w:val="00DF44A7"/>
    <w:rsid w:val="00DF48EC"/>
    <w:rsid w:val="00DF4E72"/>
    <w:rsid w:val="00E11046"/>
    <w:rsid w:val="00E12A57"/>
    <w:rsid w:val="00E2110A"/>
    <w:rsid w:val="00E2194A"/>
    <w:rsid w:val="00E570A3"/>
    <w:rsid w:val="00E83346"/>
    <w:rsid w:val="00E914E0"/>
    <w:rsid w:val="00EB3F85"/>
    <w:rsid w:val="00EC19AF"/>
    <w:rsid w:val="00EC608D"/>
    <w:rsid w:val="00EE4C5F"/>
    <w:rsid w:val="00F01DD6"/>
    <w:rsid w:val="00F11A80"/>
    <w:rsid w:val="00F17BBE"/>
    <w:rsid w:val="00FB05EB"/>
    <w:rsid w:val="00FD430C"/>
    <w:rsid w:val="00FE3BCC"/>
    <w:rsid w:val="00FE77FF"/>
    <w:rsid w:val="00FF6ECC"/>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strokecolor="none [3205]">
      <v:stroke endarrow="block" color="none [3205]" weight="2.5pt"/>
      <v:shadow color="#868686"/>
    </o:shapedefaults>
    <o:shapelayout v:ext="edit">
      <o:idmap v:ext="edit" data="1"/>
    </o:shapelayout>
  </w:shapeDefaults>
  <w:decimalSymbol w:val="."/>
  <w:listSeparator w:val=","/>
  <w14:docId w14:val="339F9212"/>
  <w15:docId w15:val="{617D8073-C677-42E0-92B8-2E74062C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E07"/>
    <w:pPr>
      <w:spacing w:before="100"/>
    </w:pPr>
    <w:rPr>
      <w:rFonts w:ascii="Calibri" w:eastAsia="SimSun" w:hAnsi="Calibri" w:cs="Mangal"/>
      <w:sz w:val="20"/>
      <w:szCs w:val="20"/>
      <w:lang w:val="en-GB"/>
    </w:rPr>
  </w:style>
  <w:style w:type="paragraph" w:styleId="Heading1">
    <w:name w:val="heading 1"/>
    <w:basedOn w:val="Normal"/>
    <w:next w:val="Normal"/>
    <w:link w:val="Heading1Char"/>
    <w:uiPriority w:val="9"/>
    <w:qFormat/>
    <w:rsid w:val="00866E07"/>
    <w:pPr>
      <w:pBdr>
        <w:top w:val="single" w:sz="24" w:space="0" w:color="4472C4"/>
        <w:left w:val="single" w:sz="24" w:space="0" w:color="4472C4"/>
        <w:bottom w:val="single" w:sz="24" w:space="0" w:color="4472C4"/>
        <w:right w:val="single" w:sz="24" w:space="0" w:color="4472C4"/>
      </w:pBdr>
      <w:shd w:val="clear" w:color="auto" w:fill="4472C4"/>
      <w:spacing w:after="0"/>
      <w:outlineLvl w:val="0"/>
    </w:pPr>
    <w:rPr>
      <w:caps/>
      <w:color w:val="FFFFFF"/>
      <w:spacing w:val="15"/>
      <w:sz w:val="22"/>
      <w:szCs w:val="22"/>
    </w:rPr>
  </w:style>
  <w:style w:type="paragraph" w:styleId="Heading2">
    <w:name w:val="heading 2"/>
    <w:basedOn w:val="Normal"/>
    <w:next w:val="Normal"/>
    <w:link w:val="Heading2Char"/>
    <w:uiPriority w:val="9"/>
    <w:semiHidden/>
    <w:unhideWhenUsed/>
    <w:qFormat/>
    <w:rsid w:val="00241AF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6E07"/>
    <w:rPr>
      <w:rFonts w:ascii="Calibri" w:eastAsia="SimSun" w:hAnsi="Calibri" w:cs="Mangal"/>
      <w:caps/>
      <w:color w:val="FFFFFF"/>
      <w:spacing w:val="15"/>
      <w:shd w:val="clear" w:color="auto" w:fill="4472C4"/>
      <w:lang w:val="en-GB"/>
    </w:rPr>
  </w:style>
  <w:style w:type="paragraph" w:styleId="Title">
    <w:name w:val="Title"/>
    <w:basedOn w:val="Normal"/>
    <w:next w:val="Normal"/>
    <w:link w:val="TitleChar"/>
    <w:uiPriority w:val="10"/>
    <w:qFormat/>
    <w:rsid w:val="00866E07"/>
    <w:pPr>
      <w:spacing w:before="0" w:after="0"/>
    </w:pPr>
    <w:rPr>
      <w:rFonts w:ascii="Calibri Light" w:hAnsi="Calibri Light"/>
      <w:caps/>
      <w:color w:val="4472C4"/>
      <w:spacing w:val="10"/>
      <w:sz w:val="36"/>
      <w:szCs w:val="36"/>
    </w:rPr>
  </w:style>
  <w:style w:type="character" w:customStyle="1" w:styleId="TitleChar">
    <w:name w:val="Title Char"/>
    <w:basedOn w:val="DefaultParagraphFont"/>
    <w:link w:val="Title"/>
    <w:uiPriority w:val="10"/>
    <w:rsid w:val="00866E07"/>
    <w:rPr>
      <w:rFonts w:ascii="Calibri Light" w:eastAsia="SimSun" w:hAnsi="Calibri Light" w:cs="Mangal"/>
      <w:caps/>
      <w:color w:val="4472C4"/>
      <w:spacing w:val="10"/>
      <w:sz w:val="36"/>
      <w:szCs w:val="36"/>
      <w:lang w:val="en-GB"/>
    </w:rPr>
  </w:style>
  <w:style w:type="paragraph" w:styleId="Caption">
    <w:name w:val="caption"/>
    <w:basedOn w:val="Normal"/>
    <w:next w:val="Normal"/>
    <w:uiPriority w:val="35"/>
    <w:qFormat/>
    <w:rsid w:val="00866E07"/>
    <w:rPr>
      <w:b/>
      <w:bCs/>
      <w:color w:val="2F5496"/>
      <w:sz w:val="16"/>
      <w:szCs w:val="16"/>
    </w:rPr>
  </w:style>
  <w:style w:type="character" w:styleId="CommentReference">
    <w:name w:val="annotation reference"/>
    <w:basedOn w:val="DefaultParagraphFont"/>
    <w:uiPriority w:val="99"/>
    <w:semiHidden/>
    <w:unhideWhenUsed/>
    <w:rsid w:val="00866E07"/>
    <w:rPr>
      <w:sz w:val="18"/>
      <w:szCs w:val="18"/>
    </w:rPr>
  </w:style>
  <w:style w:type="paragraph" w:styleId="CommentText">
    <w:name w:val="annotation text"/>
    <w:basedOn w:val="Normal"/>
    <w:link w:val="CommentTextChar"/>
    <w:uiPriority w:val="99"/>
    <w:semiHidden/>
    <w:unhideWhenUsed/>
    <w:rsid w:val="00866E07"/>
    <w:pPr>
      <w:spacing w:line="240" w:lineRule="auto"/>
    </w:pPr>
    <w:rPr>
      <w:sz w:val="24"/>
      <w:szCs w:val="24"/>
    </w:rPr>
  </w:style>
  <w:style w:type="character" w:customStyle="1" w:styleId="CommentTextChar">
    <w:name w:val="Comment Text Char"/>
    <w:basedOn w:val="DefaultParagraphFont"/>
    <w:link w:val="CommentText"/>
    <w:uiPriority w:val="99"/>
    <w:semiHidden/>
    <w:rsid w:val="00866E07"/>
    <w:rPr>
      <w:rFonts w:ascii="Calibri" w:eastAsia="SimSun" w:hAnsi="Calibri" w:cs="Mangal"/>
      <w:sz w:val="24"/>
      <w:szCs w:val="24"/>
      <w:lang w:val="en-GB"/>
    </w:rPr>
  </w:style>
  <w:style w:type="paragraph" w:styleId="BalloonText">
    <w:name w:val="Balloon Text"/>
    <w:basedOn w:val="Normal"/>
    <w:link w:val="BalloonTextChar"/>
    <w:uiPriority w:val="99"/>
    <w:semiHidden/>
    <w:unhideWhenUsed/>
    <w:rsid w:val="00866E07"/>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E07"/>
    <w:rPr>
      <w:rFonts w:ascii="Tahoma" w:eastAsia="SimSun" w:hAnsi="Tahoma" w:cs="Tahoma"/>
      <w:sz w:val="16"/>
      <w:szCs w:val="16"/>
      <w:lang w:val="en-GB"/>
    </w:rPr>
  </w:style>
  <w:style w:type="paragraph" w:styleId="ListParagraph">
    <w:name w:val="List Paragraph"/>
    <w:basedOn w:val="Normal"/>
    <w:uiPriority w:val="34"/>
    <w:qFormat/>
    <w:rsid w:val="00701AEA"/>
    <w:pPr>
      <w:ind w:left="720"/>
      <w:contextualSpacing/>
    </w:pPr>
  </w:style>
  <w:style w:type="character" w:styleId="Hyperlink">
    <w:name w:val="Hyperlink"/>
    <w:basedOn w:val="DefaultParagraphFont"/>
    <w:uiPriority w:val="99"/>
    <w:unhideWhenUsed/>
    <w:rsid w:val="00701AEA"/>
    <w:rPr>
      <w:color w:val="0000FF" w:themeColor="hyperlink"/>
      <w:u w:val="single"/>
    </w:rPr>
  </w:style>
  <w:style w:type="paragraph" w:styleId="EndnoteText">
    <w:name w:val="endnote text"/>
    <w:basedOn w:val="Normal"/>
    <w:link w:val="EndnoteTextChar"/>
    <w:uiPriority w:val="99"/>
    <w:semiHidden/>
    <w:unhideWhenUsed/>
    <w:rsid w:val="00535930"/>
    <w:pPr>
      <w:spacing w:before="0" w:after="0" w:line="240" w:lineRule="auto"/>
    </w:pPr>
  </w:style>
  <w:style w:type="character" w:customStyle="1" w:styleId="EndnoteTextChar">
    <w:name w:val="Endnote Text Char"/>
    <w:basedOn w:val="DefaultParagraphFont"/>
    <w:link w:val="EndnoteText"/>
    <w:uiPriority w:val="99"/>
    <w:semiHidden/>
    <w:rsid w:val="00535930"/>
    <w:rPr>
      <w:rFonts w:ascii="Calibri" w:eastAsia="SimSun" w:hAnsi="Calibri" w:cs="Mangal"/>
      <w:sz w:val="20"/>
      <w:szCs w:val="20"/>
      <w:lang w:val="en-GB"/>
    </w:rPr>
  </w:style>
  <w:style w:type="character" w:styleId="EndnoteReference">
    <w:name w:val="endnote reference"/>
    <w:basedOn w:val="DefaultParagraphFont"/>
    <w:uiPriority w:val="99"/>
    <w:semiHidden/>
    <w:unhideWhenUsed/>
    <w:rsid w:val="00535930"/>
    <w:rPr>
      <w:vertAlign w:val="superscript"/>
    </w:rPr>
  </w:style>
  <w:style w:type="character" w:styleId="FollowedHyperlink">
    <w:name w:val="FollowedHyperlink"/>
    <w:basedOn w:val="DefaultParagraphFont"/>
    <w:uiPriority w:val="99"/>
    <w:semiHidden/>
    <w:unhideWhenUsed/>
    <w:rsid w:val="00460CCB"/>
    <w:rPr>
      <w:color w:val="800080" w:themeColor="followedHyperlink"/>
      <w:u w:val="single"/>
    </w:rPr>
  </w:style>
  <w:style w:type="paragraph" w:styleId="NormalWeb">
    <w:name w:val="Normal (Web)"/>
    <w:basedOn w:val="Normal"/>
    <w:uiPriority w:val="99"/>
    <w:unhideWhenUsed/>
    <w:rsid w:val="00BD523F"/>
    <w:pPr>
      <w:spacing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BD523F"/>
    <w:rPr>
      <w:b/>
      <w:bCs/>
    </w:rPr>
  </w:style>
  <w:style w:type="character" w:customStyle="1" w:styleId="Heading2Char">
    <w:name w:val="Heading 2 Char"/>
    <w:basedOn w:val="DefaultParagraphFont"/>
    <w:link w:val="Heading2"/>
    <w:uiPriority w:val="9"/>
    <w:semiHidden/>
    <w:rsid w:val="00241AF8"/>
    <w:rPr>
      <w:rFonts w:asciiTheme="majorHAnsi" w:eastAsiaTheme="majorEastAsia" w:hAnsiTheme="majorHAnsi" w:cstheme="majorBidi"/>
      <w:b/>
      <w:bCs/>
      <w:color w:val="4F81BD" w:themeColor="accent1"/>
      <w:sz w:val="26"/>
      <w:szCs w:val="26"/>
      <w:lang w:val="en-GB"/>
    </w:rPr>
  </w:style>
  <w:style w:type="paragraph" w:styleId="Header">
    <w:name w:val="header"/>
    <w:basedOn w:val="Normal"/>
    <w:link w:val="HeaderChar"/>
    <w:uiPriority w:val="99"/>
    <w:semiHidden/>
    <w:unhideWhenUsed/>
    <w:rsid w:val="00F11A80"/>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F11A80"/>
    <w:rPr>
      <w:rFonts w:ascii="Calibri" w:eastAsia="SimSun" w:hAnsi="Calibri" w:cs="Mangal"/>
      <w:sz w:val="20"/>
      <w:szCs w:val="20"/>
      <w:lang w:val="en-GB"/>
    </w:rPr>
  </w:style>
  <w:style w:type="paragraph" w:styleId="Footer">
    <w:name w:val="footer"/>
    <w:basedOn w:val="Normal"/>
    <w:link w:val="FooterChar"/>
    <w:uiPriority w:val="99"/>
    <w:semiHidden/>
    <w:unhideWhenUsed/>
    <w:rsid w:val="00F11A80"/>
    <w:pPr>
      <w:tabs>
        <w:tab w:val="center" w:pos="4680"/>
        <w:tab w:val="right" w:pos="9360"/>
      </w:tabs>
      <w:spacing w:before="0" w:after="0" w:line="240" w:lineRule="auto"/>
    </w:pPr>
  </w:style>
  <w:style w:type="character" w:customStyle="1" w:styleId="FooterChar">
    <w:name w:val="Footer Char"/>
    <w:basedOn w:val="DefaultParagraphFont"/>
    <w:link w:val="Footer"/>
    <w:uiPriority w:val="99"/>
    <w:semiHidden/>
    <w:rsid w:val="00F11A80"/>
    <w:rPr>
      <w:rFonts w:ascii="Calibri" w:eastAsia="SimSun" w:hAnsi="Calibri" w:cs="Mangal"/>
      <w:sz w:val="20"/>
      <w:szCs w:val="20"/>
      <w:lang w:val="en-GB"/>
    </w:rPr>
  </w:style>
  <w:style w:type="character" w:styleId="UnresolvedMention">
    <w:name w:val="Unresolved Mention"/>
    <w:basedOn w:val="DefaultParagraphFont"/>
    <w:uiPriority w:val="99"/>
    <w:semiHidden/>
    <w:unhideWhenUsed/>
    <w:rsid w:val="005F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246021">
      <w:bodyDiv w:val="1"/>
      <w:marLeft w:val="0"/>
      <w:marRight w:val="0"/>
      <w:marTop w:val="0"/>
      <w:marBottom w:val="0"/>
      <w:divBdr>
        <w:top w:val="none" w:sz="0" w:space="0" w:color="auto"/>
        <w:left w:val="none" w:sz="0" w:space="0" w:color="auto"/>
        <w:bottom w:val="none" w:sz="0" w:space="0" w:color="auto"/>
        <w:right w:val="none" w:sz="0" w:space="0" w:color="auto"/>
      </w:divBdr>
    </w:div>
    <w:div w:id="443305202">
      <w:bodyDiv w:val="1"/>
      <w:marLeft w:val="0"/>
      <w:marRight w:val="0"/>
      <w:marTop w:val="0"/>
      <w:marBottom w:val="0"/>
      <w:divBdr>
        <w:top w:val="none" w:sz="0" w:space="0" w:color="auto"/>
        <w:left w:val="none" w:sz="0" w:space="0" w:color="auto"/>
        <w:bottom w:val="none" w:sz="0" w:space="0" w:color="auto"/>
        <w:right w:val="none" w:sz="0" w:space="0" w:color="auto"/>
      </w:divBdr>
    </w:div>
    <w:div w:id="452747240">
      <w:bodyDiv w:val="1"/>
      <w:marLeft w:val="0"/>
      <w:marRight w:val="0"/>
      <w:marTop w:val="0"/>
      <w:marBottom w:val="0"/>
      <w:divBdr>
        <w:top w:val="none" w:sz="0" w:space="0" w:color="auto"/>
        <w:left w:val="none" w:sz="0" w:space="0" w:color="auto"/>
        <w:bottom w:val="none" w:sz="0" w:space="0" w:color="auto"/>
        <w:right w:val="none" w:sz="0" w:space="0" w:color="auto"/>
      </w:divBdr>
    </w:div>
    <w:div w:id="830560353">
      <w:bodyDiv w:val="1"/>
      <w:marLeft w:val="0"/>
      <w:marRight w:val="0"/>
      <w:marTop w:val="0"/>
      <w:marBottom w:val="0"/>
      <w:divBdr>
        <w:top w:val="none" w:sz="0" w:space="0" w:color="auto"/>
        <w:left w:val="none" w:sz="0" w:space="0" w:color="auto"/>
        <w:bottom w:val="none" w:sz="0" w:space="0" w:color="auto"/>
        <w:right w:val="none" w:sz="0" w:space="0" w:color="auto"/>
      </w:divBdr>
    </w:div>
    <w:div w:id="1476338771">
      <w:bodyDiv w:val="1"/>
      <w:marLeft w:val="0"/>
      <w:marRight w:val="0"/>
      <w:marTop w:val="0"/>
      <w:marBottom w:val="0"/>
      <w:divBdr>
        <w:top w:val="none" w:sz="0" w:space="0" w:color="auto"/>
        <w:left w:val="none" w:sz="0" w:space="0" w:color="auto"/>
        <w:bottom w:val="none" w:sz="0" w:space="0" w:color="auto"/>
        <w:right w:val="none" w:sz="0" w:space="0" w:color="auto"/>
      </w:divBdr>
    </w:div>
    <w:div w:id="1533152183">
      <w:bodyDiv w:val="1"/>
      <w:marLeft w:val="0"/>
      <w:marRight w:val="0"/>
      <w:marTop w:val="0"/>
      <w:marBottom w:val="0"/>
      <w:divBdr>
        <w:top w:val="none" w:sz="0" w:space="0" w:color="auto"/>
        <w:left w:val="none" w:sz="0" w:space="0" w:color="auto"/>
        <w:bottom w:val="none" w:sz="0" w:space="0" w:color="auto"/>
        <w:right w:val="none" w:sz="0" w:space="0" w:color="auto"/>
      </w:divBdr>
    </w:div>
    <w:div w:id="1888950664">
      <w:bodyDiv w:val="1"/>
      <w:marLeft w:val="0"/>
      <w:marRight w:val="0"/>
      <w:marTop w:val="0"/>
      <w:marBottom w:val="0"/>
      <w:divBdr>
        <w:top w:val="none" w:sz="0" w:space="0" w:color="auto"/>
        <w:left w:val="none" w:sz="0" w:space="0" w:color="auto"/>
        <w:bottom w:val="none" w:sz="0" w:space="0" w:color="auto"/>
        <w:right w:val="none" w:sz="0" w:space="0" w:color="auto"/>
      </w:divBdr>
    </w:div>
    <w:div w:id="1927759873">
      <w:bodyDiv w:val="1"/>
      <w:marLeft w:val="0"/>
      <w:marRight w:val="0"/>
      <w:marTop w:val="0"/>
      <w:marBottom w:val="0"/>
      <w:divBdr>
        <w:top w:val="none" w:sz="0" w:space="0" w:color="auto"/>
        <w:left w:val="none" w:sz="0" w:space="0" w:color="auto"/>
        <w:bottom w:val="none" w:sz="0" w:space="0" w:color="auto"/>
        <w:right w:val="none" w:sz="0" w:space="0" w:color="auto"/>
      </w:divBdr>
    </w:div>
    <w:div w:id="207605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varamalemagar@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s.google.com.np/books?hl=en&amp;lr=&amp;id=nCcGbURUDMgC&amp;oi=fnd&amp;pg=PP2&amp;ots=G5W1QQ3VwZ&amp;sig=G_k7yHDGLjii8qWhQ1jE_gY_fcQ&amp;redir_esc=y#v=onepage&amp;q&amp;f=fals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shresthabibek85iom@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Sun</b:Tag>
    <b:SourceType>JournalArticle</b:SourceType>
    <b:Guid>{A64F90BF-FDC6-4312-914D-E5254BD481B7}</b:Guid>
    <b:LCID>0</b:LCID>
    <b:Author>
      <b:Author>
        <b:NameList>
          <b:Person>
            <b:Last>Sung-Joo Yuh</b:Last>
            <b:First>Michael</b:First>
            <b:Middle>Vassilyadi</b:Middle>
          </b:Person>
        </b:NameList>
      </b:Author>
    </b:Author>
    <b:Title>Management of abdominal pseudocyst in shunt-dependent hydrocephalus</b:Title>
    <b:JournalName>SURGICAL NEUROLOGY INTERNATIONAL®</b:JournalName>
    <b:RefOrder>1</b:RefOrder>
  </b:Source>
</b:Sources>
</file>

<file path=customXml/itemProps1.xml><?xml version="1.0" encoding="utf-8"?>
<ds:datastoreItem xmlns:ds="http://schemas.openxmlformats.org/officeDocument/2006/customXml" ds:itemID="{92DB895A-6680-4A14-B7B3-B53EDB191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7</Pages>
  <Words>2359</Words>
  <Characters>13449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s1529</cp:lastModifiedBy>
  <cp:revision>35</cp:revision>
  <dcterms:created xsi:type="dcterms:W3CDTF">2023-07-08T09:53:00Z</dcterms:created>
  <dcterms:modified xsi:type="dcterms:W3CDTF">2024-08-06T06:24:00Z</dcterms:modified>
</cp:coreProperties>
</file>