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insoku w:val="0"/>
        <w:overflowPunct w:val="0"/>
        <w:spacing w:before="31" w:line="360" w:lineRule="auto"/>
        <w:ind w:right="74" w:firstLine="0"/>
        <w:jc w:val="both"/>
        <w:rPr>
          <w:kern w:val="0"/>
          <w:sz w:val="24"/>
          <w:szCs w:val="24"/>
          <w:highlight w:val="none"/>
          <w:lang w:eastAsia="zh-CN" w:bidi="ar"/>
        </w:rPr>
      </w:pPr>
      <w:r>
        <w:rPr>
          <w:spacing w:val="-2"/>
          <w:sz w:val="24"/>
          <w:szCs w:val="24"/>
          <w:highlight w:val="none"/>
          <w:lang w:eastAsia="zh-CN"/>
        </w:rPr>
        <w:t xml:space="preserve">Table 2 </w:t>
      </w:r>
      <w:r>
        <w:rPr>
          <w:kern w:val="0"/>
          <w:sz w:val="24"/>
          <w:szCs w:val="24"/>
          <w:highlight w:val="none"/>
          <w:lang w:eastAsia="zh-CN" w:bidi="ar"/>
        </w:rPr>
        <w:t xml:space="preserve">Salmon quantitative analysis of gut microbiota samples from three populations </w:t>
      </w:r>
      <w:r>
        <w:rPr>
          <w:spacing w:val="-2"/>
          <w:sz w:val="24"/>
          <w:highlight w:val="none"/>
          <w:lang w:eastAsia="zh-CN"/>
        </w:rPr>
        <w:t xml:space="preserve">of </w:t>
      </w:r>
      <w:r>
        <w:rPr>
          <w:i/>
          <w:iCs/>
          <w:spacing w:val="-2"/>
          <w:sz w:val="24"/>
          <w:highlight w:val="none"/>
        </w:rPr>
        <w:t>Viridovipera stejnegeri</w:t>
      </w:r>
      <w:r>
        <w:rPr>
          <w:i/>
          <w:iCs/>
          <w:spacing w:val="-2"/>
          <w:sz w:val="24"/>
          <w:highlight w:val="none"/>
          <w:lang w:eastAsia="zh-CN"/>
        </w:rPr>
        <w:t xml:space="preserve"> </w:t>
      </w:r>
      <w:r>
        <w:rPr>
          <w:spacing w:val="-2"/>
          <w:sz w:val="24"/>
          <w:highlight w:val="none"/>
          <w:lang w:eastAsia="zh-CN"/>
        </w:rPr>
        <w:t>(</w:t>
      </w:r>
      <w:r>
        <w:rPr>
          <w:sz w:val="24"/>
          <w:szCs w:val="24"/>
          <w:highlight w:val="none"/>
          <w:lang w:eastAsia="zh-CN"/>
        </w:rPr>
        <w:t>average values)</w:t>
      </w:r>
    </w:p>
    <w:tbl>
      <w:tblPr>
        <w:tblStyle w:val="3"/>
        <w:tblW w:w="478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1563"/>
        <w:gridCol w:w="2743"/>
        <w:gridCol w:w="985"/>
        <w:gridCol w:w="13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958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Population</w:t>
            </w:r>
          </w:p>
        </w:tc>
        <w:tc>
          <w:tcPr>
            <w:tcW w:w="958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Length (bp)</w:t>
            </w:r>
          </w:p>
        </w:tc>
        <w:tc>
          <w:tcPr>
            <w:tcW w:w="1681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Effective Length (bp)</w:t>
            </w:r>
          </w:p>
        </w:tc>
        <w:tc>
          <w:tcPr>
            <w:tcW w:w="603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TPM</w:t>
            </w:r>
          </w:p>
        </w:tc>
        <w:tc>
          <w:tcPr>
            <w:tcW w:w="798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Num Reads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Anhui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 xml:space="preserve">439.22 </w:t>
            </w:r>
          </w:p>
        </w:tc>
        <w:tc>
          <w:tcPr>
            <w:tcW w:w="1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 xml:space="preserve">225.69 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 xml:space="preserve">9.94 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 xml:space="preserve">86.29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Guizhou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 xml:space="preserve">530.26 </w:t>
            </w:r>
          </w:p>
        </w:tc>
        <w:tc>
          <w:tcPr>
            <w:tcW w:w="1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 xml:space="preserve">277.60 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 xml:space="preserve">10.26 </w:t>
            </w: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 xml:space="preserve">101.29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958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>Hunan</w:t>
            </w:r>
          </w:p>
        </w:tc>
        <w:tc>
          <w:tcPr>
            <w:tcW w:w="958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 xml:space="preserve">634.17 </w:t>
            </w:r>
          </w:p>
        </w:tc>
        <w:tc>
          <w:tcPr>
            <w:tcW w:w="1681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 xml:space="preserve">399.12 </w:t>
            </w:r>
          </w:p>
        </w:tc>
        <w:tc>
          <w:tcPr>
            <w:tcW w:w="603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 xml:space="preserve">9.60 </w:t>
            </w:r>
          </w:p>
        </w:tc>
        <w:tc>
          <w:tcPr>
            <w:tcW w:w="798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</w:pPr>
            <w:r>
              <w:rPr>
                <w:rFonts w:ascii="Times New Roman" w:hAnsi="Times New Roman" w:eastAsia="Times New Roman" w:cs="Times New Roman"/>
                <w:kern w:val="0"/>
                <w:szCs w:val="21"/>
                <w:highlight w:val="none"/>
                <w:lang w:bidi="ar"/>
              </w:rPr>
              <w:t xml:space="preserve">106.09 </w:t>
            </w:r>
          </w:p>
        </w:tc>
      </w:tr>
    </w:tbl>
    <w:p>
      <w:pPr>
        <w:pStyle w:val="2"/>
        <w:kinsoku w:val="0"/>
        <w:overflowPunct w:val="0"/>
        <w:spacing w:before="31"/>
        <w:ind w:right="74" w:firstLine="0"/>
        <w:rPr>
          <w:kern w:val="0"/>
          <w:sz w:val="21"/>
          <w:szCs w:val="21"/>
          <w:highlight w:val="none"/>
          <w:lang w:eastAsia="zh-CN" w:bidi="ar"/>
        </w:rPr>
      </w:pPr>
      <w:r>
        <w:rPr>
          <w:spacing w:val="-2"/>
          <w:sz w:val="21"/>
          <w:szCs w:val="21"/>
          <w:highlight w:val="none"/>
          <w:lang w:eastAsia="zh-CN"/>
        </w:rPr>
        <w:t xml:space="preserve">Notes: </w:t>
      </w:r>
      <w:r>
        <w:rPr>
          <w:kern w:val="0"/>
          <w:sz w:val="21"/>
          <w:szCs w:val="21"/>
          <w:highlight w:val="none"/>
          <w:lang w:eastAsia="zh-CN" w:bidi="ar"/>
        </w:rPr>
        <w:t>Length (bp): actual length of original FASTQ sequence; Effective length (bp): FASTQ sequence effective length; TPM value (transcripts per kilobase of exon model per million mapped reads): transcripts per thousand base transcripts per million mapped reads, summarizing length, expression, and number of genes, used to estimate sample expression; Num reads: estimated number of reads matched to each sample.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mMWEzOWIyMGY0ZWE3ZmVhM2U2MzUwYzE0ODMyMGQifQ=="/>
  </w:docVars>
  <w:rsids>
    <w:rsidRoot w:val="370819FC"/>
    <w:rsid w:val="3708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2024-05-06T08:59:00Z</dcterms:created>
  <dc:creator>张佳琦.</dc:creator>
  <cp:lastModifiedBy>张佳琦.</cp:lastModifiedBy>
  <dcterms:modified xsi:type="dcterms:W3CDTF">2024-05-06T13:02:40Z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F70D927AC4DE4DCA80FB34306BF845D7_11</vt:lpwstr>
  </property>
</Properties>
</file>