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31" w:line="360" w:lineRule="auto"/>
        <w:ind w:right="74"/>
        <w:jc w:val="both"/>
        <w:rPr>
          <w:sz w:val="24"/>
          <w:szCs w:val="24"/>
          <w:highlight w:val="none"/>
          <w:lang w:eastAsia="zh-CN"/>
        </w:rPr>
      </w:pPr>
      <w:r>
        <w:rPr>
          <w:spacing w:val="-5"/>
          <w:sz w:val="24"/>
          <w:szCs w:val="24"/>
          <w:highlight w:val="none"/>
          <w:lang w:eastAsia="zh-CN"/>
        </w:rPr>
        <w:t xml:space="preserve">Table 3 </w:t>
      </w:r>
      <w:r>
        <w:rPr>
          <w:rFonts w:eastAsia="宋体"/>
          <w:sz w:val="24"/>
          <w:szCs w:val="24"/>
          <w:highlight w:val="none"/>
          <w:lang w:eastAsia="zh-CN"/>
        </w:rPr>
        <w:t xml:space="preserve">Dominant phyla in three populations of </w:t>
      </w:r>
      <w:r>
        <w:rPr>
          <w:i/>
          <w:iCs/>
          <w:spacing w:val="-5"/>
          <w:sz w:val="24"/>
          <w:szCs w:val="24"/>
          <w:highlight w:val="none"/>
          <w:lang w:eastAsia="zh-CN"/>
        </w:rPr>
        <w:t>V. stejnegeri</w:t>
      </w:r>
      <w:r>
        <w:rPr>
          <w:rFonts w:eastAsia="宋体"/>
          <w:sz w:val="24"/>
          <w:szCs w:val="24"/>
          <w:highlight w:val="none"/>
          <w:lang w:eastAsia="zh-CN"/>
        </w:rPr>
        <w:t xml:space="preserve"> (</w:t>
      </w:r>
      <w:r>
        <w:rPr>
          <w:spacing w:val="-5"/>
          <w:sz w:val="24"/>
          <w:szCs w:val="24"/>
          <w:highlight w:val="none"/>
          <w:lang w:eastAsia="zh-CN"/>
        </w:rPr>
        <w:t>relative abundance ≥ 3%</w:t>
      </w:r>
      <w:r>
        <w:rPr>
          <w:rFonts w:eastAsia="宋体"/>
          <w:sz w:val="24"/>
          <w:szCs w:val="24"/>
          <w:highlight w:val="none"/>
          <w:lang w:eastAsia="zh-CN"/>
        </w:rPr>
        <w:t>)</w:t>
      </w:r>
    </w:p>
    <w:tbl>
      <w:tblPr>
        <w:tblStyle w:val="3"/>
        <w:tblW w:w="0" w:type="auto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019"/>
        <w:gridCol w:w="1925"/>
        <w:gridCol w:w="1657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Population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Phylum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Pseudomonadota (%)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Actinomycetota (%)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Bacteroidota (%)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Bacillota 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Anhui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71.83 ± 17.46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13.11 ± 10.71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6.46 ± 5.15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4.41 ± 3.30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Guizhou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87.16 ± 6.52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2.10 ± 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4.31 ± 4.56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5.09 ± 2.99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Hunan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47.65 ± 22.15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1.00 ± 0.32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45.73 ± 20.96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4.09 ± 1.17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073E4FD3"/>
    <w:rsid w:val="073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2024-05-06T09:01:00Z</dcterms:created>
  <dc:creator>张佳琦.</dc:creator>
  <cp:lastModifiedBy>张佳琦.</cp:lastModifiedBy>
  <dcterms:modified xsi:type="dcterms:W3CDTF">2024-05-06T13:02:47Z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F0FC3232CA254BF7A7F2095D77D8AC0E_11</vt:lpwstr>
  </property>
</Properties>
</file>