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56B197" w14:textId="1431705C" w:rsidR="00C41F7F" w:rsidRPr="00AF5440" w:rsidRDefault="00C41F7F" w:rsidP="002C16D5">
      <w:pPr>
        <w:spacing w:after="200"/>
        <w:rPr>
          <w:sz w:val="28"/>
          <w:szCs w:val="28"/>
          <w:lang w:val="en-US"/>
        </w:rPr>
      </w:pPr>
      <w:r w:rsidRPr="00AF5440">
        <w:rPr>
          <w:sz w:val="28"/>
          <w:szCs w:val="28"/>
          <w:lang w:val="en-US"/>
        </w:rPr>
        <w:t>Expandin</w:t>
      </w:r>
      <w:r w:rsidR="00D72C2B" w:rsidRPr="00AF5440">
        <w:rPr>
          <w:sz w:val="28"/>
          <w:szCs w:val="28"/>
          <w:lang w:val="en-US"/>
        </w:rPr>
        <w:t>g</w:t>
      </w:r>
      <w:r w:rsidRPr="00AF5440">
        <w:rPr>
          <w:sz w:val="28"/>
          <w:szCs w:val="28"/>
          <w:lang w:val="en-US"/>
        </w:rPr>
        <w:t xml:space="preserve"> the Phenotyp</w:t>
      </w:r>
      <w:r w:rsidR="00D72C2B" w:rsidRPr="00AF5440">
        <w:rPr>
          <w:sz w:val="28"/>
          <w:szCs w:val="28"/>
          <w:lang w:val="en-US"/>
        </w:rPr>
        <w:t xml:space="preserve">ic Spectrum of </w:t>
      </w:r>
      <w:r w:rsidR="00DE6C17" w:rsidRPr="00AF5440">
        <w:rPr>
          <w:sz w:val="28"/>
          <w:szCs w:val="28"/>
          <w:lang w:val="en-US"/>
        </w:rPr>
        <w:t xml:space="preserve">Methylenetetrahydrofolate Reductase </w:t>
      </w:r>
      <w:r w:rsidR="000168A2" w:rsidRPr="00AF5440">
        <w:rPr>
          <w:sz w:val="28"/>
          <w:szCs w:val="28"/>
          <w:lang w:val="en-US"/>
        </w:rPr>
        <w:t xml:space="preserve">(MTHFR) </w:t>
      </w:r>
      <w:r w:rsidR="00D72C2B" w:rsidRPr="00AF5440">
        <w:rPr>
          <w:sz w:val="28"/>
          <w:szCs w:val="28"/>
          <w:lang w:val="en-US"/>
        </w:rPr>
        <w:t>Deficiency</w:t>
      </w:r>
      <w:r w:rsidR="00A608E5" w:rsidRPr="00AF5440">
        <w:rPr>
          <w:sz w:val="28"/>
          <w:szCs w:val="28"/>
          <w:lang w:val="en-US"/>
        </w:rPr>
        <w:t xml:space="preserve"> in Childhood</w:t>
      </w:r>
      <w:r w:rsidR="00D72C2B" w:rsidRPr="00AF5440">
        <w:rPr>
          <w:sz w:val="28"/>
          <w:szCs w:val="28"/>
          <w:lang w:val="en-US"/>
        </w:rPr>
        <w:t xml:space="preserve">: </w:t>
      </w:r>
      <w:r w:rsidR="00B7057C" w:rsidRPr="00AF5440">
        <w:rPr>
          <w:sz w:val="28"/>
          <w:szCs w:val="28"/>
          <w:lang w:val="en-US"/>
        </w:rPr>
        <w:t>A Case Series</w:t>
      </w:r>
    </w:p>
    <w:p w14:paraId="44B99452" w14:textId="6FC9E5BE" w:rsidR="00D72C2B" w:rsidRPr="00AF5440" w:rsidRDefault="00D72C2B" w:rsidP="002C16D5">
      <w:pPr>
        <w:spacing w:after="200"/>
        <w:rPr>
          <w:lang w:val="en-US"/>
        </w:rPr>
      </w:pPr>
      <w:r w:rsidRPr="00AF5440">
        <w:rPr>
          <w:lang w:val="en-US"/>
        </w:rPr>
        <w:t xml:space="preserve">Loftus, </w:t>
      </w:r>
      <w:r w:rsidR="000E7AD8" w:rsidRPr="00AF5440">
        <w:rPr>
          <w:lang w:val="en-US"/>
        </w:rPr>
        <w:t>E</w:t>
      </w:r>
      <w:r w:rsidR="000E7AD8" w:rsidRPr="00AF5440">
        <w:rPr>
          <w:vertAlign w:val="superscript"/>
          <w:lang w:val="en-US"/>
        </w:rPr>
        <w:t>1</w:t>
      </w:r>
      <w:r w:rsidR="000E7AD8" w:rsidRPr="00AF5440">
        <w:rPr>
          <w:lang w:val="en-US"/>
        </w:rPr>
        <w:t>,</w:t>
      </w:r>
      <w:r w:rsidRPr="00AF5440">
        <w:rPr>
          <w:lang w:val="en-US"/>
        </w:rPr>
        <w:t xml:space="preserve"> </w:t>
      </w:r>
      <w:r w:rsidR="000E7AD8" w:rsidRPr="00AF5440">
        <w:rPr>
          <w:lang w:val="en-US"/>
        </w:rPr>
        <w:t>Elbishari, Z</w:t>
      </w:r>
      <w:r w:rsidR="005A5402" w:rsidRPr="00AF5440">
        <w:rPr>
          <w:vertAlign w:val="superscript"/>
          <w:lang w:val="en-US"/>
        </w:rPr>
        <w:t>1</w:t>
      </w:r>
      <w:r w:rsidR="005A5402" w:rsidRPr="00AF5440">
        <w:rPr>
          <w:lang w:val="en-US"/>
        </w:rPr>
        <w:t xml:space="preserve">, </w:t>
      </w:r>
      <w:r w:rsidR="3CF9FB41" w:rsidRPr="00AF5440">
        <w:rPr>
          <w:lang w:val="en-US"/>
        </w:rPr>
        <w:t>Fitzsimons, PE</w:t>
      </w:r>
      <w:r w:rsidR="3CF9FB41" w:rsidRPr="00AF5440">
        <w:rPr>
          <w:vertAlign w:val="superscript"/>
          <w:lang w:val="en-US"/>
        </w:rPr>
        <w:t>2</w:t>
      </w:r>
      <w:r w:rsidR="3CF9FB41" w:rsidRPr="00AF5440">
        <w:rPr>
          <w:lang w:val="en-US"/>
        </w:rPr>
        <w:t xml:space="preserve">, </w:t>
      </w:r>
      <w:r w:rsidR="00EB2A06" w:rsidRPr="00AF5440">
        <w:rPr>
          <w:lang w:val="en-US"/>
        </w:rPr>
        <w:t>Howard, C</w:t>
      </w:r>
      <w:r w:rsidR="00EB2A06" w:rsidRPr="00AF5440">
        <w:rPr>
          <w:vertAlign w:val="superscript"/>
          <w:lang w:val="en-US"/>
        </w:rPr>
        <w:t>1</w:t>
      </w:r>
      <w:r w:rsidR="00EB2A06" w:rsidRPr="00AF5440">
        <w:rPr>
          <w:lang w:val="en-US"/>
        </w:rPr>
        <w:t xml:space="preserve">, </w:t>
      </w:r>
      <w:r w:rsidR="000E7AD8" w:rsidRPr="00AF5440">
        <w:rPr>
          <w:lang w:val="en-US"/>
        </w:rPr>
        <w:t>Sheikh, Y</w:t>
      </w:r>
      <w:r w:rsidR="000E7AD8" w:rsidRPr="00AF5440">
        <w:rPr>
          <w:vertAlign w:val="superscript"/>
          <w:lang w:val="en-US"/>
        </w:rPr>
        <w:t>3</w:t>
      </w:r>
      <w:r w:rsidR="005A5402" w:rsidRPr="00AF5440">
        <w:rPr>
          <w:lang w:val="en-US"/>
        </w:rPr>
        <w:t xml:space="preserve">, </w:t>
      </w:r>
      <w:r w:rsidRPr="00AF5440">
        <w:rPr>
          <w:lang w:val="en-US"/>
        </w:rPr>
        <w:t>Lynch, B</w:t>
      </w:r>
      <w:r w:rsidR="005A5402" w:rsidRPr="00AF5440">
        <w:rPr>
          <w:vertAlign w:val="superscript"/>
          <w:lang w:val="en-US"/>
        </w:rPr>
        <w:t>4</w:t>
      </w:r>
      <w:r w:rsidR="00EB2A06" w:rsidRPr="00AF5440">
        <w:rPr>
          <w:vertAlign w:val="superscript"/>
          <w:lang w:val="en-US"/>
        </w:rPr>
        <w:t>,5</w:t>
      </w:r>
      <w:r w:rsidR="005A5402" w:rsidRPr="00AF5440">
        <w:rPr>
          <w:lang w:val="en-US"/>
        </w:rPr>
        <w:t>,</w:t>
      </w:r>
      <w:r w:rsidRPr="00AF5440">
        <w:rPr>
          <w:lang w:val="en-US"/>
        </w:rPr>
        <w:t xml:space="preserve"> Crushell, E</w:t>
      </w:r>
      <w:r w:rsidR="008B15FD" w:rsidRPr="00AF5440">
        <w:rPr>
          <w:vertAlign w:val="superscript"/>
          <w:lang w:val="en-US"/>
        </w:rPr>
        <w:t>1</w:t>
      </w:r>
      <w:r w:rsidR="00EB2A06" w:rsidRPr="00AF5440">
        <w:rPr>
          <w:vertAlign w:val="superscript"/>
          <w:lang w:val="en-US"/>
        </w:rPr>
        <w:t>,5</w:t>
      </w:r>
      <w:r w:rsidRPr="00AF5440">
        <w:rPr>
          <w:lang w:val="en-US"/>
        </w:rPr>
        <w:t>, Knerr, I</w:t>
      </w:r>
      <w:r w:rsidR="008B15FD" w:rsidRPr="00AF5440">
        <w:rPr>
          <w:vertAlign w:val="superscript"/>
          <w:lang w:val="en-US"/>
        </w:rPr>
        <w:t>1</w:t>
      </w:r>
      <w:r w:rsidR="00EB2A06" w:rsidRPr="00AF5440">
        <w:rPr>
          <w:vertAlign w:val="superscript"/>
          <w:lang w:val="en-US"/>
        </w:rPr>
        <w:t>,5</w:t>
      </w:r>
      <w:r w:rsidR="005A5402" w:rsidRPr="00AF5440">
        <w:rPr>
          <w:vertAlign w:val="superscript"/>
          <w:lang w:val="en-US"/>
        </w:rPr>
        <w:t>*</w:t>
      </w:r>
    </w:p>
    <w:p w14:paraId="4CBB3786" w14:textId="56FA8A98" w:rsidR="008B15FD" w:rsidRPr="00AF5440" w:rsidRDefault="00F12810" w:rsidP="00AF5440">
      <w:pPr>
        <w:spacing w:after="200"/>
        <w:rPr>
          <w:lang w:val="en-US"/>
        </w:rPr>
      </w:pPr>
      <w:r w:rsidRPr="00AF5440">
        <w:rPr>
          <w:vertAlign w:val="superscript"/>
          <w:lang w:val="en-US"/>
        </w:rPr>
        <w:t>1</w:t>
      </w:r>
      <w:r w:rsidR="008B15FD" w:rsidRPr="00AF5440">
        <w:rPr>
          <w:lang w:val="en-US"/>
        </w:rPr>
        <w:t xml:space="preserve">National Centre for Inherited Metabolic Disorders, </w:t>
      </w:r>
      <w:r w:rsidR="005A5402" w:rsidRPr="00AF5440">
        <w:rPr>
          <w:lang w:val="en-US"/>
        </w:rPr>
        <w:t>Children</w:t>
      </w:r>
      <w:r w:rsidR="00104C61">
        <w:rPr>
          <w:lang w:val="en-US"/>
        </w:rPr>
        <w:t>’</w:t>
      </w:r>
      <w:r w:rsidR="005A5402" w:rsidRPr="00AF5440">
        <w:rPr>
          <w:lang w:val="en-US"/>
        </w:rPr>
        <w:t>s Health Ireland (</w:t>
      </w:r>
      <w:r w:rsidR="008B15FD" w:rsidRPr="00AF5440">
        <w:rPr>
          <w:lang w:val="en-US"/>
        </w:rPr>
        <w:t>CHI</w:t>
      </w:r>
      <w:r w:rsidR="005A5402" w:rsidRPr="00AF5440">
        <w:rPr>
          <w:lang w:val="en-US"/>
        </w:rPr>
        <w:t>)</w:t>
      </w:r>
      <w:r w:rsidR="008B15FD" w:rsidRPr="00AF5440">
        <w:rPr>
          <w:lang w:val="en-US"/>
        </w:rPr>
        <w:t xml:space="preserve"> at Temple Street, Dublin</w:t>
      </w:r>
      <w:r w:rsidR="005A5402" w:rsidRPr="00AF5440">
        <w:rPr>
          <w:lang w:val="en-US"/>
        </w:rPr>
        <w:t>, Republic of Ireland</w:t>
      </w:r>
      <w:r w:rsidR="008B15FD" w:rsidRPr="00AF5440">
        <w:rPr>
          <w:lang w:val="en-US"/>
        </w:rPr>
        <w:t xml:space="preserve">. </w:t>
      </w:r>
    </w:p>
    <w:p w14:paraId="69647D20" w14:textId="25B70275" w:rsidR="001944F3" w:rsidRPr="00AF5440" w:rsidRDefault="00F12810" w:rsidP="00AF5440">
      <w:pPr>
        <w:spacing w:after="200"/>
        <w:rPr>
          <w:lang w:val="en-US"/>
        </w:rPr>
      </w:pPr>
      <w:r w:rsidRPr="00AF5440">
        <w:rPr>
          <w:vertAlign w:val="superscript"/>
          <w:lang w:val="en-US"/>
        </w:rPr>
        <w:t>2</w:t>
      </w:r>
      <w:r w:rsidR="001944F3" w:rsidRPr="00AF5440">
        <w:rPr>
          <w:lang w:val="en-US"/>
        </w:rPr>
        <w:t xml:space="preserve">Metabolic Laboratory, </w:t>
      </w:r>
      <w:r w:rsidR="00B1378F" w:rsidRPr="00AF5440">
        <w:rPr>
          <w:lang w:val="en-US"/>
        </w:rPr>
        <w:t>Department of Paediatric Laboratory Medicine</w:t>
      </w:r>
      <w:r w:rsidR="001944F3" w:rsidRPr="00AF5440">
        <w:rPr>
          <w:lang w:val="en-US"/>
        </w:rPr>
        <w:t>, CHI at Temple Street, Dublin</w:t>
      </w:r>
      <w:r w:rsidR="005A5402" w:rsidRPr="00AF5440">
        <w:rPr>
          <w:lang w:val="en-US"/>
        </w:rPr>
        <w:t>, Republic of Ireland</w:t>
      </w:r>
      <w:r w:rsidR="001944F3" w:rsidRPr="00AF5440">
        <w:rPr>
          <w:lang w:val="en-US"/>
        </w:rPr>
        <w:t>.</w:t>
      </w:r>
    </w:p>
    <w:p w14:paraId="291759A3" w14:textId="570C1654" w:rsidR="005A5402" w:rsidRPr="00AF5440" w:rsidRDefault="00F12810" w:rsidP="00AF5440">
      <w:pPr>
        <w:spacing w:after="200"/>
        <w:rPr>
          <w:lang w:val="en-US"/>
        </w:rPr>
      </w:pPr>
      <w:r w:rsidRPr="00AF5440">
        <w:rPr>
          <w:vertAlign w:val="superscript"/>
          <w:lang w:val="en-US"/>
        </w:rPr>
        <w:t>3</w:t>
      </w:r>
      <w:r w:rsidR="005A5402" w:rsidRPr="00AF5440">
        <w:rPr>
          <w:lang w:val="en-US"/>
        </w:rPr>
        <w:t xml:space="preserve">Radiology Department, CHI at Temple Street, Dublin, Republic of Ireland. </w:t>
      </w:r>
    </w:p>
    <w:p w14:paraId="76D07BEB" w14:textId="0AAE0922" w:rsidR="008B15FD" w:rsidRPr="00AF5440" w:rsidRDefault="00F12810" w:rsidP="00AF5440">
      <w:pPr>
        <w:spacing w:after="200"/>
        <w:rPr>
          <w:lang w:val="en-US"/>
        </w:rPr>
      </w:pPr>
      <w:r w:rsidRPr="00AF5440">
        <w:rPr>
          <w:vertAlign w:val="superscript"/>
          <w:lang w:val="en-US"/>
        </w:rPr>
        <w:t>4</w:t>
      </w:r>
      <w:r w:rsidR="008B15FD" w:rsidRPr="00AF5440">
        <w:rPr>
          <w:lang w:val="en-US"/>
        </w:rPr>
        <w:t xml:space="preserve">Neurology Department, </w:t>
      </w:r>
      <w:r w:rsidR="005A5402" w:rsidRPr="00AF5440">
        <w:rPr>
          <w:lang w:val="en-US"/>
        </w:rPr>
        <w:t>CHI at Temple Street, Dublin, Republic of Ireland</w:t>
      </w:r>
    </w:p>
    <w:p w14:paraId="1270BBC7" w14:textId="04213955" w:rsidR="00EB2A06" w:rsidRDefault="00F12810" w:rsidP="00AF5440">
      <w:pPr>
        <w:spacing w:after="200"/>
        <w:rPr>
          <w:lang w:val="en-US"/>
        </w:rPr>
      </w:pPr>
      <w:r w:rsidRPr="00AF5440">
        <w:rPr>
          <w:vertAlign w:val="superscript"/>
          <w:lang w:val="en-US"/>
        </w:rPr>
        <w:t>5</w:t>
      </w:r>
      <w:r w:rsidR="00EB2A06" w:rsidRPr="00AF5440">
        <w:rPr>
          <w:lang w:val="en-US"/>
        </w:rPr>
        <w:t xml:space="preserve">University College Dublin, </w:t>
      </w:r>
      <w:r w:rsidR="004A0F83" w:rsidRPr="00AF5440">
        <w:rPr>
          <w:lang w:val="en-US"/>
        </w:rPr>
        <w:t xml:space="preserve">School of Medicine, </w:t>
      </w:r>
      <w:r w:rsidR="00EB2A06" w:rsidRPr="00AF5440">
        <w:rPr>
          <w:lang w:val="en-US"/>
        </w:rPr>
        <w:t>Belfield, Dublin, Republic of Ireland</w:t>
      </w:r>
    </w:p>
    <w:p w14:paraId="7D5F32B1" w14:textId="7AFA570C" w:rsidR="008B15FD" w:rsidRPr="00AF5440" w:rsidRDefault="00472891" w:rsidP="0006448C">
      <w:pPr>
        <w:spacing w:after="80"/>
        <w:rPr>
          <w:u w:val="single"/>
          <w:lang w:val="en-US"/>
        </w:rPr>
      </w:pPr>
      <w:r w:rsidRPr="00AF5440">
        <w:rPr>
          <w:lang w:val="en-US"/>
        </w:rPr>
        <w:t>*</w:t>
      </w:r>
      <w:r w:rsidR="008B15FD" w:rsidRPr="00AF5440">
        <w:rPr>
          <w:u w:val="single"/>
          <w:lang w:val="en-US"/>
        </w:rPr>
        <w:t>Corresponding Author</w:t>
      </w:r>
      <w:r w:rsidR="004A791A" w:rsidRPr="00AF5440">
        <w:rPr>
          <w:u w:val="single"/>
          <w:lang w:val="en-US"/>
        </w:rPr>
        <w:t>:</w:t>
      </w:r>
    </w:p>
    <w:p w14:paraId="5392D910" w14:textId="360CBCCA" w:rsidR="008B15FD" w:rsidRPr="00AF5440" w:rsidRDefault="005A5402" w:rsidP="0006448C">
      <w:pPr>
        <w:spacing w:after="80"/>
        <w:rPr>
          <w:lang w:val="en-US"/>
        </w:rPr>
      </w:pPr>
      <w:r w:rsidRPr="00AF5440">
        <w:rPr>
          <w:lang w:val="en-US"/>
        </w:rPr>
        <w:t>Ina Knerr</w:t>
      </w:r>
      <w:r w:rsidR="435F3CB6" w:rsidRPr="00AF5440">
        <w:rPr>
          <w:lang w:val="en-US"/>
        </w:rPr>
        <w:t>, MD, PD</w:t>
      </w:r>
    </w:p>
    <w:p w14:paraId="0E458483" w14:textId="7BFA3F7E" w:rsidR="008B15FD" w:rsidRPr="00AF5440" w:rsidRDefault="008B15FD" w:rsidP="0006448C">
      <w:pPr>
        <w:spacing w:after="80"/>
        <w:rPr>
          <w:lang w:val="en-US"/>
        </w:rPr>
      </w:pPr>
      <w:r w:rsidRPr="00AF5440">
        <w:rPr>
          <w:lang w:val="en-US"/>
        </w:rPr>
        <w:t>National Centre for Inherited Metabolic Disorders</w:t>
      </w:r>
    </w:p>
    <w:p w14:paraId="5398702E" w14:textId="1B01FF69" w:rsidR="0006448C" w:rsidRDefault="005A5402" w:rsidP="0006448C">
      <w:pPr>
        <w:spacing w:after="80"/>
        <w:rPr>
          <w:lang w:val="en-US"/>
        </w:rPr>
      </w:pPr>
      <w:r w:rsidRPr="00AF5440">
        <w:rPr>
          <w:lang w:val="en-US"/>
        </w:rPr>
        <w:t>Children</w:t>
      </w:r>
      <w:r w:rsidR="00104C61">
        <w:rPr>
          <w:lang w:val="en-US"/>
        </w:rPr>
        <w:t>’</w:t>
      </w:r>
      <w:r w:rsidRPr="00AF5440">
        <w:rPr>
          <w:lang w:val="en-US"/>
        </w:rPr>
        <w:t>s Health Ireland</w:t>
      </w:r>
      <w:r w:rsidR="004E6ACF" w:rsidRPr="00AF5440">
        <w:rPr>
          <w:lang w:val="en-US"/>
        </w:rPr>
        <w:t xml:space="preserve"> </w:t>
      </w:r>
      <w:r w:rsidR="0006448C">
        <w:rPr>
          <w:lang w:val="en-US"/>
        </w:rPr>
        <w:t>(CHI) at Temple Street</w:t>
      </w:r>
    </w:p>
    <w:p w14:paraId="5954FE71" w14:textId="2D9CED89" w:rsidR="00DE5E11" w:rsidRPr="0006448C" w:rsidRDefault="0006448C" w:rsidP="0006448C">
      <w:pPr>
        <w:spacing w:after="80"/>
        <w:rPr>
          <w:lang w:val="en-US"/>
        </w:rPr>
      </w:pPr>
      <w:r w:rsidRPr="0006448C">
        <w:rPr>
          <w:lang w:val="en-US"/>
        </w:rPr>
        <w:t>Temple Street</w:t>
      </w:r>
      <w:r w:rsidR="002601BF">
        <w:rPr>
          <w:lang w:val="en-US"/>
        </w:rPr>
        <w:t xml:space="preserve"> 1</w:t>
      </w:r>
      <w:r w:rsidRPr="0006448C">
        <w:rPr>
          <w:lang w:val="en-US"/>
        </w:rPr>
        <w:t>, Dublin, D01 YC67, Republic of Ireland</w:t>
      </w:r>
    </w:p>
    <w:p w14:paraId="74F180FF" w14:textId="7AAF8798" w:rsidR="0006448C" w:rsidRDefault="0006448C" w:rsidP="0006448C">
      <w:pPr>
        <w:spacing w:after="80"/>
        <w:rPr>
          <w:bCs/>
          <w:lang w:val="en-US"/>
        </w:rPr>
      </w:pPr>
      <w:r w:rsidRPr="0006448C">
        <w:rPr>
          <w:bCs/>
          <w:lang w:val="en-US"/>
        </w:rPr>
        <w:t>T: +353-1 878 4200 | F:+353-1 874 7439</w:t>
      </w:r>
      <w:r>
        <w:rPr>
          <w:bCs/>
          <w:lang w:val="en-US"/>
        </w:rPr>
        <w:t xml:space="preserve"> </w:t>
      </w:r>
      <w:r w:rsidRPr="0006448C">
        <w:rPr>
          <w:bCs/>
          <w:lang w:val="en-US"/>
        </w:rPr>
        <w:t>|</w:t>
      </w:r>
      <w:r>
        <w:rPr>
          <w:bCs/>
          <w:lang w:val="en-US"/>
        </w:rPr>
        <w:t xml:space="preserve"> </w:t>
      </w:r>
      <w:r w:rsidRPr="0006448C">
        <w:rPr>
          <w:bCs/>
          <w:lang w:val="en-US"/>
        </w:rPr>
        <w:t xml:space="preserve">E: </w:t>
      </w:r>
      <w:r>
        <w:rPr>
          <w:bCs/>
          <w:lang w:val="en-US"/>
        </w:rPr>
        <w:t xml:space="preserve"> </w:t>
      </w:r>
      <w:hyperlink r:id="rId8" w:history="1">
        <w:r w:rsidRPr="00444BCE">
          <w:rPr>
            <w:rStyle w:val="Hyperlink"/>
            <w:bCs/>
            <w:lang w:val="en-US"/>
          </w:rPr>
          <w:t>ina.knerr@cuh.ie</w:t>
        </w:r>
      </w:hyperlink>
    </w:p>
    <w:p w14:paraId="225C3375" w14:textId="6878DE1F" w:rsidR="0006448C" w:rsidRPr="0006448C" w:rsidRDefault="0006448C" w:rsidP="0006448C">
      <w:pPr>
        <w:autoSpaceDE w:val="0"/>
        <w:autoSpaceDN w:val="0"/>
        <w:adjustRightInd w:val="0"/>
        <w:spacing w:after="80"/>
        <w:rPr>
          <w:rFonts w:cs="AdvOT569473da"/>
        </w:rPr>
      </w:pPr>
      <w:r w:rsidRPr="0006448C">
        <w:rPr>
          <w:rFonts w:cs="AdvOTc022ae45.B"/>
          <w:b/>
        </w:rPr>
        <w:t xml:space="preserve">ORCID ID </w:t>
      </w:r>
      <w:r>
        <w:rPr>
          <w:rFonts w:cs="AdvOTc022ae45.B"/>
          <w:b/>
        </w:rPr>
        <w:t xml:space="preserve"> </w:t>
      </w:r>
      <w:hyperlink r:id="rId9" w:history="1">
        <w:r w:rsidRPr="0006448C">
          <w:rPr>
            <w:rStyle w:val="Hyperlink"/>
            <w:rFonts w:cs="AdvOT569473da"/>
            <w:color w:val="auto"/>
          </w:rPr>
          <w:t>0000-0002-4015-0658</w:t>
        </w:r>
      </w:hyperlink>
    </w:p>
    <w:p w14:paraId="78516315" w14:textId="77777777" w:rsidR="002601BF" w:rsidRDefault="002601BF" w:rsidP="002C16D5">
      <w:pPr>
        <w:spacing w:after="200"/>
        <w:rPr>
          <w:b/>
          <w:bCs/>
          <w:u w:val="single"/>
          <w:lang w:val="en-US"/>
        </w:rPr>
      </w:pPr>
    </w:p>
    <w:p w14:paraId="2F0B1D3F" w14:textId="6B036D6E" w:rsidR="00DE5E11" w:rsidRPr="00AF5440" w:rsidRDefault="00DE5E11" w:rsidP="002C16D5">
      <w:pPr>
        <w:spacing w:after="200"/>
        <w:rPr>
          <w:u w:val="single"/>
          <w:lang w:val="en-US"/>
        </w:rPr>
      </w:pPr>
      <w:r w:rsidRPr="00AF5440">
        <w:rPr>
          <w:b/>
          <w:bCs/>
          <w:u w:val="single"/>
          <w:lang w:val="en-US"/>
        </w:rPr>
        <w:t>Word Count</w:t>
      </w:r>
      <w:r w:rsidR="001C4B24" w:rsidRPr="00AF5440">
        <w:rPr>
          <w:b/>
          <w:bCs/>
          <w:u w:val="single"/>
          <w:lang w:val="en-US"/>
        </w:rPr>
        <w:t>:</w:t>
      </w:r>
      <w:r w:rsidR="001C4B24" w:rsidRPr="00AF5440">
        <w:rPr>
          <w:lang w:val="en-US"/>
        </w:rPr>
        <w:t xml:space="preserve"> </w:t>
      </w:r>
      <w:r w:rsidR="004A0F83" w:rsidRPr="00AF5440">
        <w:rPr>
          <w:rFonts w:cstheme="minorHAnsi"/>
          <w:vertAlign w:val="subscript"/>
          <w:lang w:val="en-US"/>
        </w:rPr>
        <w:t>~</w:t>
      </w:r>
      <w:r w:rsidR="001C4B24" w:rsidRPr="00AF5440">
        <w:rPr>
          <w:lang w:val="en-US"/>
        </w:rPr>
        <w:t>2,</w:t>
      </w:r>
      <w:r w:rsidR="0037013B" w:rsidRPr="00AF5440">
        <w:rPr>
          <w:lang w:val="en-US"/>
        </w:rPr>
        <w:t>7</w:t>
      </w:r>
      <w:r w:rsidR="004A0F83" w:rsidRPr="00AF5440">
        <w:rPr>
          <w:lang w:val="en-US"/>
        </w:rPr>
        <w:t>00</w:t>
      </w:r>
    </w:p>
    <w:p w14:paraId="58D846C4" w14:textId="51132022" w:rsidR="00913BDE" w:rsidRPr="00AF5440" w:rsidRDefault="00DE5E11" w:rsidP="002C16D5">
      <w:pPr>
        <w:spacing w:after="200"/>
        <w:rPr>
          <w:lang w:val="en-US"/>
        </w:rPr>
      </w:pPr>
      <w:r w:rsidRPr="00AF5440">
        <w:rPr>
          <w:b/>
          <w:bCs/>
          <w:u w:val="single"/>
          <w:lang w:val="en-US"/>
        </w:rPr>
        <w:t xml:space="preserve">Table </w:t>
      </w:r>
      <w:r w:rsidR="00AC707E" w:rsidRPr="00AF5440">
        <w:rPr>
          <w:b/>
          <w:bCs/>
          <w:u w:val="single"/>
          <w:lang w:val="en-US"/>
        </w:rPr>
        <w:t>/ Figures</w:t>
      </w:r>
      <w:r w:rsidR="00AC707E" w:rsidRPr="00AF5440">
        <w:rPr>
          <w:b/>
          <w:bCs/>
          <w:lang w:val="en-US"/>
        </w:rPr>
        <w:t>:</w:t>
      </w:r>
      <w:r w:rsidR="00AC707E" w:rsidRPr="00AF5440">
        <w:rPr>
          <w:lang w:val="en-US"/>
        </w:rPr>
        <w:t xml:space="preserve"> 1/</w:t>
      </w:r>
      <w:r w:rsidR="004A791A" w:rsidRPr="00AF5440">
        <w:rPr>
          <w:lang w:val="en-US"/>
        </w:rPr>
        <w:t>4</w:t>
      </w:r>
    </w:p>
    <w:p w14:paraId="7D76F096" w14:textId="3F94AF62" w:rsidR="00913BDE" w:rsidRPr="00AF5440" w:rsidRDefault="00913BDE" w:rsidP="00AF5440">
      <w:pPr>
        <w:spacing w:after="200"/>
        <w:rPr>
          <w:b/>
          <w:bCs/>
          <w:u w:val="single"/>
          <w:lang w:val="en-US"/>
        </w:rPr>
      </w:pPr>
      <w:r w:rsidRPr="00AF5440">
        <w:rPr>
          <w:b/>
          <w:bCs/>
          <w:u w:val="single"/>
          <w:lang w:val="en-US"/>
        </w:rPr>
        <w:t>Statements:</w:t>
      </w:r>
    </w:p>
    <w:p w14:paraId="56F8A61F" w14:textId="7A17FEC1" w:rsidR="00913BDE" w:rsidRPr="00FA745E" w:rsidRDefault="00913BDE" w:rsidP="0006448C">
      <w:pPr>
        <w:numPr>
          <w:ilvl w:val="1"/>
          <w:numId w:val="6"/>
        </w:numPr>
        <w:spacing w:after="200"/>
        <w:ind w:left="142" w:hanging="142"/>
        <w:rPr>
          <w:lang w:val="en-US"/>
        </w:rPr>
      </w:pPr>
      <w:r w:rsidRPr="00FA745E">
        <w:rPr>
          <w:lang w:val="en-US"/>
        </w:rPr>
        <w:t>Data Availability Statement</w:t>
      </w:r>
      <w:r w:rsidR="003E5F11" w:rsidRPr="00FA745E">
        <w:rPr>
          <w:lang w:val="en-US"/>
        </w:rPr>
        <w:t xml:space="preserve">: </w:t>
      </w:r>
      <w:r w:rsidR="003E5F11" w:rsidRPr="00FA745E">
        <w:t>The authors confirm that the data supporting the findings of this study are available within the article.</w:t>
      </w:r>
    </w:p>
    <w:p w14:paraId="4471EF8F" w14:textId="4FE47DD3" w:rsidR="00A91A28" w:rsidRPr="00FA745E" w:rsidRDefault="00913BDE" w:rsidP="0006448C">
      <w:pPr>
        <w:numPr>
          <w:ilvl w:val="1"/>
          <w:numId w:val="6"/>
        </w:numPr>
        <w:tabs>
          <w:tab w:val="clear" w:pos="1440"/>
        </w:tabs>
        <w:spacing w:after="200"/>
        <w:ind w:left="142" w:hanging="142"/>
        <w:rPr>
          <w:lang w:val="en-US"/>
        </w:rPr>
      </w:pPr>
      <w:r w:rsidRPr="00FA745E">
        <w:rPr>
          <w:lang w:val="en-US"/>
        </w:rPr>
        <w:t>Funding Statement</w:t>
      </w:r>
      <w:r w:rsidR="00A91A28" w:rsidRPr="00FA745E">
        <w:rPr>
          <w:lang w:val="en-US"/>
        </w:rPr>
        <w:t xml:space="preserve">: RPAC 19-02 </w:t>
      </w:r>
      <w:r w:rsidR="00551CF4">
        <w:rPr>
          <w:lang w:val="en-US"/>
        </w:rPr>
        <w:t>(</w:t>
      </w:r>
      <w:r w:rsidR="00551CF4" w:rsidRPr="00551CF4">
        <w:rPr>
          <w:lang w:val="en-US"/>
        </w:rPr>
        <w:t>Children’s Health Foundation</w:t>
      </w:r>
      <w:r w:rsidR="00551CF4">
        <w:rPr>
          <w:lang w:val="en-US"/>
        </w:rPr>
        <w:t xml:space="preserve">, </w:t>
      </w:r>
      <w:r w:rsidR="00551CF4" w:rsidRPr="00551CF4">
        <w:rPr>
          <w:lang w:val="en-US"/>
        </w:rPr>
        <w:t>formally the Temple Street Foundation)</w:t>
      </w:r>
    </w:p>
    <w:p w14:paraId="4324810B" w14:textId="461B58F6" w:rsidR="00913BDE" w:rsidRPr="00FA745E" w:rsidRDefault="00913BDE" w:rsidP="0006448C">
      <w:pPr>
        <w:numPr>
          <w:ilvl w:val="1"/>
          <w:numId w:val="6"/>
        </w:numPr>
        <w:spacing w:after="200"/>
        <w:ind w:left="142" w:hanging="142"/>
        <w:rPr>
          <w:lang w:val="en-US"/>
        </w:rPr>
      </w:pPr>
      <w:r w:rsidRPr="00FA745E">
        <w:rPr>
          <w:lang w:val="en-US"/>
        </w:rPr>
        <w:t>Conflict Of Interest Disclosure</w:t>
      </w:r>
      <w:r w:rsidR="00A91A28" w:rsidRPr="00FA745E">
        <w:rPr>
          <w:lang w:val="en-US"/>
        </w:rPr>
        <w:t>: None</w:t>
      </w:r>
    </w:p>
    <w:p w14:paraId="0F8FC955" w14:textId="65C49051" w:rsidR="00A91A28" w:rsidRPr="00FA745E" w:rsidRDefault="00913BDE" w:rsidP="0006448C">
      <w:pPr>
        <w:numPr>
          <w:ilvl w:val="1"/>
          <w:numId w:val="6"/>
        </w:numPr>
        <w:spacing w:after="200"/>
        <w:ind w:left="142" w:hanging="142"/>
        <w:rPr>
          <w:lang w:val="en-US"/>
        </w:rPr>
      </w:pPr>
      <w:r w:rsidRPr="00FA745E">
        <w:rPr>
          <w:lang w:val="en-US"/>
        </w:rPr>
        <w:t>Ethics Approval Statement</w:t>
      </w:r>
      <w:r w:rsidR="00A91A28" w:rsidRPr="00FA745E">
        <w:rPr>
          <w:lang w:val="en-US"/>
        </w:rPr>
        <w:t>: Research/Ethics Committee</w:t>
      </w:r>
      <w:r w:rsidR="003E5F11" w:rsidRPr="00FA745E">
        <w:rPr>
          <w:lang w:val="en-US"/>
        </w:rPr>
        <w:t>, Children’s Health Ireland (CHI)</w:t>
      </w:r>
    </w:p>
    <w:p w14:paraId="7F8A96E9" w14:textId="2CAB7A29" w:rsidR="00913BDE" w:rsidRPr="00FA745E" w:rsidRDefault="00913BDE" w:rsidP="0006448C">
      <w:pPr>
        <w:numPr>
          <w:ilvl w:val="1"/>
          <w:numId w:val="6"/>
        </w:numPr>
        <w:spacing w:after="200"/>
        <w:ind w:left="142" w:hanging="142"/>
        <w:rPr>
          <w:lang w:val="en-US"/>
        </w:rPr>
      </w:pPr>
      <w:r w:rsidRPr="00FA745E">
        <w:rPr>
          <w:lang w:val="en-US"/>
        </w:rPr>
        <w:t>Patient Consent Statement</w:t>
      </w:r>
      <w:r w:rsidR="000F0EFC" w:rsidRPr="00FA745E">
        <w:rPr>
          <w:lang w:val="en-US"/>
        </w:rPr>
        <w:t xml:space="preserve">: Written informed consent </w:t>
      </w:r>
      <w:r w:rsidR="00B401C9" w:rsidRPr="00FA745E">
        <w:rPr>
          <w:lang w:val="en-US"/>
        </w:rPr>
        <w:t xml:space="preserve">statements </w:t>
      </w:r>
      <w:r w:rsidR="000F0EFC" w:rsidRPr="00FA745E">
        <w:rPr>
          <w:lang w:val="en-US"/>
        </w:rPr>
        <w:t>w</w:t>
      </w:r>
      <w:r w:rsidR="00FA745E" w:rsidRPr="00FA745E">
        <w:rPr>
          <w:lang w:val="en-US"/>
        </w:rPr>
        <w:t xml:space="preserve">ere </w:t>
      </w:r>
      <w:r w:rsidR="000F0EFC" w:rsidRPr="00FA745E">
        <w:rPr>
          <w:lang w:val="en-US"/>
        </w:rPr>
        <w:t>obtained</w:t>
      </w:r>
      <w:r w:rsidR="00B401C9" w:rsidRPr="00FA745E">
        <w:rPr>
          <w:lang w:val="en-US"/>
        </w:rPr>
        <w:t>.</w:t>
      </w:r>
    </w:p>
    <w:p w14:paraId="02CC713E" w14:textId="154BEDFD" w:rsidR="00913BDE" w:rsidRPr="00FA745E" w:rsidRDefault="00913BDE" w:rsidP="0006448C">
      <w:pPr>
        <w:numPr>
          <w:ilvl w:val="1"/>
          <w:numId w:val="6"/>
        </w:numPr>
        <w:spacing w:after="200"/>
        <w:ind w:left="142" w:hanging="142"/>
        <w:rPr>
          <w:lang w:val="en-US"/>
        </w:rPr>
      </w:pPr>
      <w:r w:rsidRPr="00FA745E">
        <w:rPr>
          <w:lang w:val="en-US"/>
        </w:rPr>
        <w:t>Permission to Reproduce Material From Other Sources</w:t>
      </w:r>
      <w:r w:rsidR="003E5F11" w:rsidRPr="00FA745E">
        <w:rPr>
          <w:lang w:val="en-US"/>
        </w:rPr>
        <w:t>: N/A</w:t>
      </w:r>
    </w:p>
    <w:p w14:paraId="78211017" w14:textId="17A5F219" w:rsidR="00913BDE" w:rsidRPr="00FA745E" w:rsidRDefault="00913BDE" w:rsidP="0006448C">
      <w:pPr>
        <w:numPr>
          <w:ilvl w:val="1"/>
          <w:numId w:val="6"/>
        </w:numPr>
        <w:spacing w:after="200"/>
        <w:ind w:left="142" w:hanging="142"/>
        <w:rPr>
          <w:lang w:val="en-US"/>
        </w:rPr>
      </w:pPr>
      <w:r w:rsidRPr="00FA745E">
        <w:rPr>
          <w:lang w:val="en-US"/>
        </w:rPr>
        <w:t>Clinical Trial Registration</w:t>
      </w:r>
      <w:r w:rsidR="003E5F11" w:rsidRPr="00FA745E">
        <w:rPr>
          <w:lang w:val="en-US"/>
        </w:rPr>
        <w:t>: N/A</w:t>
      </w:r>
    </w:p>
    <w:p w14:paraId="2D953E60" w14:textId="3E43FDAD" w:rsidR="000F0EFC" w:rsidRPr="00AF5440" w:rsidRDefault="00A91A28" w:rsidP="002C16D5">
      <w:pPr>
        <w:spacing w:after="200"/>
        <w:rPr>
          <w:bCs/>
          <w:lang w:val="en-US"/>
        </w:rPr>
      </w:pPr>
      <w:r w:rsidRPr="00AF5440">
        <w:rPr>
          <w:b/>
          <w:bCs/>
          <w:u w:val="single"/>
          <w:lang w:val="en-US"/>
        </w:rPr>
        <w:t xml:space="preserve">Manuscript type: </w:t>
      </w:r>
      <w:r w:rsidR="000F0EFC" w:rsidRPr="00AF5440">
        <w:rPr>
          <w:b/>
          <w:bCs/>
          <w:lang w:val="en-US"/>
        </w:rPr>
        <w:t xml:space="preserve"> </w:t>
      </w:r>
      <w:r w:rsidR="000F0EFC" w:rsidRPr="00AF5440">
        <w:rPr>
          <w:bCs/>
          <w:lang w:val="en-US"/>
        </w:rPr>
        <w:t>Case report (3 patients included in th</w:t>
      </w:r>
      <w:r w:rsidR="000F0EFC">
        <w:rPr>
          <w:bCs/>
          <w:lang w:val="en-US"/>
        </w:rPr>
        <w:t>is</w:t>
      </w:r>
      <w:r w:rsidR="000F0EFC" w:rsidRPr="00AF5440">
        <w:rPr>
          <w:bCs/>
          <w:lang w:val="en-US"/>
        </w:rPr>
        <w:t xml:space="preserve"> series)</w:t>
      </w:r>
    </w:p>
    <w:p w14:paraId="2017E69A" w14:textId="52479798" w:rsidR="00C41F7F" w:rsidRPr="00AF5440" w:rsidRDefault="00DE5E11" w:rsidP="0006448C">
      <w:pPr>
        <w:widowControl w:val="0"/>
        <w:spacing w:after="200"/>
        <w:rPr>
          <w:b/>
          <w:bCs/>
          <w:u w:val="single"/>
          <w:lang w:val="en-US"/>
        </w:rPr>
      </w:pPr>
      <w:r w:rsidRPr="00AF5440">
        <w:rPr>
          <w:b/>
          <w:bCs/>
          <w:u w:val="single"/>
          <w:lang w:val="en-US"/>
        </w:rPr>
        <w:lastRenderedPageBreak/>
        <w:t>Summary (Abstract)</w:t>
      </w:r>
    </w:p>
    <w:p w14:paraId="062578E5" w14:textId="7C7BC03A" w:rsidR="004E6977" w:rsidRPr="00AF5440" w:rsidRDefault="008E2310">
      <w:pPr>
        <w:spacing w:after="200"/>
        <w:jc w:val="both"/>
        <w:rPr>
          <w:lang w:val="en-US"/>
        </w:rPr>
      </w:pPr>
      <w:r w:rsidRPr="00AF5440">
        <w:rPr>
          <w:lang w:val="en-US"/>
        </w:rPr>
        <w:t>Methylenetetrahydrofolate Reductase (MTHFR) Deficiency</w:t>
      </w:r>
      <w:r w:rsidR="0033549B" w:rsidRPr="00AF5440">
        <w:rPr>
          <w:lang w:val="en-US"/>
        </w:rPr>
        <w:t xml:space="preserve"> is a rare </w:t>
      </w:r>
      <w:r w:rsidRPr="00AF5440">
        <w:rPr>
          <w:lang w:val="en-US"/>
        </w:rPr>
        <w:t xml:space="preserve">inborn error of folate metabolism. </w:t>
      </w:r>
      <w:r w:rsidR="0033549B" w:rsidRPr="00AF5440">
        <w:rPr>
          <w:lang w:val="en-US"/>
        </w:rPr>
        <w:t>A number of</w:t>
      </w:r>
      <w:r w:rsidRPr="00AF5440">
        <w:rPr>
          <w:lang w:val="en-US"/>
        </w:rPr>
        <w:t xml:space="preserve"> p</w:t>
      </w:r>
      <w:r w:rsidR="0A1FBA03" w:rsidRPr="00AF5440">
        <w:rPr>
          <w:lang w:val="en-US"/>
        </w:rPr>
        <w:t>henotypic findings</w:t>
      </w:r>
      <w:r w:rsidR="00EB2A06" w:rsidRPr="00AF5440">
        <w:rPr>
          <w:lang w:val="en-US"/>
        </w:rPr>
        <w:t xml:space="preserve"> </w:t>
      </w:r>
      <w:r w:rsidRPr="00AF5440">
        <w:rPr>
          <w:lang w:val="en-US"/>
        </w:rPr>
        <w:t>have been identified to date</w:t>
      </w:r>
      <w:r w:rsidR="00EB2A06" w:rsidRPr="00AF5440">
        <w:rPr>
          <w:lang w:val="en-US"/>
        </w:rPr>
        <w:t>,</w:t>
      </w:r>
      <w:r w:rsidRPr="00AF5440">
        <w:rPr>
          <w:lang w:val="en-US"/>
        </w:rPr>
        <w:t xml:space="preserve"> and we </w:t>
      </w:r>
      <w:r w:rsidR="13D70A25" w:rsidRPr="00AF5440">
        <w:rPr>
          <w:lang w:val="en-US"/>
        </w:rPr>
        <w:t xml:space="preserve">hereby </w:t>
      </w:r>
      <w:r w:rsidRPr="00AF5440">
        <w:rPr>
          <w:lang w:val="en-US"/>
        </w:rPr>
        <w:t xml:space="preserve">wish to expand </w:t>
      </w:r>
      <w:r w:rsidR="00EB2A06" w:rsidRPr="00AF5440">
        <w:rPr>
          <w:lang w:val="en-US"/>
        </w:rPr>
        <w:t xml:space="preserve">its </w:t>
      </w:r>
      <w:r w:rsidRPr="00AF5440">
        <w:rPr>
          <w:lang w:val="en-US"/>
        </w:rPr>
        <w:t xml:space="preserve">phenotype based on our Irish </w:t>
      </w:r>
      <w:r w:rsidR="00A608E5" w:rsidRPr="00AF5440">
        <w:rPr>
          <w:lang w:val="en-US"/>
        </w:rPr>
        <w:t xml:space="preserve">experience </w:t>
      </w:r>
      <w:r w:rsidRPr="00AF5440">
        <w:rPr>
          <w:lang w:val="en-US"/>
        </w:rPr>
        <w:t xml:space="preserve">of the condition. </w:t>
      </w:r>
      <w:r w:rsidR="0049643E" w:rsidRPr="00AF5440">
        <w:rPr>
          <w:lang w:val="en-US"/>
        </w:rPr>
        <w:t>We follow three children with MTHFR deficiency</w:t>
      </w:r>
      <w:r w:rsidR="0033549B" w:rsidRPr="00AF5440">
        <w:rPr>
          <w:lang w:val="en-US"/>
        </w:rPr>
        <w:t xml:space="preserve"> in our National Centre for Inherited Metabolic Disorders (NCIMD)</w:t>
      </w:r>
      <w:r w:rsidR="0049643E" w:rsidRPr="00AF5440">
        <w:rPr>
          <w:lang w:val="en-US"/>
        </w:rPr>
        <w:t xml:space="preserve">, giving an estimated </w:t>
      </w:r>
      <w:r w:rsidR="00572B50">
        <w:rPr>
          <w:lang w:val="en-US"/>
        </w:rPr>
        <w:t>point prevalence</w:t>
      </w:r>
      <w:r w:rsidR="0049643E" w:rsidRPr="00AF5440">
        <w:rPr>
          <w:lang w:val="en-US"/>
        </w:rPr>
        <w:t xml:space="preserve"> of approx. 0.08 </w:t>
      </w:r>
      <w:r w:rsidR="00572B50">
        <w:rPr>
          <w:lang w:val="en-US"/>
        </w:rPr>
        <w:t xml:space="preserve">cases </w:t>
      </w:r>
      <w:r w:rsidR="0049643E" w:rsidRPr="00AF5440">
        <w:rPr>
          <w:lang w:val="en-US"/>
        </w:rPr>
        <w:t xml:space="preserve">per 100,000 in the Republic of Ireland. </w:t>
      </w:r>
      <w:r w:rsidR="004E6977" w:rsidRPr="00AF5440">
        <w:rPr>
          <w:lang w:val="en-US"/>
        </w:rPr>
        <w:t>Our first case was referred for a metabolic opinion at 19 months of age. She had a history of global developmental delay with hypotonia, microcephaly, nystagmus, rash and seizures. The s</w:t>
      </w:r>
      <w:r w:rsidR="00284242" w:rsidRPr="00AF5440">
        <w:rPr>
          <w:lang w:val="en-US"/>
        </w:rPr>
        <w:t xml:space="preserve">econd </w:t>
      </w:r>
      <w:r w:rsidR="004E6977" w:rsidRPr="00AF5440">
        <w:rPr>
          <w:lang w:val="en-US"/>
        </w:rPr>
        <w:t>patient</w:t>
      </w:r>
      <w:r w:rsidR="00284242" w:rsidRPr="00AF5440">
        <w:rPr>
          <w:lang w:val="en-US"/>
        </w:rPr>
        <w:t xml:space="preserve"> presented at twelve years of age with </w:t>
      </w:r>
      <w:r w:rsidR="0038175D" w:rsidRPr="00AF5440">
        <w:rPr>
          <w:lang w:val="en-US"/>
        </w:rPr>
        <w:t>an</w:t>
      </w:r>
      <w:r w:rsidR="004E6977" w:rsidRPr="00AF5440">
        <w:rPr>
          <w:lang w:val="en-US"/>
        </w:rPr>
        <w:t xml:space="preserve"> osteopenic femoral fracture on the background of </w:t>
      </w:r>
      <w:r w:rsidR="00284242" w:rsidRPr="00AF5440">
        <w:rPr>
          <w:lang w:val="en-US"/>
        </w:rPr>
        <w:t xml:space="preserve">low </w:t>
      </w:r>
      <w:r w:rsidR="00EB2A06" w:rsidRPr="00AF5440">
        <w:rPr>
          <w:lang w:val="en-US"/>
        </w:rPr>
        <w:t>body mass inde</w:t>
      </w:r>
      <w:r w:rsidR="00A608E5" w:rsidRPr="00AF5440">
        <w:rPr>
          <w:lang w:val="en-US"/>
        </w:rPr>
        <w:t>x</w:t>
      </w:r>
      <w:r w:rsidR="00EB2A06" w:rsidRPr="00AF5440">
        <w:rPr>
          <w:lang w:val="en-US"/>
        </w:rPr>
        <w:t xml:space="preserve"> (</w:t>
      </w:r>
      <w:r w:rsidR="00284242" w:rsidRPr="00AF5440">
        <w:rPr>
          <w:lang w:val="en-US"/>
        </w:rPr>
        <w:t>BMI</w:t>
      </w:r>
      <w:r w:rsidR="00EB2A06" w:rsidRPr="00AF5440">
        <w:rPr>
          <w:lang w:val="en-US"/>
        </w:rPr>
        <w:t>)</w:t>
      </w:r>
      <w:r w:rsidR="00284242" w:rsidRPr="00AF5440">
        <w:rPr>
          <w:lang w:val="en-US"/>
        </w:rPr>
        <w:t xml:space="preserve">. The third case presented at ten and a half years of age with </w:t>
      </w:r>
      <w:r w:rsidR="00A608E5" w:rsidRPr="00AF5440">
        <w:rPr>
          <w:lang w:val="en-US"/>
        </w:rPr>
        <w:t xml:space="preserve">acute mood disturbance with challenging behavior </w:t>
      </w:r>
      <w:r w:rsidR="00284242" w:rsidRPr="00AF5440">
        <w:rPr>
          <w:lang w:val="en-US"/>
        </w:rPr>
        <w:t>a</w:t>
      </w:r>
      <w:r w:rsidR="00A608E5" w:rsidRPr="00AF5440">
        <w:rPr>
          <w:lang w:val="en-US"/>
        </w:rPr>
        <w:t>nd a</w:t>
      </w:r>
      <w:r w:rsidR="00284242" w:rsidRPr="00AF5440">
        <w:rPr>
          <w:lang w:val="en-US"/>
        </w:rPr>
        <w:t xml:space="preserve"> history of </w:t>
      </w:r>
      <w:r w:rsidR="004E6977" w:rsidRPr="00AF5440">
        <w:rPr>
          <w:lang w:val="en-US"/>
        </w:rPr>
        <w:t>focal seizures</w:t>
      </w:r>
      <w:r w:rsidR="0033549B" w:rsidRPr="00AF5440">
        <w:rPr>
          <w:lang w:val="en-US"/>
        </w:rPr>
        <w:t xml:space="preserve"> and intellectual disability</w:t>
      </w:r>
      <w:r w:rsidR="00284242" w:rsidRPr="00AF5440">
        <w:rPr>
          <w:lang w:val="en-US"/>
        </w:rPr>
        <w:t xml:space="preserve">. </w:t>
      </w:r>
      <w:r w:rsidRPr="00AF5440">
        <w:rPr>
          <w:lang w:val="en-US"/>
        </w:rPr>
        <w:t xml:space="preserve">It has been reported that early treatment may provide </w:t>
      </w:r>
      <w:r w:rsidR="00EB2A06" w:rsidRPr="00AF5440">
        <w:rPr>
          <w:lang w:val="en-US"/>
        </w:rPr>
        <w:t xml:space="preserve">clinical </w:t>
      </w:r>
      <w:r w:rsidRPr="00AF5440">
        <w:rPr>
          <w:lang w:val="en-US"/>
        </w:rPr>
        <w:t>benefit</w:t>
      </w:r>
      <w:r w:rsidR="00EB2A06" w:rsidRPr="00AF5440">
        <w:rPr>
          <w:lang w:val="en-US"/>
        </w:rPr>
        <w:t xml:space="preserve">; </w:t>
      </w:r>
      <w:r w:rsidRPr="00AF5440">
        <w:rPr>
          <w:lang w:val="en-US"/>
        </w:rPr>
        <w:t>however</w:t>
      </w:r>
      <w:r w:rsidR="00B1378F" w:rsidRPr="00AF5440">
        <w:rPr>
          <w:lang w:val="en-US"/>
        </w:rPr>
        <w:t>,</w:t>
      </w:r>
      <w:r w:rsidRPr="00AF5440">
        <w:rPr>
          <w:lang w:val="en-US"/>
        </w:rPr>
        <w:t xml:space="preserve"> we wish to </w:t>
      </w:r>
      <w:r w:rsidR="00284242" w:rsidRPr="00AF5440">
        <w:rPr>
          <w:lang w:val="en-US"/>
        </w:rPr>
        <w:t>acknowledge</w:t>
      </w:r>
      <w:r w:rsidRPr="00AF5440">
        <w:rPr>
          <w:lang w:val="en-US"/>
        </w:rPr>
        <w:t xml:space="preserve"> the varying responses to treatment despite </w:t>
      </w:r>
      <w:r w:rsidR="0033549B" w:rsidRPr="00AF5440">
        <w:rPr>
          <w:lang w:val="en-US"/>
        </w:rPr>
        <w:t xml:space="preserve">pleasing </w:t>
      </w:r>
      <w:r w:rsidR="0038175D" w:rsidRPr="00AF5440">
        <w:rPr>
          <w:lang w:val="en-US"/>
        </w:rPr>
        <w:t>metabolic</w:t>
      </w:r>
      <w:r w:rsidRPr="00AF5440">
        <w:rPr>
          <w:lang w:val="en-US"/>
        </w:rPr>
        <w:t xml:space="preserve"> </w:t>
      </w:r>
      <w:r w:rsidR="00A608E5" w:rsidRPr="00AF5440">
        <w:rPr>
          <w:lang w:val="en-US"/>
        </w:rPr>
        <w:t>control i</w:t>
      </w:r>
      <w:r w:rsidR="00EB2A06" w:rsidRPr="00AF5440">
        <w:rPr>
          <w:lang w:val="en-US"/>
        </w:rPr>
        <w:t xml:space="preserve">n </w:t>
      </w:r>
      <w:r w:rsidR="004E6977" w:rsidRPr="00AF5440">
        <w:rPr>
          <w:lang w:val="en-US"/>
        </w:rPr>
        <w:t xml:space="preserve">our patients. MTHFR deficiency is a challenging diagnosis in childhood, given its </w:t>
      </w:r>
      <w:r w:rsidR="0049643E" w:rsidRPr="00AF5440">
        <w:rPr>
          <w:lang w:val="en-US"/>
        </w:rPr>
        <w:t xml:space="preserve">low prevalence, complex </w:t>
      </w:r>
      <w:r w:rsidR="004E6977" w:rsidRPr="00AF5440">
        <w:rPr>
          <w:lang w:val="en-US"/>
        </w:rPr>
        <w:t xml:space="preserve">phenotypes and </w:t>
      </w:r>
      <w:r w:rsidR="0049643E" w:rsidRPr="00AF5440">
        <w:rPr>
          <w:lang w:val="en-US"/>
        </w:rPr>
        <w:t xml:space="preserve">varying </w:t>
      </w:r>
      <w:r w:rsidR="004E6977" w:rsidRPr="00AF5440">
        <w:rPr>
          <w:lang w:val="en-US"/>
        </w:rPr>
        <w:t xml:space="preserve">response to treatment. Presymptomatic treatment further to </w:t>
      </w:r>
      <w:r w:rsidR="0033549B" w:rsidRPr="00AF5440">
        <w:rPr>
          <w:lang w:val="en-US"/>
        </w:rPr>
        <w:t xml:space="preserve">early diagnosis through </w:t>
      </w:r>
      <w:r w:rsidR="004E6977" w:rsidRPr="00AF5440">
        <w:rPr>
          <w:lang w:val="en-US"/>
        </w:rPr>
        <w:t xml:space="preserve">newborn screening may </w:t>
      </w:r>
      <w:r w:rsidR="0033549B" w:rsidRPr="00AF5440">
        <w:rPr>
          <w:lang w:val="en-US"/>
        </w:rPr>
        <w:t>further</w:t>
      </w:r>
      <w:r w:rsidR="004E6977" w:rsidRPr="00AF5440">
        <w:rPr>
          <w:lang w:val="en-US"/>
        </w:rPr>
        <w:t xml:space="preserve"> improve outcomes.</w:t>
      </w:r>
    </w:p>
    <w:p w14:paraId="389D07AE" w14:textId="328A6DE7" w:rsidR="00284242" w:rsidRPr="00AF5440" w:rsidRDefault="00284242" w:rsidP="002C16D5">
      <w:pPr>
        <w:spacing w:after="200"/>
        <w:rPr>
          <w:b/>
          <w:bCs/>
          <w:lang w:val="en-US"/>
        </w:rPr>
      </w:pPr>
      <w:r w:rsidRPr="00AF5440">
        <w:rPr>
          <w:b/>
          <w:bCs/>
          <w:u w:val="single"/>
          <w:lang w:val="en-US"/>
        </w:rPr>
        <w:t>Synopsis</w:t>
      </w:r>
    </w:p>
    <w:p w14:paraId="55A1158C" w14:textId="76DEF81E" w:rsidR="00284242" w:rsidRDefault="00284242" w:rsidP="002C16D5">
      <w:pPr>
        <w:spacing w:after="200"/>
        <w:rPr>
          <w:lang w:val="en-US"/>
        </w:rPr>
      </w:pPr>
      <w:r w:rsidRPr="00AF5440">
        <w:rPr>
          <w:lang w:val="en-US"/>
        </w:rPr>
        <w:t xml:space="preserve">We examined the </w:t>
      </w:r>
      <w:r w:rsidR="00A608E5" w:rsidRPr="00AF5440">
        <w:rPr>
          <w:lang w:val="en-US"/>
        </w:rPr>
        <w:t xml:space="preserve">paediatric </w:t>
      </w:r>
      <w:r w:rsidRPr="00AF5440">
        <w:rPr>
          <w:lang w:val="en-US"/>
        </w:rPr>
        <w:t xml:space="preserve">Irish cohort of MTHFR deficiency patients to expand our knowledge of the </w:t>
      </w:r>
      <w:r w:rsidRPr="009A7B73">
        <w:rPr>
          <w:lang w:val="en-US"/>
        </w:rPr>
        <w:t>condition</w:t>
      </w:r>
      <w:r w:rsidR="009A7B73">
        <w:rPr>
          <w:lang w:val="en-US"/>
        </w:rPr>
        <w:t>’</w:t>
      </w:r>
      <w:r w:rsidRPr="009A7B73">
        <w:rPr>
          <w:lang w:val="en-US"/>
        </w:rPr>
        <w:t xml:space="preserve">s phenotypes. </w:t>
      </w:r>
    </w:p>
    <w:p w14:paraId="4C57B140" w14:textId="77777777" w:rsidR="00EF6C51" w:rsidRPr="00AF5440" w:rsidRDefault="00EF6C51" w:rsidP="00EF6C51">
      <w:pPr>
        <w:spacing w:after="200"/>
        <w:jc w:val="both"/>
        <w:rPr>
          <w:b/>
          <w:bCs/>
          <w:u w:val="single"/>
          <w:lang w:val="en-US"/>
        </w:rPr>
      </w:pPr>
      <w:r w:rsidRPr="00AF5440">
        <w:rPr>
          <w:b/>
          <w:bCs/>
          <w:u w:val="single"/>
          <w:lang w:val="en-US"/>
        </w:rPr>
        <w:t>Key Clinical Message</w:t>
      </w:r>
    </w:p>
    <w:p w14:paraId="5B37B924" w14:textId="77777777" w:rsidR="00EF6C51" w:rsidRDefault="00EF6C51" w:rsidP="002601BF">
      <w:pPr>
        <w:jc w:val="both"/>
      </w:pPr>
      <w:r w:rsidRPr="00AF5440">
        <w:t>MTHFR deficiency is a challenging diagnosis in childhood, given its low prevalence and complex phenotypes. We examined the paediatric Irish cohort of MTHFR deficiency patients to gain new insights into the phenotypic spectrum. We noted varying response to treatment in symptomatic patients; diagnosis through newborn screening may further improve outcomes</w:t>
      </w:r>
      <w:r w:rsidRPr="008E71CE">
        <w:t>.</w:t>
      </w:r>
    </w:p>
    <w:p w14:paraId="655303F4" w14:textId="77777777" w:rsidR="002601BF" w:rsidRDefault="002601BF" w:rsidP="002601BF">
      <w:pPr>
        <w:rPr>
          <w:b/>
          <w:bCs/>
          <w:u w:val="single"/>
          <w:lang w:val="en-US"/>
        </w:rPr>
      </w:pPr>
    </w:p>
    <w:p w14:paraId="6E91EBC4" w14:textId="7917E295" w:rsidR="00284242" w:rsidRPr="00AF5440" w:rsidRDefault="00284242" w:rsidP="002C16D5">
      <w:pPr>
        <w:spacing w:after="200"/>
        <w:rPr>
          <w:b/>
          <w:bCs/>
          <w:lang w:val="en-US"/>
        </w:rPr>
      </w:pPr>
      <w:r w:rsidRPr="00AF5440">
        <w:rPr>
          <w:b/>
          <w:bCs/>
          <w:u w:val="single"/>
          <w:lang w:val="en-US"/>
        </w:rPr>
        <w:t>Keywords</w:t>
      </w:r>
    </w:p>
    <w:p w14:paraId="5B253E89" w14:textId="08F04568" w:rsidR="00FD457E" w:rsidRPr="00AF5440" w:rsidRDefault="00A608E5" w:rsidP="002C16D5">
      <w:pPr>
        <w:spacing w:after="200"/>
        <w:rPr>
          <w:lang w:val="en-US"/>
        </w:rPr>
      </w:pPr>
      <w:r w:rsidRPr="00AF5440">
        <w:rPr>
          <w:lang w:val="en-US"/>
        </w:rPr>
        <w:t xml:space="preserve">Folate, </w:t>
      </w:r>
      <w:r w:rsidR="000F0EFC">
        <w:rPr>
          <w:lang w:val="en-US"/>
        </w:rPr>
        <w:t>h</w:t>
      </w:r>
      <w:r w:rsidR="000F0EFC" w:rsidRPr="00AF5440">
        <w:rPr>
          <w:lang w:val="en-US"/>
        </w:rPr>
        <w:t>omocysteine</w:t>
      </w:r>
      <w:r w:rsidRPr="00AF5440">
        <w:rPr>
          <w:lang w:val="en-US"/>
        </w:rPr>
        <w:t xml:space="preserve">, </w:t>
      </w:r>
      <w:r w:rsidR="000F0EFC">
        <w:rPr>
          <w:lang w:val="en-US"/>
        </w:rPr>
        <w:t>m</w:t>
      </w:r>
      <w:r w:rsidR="000F0EFC" w:rsidRPr="00AF5440">
        <w:rPr>
          <w:lang w:val="en-US"/>
        </w:rPr>
        <w:t xml:space="preserve">ethylene </w:t>
      </w:r>
      <w:r w:rsidR="0048488F" w:rsidRPr="00AF5440">
        <w:rPr>
          <w:lang w:val="en-US"/>
        </w:rPr>
        <w:t>tetrahydrofolate reductase deficiency</w:t>
      </w:r>
      <w:r w:rsidR="000F0EFC">
        <w:rPr>
          <w:lang w:val="en-US"/>
        </w:rPr>
        <w:t xml:space="preserve">, newborn screening, rare disease </w:t>
      </w:r>
      <w:r w:rsidR="0048488F" w:rsidRPr="00AF5440">
        <w:rPr>
          <w:lang w:val="en-US"/>
        </w:rPr>
        <w:t xml:space="preserve"> </w:t>
      </w:r>
    </w:p>
    <w:p w14:paraId="78E96E7C" w14:textId="77777777" w:rsidR="002C68D5" w:rsidRPr="00AF5440" w:rsidRDefault="002C68D5">
      <w:pPr>
        <w:rPr>
          <w:b/>
          <w:bCs/>
          <w:u w:val="single"/>
          <w:lang w:val="en-US"/>
        </w:rPr>
      </w:pPr>
      <w:r w:rsidRPr="00AF5440">
        <w:rPr>
          <w:b/>
          <w:bCs/>
          <w:u w:val="single"/>
          <w:lang w:val="en-US"/>
        </w:rPr>
        <w:br w:type="page"/>
      </w:r>
    </w:p>
    <w:p w14:paraId="09AC7AFA" w14:textId="20766410" w:rsidR="007D5E5F" w:rsidRPr="00AF5440" w:rsidRDefault="007D5E5F" w:rsidP="0085201D">
      <w:pPr>
        <w:spacing w:after="200"/>
        <w:rPr>
          <w:b/>
          <w:bCs/>
          <w:u w:val="single"/>
          <w:lang w:val="en-US"/>
        </w:rPr>
      </w:pPr>
      <w:r w:rsidRPr="00AF5440">
        <w:rPr>
          <w:b/>
          <w:bCs/>
          <w:u w:val="single"/>
          <w:lang w:val="en-US"/>
        </w:rPr>
        <w:lastRenderedPageBreak/>
        <w:t>Introduction</w:t>
      </w:r>
    </w:p>
    <w:p w14:paraId="55134334" w14:textId="77777777" w:rsidR="00E555A7" w:rsidRDefault="00D20082">
      <w:pPr>
        <w:spacing w:after="200"/>
        <w:jc w:val="both"/>
        <w:rPr>
          <w:lang w:val="en-US"/>
        </w:rPr>
      </w:pPr>
      <w:r w:rsidRPr="00AF5440">
        <w:rPr>
          <w:rFonts w:cstheme="minorHAnsi"/>
          <w:lang w:val="en-US"/>
        </w:rPr>
        <w:t xml:space="preserve">Methylenetetrahydrofolate </w:t>
      </w:r>
      <w:r w:rsidR="0038175D" w:rsidRPr="00AF5440">
        <w:rPr>
          <w:rFonts w:cstheme="minorHAnsi"/>
          <w:lang w:val="en-US"/>
        </w:rPr>
        <w:t>r</w:t>
      </w:r>
      <w:r w:rsidRPr="00AF5440">
        <w:rPr>
          <w:rFonts w:cstheme="minorHAnsi"/>
          <w:lang w:val="en-US"/>
        </w:rPr>
        <w:t xml:space="preserve">eductase (MTHFR) </w:t>
      </w:r>
      <w:r w:rsidR="0038175D" w:rsidRPr="00AF5440">
        <w:rPr>
          <w:rFonts w:cstheme="minorHAnsi"/>
          <w:lang w:val="en-US"/>
        </w:rPr>
        <w:t>d</w:t>
      </w:r>
      <w:r w:rsidR="006C371E" w:rsidRPr="00AF5440">
        <w:rPr>
          <w:rFonts w:cstheme="minorHAnsi"/>
          <w:lang w:val="en-US"/>
        </w:rPr>
        <w:t>eficiency</w:t>
      </w:r>
      <w:r w:rsidR="00FF60FB" w:rsidRPr="00AF5440">
        <w:rPr>
          <w:rFonts w:cstheme="minorHAnsi"/>
          <w:lang w:val="en-US"/>
        </w:rPr>
        <w:t xml:space="preserve"> (OMIM # </w:t>
      </w:r>
      <w:hyperlink r:id="rId10" w:history="1">
        <w:r w:rsidR="00FF60FB" w:rsidRPr="00AF5440">
          <w:rPr>
            <w:rFonts w:cstheme="minorHAnsi"/>
            <w:lang w:val="en-US"/>
          </w:rPr>
          <w:br/>
        </w:r>
        <w:r w:rsidR="00FF60FB" w:rsidRPr="00AF5440">
          <w:rPr>
            <w:rStyle w:val="Hyperlink"/>
            <w:rFonts w:cstheme="minorHAnsi"/>
            <w:color w:val="auto"/>
            <w:u w:val="none"/>
            <w:lang w:val="en-US"/>
          </w:rPr>
          <w:t>236250</w:t>
        </w:r>
      </w:hyperlink>
      <w:r w:rsidR="00B1378F" w:rsidRPr="00AF5440">
        <w:rPr>
          <w:rStyle w:val="Hyperlink"/>
          <w:rFonts w:cstheme="minorHAnsi"/>
          <w:color w:val="auto"/>
          <w:u w:val="none"/>
          <w:lang w:val="en-US"/>
        </w:rPr>
        <w:t>)</w:t>
      </w:r>
      <w:r w:rsidR="00976229" w:rsidRPr="00AF5440">
        <w:rPr>
          <w:rFonts w:cstheme="minorHAnsi"/>
          <w:lang w:val="en-US"/>
        </w:rPr>
        <w:t xml:space="preserve">, an inborn error of folate metabolism, is an </w:t>
      </w:r>
      <w:r w:rsidR="0057048A" w:rsidRPr="00AF5440">
        <w:rPr>
          <w:rFonts w:cstheme="minorHAnsi"/>
          <w:lang w:val="en-US"/>
        </w:rPr>
        <w:t>ultra-rare</w:t>
      </w:r>
      <w:r w:rsidR="00976229" w:rsidRPr="00AF5440">
        <w:rPr>
          <w:rFonts w:cstheme="minorHAnsi"/>
          <w:lang w:val="en-US"/>
        </w:rPr>
        <w:t xml:space="preserve"> </w:t>
      </w:r>
      <w:r w:rsidR="005E2657" w:rsidRPr="00AF5440">
        <w:rPr>
          <w:rFonts w:cstheme="minorHAnsi"/>
          <w:lang w:val="en-US"/>
        </w:rPr>
        <w:t xml:space="preserve">metabolic </w:t>
      </w:r>
      <w:r w:rsidR="00976229" w:rsidRPr="00AF5440">
        <w:rPr>
          <w:rFonts w:cstheme="minorHAnsi"/>
          <w:lang w:val="en-US"/>
        </w:rPr>
        <w:t>disorder</w:t>
      </w:r>
      <w:r w:rsidRPr="00AF5440">
        <w:rPr>
          <w:rFonts w:cstheme="minorHAnsi"/>
          <w:lang w:val="en-US"/>
        </w:rPr>
        <w:t>.</w:t>
      </w:r>
      <w:r w:rsidRPr="00AF5440">
        <w:rPr>
          <w:rFonts w:cstheme="minorHAnsi"/>
          <w:vertAlign w:val="superscript"/>
          <w:lang w:val="en-US"/>
        </w:rPr>
        <w:t>1</w:t>
      </w:r>
      <w:r w:rsidR="00104C61">
        <w:rPr>
          <w:rFonts w:cstheme="minorHAnsi"/>
          <w:vertAlign w:val="superscript"/>
          <w:lang w:val="en-US"/>
        </w:rPr>
        <w:t xml:space="preserve"> </w:t>
      </w:r>
      <w:r w:rsidRPr="00AF5440">
        <w:rPr>
          <w:lang w:val="en-US"/>
        </w:rPr>
        <w:t xml:space="preserve">MTHFR plays a key role in folate metabolism by </w:t>
      </w:r>
      <w:r w:rsidR="00D96B62" w:rsidRPr="005E6853">
        <w:rPr>
          <w:lang w:val="en-US"/>
        </w:rPr>
        <w:t>catalyzing</w:t>
      </w:r>
      <w:r w:rsidRPr="00AF5440">
        <w:rPr>
          <w:lang w:val="en-US"/>
        </w:rPr>
        <w:t xml:space="preserve"> the reduction of 5, 10-methylenetetrahydrofolate to 5-methyltetrahydrofolate</w:t>
      </w:r>
      <w:r w:rsidR="00565BE3" w:rsidRPr="00AF5440">
        <w:rPr>
          <w:lang w:val="en-US"/>
        </w:rPr>
        <w:t xml:space="preserve"> (MTHF)</w:t>
      </w:r>
      <w:r w:rsidRPr="00AF5440">
        <w:rPr>
          <w:lang w:val="en-US"/>
        </w:rPr>
        <w:t xml:space="preserve">, which is </w:t>
      </w:r>
      <w:r w:rsidR="00B705DE" w:rsidRPr="00AF5440">
        <w:rPr>
          <w:lang w:val="en-US"/>
        </w:rPr>
        <w:t>required for</w:t>
      </w:r>
      <w:r w:rsidRPr="00AF5440">
        <w:rPr>
          <w:lang w:val="en-US"/>
        </w:rPr>
        <w:t xml:space="preserve"> </w:t>
      </w:r>
      <w:r w:rsidR="00B705DE" w:rsidRPr="00AF5440">
        <w:rPr>
          <w:lang w:val="en-US"/>
        </w:rPr>
        <w:t>the</w:t>
      </w:r>
      <w:r w:rsidRPr="00AF5440">
        <w:rPr>
          <w:lang w:val="en-US"/>
        </w:rPr>
        <w:t xml:space="preserve"> remethylation of homocysteine to methionine</w:t>
      </w:r>
      <w:r w:rsidR="005A5402" w:rsidRPr="00AF5440">
        <w:rPr>
          <w:lang w:val="en-US"/>
        </w:rPr>
        <w:t>, generating tetrahydrofolate</w:t>
      </w:r>
      <w:r w:rsidRPr="00AF5440">
        <w:rPr>
          <w:lang w:val="en-US"/>
        </w:rPr>
        <w:t>.</w:t>
      </w:r>
      <w:r w:rsidRPr="00AF5440">
        <w:rPr>
          <w:vertAlign w:val="superscript"/>
          <w:lang w:val="en-US"/>
        </w:rPr>
        <w:t xml:space="preserve">2 </w:t>
      </w:r>
      <w:r w:rsidR="002D2352" w:rsidRPr="00AF5440">
        <w:rPr>
          <w:lang w:val="en-US"/>
        </w:rPr>
        <w:t xml:space="preserve">MTHFR deficiency leads to homocysteinemia with low-normal methionine </w:t>
      </w:r>
      <w:r w:rsidR="00976229" w:rsidRPr="00AF5440">
        <w:rPr>
          <w:lang w:val="en-US"/>
        </w:rPr>
        <w:t>concentration</w:t>
      </w:r>
      <w:r w:rsidR="005A5402" w:rsidRPr="00AF5440">
        <w:rPr>
          <w:lang w:val="en-US"/>
        </w:rPr>
        <w:t xml:space="preserve">s </w:t>
      </w:r>
      <w:r w:rsidR="0038175D" w:rsidRPr="00AF5440">
        <w:rPr>
          <w:lang w:val="en-US"/>
        </w:rPr>
        <w:t>in plasma as well as</w:t>
      </w:r>
      <w:r w:rsidR="00D53F85" w:rsidRPr="00AF5440">
        <w:rPr>
          <w:lang w:val="en-US"/>
        </w:rPr>
        <w:t xml:space="preserve"> low-normal </w:t>
      </w:r>
      <w:r w:rsidR="0038175D" w:rsidRPr="00AF5440">
        <w:rPr>
          <w:lang w:val="en-US"/>
        </w:rPr>
        <w:t>folate</w:t>
      </w:r>
      <w:r w:rsidR="002D2352" w:rsidRPr="00AF5440">
        <w:rPr>
          <w:lang w:val="en-US"/>
        </w:rPr>
        <w:t xml:space="preserve">. </w:t>
      </w:r>
      <w:r w:rsidR="00D53F85" w:rsidRPr="00AF5440">
        <w:rPr>
          <w:lang w:val="en-US"/>
        </w:rPr>
        <w:t>Individuals with MTHFR deficiency do not usually present with haematological abnormalities</w:t>
      </w:r>
      <w:r w:rsidR="007E4C07">
        <w:rPr>
          <w:lang w:val="en-US"/>
        </w:rPr>
        <w:t>.</w:t>
      </w:r>
      <w:r w:rsidR="00AE086C" w:rsidRPr="00AF5440">
        <w:rPr>
          <w:vertAlign w:val="superscript"/>
          <w:lang w:val="en-US"/>
        </w:rPr>
        <w:t>3,4</w:t>
      </w:r>
      <w:r w:rsidR="00D53F85" w:rsidRPr="00AF5440">
        <w:rPr>
          <w:lang w:val="en-US"/>
        </w:rPr>
        <w:t xml:space="preserve"> </w:t>
      </w:r>
      <w:r w:rsidR="002D2352" w:rsidRPr="00AF5440">
        <w:rPr>
          <w:lang w:val="en-US"/>
        </w:rPr>
        <w:t xml:space="preserve">MTHFR deficiency is an autosomal recessive </w:t>
      </w:r>
      <w:r w:rsidR="005A5402" w:rsidRPr="00AF5440">
        <w:rPr>
          <w:lang w:val="en-US"/>
        </w:rPr>
        <w:t>disorder</w:t>
      </w:r>
      <w:r w:rsidR="002D2352" w:rsidRPr="00AF5440">
        <w:rPr>
          <w:lang w:val="en-US"/>
        </w:rPr>
        <w:t>.</w:t>
      </w:r>
      <w:r w:rsidR="00AE086C" w:rsidRPr="00AF5440">
        <w:rPr>
          <w:vertAlign w:val="superscript"/>
          <w:lang w:val="en-US"/>
        </w:rPr>
        <w:t>5</w:t>
      </w:r>
      <w:r w:rsidR="002D2352" w:rsidRPr="00AF5440">
        <w:rPr>
          <w:vertAlign w:val="superscript"/>
          <w:lang w:val="en-US"/>
        </w:rPr>
        <w:t xml:space="preserve"> </w:t>
      </w:r>
      <w:r w:rsidR="002D2352" w:rsidRPr="00AF5440">
        <w:rPr>
          <w:lang w:val="en-US"/>
        </w:rPr>
        <w:t xml:space="preserve">A number of </w:t>
      </w:r>
      <w:r w:rsidR="005A70A6" w:rsidRPr="00AF5440">
        <w:rPr>
          <w:lang w:val="en-US"/>
        </w:rPr>
        <w:t xml:space="preserve">clinical </w:t>
      </w:r>
      <w:r w:rsidR="002D2352" w:rsidRPr="00AF5440">
        <w:rPr>
          <w:lang w:val="en-US"/>
        </w:rPr>
        <w:t xml:space="preserve">phenotypes for the condition have been identified from the severe, neonatal onset MTHFR deficiency to </w:t>
      </w:r>
      <w:r w:rsidR="00976229" w:rsidRPr="00AF5440">
        <w:rPr>
          <w:lang w:val="en-US"/>
        </w:rPr>
        <w:t xml:space="preserve">incidental findings in </w:t>
      </w:r>
      <w:r w:rsidR="002D2352" w:rsidRPr="00AF5440">
        <w:rPr>
          <w:lang w:val="en-US"/>
        </w:rPr>
        <w:t xml:space="preserve">adult patients. </w:t>
      </w:r>
    </w:p>
    <w:p w14:paraId="74C2D1D5" w14:textId="473F5633" w:rsidR="00766762" w:rsidRPr="00AF5440" w:rsidRDefault="00E555A7" w:rsidP="00766762">
      <w:pPr>
        <w:spacing w:after="200"/>
        <w:jc w:val="both"/>
        <w:rPr>
          <w:lang w:val="en-US"/>
        </w:rPr>
      </w:pPr>
      <w:r>
        <w:rPr>
          <w:lang w:val="en-US"/>
        </w:rPr>
        <w:t>Here, we wish to e</w:t>
      </w:r>
      <w:r w:rsidRPr="00E555A7">
        <w:rPr>
          <w:lang w:val="en-US"/>
        </w:rPr>
        <w:t>xpand</w:t>
      </w:r>
      <w:r>
        <w:rPr>
          <w:lang w:val="en-US"/>
        </w:rPr>
        <w:t xml:space="preserve"> </w:t>
      </w:r>
      <w:r w:rsidRPr="00E555A7">
        <w:rPr>
          <w:lang w:val="en-US"/>
        </w:rPr>
        <w:t xml:space="preserve">the </w:t>
      </w:r>
      <w:r>
        <w:rPr>
          <w:lang w:val="en-US"/>
        </w:rPr>
        <w:t>p</w:t>
      </w:r>
      <w:r w:rsidRPr="00E555A7">
        <w:rPr>
          <w:lang w:val="en-US"/>
        </w:rPr>
        <w:t xml:space="preserve">henotypic </w:t>
      </w:r>
      <w:r>
        <w:rPr>
          <w:lang w:val="en-US"/>
        </w:rPr>
        <w:t>s</w:t>
      </w:r>
      <w:r w:rsidRPr="00E555A7">
        <w:rPr>
          <w:lang w:val="en-US"/>
        </w:rPr>
        <w:t>pectrum</w:t>
      </w:r>
      <w:r>
        <w:rPr>
          <w:lang w:val="en-US"/>
        </w:rPr>
        <w:t xml:space="preserve"> of </w:t>
      </w:r>
      <w:r w:rsidRPr="00E555A7">
        <w:rPr>
          <w:lang w:val="en-US"/>
        </w:rPr>
        <w:t>MTHFR deficiency</w:t>
      </w:r>
      <w:r>
        <w:rPr>
          <w:lang w:val="en-US"/>
        </w:rPr>
        <w:t xml:space="preserve"> </w:t>
      </w:r>
      <w:r w:rsidR="00766762">
        <w:rPr>
          <w:lang w:val="en-US"/>
        </w:rPr>
        <w:t xml:space="preserve">in the paediatric population </w:t>
      </w:r>
      <w:r>
        <w:rPr>
          <w:lang w:val="en-US"/>
        </w:rPr>
        <w:t xml:space="preserve">by presenting </w:t>
      </w:r>
      <w:r w:rsidR="002D2352" w:rsidRPr="00AF5440">
        <w:rPr>
          <w:lang w:val="en-US"/>
        </w:rPr>
        <w:t>three</w:t>
      </w:r>
      <w:r w:rsidR="00B705DE" w:rsidRPr="00AF5440">
        <w:rPr>
          <w:lang w:val="en-US"/>
        </w:rPr>
        <w:t xml:space="preserve"> cases </w:t>
      </w:r>
      <w:r>
        <w:rPr>
          <w:lang w:val="en-US"/>
        </w:rPr>
        <w:t xml:space="preserve">diagnosed and treated at our National Centre for Inherited Metabolic Disorders </w:t>
      </w:r>
      <w:r w:rsidR="00766762">
        <w:rPr>
          <w:lang w:val="en-US"/>
        </w:rPr>
        <w:t>diagnosed between 2008 and 2023</w:t>
      </w:r>
      <w:r>
        <w:rPr>
          <w:lang w:val="en-US"/>
        </w:rPr>
        <w:t>.</w:t>
      </w:r>
      <w:r w:rsidR="00976229" w:rsidRPr="00AF5440">
        <w:rPr>
          <w:lang w:val="en-US"/>
        </w:rPr>
        <w:t xml:space="preserve"> </w:t>
      </w:r>
      <w:r w:rsidR="00766762">
        <w:rPr>
          <w:lang w:val="en-US"/>
        </w:rPr>
        <w:t xml:space="preserve"> </w:t>
      </w:r>
      <w:r w:rsidR="00766762" w:rsidRPr="00766762">
        <w:rPr>
          <w:lang w:val="en-US"/>
        </w:rPr>
        <w:t xml:space="preserve">The National Centre for Inherited Metabolic Disorders, located at Children’s Health Ireland at Temple Street in Dublin, is the national tertiary referral center for all children in the Republic of Ireland with inborn errors of metabolism. The national Metabolic Laboratory and Newborn Blood Spot Screening laboratory are also located on site. Ethical approval was granted by the Institution’s Research/Ethics Committee and written informed consent was taken from </w:t>
      </w:r>
      <w:r w:rsidR="00766762">
        <w:rPr>
          <w:lang w:val="en-US"/>
        </w:rPr>
        <w:t>parents/</w:t>
      </w:r>
      <w:r w:rsidR="00766762" w:rsidRPr="00766762">
        <w:rPr>
          <w:lang w:val="en-US"/>
        </w:rPr>
        <w:t xml:space="preserve">families as appropriate. Our database was reviewed and we identified all patients with genetically confirmed </w:t>
      </w:r>
      <w:r w:rsidR="00766762">
        <w:rPr>
          <w:lang w:val="en-US"/>
        </w:rPr>
        <w:t xml:space="preserve">childhood-onset </w:t>
      </w:r>
      <w:r w:rsidR="00766762" w:rsidRPr="00766762">
        <w:rPr>
          <w:lang w:val="en-US"/>
        </w:rPr>
        <w:t xml:space="preserve">MTHFR deficiency. Their medical records were reviewed and </w:t>
      </w:r>
      <w:r w:rsidR="00766762">
        <w:rPr>
          <w:lang w:val="en-US"/>
        </w:rPr>
        <w:t xml:space="preserve">clinical, </w:t>
      </w:r>
      <w:r w:rsidR="00766762" w:rsidRPr="00766762">
        <w:rPr>
          <w:lang w:val="en-US"/>
        </w:rPr>
        <w:t>diagnostic biochemical, enzymatic as well as molecular genetics and neuro-radiological findings compiled.</w:t>
      </w:r>
    </w:p>
    <w:p w14:paraId="1E8A0A32" w14:textId="14AE25BE" w:rsidR="001810C1" w:rsidRPr="002E5256" w:rsidRDefault="007D5E5F" w:rsidP="0085201D">
      <w:pPr>
        <w:spacing w:after="200"/>
        <w:jc w:val="both"/>
        <w:rPr>
          <w:b/>
          <w:u w:val="single"/>
          <w:lang w:val="en-US"/>
        </w:rPr>
      </w:pPr>
      <w:r w:rsidRPr="002E5256">
        <w:rPr>
          <w:b/>
          <w:u w:val="single"/>
          <w:lang w:val="en-US"/>
        </w:rPr>
        <w:t xml:space="preserve">Case </w:t>
      </w:r>
      <w:r w:rsidR="007A52A7">
        <w:rPr>
          <w:b/>
          <w:u w:val="single"/>
          <w:lang w:val="en-US"/>
        </w:rPr>
        <w:t>1</w:t>
      </w:r>
      <w:r w:rsidR="002E5256" w:rsidRPr="002E5256">
        <w:rPr>
          <w:b/>
          <w:u w:val="single"/>
          <w:lang w:val="en-US"/>
        </w:rPr>
        <w:t>: Case History and Examination</w:t>
      </w:r>
    </w:p>
    <w:p w14:paraId="0D3B8ABC" w14:textId="2CD0C337" w:rsidR="00792E6B" w:rsidRPr="00AF5440" w:rsidRDefault="00CB4034" w:rsidP="0085201D">
      <w:pPr>
        <w:spacing w:after="200"/>
        <w:jc w:val="both"/>
        <w:rPr>
          <w:lang w:val="en-US"/>
        </w:rPr>
      </w:pPr>
      <w:r w:rsidRPr="00AF5440">
        <w:rPr>
          <w:lang w:val="en-US"/>
        </w:rPr>
        <w:t>Our first patient was referred to us</w:t>
      </w:r>
      <w:r w:rsidR="001810C1" w:rsidRPr="00AF5440">
        <w:rPr>
          <w:lang w:val="en-US"/>
        </w:rPr>
        <w:t xml:space="preserve"> for </w:t>
      </w:r>
      <w:r w:rsidR="00976419" w:rsidRPr="00AF5440">
        <w:rPr>
          <w:lang w:val="en-US"/>
        </w:rPr>
        <w:t xml:space="preserve">further </w:t>
      </w:r>
      <w:r w:rsidR="001810C1" w:rsidRPr="00AF5440">
        <w:rPr>
          <w:lang w:val="en-US"/>
        </w:rPr>
        <w:t xml:space="preserve">metabolic </w:t>
      </w:r>
      <w:r w:rsidR="00270F65" w:rsidRPr="00AF5440">
        <w:rPr>
          <w:lang w:val="en-US"/>
        </w:rPr>
        <w:t>investigation</w:t>
      </w:r>
      <w:r w:rsidR="00976419" w:rsidRPr="00AF5440">
        <w:rPr>
          <w:lang w:val="en-US"/>
        </w:rPr>
        <w:t>s</w:t>
      </w:r>
      <w:r w:rsidR="001810C1" w:rsidRPr="00AF5440">
        <w:rPr>
          <w:lang w:val="en-US"/>
        </w:rPr>
        <w:t xml:space="preserve"> at </w:t>
      </w:r>
      <w:r w:rsidR="00976419" w:rsidRPr="00AF5440">
        <w:rPr>
          <w:lang w:val="en-US"/>
        </w:rPr>
        <w:t>19 months</w:t>
      </w:r>
      <w:r w:rsidR="001810C1" w:rsidRPr="00AF5440">
        <w:rPr>
          <w:lang w:val="en-US"/>
        </w:rPr>
        <w:t xml:space="preserve"> of age with global developmental delay,</w:t>
      </w:r>
      <w:r w:rsidR="00976419" w:rsidRPr="00AF5440">
        <w:rPr>
          <w:lang w:val="en-US"/>
        </w:rPr>
        <w:t xml:space="preserve"> microcephaly</w:t>
      </w:r>
      <w:r w:rsidR="004F1951" w:rsidRPr="00AF5440">
        <w:rPr>
          <w:lang w:val="en-US"/>
        </w:rPr>
        <w:t>, nystagmus</w:t>
      </w:r>
      <w:r w:rsidR="00976419" w:rsidRPr="00AF5440">
        <w:rPr>
          <w:lang w:val="en-US"/>
        </w:rPr>
        <w:t xml:space="preserve"> </w:t>
      </w:r>
      <w:r w:rsidR="001810C1" w:rsidRPr="00AF5440">
        <w:rPr>
          <w:lang w:val="en-US"/>
        </w:rPr>
        <w:t>and a history of rash.</w:t>
      </w:r>
      <w:r w:rsidRPr="00AF5440">
        <w:rPr>
          <w:vertAlign w:val="superscript"/>
          <w:lang w:val="en-US"/>
        </w:rPr>
        <w:t>6</w:t>
      </w:r>
      <w:r w:rsidR="00104C61">
        <w:rPr>
          <w:vertAlign w:val="superscript"/>
          <w:lang w:val="en-US"/>
        </w:rPr>
        <w:t xml:space="preserve"> </w:t>
      </w:r>
      <w:r w:rsidR="00792E6B" w:rsidRPr="00AF5440">
        <w:rPr>
          <w:lang w:val="en-US"/>
        </w:rPr>
        <w:t xml:space="preserve">We </w:t>
      </w:r>
      <w:r w:rsidR="00BE66D9" w:rsidRPr="00AF5440">
        <w:rPr>
          <w:lang w:val="en-US"/>
        </w:rPr>
        <w:t xml:space="preserve">here </w:t>
      </w:r>
      <w:r w:rsidR="00C23336" w:rsidRPr="00AF5440">
        <w:rPr>
          <w:lang w:val="en-US"/>
        </w:rPr>
        <w:t xml:space="preserve">report </w:t>
      </w:r>
      <w:r w:rsidRPr="00AF5440">
        <w:rPr>
          <w:lang w:val="en-US"/>
        </w:rPr>
        <w:t>on her clinical course and outcome age 14 years.</w:t>
      </w:r>
      <w:r w:rsidR="00C23336" w:rsidRPr="00AF5440">
        <w:rPr>
          <w:lang w:val="en-US"/>
        </w:rPr>
        <w:t xml:space="preserve"> </w:t>
      </w:r>
    </w:p>
    <w:p w14:paraId="58693223" w14:textId="4992D077" w:rsidR="002E5256" w:rsidRDefault="001810C1" w:rsidP="0085201D">
      <w:pPr>
        <w:spacing w:after="200"/>
        <w:jc w:val="both"/>
        <w:rPr>
          <w:lang w:val="en-US"/>
        </w:rPr>
      </w:pPr>
      <w:r w:rsidRPr="00AF5440">
        <w:rPr>
          <w:lang w:val="en-US"/>
        </w:rPr>
        <w:t xml:space="preserve">She was born </w:t>
      </w:r>
      <w:r w:rsidR="000E7AD8" w:rsidRPr="00AF5440">
        <w:rPr>
          <w:lang w:val="en-US"/>
        </w:rPr>
        <w:t xml:space="preserve">at 39 </w:t>
      </w:r>
      <w:r w:rsidR="004F6859" w:rsidRPr="00AF5440">
        <w:rPr>
          <w:lang w:val="en-US"/>
        </w:rPr>
        <w:t>weeks</w:t>
      </w:r>
      <w:r w:rsidR="0099157C" w:rsidRPr="00AF5440">
        <w:rPr>
          <w:lang w:val="en-US"/>
        </w:rPr>
        <w:t xml:space="preserve"> gestation after an uneventful pregnancy and had a normal neonatal course apart from mild jaundice. </w:t>
      </w:r>
      <w:r w:rsidR="006C371E" w:rsidRPr="00AF5440">
        <w:rPr>
          <w:lang w:val="en-US"/>
        </w:rPr>
        <w:t>She was born to Irish non</w:t>
      </w:r>
      <w:r w:rsidR="0099157C" w:rsidRPr="00AF5440">
        <w:rPr>
          <w:lang w:val="en-US"/>
        </w:rPr>
        <w:t>-</w:t>
      </w:r>
      <w:r w:rsidR="00290E25" w:rsidRPr="00AF5440">
        <w:rPr>
          <w:lang w:val="en-US"/>
        </w:rPr>
        <w:t>consanguineous</w:t>
      </w:r>
      <w:r w:rsidR="006C371E" w:rsidRPr="00AF5440">
        <w:rPr>
          <w:lang w:val="en-US"/>
        </w:rPr>
        <w:t xml:space="preserve"> parents</w:t>
      </w:r>
      <w:r w:rsidR="00290E25" w:rsidRPr="00AF5440">
        <w:rPr>
          <w:lang w:val="en-US"/>
        </w:rPr>
        <w:t>.</w:t>
      </w:r>
      <w:r w:rsidR="0099157C" w:rsidRPr="00AF5440">
        <w:rPr>
          <w:lang w:val="en-US"/>
        </w:rPr>
        <w:t xml:space="preserve"> </w:t>
      </w:r>
      <w:r w:rsidR="002E5256" w:rsidRPr="00AF5440">
        <w:rPr>
          <w:lang w:val="en-US"/>
        </w:rPr>
        <w:t>Her head circumference at birth was at the 10</w:t>
      </w:r>
      <w:r w:rsidR="002E5256" w:rsidRPr="00AF5440">
        <w:rPr>
          <w:vertAlign w:val="superscript"/>
          <w:lang w:val="en-US"/>
        </w:rPr>
        <w:t>th</w:t>
      </w:r>
      <w:r w:rsidR="002E5256" w:rsidRPr="00AF5440">
        <w:rPr>
          <w:lang w:val="en-US"/>
        </w:rPr>
        <w:t xml:space="preserve"> centile and her weight on 50</w:t>
      </w:r>
      <w:r w:rsidR="002E5256" w:rsidRPr="00AF5440">
        <w:rPr>
          <w:vertAlign w:val="superscript"/>
          <w:lang w:val="en-US"/>
        </w:rPr>
        <w:t>th</w:t>
      </w:r>
      <w:r w:rsidR="002E5256" w:rsidRPr="00AF5440">
        <w:rPr>
          <w:lang w:val="en-US"/>
        </w:rPr>
        <w:t xml:space="preserve"> centile.</w:t>
      </w:r>
    </w:p>
    <w:p w14:paraId="617D5828" w14:textId="1AFE782E" w:rsidR="002E5256" w:rsidRDefault="001810C1" w:rsidP="0085201D">
      <w:pPr>
        <w:spacing w:after="200"/>
        <w:jc w:val="both"/>
        <w:rPr>
          <w:lang w:val="en-US"/>
        </w:rPr>
      </w:pPr>
      <w:r w:rsidRPr="00AF5440">
        <w:rPr>
          <w:lang w:val="en-US"/>
        </w:rPr>
        <w:t xml:space="preserve">She </w:t>
      </w:r>
      <w:r w:rsidR="00C8384B" w:rsidRPr="00AF5440">
        <w:rPr>
          <w:lang w:val="en-US"/>
        </w:rPr>
        <w:t>was noted to have an</w:t>
      </w:r>
      <w:r w:rsidRPr="00AF5440">
        <w:rPr>
          <w:lang w:val="en-US"/>
        </w:rPr>
        <w:t xml:space="preserve"> </w:t>
      </w:r>
      <w:r w:rsidR="00EC5C2B" w:rsidRPr="00AF5440">
        <w:rPr>
          <w:lang w:val="en-US"/>
        </w:rPr>
        <w:t xml:space="preserve">erythematous rash </w:t>
      </w:r>
      <w:r w:rsidR="00C8384B" w:rsidRPr="00AF5440">
        <w:rPr>
          <w:lang w:val="en-US"/>
        </w:rPr>
        <w:t xml:space="preserve">at 6 weeks of age </w:t>
      </w:r>
      <w:r w:rsidR="00EC5C2B" w:rsidRPr="00AF5440">
        <w:rPr>
          <w:lang w:val="en-US"/>
        </w:rPr>
        <w:t>whi</w:t>
      </w:r>
      <w:r w:rsidRPr="00AF5440">
        <w:rPr>
          <w:lang w:val="en-US"/>
        </w:rPr>
        <w:t xml:space="preserve">ch required </w:t>
      </w:r>
      <w:r w:rsidR="00A54793" w:rsidRPr="00AF5440">
        <w:rPr>
          <w:lang w:val="en-US"/>
        </w:rPr>
        <w:t>emulsifying</w:t>
      </w:r>
      <w:r w:rsidRPr="00AF5440">
        <w:rPr>
          <w:lang w:val="en-US"/>
        </w:rPr>
        <w:t xml:space="preserve"> </w:t>
      </w:r>
      <w:r w:rsidR="009C0EA4" w:rsidRPr="00AF5440">
        <w:rPr>
          <w:lang w:val="en-US"/>
        </w:rPr>
        <w:t>ointments</w:t>
      </w:r>
      <w:r w:rsidRPr="00AF5440">
        <w:rPr>
          <w:lang w:val="en-US"/>
        </w:rPr>
        <w:t xml:space="preserve">. </w:t>
      </w:r>
      <w:r w:rsidR="006C17DF" w:rsidRPr="00AF5440">
        <w:rPr>
          <w:lang w:val="en-US"/>
        </w:rPr>
        <w:t xml:space="preserve">At 11 weeks of age she presented with </w:t>
      </w:r>
      <w:r w:rsidR="00D61736" w:rsidRPr="00AF5440">
        <w:rPr>
          <w:lang w:val="en-US"/>
        </w:rPr>
        <w:t xml:space="preserve">hypotonia, </w:t>
      </w:r>
      <w:r w:rsidR="00F72873" w:rsidRPr="00AF5440">
        <w:rPr>
          <w:lang w:val="en-US"/>
        </w:rPr>
        <w:t xml:space="preserve">an episode </w:t>
      </w:r>
      <w:r w:rsidR="006C17DF" w:rsidRPr="00AF5440">
        <w:rPr>
          <w:lang w:val="en-US"/>
        </w:rPr>
        <w:t>of upper limb tremors</w:t>
      </w:r>
      <w:r w:rsidR="00C748C4" w:rsidRPr="00AF5440">
        <w:rPr>
          <w:lang w:val="en-US"/>
        </w:rPr>
        <w:t xml:space="preserve"> </w:t>
      </w:r>
      <w:r w:rsidR="00DD14D4" w:rsidRPr="00AF5440">
        <w:rPr>
          <w:lang w:val="en-US"/>
        </w:rPr>
        <w:t>and a possible starring episode</w:t>
      </w:r>
      <w:r w:rsidR="006C17DF" w:rsidRPr="00AF5440">
        <w:rPr>
          <w:lang w:val="en-US"/>
        </w:rPr>
        <w:t xml:space="preserve">. Her </w:t>
      </w:r>
      <w:r w:rsidR="002E543D" w:rsidRPr="00AF5440">
        <w:rPr>
          <w:lang w:val="en-US"/>
        </w:rPr>
        <w:t xml:space="preserve">occipitofrontal circumference </w:t>
      </w:r>
      <w:r w:rsidR="00DD14D4" w:rsidRPr="00AF5440">
        <w:rPr>
          <w:lang w:val="en-US"/>
        </w:rPr>
        <w:t xml:space="preserve">was noted to be on </w:t>
      </w:r>
      <w:r w:rsidR="006C17DF" w:rsidRPr="00AF5440">
        <w:rPr>
          <w:lang w:val="en-US"/>
        </w:rPr>
        <w:t>&lt;0.4</w:t>
      </w:r>
      <w:r w:rsidR="006C17DF" w:rsidRPr="00AF5440">
        <w:rPr>
          <w:vertAlign w:val="superscript"/>
          <w:lang w:val="en-US"/>
        </w:rPr>
        <w:t>th</w:t>
      </w:r>
      <w:r w:rsidR="006C17DF" w:rsidRPr="00AF5440">
        <w:rPr>
          <w:lang w:val="en-US"/>
        </w:rPr>
        <w:t xml:space="preserve"> percentile.</w:t>
      </w:r>
      <w:r w:rsidR="00104C61">
        <w:rPr>
          <w:lang w:val="en-US"/>
        </w:rPr>
        <w:t xml:space="preserve"> </w:t>
      </w:r>
      <w:r w:rsidR="00D61736" w:rsidRPr="00AF5440">
        <w:rPr>
          <w:lang w:val="en-US"/>
        </w:rPr>
        <w:t xml:space="preserve">She was linked in with services to monitor her developmental progress. </w:t>
      </w:r>
      <w:r w:rsidR="005E2657" w:rsidRPr="00AF5440">
        <w:rPr>
          <w:lang w:val="en-US"/>
        </w:rPr>
        <w:t xml:space="preserve">She </w:t>
      </w:r>
      <w:r w:rsidR="00976419" w:rsidRPr="00AF5440">
        <w:rPr>
          <w:lang w:val="en-US"/>
        </w:rPr>
        <w:t>sat unaided at 15 months of age</w:t>
      </w:r>
      <w:r w:rsidR="00D61736" w:rsidRPr="00AF5440">
        <w:rPr>
          <w:lang w:val="en-US"/>
        </w:rPr>
        <w:t xml:space="preserve">, </w:t>
      </w:r>
      <w:r w:rsidR="00992A12" w:rsidRPr="00AF5440">
        <w:rPr>
          <w:lang w:val="en-US"/>
        </w:rPr>
        <w:t>and had no words</w:t>
      </w:r>
      <w:r w:rsidR="006C17DF" w:rsidRPr="00AF5440">
        <w:rPr>
          <w:lang w:val="en-US"/>
        </w:rPr>
        <w:t xml:space="preserve">. </w:t>
      </w:r>
      <w:r w:rsidR="00D61736" w:rsidRPr="00AF5440">
        <w:rPr>
          <w:lang w:val="en-US"/>
        </w:rPr>
        <w:t xml:space="preserve">At 18 months of age, she developed a swollen, painful left wrist. </w:t>
      </w:r>
    </w:p>
    <w:p w14:paraId="7D4CACB6" w14:textId="00B71182" w:rsidR="002E5256" w:rsidRPr="002E5256" w:rsidRDefault="002E5256" w:rsidP="0085201D">
      <w:pPr>
        <w:spacing w:after="200"/>
        <w:jc w:val="both"/>
        <w:rPr>
          <w:b/>
          <w:u w:val="single"/>
          <w:lang w:val="en-US"/>
        </w:rPr>
      </w:pPr>
      <w:r w:rsidRPr="002E5256">
        <w:rPr>
          <w:b/>
          <w:u w:val="single"/>
          <w:lang w:val="en-US"/>
        </w:rPr>
        <w:t xml:space="preserve">Case </w:t>
      </w:r>
      <w:r w:rsidR="007A52A7">
        <w:rPr>
          <w:b/>
          <w:u w:val="single"/>
          <w:lang w:val="en-US"/>
        </w:rPr>
        <w:t>1</w:t>
      </w:r>
      <w:r w:rsidRPr="002E5256">
        <w:rPr>
          <w:b/>
          <w:u w:val="single"/>
          <w:lang w:val="en-US"/>
        </w:rPr>
        <w:t>: Investigations and Treatment</w:t>
      </w:r>
    </w:p>
    <w:p w14:paraId="697325CB" w14:textId="2F554E9C" w:rsidR="00DD14D4" w:rsidRPr="00AF5440" w:rsidRDefault="002E5256" w:rsidP="0085201D">
      <w:pPr>
        <w:spacing w:after="200"/>
        <w:jc w:val="both"/>
        <w:rPr>
          <w:lang w:val="en-US"/>
        </w:rPr>
      </w:pPr>
      <w:r w:rsidRPr="00AF5440">
        <w:rPr>
          <w:lang w:val="en-US"/>
        </w:rPr>
        <w:t xml:space="preserve">Her ANA titre was positive (1:400). In parallel, she was referred for a metabolic opinion in light of her global developmental delay with hypotonia, microcephaly and nystagmus. Contrast MRI of the wrist suggested synovitis with thickening of the subcutaneous tissues with high signal around the carpal bones. She responded to high dose anti-inflammatory medications and intra articular joint injections. </w:t>
      </w:r>
      <w:r w:rsidR="00EF69D8" w:rsidRPr="00AF5440">
        <w:rPr>
          <w:lang w:val="en-US"/>
        </w:rPr>
        <w:t xml:space="preserve">MRI brain revealed small cerebral </w:t>
      </w:r>
      <w:r w:rsidR="00EF69D8" w:rsidRPr="00AF5440">
        <w:rPr>
          <w:lang w:val="en-US"/>
        </w:rPr>
        <w:lastRenderedPageBreak/>
        <w:t xml:space="preserve">hemispheres with bilateral subdural collections, </w:t>
      </w:r>
      <w:r w:rsidR="005E2657" w:rsidRPr="00AF5440">
        <w:rPr>
          <w:lang w:val="en-US"/>
        </w:rPr>
        <w:t xml:space="preserve">a </w:t>
      </w:r>
      <w:r w:rsidR="00EF69D8" w:rsidRPr="00AF5440">
        <w:rPr>
          <w:lang w:val="en-US"/>
        </w:rPr>
        <w:t xml:space="preserve">thin corpus callosum and </w:t>
      </w:r>
      <w:r w:rsidR="0008676A" w:rsidRPr="00AF5440">
        <w:rPr>
          <w:lang w:val="en-US"/>
        </w:rPr>
        <w:t xml:space="preserve">it </w:t>
      </w:r>
      <w:r w:rsidR="005E2657" w:rsidRPr="00AF5440">
        <w:rPr>
          <w:lang w:val="en-US"/>
        </w:rPr>
        <w:t xml:space="preserve">also </w:t>
      </w:r>
      <w:r w:rsidR="0008676A" w:rsidRPr="00AF5440">
        <w:rPr>
          <w:lang w:val="en-US"/>
        </w:rPr>
        <w:t>showed periventricular white matter hyper intense</w:t>
      </w:r>
      <w:r w:rsidR="00D027CF" w:rsidRPr="00AF5440">
        <w:rPr>
          <w:lang w:val="en-US"/>
        </w:rPr>
        <w:t xml:space="preserve"> signal</w:t>
      </w:r>
      <w:r w:rsidR="0008676A" w:rsidRPr="00AF5440">
        <w:rPr>
          <w:lang w:val="en-US"/>
        </w:rPr>
        <w:t xml:space="preserve"> </w:t>
      </w:r>
      <w:r w:rsidR="00E75EA4" w:rsidRPr="00AF5440">
        <w:rPr>
          <w:lang w:val="en-US"/>
        </w:rPr>
        <w:t>areas (</w:t>
      </w:r>
      <w:r w:rsidR="008745D6" w:rsidRPr="00AF5440">
        <w:rPr>
          <w:lang w:val="en-US"/>
        </w:rPr>
        <w:t>F</w:t>
      </w:r>
      <w:r w:rsidR="004F1951" w:rsidRPr="00AF5440">
        <w:rPr>
          <w:lang w:val="en-US"/>
        </w:rPr>
        <w:t xml:space="preserve">igure </w:t>
      </w:r>
      <w:r w:rsidR="0008676A" w:rsidRPr="00AF5440">
        <w:rPr>
          <w:lang w:val="en-US"/>
        </w:rPr>
        <w:t>1</w:t>
      </w:r>
      <w:r w:rsidR="00F2112D" w:rsidRPr="00AF5440">
        <w:rPr>
          <w:lang w:val="en-US"/>
        </w:rPr>
        <w:t>a</w:t>
      </w:r>
      <w:r w:rsidR="00E75EA4" w:rsidRPr="00AF5440">
        <w:rPr>
          <w:lang w:val="en-US"/>
        </w:rPr>
        <w:t>)</w:t>
      </w:r>
      <w:r w:rsidR="00EF69D8" w:rsidRPr="00AF5440">
        <w:rPr>
          <w:lang w:val="en-US"/>
        </w:rPr>
        <w:t xml:space="preserve">. </w:t>
      </w:r>
      <w:r w:rsidR="00E75EA4" w:rsidRPr="00AF5440">
        <w:rPr>
          <w:lang w:val="en-US"/>
        </w:rPr>
        <w:t xml:space="preserve">Ophthalmological </w:t>
      </w:r>
      <w:r w:rsidR="00EF69D8" w:rsidRPr="00AF5440">
        <w:rPr>
          <w:lang w:val="en-US"/>
        </w:rPr>
        <w:t xml:space="preserve">assessment showed </w:t>
      </w:r>
      <w:r w:rsidR="00252C83" w:rsidRPr="00AF5440">
        <w:rPr>
          <w:lang w:val="en-US"/>
        </w:rPr>
        <w:t>convergent strabismus</w:t>
      </w:r>
      <w:r w:rsidR="00EF69D8" w:rsidRPr="00AF5440">
        <w:rPr>
          <w:lang w:val="en-US"/>
        </w:rPr>
        <w:t xml:space="preserve">, delayed visual maturation with evidence of cortical visual impairment. </w:t>
      </w:r>
      <w:r w:rsidR="00F2112D" w:rsidRPr="00AF5440">
        <w:rPr>
          <w:lang w:val="en-US"/>
        </w:rPr>
        <w:t xml:space="preserve">EEG demonstrated </w:t>
      </w:r>
      <w:r w:rsidR="00D96B62" w:rsidRPr="005E6853">
        <w:rPr>
          <w:lang w:val="en-US"/>
        </w:rPr>
        <w:t>generalized</w:t>
      </w:r>
      <w:r w:rsidR="00F2112D" w:rsidRPr="00AF5440">
        <w:rPr>
          <w:lang w:val="en-US"/>
        </w:rPr>
        <w:t xml:space="preserve"> seizure activity with immature wave forms and phenobarbitone was initiated, along with pyridoxine and folinic acid for possible vitamin-responsive seizures. She</w:t>
      </w:r>
      <w:r w:rsidR="00EF69D8" w:rsidRPr="00AF5440">
        <w:rPr>
          <w:lang w:val="en-US"/>
        </w:rPr>
        <w:t xml:space="preserve"> developed a new, severe well demarcated </w:t>
      </w:r>
      <w:r w:rsidR="00104C61">
        <w:rPr>
          <w:lang w:val="en-US"/>
        </w:rPr>
        <w:t>‘</w:t>
      </w:r>
      <w:r w:rsidR="00EF69D8" w:rsidRPr="00AF5440">
        <w:rPr>
          <w:lang w:val="en-US"/>
        </w:rPr>
        <w:t>peeling paint</w:t>
      </w:r>
      <w:r w:rsidR="00104C61">
        <w:rPr>
          <w:lang w:val="en-US"/>
        </w:rPr>
        <w:t>’</w:t>
      </w:r>
      <w:r w:rsidR="00EF69D8" w:rsidRPr="00AF5440">
        <w:rPr>
          <w:lang w:val="en-US"/>
        </w:rPr>
        <w:t xml:space="preserve"> scaling and erythematous rash</w:t>
      </w:r>
      <w:r w:rsidR="005E2657" w:rsidRPr="00AF5440">
        <w:rPr>
          <w:lang w:val="en-US"/>
        </w:rPr>
        <w:t>. A s</w:t>
      </w:r>
      <w:r w:rsidR="00EF69D8" w:rsidRPr="00AF5440">
        <w:rPr>
          <w:lang w:val="en-US"/>
        </w:rPr>
        <w:t>kin biopsy revealed significant hyper- and para- keratosis</w:t>
      </w:r>
      <w:r w:rsidR="00F8025A" w:rsidRPr="00AF5440">
        <w:rPr>
          <w:lang w:val="en-US"/>
        </w:rPr>
        <w:t xml:space="preserve">. </w:t>
      </w:r>
    </w:p>
    <w:p w14:paraId="6BE35C97" w14:textId="3CAA970C" w:rsidR="00D027CF" w:rsidRPr="00AF5440" w:rsidRDefault="00D61736" w:rsidP="0085201D">
      <w:pPr>
        <w:spacing w:after="200"/>
        <w:jc w:val="both"/>
        <w:rPr>
          <w:lang w:val="en-US"/>
        </w:rPr>
      </w:pPr>
      <w:r w:rsidRPr="00AF5440">
        <w:rPr>
          <w:lang w:val="en-US"/>
        </w:rPr>
        <w:t>From a metabolic point of view it</w:t>
      </w:r>
      <w:r w:rsidR="00F2112D" w:rsidRPr="00AF5440">
        <w:rPr>
          <w:lang w:val="en-US"/>
        </w:rPr>
        <w:t xml:space="preserve"> was noted that </w:t>
      </w:r>
      <w:r w:rsidRPr="00AF5440">
        <w:rPr>
          <w:lang w:val="en-US"/>
        </w:rPr>
        <w:t xml:space="preserve">her </w:t>
      </w:r>
      <w:r w:rsidR="00F2112D" w:rsidRPr="00AF5440">
        <w:rPr>
          <w:lang w:val="en-US"/>
        </w:rPr>
        <w:t>p</w:t>
      </w:r>
      <w:r w:rsidR="008C5B84" w:rsidRPr="00AF5440">
        <w:rPr>
          <w:lang w:val="en-US"/>
        </w:rPr>
        <w:t xml:space="preserve">lasma amino acids revealed a </w:t>
      </w:r>
      <w:r w:rsidR="00C8384B" w:rsidRPr="00AF5440">
        <w:rPr>
          <w:lang w:val="en-US"/>
        </w:rPr>
        <w:t>low-</w:t>
      </w:r>
      <w:r w:rsidR="008C5B84" w:rsidRPr="00AF5440">
        <w:rPr>
          <w:lang w:val="en-US"/>
        </w:rPr>
        <w:t xml:space="preserve">normal methionine </w:t>
      </w:r>
      <w:r w:rsidR="00C8384B" w:rsidRPr="00AF5440">
        <w:rPr>
          <w:lang w:val="en-US"/>
        </w:rPr>
        <w:t xml:space="preserve">of 5 umol/L </w:t>
      </w:r>
      <w:r w:rsidR="008C5B84" w:rsidRPr="00AF5440">
        <w:rPr>
          <w:lang w:val="en-US"/>
        </w:rPr>
        <w:t>(</w:t>
      </w:r>
      <w:r w:rsidR="0053325F" w:rsidRPr="00AF5440">
        <w:rPr>
          <w:lang w:val="en-US"/>
        </w:rPr>
        <w:t xml:space="preserve">reference range </w:t>
      </w:r>
      <w:r w:rsidR="008C5B84" w:rsidRPr="00AF5440">
        <w:rPr>
          <w:lang w:val="en-US"/>
        </w:rPr>
        <w:t>5-77</w:t>
      </w:r>
      <w:r w:rsidR="00C8384B" w:rsidRPr="00AF5440">
        <w:rPr>
          <w:lang w:val="en-US"/>
        </w:rPr>
        <w:t xml:space="preserve"> umol/L</w:t>
      </w:r>
      <w:r w:rsidR="008C5B84" w:rsidRPr="00AF5440">
        <w:rPr>
          <w:lang w:val="en-US"/>
        </w:rPr>
        <w:t xml:space="preserve">) and </w:t>
      </w:r>
      <w:r w:rsidR="00565BE3" w:rsidRPr="00AF5440">
        <w:rPr>
          <w:lang w:val="en-US"/>
        </w:rPr>
        <w:t>raised</w:t>
      </w:r>
      <w:r w:rsidR="008C5B84" w:rsidRPr="00AF5440">
        <w:rPr>
          <w:lang w:val="en-US"/>
        </w:rPr>
        <w:t xml:space="preserve"> total homocysteine </w:t>
      </w:r>
      <w:r w:rsidR="00C8384B" w:rsidRPr="00AF5440">
        <w:rPr>
          <w:lang w:val="en-US"/>
        </w:rPr>
        <w:t xml:space="preserve">of </w:t>
      </w:r>
      <w:r w:rsidR="008C5B84" w:rsidRPr="00AF5440">
        <w:rPr>
          <w:lang w:val="en-US"/>
        </w:rPr>
        <w:t>149</w:t>
      </w:r>
      <w:r w:rsidR="00C8384B" w:rsidRPr="00AF5440">
        <w:rPr>
          <w:lang w:val="en-US"/>
        </w:rPr>
        <w:t xml:space="preserve"> </w:t>
      </w:r>
      <w:r w:rsidR="008C5B84" w:rsidRPr="00AF5440">
        <w:rPr>
          <w:lang w:val="en-US"/>
        </w:rPr>
        <w:t xml:space="preserve">umol/L (3-8 umol/L). </w:t>
      </w:r>
      <w:r w:rsidR="00BE41A9" w:rsidRPr="00AF5440">
        <w:rPr>
          <w:lang w:val="en-US"/>
        </w:rPr>
        <w:t xml:space="preserve">Serum folate was </w:t>
      </w:r>
      <w:r w:rsidR="00565BE3" w:rsidRPr="00AF5440">
        <w:rPr>
          <w:lang w:val="en-US"/>
        </w:rPr>
        <w:t>low at 2.6 (</w:t>
      </w:r>
      <w:r w:rsidR="00E75EA4" w:rsidRPr="00AF5440">
        <w:rPr>
          <w:rStyle w:val="reference-range"/>
          <w:lang w:val="en-US"/>
        </w:rPr>
        <w:t>3.8 - 18.2</w:t>
      </w:r>
      <w:r w:rsidR="00BE41A9" w:rsidRPr="00AF5440">
        <w:rPr>
          <w:lang w:val="en-US"/>
        </w:rPr>
        <w:t xml:space="preserve">ug/L). </w:t>
      </w:r>
      <w:r w:rsidR="00AB4A5A" w:rsidRPr="00AF5440">
        <w:rPr>
          <w:lang w:val="en-US"/>
        </w:rPr>
        <w:t>Mean cell volume (MCV) was normal 77 fL (73-86 fL)</w:t>
      </w:r>
      <w:r w:rsidR="00C33EC4" w:rsidRPr="00AF5440">
        <w:rPr>
          <w:lang w:val="en-US"/>
        </w:rPr>
        <w:t xml:space="preserve"> with normal blood film appearance</w:t>
      </w:r>
      <w:r w:rsidR="00AB4A5A" w:rsidRPr="00AF5440">
        <w:rPr>
          <w:lang w:val="en-US"/>
        </w:rPr>
        <w:t xml:space="preserve">. There was no increase in excretion of methylmalonic acid (MMA) on </w:t>
      </w:r>
      <w:r w:rsidR="000F6B88" w:rsidRPr="00AF5440">
        <w:rPr>
          <w:lang w:val="en-US"/>
        </w:rPr>
        <w:t xml:space="preserve">her </w:t>
      </w:r>
      <w:r w:rsidR="00AB4A5A" w:rsidRPr="00AF5440">
        <w:rPr>
          <w:lang w:val="en-US"/>
        </w:rPr>
        <w:t>urine organic acid profile</w:t>
      </w:r>
      <w:r w:rsidRPr="00AF5440">
        <w:rPr>
          <w:lang w:val="en-US"/>
        </w:rPr>
        <w:t xml:space="preserve"> and her acylcarnitine profile was also normal</w:t>
      </w:r>
      <w:r w:rsidR="00AB4A5A" w:rsidRPr="00AF5440">
        <w:rPr>
          <w:lang w:val="en-US"/>
        </w:rPr>
        <w:t xml:space="preserve">. </w:t>
      </w:r>
      <w:r w:rsidR="00C8384B" w:rsidRPr="00AF5440">
        <w:rPr>
          <w:lang w:val="en-US"/>
        </w:rPr>
        <w:t xml:space="preserve">Cerebrospinal fluid (CSF) </w:t>
      </w:r>
      <w:r w:rsidR="000A1F0D" w:rsidRPr="00AF5440">
        <w:rPr>
          <w:lang w:val="en-US"/>
        </w:rPr>
        <w:t>revealed a</w:t>
      </w:r>
      <w:r w:rsidR="00C8384B" w:rsidRPr="00AF5440">
        <w:rPr>
          <w:lang w:val="en-US"/>
        </w:rPr>
        <w:t xml:space="preserve"> </w:t>
      </w:r>
      <w:r w:rsidR="00BE41A9" w:rsidRPr="00AF5440">
        <w:rPr>
          <w:lang w:val="en-US"/>
        </w:rPr>
        <w:t xml:space="preserve">MTHF </w:t>
      </w:r>
      <w:r w:rsidR="000A1F0D" w:rsidRPr="00AF5440">
        <w:rPr>
          <w:lang w:val="en-US"/>
        </w:rPr>
        <w:t>of</w:t>
      </w:r>
      <w:r w:rsidR="00C8384B" w:rsidRPr="00AF5440">
        <w:rPr>
          <w:lang w:val="en-US"/>
        </w:rPr>
        <w:t xml:space="preserve"> </w:t>
      </w:r>
      <w:r w:rsidR="00A54793" w:rsidRPr="00AF5440">
        <w:rPr>
          <w:lang w:val="en-US"/>
        </w:rPr>
        <w:t>less</w:t>
      </w:r>
      <w:r w:rsidR="00252C83" w:rsidRPr="00AF5440">
        <w:rPr>
          <w:lang w:val="en-US"/>
        </w:rPr>
        <w:t xml:space="preserve"> than </w:t>
      </w:r>
      <w:r w:rsidR="00BE41A9" w:rsidRPr="00AF5440">
        <w:rPr>
          <w:lang w:val="en-US"/>
        </w:rPr>
        <w:t>5</w:t>
      </w:r>
      <w:r w:rsidR="00565BE3" w:rsidRPr="00AF5440">
        <w:rPr>
          <w:lang w:val="en-US"/>
        </w:rPr>
        <w:t xml:space="preserve"> </w:t>
      </w:r>
      <w:r w:rsidR="00C8384B" w:rsidRPr="00AF5440">
        <w:rPr>
          <w:lang w:val="en-US"/>
        </w:rPr>
        <w:t xml:space="preserve">nmol/L </w:t>
      </w:r>
      <w:r w:rsidR="00BE41A9" w:rsidRPr="00AF5440">
        <w:rPr>
          <w:lang w:val="en-US"/>
        </w:rPr>
        <w:t>(52-178</w:t>
      </w:r>
      <w:r w:rsidR="00565BE3" w:rsidRPr="00AF5440">
        <w:rPr>
          <w:lang w:val="en-US"/>
        </w:rPr>
        <w:t xml:space="preserve"> nmol/L</w:t>
      </w:r>
      <w:r w:rsidR="00BE41A9" w:rsidRPr="00AF5440">
        <w:rPr>
          <w:lang w:val="en-US"/>
        </w:rPr>
        <w:t xml:space="preserve">), </w:t>
      </w:r>
      <w:r w:rsidR="00C8384B" w:rsidRPr="00AF5440">
        <w:rPr>
          <w:lang w:val="en-US"/>
        </w:rPr>
        <w:t>indicative of</w:t>
      </w:r>
      <w:r w:rsidR="00252C83" w:rsidRPr="00AF5440">
        <w:rPr>
          <w:lang w:val="en-US"/>
        </w:rPr>
        <w:t xml:space="preserve"> </w:t>
      </w:r>
      <w:r w:rsidR="00BE41A9" w:rsidRPr="00AF5440">
        <w:rPr>
          <w:lang w:val="en-US"/>
        </w:rPr>
        <w:t xml:space="preserve">MTHFR deficiency. </w:t>
      </w:r>
      <w:r w:rsidR="00BC32B3" w:rsidRPr="00AF5440">
        <w:rPr>
          <w:lang w:val="en-US"/>
        </w:rPr>
        <w:t>Blood</w:t>
      </w:r>
      <w:r w:rsidR="00565BE3" w:rsidRPr="00AF5440">
        <w:rPr>
          <w:lang w:val="en-US"/>
        </w:rPr>
        <w:t xml:space="preserve"> leukocyte-</w:t>
      </w:r>
      <w:r w:rsidR="00BC32B3" w:rsidRPr="00AF5440">
        <w:rPr>
          <w:lang w:val="en-US"/>
        </w:rPr>
        <w:t>derived DNA g</w:t>
      </w:r>
      <w:r w:rsidR="00BE41A9" w:rsidRPr="00AF5440">
        <w:rPr>
          <w:lang w:val="en-US"/>
        </w:rPr>
        <w:t xml:space="preserve">ene sequencing </w:t>
      </w:r>
      <w:r w:rsidR="000F6B88" w:rsidRPr="00AF5440">
        <w:rPr>
          <w:lang w:val="en-US"/>
        </w:rPr>
        <w:t xml:space="preserve">subsequently </w:t>
      </w:r>
      <w:r w:rsidR="00BE41A9" w:rsidRPr="00AF5440">
        <w:rPr>
          <w:lang w:val="en-US"/>
        </w:rPr>
        <w:t>identi</w:t>
      </w:r>
      <w:r w:rsidR="00976229" w:rsidRPr="00AF5440">
        <w:rPr>
          <w:lang w:val="en-US"/>
        </w:rPr>
        <w:t>fied</w:t>
      </w:r>
      <w:r w:rsidR="00BE41A9" w:rsidRPr="00AF5440">
        <w:rPr>
          <w:lang w:val="en-US"/>
        </w:rPr>
        <w:t xml:space="preserve"> two </w:t>
      </w:r>
      <w:r w:rsidR="00252C83" w:rsidRPr="00AF5440">
        <w:rPr>
          <w:lang w:val="en-US"/>
        </w:rPr>
        <w:t>likely pathogenic variants</w:t>
      </w:r>
      <w:r w:rsidR="00B954EC" w:rsidRPr="00AF5440">
        <w:rPr>
          <w:lang w:val="en-US"/>
        </w:rPr>
        <w:t xml:space="preserve"> in the </w:t>
      </w:r>
      <w:r w:rsidR="00B954EC" w:rsidRPr="00AF5440">
        <w:rPr>
          <w:i/>
          <w:lang w:val="en-US"/>
        </w:rPr>
        <w:t>MTHFR</w:t>
      </w:r>
      <w:r w:rsidR="00B954EC" w:rsidRPr="00AF5440">
        <w:rPr>
          <w:lang w:val="en-US"/>
        </w:rPr>
        <w:t xml:space="preserve"> gene</w:t>
      </w:r>
      <w:r w:rsidR="00BE41A9" w:rsidRPr="00AF5440">
        <w:rPr>
          <w:lang w:val="en-US"/>
        </w:rPr>
        <w:t>, c</w:t>
      </w:r>
      <w:r w:rsidR="00290E25" w:rsidRPr="00AF5440">
        <w:rPr>
          <w:lang w:val="en-US"/>
        </w:rPr>
        <w:t>.</w:t>
      </w:r>
      <w:r w:rsidR="00BE41A9" w:rsidRPr="00AF5440">
        <w:rPr>
          <w:lang w:val="en-US"/>
        </w:rPr>
        <w:t>386C&gt;A</w:t>
      </w:r>
      <w:r w:rsidR="00252C83" w:rsidRPr="00AF5440">
        <w:rPr>
          <w:lang w:val="en-US"/>
        </w:rPr>
        <w:t xml:space="preserve"> </w:t>
      </w:r>
      <w:r w:rsidR="00C14192" w:rsidRPr="00AF5440">
        <w:rPr>
          <w:lang w:val="en-US"/>
        </w:rPr>
        <w:t>(p.T129N</w:t>
      </w:r>
      <w:r w:rsidR="004F6859" w:rsidRPr="00AF5440">
        <w:rPr>
          <w:lang w:val="en-US"/>
        </w:rPr>
        <w:t>) and</w:t>
      </w:r>
      <w:r w:rsidR="00BE41A9" w:rsidRPr="00AF5440">
        <w:rPr>
          <w:lang w:val="en-US"/>
        </w:rPr>
        <w:t xml:space="preserve"> c.757G&gt;T</w:t>
      </w:r>
      <w:r w:rsidR="00BA772F" w:rsidRPr="00AF5440">
        <w:rPr>
          <w:lang w:val="en-US"/>
        </w:rPr>
        <w:t xml:space="preserve"> </w:t>
      </w:r>
      <w:r w:rsidR="00C14192" w:rsidRPr="00AF5440">
        <w:rPr>
          <w:lang w:val="en-US"/>
        </w:rPr>
        <w:t>(p.V253F</w:t>
      </w:r>
      <w:r w:rsidR="00252C83" w:rsidRPr="00AF5440">
        <w:rPr>
          <w:lang w:val="en-US"/>
        </w:rPr>
        <w:t>)</w:t>
      </w:r>
      <w:r w:rsidR="00A54793" w:rsidRPr="00AF5440">
        <w:rPr>
          <w:lang w:val="en-US"/>
        </w:rPr>
        <w:t>, confirming the diagnosis</w:t>
      </w:r>
      <w:r w:rsidR="00BE41A9" w:rsidRPr="00AF5440">
        <w:rPr>
          <w:lang w:val="en-US"/>
        </w:rPr>
        <w:t xml:space="preserve">. Parental analysis was carried out and confirmed the presence of a single </w:t>
      </w:r>
      <w:r w:rsidR="00252C83" w:rsidRPr="00AF5440">
        <w:rPr>
          <w:lang w:val="en-US"/>
        </w:rPr>
        <w:t>variant</w:t>
      </w:r>
      <w:r w:rsidR="00BE41A9" w:rsidRPr="00AF5440">
        <w:rPr>
          <w:lang w:val="en-US"/>
        </w:rPr>
        <w:t xml:space="preserve"> in each parent.</w:t>
      </w:r>
      <w:r w:rsidR="00252C83" w:rsidRPr="00AF5440">
        <w:rPr>
          <w:lang w:val="en-US"/>
        </w:rPr>
        <w:t xml:space="preserve"> MTHFR activity in fibroblasts (Prof</w:t>
      </w:r>
      <w:r w:rsidR="00741D13" w:rsidRPr="00AF5440">
        <w:rPr>
          <w:lang w:val="en-US"/>
        </w:rPr>
        <w:t xml:space="preserve">. Matthias </w:t>
      </w:r>
      <w:r w:rsidR="00252C83" w:rsidRPr="00AF5440">
        <w:rPr>
          <w:lang w:val="en-US"/>
        </w:rPr>
        <w:t>Baumgartner, Zurich</w:t>
      </w:r>
      <w:r w:rsidR="00CE22E7" w:rsidRPr="00AF5440">
        <w:rPr>
          <w:lang w:val="en-US"/>
        </w:rPr>
        <w:t xml:space="preserve">, </w:t>
      </w:r>
      <w:r w:rsidR="00252C83" w:rsidRPr="00AF5440">
        <w:rPr>
          <w:lang w:val="en-US"/>
        </w:rPr>
        <w:t>Switzerland) revealed a very low residual activity of approx. 1% of the mean control activity.</w:t>
      </w:r>
      <w:r w:rsidR="00E2749F" w:rsidRPr="00AF5440">
        <w:rPr>
          <w:lang w:val="en-US"/>
        </w:rPr>
        <w:t xml:space="preserve"> </w:t>
      </w:r>
      <w:r w:rsidR="00F2112D" w:rsidRPr="00AF5440">
        <w:rPr>
          <w:lang w:val="en-US"/>
        </w:rPr>
        <w:t>She was commenced on additional</w:t>
      </w:r>
      <w:r w:rsidR="00FB3214" w:rsidRPr="00AF5440">
        <w:rPr>
          <w:lang w:val="en-US"/>
        </w:rPr>
        <w:t xml:space="preserve"> treatment, including</w:t>
      </w:r>
      <w:r w:rsidR="000A1F0D" w:rsidRPr="00AF5440">
        <w:rPr>
          <w:lang w:val="en-US"/>
        </w:rPr>
        <w:t>,</w:t>
      </w:r>
      <w:r w:rsidR="00FB3214" w:rsidRPr="00AF5440">
        <w:rPr>
          <w:lang w:val="en-US"/>
        </w:rPr>
        <w:t xml:space="preserve"> e.g.</w:t>
      </w:r>
      <w:r w:rsidR="000A1F0D" w:rsidRPr="00AF5440">
        <w:rPr>
          <w:lang w:val="en-US"/>
        </w:rPr>
        <w:t>,</w:t>
      </w:r>
      <w:r w:rsidR="00FB3214" w:rsidRPr="00AF5440">
        <w:rPr>
          <w:lang w:val="en-US"/>
        </w:rPr>
        <w:t xml:space="preserve"> folinic acid followed by 5-methyltetrahydrofolate, Vitamin B12, and Betaine. </w:t>
      </w:r>
      <w:r w:rsidR="00F5211D" w:rsidRPr="00AF5440">
        <w:rPr>
          <w:lang w:val="en-US"/>
        </w:rPr>
        <w:t xml:space="preserve">From an epilepsy point of view she </w:t>
      </w:r>
      <w:r w:rsidR="00F2112D" w:rsidRPr="00AF5440">
        <w:rPr>
          <w:lang w:val="en-US"/>
        </w:rPr>
        <w:t xml:space="preserve">developed </w:t>
      </w:r>
      <w:r w:rsidR="00D96B62" w:rsidRPr="005E6853">
        <w:rPr>
          <w:lang w:val="en-US"/>
        </w:rPr>
        <w:t>generalized</w:t>
      </w:r>
      <w:r w:rsidR="00F5211D" w:rsidRPr="00AF5440">
        <w:rPr>
          <w:lang w:val="en-US"/>
        </w:rPr>
        <w:t xml:space="preserve"> tonic clonic seizures </w:t>
      </w:r>
      <w:r w:rsidR="000A1F0D" w:rsidRPr="00AF5440">
        <w:rPr>
          <w:lang w:val="en-US"/>
        </w:rPr>
        <w:t>which were controlled with antiepileptic drugs.</w:t>
      </w:r>
      <w:r w:rsidR="00F5211D" w:rsidRPr="00AF5440">
        <w:rPr>
          <w:lang w:val="en-US"/>
        </w:rPr>
        <w:t xml:space="preserve"> Her medications include </w:t>
      </w:r>
      <w:r w:rsidR="00FB3214" w:rsidRPr="00AF5440">
        <w:rPr>
          <w:lang w:val="en-US"/>
        </w:rPr>
        <w:t xml:space="preserve">lamotrigine, levetiracetam, sodium valproate </w:t>
      </w:r>
      <w:r w:rsidR="00F5211D" w:rsidRPr="00AF5440">
        <w:rPr>
          <w:lang w:val="en-US"/>
        </w:rPr>
        <w:t>and midazolam</w:t>
      </w:r>
      <w:r w:rsidR="000A1F0D" w:rsidRPr="00AF5440">
        <w:rPr>
          <w:lang w:val="en-US"/>
        </w:rPr>
        <w:t xml:space="preserve"> if needed.</w:t>
      </w:r>
      <w:r w:rsidR="00DD14D4" w:rsidRPr="00AF5440">
        <w:rPr>
          <w:lang w:val="en-US"/>
        </w:rPr>
        <w:t xml:space="preserve"> Neuroimaging showed that periventricular white matter hyper intense signal areas had improved </w:t>
      </w:r>
      <w:r w:rsidR="00F2112D" w:rsidRPr="00AF5440">
        <w:rPr>
          <w:lang w:val="en-US"/>
        </w:rPr>
        <w:t xml:space="preserve">with targeted treatments </w:t>
      </w:r>
      <w:r w:rsidR="00DD14D4" w:rsidRPr="00AF5440">
        <w:rPr>
          <w:lang w:val="en-US"/>
        </w:rPr>
        <w:t>(</w:t>
      </w:r>
      <w:r w:rsidR="008745D6" w:rsidRPr="00AF5440">
        <w:rPr>
          <w:lang w:val="en-US"/>
        </w:rPr>
        <w:t>F</w:t>
      </w:r>
      <w:r w:rsidR="00DD14D4" w:rsidRPr="00AF5440">
        <w:rPr>
          <w:lang w:val="en-US"/>
        </w:rPr>
        <w:t>igure 1</w:t>
      </w:r>
      <w:r w:rsidR="00F2112D" w:rsidRPr="00AF5440">
        <w:rPr>
          <w:lang w:val="en-US"/>
        </w:rPr>
        <w:t>b</w:t>
      </w:r>
      <w:r w:rsidR="00DD14D4" w:rsidRPr="00AF5440">
        <w:rPr>
          <w:lang w:val="en-US"/>
        </w:rPr>
        <w:t>).</w:t>
      </w:r>
    </w:p>
    <w:p w14:paraId="53A2935C" w14:textId="587468ED" w:rsidR="00FB3214" w:rsidRPr="00AF5440" w:rsidRDefault="00F220C1" w:rsidP="0085201D">
      <w:pPr>
        <w:spacing w:after="200"/>
        <w:jc w:val="both"/>
        <w:rPr>
          <w:lang w:val="en-US"/>
        </w:rPr>
      </w:pPr>
      <w:r w:rsidRPr="00AF5440">
        <w:rPr>
          <w:lang w:val="en-US"/>
        </w:rPr>
        <w:t xml:space="preserve">Her metabolic control was </w:t>
      </w:r>
      <w:r w:rsidR="00067ADC" w:rsidRPr="00AF5440">
        <w:rPr>
          <w:lang w:val="en-US"/>
        </w:rPr>
        <w:t xml:space="preserve">pleasing </w:t>
      </w:r>
      <w:r w:rsidRPr="00AF5440">
        <w:rPr>
          <w:lang w:val="en-US"/>
        </w:rPr>
        <w:t xml:space="preserve">with total homocysteine concentrations &lt; 100 </w:t>
      </w:r>
      <w:r w:rsidRPr="00AF5440">
        <w:rPr>
          <w:rStyle w:val="units2"/>
          <w:lang w:val="en-US"/>
        </w:rPr>
        <w:t>umol/L</w:t>
      </w:r>
      <w:r w:rsidR="008745D6" w:rsidRPr="00AF5440">
        <w:rPr>
          <w:rStyle w:val="units2"/>
          <w:lang w:val="en-US"/>
        </w:rPr>
        <w:t xml:space="preserve"> </w:t>
      </w:r>
      <w:r w:rsidR="00535E50" w:rsidRPr="00AF5440">
        <w:rPr>
          <w:rStyle w:val="units2"/>
          <w:lang w:val="en-US"/>
        </w:rPr>
        <w:t xml:space="preserve">and free homocysteine &lt;5 </w:t>
      </w:r>
      <w:r w:rsidR="008745D6" w:rsidRPr="00AF5440">
        <w:rPr>
          <w:rStyle w:val="units2"/>
          <w:lang w:val="en-US"/>
        </w:rPr>
        <w:t xml:space="preserve">after </w:t>
      </w:r>
      <w:r w:rsidR="007B269D" w:rsidRPr="00AF5440">
        <w:rPr>
          <w:rStyle w:val="units2"/>
          <w:lang w:val="en-US"/>
        </w:rPr>
        <w:t>specific treatment commenced</w:t>
      </w:r>
      <w:r w:rsidR="008745D6" w:rsidRPr="00AF5440">
        <w:rPr>
          <w:rStyle w:val="units2"/>
          <w:lang w:val="en-US"/>
        </w:rPr>
        <w:t xml:space="preserve"> (Table 1)</w:t>
      </w:r>
      <w:r w:rsidRPr="00AF5440">
        <w:rPr>
          <w:lang w:val="en-US"/>
        </w:rPr>
        <w:t xml:space="preserve">. She had several lumbar punctures for neurotransmitter and CSF folate studies. Her methyltetrahydrofolate medication </w:t>
      </w:r>
      <w:r w:rsidR="008745D6" w:rsidRPr="00AF5440">
        <w:rPr>
          <w:lang w:val="en-US"/>
        </w:rPr>
        <w:t xml:space="preserve">dose </w:t>
      </w:r>
      <w:r w:rsidRPr="00AF5440">
        <w:rPr>
          <w:lang w:val="en-US"/>
        </w:rPr>
        <w:t xml:space="preserve">was </w:t>
      </w:r>
      <w:r w:rsidR="00067ADC" w:rsidRPr="00AF5440">
        <w:rPr>
          <w:lang w:val="en-US"/>
        </w:rPr>
        <w:t>increased</w:t>
      </w:r>
      <w:r w:rsidRPr="00AF5440">
        <w:rPr>
          <w:lang w:val="en-US"/>
        </w:rPr>
        <w:t xml:space="preserve"> to up to 15 mgs three times a day. 5-Hydroxyindoleacetic acid was found to be borderline low at 70 nmol/L (89-367 nmol/L) on one occasion</w:t>
      </w:r>
      <w:r w:rsidR="007B269D" w:rsidRPr="00AF5440">
        <w:rPr>
          <w:lang w:val="en-US"/>
        </w:rPr>
        <w:t>. A</w:t>
      </w:r>
      <w:r w:rsidRPr="00AF5440">
        <w:rPr>
          <w:lang w:val="en-US"/>
        </w:rPr>
        <w:t xml:space="preserve"> degree of impaired serotonin turnover was noted</w:t>
      </w:r>
      <w:r w:rsidR="00067ADC" w:rsidRPr="00AF5440">
        <w:rPr>
          <w:lang w:val="en-US"/>
        </w:rPr>
        <w:t xml:space="preserve">, and </w:t>
      </w:r>
      <w:r w:rsidR="007B269D" w:rsidRPr="00AF5440">
        <w:rPr>
          <w:lang w:val="en-US"/>
        </w:rPr>
        <w:t>d</w:t>
      </w:r>
      <w:r w:rsidRPr="00AF5440">
        <w:rPr>
          <w:lang w:val="en-US"/>
        </w:rPr>
        <w:t>ecreased serotonin has been associated with 5-methyltetrahydrofolate deficiency states.</w:t>
      </w:r>
      <w:r w:rsidRPr="00AF5440">
        <w:rPr>
          <w:vertAlign w:val="superscript"/>
          <w:lang w:val="en-US"/>
        </w:rPr>
        <w:t xml:space="preserve">7 </w:t>
      </w:r>
      <w:r w:rsidRPr="00AF5440">
        <w:rPr>
          <w:lang w:val="en-US"/>
        </w:rPr>
        <w:t>However, admissions to hospital for lumbar punctures were more difficult to manage for our patient and there was also no immediate clinical benefit noticeable</w:t>
      </w:r>
      <w:r w:rsidR="00FB3214" w:rsidRPr="00AF5440">
        <w:rPr>
          <w:lang w:val="en-US"/>
        </w:rPr>
        <w:t>.</w:t>
      </w:r>
      <w:r w:rsidR="00641B82" w:rsidRPr="00AF5440">
        <w:rPr>
          <w:lang w:val="en-US"/>
        </w:rPr>
        <w:t xml:space="preserve"> </w:t>
      </w:r>
      <w:r w:rsidRPr="00AF5440">
        <w:rPr>
          <w:lang w:val="en-US"/>
        </w:rPr>
        <w:t>She had her menarche at 12 years of age. Now aged 14 yrs, she</w:t>
      </w:r>
      <w:r w:rsidR="00641B82" w:rsidRPr="00AF5440">
        <w:rPr>
          <w:lang w:val="en-US"/>
        </w:rPr>
        <w:t xml:space="preserve"> </w:t>
      </w:r>
      <w:r w:rsidR="00D61736" w:rsidRPr="00AF5440">
        <w:rPr>
          <w:lang w:val="en-US"/>
        </w:rPr>
        <w:t>walks</w:t>
      </w:r>
      <w:r w:rsidR="00F5211D" w:rsidRPr="00AF5440">
        <w:rPr>
          <w:lang w:val="en-US"/>
        </w:rPr>
        <w:t xml:space="preserve"> with a crouched gait and </w:t>
      </w:r>
      <w:r w:rsidR="00D61736" w:rsidRPr="00AF5440">
        <w:rPr>
          <w:lang w:val="en-US"/>
        </w:rPr>
        <w:t>require</w:t>
      </w:r>
      <w:r w:rsidRPr="00AF5440">
        <w:rPr>
          <w:lang w:val="en-US"/>
        </w:rPr>
        <w:t xml:space="preserve">s </w:t>
      </w:r>
      <w:r w:rsidR="00D61736" w:rsidRPr="00AF5440">
        <w:rPr>
          <w:lang w:val="en-US"/>
        </w:rPr>
        <w:t>monitoring for</w:t>
      </w:r>
      <w:r w:rsidR="000A1F0D" w:rsidRPr="00AF5440">
        <w:rPr>
          <w:lang w:val="en-US"/>
        </w:rPr>
        <w:t xml:space="preserve"> </w:t>
      </w:r>
      <w:r w:rsidR="00F5211D" w:rsidRPr="00AF5440">
        <w:rPr>
          <w:lang w:val="en-US"/>
        </w:rPr>
        <w:t xml:space="preserve">scoliosis. Her head circumference </w:t>
      </w:r>
      <w:r w:rsidR="000A1F0D" w:rsidRPr="00AF5440">
        <w:rPr>
          <w:lang w:val="en-US"/>
        </w:rPr>
        <w:t>remained &lt;0.4</w:t>
      </w:r>
      <w:r w:rsidR="000A1F0D" w:rsidRPr="00AF5440">
        <w:rPr>
          <w:vertAlign w:val="superscript"/>
          <w:lang w:val="en-US"/>
        </w:rPr>
        <w:t>th</w:t>
      </w:r>
      <w:r w:rsidR="000A1F0D" w:rsidRPr="00AF5440">
        <w:rPr>
          <w:lang w:val="en-US"/>
        </w:rPr>
        <w:t xml:space="preserve"> centile (</w:t>
      </w:r>
      <w:r w:rsidR="00F5211D" w:rsidRPr="00AF5440">
        <w:rPr>
          <w:lang w:val="en-US"/>
        </w:rPr>
        <w:t>48.2 cm</w:t>
      </w:r>
      <w:r w:rsidR="000A1F0D" w:rsidRPr="00AF5440">
        <w:rPr>
          <w:lang w:val="en-US"/>
        </w:rPr>
        <w:t>)</w:t>
      </w:r>
      <w:r w:rsidR="00A96501" w:rsidRPr="00AF5440">
        <w:rPr>
          <w:lang w:val="en-US"/>
        </w:rPr>
        <w:t>.</w:t>
      </w:r>
      <w:r w:rsidRPr="00AF5440">
        <w:rPr>
          <w:lang w:val="en-US"/>
        </w:rPr>
        <w:t xml:space="preserve"> She has a special needs assistant in school.</w:t>
      </w:r>
      <w:r w:rsidR="007B269D" w:rsidRPr="00AF5440">
        <w:rPr>
          <w:lang w:val="en-US"/>
        </w:rPr>
        <w:t xml:space="preserve"> In relation to her juvenile arthritis, she has been commenced on Adalimumab, a monoclonal antibody and TNF</w:t>
      </w:r>
      <w:r w:rsidR="007B269D" w:rsidRPr="00AF5440">
        <w:rPr>
          <w:rFonts w:cstheme="minorHAnsi"/>
          <w:lang w:val="en-US"/>
        </w:rPr>
        <w:t xml:space="preserve">α </w:t>
      </w:r>
      <w:r w:rsidR="007B269D" w:rsidRPr="00AF5440">
        <w:rPr>
          <w:lang w:val="en-US"/>
        </w:rPr>
        <w:t>inhibitor which contributed to her improvement from an arthritis perspective.</w:t>
      </w:r>
    </w:p>
    <w:p w14:paraId="0FD8E024" w14:textId="24DE8415" w:rsidR="002E5256" w:rsidRPr="002E5256" w:rsidRDefault="002E5256" w:rsidP="002E5256">
      <w:pPr>
        <w:spacing w:after="200"/>
        <w:jc w:val="both"/>
        <w:rPr>
          <w:b/>
          <w:u w:val="single"/>
          <w:lang w:val="en-US"/>
        </w:rPr>
      </w:pPr>
      <w:r w:rsidRPr="002E5256">
        <w:rPr>
          <w:b/>
          <w:u w:val="single"/>
          <w:lang w:val="en-US"/>
        </w:rPr>
        <w:t xml:space="preserve">Case </w:t>
      </w:r>
      <w:r w:rsidR="007A52A7">
        <w:rPr>
          <w:b/>
          <w:u w:val="single"/>
          <w:lang w:val="en-US"/>
        </w:rPr>
        <w:t>2</w:t>
      </w:r>
      <w:r w:rsidRPr="002E5256">
        <w:rPr>
          <w:b/>
          <w:u w:val="single"/>
          <w:lang w:val="en-US"/>
        </w:rPr>
        <w:t>: Case History and Examination</w:t>
      </w:r>
    </w:p>
    <w:p w14:paraId="613DF873" w14:textId="3EA6107A" w:rsidR="002E5256" w:rsidRDefault="003B2B33" w:rsidP="002E5256">
      <w:pPr>
        <w:spacing w:after="200"/>
        <w:jc w:val="both"/>
        <w:rPr>
          <w:lang w:val="en-US"/>
        </w:rPr>
      </w:pPr>
      <w:r>
        <w:rPr>
          <w:lang w:val="en-US"/>
        </w:rPr>
        <w:t>Our second patient, a boy,</w:t>
      </w:r>
      <w:r w:rsidR="002E5256" w:rsidRPr="00AF5440">
        <w:rPr>
          <w:lang w:val="en-US"/>
        </w:rPr>
        <w:t xml:space="preserve"> was born in India at term with no neonatal concerns</w:t>
      </w:r>
      <w:r w:rsidR="002E5256">
        <w:rPr>
          <w:lang w:val="en-US"/>
        </w:rPr>
        <w:t xml:space="preserve"> to </w:t>
      </w:r>
      <w:r w:rsidR="002E5256" w:rsidRPr="00AF5440">
        <w:rPr>
          <w:lang w:val="en-US"/>
        </w:rPr>
        <w:t>non-consanguineous</w:t>
      </w:r>
      <w:r w:rsidR="002E5256">
        <w:rPr>
          <w:lang w:val="en-US"/>
        </w:rPr>
        <w:t xml:space="preserve"> parents</w:t>
      </w:r>
      <w:r w:rsidR="002E5256" w:rsidRPr="00AF5440">
        <w:rPr>
          <w:lang w:val="en-US"/>
        </w:rPr>
        <w:t xml:space="preserve">. </w:t>
      </w:r>
      <w:r>
        <w:rPr>
          <w:lang w:val="en-US"/>
        </w:rPr>
        <w:t xml:space="preserve">The family </w:t>
      </w:r>
      <w:r w:rsidR="002E5256" w:rsidRPr="00AF5440">
        <w:rPr>
          <w:lang w:val="en-US"/>
        </w:rPr>
        <w:t xml:space="preserve">moved to Ireland </w:t>
      </w:r>
      <w:r>
        <w:rPr>
          <w:lang w:val="en-US"/>
        </w:rPr>
        <w:t xml:space="preserve">when he was </w:t>
      </w:r>
      <w:r w:rsidR="002E5256" w:rsidRPr="00AF5440">
        <w:rPr>
          <w:lang w:val="en-US"/>
        </w:rPr>
        <w:t>10 years of age. Prior to moving to Ireland he required no medical intervention</w:t>
      </w:r>
      <w:r w:rsidR="002E5256">
        <w:rPr>
          <w:lang w:val="en-US"/>
        </w:rPr>
        <w:t xml:space="preserve">. However, </w:t>
      </w:r>
      <w:r>
        <w:rPr>
          <w:lang w:val="en-US"/>
        </w:rPr>
        <w:t>he</w:t>
      </w:r>
      <w:r w:rsidR="002E5256">
        <w:rPr>
          <w:lang w:val="en-US"/>
        </w:rPr>
        <w:t xml:space="preserve"> </w:t>
      </w:r>
      <w:r w:rsidR="002E5256" w:rsidRPr="00AF5440">
        <w:rPr>
          <w:lang w:val="en-US"/>
        </w:rPr>
        <w:t xml:space="preserve">was known to have </w:t>
      </w:r>
      <w:r w:rsidR="002E5256" w:rsidRPr="00976E7B">
        <w:rPr>
          <w:lang w:val="en-US"/>
        </w:rPr>
        <w:t xml:space="preserve">a </w:t>
      </w:r>
      <w:r>
        <w:rPr>
          <w:lang w:val="en-US"/>
        </w:rPr>
        <w:t>low</w:t>
      </w:r>
      <w:r w:rsidR="002E5256" w:rsidRPr="00976E7B">
        <w:rPr>
          <w:lang w:val="en-US"/>
        </w:rPr>
        <w:t xml:space="preserve"> appetite with little interest in food.</w:t>
      </w:r>
    </w:p>
    <w:p w14:paraId="5E062958" w14:textId="4C75388D" w:rsidR="000A3A93" w:rsidRDefault="003B2B33" w:rsidP="0085201D">
      <w:pPr>
        <w:spacing w:after="200"/>
        <w:jc w:val="both"/>
        <w:rPr>
          <w:lang w:val="en-US"/>
        </w:rPr>
      </w:pPr>
      <w:r>
        <w:rPr>
          <w:lang w:val="en-US"/>
        </w:rPr>
        <w:lastRenderedPageBreak/>
        <w:t>The boy</w:t>
      </w:r>
      <w:r w:rsidR="00721D29" w:rsidRPr="00AF5440">
        <w:rPr>
          <w:lang w:val="en-US"/>
        </w:rPr>
        <w:t xml:space="preserve"> presented at 12 years </w:t>
      </w:r>
      <w:r w:rsidR="006C371E" w:rsidRPr="00AF5440">
        <w:rPr>
          <w:lang w:val="en-US"/>
        </w:rPr>
        <w:t>of age</w:t>
      </w:r>
      <w:r w:rsidR="00721D29" w:rsidRPr="00AF5440">
        <w:rPr>
          <w:lang w:val="en-US"/>
        </w:rPr>
        <w:t xml:space="preserve"> with a</w:t>
      </w:r>
      <w:r w:rsidR="00530173" w:rsidRPr="00AF5440">
        <w:rPr>
          <w:lang w:val="en-US"/>
        </w:rPr>
        <w:t>n</w:t>
      </w:r>
      <w:r w:rsidR="00721D29" w:rsidRPr="00AF5440">
        <w:rPr>
          <w:lang w:val="en-US"/>
        </w:rPr>
        <w:t xml:space="preserve"> osteopenic femoral fracture </w:t>
      </w:r>
      <w:r w:rsidR="00067ADC" w:rsidRPr="00AF5440">
        <w:rPr>
          <w:lang w:val="en-US"/>
        </w:rPr>
        <w:t>(Figure 2)</w:t>
      </w:r>
      <w:r w:rsidR="00721D29" w:rsidRPr="00AF5440">
        <w:rPr>
          <w:lang w:val="en-US"/>
        </w:rPr>
        <w:t xml:space="preserve">. </w:t>
      </w:r>
      <w:r>
        <w:rPr>
          <w:lang w:val="en-US"/>
        </w:rPr>
        <w:t>He was brought</w:t>
      </w:r>
      <w:r w:rsidRPr="003B2B33">
        <w:rPr>
          <w:lang w:val="en-US"/>
        </w:rPr>
        <w:t xml:space="preserve"> to the hospital </w:t>
      </w:r>
      <w:r w:rsidR="00976E7B">
        <w:rPr>
          <w:lang w:val="en-US"/>
        </w:rPr>
        <w:t>after he f</w:t>
      </w:r>
      <w:r w:rsidR="00976E7B" w:rsidRPr="00976E7B">
        <w:rPr>
          <w:lang w:val="en-US"/>
        </w:rPr>
        <w:t xml:space="preserve">ell </w:t>
      </w:r>
      <w:r w:rsidR="00976E7B">
        <w:rPr>
          <w:lang w:val="en-US"/>
        </w:rPr>
        <w:t>on the</w:t>
      </w:r>
      <w:r w:rsidR="00976E7B" w:rsidRPr="00976E7B">
        <w:rPr>
          <w:lang w:val="en-US"/>
        </w:rPr>
        <w:t xml:space="preserve"> couch</w:t>
      </w:r>
      <w:r>
        <w:rPr>
          <w:lang w:val="en-US"/>
        </w:rPr>
        <w:t xml:space="preserve"> at home</w:t>
      </w:r>
      <w:r w:rsidR="000A3A93">
        <w:rPr>
          <w:lang w:val="en-US"/>
        </w:rPr>
        <w:t xml:space="preserve"> and </w:t>
      </w:r>
      <w:r w:rsidR="000A3A93" w:rsidRPr="000A3A93">
        <w:rPr>
          <w:lang w:val="en-US"/>
        </w:rPr>
        <w:t xml:space="preserve">suffered a </w:t>
      </w:r>
      <w:r w:rsidR="000A3A93">
        <w:rPr>
          <w:lang w:val="en-US"/>
        </w:rPr>
        <w:t>painful</w:t>
      </w:r>
      <w:r w:rsidR="000A3A93" w:rsidRPr="000A3A93">
        <w:rPr>
          <w:lang w:val="en-US"/>
        </w:rPr>
        <w:t xml:space="preserve"> injury</w:t>
      </w:r>
      <w:r w:rsidR="000A3A93">
        <w:rPr>
          <w:lang w:val="en-US"/>
        </w:rPr>
        <w:t>.</w:t>
      </w:r>
    </w:p>
    <w:p w14:paraId="4952574D" w14:textId="5054A303" w:rsidR="00976E7B" w:rsidRDefault="00B90847" w:rsidP="0085201D">
      <w:pPr>
        <w:spacing w:after="200"/>
        <w:jc w:val="both"/>
        <w:rPr>
          <w:lang w:val="en-US"/>
        </w:rPr>
      </w:pPr>
      <w:r w:rsidRPr="00AF5440">
        <w:rPr>
          <w:lang w:val="en-US"/>
        </w:rPr>
        <w:t xml:space="preserve">At presentation </w:t>
      </w:r>
      <w:r w:rsidR="00530173" w:rsidRPr="00AF5440">
        <w:rPr>
          <w:lang w:val="en-US"/>
        </w:rPr>
        <w:t>he weighed</w:t>
      </w:r>
      <w:r w:rsidRPr="00AF5440">
        <w:rPr>
          <w:lang w:val="en-US"/>
        </w:rPr>
        <w:t xml:space="preserve"> 23.05 kg (&lt;0.4</w:t>
      </w:r>
      <w:r w:rsidRPr="00AF5440">
        <w:rPr>
          <w:vertAlign w:val="superscript"/>
          <w:lang w:val="en-US"/>
        </w:rPr>
        <w:t>th</w:t>
      </w:r>
      <w:r w:rsidRPr="00AF5440">
        <w:rPr>
          <w:lang w:val="en-US"/>
        </w:rPr>
        <w:t xml:space="preserve"> percentile)</w:t>
      </w:r>
      <w:r w:rsidR="000A3A93">
        <w:rPr>
          <w:lang w:val="en-US"/>
        </w:rPr>
        <w:t xml:space="preserve">, </w:t>
      </w:r>
      <w:r w:rsidR="00530173" w:rsidRPr="00AF5440">
        <w:rPr>
          <w:lang w:val="en-US"/>
        </w:rPr>
        <w:t xml:space="preserve">his </w:t>
      </w:r>
      <w:r w:rsidRPr="00AF5440">
        <w:rPr>
          <w:lang w:val="en-US"/>
        </w:rPr>
        <w:t>height</w:t>
      </w:r>
      <w:r w:rsidR="00530173" w:rsidRPr="00AF5440">
        <w:rPr>
          <w:lang w:val="en-US"/>
        </w:rPr>
        <w:t xml:space="preserve"> was</w:t>
      </w:r>
      <w:r w:rsidRPr="00AF5440">
        <w:rPr>
          <w:lang w:val="en-US"/>
        </w:rPr>
        <w:t xml:space="preserve"> 149</w:t>
      </w:r>
      <w:r w:rsidR="00295787" w:rsidRPr="00AF5440">
        <w:rPr>
          <w:lang w:val="en-US"/>
        </w:rPr>
        <w:t xml:space="preserve"> </w:t>
      </w:r>
      <w:r w:rsidRPr="00AF5440">
        <w:rPr>
          <w:lang w:val="en-US"/>
        </w:rPr>
        <w:t>cm (50</w:t>
      </w:r>
      <w:r w:rsidRPr="00AF5440">
        <w:rPr>
          <w:vertAlign w:val="superscript"/>
          <w:lang w:val="en-US"/>
        </w:rPr>
        <w:t>th</w:t>
      </w:r>
      <w:r w:rsidRPr="00AF5440">
        <w:rPr>
          <w:lang w:val="en-US"/>
        </w:rPr>
        <w:t xml:space="preserve"> percentile)</w:t>
      </w:r>
      <w:r w:rsidR="000A3A93">
        <w:rPr>
          <w:lang w:val="en-US"/>
        </w:rPr>
        <w:t>, and he</w:t>
      </w:r>
      <w:r w:rsidR="00976E7B">
        <w:rPr>
          <w:lang w:val="en-US"/>
        </w:rPr>
        <w:t xml:space="preserve"> was noted to have a</w:t>
      </w:r>
      <w:r w:rsidR="00976E7B" w:rsidRPr="00976E7B">
        <w:rPr>
          <w:lang w:val="en-US"/>
        </w:rPr>
        <w:t xml:space="preserve"> low Body Mass Index (BMI) (10.4 kg/m</w:t>
      </w:r>
      <w:r w:rsidR="00976E7B" w:rsidRPr="00976E7B">
        <w:rPr>
          <w:vertAlign w:val="superscript"/>
          <w:lang w:val="en-US"/>
        </w:rPr>
        <w:t>2</w:t>
      </w:r>
      <w:r w:rsidR="00976E7B" w:rsidRPr="00976E7B">
        <w:rPr>
          <w:lang w:val="en-US"/>
        </w:rPr>
        <w:t>, reference range 15 -24 kg/m</w:t>
      </w:r>
      <w:r w:rsidR="00976E7B" w:rsidRPr="00976E7B">
        <w:rPr>
          <w:vertAlign w:val="superscript"/>
          <w:lang w:val="en-US"/>
        </w:rPr>
        <w:t>2</w:t>
      </w:r>
      <w:r w:rsidR="00976E7B" w:rsidRPr="00976E7B">
        <w:rPr>
          <w:lang w:val="en-US"/>
        </w:rPr>
        <w:t>).</w:t>
      </w:r>
      <w:r w:rsidR="00976E7B">
        <w:rPr>
          <w:lang w:val="en-US"/>
        </w:rPr>
        <w:t xml:space="preserve"> </w:t>
      </w:r>
    </w:p>
    <w:p w14:paraId="60D09E52" w14:textId="005924BD" w:rsidR="002E5256" w:rsidRPr="002E5256" w:rsidRDefault="002E5256" w:rsidP="002E5256">
      <w:pPr>
        <w:spacing w:after="200"/>
        <w:jc w:val="both"/>
        <w:rPr>
          <w:b/>
          <w:u w:val="single"/>
          <w:lang w:val="en-US"/>
        </w:rPr>
      </w:pPr>
      <w:r w:rsidRPr="002E5256">
        <w:rPr>
          <w:b/>
          <w:u w:val="single"/>
          <w:lang w:val="en-US"/>
        </w:rPr>
        <w:t xml:space="preserve">Case </w:t>
      </w:r>
      <w:r w:rsidR="007A52A7">
        <w:rPr>
          <w:b/>
          <w:u w:val="single"/>
          <w:lang w:val="en-US"/>
        </w:rPr>
        <w:t>2</w:t>
      </w:r>
      <w:r w:rsidRPr="002E5256">
        <w:rPr>
          <w:b/>
          <w:u w:val="single"/>
          <w:lang w:val="en-US"/>
        </w:rPr>
        <w:t>: Investigations and Treatment</w:t>
      </w:r>
    </w:p>
    <w:p w14:paraId="44615952" w14:textId="3F583F36" w:rsidR="002E5256" w:rsidRDefault="000A6F98" w:rsidP="002E5256">
      <w:pPr>
        <w:spacing w:after="200"/>
        <w:jc w:val="both"/>
        <w:rPr>
          <w:lang w:val="en-US"/>
        </w:rPr>
      </w:pPr>
      <w:r>
        <w:rPr>
          <w:lang w:val="en-US"/>
        </w:rPr>
        <w:t xml:space="preserve">Bone </w:t>
      </w:r>
      <w:r w:rsidR="002E5256" w:rsidRPr="00AF5440">
        <w:rPr>
          <w:lang w:val="en-US"/>
        </w:rPr>
        <w:t xml:space="preserve">X-ray showed reduced bone density with thinning of the cortex and an oblique distal femoral metaphysis fracture </w:t>
      </w:r>
      <w:r>
        <w:rPr>
          <w:lang w:val="en-US"/>
        </w:rPr>
        <w:t>(</w:t>
      </w:r>
      <w:r w:rsidR="002E5256" w:rsidRPr="00AF5440">
        <w:rPr>
          <w:lang w:val="en-US"/>
        </w:rPr>
        <w:t>Figure 2</w:t>
      </w:r>
      <w:r>
        <w:rPr>
          <w:lang w:val="en-US"/>
        </w:rPr>
        <w:t>)</w:t>
      </w:r>
      <w:r w:rsidR="002E5256" w:rsidRPr="00AF5440">
        <w:rPr>
          <w:lang w:val="en-US"/>
        </w:rPr>
        <w:t xml:space="preserve">. </w:t>
      </w:r>
      <w:r>
        <w:rPr>
          <w:lang w:val="en-US"/>
        </w:rPr>
        <w:t>Point-of-care blood tests showed a reduced plasma c</w:t>
      </w:r>
      <w:r w:rsidRPr="00AF5440">
        <w:rPr>
          <w:lang w:val="en-US"/>
        </w:rPr>
        <w:t xml:space="preserve">alcium </w:t>
      </w:r>
      <w:r>
        <w:rPr>
          <w:lang w:val="en-US"/>
        </w:rPr>
        <w:t>level (</w:t>
      </w:r>
      <w:r w:rsidRPr="00AF5440">
        <w:rPr>
          <w:lang w:val="en-US"/>
        </w:rPr>
        <w:t>2.24mmol</w:t>
      </w:r>
      <w:r>
        <w:rPr>
          <w:lang w:val="en-US"/>
        </w:rPr>
        <w:t>/</w:t>
      </w:r>
      <w:r w:rsidRPr="00AF5440">
        <w:rPr>
          <w:lang w:val="en-US"/>
        </w:rPr>
        <w:t>L</w:t>
      </w:r>
      <w:r>
        <w:rPr>
          <w:lang w:val="en-US"/>
        </w:rPr>
        <w:t xml:space="preserve">; reference range </w:t>
      </w:r>
      <w:r w:rsidRPr="00AF5440">
        <w:rPr>
          <w:lang w:val="en-US"/>
        </w:rPr>
        <w:t xml:space="preserve">2.25-2.7mmol/L), </w:t>
      </w:r>
      <w:r>
        <w:rPr>
          <w:lang w:val="en-US"/>
        </w:rPr>
        <w:t xml:space="preserve">a </w:t>
      </w:r>
      <w:r w:rsidRPr="00AF5440">
        <w:rPr>
          <w:lang w:val="en-US"/>
        </w:rPr>
        <w:t xml:space="preserve">low corrected calcium </w:t>
      </w:r>
      <w:r>
        <w:rPr>
          <w:lang w:val="en-US"/>
        </w:rPr>
        <w:t>(</w:t>
      </w:r>
      <w:r w:rsidRPr="00AF5440">
        <w:rPr>
          <w:lang w:val="en-US"/>
        </w:rPr>
        <w:t>2.06 mmol/L</w:t>
      </w:r>
      <w:r>
        <w:rPr>
          <w:lang w:val="en-US"/>
        </w:rPr>
        <w:t xml:space="preserve">; </w:t>
      </w:r>
      <w:r w:rsidRPr="00AF5440">
        <w:rPr>
          <w:lang w:val="en-US"/>
        </w:rPr>
        <w:t xml:space="preserve">2.25-2.7 mmol/L) and </w:t>
      </w:r>
      <w:r>
        <w:rPr>
          <w:lang w:val="en-US"/>
        </w:rPr>
        <w:t xml:space="preserve">an </w:t>
      </w:r>
      <w:r w:rsidRPr="00AF5440">
        <w:rPr>
          <w:lang w:val="en-US"/>
        </w:rPr>
        <w:t xml:space="preserve">elevated alkaline phosphatase </w:t>
      </w:r>
      <w:r>
        <w:rPr>
          <w:lang w:val="en-US"/>
        </w:rPr>
        <w:t>(</w:t>
      </w:r>
      <w:r w:rsidRPr="00AF5440">
        <w:rPr>
          <w:lang w:val="en-US"/>
        </w:rPr>
        <w:t>488 IU/L</w:t>
      </w:r>
      <w:r>
        <w:rPr>
          <w:lang w:val="en-US"/>
        </w:rPr>
        <w:t xml:space="preserve">; </w:t>
      </w:r>
      <w:r w:rsidRPr="00AF5440">
        <w:rPr>
          <w:lang w:val="en-US"/>
        </w:rPr>
        <w:t>&lt;300).</w:t>
      </w:r>
      <w:r w:rsidRPr="000A6F98">
        <w:rPr>
          <w:lang w:val="en-US"/>
        </w:rPr>
        <w:t xml:space="preserve"> </w:t>
      </w:r>
      <w:r w:rsidRPr="00AF5440">
        <w:rPr>
          <w:lang w:val="en-US"/>
        </w:rPr>
        <w:t>Full blood count was essentially normal including MCV and blood film.</w:t>
      </w:r>
    </w:p>
    <w:p w14:paraId="31F6D8BC" w14:textId="53F9C37D" w:rsidR="00F900E1" w:rsidRDefault="000A6F98" w:rsidP="0085201D">
      <w:pPr>
        <w:spacing w:after="200"/>
        <w:jc w:val="both"/>
        <w:rPr>
          <w:lang w:val="en-US"/>
        </w:rPr>
      </w:pPr>
      <w:r>
        <w:rPr>
          <w:lang w:val="en-US"/>
        </w:rPr>
        <w:t>Further biochemical blood</w:t>
      </w:r>
      <w:r w:rsidR="00565BE3" w:rsidRPr="00AF5440">
        <w:rPr>
          <w:lang w:val="en-US"/>
        </w:rPr>
        <w:t xml:space="preserve"> tests </w:t>
      </w:r>
      <w:r>
        <w:rPr>
          <w:lang w:val="en-US"/>
        </w:rPr>
        <w:t>revealed</w:t>
      </w:r>
      <w:r w:rsidR="00565BE3" w:rsidRPr="00AF5440">
        <w:rPr>
          <w:lang w:val="en-US"/>
        </w:rPr>
        <w:t xml:space="preserve"> multiple nutritional deficiencies, e.g., </w:t>
      </w:r>
      <w:r w:rsidR="00721D29" w:rsidRPr="00AF5440">
        <w:rPr>
          <w:lang w:val="en-US"/>
        </w:rPr>
        <w:t>Vitamin D &lt;13</w:t>
      </w:r>
      <w:r w:rsidR="00810DC9" w:rsidRPr="00AF5440">
        <w:rPr>
          <w:lang w:val="en-US"/>
        </w:rPr>
        <w:t xml:space="preserve"> </w:t>
      </w:r>
      <w:r w:rsidR="00565BE3" w:rsidRPr="00AF5440">
        <w:rPr>
          <w:lang w:val="en-US"/>
        </w:rPr>
        <w:t>(&gt;50 nmol/L)</w:t>
      </w:r>
      <w:r w:rsidR="00721D29" w:rsidRPr="00AF5440">
        <w:rPr>
          <w:lang w:val="en-US"/>
        </w:rPr>
        <w:t>,</w:t>
      </w:r>
      <w:r w:rsidR="00810DC9" w:rsidRPr="00AF5440">
        <w:rPr>
          <w:lang w:val="en-US"/>
        </w:rPr>
        <w:t xml:space="preserve"> Folate 2.1 ng/mL (</w:t>
      </w:r>
      <w:r w:rsidR="0053325F" w:rsidRPr="00AF5440">
        <w:rPr>
          <w:rStyle w:val="reference-range"/>
          <w:lang w:val="en-US"/>
        </w:rPr>
        <w:t>3.8 - 18.2</w:t>
      </w:r>
      <w:r w:rsidR="00810DC9" w:rsidRPr="00AF5440">
        <w:rPr>
          <w:lang w:val="en-US"/>
        </w:rPr>
        <w:t xml:space="preserve"> ng/m</w:t>
      </w:r>
      <w:r>
        <w:rPr>
          <w:lang w:val="en-US"/>
        </w:rPr>
        <w:t>l</w:t>
      </w:r>
      <w:r w:rsidR="00810DC9" w:rsidRPr="00AF5440">
        <w:rPr>
          <w:lang w:val="en-US"/>
        </w:rPr>
        <w:t>)</w:t>
      </w:r>
      <w:r>
        <w:rPr>
          <w:lang w:val="en-US"/>
        </w:rPr>
        <w:t xml:space="preserve">, </w:t>
      </w:r>
      <w:r w:rsidR="00810DC9" w:rsidRPr="00AF5440">
        <w:rPr>
          <w:lang w:val="en-US"/>
        </w:rPr>
        <w:t>Vitamin B12 107 (</w:t>
      </w:r>
      <w:r w:rsidR="0053325F" w:rsidRPr="00AF5440">
        <w:rPr>
          <w:rStyle w:val="reference-range"/>
          <w:lang w:val="en-US"/>
        </w:rPr>
        <w:t>211-760</w:t>
      </w:r>
      <w:r w:rsidR="0053325F" w:rsidRPr="00AF5440">
        <w:rPr>
          <w:lang w:val="en-US"/>
        </w:rPr>
        <w:t xml:space="preserve"> </w:t>
      </w:r>
      <w:r w:rsidR="0053325F" w:rsidRPr="00AF5440">
        <w:rPr>
          <w:rStyle w:val="units2"/>
          <w:lang w:val="en-US"/>
        </w:rPr>
        <w:t>ng/L</w:t>
      </w:r>
      <w:r w:rsidR="00810DC9" w:rsidRPr="00AF5440">
        <w:rPr>
          <w:lang w:val="en-US"/>
        </w:rPr>
        <w:t>)</w:t>
      </w:r>
      <w:r>
        <w:rPr>
          <w:lang w:val="en-US"/>
        </w:rPr>
        <w:t xml:space="preserve"> and</w:t>
      </w:r>
      <w:r w:rsidR="00810DC9" w:rsidRPr="00AF5440">
        <w:rPr>
          <w:lang w:val="en-US"/>
        </w:rPr>
        <w:t xml:space="preserve"> </w:t>
      </w:r>
      <w:r w:rsidR="00F900E1" w:rsidRPr="00AF5440">
        <w:rPr>
          <w:lang w:val="en-US"/>
        </w:rPr>
        <w:t>Ferritin 12 ug/L (15 to 80</w:t>
      </w:r>
      <w:r w:rsidR="001B5433" w:rsidRPr="00AF5440">
        <w:rPr>
          <w:lang w:val="en-US"/>
        </w:rPr>
        <w:t xml:space="preserve"> </w:t>
      </w:r>
      <w:r w:rsidR="00F900E1" w:rsidRPr="00AF5440">
        <w:rPr>
          <w:lang w:val="en-US"/>
        </w:rPr>
        <w:t xml:space="preserve">ug/L). </w:t>
      </w:r>
      <w:r w:rsidR="00915C9B" w:rsidRPr="00AF5440">
        <w:rPr>
          <w:lang w:val="en-US"/>
        </w:rPr>
        <w:t>His initial</w:t>
      </w:r>
      <w:r w:rsidR="00CB2AFF" w:rsidRPr="00AF5440">
        <w:rPr>
          <w:lang w:val="en-US"/>
        </w:rPr>
        <w:t xml:space="preserve"> </w:t>
      </w:r>
      <w:r w:rsidR="003C5996" w:rsidRPr="00AF5440">
        <w:rPr>
          <w:lang w:val="en-US"/>
        </w:rPr>
        <w:t xml:space="preserve">total </w:t>
      </w:r>
      <w:r w:rsidR="002E543D" w:rsidRPr="00AF5440">
        <w:rPr>
          <w:lang w:val="en-US"/>
        </w:rPr>
        <w:t>h</w:t>
      </w:r>
      <w:r w:rsidR="003C5996" w:rsidRPr="00AF5440">
        <w:rPr>
          <w:lang w:val="en-US"/>
        </w:rPr>
        <w:t>omocysteine</w:t>
      </w:r>
      <w:r w:rsidR="006C371E" w:rsidRPr="00AF5440">
        <w:rPr>
          <w:lang w:val="en-US"/>
        </w:rPr>
        <w:t xml:space="preserve"> </w:t>
      </w:r>
      <w:r w:rsidR="00CB2AFF" w:rsidRPr="00AF5440">
        <w:rPr>
          <w:lang w:val="en-US"/>
        </w:rPr>
        <w:t xml:space="preserve">of </w:t>
      </w:r>
      <w:r w:rsidR="00915C9B" w:rsidRPr="00AF5440">
        <w:rPr>
          <w:lang w:val="en-US"/>
        </w:rPr>
        <w:t>86 umol</w:t>
      </w:r>
      <w:r w:rsidR="006C371E" w:rsidRPr="00AF5440">
        <w:rPr>
          <w:lang w:val="en-US"/>
        </w:rPr>
        <w:t>/L</w:t>
      </w:r>
      <w:r w:rsidR="003A293B" w:rsidRPr="00AF5440">
        <w:rPr>
          <w:lang w:val="en-US"/>
        </w:rPr>
        <w:t xml:space="preserve">; however, his </w:t>
      </w:r>
      <w:r w:rsidR="00915C9B" w:rsidRPr="00AF5440">
        <w:rPr>
          <w:lang w:val="en-US"/>
        </w:rPr>
        <w:t xml:space="preserve">methionine was normal at 34 </w:t>
      </w:r>
      <w:r w:rsidR="003A293B" w:rsidRPr="00AF5440">
        <w:rPr>
          <w:lang w:val="en-US"/>
        </w:rPr>
        <w:t xml:space="preserve">as was </w:t>
      </w:r>
      <w:r w:rsidR="00915C9B" w:rsidRPr="00AF5440">
        <w:rPr>
          <w:lang w:val="en-US"/>
        </w:rPr>
        <w:t xml:space="preserve">cystine </w:t>
      </w:r>
      <w:r w:rsidR="003A293B" w:rsidRPr="00AF5440">
        <w:rPr>
          <w:lang w:val="en-US"/>
        </w:rPr>
        <w:t xml:space="preserve">at </w:t>
      </w:r>
      <w:r w:rsidR="00966043" w:rsidRPr="00AF5440">
        <w:rPr>
          <w:lang w:val="en-US"/>
        </w:rPr>
        <w:t>38 (</w:t>
      </w:r>
      <w:r w:rsidR="00915C9B" w:rsidRPr="00AF5440">
        <w:rPr>
          <w:lang w:val="en-US"/>
        </w:rPr>
        <w:t>27 - 107 umol/L)</w:t>
      </w:r>
      <w:r w:rsidR="003A293B" w:rsidRPr="00AF5440">
        <w:rPr>
          <w:lang w:val="en-US"/>
        </w:rPr>
        <w:t xml:space="preserve">. </w:t>
      </w:r>
      <w:r w:rsidR="00C23340" w:rsidRPr="00AF5440">
        <w:rPr>
          <w:lang w:val="en-US"/>
        </w:rPr>
        <w:t>Urine organic acid analysis did not show any</w:t>
      </w:r>
      <w:r w:rsidR="00F900E1" w:rsidRPr="00AF5440">
        <w:rPr>
          <w:lang w:val="en-US"/>
        </w:rPr>
        <w:t xml:space="preserve"> abnormalities, </w:t>
      </w:r>
      <w:r w:rsidR="008D12A7">
        <w:rPr>
          <w:lang w:val="en-US"/>
        </w:rPr>
        <w:t>with no</w:t>
      </w:r>
      <w:r w:rsidR="00F900E1" w:rsidRPr="00AF5440">
        <w:rPr>
          <w:lang w:val="en-US"/>
        </w:rPr>
        <w:t xml:space="preserve"> excretion of </w:t>
      </w:r>
      <w:r w:rsidR="00C23340" w:rsidRPr="00AF5440">
        <w:rPr>
          <w:lang w:val="en-US"/>
        </w:rPr>
        <w:t>methylmalonic acid (</w:t>
      </w:r>
      <w:r w:rsidR="00F900E1" w:rsidRPr="00AF5440">
        <w:rPr>
          <w:lang w:val="en-US"/>
        </w:rPr>
        <w:t>MMA</w:t>
      </w:r>
      <w:r w:rsidR="004A2A94">
        <w:rPr>
          <w:lang w:val="en-US"/>
        </w:rPr>
        <w:t xml:space="preserve">, 0-8 </w:t>
      </w:r>
      <w:r w:rsidR="004A2A94" w:rsidRPr="004A2A94">
        <w:rPr>
          <w:lang w:val="en-US"/>
        </w:rPr>
        <w:t xml:space="preserve">umol/mmol </w:t>
      </w:r>
      <w:r w:rsidR="008D12A7">
        <w:rPr>
          <w:lang w:val="en-US"/>
        </w:rPr>
        <w:t>c</w:t>
      </w:r>
      <w:r w:rsidR="004A2A94" w:rsidRPr="004A2A94">
        <w:rPr>
          <w:lang w:val="en-US"/>
        </w:rPr>
        <w:t>reat</w:t>
      </w:r>
      <w:r w:rsidR="004A2A94">
        <w:rPr>
          <w:lang w:val="en-US"/>
        </w:rPr>
        <w:t>inine</w:t>
      </w:r>
      <w:r w:rsidR="00C23340" w:rsidRPr="00AF5440">
        <w:rPr>
          <w:lang w:val="en-US"/>
        </w:rPr>
        <w:t>)</w:t>
      </w:r>
      <w:r w:rsidR="00F900E1" w:rsidRPr="00AF5440">
        <w:rPr>
          <w:lang w:val="en-US"/>
        </w:rPr>
        <w:t>.</w:t>
      </w:r>
    </w:p>
    <w:p w14:paraId="750A1980" w14:textId="5C6B0F88" w:rsidR="00FA321A" w:rsidRDefault="00FA321A" w:rsidP="00FA321A">
      <w:pPr>
        <w:spacing w:after="200"/>
        <w:jc w:val="both"/>
        <w:rPr>
          <w:lang w:val="en-US"/>
        </w:rPr>
      </w:pPr>
      <w:r>
        <w:rPr>
          <w:lang w:val="en-US"/>
        </w:rPr>
        <w:t>The boy received orthopedic care and his</w:t>
      </w:r>
      <w:r w:rsidRPr="00FA321A">
        <w:rPr>
          <w:lang w:val="en-US"/>
        </w:rPr>
        <w:t xml:space="preserve"> healing </w:t>
      </w:r>
      <w:r>
        <w:rPr>
          <w:lang w:val="en-US"/>
        </w:rPr>
        <w:t xml:space="preserve">process was uncomplicated; furthermore, he was given a Vitamin D and calcium supplement. Additionally, he was </w:t>
      </w:r>
      <w:r w:rsidR="00BC32B3" w:rsidRPr="00AF5440">
        <w:rPr>
          <w:lang w:val="en-US"/>
        </w:rPr>
        <w:t xml:space="preserve">commenced on </w:t>
      </w:r>
      <w:r>
        <w:rPr>
          <w:lang w:val="en-US"/>
        </w:rPr>
        <w:t>multivitamin supplements</w:t>
      </w:r>
      <w:r w:rsidR="00CB2AFF" w:rsidRPr="00AF5440">
        <w:rPr>
          <w:lang w:val="en-US"/>
        </w:rPr>
        <w:t>,</w:t>
      </w:r>
      <w:r w:rsidR="00BC32B3" w:rsidRPr="00AF5440">
        <w:rPr>
          <w:lang w:val="en-US"/>
        </w:rPr>
        <w:t xml:space="preserve"> </w:t>
      </w:r>
      <w:r w:rsidR="00E75EA4" w:rsidRPr="00AF5440">
        <w:rPr>
          <w:lang w:val="en-US"/>
        </w:rPr>
        <w:t>including folate, Vitamin B12</w:t>
      </w:r>
      <w:r w:rsidR="004F1951" w:rsidRPr="00AF5440">
        <w:rPr>
          <w:lang w:val="en-US"/>
        </w:rPr>
        <w:t xml:space="preserve">, </w:t>
      </w:r>
      <w:r>
        <w:rPr>
          <w:lang w:val="en-US"/>
        </w:rPr>
        <w:t xml:space="preserve">and </w:t>
      </w:r>
      <w:r w:rsidR="004F1951" w:rsidRPr="00AF5440">
        <w:rPr>
          <w:lang w:val="en-US"/>
        </w:rPr>
        <w:t>Vitamin</w:t>
      </w:r>
      <w:r w:rsidR="003A293B" w:rsidRPr="00AF5440">
        <w:rPr>
          <w:lang w:val="en-US"/>
        </w:rPr>
        <w:t xml:space="preserve"> B6</w:t>
      </w:r>
      <w:r>
        <w:rPr>
          <w:lang w:val="en-US"/>
        </w:rPr>
        <w:t>. U</w:t>
      </w:r>
      <w:r w:rsidRPr="00FA321A">
        <w:rPr>
          <w:lang w:val="en-US"/>
        </w:rPr>
        <w:t xml:space="preserve">pon </w:t>
      </w:r>
      <w:r>
        <w:rPr>
          <w:lang w:val="en-US"/>
        </w:rPr>
        <w:t xml:space="preserve">conformation of his overarching metabolic diagnosis he was also started on </w:t>
      </w:r>
      <w:r w:rsidR="003A293B" w:rsidRPr="00AF5440">
        <w:rPr>
          <w:lang w:val="en-US"/>
        </w:rPr>
        <w:t>betaine</w:t>
      </w:r>
      <w:r>
        <w:rPr>
          <w:lang w:val="en-US"/>
        </w:rPr>
        <w:t xml:space="preserve"> and </w:t>
      </w:r>
      <w:r w:rsidRPr="00AF5440">
        <w:rPr>
          <w:lang w:val="en-US"/>
        </w:rPr>
        <w:t>5</w:t>
      </w:r>
      <w:r>
        <w:rPr>
          <w:lang w:val="en-US"/>
        </w:rPr>
        <w:t>-</w:t>
      </w:r>
      <w:r w:rsidRPr="00AF5440">
        <w:rPr>
          <w:lang w:val="en-US"/>
        </w:rPr>
        <w:t xml:space="preserve"> methyltetrahydrofolate</w:t>
      </w:r>
      <w:r w:rsidR="00E75EA4" w:rsidRPr="00AF5440">
        <w:rPr>
          <w:lang w:val="en-US"/>
        </w:rPr>
        <w:t>.</w:t>
      </w:r>
      <w:r w:rsidR="00104C61">
        <w:rPr>
          <w:lang w:val="en-US"/>
        </w:rPr>
        <w:t xml:space="preserve"> </w:t>
      </w:r>
      <w:r w:rsidR="003C5996" w:rsidRPr="00AF5440">
        <w:rPr>
          <w:lang w:val="en-US"/>
        </w:rPr>
        <w:t xml:space="preserve">Gene sequencing identified </w:t>
      </w:r>
      <w:r w:rsidR="00290E25" w:rsidRPr="00AF5440">
        <w:rPr>
          <w:lang w:val="en-US"/>
        </w:rPr>
        <w:t>two likely pathologic</w:t>
      </w:r>
      <w:r w:rsidR="00BC32B3" w:rsidRPr="00AF5440">
        <w:rPr>
          <w:lang w:val="en-US"/>
        </w:rPr>
        <w:t xml:space="preserve"> </w:t>
      </w:r>
      <w:r w:rsidR="00976229" w:rsidRPr="00AF5440">
        <w:rPr>
          <w:lang w:val="en-US"/>
        </w:rPr>
        <w:t>variants</w:t>
      </w:r>
      <w:r w:rsidR="009217D2" w:rsidRPr="00AF5440">
        <w:rPr>
          <w:lang w:val="en-US"/>
        </w:rPr>
        <w:t xml:space="preserve"> </w:t>
      </w:r>
      <w:r w:rsidR="00CB2AFF" w:rsidRPr="00AF5440">
        <w:rPr>
          <w:lang w:val="en-US"/>
        </w:rPr>
        <w:t>in the</w:t>
      </w:r>
      <w:r w:rsidR="009217D2" w:rsidRPr="00AF5440">
        <w:rPr>
          <w:lang w:val="en-US"/>
        </w:rPr>
        <w:t xml:space="preserve"> </w:t>
      </w:r>
      <w:r w:rsidR="009217D2" w:rsidRPr="00AF5440">
        <w:rPr>
          <w:i/>
          <w:lang w:val="en-US"/>
        </w:rPr>
        <w:t>MTHFR</w:t>
      </w:r>
      <w:r w:rsidR="009217D2" w:rsidRPr="00AF5440">
        <w:rPr>
          <w:lang w:val="en-US"/>
        </w:rPr>
        <w:t xml:space="preserve"> </w:t>
      </w:r>
      <w:r w:rsidR="00CB2AFF" w:rsidRPr="00AF5440">
        <w:rPr>
          <w:lang w:val="en-US"/>
        </w:rPr>
        <w:t>gene</w:t>
      </w:r>
      <w:r w:rsidR="00290E25" w:rsidRPr="00AF5440">
        <w:rPr>
          <w:lang w:val="en-US"/>
        </w:rPr>
        <w:t>, c.589T&gt;G</w:t>
      </w:r>
      <w:r w:rsidR="00C14192" w:rsidRPr="00AF5440">
        <w:rPr>
          <w:lang w:val="en-US"/>
        </w:rPr>
        <w:t xml:space="preserve"> (p.Tyr197Asp)</w:t>
      </w:r>
      <w:r w:rsidR="00290E25" w:rsidRPr="00AF5440">
        <w:rPr>
          <w:lang w:val="en-US"/>
        </w:rPr>
        <w:t xml:space="preserve"> and c.1072C&gt;T</w:t>
      </w:r>
      <w:r w:rsidR="00CB2AFF" w:rsidRPr="00AF5440">
        <w:rPr>
          <w:lang w:val="en-US"/>
        </w:rPr>
        <w:t xml:space="preserve"> </w:t>
      </w:r>
      <w:r w:rsidR="00C14192" w:rsidRPr="00AF5440">
        <w:rPr>
          <w:lang w:val="en-US"/>
        </w:rPr>
        <w:t>(p.Arg258*)</w:t>
      </w:r>
      <w:r>
        <w:rPr>
          <w:lang w:val="en-US"/>
        </w:rPr>
        <w:t xml:space="preserve"> and parental carrier status was confirmed</w:t>
      </w:r>
      <w:r w:rsidR="00C14192" w:rsidRPr="00AF5440">
        <w:rPr>
          <w:lang w:val="en-US"/>
        </w:rPr>
        <w:t>.</w:t>
      </w:r>
      <w:r w:rsidR="00290E25" w:rsidRPr="00AF5440">
        <w:rPr>
          <w:lang w:val="en-US"/>
        </w:rPr>
        <w:t xml:space="preserve"> </w:t>
      </w:r>
      <w:r w:rsidR="002C2AE5" w:rsidRPr="00AF5440">
        <w:rPr>
          <w:lang w:val="en-US"/>
        </w:rPr>
        <w:t xml:space="preserve">His baseline MRI brain result showed </w:t>
      </w:r>
      <w:r w:rsidR="002C2AE5">
        <w:rPr>
          <w:lang w:val="en-US"/>
        </w:rPr>
        <w:t xml:space="preserve">only </w:t>
      </w:r>
      <w:r w:rsidR="002C2AE5" w:rsidRPr="00AF5440">
        <w:rPr>
          <w:lang w:val="en-US"/>
        </w:rPr>
        <w:t xml:space="preserve">mild changes of cerebellar atrophy (Figure 3). </w:t>
      </w:r>
      <w:r w:rsidR="00290E25" w:rsidRPr="00AF5440">
        <w:rPr>
          <w:lang w:val="en-US"/>
        </w:rPr>
        <w:t xml:space="preserve">CSF </w:t>
      </w:r>
      <w:r w:rsidR="003A293B" w:rsidRPr="00AF5440">
        <w:rPr>
          <w:lang w:val="en-US"/>
        </w:rPr>
        <w:t>neurotransmitter and folate studies</w:t>
      </w:r>
      <w:r w:rsidR="00290E25" w:rsidRPr="00AF5440">
        <w:rPr>
          <w:lang w:val="en-US"/>
        </w:rPr>
        <w:t xml:space="preserve"> </w:t>
      </w:r>
      <w:r w:rsidR="00BC32B3" w:rsidRPr="00AF5440">
        <w:rPr>
          <w:lang w:val="en-US"/>
        </w:rPr>
        <w:t xml:space="preserve">were deferred in light of his </w:t>
      </w:r>
      <w:r w:rsidR="00E75EA4" w:rsidRPr="00AF5440">
        <w:rPr>
          <w:lang w:val="en-US"/>
        </w:rPr>
        <w:t xml:space="preserve">good </w:t>
      </w:r>
      <w:r w:rsidR="00BC32B3" w:rsidRPr="00AF5440">
        <w:rPr>
          <w:lang w:val="en-US"/>
        </w:rPr>
        <w:t>cli</w:t>
      </w:r>
      <w:r w:rsidR="0051712E" w:rsidRPr="00AF5440">
        <w:rPr>
          <w:lang w:val="en-US"/>
        </w:rPr>
        <w:t xml:space="preserve">nical </w:t>
      </w:r>
      <w:r w:rsidR="003A293B" w:rsidRPr="00AF5440">
        <w:rPr>
          <w:lang w:val="en-US"/>
        </w:rPr>
        <w:t xml:space="preserve">progress </w:t>
      </w:r>
      <w:r w:rsidR="00C23340" w:rsidRPr="00AF5440">
        <w:rPr>
          <w:lang w:val="en-US"/>
        </w:rPr>
        <w:t xml:space="preserve">and </w:t>
      </w:r>
      <w:r w:rsidR="003A293B" w:rsidRPr="00AF5440">
        <w:rPr>
          <w:lang w:val="en-US"/>
        </w:rPr>
        <w:t>at his parents</w:t>
      </w:r>
      <w:r w:rsidR="00104C61">
        <w:rPr>
          <w:lang w:val="en-US"/>
        </w:rPr>
        <w:t>’</w:t>
      </w:r>
      <w:r w:rsidR="003A293B" w:rsidRPr="00AF5440">
        <w:rPr>
          <w:lang w:val="en-US"/>
        </w:rPr>
        <w:t xml:space="preserve"> request</w:t>
      </w:r>
      <w:r w:rsidR="0051712E" w:rsidRPr="00AF5440">
        <w:rPr>
          <w:lang w:val="en-US"/>
        </w:rPr>
        <w:t xml:space="preserve">. </w:t>
      </w:r>
    </w:p>
    <w:p w14:paraId="55BD0C42" w14:textId="4E9A7F5C" w:rsidR="00FF4499" w:rsidRPr="00AF5440" w:rsidRDefault="002C2AE5" w:rsidP="00BB3159">
      <w:pPr>
        <w:spacing w:after="200"/>
        <w:jc w:val="both"/>
        <w:rPr>
          <w:lang w:val="en-US"/>
        </w:rPr>
      </w:pPr>
      <w:r>
        <w:rPr>
          <w:lang w:val="en-US"/>
        </w:rPr>
        <w:t>Further to c</w:t>
      </w:r>
      <w:r w:rsidRPr="002C2AE5">
        <w:rPr>
          <w:lang w:val="en-US"/>
        </w:rPr>
        <w:t>ommencement of treatment</w:t>
      </w:r>
      <w:r>
        <w:rPr>
          <w:lang w:val="en-US"/>
        </w:rPr>
        <w:t xml:space="preserve"> his </w:t>
      </w:r>
      <w:r w:rsidR="00F01AEF" w:rsidRPr="00AF5440">
        <w:rPr>
          <w:lang w:val="en-US"/>
        </w:rPr>
        <w:t>weight was tracking between 2</w:t>
      </w:r>
      <w:r w:rsidR="00F01AEF" w:rsidRPr="002C2AE5">
        <w:rPr>
          <w:vertAlign w:val="superscript"/>
          <w:lang w:val="en-US"/>
        </w:rPr>
        <w:t>nd</w:t>
      </w:r>
      <w:r w:rsidR="00F01AEF" w:rsidRPr="00AF5440">
        <w:rPr>
          <w:lang w:val="en-US"/>
        </w:rPr>
        <w:t xml:space="preserve"> – 9</w:t>
      </w:r>
      <w:r w:rsidR="00F01AEF" w:rsidRPr="002C2AE5">
        <w:rPr>
          <w:vertAlign w:val="superscript"/>
          <w:lang w:val="en-US"/>
        </w:rPr>
        <w:t>th</w:t>
      </w:r>
      <w:r>
        <w:rPr>
          <w:lang w:val="en-US"/>
        </w:rPr>
        <w:t xml:space="preserve"> </w:t>
      </w:r>
      <w:r w:rsidR="00F01AEF" w:rsidRPr="00AF5440">
        <w:rPr>
          <w:lang w:val="en-US"/>
        </w:rPr>
        <w:t>centile and his height between 75</w:t>
      </w:r>
      <w:r w:rsidR="00F01AEF" w:rsidRPr="002C2AE5">
        <w:rPr>
          <w:vertAlign w:val="superscript"/>
          <w:lang w:val="en-US"/>
        </w:rPr>
        <w:t>th</w:t>
      </w:r>
      <w:r>
        <w:rPr>
          <w:lang w:val="en-US"/>
        </w:rPr>
        <w:t xml:space="preserve"> </w:t>
      </w:r>
      <w:r w:rsidR="00F01AEF" w:rsidRPr="00AF5440">
        <w:rPr>
          <w:lang w:val="en-US"/>
        </w:rPr>
        <w:t>– 91</w:t>
      </w:r>
      <w:r w:rsidR="00F01AEF" w:rsidRPr="002C2AE5">
        <w:rPr>
          <w:vertAlign w:val="superscript"/>
          <w:lang w:val="en-US"/>
        </w:rPr>
        <w:t>st</w:t>
      </w:r>
      <w:r>
        <w:rPr>
          <w:lang w:val="en-US"/>
        </w:rPr>
        <w:t xml:space="preserve"> </w:t>
      </w:r>
      <w:r w:rsidR="00F01AEF" w:rsidRPr="00AF5440">
        <w:rPr>
          <w:lang w:val="en-US"/>
        </w:rPr>
        <w:t xml:space="preserve">centile. </w:t>
      </w:r>
      <w:r w:rsidR="00FF4499" w:rsidRPr="00AF5440">
        <w:rPr>
          <w:lang w:val="en-US"/>
        </w:rPr>
        <w:t xml:space="preserve">At 15 years of age, his BMI </w:t>
      </w:r>
      <w:r>
        <w:rPr>
          <w:lang w:val="en-US"/>
        </w:rPr>
        <w:t xml:space="preserve">had normalized (17 </w:t>
      </w:r>
      <w:r w:rsidR="00FF4499" w:rsidRPr="00AF5440">
        <w:rPr>
          <w:lang w:val="en-US"/>
        </w:rPr>
        <w:t>kg/m</w:t>
      </w:r>
      <w:r w:rsidR="00FF4499" w:rsidRPr="00AF5440">
        <w:rPr>
          <w:vertAlign w:val="superscript"/>
          <w:lang w:val="en-US"/>
        </w:rPr>
        <w:t>2</w:t>
      </w:r>
      <w:r>
        <w:rPr>
          <w:lang w:val="en-US"/>
        </w:rPr>
        <w:t>).</w:t>
      </w:r>
      <w:r w:rsidR="00FF4499" w:rsidRPr="00AF5440">
        <w:rPr>
          <w:lang w:val="en-US"/>
        </w:rPr>
        <w:t xml:space="preserve"> </w:t>
      </w:r>
      <w:r w:rsidR="00BA772F" w:rsidRPr="00AF5440">
        <w:rPr>
          <w:lang w:val="en-US"/>
        </w:rPr>
        <w:t xml:space="preserve">His appetite </w:t>
      </w:r>
      <w:r w:rsidR="00C8384B" w:rsidRPr="00AF5440">
        <w:rPr>
          <w:lang w:val="en-US"/>
        </w:rPr>
        <w:t xml:space="preserve">had further </w:t>
      </w:r>
      <w:r w:rsidR="00BA772F" w:rsidRPr="00AF5440">
        <w:rPr>
          <w:lang w:val="en-US"/>
        </w:rPr>
        <w:t>improved</w:t>
      </w:r>
      <w:r w:rsidR="000475D2" w:rsidRPr="00AF5440">
        <w:rPr>
          <w:lang w:val="en-US"/>
        </w:rPr>
        <w:t xml:space="preserve"> and he had made pleasing progress</w:t>
      </w:r>
      <w:r w:rsidR="00BA772F" w:rsidRPr="00AF5440">
        <w:rPr>
          <w:lang w:val="en-US"/>
        </w:rPr>
        <w:t xml:space="preserve">. </w:t>
      </w:r>
      <w:r w:rsidR="00BB3159" w:rsidRPr="00BB3159">
        <w:rPr>
          <w:lang w:val="en-US"/>
        </w:rPr>
        <w:t xml:space="preserve">He </w:t>
      </w:r>
      <w:r w:rsidR="00BB3159">
        <w:rPr>
          <w:lang w:val="en-US"/>
        </w:rPr>
        <w:t>enjoyed playing</w:t>
      </w:r>
      <w:r w:rsidR="00BB3159" w:rsidRPr="00BB3159">
        <w:rPr>
          <w:lang w:val="en-US"/>
        </w:rPr>
        <w:t xml:space="preserve"> cricket and </w:t>
      </w:r>
      <w:r w:rsidR="00BB3159">
        <w:rPr>
          <w:lang w:val="en-US"/>
        </w:rPr>
        <w:t xml:space="preserve">doing </w:t>
      </w:r>
      <w:r w:rsidR="00BB3159" w:rsidRPr="00BB3159">
        <w:rPr>
          <w:lang w:val="en-US"/>
        </w:rPr>
        <w:t xml:space="preserve">gymnastics in school. </w:t>
      </w:r>
    </w:p>
    <w:p w14:paraId="01A68FDF" w14:textId="465A8958" w:rsidR="007A52A7" w:rsidRPr="002E5256" w:rsidRDefault="007A52A7" w:rsidP="007A52A7">
      <w:pPr>
        <w:spacing w:after="200"/>
        <w:jc w:val="both"/>
        <w:rPr>
          <w:b/>
          <w:u w:val="single"/>
          <w:lang w:val="en-US"/>
        </w:rPr>
      </w:pPr>
      <w:r w:rsidRPr="002E5256">
        <w:rPr>
          <w:b/>
          <w:u w:val="single"/>
          <w:lang w:val="en-US"/>
        </w:rPr>
        <w:t xml:space="preserve">Case </w:t>
      </w:r>
      <w:r>
        <w:rPr>
          <w:b/>
          <w:u w:val="single"/>
          <w:lang w:val="en-US"/>
        </w:rPr>
        <w:t>3</w:t>
      </w:r>
      <w:r w:rsidRPr="002E5256">
        <w:rPr>
          <w:b/>
          <w:u w:val="single"/>
          <w:lang w:val="en-US"/>
        </w:rPr>
        <w:t>: Case History and Examination</w:t>
      </w:r>
    </w:p>
    <w:p w14:paraId="64B0A135" w14:textId="55A4B07C" w:rsidR="00745575" w:rsidRDefault="00EF6C51" w:rsidP="00EF6C51">
      <w:pPr>
        <w:spacing w:after="200"/>
        <w:jc w:val="both"/>
        <w:rPr>
          <w:lang w:val="en-US"/>
        </w:rPr>
      </w:pPr>
      <w:r>
        <w:rPr>
          <w:lang w:val="en-US"/>
        </w:rPr>
        <w:t>The</w:t>
      </w:r>
      <w:r w:rsidR="00B60F97" w:rsidRPr="00AF5440">
        <w:rPr>
          <w:lang w:val="en-US"/>
        </w:rPr>
        <w:t xml:space="preserve"> </w:t>
      </w:r>
      <w:r w:rsidR="00000B43" w:rsidRPr="00AF5440">
        <w:rPr>
          <w:lang w:val="en-US"/>
        </w:rPr>
        <w:t>third</w:t>
      </w:r>
      <w:r w:rsidR="00B60F97" w:rsidRPr="00AF5440">
        <w:rPr>
          <w:lang w:val="en-US"/>
        </w:rPr>
        <w:t xml:space="preserve"> </w:t>
      </w:r>
      <w:r w:rsidR="00E75EA4" w:rsidRPr="00AF5440">
        <w:rPr>
          <w:lang w:val="en-US"/>
        </w:rPr>
        <w:t>patient</w:t>
      </w:r>
      <w:r>
        <w:rPr>
          <w:lang w:val="en-US"/>
        </w:rPr>
        <w:t>, a girl,</w:t>
      </w:r>
      <w:r w:rsidR="00B60F97" w:rsidRPr="00AF5440">
        <w:rPr>
          <w:lang w:val="en-US"/>
        </w:rPr>
        <w:t xml:space="preserve"> </w:t>
      </w:r>
      <w:r w:rsidR="00B5346F" w:rsidRPr="00AF5440">
        <w:rPr>
          <w:lang w:val="en-US"/>
        </w:rPr>
        <w:t>was born at term with no neonatal concerns to Irish non</w:t>
      </w:r>
      <w:r>
        <w:rPr>
          <w:lang w:val="en-US"/>
        </w:rPr>
        <w:t>-</w:t>
      </w:r>
      <w:r w:rsidR="00B5346F" w:rsidRPr="00AF5440">
        <w:rPr>
          <w:lang w:val="en-US"/>
        </w:rPr>
        <w:t>consanguineous parents.</w:t>
      </w:r>
      <w:r w:rsidR="00104C61">
        <w:rPr>
          <w:lang w:val="en-US"/>
        </w:rPr>
        <w:t xml:space="preserve"> </w:t>
      </w:r>
      <w:r w:rsidR="00B5346F" w:rsidRPr="00AF5440">
        <w:rPr>
          <w:lang w:val="en-US"/>
        </w:rPr>
        <w:t xml:space="preserve">She </w:t>
      </w:r>
      <w:r>
        <w:rPr>
          <w:lang w:val="en-US"/>
        </w:rPr>
        <w:t xml:space="preserve">presented </w:t>
      </w:r>
      <w:r w:rsidR="00B60F97" w:rsidRPr="00AF5440">
        <w:rPr>
          <w:lang w:val="en-US"/>
        </w:rPr>
        <w:t>at 5 years</w:t>
      </w:r>
      <w:r w:rsidR="00E75EA4" w:rsidRPr="00AF5440">
        <w:rPr>
          <w:lang w:val="en-US"/>
        </w:rPr>
        <w:t xml:space="preserve"> of</w:t>
      </w:r>
      <w:r w:rsidR="007D4DC4" w:rsidRPr="00AF5440">
        <w:rPr>
          <w:lang w:val="en-US"/>
        </w:rPr>
        <w:t xml:space="preserve"> age</w:t>
      </w:r>
      <w:r w:rsidR="00B60F97" w:rsidRPr="00AF5440">
        <w:rPr>
          <w:lang w:val="en-US"/>
        </w:rPr>
        <w:t xml:space="preserve"> with </w:t>
      </w:r>
      <w:r w:rsidR="00E75EA4" w:rsidRPr="00AF5440">
        <w:rPr>
          <w:lang w:val="en-US"/>
        </w:rPr>
        <w:t>focal</w:t>
      </w:r>
      <w:r w:rsidR="00B60F97" w:rsidRPr="00AF5440">
        <w:rPr>
          <w:lang w:val="en-US"/>
        </w:rPr>
        <w:t xml:space="preserve"> seizures</w:t>
      </w:r>
      <w:r w:rsidR="001A5F07" w:rsidRPr="00AF5440">
        <w:rPr>
          <w:lang w:val="en-US"/>
        </w:rPr>
        <w:t xml:space="preserve">. </w:t>
      </w:r>
      <w:r w:rsidR="007D4DC4" w:rsidRPr="00AF5440">
        <w:rPr>
          <w:lang w:val="en-US"/>
        </w:rPr>
        <w:t xml:space="preserve">During these episodes she became pale, unresponsive and had twitching of her right upper limb with a persistently fixed stare, </w:t>
      </w:r>
      <w:r w:rsidR="00B5346F" w:rsidRPr="00AF5440">
        <w:rPr>
          <w:lang w:val="en-US"/>
        </w:rPr>
        <w:t>lasting a few</w:t>
      </w:r>
      <w:r w:rsidR="007D4DC4" w:rsidRPr="00AF5440">
        <w:rPr>
          <w:lang w:val="en-US"/>
        </w:rPr>
        <w:t xml:space="preserve"> minutes. She </w:t>
      </w:r>
      <w:r>
        <w:rPr>
          <w:lang w:val="en-US"/>
        </w:rPr>
        <w:t xml:space="preserve">also </w:t>
      </w:r>
      <w:r w:rsidR="007D4DC4" w:rsidRPr="00AF5440">
        <w:rPr>
          <w:lang w:val="en-US"/>
        </w:rPr>
        <w:t>had a mild resting tremor</w:t>
      </w:r>
      <w:r>
        <w:rPr>
          <w:lang w:val="en-US"/>
        </w:rPr>
        <w:t xml:space="preserve">, </w:t>
      </w:r>
      <w:r w:rsidR="007D4DC4" w:rsidRPr="00AF5440">
        <w:rPr>
          <w:lang w:val="en-US"/>
        </w:rPr>
        <w:t xml:space="preserve">developmental co-ordination disorder </w:t>
      </w:r>
      <w:r w:rsidRPr="00EF6C51">
        <w:rPr>
          <w:lang w:val="en-US"/>
        </w:rPr>
        <w:t>and was noted to have learning difficulties</w:t>
      </w:r>
    </w:p>
    <w:p w14:paraId="40A159FE" w14:textId="51597A11" w:rsidR="007A52A7" w:rsidRPr="002E5256" w:rsidRDefault="007A52A7" w:rsidP="007A52A7">
      <w:pPr>
        <w:spacing w:after="200"/>
        <w:jc w:val="both"/>
        <w:rPr>
          <w:b/>
          <w:u w:val="single"/>
          <w:lang w:val="en-US"/>
        </w:rPr>
      </w:pPr>
      <w:r w:rsidRPr="002E5256">
        <w:rPr>
          <w:b/>
          <w:u w:val="single"/>
          <w:lang w:val="en-US"/>
        </w:rPr>
        <w:t xml:space="preserve">Case </w:t>
      </w:r>
      <w:r>
        <w:rPr>
          <w:b/>
          <w:u w:val="single"/>
          <w:lang w:val="en-US"/>
        </w:rPr>
        <w:t>3</w:t>
      </w:r>
      <w:r w:rsidRPr="002E5256">
        <w:rPr>
          <w:b/>
          <w:u w:val="single"/>
          <w:lang w:val="en-US"/>
        </w:rPr>
        <w:t>: Investigations and Treatment</w:t>
      </w:r>
    </w:p>
    <w:p w14:paraId="2F25BF8A" w14:textId="4AB8F82D" w:rsidR="00EF6C51" w:rsidRPr="00EF6C51" w:rsidRDefault="00784B5D" w:rsidP="00784B5D">
      <w:pPr>
        <w:spacing w:after="200"/>
        <w:jc w:val="both"/>
        <w:rPr>
          <w:lang w:val="en-US"/>
        </w:rPr>
      </w:pPr>
      <w:r w:rsidRPr="00EF6C51">
        <w:rPr>
          <w:lang w:val="en-US"/>
        </w:rPr>
        <w:t xml:space="preserve">She had previous investigations, including, e.g., a CGH microarray, which were unrevealing from a diagnostic point view. She had an MRI brain which </w:t>
      </w:r>
      <w:r>
        <w:rPr>
          <w:lang w:val="en-US"/>
        </w:rPr>
        <w:t>showed</w:t>
      </w:r>
      <w:r w:rsidRPr="00EF6C51">
        <w:rPr>
          <w:lang w:val="en-US"/>
        </w:rPr>
        <w:t xml:space="preserve"> a paraventricular left frontal deep white matter T2 hyperintensity of uncertain significance. She also had some </w:t>
      </w:r>
      <w:r w:rsidRPr="00EF6C51">
        <w:rPr>
          <w:lang w:val="en-US"/>
        </w:rPr>
        <w:lastRenderedPageBreak/>
        <w:t>subjective volume loss in the body and splenium of the corpus callosum as well as reduced white matter volume in both parieto-occipital lobes posteriorly. Her EEG at this time showed abnormal low amplitude spikes bilaterally in the fronto</w:t>
      </w:r>
      <w:r>
        <w:rPr>
          <w:lang w:val="en-US"/>
        </w:rPr>
        <w:t>-</w:t>
      </w:r>
      <w:r w:rsidRPr="00EF6C51">
        <w:rPr>
          <w:lang w:val="en-US"/>
        </w:rPr>
        <w:t xml:space="preserve">central region. </w:t>
      </w:r>
      <w:r>
        <w:rPr>
          <w:lang w:val="en-US"/>
        </w:rPr>
        <w:t xml:space="preserve">Initially, her seizures were </w:t>
      </w:r>
      <w:r w:rsidR="00EF6C51" w:rsidRPr="00EF6C51">
        <w:rPr>
          <w:lang w:val="en-US"/>
        </w:rPr>
        <w:t xml:space="preserve">well managed on valproate; however, she had worsening of her tremor and was switched to levetiracetam. At this point she was also commenced on Pyridoxine. </w:t>
      </w:r>
    </w:p>
    <w:p w14:paraId="660F6CE9" w14:textId="77777777" w:rsidR="00784B5D" w:rsidRDefault="00EF6C51" w:rsidP="00EF6C51">
      <w:pPr>
        <w:spacing w:after="200"/>
        <w:jc w:val="both"/>
        <w:rPr>
          <w:lang w:val="en-US"/>
        </w:rPr>
      </w:pPr>
      <w:r w:rsidRPr="00EF6C51">
        <w:rPr>
          <w:lang w:val="en-US"/>
        </w:rPr>
        <w:t xml:space="preserve">By 9 years 5 months she had increasing behavioral difficulties which were difficult to manage and so her levetiracetam was discontinued and she was initiated on oxcarbazepine. Following this medication change was a notable increase in her weight. At ten years, 4 months she was then initiated on brivaracetam with the aim of weaning to a lower dose of oxcarbazepine due to her weight gain and challenging behavior. </w:t>
      </w:r>
      <w:r w:rsidR="00784B5D">
        <w:rPr>
          <w:lang w:val="en-US"/>
        </w:rPr>
        <w:t xml:space="preserve"> </w:t>
      </w:r>
      <w:r w:rsidRPr="00EF6C51">
        <w:rPr>
          <w:lang w:val="en-US"/>
        </w:rPr>
        <w:t>Over a three month period following this she had a marked deterioration in her behavior with significant aggression</w:t>
      </w:r>
      <w:r w:rsidR="00784B5D">
        <w:rPr>
          <w:lang w:val="en-US"/>
        </w:rPr>
        <w:t>,</w:t>
      </w:r>
      <w:r w:rsidRPr="00EF6C51">
        <w:rPr>
          <w:lang w:val="en-US"/>
        </w:rPr>
        <w:t xml:space="preserve"> nevertheless she had adequate seizure control. Given her deteriorating behavior one month prior to her admission she was weaned off brivaracetam. She was continued on a lower dose of oxcarbazepine and initiated on clobazam. She was admitted at ten years, eight months of age with </w:t>
      </w:r>
      <w:r w:rsidR="00784B5D">
        <w:rPr>
          <w:lang w:val="en-US"/>
        </w:rPr>
        <w:t xml:space="preserve">an acute episode of </w:t>
      </w:r>
      <w:r w:rsidRPr="00EF6C51">
        <w:rPr>
          <w:lang w:val="en-US"/>
        </w:rPr>
        <w:t xml:space="preserve">aggression, agitation, as well as auditory and visual hallucinations. </w:t>
      </w:r>
    </w:p>
    <w:p w14:paraId="23A32F60" w14:textId="4FEA9D4E" w:rsidR="0094491D" w:rsidRDefault="00784B5D" w:rsidP="00EF6C51">
      <w:pPr>
        <w:spacing w:after="200"/>
        <w:jc w:val="both"/>
        <w:rPr>
          <w:lang w:val="en-US"/>
        </w:rPr>
      </w:pPr>
      <w:r>
        <w:rPr>
          <w:lang w:val="en-US"/>
        </w:rPr>
        <w:t xml:space="preserve">Her repeat </w:t>
      </w:r>
      <w:r w:rsidR="0055096E" w:rsidRPr="00AF5440">
        <w:rPr>
          <w:lang w:val="en-US"/>
        </w:rPr>
        <w:t xml:space="preserve">MRI </w:t>
      </w:r>
      <w:r w:rsidR="00741D13" w:rsidRPr="00AF5440">
        <w:rPr>
          <w:lang w:val="en-US"/>
        </w:rPr>
        <w:t>b</w:t>
      </w:r>
      <w:r w:rsidR="0055096E" w:rsidRPr="00AF5440">
        <w:rPr>
          <w:lang w:val="en-US"/>
        </w:rPr>
        <w:t xml:space="preserve">rain which revealed </w:t>
      </w:r>
      <w:r w:rsidR="00CB2AFF" w:rsidRPr="00AF5440">
        <w:rPr>
          <w:lang w:val="en-US"/>
        </w:rPr>
        <w:t>noticeable</w:t>
      </w:r>
      <w:r w:rsidR="0055096E" w:rsidRPr="00AF5440">
        <w:rPr>
          <w:lang w:val="en-US"/>
        </w:rPr>
        <w:t xml:space="preserve"> </w:t>
      </w:r>
      <w:r w:rsidR="000355D6" w:rsidRPr="00AF5440">
        <w:rPr>
          <w:lang w:val="en-US"/>
        </w:rPr>
        <w:t>generalised</w:t>
      </w:r>
      <w:r w:rsidR="0055096E" w:rsidRPr="00AF5440">
        <w:rPr>
          <w:lang w:val="en-US"/>
        </w:rPr>
        <w:t xml:space="preserve"> supratentorial white matter and grey matter volume loss when compared with previous MRI </w:t>
      </w:r>
      <w:r w:rsidR="00CB2AFF" w:rsidRPr="00AF5440">
        <w:rPr>
          <w:lang w:val="en-US"/>
        </w:rPr>
        <w:t>b</w:t>
      </w:r>
      <w:r w:rsidR="0055096E" w:rsidRPr="00AF5440">
        <w:rPr>
          <w:lang w:val="en-US"/>
        </w:rPr>
        <w:t>rain</w:t>
      </w:r>
      <w:r w:rsidR="0051712E" w:rsidRPr="00AF5440">
        <w:rPr>
          <w:lang w:val="en-US"/>
        </w:rPr>
        <w:t xml:space="preserve"> </w:t>
      </w:r>
      <w:r w:rsidR="00AD55B5" w:rsidRPr="00AF5440">
        <w:rPr>
          <w:lang w:val="en-US"/>
        </w:rPr>
        <w:t xml:space="preserve">as in </w:t>
      </w:r>
      <w:r w:rsidR="0051712E" w:rsidRPr="00AF5440">
        <w:rPr>
          <w:lang w:val="en-US"/>
        </w:rPr>
        <w:t xml:space="preserve">figure </w:t>
      </w:r>
      <w:r w:rsidR="009463F5" w:rsidRPr="00AF5440">
        <w:rPr>
          <w:lang w:val="en-US"/>
        </w:rPr>
        <w:t>4</w:t>
      </w:r>
      <w:r w:rsidR="0055096E" w:rsidRPr="00AF5440">
        <w:rPr>
          <w:lang w:val="en-US"/>
        </w:rPr>
        <w:t xml:space="preserve">. MR Spectroscopy was normal. She had an EEG which </w:t>
      </w:r>
      <w:r w:rsidR="00000B43" w:rsidRPr="00AF5440">
        <w:rPr>
          <w:lang w:val="en-US"/>
        </w:rPr>
        <w:t xml:space="preserve">was markedly abnormal with slow and encephalopathic background </w:t>
      </w:r>
      <w:r w:rsidR="00CB2AFF" w:rsidRPr="00AF5440">
        <w:rPr>
          <w:lang w:val="en-US"/>
        </w:rPr>
        <w:t xml:space="preserve">but </w:t>
      </w:r>
      <w:r w:rsidR="00000B43" w:rsidRPr="00AF5440">
        <w:rPr>
          <w:lang w:val="en-US"/>
        </w:rPr>
        <w:t xml:space="preserve">with no frank epileptiform discharges. </w:t>
      </w:r>
      <w:r w:rsidR="006D5CCD" w:rsidRPr="00AF5440">
        <w:rPr>
          <w:lang w:val="en-US"/>
        </w:rPr>
        <w:t xml:space="preserve">A </w:t>
      </w:r>
      <w:r>
        <w:rPr>
          <w:lang w:val="en-US"/>
        </w:rPr>
        <w:t>comprehensive</w:t>
      </w:r>
      <w:r w:rsidR="006D5CCD" w:rsidRPr="00AF5440">
        <w:rPr>
          <w:lang w:val="en-US"/>
        </w:rPr>
        <w:t xml:space="preserve"> work-up was performed. </w:t>
      </w:r>
      <w:r w:rsidR="00CB2AFF" w:rsidRPr="00AF5440">
        <w:rPr>
          <w:lang w:val="en-US"/>
        </w:rPr>
        <w:t>Plasma</w:t>
      </w:r>
      <w:r w:rsidR="00000B43" w:rsidRPr="00AF5440">
        <w:rPr>
          <w:lang w:val="en-US"/>
        </w:rPr>
        <w:t xml:space="preserve"> </w:t>
      </w:r>
      <w:r w:rsidR="00CB2AFF" w:rsidRPr="00AF5440">
        <w:rPr>
          <w:lang w:val="en-US"/>
        </w:rPr>
        <w:t>a</w:t>
      </w:r>
      <w:r w:rsidR="00000B43" w:rsidRPr="00AF5440">
        <w:rPr>
          <w:lang w:val="en-US"/>
        </w:rPr>
        <w:t xml:space="preserve">mino </w:t>
      </w:r>
      <w:r w:rsidR="00CB2AFF" w:rsidRPr="00AF5440">
        <w:rPr>
          <w:lang w:val="en-US"/>
        </w:rPr>
        <w:t>a</w:t>
      </w:r>
      <w:r w:rsidR="00000B43" w:rsidRPr="00AF5440">
        <w:rPr>
          <w:lang w:val="en-US"/>
        </w:rPr>
        <w:t>cids showed an elevated total homocysteine of 330</w:t>
      </w:r>
      <w:r w:rsidR="00ED5B76" w:rsidRPr="00AF5440">
        <w:rPr>
          <w:lang w:val="en-US"/>
        </w:rPr>
        <w:t xml:space="preserve"> </w:t>
      </w:r>
      <w:r w:rsidR="00ED5B76" w:rsidRPr="00AF5440">
        <w:rPr>
          <w:rStyle w:val="units2"/>
          <w:lang w:val="en-US"/>
        </w:rPr>
        <w:t>umol/L</w:t>
      </w:r>
      <w:r w:rsidR="00000B43" w:rsidRPr="00AF5440">
        <w:rPr>
          <w:lang w:val="en-US"/>
        </w:rPr>
        <w:t xml:space="preserve">, </w:t>
      </w:r>
      <w:r w:rsidR="00C47DF2" w:rsidRPr="00AF5440">
        <w:rPr>
          <w:lang w:val="en-US"/>
        </w:rPr>
        <w:t xml:space="preserve">presence of mixed disulphide peak detected </w:t>
      </w:r>
      <w:r w:rsidR="000A1AC1" w:rsidRPr="00AF5440">
        <w:rPr>
          <w:lang w:val="en-US"/>
        </w:rPr>
        <w:t xml:space="preserve">with an elevated </w:t>
      </w:r>
      <w:r w:rsidR="00000B43" w:rsidRPr="00AF5440">
        <w:rPr>
          <w:lang w:val="en-US"/>
        </w:rPr>
        <w:t xml:space="preserve">free homocystine </w:t>
      </w:r>
      <w:r w:rsidR="000A1AC1" w:rsidRPr="00AF5440">
        <w:rPr>
          <w:lang w:val="en-US"/>
        </w:rPr>
        <w:t>of 36</w:t>
      </w:r>
      <w:r w:rsidR="00ED5B76" w:rsidRPr="00AF5440">
        <w:rPr>
          <w:lang w:val="en-US"/>
        </w:rPr>
        <w:t xml:space="preserve"> </w:t>
      </w:r>
      <w:r w:rsidR="000A1AC1" w:rsidRPr="00AF5440">
        <w:rPr>
          <w:lang w:val="en-US"/>
        </w:rPr>
        <w:t xml:space="preserve">umol/L </w:t>
      </w:r>
      <w:r w:rsidR="00000B43" w:rsidRPr="00AF5440">
        <w:rPr>
          <w:lang w:val="en-US"/>
        </w:rPr>
        <w:t xml:space="preserve">and a low methionine </w:t>
      </w:r>
      <w:r w:rsidR="000A1AC1" w:rsidRPr="00AF5440">
        <w:rPr>
          <w:lang w:val="en-US"/>
        </w:rPr>
        <w:t>of 7</w:t>
      </w:r>
      <w:r w:rsidR="00000B43" w:rsidRPr="00AF5440">
        <w:rPr>
          <w:lang w:val="en-US"/>
        </w:rPr>
        <w:t xml:space="preserve"> </w:t>
      </w:r>
      <w:r w:rsidR="00ED5B76" w:rsidRPr="00AF5440">
        <w:rPr>
          <w:rStyle w:val="units2"/>
          <w:lang w:val="en-US"/>
        </w:rPr>
        <w:t>umol/L</w:t>
      </w:r>
      <w:r w:rsidR="006D5CCD" w:rsidRPr="00AF5440">
        <w:rPr>
          <w:rStyle w:val="units2"/>
          <w:lang w:val="en-US"/>
        </w:rPr>
        <w:t>.</w:t>
      </w:r>
      <w:r w:rsidR="00ED5B76" w:rsidRPr="00AF5440">
        <w:rPr>
          <w:lang w:val="en-US"/>
        </w:rPr>
        <w:t xml:space="preserve"> </w:t>
      </w:r>
      <w:r w:rsidR="004A60E7" w:rsidRPr="00AF5440">
        <w:rPr>
          <w:lang w:val="en-US"/>
        </w:rPr>
        <w:t>There were</w:t>
      </w:r>
      <w:r w:rsidR="00AA4488" w:rsidRPr="00AF5440">
        <w:rPr>
          <w:lang w:val="en-US"/>
        </w:rPr>
        <w:t xml:space="preserve"> no abnormalities noted on urine organic acid </w:t>
      </w:r>
      <w:r w:rsidR="00C47DF2" w:rsidRPr="00AF5440">
        <w:rPr>
          <w:lang w:val="en-US"/>
        </w:rPr>
        <w:t xml:space="preserve">or </w:t>
      </w:r>
      <w:r w:rsidR="00AA4488" w:rsidRPr="00AF5440">
        <w:rPr>
          <w:lang w:val="en-US"/>
        </w:rPr>
        <w:t xml:space="preserve">dried blood spot acylcarnitine profiles. </w:t>
      </w:r>
      <w:r w:rsidR="00C47DF2" w:rsidRPr="00AF5440">
        <w:rPr>
          <w:lang w:val="en-US"/>
        </w:rPr>
        <w:t>N</w:t>
      </w:r>
      <w:r w:rsidR="006D5CCD" w:rsidRPr="00AF5440">
        <w:rPr>
          <w:lang w:val="en-US"/>
        </w:rPr>
        <w:t>ormal FBC</w:t>
      </w:r>
      <w:r w:rsidR="00AA4488" w:rsidRPr="00AF5440">
        <w:rPr>
          <w:lang w:val="en-US"/>
        </w:rPr>
        <w:t xml:space="preserve"> with </w:t>
      </w:r>
      <w:r w:rsidR="006D5CCD" w:rsidRPr="00AF5440">
        <w:rPr>
          <w:lang w:val="en-US"/>
        </w:rPr>
        <w:t>n</w:t>
      </w:r>
      <w:r w:rsidR="00AA4488" w:rsidRPr="00AF5440">
        <w:rPr>
          <w:lang w:val="en-US"/>
        </w:rPr>
        <w:t xml:space="preserve">o evidence of </w:t>
      </w:r>
      <w:r w:rsidR="009001BC" w:rsidRPr="00AF5440">
        <w:rPr>
          <w:lang w:val="en-US"/>
        </w:rPr>
        <w:t>macrocytosis</w:t>
      </w:r>
      <w:r w:rsidR="00AA4488" w:rsidRPr="00AF5440">
        <w:rPr>
          <w:lang w:val="en-US"/>
        </w:rPr>
        <w:t xml:space="preserve"> </w:t>
      </w:r>
      <w:r w:rsidR="00000B43" w:rsidRPr="00AF5440">
        <w:rPr>
          <w:lang w:val="en-US"/>
        </w:rPr>
        <w:t>raised suspicion for MTHFR deficiency</w:t>
      </w:r>
      <w:r w:rsidR="00DF29CC" w:rsidRPr="00AF5440">
        <w:rPr>
          <w:lang w:val="en-US"/>
        </w:rPr>
        <w:t xml:space="preserve"> rather than </w:t>
      </w:r>
      <w:r w:rsidR="005C6DAE" w:rsidRPr="00AF5440">
        <w:rPr>
          <w:lang w:val="en-US"/>
        </w:rPr>
        <w:t xml:space="preserve">intracellular </w:t>
      </w:r>
      <w:r w:rsidR="00AA4488" w:rsidRPr="00AF5440">
        <w:rPr>
          <w:lang w:val="en-US"/>
        </w:rPr>
        <w:t>cobalamin</w:t>
      </w:r>
      <w:r w:rsidR="005C6DAE" w:rsidRPr="00AF5440">
        <w:rPr>
          <w:lang w:val="en-US"/>
        </w:rPr>
        <w:t xml:space="preserve"> (</w:t>
      </w:r>
      <w:r w:rsidR="00733B75" w:rsidRPr="00AF5440">
        <w:rPr>
          <w:lang w:val="en-US"/>
        </w:rPr>
        <w:t>c</w:t>
      </w:r>
      <w:r w:rsidR="005C6DAE" w:rsidRPr="00AF5440">
        <w:rPr>
          <w:lang w:val="en-US"/>
        </w:rPr>
        <w:t>bl)</w:t>
      </w:r>
      <w:r w:rsidR="00AA4488" w:rsidRPr="00AF5440">
        <w:rPr>
          <w:lang w:val="en-US"/>
        </w:rPr>
        <w:t>-related disorders</w:t>
      </w:r>
      <w:r w:rsidR="00845123" w:rsidRPr="00AF5440">
        <w:rPr>
          <w:lang w:val="en-US"/>
        </w:rPr>
        <w:t>.</w:t>
      </w:r>
      <w:r w:rsidR="00845123" w:rsidRPr="00AF5440">
        <w:rPr>
          <w:vertAlign w:val="superscript"/>
          <w:lang w:val="en-US"/>
        </w:rPr>
        <w:t>3,4</w:t>
      </w:r>
      <w:r w:rsidR="00104C61">
        <w:rPr>
          <w:vertAlign w:val="superscript"/>
          <w:lang w:val="en-US"/>
        </w:rPr>
        <w:t xml:space="preserve"> </w:t>
      </w:r>
      <w:r w:rsidR="00733B75" w:rsidRPr="00AF5440">
        <w:rPr>
          <w:lang w:val="en-US"/>
        </w:rPr>
        <w:t xml:space="preserve">Additional </w:t>
      </w:r>
      <w:r w:rsidR="00000B43" w:rsidRPr="00AF5440">
        <w:rPr>
          <w:lang w:val="en-US"/>
        </w:rPr>
        <w:t xml:space="preserve">CSF </w:t>
      </w:r>
      <w:r w:rsidR="000A1AC1" w:rsidRPr="00AF5440">
        <w:rPr>
          <w:lang w:val="en-US"/>
        </w:rPr>
        <w:t>a</w:t>
      </w:r>
      <w:r w:rsidR="00000B43" w:rsidRPr="00AF5440">
        <w:rPr>
          <w:lang w:val="en-US"/>
        </w:rPr>
        <w:t xml:space="preserve">mino </w:t>
      </w:r>
      <w:r w:rsidR="000A1AC1" w:rsidRPr="00AF5440">
        <w:rPr>
          <w:lang w:val="en-US"/>
        </w:rPr>
        <w:t>a</w:t>
      </w:r>
      <w:r w:rsidR="00000B43" w:rsidRPr="00AF5440">
        <w:rPr>
          <w:lang w:val="en-US"/>
        </w:rPr>
        <w:t xml:space="preserve">cids </w:t>
      </w:r>
      <w:r w:rsidR="00233881" w:rsidRPr="00AF5440">
        <w:rPr>
          <w:lang w:val="en-US"/>
        </w:rPr>
        <w:t>studies</w:t>
      </w:r>
      <w:r w:rsidR="00000B43" w:rsidRPr="00AF5440">
        <w:rPr>
          <w:lang w:val="en-US"/>
        </w:rPr>
        <w:t xml:space="preserve"> </w:t>
      </w:r>
      <w:r w:rsidR="008D3EE6" w:rsidRPr="00AF5440">
        <w:rPr>
          <w:lang w:val="en-US"/>
        </w:rPr>
        <w:t>revealed</w:t>
      </w:r>
      <w:r w:rsidR="00000B43" w:rsidRPr="00AF5440">
        <w:rPr>
          <w:lang w:val="en-US"/>
        </w:rPr>
        <w:t xml:space="preserve"> an undetectable methionine</w:t>
      </w:r>
      <w:r w:rsidR="00DC14BC" w:rsidRPr="00AF5440">
        <w:rPr>
          <w:lang w:val="en-US"/>
        </w:rPr>
        <w:t xml:space="preserve"> in CSF</w:t>
      </w:r>
      <w:r w:rsidR="00000B43" w:rsidRPr="00AF5440">
        <w:rPr>
          <w:lang w:val="en-US"/>
        </w:rPr>
        <w:t xml:space="preserve">. </w:t>
      </w:r>
      <w:r w:rsidR="006D5CCD" w:rsidRPr="00AF5440">
        <w:rPr>
          <w:lang w:val="en-US"/>
        </w:rPr>
        <w:t xml:space="preserve">CSF 5-Methyltetrahydrofolate was </w:t>
      </w:r>
      <w:r w:rsidR="00DC14BC" w:rsidRPr="00AF5440">
        <w:rPr>
          <w:lang w:val="en-US"/>
        </w:rPr>
        <w:t xml:space="preserve">also </w:t>
      </w:r>
      <w:r w:rsidR="006D6AF5" w:rsidRPr="00AF5440">
        <w:rPr>
          <w:lang w:val="en-US"/>
        </w:rPr>
        <w:t xml:space="preserve">low at </w:t>
      </w:r>
      <w:r w:rsidR="00AA4488" w:rsidRPr="00AF5440">
        <w:rPr>
          <w:lang w:val="en-US"/>
        </w:rPr>
        <w:t xml:space="preserve">&lt;10 </w:t>
      </w:r>
      <w:r w:rsidR="006D5CCD" w:rsidRPr="00AF5440">
        <w:rPr>
          <w:lang w:val="en-US"/>
        </w:rPr>
        <w:t>nmol/L (46 to 160</w:t>
      </w:r>
      <w:r w:rsidR="00AA4488" w:rsidRPr="00AF5440">
        <w:rPr>
          <w:lang w:val="en-US"/>
        </w:rPr>
        <w:t xml:space="preserve"> nmol/L</w:t>
      </w:r>
      <w:r w:rsidR="006D5CCD" w:rsidRPr="00AF5440">
        <w:rPr>
          <w:lang w:val="en-US"/>
        </w:rPr>
        <w:t xml:space="preserve">). </w:t>
      </w:r>
      <w:r w:rsidR="00000B43" w:rsidRPr="00AF5440">
        <w:rPr>
          <w:lang w:val="en-US"/>
        </w:rPr>
        <w:t xml:space="preserve">Her </w:t>
      </w:r>
      <w:r w:rsidR="00AA4488" w:rsidRPr="00AF5440">
        <w:rPr>
          <w:lang w:val="en-US"/>
        </w:rPr>
        <w:t xml:space="preserve">serum </w:t>
      </w:r>
      <w:r w:rsidR="00000B43" w:rsidRPr="00AF5440">
        <w:rPr>
          <w:lang w:val="en-US"/>
        </w:rPr>
        <w:t xml:space="preserve">folate was </w:t>
      </w:r>
      <w:r w:rsidR="000A1AC1" w:rsidRPr="00AF5440">
        <w:rPr>
          <w:lang w:val="en-US"/>
        </w:rPr>
        <w:t xml:space="preserve">reduced at </w:t>
      </w:r>
      <w:r w:rsidR="00000B43" w:rsidRPr="00AF5440">
        <w:rPr>
          <w:lang w:val="en-US"/>
        </w:rPr>
        <w:t>3.1ug/L</w:t>
      </w:r>
      <w:r w:rsidR="00EF71F3" w:rsidRPr="00AF5440">
        <w:rPr>
          <w:lang w:val="en-US"/>
        </w:rPr>
        <w:t xml:space="preserve"> (3.8 to 18.2ug/L)</w:t>
      </w:r>
      <w:r w:rsidR="00000B43" w:rsidRPr="00AF5440">
        <w:rPr>
          <w:lang w:val="en-US"/>
        </w:rPr>
        <w:t xml:space="preserve">. </w:t>
      </w:r>
      <w:r w:rsidR="00733B75" w:rsidRPr="00AF5440">
        <w:rPr>
          <w:lang w:val="en-US"/>
        </w:rPr>
        <w:t>Confirmatory</w:t>
      </w:r>
      <w:r w:rsidR="00000B43" w:rsidRPr="00AF5440">
        <w:rPr>
          <w:lang w:val="en-US"/>
        </w:rPr>
        <w:t xml:space="preserve"> molecular genetic</w:t>
      </w:r>
      <w:r w:rsidR="00733B75" w:rsidRPr="00AF5440">
        <w:rPr>
          <w:lang w:val="en-US"/>
        </w:rPr>
        <w:t xml:space="preserve"> analysi</w:t>
      </w:r>
      <w:r w:rsidR="00000B43" w:rsidRPr="00AF5440">
        <w:rPr>
          <w:lang w:val="en-US"/>
        </w:rPr>
        <w:t xml:space="preserve">s demonstrated </w:t>
      </w:r>
      <w:r w:rsidR="00233881" w:rsidRPr="00AF5440">
        <w:rPr>
          <w:lang w:val="en-US"/>
        </w:rPr>
        <w:t xml:space="preserve">the </w:t>
      </w:r>
      <w:r w:rsidR="00000B43" w:rsidRPr="00AF5440">
        <w:rPr>
          <w:lang w:val="en-US"/>
        </w:rPr>
        <w:t xml:space="preserve">homozygous </w:t>
      </w:r>
      <w:r w:rsidR="00233881" w:rsidRPr="00AF5440">
        <w:rPr>
          <w:lang w:val="en-US"/>
        </w:rPr>
        <w:t xml:space="preserve">pathogenic variant </w:t>
      </w:r>
      <w:r w:rsidR="00000B43" w:rsidRPr="00AF5440">
        <w:rPr>
          <w:lang w:val="en-US"/>
        </w:rPr>
        <w:t>c.386C&gt;T</w:t>
      </w:r>
      <w:r w:rsidR="000A1AC1" w:rsidRPr="00AF5440">
        <w:rPr>
          <w:lang w:val="en-US"/>
        </w:rPr>
        <w:t xml:space="preserve"> in the </w:t>
      </w:r>
      <w:r w:rsidR="000A1AC1" w:rsidRPr="00AF5440">
        <w:rPr>
          <w:i/>
          <w:lang w:val="en-US"/>
        </w:rPr>
        <w:t>MTHFR</w:t>
      </w:r>
      <w:r w:rsidR="000A1AC1" w:rsidRPr="00AF5440">
        <w:rPr>
          <w:lang w:val="en-US"/>
        </w:rPr>
        <w:t xml:space="preserve"> gene </w:t>
      </w:r>
      <w:r w:rsidR="008D3EE6" w:rsidRPr="00AF5440">
        <w:rPr>
          <w:lang w:val="en-US"/>
        </w:rPr>
        <w:t>(</w:t>
      </w:r>
      <w:r w:rsidR="00000B43" w:rsidRPr="00AF5440">
        <w:rPr>
          <w:lang w:val="en-US"/>
        </w:rPr>
        <w:t xml:space="preserve">p.Thr129Ile). </w:t>
      </w:r>
      <w:r w:rsidR="00733B75" w:rsidRPr="00AF5440">
        <w:rPr>
          <w:lang w:val="en-US"/>
        </w:rPr>
        <w:t xml:space="preserve">The patient </w:t>
      </w:r>
      <w:r w:rsidR="00000B43" w:rsidRPr="00AF5440">
        <w:rPr>
          <w:lang w:val="en-US"/>
        </w:rPr>
        <w:t xml:space="preserve">was </w:t>
      </w:r>
      <w:r w:rsidR="00DC14BC" w:rsidRPr="00AF5440">
        <w:rPr>
          <w:lang w:val="en-US"/>
        </w:rPr>
        <w:t>commenced on</w:t>
      </w:r>
      <w:r w:rsidR="00000B43" w:rsidRPr="00AF5440">
        <w:rPr>
          <w:lang w:val="en-US"/>
        </w:rPr>
        <w:t xml:space="preserve"> Pyridoxine 50mg OD, Vitamin B2 10mg OD, Betaine 3grams BD, Methylfolate 15mg OD and Vitamin B12 1mg IM once a month with a </w:t>
      </w:r>
      <w:r w:rsidR="00233881" w:rsidRPr="00AF5440">
        <w:rPr>
          <w:lang w:val="en-US"/>
        </w:rPr>
        <w:t xml:space="preserve">significant </w:t>
      </w:r>
      <w:r w:rsidR="00000B43" w:rsidRPr="00AF5440">
        <w:rPr>
          <w:lang w:val="en-US"/>
        </w:rPr>
        <w:t xml:space="preserve">improvement in her </w:t>
      </w:r>
      <w:r w:rsidR="007E4C07" w:rsidRPr="005E6853">
        <w:rPr>
          <w:lang w:val="en-US"/>
        </w:rPr>
        <w:t>behavior</w:t>
      </w:r>
      <w:r w:rsidR="000A1AC1" w:rsidRPr="00AF5440">
        <w:rPr>
          <w:lang w:val="en-US"/>
        </w:rPr>
        <w:t xml:space="preserve"> and pleasing </w:t>
      </w:r>
      <w:r w:rsidR="00DC14BC" w:rsidRPr="00AF5440">
        <w:rPr>
          <w:lang w:val="en-US"/>
        </w:rPr>
        <w:t>clinical progress</w:t>
      </w:r>
      <w:r w:rsidR="00000B43" w:rsidRPr="00AF5440">
        <w:rPr>
          <w:lang w:val="en-US"/>
        </w:rPr>
        <w:t xml:space="preserve">. </w:t>
      </w:r>
    </w:p>
    <w:p w14:paraId="117363FE" w14:textId="77777777" w:rsidR="00687051" w:rsidRPr="00AF5440" w:rsidRDefault="00687051" w:rsidP="00687051">
      <w:pPr>
        <w:spacing w:after="200"/>
        <w:jc w:val="both"/>
        <w:rPr>
          <w:b/>
          <w:bCs/>
          <w:u w:val="single"/>
          <w:lang w:val="en-US"/>
        </w:rPr>
      </w:pPr>
      <w:r w:rsidRPr="00C3367B">
        <w:rPr>
          <w:b/>
          <w:bCs/>
          <w:u w:val="single"/>
          <w:lang w:val="en-US"/>
        </w:rPr>
        <w:t>Conclusion and Results</w:t>
      </w:r>
    </w:p>
    <w:p w14:paraId="4978042D" w14:textId="77777777" w:rsidR="00687051" w:rsidRDefault="00687051" w:rsidP="00687051">
      <w:pPr>
        <w:spacing w:after="200"/>
        <w:jc w:val="both"/>
        <w:rPr>
          <w:lang w:val="en-US"/>
        </w:rPr>
      </w:pPr>
      <w:r w:rsidRPr="00AF5440">
        <w:rPr>
          <w:lang w:val="en-US"/>
        </w:rPr>
        <w:t xml:space="preserve">MTHFR Deficiency in the Irish population displays heterogeneity in its presentation. It is important that physicians are aware of this disorder and consider the diagnosis in order to aid early initiation of treatment. However, it is a challenging diagnosis given the wide range of symptoms and age of onset of disease. It often has a multisystem presentation, from chronic, to acute and acute on chronic presentations. </w:t>
      </w:r>
    </w:p>
    <w:p w14:paraId="0F009172" w14:textId="2937E846" w:rsidR="00687051" w:rsidRPr="00AF5440" w:rsidRDefault="00687051" w:rsidP="00687051">
      <w:pPr>
        <w:spacing w:after="200"/>
        <w:jc w:val="both"/>
        <w:rPr>
          <w:vertAlign w:val="superscript"/>
          <w:lang w:val="en-US"/>
        </w:rPr>
      </w:pPr>
      <w:r w:rsidRPr="00AF5440">
        <w:rPr>
          <w:lang w:val="en-US"/>
        </w:rPr>
        <w:t>Childhood-onset MTHFR deficiency is rare in the Irish paediatric population, with only three patients identified to date</w:t>
      </w:r>
      <w:r w:rsidR="00784B5D">
        <w:rPr>
          <w:lang w:val="en-US"/>
        </w:rPr>
        <w:t>, as presented here</w:t>
      </w:r>
      <w:r w:rsidRPr="00AF5440">
        <w:rPr>
          <w:lang w:val="en-US"/>
        </w:rPr>
        <w:t xml:space="preserve">. The phenotype of MTHFR deficiency may be slowly progressive and non-specific, including developmental delay, </w:t>
      </w:r>
      <w:r w:rsidR="00784B5D" w:rsidRPr="00AF5440">
        <w:rPr>
          <w:lang w:val="en-US"/>
        </w:rPr>
        <w:t>behavioral</w:t>
      </w:r>
      <w:r w:rsidRPr="00AF5440">
        <w:rPr>
          <w:lang w:val="en-US"/>
        </w:rPr>
        <w:t xml:space="preserve"> disturbance, or more severe with microcephaly, seizures and other neurological symptoms.</w:t>
      </w:r>
      <w:r w:rsidRPr="00AF5440">
        <w:rPr>
          <w:vertAlign w:val="superscript"/>
          <w:lang w:val="en-US"/>
        </w:rPr>
        <w:t>8</w:t>
      </w:r>
      <w:r w:rsidRPr="00AF5440">
        <w:rPr>
          <w:lang w:val="en-US"/>
        </w:rPr>
        <w:t xml:space="preserve"> Many features of MTHFR deficiency overlap with other disorders of the remethylation pathway of homocysteine to methionine, such as cblE/methionine synthase reductase, cblG/methionine synthase deficiency.</w:t>
      </w:r>
      <w:r w:rsidRPr="00AF5440">
        <w:rPr>
          <w:vertAlign w:val="superscript"/>
          <w:lang w:val="en-US"/>
        </w:rPr>
        <w:t xml:space="preserve">3,4,9 </w:t>
      </w:r>
      <w:r w:rsidRPr="00AF5440">
        <w:rPr>
          <w:lang w:val="en-US"/>
        </w:rPr>
        <w:t xml:space="preserve">Absence of macrocytosis is helpful in distinguishing MTHFR deficiency </w:t>
      </w:r>
      <w:r w:rsidRPr="00AF5440">
        <w:rPr>
          <w:lang w:val="en-US"/>
        </w:rPr>
        <w:lastRenderedPageBreak/>
        <w:t>from an intracellular defect</w:t>
      </w:r>
      <w:r w:rsidRPr="00AF5440">
        <w:rPr>
          <w:color w:val="FF0000"/>
          <w:lang w:val="en-US"/>
        </w:rPr>
        <w:t xml:space="preserve"> </w:t>
      </w:r>
      <w:r w:rsidRPr="00AF5440">
        <w:rPr>
          <w:lang w:val="en-US"/>
        </w:rPr>
        <w:t>but molecular genetic confirmation is essential; however, initiation of early treatment is recommended when diagnostic biochemical findings become available and the clinical suspicion arises.</w:t>
      </w:r>
      <w:r w:rsidRPr="00AF5440">
        <w:rPr>
          <w:vertAlign w:val="superscript"/>
          <w:lang w:val="en-US"/>
        </w:rPr>
        <w:t>3,4</w:t>
      </w:r>
      <w:r w:rsidRPr="00AF5440">
        <w:rPr>
          <w:lang w:val="en-US"/>
        </w:rPr>
        <w:t xml:space="preserve"> Low plasma concentration of methionine leads to decreased S-adenosylmethioine which is essential for optimum myelin synthesis.</w:t>
      </w:r>
      <w:r w:rsidRPr="00AF5440">
        <w:rPr>
          <w:vertAlign w:val="superscript"/>
          <w:lang w:val="en-US"/>
        </w:rPr>
        <w:t>1</w:t>
      </w:r>
      <w:r w:rsidRPr="00AF5440">
        <w:rPr>
          <w:lang w:val="en-US"/>
        </w:rPr>
        <w:t xml:space="preserve"> It is felt that the neurological sequelae of MTHFR deficiency are as a result of low plasma concentration of methionine and S-adenosylmethionine in the central nervous system.</w:t>
      </w:r>
      <w:r w:rsidRPr="00AF5440">
        <w:rPr>
          <w:vertAlign w:val="superscript"/>
          <w:lang w:val="en-US"/>
        </w:rPr>
        <w:t>10</w:t>
      </w:r>
    </w:p>
    <w:p w14:paraId="2E28002E" w14:textId="77777777" w:rsidR="00687051" w:rsidRPr="00AF5440" w:rsidRDefault="00687051" w:rsidP="00687051">
      <w:pPr>
        <w:spacing w:after="200"/>
        <w:jc w:val="both"/>
        <w:rPr>
          <w:lang w:val="en-US"/>
        </w:rPr>
      </w:pPr>
      <w:r w:rsidRPr="00AF5440">
        <w:rPr>
          <w:lang w:val="en-US"/>
        </w:rPr>
        <w:t xml:space="preserve">When performing a metabolic work up, e.g. in a child with global developmental delay, it is important to note that plasma homocysteine concentration is often not routinely </w:t>
      </w:r>
      <w:r w:rsidRPr="005E6853">
        <w:rPr>
          <w:lang w:val="en-US"/>
        </w:rPr>
        <w:t>analyzed</w:t>
      </w:r>
      <w:r w:rsidRPr="00AF5440">
        <w:rPr>
          <w:lang w:val="en-US"/>
        </w:rPr>
        <w:t xml:space="preserve"> as part of the quantitative amino acids, as free homocystine deteriorates rapidly in plasma; therefore, (total) plasma homocysteine should be requested specifically, if clinical and/or biochemical suspicion for a re-methylation defect, namely MTHFR deficiency arises.</w:t>
      </w:r>
      <w:r w:rsidRPr="00AF5440">
        <w:rPr>
          <w:vertAlign w:val="superscript"/>
          <w:lang w:val="en-US"/>
        </w:rPr>
        <w:t>4,6</w:t>
      </w:r>
    </w:p>
    <w:p w14:paraId="04B010AC" w14:textId="180C99FA" w:rsidR="007D5E5F" w:rsidRPr="00B62E37" w:rsidRDefault="007D5E5F" w:rsidP="0085201D">
      <w:pPr>
        <w:spacing w:after="200"/>
        <w:jc w:val="both"/>
        <w:rPr>
          <w:b/>
          <w:bCs/>
          <w:u w:val="single"/>
          <w:lang w:val="en-US"/>
        </w:rPr>
      </w:pPr>
      <w:r w:rsidRPr="00B62E37">
        <w:rPr>
          <w:b/>
          <w:bCs/>
          <w:u w:val="single"/>
          <w:lang w:val="en-US"/>
        </w:rPr>
        <w:t>Discussion</w:t>
      </w:r>
    </w:p>
    <w:p w14:paraId="6E69234A" w14:textId="5F13BEC6" w:rsidR="003D4E1B" w:rsidRPr="00AF5440" w:rsidRDefault="00687051" w:rsidP="0085201D">
      <w:pPr>
        <w:spacing w:after="200"/>
        <w:jc w:val="both"/>
        <w:rPr>
          <w:lang w:val="en-US"/>
        </w:rPr>
      </w:pPr>
      <w:r w:rsidRPr="00B62E37">
        <w:rPr>
          <w:lang w:val="en-US"/>
        </w:rPr>
        <w:t>In this case series we wish to highlight the varying phenotypes of MTHFR deficiency</w:t>
      </w:r>
      <w:r w:rsidR="00893540">
        <w:rPr>
          <w:lang w:val="en-US"/>
        </w:rPr>
        <w:t xml:space="preserve"> in our paediatric patient cohort</w:t>
      </w:r>
      <w:r w:rsidRPr="00B62E37">
        <w:rPr>
          <w:lang w:val="en-US"/>
        </w:rPr>
        <w:t xml:space="preserve">, including </w:t>
      </w:r>
      <w:r w:rsidR="00B62E37" w:rsidRPr="00B62E37">
        <w:rPr>
          <w:lang w:val="en-US"/>
        </w:rPr>
        <w:t xml:space="preserve">an osteopenic femoral fracture </w:t>
      </w:r>
      <w:r w:rsidRPr="00B62E37">
        <w:rPr>
          <w:lang w:val="en-US"/>
        </w:rPr>
        <w:t xml:space="preserve">as </w:t>
      </w:r>
      <w:r w:rsidR="00B62E37" w:rsidRPr="00B62E37">
        <w:rPr>
          <w:lang w:val="en-US"/>
        </w:rPr>
        <w:t xml:space="preserve">a hitherto undescribed presenting symptom. </w:t>
      </w:r>
      <w:r w:rsidR="00893540">
        <w:rPr>
          <w:lang w:val="en-US"/>
        </w:rPr>
        <w:t>As presented here</w:t>
      </w:r>
      <w:r w:rsidR="00B62E37" w:rsidRPr="00B62E37">
        <w:rPr>
          <w:lang w:val="en-US"/>
        </w:rPr>
        <w:t>, we would like to raise the possibility of an individual range in response to treatment, depending, e.g., on the severity of the underlying defect</w:t>
      </w:r>
      <w:r w:rsidR="00B62E37">
        <w:rPr>
          <w:lang w:val="en-US"/>
        </w:rPr>
        <w:t>, presenting clinical features and co-morbidity, as well as</w:t>
      </w:r>
      <w:r w:rsidR="00B62E37" w:rsidRPr="00B62E37">
        <w:rPr>
          <w:lang w:val="en-US"/>
        </w:rPr>
        <w:t xml:space="preserve"> age at presentation.</w:t>
      </w:r>
      <w:r w:rsidR="00B62E37">
        <w:rPr>
          <w:lang w:val="en-US"/>
        </w:rPr>
        <w:t xml:space="preserve"> </w:t>
      </w:r>
      <w:r w:rsidR="00893540">
        <w:rPr>
          <w:lang w:val="en-US"/>
        </w:rPr>
        <w:t xml:space="preserve">However, </w:t>
      </w:r>
      <w:r w:rsidR="00B62E37">
        <w:rPr>
          <w:lang w:val="en-US"/>
        </w:rPr>
        <w:t xml:space="preserve">it has been reported </w:t>
      </w:r>
      <w:r w:rsidR="003D4E1B" w:rsidRPr="00AF5440">
        <w:rPr>
          <w:lang w:val="en-US"/>
        </w:rPr>
        <w:t>that e</w:t>
      </w:r>
      <w:r w:rsidR="008D3EE6" w:rsidRPr="00AF5440">
        <w:rPr>
          <w:lang w:val="en-US"/>
        </w:rPr>
        <w:t>arly</w:t>
      </w:r>
      <w:r w:rsidR="00B016B6" w:rsidRPr="00AF5440">
        <w:rPr>
          <w:lang w:val="en-US"/>
        </w:rPr>
        <w:t xml:space="preserve"> treatment with betaine, folinic acid and hydroxycobalamin </w:t>
      </w:r>
      <w:r w:rsidR="00B62E37">
        <w:rPr>
          <w:lang w:val="en-US"/>
        </w:rPr>
        <w:t>may</w:t>
      </w:r>
      <w:r w:rsidR="00B016B6" w:rsidRPr="00AF5440">
        <w:rPr>
          <w:lang w:val="en-US"/>
        </w:rPr>
        <w:t xml:space="preserve"> </w:t>
      </w:r>
      <w:r w:rsidR="00DC14BC" w:rsidRPr="00AF5440">
        <w:rPr>
          <w:lang w:val="en-US"/>
        </w:rPr>
        <w:t xml:space="preserve">significantly </w:t>
      </w:r>
      <w:r w:rsidR="00B016B6" w:rsidRPr="00AF5440">
        <w:rPr>
          <w:lang w:val="en-US"/>
        </w:rPr>
        <w:t xml:space="preserve">improve clinical outcomes and </w:t>
      </w:r>
      <w:r w:rsidR="00893540" w:rsidRPr="00AF5440">
        <w:rPr>
          <w:lang w:val="en-US"/>
        </w:rPr>
        <w:t>minimize</w:t>
      </w:r>
      <w:r w:rsidR="00B016B6" w:rsidRPr="00AF5440">
        <w:rPr>
          <w:lang w:val="en-US"/>
        </w:rPr>
        <w:t xml:space="preserve"> neurological deterioration.</w:t>
      </w:r>
      <w:r w:rsidR="00F74012" w:rsidRPr="00AF5440">
        <w:rPr>
          <w:vertAlign w:val="superscript"/>
          <w:lang w:val="en-US"/>
        </w:rPr>
        <w:t>11</w:t>
      </w:r>
      <w:r w:rsidR="006C371E" w:rsidRPr="00AF5440">
        <w:rPr>
          <w:vertAlign w:val="superscript"/>
          <w:lang w:val="en-US"/>
        </w:rPr>
        <w:t xml:space="preserve"> </w:t>
      </w:r>
      <w:r w:rsidR="00233881" w:rsidRPr="00AF5440">
        <w:rPr>
          <w:lang w:val="en-US"/>
        </w:rPr>
        <w:t xml:space="preserve">One </w:t>
      </w:r>
      <w:r w:rsidR="00961AC8" w:rsidRPr="00AF5440">
        <w:rPr>
          <w:lang w:val="en-US"/>
        </w:rPr>
        <w:t xml:space="preserve">study showed a </w:t>
      </w:r>
      <w:r w:rsidR="00F05FCE" w:rsidRPr="00AF5440">
        <w:rPr>
          <w:lang w:val="en-US"/>
        </w:rPr>
        <w:t>b</w:t>
      </w:r>
      <w:r w:rsidR="00961AC8" w:rsidRPr="00AF5440">
        <w:rPr>
          <w:lang w:val="en-US"/>
        </w:rPr>
        <w:t xml:space="preserve">etaine dose of 100mg/kg/day </w:t>
      </w:r>
      <w:r w:rsidR="000475D2" w:rsidRPr="00AF5440">
        <w:rPr>
          <w:lang w:val="en-US"/>
        </w:rPr>
        <w:t>wa</w:t>
      </w:r>
      <w:r w:rsidR="00961AC8" w:rsidRPr="00AF5440">
        <w:rPr>
          <w:lang w:val="en-US"/>
        </w:rPr>
        <w:t xml:space="preserve">s effective in preventing mortality and, when initiated early, </w:t>
      </w:r>
      <w:r w:rsidR="00893540">
        <w:rPr>
          <w:lang w:val="en-US"/>
        </w:rPr>
        <w:t xml:space="preserve">may </w:t>
      </w:r>
      <w:r w:rsidR="00DC14BC" w:rsidRPr="00AF5440">
        <w:rPr>
          <w:lang w:val="en-US"/>
        </w:rPr>
        <w:t>enable</w:t>
      </w:r>
      <w:r w:rsidR="00961AC8" w:rsidRPr="00AF5440">
        <w:rPr>
          <w:lang w:val="en-US"/>
        </w:rPr>
        <w:t xml:space="preserve"> normal psychomotor development.</w:t>
      </w:r>
      <w:r w:rsidR="000A7041" w:rsidRPr="00AF5440">
        <w:rPr>
          <w:vertAlign w:val="superscript"/>
          <w:lang w:val="en-US"/>
        </w:rPr>
        <w:t>1</w:t>
      </w:r>
      <w:r w:rsidR="00F74012" w:rsidRPr="00AF5440">
        <w:rPr>
          <w:vertAlign w:val="superscript"/>
          <w:lang w:val="en-US"/>
        </w:rPr>
        <w:t>2</w:t>
      </w:r>
      <w:r w:rsidR="00961AC8" w:rsidRPr="00AF5440">
        <w:rPr>
          <w:vertAlign w:val="superscript"/>
          <w:lang w:val="en-US"/>
        </w:rPr>
        <w:t xml:space="preserve"> </w:t>
      </w:r>
      <w:r w:rsidR="00C41F7F" w:rsidRPr="00AF5440">
        <w:rPr>
          <w:lang w:val="en-US"/>
        </w:rPr>
        <w:t>Our first case</w:t>
      </w:r>
      <w:r w:rsidR="003D4E1B" w:rsidRPr="00AF5440">
        <w:rPr>
          <w:lang w:val="en-US"/>
        </w:rPr>
        <w:t xml:space="preserve"> has </w:t>
      </w:r>
      <w:r w:rsidR="00D9715F" w:rsidRPr="00AF5440">
        <w:rPr>
          <w:lang w:val="en-US"/>
        </w:rPr>
        <w:t>pleasing</w:t>
      </w:r>
      <w:r w:rsidR="003D4E1B" w:rsidRPr="00AF5440">
        <w:rPr>
          <w:lang w:val="en-US"/>
        </w:rPr>
        <w:t xml:space="preserve"> biochemical </w:t>
      </w:r>
      <w:r w:rsidR="0084446F" w:rsidRPr="00AF5440">
        <w:rPr>
          <w:lang w:val="en-US"/>
        </w:rPr>
        <w:t>response;</w:t>
      </w:r>
      <w:r w:rsidR="00535E50" w:rsidRPr="00AF5440">
        <w:rPr>
          <w:lang w:val="en-US"/>
        </w:rPr>
        <w:t xml:space="preserve"> </w:t>
      </w:r>
      <w:r w:rsidR="003D4E1B" w:rsidRPr="00AF5440">
        <w:rPr>
          <w:lang w:val="en-US"/>
        </w:rPr>
        <w:t>however</w:t>
      </w:r>
      <w:r w:rsidR="00233881" w:rsidRPr="00AF5440">
        <w:rPr>
          <w:lang w:val="en-US"/>
        </w:rPr>
        <w:t>,</w:t>
      </w:r>
      <w:r w:rsidR="003D4E1B" w:rsidRPr="00AF5440">
        <w:rPr>
          <w:lang w:val="en-US"/>
        </w:rPr>
        <w:t xml:space="preserve"> her c</w:t>
      </w:r>
      <w:r w:rsidR="004F6859" w:rsidRPr="00AF5440">
        <w:rPr>
          <w:lang w:val="en-US"/>
        </w:rPr>
        <w:t xml:space="preserve">linical course has shown slow </w:t>
      </w:r>
      <w:r w:rsidR="00FB1D6B" w:rsidRPr="00AF5440">
        <w:rPr>
          <w:lang w:val="en-US"/>
        </w:rPr>
        <w:t>clinical progress</w:t>
      </w:r>
      <w:r w:rsidR="00D9715F" w:rsidRPr="00AF5440">
        <w:rPr>
          <w:lang w:val="en-US"/>
        </w:rPr>
        <w:t xml:space="preserve"> despite remarkable improvement on neuroimaging</w:t>
      </w:r>
      <w:r w:rsidR="003D4E1B" w:rsidRPr="00AF5440">
        <w:rPr>
          <w:lang w:val="en-US"/>
        </w:rPr>
        <w:t xml:space="preserve">. </w:t>
      </w:r>
      <w:r w:rsidR="000475D2" w:rsidRPr="00AF5440">
        <w:rPr>
          <w:lang w:val="en-US"/>
        </w:rPr>
        <w:t xml:space="preserve">While biochemical improvements were demonstrated, plasma homocysteine never </w:t>
      </w:r>
      <w:r w:rsidR="007E4C07" w:rsidRPr="005E6853">
        <w:rPr>
          <w:lang w:val="en-US"/>
        </w:rPr>
        <w:t>normalized</w:t>
      </w:r>
      <w:r w:rsidR="000475D2" w:rsidRPr="00AF5440">
        <w:rPr>
          <w:lang w:val="en-US"/>
        </w:rPr>
        <w:t>. In light of initial low methionine concentrations</w:t>
      </w:r>
      <w:r w:rsidR="00893540">
        <w:rPr>
          <w:lang w:val="en-US"/>
        </w:rPr>
        <w:t xml:space="preserve"> in plasma/CSF as well as striking neurological features</w:t>
      </w:r>
      <w:r w:rsidR="000475D2" w:rsidRPr="00AF5440">
        <w:rPr>
          <w:lang w:val="en-US"/>
        </w:rPr>
        <w:t>, two out of three patients (</w:t>
      </w:r>
      <w:r w:rsidR="0084446F" w:rsidRPr="00AF5440">
        <w:rPr>
          <w:lang w:val="en-US"/>
        </w:rPr>
        <w:t>c</w:t>
      </w:r>
      <w:r w:rsidR="000475D2" w:rsidRPr="00AF5440">
        <w:rPr>
          <w:lang w:val="en-US"/>
        </w:rPr>
        <w:t xml:space="preserve">ases 1 and 3, respectively) were advised on a </w:t>
      </w:r>
      <w:r w:rsidR="00B33DFB" w:rsidRPr="00AF5440">
        <w:rPr>
          <w:lang w:val="en-US"/>
        </w:rPr>
        <w:t>moderate methionine-rich diet (</w:t>
      </w:r>
      <w:r w:rsidR="0084446F" w:rsidRPr="00AF5440">
        <w:rPr>
          <w:lang w:val="en-US"/>
        </w:rPr>
        <w:t>including</w:t>
      </w:r>
      <w:r w:rsidR="00DC14BC" w:rsidRPr="00AF5440">
        <w:rPr>
          <w:lang w:val="en-US"/>
        </w:rPr>
        <w:t>,</w:t>
      </w:r>
      <w:r w:rsidR="0084446F" w:rsidRPr="00AF5440">
        <w:rPr>
          <w:lang w:val="en-US"/>
        </w:rPr>
        <w:t xml:space="preserve"> </w:t>
      </w:r>
      <w:r w:rsidR="00B33DFB" w:rsidRPr="00AF5440">
        <w:rPr>
          <w:lang w:val="en-US"/>
        </w:rPr>
        <w:t>e.g.</w:t>
      </w:r>
      <w:r w:rsidR="00DC14BC" w:rsidRPr="00AF5440">
        <w:rPr>
          <w:lang w:val="en-US"/>
        </w:rPr>
        <w:t>,</w:t>
      </w:r>
      <w:r w:rsidR="00B33DFB" w:rsidRPr="00AF5440">
        <w:rPr>
          <w:lang w:val="en-US"/>
        </w:rPr>
        <w:t xml:space="preserve"> egg yolks)</w:t>
      </w:r>
      <w:r w:rsidR="00893540">
        <w:rPr>
          <w:lang w:val="en-US"/>
        </w:rPr>
        <w:t xml:space="preserve"> in addition to their medication regimens</w:t>
      </w:r>
      <w:r w:rsidR="00B33DFB" w:rsidRPr="00AF5440">
        <w:rPr>
          <w:lang w:val="en-US"/>
        </w:rPr>
        <w:t xml:space="preserve">; however, the beneficial effect of same was difficult to </w:t>
      </w:r>
      <w:r w:rsidR="0084446F" w:rsidRPr="00AF5440">
        <w:rPr>
          <w:lang w:val="en-US"/>
        </w:rPr>
        <w:t>establish</w:t>
      </w:r>
      <w:r w:rsidR="00B33DFB" w:rsidRPr="00AF5440">
        <w:rPr>
          <w:lang w:val="en-US"/>
        </w:rPr>
        <w:t>.</w:t>
      </w:r>
    </w:p>
    <w:p w14:paraId="6A374045" w14:textId="12E23A44" w:rsidR="008716CA" w:rsidRPr="00AF5440" w:rsidRDefault="003D4E1B" w:rsidP="0085201D">
      <w:pPr>
        <w:spacing w:after="200"/>
        <w:jc w:val="both"/>
        <w:rPr>
          <w:vertAlign w:val="superscript"/>
          <w:lang w:val="en-US"/>
        </w:rPr>
      </w:pPr>
      <w:r w:rsidRPr="00AF5440">
        <w:rPr>
          <w:lang w:val="en-US"/>
        </w:rPr>
        <w:t xml:space="preserve">A </w:t>
      </w:r>
      <w:r w:rsidR="0035661E" w:rsidRPr="00AF5440">
        <w:rPr>
          <w:lang w:val="en-US"/>
        </w:rPr>
        <w:t xml:space="preserve">number of case reports outline </w:t>
      </w:r>
      <w:r w:rsidR="00A310CB" w:rsidRPr="00AF5440">
        <w:rPr>
          <w:lang w:val="en-US"/>
        </w:rPr>
        <w:t>the most common features</w:t>
      </w:r>
      <w:r w:rsidR="0035661E" w:rsidRPr="00AF5440">
        <w:rPr>
          <w:lang w:val="en-US"/>
        </w:rPr>
        <w:t xml:space="preserve"> of MTHFR deficiency</w:t>
      </w:r>
      <w:r w:rsidR="0084446F" w:rsidRPr="00AF5440">
        <w:rPr>
          <w:lang w:val="en-US"/>
        </w:rPr>
        <w:t>,</w:t>
      </w:r>
      <w:r w:rsidR="0035661E" w:rsidRPr="00AF5440">
        <w:rPr>
          <w:lang w:val="en-US"/>
        </w:rPr>
        <w:t xml:space="preserve"> including, </w:t>
      </w:r>
      <w:r w:rsidR="00A310CB" w:rsidRPr="00AF5440">
        <w:rPr>
          <w:lang w:val="en-US"/>
        </w:rPr>
        <w:t xml:space="preserve">e.g., </w:t>
      </w:r>
      <w:r w:rsidR="00961AC8" w:rsidRPr="00AF5440">
        <w:rPr>
          <w:lang w:val="en-US"/>
        </w:rPr>
        <w:t xml:space="preserve">developmental delay, seizures, </w:t>
      </w:r>
      <w:r w:rsidR="0035661E" w:rsidRPr="00AF5440">
        <w:rPr>
          <w:lang w:val="en-US"/>
        </w:rPr>
        <w:t>tremor</w:t>
      </w:r>
      <w:r w:rsidR="00DB330F" w:rsidRPr="00AF5440">
        <w:rPr>
          <w:lang w:val="en-US"/>
        </w:rPr>
        <w:t>,</w:t>
      </w:r>
      <w:r w:rsidR="00961AC8" w:rsidRPr="00AF5440">
        <w:rPr>
          <w:lang w:val="en-US"/>
        </w:rPr>
        <w:t xml:space="preserve"> microcephaly </w:t>
      </w:r>
      <w:r w:rsidR="00A310CB" w:rsidRPr="00AF5440">
        <w:rPr>
          <w:lang w:val="en-US"/>
        </w:rPr>
        <w:t>as well as</w:t>
      </w:r>
      <w:r w:rsidR="0035661E" w:rsidRPr="00AF5440">
        <w:rPr>
          <w:lang w:val="en-US"/>
        </w:rPr>
        <w:t xml:space="preserve"> neuropsychiatric </w:t>
      </w:r>
      <w:r w:rsidR="00A310CB" w:rsidRPr="00AF5440">
        <w:rPr>
          <w:lang w:val="en-US"/>
        </w:rPr>
        <w:t>findings</w:t>
      </w:r>
      <w:r w:rsidR="006D58EB" w:rsidRPr="00AF5440">
        <w:rPr>
          <w:lang w:val="en-US"/>
        </w:rPr>
        <w:t>,</w:t>
      </w:r>
      <w:r w:rsidR="00A310CB" w:rsidRPr="00AF5440">
        <w:rPr>
          <w:lang w:val="en-US"/>
        </w:rPr>
        <w:t xml:space="preserve"> </w:t>
      </w:r>
      <w:r w:rsidR="008D3EE6" w:rsidRPr="00AF5440">
        <w:rPr>
          <w:lang w:val="en-US"/>
        </w:rPr>
        <w:t>similar to our case</w:t>
      </w:r>
      <w:r w:rsidR="00A310CB" w:rsidRPr="00AF5440">
        <w:rPr>
          <w:lang w:val="en-US"/>
        </w:rPr>
        <w:t>s</w:t>
      </w:r>
      <w:r w:rsidR="008D3EE6" w:rsidRPr="00AF5440">
        <w:rPr>
          <w:lang w:val="en-US"/>
        </w:rPr>
        <w:t xml:space="preserve"> one and three</w:t>
      </w:r>
      <w:r w:rsidR="00A310CB" w:rsidRPr="00AF5440">
        <w:rPr>
          <w:lang w:val="en-US"/>
        </w:rPr>
        <w:t>, respectively</w:t>
      </w:r>
      <w:r w:rsidR="008716CA" w:rsidRPr="00AF5440">
        <w:rPr>
          <w:lang w:val="en-US"/>
        </w:rPr>
        <w:t>.</w:t>
      </w:r>
      <w:r w:rsidR="006C371E" w:rsidRPr="00AF5440">
        <w:rPr>
          <w:vertAlign w:val="superscript"/>
          <w:lang w:val="en-US"/>
        </w:rPr>
        <w:t>1</w:t>
      </w:r>
      <w:r w:rsidR="00F74012" w:rsidRPr="00AF5440">
        <w:rPr>
          <w:vertAlign w:val="superscript"/>
          <w:lang w:val="en-US"/>
        </w:rPr>
        <w:t>3</w:t>
      </w:r>
      <w:r w:rsidR="008716CA" w:rsidRPr="00AF5440">
        <w:rPr>
          <w:vertAlign w:val="superscript"/>
          <w:lang w:val="en-US"/>
        </w:rPr>
        <w:t>, 1</w:t>
      </w:r>
      <w:r w:rsidR="00F74012" w:rsidRPr="00AF5440">
        <w:rPr>
          <w:vertAlign w:val="superscript"/>
          <w:lang w:val="en-US"/>
        </w:rPr>
        <w:t>4</w:t>
      </w:r>
      <w:r w:rsidR="0035661E" w:rsidRPr="00AF5440">
        <w:rPr>
          <w:lang w:val="en-US"/>
        </w:rPr>
        <w:t xml:space="preserve"> </w:t>
      </w:r>
      <w:r w:rsidRPr="00AF5440">
        <w:rPr>
          <w:lang w:val="en-US"/>
        </w:rPr>
        <w:t>However</w:t>
      </w:r>
      <w:r w:rsidR="006D58EB" w:rsidRPr="00AF5440">
        <w:rPr>
          <w:lang w:val="en-US"/>
        </w:rPr>
        <w:t>,</w:t>
      </w:r>
      <w:r w:rsidRPr="00AF5440">
        <w:rPr>
          <w:lang w:val="en-US"/>
        </w:rPr>
        <w:t xml:space="preserve"> case two, to the best of our knowledge, is a new phenotypic finding</w:t>
      </w:r>
      <w:r w:rsidR="00427D0A" w:rsidRPr="00AF5440">
        <w:rPr>
          <w:lang w:val="en-US"/>
        </w:rPr>
        <w:t xml:space="preserve">. </w:t>
      </w:r>
      <w:r w:rsidR="006D58EB" w:rsidRPr="00AF5440">
        <w:rPr>
          <w:lang w:val="en-US"/>
        </w:rPr>
        <w:t>This boy also had evidence of nutritional deficiencies when he was diagnosed which we feel may have also contributed to his pathological fracture.</w:t>
      </w:r>
      <w:r w:rsidR="006D58EB" w:rsidRPr="00AF5440">
        <w:rPr>
          <w:vertAlign w:val="superscript"/>
          <w:lang w:val="en-US"/>
        </w:rPr>
        <w:t xml:space="preserve"> </w:t>
      </w:r>
      <w:r w:rsidR="008716CA" w:rsidRPr="00AF5440">
        <w:rPr>
          <w:lang w:val="en-US"/>
        </w:rPr>
        <w:t>Interestingly</w:t>
      </w:r>
      <w:r w:rsidR="006D58EB" w:rsidRPr="00AF5440">
        <w:rPr>
          <w:lang w:val="en-US"/>
        </w:rPr>
        <w:t>,</w:t>
      </w:r>
      <w:r w:rsidR="008716CA" w:rsidRPr="00AF5440">
        <w:rPr>
          <w:lang w:val="en-US"/>
        </w:rPr>
        <w:t xml:space="preserve"> there are some studies examining the effect of </w:t>
      </w:r>
      <w:r w:rsidR="00E344F5" w:rsidRPr="00AF5440">
        <w:rPr>
          <w:lang w:val="en-US"/>
        </w:rPr>
        <w:t>MTHFR gene polymorphism on Bone Mineral Density (BMD). One study examined BMD in teenage girls with Anorexia Nervosa (AN) and showed that the presence of the MTHFR</w:t>
      </w:r>
      <w:r w:rsidR="00E344F5" w:rsidRPr="00AF5440">
        <w:rPr>
          <w:i/>
          <w:lang w:val="en-US"/>
        </w:rPr>
        <w:t xml:space="preserve"> </w:t>
      </w:r>
      <w:r w:rsidR="00E344F5" w:rsidRPr="00AF5440">
        <w:rPr>
          <w:lang w:val="en-US"/>
        </w:rPr>
        <w:t>gene polymorphism was associated with a lower BMD in teenage girls with AN. It showed a likely dose-response effect as those with only one polymorphic variant had higher BMD than those</w:t>
      </w:r>
      <w:r w:rsidR="0085201D" w:rsidRPr="00AF5440">
        <w:rPr>
          <w:lang w:val="en-US"/>
        </w:rPr>
        <w:t xml:space="preserve"> with two polymorphic variants.</w:t>
      </w:r>
      <w:r w:rsidR="00E344F5" w:rsidRPr="00AF5440">
        <w:rPr>
          <w:vertAlign w:val="superscript"/>
          <w:lang w:val="en-US"/>
        </w:rPr>
        <w:t>1</w:t>
      </w:r>
      <w:r w:rsidR="00F74012" w:rsidRPr="00AF5440">
        <w:rPr>
          <w:vertAlign w:val="superscript"/>
          <w:lang w:val="en-US"/>
        </w:rPr>
        <w:t>5</w:t>
      </w:r>
      <w:r w:rsidR="00062AA2" w:rsidRPr="00AF5440">
        <w:rPr>
          <w:vertAlign w:val="superscript"/>
          <w:lang w:val="en-US"/>
        </w:rPr>
        <w:t xml:space="preserve"> </w:t>
      </w:r>
      <w:r w:rsidR="00062AA2" w:rsidRPr="00AF5440">
        <w:rPr>
          <w:lang w:val="en-US"/>
        </w:rPr>
        <w:t>The MTHFR polymorphism has been shown to have a sl</w:t>
      </w:r>
      <w:r w:rsidR="0085201D" w:rsidRPr="00AF5440">
        <w:rPr>
          <w:lang w:val="en-US"/>
        </w:rPr>
        <w:t>ight increase in fracture risk.</w:t>
      </w:r>
      <w:r w:rsidR="00062AA2" w:rsidRPr="00AF5440">
        <w:rPr>
          <w:vertAlign w:val="superscript"/>
          <w:lang w:val="en-US"/>
        </w:rPr>
        <w:t>1</w:t>
      </w:r>
      <w:r w:rsidR="00F74012" w:rsidRPr="00AF5440">
        <w:rPr>
          <w:vertAlign w:val="superscript"/>
          <w:lang w:val="en-US"/>
        </w:rPr>
        <w:t>6</w:t>
      </w:r>
      <w:r w:rsidR="00062AA2" w:rsidRPr="00AF5440">
        <w:rPr>
          <w:vertAlign w:val="superscript"/>
          <w:lang w:val="en-US"/>
        </w:rPr>
        <w:t xml:space="preserve"> </w:t>
      </w:r>
      <w:r w:rsidR="00062AA2" w:rsidRPr="00AF5440">
        <w:rPr>
          <w:lang w:val="en-US"/>
        </w:rPr>
        <w:t xml:space="preserve">It is proposed that the decreased bone mineral density is related to the high homocysteine </w:t>
      </w:r>
      <w:r w:rsidR="00976229" w:rsidRPr="00AF5440">
        <w:rPr>
          <w:lang w:val="en-US"/>
        </w:rPr>
        <w:t>plasma concentration</w:t>
      </w:r>
      <w:r w:rsidR="00062AA2" w:rsidRPr="00AF5440">
        <w:rPr>
          <w:lang w:val="en-US"/>
        </w:rPr>
        <w:t xml:space="preserve"> which interfere with collagen cross linking, an essential part of bone formation.</w:t>
      </w:r>
      <w:r w:rsidR="00062AA2" w:rsidRPr="00AF5440">
        <w:rPr>
          <w:vertAlign w:val="superscript"/>
          <w:lang w:val="en-US"/>
        </w:rPr>
        <w:t>1</w:t>
      </w:r>
      <w:r w:rsidR="00F74012" w:rsidRPr="00AF5440">
        <w:rPr>
          <w:vertAlign w:val="superscript"/>
          <w:lang w:val="en-US"/>
        </w:rPr>
        <w:t>7</w:t>
      </w:r>
      <w:r w:rsidR="00717B62" w:rsidRPr="00AF5440">
        <w:rPr>
          <w:vertAlign w:val="superscript"/>
          <w:lang w:val="en-US"/>
        </w:rPr>
        <w:t xml:space="preserve"> </w:t>
      </w:r>
    </w:p>
    <w:p w14:paraId="68ACFBA7" w14:textId="706F3C3A" w:rsidR="004A60E7" w:rsidRPr="00AF5440" w:rsidRDefault="00137239" w:rsidP="0085201D">
      <w:pPr>
        <w:spacing w:after="200"/>
        <w:jc w:val="both"/>
        <w:rPr>
          <w:vertAlign w:val="superscript"/>
          <w:lang w:val="en-US"/>
        </w:rPr>
      </w:pPr>
      <w:r w:rsidRPr="00AF5440">
        <w:rPr>
          <w:lang w:val="en-US"/>
        </w:rPr>
        <w:t>N</w:t>
      </w:r>
      <w:r w:rsidR="006D58EB" w:rsidRPr="00AF5440">
        <w:rPr>
          <w:lang w:val="en-US"/>
        </w:rPr>
        <w:t>ewborn bloodspot screening for</w:t>
      </w:r>
      <w:r w:rsidR="003D4E1B" w:rsidRPr="00AF5440">
        <w:rPr>
          <w:lang w:val="en-US"/>
        </w:rPr>
        <w:t xml:space="preserve"> </w:t>
      </w:r>
      <w:r w:rsidR="00B33DFB" w:rsidRPr="00AF5440">
        <w:rPr>
          <w:lang w:val="en-US"/>
        </w:rPr>
        <w:t>c</w:t>
      </w:r>
      <w:r w:rsidR="003D4E1B" w:rsidRPr="00AF5440">
        <w:rPr>
          <w:lang w:val="en-US"/>
        </w:rPr>
        <w:t>lassical</w:t>
      </w:r>
      <w:r w:rsidR="00DF1696" w:rsidRPr="00AF5440">
        <w:rPr>
          <w:lang w:val="en-US"/>
        </w:rPr>
        <w:t xml:space="preserve"> </w:t>
      </w:r>
      <w:r w:rsidRPr="00AF5440">
        <w:rPr>
          <w:lang w:val="en-US"/>
        </w:rPr>
        <w:t>h</w:t>
      </w:r>
      <w:r w:rsidR="00DF1696" w:rsidRPr="00AF5440">
        <w:rPr>
          <w:lang w:val="en-US"/>
        </w:rPr>
        <w:t xml:space="preserve">omocystinuria </w:t>
      </w:r>
      <w:r w:rsidR="007C1F17" w:rsidRPr="00AF5440">
        <w:rPr>
          <w:lang w:val="en-US"/>
        </w:rPr>
        <w:t xml:space="preserve">based on determination of raised blood methionine concentration </w:t>
      </w:r>
      <w:r w:rsidR="006D58EB" w:rsidRPr="00AF5440">
        <w:rPr>
          <w:lang w:val="en-US"/>
        </w:rPr>
        <w:t xml:space="preserve">has been </w:t>
      </w:r>
      <w:r w:rsidR="0086556D" w:rsidRPr="00AF5440">
        <w:rPr>
          <w:lang w:val="en-US"/>
        </w:rPr>
        <w:t xml:space="preserve">successfully </w:t>
      </w:r>
      <w:r w:rsidR="006D58EB" w:rsidRPr="00AF5440">
        <w:rPr>
          <w:lang w:val="en-US"/>
        </w:rPr>
        <w:t xml:space="preserve">in place </w:t>
      </w:r>
      <w:r w:rsidRPr="00AF5440">
        <w:rPr>
          <w:lang w:val="en-US"/>
        </w:rPr>
        <w:t xml:space="preserve">in the Republic of Ireland </w:t>
      </w:r>
      <w:r w:rsidR="006D58EB" w:rsidRPr="00AF5440">
        <w:rPr>
          <w:lang w:val="en-US"/>
        </w:rPr>
        <w:t xml:space="preserve">since </w:t>
      </w:r>
      <w:r w:rsidR="006D58EB" w:rsidRPr="00AF5440">
        <w:rPr>
          <w:lang w:val="en-US"/>
        </w:rPr>
        <w:lastRenderedPageBreak/>
        <w:t>1971</w:t>
      </w:r>
      <w:r w:rsidR="000766E1" w:rsidRPr="00AF5440">
        <w:rPr>
          <w:lang w:val="en-US"/>
        </w:rPr>
        <w:t>.</w:t>
      </w:r>
      <w:r w:rsidRPr="00AF5440">
        <w:rPr>
          <w:vertAlign w:val="superscript"/>
          <w:lang w:val="en-US"/>
        </w:rPr>
        <w:t>18</w:t>
      </w:r>
      <w:r w:rsidR="000E1413" w:rsidRPr="00AF5440">
        <w:rPr>
          <w:vertAlign w:val="superscript"/>
          <w:lang w:val="en-US"/>
        </w:rPr>
        <w:t>,19</w:t>
      </w:r>
      <w:r w:rsidR="00AD17E0" w:rsidRPr="00AF5440">
        <w:rPr>
          <w:lang w:val="en-US"/>
        </w:rPr>
        <w:t xml:space="preserve"> </w:t>
      </w:r>
      <w:r w:rsidR="000766E1" w:rsidRPr="00AF5440">
        <w:rPr>
          <w:lang w:val="en-US"/>
        </w:rPr>
        <w:t>Conversely, newborn screening by means of low methionine blood concentration has been suggested to allow for early diagnosis and intervention in patients with severe MTHFR deficiency.</w:t>
      </w:r>
      <w:r w:rsidR="000766E1" w:rsidRPr="00AF5440">
        <w:rPr>
          <w:vertAlign w:val="superscript"/>
          <w:lang w:val="en-US"/>
        </w:rPr>
        <w:t>20</w:t>
      </w:r>
      <w:r w:rsidR="00AD17E0" w:rsidRPr="00AF5440">
        <w:rPr>
          <w:vertAlign w:val="superscript"/>
          <w:lang w:val="en-US"/>
        </w:rPr>
        <w:t>-</w:t>
      </w:r>
      <w:r w:rsidR="000766E1" w:rsidRPr="00AF5440">
        <w:rPr>
          <w:vertAlign w:val="superscript"/>
          <w:lang w:val="en-US"/>
        </w:rPr>
        <w:t xml:space="preserve">22 </w:t>
      </w:r>
      <w:r w:rsidR="000766E1" w:rsidRPr="00AF5440">
        <w:rPr>
          <w:lang w:val="en-US"/>
        </w:rPr>
        <w:t xml:space="preserve">The </w:t>
      </w:r>
      <w:r w:rsidR="005A29C5" w:rsidRPr="00AF5440">
        <w:rPr>
          <w:lang w:val="en-US"/>
        </w:rPr>
        <w:t xml:space="preserve">exact </w:t>
      </w:r>
      <w:r w:rsidR="00551CF4">
        <w:rPr>
          <w:lang w:val="en-US"/>
        </w:rPr>
        <w:t>prevalence</w:t>
      </w:r>
      <w:r w:rsidR="005A29C5" w:rsidRPr="00AF5440">
        <w:rPr>
          <w:lang w:val="en-US"/>
        </w:rPr>
        <w:t xml:space="preserve"> of early-onset MTHFR deficiency in childhood </w:t>
      </w:r>
      <w:r w:rsidR="00551CF4" w:rsidRPr="00AF5440">
        <w:rPr>
          <w:lang w:val="en-US"/>
        </w:rPr>
        <w:t xml:space="preserve">in the Republic of Ireland </w:t>
      </w:r>
      <w:r w:rsidR="005A29C5" w:rsidRPr="00AF5440">
        <w:rPr>
          <w:lang w:val="en-US"/>
        </w:rPr>
        <w:t>remains unknown</w:t>
      </w:r>
      <w:r w:rsidR="000766E1" w:rsidRPr="00AF5440">
        <w:rPr>
          <w:lang w:val="en-US"/>
        </w:rPr>
        <w:t xml:space="preserve">; however, </w:t>
      </w:r>
      <w:r w:rsidR="00831C34" w:rsidRPr="00AF5440">
        <w:rPr>
          <w:lang w:val="en-US"/>
        </w:rPr>
        <w:t xml:space="preserve">we </w:t>
      </w:r>
      <w:r w:rsidR="00DC14BC" w:rsidRPr="00AF5440">
        <w:rPr>
          <w:lang w:val="en-US"/>
        </w:rPr>
        <w:t>suggest</w:t>
      </w:r>
      <w:r w:rsidR="00831C34" w:rsidRPr="00AF5440">
        <w:rPr>
          <w:lang w:val="en-US"/>
        </w:rPr>
        <w:t xml:space="preserve"> an</w:t>
      </w:r>
      <w:r w:rsidR="004A60E7" w:rsidRPr="00AF5440">
        <w:rPr>
          <w:lang w:val="en-US"/>
        </w:rPr>
        <w:t xml:space="preserve"> estimated </w:t>
      </w:r>
      <w:r w:rsidR="00551CF4" w:rsidRPr="00551CF4">
        <w:rPr>
          <w:lang w:val="en-US"/>
        </w:rPr>
        <w:t>point prevalence</w:t>
      </w:r>
      <w:r w:rsidR="00551CF4">
        <w:rPr>
          <w:lang w:val="en-US"/>
        </w:rPr>
        <w:t xml:space="preserve"> </w:t>
      </w:r>
      <w:r w:rsidR="004A60E7" w:rsidRPr="00AF5440">
        <w:rPr>
          <w:lang w:val="en-US"/>
        </w:rPr>
        <w:t xml:space="preserve">of </w:t>
      </w:r>
      <w:r w:rsidR="000766E1" w:rsidRPr="00AF5440">
        <w:rPr>
          <w:lang w:val="en-US"/>
        </w:rPr>
        <w:t>approximately</w:t>
      </w:r>
      <w:r w:rsidR="004A60E7" w:rsidRPr="00AF5440">
        <w:rPr>
          <w:lang w:val="en-US"/>
        </w:rPr>
        <w:t xml:space="preserve"> 0.08 </w:t>
      </w:r>
      <w:r w:rsidR="00551CF4">
        <w:rPr>
          <w:lang w:val="en-US"/>
        </w:rPr>
        <w:t xml:space="preserve">cases </w:t>
      </w:r>
      <w:r w:rsidR="004A60E7" w:rsidRPr="00AF5440">
        <w:rPr>
          <w:lang w:val="en-US"/>
        </w:rPr>
        <w:t>per 100,000</w:t>
      </w:r>
      <w:r w:rsidR="005A29C5" w:rsidRPr="00AF5440">
        <w:rPr>
          <w:lang w:val="en-US"/>
        </w:rPr>
        <w:t>,</w:t>
      </w:r>
      <w:r w:rsidR="004A60E7" w:rsidRPr="00AF5440">
        <w:rPr>
          <w:vertAlign w:val="superscript"/>
          <w:lang w:val="en-US"/>
        </w:rPr>
        <w:t>2</w:t>
      </w:r>
      <w:r w:rsidR="002F4301" w:rsidRPr="00AF5440">
        <w:rPr>
          <w:vertAlign w:val="superscript"/>
          <w:lang w:val="en-US"/>
        </w:rPr>
        <w:t>3</w:t>
      </w:r>
      <w:r w:rsidR="00831C34" w:rsidRPr="00AF5440">
        <w:rPr>
          <w:vertAlign w:val="superscript"/>
          <w:lang w:val="en-US"/>
        </w:rPr>
        <w:t xml:space="preserve"> </w:t>
      </w:r>
      <w:r w:rsidR="005A29C5" w:rsidRPr="00AF5440">
        <w:rPr>
          <w:rFonts w:cstheme="minorHAnsi"/>
          <w:lang w:val="en-US"/>
        </w:rPr>
        <w:t xml:space="preserve">based on the </w:t>
      </w:r>
      <w:r w:rsidR="005A29C5" w:rsidRPr="00AF5440">
        <w:rPr>
          <w:lang w:val="en-US"/>
        </w:rPr>
        <w:t xml:space="preserve">three confirmed cases in our </w:t>
      </w:r>
      <w:r w:rsidR="000766E1" w:rsidRPr="00AF5440">
        <w:rPr>
          <w:lang w:val="en-US"/>
        </w:rPr>
        <w:t xml:space="preserve">national </w:t>
      </w:r>
      <w:r w:rsidR="00551CF4" w:rsidRPr="00AF5440">
        <w:rPr>
          <w:lang w:val="en-US"/>
        </w:rPr>
        <w:t>center</w:t>
      </w:r>
      <w:r w:rsidR="005A29C5" w:rsidRPr="00AF5440">
        <w:rPr>
          <w:lang w:val="en-US"/>
        </w:rPr>
        <w:t>.</w:t>
      </w:r>
      <w:r w:rsidR="00B62E37">
        <w:rPr>
          <w:lang w:val="en-US"/>
        </w:rPr>
        <w:t xml:space="preserve"> Furthermore, we would like to</w:t>
      </w:r>
      <w:r w:rsidR="00B62E37" w:rsidRPr="00B62E37">
        <w:rPr>
          <w:lang w:val="en-US"/>
        </w:rPr>
        <w:t xml:space="preserve"> suggest that screening for severe MTHFR deficiency could be included in newborn screening, as pre-symptomatic treatment is available and may further improve </w:t>
      </w:r>
      <w:r w:rsidR="00551CF4">
        <w:rPr>
          <w:lang w:val="en-US"/>
        </w:rPr>
        <w:t xml:space="preserve">patient </w:t>
      </w:r>
      <w:r w:rsidR="00B62E37" w:rsidRPr="00B62E37">
        <w:rPr>
          <w:lang w:val="en-US"/>
        </w:rPr>
        <w:t>outcomes.</w:t>
      </w:r>
    </w:p>
    <w:p w14:paraId="31D15E3C" w14:textId="63DAC8F4" w:rsidR="00A87C5A" w:rsidRPr="00AF5440" w:rsidRDefault="00A87C5A" w:rsidP="0085201D">
      <w:pPr>
        <w:spacing w:after="200"/>
        <w:jc w:val="both"/>
        <w:rPr>
          <w:b/>
          <w:u w:val="single"/>
          <w:lang w:val="en-US"/>
        </w:rPr>
      </w:pPr>
      <w:r w:rsidRPr="00AF5440">
        <w:rPr>
          <w:b/>
          <w:u w:val="single"/>
          <w:lang w:val="en-US"/>
        </w:rPr>
        <w:t>Acknowledgements</w:t>
      </w:r>
    </w:p>
    <w:p w14:paraId="418D3E2D" w14:textId="3F769792" w:rsidR="00D20082" w:rsidRDefault="00A87C5A" w:rsidP="00551CF4">
      <w:pPr>
        <w:spacing w:after="200"/>
        <w:jc w:val="both"/>
        <w:rPr>
          <w:lang w:val="en-US"/>
        </w:rPr>
      </w:pPr>
      <w:r w:rsidRPr="00AF5440">
        <w:rPr>
          <w:lang w:val="en-US"/>
        </w:rPr>
        <w:t>We wish to thank the patients and their families who trust us with their care. We thank the clinical teams involved in diagnosis and management</w:t>
      </w:r>
      <w:r w:rsidR="00CD34C4" w:rsidRPr="00AF5440">
        <w:rPr>
          <w:lang w:val="en-US"/>
        </w:rPr>
        <w:t xml:space="preserve"> of these patients</w:t>
      </w:r>
      <w:r w:rsidRPr="00AF5440">
        <w:rPr>
          <w:lang w:val="en-US"/>
        </w:rPr>
        <w:t xml:space="preserve">. </w:t>
      </w:r>
      <w:r w:rsidR="00551CF4">
        <w:rPr>
          <w:lang w:val="en-US"/>
        </w:rPr>
        <w:t>T</w:t>
      </w:r>
      <w:r w:rsidR="00551CF4" w:rsidRPr="00551CF4">
        <w:rPr>
          <w:lang w:val="en-US"/>
        </w:rPr>
        <w:t xml:space="preserve">his research was funded </w:t>
      </w:r>
      <w:r w:rsidR="00551CF4">
        <w:rPr>
          <w:lang w:val="en-US"/>
        </w:rPr>
        <w:t xml:space="preserve">in part </w:t>
      </w:r>
      <w:r w:rsidR="00551CF4" w:rsidRPr="00551CF4">
        <w:rPr>
          <w:lang w:val="en-US"/>
        </w:rPr>
        <w:t>by the Children’s Health Foundation (formally the Temple Stree</w:t>
      </w:r>
      <w:r w:rsidR="00551CF4">
        <w:rPr>
          <w:lang w:val="en-US"/>
        </w:rPr>
        <w:t>t Foundation), Dublin, Ireland</w:t>
      </w:r>
      <w:r w:rsidR="00551CF4" w:rsidRPr="00551CF4">
        <w:rPr>
          <w:lang w:val="en-US"/>
        </w:rPr>
        <w:t xml:space="preserve"> (Grant Code RPAC 19-02-IK</w:t>
      </w:r>
      <w:r w:rsidR="00551CF4">
        <w:rPr>
          <w:lang w:val="en-US"/>
        </w:rPr>
        <w:t xml:space="preserve">). </w:t>
      </w:r>
    </w:p>
    <w:p w14:paraId="07804E15" w14:textId="77777777" w:rsidR="00BD6A0A" w:rsidRDefault="00BD6A0A" w:rsidP="00551CF4">
      <w:pPr>
        <w:spacing w:after="200"/>
        <w:jc w:val="both"/>
        <w:rPr>
          <w:lang w:val="en-US"/>
        </w:rPr>
      </w:pPr>
    </w:p>
    <w:p w14:paraId="7AF591CC" w14:textId="606B48C4" w:rsidR="00335B30" w:rsidRPr="00335B30" w:rsidRDefault="00335B30" w:rsidP="00551CF4">
      <w:pPr>
        <w:spacing w:after="200"/>
        <w:jc w:val="both"/>
        <w:rPr>
          <w:b/>
          <w:u w:val="single"/>
          <w:lang w:val="en-US"/>
        </w:rPr>
      </w:pPr>
      <w:r>
        <w:rPr>
          <w:b/>
          <w:u w:val="single"/>
          <w:lang w:val="en-US"/>
        </w:rPr>
        <w:t>Author Contributions</w:t>
      </w:r>
    </w:p>
    <w:p w14:paraId="0C5C2F11" w14:textId="2480BF3C" w:rsidR="00335B30" w:rsidRPr="00335B30" w:rsidRDefault="00335B30" w:rsidP="00BD6A0A">
      <w:pPr>
        <w:spacing w:after="120"/>
        <w:jc w:val="both"/>
        <w:rPr>
          <w:lang w:val="en-US"/>
        </w:rPr>
      </w:pPr>
      <w:r w:rsidRPr="00335B30">
        <w:rPr>
          <w:lang w:val="en-US"/>
        </w:rPr>
        <w:t>Eimear Loftus</w:t>
      </w:r>
      <w:r>
        <w:rPr>
          <w:lang w:val="en-US"/>
        </w:rPr>
        <w:t xml:space="preserve">: </w:t>
      </w:r>
      <w:r w:rsidRPr="00335B30">
        <w:rPr>
          <w:lang w:val="en-US"/>
        </w:rPr>
        <w:t>Conceptualization, Data curation, Writing – original draft, Writing – review &amp; editing</w:t>
      </w:r>
    </w:p>
    <w:p w14:paraId="2A8A372B" w14:textId="28577178" w:rsidR="00335B30" w:rsidRPr="00335B30" w:rsidRDefault="00335B30" w:rsidP="00BD6A0A">
      <w:pPr>
        <w:spacing w:after="120"/>
        <w:jc w:val="both"/>
        <w:rPr>
          <w:lang w:val="en-US"/>
        </w:rPr>
      </w:pPr>
      <w:r w:rsidRPr="00335B30">
        <w:rPr>
          <w:lang w:val="en-US"/>
        </w:rPr>
        <w:t>Zaineb Elbishari</w:t>
      </w:r>
      <w:r>
        <w:rPr>
          <w:lang w:val="en-US"/>
        </w:rPr>
        <w:t xml:space="preserve">: </w:t>
      </w:r>
      <w:r w:rsidRPr="00335B30">
        <w:rPr>
          <w:lang w:val="en-US"/>
        </w:rPr>
        <w:t>Data curation, Visualization, Writing – review &amp; editing</w:t>
      </w:r>
    </w:p>
    <w:p w14:paraId="33E64356" w14:textId="2217C58B" w:rsidR="00335B30" w:rsidRPr="00335B30" w:rsidRDefault="00335B30" w:rsidP="00BD6A0A">
      <w:pPr>
        <w:spacing w:after="120"/>
        <w:jc w:val="both"/>
        <w:rPr>
          <w:lang w:val="en-US"/>
        </w:rPr>
      </w:pPr>
      <w:r w:rsidRPr="00335B30">
        <w:rPr>
          <w:lang w:val="en-US"/>
        </w:rPr>
        <w:t>Patricia Fitzsimons</w:t>
      </w:r>
      <w:r>
        <w:rPr>
          <w:lang w:val="en-US"/>
        </w:rPr>
        <w:t xml:space="preserve">: </w:t>
      </w:r>
      <w:r w:rsidRPr="00335B30">
        <w:rPr>
          <w:lang w:val="en-US"/>
        </w:rPr>
        <w:t>Formal analysis, Investigation, Writing – review &amp; editing</w:t>
      </w:r>
    </w:p>
    <w:p w14:paraId="09041261" w14:textId="0E4116EC" w:rsidR="00335B30" w:rsidRPr="00335B30" w:rsidRDefault="00335B30" w:rsidP="00BD6A0A">
      <w:pPr>
        <w:spacing w:after="120"/>
        <w:jc w:val="both"/>
        <w:rPr>
          <w:lang w:val="en-US"/>
        </w:rPr>
      </w:pPr>
      <w:r w:rsidRPr="00335B30">
        <w:rPr>
          <w:lang w:val="en-US"/>
        </w:rPr>
        <w:t>Caoimhe Howard</w:t>
      </w:r>
      <w:r>
        <w:rPr>
          <w:lang w:val="en-US"/>
        </w:rPr>
        <w:t xml:space="preserve">: </w:t>
      </w:r>
      <w:r w:rsidRPr="00335B30">
        <w:rPr>
          <w:lang w:val="en-US"/>
        </w:rPr>
        <w:t>Data curation, Writing – review &amp; editing</w:t>
      </w:r>
    </w:p>
    <w:p w14:paraId="1EFED4C8" w14:textId="2D8D2EF6" w:rsidR="00335B30" w:rsidRPr="00335B30" w:rsidRDefault="00335B30" w:rsidP="00BD6A0A">
      <w:pPr>
        <w:spacing w:after="120"/>
        <w:jc w:val="both"/>
        <w:rPr>
          <w:lang w:val="en-US"/>
        </w:rPr>
      </w:pPr>
      <w:r w:rsidRPr="00335B30">
        <w:rPr>
          <w:lang w:val="en-US"/>
        </w:rPr>
        <w:t>Yusra Sheikh</w:t>
      </w:r>
      <w:r>
        <w:rPr>
          <w:lang w:val="en-US"/>
        </w:rPr>
        <w:t xml:space="preserve">: </w:t>
      </w:r>
      <w:r w:rsidRPr="00335B30">
        <w:rPr>
          <w:lang w:val="en-US"/>
        </w:rPr>
        <w:t>Data curation, Methodology, Visualization, Writing – review &amp; editing</w:t>
      </w:r>
    </w:p>
    <w:p w14:paraId="276A09FF" w14:textId="3A1D1C4D" w:rsidR="00335B30" w:rsidRPr="00335B30" w:rsidRDefault="00335B30" w:rsidP="00BD6A0A">
      <w:pPr>
        <w:spacing w:after="120"/>
        <w:jc w:val="both"/>
        <w:rPr>
          <w:lang w:val="en-US"/>
        </w:rPr>
      </w:pPr>
      <w:r w:rsidRPr="00335B30">
        <w:rPr>
          <w:lang w:val="en-US"/>
        </w:rPr>
        <w:t>Bryan Lynch</w:t>
      </w:r>
      <w:r>
        <w:rPr>
          <w:lang w:val="en-US"/>
        </w:rPr>
        <w:t xml:space="preserve">: </w:t>
      </w:r>
      <w:r w:rsidRPr="00335B30">
        <w:rPr>
          <w:lang w:val="en-US"/>
        </w:rPr>
        <w:t>Conceptualization, Investigation, Writing – review &amp; editing</w:t>
      </w:r>
    </w:p>
    <w:p w14:paraId="1EE450B6" w14:textId="16BD7946" w:rsidR="00335B30" w:rsidRPr="00335B30" w:rsidRDefault="00335B30" w:rsidP="00BD6A0A">
      <w:pPr>
        <w:spacing w:after="120"/>
        <w:jc w:val="both"/>
        <w:rPr>
          <w:lang w:val="en-US"/>
        </w:rPr>
      </w:pPr>
      <w:r w:rsidRPr="00335B30">
        <w:rPr>
          <w:lang w:val="en-US"/>
        </w:rPr>
        <w:t>Ellen Crushell</w:t>
      </w:r>
      <w:r>
        <w:rPr>
          <w:lang w:val="en-US"/>
        </w:rPr>
        <w:t xml:space="preserve">: </w:t>
      </w:r>
      <w:r w:rsidRPr="00335B30">
        <w:rPr>
          <w:lang w:val="en-US"/>
        </w:rPr>
        <w:t>Conceptualization, Validation, Writing – review &amp; editing</w:t>
      </w:r>
    </w:p>
    <w:p w14:paraId="536EFDAE" w14:textId="42840D8B" w:rsidR="00335B30" w:rsidRPr="00AF5440" w:rsidRDefault="00335B30" w:rsidP="00BD6A0A">
      <w:pPr>
        <w:spacing w:after="120"/>
        <w:jc w:val="both"/>
        <w:rPr>
          <w:lang w:val="en-US"/>
        </w:rPr>
      </w:pPr>
      <w:r w:rsidRPr="00335B30">
        <w:rPr>
          <w:lang w:val="en-US"/>
        </w:rPr>
        <w:t>Ina Knerr</w:t>
      </w:r>
      <w:r>
        <w:rPr>
          <w:lang w:val="en-US"/>
        </w:rPr>
        <w:t xml:space="preserve">: </w:t>
      </w:r>
      <w:r w:rsidRPr="00335B30">
        <w:rPr>
          <w:lang w:val="en-US"/>
        </w:rPr>
        <w:t>Conceptualization, Data curation, Formal analysis, Funding acquisition, Methodology, Validation, Visualization, Writing – review &amp; editing</w:t>
      </w:r>
    </w:p>
    <w:p w14:paraId="4087CC55" w14:textId="77777777" w:rsidR="005979FA" w:rsidRPr="00AF5440" w:rsidRDefault="005979FA" w:rsidP="002C451E">
      <w:pPr>
        <w:keepNext/>
        <w:jc w:val="both"/>
        <w:rPr>
          <w:rFonts w:ascii="Calibri" w:eastAsia="Calibri" w:hAnsi="Calibri" w:cs="Times New Roman"/>
          <w:b/>
          <w:bCs/>
          <w:noProof/>
          <w:u w:val="single"/>
          <w:lang w:val="en-US" w:eastAsia="en-IE"/>
        </w:rPr>
      </w:pPr>
      <w:r w:rsidRPr="00AF5440">
        <w:rPr>
          <w:rFonts w:ascii="Calibri" w:eastAsia="Calibri" w:hAnsi="Calibri" w:cs="Times New Roman"/>
          <w:b/>
          <w:bCs/>
          <w:noProof/>
          <w:u w:val="single"/>
          <w:lang w:val="en-US" w:eastAsia="en-IE"/>
        </w:rPr>
        <w:br w:type="page"/>
      </w:r>
    </w:p>
    <w:p w14:paraId="304A73DB" w14:textId="1831024D" w:rsidR="00D20082" w:rsidRPr="00AF5440" w:rsidRDefault="00D20082" w:rsidP="00716FEA">
      <w:pPr>
        <w:pageBreakBefore/>
        <w:rPr>
          <w:rFonts w:eastAsia="Times New Roman" w:cstheme="minorHAnsi"/>
          <w:b/>
          <w:bCs/>
          <w:u w:val="single"/>
          <w:shd w:val="clear" w:color="auto" w:fill="FFFFFF"/>
          <w:lang w:val="en-US" w:eastAsia="en-GB"/>
        </w:rPr>
      </w:pPr>
      <w:r w:rsidRPr="00AF5440">
        <w:rPr>
          <w:rFonts w:eastAsia="Times New Roman" w:cstheme="minorHAnsi"/>
          <w:b/>
          <w:bCs/>
          <w:u w:val="single"/>
          <w:shd w:val="clear" w:color="auto" w:fill="FFFFFF"/>
          <w:lang w:val="en-US" w:eastAsia="en-GB"/>
        </w:rPr>
        <w:lastRenderedPageBreak/>
        <w:t>Refere</w:t>
      </w:r>
      <w:bookmarkStart w:id="0" w:name="_GoBack"/>
      <w:bookmarkEnd w:id="0"/>
      <w:r w:rsidRPr="00AF5440">
        <w:rPr>
          <w:rFonts w:eastAsia="Times New Roman" w:cstheme="minorHAnsi"/>
          <w:b/>
          <w:bCs/>
          <w:u w:val="single"/>
          <w:shd w:val="clear" w:color="auto" w:fill="FFFFFF"/>
          <w:lang w:val="en-US" w:eastAsia="en-GB"/>
        </w:rPr>
        <w:t>nces</w:t>
      </w:r>
    </w:p>
    <w:p w14:paraId="43355FD6" w14:textId="4261B3B3" w:rsidR="00D20082" w:rsidRPr="00AF5440" w:rsidRDefault="00CD6D86">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 xml:space="preserve">Fattal-Valevski A, Bassan H, Korman SH, Lerman-Sagie T, Gutman A, Harel S. Methylenetetrahydrofolate reductase deficiency: importance of early diagnosis. </w:t>
      </w:r>
      <w:r w:rsidRPr="00AF5440">
        <w:rPr>
          <w:rFonts w:eastAsia="Times New Roman" w:cstheme="minorHAnsi"/>
          <w:i/>
          <w:iCs/>
          <w:shd w:val="clear" w:color="auto" w:fill="FFFFFF"/>
          <w:lang w:val="en-US" w:eastAsia="en-GB"/>
        </w:rPr>
        <w:t xml:space="preserve">J Child Neurol. </w:t>
      </w:r>
      <w:r w:rsidRPr="00AF5440">
        <w:rPr>
          <w:rFonts w:eastAsia="Times New Roman" w:cstheme="minorHAnsi"/>
          <w:shd w:val="clear" w:color="auto" w:fill="FFFFFF"/>
          <w:lang w:val="en-US" w:eastAsia="en-GB"/>
        </w:rPr>
        <w:t>2000;15(8):539-</w:t>
      </w:r>
      <w:r w:rsidR="006810C7" w:rsidRPr="00AF5440">
        <w:rPr>
          <w:rFonts w:eastAsia="Times New Roman" w:cstheme="minorHAnsi"/>
          <w:shd w:val="clear" w:color="auto" w:fill="FFFFFF"/>
          <w:lang w:val="en-US" w:eastAsia="en-GB"/>
        </w:rPr>
        <w:t>5</w:t>
      </w:r>
      <w:r w:rsidRPr="00AF5440">
        <w:rPr>
          <w:rFonts w:eastAsia="Times New Roman" w:cstheme="minorHAnsi"/>
          <w:shd w:val="clear" w:color="auto" w:fill="FFFFFF"/>
          <w:lang w:val="en-US" w:eastAsia="en-GB"/>
        </w:rPr>
        <w:t>43. doi: 10.1177/088307380001500808</w:t>
      </w:r>
      <w:r w:rsidR="00D20082" w:rsidRPr="00AF5440">
        <w:rPr>
          <w:rFonts w:eastAsia="Times New Roman" w:cstheme="minorHAnsi"/>
          <w:shd w:val="clear" w:color="auto" w:fill="FFFFFF"/>
          <w:lang w:val="en-US" w:eastAsia="en-GB"/>
        </w:rPr>
        <w:t>.</w:t>
      </w:r>
    </w:p>
    <w:p w14:paraId="378CABE1" w14:textId="4D6EB4FF" w:rsidR="002D2352" w:rsidRPr="00AF5440" w:rsidRDefault="00AF2372" w:rsidP="006810C7">
      <w:pPr>
        <w:pStyle w:val="ListParagraph"/>
        <w:numPr>
          <w:ilvl w:val="0"/>
          <w:numId w:val="1"/>
        </w:numPr>
        <w:rPr>
          <w:rFonts w:eastAsia="Times New Roman" w:cstheme="minorHAnsi"/>
          <w:lang w:val="en-US" w:eastAsia="en-GB"/>
        </w:rPr>
      </w:pPr>
      <w:r>
        <w:rPr>
          <w:rFonts w:eastAsia="Times New Roman" w:cstheme="minorHAnsi"/>
          <w:shd w:val="clear" w:color="auto" w:fill="FFFFFF"/>
          <w:lang w:val="en-US" w:eastAsia="en-GB"/>
        </w:rPr>
        <w:t>T</w:t>
      </w:r>
      <w:r w:rsidR="006810C7" w:rsidRPr="00AF5440">
        <w:rPr>
          <w:rFonts w:eastAsia="Times New Roman" w:cstheme="minorHAnsi"/>
          <w:shd w:val="clear" w:color="auto" w:fill="FFFFFF"/>
          <w:lang w:val="en-US" w:eastAsia="en-GB"/>
        </w:rPr>
        <w:t>homas MA, Rosenblatt DS. Severe methylenetetrahydrofolate reductase deficiency. In: PM Ueland, R Rozen, eds. </w:t>
      </w:r>
      <w:r w:rsidR="003964A1" w:rsidRPr="00AF5440">
        <w:rPr>
          <w:rFonts w:eastAsia="Times New Roman" w:cstheme="minorHAnsi"/>
          <w:i/>
          <w:iCs/>
          <w:shd w:val="clear" w:color="auto" w:fill="FFFFFF"/>
          <w:lang w:val="en-US" w:eastAsia="en-GB"/>
        </w:rPr>
        <w:t>MTHFR Polymorphisms and D</w:t>
      </w:r>
      <w:r w:rsidR="006810C7" w:rsidRPr="00AF5440">
        <w:rPr>
          <w:rFonts w:eastAsia="Times New Roman" w:cstheme="minorHAnsi"/>
          <w:i/>
          <w:iCs/>
          <w:shd w:val="clear" w:color="auto" w:fill="FFFFFF"/>
          <w:lang w:val="en-US" w:eastAsia="en-GB"/>
        </w:rPr>
        <w:t>isease</w:t>
      </w:r>
      <w:r w:rsidR="006810C7" w:rsidRPr="00AF5440">
        <w:rPr>
          <w:rFonts w:eastAsia="Times New Roman" w:cstheme="minorHAnsi"/>
          <w:shd w:val="clear" w:color="auto" w:fill="FFFFFF"/>
          <w:lang w:val="en-US" w:eastAsia="en-GB"/>
        </w:rPr>
        <w:t xml:space="preserve">. Georgetown, TX: Landes Bioscience, 2005: </w:t>
      </w:r>
      <w:r w:rsidR="00D20082" w:rsidRPr="00AF5440">
        <w:rPr>
          <w:rFonts w:eastAsia="Times New Roman" w:cstheme="minorHAnsi"/>
          <w:shd w:val="clear" w:color="auto" w:fill="FFFFFF"/>
          <w:lang w:val="en-US" w:eastAsia="en-GB"/>
        </w:rPr>
        <w:t>41-53.</w:t>
      </w:r>
    </w:p>
    <w:p w14:paraId="1B534622" w14:textId="6F181680" w:rsidR="00B052FE" w:rsidRPr="00AF5440" w:rsidRDefault="003964A1">
      <w:pPr>
        <w:pStyle w:val="ListParagraph"/>
        <w:numPr>
          <w:ilvl w:val="0"/>
          <w:numId w:val="1"/>
        </w:numPr>
        <w:rPr>
          <w:rFonts w:eastAsia="Times New Roman" w:cstheme="minorHAnsi"/>
          <w:lang w:val="en-US" w:eastAsia="en-GB"/>
        </w:rPr>
      </w:pPr>
      <w:r w:rsidRPr="00AF5440">
        <w:rPr>
          <w:rFonts w:eastAsia="Times New Roman" w:cstheme="minorHAnsi"/>
          <w:lang w:val="en-US" w:eastAsia="en-GB"/>
        </w:rPr>
        <w:t>Gerrard A, Dawson C. Homocystinuria diagnosis and management: it is not all classical. </w:t>
      </w:r>
      <w:r w:rsidRPr="00AF5440">
        <w:rPr>
          <w:rFonts w:eastAsia="Times New Roman" w:cstheme="minorHAnsi"/>
          <w:i/>
          <w:iCs/>
          <w:lang w:val="en-US" w:eastAsia="en-GB"/>
        </w:rPr>
        <w:t>J Clin Pathol</w:t>
      </w:r>
      <w:r w:rsidRPr="00AF5440">
        <w:rPr>
          <w:rFonts w:eastAsia="Times New Roman" w:cstheme="minorHAnsi"/>
          <w:lang w:val="en-US" w:eastAsia="en-GB"/>
        </w:rPr>
        <w:t>. Published online September 19, 2022. doi:10.1136/jcp-2021-208029.</w:t>
      </w:r>
    </w:p>
    <w:p w14:paraId="19A8553E" w14:textId="157523DA" w:rsidR="00877D0C" w:rsidRPr="00AF5440" w:rsidRDefault="00152489" w:rsidP="00152489">
      <w:pPr>
        <w:pStyle w:val="ListParagraph"/>
        <w:numPr>
          <w:ilvl w:val="0"/>
          <w:numId w:val="1"/>
        </w:numPr>
        <w:rPr>
          <w:rFonts w:eastAsia="Times New Roman" w:cstheme="minorHAnsi"/>
          <w:lang w:val="en-US" w:eastAsia="en-GB"/>
        </w:rPr>
      </w:pPr>
      <w:r w:rsidRPr="00AF5440">
        <w:rPr>
          <w:rFonts w:eastAsia="Times New Roman" w:cstheme="minorHAnsi"/>
          <w:lang w:val="en-US" w:eastAsia="en-GB"/>
        </w:rPr>
        <w:t>Huemer M, Diodato D, Schwahn B, et al. Guidelines for diagnosis and management of the cobalamin-related remethylation disorders cblC, cblD, cblE, cblF, cblG, cblJ and MTHFR deficiency. </w:t>
      </w:r>
      <w:r w:rsidRPr="00AF5440">
        <w:rPr>
          <w:rFonts w:eastAsia="Times New Roman" w:cstheme="minorHAnsi"/>
          <w:i/>
          <w:iCs/>
          <w:lang w:val="en-US" w:eastAsia="en-GB"/>
        </w:rPr>
        <w:t>J Inherit Metab Dis</w:t>
      </w:r>
      <w:r w:rsidRPr="00AF5440">
        <w:rPr>
          <w:rFonts w:eastAsia="Times New Roman" w:cstheme="minorHAnsi"/>
          <w:lang w:val="en-US" w:eastAsia="en-GB"/>
        </w:rPr>
        <w:t>. 2017;40(1):21-48. doi:10.1007/s10545-016-9991-4</w:t>
      </w:r>
      <w:r w:rsidR="00877D0C" w:rsidRPr="00AF5440">
        <w:rPr>
          <w:rFonts w:eastAsia="Times New Roman" w:cstheme="minorHAnsi"/>
          <w:lang w:val="en-US" w:eastAsia="en-GB"/>
        </w:rPr>
        <w:t xml:space="preserve">. </w:t>
      </w:r>
    </w:p>
    <w:p w14:paraId="67F985A6" w14:textId="19269B3B" w:rsidR="002D2352" w:rsidRPr="00AF5440" w:rsidRDefault="00152489">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Goyette P, Frosst P, Rosenblatt DS, Rozen R. Seven novel mutations in the methylenetetrahydrofolate reductase gene and genotype/phenotype correlations in severe methylenetetrahydrofolate reductase deficiency. </w:t>
      </w:r>
      <w:r w:rsidRPr="00AF5440">
        <w:rPr>
          <w:rFonts w:eastAsia="Times New Roman" w:cstheme="minorHAnsi"/>
          <w:i/>
          <w:iCs/>
          <w:shd w:val="clear" w:color="auto" w:fill="FFFFFF"/>
          <w:lang w:val="en-US" w:eastAsia="en-GB"/>
        </w:rPr>
        <w:t>Am J Hum Genet</w:t>
      </w:r>
      <w:r w:rsidRPr="00AF5440">
        <w:rPr>
          <w:rFonts w:eastAsia="Times New Roman" w:cstheme="minorHAnsi"/>
          <w:shd w:val="clear" w:color="auto" w:fill="FFFFFF"/>
          <w:lang w:val="en-US" w:eastAsia="en-GB"/>
        </w:rPr>
        <w:t>. 1995;56(5):1052-1059.</w:t>
      </w:r>
    </w:p>
    <w:p w14:paraId="5835257A" w14:textId="6823DB03" w:rsidR="00E17CC7" w:rsidRPr="00AF5440" w:rsidRDefault="00152489" w:rsidP="00152489">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Crushell E, O</w:t>
      </w:r>
      <w:r w:rsidR="00104C61">
        <w:rPr>
          <w:rFonts w:eastAsia="Times New Roman" w:cstheme="minorHAnsi"/>
          <w:shd w:val="clear" w:color="auto" w:fill="FFFFFF"/>
          <w:lang w:val="en-US" w:eastAsia="en-GB"/>
        </w:rPr>
        <w:t>’</w:t>
      </w:r>
      <w:r w:rsidRPr="00AF5440">
        <w:rPr>
          <w:rFonts w:eastAsia="Times New Roman" w:cstheme="minorHAnsi"/>
          <w:shd w:val="clear" w:color="auto" w:fill="FFFFFF"/>
          <w:lang w:val="en-US" w:eastAsia="en-GB"/>
        </w:rPr>
        <w:t>Leary D, Irvine AD, O</w:t>
      </w:r>
      <w:r w:rsidR="00104C61">
        <w:rPr>
          <w:rFonts w:eastAsia="Times New Roman" w:cstheme="minorHAnsi"/>
          <w:shd w:val="clear" w:color="auto" w:fill="FFFFFF"/>
          <w:lang w:val="en-US" w:eastAsia="en-GB"/>
        </w:rPr>
        <w:t>’</w:t>
      </w:r>
      <w:r w:rsidRPr="00AF5440">
        <w:rPr>
          <w:rFonts w:eastAsia="Times New Roman" w:cstheme="minorHAnsi"/>
          <w:shd w:val="clear" w:color="auto" w:fill="FFFFFF"/>
          <w:lang w:val="en-US" w:eastAsia="en-GB"/>
        </w:rPr>
        <w:t>Shea A, Mayne PD, Reardon W. Methylenetetrahydrofolate reductase (MTHFR) deficiency presenting as a rash. </w:t>
      </w:r>
      <w:r w:rsidRPr="00AF5440">
        <w:rPr>
          <w:rFonts w:eastAsia="Times New Roman" w:cstheme="minorHAnsi"/>
          <w:i/>
          <w:iCs/>
          <w:shd w:val="clear" w:color="auto" w:fill="FFFFFF"/>
          <w:lang w:val="en-US" w:eastAsia="en-GB"/>
        </w:rPr>
        <w:t>Am J Med Genet A</w:t>
      </w:r>
      <w:r w:rsidRPr="00AF5440">
        <w:rPr>
          <w:rFonts w:eastAsia="Times New Roman" w:cstheme="minorHAnsi"/>
          <w:shd w:val="clear" w:color="auto" w:fill="FFFFFF"/>
          <w:lang w:val="en-US" w:eastAsia="en-GB"/>
        </w:rPr>
        <w:t>. 2012;158A(9):2254-2257. doi:10.1002/ajmg.a.35479</w:t>
      </w:r>
      <w:r w:rsidR="006C371E" w:rsidRPr="00AF5440">
        <w:rPr>
          <w:rFonts w:eastAsia="Times New Roman" w:cstheme="minorHAnsi"/>
          <w:shd w:val="clear" w:color="auto" w:fill="FFFFFF"/>
          <w:lang w:val="en-US" w:eastAsia="en-GB"/>
        </w:rPr>
        <w:t>.</w:t>
      </w:r>
    </w:p>
    <w:p w14:paraId="098D0211" w14:textId="04744940" w:rsidR="008C52AE" w:rsidRPr="00AF5440" w:rsidRDefault="00152489">
      <w:pPr>
        <w:pStyle w:val="ListParagraph"/>
        <w:numPr>
          <w:ilvl w:val="0"/>
          <w:numId w:val="1"/>
        </w:numPr>
        <w:rPr>
          <w:rFonts w:eastAsia="Times New Roman" w:cstheme="minorHAnsi"/>
          <w:lang w:val="en-US" w:eastAsia="en-GB"/>
        </w:rPr>
      </w:pPr>
      <w:r w:rsidRPr="00AF5440">
        <w:rPr>
          <w:lang w:val="en-US"/>
        </w:rPr>
        <w:t>Jadavji NM, Wieske F, Dirnagl U, Winter C. Methylenetetrahydrofolate reductase deficiency alters levels of glutamate and γ-aminobutyric acid in brain tissue. </w:t>
      </w:r>
      <w:r w:rsidRPr="00AF5440">
        <w:rPr>
          <w:i/>
          <w:iCs/>
          <w:lang w:val="en-US"/>
        </w:rPr>
        <w:t>Mol Genet Metab Rep</w:t>
      </w:r>
      <w:r w:rsidRPr="00AF5440">
        <w:rPr>
          <w:lang w:val="en-US"/>
        </w:rPr>
        <w:t>. 2015;3:1-4. doi:10.1016/j.ymgmr.2015.02.001</w:t>
      </w:r>
      <w:r w:rsidR="008C52AE" w:rsidRPr="00AF5440">
        <w:rPr>
          <w:rFonts w:eastAsia="Times New Roman" w:cstheme="minorHAnsi"/>
          <w:lang w:val="en-US" w:eastAsia="en-GB"/>
        </w:rPr>
        <w:t xml:space="preserve"> </w:t>
      </w:r>
    </w:p>
    <w:p w14:paraId="58CA50BF" w14:textId="3560E7AD" w:rsidR="00A844F3" w:rsidRPr="00AF5440" w:rsidRDefault="00152489" w:rsidP="00152489">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Urreizti R, Moya-García AA, Pino-Ángeles A, et al. Molecular characterization of five patients with homocystinuria due to severe methylenetetrahydrofolate reductase deficiency. </w:t>
      </w:r>
      <w:r w:rsidRPr="00AF5440">
        <w:rPr>
          <w:rFonts w:eastAsia="Times New Roman" w:cstheme="minorHAnsi"/>
          <w:i/>
          <w:iCs/>
          <w:shd w:val="clear" w:color="auto" w:fill="FFFFFF"/>
          <w:lang w:val="en-US" w:eastAsia="en-GB"/>
        </w:rPr>
        <w:t>Clin Genet</w:t>
      </w:r>
      <w:r w:rsidRPr="00AF5440">
        <w:rPr>
          <w:rFonts w:eastAsia="Times New Roman" w:cstheme="minorHAnsi"/>
          <w:shd w:val="clear" w:color="auto" w:fill="FFFFFF"/>
          <w:lang w:val="en-US" w:eastAsia="en-GB"/>
        </w:rPr>
        <w:t>. 2010;78(5):441-448. doi:10.1111/j.1399-0004.2010.01391.x</w:t>
      </w:r>
      <w:r w:rsidR="00A844F3" w:rsidRPr="00AF5440">
        <w:rPr>
          <w:rFonts w:eastAsia="Times New Roman" w:cstheme="minorHAnsi"/>
          <w:shd w:val="clear" w:color="auto" w:fill="FFFFFF"/>
          <w:lang w:val="en-US" w:eastAsia="en-GB"/>
        </w:rPr>
        <w:t>.</w:t>
      </w:r>
    </w:p>
    <w:p w14:paraId="659B5CE9" w14:textId="7CEB49EA" w:rsidR="004D5E2E" w:rsidRPr="00AF5440" w:rsidRDefault="00152489">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 xml:space="preserve">Schiff M, Benoist JF, Tilea B, Royer N, Giraudier S, Ogier de Baulny H. Isolated remethylation disorders: do our treatments benefit patients? </w:t>
      </w:r>
      <w:r w:rsidRPr="00AF5440">
        <w:rPr>
          <w:rFonts w:eastAsia="Times New Roman" w:cstheme="minorHAnsi"/>
          <w:i/>
          <w:iCs/>
          <w:shd w:val="clear" w:color="auto" w:fill="FFFFFF"/>
          <w:lang w:val="en-US" w:eastAsia="en-GB"/>
        </w:rPr>
        <w:t>J Inherit Metab Dis</w:t>
      </w:r>
      <w:r w:rsidRPr="00AF5440">
        <w:rPr>
          <w:rFonts w:eastAsia="Times New Roman" w:cstheme="minorHAnsi"/>
          <w:shd w:val="clear" w:color="auto" w:fill="FFFFFF"/>
          <w:lang w:val="en-US" w:eastAsia="en-GB"/>
        </w:rPr>
        <w:t>. 2011;34(1):137-145. doi:10.1007/s10545-010-9120-8</w:t>
      </w:r>
      <w:r w:rsidR="00465E4B" w:rsidRPr="00AF5440">
        <w:rPr>
          <w:rFonts w:eastAsia="Times New Roman" w:cstheme="minorHAnsi"/>
          <w:shd w:val="clear" w:color="auto" w:fill="FFFFFF"/>
          <w:lang w:val="en-US" w:eastAsia="en-GB"/>
        </w:rPr>
        <w:t>.</w:t>
      </w:r>
    </w:p>
    <w:p w14:paraId="78032689" w14:textId="380EA79D" w:rsidR="004D5E2E" w:rsidRPr="00AF5440" w:rsidRDefault="00AA59FB" w:rsidP="00AA59FB">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Strauss KA, Morton DH, Puffenberger EG, et al. Prevention of brain disease from severe 5,10-methylenetetrahydrofolate reductase deficiency. </w:t>
      </w:r>
      <w:r w:rsidRPr="00AF5440">
        <w:rPr>
          <w:rFonts w:eastAsia="Times New Roman" w:cstheme="minorHAnsi"/>
          <w:i/>
          <w:iCs/>
          <w:shd w:val="clear" w:color="auto" w:fill="FFFFFF"/>
          <w:lang w:val="en-US" w:eastAsia="en-GB"/>
        </w:rPr>
        <w:t>Mol Genet Metab</w:t>
      </w:r>
      <w:r w:rsidRPr="00AF5440">
        <w:rPr>
          <w:rFonts w:eastAsia="Times New Roman" w:cstheme="minorHAnsi"/>
          <w:shd w:val="clear" w:color="auto" w:fill="FFFFFF"/>
          <w:lang w:val="en-US" w:eastAsia="en-GB"/>
        </w:rPr>
        <w:t>. 2007;91(2):165-175. doi:10.1016/j.ymgme.2007.02.012</w:t>
      </w:r>
      <w:r w:rsidR="004D5E2E" w:rsidRPr="00AF5440">
        <w:rPr>
          <w:rFonts w:eastAsia="Times New Roman" w:cstheme="minorHAnsi"/>
          <w:shd w:val="clear" w:color="auto" w:fill="FFFFFF"/>
          <w:lang w:val="en-US" w:eastAsia="en-GB"/>
        </w:rPr>
        <w:t>.</w:t>
      </w:r>
    </w:p>
    <w:p w14:paraId="6D04CA74" w14:textId="512BA66E" w:rsidR="002D2352" w:rsidRPr="00AF5440" w:rsidRDefault="00AA59FB" w:rsidP="00AA59FB">
      <w:pPr>
        <w:pStyle w:val="ListParagraph"/>
        <w:numPr>
          <w:ilvl w:val="0"/>
          <w:numId w:val="1"/>
        </w:numPr>
        <w:rPr>
          <w:rFonts w:eastAsia="Times New Roman" w:cstheme="minorHAnsi"/>
          <w:lang w:val="en-US" w:eastAsia="en-GB"/>
        </w:rPr>
      </w:pPr>
      <w:r w:rsidRPr="00AF5440">
        <w:rPr>
          <w:rFonts w:eastAsia="Times New Roman" w:cstheme="minorHAnsi"/>
          <w:shd w:val="clear" w:color="auto" w:fill="FCFCFC"/>
          <w:lang w:val="en-US" w:eastAsia="en-GB"/>
        </w:rPr>
        <w:t>Kaur R, Correa ARE, Thakur S, Kabra M, Gupta N. Methylene tetrahydrofolate reductase deficiency. </w:t>
      </w:r>
      <w:r w:rsidRPr="00AF5440">
        <w:rPr>
          <w:rFonts w:eastAsia="Times New Roman" w:cstheme="minorHAnsi"/>
          <w:i/>
          <w:iCs/>
          <w:shd w:val="clear" w:color="auto" w:fill="FCFCFC"/>
          <w:lang w:val="en-US" w:eastAsia="en-GB"/>
        </w:rPr>
        <w:t>Indian J Pediatr</w:t>
      </w:r>
      <w:r w:rsidRPr="00AF5440">
        <w:rPr>
          <w:rFonts w:eastAsia="Times New Roman" w:cstheme="minorHAnsi"/>
          <w:shd w:val="clear" w:color="auto" w:fill="FCFCFC"/>
          <w:lang w:val="en-US" w:eastAsia="en-GB"/>
        </w:rPr>
        <w:t>. 2020;87(11):951-953. doi:10.1007/s12098-020-03290-3</w:t>
      </w:r>
      <w:r w:rsidR="00F26617" w:rsidRPr="00AF5440">
        <w:rPr>
          <w:rFonts w:eastAsia="Times New Roman" w:cstheme="minorHAnsi"/>
          <w:shd w:val="clear" w:color="auto" w:fill="FCFCFC"/>
          <w:lang w:val="en-US" w:eastAsia="en-GB"/>
        </w:rPr>
        <w:t xml:space="preserve">. </w:t>
      </w:r>
    </w:p>
    <w:p w14:paraId="6A3D5041" w14:textId="1106758F" w:rsidR="00961AC8" w:rsidRPr="00AF5440" w:rsidRDefault="00AA59FB" w:rsidP="00AA59FB">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Diekman EF, de Koning TJ, Verhoeven-Duif NM, Rovers MM, van Hasselt PM. Survival and psychomotor development with early betaine treatment in patients with severe methylenetetrahydrofolate reductase deficiency. </w:t>
      </w:r>
      <w:r w:rsidRPr="00AF5440">
        <w:rPr>
          <w:rFonts w:eastAsia="Times New Roman" w:cstheme="minorHAnsi"/>
          <w:i/>
          <w:iCs/>
          <w:shd w:val="clear" w:color="auto" w:fill="FFFFFF"/>
          <w:lang w:val="en-US" w:eastAsia="en-GB"/>
        </w:rPr>
        <w:t>JAMA Neurol</w:t>
      </w:r>
      <w:r w:rsidRPr="00AF5440">
        <w:rPr>
          <w:rFonts w:eastAsia="Times New Roman" w:cstheme="minorHAnsi"/>
          <w:shd w:val="clear" w:color="auto" w:fill="FFFFFF"/>
          <w:lang w:val="en-US" w:eastAsia="en-GB"/>
        </w:rPr>
        <w:t>. 2014;71(2):188-194. doi:10.1001/jamaneurol.2013.4915</w:t>
      </w:r>
      <w:r w:rsidR="00F26617" w:rsidRPr="00AF5440">
        <w:rPr>
          <w:rFonts w:eastAsia="Times New Roman" w:cstheme="minorHAnsi"/>
          <w:shd w:val="clear" w:color="auto" w:fill="FFFFFF"/>
          <w:lang w:val="en-US" w:eastAsia="en-GB"/>
        </w:rPr>
        <w:t>.</w:t>
      </w:r>
    </w:p>
    <w:p w14:paraId="378B4C42" w14:textId="36D74556" w:rsidR="0035661E" w:rsidRPr="00AF5440" w:rsidRDefault="006F46FC">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Aljassim N, Alfadhel M, Nashabat M, Eyaid W. Clinical presentation of seven patients with Methylenetetrahydrofolate reductase deficiency. </w:t>
      </w:r>
      <w:r w:rsidRPr="00AF5440">
        <w:rPr>
          <w:rFonts w:eastAsia="Times New Roman" w:cstheme="minorHAnsi"/>
          <w:i/>
          <w:iCs/>
          <w:shd w:val="clear" w:color="auto" w:fill="FFFFFF"/>
          <w:lang w:val="en-US" w:eastAsia="en-GB"/>
        </w:rPr>
        <w:t>Mol Genet Metab Rep</w:t>
      </w:r>
      <w:r w:rsidRPr="00AF5440">
        <w:rPr>
          <w:rFonts w:eastAsia="Times New Roman" w:cstheme="minorHAnsi"/>
          <w:shd w:val="clear" w:color="auto" w:fill="FFFFFF"/>
          <w:lang w:val="en-US" w:eastAsia="en-GB"/>
        </w:rPr>
        <w:t>. 2020;25:100644. doi:10.1016/j.ymgmr.2020.100644</w:t>
      </w:r>
      <w:r w:rsidR="00B052FE" w:rsidRPr="00AF5440">
        <w:rPr>
          <w:rFonts w:eastAsia="Times New Roman" w:cstheme="minorHAnsi"/>
          <w:shd w:val="clear" w:color="auto" w:fill="FFFFFF"/>
          <w:lang w:val="en-US" w:eastAsia="en-GB"/>
        </w:rPr>
        <w:t>.</w:t>
      </w:r>
    </w:p>
    <w:p w14:paraId="4EA7F26F" w14:textId="780DF7E0" w:rsidR="008716CA" w:rsidRPr="00AF5440" w:rsidRDefault="00D856C4">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Iida S, Nakamura M, Asayama S, et al. Rapidly progressive psychotic symptoms triggered by infection in a patient with methylenetetrahydrofolate reductase deficiency: a case report. </w:t>
      </w:r>
      <w:r w:rsidRPr="00AF5440">
        <w:rPr>
          <w:rFonts w:eastAsia="Times New Roman" w:cstheme="minorHAnsi"/>
          <w:i/>
          <w:iCs/>
          <w:shd w:val="clear" w:color="auto" w:fill="FFFFFF"/>
          <w:lang w:val="en-US" w:eastAsia="en-GB"/>
        </w:rPr>
        <w:t>BMC Neurol</w:t>
      </w:r>
      <w:r w:rsidRPr="00AF5440">
        <w:rPr>
          <w:rFonts w:eastAsia="Times New Roman" w:cstheme="minorHAnsi"/>
          <w:shd w:val="clear" w:color="auto" w:fill="FFFFFF"/>
          <w:lang w:val="en-US" w:eastAsia="en-GB"/>
        </w:rPr>
        <w:t>. 2017;17(1):47. doi:10.1186/s12883-017-0827-0</w:t>
      </w:r>
      <w:r w:rsidR="00B052FE" w:rsidRPr="00AF5440">
        <w:rPr>
          <w:rFonts w:eastAsia="Times New Roman" w:cstheme="minorHAnsi"/>
          <w:shd w:val="clear" w:color="auto" w:fill="FFFFFF"/>
          <w:lang w:val="en-US" w:eastAsia="en-GB"/>
        </w:rPr>
        <w:t>.</w:t>
      </w:r>
    </w:p>
    <w:p w14:paraId="18337AD0" w14:textId="4E359587" w:rsidR="00E344F5" w:rsidRPr="00AF5440" w:rsidRDefault="00E344F5">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lastRenderedPageBreak/>
        <w:t xml:space="preserve">Augoulea A, Deligeoroglou E, Armeni E, </w:t>
      </w:r>
      <w:r w:rsidR="0079043A" w:rsidRPr="00AF5440">
        <w:rPr>
          <w:rFonts w:eastAsia="Times New Roman" w:cstheme="minorHAnsi"/>
          <w:shd w:val="clear" w:color="auto" w:fill="FFFFFF"/>
          <w:lang w:val="en-US" w:eastAsia="en-GB"/>
        </w:rPr>
        <w:t>et al</w:t>
      </w:r>
      <w:r w:rsidRPr="00AF5440">
        <w:rPr>
          <w:rFonts w:eastAsia="Times New Roman" w:cstheme="minorHAnsi"/>
          <w:shd w:val="clear" w:color="auto" w:fill="FFFFFF"/>
          <w:lang w:val="en-US" w:eastAsia="en-GB"/>
        </w:rPr>
        <w:t>. Bone density and body weight is associated with MTHFR677 polymorphism in girls with anorexia nervosa. </w:t>
      </w:r>
      <w:r w:rsidRPr="00AF5440">
        <w:rPr>
          <w:rFonts w:eastAsia="Times New Roman" w:cstheme="minorHAnsi"/>
          <w:i/>
          <w:iCs/>
          <w:shd w:val="clear" w:color="auto" w:fill="FFFFFF"/>
          <w:lang w:val="en-US" w:eastAsia="en-GB"/>
        </w:rPr>
        <w:t>Euro Gynaecol Obstet</w:t>
      </w:r>
      <w:r w:rsidR="00A333EA" w:rsidRPr="00AF5440">
        <w:rPr>
          <w:rFonts w:eastAsia="Times New Roman" w:cstheme="minorHAnsi"/>
          <w:shd w:val="clear" w:color="auto" w:fill="FFFFFF"/>
          <w:lang w:val="en-US" w:eastAsia="en-GB"/>
        </w:rPr>
        <w:t>.</w:t>
      </w:r>
      <w:r w:rsidRPr="00AF5440">
        <w:rPr>
          <w:rFonts w:eastAsia="Times New Roman" w:cstheme="minorHAnsi"/>
          <w:shd w:val="clear" w:color="auto" w:fill="FFFFFF"/>
          <w:lang w:val="en-US" w:eastAsia="en-GB"/>
        </w:rPr>
        <w:t xml:space="preserve"> </w:t>
      </w:r>
      <w:r w:rsidR="0079043A" w:rsidRPr="00AF5440">
        <w:rPr>
          <w:rFonts w:eastAsia="Times New Roman" w:cstheme="minorHAnsi"/>
          <w:shd w:val="clear" w:color="auto" w:fill="FFFFFF"/>
          <w:lang w:val="en-US" w:eastAsia="en-GB"/>
        </w:rPr>
        <w:t>2019;</w:t>
      </w:r>
      <w:r w:rsidRPr="00AF5440">
        <w:rPr>
          <w:rFonts w:eastAsia="Times New Roman" w:cstheme="minorHAnsi"/>
          <w:shd w:val="clear" w:color="auto" w:fill="FFFFFF"/>
          <w:lang w:val="en-US" w:eastAsia="en-GB"/>
        </w:rPr>
        <w:t>1(1)</w:t>
      </w:r>
      <w:r w:rsidR="0079043A" w:rsidRPr="00AF5440">
        <w:rPr>
          <w:rFonts w:eastAsia="Times New Roman" w:cstheme="minorHAnsi"/>
          <w:shd w:val="clear" w:color="auto" w:fill="FFFFFF"/>
          <w:lang w:val="en-US" w:eastAsia="en-GB"/>
        </w:rPr>
        <w:t>:</w:t>
      </w:r>
      <w:r w:rsidRPr="00AF5440">
        <w:rPr>
          <w:rFonts w:eastAsia="Times New Roman" w:cstheme="minorHAnsi"/>
          <w:shd w:val="clear" w:color="auto" w:fill="FFFFFF"/>
          <w:lang w:val="en-US" w:eastAsia="en-GB"/>
        </w:rPr>
        <w:t>55-60.</w:t>
      </w:r>
    </w:p>
    <w:p w14:paraId="5F4DE2A2" w14:textId="77777777" w:rsidR="0079043A" w:rsidRPr="00AF5440" w:rsidRDefault="0079043A" w:rsidP="0079043A">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Wang H, Liu C. Association of MTHFR C667T polymorphism with bone mineral density and fracture risk: an updated meta-analysis. </w:t>
      </w:r>
      <w:r w:rsidRPr="00AF5440">
        <w:rPr>
          <w:rFonts w:eastAsia="Times New Roman" w:cstheme="minorHAnsi"/>
          <w:i/>
          <w:iCs/>
          <w:shd w:val="clear" w:color="auto" w:fill="FFFFFF"/>
          <w:lang w:val="en-US" w:eastAsia="en-GB"/>
        </w:rPr>
        <w:t>Osteoporos Int</w:t>
      </w:r>
      <w:r w:rsidRPr="00AF5440">
        <w:rPr>
          <w:rFonts w:eastAsia="Times New Roman" w:cstheme="minorHAnsi"/>
          <w:shd w:val="clear" w:color="auto" w:fill="FFFFFF"/>
          <w:lang w:val="en-US" w:eastAsia="en-GB"/>
        </w:rPr>
        <w:t>. 2012;23(11):2625-2634. doi:10.1007/s00198-011-1885-6</w:t>
      </w:r>
    </w:p>
    <w:p w14:paraId="5C3B3D20" w14:textId="3C883C6A" w:rsidR="00062AA2" w:rsidRPr="00AF5440" w:rsidRDefault="00265E16" w:rsidP="00265E16">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Villadsen MM, Bünger MH, Carstens M, Stenkjaer L, Langdahl BL. Methylenetetrahydrofolate reductase (MTHFR) C677T polymorphism is associated with osteoporotic vertebral fractures, but is a weak predictor of BMD. </w:t>
      </w:r>
      <w:r w:rsidRPr="00AF5440">
        <w:rPr>
          <w:rFonts w:eastAsia="Times New Roman" w:cstheme="minorHAnsi"/>
          <w:i/>
          <w:iCs/>
          <w:shd w:val="clear" w:color="auto" w:fill="FFFFFF"/>
          <w:lang w:val="en-US" w:eastAsia="en-GB"/>
        </w:rPr>
        <w:t>Osteoporos Int</w:t>
      </w:r>
      <w:r w:rsidRPr="00AF5440">
        <w:rPr>
          <w:rFonts w:eastAsia="Times New Roman" w:cstheme="minorHAnsi"/>
          <w:shd w:val="clear" w:color="auto" w:fill="FFFFFF"/>
          <w:lang w:val="en-US" w:eastAsia="en-GB"/>
        </w:rPr>
        <w:t>. 2005;16(4):411-416. doi:10.1007/s00198-004-1704-4</w:t>
      </w:r>
      <w:r w:rsidR="00062AA2" w:rsidRPr="00AF5440">
        <w:rPr>
          <w:rFonts w:eastAsia="Times New Roman" w:cstheme="minorHAnsi"/>
          <w:shd w:val="clear" w:color="auto" w:fill="FFFFFF"/>
          <w:lang w:val="en-US" w:eastAsia="en-GB"/>
        </w:rPr>
        <w:t>.</w:t>
      </w:r>
    </w:p>
    <w:p w14:paraId="55002701" w14:textId="1A0D183C" w:rsidR="00137239" w:rsidRPr="00AF5440" w:rsidRDefault="008B0874">
      <w:pPr>
        <w:pStyle w:val="ListParagraph"/>
        <w:numPr>
          <w:ilvl w:val="0"/>
          <w:numId w:val="1"/>
        </w:numPr>
        <w:rPr>
          <w:rFonts w:eastAsia="Times New Roman" w:cstheme="minorHAnsi"/>
          <w:lang w:val="en-US" w:eastAsia="en-GB"/>
        </w:rPr>
      </w:pPr>
      <w:r w:rsidRPr="00AF5440">
        <w:rPr>
          <w:rFonts w:eastAsia="Times New Roman" w:cstheme="minorHAnsi"/>
          <w:lang w:val="en-US" w:eastAsia="en-GB"/>
        </w:rPr>
        <w:t>Health Service Executive (HSE). Homocystinuria, Newborn Bloodspot Screening. Accessed September, 2023. https://www.hse.ie/eng/health/child/newbornscreening/newbornbloodspotscreening/information-for-professionals/conditions/hcu/</w:t>
      </w:r>
    </w:p>
    <w:p w14:paraId="4F9F7BA9" w14:textId="0BC613D5" w:rsidR="00EE3FEF" w:rsidRPr="00AF5440" w:rsidRDefault="000929F4">
      <w:pPr>
        <w:pStyle w:val="ListParagraph"/>
        <w:numPr>
          <w:ilvl w:val="0"/>
          <w:numId w:val="1"/>
        </w:numPr>
        <w:rPr>
          <w:rFonts w:eastAsia="Times New Roman" w:cstheme="minorHAnsi"/>
          <w:lang w:val="en-US" w:eastAsia="en-GB"/>
        </w:rPr>
      </w:pPr>
      <w:r w:rsidRPr="00AF5440">
        <w:rPr>
          <w:rFonts w:eastAsia="Times New Roman" w:cstheme="minorHAnsi"/>
          <w:lang w:val="en-US" w:eastAsia="en-GB"/>
        </w:rPr>
        <w:t>Allen J, Power B, Abedin A, Purcell O, Knerr I, Monavari A. Plasma methionine concentrations and incidence of hypermethioninemic encephalopathy during infancy in a large cohort of 36 patients with classical homocystinuria in the Republic of Ireland. </w:t>
      </w:r>
      <w:r w:rsidRPr="00AF5440">
        <w:rPr>
          <w:rFonts w:eastAsia="Times New Roman" w:cstheme="minorHAnsi"/>
          <w:i/>
          <w:iCs/>
          <w:lang w:val="en-US" w:eastAsia="en-GB"/>
        </w:rPr>
        <w:t>JIMD Rep</w:t>
      </w:r>
      <w:r w:rsidRPr="00AF5440">
        <w:rPr>
          <w:rFonts w:eastAsia="Times New Roman" w:cstheme="minorHAnsi"/>
          <w:lang w:val="en-US" w:eastAsia="en-GB"/>
        </w:rPr>
        <w:t>. 2019;47(1):41-46. doi:10.1002/jmd2.12029</w:t>
      </w:r>
      <w:r w:rsidR="00EE3FEF" w:rsidRPr="00AF5440">
        <w:rPr>
          <w:rFonts w:eastAsia="Times New Roman" w:cstheme="minorHAnsi"/>
          <w:lang w:val="en-US" w:eastAsia="en-GB"/>
        </w:rPr>
        <w:t>.</w:t>
      </w:r>
    </w:p>
    <w:p w14:paraId="6ACCEFBC" w14:textId="47EEE3E6" w:rsidR="00B016B6" w:rsidRPr="00AF5440" w:rsidRDefault="000929F4" w:rsidP="000929F4">
      <w:pPr>
        <w:pStyle w:val="ListParagraph"/>
        <w:numPr>
          <w:ilvl w:val="0"/>
          <w:numId w:val="1"/>
        </w:numPr>
        <w:rPr>
          <w:rFonts w:eastAsia="Times New Roman" w:cstheme="minorHAnsi"/>
          <w:lang w:val="en-US" w:eastAsia="en-GB"/>
        </w:rPr>
      </w:pPr>
      <w:r w:rsidRPr="00AF5440">
        <w:rPr>
          <w:rFonts w:eastAsia="Times New Roman" w:cstheme="minorHAnsi"/>
          <w:shd w:val="clear" w:color="auto" w:fill="FFFFFF"/>
          <w:lang w:val="en-US" w:eastAsia="en-GB"/>
        </w:rPr>
        <w:t>Huemer M, Kožich V, Rinaldo P, et al. Newborn screening for homocystinurias and methylation disorders: systematic review and proposed guidelines. </w:t>
      </w:r>
      <w:r w:rsidRPr="00AF5440">
        <w:rPr>
          <w:rFonts w:eastAsia="Times New Roman" w:cstheme="minorHAnsi"/>
          <w:i/>
          <w:iCs/>
          <w:shd w:val="clear" w:color="auto" w:fill="FFFFFF"/>
          <w:lang w:val="en-US" w:eastAsia="en-GB"/>
        </w:rPr>
        <w:t>J Inherit Metab Dis</w:t>
      </w:r>
      <w:r w:rsidRPr="00AF5440">
        <w:rPr>
          <w:rFonts w:eastAsia="Times New Roman" w:cstheme="minorHAnsi"/>
          <w:shd w:val="clear" w:color="auto" w:fill="FFFFFF"/>
          <w:lang w:val="en-US" w:eastAsia="en-GB"/>
        </w:rPr>
        <w:t>. 2015;38(6):1007-1019. doi:10.1007/s10545-015-9830-z</w:t>
      </w:r>
      <w:r w:rsidR="001E47A9" w:rsidRPr="00AF5440">
        <w:rPr>
          <w:rFonts w:eastAsia="Times New Roman" w:cstheme="minorHAnsi"/>
          <w:shd w:val="clear" w:color="auto" w:fill="FFFFFF"/>
          <w:lang w:val="en-US" w:eastAsia="en-GB"/>
        </w:rPr>
        <w:t>.</w:t>
      </w:r>
    </w:p>
    <w:p w14:paraId="3F08B538" w14:textId="0A53D19B" w:rsidR="00AD5BE5" w:rsidRPr="00AF5440" w:rsidRDefault="00055A4C" w:rsidP="00055A4C">
      <w:pPr>
        <w:pStyle w:val="ListParagraph"/>
        <w:numPr>
          <w:ilvl w:val="0"/>
          <w:numId w:val="1"/>
        </w:numPr>
        <w:rPr>
          <w:rFonts w:eastAsia="Times New Roman" w:cstheme="minorHAnsi"/>
          <w:lang w:val="en-US" w:eastAsia="en-GB"/>
        </w:rPr>
      </w:pPr>
      <w:r w:rsidRPr="00AF5440">
        <w:rPr>
          <w:rFonts w:eastAsia="Times New Roman" w:cstheme="minorHAnsi"/>
          <w:lang w:val="en-US" w:eastAsia="en-GB"/>
        </w:rPr>
        <w:t>Huemer M, Kožich V, Rinaldo P, et al. Newborn screening for homocystinurias and methylation disorders: systematic review and proposed guidelines. </w:t>
      </w:r>
      <w:r w:rsidRPr="00AF5440">
        <w:rPr>
          <w:rFonts w:eastAsia="Times New Roman" w:cstheme="minorHAnsi"/>
          <w:i/>
          <w:iCs/>
          <w:lang w:val="en-US" w:eastAsia="en-GB"/>
        </w:rPr>
        <w:t>J Inherit Metab Dis</w:t>
      </w:r>
      <w:r w:rsidRPr="00AF5440">
        <w:rPr>
          <w:rFonts w:eastAsia="Times New Roman" w:cstheme="minorHAnsi"/>
          <w:lang w:val="en-US" w:eastAsia="en-GB"/>
        </w:rPr>
        <w:t>. 2015;38(6):1007-1019. doi:10.1007/s10545-015-9830-z</w:t>
      </w:r>
      <w:r w:rsidR="00AD5BE5" w:rsidRPr="00AF5440">
        <w:rPr>
          <w:rFonts w:eastAsia="Times New Roman" w:cstheme="minorHAnsi"/>
          <w:lang w:val="en-US" w:eastAsia="en-GB"/>
        </w:rPr>
        <w:t>.</w:t>
      </w:r>
    </w:p>
    <w:p w14:paraId="3C4F87A8" w14:textId="3147EBBD" w:rsidR="00055A4C" w:rsidRPr="00AF5440" w:rsidRDefault="00846691" w:rsidP="00846691">
      <w:pPr>
        <w:pStyle w:val="ListParagraph"/>
        <w:numPr>
          <w:ilvl w:val="0"/>
          <w:numId w:val="1"/>
        </w:numPr>
        <w:rPr>
          <w:rFonts w:eastAsia="Times New Roman" w:cstheme="minorHAnsi"/>
          <w:lang w:val="en-US" w:eastAsia="en-GB"/>
        </w:rPr>
      </w:pPr>
      <w:r w:rsidRPr="00AF5440">
        <w:rPr>
          <w:rFonts w:eastAsia="Times New Roman" w:cstheme="minorHAnsi"/>
          <w:lang w:val="en-US" w:eastAsia="en-GB"/>
        </w:rPr>
        <w:t>Yverneau M, Leroux S, Imbard A, et al. Influence of early identification and therapy on long-term outcomes in early-onset MTHFR deficiency. </w:t>
      </w:r>
      <w:r w:rsidRPr="00AF5440">
        <w:rPr>
          <w:rFonts w:eastAsia="Times New Roman" w:cstheme="minorHAnsi"/>
          <w:i/>
          <w:iCs/>
          <w:lang w:val="en-US" w:eastAsia="en-GB"/>
        </w:rPr>
        <w:t>J Inherit Metab Dis</w:t>
      </w:r>
      <w:r w:rsidRPr="00AF5440">
        <w:rPr>
          <w:rFonts w:eastAsia="Times New Roman" w:cstheme="minorHAnsi"/>
          <w:lang w:val="en-US" w:eastAsia="en-GB"/>
        </w:rPr>
        <w:t>. 2022;45(4):848-861. doi:10.1002/jimd.12504</w:t>
      </w:r>
      <w:r w:rsidR="00B23BFF" w:rsidRPr="00AF5440">
        <w:rPr>
          <w:rFonts w:eastAsia="Times New Roman" w:cstheme="minorHAnsi"/>
          <w:lang w:val="en-US" w:eastAsia="en-GB"/>
        </w:rPr>
        <w:t>.</w:t>
      </w:r>
    </w:p>
    <w:p w14:paraId="246C9447" w14:textId="5CE0DDA4" w:rsidR="005979FA" w:rsidRDefault="00055A4C" w:rsidP="00662447">
      <w:pPr>
        <w:pStyle w:val="ListParagraph"/>
        <w:keepNext/>
        <w:numPr>
          <w:ilvl w:val="0"/>
          <w:numId w:val="1"/>
        </w:numPr>
        <w:jc w:val="both"/>
        <w:rPr>
          <w:rFonts w:eastAsia="Times New Roman" w:cstheme="minorHAnsi"/>
          <w:shd w:val="clear" w:color="auto" w:fill="FFFFFF"/>
          <w:lang w:val="en-US" w:eastAsia="en-GB"/>
        </w:rPr>
      </w:pPr>
      <w:r w:rsidRPr="000006C9">
        <w:rPr>
          <w:rFonts w:eastAsia="Times New Roman" w:cstheme="minorHAnsi"/>
          <w:shd w:val="clear" w:color="auto" w:fill="FFFFFF"/>
          <w:lang w:val="en-US" w:eastAsia="en-GB"/>
        </w:rPr>
        <w:t>Department of Children, Equality, Disability, Integration and Youth. Minister for Children, Equality, Disability, Integration and Youth, Roderic O</w:t>
      </w:r>
      <w:r w:rsidR="00104C61" w:rsidRPr="000006C9">
        <w:rPr>
          <w:rFonts w:eastAsia="Times New Roman" w:cstheme="minorHAnsi"/>
          <w:shd w:val="clear" w:color="auto" w:fill="FFFFFF"/>
          <w:lang w:val="en-US" w:eastAsia="en-GB"/>
        </w:rPr>
        <w:t>’</w:t>
      </w:r>
      <w:r w:rsidRPr="000006C9">
        <w:rPr>
          <w:rFonts w:eastAsia="Times New Roman" w:cstheme="minorHAnsi"/>
          <w:shd w:val="clear" w:color="auto" w:fill="FFFFFF"/>
          <w:lang w:val="en-US" w:eastAsia="en-GB"/>
        </w:rPr>
        <w:t>Gorman, publishes State of the Nation</w:t>
      </w:r>
      <w:r w:rsidR="00104C61" w:rsidRPr="000006C9">
        <w:rPr>
          <w:rFonts w:eastAsia="Times New Roman" w:cstheme="minorHAnsi"/>
          <w:shd w:val="clear" w:color="auto" w:fill="FFFFFF"/>
          <w:lang w:val="en-US" w:eastAsia="en-GB"/>
        </w:rPr>
        <w:t>’</w:t>
      </w:r>
      <w:r w:rsidRPr="000006C9">
        <w:rPr>
          <w:rFonts w:eastAsia="Times New Roman" w:cstheme="minorHAnsi"/>
          <w:shd w:val="clear" w:color="auto" w:fill="FFFFFF"/>
          <w:lang w:val="en-US" w:eastAsia="en-GB"/>
        </w:rPr>
        <w:t xml:space="preserve">s Children 2022 report. Published December 22, 2022. </w:t>
      </w:r>
      <w:r w:rsidRPr="000006C9">
        <w:rPr>
          <w:rFonts w:eastAsia="Times New Roman" w:cstheme="minorHAnsi"/>
          <w:lang w:val="en-US" w:eastAsia="en-GB"/>
        </w:rPr>
        <w:t xml:space="preserve">Accessed September, 2023. </w:t>
      </w:r>
      <w:r w:rsidRPr="000006C9">
        <w:rPr>
          <w:rFonts w:eastAsia="Times New Roman" w:cstheme="minorHAnsi"/>
          <w:shd w:val="clear" w:color="auto" w:fill="FFFFFF"/>
          <w:lang w:val="en-US" w:eastAsia="en-GB"/>
        </w:rPr>
        <w:t>https://www.gov.ie/en/press-release/e7470-sonc/</w:t>
      </w:r>
      <w:r w:rsidR="00BF4E35" w:rsidRPr="000006C9">
        <w:rPr>
          <w:rFonts w:eastAsia="Times New Roman" w:cstheme="minorHAnsi"/>
          <w:shd w:val="clear" w:color="auto" w:fill="FFFFFF"/>
          <w:lang w:val="en-US" w:eastAsia="en-GB"/>
        </w:rPr>
        <w:t xml:space="preserve"> </w:t>
      </w:r>
      <w:r w:rsidR="000006C9" w:rsidRPr="000006C9">
        <w:rPr>
          <w:rFonts w:eastAsia="Times New Roman" w:cstheme="minorHAnsi"/>
          <w:shd w:val="clear" w:color="auto" w:fill="FFFFFF"/>
          <w:lang w:val="en-US" w:eastAsia="en-GB"/>
        </w:rPr>
        <w:t xml:space="preserve"> </w:t>
      </w:r>
    </w:p>
    <w:p w14:paraId="3993301D" w14:textId="77777777" w:rsidR="00716FEA" w:rsidRDefault="00716FEA" w:rsidP="00716FEA">
      <w:pPr>
        <w:keepNext/>
        <w:jc w:val="both"/>
        <w:rPr>
          <w:rFonts w:eastAsia="Times New Roman" w:cstheme="minorHAnsi"/>
          <w:shd w:val="clear" w:color="auto" w:fill="FFFFFF"/>
          <w:lang w:val="en-US" w:eastAsia="en-GB"/>
        </w:rPr>
      </w:pPr>
    </w:p>
    <w:p w14:paraId="1F128A60" w14:textId="77777777" w:rsidR="00716FEA" w:rsidRDefault="00716FEA" w:rsidP="00716FEA">
      <w:pPr>
        <w:keepNext/>
        <w:jc w:val="both"/>
        <w:rPr>
          <w:rFonts w:eastAsia="Times New Roman" w:cstheme="minorHAnsi"/>
          <w:shd w:val="clear" w:color="auto" w:fill="FFFFFF"/>
          <w:lang w:val="en-US" w:eastAsia="en-GB"/>
        </w:rPr>
      </w:pPr>
    </w:p>
    <w:p w14:paraId="25535400" w14:textId="77777777" w:rsidR="00716FEA" w:rsidRDefault="00716FEA" w:rsidP="00716FEA">
      <w:pPr>
        <w:keepNext/>
        <w:jc w:val="both"/>
        <w:rPr>
          <w:rFonts w:eastAsia="Times New Roman" w:cstheme="minorHAnsi"/>
          <w:shd w:val="clear" w:color="auto" w:fill="FFFFFF"/>
          <w:lang w:val="en-US" w:eastAsia="en-GB"/>
        </w:rPr>
      </w:pPr>
    </w:p>
    <w:p w14:paraId="08CA56A6" w14:textId="77777777" w:rsidR="00716FEA" w:rsidRDefault="00716FEA" w:rsidP="00716FEA">
      <w:pPr>
        <w:keepNext/>
        <w:jc w:val="both"/>
        <w:rPr>
          <w:rFonts w:eastAsia="Times New Roman" w:cstheme="minorHAnsi"/>
          <w:shd w:val="clear" w:color="auto" w:fill="FFFFFF"/>
          <w:lang w:val="en-US" w:eastAsia="en-GB"/>
        </w:rPr>
      </w:pPr>
    </w:p>
    <w:p w14:paraId="71995E04" w14:textId="77777777" w:rsidR="00716FEA" w:rsidRPr="00BD6A0A" w:rsidRDefault="00716FEA" w:rsidP="00716FEA">
      <w:pPr>
        <w:pageBreakBefore/>
        <w:spacing w:after="200"/>
        <w:jc w:val="both"/>
        <w:rPr>
          <w:b/>
          <w:bCs/>
          <w:u w:val="single"/>
          <w:lang w:val="en-US"/>
        </w:rPr>
      </w:pPr>
      <w:r w:rsidRPr="00BD6A0A">
        <w:rPr>
          <w:b/>
          <w:bCs/>
          <w:u w:val="single"/>
          <w:lang w:val="en-US"/>
        </w:rPr>
        <w:lastRenderedPageBreak/>
        <w:t>Legends to figures</w:t>
      </w:r>
    </w:p>
    <w:p w14:paraId="23B8B312" w14:textId="77777777" w:rsidR="00716FEA" w:rsidRPr="00BD6A0A" w:rsidRDefault="00716FEA" w:rsidP="00716FEA">
      <w:pPr>
        <w:spacing w:after="200"/>
        <w:jc w:val="both"/>
        <w:rPr>
          <w:b/>
          <w:lang w:val="en-US"/>
        </w:rPr>
      </w:pPr>
      <w:r w:rsidRPr="00BD6A0A">
        <w:rPr>
          <w:b/>
          <w:lang w:val="en-US"/>
        </w:rPr>
        <w:t xml:space="preserve">Figure 1: </w:t>
      </w:r>
    </w:p>
    <w:p w14:paraId="7FBA7780" w14:textId="77777777" w:rsidR="00716FEA" w:rsidRPr="00BD6A0A" w:rsidRDefault="00716FEA" w:rsidP="00716FEA">
      <w:pPr>
        <w:spacing w:after="200"/>
        <w:jc w:val="both"/>
        <w:rPr>
          <w:lang w:val="en-US"/>
        </w:rPr>
      </w:pPr>
      <w:r w:rsidRPr="00BD6A0A">
        <w:rPr>
          <w:lang w:val="en-US"/>
        </w:rPr>
        <w:t xml:space="preserve">MRI brain of patient 1 showing some general cerebral atrophy along with periventricular hyperintense signals (arrows) around the time of her diagnosis (a). MRI brain at 9 years of age demonstrated significant improvements of cerebral atrophy and periventricular signals (arrows) (b). </w:t>
      </w:r>
    </w:p>
    <w:p w14:paraId="2F877205" w14:textId="77777777" w:rsidR="00716FEA" w:rsidRPr="00BD6A0A" w:rsidRDefault="00716FEA" w:rsidP="00716FEA">
      <w:pPr>
        <w:spacing w:after="200"/>
        <w:jc w:val="both"/>
        <w:rPr>
          <w:b/>
          <w:lang w:val="en-US"/>
        </w:rPr>
      </w:pPr>
      <w:r w:rsidRPr="00BD6A0A">
        <w:rPr>
          <w:b/>
          <w:lang w:val="en-US"/>
        </w:rPr>
        <w:t xml:space="preserve">Figure 2: </w:t>
      </w:r>
    </w:p>
    <w:p w14:paraId="7A2E01DB" w14:textId="77777777" w:rsidR="00716FEA" w:rsidRPr="00BD6A0A" w:rsidRDefault="00716FEA" w:rsidP="00716FEA">
      <w:pPr>
        <w:spacing w:after="200"/>
        <w:jc w:val="both"/>
        <w:rPr>
          <w:lang w:val="en-US"/>
        </w:rPr>
      </w:pPr>
      <w:r w:rsidRPr="00BD6A0A">
        <w:rPr>
          <w:lang w:val="en-US"/>
        </w:rPr>
        <w:t xml:space="preserve">Standard X-ray image of patient 2 aged 12 years demonstrating osteopenia and a fracture involving the left distal femur metaphysis (arrow). </w:t>
      </w:r>
    </w:p>
    <w:p w14:paraId="520A18CE" w14:textId="77777777" w:rsidR="00716FEA" w:rsidRPr="00BD6A0A" w:rsidRDefault="00716FEA" w:rsidP="00716FEA">
      <w:pPr>
        <w:spacing w:after="200"/>
        <w:jc w:val="both"/>
        <w:rPr>
          <w:b/>
          <w:lang w:val="en-US"/>
        </w:rPr>
      </w:pPr>
      <w:r w:rsidRPr="00BD6A0A">
        <w:rPr>
          <w:b/>
          <w:lang w:val="en-US"/>
        </w:rPr>
        <w:t xml:space="preserve">Figure 3: </w:t>
      </w:r>
    </w:p>
    <w:p w14:paraId="6866868D" w14:textId="77777777" w:rsidR="00716FEA" w:rsidRPr="00BD6A0A" w:rsidRDefault="00716FEA" w:rsidP="00716FEA">
      <w:pPr>
        <w:spacing w:after="200"/>
        <w:jc w:val="both"/>
        <w:rPr>
          <w:lang w:val="en-US"/>
        </w:rPr>
      </w:pPr>
      <w:r w:rsidRPr="00BD6A0A">
        <w:rPr>
          <w:lang w:val="en-US"/>
        </w:rPr>
        <w:t>MRI brain of patient 2 showing mild atrophy of the cerebellum with prominent cerebellar folia (thick arrow). Similar findings were noted on neuroimaging of our other cases (images not shown here).</w:t>
      </w:r>
    </w:p>
    <w:p w14:paraId="4044C8C2" w14:textId="77777777" w:rsidR="00716FEA" w:rsidRPr="00BD6A0A" w:rsidRDefault="00716FEA" w:rsidP="00716FEA">
      <w:pPr>
        <w:spacing w:after="200"/>
        <w:jc w:val="both"/>
        <w:rPr>
          <w:b/>
          <w:lang w:val="en-US"/>
        </w:rPr>
      </w:pPr>
      <w:r w:rsidRPr="00BD6A0A">
        <w:rPr>
          <w:b/>
          <w:lang w:val="en-US"/>
        </w:rPr>
        <w:t xml:space="preserve">Figure 4: </w:t>
      </w:r>
    </w:p>
    <w:p w14:paraId="29D685C8" w14:textId="77777777" w:rsidR="00716FEA" w:rsidRPr="00BD6A0A" w:rsidRDefault="00716FEA" w:rsidP="00716FEA">
      <w:pPr>
        <w:spacing w:after="200"/>
        <w:jc w:val="both"/>
        <w:rPr>
          <w:lang w:val="en-US"/>
        </w:rPr>
      </w:pPr>
      <w:r w:rsidRPr="00BD6A0A">
        <w:rPr>
          <w:lang w:val="en-US"/>
        </w:rPr>
        <w:t xml:space="preserve">MRI brain of patient 3 at 11 years of age showing cerebral atrophy with an increase in the axial space (arrow) (a). On the right side the MRI was done 7 months after commencing targeted treatment, showing that both widening of axial space and brain atrophy have essentially resolved (arrow) (b). </w:t>
      </w:r>
    </w:p>
    <w:p w14:paraId="556ADF31" w14:textId="77777777" w:rsidR="00716FEA" w:rsidRPr="00716FEA" w:rsidRDefault="00716FEA" w:rsidP="00716FEA">
      <w:pPr>
        <w:keepNext/>
        <w:jc w:val="both"/>
        <w:rPr>
          <w:rFonts w:eastAsia="Times New Roman" w:cstheme="minorHAnsi"/>
          <w:shd w:val="clear" w:color="auto" w:fill="FFFFFF"/>
          <w:lang w:val="en-US" w:eastAsia="en-GB"/>
        </w:rPr>
      </w:pPr>
    </w:p>
    <w:sectPr w:rsidR="00716FEA" w:rsidRPr="00716FEA" w:rsidSect="00E8295F">
      <w:headerReference w:type="defaul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1C749" w14:textId="77777777" w:rsidR="00ED24DE" w:rsidRDefault="00ED24DE" w:rsidP="001944F3">
      <w:r>
        <w:separator/>
      </w:r>
    </w:p>
  </w:endnote>
  <w:endnote w:type="continuationSeparator" w:id="0">
    <w:p w14:paraId="286C8BE0" w14:textId="77777777" w:rsidR="00ED24DE" w:rsidRDefault="00ED24DE" w:rsidP="00194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AdvOTc022ae45.B">
    <w:altName w:val="Cambria"/>
    <w:panose1 w:val="00000000000000000000"/>
    <w:charset w:val="00"/>
    <w:family w:val="roman"/>
    <w:notTrueType/>
    <w:pitch w:val="default"/>
    <w:sig w:usb0="00000003" w:usb1="00000000" w:usb2="00000000" w:usb3="00000000" w:csb0="00000001" w:csb1="00000000"/>
  </w:font>
  <w:font w:name="AdvOT569473da">
    <w:altName w:val="Cambria"/>
    <w:panose1 w:val="00000000000000000000"/>
    <w:charset w:val="00"/>
    <w:family w:val="roman"/>
    <w:notTrueType/>
    <w:pitch w:val="default"/>
    <w:sig w:usb0="00000003" w:usb1="00000000" w:usb2="00000000" w:usb3="00000000" w:csb0="00000001" w:csb1="00000000"/>
  </w:font>
  <w:font w:name="DengXian">
    <w:altName w:val="等线"/>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FCF18B" w14:textId="77777777" w:rsidR="00ED24DE" w:rsidRDefault="00ED24DE" w:rsidP="001944F3">
      <w:r>
        <w:separator/>
      </w:r>
    </w:p>
  </w:footnote>
  <w:footnote w:type="continuationSeparator" w:id="0">
    <w:p w14:paraId="44151668" w14:textId="77777777" w:rsidR="00ED24DE" w:rsidRDefault="00ED24DE" w:rsidP="001944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808080" w:themeColor="background1" w:themeShade="80"/>
        <w:spacing w:val="60"/>
      </w:rPr>
      <w:id w:val="-1667079746"/>
      <w:docPartObj>
        <w:docPartGallery w:val="Page Numbers (Top of Page)"/>
        <w:docPartUnique/>
      </w:docPartObj>
    </w:sdtPr>
    <w:sdtEndPr>
      <w:rPr>
        <w:b/>
        <w:bCs/>
        <w:noProof/>
        <w:color w:val="auto"/>
        <w:spacing w:val="0"/>
      </w:rPr>
    </w:sdtEndPr>
    <w:sdtContent>
      <w:p w14:paraId="015ACFE3" w14:textId="5ECFBB9F" w:rsidR="0084196A" w:rsidRDefault="0084196A" w:rsidP="00AF5440">
        <w:pPr>
          <w:pStyle w:val="Header"/>
          <w:pBdr>
            <w:bottom w:val="single" w:sz="4" w:space="1" w:color="D9D9D9" w:themeColor="background1" w:themeShade="D9"/>
          </w:pBdr>
          <w:jc w:val="right"/>
        </w:pPr>
        <w:r>
          <w:rPr>
            <w:color w:val="808080" w:themeColor="background1" w:themeShade="80"/>
            <w:spacing w:val="60"/>
          </w:rPr>
          <w:t>Page</w:t>
        </w:r>
        <w:r>
          <w:t xml:space="preserve"> | </w:t>
        </w:r>
        <w:r>
          <w:fldChar w:fldCharType="begin"/>
        </w:r>
        <w:r>
          <w:instrText xml:space="preserve"> PAGE   \* MERGEFORMAT </w:instrText>
        </w:r>
        <w:r>
          <w:fldChar w:fldCharType="separate"/>
        </w:r>
        <w:r w:rsidR="00716FEA" w:rsidRPr="00716FEA">
          <w:rPr>
            <w:b/>
            <w:bCs/>
            <w:noProof/>
          </w:rPr>
          <w:t>11</w:t>
        </w:r>
        <w:r>
          <w:rPr>
            <w:b/>
            <w:bCs/>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313B49"/>
    <w:multiLevelType w:val="hybridMultilevel"/>
    <w:tmpl w:val="60062544"/>
    <w:lvl w:ilvl="0" w:tplc="1B5020AE">
      <w:start w:val="1"/>
      <w:numFmt w:val="decimal"/>
      <w:lvlText w:val="%1."/>
      <w:lvlJc w:val="left"/>
      <w:pPr>
        <w:ind w:left="720" w:hanging="360"/>
      </w:pPr>
      <w:rPr>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67D7FC4"/>
    <w:multiLevelType w:val="hybridMultilevel"/>
    <w:tmpl w:val="98BE4268"/>
    <w:lvl w:ilvl="0" w:tplc="0809000F">
      <w:start w:val="1"/>
      <w:numFmt w:val="decimal"/>
      <w:lvlText w:val="%1."/>
      <w:lvlJc w:val="left"/>
      <w:pPr>
        <w:ind w:left="644"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9BB515E"/>
    <w:multiLevelType w:val="multilevel"/>
    <w:tmpl w:val="B01EE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57356E1"/>
    <w:multiLevelType w:val="hybridMultilevel"/>
    <w:tmpl w:val="762A91B0"/>
    <w:lvl w:ilvl="0" w:tplc="4F7CDF20">
      <w:numFmt w:val="bullet"/>
      <w:lvlText w:val=""/>
      <w:lvlJc w:val="left"/>
      <w:pPr>
        <w:ind w:left="720" w:hanging="360"/>
      </w:pPr>
      <w:rPr>
        <w:rFonts w:ascii="Symbol" w:eastAsiaTheme="minorHAnsi" w:hAnsi="Symbol"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15:restartNumberingAfterBreak="0">
    <w:nsid w:val="5ABA4E2C"/>
    <w:multiLevelType w:val="multilevel"/>
    <w:tmpl w:val="5D8C4414"/>
    <w:lvl w:ilvl="0">
      <w:start w:val="1"/>
      <w:numFmt w:val="bullet"/>
      <w:lvlText w:val="o"/>
      <w:lvlJc w:val="left"/>
      <w:pPr>
        <w:tabs>
          <w:tab w:val="num" w:pos="720"/>
        </w:tabs>
        <w:ind w:left="720" w:hanging="360"/>
      </w:pPr>
      <w:rPr>
        <w:rFonts w:ascii="Courier New" w:hAnsi="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 w15:restartNumberingAfterBreak="0">
    <w:nsid w:val="7FAC49FA"/>
    <w:multiLevelType w:val="hybridMultilevel"/>
    <w:tmpl w:val="C734998E"/>
    <w:lvl w:ilvl="0" w:tplc="D318C8B8">
      <w:numFmt w:val="bullet"/>
      <w:lvlText w:val=""/>
      <w:lvlJc w:val="left"/>
      <w:pPr>
        <w:ind w:left="720" w:hanging="360"/>
      </w:pPr>
      <w:rPr>
        <w:rFonts w:ascii="Symbol" w:eastAsiaTheme="minorHAnsi" w:hAnsi="Symbol"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5"/>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oNotDisplayPageBoundaries/>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91D"/>
    <w:rsid w:val="000006C9"/>
    <w:rsid w:val="00000B43"/>
    <w:rsid w:val="00006A30"/>
    <w:rsid w:val="00011A20"/>
    <w:rsid w:val="000168A2"/>
    <w:rsid w:val="00025D84"/>
    <w:rsid w:val="000355D6"/>
    <w:rsid w:val="000475D2"/>
    <w:rsid w:val="00055A4C"/>
    <w:rsid w:val="00055B5C"/>
    <w:rsid w:val="00057A5A"/>
    <w:rsid w:val="00062AA2"/>
    <w:rsid w:val="0006448C"/>
    <w:rsid w:val="00067ADC"/>
    <w:rsid w:val="00076112"/>
    <w:rsid w:val="000766E1"/>
    <w:rsid w:val="00082C50"/>
    <w:rsid w:val="00084E0F"/>
    <w:rsid w:val="0008676A"/>
    <w:rsid w:val="000929F4"/>
    <w:rsid w:val="00095203"/>
    <w:rsid w:val="000A1AC1"/>
    <w:rsid w:val="000A1F0D"/>
    <w:rsid w:val="000A3A93"/>
    <w:rsid w:val="000A6F98"/>
    <w:rsid w:val="000A7041"/>
    <w:rsid w:val="000D1F6D"/>
    <w:rsid w:val="000E1413"/>
    <w:rsid w:val="000E40B8"/>
    <w:rsid w:val="000E7AD8"/>
    <w:rsid w:val="000F09B0"/>
    <w:rsid w:val="000F0EFC"/>
    <w:rsid w:val="000F63DF"/>
    <w:rsid w:val="000F6B88"/>
    <w:rsid w:val="00104C61"/>
    <w:rsid w:val="00136D65"/>
    <w:rsid w:val="00137239"/>
    <w:rsid w:val="00142301"/>
    <w:rsid w:val="001461A4"/>
    <w:rsid w:val="00152489"/>
    <w:rsid w:val="001810C1"/>
    <w:rsid w:val="0019146E"/>
    <w:rsid w:val="00192DEF"/>
    <w:rsid w:val="001944F3"/>
    <w:rsid w:val="001A5F07"/>
    <w:rsid w:val="001B5433"/>
    <w:rsid w:val="001C4B24"/>
    <w:rsid w:val="001E0837"/>
    <w:rsid w:val="001E3309"/>
    <w:rsid w:val="001E47A9"/>
    <w:rsid w:val="002074AE"/>
    <w:rsid w:val="002106CD"/>
    <w:rsid w:val="002272C6"/>
    <w:rsid w:val="00231C95"/>
    <w:rsid w:val="00233881"/>
    <w:rsid w:val="00235124"/>
    <w:rsid w:val="00235AA9"/>
    <w:rsid w:val="00237CD7"/>
    <w:rsid w:val="00240C30"/>
    <w:rsid w:val="00252C83"/>
    <w:rsid w:val="00252D0B"/>
    <w:rsid w:val="00253E86"/>
    <w:rsid w:val="00256358"/>
    <w:rsid w:val="002601BF"/>
    <w:rsid w:val="00265E16"/>
    <w:rsid w:val="0026780A"/>
    <w:rsid w:val="00270F65"/>
    <w:rsid w:val="00284242"/>
    <w:rsid w:val="00290E25"/>
    <w:rsid w:val="00295787"/>
    <w:rsid w:val="002A04BC"/>
    <w:rsid w:val="002B4557"/>
    <w:rsid w:val="002B5F09"/>
    <w:rsid w:val="002B63EF"/>
    <w:rsid w:val="002B6A25"/>
    <w:rsid w:val="002C16D5"/>
    <w:rsid w:val="002C2AE5"/>
    <w:rsid w:val="002C451E"/>
    <w:rsid w:val="002C5D68"/>
    <w:rsid w:val="002C68D5"/>
    <w:rsid w:val="002D0E46"/>
    <w:rsid w:val="002D2352"/>
    <w:rsid w:val="002D4BE9"/>
    <w:rsid w:val="002E4E19"/>
    <w:rsid w:val="002E5256"/>
    <w:rsid w:val="002E543D"/>
    <w:rsid w:val="002F0FA5"/>
    <w:rsid w:val="002F4301"/>
    <w:rsid w:val="00302C70"/>
    <w:rsid w:val="00320379"/>
    <w:rsid w:val="003307DA"/>
    <w:rsid w:val="0033349E"/>
    <w:rsid w:val="0033549B"/>
    <w:rsid w:val="00335B30"/>
    <w:rsid w:val="00344F00"/>
    <w:rsid w:val="0034793D"/>
    <w:rsid w:val="0035661E"/>
    <w:rsid w:val="00362A93"/>
    <w:rsid w:val="0037013B"/>
    <w:rsid w:val="00376BBB"/>
    <w:rsid w:val="0038175D"/>
    <w:rsid w:val="003851E4"/>
    <w:rsid w:val="003909C8"/>
    <w:rsid w:val="003964A1"/>
    <w:rsid w:val="003A293B"/>
    <w:rsid w:val="003B2B33"/>
    <w:rsid w:val="003B44DD"/>
    <w:rsid w:val="003B45B7"/>
    <w:rsid w:val="003C5996"/>
    <w:rsid w:val="003C6C25"/>
    <w:rsid w:val="003D4E1B"/>
    <w:rsid w:val="003D77A4"/>
    <w:rsid w:val="003E5F11"/>
    <w:rsid w:val="003F0184"/>
    <w:rsid w:val="003F1FF6"/>
    <w:rsid w:val="003F5CD8"/>
    <w:rsid w:val="004024A3"/>
    <w:rsid w:val="00412B9F"/>
    <w:rsid w:val="00427D0A"/>
    <w:rsid w:val="00452A1D"/>
    <w:rsid w:val="004534B4"/>
    <w:rsid w:val="00453E9D"/>
    <w:rsid w:val="00465E4B"/>
    <w:rsid w:val="00472891"/>
    <w:rsid w:val="0048488F"/>
    <w:rsid w:val="0049643E"/>
    <w:rsid w:val="004A0F83"/>
    <w:rsid w:val="004A2A94"/>
    <w:rsid w:val="004A60E7"/>
    <w:rsid w:val="004A791A"/>
    <w:rsid w:val="004B1511"/>
    <w:rsid w:val="004D4A7E"/>
    <w:rsid w:val="004D4B78"/>
    <w:rsid w:val="004D5E2E"/>
    <w:rsid w:val="004D6889"/>
    <w:rsid w:val="004E0A07"/>
    <w:rsid w:val="004E6977"/>
    <w:rsid w:val="004E6ACF"/>
    <w:rsid w:val="004F1951"/>
    <w:rsid w:val="004F1E3A"/>
    <w:rsid w:val="004F2EFE"/>
    <w:rsid w:val="004F6859"/>
    <w:rsid w:val="005032A1"/>
    <w:rsid w:val="00504916"/>
    <w:rsid w:val="0051712E"/>
    <w:rsid w:val="00523155"/>
    <w:rsid w:val="00530173"/>
    <w:rsid w:val="005325D3"/>
    <w:rsid w:val="0053325F"/>
    <w:rsid w:val="00533635"/>
    <w:rsid w:val="00535E50"/>
    <w:rsid w:val="0055096E"/>
    <w:rsid w:val="00551CF4"/>
    <w:rsid w:val="00565BE3"/>
    <w:rsid w:val="0056722B"/>
    <w:rsid w:val="0057048A"/>
    <w:rsid w:val="005720CB"/>
    <w:rsid w:val="00572B50"/>
    <w:rsid w:val="005979FA"/>
    <w:rsid w:val="005A0025"/>
    <w:rsid w:val="005A29C5"/>
    <w:rsid w:val="005A5402"/>
    <w:rsid w:val="005A70A6"/>
    <w:rsid w:val="005C6DAE"/>
    <w:rsid w:val="005D1926"/>
    <w:rsid w:val="005E2657"/>
    <w:rsid w:val="005E6853"/>
    <w:rsid w:val="00602D7C"/>
    <w:rsid w:val="00626A28"/>
    <w:rsid w:val="00632DCA"/>
    <w:rsid w:val="00641B82"/>
    <w:rsid w:val="00672F91"/>
    <w:rsid w:val="00677F75"/>
    <w:rsid w:val="006810C7"/>
    <w:rsid w:val="00687051"/>
    <w:rsid w:val="0069453A"/>
    <w:rsid w:val="006A5460"/>
    <w:rsid w:val="006B3941"/>
    <w:rsid w:val="006C17DF"/>
    <w:rsid w:val="006C371E"/>
    <w:rsid w:val="006C730D"/>
    <w:rsid w:val="006D4077"/>
    <w:rsid w:val="006D58EB"/>
    <w:rsid w:val="006D5CCD"/>
    <w:rsid w:val="006D6AF5"/>
    <w:rsid w:val="006E72AF"/>
    <w:rsid w:val="006F0F03"/>
    <w:rsid w:val="006F46FC"/>
    <w:rsid w:val="006F6DED"/>
    <w:rsid w:val="00706382"/>
    <w:rsid w:val="00716FEA"/>
    <w:rsid w:val="00717B62"/>
    <w:rsid w:val="00721D29"/>
    <w:rsid w:val="00722129"/>
    <w:rsid w:val="00733B75"/>
    <w:rsid w:val="00741D13"/>
    <w:rsid w:val="00742046"/>
    <w:rsid w:val="00745575"/>
    <w:rsid w:val="00752F1A"/>
    <w:rsid w:val="00754AE8"/>
    <w:rsid w:val="00766762"/>
    <w:rsid w:val="00784B5D"/>
    <w:rsid w:val="0079043A"/>
    <w:rsid w:val="00792E6B"/>
    <w:rsid w:val="00793830"/>
    <w:rsid w:val="00795C88"/>
    <w:rsid w:val="007A1E6F"/>
    <w:rsid w:val="007A52A7"/>
    <w:rsid w:val="007B269D"/>
    <w:rsid w:val="007C1F17"/>
    <w:rsid w:val="007C6B1F"/>
    <w:rsid w:val="007D4DC4"/>
    <w:rsid w:val="007D5E5F"/>
    <w:rsid w:val="007E4C07"/>
    <w:rsid w:val="007F17DE"/>
    <w:rsid w:val="00805DBE"/>
    <w:rsid w:val="00810DC9"/>
    <w:rsid w:val="0081595E"/>
    <w:rsid w:val="00831C34"/>
    <w:rsid w:val="00831E47"/>
    <w:rsid w:val="00836499"/>
    <w:rsid w:val="0084196A"/>
    <w:rsid w:val="00843A07"/>
    <w:rsid w:val="0084446F"/>
    <w:rsid w:val="00845123"/>
    <w:rsid w:val="00846691"/>
    <w:rsid w:val="0085201D"/>
    <w:rsid w:val="00856828"/>
    <w:rsid w:val="0086556D"/>
    <w:rsid w:val="00865DCC"/>
    <w:rsid w:val="008714FC"/>
    <w:rsid w:val="008716CA"/>
    <w:rsid w:val="008745D6"/>
    <w:rsid w:val="00877D0C"/>
    <w:rsid w:val="008842B6"/>
    <w:rsid w:val="00893151"/>
    <w:rsid w:val="00893540"/>
    <w:rsid w:val="008B0874"/>
    <w:rsid w:val="008B15FD"/>
    <w:rsid w:val="008C52AE"/>
    <w:rsid w:val="008C5B84"/>
    <w:rsid w:val="008D12A7"/>
    <w:rsid w:val="008D3EE6"/>
    <w:rsid w:val="008D4AED"/>
    <w:rsid w:val="008D5110"/>
    <w:rsid w:val="008E12CB"/>
    <w:rsid w:val="008E2310"/>
    <w:rsid w:val="009001BC"/>
    <w:rsid w:val="00911B4E"/>
    <w:rsid w:val="00911DFA"/>
    <w:rsid w:val="00913BDE"/>
    <w:rsid w:val="00915C9B"/>
    <w:rsid w:val="009217D2"/>
    <w:rsid w:val="0094491D"/>
    <w:rsid w:val="009463F5"/>
    <w:rsid w:val="00951F68"/>
    <w:rsid w:val="00961AC8"/>
    <w:rsid w:val="00963D35"/>
    <w:rsid w:val="00966043"/>
    <w:rsid w:val="00966D87"/>
    <w:rsid w:val="00974F91"/>
    <w:rsid w:val="00976229"/>
    <w:rsid w:val="00976419"/>
    <w:rsid w:val="00976E7B"/>
    <w:rsid w:val="00980423"/>
    <w:rsid w:val="00982ED9"/>
    <w:rsid w:val="0099157C"/>
    <w:rsid w:val="00992A12"/>
    <w:rsid w:val="009968C8"/>
    <w:rsid w:val="009A62D5"/>
    <w:rsid w:val="009A7B73"/>
    <w:rsid w:val="009B09E7"/>
    <w:rsid w:val="009C0EA4"/>
    <w:rsid w:val="009C37E7"/>
    <w:rsid w:val="009C6353"/>
    <w:rsid w:val="009D6B58"/>
    <w:rsid w:val="009D7729"/>
    <w:rsid w:val="00A05DDB"/>
    <w:rsid w:val="00A310CB"/>
    <w:rsid w:val="00A333EA"/>
    <w:rsid w:val="00A34256"/>
    <w:rsid w:val="00A54793"/>
    <w:rsid w:val="00A608E5"/>
    <w:rsid w:val="00A61FFA"/>
    <w:rsid w:val="00A66F50"/>
    <w:rsid w:val="00A72E64"/>
    <w:rsid w:val="00A844F3"/>
    <w:rsid w:val="00A87C5A"/>
    <w:rsid w:val="00A91A28"/>
    <w:rsid w:val="00A96501"/>
    <w:rsid w:val="00AA1283"/>
    <w:rsid w:val="00AA4488"/>
    <w:rsid w:val="00AA59FB"/>
    <w:rsid w:val="00AB4A5A"/>
    <w:rsid w:val="00AC707E"/>
    <w:rsid w:val="00AD17E0"/>
    <w:rsid w:val="00AD1918"/>
    <w:rsid w:val="00AD55B5"/>
    <w:rsid w:val="00AD5BE5"/>
    <w:rsid w:val="00AE086C"/>
    <w:rsid w:val="00AE16EF"/>
    <w:rsid w:val="00AF2372"/>
    <w:rsid w:val="00AF2B8B"/>
    <w:rsid w:val="00AF3C2A"/>
    <w:rsid w:val="00AF5440"/>
    <w:rsid w:val="00B016B6"/>
    <w:rsid w:val="00B02A1D"/>
    <w:rsid w:val="00B02FE9"/>
    <w:rsid w:val="00B03384"/>
    <w:rsid w:val="00B052FE"/>
    <w:rsid w:val="00B1378F"/>
    <w:rsid w:val="00B23BFF"/>
    <w:rsid w:val="00B33DFB"/>
    <w:rsid w:val="00B35159"/>
    <w:rsid w:val="00B371B7"/>
    <w:rsid w:val="00B37620"/>
    <w:rsid w:val="00B401C9"/>
    <w:rsid w:val="00B478DF"/>
    <w:rsid w:val="00B50F5F"/>
    <w:rsid w:val="00B5346F"/>
    <w:rsid w:val="00B60418"/>
    <w:rsid w:val="00B60F97"/>
    <w:rsid w:val="00B629C4"/>
    <w:rsid w:val="00B62E37"/>
    <w:rsid w:val="00B7057C"/>
    <w:rsid w:val="00B705DE"/>
    <w:rsid w:val="00B71EDF"/>
    <w:rsid w:val="00B8531B"/>
    <w:rsid w:val="00B90847"/>
    <w:rsid w:val="00B92B1B"/>
    <w:rsid w:val="00B954EC"/>
    <w:rsid w:val="00BA772F"/>
    <w:rsid w:val="00BB02F5"/>
    <w:rsid w:val="00BB3159"/>
    <w:rsid w:val="00BC32B3"/>
    <w:rsid w:val="00BD6A0A"/>
    <w:rsid w:val="00BE41A9"/>
    <w:rsid w:val="00BE4696"/>
    <w:rsid w:val="00BE66D9"/>
    <w:rsid w:val="00BF4E35"/>
    <w:rsid w:val="00C14192"/>
    <w:rsid w:val="00C14CD9"/>
    <w:rsid w:val="00C14DF0"/>
    <w:rsid w:val="00C16E62"/>
    <w:rsid w:val="00C2079B"/>
    <w:rsid w:val="00C220C5"/>
    <w:rsid w:val="00C23336"/>
    <w:rsid w:val="00C23340"/>
    <w:rsid w:val="00C26A9C"/>
    <w:rsid w:val="00C3367B"/>
    <w:rsid w:val="00C338E8"/>
    <w:rsid w:val="00C33EC4"/>
    <w:rsid w:val="00C37162"/>
    <w:rsid w:val="00C41F7F"/>
    <w:rsid w:val="00C47DF2"/>
    <w:rsid w:val="00C65A22"/>
    <w:rsid w:val="00C748C4"/>
    <w:rsid w:val="00C832DB"/>
    <w:rsid w:val="00C8384B"/>
    <w:rsid w:val="00C96B89"/>
    <w:rsid w:val="00CB2AFF"/>
    <w:rsid w:val="00CB4034"/>
    <w:rsid w:val="00CB603C"/>
    <w:rsid w:val="00CC4FCE"/>
    <w:rsid w:val="00CD34C4"/>
    <w:rsid w:val="00CD6D86"/>
    <w:rsid w:val="00CE22E7"/>
    <w:rsid w:val="00D001F5"/>
    <w:rsid w:val="00D020E2"/>
    <w:rsid w:val="00D027CF"/>
    <w:rsid w:val="00D03B95"/>
    <w:rsid w:val="00D20082"/>
    <w:rsid w:val="00D3664E"/>
    <w:rsid w:val="00D37401"/>
    <w:rsid w:val="00D4445B"/>
    <w:rsid w:val="00D44798"/>
    <w:rsid w:val="00D53F85"/>
    <w:rsid w:val="00D61736"/>
    <w:rsid w:val="00D72C2B"/>
    <w:rsid w:val="00D759E9"/>
    <w:rsid w:val="00D75A9A"/>
    <w:rsid w:val="00D856C4"/>
    <w:rsid w:val="00D93277"/>
    <w:rsid w:val="00D93824"/>
    <w:rsid w:val="00D96B62"/>
    <w:rsid w:val="00D9715F"/>
    <w:rsid w:val="00DA10C5"/>
    <w:rsid w:val="00DA1B71"/>
    <w:rsid w:val="00DB32F3"/>
    <w:rsid w:val="00DB330F"/>
    <w:rsid w:val="00DC14BC"/>
    <w:rsid w:val="00DD14D4"/>
    <w:rsid w:val="00DD1CE6"/>
    <w:rsid w:val="00DE5E11"/>
    <w:rsid w:val="00DE6C17"/>
    <w:rsid w:val="00DE79E3"/>
    <w:rsid w:val="00DF1696"/>
    <w:rsid w:val="00DF29CC"/>
    <w:rsid w:val="00E014BD"/>
    <w:rsid w:val="00E11F88"/>
    <w:rsid w:val="00E17CC7"/>
    <w:rsid w:val="00E17E0B"/>
    <w:rsid w:val="00E2749F"/>
    <w:rsid w:val="00E344F5"/>
    <w:rsid w:val="00E36242"/>
    <w:rsid w:val="00E555A7"/>
    <w:rsid w:val="00E66B4E"/>
    <w:rsid w:val="00E75EA4"/>
    <w:rsid w:val="00E8295F"/>
    <w:rsid w:val="00E84804"/>
    <w:rsid w:val="00E8761C"/>
    <w:rsid w:val="00EB2A06"/>
    <w:rsid w:val="00EB2E55"/>
    <w:rsid w:val="00EC014F"/>
    <w:rsid w:val="00EC5C2B"/>
    <w:rsid w:val="00ED24DE"/>
    <w:rsid w:val="00ED5B76"/>
    <w:rsid w:val="00EE0AFD"/>
    <w:rsid w:val="00EE3FEF"/>
    <w:rsid w:val="00EF69D8"/>
    <w:rsid w:val="00EF6C51"/>
    <w:rsid w:val="00EF71F3"/>
    <w:rsid w:val="00F0152F"/>
    <w:rsid w:val="00F01AEF"/>
    <w:rsid w:val="00F05FCE"/>
    <w:rsid w:val="00F066FC"/>
    <w:rsid w:val="00F12810"/>
    <w:rsid w:val="00F1752E"/>
    <w:rsid w:val="00F20A4C"/>
    <w:rsid w:val="00F2112D"/>
    <w:rsid w:val="00F220C1"/>
    <w:rsid w:val="00F26617"/>
    <w:rsid w:val="00F302FB"/>
    <w:rsid w:val="00F5211D"/>
    <w:rsid w:val="00F62B64"/>
    <w:rsid w:val="00F71078"/>
    <w:rsid w:val="00F72873"/>
    <w:rsid w:val="00F74012"/>
    <w:rsid w:val="00F8025A"/>
    <w:rsid w:val="00F900E1"/>
    <w:rsid w:val="00F94C54"/>
    <w:rsid w:val="00FA321A"/>
    <w:rsid w:val="00FA745E"/>
    <w:rsid w:val="00FB1D6B"/>
    <w:rsid w:val="00FB3214"/>
    <w:rsid w:val="00FB5A00"/>
    <w:rsid w:val="00FD457E"/>
    <w:rsid w:val="00FE28C2"/>
    <w:rsid w:val="00FE4D0D"/>
    <w:rsid w:val="00FF4499"/>
    <w:rsid w:val="00FF60FB"/>
    <w:rsid w:val="0A1FBA03"/>
    <w:rsid w:val="0DCDC884"/>
    <w:rsid w:val="10865067"/>
    <w:rsid w:val="13D70A25"/>
    <w:rsid w:val="1E15841A"/>
    <w:rsid w:val="3CF9FB41"/>
    <w:rsid w:val="3E2998AD"/>
    <w:rsid w:val="435F3CB6"/>
    <w:rsid w:val="617C462C"/>
  </w:rsids>
  <m:mathPr>
    <m:mathFont m:val="Cambria Math"/>
    <m:brkBin m:val="before"/>
    <m:brkBinSub m:val="--"/>
    <m:smallFrac m:val="0"/>
    <m:dispDef/>
    <m:lMargin m:val="0"/>
    <m:rMargin m:val="0"/>
    <m:defJc m:val="centerGroup"/>
    <m:wrapIndent m:val="1440"/>
    <m:intLim m:val="subSup"/>
    <m:naryLim m:val="undOvr"/>
  </m:mathPr>
  <w:themeFontLang w:val="en-I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5AE53EDA"/>
  <w15:docId w15:val="{FF6F7000-43E5-43AC-8FDC-CBBA573451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I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F2B8B"/>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0082"/>
    <w:pPr>
      <w:ind w:left="720"/>
      <w:contextualSpacing/>
    </w:pPr>
  </w:style>
  <w:style w:type="character" w:styleId="Hyperlink">
    <w:name w:val="Hyperlink"/>
    <w:basedOn w:val="DefaultParagraphFont"/>
    <w:uiPriority w:val="99"/>
    <w:unhideWhenUsed/>
    <w:rsid w:val="00B016B6"/>
    <w:rPr>
      <w:color w:val="0563C1" w:themeColor="hyperlink"/>
      <w:u w:val="single"/>
    </w:rPr>
  </w:style>
  <w:style w:type="character" w:customStyle="1" w:styleId="UnresolvedMention1">
    <w:name w:val="Unresolved Mention1"/>
    <w:basedOn w:val="DefaultParagraphFont"/>
    <w:uiPriority w:val="99"/>
    <w:semiHidden/>
    <w:unhideWhenUsed/>
    <w:rsid w:val="00B016B6"/>
    <w:rPr>
      <w:color w:val="605E5C"/>
      <w:shd w:val="clear" w:color="auto" w:fill="E1DFDD"/>
    </w:rPr>
  </w:style>
  <w:style w:type="paragraph" w:styleId="BalloonText">
    <w:name w:val="Balloon Text"/>
    <w:basedOn w:val="Normal"/>
    <w:link w:val="BalloonTextChar"/>
    <w:uiPriority w:val="99"/>
    <w:semiHidden/>
    <w:unhideWhenUsed/>
    <w:rsid w:val="00976229"/>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976229"/>
    <w:rPr>
      <w:rFonts w:ascii="Times New Roman" w:hAnsi="Times New Roman" w:cs="Times New Roman"/>
      <w:sz w:val="18"/>
      <w:szCs w:val="18"/>
    </w:rPr>
  </w:style>
  <w:style w:type="table" w:styleId="TableGrid">
    <w:name w:val="Table Grid"/>
    <w:basedOn w:val="TableNormal"/>
    <w:uiPriority w:val="59"/>
    <w:rsid w:val="00D00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944F3"/>
    <w:pPr>
      <w:tabs>
        <w:tab w:val="center" w:pos="4513"/>
        <w:tab w:val="right" w:pos="9026"/>
      </w:tabs>
    </w:pPr>
  </w:style>
  <w:style w:type="character" w:customStyle="1" w:styleId="HeaderChar">
    <w:name w:val="Header Char"/>
    <w:basedOn w:val="DefaultParagraphFont"/>
    <w:link w:val="Header"/>
    <w:uiPriority w:val="99"/>
    <w:rsid w:val="001944F3"/>
  </w:style>
  <w:style w:type="paragraph" w:styleId="Footer">
    <w:name w:val="footer"/>
    <w:basedOn w:val="Normal"/>
    <w:link w:val="FooterChar"/>
    <w:uiPriority w:val="99"/>
    <w:unhideWhenUsed/>
    <w:rsid w:val="001944F3"/>
    <w:pPr>
      <w:tabs>
        <w:tab w:val="center" w:pos="4513"/>
        <w:tab w:val="right" w:pos="9026"/>
      </w:tabs>
    </w:pPr>
  </w:style>
  <w:style w:type="character" w:customStyle="1" w:styleId="FooterChar">
    <w:name w:val="Footer Char"/>
    <w:basedOn w:val="DefaultParagraphFont"/>
    <w:link w:val="Footer"/>
    <w:uiPriority w:val="99"/>
    <w:rsid w:val="001944F3"/>
  </w:style>
  <w:style w:type="character" w:styleId="LineNumber">
    <w:name w:val="line number"/>
    <w:basedOn w:val="DefaultParagraphFont"/>
    <w:uiPriority w:val="99"/>
    <w:semiHidden/>
    <w:unhideWhenUsed/>
    <w:rsid w:val="0084196A"/>
  </w:style>
  <w:style w:type="paragraph" w:styleId="Caption">
    <w:name w:val="caption"/>
    <w:basedOn w:val="Normal"/>
    <w:next w:val="Normal"/>
    <w:uiPriority w:val="35"/>
    <w:unhideWhenUsed/>
    <w:qFormat/>
    <w:rsid w:val="006D4077"/>
    <w:pPr>
      <w:spacing w:after="200"/>
    </w:pPr>
    <w:rPr>
      <w:b/>
      <w:bCs/>
      <w:color w:val="4472C4" w:themeColor="accent1"/>
      <w:sz w:val="18"/>
      <w:szCs w:val="18"/>
    </w:rPr>
  </w:style>
  <w:style w:type="character" w:customStyle="1" w:styleId="units2">
    <w:name w:val="units2"/>
    <w:basedOn w:val="DefaultParagraphFont"/>
    <w:rsid w:val="0053325F"/>
  </w:style>
  <w:style w:type="character" w:customStyle="1" w:styleId="reference-range">
    <w:name w:val="reference-range"/>
    <w:basedOn w:val="DefaultParagraphFont"/>
    <w:rsid w:val="0053325F"/>
  </w:style>
  <w:style w:type="paragraph" w:styleId="Revision">
    <w:name w:val="Revision"/>
    <w:hidden/>
    <w:uiPriority w:val="99"/>
    <w:semiHidden/>
    <w:rsid w:val="00FF60FB"/>
  </w:style>
  <w:style w:type="character" w:styleId="CommentReference">
    <w:name w:val="annotation reference"/>
    <w:basedOn w:val="DefaultParagraphFont"/>
    <w:uiPriority w:val="99"/>
    <w:semiHidden/>
    <w:unhideWhenUsed/>
    <w:rsid w:val="00FF60FB"/>
    <w:rPr>
      <w:sz w:val="16"/>
      <w:szCs w:val="16"/>
    </w:rPr>
  </w:style>
  <w:style w:type="paragraph" w:styleId="CommentText">
    <w:name w:val="annotation text"/>
    <w:basedOn w:val="Normal"/>
    <w:link w:val="CommentTextChar"/>
    <w:uiPriority w:val="99"/>
    <w:semiHidden/>
    <w:unhideWhenUsed/>
    <w:rsid w:val="00FF60FB"/>
    <w:rPr>
      <w:sz w:val="20"/>
      <w:szCs w:val="20"/>
    </w:rPr>
  </w:style>
  <w:style w:type="character" w:customStyle="1" w:styleId="CommentTextChar">
    <w:name w:val="Comment Text Char"/>
    <w:basedOn w:val="DefaultParagraphFont"/>
    <w:link w:val="CommentText"/>
    <w:uiPriority w:val="99"/>
    <w:semiHidden/>
    <w:rsid w:val="00FF60FB"/>
    <w:rPr>
      <w:sz w:val="20"/>
      <w:szCs w:val="20"/>
    </w:rPr>
  </w:style>
  <w:style w:type="paragraph" w:styleId="CommentSubject">
    <w:name w:val="annotation subject"/>
    <w:basedOn w:val="CommentText"/>
    <w:next w:val="CommentText"/>
    <w:link w:val="CommentSubjectChar"/>
    <w:uiPriority w:val="99"/>
    <w:semiHidden/>
    <w:unhideWhenUsed/>
    <w:rsid w:val="00FF60FB"/>
    <w:rPr>
      <w:b/>
      <w:bCs/>
    </w:rPr>
  </w:style>
  <w:style w:type="character" w:customStyle="1" w:styleId="CommentSubjectChar">
    <w:name w:val="Comment Subject Char"/>
    <w:basedOn w:val="CommentTextChar"/>
    <w:link w:val="CommentSubject"/>
    <w:uiPriority w:val="99"/>
    <w:semiHidden/>
    <w:rsid w:val="00FF60FB"/>
    <w:rPr>
      <w:b/>
      <w:bCs/>
      <w:sz w:val="20"/>
      <w:szCs w:val="20"/>
    </w:rPr>
  </w:style>
  <w:style w:type="character" w:customStyle="1" w:styleId="mim-font">
    <w:name w:val="mim-font"/>
    <w:basedOn w:val="DefaultParagraphFont"/>
    <w:rsid w:val="00FF60FB"/>
  </w:style>
  <w:style w:type="character" w:customStyle="1" w:styleId="Heading1Char">
    <w:name w:val="Heading 1 Char"/>
    <w:basedOn w:val="DefaultParagraphFont"/>
    <w:link w:val="Heading1"/>
    <w:uiPriority w:val="9"/>
    <w:rsid w:val="00AF2B8B"/>
    <w:rPr>
      <w:rFonts w:asciiTheme="majorHAnsi" w:eastAsiaTheme="majorEastAsia" w:hAnsiTheme="majorHAnsi" w:cstheme="majorBidi"/>
      <w:color w:val="2F5496" w:themeColor="accent1" w:themeShade="BF"/>
      <w:sz w:val="32"/>
      <w:szCs w:val="32"/>
    </w:rPr>
  </w:style>
  <w:style w:type="paragraph" w:styleId="NormalWeb">
    <w:name w:val="Normal (Web)"/>
    <w:basedOn w:val="Normal"/>
    <w:uiPriority w:val="99"/>
    <w:semiHidden/>
    <w:unhideWhenUsed/>
    <w:rsid w:val="00231C95"/>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47860">
      <w:bodyDiv w:val="1"/>
      <w:marLeft w:val="0"/>
      <w:marRight w:val="0"/>
      <w:marTop w:val="0"/>
      <w:marBottom w:val="0"/>
      <w:divBdr>
        <w:top w:val="none" w:sz="0" w:space="0" w:color="auto"/>
        <w:left w:val="none" w:sz="0" w:space="0" w:color="auto"/>
        <w:bottom w:val="none" w:sz="0" w:space="0" w:color="auto"/>
        <w:right w:val="none" w:sz="0" w:space="0" w:color="auto"/>
      </w:divBdr>
    </w:div>
    <w:div w:id="28993449">
      <w:bodyDiv w:val="1"/>
      <w:marLeft w:val="0"/>
      <w:marRight w:val="0"/>
      <w:marTop w:val="0"/>
      <w:marBottom w:val="0"/>
      <w:divBdr>
        <w:top w:val="none" w:sz="0" w:space="0" w:color="auto"/>
        <w:left w:val="none" w:sz="0" w:space="0" w:color="auto"/>
        <w:bottom w:val="none" w:sz="0" w:space="0" w:color="auto"/>
        <w:right w:val="none" w:sz="0" w:space="0" w:color="auto"/>
      </w:divBdr>
    </w:div>
    <w:div w:id="76758141">
      <w:bodyDiv w:val="1"/>
      <w:marLeft w:val="0"/>
      <w:marRight w:val="0"/>
      <w:marTop w:val="0"/>
      <w:marBottom w:val="0"/>
      <w:divBdr>
        <w:top w:val="none" w:sz="0" w:space="0" w:color="auto"/>
        <w:left w:val="none" w:sz="0" w:space="0" w:color="auto"/>
        <w:bottom w:val="none" w:sz="0" w:space="0" w:color="auto"/>
        <w:right w:val="none" w:sz="0" w:space="0" w:color="auto"/>
      </w:divBdr>
    </w:div>
    <w:div w:id="91125585">
      <w:bodyDiv w:val="1"/>
      <w:marLeft w:val="0"/>
      <w:marRight w:val="0"/>
      <w:marTop w:val="0"/>
      <w:marBottom w:val="0"/>
      <w:divBdr>
        <w:top w:val="none" w:sz="0" w:space="0" w:color="auto"/>
        <w:left w:val="none" w:sz="0" w:space="0" w:color="auto"/>
        <w:bottom w:val="none" w:sz="0" w:space="0" w:color="auto"/>
        <w:right w:val="none" w:sz="0" w:space="0" w:color="auto"/>
      </w:divBdr>
      <w:divsChild>
        <w:div w:id="1154956509">
          <w:marLeft w:val="0"/>
          <w:marRight w:val="0"/>
          <w:marTop w:val="0"/>
          <w:marBottom w:val="0"/>
          <w:divBdr>
            <w:top w:val="none" w:sz="0" w:space="0" w:color="auto"/>
            <w:left w:val="none" w:sz="0" w:space="0" w:color="auto"/>
            <w:bottom w:val="none" w:sz="0" w:space="0" w:color="auto"/>
            <w:right w:val="none" w:sz="0" w:space="0" w:color="auto"/>
          </w:divBdr>
          <w:divsChild>
            <w:div w:id="1966964483">
              <w:marLeft w:val="0"/>
              <w:marRight w:val="0"/>
              <w:marTop w:val="0"/>
              <w:marBottom w:val="0"/>
              <w:divBdr>
                <w:top w:val="none" w:sz="0" w:space="0" w:color="auto"/>
                <w:left w:val="none" w:sz="0" w:space="0" w:color="auto"/>
                <w:bottom w:val="none" w:sz="0" w:space="0" w:color="auto"/>
                <w:right w:val="none" w:sz="0" w:space="0" w:color="auto"/>
              </w:divBdr>
              <w:divsChild>
                <w:div w:id="1309242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63799">
      <w:bodyDiv w:val="1"/>
      <w:marLeft w:val="0"/>
      <w:marRight w:val="0"/>
      <w:marTop w:val="0"/>
      <w:marBottom w:val="0"/>
      <w:divBdr>
        <w:top w:val="none" w:sz="0" w:space="0" w:color="auto"/>
        <w:left w:val="none" w:sz="0" w:space="0" w:color="auto"/>
        <w:bottom w:val="none" w:sz="0" w:space="0" w:color="auto"/>
        <w:right w:val="none" w:sz="0" w:space="0" w:color="auto"/>
      </w:divBdr>
    </w:div>
    <w:div w:id="175577838">
      <w:bodyDiv w:val="1"/>
      <w:marLeft w:val="0"/>
      <w:marRight w:val="0"/>
      <w:marTop w:val="0"/>
      <w:marBottom w:val="0"/>
      <w:divBdr>
        <w:top w:val="none" w:sz="0" w:space="0" w:color="auto"/>
        <w:left w:val="none" w:sz="0" w:space="0" w:color="auto"/>
        <w:bottom w:val="none" w:sz="0" w:space="0" w:color="auto"/>
        <w:right w:val="none" w:sz="0" w:space="0" w:color="auto"/>
      </w:divBdr>
    </w:div>
    <w:div w:id="282620065">
      <w:bodyDiv w:val="1"/>
      <w:marLeft w:val="0"/>
      <w:marRight w:val="0"/>
      <w:marTop w:val="0"/>
      <w:marBottom w:val="0"/>
      <w:divBdr>
        <w:top w:val="none" w:sz="0" w:space="0" w:color="auto"/>
        <w:left w:val="none" w:sz="0" w:space="0" w:color="auto"/>
        <w:bottom w:val="none" w:sz="0" w:space="0" w:color="auto"/>
        <w:right w:val="none" w:sz="0" w:space="0" w:color="auto"/>
      </w:divBdr>
    </w:div>
    <w:div w:id="355933813">
      <w:bodyDiv w:val="1"/>
      <w:marLeft w:val="0"/>
      <w:marRight w:val="0"/>
      <w:marTop w:val="0"/>
      <w:marBottom w:val="0"/>
      <w:divBdr>
        <w:top w:val="none" w:sz="0" w:space="0" w:color="auto"/>
        <w:left w:val="none" w:sz="0" w:space="0" w:color="auto"/>
        <w:bottom w:val="none" w:sz="0" w:space="0" w:color="auto"/>
        <w:right w:val="none" w:sz="0" w:space="0" w:color="auto"/>
      </w:divBdr>
    </w:div>
    <w:div w:id="360209874">
      <w:bodyDiv w:val="1"/>
      <w:marLeft w:val="0"/>
      <w:marRight w:val="0"/>
      <w:marTop w:val="0"/>
      <w:marBottom w:val="0"/>
      <w:divBdr>
        <w:top w:val="none" w:sz="0" w:space="0" w:color="auto"/>
        <w:left w:val="none" w:sz="0" w:space="0" w:color="auto"/>
        <w:bottom w:val="none" w:sz="0" w:space="0" w:color="auto"/>
        <w:right w:val="none" w:sz="0" w:space="0" w:color="auto"/>
      </w:divBdr>
    </w:div>
    <w:div w:id="520969395">
      <w:bodyDiv w:val="1"/>
      <w:marLeft w:val="0"/>
      <w:marRight w:val="0"/>
      <w:marTop w:val="0"/>
      <w:marBottom w:val="0"/>
      <w:divBdr>
        <w:top w:val="none" w:sz="0" w:space="0" w:color="auto"/>
        <w:left w:val="none" w:sz="0" w:space="0" w:color="auto"/>
        <w:bottom w:val="none" w:sz="0" w:space="0" w:color="auto"/>
        <w:right w:val="none" w:sz="0" w:space="0" w:color="auto"/>
      </w:divBdr>
    </w:div>
    <w:div w:id="611863000">
      <w:bodyDiv w:val="1"/>
      <w:marLeft w:val="0"/>
      <w:marRight w:val="0"/>
      <w:marTop w:val="0"/>
      <w:marBottom w:val="0"/>
      <w:divBdr>
        <w:top w:val="none" w:sz="0" w:space="0" w:color="auto"/>
        <w:left w:val="none" w:sz="0" w:space="0" w:color="auto"/>
        <w:bottom w:val="none" w:sz="0" w:space="0" w:color="auto"/>
        <w:right w:val="none" w:sz="0" w:space="0" w:color="auto"/>
      </w:divBdr>
    </w:div>
    <w:div w:id="677846769">
      <w:bodyDiv w:val="1"/>
      <w:marLeft w:val="0"/>
      <w:marRight w:val="0"/>
      <w:marTop w:val="0"/>
      <w:marBottom w:val="0"/>
      <w:divBdr>
        <w:top w:val="none" w:sz="0" w:space="0" w:color="auto"/>
        <w:left w:val="none" w:sz="0" w:space="0" w:color="auto"/>
        <w:bottom w:val="none" w:sz="0" w:space="0" w:color="auto"/>
        <w:right w:val="none" w:sz="0" w:space="0" w:color="auto"/>
      </w:divBdr>
    </w:div>
    <w:div w:id="932977970">
      <w:bodyDiv w:val="1"/>
      <w:marLeft w:val="0"/>
      <w:marRight w:val="0"/>
      <w:marTop w:val="0"/>
      <w:marBottom w:val="0"/>
      <w:divBdr>
        <w:top w:val="none" w:sz="0" w:space="0" w:color="auto"/>
        <w:left w:val="none" w:sz="0" w:space="0" w:color="auto"/>
        <w:bottom w:val="none" w:sz="0" w:space="0" w:color="auto"/>
        <w:right w:val="none" w:sz="0" w:space="0" w:color="auto"/>
      </w:divBdr>
    </w:div>
    <w:div w:id="935479158">
      <w:bodyDiv w:val="1"/>
      <w:marLeft w:val="0"/>
      <w:marRight w:val="0"/>
      <w:marTop w:val="0"/>
      <w:marBottom w:val="0"/>
      <w:divBdr>
        <w:top w:val="none" w:sz="0" w:space="0" w:color="auto"/>
        <w:left w:val="none" w:sz="0" w:space="0" w:color="auto"/>
        <w:bottom w:val="none" w:sz="0" w:space="0" w:color="auto"/>
        <w:right w:val="none" w:sz="0" w:space="0" w:color="auto"/>
      </w:divBdr>
      <w:divsChild>
        <w:div w:id="1691108341">
          <w:marLeft w:val="0"/>
          <w:marRight w:val="0"/>
          <w:marTop w:val="0"/>
          <w:marBottom w:val="0"/>
          <w:divBdr>
            <w:top w:val="none" w:sz="0" w:space="0" w:color="auto"/>
            <w:left w:val="none" w:sz="0" w:space="0" w:color="auto"/>
            <w:bottom w:val="none" w:sz="0" w:space="0" w:color="auto"/>
            <w:right w:val="none" w:sz="0" w:space="0" w:color="auto"/>
          </w:divBdr>
          <w:divsChild>
            <w:div w:id="611861725">
              <w:marLeft w:val="0"/>
              <w:marRight w:val="0"/>
              <w:marTop w:val="0"/>
              <w:marBottom w:val="0"/>
              <w:divBdr>
                <w:top w:val="none" w:sz="0" w:space="0" w:color="auto"/>
                <w:left w:val="none" w:sz="0" w:space="0" w:color="auto"/>
                <w:bottom w:val="none" w:sz="0" w:space="0" w:color="auto"/>
                <w:right w:val="none" w:sz="0" w:space="0" w:color="auto"/>
              </w:divBdr>
              <w:divsChild>
                <w:div w:id="136852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7348481">
      <w:bodyDiv w:val="1"/>
      <w:marLeft w:val="0"/>
      <w:marRight w:val="0"/>
      <w:marTop w:val="0"/>
      <w:marBottom w:val="0"/>
      <w:divBdr>
        <w:top w:val="none" w:sz="0" w:space="0" w:color="auto"/>
        <w:left w:val="none" w:sz="0" w:space="0" w:color="auto"/>
        <w:bottom w:val="none" w:sz="0" w:space="0" w:color="auto"/>
        <w:right w:val="none" w:sz="0" w:space="0" w:color="auto"/>
      </w:divBdr>
    </w:div>
    <w:div w:id="1082339770">
      <w:bodyDiv w:val="1"/>
      <w:marLeft w:val="0"/>
      <w:marRight w:val="0"/>
      <w:marTop w:val="0"/>
      <w:marBottom w:val="0"/>
      <w:divBdr>
        <w:top w:val="none" w:sz="0" w:space="0" w:color="auto"/>
        <w:left w:val="none" w:sz="0" w:space="0" w:color="auto"/>
        <w:bottom w:val="none" w:sz="0" w:space="0" w:color="auto"/>
        <w:right w:val="none" w:sz="0" w:space="0" w:color="auto"/>
      </w:divBdr>
    </w:div>
    <w:div w:id="1094207646">
      <w:bodyDiv w:val="1"/>
      <w:marLeft w:val="0"/>
      <w:marRight w:val="0"/>
      <w:marTop w:val="0"/>
      <w:marBottom w:val="0"/>
      <w:divBdr>
        <w:top w:val="none" w:sz="0" w:space="0" w:color="auto"/>
        <w:left w:val="none" w:sz="0" w:space="0" w:color="auto"/>
        <w:bottom w:val="none" w:sz="0" w:space="0" w:color="auto"/>
        <w:right w:val="none" w:sz="0" w:space="0" w:color="auto"/>
      </w:divBdr>
    </w:div>
    <w:div w:id="1298680411">
      <w:bodyDiv w:val="1"/>
      <w:marLeft w:val="0"/>
      <w:marRight w:val="0"/>
      <w:marTop w:val="0"/>
      <w:marBottom w:val="0"/>
      <w:divBdr>
        <w:top w:val="none" w:sz="0" w:space="0" w:color="auto"/>
        <w:left w:val="none" w:sz="0" w:space="0" w:color="auto"/>
        <w:bottom w:val="none" w:sz="0" w:space="0" w:color="auto"/>
        <w:right w:val="none" w:sz="0" w:space="0" w:color="auto"/>
      </w:divBdr>
    </w:div>
    <w:div w:id="1366439446">
      <w:bodyDiv w:val="1"/>
      <w:marLeft w:val="0"/>
      <w:marRight w:val="0"/>
      <w:marTop w:val="0"/>
      <w:marBottom w:val="0"/>
      <w:divBdr>
        <w:top w:val="none" w:sz="0" w:space="0" w:color="auto"/>
        <w:left w:val="none" w:sz="0" w:space="0" w:color="auto"/>
        <w:bottom w:val="none" w:sz="0" w:space="0" w:color="auto"/>
        <w:right w:val="none" w:sz="0" w:space="0" w:color="auto"/>
      </w:divBdr>
    </w:div>
    <w:div w:id="1423144336">
      <w:bodyDiv w:val="1"/>
      <w:marLeft w:val="0"/>
      <w:marRight w:val="0"/>
      <w:marTop w:val="0"/>
      <w:marBottom w:val="0"/>
      <w:divBdr>
        <w:top w:val="none" w:sz="0" w:space="0" w:color="auto"/>
        <w:left w:val="none" w:sz="0" w:space="0" w:color="auto"/>
        <w:bottom w:val="none" w:sz="0" w:space="0" w:color="auto"/>
        <w:right w:val="none" w:sz="0" w:space="0" w:color="auto"/>
      </w:divBdr>
    </w:div>
    <w:div w:id="1602493322">
      <w:bodyDiv w:val="1"/>
      <w:marLeft w:val="0"/>
      <w:marRight w:val="0"/>
      <w:marTop w:val="0"/>
      <w:marBottom w:val="0"/>
      <w:divBdr>
        <w:top w:val="none" w:sz="0" w:space="0" w:color="auto"/>
        <w:left w:val="none" w:sz="0" w:space="0" w:color="auto"/>
        <w:bottom w:val="none" w:sz="0" w:space="0" w:color="auto"/>
        <w:right w:val="none" w:sz="0" w:space="0" w:color="auto"/>
      </w:divBdr>
    </w:div>
    <w:div w:id="1639721401">
      <w:bodyDiv w:val="1"/>
      <w:marLeft w:val="0"/>
      <w:marRight w:val="0"/>
      <w:marTop w:val="0"/>
      <w:marBottom w:val="0"/>
      <w:divBdr>
        <w:top w:val="none" w:sz="0" w:space="0" w:color="auto"/>
        <w:left w:val="none" w:sz="0" w:space="0" w:color="auto"/>
        <w:bottom w:val="none" w:sz="0" w:space="0" w:color="auto"/>
        <w:right w:val="none" w:sz="0" w:space="0" w:color="auto"/>
      </w:divBdr>
    </w:div>
    <w:div w:id="1675566158">
      <w:bodyDiv w:val="1"/>
      <w:marLeft w:val="0"/>
      <w:marRight w:val="0"/>
      <w:marTop w:val="0"/>
      <w:marBottom w:val="0"/>
      <w:divBdr>
        <w:top w:val="none" w:sz="0" w:space="0" w:color="auto"/>
        <w:left w:val="none" w:sz="0" w:space="0" w:color="auto"/>
        <w:bottom w:val="none" w:sz="0" w:space="0" w:color="auto"/>
        <w:right w:val="none" w:sz="0" w:space="0" w:color="auto"/>
      </w:divBdr>
    </w:div>
    <w:div w:id="1945336693">
      <w:bodyDiv w:val="1"/>
      <w:marLeft w:val="0"/>
      <w:marRight w:val="0"/>
      <w:marTop w:val="0"/>
      <w:marBottom w:val="0"/>
      <w:divBdr>
        <w:top w:val="none" w:sz="0" w:space="0" w:color="auto"/>
        <w:left w:val="none" w:sz="0" w:space="0" w:color="auto"/>
        <w:bottom w:val="none" w:sz="0" w:space="0" w:color="auto"/>
        <w:right w:val="none" w:sz="0" w:space="0" w:color="auto"/>
      </w:divBdr>
    </w:div>
    <w:div w:id="1991901589">
      <w:bodyDiv w:val="1"/>
      <w:marLeft w:val="0"/>
      <w:marRight w:val="0"/>
      <w:marTop w:val="0"/>
      <w:marBottom w:val="0"/>
      <w:divBdr>
        <w:top w:val="none" w:sz="0" w:space="0" w:color="auto"/>
        <w:left w:val="none" w:sz="0" w:space="0" w:color="auto"/>
        <w:bottom w:val="none" w:sz="0" w:space="0" w:color="auto"/>
        <w:right w:val="none" w:sz="0" w:space="0" w:color="auto"/>
      </w:divBdr>
    </w:div>
    <w:div w:id="2026785003">
      <w:bodyDiv w:val="1"/>
      <w:marLeft w:val="0"/>
      <w:marRight w:val="0"/>
      <w:marTop w:val="0"/>
      <w:marBottom w:val="0"/>
      <w:divBdr>
        <w:top w:val="none" w:sz="0" w:space="0" w:color="auto"/>
        <w:left w:val="none" w:sz="0" w:space="0" w:color="auto"/>
        <w:bottom w:val="none" w:sz="0" w:space="0" w:color="auto"/>
        <w:right w:val="none" w:sz="0" w:space="0" w:color="auto"/>
      </w:divBdr>
      <w:divsChild>
        <w:div w:id="667291946">
          <w:marLeft w:val="0"/>
          <w:marRight w:val="0"/>
          <w:marTop w:val="200"/>
          <w:marBottom w:val="200"/>
          <w:divBdr>
            <w:top w:val="none" w:sz="0" w:space="0" w:color="auto"/>
            <w:left w:val="none" w:sz="0" w:space="0" w:color="auto"/>
            <w:bottom w:val="none" w:sz="0" w:space="0" w:color="auto"/>
            <w:right w:val="none" w:sz="0" w:space="0" w:color="auto"/>
          </w:divBdr>
          <w:divsChild>
            <w:div w:id="51107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a.knerr@cuh.i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omim.org/entry/236250" TargetMode="External"/><Relationship Id="rId4" Type="http://schemas.openxmlformats.org/officeDocument/2006/relationships/settings" Target="settings.xml"/><Relationship Id="rId9" Type="http://schemas.openxmlformats.org/officeDocument/2006/relationships/hyperlink" Target="file:///C:\Users\ina.knerr\AppData\Local\Microsoft\Windows\Temporary%20Internet%20Files\Content.Outlook\BUXOC2MP\0000-0002-4015-065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93BF87-044E-4C08-97F2-599B74A5F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11</Pages>
  <Words>4414</Words>
  <Characters>25163</Characters>
  <Application>Microsoft Office Word</Application>
  <DocSecurity>0</DocSecurity>
  <Lines>209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Eimear Loftus</dc:creator>
  <cp:lastModifiedBy>Ina Knerr</cp:lastModifiedBy>
  <cp:revision>4</cp:revision>
  <cp:lastPrinted>2023-10-11T11:44:00Z</cp:lastPrinted>
  <dcterms:created xsi:type="dcterms:W3CDTF">2024-08-15T21:54:00Z</dcterms:created>
  <dcterms:modified xsi:type="dcterms:W3CDTF">2024-08-15T22:38:00Z</dcterms:modified>
</cp:coreProperties>
</file>