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57356" w14:textId="77777777" w:rsidR="001519C0" w:rsidRDefault="001519C0" w:rsidP="001519C0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  <w:t>Table 2. Clinical features observed in reported cases of XGET.</w:t>
      </w:r>
    </w:p>
    <w:p w14:paraId="51168CC6" w14:textId="77777777" w:rsidR="001519C0" w:rsidRDefault="001519C0" w:rsidP="001519C0">
      <w:pPr>
        <w:widowControl w:val="0"/>
        <w:autoSpaceDE w:val="0"/>
        <w:autoSpaceDN w:val="0"/>
        <w:spacing w:before="120" w:after="0" w:line="240" w:lineRule="auto"/>
        <w:jc w:val="both"/>
        <w:rPr>
          <w:rFonts w:asciiTheme="majorBidi" w:eastAsia="Times New Roman" w:hAnsiTheme="majorBidi" w:cstheme="majorBidi"/>
          <w:kern w:val="0"/>
          <w:sz w:val="28"/>
          <w:szCs w:val="28"/>
          <w14:ligatures w14:val="none"/>
        </w:rPr>
      </w:pPr>
    </w:p>
    <w:tbl>
      <w:tblPr>
        <w:tblStyle w:val="PlainTable1"/>
        <w:tblW w:w="10014" w:type="dxa"/>
        <w:tblInd w:w="0" w:type="dxa"/>
        <w:tblLook w:val="04A0" w:firstRow="1" w:lastRow="0" w:firstColumn="1" w:lastColumn="0" w:noHBand="0" w:noVBand="1"/>
      </w:tblPr>
      <w:tblGrid>
        <w:gridCol w:w="1110"/>
        <w:gridCol w:w="3523"/>
        <w:gridCol w:w="2876"/>
        <w:gridCol w:w="2505"/>
      </w:tblGrid>
      <w:tr w:rsidR="001519C0" w14:paraId="61CFF997" w14:textId="77777777" w:rsidTr="00151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235C4C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Case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98BDAF" w14:textId="77777777" w:rsidR="001519C0" w:rsidRDefault="001519C0">
            <w:pPr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Radiological findings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B18F88" w14:textId="77777777" w:rsidR="001519C0" w:rsidRDefault="001519C0">
            <w:pPr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Management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DC2DA5" w14:textId="77777777" w:rsidR="001519C0" w:rsidRDefault="001519C0">
            <w:pPr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Outcome</w:t>
            </w:r>
          </w:p>
        </w:tc>
      </w:tr>
      <w:tr w:rsidR="001519C0" w14:paraId="346E3389" w14:textId="77777777" w:rsidTr="00151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A71038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25D935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Subcutaneous solid heterogenous mass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D0AAE2E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Surgical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C90914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7C77BF68" w14:textId="77777777" w:rsidTr="001519C0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BBDE7F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C536BCD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Not available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75B841F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Excisional biopsy 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CE87259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750A3471" w14:textId="77777777" w:rsidTr="00151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F6FB62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16A927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Lytic osseous lesion with peripheral sclerotic rim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64331B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Biopsied only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0968E7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disease</w:t>
            </w:r>
          </w:p>
        </w:tc>
      </w:tr>
      <w:tr w:rsidR="001519C0" w14:paraId="25824CF0" w14:textId="77777777" w:rsidTr="001519C0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8ABAAE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2860C8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Not available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159BA4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Surgical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00CB40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1A9FFD48" w14:textId="77777777" w:rsidTr="00151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CE623D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9B89D7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Subcutaneous solid heterogenous mass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03C21D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Surgical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3AB78A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458FB4A3" w14:textId="77777777" w:rsidTr="001519C0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6C465F6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8847B0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Expansile lytic lesion with peripheral sclerotic rim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33030F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Planned for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A08FAF0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disease</w:t>
            </w:r>
          </w:p>
        </w:tc>
      </w:tr>
      <w:tr w:rsidR="001519C0" w14:paraId="4433A627" w14:textId="77777777" w:rsidTr="00151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11ADE7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4944D9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Subcutaneous solid heterogenous lobulated mass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E2E8B6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Surgical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066A95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7CABC0DA" w14:textId="77777777" w:rsidTr="001519C0">
        <w:trPr>
          <w:trHeight w:val="1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79FFB6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539EEB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Well-defined soft tissue lesion with suspected focal cortical bone invasion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60460E3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Surgical excision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1058AD3" w14:textId="77777777" w:rsidR="001519C0" w:rsidRDefault="001519C0">
            <w:pPr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Alive with no disease</w:t>
            </w:r>
          </w:p>
        </w:tc>
      </w:tr>
      <w:tr w:rsidR="001519C0" w14:paraId="23C57B53" w14:textId="77777777" w:rsidTr="00151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12634E" w14:textId="77777777" w:rsidR="001519C0" w:rsidRDefault="001519C0">
            <w:pPr>
              <w:adjustRightInd w:val="0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9*</w:t>
            </w:r>
          </w:p>
        </w:tc>
        <w:tc>
          <w:tcPr>
            <w:tcW w:w="35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07887C5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Trebuchet MS" w:hAnsiTheme="majorBidi" w:cstheme="majorBidi"/>
                <w:color w:val="000000" w:themeColor="text1"/>
                <w:sz w:val="28"/>
                <w:szCs w:val="28"/>
              </w:rPr>
              <w:t>Ill-defined expansile locally aggressive lytic lesion</w:t>
            </w:r>
          </w:p>
        </w:tc>
        <w:tc>
          <w:tcPr>
            <w:tcW w:w="2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FD61A4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Denosumab trial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979897" w14:textId="77777777" w:rsidR="001519C0" w:rsidRDefault="001519C0">
            <w:pPr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Good clinical and radiological response</w:t>
            </w:r>
          </w:p>
        </w:tc>
      </w:tr>
    </w:tbl>
    <w:p w14:paraId="6A18E7E8" w14:textId="77777777" w:rsidR="001519C0" w:rsidRDefault="001519C0" w:rsidP="001519C0">
      <w:pPr>
        <w:keepNext/>
        <w:widowControl w:val="0"/>
        <w:autoSpaceDE w:val="0"/>
        <w:autoSpaceDN w:val="0"/>
        <w:spacing w:after="0" w:line="240" w:lineRule="auto"/>
        <w:jc w:val="both"/>
        <w:rPr>
          <w:rFonts w:asciiTheme="majorBidi" w:eastAsia="Trebuchet MS" w:hAnsiTheme="majorBidi" w:cstheme="majorBidi"/>
          <w:color w:val="000000" w:themeColor="text1"/>
          <w:sz w:val="24"/>
          <w:szCs w:val="24"/>
          <w14:ligatures w14:val="none"/>
        </w:rPr>
      </w:pPr>
    </w:p>
    <w:p w14:paraId="5885976E" w14:textId="77777777" w:rsidR="001519C0" w:rsidRDefault="001519C0" w:rsidP="001519C0">
      <w:pPr>
        <w:keepNext/>
        <w:widowControl w:val="0"/>
        <w:autoSpaceDE w:val="0"/>
        <w:autoSpaceDN w:val="0"/>
        <w:spacing w:after="0" w:line="240" w:lineRule="auto"/>
        <w:jc w:val="both"/>
        <w:rPr>
          <w:rFonts w:asciiTheme="majorBidi" w:eastAsia="Trebuchet MS" w:hAnsiTheme="majorBidi" w:cstheme="majorBidi"/>
          <w:color w:val="000000" w:themeColor="text1"/>
          <w:sz w:val="24"/>
          <w:szCs w:val="24"/>
          <w14:ligatures w14:val="none"/>
        </w:rPr>
      </w:pPr>
    </w:p>
    <w:p w14:paraId="1397DBE7" w14:textId="180F433C" w:rsidR="00E4344D" w:rsidRDefault="001519C0" w:rsidP="001519C0">
      <w:r>
        <w:rPr>
          <w:rFonts w:asciiTheme="majorBidi" w:eastAsia="Trebuchet MS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*Our current XGET </w:t>
      </w:r>
      <w:proofErr w:type="gramStart"/>
      <w:r>
        <w:rPr>
          <w:rFonts w:asciiTheme="majorBidi" w:eastAsia="Trebuchet MS" w:hAnsiTheme="majorBidi" w:cstheme="majorBidi"/>
          <w:color w:val="000000" w:themeColor="text1"/>
          <w:kern w:val="0"/>
          <w:sz w:val="24"/>
          <w:szCs w:val="24"/>
          <w14:ligatures w14:val="none"/>
        </w:rPr>
        <w:t>case .</w:t>
      </w:r>
      <w:proofErr w:type="gramEnd"/>
    </w:p>
    <w:sectPr w:rsidR="00E43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C0"/>
    <w:rsid w:val="001519C0"/>
    <w:rsid w:val="00C46FE7"/>
    <w:rsid w:val="00E20D82"/>
    <w:rsid w:val="00E4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849B8"/>
  <w15:chartTrackingRefBased/>
  <w15:docId w15:val="{41330041-C714-4B46-9F5E-7F105534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9C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519C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9C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9C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9C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9C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9C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9C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9C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9C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FE7"/>
    <w:pPr>
      <w:spacing w:line="259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19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9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9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9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9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9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9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9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9C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9C0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9C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19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9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9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9C0"/>
    <w:rPr>
      <w:b/>
      <w:bCs/>
      <w:smallCaps/>
      <w:color w:val="2F5496" w:themeColor="accent1" w:themeShade="BF"/>
      <w:spacing w:val="5"/>
    </w:rPr>
  </w:style>
  <w:style w:type="table" w:styleId="PlainTable1">
    <w:name w:val="Plain Table 1"/>
    <w:basedOn w:val="TableNormal"/>
    <w:uiPriority w:val="41"/>
    <w:rsid w:val="001519C0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muna ahmad</dc:creator>
  <cp:keywords/>
  <dc:description/>
  <cp:lastModifiedBy>muna ahmad</cp:lastModifiedBy>
  <cp:revision>1</cp:revision>
  <dcterms:created xsi:type="dcterms:W3CDTF">2024-08-12T14:30:00Z</dcterms:created>
  <dcterms:modified xsi:type="dcterms:W3CDTF">2024-08-12T14:31:00Z</dcterms:modified>
</cp:coreProperties>
</file>