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3CBAD" w14:textId="77777777" w:rsidR="00C65BD4" w:rsidRPr="00F17F02" w:rsidRDefault="00C65BD4" w:rsidP="00C65BD4">
      <w:pPr>
        <w:pStyle w:val="Articletitle"/>
        <w:spacing w:line="480" w:lineRule="auto"/>
        <w:jc w:val="center"/>
        <w:rPr>
          <w:rFonts w:ascii="Arial Nova" w:hAnsi="Arial Nova" w:cs="Arial"/>
          <w:sz w:val="20"/>
          <w:szCs w:val="20"/>
          <w:lang w:val="en-US"/>
        </w:rPr>
      </w:pPr>
    </w:p>
    <w:p w14:paraId="757134EE" w14:textId="77777777" w:rsidR="007B17C5" w:rsidRPr="00F17F02" w:rsidRDefault="007B17C5" w:rsidP="00C65BD4">
      <w:pPr>
        <w:pStyle w:val="Articletitle"/>
        <w:spacing w:line="480" w:lineRule="auto"/>
        <w:jc w:val="center"/>
        <w:rPr>
          <w:rFonts w:ascii="Arial Nova" w:hAnsi="Arial Nova" w:cs="Arial"/>
          <w:sz w:val="20"/>
          <w:szCs w:val="20"/>
          <w:lang w:val="en-US"/>
        </w:rPr>
      </w:pPr>
    </w:p>
    <w:p w14:paraId="3E9B1016" w14:textId="77777777" w:rsidR="001717B8" w:rsidRPr="00F17F02" w:rsidRDefault="001717B8" w:rsidP="001717B8">
      <w:pPr>
        <w:rPr>
          <w:sz w:val="20"/>
          <w:szCs w:val="20"/>
          <w:lang w:val="en-US" w:eastAsia="en-GB"/>
        </w:rPr>
      </w:pPr>
    </w:p>
    <w:p w14:paraId="1DB81654" w14:textId="76CF286B" w:rsidR="00C65BD4" w:rsidRPr="00C0765A" w:rsidRDefault="008641B1" w:rsidP="00023D95">
      <w:pPr>
        <w:pStyle w:val="Title"/>
      </w:pPr>
      <w:r w:rsidRPr="00C0765A">
        <w:t xml:space="preserve">Transcutaneous auricular </w:t>
      </w:r>
      <w:proofErr w:type="spellStart"/>
      <w:r w:rsidRPr="00C0765A">
        <w:t>vagus</w:t>
      </w:r>
      <w:proofErr w:type="spellEnd"/>
      <w:r w:rsidRPr="00C0765A">
        <w:t xml:space="preserve"> nerve stimulation i</w:t>
      </w:r>
      <w:r w:rsidR="00C65BD4" w:rsidRPr="00C0765A">
        <w:t>ncrease</w:t>
      </w:r>
      <w:r w:rsidRPr="00C0765A">
        <w:t>s</w:t>
      </w:r>
      <w:r w:rsidR="00C65BD4" w:rsidRPr="00C0765A">
        <w:t xml:space="preserve"> </w:t>
      </w:r>
      <w:r w:rsidR="0090708B" w:rsidRPr="00C0765A">
        <w:t>long</w:t>
      </w:r>
      <w:r w:rsidR="00E04BCC" w:rsidRPr="00C0765A">
        <w:t xml:space="preserve">-latency </w:t>
      </w:r>
      <w:r w:rsidR="00242DD2" w:rsidRPr="00C0765A">
        <w:t>event-related potentials</w:t>
      </w:r>
      <w:r w:rsidR="00F91D25" w:rsidRPr="00C0765A">
        <w:t>, but does not affect neural gating</w:t>
      </w:r>
      <w:r w:rsidR="00456633" w:rsidRPr="00C0765A">
        <w:t xml:space="preserve"> or </w:t>
      </w:r>
      <w:r w:rsidR="0025787C" w:rsidRPr="00C0765A">
        <w:t>alpha oscillations</w:t>
      </w:r>
    </w:p>
    <w:p w14:paraId="3A3D5C39" w14:textId="67002D2A" w:rsidR="00C65BD4" w:rsidRPr="00C0765A" w:rsidRDefault="00C65BD4" w:rsidP="005719E9">
      <w:pPr>
        <w:pStyle w:val="Authornames"/>
        <w:spacing w:after="240"/>
        <w:jc w:val="center"/>
        <w:rPr>
          <w:rFonts w:ascii="Arial Nova" w:hAnsi="Arial Nova" w:cs="Arial"/>
          <w:sz w:val="22"/>
          <w:szCs w:val="22"/>
          <w:vertAlign w:val="superscript"/>
          <w:lang w:val="es-ES"/>
        </w:rPr>
      </w:pPr>
      <w:r w:rsidRPr="00C0765A">
        <w:rPr>
          <w:rFonts w:ascii="Arial Nova" w:hAnsi="Arial Nova" w:cs="Arial"/>
          <w:sz w:val="22"/>
          <w:szCs w:val="22"/>
          <w:lang w:val="es-ES"/>
        </w:rPr>
        <w:t xml:space="preserve">Valentina Jelinčić </w:t>
      </w:r>
      <w:r w:rsidRPr="00C0765A">
        <w:rPr>
          <w:rFonts w:ascii="Arial Nova" w:hAnsi="Arial Nova" w:cs="Arial"/>
          <w:sz w:val="22"/>
          <w:szCs w:val="22"/>
          <w:vertAlign w:val="superscript"/>
          <w:lang w:val="es-ES"/>
        </w:rPr>
        <w:t>a</w:t>
      </w:r>
      <w:r w:rsidRPr="00C0765A">
        <w:rPr>
          <w:rFonts w:ascii="Arial Nova" w:hAnsi="Arial Nova" w:cs="Arial"/>
          <w:sz w:val="22"/>
          <w:szCs w:val="22"/>
          <w:lang w:val="es-ES"/>
        </w:rPr>
        <w:t xml:space="preserve">, Martina </w:t>
      </w:r>
      <w:proofErr w:type="spellStart"/>
      <w:r w:rsidRPr="00C0765A">
        <w:rPr>
          <w:rFonts w:ascii="Arial Nova" w:hAnsi="Arial Nova" w:cs="Arial"/>
          <w:sz w:val="22"/>
          <w:szCs w:val="22"/>
          <w:lang w:val="es-ES"/>
        </w:rPr>
        <w:t>D’Agostini</w:t>
      </w:r>
      <w:proofErr w:type="spellEnd"/>
      <w:r w:rsidRPr="00C0765A">
        <w:rPr>
          <w:rFonts w:ascii="Arial Nova" w:hAnsi="Arial Nova" w:cs="Arial"/>
          <w:sz w:val="22"/>
          <w:szCs w:val="22"/>
          <w:lang w:val="es-ES"/>
        </w:rPr>
        <w:t xml:space="preserve"> </w:t>
      </w:r>
      <w:r w:rsidR="007958F0" w:rsidRPr="00C0765A">
        <w:rPr>
          <w:rFonts w:ascii="Arial Nova" w:hAnsi="Arial Nova" w:cs="Arial"/>
          <w:sz w:val="22"/>
          <w:szCs w:val="22"/>
          <w:vertAlign w:val="superscript"/>
          <w:lang w:val="es-ES"/>
        </w:rPr>
        <w:t>a, b</w:t>
      </w:r>
      <w:r w:rsidRPr="00C0765A">
        <w:rPr>
          <w:rFonts w:ascii="Arial Nova" w:hAnsi="Arial Nova" w:cs="Arial"/>
          <w:sz w:val="22"/>
          <w:szCs w:val="22"/>
          <w:lang w:val="es-ES"/>
        </w:rPr>
        <w:t>, Carlos Ventura</w:t>
      </w:r>
      <w:r w:rsidR="00DE0DD7" w:rsidRPr="00C0765A">
        <w:rPr>
          <w:rFonts w:ascii="Arial Nova" w:hAnsi="Arial Nova" w:cs="Arial"/>
          <w:sz w:val="22"/>
          <w:szCs w:val="22"/>
          <w:lang w:val="es-ES"/>
        </w:rPr>
        <w:t>-</w:t>
      </w:r>
      <w:r w:rsidRPr="00C0765A">
        <w:rPr>
          <w:rFonts w:ascii="Arial Nova" w:hAnsi="Arial Nova" w:cs="Arial"/>
          <w:sz w:val="22"/>
          <w:szCs w:val="22"/>
          <w:lang w:val="es-ES"/>
        </w:rPr>
        <w:t xml:space="preserve">Bort </w:t>
      </w:r>
      <w:r w:rsidRPr="00C0765A">
        <w:rPr>
          <w:rFonts w:ascii="Arial Nova" w:hAnsi="Arial Nova" w:cs="Arial"/>
          <w:sz w:val="22"/>
          <w:szCs w:val="22"/>
          <w:vertAlign w:val="superscript"/>
          <w:lang w:val="es-ES"/>
        </w:rPr>
        <w:t>c</w:t>
      </w:r>
      <w:r w:rsidRPr="00C0765A">
        <w:rPr>
          <w:rFonts w:ascii="Arial Nova" w:hAnsi="Arial Nova" w:cs="Arial"/>
          <w:sz w:val="22"/>
          <w:szCs w:val="22"/>
          <w:lang w:val="es-ES"/>
        </w:rPr>
        <w:t xml:space="preserve">, </w:t>
      </w:r>
      <w:r w:rsidR="007B17C5" w:rsidRPr="00C0765A">
        <w:rPr>
          <w:rFonts w:ascii="Arial Nova" w:hAnsi="Arial Nova" w:cs="Arial"/>
          <w:sz w:val="22"/>
          <w:szCs w:val="22"/>
          <w:lang w:val="es-ES"/>
        </w:rPr>
        <w:br/>
      </w:r>
      <w:r w:rsidRPr="00C0765A">
        <w:rPr>
          <w:rFonts w:ascii="Arial Nova" w:hAnsi="Arial Nova" w:cs="Arial"/>
          <w:sz w:val="22"/>
          <w:szCs w:val="22"/>
          <w:lang w:val="es-ES"/>
        </w:rPr>
        <w:t xml:space="preserve">Loriss Cascio </w:t>
      </w:r>
      <w:r w:rsidRPr="00C0765A">
        <w:rPr>
          <w:rFonts w:ascii="Arial Nova" w:hAnsi="Arial Nova" w:cs="Arial"/>
          <w:sz w:val="22"/>
          <w:szCs w:val="22"/>
          <w:vertAlign w:val="superscript"/>
          <w:lang w:val="es-ES"/>
        </w:rPr>
        <w:t>a</w:t>
      </w:r>
      <w:r w:rsidRPr="00C0765A">
        <w:rPr>
          <w:rFonts w:ascii="Arial Nova" w:hAnsi="Arial Nova" w:cs="Arial"/>
          <w:sz w:val="22"/>
          <w:szCs w:val="22"/>
          <w:lang w:val="es-ES"/>
        </w:rPr>
        <w:t xml:space="preserve">, Ekaterina Gorianskaia </w:t>
      </w:r>
      <w:r w:rsidRPr="00C0765A">
        <w:rPr>
          <w:rFonts w:ascii="Arial Nova" w:hAnsi="Arial Nova" w:cs="Arial"/>
          <w:sz w:val="22"/>
          <w:szCs w:val="22"/>
          <w:vertAlign w:val="superscript"/>
          <w:lang w:val="es-ES"/>
        </w:rPr>
        <w:t>a</w:t>
      </w:r>
      <w:r w:rsidRPr="00C0765A">
        <w:rPr>
          <w:rFonts w:ascii="Arial Nova" w:hAnsi="Arial Nova" w:cs="Arial"/>
          <w:sz w:val="22"/>
          <w:szCs w:val="22"/>
          <w:lang w:val="es-ES"/>
        </w:rPr>
        <w:t>, Mathias Weymar</w:t>
      </w:r>
      <w:r w:rsidRPr="00C0765A">
        <w:rPr>
          <w:rFonts w:ascii="Arial Nova" w:hAnsi="Arial Nova" w:cs="Arial"/>
          <w:sz w:val="22"/>
          <w:szCs w:val="22"/>
          <w:vertAlign w:val="superscript"/>
          <w:lang w:val="es-ES"/>
        </w:rPr>
        <w:t xml:space="preserve">  c</w:t>
      </w:r>
      <w:r w:rsidRPr="00C0765A">
        <w:rPr>
          <w:rFonts w:ascii="Arial Nova" w:hAnsi="Arial Nova" w:cs="Arial"/>
          <w:sz w:val="22"/>
          <w:szCs w:val="22"/>
          <w:lang w:val="es-ES"/>
        </w:rPr>
        <w:t>, Diana M. Torta</w:t>
      </w:r>
      <w:r w:rsidRPr="00C0765A">
        <w:rPr>
          <w:rFonts w:ascii="Arial Nova" w:hAnsi="Arial Nova" w:cs="Arial"/>
          <w:sz w:val="22"/>
          <w:szCs w:val="22"/>
          <w:vertAlign w:val="superscript"/>
          <w:lang w:val="es-ES"/>
        </w:rPr>
        <w:t xml:space="preserve"> a</w:t>
      </w:r>
      <w:r w:rsidRPr="00C0765A">
        <w:rPr>
          <w:rFonts w:ascii="Arial Nova" w:hAnsi="Arial Nova" w:cs="Arial"/>
          <w:sz w:val="22"/>
          <w:szCs w:val="22"/>
          <w:lang w:val="es-ES"/>
        </w:rPr>
        <w:t xml:space="preserve">, </w:t>
      </w:r>
      <w:r w:rsidRPr="00C0765A">
        <w:rPr>
          <w:rFonts w:ascii="Arial Nova" w:hAnsi="Arial Nova" w:cs="Arial"/>
          <w:sz w:val="22"/>
          <w:szCs w:val="22"/>
          <w:lang w:val="es-ES"/>
        </w:rPr>
        <w:br/>
        <w:t>Ilse Van Diest</w:t>
      </w:r>
      <w:r w:rsidRPr="00C0765A">
        <w:rPr>
          <w:rFonts w:ascii="Arial Nova" w:hAnsi="Arial Nova" w:cs="Arial"/>
          <w:sz w:val="22"/>
          <w:szCs w:val="22"/>
          <w:vertAlign w:val="superscript"/>
          <w:lang w:val="es-ES"/>
        </w:rPr>
        <w:t xml:space="preserve"> a</w:t>
      </w:r>
      <w:r w:rsidRPr="00C0765A">
        <w:rPr>
          <w:rFonts w:ascii="Arial Nova" w:hAnsi="Arial Nova" w:cs="Arial"/>
          <w:sz w:val="22"/>
          <w:szCs w:val="22"/>
          <w:lang w:val="es-ES"/>
        </w:rPr>
        <w:t xml:space="preserve">, &amp; Andreas von Leupoldt </w:t>
      </w:r>
      <w:r w:rsidRPr="00C0765A">
        <w:rPr>
          <w:rFonts w:ascii="Arial Nova" w:hAnsi="Arial Nova" w:cs="Arial"/>
          <w:sz w:val="22"/>
          <w:szCs w:val="22"/>
          <w:vertAlign w:val="superscript"/>
          <w:lang w:val="es-ES"/>
        </w:rPr>
        <w:t>a</w:t>
      </w:r>
    </w:p>
    <w:p w14:paraId="690C130E" w14:textId="77777777" w:rsidR="001717B8" w:rsidRPr="00C0765A" w:rsidRDefault="001717B8" w:rsidP="005719E9">
      <w:pPr>
        <w:rPr>
          <w:szCs w:val="22"/>
          <w:lang w:val="es-ES" w:eastAsia="en-GB"/>
        </w:rPr>
      </w:pPr>
    </w:p>
    <w:p w14:paraId="5F07CA07" w14:textId="77777777" w:rsidR="00C65BD4" w:rsidRPr="00C0765A" w:rsidRDefault="00C65BD4" w:rsidP="005719E9">
      <w:pPr>
        <w:pStyle w:val="Affiliation"/>
        <w:spacing w:before="0"/>
        <w:jc w:val="center"/>
        <w:rPr>
          <w:rFonts w:ascii="Arial Nova" w:hAnsi="Arial Nova" w:cs="Arial"/>
          <w:szCs w:val="22"/>
          <w:lang w:val="en-US"/>
        </w:rPr>
      </w:pPr>
      <w:r w:rsidRPr="00C0765A">
        <w:rPr>
          <w:rFonts w:ascii="Arial Nova" w:hAnsi="Arial Nova" w:cs="Arial"/>
          <w:szCs w:val="22"/>
          <w:vertAlign w:val="superscript"/>
          <w:lang w:val="en-US"/>
        </w:rPr>
        <w:t xml:space="preserve">a </w:t>
      </w:r>
      <w:r w:rsidRPr="00C0765A">
        <w:rPr>
          <w:rFonts w:ascii="Arial Nova" w:hAnsi="Arial Nova" w:cs="Arial"/>
          <w:szCs w:val="22"/>
          <w:lang w:val="en-US"/>
        </w:rPr>
        <w:t>Research Group Health Psychology, Department of Psychology, KU Leuven, Belgium</w:t>
      </w:r>
    </w:p>
    <w:p w14:paraId="48DE47C8" w14:textId="0155AC70" w:rsidR="00C65BD4" w:rsidRPr="00C0765A" w:rsidRDefault="00C65BD4" w:rsidP="005719E9">
      <w:pPr>
        <w:pStyle w:val="Affiliation"/>
        <w:spacing w:before="0"/>
        <w:jc w:val="center"/>
        <w:rPr>
          <w:rFonts w:ascii="Arial Nova" w:hAnsi="Arial Nova" w:cs="Arial"/>
          <w:szCs w:val="22"/>
          <w:lang w:val="en-US"/>
        </w:rPr>
      </w:pPr>
      <w:r w:rsidRPr="00C0765A">
        <w:rPr>
          <w:rFonts w:ascii="Arial Nova" w:hAnsi="Arial Nova" w:cs="Arial"/>
          <w:szCs w:val="22"/>
          <w:vertAlign w:val="superscript"/>
          <w:lang w:val="en-US"/>
        </w:rPr>
        <w:t xml:space="preserve">b </w:t>
      </w:r>
      <w:r w:rsidRPr="00C0765A">
        <w:rPr>
          <w:rFonts w:ascii="Arial Nova" w:hAnsi="Arial Nova" w:cs="Arial"/>
          <w:szCs w:val="22"/>
          <w:lang w:val="en-US"/>
        </w:rPr>
        <w:t xml:space="preserve">Leonard Davis School of Gerontology, University of Southern California, </w:t>
      </w:r>
      <w:r w:rsidR="007B17C5" w:rsidRPr="00C0765A">
        <w:rPr>
          <w:rFonts w:ascii="Arial Nova" w:hAnsi="Arial Nova" w:cs="Arial"/>
          <w:szCs w:val="22"/>
          <w:lang w:val="en-US"/>
        </w:rPr>
        <w:t>USA</w:t>
      </w:r>
    </w:p>
    <w:p w14:paraId="1274AA50" w14:textId="7AB667DB" w:rsidR="00C65BD4" w:rsidRPr="00C0765A" w:rsidRDefault="00C65BD4" w:rsidP="005719E9">
      <w:pPr>
        <w:pStyle w:val="Affiliation"/>
        <w:spacing w:before="0"/>
        <w:jc w:val="center"/>
        <w:rPr>
          <w:rFonts w:ascii="Arial Nova" w:hAnsi="Arial Nova" w:cs="Arial"/>
          <w:szCs w:val="22"/>
          <w:lang w:val="en-US"/>
        </w:rPr>
      </w:pPr>
      <w:r w:rsidRPr="00C0765A">
        <w:rPr>
          <w:rFonts w:ascii="Arial Nova" w:hAnsi="Arial Nova" w:cs="Arial"/>
          <w:szCs w:val="22"/>
          <w:vertAlign w:val="superscript"/>
          <w:lang w:val="en-US"/>
        </w:rPr>
        <w:t xml:space="preserve">c </w:t>
      </w:r>
      <w:r w:rsidRPr="00C0765A">
        <w:rPr>
          <w:rFonts w:ascii="Arial Nova" w:hAnsi="Arial Nova" w:cs="Arial"/>
          <w:szCs w:val="22"/>
          <w:lang w:val="en-US"/>
        </w:rPr>
        <w:t>Department of Biological Psychology and Affective Science, Faculty of Human Sciences, University of Potsdam, Germany</w:t>
      </w:r>
    </w:p>
    <w:p w14:paraId="3DFA11FF" w14:textId="77777777" w:rsidR="001717B8" w:rsidRPr="00C0765A" w:rsidRDefault="001717B8" w:rsidP="005719E9">
      <w:pPr>
        <w:pStyle w:val="Affiliation"/>
        <w:spacing w:before="0"/>
        <w:jc w:val="center"/>
        <w:rPr>
          <w:rFonts w:ascii="Arial Nova" w:hAnsi="Arial Nova" w:cs="Arial"/>
          <w:szCs w:val="22"/>
          <w:lang w:val="en-US"/>
        </w:rPr>
      </w:pPr>
    </w:p>
    <w:p w14:paraId="20B66CB2" w14:textId="76554E10" w:rsidR="00C65BD4" w:rsidRPr="00C0765A" w:rsidRDefault="00C65BD4" w:rsidP="005719E9">
      <w:pPr>
        <w:jc w:val="left"/>
        <w:rPr>
          <w:rFonts w:cs="Arial"/>
          <w:szCs w:val="22"/>
          <w:lang w:val="en-US"/>
        </w:rPr>
      </w:pPr>
      <w:r w:rsidRPr="00C0765A">
        <w:rPr>
          <w:rFonts w:cs="Arial"/>
          <w:szCs w:val="22"/>
          <w:lang w:val="en-US"/>
        </w:rPr>
        <w:br/>
        <w:t>Valentina Jelinčić, PhD (corresponding author)</w:t>
      </w:r>
      <w:r w:rsidRPr="00C0765A">
        <w:rPr>
          <w:rFonts w:cs="Arial"/>
          <w:szCs w:val="22"/>
          <w:lang w:val="en-US"/>
        </w:rPr>
        <w:br/>
        <w:t xml:space="preserve">Research Group Health Psychology </w:t>
      </w:r>
      <w:r w:rsidRPr="00C0765A">
        <w:rPr>
          <w:rFonts w:cs="Arial"/>
          <w:szCs w:val="22"/>
          <w:lang w:val="en-US"/>
        </w:rPr>
        <w:br/>
        <w:t>Department of Psychology, KU Leuven</w:t>
      </w:r>
      <w:r w:rsidRPr="00C0765A">
        <w:rPr>
          <w:rFonts w:cs="Arial"/>
          <w:szCs w:val="22"/>
          <w:lang w:val="en-US"/>
        </w:rPr>
        <w:br/>
      </w:r>
      <w:proofErr w:type="spellStart"/>
      <w:r w:rsidRPr="00C0765A">
        <w:rPr>
          <w:rFonts w:cs="Arial"/>
          <w:szCs w:val="22"/>
          <w:lang w:val="en-US"/>
        </w:rPr>
        <w:t>Tiensestraat</w:t>
      </w:r>
      <w:proofErr w:type="spellEnd"/>
      <w:r w:rsidRPr="00C0765A">
        <w:rPr>
          <w:rFonts w:cs="Arial"/>
          <w:szCs w:val="22"/>
          <w:lang w:val="en-US"/>
        </w:rPr>
        <w:t xml:space="preserve"> 102 (postbox 3726)</w:t>
      </w:r>
      <w:r w:rsidRPr="00C0765A">
        <w:rPr>
          <w:rFonts w:cs="Arial"/>
          <w:szCs w:val="22"/>
          <w:lang w:val="en-US"/>
        </w:rPr>
        <w:br/>
        <w:t>3000-Leuven, Belgium</w:t>
      </w:r>
      <w:r w:rsidRPr="00C0765A">
        <w:rPr>
          <w:rFonts w:cs="Arial"/>
          <w:szCs w:val="22"/>
          <w:lang w:val="en-US"/>
        </w:rPr>
        <w:br/>
        <w:t>+32 16 37 73 74</w:t>
      </w:r>
      <w:r w:rsidRPr="00C0765A">
        <w:rPr>
          <w:rFonts w:cs="Arial"/>
          <w:szCs w:val="22"/>
          <w:lang w:val="en-US"/>
        </w:rPr>
        <w:br/>
      </w:r>
      <w:hyperlink r:id="rId8" w:history="1">
        <w:r w:rsidRPr="00C0765A">
          <w:rPr>
            <w:rStyle w:val="Hyperlink"/>
            <w:rFonts w:cs="Arial"/>
            <w:szCs w:val="22"/>
            <w:lang w:val="en-US"/>
          </w:rPr>
          <w:t>valentina.jelincic@kuleuven.be</w:t>
        </w:r>
      </w:hyperlink>
      <w:r w:rsidRPr="00C0765A">
        <w:rPr>
          <w:rStyle w:val="Hyperlink"/>
          <w:rFonts w:cs="Arial"/>
          <w:szCs w:val="22"/>
          <w:lang w:val="en-US"/>
        </w:rPr>
        <w:br/>
      </w:r>
      <w:r w:rsidRPr="00C0765A">
        <w:rPr>
          <w:rFonts w:cs="Arial"/>
          <w:szCs w:val="22"/>
          <w:lang w:val="en-US"/>
        </w:rPr>
        <w:br/>
        <w:t xml:space="preserve">Martina </w:t>
      </w:r>
      <w:proofErr w:type="spellStart"/>
      <w:r w:rsidRPr="00C0765A">
        <w:rPr>
          <w:rFonts w:cs="Arial"/>
          <w:szCs w:val="22"/>
          <w:lang w:val="en-US"/>
        </w:rPr>
        <w:t>D’Agostini</w:t>
      </w:r>
      <w:proofErr w:type="spellEnd"/>
      <w:r w:rsidRPr="00C0765A">
        <w:rPr>
          <w:rFonts w:cs="Arial"/>
          <w:szCs w:val="22"/>
          <w:lang w:val="en-US"/>
        </w:rPr>
        <w:t>, PhD</w:t>
      </w:r>
      <w:r w:rsidR="007B17C5" w:rsidRPr="00C0765A">
        <w:rPr>
          <w:rFonts w:cs="Arial"/>
          <w:szCs w:val="22"/>
          <w:lang w:val="en-US"/>
        </w:rPr>
        <w:t>,</w:t>
      </w:r>
      <w:r w:rsidRPr="00C0765A">
        <w:rPr>
          <w:rFonts w:cs="Arial"/>
          <w:szCs w:val="22"/>
          <w:lang w:val="en-US"/>
        </w:rPr>
        <w:t xml:space="preserve"> </w:t>
      </w:r>
      <w:hyperlink r:id="rId9" w:history="1">
        <w:r w:rsidR="007B17C5" w:rsidRPr="00C0765A">
          <w:rPr>
            <w:rStyle w:val="Hyperlink"/>
            <w:rFonts w:cs="Arial"/>
            <w:szCs w:val="22"/>
            <w:lang w:val="en-US"/>
          </w:rPr>
          <w:t>md06451@usc.edu</w:t>
        </w:r>
      </w:hyperlink>
    </w:p>
    <w:p w14:paraId="3D3E294C" w14:textId="5ED6349C" w:rsidR="00C65BD4" w:rsidRPr="00C0765A" w:rsidRDefault="00C65BD4" w:rsidP="005719E9">
      <w:pPr>
        <w:ind w:firstLine="0"/>
        <w:jc w:val="left"/>
        <w:rPr>
          <w:szCs w:val="22"/>
          <w:lang w:val="es-ES"/>
        </w:rPr>
      </w:pPr>
      <w:r w:rsidRPr="00C0765A">
        <w:rPr>
          <w:szCs w:val="22"/>
          <w:lang w:val="es-ES"/>
        </w:rPr>
        <w:t>Carlos Ventura</w:t>
      </w:r>
      <w:r w:rsidR="00DE0DD7" w:rsidRPr="00C0765A">
        <w:rPr>
          <w:szCs w:val="22"/>
          <w:lang w:val="es-ES"/>
        </w:rPr>
        <w:t>-</w:t>
      </w:r>
      <w:r w:rsidRPr="00C0765A">
        <w:rPr>
          <w:szCs w:val="22"/>
          <w:lang w:val="es-ES"/>
        </w:rPr>
        <w:t>Bort, PhD</w:t>
      </w:r>
      <w:r w:rsidR="007B17C5" w:rsidRPr="00C0765A">
        <w:rPr>
          <w:szCs w:val="22"/>
          <w:lang w:val="es-ES"/>
        </w:rPr>
        <w:t xml:space="preserve">, </w:t>
      </w:r>
      <w:hyperlink r:id="rId10" w:history="1">
        <w:r w:rsidR="007B17C5" w:rsidRPr="00C0765A">
          <w:rPr>
            <w:rStyle w:val="Hyperlink"/>
            <w:szCs w:val="22"/>
            <w:lang w:val="es-ES"/>
          </w:rPr>
          <w:t>ventura@uni-potsdam.de</w:t>
        </w:r>
      </w:hyperlink>
    </w:p>
    <w:p w14:paraId="5568BE3E" w14:textId="2821D29A" w:rsidR="00C65BD4" w:rsidRPr="00C0765A" w:rsidRDefault="00C65BD4" w:rsidP="005719E9">
      <w:pPr>
        <w:ind w:firstLine="0"/>
        <w:jc w:val="left"/>
        <w:rPr>
          <w:rFonts w:cs="Arial"/>
          <w:szCs w:val="22"/>
          <w:lang w:val="es-ES"/>
        </w:rPr>
      </w:pPr>
      <w:r w:rsidRPr="00C0765A">
        <w:rPr>
          <w:szCs w:val="22"/>
          <w:lang w:val="es-ES"/>
        </w:rPr>
        <w:t xml:space="preserve">Loriss Cascio, </w:t>
      </w:r>
      <w:proofErr w:type="spellStart"/>
      <w:r w:rsidR="00E260B0" w:rsidRPr="00C0765A">
        <w:rPr>
          <w:szCs w:val="22"/>
          <w:lang w:val="es-ES"/>
        </w:rPr>
        <w:t>B</w:t>
      </w:r>
      <w:r w:rsidRPr="00C0765A">
        <w:rPr>
          <w:szCs w:val="22"/>
          <w:lang w:val="es-ES"/>
        </w:rPr>
        <w:t>.Sc</w:t>
      </w:r>
      <w:proofErr w:type="spellEnd"/>
      <w:r w:rsidRPr="00C0765A">
        <w:rPr>
          <w:szCs w:val="22"/>
          <w:lang w:val="es-ES"/>
        </w:rPr>
        <w:t>.</w:t>
      </w:r>
      <w:r w:rsidRPr="00C0765A">
        <w:rPr>
          <w:rFonts w:cs="Arial"/>
          <w:szCs w:val="22"/>
          <w:lang w:val="es-ES"/>
        </w:rPr>
        <w:t xml:space="preserve">, </w:t>
      </w:r>
      <w:hyperlink r:id="rId11" w:history="1">
        <w:r w:rsidRPr="00C0765A">
          <w:rPr>
            <w:rStyle w:val="Hyperlink"/>
            <w:rFonts w:cs="Arial"/>
            <w:szCs w:val="22"/>
            <w:lang w:val="es-ES"/>
          </w:rPr>
          <w:t>loriss.cascio@student.kuleuven.be</w:t>
        </w:r>
      </w:hyperlink>
      <w:r w:rsidRPr="00C0765A">
        <w:rPr>
          <w:rFonts w:cs="Arial"/>
          <w:szCs w:val="22"/>
          <w:lang w:val="es-ES"/>
        </w:rPr>
        <w:t xml:space="preserve">  </w:t>
      </w:r>
    </w:p>
    <w:p w14:paraId="4A3B3607" w14:textId="27CBEB2F" w:rsidR="00C65BD4" w:rsidRPr="00C0765A" w:rsidRDefault="00C65BD4" w:rsidP="005719E9">
      <w:pPr>
        <w:ind w:firstLine="0"/>
        <w:jc w:val="left"/>
        <w:rPr>
          <w:szCs w:val="22"/>
          <w:lang w:val="es-ES"/>
        </w:rPr>
      </w:pPr>
      <w:r w:rsidRPr="00C0765A">
        <w:rPr>
          <w:szCs w:val="22"/>
          <w:lang w:val="es-ES"/>
        </w:rPr>
        <w:t xml:space="preserve">Ekaterina Gorianskaia, </w:t>
      </w:r>
      <w:proofErr w:type="spellStart"/>
      <w:r w:rsidRPr="00C0765A">
        <w:rPr>
          <w:szCs w:val="22"/>
          <w:lang w:val="es-ES"/>
        </w:rPr>
        <w:t>M.Sc</w:t>
      </w:r>
      <w:proofErr w:type="spellEnd"/>
      <w:r w:rsidRPr="00C0765A">
        <w:rPr>
          <w:szCs w:val="22"/>
          <w:lang w:val="es-ES"/>
        </w:rPr>
        <w:t xml:space="preserve">., </w:t>
      </w:r>
      <w:hyperlink r:id="rId12" w:history="1">
        <w:r w:rsidRPr="00C0765A">
          <w:rPr>
            <w:rStyle w:val="Hyperlink"/>
            <w:rFonts w:cs="Arial"/>
            <w:szCs w:val="22"/>
            <w:lang w:val="es-ES"/>
          </w:rPr>
          <w:t>ekaterina.gorianskaia@student.kuleuven.be</w:t>
        </w:r>
      </w:hyperlink>
    </w:p>
    <w:p w14:paraId="1174B3E5" w14:textId="7E6F3E90" w:rsidR="00C65BD4" w:rsidRPr="00C0765A" w:rsidRDefault="00C65BD4" w:rsidP="005719E9">
      <w:pPr>
        <w:ind w:firstLine="0"/>
        <w:jc w:val="left"/>
        <w:rPr>
          <w:rStyle w:val="Hyperlink"/>
          <w:rFonts w:cs="Arial"/>
          <w:szCs w:val="22"/>
        </w:rPr>
      </w:pPr>
      <w:r w:rsidRPr="00C0765A">
        <w:rPr>
          <w:szCs w:val="22"/>
        </w:rPr>
        <w:t>Mathias Weymar, PhD</w:t>
      </w:r>
      <w:r w:rsidR="007B17C5" w:rsidRPr="00C0765A">
        <w:rPr>
          <w:szCs w:val="22"/>
        </w:rPr>
        <w:t xml:space="preserve">, </w:t>
      </w:r>
      <w:hyperlink r:id="rId13" w:history="1">
        <w:r w:rsidR="007B17C5" w:rsidRPr="00C0765A">
          <w:rPr>
            <w:rStyle w:val="Hyperlink"/>
            <w:szCs w:val="22"/>
          </w:rPr>
          <w:t>mathias.weymar@uni-potsdam.de</w:t>
        </w:r>
      </w:hyperlink>
      <w:r w:rsidR="007B17C5" w:rsidRPr="00C0765A">
        <w:rPr>
          <w:szCs w:val="22"/>
        </w:rPr>
        <w:t xml:space="preserve"> </w:t>
      </w:r>
      <w:r w:rsidRPr="00C0765A">
        <w:rPr>
          <w:rFonts w:cs="Arial"/>
          <w:szCs w:val="22"/>
        </w:rPr>
        <w:br/>
        <w:t xml:space="preserve">Diana M. Torta, PhD, </w:t>
      </w:r>
      <w:hyperlink r:id="rId14" w:history="1">
        <w:r w:rsidRPr="00C0765A">
          <w:rPr>
            <w:rStyle w:val="Hyperlink"/>
            <w:rFonts w:cs="Arial"/>
            <w:szCs w:val="22"/>
          </w:rPr>
          <w:t>diana.torta@kuleuven.be</w:t>
        </w:r>
      </w:hyperlink>
      <w:r w:rsidRPr="00C0765A">
        <w:rPr>
          <w:rFonts w:cs="Arial"/>
          <w:color w:val="467886" w:themeColor="hyperlink"/>
          <w:szCs w:val="22"/>
          <w:u w:val="single"/>
        </w:rPr>
        <w:br/>
      </w:r>
      <w:r w:rsidRPr="00C0765A">
        <w:rPr>
          <w:rFonts w:cs="Arial"/>
          <w:szCs w:val="22"/>
        </w:rPr>
        <w:t xml:space="preserve">Ilse Van Diest, PhD, </w:t>
      </w:r>
      <w:hyperlink r:id="rId15" w:history="1">
        <w:r w:rsidRPr="00C0765A">
          <w:rPr>
            <w:rStyle w:val="Hyperlink"/>
            <w:rFonts w:cs="Arial"/>
            <w:szCs w:val="22"/>
          </w:rPr>
          <w:t>ilse.vandiest@kuleuven.be</w:t>
        </w:r>
      </w:hyperlink>
    </w:p>
    <w:p w14:paraId="452619C1" w14:textId="77777777" w:rsidR="00C65BD4" w:rsidRPr="00C0765A" w:rsidRDefault="00C65BD4" w:rsidP="005719E9">
      <w:pPr>
        <w:ind w:firstLine="0"/>
        <w:jc w:val="left"/>
        <w:rPr>
          <w:rStyle w:val="Hyperlink"/>
          <w:rFonts w:cs="Arial"/>
          <w:szCs w:val="22"/>
          <w:lang w:val="en-US"/>
        </w:rPr>
      </w:pPr>
      <w:r w:rsidRPr="00C0765A">
        <w:rPr>
          <w:rFonts w:cs="Arial"/>
          <w:szCs w:val="22"/>
          <w:lang w:val="en-US"/>
        </w:rPr>
        <w:t xml:space="preserve">Andreas von Leupoldt, PhD, </w:t>
      </w:r>
      <w:hyperlink r:id="rId16" w:history="1">
        <w:r w:rsidRPr="00C0765A">
          <w:rPr>
            <w:rStyle w:val="Hyperlink"/>
            <w:rFonts w:cs="Arial"/>
            <w:szCs w:val="22"/>
            <w:lang w:val="en-US"/>
          </w:rPr>
          <w:t>andreas.vonleupoldt@kuleuven.be</w:t>
        </w:r>
      </w:hyperlink>
    </w:p>
    <w:p w14:paraId="45A5E0C2" w14:textId="58DABB01" w:rsidR="000D64F2" w:rsidRPr="00C0765A" w:rsidRDefault="007B17C5" w:rsidP="00BB2923">
      <w:pPr>
        <w:pStyle w:val="Heading1"/>
        <w:rPr>
          <w:lang w:val="en-US"/>
        </w:rPr>
      </w:pPr>
      <w:r w:rsidRPr="00C0765A">
        <w:rPr>
          <w:lang w:val="en-US"/>
        </w:rPr>
        <w:lastRenderedPageBreak/>
        <w:t>Abstract</w:t>
      </w:r>
    </w:p>
    <w:p w14:paraId="5F36667E" w14:textId="2312CFC1" w:rsidR="00403365" w:rsidRPr="00C0765A" w:rsidRDefault="00BE5F0A" w:rsidP="00403365">
      <w:pPr>
        <w:rPr>
          <w:lang w:val="en-US"/>
        </w:rPr>
      </w:pPr>
      <w:r w:rsidRPr="00C0765A">
        <w:rPr>
          <w:lang w:val="en-US"/>
        </w:rPr>
        <w:t xml:space="preserve">Transcutaneous auricular </w:t>
      </w:r>
      <w:proofErr w:type="spellStart"/>
      <w:r w:rsidRPr="00C0765A">
        <w:rPr>
          <w:lang w:val="en-US"/>
        </w:rPr>
        <w:t>vagus</w:t>
      </w:r>
      <w:proofErr w:type="spellEnd"/>
      <w:r w:rsidRPr="00C0765A">
        <w:rPr>
          <w:lang w:val="en-US"/>
        </w:rPr>
        <w:t xml:space="preserve"> nerve stimulation (</w:t>
      </w:r>
      <w:proofErr w:type="spellStart"/>
      <w:r w:rsidRPr="00C0765A">
        <w:rPr>
          <w:lang w:val="en-US"/>
        </w:rPr>
        <w:t>taVNS</w:t>
      </w:r>
      <w:proofErr w:type="spellEnd"/>
      <w:r w:rsidRPr="00C0765A">
        <w:rPr>
          <w:lang w:val="en-US"/>
        </w:rPr>
        <w:t>) is a non-invasive technique stimulat</w:t>
      </w:r>
      <w:r w:rsidR="006C59E4" w:rsidRPr="00C0765A">
        <w:rPr>
          <w:lang w:val="en-US"/>
        </w:rPr>
        <w:t>ing</w:t>
      </w:r>
      <w:r w:rsidRPr="00C0765A">
        <w:rPr>
          <w:lang w:val="en-US"/>
        </w:rPr>
        <w:t xml:space="preserve"> vagal afferent fibers</w:t>
      </w:r>
      <w:r w:rsidR="006C59E4" w:rsidRPr="00C0765A">
        <w:rPr>
          <w:lang w:val="en-US"/>
        </w:rPr>
        <w:t xml:space="preserve">, </w:t>
      </w:r>
      <w:r w:rsidR="006E26E1" w:rsidRPr="00C0765A">
        <w:rPr>
          <w:lang w:val="en-US"/>
        </w:rPr>
        <w:t>showing</w:t>
      </w:r>
      <w:r w:rsidRPr="00C0765A">
        <w:rPr>
          <w:lang w:val="en-US"/>
        </w:rPr>
        <w:t xml:space="preserve"> promise in treating neurological and mental disorders. </w:t>
      </w:r>
      <w:proofErr w:type="spellStart"/>
      <w:r w:rsidR="006C59E4" w:rsidRPr="00C0765A">
        <w:rPr>
          <w:lang w:val="en-US"/>
        </w:rPr>
        <w:t>taVNS</w:t>
      </w:r>
      <w:proofErr w:type="spellEnd"/>
      <w:r w:rsidRPr="00C0765A">
        <w:rPr>
          <w:lang w:val="en-US"/>
        </w:rPr>
        <w:t xml:space="preserve"> is believed to activate the locus coeruleus (LC), promoting noradrenergic activation (NA), which enhances arousal and attention. However, evidence for the LC-NA hypothesis </w:t>
      </w:r>
      <w:r w:rsidR="0035614C" w:rsidRPr="00C0765A">
        <w:rPr>
          <w:lang w:val="en-US"/>
        </w:rPr>
        <w:t>is</w:t>
      </w:r>
      <w:r w:rsidRPr="00C0765A">
        <w:rPr>
          <w:lang w:val="en-US"/>
        </w:rPr>
        <w:t xml:space="preserve"> mixed, and </w:t>
      </w:r>
      <w:r w:rsidR="00553B1F" w:rsidRPr="00C0765A">
        <w:rPr>
          <w:lang w:val="en-US"/>
        </w:rPr>
        <w:t xml:space="preserve">investigations </w:t>
      </w:r>
      <w:r w:rsidR="0035614C" w:rsidRPr="00C0765A">
        <w:rPr>
          <w:lang w:val="en-US"/>
        </w:rPr>
        <w:t xml:space="preserve">in </w:t>
      </w:r>
      <w:r w:rsidR="00386775" w:rsidRPr="00C0765A">
        <w:rPr>
          <w:lang w:val="en-US"/>
        </w:rPr>
        <w:t>different</w:t>
      </w:r>
      <w:r w:rsidR="00553B1F" w:rsidRPr="00C0765A">
        <w:rPr>
          <w:lang w:val="en-US"/>
        </w:rPr>
        <w:t xml:space="preserve"> sensory modalities are lacking</w:t>
      </w:r>
      <w:r w:rsidRPr="00C0765A">
        <w:rPr>
          <w:lang w:val="en-US"/>
        </w:rPr>
        <w:t xml:space="preserve">. This study investigated </w:t>
      </w:r>
      <w:r w:rsidR="009C5174" w:rsidRPr="00C0765A">
        <w:rPr>
          <w:lang w:val="en-US"/>
        </w:rPr>
        <w:t>whether</w:t>
      </w:r>
      <w:r w:rsidR="00331C24" w:rsidRPr="00C0765A">
        <w:rPr>
          <w:lang w:val="en-US"/>
        </w:rPr>
        <w:t xml:space="preserve"> </w:t>
      </w:r>
      <w:proofErr w:type="spellStart"/>
      <w:r w:rsidR="00331C24" w:rsidRPr="00C0765A">
        <w:rPr>
          <w:lang w:val="en-US"/>
        </w:rPr>
        <w:t>taVNS</w:t>
      </w:r>
      <w:proofErr w:type="spellEnd"/>
      <w:r w:rsidR="0051647F" w:rsidRPr="00C0765A">
        <w:rPr>
          <w:lang w:val="en-US"/>
        </w:rPr>
        <w:t xml:space="preserve"> </w:t>
      </w:r>
      <w:r w:rsidR="009C5174" w:rsidRPr="00C0765A">
        <w:rPr>
          <w:lang w:val="en-US"/>
        </w:rPr>
        <w:t>enhance</w:t>
      </w:r>
      <w:r w:rsidR="0051647F" w:rsidRPr="00C0765A">
        <w:rPr>
          <w:lang w:val="en-US"/>
        </w:rPr>
        <w:t>s</w:t>
      </w:r>
      <w:r w:rsidR="00331C24" w:rsidRPr="00C0765A">
        <w:rPr>
          <w:lang w:val="en-US"/>
        </w:rPr>
        <w:t xml:space="preserve"> </w:t>
      </w:r>
      <w:r w:rsidR="0051647F" w:rsidRPr="00C0765A">
        <w:rPr>
          <w:lang w:val="en-US"/>
        </w:rPr>
        <w:t xml:space="preserve">standard </w:t>
      </w:r>
      <w:r w:rsidRPr="00C0765A">
        <w:rPr>
          <w:lang w:val="en-US"/>
        </w:rPr>
        <w:t xml:space="preserve">NA markers </w:t>
      </w:r>
      <w:r w:rsidR="0051647F" w:rsidRPr="00C0765A">
        <w:rPr>
          <w:lang w:val="en-US"/>
        </w:rPr>
        <w:t>along with</w:t>
      </w:r>
      <w:r w:rsidRPr="00C0765A">
        <w:rPr>
          <w:lang w:val="en-US"/>
        </w:rPr>
        <w:t xml:space="preserve"> </w:t>
      </w:r>
      <w:r w:rsidR="0084232B" w:rsidRPr="00C0765A">
        <w:rPr>
          <w:lang w:val="en-US"/>
        </w:rPr>
        <w:t>neural</w:t>
      </w:r>
      <w:r w:rsidRPr="00C0765A">
        <w:rPr>
          <w:lang w:val="en-US"/>
        </w:rPr>
        <w:t xml:space="preserve"> processing </w:t>
      </w:r>
      <w:r w:rsidR="007E781D" w:rsidRPr="00C0765A">
        <w:rPr>
          <w:lang w:val="en-US"/>
        </w:rPr>
        <w:t>in</w:t>
      </w:r>
      <w:r w:rsidRPr="00C0765A">
        <w:rPr>
          <w:lang w:val="en-US"/>
        </w:rPr>
        <w:t xml:space="preserve"> three </w:t>
      </w:r>
      <w:r w:rsidR="0084232B" w:rsidRPr="00C0765A">
        <w:rPr>
          <w:lang w:val="en-US"/>
        </w:rPr>
        <w:t xml:space="preserve">sensory </w:t>
      </w:r>
      <w:r w:rsidRPr="00C0765A">
        <w:rPr>
          <w:lang w:val="en-US"/>
        </w:rPr>
        <w:t xml:space="preserve">modalities (auditory, respiratory, and somatosensory). In a two-day Sham-controlled crossover protocol, 45 healthy adults received </w:t>
      </w:r>
      <w:proofErr w:type="spellStart"/>
      <w:r w:rsidRPr="00C0765A">
        <w:rPr>
          <w:lang w:val="en-US"/>
        </w:rPr>
        <w:t>taVNS</w:t>
      </w:r>
      <w:proofErr w:type="spellEnd"/>
      <w:r w:rsidRPr="00C0765A">
        <w:rPr>
          <w:lang w:val="en-US"/>
        </w:rPr>
        <w:t xml:space="preserve"> at the </w:t>
      </w:r>
      <w:r w:rsidRPr="00C0765A">
        <w:rPr>
          <w:i/>
          <w:iCs/>
          <w:lang w:val="en-US"/>
        </w:rPr>
        <w:t>cymba concha</w:t>
      </w:r>
      <w:r w:rsidRPr="00C0765A">
        <w:rPr>
          <w:lang w:val="en-US"/>
        </w:rPr>
        <w:t xml:space="preserve"> and Sham stimulation at the earlobe. </w:t>
      </w:r>
      <w:r w:rsidR="0084232B" w:rsidRPr="00C0765A">
        <w:rPr>
          <w:lang w:val="en-US"/>
        </w:rPr>
        <w:t>During stimulation, participants experienced paired auditory clicks, inspiratory occlusions and electrocutaneous stimuli</w:t>
      </w:r>
      <w:r w:rsidR="00451D6D" w:rsidRPr="00C0765A">
        <w:rPr>
          <w:lang w:val="en-US"/>
        </w:rPr>
        <w:t xml:space="preserve">, </w:t>
      </w:r>
      <w:r w:rsidR="0084232B" w:rsidRPr="00C0765A">
        <w:rPr>
          <w:lang w:val="en-US"/>
        </w:rPr>
        <w:t xml:space="preserve">while </w:t>
      </w:r>
      <w:r w:rsidR="00AC5238" w:rsidRPr="00C0765A">
        <w:rPr>
          <w:lang w:val="en-US"/>
        </w:rPr>
        <w:t>EEG</w:t>
      </w:r>
      <w:r w:rsidR="0084232B" w:rsidRPr="00C0765A">
        <w:rPr>
          <w:lang w:val="en-US"/>
        </w:rPr>
        <w:t xml:space="preserve"> was </w:t>
      </w:r>
      <w:r w:rsidR="00E23184" w:rsidRPr="00C0765A">
        <w:rPr>
          <w:lang w:val="en-US"/>
        </w:rPr>
        <w:t>acquired</w:t>
      </w:r>
      <w:r w:rsidR="0084232B" w:rsidRPr="00C0765A">
        <w:rPr>
          <w:lang w:val="en-US"/>
        </w:rPr>
        <w:t>. S</w:t>
      </w:r>
      <w:r w:rsidRPr="00C0765A">
        <w:rPr>
          <w:lang w:val="en-US"/>
        </w:rPr>
        <w:t>alivary alpha-amylase (</w:t>
      </w:r>
      <w:proofErr w:type="spellStart"/>
      <w:r w:rsidRPr="00C0765A">
        <w:rPr>
          <w:lang w:val="en-US"/>
        </w:rPr>
        <w:t>sAA</w:t>
      </w:r>
      <w:proofErr w:type="spellEnd"/>
      <w:r w:rsidRPr="00C0765A">
        <w:rPr>
          <w:lang w:val="en-US"/>
        </w:rPr>
        <w:t xml:space="preserve">) and </w:t>
      </w:r>
      <w:r w:rsidR="00156D6E" w:rsidRPr="00C0765A">
        <w:rPr>
          <w:lang w:val="en-US"/>
        </w:rPr>
        <w:t>subjective</w:t>
      </w:r>
      <w:r w:rsidR="00D70742" w:rsidRPr="00C0765A">
        <w:rPr>
          <w:lang w:val="en-US"/>
        </w:rPr>
        <w:t xml:space="preserve"> </w:t>
      </w:r>
      <w:r w:rsidR="00156D6E" w:rsidRPr="00C0765A">
        <w:rPr>
          <w:lang w:val="en-US"/>
        </w:rPr>
        <w:t>experienced arousal</w:t>
      </w:r>
      <w:r w:rsidRPr="00C0765A">
        <w:rPr>
          <w:lang w:val="en-US"/>
        </w:rPr>
        <w:t xml:space="preserve"> were </w:t>
      </w:r>
      <w:r w:rsidR="0084232B" w:rsidRPr="00C0765A">
        <w:rPr>
          <w:lang w:val="en-US"/>
        </w:rPr>
        <w:t>measured</w:t>
      </w:r>
      <w:r w:rsidRPr="00C0765A">
        <w:rPr>
          <w:lang w:val="en-US"/>
        </w:rPr>
        <w:t xml:space="preserve"> </w:t>
      </w:r>
      <w:r w:rsidR="001011E2" w:rsidRPr="00C0765A">
        <w:rPr>
          <w:lang w:val="en-US"/>
        </w:rPr>
        <w:t xml:space="preserve">at </w:t>
      </w:r>
      <w:r w:rsidRPr="00C0765A">
        <w:rPr>
          <w:lang w:val="en-US"/>
        </w:rPr>
        <w:t>pre-</w:t>
      </w:r>
      <w:r w:rsidR="001011E2" w:rsidRPr="00C0765A">
        <w:rPr>
          <w:lang w:val="en-US"/>
        </w:rPr>
        <w:t>/</w:t>
      </w:r>
      <w:r w:rsidR="00BB6082" w:rsidRPr="00C0765A">
        <w:rPr>
          <w:lang w:val="en-US"/>
        </w:rPr>
        <w:t>end</w:t>
      </w:r>
      <w:r w:rsidRPr="00C0765A">
        <w:rPr>
          <w:lang w:val="en-US"/>
        </w:rPr>
        <w:t xml:space="preserve">-stimulation. Resting-state EEG was measured </w:t>
      </w:r>
      <w:r w:rsidR="00BB6082" w:rsidRPr="00C0765A">
        <w:rPr>
          <w:lang w:val="en-US"/>
        </w:rPr>
        <w:t>pre-</w:t>
      </w:r>
      <w:r w:rsidR="001011E2" w:rsidRPr="00C0765A">
        <w:rPr>
          <w:lang w:val="en-US"/>
        </w:rPr>
        <w:t>/</w:t>
      </w:r>
      <w:r w:rsidR="00BB6082" w:rsidRPr="00C0765A">
        <w:rPr>
          <w:lang w:val="en-US"/>
        </w:rPr>
        <w:t xml:space="preserve">post-stimulation </w:t>
      </w:r>
      <w:r w:rsidRPr="00C0765A">
        <w:rPr>
          <w:lang w:val="en-US"/>
        </w:rPr>
        <w:t xml:space="preserve">to assess alpha-band (8-13Hz) </w:t>
      </w:r>
      <w:r w:rsidR="00451D6D" w:rsidRPr="00C0765A">
        <w:rPr>
          <w:lang w:val="en-US"/>
        </w:rPr>
        <w:t xml:space="preserve">oscillation </w:t>
      </w:r>
      <w:r w:rsidRPr="00C0765A">
        <w:rPr>
          <w:lang w:val="en-US"/>
        </w:rPr>
        <w:t>power</w:t>
      </w:r>
      <w:r w:rsidR="00A41426" w:rsidRPr="00C0765A">
        <w:rPr>
          <w:lang w:val="en-US"/>
        </w:rPr>
        <w:t>, and p</w:t>
      </w:r>
      <w:r w:rsidRPr="00C0765A">
        <w:rPr>
          <w:lang w:val="en-US"/>
        </w:rPr>
        <w:t>articipants rated the intensity and unpleasantness of</w:t>
      </w:r>
      <w:r w:rsidR="00A41426" w:rsidRPr="00C0765A">
        <w:rPr>
          <w:lang w:val="en-US"/>
        </w:rPr>
        <w:t xml:space="preserve"> all</w:t>
      </w:r>
      <w:r w:rsidRPr="00C0765A">
        <w:rPr>
          <w:lang w:val="en-US"/>
        </w:rPr>
        <w:t xml:space="preserve"> stimuli. Auditory</w:t>
      </w:r>
      <w:r w:rsidR="0046143C" w:rsidRPr="00C0765A">
        <w:rPr>
          <w:lang w:val="en-US"/>
        </w:rPr>
        <w:t>-</w:t>
      </w:r>
      <w:r w:rsidRPr="00C0765A">
        <w:rPr>
          <w:lang w:val="en-US"/>
        </w:rPr>
        <w:t>, respiratory-related</w:t>
      </w:r>
      <w:r w:rsidR="0046143C" w:rsidRPr="00C0765A">
        <w:rPr>
          <w:lang w:val="en-US"/>
        </w:rPr>
        <w:t>-</w:t>
      </w:r>
      <w:r w:rsidRPr="00C0765A">
        <w:rPr>
          <w:lang w:val="en-US"/>
        </w:rPr>
        <w:t xml:space="preserve">, and somatosensory evoked potentials were measured, </w:t>
      </w:r>
      <w:r w:rsidR="00BB6082" w:rsidRPr="00C0765A">
        <w:rPr>
          <w:lang w:val="en-US"/>
        </w:rPr>
        <w:t>specifically</w:t>
      </w:r>
      <w:r w:rsidRPr="00C0765A">
        <w:rPr>
          <w:lang w:val="en-US"/>
        </w:rPr>
        <w:t xml:space="preserve"> P50, N1, and P2 components, </w:t>
      </w:r>
      <w:r w:rsidR="00A30858" w:rsidRPr="00C0765A">
        <w:rPr>
          <w:lang w:val="en-US"/>
        </w:rPr>
        <w:t>as well as the P50</w:t>
      </w:r>
      <w:r w:rsidR="000D3146" w:rsidRPr="00C0765A">
        <w:rPr>
          <w:lang w:val="en-US"/>
        </w:rPr>
        <w:t>/</w:t>
      </w:r>
      <w:r w:rsidR="00A30858" w:rsidRPr="00C0765A">
        <w:rPr>
          <w:lang w:val="en-US"/>
        </w:rPr>
        <w:t xml:space="preserve">N1 amplitude difference of the second </w:t>
      </w:r>
      <w:r w:rsidR="00402891" w:rsidRPr="00C0765A">
        <w:rPr>
          <w:lang w:val="en-US"/>
        </w:rPr>
        <w:t>and</w:t>
      </w:r>
      <w:r w:rsidR="00A30858" w:rsidRPr="00C0765A">
        <w:rPr>
          <w:lang w:val="en-US"/>
        </w:rPr>
        <w:t xml:space="preserve"> the first </w:t>
      </w:r>
      <w:r w:rsidR="00BB6082" w:rsidRPr="00C0765A">
        <w:rPr>
          <w:lang w:val="en-US"/>
        </w:rPr>
        <w:t>stimulus</w:t>
      </w:r>
      <w:r w:rsidR="00451D6D" w:rsidRPr="00C0765A">
        <w:rPr>
          <w:lang w:val="en-US"/>
        </w:rPr>
        <w:t xml:space="preserve"> in </w:t>
      </w:r>
      <w:r w:rsidR="0035614C" w:rsidRPr="00C0765A">
        <w:rPr>
          <w:lang w:val="en-US"/>
        </w:rPr>
        <w:t>the pair</w:t>
      </w:r>
      <w:r w:rsidR="00A30858" w:rsidRPr="00C0765A">
        <w:rPr>
          <w:lang w:val="en-US"/>
        </w:rPr>
        <w:t xml:space="preserve"> (neural gating</w:t>
      </w:r>
      <w:r w:rsidR="003B6B2B" w:rsidRPr="00C0765A">
        <w:rPr>
          <w:lang w:val="en-US"/>
        </w:rPr>
        <w:t>; S2-S1</w:t>
      </w:r>
      <w:r w:rsidR="00A30858" w:rsidRPr="00C0765A">
        <w:rPr>
          <w:lang w:val="en-US"/>
        </w:rPr>
        <w:t>)</w:t>
      </w:r>
      <w:r w:rsidRPr="00C0765A">
        <w:rPr>
          <w:lang w:val="en-US"/>
        </w:rPr>
        <w:t xml:space="preserve">. Although no </w:t>
      </w:r>
      <w:r w:rsidR="00DE5FFB" w:rsidRPr="00C0765A">
        <w:rPr>
          <w:lang w:val="en-US"/>
        </w:rPr>
        <w:t>effects</w:t>
      </w:r>
      <w:r w:rsidRPr="00C0765A">
        <w:rPr>
          <w:lang w:val="en-US"/>
        </w:rPr>
        <w:t xml:space="preserve"> in P50 </w:t>
      </w:r>
      <w:r w:rsidR="000D3146" w:rsidRPr="00C0765A">
        <w:rPr>
          <w:lang w:val="en-US"/>
        </w:rPr>
        <w:t>or</w:t>
      </w:r>
      <w:r w:rsidRPr="00C0765A">
        <w:rPr>
          <w:lang w:val="en-US"/>
        </w:rPr>
        <w:t xml:space="preserve"> N1 amplitudes were observed, P2 amplitudes in auditory and somatosensory blocks increased </w:t>
      </w:r>
      <w:r w:rsidR="000D3146" w:rsidRPr="00C0765A">
        <w:rPr>
          <w:lang w:val="en-US"/>
        </w:rPr>
        <w:t>during</w:t>
      </w:r>
      <w:r w:rsidRPr="00C0765A">
        <w:rPr>
          <w:lang w:val="en-US"/>
        </w:rPr>
        <w:t xml:space="preserve"> </w:t>
      </w:r>
      <w:proofErr w:type="spellStart"/>
      <w:r w:rsidRPr="00C0765A">
        <w:rPr>
          <w:lang w:val="en-US"/>
        </w:rPr>
        <w:t>taVNS</w:t>
      </w:r>
      <w:proofErr w:type="spellEnd"/>
      <w:r w:rsidRPr="00C0765A">
        <w:rPr>
          <w:lang w:val="en-US"/>
        </w:rPr>
        <w:t xml:space="preserve">. </w:t>
      </w:r>
      <w:r w:rsidR="002B0C60" w:rsidRPr="00C0765A">
        <w:rPr>
          <w:lang w:val="en-US"/>
        </w:rPr>
        <w:t>Self-reported a</w:t>
      </w:r>
      <w:r w:rsidRPr="00C0765A">
        <w:rPr>
          <w:lang w:val="en-US"/>
        </w:rPr>
        <w:t xml:space="preserve">rousal increased </w:t>
      </w:r>
      <w:r w:rsidR="00DE5FFB" w:rsidRPr="00C0765A">
        <w:rPr>
          <w:lang w:val="en-US"/>
        </w:rPr>
        <w:t xml:space="preserve">in the </w:t>
      </w:r>
      <w:proofErr w:type="spellStart"/>
      <w:r w:rsidR="00DE5FFB" w:rsidRPr="00C0765A">
        <w:rPr>
          <w:lang w:val="en-US"/>
        </w:rPr>
        <w:t>taVNS</w:t>
      </w:r>
      <w:proofErr w:type="spellEnd"/>
      <w:r w:rsidR="00DE5FFB" w:rsidRPr="00C0765A">
        <w:rPr>
          <w:lang w:val="en-US"/>
        </w:rPr>
        <w:t xml:space="preserve"> condition</w:t>
      </w:r>
      <w:r w:rsidRPr="00C0765A">
        <w:rPr>
          <w:lang w:val="en-US"/>
        </w:rPr>
        <w:t xml:space="preserve">, </w:t>
      </w:r>
      <w:r w:rsidR="000D2453" w:rsidRPr="00C0765A">
        <w:rPr>
          <w:lang w:val="en-US"/>
        </w:rPr>
        <w:t>with</w:t>
      </w:r>
      <w:r w:rsidRPr="00C0765A">
        <w:rPr>
          <w:lang w:val="en-US"/>
        </w:rPr>
        <w:t xml:space="preserve"> no effects on neural gating, </w:t>
      </w:r>
      <w:proofErr w:type="spellStart"/>
      <w:r w:rsidRPr="00C0765A">
        <w:rPr>
          <w:lang w:val="en-US"/>
        </w:rPr>
        <w:t>sAA</w:t>
      </w:r>
      <w:proofErr w:type="spellEnd"/>
      <w:r w:rsidRPr="00C0765A">
        <w:rPr>
          <w:lang w:val="en-US"/>
        </w:rPr>
        <w:t xml:space="preserve"> concentration, or resting-state alpha </w:t>
      </w:r>
      <w:r w:rsidR="003C486A" w:rsidRPr="00C0765A">
        <w:rPr>
          <w:lang w:val="en-US"/>
        </w:rPr>
        <w:t>power</w:t>
      </w:r>
      <w:r w:rsidRPr="00C0765A">
        <w:rPr>
          <w:lang w:val="en-US"/>
        </w:rPr>
        <w:t xml:space="preserve">. </w:t>
      </w:r>
      <w:proofErr w:type="spellStart"/>
      <w:r w:rsidRPr="00C0765A">
        <w:rPr>
          <w:lang w:val="en-US"/>
        </w:rPr>
        <w:t>taVNS</w:t>
      </w:r>
      <w:proofErr w:type="spellEnd"/>
      <w:r w:rsidRPr="00C0765A">
        <w:rPr>
          <w:lang w:val="en-US"/>
        </w:rPr>
        <w:t xml:space="preserve"> had no effect on </w:t>
      </w:r>
      <w:r w:rsidR="00C65682" w:rsidRPr="00C0765A">
        <w:rPr>
          <w:lang w:val="en-US"/>
        </w:rPr>
        <w:t>self-reported</w:t>
      </w:r>
      <w:r w:rsidR="00FB465C" w:rsidRPr="00C0765A">
        <w:rPr>
          <w:lang w:val="en-US"/>
        </w:rPr>
        <w:t xml:space="preserve"> </w:t>
      </w:r>
      <w:r w:rsidR="00C65682" w:rsidRPr="00C0765A">
        <w:rPr>
          <w:lang w:val="en-US"/>
        </w:rPr>
        <w:t>intensity/unpleasantness</w:t>
      </w:r>
      <w:r w:rsidR="00FB465C" w:rsidRPr="00C0765A">
        <w:rPr>
          <w:lang w:val="en-US"/>
        </w:rPr>
        <w:t xml:space="preserve"> of</w:t>
      </w:r>
      <w:r w:rsidRPr="00C0765A">
        <w:rPr>
          <w:lang w:val="en-US"/>
        </w:rPr>
        <w:t xml:space="preserve"> stimuli. </w:t>
      </w:r>
      <w:r w:rsidR="001F07C4" w:rsidRPr="00C0765A">
        <w:rPr>
          <w:lang w:val="en-US"/>
        </w:rPr>
        <w:t>These results highlight certain</w:t>
      </w:r>
      <w:r w:rsidR="00403365" w:rsidRPr="00C0765A">
        <w:rPr>
          <w:lang w:val="en-US"/>
        </w:rPr>
        <w:t xml:space="preserve"> limitations posed by combining </w:t>
      </w:r>
      <w:proofErr w:type="spellStart"/>
      <w:r w:rsidR="00403365" w:rsidRPr="00C0765A">
        <w:rPr>
          <w:lang w:val="en-US"/>
        </w:rPr>
        <w:t>taVNS</w:t>
      </w:r>
      <w:proofErr w:type="spellEnd"/>
      <w:r w:rsidR="00403365" w:rsidRPr="00C0765A">
        <w:rPr>
          <w:lang w:val="en-US"/>
        </w:rPr>
        <w:t xml:space="preserve"> and EEG, and underline the need for </w:t>
      </w:r>
      <w:r w:rsidR="002E1F5A" w:rsidRPr="00C0765A">
        <w:rPr>
          <w:lang w:val="en-US"/>
        </w:rPr>
        <w:t>further</w:t>
      </w:r>
      <w:r w:rsidR="00403365" w:rsidRPr="00C0765A">
        <w:rPr>
          <w:lang w:val="en-US"/>
        </w:rPr>
        <w:t xml:space="preserve"> mechanistic</w:t>
      </w:r>
      <w:r w:rsidR="0035614C" w:rsidRPr="00C0765A">
        <w:rPr>
          <w:lang w:val="en-US"/>
        </w:rPr>
        <w:t xml:space="preserve"> and clinical</w:t>
      </w:r>
      <w:r w:rsidR="00403365" w:rsidRPr="00C0765A">
        <w:rPr>
          <w:lang w:val="en-US"/>
        </w:rPr>
        <w:t xml:space="preserve"> </w:t>
      </w:r>
      <w:proofErr w:type="spellStart"/>
      <w:r w:rsidR="00403365" w:rsidRPr="00C0765A">
        <w:rPr>
          <w:lang w:val="en-US"/>
        </w:rPr>
        <w:t>taVNS</w:t>
      </w:r>
      <w:proofErr w:type="spellEnd"/>
      <w:r w:rsidR="00403365" w:rsidRPr="00C0765A">
        <w:rPr>
          <w:lang w:val="en-US"/>
        </w:rPr>
        <w:t xml:space="preserve"> researc</w:t>
      </w:r>
      <w:r w:rsidR="002E1F5A" w:rsidRPr="00C0765A">
        <w:rPr>
          <w:lang w:val="en-US"/>
        </w:rPr>
        <w:t>h</w:t>
      </w:r>
      <w:r w:rsidR="00403365" w:rsidRPr="00C0765A">
        <w:rPr>
          <w:lang w:val="en-US"/>
        </w:rPr>
        <w:t>.</w:t>
      </w:r>
    </w:p>
    <w:p w14:paraId="7401A64A" w14:textId="77777777" w:rsidR="00403365" w:rsidRPr="00C0765A" w:rsidRDefault="00403365" w:rsidP="00403365">
      <w:pPr>
        <w:rPr>
          <w:lang w:val="en-US"/>
        </w:rPr>
      </w:pPr>
    </w:p>
    <w:p w14:paraId="0A0BC1C6" w14:textId="1AFE657E" w:rsidR="009769A9" w:rsidRPr="00C0765A" w:rsidRDefault="00375F66" w:rsidP="009769A9">
      <w:pPr>
        <w:rPr>
          <w:lang w:val="en-US"/>
        </w:rPr>
      </w:pPr>
      <w:r w:rsidRPr="00C0765A">
        <w:rPr>
          <w:i/>
          <w:iCs/>
          <w:lang w:val="en-US"/>
        </w:rPr>
        <w:t xml:space="preserve">Keywords: </w:t>
      </w:r>
      <w:r w:rsidRPr="00C0765A">
        <w:rPr>
          <w:lang w:val="en-US"/>
        </w:rPr>
        <w:t xml:space="preserve">transcutaneous </w:t>
      </w:r>
      <w:proofErr w:type="spellStart"/>
      <w:r w:rsidRPr="00C0765A">
        <w:rPr>
          <w:lang w:val="en-US"/>
        </w:rPr>
        <w:t>vagus</w:t>
      </w:r>
      <w:proofErr w:type="spellEnd"/>
      <w:r w:rsidRPr="00C0765A">
        <w:rPr>
          <w:lang w:val="en-US"/>
        </w:rPr>
        <w:t xml:space="preserve"> nerve stimulation, interoception, </w:t>
      </w:r>
      <w:r w:rsidR="00D54ECD" w:rsidRPr="00C0765A">
        <w:rPr>
          <w:lang w:val="en-US"/>
        </w:rPr>
        <w:t>attention, EEG</w:t>
      </w:r>
      <w:r w:rsidR="007C2BBE" w:rsidRPr="00C0765A">
        <w:rPr>
          <w:lang w:val="en-US"/>
        </w:rPr>
        <w:t>, event-related potentials</w:t>
      </w:r>
    </w:p>
    <w:p w14:paraId="2D3293B8" w14:textId="78C6B1F9" w:rsidR="00415340" w:rsidRPr="00C0765A" w:rsidRDefault="00415340">
      <w:pPr>
        <w:spacing w:after="160" w:line="259" w:lineRule="auto"/>
        <w:ind w:firstLine="0"/>
        <w:jc w:val="left"/>
        <w:rPr>
          <w:sz w:val="20"/>
          <w:szCs w:val="20"/>
          <w:lang w:val="en-US"/>
        </w:rPr>
      </w:pPr>
      <w:r w:rsidRPr="00C0765A">
        <w:rPr>
          <w:sz w:val="20"/>
          <w:szCs w:val="20"/>
          <w:lang w:val="en-US"/>
        </w:rPr>
        <w:br w:type="page"/>
      </w:r>
    </w:p>
    <w:p w14:paraId="05DDC257" w14:textId="0999D8E4" w:rsidR="007B17C5" w:rsidRPr="00C0765A" w:rsidRDefault="00517A40" w:rsidP="00517A40">
      <w:pPr>
        <w:pStyle w:val="Heading1"/>
        <w:rPr>
          <w:lang w:val="en-US"/>
        </w:rPr>
      </w:pPr>
      <w:bookmarkStart w:id="0" w:name="_1._Introduction"/>
      <w:bookmarkEnd w:id="0"/>
      <w:r w:rsidRPr="00C0765A">
        <w:rPr>
          <w:lang w:val="en-US"/>
        </w:rPr>
        <w:lastRenderedPageBreak/>
        <w:t xml:space="preserve">1. </w:t>
      </w:r>
      <w:r w:rsidR="007B17C5" w:rsidRPr="00C0765A">
        <w:rPr>
          <w:lang w:val="en-US"/>
        </w:rPr>
        <w:t>Introduction</w:t>
      </w:r>
    </w:p>
    <w:p w14:paraId="33D88B75" w14:textId="147CC9A4" w:rsidR="00822853" w:rsidRPr="00C0765A" w:rsidRDefault="00E16593" w:rsidP="00517A40">
      <w:pPr>
        <w:rPr>
          <w:lang w:val="en-US"/>
        </w:rPr>
      </w:pPr>
      <w:r w:rsidRPr="00C0765A">
        <w:rPr>
          <w:lang w:val="en-US"/>
        </w:rPr>
        <w:t xml:space="preserve">The </w:t>
      </w:r>
      <w:proofErr w:type="spellStart"/>
      <w:r w:rsidRPr="00C0765A">
        <w:rPr>
          <w:lang w:val="en-US"/>
        </w:rPr>
        <w:t>v</w:t>
      </w:r>
      <w:r w:rsidR="005E595D" w:rsidRPr="00C0765A">
        <w:rPr>
          <w:lang w:val="en-US"/>
        </w:rPr>
        <w:t>agus</w:t>
      </w:r>
      <w:proofErr w:type="spellEnd"/>
      <w:r w:rsidR="005E595D" w:rsidRPr="00C0765A">
        <w:rPr>
          <w:lang w:val="en-US"/>
        </w:rPr>
        <w:t xml:space="preserve"> nerve, named </w:t>
      </w:r>
      <w:r w:rsidR="00074B95" w:rsidRPr="00C0765A">
        <w:rPr>
          <w:lang w:val="en-US"/>
        </w:rPr>
        <w:t>for</w:t>
      </w:r>
      <w:r w:rsidR="005E595D" w:rsidRPr="00C0765A">
        <w:rPr>
          <w:lang w:val="en-US"/>
        </w:rPr>
        <w:t xml:space="preserve"> the </w:t>
      </w:r>
      <w:r w:rsidR="00186651" w:rsidRPr="00C0765A">
        <w:rPr>
          <w:lang w:val="en-US"/>
        </w:rPr>
        <w:t xml:space="preserve">Latin verb </w:t>
      </w:r>
      <w:proofErr w:type="spellStart"/>
      <w:r w:rsidR="00186651" w:rsidRPr="00C0765A">
        <w:rPr>
          <w:i/>
          <w:iCs/>
          <w:lang w:val="en-US"/>
        </w:rPr>
        <w:t>vagar</w:t>
      </w:r>
      <w:r w:rsidR="00CE50E8" w:rsidRPr="00C0765A">
        <w:rPr>
          <w:i/>
          <w:iCs/>
          <w:lang w:val="en-US"/>
        </w:rPr>
        <w:t>i</w:t>
      </w:r>
      <w:proofErr w:type="spellEnd"/>
      <w:r w:rsidR="00186651" w:rsidRPr="00C0765A">
        <w:rPr>
          <w:i/>
          <w:iCs/>
          <w:lang w:val="en-US"/>
        </w:rPr>
        <w:t xml:space="preserve">, </w:t>
      </w:r>
      <w:r w:rsidR="00186651" w:rsidRPr="00C0765A">
        <w:rPr>
          <w:lang w:val="en-US"/>
        </w:rPr>
        <w:t xml:space="preserve">to wander, is the longest cranial nerve, </w:t>
      </w:r>
      <w:r w:rsidR="001C00D0" w:rsidRPr="00C0765A">
        <w:rPr>
          <w:lang w:val="en-US"/>
        </w:rPr>
        <w:t>with</w:t>
      </w:r>
      <w:r w:rsidR="004B565F" w:rsidRPr="00C0765A">
        <w:rPr>
          <w:lang w:val="en-US"/>
        </w:rPr>
        <w:t xml:space="preserve"> afferent and efferent</w:t>
      </w:r>
      <w:r w:rsidR="001C00D0" w:rsidRPr="00C0765A">
        <w:rPr>
          <w:lang w:val="en-US"/>
        </w:rPr>
        <w:t xml:space="preserve"> branches</w:t>
      </w:r>
      <w:r w:rsidR="004B565F" w:rsidRPr="00C0765A">
        <w:rPr>
          <w:lang w:val="en-US"/>
        </w:rPr>
        <w:t xml:space="preserve"> envelop</w:t>
      </w:r>
      <w:r w:rsidR="001C00D0" w:rsidRPr="00C0765A">
        <w:rPr>
          <w:lang w:val="en-US"/>
        </w:rPr>
        <w:t>ing</w:t>
      </w:r>
      <w:r w:rsidR="004B565F" w:rsidRPr="00C0765A">
        <w:rPr>
          <w:lang w:val="en-US"/>
        </w:rPr>
        <w:t xml:space="preserve"> the </w:t>
      </w:r>
      <w:r w:rsidR="0099179F" w:rsidRPr="00C0765A">
        <w:rPr>
          <w:lang w:val="en-US"/>
        </w:rPr>
        <w:t>abdominal viscera, as well as</w:t>
      </w:r>
      <w:r w:rsidR="00FF7482" w:rsidRPr="00C0765A">
        <w:rPr>
          <w:lang w:val="en-US"/>
        </w:rPr>
        <w:t xml:space="preserve"> lungs, heart, esophagus and trachea (Butt et al., 2020)</w:t>
      </w:r>
      <w:r w:rsidR="00F772A2" w:rsidRPr="00C0765A">
        <w:rPr>
          <w:lang w:val="en-US"/>
        </w:rPr>
        <w:t xml:space="preserve">. </w:t>
      </w:r>
      <w:r w:rsidR="00C77740" w:rsidRPr="00C0765A">
        <w:rPr>
          <w:lang w:val="en-US"/>
        </w:rPr>
        <w:t xml:space="preserve">The </w:t>
      </w:r>
      <w:proofErr w:type="spellStart"/>
      <w:r w:rsidR="00C77740" w:rsidRPr="00C0765A">
        <w:rPr>
          <w:lang w:val="en-US"/>
        </w:rPr>
        <w:t>v</w:t>
      </w:r>
      <w:r w:rsidR="001C00D0" w:rsidRPr="00C0765A">
        <w:rPr>
          <w:lang w:val="en-US"/>
        </w:rPr>
        <w:t>agus</w:t>
      </w:r>
      <w:proofErr w:type="spellEnd"/>
      <w:r w:rsidR="001C00D0" w:rsidRPr="00C0765A">
        <w:rPr>
          <w:lang w:val="en-US"/>
        </w:rPr>
        <w:t xml:space="preserve"> nerve</w:t>
      </w:r>
      <w:r w:rsidR="00F772A2" w:rsidRPr="00C0765A">
        <w:rPr>
          <w:lang w:val="en-US"/>
        </w:rPr>
        <w:t xml:space="preserve"> enters the </w:t>
      </w:r>
      <w:r w:rsidR="00A4384E" w:rsidRPr="00C0765A">
        <w:rPr>
          <w:lang w:val="en-US"/>
        </w:rPr>
        <w:t>brain</w:t>
      </w:r>
      <w:r w:rsidR="00BA6B3B" w:rsidRPr="00C0765A">
        <w:rPr>
          <w:lang w:val="en-US"/>
        </w:rPr>
        <w:t xml:space="preserve"> at the brainstem</w:t>
      </w:r>
      <w:r w:rsidR="00A4384E" w:rsidRPr="00C0765A">
        <w:rPr>
          <w:lang w:val="en-US"/>
        </w:rPr>
        <w:t>,</w:t>
      </w:r>
      <w:r w:rsidR="00BA6B3B" w:rsidRPr="00C0765A">
        <w:rPr>
          <w:lang w:val="en-US"/>
        </w:rPr>
        <w:t xml:space="preserve"> and its projections travel through the midbrain nuclei</w:t>
      </w:r>
      <w:r w:rsidR="001C00D0" w:rsidRPr="00C0765A">
        <w:rPr>
          <w:lang w:val="en-US"/>
        </w:rPr>
        <w:t xml:space="preserve">, including the </w:t>
      </w:r>
      <w:r w:rsidR="001C00D0" w:rsidRPr="00C0765A">
        <w:rPr>
          <w:i/>
          <w:iCs/>
          <w:lang w:val="en-US"/>
        </w:rPr>
        <w:t xml:space="preserve">nucleus tractus </w:t>
      </w:r>
      <w:proofErr w:type="spellStart"/>
      <w:r w:rsidR="001C00D0" w:rsidRPr="00C0765A">
        <w:rPr>
          <w:i/>
          <w:iCs/>
          <w:lang w:val="en-US"/>
        </w:rPr>
        <w:t>solitarii</w:t>
      </w:r>
      <w:proofErr w:type="spellEnd"/>
      <w:r w:rsidR="001C00D0" w:rsidRPr="00C0765A">
        <w:rPr>
          <w:lang w:val="en-US"/>
        </w:rPr>
        <w:t xml:space="preserve"> (NTS) and </w:t>
      </w:r>
      <w:r w:rsidR="00DA3D32" w:rsidRPr="00C0765A">
        <w:rPr>
          <w:i/>
          <w:iCs/>
          <w:lang w:val="en-US"/>
        </w:rPr>
        <w:t>locus coeruleus</w:t>
      </w:r>
      <w:r w:rsidR="00DA3D32" w:rsidRPr="00C0765A">
        <w:rPr>
          <w:lang w:val="en-US"/>
        </w:rPr>
        <w:t xml:space="preserve"> (LC)</w:t>
      </w:r>
      <w:r w:rsidR="001D047E" w:rsidRPr="00C0765A">
        <w:rPr>
          <w:lang w:val="en-US"/>
        </w:rPr>
        <w:t xml:space="preserve"> (Nonis et al., 2017)</w:t>
      </w:r>
      <w:r w:rsidR="00DA3D32" w:rsidRPr="00C0765A">
        <w:rPr>
          <w:lang w:val="en-US"/>
        </w:rPr>
        <w:t xml:space="preserve">. </w:t>
      </w:r>
      <w:r w:rsidR="00566B0E" w:rsidRPr="00C0765A">
        <w:rPr>
          <w:lang w:val="en-US"/>
        </w:rPr>
        <w:t xml:space="preserve">The primary role of the </w:t>
      </w:r>
      <w:proofErr w:type="spellStart"/>
      <w:r w:rsidR="00566B0E" w:rsidRPr="00C0765A">
        <w:rPr>
          <w:lang w:val="en-US"/>
        </w:rPr>
        <w:t>vagus</w:t>
      </w:r>
      <w:proofErr w:type="spellEnd"/>
      <w:r w:rsidR="00566B0E" w:rsidRPr="00C0765A">
        <w:rPr>
          <w:lang w:val="en-US"/>
        </w:rPr>
        <w:t xml:space="preserve"> nerve </w:t>
      </w:r>
      <w:r w:rsidR="002F405A" w:rsidRPr="00C0765A">
        <w:rPr>
          <w:lang w:val="en-US"/>
        </w:rPr>
        <w:t xml:space="preserve">within the </w:t>
      </w:r>
      <w:r w:rsidR="00EB025D" w:rsidRPr="00C0765A">
        <w:rPr>
          <w:lang w:val="en-US"/>
        </w:rPr>
        <w:t>autonomic</w:t>
      </w:r>
      <w:r w:rsidR="00DC4A8B" w:rsidRPr="00C0765A">
        <w:rPr>
          <w:lang w:val="en-US"/>
        </w:rPr>
        <w:t xml:space="preserve"> nervous system</w:t>
      </w:r>
      <w:r w:rsidR="00EB025D" w:rsidRPr="00C0765A">
        <w:rPr>
          <w:lang w:val="en-US"/>
        </w:rPr>
        <w:t xml:space="preserve"> (ANS)</w:t>
      </w:r>
      <w:r w:rsidR="00DC4A8B" w:rsidRPr="00C0765A">
        <w:rPr>
          <w:lang w:val="en-US"/>
        </w:rPr>
        <w:t xml:space="preserve"> is supporting homeostasis</w:t>
      </w:r>
      <w:r w:rsidR="007001B7" w:rsidRPr="00C0765A">
        <w:rPr>
          <w:lang w:val="en-US"/>
        </w:rPr>
        <w:t xml:space="preserve">, however </w:t>
      </w:r>
      <w:r w:rsidR="00B64E2C" w:rsidRPr="00C0765A">
        <w:rPr>
          <w:lang w:val="en-US"/>
        </w:rPr>
        <w:t>it also has a marked influence on brain function</w:t>
      </w:r>
      <w:r w:rsidR="00B41A5D" w:rsidRPr="00C0765A">
        <w:rPr>
          <w:lang w:val="en-US"/>
        </w:rPr>
        <w:t xml:space="preserve"> </w:t>
      </w:r>
      <w:r w:rsidR="00A02E33" w:rsidRPr="00C0765A">
        <w:rPr>
          <w:lang w:val="en-US"/>
        </w:rPr>
        <w:t>(Narayanan et al., 2002; Takahashi et al., 2020)</w:t>
      </w:r>
      <w:r w:rsidR="00B64E2C" w:rsidRPr="00C0765A">
        <w:rPr>
          <w:lang w:val="en-US"/>
        </w:rPr>
        <w:t xml:space="preserve">. </w:t>
      </w:r>
      <w:r w:rsidR="005B191E" w:rsidRPr="00C0765A">
        <w:rPr>
          <w:lang w:val="en-US"/>
        </w:rPr>
        <w:t xml:space="preserve">Invasive </w:t>
      </w:r>
      <w:proofErr w:type="spellStart"/>
      <w:r w:rsidR="005B191E" w:rsidRPr="00C0765A">
        <w:rPr>
          <w:lang w:val="en-US"/>
        </w:rPr>
        <w:t>v</w:t>
      </w:r>
      <w:r w:rsidR="00B609B8" w:rsidRPr="00C0765A">
        <w:rPr>
          <w:lang w:val="en-US"/>
        </w:rPr>
        <w:t>agus</w:t>
      </w:r>
      <w:proofErr w:type="spellEnd"/>
      <w:r w:rsidR="00DA3D32" w:rsidRPr="00C0765A">
        <w:rPr>
          <w:lang w:val="en-US"/>
        </w:rPr>
        <w:t xml:space="preserve"> nerve </w:t>
      </w:r>
      <w:r w:rsidR="00D5434C" w:rsidRPr="00C0765A">
        <w:rPr>
          <w:lang w:val="en-US"/>
        </w:rPr>
        <w:t>stimulation (</w:t>
      </w:r>
      <w:proofErr w:type="spellStart"/>
      <w:r w:rsidR="005B191E" w:rsidRPr="00C0765A">
        <w:rPr>
          <w:lang w:val="en-US"/>
        </w:rPr>
        <w:t>i</w:t>
      </w:r>
      <w:r w:rsidR="00D5434C" w:rsidRPr="00C0765A">
        <w:rPr>
          <w:lang w:val="en-US"/>
        </w:rPr>
        <w:t>VNS</w:t>
      </w:r>
      <w:proofErr w:type="spellEnd"/>
      <w:r w:rsidR="00D5434C" w:rsidRPr="00C0765A">
        <w:rPr>
          <w:lang w:val="en-US"/>
        </w:rPr>
        <w:t>)</w:t>
      </w:r>
      <w:r w:rsidR="00981E77" w:rsidRPr="00C0765A">
        <w:rPr>
          <w:lang w:val="en-US"/>
        </w:rPr>
        <w:t xml:space="preserve">, achieved via the implantation of electrodes </w:t>
      </w:r>
      <w:r w:rsidR="00F774A1" w:rsidRPr="00C0765A">
        <w:rPr>
          <w:lang w:val="en-US"/>
        </w:rPr>
        <w:t>at the</w:t>
      </w:r>
      <w:r w:rsidR="00A9447B" w:rsidRPr="00C0765A">
        <w:rPr>
          <w:lang w:val="en-US"/>
        </w:rPr>
        <w:t xml:space="preserve"> cervical </w:t>
      </w:r>
      <w:proofErr w:type="spellStart"/>
      <w:r w:rsidR="00A9447B" w:rsidRPr="00C0765A">
        <w:rPr>
          <w:lang w:val="en-US"/>
        </w:rPr>
        <w:t>vagus</w:t>
      </w:r>
      <w:proofErr w:type="spellEnd"/>
      <w:r w:rsidR="00A9447B" w:rsidRPr="00C0765A">
        <w:rPr>
          <w:lang w:val="en-US"/>
        </w:rPr>
        <w:t xml:space="preserve"> nerve,</w:t>
      </w:r>
      <w:r w:rsidR="00D5434C" w:rsidRPr="00C0765A">
        <w:rPr>
          <w:lang w:val="en-US"/>
        </w:rPr>
        <w:t xml:space="preserve"> has been used for decades as treatment for drug-resistant epilepsy </w:t>
      </w:r>
      <w:r w:rsidR="00945A90" w:rsidRPr="00C0765A">
        <w:rPr>
          <w:lang w:val="en-US"/>
        </w:rPr>
        <w:t xml:space="preserve">and depression </w:t>
      </w:r>
      <w:r w:rsidR="00694B1F" w:rsidRPr="00C0765A">
        <w:rPr>
          <w:lang w:val="en-US"/>
        </w:rPr>
        <w:t>(</w:t>
      </w:r>
      <w:proofErr w:type="spellStart"/>
      <w:r w:rsidR="00694B1F" w:rsidRPr="00C0765A">
        <w:rPr>
          <w:lang w:val="en-US"/>
        </w:rPr>
        <w:t>Beekwilder</w:t>
      </w:r>
      <w:proofErr w:type="spellEnd"/>
      <w:r w:rsidR="00694B1F" w:rsidRPr="00C0765A">
        <w:rPr>
          <w:lang w:val="en-US"/>
        </w:rPr>
        <w:t xml:space="preserve"> &amp; </w:t>
      </w:r>
      <w:proofErr w:type="spellStart"/>
      <w:r w:rsidR="00694B1F" w:rsidRPr="00C0765A">
        <w:rPr>
          <w:lang w:val="en-US"/>
        </w:rPr>
        <w:t>Beems</w:t>
      </w:r>
      <w:proofErr w:type="spellEnd"/>
      <w:r w:rsidR="00694B1F" w:rsidRPr="00C0765A">
        <w:rPr>
          <w:lang w:val="en-US"/>
        </w:rPr>
        <w:t>, 2010; Nemeroff et al., 2006; Rush et al., 2000)</w:t>
      </w:r>
    </w:p>
    <w:p w14:paraId="3D886209" w14:textId="5D998EF5" w:rsidR="007B17C5" w:rsidRPr="00C0765A" w:rsidRDefault="001861E8" w:rsidP="00517A40">
      <w:pPr>
        <w:rPr>
          <w:lang w:val="en-US"/>
        </w:rPr>
      </w:pPr>
      <w:r w:rsidRPr="00C0765A">
        <w:rPr>
          <w:lang w:val="en-US"/>
        </w:rPr>
        <w:t xml:space="preserve">Transcutaneous auricular </w:t>
      </w:r>
      <w:proofErr w:type="spellStart"/>
      <w:r w:rsidRPr="00C0765A">
        <w:rPr>
          <w:lang w:val="en-US"/>
        </w:rPr>
        <w:t>vagus</w:t>
      </w:r>
      <w:proofErr w:type="spellEnd"/>
      <w:r w:rsidRPr="00C0765A">
        <w:rPr>
          <w:lang w:val="en-US"/>
        </w:rPr>
        <w:t xml:space="preserve"> nerve stimulation</w:t>
      </w:r>
      <w:r w:rsidR="00DC313B" w:rsidRPr="00C0765A">
        <w:rPr>
          <w:lang w:val="en-US"/>
        </w:rPr>
        <w:t xml:space="preserve"> (</w:t>
      </w:r>
      <w:proofErr w:type="spellStart"/>
      <w:r w:rsidR="00DC313B" w:rsidRPr="00C0765A">
        <w:rPr>
          <w:lang w:val="en-US"/>
        </w:rPr>
        <w:t>taVNS</w:t>
      </w:r>
      <w:proofErr w:type="spellEnd"/>
      <w:r w:rsidR="00DC313B" w:rsidRPr="00C0765A">
        <w:rPr>
          <w:lang w:val="en-US"/>
        </w:rPr>
        <w:t xml:space="preserve">) is a non-invasive approach to VNS, targeting </w:t>
      </w:r>
      <w:r w:rsidR="0081746D" w:rsidRPr="00C0765A">
        <w:rPr>
          <w:lang w:val="en-US"/>
        </w:rPr>
        <w:t xml:space="preserve">the </w:t>
      </w:r>
      <w:proofErr w:type="spellStart"/>
      <w:r w:rsidR="0081746D" w:rsidRPr="00C0765A">
        <w:rPr>
          <w:lang w:val="en-US"/>
        </w:rPr>
        <w:t>vagus</w:t>
      </w:r>
      <w:proofErr w:type="spellEnd"/>
      <w:r w:rsidR="0081746D" w:rsidRPr="00C0765A">
        <w:rPr>
          <w:lang w:val="en-US"/>
        </w:rPr>
        <w:t xml:space="preserve"> nerve through its </w:t>
      </w:r>
      <w:r w:rsidR="005E2099" w:rsidRPr="00C0765A">
        <w:rPr>
          <w:lang w:val="en-US"/>
        </w:rPr>
        <w:t>afferent, a</w:t>
      </w:r>
      <w:r w:rsidR="00C839EC" w:rsidRPr="00C0765A">
        <w:rPr>
          <w:lang w:val="en-US"/>
        </w:rPr>
        <w:t>uricular branch</w:t>
      </w:r>
      <w:r w:rsidR="00822853" w:rsidRPr="00C0765A">
        <w:rPr>
          <w:lang w:val="en-US"/>
        </w:rPr>
        <w:t>,</w:t>
      </w:r>
      <w:r w:rsidR="00C839EC" w:rsidRPr="00C0765A">
        <w:rPr>
          <w:lang w:val="en-US"/>
        </w:rPr>
        <w:t xml:space="preserve"> via electrodes placed over the skin of the outer ear </w:t>
      </w:r>
      <w:r w:rsidR="00B5759A" w:rsidRPr="00C0765A">
        <w:rPr>
          <w:lang w:val="en-US"/>
        </w:rPr>
        <w:t>(Butt et al., 2020; Farmer et al., 2021)</w:t>
      </w:r>
      <w:r w:rsidR="002419B6" w:rsidRPr="00C0765A">
        <w:rPr>
          <w:lang w:val="en-US"/>
        </w:rPr>
        <w:t>.</w:t>
      </w:r>
      <w:r w:rsidR="00B41D92" w:rsidRPr="00C0765A">
        <w:rPr>
          <w:lang w:val="en-US"/>
        </w:rPr>
        <w:t xml:space="preserve"> </w:t>
      </w:r>
      <w:proofErr w:type="spellStart"/>
      <w:r w:rsidR="00B41D92" w:rsidRPr="00C0765A">
        <w:rPr>
          <w:lang w:val="en-US"/>
        </w:rPr>
        <w:t>taVNS</w:t>
      </w:r>
      <w:proofErr w:type="spellEnd"/>
      <w:r w:rsidR="00B36F4F" w:rsidRPr="00C0765A">
        <w:rPr>
          <w:lang w:val="en-US"/>
        </w:rPr>
        <w:t xml:space="preserve"> </w:t>
      </w:r>
      <w:r w:rsidR="00B41D92" w:rsidRPr="00C0765A">
        <w:rPr>
          <w:lang w:val="en-US"/>
        </w:rPr>
        <w:t>has been used therapeutically for the treatment of drug-resistant depression</w:t>
      </w:r>
      <w:r w:rsidR="00851741" w:rsidRPr="00C0765A">
        <w:rPr>
          <w:lang w:val="en-US"/>
        </w:rPr>
        <w:t xml:space="preserve"> </w:t>
      </w:r>
      <w:r w:rsidR="00851741" w:rsidRPr="006470CD">
        <w:rPr>
          <w:lang w:val="en-US"/>
        </w:rPr>
        <w:t>(Kong et al., 2018; Liu et al., 2016)</w:t>
      </w:r>
      <w:r w:rsidR="00587D5D" w:rsidRPr="006470CD">
        <w:rPr>
          <w:lang w:val="en-US"/>
        </w:rPr>
        <w:t xml:space="preserve">, </w:t>
      </w:r>
      <w:r w:rsidR="00DD4107" w:rsidRPr="006470CD">
        <w:rPr>
          <w:lang w:val="en-US"/>
        </w:rPr>
        <w:t>tinnitus (Wu et al., 2024)</w:t>
      </w:r>
      <w:r w:rsidR="00587D5D" w:rsidRPr="006470CD">
        <w:rPr>
          <w:lang w:val="en-US"/>
        </w:rPr>
        <w:t>, and chronic pain</w:t>
      </w:r>
      <w:r w:rsidR="006946DB" w:rsidRPr="006470CD">
        <w:rPr>
          <w:lang w:val="en-US"/>
        </w:rPr>
        <w:t xml:space="preserve"> </w:t>
      </w:r>
      <w:r w:rsidR="00040403" w:rsidRPr="00C0765A">
        <w:rPr>
          <w:lang w:val="en-US"/>
        </w:rPr>
        <w:t>(Nesbitt et al., 2015; Vieira et al., 2018)</w:t>
      </w:r>
      <w:r w:rsidR="00AD3485" w:rsidRPr="00C0765A">
        <w:rPr>
          <w:lang w:val="en-US"/>
        </w:rPr>
        <w:t xml:space="preserve">, however its </w:t>
      </w:r>
      <w:r w:rsidR="00922E7B" w:rsidRPr="00C0765A">
        <w:rPr>
          <w:lang w:val="en-US"/>
        </w:rPr>
        <w:t xml:space="preserve">potential </w:t>
      </w:r>
      <w:r w:rsidR="00AD3485" w:rsidRPr="00C0765A">
        <w:rPr>
          <w:lang w:val="en-US"/>
        </w:rPr>
        <w:t>therapeutic mechanism</w:t>
      </w:r>
      <w:r w:rsidR="00C2002C" w:rsidRPr="00C0765A">
        <w:rPr>
          <w:lang w:val="en-US"/>
        </w:rPr>
        <w:t>s</w:t>
      </w:r>
      <w:r w:rsidR="004F2130" w:rsidRPr="00C0765A">
        <w:rPr>
          <w:lang w:val="en-US"/>
        </w:rPr>
        <w:t xml:space="preserve"> </w:t>
      </w:r>
      <w:r w:rsidR="00C2002C" w:rsidRPr="00C0765A">
        <w:rPr>
          <w:lang w:val="en-US"/>
        </w:rPr>
        <w:t>are</w:t>
      </w:r>
      <w:r w:rsidR="00AD3485" w:rsidRPr="00C0765A">
        <w:rPr>
          <w:lang w:val="en-US"/>
        </w:rPr>
        <w:t xml:space="preserve"> still </w:t>
      </w:r>
      <w:r w:rsidR="00A23D85" w:rsidRPr="00C0765A">
        <w:rPr>
          <w:lang w:val="en-US"/>
        </w:rPr>
        <w:t xml:space="preserve">not </w:t>
      </w:r>
      <w:r w:rsidR="009F5B65" w:rsidRPr="00C0765A">
        <w:rPr>
          <w:lang w:val="en-US"/>
        </w:rPr>
        <w:t>well-</w:t>
      </w:r>
      <w:r w:rsidR="00A23D85" w:rsidRPr="00C0765A">
        <w:rPr>
          <w:lang w:val="en-US"/>
        </w:rPr>
        <w:t>understood</w:t>
      </w:r>
      <w:r w:rsidR="00AD3485" w:rsidRPr="00C0765A">
        <w:rPr>
          <w:lang w:val="en-US"/>
        </w:rPr>
        <w:t xml:space="preserve">. </w:t>
      </w:r>
      <w:r w:rsidR="00C2366D" w:rsidRPr="00C0765A">
        <w:rPr>
          <w:lang w:val="en-US"/>
        </w:rPr>
        <w:t xml:space="preserve">The most prominent </w:t>
      </w:r>
      <w:r w:rsidR="006F6611" w:rsidRPr="00C0765A">
        <w:rPr>
          <w:lang w:val="en-US"/>
        </w:rPr>
        <w:t>hypothesis</w:t>
      </w:r>
      <w:r w:rsidR="00C2366D" w:rsidRPr="00C0765A">
        <w:rPr>
          <w:lang w:val="en-US"/>
        </w:rPr>
        <w:t xml:space="preserve">, based on </w:t>
      </w:r>
      <w:r w:rsidR="00A23D85" w:rsidRPr="00C0765A">
        <w:rPr>
          <w:lang w:val="en-US"/>
        </w:rPr>
        <w:t>rodent</w:t>
      </w:r>
      <w:r w:rsidR="001B0CDD" w:rsidRPr="00C0765A">
        <w:rPr>
          <w:lang w:val="en-US"/>
        </w:rPr>
        <w:t xml:space="preserve"> models and neuroanatomical studies, posits that </w:t>
      </w:r>
      <w:r w:rsidR="00E2304E" w:rsidRPr="00C0765A">
        <w:rPr>
          <w:lang w:val="en-US"/>
        </w:rPr>
        <w:t xml:space="preserve">stimulating the afferent fibers of the auricular vagal branch </w:t>
      </w:r>
      <w:r w:rsidR="00E5754C" w:rsidRPr="00C0765A">
        <w:rPr>
          <w:lang w:val="en-US"/>
        </w:rPr>
        <w:t>exerts a top-down influence on</w:t>
      </w:r>
      <w:r w:rsidR="00E2304E" w:rsidRPr="00C0765A">
        <w:rPr>
          <w:lang w:val="en-US"/>
        </w:rPr>
        <w:t xml:space="preserve"> </w:t>
      </w:r>
      <w:r w:rsidR="004903CC" w:rsidRPr="00C0765A">
        <w:rPr>
          <w:lang w:val="en-US"/>
        </w:rPr>
        <w:t xml:space="preserve">the </w:t>
      </w:r>
      <w:r w:rsidR="00E2304E" w:rsidRPr="00C0765A">
        <w:rPr>
          <w:lang w:val="en-US"/>
        </w:rPr>
        <w:t xml:space="preserve">sympathetic </w:t>
      </w:r>
      <w:r w:rsidR="004903CC" w:rsidRPr="00C0765A">
        <w:rPr>
          <w:lang w:val="en-US"/>
        </w:rPr>
        <w:t>ANS</w:t>
      </w:r>
      <w:r w:rsidR="00D64689" w:rsidRPr="00C0765A">
        <w:rPr>
          <w:lang w:val="en-US"/>
        </w:rPr>
        <w:t xml:space="preserve"> </w:t>
      </w:r>
      <w:r w:rsidR="00ED545F" w:rsidRPr="00C0765A">
        <w:rPr>
          <w:lang w:val="en-US"/>
        </w:rPr>
        <w:t>(Butt et al., 2020)</w:t>
      </w:r>
      <w:r w:rsidR="004903CC" w:rsidRPr="00C0765A">
        <w:rPr>
          <w:lang w:val="en-US"/>
        </w:rPr>
        <w:t xml:space="preserve">. </w:t>
      </w:r>
      <w:r w:rsidR="00481EA3" w:rsidRPr="00C0765A">
        <w:rPr>
          <w:lang w:val="en-US"/>
        </w:rPr>
        <w:t xml:space="preserve">The </w:t>
      </w:r>
      <w:r w:rsidR="00C909F8" w:rsidRPr="00C0765A">
        <w:rPr>
          <w:lang w:val="en-US"/>
        </w:rPr>
        <w:t>afferent</w:t>
      </w:r>
      <w:r w:rsidR="00481EA3" w:rsidRPr="00C0765A">
        <w:rPr>
          <w:lang w:val="en-US"/>
        </w:rPr>
        <w:t xml:space="preserve"> </w:t>
      </w:r>
      <w:r w:rsidR="00FB5B51" w:rsidRPr="00C0765A">
        <w:rPr>
          <w:lang w:val="en-US"/>
        </w:rPr>
        <w:t xml:space="preserve">vagal </w:t>
      </w:r>
      <w:r w:rsidR="00481EA3" w:rsidRPr="00C0765A">
        <w:rPr>
          <w:lang w:val="en-US"/>
        </w:rPr>
        <w:t>fibers, via the projections to</w:t>
      </w:r>
      <w:r w:rsidR="002A458E" w:rsidRPr="00C0765A">
        <w:rPr>
          <w:lang w:val="en-US"/>
        </w:rPr>
        <w:t xml:space="preserve"> NTS and</w:t>
      </w:r>
      <w:r w:rsidR="00481EA3" w:rsidRPr="00C0765A">
        <w:rPr>
          <w:lang w:val="en-US"/>
        </w:rPr>
        <w:t xml:space="preserve"> LC, promote noradrenergic activation</w:t>
      </w:r>
      <w:r w:rsidR="00B152FC" w:rsidRPr="00C0765A">
        <w:rPr>
          <w:lang w:val="en-US"/>
        </w:rPr>
        <w:t xml:space="preserve"> (NA)</w:t>
      </w:r>
      <w:r w:rsidR="00481EA3" w:rsidRPr="00C0765A">
        <w:rPr>
          <w:lang w:val="en-US"/>
        </w:rPr>
        <w:t>, increasing arousal and attentional processing</w:t>
      </w:r>
      <w:r w:rsidR="002222DC" w:rsidRPr="00C0765A">
        <w:rPr>
          <w:lang w:val="en-US"/>
        </w:rPr>
        <w:t xml:space="preserve"> </w:t>
      </w:r>
      <w:r w:rsidR="00512D8C" w:rsidRPr="00C0765A">
        <w:rPr>
          <w:lang w:val="en-US"/>
        </w:rPr>
        <w:t>(Burger et al., 2020)</w:t>
      </w:r>
      <w:r w:rsidR="002A6723" w:rsidRPr="00C0765A">
        <w:rPr>
          <w:lang w:val="en-US"/>
        </w:rPr>
        <w:t xml:space="preserve">. </w:t>
      </w:r>
      <w:r w:rsidR="008C3267" w:rsidRPr="00C0765A">
        <w:rPr>
          <w:lang w:val="en-US"/>
        </w:rPr>
        <w:t xml:space="preserve">In an effort to test </w:t>
      </w:r>
      <w:r w:rsidR="006F6611" w:rsidRPr="00C0765A">
        <w:rPr>
          <w:lang w:val="en-US"/>
        </w:rPr>
        <w:t>the LC-NA hypothesis</w:t>
      </w:r>
      <w:r w:rsidR="008C3267" w:rsidRPr="00C0765A">
        <w:rPr>
          <w:lang w:val="en-US"/>
        </w:rPr>
        <w:t xml:space="preserve">, research into the </w:t>
      </w:r>
      <w:r w:rsidR="003A7B45" w:rsidRPr="00C0765A">
        <w:rPr>
          <w:lang w:val="en-US"/>
        </w:rPr>
        <w:t>(</w:t>
      </w:r>
      <w:r w:rsidR="008C3267" w:rsidRPr="00C0765A">
        <w:rPr>
          <w:lang w:val="en-US"/>
        </w:rPr>
        <w:t>neuro</w:t>
      </w:r>
      <w:r w:rsidR="003A7B45" w:rsidRPr="00C0765A">
        <w:rPr>
          <w:lang w:val="en-US"/>
        </w:rPr>
        <w:t xml:space="preserve">)physiological markers of </w:t>
      </w:r>
      <w:proofErr w:type="spellStart"/>
      <w:r w:rsidR="003A7B45" w:rsidRPr="00C0765A">
        <w:rPr>
          <w:lang w:val="en-US"/>
        </w:rPr>
        <w:t>taVNS</w:t>
      </w:r>
      <w:proofErr w:type="spellEnd"/>
      <w:r w:rsidR="003A7B45" w:rsidRPr="00C0765A">
        <w:rPr>
          <w:lang w:val="en-US"/>
        </w:rPr>
        <w:t xml:space="preserve"> proliferated in the last</w:t>
      </w:r>
      <w:r w:rsidR="004E7E1A" w:rsidRPr="00C0765A">
        <w:rPr>
          <w:lang w:val="en-US"/>
        </w:rPr>
        <w:t xml:space="preserve"> ten years</w:t>
      </w:r>
      <w:r w:rsidR="000F07AA" w:rsidRPr="00C0765A">
        <w:rPr>
          <w:lang w:val="en-US"/>
        </w:rPr>
        <w:t xml:space="preserve"> </w:t>
      </w:r>
      <w:r w:rsidR="00512D8C" w:rsidRPr="00C0765A">
        <w:rPr>
          <w:lang w:val="en-US"/>
        </w:rPr>
        <w:t>(Burger et al., 2020; Farmer et al., 2021)</w:t>
      </w:r>
      <w:r w:rsidR="004E7E1A" w:rsidRPr="00C0765A">
        <w:rPr>
          <w:lang w:val="en-US"/>
        </w:rPr>
        <w:t xml:space="preserve">. </w:t>
      </w:r>
      <w:r w:rsidR="003C2BDE" w:rsidRPr="00C0765A">
        <w:rPr>
          <w:lang w:val="en-US"/>
        </w:rPr>
        <w:t xml:space="preserve">Most of this research sought to confirm </w:t>
      </w:r>
      <w:r w:rsidR="00D1434B" w:rsidRPr="00C0765A">
        <w:rPr>
          <w:lang w:val="en-US"/>
        </w:rPr>
        <w:t xml:space="preserve">the involvement of </w:t>
      </w:r>
      <w:r w:rsidR="003C2BDE" w:rsidRPr="00C0765A">
        <w:rPr>
          <w:lang w:val="en-US"/>
        </w:rPr>
        <w:t xml:space="preserve">noradrenergic </w:t>
      </w:r>
      <w:r w:rsidR="00D1434B" w:rsidRPr="00C0765A">
        <w:rPr>
          <w:lang w:val="en-US"/>
        </w:rPr>
        <w:t>pathways</w:t>
      </w:r>
      <w:r w:rsidR="0098148B" w:rsidRPr="00C0765A">
        <w:rPr>
          <w:lang w:val="en-US"/>
        </w:rPr>
        <w:t xml:space="preserve">, using markers such as </w:t>
      </w:r>
      <w:r w:rsidR="00B20460" w:rsidRPr="00C0765A">
        <w:rPr>
          <w:lang w:val="en-US"/>
        </w:rPr>
        <w:t>the se</w:t>
      </w:r>
      <w:r w:rsidR="0055323A" w:rsidRPr="00C0765A">
        <w:rPr>
          <w:lang w:val="en-US"/>
        </w:rPr>
        <w:t xml:space="preserve">cretion of </w:t>
      </w:r>
      <w:r w:rsidR="008E609B" w:rsidRPr="00C0765A">
        <w:rPr>
          <w:lang w:val="en-US"/>
        </w:rPr>
        <w:t>salivary alpha-amylase</w:t>
      </w:r>
      <w:r w:rsidR="002812D7" w:rsidRPr="00C0765A">
        <w:rPr>
          <w:lang w:val="en-US"/>
        </w:rPr>
        <w:t xml:space="preserve"> (</w:t>
      </w:r>
      <w:proofErr w:type="spellStart"/>
      <w:r w:rsidR="002812D7" w:rsidRPr="00C0765A">
        <w:rPr>
          <w:lang w:val="en-US"/>
        </w:rPr>
        <w:t>sAA</w:t>
      </w:r>
      <w:proofErr w:type="spellEnd"/>
      <w:r w:rsidR="002812D7" w:rsidRPr="00C0765A">
        <w:rPr>
          <w:lang w:val="en-US"/>
        </w:rPr>
        <w:t>)</w:t>
      </w:r>
      <w:r w:rsidR="00F61956" w:rsidRPr="00C0765A">
        <w:rPr>
          <w:lang w:val="en-US"/>
        </w:rPr>
        <w:t xml:space="preserve"> and pupil </w:t>
      </w:r>
      <w:r w:rsidR="00D1434B" w:rsidRPr="00C0765A">
        <w:rPr>
          <w:lang w:val="en-US"/>
        </w:rPr>
        <w:t>dilation</w:t>
      </w:r>
      <w:r w:rsidR="007E0D85" w:rsidRPr="00C0765A">
        <w:rPr>
          <w:lang w:val="en-US"/>
        </w:rPr>
        <w:t xml:space="preserve"> </w:t>
      </w:r>
      <w:r w:rsidR="00512D8C" w:rsidRPr="00C0765A">
        <w:rPr>
          <w:lang w:val="en-US"/>
        </w:rPr>
        <w:t>(Burger et al., 2020)</w:t>
      </w:r>
      <w:r w:rsidR="00D1434B" w:rsidRPr="00C0765A">
        <w:rPr>
          <w:lang w:val="en-US"/>
        </w:rPr>
        <w:t xml:space="preserve">. </w:t>
      </w:r>
      <w:proofErr w:type="spellStart"/>
      <w:r w:rsidR="002812D7" w:rsidRPr="00C0765A">
        <w:rPr>
          <w:szCs w:val="22"/>
          <w:lang w:val="en-US"/>
        </w:rPr>
        <w:t>sAA</w:t>
      </w:r>
      <w:proofErr w:type="spellEnd"/>
      <w:r w:rsidR="002812D7" w:rsidRPr="00C0765A">
        <w:rPr>
          <w:szCs w:val="22"/>
          <w:lang w:val="en-US"/>
        </w:rPr>
        <w:t xml:space="preserve"> is a digestive enzyme secreted by the salivary glands, whose </w:t>
      </w:r>
      <w:r w:rsidR="002240A2" w:rsidRPr="00C0765A">
        <w:rPr>
          <w:szCs w:val="22"/>
          <w:lang w:val="en-US"/>
        </w:rPr>
        <w:t>secretion</w:t>
      </w:r>
      <w:r w:rsidR="002812D7" w:rsidRPr="00C0765A">
        <w:rPr>
          <w:szCs w:val="22"/>
          <w:lang w:val="en-US"/>
        </w:rPr>
        <w:t xml:space="preserve"> increases with the activation of the sympathetic ANS </w:t>
      </w:r>
      <w:r w:rsidR="002812D7" w:rsidRPr="00C0765A">
        <w:rPr>
          <w:lang w:val="en-US"/>
        </w:rPr>
        <w:t>(</w:t>
      </w:r>
      <w:proofErr w:type="spellStart"/>
      <w:r w:rsidR="002812D7" w:rsidRPr="00C0765A">
        <w:rPr>
          <w:lang w:val="en-US"/>
        </w:rPr>
        <w:t>Petrakova</w:t>
      </w:r>
      <w:proofErr w:type="spellEnd"/>
      <w:r w:rsidR="002812D7" w:rsidRPr="00C0765A">
        <w:rPr>
          <w:lang w:val="en-US"/>
        </w:rPr>
        <w:t xml:space="preserve"> et al., 2015)</w:t>
      </w:r>
      <w:r w:rsidR="002812D7" w:rsidRPr="00C0765A">
        <w:rPr>
          <w:szCs w:val="22"/>
          <w:lang w:val="en-US"/>
        </w:rPr>
        <w:t>, while pupil size is a well-established marker of both tonic and phasic noradrenergic activity</w:t>
      </w:r>
      <w:r w:rsidR="00724E78" w:rsidRPr="00C0765A">
        <w:rPr>
          <w:szCs w:val="22"/>
          <w:lang w:val="en-US"/>
        </w:rPr>
        <w:t xml:space="preserve"> </w:t>
      </w:r>
      <w:r w:rsidR="00E3061E" w:rsidRPr="00C0765A">
        <w:rPr>
          <w:lang w:val="en-US"/>
        </w:rPr>
        <w:t>(Melnychuk et al., 2021)</w:t>
      </w:r>
      <w:r w:rsidR="00724E78" w:rsidRPr="00C0765A">
        <w:rPr>
          <w:szCs w:val="22"/>
          <w:lang w:val="en-US"/>
        </w:rPr>
        <w:t xml:space="preserve">. </w:t>
      </w:r>
      <w:r w:rsidR="00FB5B51" w:rsidRPr="00C0765A">
        <w:rPr>
          <w:lang w:val="en-US"/>
        </w:rPr>
        <w:t xml:space="preserve">The reported effects have been mixed, </w:t>
      </w:r>
      <w:r w:rsidR="003D5C0F" w:rsidRPr="00C0765A">
        <w:rPr>
          <w:lang w:val="en-US"/>
        </w:rPr>
        <w:t xml:space="preserve">with some studies </w:t>
      </w:r>
      <w:r w:rsidR="00A833E5" w:rsidRPr="00C0765A">
        <w:rPr>
          <w:lang w:val="en-US"/>
        </w:rPr>
        <w:t>showing promising effects</w:t>
      </w:r>
      <w:r w:rsidR="00EA288F" w:rsidRPr="00C0765A">
        <w:rPr>
          <w:lang w:val="en-US"/>
        </w:rPr>
        <w:t xml:space="preserve"> </w:t>
      </w:r>
      <w:r w:rsidR="00EA288F" w:rsidRPr="006470CD">
        <w:rPr>
          <w:lang w:val="en-US"/>
        </w:rPr>
        <w:t>(</w:t>
      </w:r>
      <w:proofErr w:type="spellStart"/>
      <w:r w:rsidR="00EA288F" w:rsidRPr="006470CD">
        <w:rPr>
          <w:lang w:val="en-US"/>
        </w:rPr>
        <w:t>Giraudier</w:t>
      </w:r>
      <w:proofErr w:type="spellEnd"/>
      <w:r w:rsidR="00EA288F" w:rsidRPr="006470CD">
        <w:rPr>
          <w:lang w:val="en-US"/>
        </w:rPr>
        <w:t xml:space="preserve"> et al., 2022; Lloyd et al., 2023; Sharon et al., 2021; Skora et al., 2024; Urbin et al., 2021; Ventura-Bort et al., 2018)</w:t>
      </w:r>
      <w:r w:rsidR="00A833E5" w:rsidRPr="006470CD">
        <w:rPr>
          <w:lang w:val="en-US"/>
        </w:rPr>
        <w:t>, while</w:t>
      </w:r>
      <w:r w:rsidR="004B65D9" w:rsidRPr="006470CD">
        <w:rPr>
          <w:lang w:val="en-US"/>
        </w:rPr>
        <w:t xml:space="preserve"> </w:t>
      </w:r>
      <w:r w:rsidR="00A833E5" w:rsidRPr="006470CD">
        <w:rPr>
          <w:lang w:val="en-US"/>
        </w:rPr>
        <w:t>other</w:t>
      </w:r>
      <w:r w:rsidR="003D5C0F" w:rsidRPr="006470CD">
        <w:rPr>
          <w:lang w:val="en-US"/>
        </w:rPr>
        <w:t>s</w:t>
      </w:r>
      <w:r w:rsidR="004B65D9" w:rsidRPr="006470CD">
        <w:rPr>
          <w:lang w:val="en-US"/>
        </w:rPr>
        <w:t xml:space="preserve"> report</w:t>
      </w:r>
      <w:r w:rsidR="00A833E5" w:rsidRPr="006470CD">
        <w:rPr>
          <w:lang w:val="en-US"/>
        </w:rPr>
        <w:t>ed</w:t>
      </w:r>
      <w:r w:rsidR="004B65D9" w:rsidRPr="006470CD">
        <w:rPr>
          <w:lang w:val="en-US"/>
        </w:rPr>
        <w:t xml:space="preserve"> null or </w:t>
      </w:r>
      <w:r w:rsidR="00504EE7" w:rsidRPr="006470CD">
        <w:rPr>
          <w:lang w:val="en-US"/>
        </w:rPr>
        <w:t xml:space="preserve">inconclusive results </w:t>
      </w:r>
      <w:r w:rsidR="00F766CB" w:rsidRPr="006470CD">
        <w:rPr>
          <w:lang w:val="en-US"/>
        </w:rPr>
        <w:t xml:space="preserve">(Burger et al., 2020; </w:t>
      </w:r>
      <w:proofErr w:type="spellStart"/>
      <w:r w:rsidR="00F766CB" w:rsidRPr="006470CD">
        <w:rPr>
          <w:lang w:val="en-US"/>
        </w:rPr>
        <w:t>D’Agostini</w:t>
      </w:r>
      <w:proofErr w:type="spellEnd"/>
      <w:r w:rsidR="00F766CB" w:rsidRPr="006470CD">
        <w:rPr>
          <w:lang w:val="en-US"/>
        </w:rPr>
        <w:t xml:space="preserve">, Burger, Franssen, et al., 2023; </w:t>
      </w:r>
      <w:proofErr w:type="spellStart"/>
      <w:r w:rsidR="00F766CB" w:rsidRPr="006470CD">
        <w:rPr>
          <w:lang w:val="en-US"/>
        </w:rPr>
        <w:t>D’Agostini</w:t>
      </w:r>
      <w:proofErr w:type="spellEnd"/>
      <w:r w:rsidR="00F766CB" w:rsidRPr="006470CD">
        <w:rPr>
          <w:lang w:val="en-US"/>
        </w:rPr>
        <w:t xml:space="preserve"> et al., 2021, 2022; </w:t>
      </w:r>
      <w:proofErr w:type="spellStart"/>
      <w:r w:rsidR="00F766CB" w:rsidRPr="006470CD">
        <w:rPr>
          <w:lang w:val="en-US"/>
        </w:rPr>
        <w:t>Keute</w:t>
      </w:r>
      <w:proofErr w:type="spellEnd"/>
      <w:r w:rsidR="00F766CB" w:rsidRPr="006470CD">
        <w:rPr>
          <w:lang w:val="en-US"/>
        </w:rPr>
        <w:t xml:space="preserve"> et al., 2019)</w:t>
      </w:r>
      <w:r w:rsidR="00504EE7" w:rsidRPr="006470CD">
        <w:rPr>
          <w:lang w:val="en-US"/>
        </w:rPr>
        <w:t xml:space="preserve">. </w:t>
      </w:r>
      <w:r w:rsidR="003C1D07" w:rsidRPr="00C0765A">
        <w:rPr>
          <w:lang w:val="en-US"/>
        </w:rPr>
        <w:t>Given the mixed state of the literature, t</w:t>
      </w:r>
      <w:r w:rsidR="005C09E6" w:rsidRPr="00C0765A">
        <w:rPr>
          <w:lang w:val="en-US"/>
        </w:rPr>
        <w:t xml:space="preserve">here is a present need for further research into the effects of </w:t>
      </w:r>
      <w:proofErr w:type="spellStart"/>
      <w:r w:rsidR="005C09E6" w:rsidRPr="00C0765A">
        <w:rPr>
          <w:lang w:val="en-US"/>
        </w:rPr>
        <w:t>taVNS</w:t>
      </w:r>
      <w:proofErr w:type="spellEnd"/>
      <w:r w:rsidR="005C09E6" w:rsidRPr="00C0765A">
        <w:rPr>
          <w:lang w:val="en-US"/>
        </w:rPr>
        <w:t xml:space="preserve"> on </w:t>
      </w:r>
      <w:r w:rsidR="003C1D07" w:rsidRPr="00C0765A">
        <w:rPr>
          <w:lang w:val="en-US"/>
        </w:rPr>
        <w:t>brain function</w:t>
      </w:r>
      <w:r w:rsidR="00206C54" w:rsidRPr="00C0765A">
        <w:rPr>
          <w:lang w:val="en-US"/>
        </w:rPr>
        <w:t xml:space="preserve"> and NA biomarkers</w:t>
      </w:r>
      <w:r w:rsidR="003C1D07" w:rsidRPr="00C0765A">
        <w:rPr>
          <w:lang w:val="en-US"/>
        </w:rPr>
        <w:t xml:space="preserve">, to elucidate the underlying mechanisms and promote </w:t>
      </w:r>
      <w:r w:rsidR="00522EA3" w:rsidRPr="00C0765A">
        <w:rPr>
          <w:lang w:val="en-US"/>
        </w:rPr>
        <w:t xml:space="preserve">therapeutic </w:t>
      </w:r>
      <w:r w:rsidR="004C63A1" w:rsidRPr="00C0765A">
        <w:rPr>
          <w:lang w:val="en-US"/>
        </w:rPr>
        <w:t>applications</w:t>
      </w:r>
      <w:r w:rsidR="00522EA3" w:rsidRPr="00C0765A">
        <w:rPr>
          <w:lang w:val="en-US"/>
        </w:rPr>
        <w:t>.</w:t>
      </w:r>
    </w:p>
    <w:p w14:paraId="54B66541" w14:textId="05EE616A" w:rsidR="00416482" w:rsidRPr="00C0765A" w:rsidRDefault="00CA091F" w:rsidP="00E50D14">
      <w:pPr>
        <w:rPr>
          <w:szCs w:val="22"/>
          <w:lang w:val="en-US"/>
        </w:rPr>
      </w:pPr>
      <w:r w:rsidRPr="00C0765A">
        <w:rPr>
          <w:lang w:val="en-US"/>
        </w:rPr>
        <w:lastRenderedPageBreak/>
        <w:t>One of t</w:t>
      </w:r>
      <w:r w:rsidR="00522EA3" w:rsidRPr="00C0765A">
        <w:rPr>
          <w:lang w:val="en-US"/>
        </w:rPr>
        <w:t xml:space="preserve">he </w:t>
      </w:r>
      <w:r w:rsidR="00170BE1" w:rsidRPr="00C0765A">
        <w:rPr>
          <w:lang w:val="en-US"/>
        </w:rPr>
        <w:t>most important function</w:t>
      </w:r>
      <w:r w:rsidRPr="00C0765A">
        <w:rPr>
          <w:lang w:val="en-US"/>
        </w:rPr>
        <w:t>s</w:t>
      </w:r>
      <w:r w:rsidR="00170BE1" w:rsidRPr="00C0765A">
        <w:rPr>
          <w:lang w:val="en-US"/>
        </w:rPr>
        <w:t xml:space="preserve"> of the LC-NA </w:t>
      </w:r>
      <w:r w:rsidR="00C55240" w:rsidRPr="00C0765A">
        <w:rPr>
          <w:lang w:val="en-US"/>
        </w:rPr>
        <w:t>axis</w:t>
      </w:r>
      <w:r w:rsidR="00170BE1" w:rsidRPr="00C0765A">
        <w:rPr>
          <w:lang w:val="en-US"/>
        </w:rPr>
        <w:t xml:space="preserve"> </w:t>
      </w:r>
      <w:r w:rsidR="00893B6F" w:rsidRPr="00C0765A">
        <w:rPr>
          <w:lang w:val="en-US"/>
        </w:rPr>
        <w:t>during wakefulness</w:t>
      </w:r>
      <w:r w:rsidR="00170BE1" w:rsidRPr="00C0765A">
        <w:rPr>
          <w:lang w:val="en-US"/>
        </w:rPr>
        <w:t xml:space="preserve"> is </w:t>
      </w:r>
      <w:r w:rsidR="002B030B" w:rsidRPr="00C0765A">
        <w:rPr>
          <w:lang w:val="en-US"/>
        </w:rPr>
        <w:t xml:space="preserve">optimizing </w:t>
      </w:r>
      <w:r w:rsidR="003338A5" w:rsidRPr="00C0765A">
        <w:rPr>
          <w:lang w:val="en-US"/>
        </w:rPr>
        <w:t xml:space="preserve">arousal to promote </w:t>
      </w:r>
      <w:r w:rsidR="002B030B" w:rsidRPr="00C0765A">
        <w:rPr>
          <w:lang w:val="en-US"/>
        </w:rPr>
        <w:t>sensory and attentional processing</w:t>
      </w:r>
      <w:r w:rsidR="003338A5" w:rsidRPr="00C0765A">
        <w:rPr>
          <w:lang w:val="en-US"/>
        </w:rPr>
        <w:t xml:space="preserve">, </w:t>
      </w:r>
      <w:r w:rsidRPr="00C0765A">
        <w:rPr>
          <w:lang w:val="en-US"/>
        </w:rPr>
        <w:t>learning and memory</w:t>
      </w:r>
      <w:r w:rsidR="005C14AA" w:rsidRPr="00C0765A">
        <w:rPr>
          <w:lang w:val="en-US"/>
        </w:rPr>
        <w:t xml:space="preserve"> </w:t>
      </w:r>
      <w:r w:rsidR="00710F94" w:rsidRPr="00C0765A">
        <w:rPr>
          <w:lang w:val="en-US"/>
        </w:rPr>
        <w:t>(Dahl et al., 2022)</w:t>
      </w:r>
      <w:r w:rsidR="005C14AA" w:rsidRPr="00C0765A">
        <w:rPr>
          <w:lang w:val="en-US"/>
        </w:rPr>
        <w:t xml:space="preserve">. Under the assumption that </w:t>
      </w:r>
      <w:proofErr w:type="spellStart"/>
      <w:r w:rsidR="005C14AA" w:rsidRPr="00C0765A">
        <w:rPr>
          <w:lang w:val="en-US"/>
        </w:rPr>
        <w:t>taVNS</w:t>
      </w:r>
      <w:proofErr w:type="spellEnd"/>
      <w:r w:rsidR="005C14AA" w:rsidRPr="00C0765A">
        <w:rPr>
          <w:lang w:val="en-US"/>
        </w:rPr>
        <w:t xml:space="preserve"> </w:t>
      </w:r>
      <w:r w:rsidR="006D6086" w:rsidRPr="00C0765A">
        <w:rPr>
          <w:lang w:val="en-US"/>
        </w:rPr>
        <w:t>may have beneficial effects on cognition via</w:t>
      </w:r>
      <w:r w:rsidR="003A467F" w:rsidRPr="00C0765A">
        <w:rPr>
          <w:lang w:val="en-US"/>
        </w:rPr>
        <w:t xml:space="preserve"> the LC-NA </w:t>
      </w:r>
      <w:r w:rsidR="00C55240" w:rsidRPr="00C0765A">
        <w:rPr>
          <w:lang w:val="en-US"/>
        </w:rPr>
        <w:t>axis</w:t>
      </w:r>
      <w:r w:rsidR="003A467F" w:rsidRPr="00C0765A">
        <w:rPr>
          <w:lang w:val="en-US"/>
        </w:rPr>
        <w:t xml:space="preserve">, a number of studies </w:t>
      </w:r>
      <w:r w:rsidR="00096069" w:rsidRPr="00C0765A">
        <w:rPr>
          <w:lang w:val="en-US"/>
        </w:rPr>
        <w:t>tested</w:t>
      </w:r>
      <w:r w:rsidR="003A467F" w:rsidRPr="00C0765A">
        <w:rPr>
          <w:lang w:val="en-US"/>
        </w:rPr>
        <w:t xml:space="preserve"> the effects of </w:t>
      </w:r>
      <w:proofErr w:type="spellStart"/>
      <w:r w:rsidR="003A467F" w:rsidRPr="00C0765A">
        <w:rPr>
          <w:lang w:val="en-US"/>
        </w:rPr>
        <w:t>taVNS</w:t>
      </w:r>
      <w:proofErr w:type="spellEnd"/>
      <w:r w:rsidR="003A467F" w:rsidRPr="00C0765A">
        <w:rPr>
          <w:lang w:val="en-US"/>
        </w:rPr>
        <w:t xml:space="preserve"> on </w:t>
      </w:r>
      <w:r w:rsidR="00992789" w:rsidRPr="00C0765A">
        <w:rPr>
          <w:lang w:val="en-US"/>
        </w:rPr>
        <w:t xml:space="preserve">attention </w:t>
      </w:r>
      <w:r w:rsidR="00E8530C" w:rsidRPr="00C0765A">
        <w:rPr>
          <w:lang w:val="en-US"/>
        </w:rPr>
        <w:t>(</w:t>
      </w:r>
      <w:r w:rsidR="007B43D1" w:rsidRPr="00C0765A">
        <w:rPr>
          <w:lang w:val="en-US"/>
        </w:rPr>
        <w:t xml:space="preserve">e.g. </w:t>
      </w:r>
      <w:proofErr w:type="spellStart"/>
      <w:r w:rsidR="00E8530C" w:rsidRPr="00C0765A">
        <w:rPr>
          <w:lang w:val="en-US"/>
        </w:rPr>
        <w:t>Maraver</w:t>
      </w:r>
      <w:proofErr w:type="spellEnd"/>
      <w:r w:rsidR="00E8530C" w:rsidRPr="00C0765A">
        <w:rPr>
          <w:lang w:val="en-US"/>
        </w:rPr>
        <w:t xml:space="preserve"> et al., 2020)</w:t>
      </w:r>
      <w:r w:rsidR="00992789" w:rsidRPr="00C0765A">
        <w:rPr>
          <w:lang w:val="en-US"/>
        </w:rPr>
        <w:t xml:space="preserve">, memory </w:t>
      </w:r>
      <w:r w:rsidR="00446F0D" w:rsidRPr="006470CD">
        <w:rPr>
          <w:lang w:val="en-US"/>
        </w:rPr>
        <w:t>(</w:t>
      </w:r>
      <w:r w:rsidR="007B43D1" w:rsidRPr="006470CD">
        <w:rPr>
          <w:lang w:val="en-US"/>
        </w:rPr>
        <w:t xml:space="preserve">e.g. </w:t>
      </w:r>
      <w:r w:rsidR="00446F0D" w:rsidRPr="006470CD">
        <w:rPr>
          <w:lang w:val="en-US"/>
        </w:rPr>
        <w:t>Mertens et al., 2020; Ventura‐Bort et al., 2021)</w:t>
      </w:r>
      <w:r w:rsidR="00992789" w:rsidRPr="006470CD">
        <w:rPr>
          <w:lang w:val="en-US"/>
        </w:rPr>
        <w:t>,</w:t>
      </w:r>
      <w:r w:rsidR="00B01999" w:rsidRPr="006470CD">
        <w:rPr>
          <w:lang w:val="en-US"/>
        </w:rPr>
        <w:t xml:space="preserve"> cognitive control </w:t>
      </w:r>
      <w:r w:rsidR="00A91178" w:rsidRPr="006470CD">
        <w:rPr>
          <w:lang w:val="en-US"/>
        </w:rPr>
        <w:t>(</w:t>
      </w:r>
      <w:r w:rsidR="007B43D1" w:rsidRPr="006470CD">
        <w:rPr>
          <w:lang w:val="en-US"/>
        </w:rPr>
        <w:t xml:space="preserve">e.g. </w:t>
      </w:r>
      <w:r w:rsidR="00FB3AC4" w:rsidRPr="006470CD">
        <w:rPr>
          <w:lang w:val="en-US"/>
        </w:rPr>
        <w:t xml:space="preserve">De </w:t>
      </w:r>
      <w:r w:rsidR="00A91178" w:rsidRPr="006470CD">
        <w:rPr>
          <w:lang w:val="en-US"/>
        </w:rPr>
        <w:t>Smet et al., 2021)</w:t>
      </w:r>
      <w:r w:rsidR="00992789" w:rsidRPr="006470CD">
        <w:rPr>
          <w:lang w:val="en-US"/>
        </w:rPr>
        <w:t xml:space="preserve"> and learning </w:t>
      </w:r>
      <w:r w:rsidR="00485FE7" w:rsidRPr="00C0765A">
        <w:rPr>
          <w:lang w:val="en-US"/>
        </w:rPr>
        <w:t>(</w:t>
      </w:r>
      <w:r w:rsidR="007B43D1" w:rsidRPr="00C0765A">
        <w:rPr>
          <w:lang w:val="en-US"/>
        </w:rPr>
        <w:t xml:space="preserve">e.g. </w:t>
      </w:r>
      <w:proofErr w:type="spellStart"/>
      <w:r w:rsidR="00485FE7" w:rsidRPr="00C0765A">
        <w:rPr>
          <w:lang w:val="en-US"/>
        </w:rPr>
        <w:t>D’Agostini</w:t>
      </w:r>
      <w:proofErr w:type="spellEnd"/>
      <w:r w:rsidR="00485FE7" w:rsidRPr="00C0765A">
        <w:rPr>
          <w:lang w:val="en-US"/>
        </w:rPr>
        <w:t xml:space="preserve"> et al., 2021; Kühnel et al., 2020)</w:t>
      </w:r>
      <w:r w:rsidR="003A467F" w:rsidRPr="00C0765A">
        <w:rPr>
          <w:lang w:val="en-US"/>
        </w:rPr>
        <w:t>.</w:t>
      </w:r>
      <w:r w:rsidR="001C1866" w:rsidRPr="00C0765A">
        <w:rPr>
          <w:lang w:val="en-US"/>
        </w:rPr>
        <w:t xml:space="preserve"> </w:t>
      </w:r>
      <w:r w:rsidR="001652D3" w:rsidRPr="00C0765A">
        <w:rPr>
          <w:lang w:val="en-US"/>
        </w:rPr>
        <w:t xml:space="preserve">Along with </w:t>
      </w:r>
      <w:r w:rsidR="00F670C6" w:rsidRPr="00C0765A">
        <w:rPr>
          <w:lang w:val="en-US"/>
        </w:rPr>
        <w:t xml:space="preserve">behavioral effects, several studies </w:t>
      </w:r>
      <w:r w:rsidR="00F41589" w:rsidRPr="00C0765A">
        <w:rPr>
          <w:lang w:val="en-US"/>
        </w:rPr>
        <w:t>included</w:t>
      </w:r>
      <w:r w:rsidR="00F670C6" w:rsidRPr="00C0765A">
        <w:rPr>
          <w:lang w:val="en-US"/>
        </w:rPr>
        <w:t xml:space="preserve"> neurophysiological </w:t>
      </w:r>
      <w:r w:rsidR="00F41589" w:rsidRPr="00C0765A">
        <w:rPr>
          <w:lang w:val="en-US"/>
        </w:rPr>
        <w:t>measures</w:t>
      </w:r>
      <w:r w:rsidR="004F156A" w:rsidRPr="00C0765A">
        <w:rPr>
          <w:lang w:val="en-US"/>
        </w:rPr>
        <w:t xml:space="preserve"> to assess the effects of </w:t>
      </w:r>
      <w:proofErr w:type="spellStart"/>
      <w:r w:rsidR="004F156A" w:rsidRPr="00C0765A">
        <w:rPr>
          <w:lang w:val="en-US"/>
        </w:rPr>
        <w:t>taVNS</w:t>
      </w:r>
      <w:proofErr w:type="spellEnd"/>
      <w:r w:rsidR="004F156A" w:rsidRPr="00C0765A">
        <w:rPr>
          <w:lang w:val="en-US"/>
        </w:rPr>
        <w:t xml:space="preserve"> on cortical processing. The most</w:t>
      </w:r>
      <w:r w:rsidR="00770F82" w:rsidRPr="00C0765A">
        <w:rPr>
          <w:lang w:val="en-US"/>
        </w:rPr>
        <w:t xml:space="preserve"> prominent </w:t>
      </w:r>
      <w:r w:rsidR="004F156A" w:rsidRPr="00C0765A">
        <w:rPr>
          <w:lang w:val="en-US"/>
        </w:rPr>
        <w:t>neurophysiological</w:t>
      </w:r>
      <w:r w:rsidR="00770F82" w:rsidRPr="00C0765A">
        <w:rPr>
          <w:lang w:val="en-US"/>
        </w:rPr>
        <w:t xml:space="preserve"> marker</w:t>
      </w:r>
      <w:r w:rsidR="004F156A" w:rsidRPr="00C0765A">
        <w:rPr>
          <w:lang w:val="en-US"/>
        </w:rPr>
        <w:t>s</w:t>
      </w:r>
      <w:r w:rsidR="00770F82" w:rsidRPr="00C0765A">
        <w:rPr>
          <w:lang w:val="en-US"/>
        </w:rPr>
        <w:t xml:space="preserve"> investigated </w:t>
      </w:r>
      <w:r w:rsidR="00B5163D" w:rsidRPr="00C0765A">
        <w:rPr>
          <w:lang w:val="en-US"/>
        </w:rPr>
        <w:t>ha</w:t>
      </w:r>
      <w:r w:rsidR="004F156A" w:rsidRPr="00C0765A">
        <w:rPr>
          <w:lang w:val="en-US"/>
        </w:rPr>
        <w:t>ve</w:t>
      </w:r>
      <w:r w:rsidR="00B5163D" w:rsidRPr="00C0765A">
        <w:rPr>
          <w:lang w:val="en-US"/>
        </w:rPr>
        <w:t xml:space="preserve"> been </w:t>
      </w:r>
      <w:r w:rsidR="00F16329" w:rsidRPr="00C0765A">
        <w:rPr>
          <w:lang w:val="en-US"/>
        </w:rPr>
        <w:t xml:space="preserve">the power of alpha oscillations, and </w:t>
      </w:r>
      <w:r w:rsidR="00B5163D" w:rsidRPr="00C0765A">
        <w:rPr>
          <w:lang w:val="en-US"/>
        </w:rPr>
        <w:t xml:space="preserve">the </w:t>
      </w:r>
      <w:r w:rsidR="004F156A" w:rsidRPr="00C0765A">
        <w:rPr>
          <w:lang w:val="en-US"/>
        </w:rPr>
        <w:t xml:space="preserve">amplitude of </w:t>
      </w:r>
      <w:r w:rsidR="00B5163D" w:rsidRPr="00C0765A">
        <w:rPr>
          <w:lang w:val="en-US"/>
        </w:rPr>
        <w:t>P300</w:t>
      </w:r>
      <w:r w:rsidR="00F01E12" w:rsidRPr="00C0765A">
        <w:rPr>
          <w:lang w:val="en-US"/>
        </w:rPr>
        <w:t xml:space="preserve">. </w:t>
      </w:r>
      <w:r w:rsidR="004E074B" w:rsidRPr="00C0765A">
        <w:rPr>
          <w:lang w:val="en-US"/>
        </w:rPr>
        <w:t xml:space="preserve">Alpha oscillations are a cortical oscillation of 8-13Hz, most </w:t>
      </w:r>
      <w:r w:rsidR="00BA3BF5" w:rsidRPr="00C0765A">
        <w:rPr>
          <w:lang w:val="en-US"/>
        </w:rPr>
        <w:t>prominently</w:t>
      </w:r>
      <w:r w:rsidR="004E074B" w:rsidRPr="00C0765A">
        <w:rPr>
          <w:lang w:val="en-US"/>
        </w:rPr>
        <w:t xml:space="preserve"> observed over parieto-occipital sites</w:t>
      </w:r>
      <w:r w:rsidR="00BA3BF5" w:rsidRPr="00C0765A">
        <w:rPr>
          <w:lang w:val="en-US"/>
        </w:rPr>
        <w:t xml:space="preserve"> during rest</w:t>
      </w:r>
      <w:r w:rsidR="00F6665C" w:rsidRPr="00C0765A">
        <w:rPr>
          <w:lang w:val="en-US"/>
        </w:rPr>
        <w:t xml:space="preserve"> (Klimesch et al., 2007)</w:t>
      </w:r>
      <w:r w:rsidR="004E074B" w:rsidRPr="00C0765A">
        <w:rPr>
          <w:lang w:val="en-US"/>
        </w:rPr>
        <w:t>. The flu</w:t>
      </w:r>
      <w:r w:rsidR="00BE0A54" w:rsidRPr="00C0765A">
        <w:rPr>
          <w:lang w:val="en-US"/>
        </w:rPr>
        <w:t>ctuations in alpha power have been linked to shifting attentional resources</w:t>
      </w:r>
      <w:r w:rsidR="00D8672F" w:rsidRPr="00C0765A">
        <w:rPr>
          <w:lang w:val="en-US"/>
        </w:rPr>
        <w:t xml:space="preserve"> (Bauer et al., 2014; Klimesch, 2012; </w:t>
      </w:r>
      <w:proofErr w:type="spellStart"/>
      <w:r w:rsidR="00D8672F" w:rsidRPr="00C0765A">
        <w:rPr>
          <w:lang w:val="en-US"/>
        </w:rPr>
        <w:t>Rohenkohl</w:t>
      </w:r>
      <w:proofErr w:type="spellEnd"/>
      <w:r w:rsidR="00D8672F" w:rsidRPr="00C0765A">
        <w:rPr>
          <w:lang w:val="en-US"/>
        </w:rPr>
        <w:t xml:space="preserve"> &amp; Nobre, 2011)</w:t>
      </w:r>
      <w:r w:rsidR="00BE0A54" w:rsidRPr="00C0765A">
        <w:rPr>
          <w:lang w:val="en-US"/>
        </w:rPr>
        <w:t xml:space="preserve">, and coordinating neural communications </w:t>
      </w:r>
      <w:r w:rsidR="006C47B9" w:rsidRPr="00C0765A">
        <w:rPr>
          <w:lang w:val="en-US"/>
        </w:rPr>
        <w:t xml:space="preserve">in the </w:t>
      </w:r>
      <w:r w:rsidR="00BE0A54" w:rsidRPr="00C0765A">
        <w:rPr>
          <w:lang w:val="en-US"/>
        </w:rPr>
        <w:t>default</w:t>
      </w:r>
      <w:r w:rsidR="006C47B9" w:rsidRPr="00C0765A">
        <w:rPr>
          <w:lang w:val="en-US"/>
        </w:rPr>
        <w:t>-</w:t>
      </w:r>
      <w:r w:rsidR="00BE0A54" w:rsidRPr="00C0765A">
        <w:rPr>
          <w:lang w:val="en-US"/>
        </w:rPr>
        <w:t>mode network (DMN</w:t>
      </w:r>
      <w:r w:rsidR="00CC192A" w:rsidRPr="00C0765A">
        <w:rPr>
          <w:lang w:val="en-US"/>
        </w:rPr>
        <w:t xml:space="preserve"> (Clancy et al., 2022; Knyazev et al., 2011)</w:t>
      </w:r>
      <w:r w:rsidR="00BE0A54" w:rsidRPr="00C0765A">
        <w:rPr>
          <w:lang w:val="en-US"/>
        </w:rPr>
        <w:t>).</w:t>
      </w:r>
      <w:r w:rsidR="00E57EB5" w:rsidRPr="00C0765A">
        <w:rPr>
          <w:lang w:val="en-US"/>
        </w:rPr>
        <w:t xml:space="preserve"> DMN </w:t>
      </w:r>
      <w:r w:rsidR="00BE1ABD" w:rsidRPr="00C0765A">
        <w:rPr>
          <w:lang w:val="en-US"/>
        </w:rPr>
        <w:t>activity</w:t>
      </w:r>
      <w:r w:rsidR="00B30280" w:rsidRPr="00C0765A">
        <w:rPr>
          <w:lang w:val="en-US"/>
        </w:rPr>
        <w:t xml:space="preserve"> </w:t>
      </w:r>
      <w:r w:rsidR="00462A71" w:rsidRPr="00C0765A">
        <w:rPr>
          <w:lang w:val="en-US"/>
        </w:rPr>
        <w:t>is most apparent during</w:t>
      </w:r>
      <w:r w:rsidR="00616567" w:rsidRPr="00C0765A">
        <w:rPr>
          <w:lang w:val="en-US"/>
        </w:rPr>
        <w:t xml:space="preserve"> rest and </w:t>
      </w:r>
      <w:r w:rsidR="00B30280" w:rsidRPr="00C0765A">
        <w:rPr>
          <w:lang w:val="en-US"/>
        </w:rPr>
        <w:t xml:space="preserve">related to </w:t>
      </w:r>
      <w:r w:rsidR="00616567" w:rsidRPr="00C0765A">
        <w:rPr>
          <w:lang w:val="en-US"/>
        </w:rPr>
        <w:t xml:space="preserve">self-referential </w:t>
      </w:r>
      <w:r w:rsidR="00462A71" w:rsidRPr="00C0765A">
        <w:rPr>
          <w:lang w:val="en-US"/>
        </w:rPr>
        <w:t>processing</w:t>
      </w:r>
      <w:r w:rsidR="004F0386" w:rsidRPr="00C0765A">
        <w:rPr>
          <w:lang w:val="en-US"/>
        </w:rPr>
        <w:t xml:space="preserve"> (Davey et al., 2016; van Buuren et al., 2010), and </w:t>
      </w:r>
      <w:r w:rsidR="00BE1ABD" w:rsidRPr="00C0765A">
        <w:rPr>
          <w:lang w:val="en-US"/>
        </w:rPr>
        <w:t>was previously shown to be modulated by noradrenergic transmission</w:t>
      </w:r>
      <w:r w:rsidR="006D21D2" w:rsidRPr="00C0765A">
        <w:rPr>
          <w:lang w:val="en-US"/>
        </w:rPr>
        <w:t xml:space="preserve"> (</w:t>
      </w:r>
      <w:proofErr w:type="spellStart"/>
      <w:r w:rsidR="006D21D2" w:rsidRPr="00C0765A">
        <w:rPr>
          <w:lang w:val="en-US"/>
        </w:rPr>
        <w:t>Minzenberg</w:t>
      </w:r>
      <w:proofErr w:type="spellEnd"/>
      <w:r w:rsidR="006D21D2" w:rsidRPr="00C0765A">
        <w:rPr>
          <w:lang w:val="en-US"/>
        </w:rPr>
        <w:t xml:space="preserve"> et al., 2011).</w:t>
      </w:r>
      <w:r w:rsidR="00BE0A54" w:rsidRPr="00C0765A">
        <w:rPr>
          <w:lang w:val="en-US"/>
        </w:rPr>
        <w:t xml:space="preserve"> </w:t>
      </w:r>
      <w:r w:rsidR="006C47B9" w:rsidRPr="00C0765A">
        <w:rPr>
          <w:lang w:val="en-US"/>
        </w:rPr>
        <w:t xml:space="preserve">Research on alpha oscillations in the context of </w:t>
      </w:r>
      <w:r w:rsidR="00E97CBF" w:rsidRPr="00C0765A">
        <w:rPr>
          <w:lang w:val="en-US"/>
        </w:rPr>
        <w:t>(</w:t>
      </w:r>
      <w:r w:rsidR="006C47B9" w:rsidRPr="00C0765A">
        <w:rPr>
          <w:lang w:val="en-US"/>
        </w:rPr>
        <w:t>ta</w:t>
      </w:r>
      <w:r w:rsidR="00E97CBF" w:rsidRPr="00C0765A">
        <w:rPr>
          <w:lang w:val="en-US"/>
        </w:rPr>
        <w:t>)</w:t>
      </w:r>
      <w:r w:rsidR="006C47B9" w:rsidRPr="00C0765A">
        <w:rPr>
          <w:lang w:val="en-US"/>
        </w:rPr>
        <w:t xml:space="preserve">VNS tends to show </w:t>
      </w:r>
      <w:r w:rsidR="00E97CBF" w:rsidRPr="00C0765A">
        <w:rPr>
          <w:lang w:val="en-US"/>
        </w:rPr>
        <w:t xml:space="preserve">a suppression of alpha oscillations by the stimulation </w:t>
      </w:r>
      <w:r w:rsidR="004833D4" w:rsidRPr="00C0765A">
        <w:rPr>
          <w:lang w:val="en-US"/>
        </w:rPr>
        <w:t>(Lewine et al., 2019; Sharon et al., 2021; Wienke et al., 2023)</w:t>
      </w:r>
      <w:r w:rsidR="00E97CBF" w:rsidRPr="00C0765A">
        <w:rPr>
          <w:lang w:val="en-US"/>
        </w:rPr>
        <w:t xml:space="preserve">, </w:t>
      </w:r>
      <w:r w:rsidR="003436F9" w:rsidRPr="00C0765A">
        <w:rPr>
          <w:lang w:val="en-US"/>
        </w:rPr>
        <w:t>aligning with the LC-NA hyp</w:t>
      </w:r>
      <w:r w:rsidR="004D2B67" w:rsidRPr="00C0765A">
        <w:rPr>
          <w:lang w:val="en-US"/>
        </w:rPr>
        <w:t xml:space="preserve">othesis of enhanced attentional processing, </w:t>
      </w:r>
      <w:r w:rsidR="00E97CBF" w:rsidRPr="00C0765A">
        <w:rPr>
          <w:lang w:val="en-US"/>
        </w:rPr>
        <w:t>though there have also been mixed and null findings</w:t>
      </w:r>
      <w:r w:rsidR="001C159E" w:rsidRPr="00C0765A">
        <w:rPr>
          <w:lang w:val="en-US"/>
        </w:rPr>
        <w:t xml:space="preserve"> (Lloyd et al., 2023)</w:t>
      </w:r>
      <w:r w:rsidR="00E97CBF" w:rsidRPr="00C0765A">
        <w:rPr>
          <w:lang w:val="en-US"/>
        </w:rPr>
        <w:t xml:space="preserve">. </w:t>
      </w:r>
      <w:r w:rsidR="00F01E12" w:rsidRPr="00C0765A">
        <w:rPr>
          <w:lang w:val="en-US"/>
        </w:rPr>
        <w:t>P300 is</w:t>
      </w:r>
      <w:r w:rsidR="0055741C" w:rsidRPr="00C0765A">
        <w:rPr>
          <w:lang w:val="en-US"/>
        </w:rPr>
        <w:t xml:space="preserve"> </w:t>
      </w:r>
      <w:r w:rsidR="00B5163D" w:rsidRPr="00C0765A">
        <w:rPr>
          <w:lang w:val="en-US"/>
        </w:rPr>
        <w:t>a long-latency event-related potential</w:t>
      </w:r>
      <w:r w:rsidR="00912873" w:rsidRPr="00C0765A">
        <w:rPr>
          <w:szCs w:val="22"/>
          <w:lang w:val="en-US"/>
        </w:rPr>
        <w:t xml:space="preserve"> </w:t>
      </w:r>
      <w:r w:rsidR="001F43DD" w:rsidRPr="00C0765A">
        <w:rPr>
          <w:szCs w:val="22"/>
          <w:lang w:val="en-US"/>
        </w:rPr>
        <w:t xml:space="preserve">(ERP) </w:t>
      </w:r>
      <w:r w:rsidR="0055741C" w:rsidRPr="00C0765A">
        <w:rPr>
          <w:szCs w:val="22"/>
          <w:lang w:val="en-US"/>
        </w:rPr>
        <w:t xml:space="preserve">manifesting as </w:t>
      </w:r>
      <w:r w:rsidR="00912873" w:rsidRPr="00C0765A">
        <w:rPr>
          <w:szCs w:val="22"/>
          <w:lang w:val="en-US"/>
        </w:rPr>
        <w:t xml:space="preserve">a positive deflection </w:t>
      </w:r>
      <w:r w:rsidR="002B7AEB" w:rsidRPr="00C0765A">
        <w:rPr>
          <w:szCs w:val="22"/>
          <w:lang w:val="en-US"/>
        </w:rPr>
        <w:t>in the electroencephalogram (EEG), ~</w:t>
      </w:r>
      <w:r w:rsidR="00912873" w:rsidRPr="00C0765A">
        <w:rPr>
          <w:szCs w:val="22"/>
          <w:lang w:val="en-US"/>
        </w:rPr>
        <w:t xml:space="preserve">300ms </w:t>
      </w:r>
      <w:r w:rsidR="009D0684" w:rsidRPr="00C0765A">
        <w:rPr>
          <w:szCs w:val="22"/>
          <w:lang w:val="en-US"/>
        </w:rPr>
        <w:t>after</w:t>
      </w:r>
      <w:r w:rsidR="00912873" w:rsidRPr="00C0765A">
        <w:rPr>
          <w:szCs w:val="22"/>
          <w:lang w:val="en-US"/>
        </w:rPr>
        <w:t xml:space="preserve"> a salient stimulus, for example an oddball </w:t>
      </w:r>
      <w:r w:rsidR="009D0684" w:rsidRPr="00C0765A">
        <w:rPr>
          <w:szCs w:val="22"/>
          <w:lang w:val="en-US"/>
        </w:rPr>
        <w:t xml:space="preserve">or a target </w:t>
      </w:r>
      <w:r w:rsidR="005961B4" w:rsidRPr="00C0765A">
        <w:rPr>
          <w:lang w:val="en-US"/>
        </w:rPr>
        <w:t>(Polich, 1989; Yamaguchi &amp; Knight, 1991)</w:t>
      </w:r>
      <w:r w:rsidR="00912873" w:rsidRPr="00C0765A">
        <w:rPr>
          <w:szCs w:val="22"/>
          <w:lang w:val="en-US"/>
        </w:rPr>
        <w:t xml:space="preserve">. P300 </w:t>
      </w:r>
      <w:r w:rsidR="004D50AC" w:rsidRPr="00C0765A">
        <w:rPr>
          <w:szCs w:val="22"/>
          <w:lang w:val="en-US"/>
        </w:rPr>
        <w:t>has been source</w:t>
      </w:r>
      <w:r w:rsidR="00E7755D" w:rsidRPr="00C0765A">
        <w:rPr>
          <w:szCs w:val="22"/>
          <w:lang w:val="en-US"/>
        </w:rPr>
        <w:t>-</w:t>
      </w:r>
      <w:r w:rsidR="004D50AC" w:rsidRPr="00C0765A">
        <w:rPr>
          <w:szCs w:val="22"/>
          <w:lang w:val="en-US"/>
        </w:rPr>
        <w:t xml:space="preserve">localized to the </w:t>
      </w:r>
      <w:r w:rsidR="00163BC4" w:rsidRPr="00C0765A">
        <w:rPr>
          <w:szCs w:val="22"/>
          <w:lang w:val="en-US"/>
        </w:rPr>
        <w:t xml:space="preserve">temporo-parietal junction, where dense NA networks are located </w:t>
      </w:r>
      <w:r w:rsidR="00163BC4" w:rsidRPr="00C0765A">
        <w:rPr>
          <w:lang w:val="en-US"/>
        </w:rPr>
        <w:t>(Polich, 2007)</w:t>
      </w:r>
      <w:r w:rsidR="00912873" w:rsidRPr="00C0765A">
        <w:rPr>
          <w:szCs w:val="22"/>
          <w:lang w:val="en-US"/>
        </w:rPr>
        <w:t xml:space="preserve">. </w:t>
      </w:r>
      <w:r w:rsidR="00E04BB4" w:rsidRPr="00C0765A">
        <w:rPr>
          <w:szCs w:val="22"/>
          <w:lang w:val="en-US"/>
        </w:rPr>
        <w:t>S</w:t>
      </w:r>
      <w:r w:rsidR="00E06719" w:rsidRPr="00C0765A">
        <w:rPr>
          <w:szCs w:val="22"/>
          <w:lang w:val="en-US"/>
        </w:rPr>
        <w:t xml:space="preserve">tudies </w:t>
      </w:r>
      <w:r w:rsidR="00992845" w:rsidRPr="00C0765A">
        <w:rPr>
          <w:szCs w:val="22"/>
          <w:lang w:val="en-US"/>
        </w:rPr>
        <w:t>in</w:t>
      </w:r>
      <w:r w:rsidR="00E06719" w:rsidRPr="00C0765A">
        <w:rPr>
          <w:szCs w:val="22"/>
          <w:lang w:val="en-US"/>
        </w:rPr>
        <w:t xml:space="preserve"> </w:t>
      </w:r>
      <w:proofErr w:type="spellStart"/>
      <w:r w:rsidR="00336217" w:rsidRPr="00C0765A">
        <w:rPr>
          <w:szCs w:val="22"/>
          <w:lang w:val="en-US"/>
        </w:rPr>
        <w:t>i</w:t>
      </w:r>
      <w:r w:rsidR="00560ADC" w:rsidRPr="00C0765A">
        <w:rPr>
          <w:szCs w:val="22"/>
          <w:lang w:val="en-US"/>
        </w:rPr>
        <w:t>VNS</w:t>
      </w:r>
      <w:proofErr w:type="spellEnd"/>
      <w:r w:rsidR="00560ADC" w:rsidRPr="00C0765A">
        <w:rPr>
          <w:szCs w:val="22"/>
          <w:lang w:val="en-US"/>
        </w:rPr>
        <w:t xml:space="preserve"> have consistently reported increases in P300 </w:t>
      </w:r>
      <w:r w:rsidR="00546C41" w:rsidRPr="00C0765A">
        <w:rPr>
          <w:szCs w:val="22"/>
          <w:lang w:val="en-US"/>
        </w:rPr>
        <w:t>as a marker of treatment success in patients</w:t>
      </w:r>
      <w:r w:rsidR="00560ADC" w:rsidRPr="00C0765A">
        <w:rPr>
          <w:szCs w:val="22"/>
          <w:lang w:val="en-US"/>
        </w:rPr>
        <w:t xml:space="preserve"> </w:t>
      </w:r>
      <w:r w:rsidR="00546C41" w:rsidRPr="00C0765A">
        <w:rPr>
          <w:lang w:val="en-US"/>
        </w:rPr>
        <w:t xml:space="preserve">(Neuhaus et al., 2007; </w:t>
      </w:r>
      <w:proofErr w:type="spellStart"/>
      <w:r w:rsidR="00546C41" w:rsidRPr="00C0765A">
        <w:rPr>
          <w:lang w:val="en-US"/>
        </w:rPr>
        <w:t>Wostyn</w:t>
      </w:r>
      <w:proofErr w:type="spellEnd"/>
      <w:r w:rsidR="00546C41" w:rsidRPr="00C0765A">
        <w:rPr>
          <w:lang w:val="en-US"/>
        </w:rPr>
        <w:t xml:space="preserve"> et al., 2017)</w:t>
      </w:r>
      <w:r w:rsidR="00E04BB4" w:rsidRPr="00C0765A">
        <w:rPr>
          <w:szCs w:val="22"/>
          <w:lang w:val="en-US"/>
        </w:rPr>
        <w:t xml:space="preserve">, whereas studies using </w:t>
      </w:r>
      <w:proofErr w:type="spellStart"/>
      <w:r w:rsidR="00E04BB4" w:rsidRPr="00C0765A">
        <w:rPr>
          <w:szCs w:val="22"/>
          <w:lang w:val="en-US"/>
        </w:rPr>
        <w:t>taVNS</w:t>
      </w:r>
      <w:proofErr w:type="spellEnd"/>
      <w:r w:rsidR="008A7051" w:rsidRPr="00C0765A">
        <w:rPr>
          <w:szCs w:val="22"/>
          <w:lang w:val="en-US"/>
        </w:rPr>
        <w:t xml:space="preserve"> </w:t>
      </w:r>
      <w:r w:rsidR="00BF4C41" w:rsidRPr="00C0765A">
        <w:rPr>
          <w:szCs w:val="22"/>
          <w:lang w:val="en-US"/>
        </w:rPr>
        <w:t xml:space="preserve">in healthy individuals </w:t>
      </w:r>
      <w:r w:rsidR="008A7051" w:rsidRPr="00C0765A">
        <w:rPr>
          <w:szCs w:val="22"/>
          <w:lang w:val="en-US"/>
        </w:rPr>
        <w:t xml:space="preserve">showed mixed results </w:t>
      </w:r>
      <w:r w:rsidR="00F25D2B" w:rsidRPr="00C0765A">
        <w:rPr>
          <w:lang w:val="en-US"/>
        </w:rPr>
        <w:t>(</w:t>
      </w:r>
      <w:proofErr w:type="spellStart"/>
      <w:r w:rsidR="00F25D2B" w:rsidRPr="00C0765A">
        <w:rPr>
          <w:lang w:val="en-US"/>
        </w:rPr>
        <w:t>D’Agostini</w:t>
      </w:r>
      <w:proofErr w:type="spellEnd"/>
      <w:r w:rsidR="00F25D2B" w:rsidRPr="00C0765A">
        <w:rPr>
          <w:lang w:val="en-US"/>
        </w:rPr>
        <w:t xml:space="preserve">, Burger, Jelinčić, et al., 2023; </w:t>
      </w:r>
      <w:proofErr w:type="spellStart"/>
      <w:r w:rsidR="00F25D2B" w:rsidRPr="00C0765A">
        <w:rPr>
          <w:lang w:val="en-US"/>
        </w:rPr>
        <w:t>Giraudier</w:t>
      </w:r>
      <w:proofErr w:type="spellEnd"/>
      <w:r w:rsidR="00F25D2B" w:rsidRPr="00C0765A">
        <w:rPr>
          <w:lang w:val="en-US"/>
        </w:rPr>
        <w:t xml:space="preserve"> et al., 2024; Ventura-Bort et al., 2018)</w:t>
      </w:r>
      <w:r w:rsidR="004B2B03" w:rsidRPr="00C0765A">
        <w:rPr>
          <w:szCs w:val="22"/>
          <w:lang w:val="en-US"/>
        </w:rPr>
        <w:t xml:space="preserve">, calling into question the efficacy of (short-term) </w:t>
      </w:r>
      <w:proofErr w:type="spellStart"/>
      <w:r w:rsidR="004B2B03" w:rsidRPr="00C0765A">
        <w:rPr>
          <w:szCs w:val="22"/>
          <w:lang w:val="en-US"/>
        </w:rPr>
        <w:t>taVNS</w:t>
      </w:r>
      <w:proofErr w:type="spellEnd"/>
      <w:r w:rsidR="00E7755D" w:rsidRPr="00C0765A">
        <w:rPr>
          <w:szCs w:val="22"/>
          <w:lang w:val="en-US"/>
        </w:rPr>
        <w:t xml:space="preserve">. </w:t>
      </w:r>
    </w:p>
    <w:p w14:paraId="7FB0E647" w14:textId="0CC9733E" w:rsidR="00F46592" w:rsidRPr="00C0765A" w:rsidRDefault="003479F3" w:rsidP="006133F1">
      <w:pPr>
        <w:rPr>
          <w:lang w:val="en-US"/>
        </w:rPr>
      </w:pPr>
      <w:r w:rsidRPr="00C0765A">
        <w:rPr>
          <w:szCs w:val="22"/>
          <w:lang w:val="en-US"/>
        </w:rPr>
        <w:t xml:space="preserve">Previous </w:t>
      </w:r>
      <w:r w:rsidR="001C2F77" w:rsidRPr="00C0765A">
        <w:rPr>
          <w:szCs w:val="22"/>
          <w:lang w:val="en-US"/>
        </w:rPr>
        <w:t xml:space="preserve">studies probing the effects of </w:t>
      </w:r>
      <w:proofErr w:type="spellStart"/>
      <w:r w:rsidR="001C2F77" w:rsidRPr="00C0765A">
        <w:rPr>
          <w:szCs w:val="22"/>
          <w:lang w:val="en-US"/>
        </w:rPr>
        <w:t>taVNS</w:t>
      </w:r>
      <w:proofErr w:type="spellEnd"/>
      <w:r w:rsidR="001C2F77" w:rsidRPr="00C0765A">
        <w:rPr>
          <w:szCs w:val="22"/>
          <w:lang w:val="en-US"/>
        </w:rPr>
        <w:t xml:space="preserve"> on attention using EEG markers such as P300 have used </w:t>
      </w:r>
      <w:r w:rsidR="00440E19" w:rsidRPr="00C0765A">
        <w:rPr>
          <w:szCs w:val="22"/>
          <w:lang w:val="en-US"/>
        </w:rPr>
        <w:t xml:space="preserve">external, </w:t>
      </w:r>
      <w:r w:rsidR="00747C27" w:rsidRPr="00C0765A">
        <w:rPr>
          <w:szCs w:val="22"/>
          <w:lang w:val="en-US"/>
        </w:rPr>
        <w:t xml:space="preserve">namely visual and </w:t>
      </w:r>
      <w:r w:rsidR="001C2F77" w:rsidRPr="00C0765A">
        <w:rPr>
          <w:szCs w:val="22"/>
          <w:lang w:val="en-US"/>
        </w:rPr>
        <w:t>auditory stimuli</w:t>
      </w:r>
      <w:r w:rsidR="00F45453" w:rsidRPr="00C0765A">
        <w:rPr>
          <w:szCs w:val="22"/>
          <w:lang w:val="en-US"/>
        </w:rPr>
        <w:t xml:space="preserve"> </w:t>
      </w:r>
      <w:r w:rsidRPr="00C0765A">
        <w:rPr>
          <w:szCs w:val="22"/>
          <w:lang w:val="en-US"/>
        </w:rPr>
        <w:t>to measure</w:t>
      </w:r>
      <w:r w:rsidR="00F45453" w:rsidRPr="00C0765A">
        <w:rPr>
          <w:szCs w:val="22"/>
          <w:lang w:val="en-US"/>
        </w:rPr>
        <w:t xml:space="preserve"> </w:t>
      </w:r>
      <w:r w:rsidRPr="00C0765A">
        <w:rPr>
          <w:szCs w:val="22"/>
          <w:lang w:val="en-US"/>
        </w:rPr>
        <w:t>ERPs</w:t>
      </w:r>
      <w:r w:rsidR="00F45453" w:rsidRPr="00C0765A">
        <w:rPr>
          <w:szCs w:val="22"/>
          <w:lang w:val="en-US"/>
        </w:rPr>
        <w:t xml:space="preserve"> </w:t>
      </w:r>
      <w:r w:rsidR="00BB32E0" w:rsidRPr="006470CD">
        <w:rPr>
          <w:lang w:val="en-US"/>
        </w:rPr>
        <w:t>(</w:t>
      </w:r>
      <w:proofErr w:type="spellStart"/>
      <w:r w:rsidR="00BB32E0" w:rsidRPr="006470CD">
        <w:rPr>
          <w:lang w:val="en-US"/>
        </w:rPr>
        <w:t>D’Agostini</w:t>
      </w:r>
      <w:proofErr w:type="spellEnd"/>
      <w:r w:rsidR="00BB32E0" w:rsidRPr="006470CD">
        <w:rPr>
          <w:lang w:val="en-US"/>
        </w:rPr>
        <w:t xml:space="preserve">, Burger, Jelinčić, et al., 2023; </w:t>
      </w:r>
      <w:proofErr w:type="spellStart"/>
      <w:r w:rsidR="00BB32E0" w:rsidRPr="006470CD">
        <w:rPr>
          <w:lang w:val="en-US"/>
        </w:rPr>
        <w:t>D’Agostini</w:t>
      </w:r>
      <w:proofErr w:type="spellEnd"/>
      <w:r w:rsidR="00BB32E0" w:rsidRPr="006470CD">
        <w:rPr>
          <w:lang w:val="en-US"/>
        </w:rPr>
        <w:t xml:space="preserve"> et al., 2022; </w:t>
      </w:r>
      <w:proofErr w:type="spellStart"/>
      <w:r w:rsidR="00BB32E0" w:rsidRPr="006470CD">
        <w:rPr>
          <w:lang w:val="en-US"/>
        </w:rPr>
        <w:t>Giraudier</w:t>
      </w:r>
      <w:proofErr w:type="spellEnd"/>
      <w:r w:rsidR="00BB32E0" w:rsidRPr="006470CD">
        <w:rPr>
          <w:lang w:val="en-US"/>
        </w:rPr>
        <w:t xml:space="preserve"> et al., 2024; Ventura-Bort et al., 2018)</w:t>
      </w:r>
      <w:r w:rsidR="002C6543" w:rsidRPr="006470CD">
        <w:rPr>
          <w:szCs w:val="22"/>
          <w:lang w:val="en-US"/>
        </w:rPr>
        <w:t xml:space="preserve">. </w:t>
      </w:r>
      <w:r w:rsidR="005651DC" w:rsidRPr="00C0765A">
        <w:rPr>
          <w:szCs w:val="22"/>
          <w:lang w:val="en-US"/>
        </w:rPr>
        <w:t>However</w:t>
      </w:r>
      <w:r w:rsidR="009C4141" w:rsidRPr="00C0765A">
        <w:rPr>
          <w:szCs w:val="22"/>
          <w:lang w:val="en-US"/>
        </w:rPr>
        <w:t xml:space="preserve">, </w:t>
      </w:r>
      <w:r w:rsidR="00074A30" w:rsidRPr="00C0765A">
        <w:rPr>
          <w:szCs w:val="22"/>
          <w:lang w:val="en-US"/>
        </w:rPr>
        <w:t xml:space="preserve">afferent </w:t>
      </w:r>
      <w:r w:rsidR="00C90B95" w:rsidRPr="00C0765A">
        <w:rPr>
          <w:szCs w:val="22"/>
          <w:lang w:val="en-US"/>
        </w:rPr>
        <w:t xml:space="preserve">vagal fibers </w:t>
      </w:r>
      <w:r w:rsidR="00E2107B" w:rsidRPr="00C0765A">
        <w:rPr>
          <w:szCs w:val="22"/>
          <w:lang w:val="en-US"/>
        </w:rPr>
        <w:t>are highly relevant to interoception</w:t>
      </w:r>
      <w:r w:rsidR="006133F1" w:rsidRPr="00C0765A">
        <w:rPr>
          <w:szCs w:val="22"/>
          <w:lang w:val="en-US"/>
        </w:rPr>
        <w:t xml:space="preserve"> –</w:t>
      </w:r>
      <w:r w:rsidR="00E2107B" w:rsidRPr="00C0765A">
        <w:rPr>
          <w:szCs w:val="22"/>
          <w:lang w:val="en-US"/>
        </w:rPr>
        <w:t xml:space="preserve"> the </w:t>
      </w:r>
      <w:r w:rsidR="005651DC" w:rsidRPr="00C0765A">
        <w:rPr>
          <w:szCs w:val="22"/>
          <w:lang w:val="en-US"/>
        </w:rPr>
        <w:t xml:space="preserve">processing and conscious experience of </w:t>
      </w:r>
      <w:r w:rsidR="0096174F" w:rsidRPr="00C0765A">
        <w:rPr>
          <w:szCs w:val="22"/>
          <w:lang w:val="en-US"/>
        </w:rPr>
        <w:t xml:space="preserve">signals arising from </w:t>
      </w:r>
      <w:r w:rsidR="0096174F" w:rsidRPr="00C0765A">
        <w:rPr>
          <w:i/>
          <w:iCs/>
          <w:szCs w:val="22"/>
          <w:lang w:val="en-US"/>
        </w:rPr>
        <w:t>inside the body</w:t>
      </w:r>
      <w:r w:rsidR="0096174F" w:rsidRPr="00C0765A">
        <w:rPr>
          <w:szCs w:val="22"/>
          <w:lang w:val="en-US"/>
        </w:rPr>
        <w:t>, such as breathing, heartbeat, bladder distension and digestion</w:t>
      </w:r>
      <w:r w:rsidR="00C90B95" w:rsidRPr="00C0765A">
        <w:rPr>
          <w:szCs w:val="22"/>
          <w:lang w:val="en-US"/>
        </w:rPr>
        <w:t xml:space="preserve"> </w:t>
      </w:r>
      <w:r w:rsidR="00C90B95" w:rsidRPr="00C0765A">
        <w:rPr>
          <w:lang w:val="en-US"/>
        </w:rPr>
        <w:t>(</w:t>
      </w:r>
      <w:proofErr w:type="spellStart"/>
      <w:r w:rsidR="00C90B95" w:rsidRPr="00C0765A">
        <w:rPr>
          <w:lang w:val="en-US"/>
        </w:rPr>
        <w:t>Ceunen</w:t>
      </w:r>
      <w:proofErr w:type="spellEnd"/>
      <w:r w:rsidR="00C90B95" w:rsidRPr="00C0765A">
        <w:rPr>
          <w:lang w:val="en-US"/>
        </w:rPr>
        <w:t xml:space="preserve"> et al., 2016; Khalsa &amp; Lapidus, 2016)</w:t>
      </w:r>
      <w:r w:rsidR="00FA1D02" w:rsidRPr="00C0765A">
        <w:rPr>
          <w:lang w:val="en-US"/>
        </w:rPr>
        <w:t xml:space="preserve">. </w:t>
      </w:r>
      <w:r w:rsidR="00D4428D" w:rsidRPr="00C0765A">
        <w:rPr>
          <w:lang w:val="en-US"/>
        </w:rPr>
        <w:t>Accurate i</w:t>
      </w:r>
      <w:r w:rsidR="00C92DA4" w:rsidRPr="00C0765A">
        <w:rPr>
          <w:lang w:val="en-US"/>
        </w:rPr>
        <w:t xml:space="preserve">nteroception is </w:t>
      </w:r>
      <w:r w:rsidR="00A97CF2" w:rsidRPr="00C0765A">
        <w:rPr>
          <w:lang w:val="en-US"/>
        </w:rPr>
        <w:t>crucial</w:t>
      </w:r>
      <w:r w:rsidR="00C92DA4" w:rsidRPr="00C0765A">
        <w:rPr>
          <w:lang w:val="en-US"/>
        </w:rPr>
        <w:t xml:space="preserve"> to </w:t>
      </w:r>
      <w:r w:rsidR="00D4428D" w:rsidRPr="00C0765A">
        <w:rPr>
          <w:lang w:val="en-US"/>
        </w:rPr>
        <w:t xml:space="preserve">normal </w:t>
      </w:r>
      <w:r w:rsidR="00660CD3" w:rsidRPr="00C0765A">
        <w:rPr>
          <w:lang w:val="en-US"/>
        </w:rPr>
        <w:t>daily functioning</w:t>
      </w:r>
      <w:r w:rsidR="00C929B5" w:rsidRPr="00C0765A">
        <w:rPr>
          <w:lang w:val="en-US"/>
        </w:rPr>
        <w:t xml:space="preserve">, </w:t>
      </w:r>
      <w:r w:rsidR="009F11AB" w:rsidRPr="00C0765A">
        <w:rPr>
          <w:lang w:val="en-US"/>
        </w:rPr>
        <w:t>and</w:t>
      </w:r>
      <w:r w:rsidR="00C929B5" w:rsidRPr="00C0765A">
        <w:rPr>
          <w:lang w:val="en-US"/>
        </w:rPr>
        <w:t xml:space="preserve"> </w:t>
      </w:r>
      <w:r w:rsidR="00C630B8" w:rsidRPr="00C0765A">
        <w:rPr>
          <w:lang w:val="en-US"/>
        </w:rPr>
        <w:t xml:space="preserve">disordered interoception </w:t>
      </w:r>
      <w:r w:rsidR="00DD5E03" w:rsidRPr="00C0765A">
        <w:rPr>
          <w:lang w:val="en-US"/>
        </w:rPr>
        <w:t>is common</w:t>
      </w:r>
      <w:r w:rsidR="00C929B5" w:rsidRPr="00C0765A">
        <w:rPr>
          <w:lang w:val="en-US"/>
        </w:rPr>
        <w:t xml:space="preserve"> in many prevalent </w:t>
      </w:r>
      <w:r w:rsidR="00E07AF0" w:rsidRPr="00C0765A">
        <w:rPr>
          <w:lang w:val="en-US"/>
        </w:rPr>
        <w:t xml:space="preserve">chronic conditions, including chronic pain, </w:t>
      </w:r>
      <w:r w:rsidR="006A3714" w:rsidRPr="00C0765A">
        <w:rPr>
          <w:lang w:val="en-US"/>
        </w:rPr>
        <w:t xml:space="preserve">migraine, </w:t>
      </w:r>
      <w:r w:rsidR="00E07AF0" w:rsidRPr="00C0765A">
        <w:rPr>
          <w:lang w:val="en-US"/>
        </w:rPr>
        <w:t>irritable bowel disorders,</w:t>
      </w:r>
      <w:r w:rsidR="006A3714" w:rsidRPr="00C0765A">
        <w:rPr>
          <w:lang w:val="en-US"/>
        </w:rPr>
        <w:t xml:space="preserve"> </w:t>
      </w:r>
      <w:r w:rsidR="006A3714" w:rsidRPr="00C0765A">
        <w:rPr>
          <w:lang w:val="en-US"/>
        </w:rPr>
        <w:lastRenderedPageBreak/>
        <w:t>and</w:t>
      </w:r>
      <w:r w:rsidR="00E07AF0" w:rsidRPr="00C0765A">
        <w:rPr>
          <w:lang w:val="en-US"/>
        </w:rPr>
        <w:t xml:space="preserve"> </w:t>
      </w:r>
      <w:r w:rsidR="00CE2BAE" w:rsidRPr="00C0765A">
        <w:rPr>
          <w:lang w:val="en-US"/>
        </w:rPr>
        <w:t>dyspnea</w:t>
      </w:r>
      <w:r w:rsidR="006A3714" w:rsidRPr="00C0765A">
        <w:rPr>
          <w:lang w:val="en-US"/>
        </w:rPr>
        <w:t xml:space="preserve"> </w:t>
      </w:r>
      <w:r w:rsidR="00C630B8" w:rsidRPr="006470CD">
        <w:rPr>
          <w:lang w:val="en-US"/>
        </w:rPr>
        <w:t xml:space="preserve">(de Tommaso et al., 2003; Di </w:t>
      </w:r>
      <w:proofErr w:type="spellStart"/>
      <w:r w:rsidR="00C630B8" w:rsidRPr="006470CD">
        <w:rPr>
          <w:lang w:val="en-US"/>
        </w:rPr>
        <w:t>Lernia</w:t>
      </w:r>
      <w:proofErr w:type="spellEnd"/>
      <w:r w:rsidR="00C630B8" w:rsidRPr="006470CD">
        <w:rPr>
          <w:lang w:val="en-US"/>
        </w:rPr>
        <w:t xml:space="preserve"> et al., 2016; Köteles, 2021; Petersen et al., 2015; Van den Bergh et al., 2017)</w:t>
      </w:r>
      <w:r w:rsidR="000220E4" w:rsidRPr="006470CD">
        <w:rPr>
          <w:lang w:val="en-US"/>
        </w:rPr>
        <w:t>.</w:t>
      </w:r>
      <w:r w:rsidR="006A3714" w:rsidRPr="006470CD">
        <w:rPr>
          <w:lang w:val="en-US"/>
        </w:rPr>
        <w:t xml:space="preserve"> </w:t>
      </w:r>
      <w:r w:rsidR="00FA1D02" w:rsidRPr="00C0765A">
        <w:rPr>
          <w:lang w:val="en-US"/>
        </w:rPr>
        <w:t>Surprisingly,</w:t>
      </w:r>
      <w:r w:rsidR="00132C07" w:rsidRPr="00C0765A">
        <w:rPr>
          <w:lang w:val="en-US"/>
        </w:rPr>
        <w:t xml:space="preserve"> </w:t>
      </w:r>
      <w:r w:rsidR="00FA1D02" w:rsidRPr="00C0765A">
        <w:rPr>
          <w:lang w:val="en-US"/>
        </w:rPr>
        <w:t>t</w:t>
      </w:r>
      <w:r w:rsidR="009C4141" w:rsidRPr="00C0765A">
        <w:rPr>
          <w:szCs w:val="22"/>
          <w:lang w:val="en-US"/>
        </w:rPr>
        <w:t>here ha</w:t>
      </w:r>
      <w:r w:rsidR="003A2245" w:rsidRPr="00C0765A">
        <w:rPr>
          <w:szCs w:val="22"/>
          <w:lang w:val="en-US"/>
        </w:rPr>
        <w:t>ve</w:t>
      </w:r>
      <w:r w:rsidR="009C4141" w:rsidRPr="00C0765A">
        <w:rPr>
          <w:szCs w:val="22"/>
          <w:lang w:val="en-US"/>
        </w:rPr>
        <w:t xml:space="preserve"> </w:t>
      </w:r>
      <w:r w:rsidR="00B81E89" w:rsidRPr="00C0765A">
        <w:rPr>
          <w:szCs w:val="22"/>
          <w:lang w:val="en-US"/>
        </w:rPr>
        <w:t xml:space="preserve">only </w:t>
      </w:r>
      <w:r w:rsidR="009C4141" w:rsidRPr="00C0765A">
        <w:rPr>
          <w:szCs w:val="22"/>
          <w:lang w:val="en-US"/>
        </w:rPr>
        <w:t xml:space="preserve">been </w:t>
      </w:r>
      <w:r w:rsidR="00D275C8" w:rsidRPr="00C0765A">
        <w:rPr>
          <w:szCs w:val="22"/>
          <w:lang w:val="en-US"/>
        </w:rPr>
        <w:t>two</w:t>
      </w:r>
      <w:r w:rsidR="009C4141" w:rsidRPr="00C0765A">
        <w:rPr>
          <w:szCs w:val="22"/>
          <w:lang w:val="en-US"/>
        </w:rPr>
        <w:t xml:space="preserve"> studies investigating the effects of </w:t>
      </w:r>
      <w:proofErr w:type="spellStart"/>
      <w:r w:rsidR="009C4141" w:rsidRPr="00C0765A">
        <w:rPr>
          <w:szCs w:val="22"/>
          <w:lang w:val="en-US"/>
        </w:rPr>
        <w:t>taVNS</w:t>
      </w:r>
      <w:proofErr w:type="spellEnd"/>
      <w:r w:rsidR="009C4141" w:rsidRPr="00C0765A">
        <w:rPr>
          <w:szCs w:val="22"/>
          <w:lang w:val="en-US"/>
        </w:rPr>
        <w:t xml:space="preserve"> on </w:t>
      </w:r>
      <w:r w:rsidR="003D2904" w:rsidRPr="00C0765A">
        <w:rPr>
          <w:szCs w:val="22"/>
          <w:lang w:val="en-US"/>
        </w:rPr>
        <w:t>bodily-related processing</w:t>
      </w:r>
      <w:r w:rsidR="00B81E89" w:rsidRPr="00C0765A">
        <w:rPr>
          <w:szCs w:val="22"/>
          <w:lang w:val="en-US"/>
        </w:rPr>
        <w:t xml:space="preserve">, </w:t>
      </w:r>
      <w:r w:rsidR="003A2245" w:rsidRPr="00C0765A">
        <w:rPr>
          <w:szCs w:val="22"/>
          <w:lang w:val="en-US"/>
        </w:rPr>
        <w:t>both</w:t>
      </w:r>
      <w:r w:rsidR="00B81E89" w:rsidRPr="00C0765A">
        <w:rPr>
          <w:szCs w:val="22"/>
          <w:lang w:val="en-US"/>
        </w:rPr>
        <w:t xml:space="preserve"> using noxious laser pulses </w:t>
      </w:r>
      <w:r w:rsidR="00B81E89" w:rsidRPr="00C0765A">
        <w:rPr>
          <w:lang w:val="en-US"/>
        </w:rPr>
        <w:t>(Dumoulin et al., 2021; Laqua et al., 2014)</w:t>
      </w:r>
      <w:r w:rsidR="00B81E89" w:rsidRPr="00C0765A">
        <w:rPr>
          <w:szCs w:val="22"/>
          <w:lang w:val="en-US"/>
        </w:rPr>
        <w:t>.</w:t>
      </w:r>
      <w:r w:rsidR="00B35CD5" w:rsidRPr="00C0765A">
        <w:rPr>
          <w:lang w:val="en-US"/>
        </w:rPr>
        <w:t xml:space="preserve"> </w:t>
      </w:r>
      <w:r w:rsidR="00063AD8" w:rsidRPr="00C0765A">
        <w:rPr>
          <w:szCs w:val="22"/>
          <w:lang w:val="en-US"/>
        </w:rPr>
        <w:t>A</w:t>
      </w:r>
      <w:r w:rsidR="00E35EAD" w:rsidRPr="00C0765A">
        <w:rPr>
          <w:szCs w:val="22"/>
          <w:lang w:val="en-US"/>
        </w:rPr>
        <w:t xml:space="preserve"> </w:t>
      </w:r>
      <w:r w:rsidR="0082032B" w:rsidRPr="00C0765A">
        <w:rPr>
          <w:szCs w:val="22"/>
          <w:lang w:val="en-US"/>
        </w:rPr>
        <w:t xml:space="preserve">candidate </w:t>
      </w:r>
      <w:r w:rsidR="000220E4" w:rsidRPr="00C0765A">
        <w:rPr>
          <w:szCs w:val="22"/>
          <w:lang w:val="en-US"/>
        </w:rPr>
        <w:t>interoceptive</w:t>
      </w:r>
      <w:r w:rsidR="002C5D9C" w:rsidRPr="00C0765A">
        <w:rPr>
          <w:szCs w:val="22"/>
          <w:lang w:val="en-US"/>
        </w:rPr>
        <w:t xml:space="preserve"> </w:t>
      </w:r>
      <w:r w:rsidR="0082032B" w:rsidRPr="00C0765A">
        <w:rPr>
          <w:szCs w:val="22"/>
          <w:lang w:val="en-US"/>
        </w:rPr>
        <w:t xml:space="preserve">ERP </w:t>
      </w:r>
      <w:r w:rsidR="000220E4" w:rsidRPr="00C0765A">
        <w:rPr>
          <w:szCs w:val="22"/>
          <w:lang w:val="en-US"/>
        </w:rPr>
        <w:t>that warrants investigation is</w:t>
      </w:r>
      <w:r w:rsidR="00826D31" w:rsidRPr="00C0765A">
        <w:rPr>
          <w:szCs w:val="22"/>
          <w:lang w:val="en-US"/>
        </w:rPr>
        <w:t xml:space="preserve"> the respiratory-related evoked potential (RREP), measured using </w:t>
      </w:r>
      <w:r w:rsidR="00A8699E" w:rsidRPr="00C0765A">
        <w:rPr>
          <w:szCs w:val="22"/>
          <w:lang w:val="en-US"/>
        </w:rPr>
        <w:t>brief</w:t>
      </w:r>
      <w:r w:rsidR="00826D31" w:rsidRPr="00C0765A">
        <w:rPr>
          <w:szCs w:val="22"/>
          <w:lang w:val="en-US"/>
        </w:rPr>
        <w:t xml:space="preserve"> inspiratory occlusions</w:t>
      </w:r>
      <w:r w:rsidR="00063AD8" w:rsidRPr="00C0765A">
        <w:rPr>
          <w:szCs w:val="22"/>
          <w:lang w:val="en-US"/>
        </w:rPr>
        <w:t xml:space="preserve">, which are detected by </w:t>
      </w:r>
      <w:proofErr w:type="spellStart"/>
      <w:r w:rsidR="00011672" w:rsidRPr="00C0765A">
        <w:rPr>
          <w:szCs w:val="22"/>
          <w:lang w:val="en-US"/>
        </w:rPr>
        <w:t>mechanoceptors</w:t>
      </w:r>
      <w:proofErr w:type="spellEnd"/>
      <w:r w:rsidR="00011672" w:rsidRPr="00C0765A">
        <w:rPr>
          <w:szCs w:val="22"/>
          <w:lang w:val="en-US"/>
        </w:rPr>
        <w:t xml:space="preserve"> in the thorax and propagated via vagal afferents through </w:t>
      </w:r>
      <w:r w:rsidR="00410FFB" w:rsidRPr="00C0765A">
        <w:rPr>
          <w:szCs w:val="22"/>
          <w:lang w:val="en-US"/>
        </w:rPr>
        <w:t>pontine nuclei</w:t>
      </w:r>
      <w:r w:rsidR="00D75619" w:rsidRPr="00C0765A">
        <w:rPr>
          <w:szCs w:val="22"/>
          <w:lang w:val="en-US"/>
        </w:rPr>
        <w:t xml:space="preserve">, </w:t>
      </w:r>
      <w:r w:rsidR="00410FFB" w:rsidRPr="00C0765A">
        <w:rPr>
          <w:szCs w:val="22"/>
          <w:lang w:val="en-US"/>
        </w:rPr>
        <w:t xml:space="preserve">including </w:t>
      </w:r>
      <w:r w:rsidR="00011672" w:rsidRPr="00C0765A">
        <w:rPr>
          <w:szCs w:val="22"/>
          <w:lang w:val="en-US"/>
        </w:rPr>
        <w:t>NTS</w:t>
      </w:r>
      <w:r w:rsidR="00D75619" w:rsidRPr="00C0765A">
        <w:rPr>
          <w:szCs w:val="22"/>
          <w:lang w:val="en-US"/>
        </w:rPr>
        <w:t>,</w:t>
      </w:r>
      <w:r w:rsidR="00410FFB" w:rsidRPr="00C0765A">
        <w:rPr>
          <w:szCs w:val="22"/>
          <w:lang w:val="en-US"/>
        </w:rPr>
        <w:t xml:space="preserve"> and</w:t>
      </w:r>
      <w:r w:rsidR="00011672" w:rsidRPr="00C0765A">
        <w:rPr>
          <w:szCs w:val="22"/>
          <w:lang w:val="en-US"/>
        </w:rPr>
        <w:t xml:space="preserve"> thalamic nuclei</w:t>
      </w:r>
      <w:r w:rsidR="00410FFB" w:rsidRPr="00C0765A">
        <w:rPr>
          <w:szCs w:val="22"/>
          <w:lang w:val="en-US"/>
        </w:rPr>
        <w:t>, terminating in the primary somatosensory cortices</w:t>
      </w:r>
      <w:r w:rsidR="00AD3963" w:rsidRPr="00C0765A">
        <w:rPr>
          <w:szCs w:val="22"/>
          <w:lang w:val="en-US"/>
        </w:rPr>
        <w:t xml:space="preserve"> </w:t>
      </w:r>
      <w:r w:rsidR="009D056E" w:rsidRPr="00C0765A">
        <w:rPr>
          <w:lang w:val="en-US"/>
        </w:rPr>
        <w:t>(Chan et al., 2022; Davenport et al., 2007; Davenport &amp; Vovk, 2009)</w:t>
      </w:r>
      <w:r w:rsidR="00A05F7F" w:rsidRPr="00C0765A">
        <w:rPr>
          <w:szCs w:val="22"/>
          <w:lang w:val="en-US"/>
        </w:rPr>
        <w:t xml:space="preserve">. </w:t>
      </w:r>
      <w:r w:rsidR="00BF6725" w:rsidRPr="00C0765A">
        <w:rPr>
          <w:szCs w:val="22"/>
          <w:lang w:val="en-US"/>
        </w:rPr>
        <w:t>RREP consist</w:t>
      </w:r>
      <w:r w:rsidR="00D75619" w:rsidRPr="00C0765A">
        <w:rPr>
          <w:szCs w:val="22"/>
          <w:lang w:val="en-US"/>
        </w:rPr>
        <w:t>s</w:t>
      </w:r>
      <w:r w:rsidR="00BF6725" w:rsidRPr="00C0765A">
        <w:rPr>
          <w:szCs w:val="22"/>
          <w:lang w:val="en-US"/>
        </w:rPr>
        <w:t xml:space="preserve"> of </w:t>
      </w:r>
      <w:r w:rsidR="0090708B" w:rsidRPr="00C0765A">
        <w:rPr>
          <w:szCs w:val="22"/>
          <w:lang w:val="en-US"/>
        </w:rPr>
        <w:t xml:space="preserve">the </w:t>
      </w:r>
      <w:r w:rsidR="00BF6725" w:rsidRPr="00C0765A">
        <w:rPr>
          <w:szCs w:val="22"/>
          <w:lang w:val="en-US"/>
        </w:rPr>
        <w:t>early, sensory peaks</w:t>
      </w:r>
      <w:r w:rsidR="00ED67B8" w:rsidRPr="00C0765A">
        <w:rPr>
          <w:szCs w:val="22"/>
          <w:lang w:val="en-US"/>
        </w:rPr>
        <w:t xml:space="preserve"> (</w:t>
      </w:r>
      <w:proofErr w:type="spellStart"/>
      <w:r w:rsidR="00ED67B8" w:rsidRPr="00C0765A">
        <w:rPr>
          <w:szCs w:val="22"/>
          <w:lang w:val="en-US"/>
        </w:rPr>
        <w:t>Nf</w:t>
      </w:r>
      <w:proofErr w:type="spellEnd"/>
      <w:r w:rsidR="00ED67B8" w:rsidRPr="00C0765A">
        <w:rPr>
          <w:szCs w:val="22"/>
          <w:lang w:val="en-US"/>
        </w:rPr>
        <w:t>/P1)</w:t>
      </w:r>
      <w:r w:rsidR="00BF6725" w:rsidRPr="00C0765A">
        <w:rPr>
          <w:szCs w:val="22"/>
          <w:lang w:val="en-US"/>
        </w:rPr>
        <w:t xml:space="preserve">, </w:t>
      </w:r>
      <w:r w:rsidR="0090708B" w:rsidRPr="00C0765A">
        <w:rPr>
          <w:szCs w:val="22"/>
          <w:lang w:val="en-US"/>
        </w:rPr>
        <w:t xml:space="preserve">the </w:t>
      </w:r>
      <w:r w:rsidR="00BF6725" w:rsidRPr="00C0765A">
        <w:rPr>
          <w:szCs w:val="22"/>
          <w:lang w:val="en-US"/>
        </w:rPr>
        <w:t>mid-latency N1</w:t>
      </w:r>
      <w:r w:rsidR="0090708B" w:rsidRPr="00C0765A">
        <w:rPr>
          <w:szCs w:val="22"/>
          <w:lang w:val="en-US"/>
        </w:rPr>
        <w:t xml:space="preserve"> -</w:t>
      </w:r>
      <w:r w:rsidR="00BF6725" w:rsidRPr="00C0765A">
        <w:rPr>
          <w:szCs w:val="22"/>
          <w:lang w:val="en-US"/>
        </w:rPr>
        <w:t xml:space="preserve"> a compound peak jointly influenced by sensory and attentional processes, and long-latency P2 and P3 representing later attentional and cognitive/emotional processing </w:t>
      </w:r>
      <w:r w:rsidR="0027286E" w:rsidRPr="00C0765A">
        <w:rPr>
          <w:lang w:val="en-US"/>
        </w:rPr>
        <w:t>(</w:t>
      </w:r>
      <w:r w:rsidR="00A602F9" w:rsidRPr="00C0765A">
        <w:rPr>
          <w:lang w:val="en-US"/>
        </w:rPr>
        <w:t>v</w:t>
      </w:r>
      <w:r w:rsidR="0027286E" w:rsidRPr="00C0765A">
        <w:rPr>
          <w:lang w:val="en-US"/>
        </w:rPr>
        <w:t>on Leupoldt et al., 2010)</w:t>
      </w:r>
      <w:r w:rsidR="00BF54F5" w:rsidRPr="00C0765A">
        <w:rPr>
          <w:szCs w:val="22"/>
          <w:lang w:val="en-US"/>
        </w:rPr>
        <w:t xml:space="preserve">. In terms of </w:t>
      </w:r>
      <w:r w:rsidR="00234796" w:rsidRPr="00C0765A">
        <w:rPr>
          <w:szCs w:val="22"/>
          <w:lang w:val="en-US"/>
        </w:rPr>
        <w:t xml:space="preserve">morphology and cortical sources, RREP largely resembles the somatosensory evoked potential (SEP), </w:t>
      </w:r>
      <w:r w:rsidR="008C7CD7" w:rsidRPr="00C0765A">
        <w:rPr>
          <w:szCs w:val="22"/>
          <w:lang w:val="en-US"/>
        </w:rPr>
        <w:t xml:space="preserve">which is elicited by electrical or </w:t>
      </w:r>
      <w:r w:rsidR="00DC1FAF" w:rsidRPr="00C0765A">
        <w:rPr>
          <w:szCs w:val="22"/>
          <w:lang w:val="en-US"/>
        </w:rPr>
        <w:t xml:space="preserve">mechanical stimulation of skin or peripheral nerves </w:t>
      </w:r>
      <w:r w:rsidR="00DC1FAF" w:rsidRPr="00C0765A">
        <w:rPr>
          <w:lang w:val="en-US"/>
        </w:rPr>
        <w:t>(</w:t>
      </w:r>
      <w:proofErr w:type="spellStart"/>
      <w:r w:rsidR="00DC1FAF" w:rsidRPr="00C0765A">
        <w:rPr>
          <w:lang w:val="en-US"/>
        </w:rPr>
        <w:t>Blom</w:t>
      </w:r>
      <w:proofErr w:type="spellEnd"/>
      <w:r w:rsidR="00DC1FAF" w:rsidRPr="00C0765A">
        <w:rPr>
          <w:lang w:val="en-US"/>
        </w:rPr>
        <w:t xml:space="preserve"> et al., 2012)</w:t>
      </w:r>
      <w:r w:rsidR="00A64197" w:rsidRPr="00C0765A">
        <w:rPr>
          <w:szCs w:val="22"/>
          <w:lang w:val="en-US"/>
        </w:rPr>
        <w:t>.</w:t>
      </w:r>
      <w:r w:rsidR="007B512F" w:rsidRPr="00C0765A">
        <w:rPr>
          <w:szCs w:val="22"/>
          <w:lang w:val="en-US"/>
        </w:rPr>
        <w:t xml:space="preserve"> Both </w:t>
      </w:r>
      <w:r w:rsidR="008502E7" w:rsidRPr="00C0765A">
        <w:rPr>
          <w:szCs w:val="22"/>
          <w:lang w:val="en-US"/>
        </w:rPr>
        <w:t xml:space="preserve">RREP and SEP were shown to be affected by attentional and affective </w:t>
      </w:r>
      <w:r w:rsidR="00305F27" w:rsidRPr="00C0765A">
        <w:rPr>
          <w:szCs w:val="22"/>
          <w:lang w:val="en-US"/>
        </w:rPr>
        <w:t xml:space="preserve">experimental </w:t>
      </w:r>
      <w:r w:rsidR="008502E7" w:rsidRPr="00C0765A">
        <w:rPr>
          <w:szCs w:val="22"/>
          <w:lang w:val="en-US"/>
        </w:rPr>
        <w:t xml:space="preserve">manipulations, especially </w:t>
      </w:r>
      <w:r w:rsidR="009650FF" w:rsidRPr="00C0765A">
        <w:rPr>
          <w:szCs w:val="22"/>
          <w:lang w:val="en-US"/>
        </w:rPr>
        <w:t>the</w:t>
      </w:r>
      <w:r w:rsidR="008502E7" w:rsidRPr="00C0765A">
        <w:rPr>
          <w:szCs w:val="22"/>
          <w:lang w:val="en-US"/>
        </w:rPr>
        <w:t xml:space="preserve"> N1 and P2 </w:t>
      </w:r>
      <w:r w:rsidR="00305F27" w:rsidRPr="00C0765A">
        <w:rPr>
          <w:szCs w:val="22"/>
          <w:lang w:val="en-US"/>
        </w:rPr>
        <w:t>peaks</w:t>
      </w:r>
      <w:r w:rsidR="008502E7" w:rsidRPr="00C0765A">
        <w:rPr>
          <w:szCs w:val="22"/>
          <w:lang w:val="en-US"/>
        </w:rPr>
        <w:t xml:space="preserve"> </w:t>
      </w:r>
      <w:r w:rsidR="009650FF" w:rsidRPr="00C0765A">
        <w:rPr>
          <w:lang w:val="en-US"/>
        </w:rPr>
        <w:t>(Jelinčić et al., 2022, 2024; Von Leupoldt et al., 2010)</w:t>
      </w:r>
      <w:r w:rsidR="009650FF" w:rsidRPr="00C0765A">
        <w:rPr>
          <w:szCs w:val="22"/>
          <w:lang w:val="en-US"/>
        </w:rPr>
        <w:t xml:space="preserve">, making them </w:t>
      </w:r>
      <w:r w:rsidR="00AE32BE" w:rsidRPr="00C0765A">
        <w:rPr>
          <w:szCs w:val="22"/>
          <w:lang w:val="en-US"/>
        </w:rPr>
        <w:t>promising</w:t>
      </w:r>
      <w:r w:rsidR="009650FF" w:rsidRPr="00C0765A">
        <w:rPr>
          <w:szCs w:val="22"/>
          <w:lang w:val="en-US"/>
        </w:rPr>
        <w:t xml:space="preserve"> components to </w:t>
      </w:r>
      <w:r w:rsidR="00B62C41" w:rsidRPr="00C0765A">
        <w:rPr>
          <w:szCs w:val="22"/>
          <w:lang w:val="en-US"/>
        </w:rPr>
        <w:t xml:space="preserve">assess the </w:t>
      </w:r>
      <w:r w:rsidR="00A03C61" w:rsidRPr="00C0765A">
        <w:rPr>
          <w:szCs w:val="22"/>
          <w:lang w:val="en-US"/>
        </w:rPr>
        <w:t>potential enhancing</w:t>
      </w:r>
      <w:r w:rsidR="00B62C41" w:rsidRPr="00C0765A">
        <w:rPr>
          <w:szCs w:val="22"/>
          <w:lang w:val="en-US"/>
        </w:rPr>
        <w:t xml:space="preserve"> effects of </w:t>
      </w:r>
      <w:proofErr w:type="spellStart"/>
      <w:r w:rsidR="00B62C41" w:rsidRPr="00C0765A">
        <w:rPr>
          <w:szCs w:val="22"/>
          <w:lang w:val="en-US"/>
        </w:rPr>
        <w:t>taVNS</w:t>
      </w:r>
      <w:proofErr w:type="spellEnd"/>
      <w:r w:rsidR="00475DF5" w:rsidRPr="00C0765A">
        <w:rPr>
          <w:szCs w:val="22"/>
          <w:lang w:val="en-US"/>
        </w:rPr>
        <w:t xml:space="preserve"> on </w:t>
      </w:r>
      <w:r w:rsidR="00A03C61" w:rsidRPr="00C0765A">
        <w:rPr>
          <w:szCs w:val="22"/>
          <w:lang w:val="en-US"/>
        </w:rPr>
        <w:t>attentional processing</w:t>
      </w:r>
      <w:r w:rsidR="00FE567D" w:rsidRPr="00C0765A">
        <w:rPr>
          <w:szCs w:val="22"/>
          <w:lang w:val="en-US"/>
        </w:rPr>
        <w:t xml:space="preserve"> of bodily-related stimuli. Understanding the potential differences in how </w:t>
      </w:r>
      <w:proofErr w:type="spellStart"/>
      <w:r w:rsidR="00FE567D" w:rsidRPr="00C0765A">
        <w:rPr>
          <w:szCs w:val="22"/>
          <w:lang w:val="en-US"/>
        </w:rPr>
        <w:t>taVNS</w:t>
      </w:r>
      <w:proofErr w:type="spellEnd"/>
      <w:r w:rsidR="00FE567D" w:rsidRPr="00C0765A">
        <w:rPr>
          <w:szCs w:val="22"/>
          <w:lang w:val="en-US"/>
        </w:rPr>
        <w:t xml:space="preserve"> affects </w:t>
      </w:r>
      <w:r w:rsidR="009F1397" w:rsidRPr="00C0765A">
        <w:rPr>
          <w:szCs w:val="22"/>
          <w:lang w:val="en-US"/>
        </w:rPr>
        <w:t xml:space="preserve">the neural </w:t>
      </w:r>
      <w:r w:rsidR="00FE567D" w:rsidRPr="00C0765A">
        <w:rPr>
          <w:szCs w:val="22"/>
          <w:lang w:val="en-US"/>
        </w:rPr>
        <w:t xml:space="preserve">processing of bodily-related </w:t>
      </w:r>
      <w:r w:rsidR="00C04178" w:rsidRPr="00C0765A">
        <w:rPr>
          <w:szCs w:val="22"/>
          <w:lang w:val="en-US"/>
        </w:rPr>
        <w:t xml:space="preserve">relative to exteroceptive stimuli </w:t>
      </w:r>
      <w:r w:rsidR="001B053F" w:rsidRPr="00C0765A">
        <w:rPr>
          <w:szCs w:val="22"/>
          <w:lang w:val="en-US"/>
        </w:rPr>
        <w:t xml:space="preserve">may help spearhead </w:t>
      </w:r>
      <w:proofErr w:type="spellStart"/>
      <w:r w:rsidR="009F1397" w:rsidRPr="00C0765A">
        <w:rPr>
          <w:szCs w:val="22"/>
          <w:lang w:val="en-US"/>
        </w:rPr>
        <w:t>taVNS</w:t>
      </w:r>
      <w:proofErr w:type="spellEnd"/>
      <w:r w:rsidR="009F1397" w:rsidRPr="00C0765A">
        <w:rPr>
          <w:szCs w:val="22"/>
          <w:lang w:val="en-US"/>
        </w:rPr>
        <w:t xml:space="preserve"> as a potential treatment option in patients suffering chronic bodily complaints.</w:t>
      </w:r>
    </w:p>
    <w:p w14:paraId="5550594C" w14:textId="1F609D8A" w:rsidR="00777897" w:rsidRPr="00C0765A" w:rsidRDefault="00777897" w:rsidP="00F36FDA">
      <w:pPr>
        <w:rPr>
          <w:szCs w:val="22"/>
          <w:lang w:val="en-US"/>
        </w:rPr>
      </w:pPr>
      <w:r w:rsidRPr="00C0765A">
        <w:rPr>
          <w:szCs w:val="22"/>
          <w:lang w:val="en-US"/>
        </w:rPr>
        <w:t xml:space="preserve">Another </w:t>
      </w:r>
      <w:r w:rsidR="00B73C2E" w:rsidRPr="00C0765A">
        <w:rPr>
          <w:szCs w:val="22"/>
          <w:lang w:val="en-US"/>
        </w:rPr>
        <w:t xml:space="preserve">interesting mechanism that has not received much attention in </w:t>
      </w:r>
      <w:proofErr w:type="spellStart"/>
      <w:r w:rsidR="00B73C2E" w:rsidRPr="00C0765A">
        <w:rPr>
          <w:szCs w:val="22"/>
          <w:lang w:val="en-US"/>
        </w:rPr>
        <w:t>taVNS</w:t>
      </w:r>
      <w:proofErr w:type="spellEnd"/>
      <w:r w:rsidR="00B73C2E" w:rsidRPr="00C0765A">
        <w:rPr>
          <w:szCs w:val="22"/>
          <w:lang w:val="en-US"/>
        </w:rPr>
        <w:t xml:space="preserve"> research is neural gating. Neural gating is a phenomenon of </w:t>
      </w:r>
      <w:r w:rsidR="00C139AC" w:rsidRPr="00C0765A">
        <w:rPr>
          <w:szCs w:val="22"/>
          <w:lang w:val="en-US"/>
        </w:rPr>
        <w:t xml:space="preserve">short-term suppression of cortical responses to a quick sequence of repetitive stimuli </w:t>
      </w:r>
      <w:r w:rsidR="00FB4DE7" w:rsidRPr="006470CD">
        <w:rPr>
          <w:lang w:val="en-US"/>
        </w:rPr>
        <w:t>(Dalecki et al., 2011; Jelinčić, Torta, et al., 2021; Montoya et al., 2006; Patterson et al., 2008)</w:t>
      </w:r>
      <w:r w:rsidR="00006641" w:rsidRPr="006470CD">
        <w:rPr>
          <w:szCs w:val="22"/>
          <w:lang w:val="en-US"/>
        </w:rPr>
        <w:t>.</w:t>
      </w:r>
      <w:r w:rsidR="00221B93" w:rsidRPr="006470CD">
        <w:rPr>
          <w:szCs w:val="22"/>
          <w:lang w:val="en-US"/>
        </w:rPr>
        <w:t xml:space="preserve"> </w:t>
      </w:r>
      <w:r w:rsidR="00221B93" w:rsidRPr="00C0765A">
        <w:rPr>
          <w:szCs w:val="22"/>
          <w:lang w:val="en-US"/>
        </w:rPr>
        <w:t>It most reliably manifests in early and mid-latency peaks of the ERP</w:t>
      </w:r>
      <w:r w:rsidR="00FB2044" w:rsidRPr="00C0765A">
        <w:rPr>
          <w:szCs w:val="22"/>
          <w:lang w:val="en-US"/>
        </w:rPr>
        <w:t>, and has been extensively studied in patient populations as a symptom of cortical disinhibition</w:t>
      </w:r>
      <w:r w:rsidR="001D6B56" w:rsidRPr="00C0765A">
        <w:rPr>
          <w:szCs w:val="22"/>
          <w:lang w:val="en-US"/>
        </w:rPr>
        <w:t>.</w:t>
      </w:r>
      <w:r w:rsidR="003C4E7A" w:rsidRPr="00C0765A">
        <w:rPr>
          <w:szCs w:val="22"/>
          <w:lang w:val="en-US"/>
        </w:rPr>
        <w:t xml:space="preserve"> </w:t>
      </w:r>
      <w:r w:rsidR="001D6B56" w:rsidRPr="00C0765A">
        <w:rPr>
          <w:szCs w:val="22"/>
          <w:lang w:val="en-US"/>
        </w:rPr>
        <w:t>F</w:t>
      </w:r>
      <w:r w:rsidR="003C4E7A" w:rsidRPr="00C0765A">
        <w:rPr>
          <w:szCs w:val="22"/>
          <w:lang w:val="en-US"/>
        </w:rPr>
        <w:t>or example</w:t>
      </w:r>
      <w:r w:rsidR="001D6B56" w:rsidRPr="00C0765A">
        <w:rPr>
          <w:szCs w:val="22"/>
          <w:lang w:val="en-US"/>
        </w:rPr>
        <w:t>, neural gating was found to be reduced</w:t>
      </w:r>
      <w:r w:rsidR="003C4E7A" w:rsidRPr="00C0765A">
        <w:rPr>
          <w:szCs w:val="22"/>
          <w:lang w:val="en-US"/>
        </w:rPr>
        <w:t xml:space="preserve"> in disorders such as </w:t>
      </w:r>
      <w:r w:rsidR="005D5D0E" w:rsidRPr="00C0765A">
        <w:rPr>
          <w:szCs w:val="22"/>
          <w:lang w:val="en-US"/>
        </w:rPr>
        <w:t>attention-deficit hyperactivity disorder</w:t>
      </w:r>
      <w:r w:rsidR="00A22645" w:rsidRPr="00C0765A">
        <w:rPr>
          <w:szCs w:val="22"/>
          <w:lang w:val="en-US"/>
        </w:rPr>
        <w:t xml:space="preserve"> </w:t>
      </w:r>
      <w:r w:rsidR="00A22645" w:rsidRPr="006470CD">
        <w:rPr>
          <w:lang w:val="en-US"/>
        </w:rPr>
        <w:t>(</w:t>
      </w:r>
      <w:r w:rsidR="005D5D0E" w:rsidRPr="006470CD">
        <w:rPr>
          <w:lang w:val="en-US"/>
        </w:rPr>
        <w:t xml:space="preserve">ADHD; </w:t>
      </w:r>
      <w:proofErr w:type="spellStart"/>
      <w:r w:rsidR="00A22645" w:rsidRPr="006470CD">
        <w:rPr>
          <w:lang w:val="en-US"/>
        </w:rPr>
        <w:t>Micoulaud</w:t>
      </w:r>
      <w:proofErr w:type="spellEnd"/>
      <w:r w:rsidR="00A22645" w:rsidRPr="006470CD">
        <w:rPr>
          <w:lang w:val="en-US"/>
        </w:rPr>
        <w:t>-Franchi et al., 2016)</w:t>
      </w:r>
      <w:r w:rsidR="003C4E7A" w:rsidRPr="006470CD">
        <w:rPr>
          <w:szCs w:val="22"/>
          <w:lang w:val="en-US"/>
        </w:rPr>
        <w:t xml:space="preserve">, </w:t>
      </w:r>
      <w:r w:rsidR="005D5D0E" w:rsidRPr="006470CD">
        <w:rPr>
          <w:szCs w:val="22"/>
          <w:lang w:val="en-US"/>
        </w:rPr>
        <w:t xml:space="preserve">Tourette’s syndrome </w:t>
      </w:r>
      <w:r w:rsidR="005D5D0E" w:rsidRPr="006470CD">
        <w:rPr>
          <w:lang w:val="en-US"/>
        </w:rPr>
        <w:t>(Morand-Beaulieu &amp; Lavoie, 2019)</w:t>
      </w:r>
      <w:r w:rsidR="005D5D0E" w:rsidRPr="006470CD">
        <w:rPr>
          <w:szCs w:val="22"/>
          <w:lang w:val="en-US"/>
        </w:rPr>
        <w:t xml:space="preserve">, </w:t>
      </w:r>
      <w:r w:rsidR="003C4E7A" w:rsidRPr="006470CD">
        <w:rPr>
          <w:szCs w:val="22"/>
          <w:lang w:val="en-US"/>
        </w:rPr>
        <w:t xml:space="preserve">and </w:t>
      </w:r>
      <w:r w:rsidR="005D5D0E" w:rsidRPr="006470CD">
        <w:rPr>
          <w:szCs w:val="22"/>
          <w:lang w:val="en-US"/>
        </w:rPr>
        <w:t>post-traumatic stress disorder</w:t>
      </w:r>
      <w:r w:rsidR="002B4C9F" w:rsidRPr="006470CD">
        <w:rPr>
          <w:szCs w:val="22"/>
          <w:lang w:val="en-US"/>
        </w:rPr>
        <w:t xml:space="preserve"> </w:t>
      </w:r>
      <w:r w:rsidR="002B4C9F" w:rsidRPr="00C0765A">
        <w:rPr>
          <w:lang w:val="en-US"/>
        </w:rPr>
        <w:t>(</w:t>
      </w:r>
      <w:r w:rsidR="005D5D0E" w:rsidRPr="00C0765A">
        <w:rPr>
          <w:lang w:val="en-US"/>
        </w:rPr>
        <w:t xml:space="preserve">PTSD; </w:t>
      </w:r>
      <w:r w:rsidR="002B4C9F" w:rsidRPr="00C0765A">
        <w:rPr>
          <w:lang w:val="en-US"/>
        </w:rPr>
        <w:t>Neylan et al., 1999)</w:t>
      </w:r>
      <w:r w:rsidR="000811E9" w:rsidRPr="00C0765A">
        <w:rPr>
          <w:szCs w:val="22"/>
          <w:lang w:val="en-US"/>
        </w:rPr>
        <w:t xml:space="preserve">, all of which are </w:t>
      </w:r>
      <w:r w:rsidR="001B61CF" w:rsidRPr="00C0765A">
        <w:rPr>
          <w:szCs w:val="22"/>
          <w:lang w:val="en-US"/>
        </w:rPr>
        <w:t>understood</w:t>
      </w:r>
      <w:r w:rsidR="000811E9" w:rsidRPr="00C0765A">
        <w:rPr>
          <w:szCs w:val="22"/>
          <w:lang w:val="en-US"/>
        </w:rPr>
        <w:t xml:space="preserve"> to arise </w:t>
      </w:r>
      <w:r w:rsidR="001B61CF" w:rsidRPr="00C0765A">
        <w:rPr>
          <w:szCs w:val="22"/>
          <w:lang w:val="en-US"/>
        </w:rPr>
        <w:t xml:space="preserve">at least in part </w:t>
      </w:r>
      <w:r w:rsidR="00B6739A" w:rsidRPr="00C0765A">
        <w:rPr>
          <w:szCs w:val="22"/>
          <w:lang w:val="en-US"/>
        </w:rPr>
        <w:t xml:space="preserve">through the dysfunction of the LC-NA axis </w:t>
      </w:r>
      <w:r w:rsidR="008A18E9" w:rsidRPr="00C0765A">
        <w:rPr>
          <w:lang w:val="en-US"/>
        </w:rPr>
        <w:t>(</w:t>
      </w:r>
      <w:proofErr w:type="spellStart"/>
      <w:r w:rsidR="008A18E9" w:rsidRPr="00C0765A">
        <w:rPr>
          <w:lang w:val="en-US"/>
        </w:rPr>
        <w:t>Alsene</w:t>
      </w:r>
      <w:proofErr w:type="spellEnd"/>
      <w:r w:rsidR="008A18E9" w:rsidRPr="00C0765A">
        <w:rPr>
          <w:lang w:val="en-US"/>
        </w:rPr>
        <w:t xml:space="preserve"> et al., 2006; </w:t>
      </w:r>
      <w:proofErr w:type="spellStart"/>
      <w:r w:rsidR="008A18E9" w:rsidRPr="00C0765A">
        <w:rPr>
          <w:lang w:val="en-US"/>
        </w:rPr>
        <w:t>Alsene</w:t>
      </w:r>
      <w:proofErr w:type="spellEnd"/>
      <w:r w:rsidR="008A18E9" w:rsidRPr="00C0765A">
        <w:rPr>
          <w:lang w:val="en-US"/>
        </w:rPr>
        <w:t xml:space="preserve"> &amp; Bakshi, 2011)</w:t>
      </w:r>
      <w:r w:rsidR="003C4E7A" w:rsidRPr="00C0765A">
        <w:rPr>
          <w:szCs w:val="22"/>
          <w:lang w:val="en-US"/>
        </w:rPr>
        <w:t>.</w:t>
      </w:r>
      <w:r w:rsidR="002B4C9F" w:rsidRPr="00C0765A">
        <w:rPr>
          <w:szCs w:val="22"/>
          <w:lang w:val="en-US"/>
        </w:rPr>
        <w:t xml:space="preserve"> </w:t>
      </w:r>
      <w:r w:rsidR="003D666D" w:rsidRPr="00C0765A">
        <w:rPr>
          <w:szCs w:val="22"/>
          <w:lang w:val="en-US"/>
        </w:rPr>
        <w:t>N</w:t>
      </w:r>
      <w:r w:rsidR="002B4C9F" w:rsidRPr="00C0765A">
        <w:rPr>
          <w:szCs w:val="22"/>
          <w:lang w:val="en-US"/>
        </w:rPr>
        <w:t xml:space="preserve">eural gating is most often studied using </w:t>
      </w:r>
      <w:r w:rsidR="00D85089" w:rsidRPr="00C0765A">
        <w:rPr>
          <w:szCs w:val="22"/>
          <w:lang w:val="en-US"/>
        </w:rPr>
        <w:t>paired auditory clicks</w:t>
      </w:r>
      <w:r w:rsidR="002B4C9F" w:rsidRPr="00C0765A">
        <w:rPr>
          <w:szCs w:val="22"/>
          <w:lang w:val="en-US"/>
        </w:rPr>
        <w:t>, with most research focusing on</w:t>
      </w:r>
      <w:r w:rsidR="00720335" w:rsidRPr="00C0765A">
        <w:rPr>
          <w:szCs w:val="22"/>
          <w:lang w:val="en-US"/>
        </w:rPr>
        <w:t xml:space="preserve"> the P50 component</w:t>
      </w:r>
      <w:r w:rsidR="00FE2EBE" w:rsidRPr="00C0765A">
        <w:rPr>
          <w:szCs w:val="22"/>
          <w:lang w:val="en-US"/>
        </w:rPr>
        <w:t xml:space="preserve"> of the auditory evoked potential (AEP)</w:t>
      </w:r>
      <w:r w:rsidR="00720335" w:rsidRPr="00C0765A">
        <w:rPr>
          <w:szCs w:val="22"/>
          <w:lang w:val="en-US"/>
        </w:rPr>
        <w:t xml:space="preserve"> </w:t>
      </w:r>
      <w:r w:rsidR="00720335" w:rsidRPr="00C0765A">
        <w:rPr>
          <w:lang w:val="en-US"/>
        </w:rPr>
        <w:t>(Patterson et al., 2008)</w:t>
      </w:r>
      <w:r w:rsidR="00720335" w:rsidRPr="00C0765A">
        <w:rPr>
          <w:szCs w:val="22"/>
          <w:lang w:val="en-US"/>
        </w:rPr>
        <w:t xml:space="preserve"> and to a smaller extent </w:t>
      </w:r>
      <w:r w:rsidR="00FE2EBE" w:rsidRPr="00C0765A">
        <w:rPr>
          <w:szCs w:val="22"/>
          <w:lang w:val="en-US"/>
        </w:rPr>
        <w:t xml:space="preserve">the </w:t>
      </w:r>
      <w:r w:rsidR="00720335" w:rsidRPr="00C0765A">
        <w:rPr>
          <w:szCs w:val="22"/>
          <w:lang w:val="en-US"/>
        </w:rPr>
        <w:t>N1</w:t>
      </w:r>
      <w:r w:rsidR="00FE2EBE" w:rsidRPr="00C0765A">
        <w:rPr>
          <w:szCs w:val="22"/>
          <w:lang w:val="en-US"/>
        </w:rPr>
        <w:t xml:space="preserve"> component</w:t>
      </w:r>
      <w:r w:rsidR="00720335" w:rsidRPr="00C0765A">
        <w:rPr>
          <w:szCs w:val="22"/>
          <w:lang w:val="en-US"/>
        </w:rPr>
        <w:t xml:space="preserve"> </w:t>
      </w:r>
      <w:r w:rsidR="00720335" w:rsidRPr="00C0765A">
        <w:rPr>
          <w:lang w:val="en-US"/>
        </w:rPr>
        <w:t>(</w:t>
      </w:r>
      <w:proofErr w:type="spellStart"/>
      <w:r w:rsidR="00720335" w:rsidRPr="00C0765A">
        <w:rPr>
          <w:lang w:val="en-US"/>
        </w:rPr>
        <w:t>Lijffijt</w:t>
      </w:r>
      <w:proofErr w:type="spellEnd"/>
      <w:r w:rsidR="00720335" w:rsidRPr="00C0765A">
        <w:rPr>
          <w:lang w:val="en-US"/>
        </w:rPr>
        <w:t xml:space="preserve"> et al., 2009)</w:t>
      </w:r>
      <w:r w:rsidR="00E137C4" w:rsidRPr="00C0765A">
        <w:rPr>
          <w:szCs w:val="22"/>
          <w:lang w:val="en-US"/>
        </w:rPr>
        <w:t xml:space="preserve">. </w:t>
      </w:r>
      <w:r w:rsidR="00FE4158" w:rsidRPr="00C0765A">
        <w:rPr>
          <w:szCs w:val="22"/>
          <w:lang w:val="en-US"/>
        </w:rPr>
        <w:t xml:space="preserve">However, neural gating has been demonstrated for </w:t>
      </w:r>
      <w:r w:rsidR="00ED3369" w:rsidRPr="00C0765A">
        <w:rPr>
          <w:szCs w:val="22"/>
          <w:lang w:val="en-US"/>
        </w:rPr>
        <w:t>bodily-related</w:t>
      </w:r>
      <w:r w:rsidR="00FE4158" w:rsidRPr="00C0765A">
        <w:rPr>
          <w:szCs w:val="22"/>
          <w:lang w:val="en-US"/>
        </w:rPr>
        <w:t xml:space="preserve"> ERPs as well, including RREP</w:t>
      </w:r>
      <w:r w:rsidR="00D85089" w:rsidRPr="00C0765A">
        <w:rPr>
          <w:szCs w:val="22"/>
          <w:lang w:val="en-US"/>
        </w:rPr>
        <w:t xml:space="preserve"> via paired occlusions</w:t>
      </w:r>
      <w:r w:rsidR="00FE4158" w:rsidRPr="00C0765A">
        <w:rPr>
          <w:szCs w:val="22"/>
          <w:lang w:val="en-US"/>
        </w:rPr>
        <w:t xml:space="preserve"> </w:t>
      </w:r>
      <w:r w:rsidR="00FB4DE7" w:rsidRPr="00C0765A">
        <w:rPr>
          <w:lang w:val="en-US"/>
        </w:rPr>
        <w:t>(Chan &amp; Davenport, 2008; Jelinčić, Torta, et al., 2021)</w:t>
      </w:r>
      <w:r w:rsidR="00463E63" w:rsidRPr="00C0765A">
        <w:rPr>
          <w:szCs w:val="22"/>
          <w:lang w:val="en-US"/>
        </w:rPr>
        <w:t xml:space="preserve"> and SEP</w:t>
      </w:r>
      <w:r w:rsidR="00D85089" w:rsidRPr="00C0765A">
        <w:rPr>
          <w:szCs w:val="22"/>
          <w:lang w:val="en-US"/>
        </w:rPr>
        <w:t xml:space="preserve"> via paired electrocutaneous stimuli</w:t>
      </w:r>
      <w:r w:rsidR="00463E63" w:rsidRPr="00C0765A">
        <w:rPr>
          <w:szCs w:val="22"/>
          <w:lang w:val="en-US"/>
        </w:rPr>
        <w:t xml:space="preserve"> </w:t>
      </w:r>
      <w:r w:rsidR="00FB4DE7" w:rsidRPr="00C0765A">
        <w:rPr>
          <w:lang w:val="en-US"/>
        </w:rPr>
        <w:t xml:space="preserve">(Cheng et al., 2016; Jelinčić, </w:t>
      </w:r>
      <w:r w:rsidR="00FB4DE7" w:rsidRPr="00C0765A">
        <w:rPr>
          <w:lang w:val="en-US"/>
        </w:rPr>
        <w:lastRenderedPageBreak/>
        <w:t>Torta, et al., 2021)</w:t>
      </w:r>
      <w:r w:rsidR="00463E63" w:rsidRPr="00C0765A">
        <w:rPr>
          <w:szCs w:val="22"/>
          <w:lang w:val="en-US"/>
        </w:rPr>
        <w:t xml:space="preserve">. There are two </w:t>
      </w:r>
      <w:r w:rsidR="00FF22A7" w:rsidRPr="00C0765A">
        <w:rPr>
          <w:szCs w:val="22"/>
          <w:lang w:val="en-US"/>
        </w:rPr>
        <w:t>mechanisms</w:t>
      </w:r>
      <w:r w:rsidR="00463E63" w:rsidRPr="00C0765A">
        <w:rPr>
          <w:szCs w:val="22"/>
          <w:lang w:val="en-US"/>
        </w:rPr>
        <w:t xml:space="preserve"> </w:t>
      </w:r>
      <w:r w:rsidR="00FF22A7" w:rsidRPr="00C0765A">
        <w:rPr>
          <w:szCs w:val="22"/>
          <w:lang w:val="en-US"/>
        </w:rPr>
        <w:t>by</w:t>
      </w:r>
      <w:r w:rsidR="00463E63" w:rsidRPr="00C0765A">
        <w:rPr>
          <w:szCs w:val="22"/>
          <w:lang w:val="en-US"/>
        </w:rPr>
        <w:t xml:space="preserve"> which </w:t>
      </w:r>
      <w:proofErr w:type="spellStart"/>
      <w:r w:rsidR="00FF22A7" w:rsidRPr="00C0765A">
        <w:rPr>
          <w:szCs w:val="22"/>
          <w:lang w:val="en-US"/>
        </w:rPr>
        <w:t>taVNS</w:t>
      </w:r>
      <w:proofErr w:type="spellEnd"/>
      <w:r w:rsidR="00FF22A7" w:rsidRPr="00C0765A">
        <w:rPr>
          <w:szCs w:val="22"/>
          <w:lang w:val="en-US"/>
        </w:rPr>
        <w:t xml:space="preserve"> could affect neural gating</w:t>
      </w:r>
      <w:r w:rsidR="00C97267" w:rsidRPr="00C0765A">
        <w:rPr>
          <w:szCs w:val="22"/>
          <w:lang w:val="en-US"/>
        </w:rPr>
        <w:t xml:space="preserve">, </w:t>
      </w:r>
      <w:r w:rsidR="00875D46" w:rsidRPr="00C0765A">
        <w:rPr>
          <w:szCs w:val="22"/>
          <w:lang w:val="en-US"/>
        </w:rPr>
        <w:t xml:space="preserve">both </w:t>
      </w:r>
      <w:r w:rsidR="00140243" w:rsidRPr="00C0765A">
        <w:rPr>
          <w:szCs w:val="22"/>
          <w:lang w:val="en-US"/>
        </w:rPr>
        <w:t>explainable by</w:t>
      </w:r>
      <w:r w:rsidR="00C97267" w:rsidRPr="00C0765A">
        <w:rPr>
          <w:szCs w:val="22"/>
          <w:lang w:val="en-US"/>
        </w:rPr>
        <w:t xml:space="preserve"> the LC-NA hypothesis: </w:t>
      </w:r>
      <w:r w:rsidR="00875D46" w:rsidRPr="00C0765A">
        <w:rPr>
          <w:szCs w:val="22"/>
          <w:lang w:val="en-US"/>
        </w:rPr>
        <w:t xml:space="preserve">an </w:t>
      </w:r>
      <w:r w:rsidR="005D34BD" w:rsidRPr="00C0765A">
        <w:rPr>
          <w:szCs w:val="22"/>
          <w:lang w:val="en-US"/>
        </w:rPr>
        <w:t xml:space="preserve">increase in noradrenergic transmission could result in </w:t>
      </w:r>
      <w:r w:rsidR="006B594E" w:rsidRPr="00C0765A">
        <w:rPr>
          <w:szCs w:val="22"/>
          <w:lang w:val="en-US"/>
        </w:rPr>
        <w:t xml:space="preserve">a </w:t>
      </w:r>
      <w:r w:rsidR="005D34BD" w:rsidRPr="00C0765A">
        <w:rPr>
          <w:szCs w:val="22"/>
          <w:lang w:val="en-US"/>
        </w:rPr>
        <w:t>general increase in cortical excitability</w:t>
      </w:r>
      <w:r w:rsidR="00875D46" w:rsidRPr="00C0765A">
        <w:rPr>
          <w:szCs w:val="22"/>
          <w:lang w:val="en-US"/>
        </w:rPr>
        <w:t xml:space="preserve"> </w:t>
      </w:r>
      <w:r w:rsidR="008F6091" w:rsidRPr="00C0765A">
        <w:rPr>
          <w:lang w:val="en-US"/>
        </w:rPr>
        <w:t>(Capone et al., 2015)</w:t>
      </w:r>
      <w:r w:rsidR="005D34BD" w:rsidRPr="00C0765A">
        <w:rPr>
          <w:szCs w:val="22"/>
          <w:lang w:val="en-US"/>
        </w:rPr>
        <w:t>, lead</w:t>
      </w:r>
      <w:r w:rsidR="006B594E" w:rsidRPr="00C0765A">
        <w:rPr>
          <w:szCs w:val="22"/>
          <w:lang w:val="en-US"/>
        </w:rPr>
        <w:t>ing</w:t>
      </w:r>
      <w:r w:rsidR="005D34BD" w:rsidRPr="00C0765A">
        <w:rPr>
          <w:szCs w:val="22"/>
          <w:lang w:val="en-US"/>
        </w:rPr>
        <w:t xml:space="preserve"> to </w:t>
      </w:r>
      <w:r w:rsidR="00A914AF" w:rsidRPr="00C0765A">
        <w:rPr>
          <w:szCs w:val="22"/>
          <w:lang w:val="en-US"/>
        </w:rPr>
        <w:t xml:space="preserve">a </w:t>
      </w:r>
      <w:r w:rsidR="005D34BD" w:rsidRPr="00C0765A">
        <w:rPr>
          <w:szCs w:val="22"/>
          <w:lang w:val="en-US"/>
        </w:rPr>
        <w:t>smaller suppression</w:t>
      </w:r>
      <w:r w:rsidR="00D85089" w:rsidRPr="00C0765A">
        <w:rPr>
          <w:szCs w:val="22"/>
          <w:lang w:val="en-US"/>
        </w:rPr>
        <w:t xml:space="preserve"> of the second stimulus</w:t>
      </w:r>
      <w:r w:rsidR="00C42A83" w:rsidRPr="00C0765A">
        <w:rPr>
          <w:szCs w:val="22"/>
          <w:lang w:val="en-US"/>
        </w:rPr>
        <w:t xml:space="preserve"> (and thereby reduced neural gating)</w:t>
      </w:r>
      <w:r w:rsidR="006B594E" w:rsidRPr="00C0765A">
        <w:rPr>
          <w:szCs w:val="22"/>
          <w:lang w:val="en-US"/>
        </w:rPr>
        <w:t xml:space="preserve">. Alternatively, </w:t>
      </w:r>
      <w:r w:rsidR="008E0863" w:rsidRPr="00C0765A">
        <w:rPr>
          <w:szCs w:val="22"/>
          <w:lang w:val="en-US"/>
        </w:rPr>
        <w:t xml:space="preserve">an increase in NA could promote </w:t>
      </w:r>
      <w:r w:rsidR="005B6F4D" w:rsidRPr="00C0765A">
        <w:rPr>
          <w:szCs w:val="22"/>
          <w:lang w:val="en-US"/>
        </w:rPr>
        <w:t>neural gating via more</w:t>
      </w:r>
      <w:r w:rsidR="008E0863" w:rsidRPr="00C0765A">
        <w:rPr>
          <w:szCs w:val="22"/>
          <w:lang w:val="en-US"/>
        </w:rPr>
        <w:t xml:space="preserve"> efficient attentional </w:t>
      </w:r>
      <w:r w:rsidR="00A914AF" w:rsidRPr="00C0765A">
        <w:rPr>
          <w:szCs w:val="22"/>
          <w:lang w:val="en-US"/>
        </w:rPr>
        <w:t>processing, leading to a higher suppression of the second stimulus</w:t>
      </w:r>
      <w:r w:rsidR="00C61CA7" w:rsidRPr="00C0765A">
        <w:rPr>
          <w:szCs w:val="22"/>
          <w:lang w:val="en-US"/>
        </w:rPr>
        <w:t>.</w:t>
      </w:r>
      <w:r w:rsidR="00E37ED4" w:rsidRPr="00C0765A">
        <w:rPr>
          <w:szCs w:val="22"/>
          <w:lang w:val="en-US"/>
        </w:rPr>
        <w:t xml:space="preserve"> Previous </w:t>
      </w:r>
      <w:r w:rsidR="005E3D37" w:rsidRPr="00C0765A">
        <w:rPr>
          <w:szCs w:val="22"/>
          <w:lang w:val="en-US"/>
        </w:rPr>
        <w:t xml:space="preserve">pharmacological </w:t>
      </w:r>
      <w:r w:rsidR="00E37ED4" w:rsidRPr="00C0765A">
        <w:rPr>
          <w:szCs w:val="22"/>
          <w:lang w:val="en-US"/>
        </w:rPr>
        <w:t xml:space="preserve">studies </w:t>
      </w:r>
      <w:r w:rsidR="009F5210" w:rsidRPr="00C0765A">
        <w:rPr>
          <w:szCs w:val="22"/>
          <w:lang w:val="en-US"/>
        </w:rPr>
        <w:t xml:space="preserve">found that increasing NA transmission in healthy </w:t>
      </w:r>
      <w:r w:rsidR="005B6F4D" w:rsidRPr="00C0765A">
        <w:rPr>
          <w:szCs w:val="22"/>
          <w:lang w:val="en-US"/>
        </w:rPr>
        <w:t>adults</w:t>
      </w:r>
      <w:r w:rsidR="009F5210" w:rsidRPr="00C0765A">
        <w:rPr>
          <w:szCs w:val="22"/>
          <w:lang w:val="en-US"/>
        </w:rPr>
        <w:t xml:space="preserve"> </w:t>
      </w:r>
      <w:r w:rsidR="005B6F4D" w:rsidRPr="00C0765A">
        <w:rPr>
          <w:szCs w:val="22"/>
          <w:lang w:val="en-US"/>
        </w:rPr>
        <w:t>reduced</w:t>
      </w:r>
      <w:r w:rsidR="002212E8" w:rsidRPr="00C0765A">
        <w:rPr>
          <w:szCs w:val="22"/>
          <w:lang w:val="en-US"/>
        </w:rPr>
        <w:t xml:space="preserve"> neural gating </w:t>
      </w:r>
      <w:r w:rsidR="00E25FBD" w:rsidRPr="00C0765A">
        <w:rPr>
          <w:lang w:val="en-US"/>
        </w:rPr>
        <w:t>(Adler et al., 1994; Stevens et al., 1993)</w:t>
      </w:r>
      <w:r w:rsidR="00E25FBD" w:rsidRPr="00C0765A">
        <w:rPr>
          <w:szCs w:val="22"/>
          <w:lang w:val="en-US"/>
        </w:rPr>
        <w:t xml:space="preserve">, however </w:t>
      </w:r>
      <w:r w:rsidR="00990EA8" w:rsidRPr="00C0765A">
        <w:rPr>
          <w:szCs w:val="22"/>
          <w:lang w:val="en-US"/>
        </w:rPr>
        <w:t>two studies using non-invasive VNS found</w:t>
      </w:r>
      <w:r w:rsidR="00FD0304" w:rsidRPr="00C0765A">
        <w:rPr>
          <w:szCs w:val="22"/>
          <w:lang w:val="en-US"/>
        </w:rPr>
        <w:t xml:space="preserve"> enhancement of neural gating </w:t>
      </w:r>
      <w:r w:rsidR="00FD0304" w:rsidRPr="00C0765A">
        <w:rPr>
          <w:lang w:val="en-US"/>
        </w:rPr>
        <w:t>(Lewine et al., 2019)</w:t>
      </w:r>
      <w:r w:rsidR="00FD0304" w:rsidRPr="00C0765A">
        <w:rPr>
          <w:szCs w:val="22"/>
          <w:lang w:val="en-US"/>
        </w:rPr>
        <w:t xml:space="preserve"> </w:t>
      </w:r>
      <w:r w:rsidR="00DC2BDC" w:rsidRPr="00C0765A">
        <w:rPr>
          <w:szCs w:val="22"/>
          <w:lang w:val="en-US"/>
        </w:rPr>
        <w:t>or</w:t>
      </w:r>
      <w:r w:rsidR="00FD0304" w:rsidRPr="00C0765A">
        <w:rPr>
          <w:szCs w:val="22"/>
          <w:lang w:val="en-US"/>
        </w:rPr>
        <w:t xml:space="preserve"> no effect </w:t>
      </w:r>
      <w:r w:rsidR="00FD0304" w:rsidRPr="00C0765A">
        <w:rPr>
          <w:lang w:val="en-US"/>
        </w:rPr>
        <w:t>(Mercante et al., 2023)</w:t>
      </w:r>
      <w:r w:rsidR="00DC2BDC" w:rsidRPr="00C0765A">
        <w:rPr>
          <w:szCs w:val="22"/>
          <w:lang w:val="en-US"/>
        </w:rPr>
        <w:t>, respectively</w:t>
      </w:r>
      <w:r w:rsidR="00E07427" w:rsidRPr="00C0765A">
        <w:rPr>
          <w:szCs w:val="22"/>
          <w:lang w:val="en-US"/>
        </w:rPr>
        <w:t xml:space="preserve">. Importantly, all the above mentioned studies investigated neural gating of auditory stimuli, with no studies addressing the potential effects of </w:t>
      </w:r>
      <w:proofErr w:type="spellStart"/>
      <w:r w:rsidR="00E07427" w:rsidRPr="00C0765A">
        <w:rPr>
          <w:szCs w:val="22"/>
          <w:lang w:val="en-US"/>
        </w:rPr>
        <w:t>taVNS</w:t>
      </w:r>
      <w:proofErr w:type="spellEnd"/>
      <w:r w:rsidR="00E07427" w:rsidRPr="00C0765A">
        <w:rPr>
          <w:szCs w:val="22"/>
          <w:lang w:val="en-US"/>
        </w:rPr>
        <w:t xml:space="preserve"> induced NA transmission on neural gating of respiratory or somatosensory sensations. Given that </w:t>
      </w:r>
      <w:r w:rsidR="00F54ED8" w:rsidRPr="00C0765A">
        <w:rPr>
          <w:szCs w:val="22"/>
          <w:lang w:val="en-US"/>
        </w:rPr>
        <w:t xml:space="preserve">neural gating is thought to be partially </w:t>
      </w:r>
      <w:r w:rsidR="004D2847" w:rsidRPr="00C0765A">
        <w:rPr>
          <w:szCs w:val="22"/>
          <w:lang w:val="en-US"/>
        </w:rPr>
        <w:t>elicited</w:t>
      </w:r>
      <w:r w:rsidR="00F54ED8" w:rsidRPr="00C0765A">
        <w:rPr>
          <w:szCs w:val="22"/>
          <w:lang w:val="en-US"/>
        </w:rPr>
        <w:t xml:space="preserve"> by bottom-up, sensory processes </w:t>
      </w:r>
      <w:r w:rsidR="00F54ED8" w:rsidRPr="00C0765A">
        <w:rPr>
          <w:lang w:val="en-US"/>
        </w:rPr>
        <w:t>(Chan &amp; Davenport, 2008; Edgar et al., 2005)</w:t>
      </w:r>
      <w:r w:rsidR="00BA3D75" w:rsidRPr="00C0765A">
        <w:rPr>
          <w:szCs w:val="22"/>
          <w:lang w:val="en-US"/>
        </w:rPr>
        <w:t xml:space="preserve">, </w:t>
      </w:r>
      <w:r w:rsidR="00940506" w:rsidRPr="00C0765A">
        <w:rPr>
          <w:szCs w:val="22"/>
          <w:lang w:val="en-US"/>
        </w:rPr>
        <w:t xml:space="preserve">and that it is known to relate to chronic conditions </w:t>
      </w:r>
      <w:r w:rsidR="002C6169" w:rsidRPr="00C0765A">
        <w:rPr>
          <w:szCs w:val="22"/>
          <w:lang w:val="en-US"/>
        </w:rPr>
        <w:t>such as migraine</w:t>
      </w:r>
      <w:r w:rsidR="00146141" w:rsidRPr="00C0765A">
        <w:rPr>
          <w:szCs w:val="22"/>
          <w:lang w:val="en-US"/>
        </w:rPr>
        <w:t xml:space="preserve"> </w:t>
      </w:r>
      <w:r w:rsidR="00146141" w:rsidRPr="006470CD">
        <w:rPr>
          <w:lang w:val="en-US"/>
        </w:rPr>
        <w:t>(Hsiao et al., 2018)</w:t>
      </w:r>
      <w:r w:rsidR="002C6169" w:rsidRPr="006470CD">
        <w:rPr>
          <w:szCs w:val="22"/>
          <w:lang w:val="en-US"/>
        </w:rPr>
        <w:t xml:space="preserve">, </w:t>
      </w:r>
      <w:r w:rsidR="00A16B2A" w:rsidRPr="006470CD">
        <w:rPr>
          <w:szCs w:val="22"/>
          <w:lang w:val="en-US"/>
        </w:rPr>
        <w:t>fibromyalgia</w:t>
      </w:r>
      <w:r w:rsidR="00146141" w:rsidRPr="006470CD">
        <w:rPr>
          <w:szCs w:val="22"/>
          <w:lang w:val="en-US"/>
        </w:rPr>
        <w:t xml:space="preserve"> </w:t>
      </w:r>
      <w:r w:rsidR="00146141" w:rsidRPr="006470CD">
        <w:rPr>
          <w:lang w:val="en-US"/>
        </w:rPr>
        <w:t>(Montoya et al., 2006)</w:t>
      </w:r>
      <w:r w:rsidR="002C6169" w:rsidRPr="006470CD">
        <w:rPr>
          <w:szCs w:val="22"/>
          <w:lang w:val="en-US"/>
        </w:rPr>
        <w:t xml:space="preserve">, and chronic </w:t>
      </w:r>
      <w:r w:rsidR="00CE0F3D" w:rsidRPr="006470CD">
        <w:rPr>
          <w:szCs w:val="22"/>
          <w:lang w:val="en-US"/>
        </w:rPr>
        <w:t>obstructive pulmonary disease</w:t>
      </w:r>
      <w:r w:rsidR="00A16B2A" w:rsidRPr="006470CD">
        <w:rPr>
          <w:szCs w:val="22"/>
          <w:lang w:val="en-US"/>
        </w:rPr>
        <w:t xml:space="preserve"> </w:t>
      </w:r>
      <w:r w:rsidR="00A16B2A" w:rsidRPr="00C0765A">
        <w:rPr>
          <w:lang w:val="en-US"/>
        </w:rPr>
        <w:t>(Denutte et al., 2020)</w:t>
      </w:r>
      <w:r w:rsidR="00CE0F3D" w:rsidRPr="00C0765A">
        <w:rPr>
          <w:szCs w:val="22"/>
          <w:lang w:val="en-US"/>
        </w:rPr>
        <w:t xml:space="preserve">, </w:t>
      </w:r>
      <w:r w:rsidR="00BA3D75" w:rsidRPr="00C0765A">
        <w:rPr>
          <w:szCs w:val="22"/>
          <w:lang w:val="en-US"/>
        </w:rPr>
        <w:t>it is important to investigate whether any effects</w:t>
      </w:r>
      <w:r w:rsidR="00CE0F3D" w:rsidRPr="00C0765A">
        <w:rPr>
          <w:szCs w:val="22"/>
          <w:lang w:val="en-US"/>
        </w:rPr>
        <w:t xml:space="preserve"> of </w:t>
      </w:r>
      <w:proofErr w:type="spellStart"/>
      <w:r w:rsidR="00CE0F3D" w:rsidRPr="00C0765A">
        <w:rPr>
          <w:szCs w:val="22"/>
          <w:lang w:val="en-US"/>
        </w:rPr>
        <w:t>taVNS</w:t>
      </w:r>
      <w:proofErr w:type="spellEnd"/>
      <w:r w:rsidR="00BA3D75" w:rsidRPr="00C0765A">
        <w:rPr>
          <w:szCs w:val="22"/>
          <w:lang w:val="en-US"/>
        </w:rPr>
        <w:t xml:space="preserve"> on auditory gating </w:t>
      </w:r>
      <w:r w:rsidR="002B6315" w:rsidRPr="00C0765A">
        <w:rPr>
          <w:szCs w:val="22"/>
          <w:lang w:val="en-US"/>
        </w:rPr>
        <w:t xml:space="preserve">generalize to </w:t>
      </w:r>
      <w:r w:rsidR="0031586D" w:rsidRPr="00C0765A">
        <w:rPr>
          <w:szCs w:val="22"/>
          <w:lang w:val="en-US"/>
        </w:rPr>
        <w:t>the</w:t>
      </w:r>
      <w:r w:rsidR="002B6315" w:rsidRPr="00C0765A">
        <w:rPr>
          <w:szCs w:val="22"/>
          <w:lang w:val="en-US"/>
        </w:rPr>
        <w:t xml:space="preserve"> processing</w:t>
      </w:r>
      <w:r w:rsidR="0031586D" w:rsidRPr="00C0765A">
        <w:rPr>
          <w:szCs w:val="22"/>
          <w:lang w:val="en-US"/>
        </w:rPr>
        <w:t xml:space="preserve"> of bodily sensations</w:t>
      </w:r>
      <w:r w:rsidR="002B6315" w:rsidRPr="00C0765A">
        <w:rPr>
          <w:szCs w:val="22"/>
          <w:lang w:val="en-US"/>
        </w:rPr>
        <w:t>.</w:t>
      </w:r>
      <w:r w:rsidR="00557E0D" w:rsidRPr="00C0765A">
        <w:rPr>
          <w:szCs w:val="22"/>
          <w:lang w:val="en-US"/>
        </w:rPr>
        <w:t xml:space="preserve"> </w:t>
      </w:r>
    </w:p>
    <w:p w14:paraId="63CB72B2" w14:textId="3E991111" w:rsidR="007B17C5" w:rsidRPr="00C0765A" w:rsidRDefault="00C61CA7" w:rsidP="00782BCD">
      <w:pPr>
        <w:rPr>
          <w:szCs w:val="22"/>
          <w:lang w:val="en-US"/>
        </w:rPr>
      </w:pPr>
      <w:r w:rsidRPr="00C0765A">
        <w:rPr>
          <w:szCs w:val="22"/>
          <w:lang w:val="en-US"/>
        </w:rPr>
        <w:t xml:space="preserve">In the current study, we investigated the effects of </w:t>
      </w:r>
      <w:r w:rsidR="003542A0" w:rsidRPr="00C0765A">
        <w:rPr>
          <w:szCs w:val="22"/>
          <w:lang w:val="en-US"/>
        </w:rPr>
        <w:t xml:space="preserve">continuous short-term (45min) </w:t>
      </w:r>
      <w:proofErr w:type="spellStart"/>
      <w:r w:rsidR="003542A0" w:rsidRPr="00C0765A">
        <w:rPr>
          <w:szCs w:val="22"/>
          <w:lang w:val="en-US"/>
        </w:rPr>
        <w:t>taVNS</w:t>
      </w:r>
      <w:proofErr w:type="spellEnd"/>
      <w:r w:rsidR="003542A0" w:rsidRPr="00C0765A">
        <w:rPr>
          <w:szCs w:val="22"/>
          <w:lang w:val="en-US"/>
        </w:rPr>
        <w:t xml:space="preserve"> on </w:t>
      </w:r>
      <w:r w:rsidR="00555E8A" w:rsidRPr="00C0765A">
        <w:rPr>
          <w:szCs w:val="22"/>
          <w:lang w:val="en-US"/>
        </w:rPr>
        <w:t>peak amplitudes of early</w:t>
      </w:r>
      <w:r w:rsidR="003A1F0D" w:rsidRPr="00C0765A">
        <w:rPr>
          <w:szCs w:val="22"/>
          <w:lang w:val="en-US"/>
        </w:rPr>
        <w:t xml:space="preserve"> (P50)</w:t>
      </w:r>
      <w:r w:rsidR="00555E8A" w:rsidRPr="00C0765A">
        <w:rPr>
          <w:szCs w:val="22"/>
          <w:lang w:val="en-US"/>
        </w:rPr>
        <w:t>, mid-latency</w:t>
      </w:r>
      <w:r w:rsidR="003A1F0D" w:rsidRPr="00C0765A">
        <w:rPr>
          <w:szCs w:val="22"/>
          <w:lang w:val="en-US"/>
        </w:rPr>
        <w:t xml:space="preserve"> (N1)</w:t>
      </w:r>
      <w:r w:rsidR="00555E8A" w:rsidRPr="00C0765A">
        <w:rPr>
          <w:szCs w:val="22"/>
          <w:lang w:val="en-US"/>
        </w:rPr>
        <w:t xml:space="preserve"> and long-latency</w:t>
      </w:r>
      <w:r w:rsidR="003A1F0D" w:rsidRPr="00C0765A">
        <w:rPr>
          <w:szCs w:val="22"/>
          <w:lang w:val="en-US"/>
        </w:rPr>
        <w:t xml:space="preserve"> (P2)</w:t>
      </w:r>
      <w:r w:rsidR="00555E8A" w:rsidRPr="00C0765A">
        <w:rPr>
          <w:szCs w:val="22"/>
          <w:lang w:val="en-US"/>
        </w:rPr>
        <w:t xml:space="preserve"> ERP components</w:t>
      </w:r>
      <w:r w:rsidR="006B76D2" w:rsidRPr="00C0765A">
        <w:rPr>
          <w:szCs w:val="22"/>
          <w:lang w:val="en-US"/>
        </w:rPr>
        <w:t>, as well as neural gating,</w:t>
      </w:r>
      <w:r w:rsidR="00555E8A" w:rsidRPr="00C0765A">
        <w:rPr>
          <w:szCs w:val="22"/>
          <w:lang w:val="en-US"/>
        </w:rPr>
        <w:t xml:space="preserve"> in three sensory modalities: auditory, respiratory, and somatosensory. </w:t>
      </w:r>
      <w:r w:rsidR="00365C1C" w:rsidRPr="00C0765A">
        <w:rPr>
          <w:szCs w:val="22"/>
          <w:lang w:val="en-US"/>
        </w:rPr>
        <w:t xml:space="preserve">Very few studies thus far have investigated the effects of </w:t>
      </w:r>
      <w:proofErr w:type="spellStart"/>
      <w:r w:rsidR="00365C1C" w:rsidRPr="00C0765A">
        <w:rPr>
          <w:szCs w:val="22"/>
          <w:lang w:val="en-US"/>
        </w:rPr>
        <w:t>taVNS</w:t>
      </w:r>
      <w:proofErr w:type="spellEnd"/>
      <w:r w:rsidR="00365C1C" w:rsidRPr="00C0765A">
        <w:rPr>
          <w:szCs w:val="22"/>
          <w:lang w:val="en-US"/>
        </w:rPr>
        <w:t xml:space="preserve"> on cortical processing of</w:t>
      </w:r>
      <w:r w:rsidR="006B76D2" w:rsidRPr="00C0765A">
        <w:rPr>
          <w:szCs w:val="22"/>
          <w:lang w:val="en-US"/>
        </w:rPr>
        <w:t xml:space="preserve"> bodily-related stimuli, and no studies have conducted a cross-modal investigation of these effects. </w:t>
      </w:r>
      <w:r w:rsidR="00B37F2D" w:rsidRPr="00C0765A">
        <w:rPr>
          <w:szCs w:val="22"/>
          <w:lang w:val="en-US"/>
        </w:rPr>
        <w:t>We hypothesized increased ERP amplitudes in all modalities,</w:t>
      </w:r>
      <w:r w:rsidR="00D308DB" w:rsidRPr="00C0765A">
        <w:rPr>
          <w:szCs w:val="22"/>
          <w:lang w:val="en-US"/>
        </w:rPr>
        <w:t xml:space="preserve"> given the findings of increased cortical excitability due to </w:t>
      </w:r>
      <w:proofErr w:type="spellStart"/>
      <w:r w:rsidR="00D308DB" w:rsidRPr="00C0765A">
        <w:rPr>
          <w:szCs w:val="22"/>
          <w:lang w:val="en-US"/>
        </w:rPr>
        <w:t>taVNS</w:t>
      </w:r>
      <w:proofErr w:type="spellEnd"/>
      <w:r w:rsidR="00D308DB" w:rsidRPr="00C0765A">
        <w:rPr>
          <w:szCs w:val="22"/>
          <w:lang w:val="en-US"/>
        </w:rPr>
        <w:t>.</w:t>
      </w:r>
      <w:r w:rsidR="00B37F2D" w:rsidRPr="00C0765A">
        <w:rPr>
          <w:szCs w:val="22"/>
          <w:lang w:val="en-US"/>
        </w:rPr>
        <w:t xml:space="preserve"> </w:t>
      </w:r>
      <w:r w:rsidR="00D308DB" w:rsidRPr="00C0765A">
        <w:rPr>
          <w:szCs w:val="22"/>
          <w:lang w:val="en-US"/>
        </w:rPr>
        <w:t>We anticipated</w:t>
      </w:r>
      <w:r w:rsidR="00B37F2D" w:rsidRPr="00C0765A">
        <w:rPr>
          <w:szCs w:val="22"/>
          <w:lang w:val="en-US"/>
        </w:rPr>
        <w:t xml:space="preserve"> effects on neural gating, </w:t>
      </w:r>
      <w:r w:rsidR="00D308DB" w:rsidRPr="00C0765A">
        <w:rPr>
          <w:szCs w:val="22"/>
          <w:lang w:val="en-US"/>
        </w:rPr>
        <w:t xml:space="preserve">however did not hypothesize directional effects, </w:t>
      </w:r>
      <w:r w:rsidR="00B37F2D" w:rsidRPr="00C0765A">
        <w:rPr>
          <w:szCs w:val="22"/>
          <w:lang w:val="en-US"/>
        </w:rPr>
        <w:t xml:space="preserve">given the lack of </w:t>
      </w:r>
      <w:r w:rsidR="00D308DB" w:rsidRPr="00C0765A">
        <w:rPr>
          <w:szCs w:val="22"/>
          <w:lang w:val="en-US"/>
        </w:rPr>
        <w:t>prior</w:t>
      </w:r>
      <w:r w:rsidR="00B37F2D" w:rsidRPr="00C0765A">
        <w:rPr>
          <w:szCs w:val="22"/>
          <w:lang w:val="en-US"/>
        </w:rPr>
        <w:t xml:space="preserve"> literature. </w:t>
      </w:r>
      <w:r w:rsidR="00782BCD" w:rsidRPr="00C0765A">
        <w:rPr>
          <w:szCs w:val="22"/>
          <w:lang w:val="en-US"/>
        </w:rPr>
        <w:t>Based on previous research, we also included measures of resting-state alpha oscillations, salivary alpha-amylase</w:t>
      </w:r>
      <w:r w:rsidR="003727D9" w:rsidRPr="00C0765A">
        <w:rPr>
          <w:szCs w:val="22"/>
          <w:lang w:val="en-US"/>
        </w:rPr>
        <w:t xml:space="preserve"> (</w:t>
      </w:r>
      <w:proofErr w:type="spellStart"/>
      <w:r w:rsidR="003727D9" w:rsidRPr="00C0765A">
        <w:rPr>
          <w:szCs w:val="22"/>
          <w:lang w:val="en-US"/>
        </w:rPr>
        <w:t>sAA</w:t>
      </w:r>
      <w:proofErr w:type="spellEnd"/>
      <w:r w:rsidR="003727D9" w:rsidRPr="00C0765A">
        <w:rPr>
          <w:szCs w:val="22"/>
          <w:lang w:val="en-US"/>
        </w:rPr>
        <w:t>)</w:t>
      </w:r>
      <w:r w:rsidR="00782BCD" w:rsidRPr="00C0765A">
        <w:rPr>
          <w:szCs w:val="22"/>
          <w:lang w:val="en-US"/>
        </w:rPr>
        <w:t xml:space="preserve"> and </w:t>
      </w:r>
      <w:r w:rsidR="00D70742" w:rsidRPr="00C0765A">
        <w:rPr>
          <w:szCs w:val="22"/>
          <w:lang w:val="en-US"/>
        </w:rPr>
        <w:t>subjective experienced arousal</w:t>
      </w:r>
      <w:r w:rsidR="00782BCD" w:rsidRPr="00C0765A">
        <w:rPr>
          <w:szCs w:val="22"/>
          <w:lang w:val="en-US"/>
        </w:rPr>
        <w:t>.</w:t>
      </w:r>
      <w:r w:rsidR="003727D9" w:rsidRPr="00C0765A">
        <w:rPr>
          <w:szCs w:val="22"/>
          <w:lang w:val="en-US"/>
        </w:rPr>
        <w:t xml:space="preserve"> We hypothesized that </w:t>
      </w:r>
      <w:proofErr w:type="spellStart"/>
      <w:r w:rsidR="003727D9" w:rsidRPr="00C0765A">
        <w:rPr>
          <w:szCs w:val="22"/>
          <w:lang w:val="en-US"/>
        </w:rPr>
        <w:t>taVNS</w:t>
      </w:r>
      <w:proofErr w:type="spellEnd"/>
      <w:r w:rsidR="003727D9" w:rsidRPr="00C0765A">
        <w:rPr>
          <w:szCs w:val="22"/>
          <w:lang w:val="en-US"/>
        </w:rPr>
        <w:t xml:space="preserve">, relative to Sham stimulation, would suppress alpha oscillations, and increase </w:t>
      </w:r>
      <w:proofErr w:type="spellStart"/>
      <w:r w:rsidR="003727D9" w:rsidRPr="00C0765A">
        <w:rPr>
          <w:szCs w:val="22"/>
          <w:lang w:val="en-US"/>
        </w:rPr>
        <w:t>sAA</w:t>
      </w:r>
      <w:proofErr w:type="spellEnd"/>
      <w:r w:rsidR="003727D9" w:rsidRPr="00C0765A">
        <w:rPr>
          <w:szCs w:val="22"/>
          <w:lang w:val="en-US"/>
        </w:rPr>
        <w:t xml:space="preserve"> and arousal.</w:t>
      </w:r>
    </w:p>
    <w:p w14:paraId="5E1BD68B" w14:textId="77777777" w:rsidR="007B17C5" w:rsidRPr="00C0765A" w:rsidRDefault="007B17C5">
      <w:pPr>
        <w:spacing w:after="160" w:line="259" w:lineRule="auto"/>
        <w:rPr>
          <w:sz w:val="20"/>
          <w:szCs w:val="20"/>
          <w:lang w:val="en-US"/>
        </w:rPr>
      </w:pPr>
      <w:r w:rsidRPr="00C0765A">
        <w:rPr>
          <w:sz w:val="20"/>
          <w:szCs w:val="20"/>
          <w:lang w:val="en-US"/>
        </w:rPr>
        <w:br w:type="page"/>
      </w:r>
    </w:p>
    <w:p w14:paraId="0C81893B" w14:textId="00667BB4" w:rsidR="007B17C5" w:rsidRPr="00C0765A" w:rsidRDefault="00517A40" w:rsidP="00517A40">
      <w:pPr>
        <w:pStyle w:val="Heading1"/>
        <w:rPr>
          <w:lang w:val="en-US"/>
        </w:rPr>
      </w:pPr>
      <w:r w:rsidRPr="00C0765A">
        <w:rPr>
          <w:lang w:val="en-US"/>
        </w:rPr>
        <w:lastRenderedPageBreak/>
        <w:t xml:space="preserve">2. </w:t>
      </w:r>
      <w:r w:rsidR="007B17C5" w:rsidRPr="00C0765A">
        <w:rPr>
          <w:lang w:val="en-US"/>
        </w:rPr>
        <w:t>Method</w:t>
      </w:r>
    </w:p>
    <w:p w14:paraId="729158C8" w14:textId="133763AA" w:rsidR="00660CC7" w:rsidRPr="00C0765A" w:rsidRDefault="00660CC7" w:rsidP="00517A40">
      <w:pPr>
        <w:pStyle w:val="Heading2"/>
        <w:rPr>
          <w:lang w:val="en-US"/>
        </w:rPr>
      </w:pPr>
      <w:r w:rsidRPr="00C0765A">
        <w:rPr>
          <w:lang w:val="en-US"/>
        </w:rPr>
        <w:t>2.1 Participants</w:t>
      </w:r>
    </w:p>
    <w:p w14:paraId="4EB0CC43" w14:textId="54151BFF" w:rsidR="00D76C21" w:rsidRPr="00C0765A" w:rsidRDefault="00F37CC9" w:rsidP="00517A40">
      <w:pPr>
        <w:pStyle w:val="Heading3"/>
        <w:rPr>
          <w:lang w:val="en-US"/>
        </w:rPr>
      </w:pPr>
      <w:r w:rsidRPr="00C0765A">
        <w:rPr>
          <w:lang w:val="en-US"/>
        </w:rPr>
        <w:t>2.1.1 Power Analysis</w:t>
      </w:r>
    </w:p>
    <w:p w14:paraId="4E5470EE" w14:textId="091B9139" w:rsidR="0056725D" w:rsidRPr="00C0765A" w:rsidRDefault="00E00393" w:rsidP="00517A40">
      <w:pPr>
        <w:rPr>
          <w:lang w:val="en-US"/>
        </w:rPr>
      </w:pPr>
      <w:r w:rsidRPr="00C0765A">
        <w:rPr>
          <w:lang w:val="en-US"/>
        </w:rPr>
        <w:t xml:space="preserve">Based on our previous </w:t>
      </w:r>
      <w:r w:rsidR="009F4F46" w:rsidRPr="00C0765A">
        <w:rPr>
          <w:lang w:val="en-US"/>
        </w:rPr>
        <w:t>research</w:t>
      </w:r>
      <w:r w:rsidR="009D6671" w:rsidRPr="00C0765A">
        <w:rPr>
          <w:lang w:val="en-US"/>
        </w:rPr>
        <w:t>,</w:t>
      </w:r>
      <w:r w:rsidR="00605E0F" w:rsidRPr="00C0765A">
        <w:rPr>
          <w:lang w:val="en-US"/>
        </w:rPr>
        <w:t xml:space="preserve"> which </w:t>
      </w:r>
      <w:r w:rsidR="005E1E8B" w:rsidRPr="00C0765A">
        <w:rPr>
          <w:lang w:val="en-US"/>
        </w:rPr>
        <w:t>typically</w:t>
      </w:r>
      <w:r w:rsidR="00605E0F" w:rsidRPr="00C0765A">
        <w:rPr>
          <w:lang w:val="en-US"/>
        </w:rPr>
        <w:t xml:space="preserve"> found small effects of experimental manipulations on </w:t>
      </w:r>
      <w:r w:rsidR="00D46B05" w:rsidRPr="00C0765A">
        <w:rPr>
          <w:lang w:val="en-US"/>
        </w:rPr>
        <w:t xml:space="preserve">ERP amplitudes and </w:t>
      </w:r>
      <w:r w:rsidR="00605E0F" w:rsidRPr="00C0765A">
        <w:rPr>
          <w:lang w:val="en-US"/>
        </w:rPr>
        <w:t>neural gating</w:t>
      </w:r>
      <w:r w:rsidR="00C0574A" w:rsidRPr="00C0765A">
        <w:rPr>
          <w:lang w:val="en-US"/>
        </w:rPr>
        <w:t xml:space="preserve"> </w:t>
      </w:r>
      <w:r w:rsidR="004D6B8C" w:rsidRPr="00C0765A">
        <w:rPr>
          <w:lang w:val="en-US"/>
        </w:rPr>
        <w:t>(Jelinčić et al., 2023, 2024)</w:t>
      </w:r>
      <w:r w:rsidR="009F4F46" w:rsidRPr="00C0765A">
        <w:rPr>
          <w:lang w:val="en-US"/>
        </w:rPr>
        <w:t xml:space="preserve">, we powered the current study </w:t>
      </w:r>
      <w:r w:rsidR="0056725D" w:rsidRPr="00C0765A">
        <w:rPr>
          <w:lang w:val="en-US"/>
        </w:rPr>
        <w:t>to detect a small to medium effect</w:t>
      </w:r>
      <w:r w:rsidR="009F4F46" w:rsidRPr="00C0765A">
        <w:rPr>
          <w:lang w:val="en-US"/>
        </w:rPr>
        <w:t>. The power</w:t>
      </w:r>
      <w:r w:rsidR="0056725D" w:rsidRPr="00C0765A">
        <w:rPr>
          <w:lang w:val="en-US"/>
        </w:rPr>
        <w:t xml:space="preserve"> </w:t>
      </w:r>
      <w:r w:rsidR="009F4F46" w:rsidRPr="00C0765A">
        <w:rPr>
          <w:lang w:val="en-US"/>
        </w:rPr>
        <w:t xml:space="preserve">was estimated </w:t>
      </w:r>
      <w:r w:rsidR="0056725D" w:rsidRPr="00C0765A">
        <w:rPr>
          <w:lang w:val="en-US"/>
        </w:rPr>
        <w:t xml:space="preserve">given the sample size of </w:t>
      </w:r>
      <w:r w:rsidR="0056725D" w:rsidRPr="00C0765A">
        <w:rPr>
          <w:i/>
          <w:iCs/>
          <w:lang w:val="en-US"/>
        </w:rPr>
        <w:t>N</w:t>
      </w:r>
      <w:r w:rsidR="0056725D" w:rsidRPr="00C0765A">
        <w:rPr>
          <w:lang w:val="en-US"/>
        </w:rPr>
        <w:t xml:space="preserve"> = 40, using R packages </w:t>
      </w:r>
      <w:r w:rsidR="0056725D" w:rsidRPr="00C0765A">
        <w:rPr>
          <w:i/>
          <w:iCs/>
          <w:lang w:val="en-US"/>
        </w:rPr>
        <w:t>lme4</w:t>
      </w:r>
      <w:r w:rsidR="0056725D" w:rsidRPr="00C0765A">
        <w:rPr>
          <w:lang w:val="en-US"/>
        </w:rPr>
        <w:t xml:space="preserve"> </w:t>
      </w:r>
      <w:r w:rsidR="00FD4D56" w:rsidRPr="00C0765A">
        <w:rPr>
          <w:lang w:val="en-US"/>
        </w:rPr>
        <w:t>(Bates et al., 2014)</w:t>
      </w:r>
      <w:r w:rsidR="0056725D" w:rsidRPr="00C0765A">
        <w:rPr>
          <w:lang w:val="en-US"/>
        </w:rPr>
        <w:t xml:space="preserve"> and </w:t>
      </w:r>
      <w:r w:rsidR="0056725D" w:rsidRPr="00C0765A">
        <w:rPr>
          <w:i/>
          <w:iCs/>
          <w:lang w:val="en-US"/>
        </w:rPr>
        <w:t>SIMR</w:t>
      </w:r>
      <w:r w:rsidR="0056725D" w:rsidRPr="00C0765A">
        <w:rPr>
          <w:lang w:val="en-US"/>
        </w:rPr>
        <w:t xml:space="preserve"> </w:t>
      </w:r>
      <w:r w:rsidR="00FD4D56" w:rsidRPr="00C0765A">
        <w:rPr>
          <w:lang w:val="en-US"/>
        </w:rPr>
        <w:t>(Green &amp; MacLeod, 2016)</w:t>
      </w:r>
      <w:r w:rsidR="00642688" w:rsidRPr="00C0765A">
        <w:rPr>
          <w:lang w:val="en-US"/>
        </w:rPr>
        <w:t>, which</w:t>
      </w:r>
      <w:r w:rsidR="00350DCA" w:rsidRPr="00C0765A">
        <w:rPr>
          <w:lang w:val="en-US"/>
        </w:rPr>
        <w:t xml:space="preserve"> </w:t>
      </w:r>
      <w:r w:rsidR="0056725D" w:rsidRPr="00C0765A">
        <w:rPr>
          <w:lang w:val="en-US"/>
        </w:rPr>
        <w:t>simulate</w:t>
      </w:r>
      <w:r w:rsidR="00350DCA" w:rsidRPr="00C0765A">
        <w:rPr>
          <w:lang w:val="en-US"/>
        </w:rPr>
        <w:t>d</w:t>
      </w:r>
      <w:r w:rsidR="0056725D" w:rsidRPr="00C0765A">
        <w:rPr>
          <w:lang w:val="en-US"/>
        </w:rPr>
        <w:t xml:space="preserve"> 100 datasets with the </w:t>
      </w:r>
      <w:r w:rsidR="009A4C23" w:rsidRPr="00C0765A">
        <w:rPr>
          <w:lang w:val="en-US"/>
        </w:rPr>
        <w:t>specified</w:t>
      </w:r>
      <w:r w:rsidR="0056725D" w:rsidRPr="00C0765A">
        <w:rPr>
          <w:lang w:val="en-US"/>
        </w:rPr>
        <w:t xml:space="preserve"> underlying fixed and random effect structure using Monte Carlo simulations, and estimate</w:t>
      </w:r>
      <w:r w:rsidR="00350DCA" w:rsidRPr="00C0765A">
        <w:rPr>
          <w:lang w:val="en-US"/>
        </w:rPr>
        <w:t>d</w:t>
      </w:r>
      <w:r w:rsidR="0056725D" w:rsidRPr="00C0765A">
        <w:rPr>
          <w:lang w:val="en-US"/>
        </w:rPr>
        <w:t xml:space="preserve"> </w:t>
      </w:r>
      <w:r w:rsidR="00350DCA" w:rsidRPr="00C0765A">
        <w:rPr>
          <w:lang w:val="en-US"/>
        </w:rPr>
        <w:t xml:space="preserve">average </w:t>
      </w:r>
      <w:r w:rsidR="0056725D" w:rsidRPr="00C0765A">
        <w:rPr>
          <w:lang w:val="en-US"/>
        </w:rPr>
        <w:t xml:space="preserve">power to </w:t>
      </w:r>
      <w:r w:rsidR="0013478D" w:rsidRPr="00C0765A">
        <w:rPr>
          <w:lang w:val="en-US"/>
        </w:rPr>
        <w:t xml:space="preserve">correctly </w:t>
      </w:r>
      <w:r w:rsidR="0056725D" w:rsidRPr="00C0765A">
        <w:rPr>
          <w:lang w:val="en-US"/>
        </w:rPr>
        <w:t xml:space="preserve">reject </w:t>
      </w:r>
      <w:r w:rsidR="0013478D" w:rsidRPr="00C0765A">
        <w:rPr>
          <w:lang w:val="en-US"/>
        </w:rPr>
        <w:t xml:space="preserve">the </w:t>
      </w:r>
      <w:r w:rsidR="0056725D" w:rsidRPr="00C0765A">
        <w:rPr>
          <w:lang w:val="en-US"/>
        </w:rPr>
        <w:t xml:space="preserve">null-hypothesis. </w:t>
      </w:r>
      <w:r w:rsidR="00BE5D5C" w:rsidRPr="00C0765A">
        <w:rPr>
          <w:lang w:val="en-US"/>
        </w:rPr>
        <w:t xml:space="preserve">We specified the model with the following parameters: </w:t>
      </w:r>
      <w:r w:rsidR="004243BC" w:rsidRPr="00C0765A">
        <w:rPr>
          <w:lang w:val="en-US"/>
        </w:rPr>
        <w:t xml:space="preserve">intercept of 0.7 (neural gating ratio of 70%), </w:t>
      </w:r>
      <w:r w:rsidR="001C18A1" w:rsidRPr="00C0765A">
        <w:rPr>
          <w:lang w:val="en-US"/>
        </w:rPr>
        <w:t xml:space="preserve">fixed </w:t>
      </w:r>
      <w:r w:rsidR="00502229" w:rsidRPr="00C0765A">
        <w:rPr>
          <w:lang w:val="en-US"/>
        </w:rPr>
        <w:t xml:space="preserve">estimate of </w:t>
      </w:r>
      <w:r w:rsidR="00502229" w:rsidRPr="00C0765A">
        <w:rPr>
          <w:i/>
          <w:iCs/>
          <w:lang w:val="en-US"/>
        </w:rPr>
        <w:t>β</w:t>
      </w:r>
      <w:r w:rsidR="00502229" w:rsidRPr="00C0765A">
        <w:rPr>
          <w:lang w:val="en-US"/>
        </w:rPr>
        <w:t xml:space="preserve"> = 0.07 (7% increase or decrease in neural gating)</w:t>
      </w:r>
      <w:r w:rsidR="00765D2D" w:rsidRPr="00C0765A">
        <w:rPr>
          <w:lang w:val="en-US"/>
        </w:rPr>
        <w:t>, and random intercept and residual variance of 0.16 and 0.09 respectively. The simulation estimated</w:t>
      </w:r>
      <w:r w:rsidR="002F1929" w:rsidRPr="00C0765A">
        <w:rPr>
          <w:lang w:val="en-US"/>
        </w:rPr>
        <w:t xml:space="preserve"> that the power to correctly reject the null-hypothesis given the model parameters</w:t>
      </w:r>
      <w:r w:rsidR="00502229" w:rsidRPr="00C0765A">
        <w:rPr>
          <w:lang w:val="en-US"/>
        </w:rPr>
        <w:t xml:space="preserve"> </w:t>
      </w:r>
      <w:r w:rsidR="0056725D" w:rsidRPr="00C0765A">
        <w:rPr>
          <w:lang w:val="en-US"/>
        </w:rPr>
        <w:t xml:space="preserve">at </w:t>
      </w:r>
      <w:r w:rsidR="0056725D" w:rsidRPr="00C0765A">
        <w:rPr>
          <w:i/>
          <w:iCs/>
          <w:lang w:val="en-US"/>
        </w:rPr>
        <w:t>N</w:t>
      </w:r>
      <w:r w:rsidR="0056725D" w:rsidRPr="00C0765A">
        <w:rPr>
          <w:lang w:val="en-US"/>
        </w:rPr>
        <w:t xml:space="preserve"> = 40 was 0.95.</w:t>
      </w:r>
      <w:r w:rsidR="00B114F2" w:rsidRPr="00C0765A">
        <w:rPr>
          <w:lang w:val="en-US"/>
        </w:rPr>
        <w:t xml:space="preserve"> </w:t>
      </w:r>
      <w:r w:rsidR="001F2790" w:rsidRPr="00C0765A">
        <w:rPr>
          <w:lang w:val="en-US"/>
        </w:rPr>
        <w:t xml:space="preserve">The final </w:t>
      </w:r>
      <w:r w:rsidR="00064D9E" w:rsidRPr="00C0765A">
        <w:rPr>
          <w:lang w:val="en-US"/>
        </w:rPr>
        <w:t xml:space="preserve">target </w:t>
      </w:r>
      <w:r w:rsidR="001F2790" w:rsidRPr="00C0765A">
        <w:rPr>
          <w:lang w:val="en-US"/>
        </w:rPr>
        <w:t xml:space="preserve">sample size was </w:t>
      </w:r>
      <w:r w:rsidR="001F2790" w:rsidRPr="00C0765A">
        <w:rPr>
          <w:i/>
          <w:iCs/>
          <w:lang w:val="en-US"/>
        </w:rPr>
        <w:t xml:space="preserve">N </w:t>
      </w:r>
      <w:r w:rsidR="001F2790" w:rsidRPr="00C0765A">
        <w:rPr>
          <w:lang w:val="en-US"/>
        </w:rPr>
        <w:t>= 45,</w:t>
      </w:r>
      <w:r w:rsidR="0056725D" w:rsidRPr="00C0765A">
        <w:rPr>
          <w:lang w:val="en-US"/>
        </w:rPr>
        <w:t xml:space="preserve"> </w:t>
      </w:r>
      <w:r w:rsidR="001F2790" w:rsidRPr="00C0765A">
        <w:rPr>
          <w:lang w:val="en-US"/>
        </w:rPr>
        <w:t>t</w:t>
      </w:r>
      <w:r w:rsidR="0056725D" w:rsidRPr="00C0765A">
        <w:rPr>
          <w:lang w:val="en-US"/>
        </w:rPr>
        <w:t xml:space="preserve">o account for </w:t>
      </w:r>
      <w:r w:rsidR="007D65C0" w:rsidRPr="00C0765A">
        <w:rPr>
          <w:lang w:val="en-US"/>
        </w:rPr>
        <w:t xml:space="preserve">potential drop-out due to </w:t>
      </w:r>
      <w:r w:rsidR="0056725D" w:rsidRPr="00C0765A">
        <w:rPr>
          <w:lang w:val="en-US"/>
        </w:rPr>
        <w:t>EEG</w:t>
      </w:r>
      <w:r w:rsidR="00400E6A" w:rsidRPr="00C0765A">
        <w:rPr>
          <w:lang w:val="en-US"/>
        </w:rPr>
        <w:t>/ERP</w:t>
      </w:r>
      <w:r w:rsidR="0056725D" w:rsidRPr="00C0765A">
        <w:rPr>
          <w:lang w:val="en-US"/>
        </w:rPr>
        <w:t xml:space="preserve"> measurement artifact</w:t>
      </w:r>
      <w:r w:rsidR="00711479" w:rsidRPr="00C0765A">
        <w:rPr>
          <w:lang w:val="en-US"/>
        </w:rPr>
        <w:t>s</w:t>
      </w:r>
      <w:r w:rsidR="0056725D" w:rsidRPr="00C0765A">
        <w:rPr>
          <w:lang w:val="en-US"/>
        </w:rPr>
        <w:t>.</w:t>
      </w:r>
    </w:p>
    <w:p w14:paraId="501716C9" w14:textId="5963377C" w:rsidR="00F37CC9" w:rsidRPr="00C0765A" w:rsidRDefault="00F37CC9" w:rsidP="00517A40">
      <w:pPr>
        <w:pStyle w:val="Heading3"/>
        <w:rPr>
          <w:lang w:val="en-US"/>
        </w:rPr>
      </w:pPr>
      <w:r w:rsidRPr="00C0765A">
        <w:rPr>
          <w:lang w:val="en-US"/>
        </w:rPr>
        <w:t>2.1.2 Demographics</w:t>
      </w:r>
    </w:p>
    <w:p w14:paraId="3470A949" w14:textId="4B77B79F" w:rsidR="003C244E" w:rsidRPr="00C0765A" w:rsidRDefault="00BA7B4D" w:rsidP="00517A40">
      <w:pPr>
        <w:rPr>
          <w:lang w:val="en-US"/>
        </w:rPr>
      </w:pPr>
      <w:r w:rsidRPr="00C0765A">
        <w:rPr>
          <w:lang w:val="en-US"/>
        </w:rPr>
        <w:t>4</w:t>
      </w:r>
      <w:r w:rsidR="001C7C65" w:rsidRPr="00C0765A">
        <w:rPr>
          <w:lang w:val="en-US"/>
        </w:rPr>
        <w:t>5</w:t>
      </w:r>
      <w:r w:rsidRPr="00C0765A">
        <w:rPr>
          <w:lang w:val="en-US"/>
        </w:rPr>
        <w:t xml:space="preserve"> participants (3</w:t>
      </w:r>
      <w:r w:rsidR="003C5CDA" w:rsidRPr="00C0765A">
        <w:rPr>
          <w:lang w:val="en-US"/>
        </w:rPr>
        <w:t>7</w:t>
      </w:r>
      <w:r w:rsidRPr="00C0765A">
        <w:rPr>
          <w:lang w:val="en-US"/>
        </w:rPr>
        <w:t xml:space="preserve"> female) took part in</w:t>
      </w:r>
      <w:r w:rsidR="00B81991" w:rsidRPr="00C0765A">
        <w:rPr>
          <w:lang w:val="en-US"/>
        </w:rPr>
        <w:t xml:space="preserve"> the</w:t>
      </w:r>
      <w:r w:rsidRPr="00C0765A">
        <w:rPr>
          <w:lang w:val="en-US"/>
        </w:rPr>
        <w:t xml:space="preserve"> </w:t>
      </w:r>
      <w:r w:rsidR="00B81991" w:rsidRPr="00C0765A">
        <w:rPr>
          <w:lang w:val="en-US"/>
        </w:rPr>
        <w:t>e</w:t>
      </w:r>
      <w:r w:rsidRPr="00C0765A">
        <w:rPr>
          <w:lang w:val="en-US"/>
        </w:rPr>
        <w:t>xperimen</w:t>
      </w:r>
      <w:r w:rsidR="00B81991" w:rsidRPr="00C0765A">
        <w:rPr>
          <w:lang w:val="en-US"/>
        </w:rPr>
        <w:t>t</w:t>
      </w:r>
      <w:r w:rsidRPr="00C0765A">
        <w:rPr>
          <w:lang w:val="en-US"/>
        </w:rPr>
        <w:t xml:space="preserve">. The mean age was </w:t>
      </w:r>
      <w:r w:rsidR="007721BD" w:rsidRPr="00C0765A">
        <w:rPr>
          <w:lang w:val="en-US"/>
        </w:rPr>
        <w:t>20</w:t>
      </w:r>
      <w:r w:rsidRPr="00C0765A">
        <w:rPr>
          <w:lang w:val="en-US"/>
        </w:rPr>
        <w:t xml:space="preserve"> years (</w:t>
      </w:r>
      <w:r w:rsidRPr="00C0765A">
        <w:rPr>
          <w:i/>
          <w:iCs/>
          <w:lang w:val="en-US"/>
        </w:rPr>
        <w:t>SD</w:t>
      </w:r>
      <w:r w:rsidR="00145DE0" w:rsidRPr="00C0765A">
        <w:rPr>
          <w:lang w:val="en-US"/>
        </w:rPr>
        <w:t xml:space="preserve">(44) </w:t>
      </w:r>
      <w:r w:rsidRPr="00C0765A">
        <w:rPr>
          <w:lang w:val="en-US"/>
        </w:rPr>
        <w:t>=</w:t>
      </w:r>
      <w:r w:rsidR="00145DE0" w:rsidRPr="00C0765A">
        <w:rPr>
          <w:lang w:val="en-US"/>
        </w:rPr>
        <w:t xml:space="preserve"> </w:t>
      </w:r>
      <w:r w:rsidR="007721BD" w:rsidRPr="00C0765A">
        <w:rPr>
          <w:lang w:val="en-US"/>
        </w:rPr>
        <w:t>3.0</w:t>
      </w:r>
      <w:r w:rsidR="00A31429" w:rsidRPr="00C0765A">
        <w:rPr>
          <w:lang w:val="en-US"/>
        </w:rPr>
        <w:t>, range 17</w:t>
      </w:r>
      <w:r w:rsidR="000827D4" w:rsidRPr="00C0765A">
        <w:rPr>
          <w:rStyle w:val="FootnoteReference"/>
          <w:lang w:val="en-US"/>
        </w:rPr>
        <w:footnoteReference w:id="2"/>
      </w:r>
      <w:r w:rsidR="00A31429" w:rsidRPr="00C0765A">
        <w:rPr>
          <w:lang w:val="en-US"/>
        </w:rPr>
        <w:t>–30</w:t>
      </w:r>
      <w:r w:rsidRPr="00C0765A">
        <w:rPr>
          <w:lang w:val="en-US"/>
        </w:rPr>
        <w:t>). Participants were recruited from the KU Leuven student population, provided written informed consent and received course credit or payment (</w:t>
      </w:r>
      <w:r w:rsidR="00B81991" w:rsidRPr="00C0765A">
        <w:rPr>
          <w:lang w:val="en-US"/>
        </w:rPr>
        <w:t>10</w:t>
      </w:r>
      <w:r w:rsidRPr="00C0765A">
        <w:rPr>
          <w:lang w:val="en-US"/>
        </w:rPr>
        <w:t xml:space="preserve">€/hour) for their participation. Participants were permitted to take part if they reported no </w:t>
      </w:r>
      <w:r w:rsidR="005E487C" w:rsidRPr="00C0765A">
        <w:rPr>
          <w:lang w:val="en-US"/>
        </w:rPr>
        <w:t>(history of)</w:t>
      </w:r>
      <w:r w:rsidRPr="00C0765A">
        <w:rPr>
          <w:lang w:val="en-US"/>
        </w:rPr>
        <w:t xml:space="preserve"> </w:t>
      </w:r>
      <w:r w:rsidR="001460AF" w:rsidRPr="00C0765A">
        <w:rPr>
          <w:lang w:val="en-US"/>
        </w:rPr>
        <w:t xml:space="preserve">chronic respiratory, </w:t>
      </w:r>
      <w:r w:rsidR="005E487C" w:rsidRPr="00C0765A">
        <w:rPr>
          <w:lang w:val="en-US"/>
        </w:rPr>
        <w:t>cardiovascular</w:t>
      </w:r>
      <w:r w:rsidRPr="00C0765A">
        <w:rPr>
          <w:lang w:val="en-US"/>
        </w:rPr>
        <w:t>, neurological, or psychiatric conditions, no</w:t>
      </w:r>
      <w:r w:rsidR="001460AF" w:rsidRPr="00C0765A">
        <w:rPr>
          <w:lang w:val="en-US"/>
        </w:rPr>
        <w:t xml:space="preserve"> chronic pain,</w:t>
      </w:r>
      <w:r w:rsidR="00501CA2" w:rsidRPr="00C0765A">
        <w:rPr>
          <w:lang w:val="en-US"/>
        </w:rPr>
        <w:t xml:space="preserve"> no</w:t>
      </w:r>
      <w:r w:rsidRPr="00C0765A">
        <w:rPr>
          <w:lang w:val="en-US"/>
        </w:rPr>
        <w:t xml:space="preserve"> acute alcohol/drug intoxication, </w:t>
      </w:r>
      <w:r w:rsidR="00501CA2" w:rsidRPr="00C0765A">
        <w:rPr>
          <w:lang w:val="en-US"/>
        </w:rPr>
        <w:t>no</w:t>
      </w:r>
      <w:r w:rsidR="00543D94" w:rsidRPr="00C0765A">
        <w:rPr>
          <w:lang w:val="en-US"/>
        </w:rPr>
        <w:t xml:space="preserve"> habitual (self-)medication, no</w:t>
      </w:r>
      <w:r w:rsidR="00501CA2" w:rsidRPr="00C0765A">
        <w:rPr>
          <w:lang w:val="en-US"/>
        </w:rPr>
        <w:t xml:space="preserve"> previous operations to the </w:t>
      </w:r>
      <w:r w:rsidR="00543D94" w:rsidRPr="00C0765A">
        <w:rPr>
          <w:lang w:val="en-US"/>
        </w:rPr>
        <w:t xml:space="preserve">wrists, ears or head, if they </w:t>
      </w:r>
      <w:r w:rsidRPr="00C0765A">
        <w:rPr>
          <w:lang w:val="en-US"/>
        </w:rPr>
        <w:t>were non-smokers, had normal or corrected-to-normal vision, normal hearing, no electronic implants, were not pregnant</w:t>
      </w:r>
      <w:r w:rsidR="00043437" w:rsidRPr="00C0765A">
        <w:rPr>
          <w:lang w:val="en-US"/>
        </w:rPr>
        <w:t xml:space="preserve">, and if they never participated in a two-session </w:t>
      </w:r>
      <w:proofErr w:type="spellStart"/>
      <w:r w:rsidR="00043437" w:rsidRPr="00C0765A">
        <w:rPr>
          <w:lang w:val="en-US"/>
        </w:rPr>
        <w:t>taVNS</w:t>
      </w:r>
      <w:proofErr w:type="spellEnd"/>
      <w:r w:rsidR="00043437" w:rsidRPr="00C0765A">
        <w:rPr>
          <w:lang w:val="en-US"/>
        </w:rPr>
        <w:t xml:space="preserve"> study before</w:t>
      </w:r>
      <w:r w:rsidRPr="00C0765A">
        <w:rPr>
          <w:lang w:val="en-US"/>
        </w:rPr>
        <w:t xml:space="preserve">. Sufficient lung function was determined by standard spirometry and defined as forced expiratory volume in one second of at least 80% of the normative value given sex, age, and BMI </w:t>
      </w:r>
      <w:r w:rsidRPr="00C0765A">
        <w:rPr>
          <w:rFonts w:cs="Arial"/>
          <w:lang w:val="en-US"/>
        </w:rPr>
        <w:t>(Miller et al., 2005)</w:t>
      </w:r>
      <w:r w:rsidRPr="00C0765A">
        <w:rPr>
          <w:lang w:val="en-US"/>
        </w:rPr>
        <w:t xml:space="preserve">. </w:t>
      </w:r>
    </w:p>
    <w:p w14:paraId="0B9BC908" w14:textId="535DBC44" w:rsidR="00BA7B4D" w:rsidRPr="00C0765A" w:rsidRDefault="00BA7B4D" w:rsidP="00517A40">
      <w:pPr>
        <w:rPr>
          <w:rFonts w:cstheme="majorHAnsi"/>
          <w:b/>
          <w:bCs/>
          <w:i/>
          <w:iCs/>
          <w:lang w:val="en-US"/>
        </w:rPr>
      </w:pPr>
      <w:r w:rsidRPr="00C0765A">
        <w:rPr>
          <w:lang w:val="en-US"/>
        </w:rPr>
        <w:t xml:space="preserve">All procedures were pre-approved by the Ethics Committee of </w:t>
      </w:r>
      <w:r w:rsidR="00BC1804" w:rsidRPr="00C0765A">
        <w:rPr>
          <w:lang w:val="en-US"/>
        </w:rPr>
        <w:t>the University hospital in</w:t>
      </w:r>
      <w:r w:rsidRPr="00C0765A">
        <w:rPr>
          <w:lang w:val="en-US"/>
        </w:rPr>
        <w:t xml:space="preserve"> Leuven (</w:t>
      </w:r>
      <w:r w:rsidR="00BC1804" w:rsidRPr="00C0765A">
        <w:rPr>
          <w:lang w:val="en-US"/>
        </w:rPr>
        <w:t>S66709</w:t>
      </w:r>
      <w:r w:rsidRPr="00C0765A">
        <w:rPr>
          <w:lang w:val="en-US"/>
        </w:rPr>
        <w:t xml:space="preserve">), and the study was pre-registered at the Open Science Framework </w:t>
      </w:r>
      <w:r w:rsidR="00FD4D56" w:rsidRPr="00C0765A">
        <w:rPr>
          <w:lang w:val="en-US"/>
        </w:rPr>
        <w:t>(</w:t>
      </w:r>
      <w:proofErr w:type="spellStart"/>
      <w:r w:rsidR="00FD4D56" w:rsidRPr="00C0765A">
        <w:rPr>
          <w:lang w:val="en-US"/>
        </w:rPr>
        <w:t>Jelincic</w:t>
      </w:r>
      <w:proofErr w:type="spellEnd"/>
      <w:r w:rsidR="00FD4D56" w:rsidRPr="00C0765A">
        <w:rPr>
          <w:lang w:val="en-US"/>
        </w:rPr>
        <w:t>, 2023)</w:t>
      </w:r>
      <w:r w:rsidRPr="00C0765A">
        <w:rPr>
          <w:lang w:val="en-US"/>
        </w:rPr>
        <w:t>.</w:t>
      </w:r>
    </w:p>
    <w:p w14:paraId="65D74EDB" w14:textId="0CBD6C1B" w:rsidR="00660CC7" w:rsidRPr="00C0765A" w:rsidRDefault="00660CC7" w:rsidP="00517A40">
      <w:pPr>
        <w:pStyle w:val="Heading2"/>
        <w:rPr>
          <w:lang w:val="en-US"/>
        </w:rPr>
      </w:pPr>
      <w:r w:rsidRPr="00C0765A">
        <w:rPr>
          <w:lang w:val="en-US"/>
        </w:rPr>
        <w:lastRenderedPageBreak/>
        <w:t>2.2 Experimental Set-Up</w:t>
      </w:r>
    </w:p>
    <w:p w14:paraId="7B780DBD" w14:textId="5BAED6A7" w:rsidR="00733383" w:rsidRPr="00C0765A" w:rsidRDefault="00733383" w:rsidP="00733383">
      <w:pPr>
        <w:rPr>
          <w:lang w:val="en-US"/>
        </w:rPr>
      </w:pPr>
      <w:r w:rsidRPr="00C0765A">
        <w:rPr>
          <w:lang w:val="en-US"/>
        </w:rPr>
        <w:t xml:space="preserve">Unless specified otherwise, all the </w:t>
      </w:r>
      <w:r w:rsidR="009A4DAE" w:rsidRPr="00C0765A">
        <w:rPr>
          <w:lang w:val="en-US"/>
        </w:rPr>
        <w:t xml:space="preserve">experimental events, including instructions, sensory stimulation, and questionnaires, were presented using </w:t>
      </w:r>
      <w:proofErr w:type="spellStart"/>
      <w:r w:rsidR="009A4DAE" w:rsidRPr="00C0765A">
        <w:rPr>
          <w:lang w:val="en-US"/>
        </w:rPr>
        <w:t>PsychoPy</w:t>
      </w:r>
      <w:proofErr w:type="spellEnd"/>
      <w:r w:rsidR="00822BF3" w:rsidRPr="00C0765A">
        <w:rPr>
          <w:lang w:val="en-US"/>
        </w:rPr>
        <w:t>,</w:t>
      </w:r>
      <w:r w:rsidR="009A4DAE" w:rsidRPr="00C0765A">
        <w:rPr>
          <w:lang w:val="en-US"/>
        </w:rPr>
        <w:t xml:space="preserve"> v.202</w:t>
      </w:r>
      <w:r w:rsidR="00822BF3" w:rsidRPr="00C0765A">
        <w:rPr>
          <w:lang w:val="en-US"/>
        </w:rPr>
        <w:t xml:space="preserve">3.1.2 </w:t>
      </w:r>
      <w:r w:rsidR="00253991" w:rsidRPr="00C0765A">
        <w:rPr>
          <w:lang w:val="en-US"/>
        </w:rPr>
        <w:t>(Peirce et al., 2019).</w:t>
      </w:r>
    </w:p>
    <w:p w14:paraId="4B277C7D" w14:textId="280BA035" w:rsidR="00F92225" w:rsidRPr="00C0765A" w:rsidRDefault="00F92225" w:rsidP="0060657D">
      <w:pPr>
        <w:pStyle w:val="Heading3"/>
        <w:rPr>
          <w:lang w:val="en-US"/>
        </w:rPr>
      </w:pPr>
      <w:bookmarkStart w:id="1" w:name="_2.2.1_Transcutaneous_auricular"/>
      <w:bookmarkEnd w:id="1"/>
      <w:r w:rsidRPr="00C0765A">
        <w:rPr>
          <w:lang w:val="en-US"/>
        </w:rPr>
        <w:t xml:space="preserve">2.2.1 </w:t>
      </w:r>
      <w:r w:rsidR="00ED396C" w:rsidRPr="00C0765A">
        <w:rPr>
          <w:lang w:val="en-US"/>
        </w:rPr>
        <w:t xml:space="preserve">Transcutaneous auricular </w:t>
      </w:r>
      <w:proofErr w:type="spellStart"/>
      <w:r w:rsidR="00ED396C" w:rsidRPr="00C0765A">
        <w:rPr>
          <w:lang w:val="en-US"/>
        </w:rPr>
        <w:t>vagus</w:t>
      </w:r>
      <w:proofErr w:type="spellEnd"/>
      <w:r w:rsidR="00ED396C" w:rsidRPr="00C0765A">
        <w:rPr>
          <w:lang w:val="en-US"/>
        </w:rPr>
        <w:t xml:space="preserve"> nerve stimulation</w:t>
      </w:r>
    </w:p>
    <w:p w14:paraId="529AE327" w14:textId="1FBAAD79" w:rsidR="00381D7D" w:rsidRPr="00C0765A" w:rsidRDefault="008769DE" w:rsidP="00517A40">
      <w:pPr>
        <w:rPr>
          <w:lang w:val="en-US"/>
        </w:rPr>
      </w:pPr>
      <w:r w:rsidRPr="00C0765A">
        <w:rPr>
          <w:lang w:val="en-US"/>
        </w:rPr>
        <w:t>Electrical stimulation of the ear was delivered</w:t>
      </w:r>
      <w:r w:rsidR="00FF2027" w:rsidRPr="00C0765A">
        <w:rPr>
          <w:lang w:val="en-US"/>
        </w:rPr>
        <w:t xml:space="preserve"> and controlled</w:t>
      </w:r>
      <w:r w:rsidRPr="00C0765A">
        <w:rPr>
          <w:lang w:val="en-US"/>
        </w:rPr>
        <w:t xml:space="preserve"> using a constant current stimulator (DS5, </w:t>
      </w:r>
      <w:proofErr w:type="spellStart"/>
      <w:r w:rsidRPr="00C0765A">
        <w:rPr>
          <w:lang w:val="en-US"/>
        </w:rPr>
        <w:t>Digitimer</w:t>
      </w:r>
      <w:proofErr w:type="spellEnd"/>
      <w:r w:rsidRPr="00C0765A">
        <w:rPr>
          <w:lang w:val="en-US"/>
        </w:rPr>
        <w:t xml:space="preserve"> Ltd, Welwyn Garden City, UK)</w:t>
      </w:r>
      <w:r w:rsidR="00FF2027" w:rsidRPr="00C0765A">
        <w:rPr>
          <w:lang w:val="en-US"/>
        </w:rPr>
        <w:t xml:space="preserve"> and a custom</w:t>
      </w:r>
      <w:r w:rsidR="00EB4BE7" w:rsidRPr="00C0765A">
        <w:rPr>
          <w:lang w:val="en-US"/>
        </w:rPr>
        <w:t xml:space="preserve"> application in</w:t>
      </w:r>
      <w:r w:rsidR="00FF2027" w:rsidRPr="00C0765A">
        <w:rPr>
          <w:lang w:val="en-US"/>
        </w:rPr>
        <w:t xml:space="preserve"> MATLAB</w:t>
      </w:r>
      <w:r w:rsidR="00EB4BE7" w:rsidRPr="00C0765A">
        <w:rPr>
          <w:lang w:val="en-US"/>
        </w:rPr>
        <w:t xml:space="preserve"> (MathWorks Inc., Natick, MA, US)</w:t>
      </w:r>
      <w:r w:rsidRPr="00C0765A">
        <w:rPr>
          <w:lang w:val="en-US"/>
        </w:rPr>
        <w:t>. We employed</w:t>
      </w:r>
      <w:r w:rsidR="00EB4BE7" w:rsidRPr="00C0765A">
        <w:rPr>
          <w:lang w:val="en-US"/>
        </w:rPr>
        <w:t xml:space="preserve"> two</w:t>
      </w:r>
      <w:r w:rsidRPr="00C0765A">
        <w:rPr>
          <w:lang w:val="en-US"/>
        </w:rPr>
        <w:t xml:space="preserve"> CE-certified</w:t>
      </w:r>
      <w:r w:rsidR="00EB4BE7" w:rsidRPr="00C0765A">
        <w:rPr>
          <w:lang w:val="en-US"/>
        </w:rPr>
        <w:t xml:space="preserve"> titanium</w:t>
      </w:r>
      <w:r w:rsidRPr="00C0765A">
        <w:rPr>
          <w:lang w:val="en-US"/>
        </w:rPr>
        <w:t xml:space="preserve"> electrodes specifically designed for </w:t>
      </w:r>
      <w:r w:rsidR="000E29C2" w:rsidRPr="00C0765A">
        <w:rPr>
          <w:lang w:val="en-US"/>
        </w:rPr>
        <w:t xml:space="preserve">experimental research on </w:t>
      </w:r>
      <w:r w:rsidRPr="00C0765A">
        <w:rPr>
          <w:lang w:val="en-US"/>
        </w:rPr>
        <w:t xml:space="preserve">transcutaneous </w:t>
      </w:r>
      <w:proofErr w:type="spellStart"/>
      <w:r w:rsidRPr="00C0765A">
        <w:rPr>
          <w:lang w:val="en-US"/>
        </w:rPr>
        <w:t>vagus</w:t>
      </w:r>
      <w:proofErr w:type="spellEnd"/>
      <w:r w:rsidRPr="00C0765A">
        <w:rPr>
          <w:lang w:val="en-US"/>
        </w:rPr>
        <w:t xml:space="preserve"> nerve stimulation (NEMOS®, </w:t>
      </w:r>
      <w:proofErr w:type="spellStart"/>
      <w:r w:rsidRPr="00C0765A">
        <w:rPr>
          <w:lang w:val="en-US"/>
        </w:rPr>
        <w:t>Cerbomed</w:t>
      </w:r>
      <w:proofErr w:type="spellEnd"/>
      <w:r w:rsidRPr="00C0765A">
        <w:rPr>
          <w:lang w:val="en-US"/>
        </w:rPr>
        <w:t xml:space="preserve"> GmbH, Erlangen, Germany) to ensure proper electrode placement</w:t>
      </w:r>
      <w:r w:rsidR="00D948A9" w:rsidRPr="00C0765A">
        <w:rPr>
          <w:lang w:val="en-US"/>
        </w:rPr>
        <w:t xml:space="preserve"> (see Figure 1A)</w:t>
      </w:r>
      <w:r w:rsidRPr="00C0765A">
        <w:rPr>
          <w:lang w:val="en-US"/>
        </w:rPr>
        <w:t xml:space="preserve">. During the </w:t>
      </w:r>
      <w:proofErr w:type="spellStart"/>
      <w:r w:rsidRPr="00C0765A">
        <w:rPr>
          <w:lang w:val="en-US"/>
        </w:rPr>
        <w:t>taVNS</w:t>
      </w:r>
      <w:proofErr w:type="spellEnd"/>
      <w:r w:rsidRPr="00C0765A">
        <w:rPr>
          <w:lang w:val="en-US"/>
        </w:rPr>
        <w:t xml:space="preserve"> condition, the electrodes were positioned over the </w:t>
      </w:r>
      <w:r w:rsidRPr="00C0765A">
        <w:rPr>
          <w:i/>
          <w:iCs/>
          <w:lang w:val="en-US"/>
        </w:rPr>
        <w:t>cymba concha</w:t>
      </w:r>
      <w:r w:rsidRPr="00C0765A">
        <w:rPr>
          <w:lang w:val="en-US"/>
        </w:rPr>
        <w:t xml:space="preserve"> of the left ear, a region of the outer ear innervated by afferent vagal fibers. In the Sham stimulation condition, the electrodes were attached to the center of the left earlobe, which is innervated by the great auricular nerve rather than the </w:t>
      </w:r>
      <w:proofErr w:type="spellStart"/>
      <w:r w:rsidRPr="00C0765A">
        <w:rPr>
          <w:lang w:val="en-US"/>
        </w:rPr>
        <w:t>vagus</w:t>
      </w:r>
      <w:proofErr w:type="spellEnd"/>
      <w:r w:rsidRPr="00C0765A">
        <w:rPr>
          <w:lang w:val="en-US"/>
        </w:rPr>
        <w:t xml:space="preserve"> nerve </w:t>
      </w:r>
      <w:r w:rsidR="00FB723F" w:rsidRPr="00C0765A">
        <w:rPr>
          <w:lang w:val="en-US"/>
        </w:rPr>
        <w:t>(</w:t>
      </w:r>
      <w:proofErr w:type="spellStart"/>
      <w:r w:rsidR="00FB723F" w:rsidRPr="00C0765A">
        <w:rPr>
          <w:lang w:val="en-US"/>
        </w:rPr>
        <w:t>Sclocco</w:t>
      </w:r>
      <w:proofErr w:type="spellEnd"/>
      <w:r w:rsidR="00FB723F" w:rsidRPr="00C0765A">
        <w:rPr>
          <w:lang w:val="en-US"/>
        </w:rPr>
        <w:t xml:space="preserve"> et al., 2019)</w:t>
      </w:r>
      <w:r w:rsidRPr="00C0765A">
        <w:rPr>
          <w:lang w:val="en-US"/>
        </w:rPr>
        <w:t xml:space="preserve">. Electroconductive cream (EC2+®, </w:t>
      </w:r>
      <w:proofErr w:type="spellStart"/>
      <w:r w:rsidRPr="00C0765A">
        <w:rPr>
          <w:lang w:val="en-US"/>
        </w:rPr>
        <w:t>SOMNOmedics</w:t>
      </w:r>
      <w:proofErr w:type="spellEnd"/>
      <w:r w:rsidRPr="00C0765A">
        <w:rPr>
          <w:lang w:val="en-US"/>
        </w:rPr>
        <w:t xml:space="preserve"> GmbH, </w:t>
      </w:r>
      <w:proofErr w:type="spellStart"/>
      <w:r w:rsidRPr="00C0765A">
        <w:rPr>
          <w:lang w:val="en-US"/>
        </w:rPr>
        <w:t>Randersacker</w:t>
      </w:r>
      <w:proofErr w:type="spellEnd"/>
      <w:r w:rsidRPr="00C0765A">
        <w:rPr>
          <w:lang w:val="en-US"/>
        </w:rPr>
        <w:t xml:space="preserve">, Germany) was applied between the electrode and the skin—previously cleaned with alcohol—to ensure good contact and prevent excessive heat generation. </w:t>
      </w:r>
      <w:r w:rsidR="00217A9E" w:rsidRPr="00C0765A">
        <w:rPr>
          <w:lang w:val="en-US"/>
        </w:rPr>
        <w:t>An a</w:t>
      </w:r>
      <w:r w:rsidRPr="00C0765A">
        <w:rPr>
          <w:lang w:val="en-US"/>
        </w:rPr>
        <w:t>ctive Sham condition</w:t>
      </w:r>
      <w:r w:rsidR="00217A9E" w:rsidRPr="00C0765A">
        <w:rPr>
          <w:lang w:val="en-US"/>
        </w:rPr>
        <w:t xml:space="preserve"> served as control</w:t>
      </w:r>
      <w:r w:rsidRPr="00C0765A">
        <w:rPr>
          <w:lang w:val="en-US"/>
        </w:rPr>
        <w:t>, meaning the stimulation parameters were identical in both conditions, with the only difference being the stimulation site. Continuous bidirectional stimulation was administered at a frequency of 35Hz with a pulse width of 400</w:t>
      </w:r>
      <w:r w:rsidRPr="00C0765A">
        <w:t>μ</w:t>
      </w:r>
      <w:r w:rsidRPr="00C0765A">
        <w:rPr>
          <w:lang w:val="en-US"/>
        </w:rPr>
        <w:t xml:space="preserve">s. The stimulation intensity was individually calibrated to be above the perceptual threshold and below the pain threshold in both the </w:t>
      </w:r>
      <w:proofErr w:type="spellStart"/>
      <w:r w:rsidRPr="00C0765A">
        <w:rPr>
          <w:lang w:val="en-US"/>
        </w:rPr>
        <w:t>taVNS</w:t>
      </w:r>
      <w:proofErr w:type="spellEnd"/>
      <w:r w:rsidRPr="00C0765A">
        <w:rPr>
          <w:lang w:val="en-US"/>
        </w:rPr>
        <w:t xml:space="preserve"> and Sham conditions, with a minimum possible intensity of 0.5mA and a maximum of 4mA. This intensity was calibrated separately for the </w:t>
      </w:r>
      <w:proofErr w:type="spellStart"/>
      <w:r w:rsidRPr="00C0765A">
        <w:rPr>
          <w:lang w:val="en-US"/>
        </w:rPr>
        <w:t>taVNS</w:t>
      </w:r>
      <w:proofErr w:type="spellEnd"/>
      <w:r w:rsidRPr="00C0765A">
        <w:rPr>
          <w:lang w:val="en-US"/>
        </w:rPr>
        <w:t xml:space="preserve"> and Sham stimulation conditions, using a standard staircase procedure to determine perceptual and pain thresholds (see </w:t>
      </w:r>
      <w:hyperlink w:anchor="_2.3.1_First_session" w:history="1">
        <w:r w:rsidRPr="00C0765A">
          <w:rPr>
            <w:rStyle w:val="Hyperlink"/>
            <w:lang w:val="en-US"/>
          </w:rPr>
          <w:t>2.3.1</w:t>
        </w:r>
      </w:hyperlink>
      <w:r w:rsidRPr="00C0765A">
        <w:rPr>
          <w:lang w:val="en-US"/>
        </w:rPr>
        <w:t xml:space="preserve"> for a detailed description of the calibration procedure).</w:t>
      </w:r>
      <w:r w:rsidR="00383CAF" w:rsidRPr="00C0765A">
        <w:rPr>
          <w:lang w:val="en-US"/>
        </w:rPr>
        <w:t xml:space="preserve"> The average stimulation intensity was </w:t>
      </w:r>
      <w:r w:rsidR="00B84E2D" w:rsidRPr="00C0765A">
        <w:rPr>
          <w:lang w:val="en-US"/>
        </w:rPr>
        <w:t>1</w:t>
      </w:r>
      <w:r w:rsidR="00FF46B0" w:rsidRPr="00C0765A">
        <w:rPr>
          <w:lang w:val="en-US"/>
        </w:rPr>
        <w:t>.</w:t>
      </w:r>
      <w:r w:rsidR="00B84E2D" w:rsidRPr="00C0765A">
        <w:rPr>
          <w:lang w:val="en-US"/>
        </w:rPr>
        <w:t>33</w:t>
      </w:r>
      <w:r w:rsidR="00FF46B0" w:rsidRPr="00C0765A">
        <w:rPr>
          <w:lang w:val="en-US"/>
        </w:rPr>
        <w:t>mA (</w:t>
      </w:r>
      <w:r w:rsidR="00FF46B0" w:rsidRPr="00C0765A">
        <w:rPr>
          <w:i/>
          <w:iCs/>
          <w:lang w:val="en-US"/>
        </w:rPr>
        <w:t>SD</w:t>
      </w:r>
      <w:r w:rsidR="00FF46B0" w:rsidRPr="00C0765A">
        <w:rPr>
          <w:lang w:val="en-US"/>
        </w:rPr>
        <w:t xml:space="preserve">(44) = </w:t>
      </w:r>
      <w:r w:rsidR="00B84E2D" w:rsidRPr="00C0765A">
        <w:rPr>
          <w:lang w:val="en-US"/>
        </w:rPr>
        <w:t>0</w:t>
      </w:r>
      <w:r w:rsidR="00FF46B0" w:rsidRPr="00C0765A">
        <w:rPr>
          <w:lang w:val="en-US"/>
        </w:rPr>
        <w:t>.</w:t>
      </w:r>
      <w:r w:rsidR="00B84E2D" w:rsidRPr="00C0765A">
        <w:rPr>
          <w:lang w:val="en-US"/>
        </w:rPr>
        <w:t>83</w:t>
      </w:r>
      <w:r w:rsidR="00FF46B0" w:rsidRPr="00C0765A">
        <w:rPr>
          <w:lang w:val="en-US"/>
        </w:rPr>
        <w:t xml:space="preserve">) for </w:t>
      </w:r>
      <w:r w:rsidR="00D12D0C" w:rsidRPr="00C0765A">
        <w:rPr>
          <w:lang w:val="en-US"/>
        </w:rPr>
        <w:t xml:space="preserve">the </w:t>
      </w:r>
      <w:proofErr w:type="spellStart"/>
      <w:r w:rsidR="00FF46B0" w:rsidRPr="00C0765A">
        <w:rPr>
          <w:lang w:val="en-US"/>
        </w:rPr>
        <w:t>taVNS</w:t>
      </w:r>
      <w:proofErr w:type="spellEnd"/>
      <w:r w:rsidR="00FF46B0" w:rsidRPr="00C0765A">
        <w:rPr>
          <w:lang w:val="en-US"/>
        </w:rPr>
        <w:t xml:space="preserve"> and </w:t>
      </w:r>
      <w:r w:rsidR="00B84E2D" w:rsidRPr="00C0765A">
        <w:rPr>
          <w:lang w:val="en-US"/>
        </w:rPr>
        <w:t>1</w:t>
      </w:r>
      <w:r w:rsidR="00FF46B0" w:rsidRPr="00C0765A">
        <w:rPr>
          <w:lang w:val="en-US"/>
        </w:rPr>
        <w:t>.</w:t>
      </w:r>
      <w:r w:rsidR="00B84E2D" w:rsidRPr="00C0765A">
        <w:rPr>
          <w:lang w:val="en-US"/>
        </w:rPr>
        <w:t>67</w:t>
      </w:r>
      <w:r w:rsidR="00FF46B0" w:rsidRPr="00C0765A">
        <w:rPr>
          <w:lang w:val="en-US"/>
        </w:rPr>
        <w:t>mA (</w:t>
      </w:r>
      <w:r w:rsidR="00FF46B0" w:rsidRPr="00C0765A">
        <w:rPr>
          <w:i/>
          <w:iCs/>
          <w:lang w:val="en-US"/>
        </w:rPr>
        <w:t>SD</w:t>
      </w:r>
      <w:r w:rsidR="00FF46B0" w:rsidRPr="00C0765A">
        <w:rPr>
          <w:lang w:val="en-US"/>
        </w:rPr>
        <w:t xml:space="preserve">(44) = </w:t>
      </w:r>
      <w:r w:rsidR="00B84E2D" w:rsidRPr="00C0765A">
        <w:rPr>
          <w:lang w:val="en-US"/>
        </w:rPr>
        <w:t>0</w:t>
      </w:r>
      <w:r w:rsidR="00FF46B0" w:rsidRPr="00C0765A">
        <w:rPr>
          <w:lang w:val="en-US"/>
        </w:rPr>
        <w:t>.</w:t>
      </w:r>
      <w:r w:rsidR="00B84E2D" w:rsidRPr="00C0765A">
        <w:rPr>
          <w:lang w:val="en-US"/>
        </w:rPr>
        <w:t>81</w:t>
      </w:r>
      <w:r w:rsidR="00FF46B0" w:rsidRPr="00C0765A">
        <w:rPr>
          <w:lang w:val="en-US"/>
        </w:rPr>
        <w:t>) for the Sham stimulation condition.</w:t>
      </w:r>
      <w:r w:rsidR="00A56A24" w:rsidRPr="00C0765A">
        <w:rPr>
          <w:lang w:val="en-US"/>
        </w:rPr>
        <w:t xml:space="preserve"> To ensure that the specified current was delivered consistently, </w:t>
      </w:r>
      <w:r w:rsidR="003D514E" w:rsidRPr="00C0765A">
        <w:rPr>
          <w:lang w:val="en-US"/>
        </w:rPr>
        <w:t xml:space="preserve">the difference between </w:t>
      </w:r>
      <w:r w:rsidR="00624273" w:rsidRPr="00C0765A">
        <w:rPr>
          <w:lang w:val="en-US"/>
        </w:rPr>
        <w:t>sent</w:t>
      </w:r>
      <w:r w:rsidR="003D514E" w:rsidRPr="00C0765A">
        <w:rPr>
          <w:lang w:val="en-US"/>
        </w:rPr>
        <w:t xml:space="preserve"> voltage and delivered current, as well as </w:t>
      </w:r>
      <w:r w:rsidR="00E631D5" w:rsidRPr="00C0765A">
        <w:rPr>
          <w:lang w:val="en-US"/>
        </w:rPr>
        <w:t>resistance, were continuously monitored using the in-house MATLAB application. I</w:t>
      </w:r>
      <w:r w:rsidR="000874B0" w:rsidRPr="00C0765A">
        <w:rPr>
          <w:lang w:val="en-US"/>
        </w:rPr>
        <w:t>n the rare cases</w:t>
      </w:r>
      <w:r w:rsidR="00D02007" w:rsidRPr="00C0765A">
        <w:rPr>
          <w:lang w:val="en-US"/>
        </w:rPr>
        <w:t xml:space="preserve"> (~10%)</w:t>
      </w:r>
      <w:r w:rsidR="000874B0" w:rsidRPr="00C0765A">
        <w:rPr>
          <w:lang w:val="en-US"/>
        </w:rPr>
        <w:t xml:space="preserve"> where the resistance would </w:t>
      </w:r>
      <w:r w:rsidR="00D02007" w:rsidRPr="00C0765A">
        <w:rPr>
          <w:lang w:val="en-US"/>
        </w:rPr>
        <w:t xml:space="preserve">continue to increase throughout the </w:t>
      </w:r>
      <w:r w:rsidR="002F36AB" w:rsidRPr="00C0765A">
        <w:rPr>
          <w:lang w:val="en-US"/>
        </w:rPr>
        <w:t>experiment</w:t>
      </w:r>
      <w:r w:rsidR="00D02007" w:rsidRPr="00C0765A">
        <w:rPr>
          <w:lang w:val="en-US"/>
        </w:rPr>
        <w:t>, the stimulation was stopped and the electrodes re-attached.</w:t>
      </w:r>
    </w:p>
    <w:p w14:paraId="0F007F41" w14:textId="275DD82B" w:rsidR="00FB12CA" w:rsidRPr="00C0765A" w:rsidRDefault="00FB12CA" w:rsidP="00EC77B2">
      <w:pPr>
        <w:pStyle w:val="Heading3"/>
        <w:rPr>
          <w:lang w:val="en-US"/>
        </w:rPr>
      </w:pPr>
      <w:r w:rsidRPr="00C0765A">
        <w:rPr>
          <w:lang w:val="en-US"/>
        </w:rPr>
        <w:t>2.2.</w:t>
      </w:r>
      <w:r w:rsidR="00F92225" w:rsidRPr="00C0765A">
        <w:rPr>
          <w:lang w:val="en-US"/>
        </w:rPr>
        <w:t>2</w:t>
      </w:r>
      <w:r w:rsidRPr="00C0765A">
        <w:rPr>
          <w:lang w:val="en-US"/>
        </w:rPr>
        <w:t xml:space="preserve"> </w:t>
      </w:r>
      <w:r w:rsidR="00665797" w:rsidRPr="00C0765A">
        <w:rPr>
          <w:lang w:val="en-US"/>
        </w:rPr>
        <w:t>Arousal/NA markers</w:t>
      </w:r>
    </w:p>
    <w:p w14:paraId="2C84C8D8" w14:textId="7EC09DDA" w:rsidR="00D16072" w:rsidRPr="00C0765A" w:rsidRDefault="001E4EA6" w:rsidP="00E3639D">
      <w:pPr>
        <w:rPr>
          <w:szCs w:val="22"/>
          <w:lang w:val="en-US"/>
        </w:rPr>
      </w:pPr>
      <w:r w:rsidRPr="00C0765A">
        <w:rPr>
          <w:szCs w:val="22"/>
          <w:lang w:val="en-US"/>
        </w:rPr>
        <w:lastRenderedPageBreak/>
        <w:t>T</w:t>
      </w:r>
      <w:r w:rsidR="007D6BD1" w:rsidRPr="00C0765A">
        <w:rPr>
          <w:szCs w:val="22"/>
          <w:lang w:val="en-US"/>
        </w:rPr>
        <w:t xml:space="preserve">he concentration of salivary </w:t>
      </w:r>
      <w:r w:rsidR="00735821" w:rsidRPr="00C0765A">
        <w:rPr>
          <w:szCs w:val="22"/>
          <w:lang w:val="en-US"/>
        </w:rPr>
        <w:t xml:space="preserve">alpha-amylase </w:t>
      </w:r>
      <w:r w:rsidR="00BD1366" w:rsidRPr="00C0765A">
        <w:rPr>
          <w:szCs w:val="22"/>
          <w:lang w:val="en-US"/>
        </w:rPr>
        <w:t>(</w:t>
      </w:r>
      <w:proofErr w:type="spellStart"/>
      <w:r w:rsidR="00BD1366" w:rsidRPr="00C0765A">
        <w:rPr>
          <w:szCs w:val="22"/>
          <w:lang w:val="en-US"/>
        </w:rPr>
        <w:t>sAA</w:t>
      </w:r>
      <w:proofErr w:type="spellEnd"/>
      <w:r w:rsidR="00BD1366" w:rsidRPr="00C0765A">
        <w:rPr>
          <w:szCs w:val="22"/>
          <w:lang w:val="en-US"/>
        </w:rPr>
        <w:t xml:space="preserve">) </w:t>
      </w:r>
      <w:r w:rsidR="00735821" w:rsidRPr="00C0765A">
        <w:rPr>
          <w:szCs w:val="22"/>
          <w:lang w:val="en-US"/>
        </w:rPr>
        <w:t>was measured at two time points during each session, once prior to</w:t>
      </w:r>
      <w:r w:rsidR="00F547B0" w:rsidRPr="00C0765A">
        <w:rPr>
          <w:szCs w:val="22"/>
          <w:lang w:val="en-US"/>
        </w:rPr>
        <w:t xml:space="preserve"> stimulation,</w:t>
      </w:r>
      <w:r w:rsidR="00735821" w:rsidRPr="00C0765A">
        <w:rPr>
          <w:szCs w:val="22"/>
          <w:lang w:val="en-US"/>
        </w:rPr>
        <w:t xml:space="preserve"> and</w:t>
      </w:r>
      <w:r w:rsidR="00F547B0" w:rsidRPr="00C0765A">
        <w:rPr>
          <w:szCs w:val="22"/>
          <w:lang w:val="en-US"/>
        </w:rPr>
        <w:t xml:space="preserve"> once</w:t>
      </w:r>
      <w:r w:rsidR="00735821" w:rsidRPr="00C0765A">
        <w:rPr>
          <w:szCs w:val="22"/>
          <w:lang w:val="en-US"/>
        </w:rPr>
        <w:t xml:space="preserve"> towards the end of the active stimulation period</w:t>
      </w:r>
      <w:r w:rsidR="00514601" w:rsidRPr="00C0765A">
        <w:rPr>
          <w:szCs w:val="22"/>
          <w:lang w:val="en-US"/>
        </w:rPr>
        <w:t xml:space="preserve"> (see </w:t>
      </w:r>
      <w:hyperlink w:anchor="_2.3.1_First_session" w:history="1">
        <w:r w:rsidR="00587D09" w:rsidRPr="00C0765A">
          <w:rPr>
            <w:rStyle w:val="Hyperlink"/>
            <w:szCs w:val="22"/>
            <w:lang w:val="en-US"/>
          </w:rPr>
          <w:t>2.3.1</w:t>
        </w:r>
      </w:hyperlink>
      <w:r w:rsidR="00587D09" w:rsidRPr="00C0765A">
        <w:rPr>
          <w:szCs w:val="22"/>
          <w:lang w:val="en-US"/>
        </w:rPr>
        <w:t xml:space="preserve"> for details on </w:t>
      </w:r>
      <w:r w:rsidR="00B06BA0" w:rsidRPr="00C0765A">
        <w:rPr>
          <w:szCs w:val="22"/>
          <w:lang w:val="en-US"/>
        </w:rPr>
        <w:t xml:space="preserve">the collection of </w:t>
      </w:r>
      <w:r w:rsidR="00587D09" w:rsidRPr="00C0765A">
        <w:rPr>
          <w:szCs w:val="22"/>
          <w:lang w:val="en-US"/>
        </w:rPr>
        <w:t>saliva sample</w:t>
      </w:r>
      <w:r w:rsidR="00B06BA0" w:rsidRPr="00C0765A">
        <w:rPr>
          <w:szCs w:val="22"/>
          <w:lang w:val="en-US"/>
        </w:rPr>
        <w:t>s)</w:t>
      </w:r>
      <w:r w:rsidR="00735821" w:rsidRPr="00C0765A">
        <w:rPr>
          <w:szCs w:val="22"/>
          <w:lang w:val="en-US"/>
        </w:rPr>
        <w:t>.</w:t>
      </w:r>
      <w:r w:rsidR="006E7546" w:rsidRPr="00C0765A">
        <w:rPr>
          <w:szCs w:val="22"/>
          <w:lang w:val="en-US"/>
        </w:rPr>
        <w:t xml:space="preserve"> </w:t>
      </w:r>
      <w:r w:rsidR="00BD1366" w:rsidRPr="00C0765A">
        <w:rPr>
          <w:szCs w:val="22"/>
          <w:lang w:val="en-US"/>
        </w:rPr>
        <w:t xml:space="preserve">In addition to </w:t>
      </w:r>
      <w:proofErr w:type="spellStart"/>
      <w:r w:rsidR="00BD1366" w:rsidRPr="00C0765A">
        <w:rPr>
          <w:szCs w:val="22"/>
          <w:lang w:val="en-US"/>
        </w:rPr>
        <w:t>sAA</w:t>
      </w:r>
      <w:proofErr w:type="spellEnd"/>
      <w:r w:rsidR="00BD1366" w:rsidRPr="00C0765A">
        <w:rPr>
          <w:szCs w:val="22"/>
          <w:lang w:val="en-US"/>
        </w:rPr>
        <w:t xml:space="preserve">, participants </w:t>
      </w:r>
      <w:r w:rsidR="00A70B51" w:rsidRPr="00C0765A">
        <w:rPr>
          <w:szCs w:val="22"/>
          <w:lang w:val="en-US"/>
        </w:rPr>
        <w:t>self-</w:t>
      </w:r>
      <w:r w:rsidR="00BC1DFB" w:rsidRPr="00C0765A">
        <w:rPr>
          <w:szCs w:val="22"/>
          <w:lang w:val="en-US"/>
        </w:rPr>
        <w:t>reported</w:t>
      </w:r>
      <w:r w:rsidR="00BD1366" w:rsidRPr="00C0765A">
        <w:rPr>
          <w:szCs w:val="22"/>
          <w:lang w:val="en-US"/>
        </w:rPr>
        <w:t xml:space="preserve"> their </w:t>
      </w:r>
      <w:r w:rsidR="00D70742" w:rsidRPr="00C0765A">
        <w:rPr>
          <w:szCs w:val="22"/>
          <w:lang w:val="en-US"/>
        </w:rPr>
        <w:t xml:space="preserve">subjective experienced </w:t>
      </w:r>
      <w:r w:rsidR="00BD1366" w:rsidRPr="00C0765A">
        <w:rPr>
          <w:szCs w:val="22"/>
          <w:lang w:val="en-US"/>
        </w:rPr>
        <w:t xml:space="preserve">arousal, using </w:t>
      </w:r>
      <w:r w:rsidR="00111103" w:rsidRPr="00C0765A">
        <w:rPr>
          <w:szCs w:val="22"/>
          <w:lang w:val="en-US"/>
        </w:rPr>
        <w:t xml:space="preserve">the </w:t>
      </w:r>
      <w:r w:rsidR="00FC161D" w:rsidRPr="00C0765A">
        <w:rPr>
          <w:szCs w:val="22"/>
          <w:lang w:val="en-US"/>
        </w:rPr>
        <w:t>Self-Assessment</w:t>
      </w:r>
      <w:r w:rsidR="00111103" w:rsidRPr="00C0765A">
        <w:rPr>
          <w:szCs w:val="22"/>
          <w:lang w:val="en-US"/>
        </w:rPr>
        <w:t xml:space="preserve"> Manikin</w:t>
      </w:r>
      <w:r w:rsidR="00FC161D" w:rsidRPr="00C0765A">
        <w:rPr>
          <w:szCs w:val="22"/>
          <w:lang w:val="en-US"/>
        </w:rPr>
        <w:t xml:space="preserve"> (SAM)</w:t>
      </w:r>
      <w:r w:rsidR="00111103" w:rsidRPr="00C0765A">
        <w:rPr>
          <w:szCs w:val="22"/>
          <w:lang w:val="en-US"/>
        </w:rPr>
        <w:t xml:space="preserve">, a pictorial </w:t>
      </w:r>
      <w:r w:rsidR="00E916CD" w:rsidRPr="00C0765A">
        <w:rPr>
          <w:szCs w:val="22"/>
          <w:lang w:val="en-US"/>
        </w:rPr>
        <w:t>ten</w:t>
      </w:r>
      <w:r w:rsidR="009F4FF9" w:rsidRPr="00C0765A">
        <w:rPr>
          <w:szCs w:val="22"/>
          <w:lang w:val="en-US"/>
        </w:rPr>
        <w:t xml:space="preserve">-point </w:t>
      </w:r>
      <w:r w:rsidR="00111103" w:rsidRPr="00C0765A">
        <w:rPr>
          <w:szCs w:val="22"/>
          <w:lang w:val="en-US"/>
        </w:rPr>
        <w:t xml:space="preserve">scale depicting </w:t>
      </w:r>
      <w:r w:rsidR="00A22F07" w:rsidRPr="00C0765A">
        <w:rPr>
          <w:szCs w:val="22"/>
          <w:lang w:val="en-US"/>
        </w:rPr>
        <w:t xml:space="preserve">a </w:t>
      </w:r>
      <w:r w:rsidR="00111103" w:rsidRPr="00C0765A">
        <w:rPr>
          <w:szCs w:val="22"/>
          <w:lang w:val="en-US"/>
        </w:rPr>
        <w:t>progressive increase from</w:t>
      </w:r>
      <w:r w:rsidR="00BD1366" w:rsidRPr="00C0765A">
        <w:rPr>
          <w:szCs w:val="22"/>
          <w:lang w:val="en-US"/>
        </w:rPr>
        <w:t xml:space="preserve"> </w:t>
      </w:r>
      <w:r w:rsidR="009F4FF9" w:rsidRPr="00C0765A">
        <w:rPr>
          <w:szCs w:val="22"/>
          <w:lang w:val="en-US"/>
        </w:rPr>
        <w:t>“</w:t>
      </w:r>
      <w:r w:rsidR="00E916CD" w:rsidRPr="00C0765A">
        <w:rPr>
          <w:szCs w:val="22"/>
          <w:lang w:val="en-US"/>
        </w:rPr>
        <w:t xml:space="preserve">0 - </w:t>
      </w:r>
      <w:r w:rsidR="009F4FF9" w:rsidRPr="00C0765A">
        <w:rPr>
          <w:szCs w:val="22"/>
          <w:lang w:val="en-US"/>
        </w:rPr>
        <w:t>completely calm” to “</w:t>
      </w:r>
      <w:r w:rsidR="00E916CD" w:rsidRPr="00C0765A">
        <w:rPr>
          <w:szCs w:val="22"/>
          <w:lang w:val="en-US"/>
        </w:rPr>
        <w:t xml:space="preserve">9 - </w:t>
      </w:r>
      <w:r w:rsidR="009F4FF9" w:rsidRPr="00C0765A">
        <w:rPr>
          <w:szCs w:val="22"/>
          <w:lang w:val="en-US"/>
        </w:rPr>
        <w:t xml:space="preserve">extremely </w:t>
      </w:r>
      <w:r w:rsidR="00A22F07" w:rsidRPr="00C0765A">
        <w:rPr>
          <w:szCs w:val="22"/>
          <w:lang w:val="en-US"/>
        </w:rPr>
        <w:t>excited</w:t>
      </w:r>
      <w:r w:rsidR="009F4FF9" w:rsidRPr="00C0765A">
        <w:rPr>
          <w:szCs w:val="22"/>
          <w:lang w:val="en-US"/>
        </w:rPr>
        <w:t>”</w:t>
      </w:r>
      <w:r w:rsidR="00A22F07" w:rsidRPr="00C0765A">
        <w:rPr>
          <w:szCs w:val="22"/>
          <w:lang w:val="en-US"/>
        </w:rPr>
        <w:t xml:space="preserve"> (Bradley &amp; Lang, 1994)</w:t>
      </w:r>
      <w:r w:rsidR="009F4FF9" w:rsidRPr="00C0765A">
        <w:rPr>
          <w:szCs w:val="22"/>
          <w:lang w:val="en-US"/>
        </w:rPr>
        <w:t>.</w:t>
      </w:r>
    </w:p>
    <w:p w14:paraId="4B644D59" w14:textId="533CF81C" w:rsidR="00665797" w:rsidRPr="00C0765A" w:rsidRDefault="00724178" w:rsidP="00EC77B2">
      <w:pPr>
        <w:pStyle w:val="Heading3"/>
        <w:rPr>
          <w:lang w:val="en-US"/>
        </w:rPr>
      </w:pPr>
      <w:r w:rsidRPr="00C0765A">
        <w:rPr>
          <w:lang w:val="en-US"/>
        </w:rPr>
        <w:t>2.2.</w:t>
      </w:r>
      <w:r w:rsidR="00F92225" w:rsidRPr="00C0765A">
        <w:rPr>
          <w:lang w:val="en-US"/>
        </w:rPr>
        <w:t>3</w:t>
      </w:r>
      <w:r w:rsidR="00DE6A8C" w:rsidRPr="00C0765A">
        <w:rPr>
          <w:lang w:val="en-US"/>
        </w:rPr>
        <w:t xml:space="preserve"> Auditory stimul</w:t>
      </w:r>
      <w:r w:rsidR="0099690E" w:rsidRPr="00C0765A">
        <w:rPr>
          <w:lang w:val="en-US"/>
        </w:rPr>
        <w:t>i</w:t>
      </w:r>
    </w:p>
    <w:p w14:paraId="48E10070" w14:textId="28B3C586" w:rsidR="005665E1" w:rsidRPr="00C0765A" w:rsidRDefault="005665E1" w:rsidP="00EC77B2">
      <w:pPr>
        <w:rPr>
          <w:lang w:val="en-US"/>
        </w:rPr>
      </w:pPr>
      <w:r w:rsidRPr="00C0765A">
        <w:rPr>
          <w:lang w:val="en-US"/>
        </w:rPr>
        <w:t xml:space="preserve">Auditory stimulation </w:t>
      </w:r>
      <w:r w:rsidR="00AC442E" w:rsidRPr="00C0765A">
        <w:rPr>
          <w:lang w:val="en-US"/>
        </w:rPr>
        <w:t>consisted of a series of paired auditory clicks</w:t>
      </w:r>
      <w:r w:rsidR="00C4681E" w:rsidRPr="00C0765A">
        <w:rPr>
          <w:lang w:val="en-US"/>
        </w:rPr>
        <w:t xml:space="preserve">, </w:t>
      </w:r>
      <w:r w:rsidR="00FB6927" w:rsidRPr="00C0765A">
        <w:rPr>
          <w:lang w:val="en-US"/>
        </w:rPr>
        <w:t>delivered at 440Hz</w:t>
      </w:r>
      <w:r w:rsidR="00C64036" w:rsidRPr="00C0765A">
        <w:rPr>
          <w:lang w:val="en-US"/>
        </w:rPr>
        <w:t xml:space="preserve">, with the </w:t>
      </w:r>
      <w:r w:rsidR="00FB6927" w:rsidRPr="00C0765A">
        <w:rPr>
          <w:lang w:val="en-US"/>
        </w:rPr>
        <w:t>single</w:t>
      </w:r>
      <w:r w:rsidR="00E342D7" w:rsidRPr="00C0765A">
        <w:rPr>
          <w:lang w:val="en-US"/>
        </w:rPr>
        <w:t>-</w:t>
      </w:r>
      <w:r w:rsidR="00FB6927" w:rsidRPr="00C0765A">
        <w:rPr>
          <w:lang w:val="en-US"/>
        </w:rPr>
        <w:t xml:space="preserve">click </w:t>
      </w:r>
      <w:r w:rsidR="00E342D7" w:rsidRPr="00C0765A">
        <w:rPr>
          <w:lang w:val="en-US"/>
        </w:rPr>
        <w:t>duration of</w:t>
      </w:r>
      <w:r w:rsidR="00FB6927" w:rsidRPr="00C0765A">
        <w:rPr>
          <w:lang w:val="en-US"/>
        </w:rPr>
        <w:t xml:space="preserve"> 1</w:t>
      </w:r>
      <w:r w:rsidR="00C64036" w:rsidRPr="00C0765A">
        <w:rPr>
          <w:lang w:val="en-US"/>
        </w:rPr>
        <w:t>0ms</w:t>
      </w:r>
      <w:r w:rsidR="00851B56" w:rsidRPr="00C0765A">
        <w:rPr>
          <w:lang w:val="en-US"/>
        </w:rPr>
        <w:t xml:space="preserve">. The clicks were delivered </w:t>
      </w:r>
      <w:r w:rsidR="00DB51DE" w:rsidRPr="00C0765A">
        <w:rPr>
          <w:lang w:val="en-US"/>
        </w:rPr>
        <w:t>through a speaker positioned 50cm behind the participant</w:t>
      </w:r>
      <w:r w:rsidR="00E8461B" w:rsidRPr="00C0765A">
        <w:rPr>
          <w:lang w:val="en-US"/>
        </w:rPr>
        <w:t>,</w:t>
      </w:r>
      <w:r w:rsidR="00AB51BD" w:rsidRPr="00C0765A">
        <w:rPr>
          <w:lang w:val="en-US"/>
        </w:rPr>
        <w:t xml:space="preserve"> while EEG was being recorded and </w:t>
      </w:r>
      <w:proofErr w:type="spellStart"/>
      <w:r w:rsidR="00AB51BD" w:rsidRPr="00C0765A">
        <w:rPr>
          <w:lang w:val="en-US"/>
        </w:rPr>
        <w:t>taVNS</w:t>
      </w:r>
      <w:proofErr w:type="spellEnd"/>
      <w:r w:rsidR="00AB51BD" w:rsidRPr="00C0765A">
        <w:rPr>
          <w:lang w:val="en-US"/>
        </w:rPr>
        <w:t>/Sham was being administered.</w:t>
      </w:r>
      <w:r w:rsidR="00E8461B" w:rsidRPr="00C0765A">
        <w:rPr>
          <w:lang w:val="en-US"/>
        </w:rPr>
        <w:t xml:space="preserve"> </w:t>
      </w:r>
      <w:r w:rsidR="00AB51BD" w:rsidRPr="00C0765A">
        <w:rPr>
          <w:lang w:val="en-US"/>
        </w:rPr>
        <w:t>T</w:t>
      </w:r>
      <w:r w:rsidR="00E8461B" w:rsidRPr="00C0765A">
        <w:rPr>
          <w:lang w:val="en-US"/>
        </w:rPr>
        <w:t xml:space="preserve">he sound intensity measured at the ear was </w:t>
      </w:r>
      <w:r w:rsidR="00970388" w:rsidRPr="00C0765A">
        <w:rPr>
          <w:lang w:val="en-US"/>
        </w:rPr>
        <w:t xml:space="preserve">75dB. </w:t>
      </w:r>
      <w:r w:rsidR="009D5858" w:rsidRPr="00C0765A">
        <w:rPr>
          <w:lang w:val="en-US"/>
        </w:rPr>
        <w:t xml:space="preserve">The first click was delivered manually by the experimenter, with the second following automatically </w:t>
      </w:r>
      <w:r w:rsidR="00C64036" w:rsidRPr="00C0765A">
        <w:rPr>
          <w:lang w:val="en-US"/>
        </w:rPr>
        <w:t>500ms later</w:t>
      </w:r>
      <w:r w:rsidR="008B7415" w:rsidRPr="00C0765A">
        <w:rPr>
          <w:lang w:val="en-US"/>
        </w:rPr>
        <w:t>. The inter-pair interval was variable</w:t>
      </w:r>
      <w:r w:rsidR="00A35BB7" w:rsidRPr="00C0765A">
        <w:rPr>
          <w:lang w:val="en-US"/>
        </w:rPr>
        <w:t xml:space="preserve"> and controlled by the experimenter, with the average </w:t>
      </w:r>
      <w:r w:rsidR="00DA4104" w:rsidRPr="00C0765A">
        <w:rPr>
          <w:lang w:val="en-US"/>
        </w:rPr>
        <w:t xml:space="preserve">duration </w:t>
      </w:r>
      <w:r w:rsidR="00A35BB7" w:rsidRPr="00C0765A">
        <w:rPr>
          <w:lang w:val="en-US"/>
        </w:rPr>
        <w:t>of approximately 10 seconds.</w:t>
      </w:r>
    </w:p>
    <w:p w14:paraId="38B80B7C" w14:textId="237A392C" w:rsidR="000C510A" w:rsidRPr="00C0765A" w:rsidRDefault="00DE6A8C" w:rsidP="00EC77B2">
      <w:pPr>
        <w:pStyle w:val="Heading3"/>
        <w:rPr>
          <w:lang w:val="en-US"/>
        </w:rPr>
      </w:pPr>
      <w:r w:rsidRPr="00C0765A">
        <w:rPr>
          <w:lang w:val="en-US"/>
        </w:rPr>
        <w:t>2.2.</w:t>
      </w:r>
      <w:r w:rsidR="00F92225" w:rsidRPr="00C0765A">
        <w:rPr>
          <w:lang w:val="en-US"/>
        </w:rPr>
        <w:t>4</w:t>
      </w:r>
      <w:r w:rsidRPr="00C0765A">
        <w:rPr>
          <w:lang w:val="en-US"/>
        </w:rPr>
        <w:t xml:space="preserve"> Respiratory stimul</w:t>
      </w:r>
      <w:r w:rsidR="0099690E" w:rsidRPr="00C0765A">
        <w:rPr>
          <w:lang w:val="en-US"/>
        </w:rPr>
        <w:t>i</w:t>
      </w:r>
    </w:p>
    <w:p w14:paraId="23A5AB19" w14:textId="7EAC2965" w:rsidR="000C510A" w:rsidRPr="00C0765A" w:rsidRDefault="000C510A" w:rsidP="00EC77B2">
      <w:pPr>
        <w:rPr>
          <w:rFonts w:cstheme="majorBidi"/>
          <w:lang w:val="en-US"/>
        </w:rPr>
      </w:pPr>
      <w:r w:rsidRPr="00C0765A">
        <w:rPr>
          <w:lang w:val="en-US"/>
        </w:rPr>
        <w:t>Respiratory stimulation consisted of delivering paired inspiratory occlusions</w:t>
      </w:r>
      <w:r w:rsidR="00F26BA8" w:rsidRPr="00C0765A">
        <w:rPr>
          <w:lang w:val="en-US"/>
        </w:rPr>
        <w:t xml:space="preserve"> during otherwise unobstructed breathing</w:t>
      </w:r>
      <w:r w:rsidR="0051419B" w:rsidRPr="00C0765A">
        <w:rPr>
          <w:lang w:val="en-US"/>
        </w:rPr>
        <w:t xml:space="preserve">, while EEG was being recorded and </w:t>
      </w:r>
      <w:proofErr w:type="spellStart"/>
      <w:r w:rsidR="0051419B" w:rsidRPr="00C0765A">
        <w:rPr>
          <w:lang w:val="en-US"/>
        </w:rPr>
        <w:t>taVNS</w:t>
      </w:r>
      <w:proofErr w:type="spellEnd"/>
      <w:r w:rsidR="0051419B" w:rsidRPr="00C0765A">
        <w:rPr>
          <w:lang w:val="en-US"/>
        </w:rPr>
        <w:t>/Sham was being administered</w:t>
      </w:r>
      <w:r w:rsidRPr="00C0765A">
        <w:rPr>
          <w:lang w:val="en-US"/>
        </w:rPr>
        <w:t xml:space="preserve">. Participants wore a nose clip and breathed through a mouthpiece connected to a pneumotachograph via a two-way non-rebreathing valve (series 2700, Hans Rudolph Inc., Shawnee, USA). A custom occlusion valve and a trigger box (Aspire Products, Gainesville, USA) were attached to the inspiratory port of the non-rebreathing valve </w:t>
      </w:r>
      <w:r w:rsidRPr="00C0765A">
        <w:rPr>
          <w:rFonts w:cs="Arial"/>
          <w:lang w:val="en-US"/>
        </w:rPr>
        <w:t>(Chan &amp; Davenport, 2008)</w:t>
      </w:r>
      <w:r w:rsidRPr="00C0765A">
        <w:rPr>
          <w:lang w:val="en-US"/>
        </w:rPr>
        <w:t xml:space="preserve">. The experimenter manually operated the trigger box; at the start of </w:t>
      </w:r>
      <w:r w:rsidR="00AC442E" w:rsidRPr="00C0765A">
        <w:rPr>
          <w:lang w:val="en-US"/>
        </w:rPr>
        <w:t>every 2</w:t>
      </w:r>
      <w:r w:rsidR="00AC442E" w:rsidRPr="00C0765A">
        <w:rPr>
          <w:vertAlign w:val="superscript"/>
          <w:lang w:val="en-US"/>
        </w:rPr>
        <w:t>nd</w:t>
      </w:r>
      <w:r w:rsidR="00AC442E" w:rsidRPr="00C0765A">
        <w:rPr>
          <w:lang w:val="en-US"/>
        </w:rPr>
        <w:t xml:space="preserve"> to 5</w:t>
      </w:r>
      <w:r w:rsidR="00AC442E" w:rsidRPr="00C0765A">
        <w:rPr>
          <w:vertAlign w:val="superscript"/>
          <w:lang w:val="en-US"/>
        </w:rPr>
        <w:t>th</w:t>
      </w:r>
      <w:r w:rsidR="00AC442E" w:rsidRPr="00C0765A">
        <w:rPr>
          <w:lang w:val="en-US"/>
        </w:rPr>
        <w:t xml:space="preserve"> </w:t>
      </w:r>
      <w:r w:rsidRPr="00C0765A">
        <w:rPr>
          <w:lang w:val="en-US"/>
        </w:rPr>
        <w:t xml:space="preserve">inhalation, compressed air was utilized to close the valve for 150ms, resulting in a brief inspiratory occlusion. Within the same inspiration, the second 150ms occlusion occurred automatically 500ms after the first. The pneumotachograph and a differential-pressure transducer (Hans Rudolph Inc., Shawnee, USA) enabled the recording of the inspiratory flow and mouth pressure. The signal was digitized and amplified using a physiological signal recording unit (MP160, BIOPAC Inc., Goleta, USA) and monitored and recorded using </w:t>
      </w:r>
      <w:proofErr w:type="spellStart"/>
      <w:r w:rsidRPr="00C0765A">
        <w:rPr>
          <w:lang w:val="en-US"/>
        </w:rPr>
        <w:t>AcqKnowledge</w:t>
      </w:r>
      <w:proofErr w:type="spellEnd"/>
      <w:r w:rsidRPr="00C0765A">
        <w:rPr>
          <w:lang w:val="en-US"/>
        </w:rPr>
        <w:t xml:space="preserve"> 5.0 (BIOPAC Inc., Goleta, USA). Incomplete occlusion pairs were excluded from EEG analysis without replacement. </w:t>
      </w:r>
      <w:r w:rsidR="00FA4CA3" w:rsidRPr="00C0765A">
        <w:rPr>
          <w:lang w:val="en-US"/>
        </w:rPr>
        <w:t>Please r</w:t>
      </w:r>
      <w:r w:rsidRPr="00C0765A">
        <w:rPr>
          <w:lang w:val="en-US"/>
        </w:rPr>
        <w:t>efer to Jelinčić et al. (2021) for a graphical representation and further detail.</w:t>
      </w:r>
    </w:p>
    <w:p w14:paraId="1A455764" w14:textId="61FC0127" w:rsidR="00DE6A8C" w:rsidRPr="00C0765A" w:rsidRDefault="00DE6A8C" w:rsidP="00EC77B2">
      <w:pPr>
        <w:pStyle w:val="Heading3"/>
        <w:rPr>
          <w:lang w:val="en-US"/>
        </w:rPr>
      </w:pPr>
      <w:r w:rsidRPr="00C0765A">
        <w:rPr>
          <w:lang w:val="en-US"/>
        </w:rPr>
        <w:t>2.2.</w:t>
      </w:r>
      <w:r w:rsidR="00F92225" w:rsidRPr="00C0765A">
        <w:rPr>
          <w:lang w:val="en-US"/>
        </w:rPr>
        <w:t>5</w:t>
      </w:r>
      <w:r w:rsidRPr="00C0765A">
        <w:rPr>
          <w:lang w:val="en-US"/>
        </w:rPr>
        <w:t xml:space="preserve"> Electrocutaneous stimul</w:t>
      </w:r>
      <w:r w:rsidR="0099690E" w:rsidRPr="00C0765A">
        <w:rPr>
          <w:lang w:val="en-US"/>
        </w:rPr>
        <w:t>i</w:t>
      </w:r>
    </w:p>
    <w:p w14:paraId="035789E7" w14:textId="3DB88FA7" w:rsidR="00362047" w:rsidRPr="00C0765A" w:rsidRDefault="00362047" w:rsidP="00EC77B2">
      <w:pPr>
        <w:rPr>
          <w:i/>
          <w:iCs/>
          <w:lang w:val="en-US"/>
        </w:rPr>
      </w:pPr>
      <w:r w:rsidRPr="00C0765A">
        <w:rPr>
          <w:lang w:val="en-US"/>
        </w:rPr>
        <w:lastRenderedPageBreak/>
        <w:t xml:space="preserve">In the electrocutaneous blocks, brief paired electrical stimuli were delivered via a bipolar bar electrode attached to the participants’ posterior left wrist, 2cm above the pisiform bone. The electrode was filled with electroconductive gel (K-Y Gel, Reckitt plc, Slough, UK) to increase the precision of stimulus delivery and </w:t>
      </w:r>
      <w:r w:rsidR="00226EBF" w:rsidRPr="00C0765A">
        <w:rPr>
          <w:lang w:val="en-US"/>
        </w:rPr>
        <w:t>eliminate</w:t>
      </w:r>
      <w:r w:rsidRPr="00C0765A">
        <w:rPr>
          <w:lang w:val="en-US"/>
        </w:rPr>
        <w:t xml:space="preserve"> heat transfer. With the participants’ EEG being recorded</w:t>
      </w:r>
      <w:r w:rsidR="0051419B" w:rsidRPr="00C0765A">
        <w:rPr>
          <w:lang w:val="en-US"/>
        </w:rPr>
        <w:t xml:space="preserve"> and </w:t>
      </w:r>
      <w:proofErr w:type="spellStart"/>
      <w:r w:rsidR="0051419B" w:rsidRPr="00C0765A">
        <w:rPr>
          <w:lang w:val="en-US"/>
        </w:rPr>
        <w:t>taVNS</w:t>
      </w:r>
      <w:proofErr w:type="spellEnd"/>
      <w:r w:rsidR="0051419B" w:rsidRPr="00C0765A">
        <w:rPr>
          <w:lang w:val="en-US"/>
        </w:rPr>
        <w:t>/Sham being delivered</w:t>
      </w:r>
      <w:r w:rsidRPr="00C0765A">
        <w:rPr>
          <w:lang w:val="en-US"/>
        </w:rPr>
        <w:t xml:space="preserve">, </w:t>
      </w:r>
      <w:r w:rsidR="0051419B" w:rsidRPr="00C0765A">
        <w:rPr>
          <w:lang w:val="en-US"/>
        </w:rPr>
        <w:t>a</w:t>
      </w:r>
      <w:r w:rsidRPr="00C0765A">
        <w:rPr>
          <w:lang w:val="en-US"/>
        </w:rPr>
        <w:t xml:space="preserve"> constant-current stimulator (DS7, </w:t>
      </w:r>
      <w:proofErr w:type="spellStart"/>
      <w:r w:rsidRPr="00C0765A">
        <w:rPr>
          <w:lang w:val="en-US"/>
        </w:rPr>
        <w:t>Digitimer</w:t>
      </w:r>
      <w:proofErr w:type="spellEnd"/>
      <w:r w:rsidRPr="00C0765A">
        <w:rPr>
          <w:lang w:val="en-US"/>
        </w:rPr>
        <w:t xml:space="preserve"> Ltd, </w:t>
      </w:r>
      <w:r w:rsidR="0051419B" w:rsidRPr="00C0765A">
        <w:rPr>
          <w:lang w:val="en-US"/>
        </w:rPr>
        <w:t>Welwyn Garden City</w:t>
      </w:r>
      <w:r w:rsidRPr="00C0765A">
        <w:rPr>
          <w:lang w:val="en-US"/>
        </w:rPr>
        <w:t xml:space="preserve">, UK) was used to send the square electrocutaneous </w:t>
      </w:r>
      <w:r w:rsidR="00B520D5" w:rsidRPr="00C0765A">
        <w:rPr>
          <w:lang w:val="en-US"/>
        </w:rPr>
        <w:t>pulses</w:t>
      </w:r>
      <w:r w:rsidRPr="00C0765A">
        <w:rPr>
          <w:lang w:val="en-US"/>
        </w:rPr>
        <w:t xml:space="preserve"> (pulse duration = 2ms, ISI = 500ms)</w:t>
      </w:r>
      <w:r w:rsidR="002F2BA9" w:rsidRPr="00C0765A">
        <w:rPr>
          <w:lang w:val="en-US"/>
        </w:rPr>
        <w:t xml:space="preserve"> </w:t>
      </w:r>
      <w:r w:rsidR="00FB4DE7" w:rsidRPr="00C0765A">
        <w:rPr>
          <w:lang w:val="en-US"/>
        </w:rPr>
        <w:t>(Jelinčić, Torta, et al., 2021)</w:t>
      </w:r>
      <w:r w:rsidRPr="00C0765A">
        <w:rPr>
          <w:lang w:val="en-US"/>
        </w:rPr>
        <w:t>. As in</w:t>
      </w:r>
      <w:r w:rsidR="00386718" w:rsidRPr="00C0765A">
        <w:rPr>
          <w:lang w:val="en-US"/>
        </w:rPr>
        <w:t xml:space="preserve"> the</w:t>
      </w:r>
      <w:r w:rsidRPr="00C0765A">
        <w:rPr>
          <w:lang w:val="en-US"/>
        </w:rPr>
        <w:t xml:space="preserve"> </w:t>
      </w:r>
      <w:r w:rsidR="00383CAF" w:rsidRPr="00C0765A">
        <w:rPr>
          <w:lang w:val="en-US"/>
        </w:rPr>
        <w:t>other two sensory modalities</w:t>
      </w:r>
      <w:r w:rsidRPr="00C0765A">
        <w:rPr>
          <w:lang w:val="en-US"/>
        </w:rPr>
        <w:t xml:space="preserve">, the first stimulus was administered manually by the experimenter, with the second stimulus following automatically after a 500ms interval. The amplitude of the stimulation was calibrated as five times the intensity that the participants could just perceive (perceptual threshold). The average stimulus amplitude across participants was </w:t>
      </w:r>
      <w:r w:rsidR="00D63E95" w:rsidRPr="00C0765A">
        <w:rPr>
          <w:lang w:val="en-US"/>
        </w:rPr>
        <w:t>2</w:t>
      </w:r>
      <w:r w:rsidRPr="00C0765A">
        <w:rPr>
          <w:lang w:val="en-US"/>
        </w:rPr>
        <w:t>.</w:t>
      </w:r>
      <w:r w:rsidR="00D63E95" w:rsidRPr="00C0765A">
        <w:rPr>
          <w:lang w:val="en-US"/>
        </w:rPr>
        <w:t>6</w:t>
      </w:r>
      <w:r w:rsidRPr="00C0765A">
        <w:rPr>
          <w:lang w:val="en-US"/>
        </w:rPr>
        <w:t>2mA (</w:t>
      </w:r>
      <w:r w:rsidRPr="00C0765A">
        <w:rPr>
          <w:i/>
          <w:iCs/>
          <w:lang w:val="en-US"/>
        </w:rPr>
        <w:t>SD</w:t>
      </w:r>
      <w:r w:rsidRPr="00C0765A">
        <w:rPr>
          <w:lang w:val="en-US"/>
        </w:rPr>
        <w:t>(</w:t>
      </w:r>
      <w:r w:rsidR="00E8003A" w:rsidRPr="00C0765A">
        <w:rPr>
          <w:lang w:val="en-US"/>
        </w:rPr>
        <w:t>44</w:t>
      </w:r>
      <w:r w:rsidRPr="00C0765A">
        <w:rPr>
          <w:lang w:val="en-US"/>
        </w:rPr>
        <w:t>)=1.</w:t>
      </w:r>
      <w:r w:rsidR="00D63E95" w:rsidRPr="00C0765A">
        <w:rPr>
          <w:lang w:val="en-US"/>
        </w:rPr>
        <w:t>65</w:t>
      </w:r>
      <w:r w:rsidRPr="00C0765A">
        <w:rPr>
          <w:lang w:val="en-US"/>
        </w:rPr>
        <w:t>).</w:t>
      </w:r>
    </w:p>
    <w:p w14:paraId="2E37A159" w14:textId="0369531E" w:rsidR="002B203B" w:rsidRPr="00C0765A" w:rsidRDefault="002B203B" w:rsidP="00EC77B2">
      <w:pPr>
        <w:pStyle w:val="Heading3"/>
        <w:rPr>
          <w:lang w:val="en-US"/>
        </w:rPr>
      </w:pPr>
      <w:r w:rsidRPr="00C0765A">
        <w:rPr>
          <w:lang w:val="en-US"/>
        </w:rPr>
        <w:t>2.2.6 EEG measurement</w:t>
      </w:r>
    </w:p>
    <w:p w14:paraId="0E0C540F" w14:textId="751DD6F8" w:rsidR="00095950" w:rsidRPr="00C0765A" w:rsidRDefault="00861C8D" w:rsidP="00EC77B2">
      <w:pPr>
        <w:rPr>
          <w:rFonts w:cstheme="majorHAnsi"/>
          <w:b/>
          <w:bCs/>
          <w:i/>
          <w:iCs/>
          <w:lang w:val="en-US"/>
        </w:rPr>
      </w:pPr>
      <w:r w:rsidRPr="00C0765A">
        <w:rPr>
          <w:lang w:val="en-US"/>
        </w:rPr>
        <w:t>Participants’ EEG was measured d</w:t>
      </w:r>
      <w:r w:rsidR="00095950" w:rsidRPr="00C0765A">
        <w:rPr>
          <w:lang w:val="en-US"/>
        </w:rPr>
        <w:t xml:space="preserve">uring the sensory stimulation blocks and five minutes’ resting state </w:t>
      </w:r>
      <w:r w:rsidR="00837F9C" w:rsidRPr="00C0765A">
        <w:rPr>
          <w:lang w:val="en-US"/>
        </w:rPr>
        <w:t>pre-</w:t>
      </w:r>
      <w:r w:rsidR="008E1D54" w:rsidRPr="00C0765A">
        <w:rPr>
          <w:lang w:val="en-US"/>
        </w:rPr>
        <w:t xml:space="preserve"> and </w:t>
      </w:r>
      <w:r w:rsidR="00837F9C" w:rsidRPr="00C0765A">
        <w:rPr>
          <w:lang w:val="en-US"/>
        </w:rPr>
        <w:t>post-</w:t>
      </w:r>
      <w:r w:rsidR="008E1D54" w:rsidRPr="00C0765A">
        <w:rPr>
          <w:lang w:val="en-US"/>
        </w:rPr>
        <w:t xml:space="preserve">stimulation, using a high-density 129-channel net </w:t>
      </w:r>
      <w:r w:rsidR="00C5720D" w:rsidRPr="00C0765A">
        <w:rPr>
          <w:rFonts w:cstheme="minorHAnsi"/>
          <w:lang w:val="en-US"/>
        </w:rPr>
        <w:t xml:space="preserve">(Philips Electrical Geodesics Inc., Eugene, USA). EEG was recorded </w:t>
      </w:r>
      <w:r w:rsidR="008B3B87" w:rsidRPr="00C0765A">
        <w:rPr>
          <w:rFonts w:cstheme="minorHAnsi"/>
          <w:lang w:val="en-US"/>
        </w:rPr>
        <w:t>at</w:t>
      </w:r>
      <w:r w:rsidR="00C5720D" w:rsidRPr="00C0765A">
        <w:rPr>
          <w:rFonts w:cstheme="minorHAnsi"/>
          <w:lang w:val="en-US"/>
        </w:rPr>
        <w:t xml:space="preserve"> a sampling rate of </w:t>
      </w:r>
      <w:r w:rsidR="008B3B87" w:rsidRPr="00C0765A">
        <w:rPr>
          <w:rFonts w:cstheme="minorHAnsi"/>
          <w:lang w:val="en-US"/>
        </w:rPr>
        <w:t>1k</w:t>
      </w:r>
      <w:r w:rsidR="00C5720D" w:rsidRPr="00C0765A">
        <w:rPr>
          <w:rFonts w:cstheme="minorHAnsi"/>
          <w:lang w:val="en-US"/>
        </w:rPr>
        <w:t>Hz and was online referenced to the vertex electrode, with the channel impedances kept under 50kΩ</w:t>
      </w:r>
      <w:r w:rsidR="008B3B87" w:rsidRPr="00C0765A">
        <w:rPr>
          <w:rFonts w:cstheme="minorHAnsi"/>
          <w:lang w:val="en-US"/>
        </w:rPr>
        <w:t xml:space="preserve">, adhering </w:t>
      </w:r>
      <w:r w:rsidR="00C5720D" w:rsidRPr="00C0765A">
        <w:rPr>
          <w:rFonts w:cstheme="minorHAnsi"/>
          <w:lang w:val="en-US"/>
        </w:rPr>
        <w:t>to the manufacturer guidelines.</w:t>
      </w:r>
    </w:p>
    <w:p w14:paraId="11EF6C4C" w14:textId="2CBB8517" w:rsidR="00294387" w:rsidRPr="00C0765A" w:rsidRDefault="00294387" w:rsidP="00EC77B2">
      <w:pPr>
        <w:pStyle w:val="Heading3"/>
        <w:rPr>
          <w:lang w:val="en-US"/>
        </w:rPr>
      </w:pPr>
      <w:r w:rsidRPr="00C0765A">
        <w:rPr>
          <w:lang w:val="en-US"/>
        </w:rPr>
        <w:t>2.2.7 Adverse events</w:t>
      </w:r>
    </w:p>
    <w:p w14:paraId="49D229CE" w14:textId="1BF8F8AF" w:rsidR="004A2C08" w:rsidRPr="00C0765A" w:rsidRDefault="002D0624" w:rsidP="00EC77B2">
      <w:pPr>
        <w:rPr>
          <w:lang w:val="en-US"/>
        </w:rPr>
      </w:pPr>
      <w:r w:rsidRPr="00C0765A">
        <w:rPr>
          <w:lang w:val="en-US"/>
        </w:rPr>
        <w:t xml:space="preserve">To assess whether any side-effects of </w:t>
      </w:r>
      <w:proofErr w:type="spellStart"/>
      <w:r w:rsidRPr="00C0765A">
        <w:rPr>
          <w:lang w:val="en-US"/>
        </w:rPr>
        <w:t>taVNS</w:t>
      </w:r>
      <w:proofErr w:type="spellEnd"/>
      <w:r w:rsidRPr="00C0765A">
        <w:rPr>
          <w:lang w:val="en-US"/>
        </w:rPr>
        <w:t xml:space="preserve"> lingered after the stimulation was turned off</w:t>
      </w:r>
      <w:r w:rsidR="001446EE" w:rsidRPr="00C0765A">
        <w:rPr>
          <w:lang w:val="en-US"/>
        </w:rPr>
        <w:t xml:space="preserve">, participants filled in </w:t>
      </w:r>
      <w:r w:rsidR="00670754" w:rsidRPr="00C0765A">
        <w:rPr>
          <w:lang w:val="en-US"/>
        </w:rPr>
        <w:t>an</w:t>
      </w:r>
      <w:r w:rsidR="001446EE" w:rsidRPr="00C0765A">
        <w:rPr>
          <w:lang w:val="en-US"/>
        </w:rPr>
        <w:t xml:space="preserve"> adverse events form at the end of each session. The adverse events included </w:t>
      </w:r>
      <w:r w:rsidR="00E47688" w:rsidRPr="00C0765A">
        <w:rPr>
          <w:lang w:val="en-US"/>
        </w:rPr>
        <w:t>pain, itching or burning at the stimulation site, headache, neck pain, limb numbness</w:t>
      </w:r>
      <w:r w:rsidR="004A2C08" w:rsidRPr="00C0765A">
        <w:rPr>
          <w:lang w:val="en-US"/>
        </w:rPr>
        <w:t xml:space="preserve">, nausea, drowsiness and </w:t>
      </w:r>
      <w:r w:rsidR="001D5BA9" w:rsidRPr="00C0765A">
        <w:rPr>
          <w:lang w:val="en-US"/>
        </w:rPr>
        <w:t xml:space="preserve">a </w:t>
      </w:r>
      <w:r w:rsidR="004A2C08" w:rsidRPr="00C0765A">
        <w:rPr>
          <w:lang w:val="en-US"/>
        </w:rPr>
        <w:t>non-specific uncomfortable feeling.</w:t>
      </w:r>
      <w:r w:rsidR="00F34A54" w:rsidRPr="00C0765A">
        <w:rPr>
          <w:lang w:val="en-US"/>
        </w:rPr>
        <w:t xml:space="preserve"> The </w:t>
      </w:r>
      <w:r w:rsidR="003D17E5" w:rsidRPr="00C0765A">
        <w:rPr>
          <w:lang w:val="en-US"/>
        </w:rPr>
        <w:t>occurrence and intensity</w:t>
      </w:r>
      <w:r w:rsidR="00F34A54" w:rsidRPr="00C0765A">
        <w:rPr>
          <w:lang w:val="en-US"/>
        </w:rPr>
        <w:t xml:space="preserve"> of these events was assessed </w:t>
      </w:r>
      <w:r w:rsidR="00A32256" w:rsidRPr="00C0765A">
        <w:rPr>
          <w:lang w:val="en-US"/>
        </w:rPr>
        <w:t xml:space="preserve">using a 6-point Likert scale with the </w:t>
      </w:r>
      <w:r w:rsidR="003A48F7" w:rsidRPr="00C0765A">
        <w:rPr>
          <w:lang w:val="en-US"/>
        </w:rPr>
        <w:t>descriptors</w:t>
      </w:r>
      <w:r w:rsidR="001037A5" w:rsidRPr="00C0765A">
        <w:rPr>
          <w:lang w:val="en-US"/>
        </w:rPr>
        <w:t xml:space="preserve"> </w:t>
      </w:r>
      <w:r w:rsidR="001037A5" w:rsidRPr="00C0765A">
        <w:rPr>
          <w:i/>
          <w:iCs/>
          <w:lang w:val="en-US"/>
        </w:rPr>
        <w:t>not at all, extremely limited, very limited, moderate, strong, very strong.</w:t>
      </w:r>
      <w:r w:rsidR="004A2C08" w:rsidRPr="00C0765A">
        <w:rPr>
          <w:lang w:val="en-US"/>
        </w:rPr>
        <w:t xml:space="preserve"> </w:t>
      </w:r>
    </w:p>
    <w:p w14:paraId="5CD1509A" w14:textId="0FCBECA6" w:rsidR="00660CC7" w:rsidRPr="00C0765A" w:rsidRDefault="00660CC7" w:rsidP="00EC77B2">
      <w:pPr>
        <w:pStyle w:val="Heading2"/>
        <w:rPr>
          <w:lang w:val="en-US"/>
        </w:rPr>
      </w:pPr>
      <w:r w:rsidRPr="00C0765A">
        <w:rPr>
          <w:lang w:val="en-US"/>
        </w:rPr>
        <w:t>2.3 Experimental Procedure</w:t>
      </w:r>
      <w:r w:rsidR="00EB3539" w:rsidRPr="00C0765A">
        <w:rPr>
          <w:lang w:val="en-US"/>
        </w:rPr>
        <w:t>s</w:t>
      </w:r>
    </w:p>
    <w:p w14:paraId="09C3D7C6" w14:textId="1968A0FC" w:rsidR="00B04D2C" w:rsidRPr="00C0765A" w:rsidRDefault="005E1CFE" w:rsidP="00EC77B2">
      <w:pPr>
        <w:rPr>
          <w:lang w:val="en-US"/>
        </w:rPr>
      </w:pPr>
      <w:r w:rsidRPr="00C0765A">
        <w:rPr>
          <w:lang w:val="en-US"/>
        </w:rPr>
        <w:t>The study was designed as a two-session</w:t>
      </w:r>
      <w:r w:rsidR="00BC58EE" w:rsidRPr="00C0765A">
        <w:rPr>
          <w:lang w:val="en-US"/>
        </w:rPr>
        <w:t>, single</w:t>
      </w:r>
      <w:r w:rsidR="008A0954" w:rsidRPr="00C0765A">
        <w:rPr>
          <w:lang w:val="en-US"/>
        </w:rPr>
        <w:t>-</w:t>
      </w:r>
      <w:r w:rsidR="00BC58EE" w:rsidRPr="00C0765A">
        <w:rPr>
          <w:lang w:val="en-US"/>
        </w:rPr>
        <w:t xml:space="preserve">blind crossover experiment. </w:t>
      </w:r>
      <w:r w:rsidR="005B4D41" w:rsidRPr="00C0765A">
        <w:rPr>
          <w:lang w:val="en-US"/>
        </w:rPr>
        <w:t xml:space="preserve">Each participant </w:t>
      </w:r>
      <w:r w:rsidR="00414890" w:rsidRPr="00C0765A">
        <w:rPr>
          <w:lang w:val="en-US"/>
        </w:rPr>
        <w:t xml:space="preserve">received both </w:t>
      </w:r>
      <w:r w:rsidR="00E83196" w:rsidRPr="00C0765A">
        <w:rPr>
          <w:lang w:val="en-US"/>
        </w:rPr>
        <w:t xml:space="preserve">the </w:t>
      </w:r>
      <w:r w:rsidR="00414890" w:rsidRPr="00C0765A">
        <w:rPr>
          <w:lang w:val="en-US"/>
        </w:rPr>
        <w:t xml:space="preserve">active </w:t>
      </w:r>
      <w:proofErr w:type="spellStart"/>
      <w:r w:rsidR="00414890" w:rsidRPr="00C0765A">
        <w:rPr>
          <w:lang w:val="en-US"/>
        </w:rPr>
        <w:t>taVNS</w:t>
      </w:r>
      <w:proofErr w:type="spellEnd"/>
      <w:r w:rsidR="00414890" w:rsidRPr="00C0765A">
        <w:rPr>
          <w:lang w:val="en-US"/>
        </w:rPr>
        <w:t xml:space="preserve"> and active Sham stimulation, each </w:t>
      </w:r>
      <w:r w:rsidR="0095564E" w:rsidRPr="00C0765A">
        <w:rPr>
          <w:lang w:val="en-US"/>
        </w:rPr>
        <w:t>i</w:t>
      </w:r>
      <w:r w:rsidR="00414890" w:rsidRPr="00C0765A">
        <w:rPr>
          <w:lang w:val="en-US"/>
        </w:rPr>
        <w:t xml:space="preserve">n a separate </w:t>
      </w:r>
      <w:r w:rsidR="0095564E" w:rsidRPr="00C0765A">
        <w:rPr>
          <w:lang w:val="en-US"/>
        </w:rPr>
        <w:t>session</w:t>
      </w:r>
      <w:r w:rsidR="00E16732" w:rsidRPr="00C0765A">
        <w:rPr>
          <w:lang w:val="en-US"/>
        </w:rPr>
        <w:t>, with exactly 7 days in between the sessions</w:t>
      </w:r>
      <w:r w:rsidR="00414890" w:rsidRPr="00C0765A">
        <w:rPr>
          <w:lang w:val="en-US"/>
        </w:rPr>
        <w:t xml:space="preserve">. The </w:t>
      </w:r>
      <w:r w:rsidR="003365F1" w:rsidRPr="00C0765A">
        <w:rPr>
          <w:lang w:val="en-US"/>
        </w:rPr>
        <w:t>assignment</w:t>
      </w:r>
      <w:r w:rsidR="00414890" w:rsidRPr="00C0765A">
        <w:rPr>
          <w:lang w:val="en-US"/>
        </w:rPr>
        <w:t xml:space="preserve"> of stimulation type </w:t>
      </w:r>
      <w:r w:rsidR="003365F1" w:rsidRPr="00C0765A">
        <w:rPr>
          <w:lang w:val="en-US"/>
        </w:rPr>
        <w:t>to the first and the second</w:t>
      </w:r>
      <w:r w:rsidR="00F31B47" w:rsidRPr="00C0765A">
        <w:rPr>
          <w:lang w:val="en-US"/>
        </w:rPr>
        <w:t xml:space="preserve"> session </w:t>
      </w:r>
      <w:r w:rsidR="00414890" w:rsidRPr="00C0765A">
        <w:rPr>
          <w:lang w:val="en-US"/>
        </w:rPr>
        <w:t xml:space="preserve">was counterbalanced </w:t>
      </w:r>
      <w:r w:rsidR="00E16732" w:rsidRPr="00C0765A">
        <w:rPr>
          <w:lang w:val="en-US"/>
        </w:rPr>
        <w:t xml:space="preserve">and randomly </w:t>
      </w:r>
      <w:r w:rsidR="00C57714" w:rsidRPr="00C0765A">
        <w:rPr>
          <w:lang w:val="en-US"/>
        </w:rPr>
        <w:t>assigned to</w:t>
      </w:r>
      <w:r w:rsidR="00414890" w:rsidRPr="00C0765A">
        <w:rPr>
          <w:lang w:val="en-US"/>
        </w:rPr>
        <w:t xml:space="preserve"> participants</w:t>
      </w:r>
      <w:r w:rsidR="0089370B" w:rsidRPr="00C0765A">
        <w:rPr>
          <w:lang w:val="en-US"/>
        </w:rPr>
        <w:t>.</w:t>
      </w:r>
      <w:r w:rsidR="00711908" w:rsidRPr="00C0765A">
        <w:rPr>
          <w:lang w:val="en-US"/>
        </w:rPr>
        <w:t xml:space="preserve"> </w:t>
      </w:r>
      <w:r w:rsidR="00B04D2C" w:rsidRPr="00C0765A">
        <w:rPr>
          <w:lang w:val="en-US"/>
        </w:rPr>
        <w:t xml:space="preserve">To </w:t>
      </w:r>
      <w:r w:rsidR="00084771" w:rsidRPr="00C0765A">
        <w:rPr>
          <w:lang w:val="en-US"/>
        </w:rPr>
        <w:t>minimize the chance</w:t>
      </w:r>
      <w:r w:rsidR="00B04D2C" w:rsidRPr="00C0765A">
        <w:rPr>
          <w:lang w:val="en-US"/>
        </w:rPr>
        <w:t xml:space="preserve"> </w:t>
      </w:r>
      <w:r w:rsidR="00282EA1" w:rsidRPr="00C0765A">
        <w:rPr>
          <w:lang w:val="en-US"/>
        </w:rPr>
        <w:t>of</w:t>
      </w:r>
      <w:r w:rsidR="00B04D2C" w:rsidRPr="00C0765A">
        <w:rPr>
          <w:lang w:val="en-US"/>
        </w:rPr>
        <w:t xml:space="preserve"> the salivary alpha</w:t>
      </w:r>
      <w:r w:rsidR="00C87464" w:rsidRPr="00C0765A">
        <w:rPr>
          <w:lang w:val="en-US"/>
        </w:rPr>
        <w:t>-</w:t>
      </w:r>
      <w:r w:rsidR="00B04D2C" w:rsidRPr="00C0765A">
        <w:rPr>
          <w:lang w:val="en-US"/>
        </w:rPr>
        <w:t xml:space="preserve">amylase levels </w:t>
      </w:r>
      <w:r w:rsidR="00282EA1" w:rsidRPr="00C0765A">
        <w:rPr>
          <w:lang w:val="en-US"/>
        </w:rPr>
        <w:t>being</w:t>
      </w:r>
      <w:r w:rsidR="00B04D2C" w:rsidRPr="00C0765A">
        <w:rPr>
          <w:lang w:val="en-US"/>
        </w:rPr>
        <w:t xml:space="preserve"> confounded by circadian </w:t>
      </w:r>
      <w:r w:rsidR="006D4F68" w:rsidRPr="00C0765A">
        <w:rPr>
          <w:lang w:val="en-US"/>
        </w:rPr>
        <w:t>shifts</w:t>
      </w:r>
      <w:r w:rsidR="00B04D2C" w:rsidRPr="00C0765A">
        <w:rPr>
          <w:lang w:val="en-US"/>
        </w:rPr>
        <w:t xml:space="preserve">, </w:t>
      </w:r>
      <w:r w:rsidR="00602956" w:rsidRPr="00C0765A">
        <w:rPr>
          <w:lang w:val="en-US"/>
        </w:rPr>
        <w:t>both</w:t>
      </w:r>
      <w:r w:rsidR="00B04D2C" w:rsidRPr="00C0765A">
        <w:rPr>
          <w:lang w:val="en-US"/>
        </w:rPr>
        <w:t xml:space="preserve"> session</w:t>
      </w:r>
      <w:r w:rsidR="005134BC" w:rsidRPr="00C0765A">
        <w:rPr>
          <w:lang w:val="en-US"/>
        </w:rPr>
        <w:t>s</w:t>
      </w:r>
      <w:r w:rsidR="00B04D2C" w:rsidRPr="00C0765A">
        <w:rPr>
          <w:lang w:val="en-US"/>
        </w:rPr>
        <w:t xml:space="preserve"> took place between 12PM and 8PM</w:t>
      </w:r>
      <w:r w:rsidR="00602956" w:rsidRPr="00C0765A">
        <w:rPr>
          <w:lang w:val="en-US"/>
        </w:rPr>
        <w:t>, at the same time for each participant</w:t>
      </w:r>
      <w:r w:rsidR="00B04D2C" w:rsidRPr="00C0765A">
        <w:rPr>
          <w:lang w:val="en-US"/>
        </w:rPr>
        <w:t xml:space="preserve">. Participants were instructed to refrain from </w:t>
      </w:r>
      <w:r w:rsidR="00FD5F68" w:rsidRPr="00C0765A">
        <w:rPr>
          <w:lang w:val="en-US"/>
        </w:rPr>
        <w:t xml:space="preserve">taking medication (apart from </w:t>
      </w:r>
      <w:r w:rsidR="00C87464" w:rsidRPr="00C0765A">
        <w:rPr>
          <w:lang w:val="en-US"/>
        </w:rPr>
        <w:t xml:space="preserve">oral </w:t>
      </w:r>
      <w:r w:rsidR="00FD5F68" w:rsidRPr="00C0765A">
        <w:rPr>
          <w:lang w:val="en-US"/>
        </w:rPr>
        <w:t xml:space="preserve">contraceptives) in the 24 hours preceding the experiment. They were also </w:t>
      </w:r>
      <w:r w:rsidR="005134BC" w:rsidRPr="00C0765A">
        <w:rPr>
          <w:lang w:val="en-US"/>
        </w:rPr>
        <w:t xml:space="preserve">asked </w:t>
      </w:r>
      <w:r w:rsidR="00FD5F68" w:rsidRPr="00C0765A">
        <w:rPr>
          <w:lang w:val="en-US"/>
        </w:rPr>
        <w:t xml:space="preserve">not to consume caffeinated </w:t>
      </w:r>
      <w:r w:rsidR="00FD5F68" w:rsidRPr="00C0765A">
        <w:rPr>
          <w:lang w:val="en-US"/>
        </w:rPr>
        <w:lastRenderedPageBreak/>
        <w:t xml:space="preserve">beverages in the </w:t>
      </w:r>
      <w:r w:rsidR="00525BF4" w:rsidRPr="00C0765A">
        <w:rPr>
          <w:lang w:val="en-US"/>
        </w:rPr>
        <w:t>six</w:t>
      </w:r>
      <w:r w:rsidR="00FD5F68" w:rsidRPr="00C0765A">
        <w:rPr>
          <w:lang w:val="en-US"/>
        </w:rPr>
        <w:t xml:space="preserve"> hours preceding the experiment</w:t>
      </w:r>
      <w:r w:rsidR="00BF1F1F" w:rsidRPr="00C0765A">
        <w:rPr>
          <w:lang w:val="en-US"/>
        </w:rPr>
        <w:t xml:space="preserve">, </w:t>
      </w:r>
      <w:r w:rsidR="00923D77" w:rsidRPr="00C0765A">
        <w:rPr>
          <w:lang w:val="en-US"/>
        </w:rPr>
        <w:t xml:space="preserve">to ensure </w:t>
      </w:r>
      <w:r w:rsidR="00156D15" w:rsidRPr="00C0765A">
        <w:rPr>
          <w:lang w:val="en-US"/>
        </w:rPr>
        <w:t>arousal levels approaching each individual’s baseline</w:t>
      </w:r>
      <w:r w:rsidR="00BF1F1F" w:rsidRPr="00C0765A">
        <w:rPr>
          <w:lang w:val="en-US"/>
        </w:rPr>
        <w:t xml:space="preserve">. </w:t>
      </w:r>
      <w:r w:rsidR="00E74760" w:rsidRPr="00C0765A">
        <w:rPr>
          <w:lang w:val="en-US"/>
        </w:rPr>
        <w:t>T</w:t>
      </w:r>
      <w:r w:rsidR="005134BC" w:rsidRPr="00C0765A">
        <w:rPr>
          <w:lang w:val="en-US"/>
        </w:rPr>
        <w:t xml:space="preserve">o ensure </w:t>
      </w:r>
      <w:r w:rsidR="007A4611" w:rsidRPr="00C0765A">
        <w:rPr>
          <w:lang w:val="en-US"/>
        </w:rPr>
        <w:t xml:space="preserve">uncontaminated saliva samples, participants were asked to refrain from eating or chewing gum in the </w:t>
      </w:r>
      <w:r w:rsidR="00B30994" w:rsidRPr="00C0765A">
        <w:rPr>
          <w:lang w:val="en-US"/>
        </w:rPr>
        <w:t xml:space="preserve">last </w:t>
      </w:r>
      <w:r w:rsidR="007A4611" w:rsidRPr="00C0765A">
        <w:rPr>
          <w:lang w:val="en-US"/>
        </w:rPr>
        <w:t>hour before the experiment.</w:t>
      </w:r>
    </w:p>
    <w:p w14:paraId="4CF5A225" w14:textId="1F287165" w:rsidR="009F2CEA" w:rsidRPr="00C0765A" w:rsidRDefault="009F2CEA" w:rsidP="00EC77B2">
      <w:pPr>
        <w:rPr>
          <w:lang w:val="en-US"/>
        </w:rPr>
      </w:pPr>
      <w:r w:rsidRPr="00C0765A">
        <w:rPr>
          <w:lang w:val="en-US"/>
        </w:rPr>
        <w:t>During all of the below described procedures, participants sat in a comfortable reclining chair, positioned 100cm away from a computer screen, which displayed instructions, rating scales and the fixation cross during the sensory stimulation blocks</w:t>
      </w:r>
      <w:r w:rsidR="008B7F65" w:rsidRPr="00C0765A">
        <w:rPr>
          <w:lang w:val="en-US"/>
        </w:rPr>
        <w:t>.</w:t>
      </w:r>
    </w:p>
    <w:p w14:paraId="51573E8E" w14:textId="42E4D9AA" w:rsidR="00711908" w:rsidRPr="00C0765A" w:rsidRDefault="00711908" w:rsidP="00EC77B2">
      <w:pPr>
        <w:pStyle w:val="Heading3"/>
        <w:rPr>
          <w:lang w:val="en-US"/>
        </w:rPr>
      </w:pPr>
      <w:bookmarkStart w:id="2" w:name="_2.3.1_First_session"/>
      <w:bookmarkEnd w:id="2"/>
      <w:r w:rsidRPr="00C0765A">
        <w:rPr>
          <w:lang w:val="en-US"/>
        </w:rPr>
        <w:t xml:space="preserve">2.3.1 </w:t>
      </w:r>
      <w:r w:rsidR="00EC588A" w:rsidRPr="00C0765A">
        <w:rPr>
          <w:lang w:val="en-US"/>
        </w:rPr>
        <w:t>F</w:t>
      </w:r>
      <w:r w:rsidRPr="00C0765A">
        <w:rPr>
          <w:lang w:val="en-US"/>
        </w:rPr>
        <w:t>irst session</w:t>
      </w:r>
    </w:p>
    <w:p w14:paraId="53DAC814" w14:textId="1CF140D2" w:rsidR="00C53FF7" w:rsidRPr="00C0765A" w:rsidRDefault="00B03DF0" w:rsidP="00EC77B2">
      <w:pPr>
        <w:rPr>
          <w:lang w:val="en-US"/>
        </w:rPr>
      </w:pPr>
      <w:r w:rsidRPr="00C0765A">
        <w:rPr>
          <w:lang w:val="en-US"/>
        </w:rPr>
        <w:t xml:space="preserve">The summary </w:t>
      </w:r>
      <w:r w:rsidR="00EB3539" w:rsidRPr="00C0765A">
        <w:rPr>
          <w:lang w:val="en-US"/>
        </w:rPr>
        <w:t xml:space="preserve">and timeline </w:t>
      </w:r>
      <w:r w:rsidRPr="00C0765A">
        <w:rPr>
          <w:lang w:val="en-US"/>
        </w:rPr>
        <w:t>of all the experimental procedures can be seen in Figure 1</w:t>
      </w:r>
      <w:r w:rsidR="00895219" w:rsidRPr="00C0765A">
        <w:rPr>
          <w:lang w:val="en-US"/>
        </w:rPr>
        <w:t>B</w:t>
      </w:r>
      <w:r w:rsidRPr="00C0765A">
        <w:rPr>
          <w:lang w:val="en-US"/>
        </w:rPr>
        <w:t xml:space="preserve">. </w:t>
      </w:r>
      <w:r w:rsidR="00711908" w:rsidRPr="00C0765A">
        <w:rPr>
          <w:lang w:val="en-US"/>
        </w:rPr>
        <w:t xml:space="preserve">Upon </w:t>
      </w:r>
      <w:r w:rsidR="009D1568" w:rsidRPr="00C0765A">
        <w:rPr>
          <w:lang w:val="en-US"/>
        </w:rPr>
        <w:t>arriv</w:t>
      </w:r>
      <w:r w:rsidR="00711908" w:rsidRPr="00C0765A">
        <w:rPr>
          <w:lang w:val="en-US"/>
        </w:rPr>
        <w:t>ing</w:t>
      </w:r>
      <w:r w:rsidR="009D1568" w:rsidRPr="00C0765A">
        <w:rPr>
          <w:lang w:val="en-US"/>
        </w:rPr>
        <w:t xml:space="preserve"> to the lab</w:t>
      </w:r>
      <w:r w:rsidR="004D0EDC" w:rsidRPr="00C0765A">
        <w:rPr>
          <w:lang w:val="en-US"/>
        </w:rPr>
        <w:t xml:space="preserve">, </w:t>
      </w:r>
      <w:r w:rsidR="00711908" w:rsidRPr="00C0765A">
        <w:rPr>
          <w:lang w:val="en-US"/>
        </w:rPr>
        <w:t xml:space="preserve">participants </w:t>
      </w:r>
      <w:r w:rsidR="004D0EDC" w:rsidRPr="00C0765A">
        <w:rPr>
          <w:lang w:val="en-US"/>
        </w:rPr>
        <w:t xml:space="preserve">read and signed the informed consent forms, and were given time and opportunity to ask any questions regarding the experimental procedure. </w:t>
      </w:r>
      <w:r w:rsidR="00CF0682" w:rsidRPr="00C0765A">
        <w:rPr>
          <w:lang w:val="en-US"/>
        </w:rPr>
        <w:t>Ther</w:t>
      </w:r>
      <w:r w:rsidR="00D90735" w:rsidRPr="00C0765A">
        <w:rPr>
          <w:lang w:val="en-US"/>
        </w:rPr>
        <w:t>eafter,</w:t>
      </w:r>
      <w:r w:rsidR="00CF0682" w:rsidRPr="00C0765A">
        <w:rPr>
          <w:lang w:val="en-US"/>
        </w:rPr>
        <w:t xml:space="preserve"> </w:t>
      </w:r>
      <w:r w:rsidR="009870A2" w:rsidRPr="00C0765A">
        <w:rPr>
          <w:lang w:val="en-US"/>
        </w:rPr>
        <w:t>participants rinsed their mouth and</w:t>
      </w:r>
      <w:r w:rsidR="00CF0682" w:rsidRPr="00C0765A">
        <w:rPr>
          <w:lang w:val="en-US"/>
        </w:rPr>
        <w:t xml:space="preserve"> provided the first saliva sample, by </w:t>
      </w:r>
      <w:r w:rsidR="00256814" w:rsidRPr="00C0765A">
        <w:rPr>
          <w:lang w:val="en-US"/>
        </w:rPr>
        <w:t>pooling the saliva under their tongue</w:t>
      </w:r>
      <w:r w:rsidR="00D90735" w:rsidRPr="00C0765A">
        <w:rPr>
          <w:lang w:val="en-US"/>
        </w:rPr>
        <w:t xml:space="preserve"> for one minute, and </w:t>
      </w:r>
      <w:r w:rsidR="00EC6C99" w:rsidRPr="00C0765A">
        <w:rPr>
          <w:lang w:val="en-US"/>
        </w:rPr>
        <w:t>passively</w:t>
      </w:r>
      <w:r w:rsidR="00D90735" w:rsidRPr="00C0765A">
        <w:rPr>
          <w:lang w:val="en-US"/>
        </w:rPr>
        <w:t xml:space="preserve"> letting the pooled saliva </w:t>
      </w:r>
      <w:r w:rsidR="00C2416F" w:rsidRPr="00C0765A">
        <w:rPr>
          <w:lang w:val="en-US"/>
        </w:rPr>
        <w:t>flow into the test tube through the designated straw</w:t>
      </w:r>
      <w:r w:rsidR="00C655E3" w:rsidRPr="00C0765A">
        <w:rPr>
          <w:lang w:val="en-US"/>
        </w:rPr>
        <w:t xml:space="preserve">. </w:t>
      </w:r>
      <w:r w:rsidR="00052078" w:rsidRPr="00C0765A">
        <w:rPr>
          <w:lang w:val="en-US"/>
        </w:rPr>
        <w:t>This process was repeated three times</w:t>
      </w:r>
      <w:r w:rsidR="00E27C93" w:rsidRPr="00C0765A">
        <w:rPr>
          <w:lang w:val="en-US"/>
        </w:rPr>
        <w:t>. During the pooling of the saliva, participants were asked not to speak, swallow, or move their tongue.</w:t>
      </w:r>
      <w:r w:rsidR="00627228" w:rsidRPr="00C0765A">
        <w:rPr>
          <w:lang w:val="en-US"/>
        </w:rPr>
        <w:t xml:space="preserve"> </w:t>
      </w:r>
      <w:r w:rsidR="00D73944" w:rsidRPr="00C0765A">
        <w:rPr>
          <w:lang w:val="en-US"/>
        </w:rPr>
        <w:t>After the full sample was</w:t>
      </w:r>
      <w:r w:rsidR="003345D0" w:rsidRPr="00C0765A">
        <w:rPr>
          <w:lang w:val="en-US"/>
        </w:rPr>
        <w:t xml:space="preserve"> collected, participants rated their </w:t>
      </w:r>
      <w:r w:rsidR="00D70742" w:rsidRPr="00C0765A">
        <w:rPr>
          <w:lang w:val="en-US"/>
        </w:rPr>
        <w:t xml:space="preserve">subjective experienced arousal </w:t>
      </w:r>
      <w:r w:rsidR="00CA0619" w:rsidRPr="00C0765A">
        <w:rPr>
          <w:lang w:val="en-US"/>
        </w:rPr>
        <w:t>via</w:t>
      </w:r>
      <w:r w:rsidR="003345D0" w:rsidRPr="00C0765A">
        <w:rPr>
          <w:lang w:val="en-US"/>
        </w:rPr>
        <w:t xml:space="preserve"> </w:t>
      </w:r>
      <w:r w:rsidR="00D66108" w:rsidRPr="00C0765A">
        <w:rPr>
          <w:lang w:val="en-US"/>
        </w:rPr>
        <w:t>SAM</w:t>
      </w:r>
      <w:r w:rsidR="006E611D" w:rsidRPr="00C0765A">
        <w:rPr>
          <w:lang w:val="en-US"/>
        </w:rPr>
        <w:t>.</w:t>
      </w:r>
      <w:r w:rsidR="003345D0" w:rsidRPr="00C0765A">
        <w:rPr>
          <w:lang w:val="en-US"/>
        </w:rPr>
        <w:t xml:space="preserve"> </w:t>
      </w:r>
      <w:r w:rsidR="00793F76" w:rsidRPr="00C0765A">
        <w:rPr>
          <w:lang w:val="en-US"/>
        </w:rPr>
        <w:t>P</w:t>
      </w:r>
      <w:r w:rsidR="00DC7BB1" w:rsidRPr="00C0765A">
        <w:rPr>
          <w:lang w:val="en-US"/>
        </w:rPr>
        <w:t xml:space="preserve">articipants then </w:t>
      </w:r>
      <w:r w:rsidR="00FE0383" w:rsidRPr="00C0765A">
        <w:rPr>
          <w:lang w:val="en-US"/>
        </w:rPr>
        <w:t xml:space="preserve">underwent the standard forced spirometry procedure, whereby their peak expiratory volume and flow were measured and compared to normative data. </w:t>
      </w:r>
      <w:r w:rsidR="004430A0" w:rsidRPr="00C0765A">
        <w:rPr>
          <w:lang w:val="en-US"/>
        </w:rPr>
        <w:t>All included participant</w:t>
      </w:r>
      <w:r w:rsidR="009B4CDD" w:rsidRPr="00C0765A">
        <w:rPr>
          <w:lang w:val="en-US"/>
        </w:rPr>
        <w:t>s</w:t>
      </w:r>
      <w:r w:rsidR="00FE0383" w:rsidRPr="00C0765A">
        <w:rPr>
          <w:lang w:val="en-US"/>
        </w:rPr>
        <w:t xml:space="preserve"> </w:t>
      </w:r>
      <w:r w:rsidR="009B4CDD" w:rsidRPr="00C0765A">
        <w:rPr>
          <w:lang w:val="en-US"/>
        </w:rPr>
        <w:t>achieved</w:t>
      </w:r>
      <w:r w:rsidR="00FE0383" w:rsidRPr="00C0765A">
        <w:rPr>
          <w:lang w:val="en-US"/>
        </w:rPr>
        <w:t xml:space="preserve"> at least 80% of the normed value for their age, sex and BMI</w:t>
      </w:r>
      <w:r w:rsidR="009B4CDD" w:rsidRPr="00C0765A">
        <w:rPr>
          <w:lang w:val="en-US"/>
        </w:rPr>
        <w:t xml:space="preserve"> over three attempts</w:t>
      </w:r>
      <w:r w:rsidR="00FE0383" w:rsidRPr="00C0765A">
        <w:rPr>
          <w:lang w:val="en-US"/>
        </w:rPr>
        <w:t xml:space="preserve"> (Miller et al., 2005).</w:t>
      </w:r>
    </w:p>
    <w:p w14:paraId="26B19CC8" w14:textId="5A7E27AD" w:rsidR="00872FB5" w:rsidRPr="00C0765A" w:rsidRDefault="00D76840" w:rsidP="00EC6C99">
      <w:pPr>
        <w:rPr>
          <w:lang w:val="en-US"/>
        </w:rPr>
      </w:pPr>
      <w:r w:rsidRPr="00C0765A">
        <w:rPr>
          <w:lang w:val="en-US"/>
        </w:rPr>
        <w:t xml:space="preserve">Following spirometry, participants’ head </w:t>
      </w:r>
      <w:r w:rsidR="00F96119" w:rsidRPr="00C0765A">
        <w:rPr>
          <w:lang w:val="en-US"/>
        </w:rPr>
        <w:t>circumference</w:t>
      </w:r>
      <w:r w:rsidRPr="00C0765A">
        <w:rPr>
          <w:lang w:val="en-US"/>
        </w:rPr>
        <w:t xml:space="preserve"> and vertex point were determined, and the EEG net was placed</w:t>
      </w:r>
      <w:r w:rsidR="00973366" w:rsidRPr="00C0765A">
        <w:rPr>
          <w:lang w:val="en-US"/>
        </w:rPr>
        <w:t xml:space="preserve"> for the first measurement of </w:t>
      </w:r>
      <w:r w:rsidR="00872FB5" w:rsidRPr="00C0765A">
        <w:rPr>
          <w:lang w:val="en-US"/>
        </w:rPr>
        <w:t>resting state EEG</w:t>
      </w:r>
      <w:r w:rsidR="00973366" w:rsidRPr="00C0765A">
        <w:rPr>
          <w:lang w:val="en-US"/>
        </w:rPr>
        <w:t xml:space="preserve">. Participants </w:t>
      </w:r>
      <w:r w:rsidR="00872FB5" w:rsidRPr="00C0765A">
        <w:rPr>
          <w:lang w:val="en-US"/>
        </w:rPr>
        <w:t xml:space="preserve">were </w:t>
      </w:r>
      <w:r w:rsidR="00D875D3" w:rsidRPr="00C0765A">
        <w:rPr>
          <w:lang w:val="en-US"/>
        </w:rPr>
        <w:t>instructed</w:t>
      </w:r>
      <w:r w:rsidR="007A3DD4" w:rsidRPr="00C0765A">
        <w:rPr>
          <w:lang w:val="en-US"/>
        </w:rPr>
        <w:t xml:space="preserve"> to lean back in the chair, relax and close their eyes, not</w:t>
      </w:r>
      <w:r w:rsidR="007D58EC" w:rsidRPr="00C0765A">
        <w:rPr>
          <w:lang w:val="en-US"/>
        </w:rPr>
        <w:t xml:space="preserve"> to</w:t>
      </w:r>
      <w:r w:rsidR="007A3DD4" w:rsidRPr="00C0765A">
        <w:rPr>
          <w:lang w:val="en-US"/>
        </w:rPr>
        <w:t xml:space="preserve"> think of any</w:t>
      </w:r>
      <w:r w:rsidR="00D35F60" w:rsidRPr="00C0765A">
        <w:rPr>
          <w:lang w:val="en-US"/>
        </w:rPr>
        <w:t xml:space="preserve">thing </w:t>
      </w:r>
      <w:r w:rsidR="007D58EC" w:rsidRPr="00C0765A">
        <w:rPr>
          <w:lang w:val="en-US"/>
        </w:rPr>
        <w:t>specific</w:t>
      </w:r>
      <w:r w:rsidR="00D35F60" w:rsidRPr="00C0765A">
        <w:rPr>
          <w:lang w:val="en-US"/>
        </w:rPr>
        <w:t xml:space="preserve">, </w:t>
      </w:r>
      <w:r w:rsidR="00AD7BBE" w:rsidRPr="00C0765A">
        <w:rPr>
          <w:lang w:val="en-US"/>
        </w:rPr>
        <w:t>and</w:t>
      </w:r>
      <w:r w:rsidR="00D35F60" w:rsidRPr="00C0765A">
        <w:rPr>
          <w:lang w:val="en-US"/>
        </w:rPr>
        <w:t xml:space="preserve"> not to</w:t>
      </w:r>
      <w:r w:rsidR="007A3DD4" w:rsidRPr="00C0765A">
        <w:rPr>
          <w:lang w:val="en-US"/>
        </w:rPr>
        <w:t xml:space="preserve"> fall asleep</w:t>
      </w:r>
      <w:r w:rsidR="00FB7218" w:rsidRPr="00C0765A">
        <w:rPr>
          <w:lang w:val="en-US"/>
        </w:rPr>
        <w:t>. The resting state recording took five minutes.</w:t>
      </w:r>
    </w:p>
    <w:p w14:paraId="2EC3A0B4" w14:textId="1A50534B" w:rsidR="00D76840" w:rsidRPr="00C0765A" w:rsidRDefault="00F96119" w:rsidP="00EC6C99">
      <w:pPr>
        <w:rPr>
          <w:lang w:val="en-US"/>
        </w:rPr>
      </w:pPr>
      <w:r w:rsidRPr="00C0765A">
        <w:rPr>
          <w:lang w:val="en-US"/>
        </w:rPr>
        <w:t>Participants</w:t>
      </w:r>
      <w:r w:rsidR="00D76840" w:rsidRPr="00C0765A">
        <w:rPr>
          <w:lang w:val="en-US"/>
        </w:rPr>
        <w:t xml:space="preserve"> were then </w:t>
      </w:r>
      <w:r w:rsidRPr="00C0765A">
        <w:rPr>
          <w:lang w:val="en-US"/>
        </w:rPr>
        <w:t>familiarized</w:t>
      </w:r>
      <w:r w:rsidR="00D76840" w:rsidRPr="00C0765A">
        <w:rPr>
          <w:lang w:val="en-US"/>
        </w:rPr>
        <w:t xml:space="preserve"> with the stimul</w:t>
      </w:r>
      <w:r w:rsidRPr="00C0765A">
        <w:rPr>
          <w:lang w:val="en-US"/>
        </w:rPr>
        <w:t>i they would exper</w:t>
      </w:r>
      <w:r w:rsidR="00D76840" w:rsidRPr="00C0765A">
        <w:rPr>
          <w:lang w:val="en-US"/>
        </w:rPr>
        <w:t>i</w:t>
      </w:r>
      <w:r w:rsidRPr="00C0765A">
        <w:rPr>
          <w:lang w:val="en-US"/>
        </w:rPr>
        <w:t>ence in the experiment</w:t>
      </w:r>
      <w:r w:rsidR="00D76840" w:rsidRPr="00C0765A">
        <w:rPr>
          <w:lang w:val="en-US"/>
        </w:rPr>
        <w:t>: five example paired occlusions</w:t>
      </w:r>
      <w:r w:rsidRPr="00C0765A">
        <w:rPr>
          <w:lang w:val="en-US"/>
        </w:rPr>
        <w:t xml:space="preserve"> and five example paired auditory clicks</w:t>
      </w:r>
      <w:r w:rsidR="00D76840" w:rsidRPr="00C0765A">
        <w:rPr>
          <w:lang w:val="en-US"/>
        </w:rPr>
        <w:t xml:space="preserve"> were </w:t>
      </w:r>
      <w:r w:rsidR="00C3332E" w:rsidRPr="00C0765A">
        <w:rPr>
          <w:lang w:val="en-US"/>
        </w:rPr>
        <w:t>presented</w:t>
      </w:r>
      <w:r w:rsidR="00D875D3" w:rsidRPr="00C0765A">
        <w:rPr>
          <w:lang w:val="en-US"/>
        </w:rPr>
        <w:t>,</w:t>
      </w:r>
      <w:r w:rsidR="00D76840" w:rsidRPr="00C0765A">
        <w:rPr>
          <w:lang w:val="en-US"/>
        </w:rPr>
        <w:t xml:space="preserve"> and </w:t>
      </w:r>
      <w:r w:rsidR="00C3332E" w:rsidRPr="00C0765A">
        <w:rPr>
          <w:lang w:val="en-US"/>
        </w:rPr>
        <w:t>participants were instructed to provide the rating</w:t>
      </w:r>
      <w:r w:rsidR="00316CB2" w:rsidRPr="00C0765A">
        <w:rPr>
          <w:lang w:val="en-US"/>
        </w:rPr>
        <w:t>s of intensity and unpleasantness,</w:t>
      </w:r>
      <w:r w:rsidR="00C3332E" w:rsidRPr="00C0765A">
        <w:rPr>
          <w:lang w:val="en-US"/>
        </w:rPr>
        <w:t xml:space="preserve"> using</w:t>
      </w:r>
      <w:r w:rsidR="00D76840" w:rsidRPr="00C0765A">
        <w:rPr>
          <w:lang w:val="en-US"/>
        </w:rPr>
        <w:t xml:space="preserve"> the</w:t>
      </w:r>
      <w:r w:rsidR="00C3332E" w:rsidRPr="00C0765A">
        <w:rPr>
          <w:lang w:val="en-US"/>
        </w:rPr>
        <w:t xml:space="preserve"> </w:t>
      </w:r>
      <w:r w:rsidR="00E342B9" w:rsidRPr="00C0765A">
        <w:rPr>
          <w:lang w:val="en-US"/>
        </w:rPr>
        <w:t>modified Borg</w:t>
      </w:r>
      <w:r w:rsidR="00C3332E" w:rsidRPr="00C0765A">
        <w:rPr>
          <w:lang w:val="en-US"/>
        </w:rPr>
        <w:t xml:space="preserve"> scale on the</w:t>
      </w:r>
      <w:r w:rsidR="00D76840" w:rsidRPr="00C0765A">
        <w:rPr>
          <w:lang w:val="en-US"/>
        </w:rPr>
        <w:t xml:space="preserve"> screen</w:t>
      </w:r>
      <w:r w:rsidR="00876F4C" w:rsidRPr="00C0765A">
        <w:rPr>
          <w:lang w:val="en-US"/>
        </w:rPr>
        <w:t xml:space="preserve">, ranging from 0 (not intense/unpleasant at all) to </w:t>
      </w:r>
      <w:r w:rsidR="00DF4841" w:rsidRPr="00C0765A">
        <w:rPr>
          <w:lang w:val="en-US"/>
        </w:rPr>
        <w:t>10 (maximum intensity/unpleasantness)</w:t>
      </w:r>
      <w:r w:rsidR="00C3332E" w:rsidRPr="00C0765A">
        <w:rPr>
          <w:lang w:val="en-US"/>
        </w:rPr>
        <w:t xml:space="preserve">. </w:t>
      </w:r>
      <w:r w:rsidR="00D76840" w:rsidRPr="00C0765A">
        <w:rPr>
          <w:lang w:val="en-US"/>
        </w:rPr>
        <w:t xml:space="preserve">Participants were instructed to </w:t>
      </w:r>
      <w:r w:rsidR="00380F8D" w:rsidRPr="00C0765A">
        <w:rPr>
          <w:lang w:val="en-US"/>
        </w:rPr>
        <w:t>rate the stimuli they experienced in each block as a whole</w:t>
      </w:r>
      <w:r w:rsidR="00D76840" w:rsidRPr="00C0765A">
        <w:rPr>
          <w:lang w:val="en-US"/>
        </w:rPr>
        <w:t>.</w:t>
      </w:r>
      <w:r w:rsidR="00107F62" w:rsidRPr="00C0765A">
        <w:rPr>
          <w:lang w:val="en-US"/>
        </w:rPr>
        <w:t xml:space="preserve"> Thereupon, participants’ perceptual threshold </w:t>
      </w:r>
      <w:r w:rsidR="00D57562" w:rsidRPr="00C0765A">
        <w:rPr>
          <w:lang w:val="en-US"/>
        </w:rPr>
        <w:t xml:space="preserve">and individual intensity </w:t>
      </w:r>
      <w:r w:rsidR="001769F5" w:rsidRPr="00C0765A">
        <w:rPr>
          <w:lang w:val="en-US"/>
        </w:rPr>
        <w:t>for</w:t>
      </w:r>
      <w:r w:rsidR="00D57562" w:rsidRPr="00C0765A">
        <w:rPr>
          <w:lang w:val="en-US"/>
        </w:rPr>
        <w:t xml:space="preserve"> </w:t>
      </w:r>
      <w:r w:rsidR="004F5CED" w:rsidRPr="00C0765A">
        <w:rPr>
          <w:lang w:val="en-US"/>
        </w:rPr>
        <w:t xml:space="preserve">paired </w:t>
      </w:r>
      <w:r w:rsidR="00D57562" w:rsidRPr="00C0765A">
        <w:rPr>
          <w:lang w:val="en-US"/>
        </w:rPr>
        <w:t>electrocutaneous stimuli was determined: The bar electrode was mounted on the participant</w:t>
      </w:r>
      <w:r w:rsidR="00CC51AC" w:rsidRPr="00C0765A">
        <w:rPr>
          <w:lang w:val="en-US"/>
        </w:rPr>
        <w:t>’s</w:t>
      </w:r>
      <w:r w:rsidR="00D57562" w:rsidRPr="00C0765A">
        <w:rPr>
          <w:lang w:val="en-US"/>
        </w:rPr>
        <w:t xml:space="preserve"> left wrist, </w:t>
      </w:r>
      <w:r w:rsidR="001504B3" w:rsidRPr="00C0765A">
        <w:rPr>
          <w:lang w:val="en-US"/>
        </w:rPr>
        <w:t>and they</w:t>
      </w:r>
      <w:r w:rsidR="00D57562" w:rsidRPr="00C0765A">
        <w:rPr>
          <w:lang w:val="en-US"/>
        </w:rPr>
        <w:t xml:space="preserve"> were instructed to raise their right hand whenever they felt a single pulse of </w:t>
      </w:r>
      <w:r w:rsidR="001769F5" w:rsidRPr="00C0765A">
        <w:rPr>
          <w:lang w:val="en-US"/>
        </w:rPr>
        <w:t xml:space="preserve">a </w:t>
      </w:r>
      <w:r w:rsidR="00D57562" w:rsidRPr="00C0765A">
        <w:rPr>
          <w:lang w:val="en-US"/>
        </w:rPr>
        <w:t xml:space="preserve">very low intensity. The stimulation started from the pulse intensity of 0.2mA and was increased by 0.1mA until the participant raised their hand. Then, the intensity was lowered by 0.1mA, and ten consecutive pulses were given. If the participant </w:t>
      </w:r>
      <w:r w:rsidR="00D57562" w:rsidRPr="00C0765A">
        <w:rPr>
          <w:lang w:val="en-US"/>
        </w:rPr>
        <w:lastRenderedPageBreak/>
        <w:t>indicated they felt at least five pulses, this intensity was taken as their perceptual threshold. If they did not feel five pulses, the intensity was raised by 0.1mA and the process re</w:t>
      </w:r>
      <w:r w:rsidR="00052D68" w:rsidRPr="00C0765A">
        <w:rPr>
          <w:lang w:val="en-US"/>
        </w:rPr>
        <w:t>peated</w:t>
      </w:r>
      <w:r w:rsidR="00D57562" w:rsidRPr="00C0765A">
        <w:rPr>
          <w:lang w:val="en-US"/>
        </w:rPr>
        <w:t xml:space="preserve"> until five perceived pulses were achieved. The individual perceptual threshold was then multiplied by five to arrive at the intensity that would be used for the electrocutaneous pulses throughout the experiment. Participants then received five example paired stimuli at th</w:t>
      </w:r>
      <w:r w:rsidR="003724AB" w:rsidRPr="00C0765A">
        <w:rPr>
          <w:lang w:val="en-US"/>
        </w:rPr>
        <w:t>e calibrated</w:t>
      </w:r>
      <w:r w:rsidR="00D57562" w:rsidRPr="00C0765A">
        <w:rPr>
          <w:lang w:val="en-US"/>
        </w:rPr>
        <w:t xml:space="preserve"> intensity and were instructed on how to rate them</w:t>
      </w:r>
      <w:r w:rsidR="00D4076E" w:rsidRPr="00C0765A">
        <w:rPr>
          <w:lang w:val="en-US"/>
        </w:rPr>
        <w:t xml:space="preserve"> on the Borg scale</w:t>
      </w:r>
      <w:r w:rsidR="00D57562" w:rsidRPr="00C0765A">
        <w:rPr>
          <w:lang w:val="en-US"/>
        </w:rPr>
        <w:t>, following the same procedure as</w:t>
      </w:r>
      <w:r w:rsidR="007577B9" w:rsidRPr="00C0765A">
        <w:rPr>
          <w:lang w:val="en-US"/>
        </w:rPr>
        <w:t xml:space="preserve"> </w:t>
      </w:r>
      <w:r w:rsidR="006070E4" w:rsidRPr="00C0765A">
        <w:rPr>
          <w:lang w:val="en-US"/>
        </w:rPr>
        <w:t>for the inspiratory occlusions and auditory stimuli.</w:t>
      </w:r>
    </w:p>
    <w:p w14:paraId="5FDFFB96" w14:textId="34DFDE15" w:rsidR="00D76840" w:rsidRPr="00C0765A" w:rsidRDefault="006D0547" w:rsidP="00EC6C99">
      <w:pPr>
        <w:rPr>
          <w:lang w:val="en-US"/>
        </w:rPr>
      </w:pPr>
      <w:r w:rsidRPr="00C0765A">
        <w:rPr>
          <w:lang w:val="en-US"/>
        </w:rPr>
        <w:t xml:space="preserve">After the participants were familiarized with the stimuli, the </w:t>
      </w:r>
      <w:proofErr w:type="spellStart"/>
      <w:r w:rsidRPr="00C0765A">
        <w:rPr>
          <w:lang w:val="en-US"/>
        </w:rPr>
        <w:t>taVNS</w:t>
      </w:r>
      <w:proofErr w:type="spellEnd"/>
      <w:r w:rsidR="00E1541A" w:rsidRPr="00C0765A">
        <w:rPr>
          <w:lang w:val="en-US"/>
        </w:rPr>
        <w:t xml:space="preserve"> electrode was attached to their </w:t>
      </w:r>
      <w:r w:rsidR="002D634A" w:rsidRPr="00C0765A">
        <w:rPr>
          <w:lang w:val="en-US"/>
        </w:rPr>
        <w:t xml:space="preserve">left </w:t>
      </w:r>
      <w:r w:rsidR="002D634A" w:rsidRPr="00C0765A">
        <w:rPr>
          <w:i/>
          <w:iCs/>
          <w:lang w:val="en-US"/>
        </w:rPr>
        <w:t xml:space="preserve">cymba concha </w:t>
      </w:r>
      <w:r w:rsidR="002D634A" w:rsidRPr="00C0765A">
        <w:rPr>
          <w:lang w:val="en-US"/>
        </w:rPr>
        <w:t xml:space="preserve">(in the active </w:t>
      </w:r>
      <w:proofErr w:type="spellStart"/>
      <w:r w:rsidR="002D634A" w:rsidRPr="00C0765A">
        <w:rPr>
          <w:lang w:val="en-US"/>
        </w:rPr>
        <w:t>taVNS</w:t>
      </w:r>
      <w:proofErr w:type="spellEnd"/>
      <w:r w:rsidR="002D634A" w:rsidRPr="00C0765A">
        <w:rPr>
          <w:lang w:val="en-US"/>
        </w:rPr>
        <w:t xml:space="preserve"> condition) or their earlobe (in the active Sham condition)</w:t>
      </w:r>
      <w:r w:rsidR="00E57C1C" w:rsidRPr="00C0765A">
        <w:rPr>
          <w:lang w:val="en-US"/>
        </w:rPr>
        <w:t xml:space="preserve">. </w:t>
      </w:r>
      <w:r w:rsidR="00BD2245" w:rsidRPr="00C0765A">
        <w:rPr>
          <w:lang w:val="en-US"/>
        </w:rPr>
        <w:t>T</w:t>
      </w:r>
      <w:r w:rsidR="005E5701" w:rsidRPr="00C0765A">
        <w:rPr>
          <w:lang w:val="en-US"/>
        </w:rPr>
        <w:t>he intensity of stimulation was individually calibrated</w:t>
      </w:r>
      <w:r w:rsidR="00F32702" w:rsidRPr="00C0765A">
        <w:rPr>
          <w:lang w:val="en-US"/>
        </w:rPr>
        <w:t xml:space="preserve"> (</w:t>
      </w:r>
      <w:proofErr w:type="spellStart"/>
      <w:r w:rsidR="00F32702" w:rsidRPr="00C0765A">
        <w:rPr>
          <w:lang w:val="en-US"/>
        </w:rPr>
        <w:t>D’Agostini</w:t>
      </w:r>
      <w:proofErr w:type="spellEnd"/>
      <w:r w:rsidR="00F32702" w:rsidRPr="00C0765A">
        <w:rPr>
          <w:lang w:val="en-US"/>
        </w:rPr>
        <w:t xml:space="preserve"> et al., 2022)</w:t>
      </w:r>
      <w:r w:rsidR="00E37DA3" w:rsidRPr="00C0765A">
        <w:rPr>
          <w:lang w:val="en-US"/>
        </w:rPr>
        <w:t>.</w:t>
      </w:r>
      <w:r w:rsidR="005E5701" w:rsidRPr="00C0765A">
        <w:rPr>
          <w:lang w:val="en-US"/>
        </w:rPr>
        <w:t xml:space="preserve"> First, the perceptual threshold was </w:t>
      </w:r>
      <w:r w:rsidR="001A2E33" w:rsidRPr="00C0765A">
        <w:rPr>
          <w:lang w:val="en-US"/>
        </w:rPr>
        <w:t>determined: participants received five seconds of stimulation, with the intensity starting at 0.2mA and increasing in steps of 0.1mA until</w:t>
      </w:r>
      <w:r w:rsidR="00A36793" w:rsidRPr="00C0765A">
        <w:rPr>
          <w:lang w:val="en-US"/>
        </w:rPr>
        <w:t xml:space="preserve"> the</w:t>
      </w:r>
      <w:r w:rsidR="001A2E33" w:rsidRPr="00C0765A">
        <w:rPr>
          <w:lang w:val="en-US"/>
        </w:rPr>
        <w:t xml:space="preserve"> </w:t>
      </w:r>
      <w:r w:rsidR="00AF4B21" w:rsidRPr="00C0765A">
        <w:rPr>
          <w:lang w:val="en-US"/>
        </w:rPr>
        <w:t>participant indicated that they perceived the stimulation. T</w:t>
      </w:r>
      <w:r w:rsidR="00E57C1C" w:rsidRPr="00C0765A">
        <w:rPr>
          <w:lang w:val="en-US"/>
        </w:rPr>
        <w:t xml:space="preserve">he individual intensity of stimulation was </w:t>
      </w:r>
      <w:r w:rsidR="007307DD" w:rsidRPr="00C0765A">
        <w:rPr>
          <w:lang w:val="en-US"/>
        </w:rPr>
        <w:t xml:space="preserve">then </w:t>
      </w:r>
      <w:r w:rsidR="00E57C1C" w:rsidRPr="00C0765A">
        <w:rPr>
          <w:lang w:val="en-US"/>
        </w:rPr>
        <w:t xml:space="preserve">determined using </w:t>
      </w:r>
      <w:r w:rsidR="00F92AE2" w:rsidRPr="00C0765A">
        <w:rPr>
          <w:lang w:val="en-US"/>
        </w:rPr>
        <w:t>the</w:t>
      </w:r>
      <w:r w:rsidR="008308E6" w:rsidRPr="00C0765A">
        <w:rPr>
          <w:lang w:val="en-US"/>
        </w:rPr>
        <w:t xml:space="preserve"> </w:t>
      </w:r>
      <w:r w:rsidR="00F92AE2" w:rsidRPr="00C0765A">
        <w:rPr>
          <w:lang w:val="en-US"/>
        </w:rPr>
        <w:t>simple</w:t>
      </w:r>
      <w:r w:rsidR="008308E6" w:rsidRPr="00C0765A">
        <w:rPr>
          <w:lang w:val="en-US"/>
        </w:rPr>
        <w:t xml:space="preserve"> staircase method</w:t>
      </w:r>
      <w:r w:rsidR="009C111D" w:rsidRPr="00C0765A">
        <w:rPr>
          <w:lang w:val="en-US"/>
        </w:rPr>
        <w:t xml:space="preserve">. Participants were presented with a horizontal </w:t>
      </w:r>
      <w:r w:rsidR="00953976" w:rsidRPr="00C0765A">
        <w:rPr>
          <w:lang w:val="en-US"/>
        </w:rPr>
        <w:t xml:space="preserve">rating </w:t>
      </w:r>
      <w:r w:rsidR="00B846A3" w:rsidRPr="00C0765A">
        <w:rPr>
          <w:lang w:val="en-US"/>
        </w:rPr>
        <w:t>scale</w:t>
      </w:r>
      <w:r w:rsidR="00955CFA" w:rsidRPr="00C0765A">
        <w:rPr>
          <w:lang w:val="en-US"/>
        </w:rPr>
        <w:t xml:space="preserve"> ranging from 0 (no sensation) to 100 (clearly painful), with </w:t>
      </w:r>
      <w:r w:rsidR="0091644D" w:rsidRPr="00C0765A">
        <w:rPr>
          <w:lang w:val="en-US"/>
        </w:rPr>
        <w:t>a</w:t>
      </w:r>
      <w:r w:rsidR="0089330A" w:rsidRPr="00C0765A">
        <w:rPr>
          <w:lang w:val="en-US"/>
        </w:rPr>
        <w:t xml:space="preserve"> third</w:t>
      </w:r>
      <w:r w:rsidR="0091644D" w:rsidRPr="00C0765A">
        <w:rPr>
          <w:lang w:val="en-US"/>
        </w:rPr>
        <w:t xml:space="preserve"> anchor at 50 (moderately intense). They were instructed to rate </w:t>
      </w:r>
      <w:r w:rsidR="00B323C4" w:rsidRPr="00C0765A">
        <w:rPr>
          <w:lang w:val="en-US"/>
        </w:rPr>
        <w:t>each</w:t>
      </w:r>
      <w:r w:rsidR="0091644D" w:rsidRPr="00C0765A">
        <w:rPr>
          <w:lang w:val="en-US"/>
        </w:rPr>
        <w:t xml:space="preserve"> stimulation </w:t>
      </w:r>
      <w:r w:rsidR="00B323C4" w:rsidRPr="00C0765A">
        <w:rPr>
          <w:lang w:val="en-US"/>
        </w:rPr>
        <w:t>example</w:t>
      </w:r>
      <w:r w:rsidR="0091644D" w:rsidRPr="00C0765A">
        <w:rPr>
          <w:lang w:val="en-US"/>
        </w:rPr>
        <w:t xml:space="preserve"> on</w:t>
      </w:r>
      <w:r w:rsidR="00B323C4" w:rsidRPr="00C0765A">
        <w:rPr>
          <w:lang w:val="en-US"/>
        </w:rPr>
        <w:t xml:space="preserve"> the scale, and were told that </w:t>
      </w:r>
      <w:r w:rsidR="00337C10" w:rsidRPr="00C0765A">
        <w:rPr>
          <w:lang w:val="en-US"/>
        </w:rPr>
        <w:t xml:space="preserve">they should </w:t>
      </w:r>
      <w:r w:rsidR="0012127A" w:rsidRPr="00C0765A">
        <w:rPr>
          <w:lang w:val="en-US"/>
        </w:rPr>
        <w:t>use the rating of</w:t>
      </w:r>
      <w:r w:rsidR="00337C10" w:rsidRPr="00C0765A">
        <w:rPr>
          <w:lang w:val="en-US"/>
        </w:rPr>
        <w:t xml:space="preserve"> 90 as the </w:t>
      </w:r>
      <w:r w:rsidR="00756DF5" w:rsidRPr="00C0765A">
        <w:rPr>
          <w:lang w:val="en-US"/>
        </w:rPr>
        <w:t xml:space="preserve">pain threshold. </w:t>
      </w:r>
      <w:r w:rsidR="00F05FD8" w:rsidRPr="00C0765A">
        <w:rPr>
          <w:lang w:val="en-US"/>
        </w:rPr>
        <w:t xml:space="preserve">The </w:t>
      </w:r>
      <w:r w:rsidR="00586A65" w:rsidRPr="00C0765A">
        <w:rPr>
          <w:lang w:val="en-US"/>
        </w:rPr>
        <w:t>stimulation intensity</w:t>
      </w:r>
      <w:r w:rsidR="00F05FD8" w:rsidRPr="00C0765A">
        <w:rPr>
          <w:lang w:val="en-US"/>
        </w:rPr>
        <w:t xml:space="preserve"> proceeded </w:t>
      </w:r>
      <w:r w:rsidR="00586A65" w:rsidRPr="00C0765A">
        <w:rPr>
          <w:lang w:val="en-US"/>
        </w:rPr>
        <w:t>to rise</w:t>
      </w:r>
      <w:r w:rsidR="00F05FD8" w:rsidRPr="00C0765A">
        <w:rPr>
          <w:lang w:val="en-US"/>
        </w:rPr>
        <w:t xml:space="preserve"> in steps of 0.1</w:t>
      </w:r>
      <w:r w:rsidR="007555BE" w:rsidRPr="00C0765A">
        <w:rPr>
          <w:lang w:val="en-US"/>
        </w:rPr>
        <w:t>mA</w:t>
      </w:r>
      <w:r w:rsidR="00F05FD8" w:rsidRPr="00C0765A">
        <w:rPr>
          <w:lang w:val="en-US"/>
        </w:rPr>
        <w:t>, with</w:t>
      </w:r>
      <w:r w:rsidR="00C74D76" w:rsidRPr="00C0765A">
        <w:rPr>
          <w:lang w:val="en-US"/>
        </w:rPr>
        <w:t xml:space="preserve"> participants rating each five-second instance of stimulation.</w:t>
      </w:r>
      <w:r w:rsidR="00C50F86" w:rsidRPr="00C0765A">
        <w:rPr>
          <w:lang w:val="en-US"/>
        </w:rPr>
        <w:t xml:space="preserve"> When the participant indicated a rating of 90, the intensity was reduced in steps of 0.1mA</w:t>
      </w:r>
      <w:r w:rsidR="00780533" w:rsidRPr="00C0765A">
        <w:rPr>
          <w:lang w:val="en-US"/>
        </w:rPr>
        <w:t xml:space="preserve"> until the participant rated the stimulation </w:t>
      </w:r>
      <w:r w:rsidR="00F26F4F" w:rsidRPr="00C0765A">
        <w:rPr>
          <w:lang w:val="en-US"/>
        </w:rPr>
        <w:t xml:space="preserve">at 60. Then the intensity was again increased in steps of 0.1mA until the rating of 90, and subsequently decreased back to 60. </w:t>
      </w:r>
      <w:r w:rsidR="001B6EE6" w:rsidRPr="00C0765A">
        <w:rPr>
          <w:lang w:val="en-US"/>
        </w:rPr>
        <w:t xml:space="preserve">The final intensity was determined as the average of </w:t>
      </w:r>
      <w:r w:rsidR="00BA0E19" w:rsidRPr="00C0765A">
        <w:rPr>
          <w:lang w:val="en-US"/>
        </w:rPr>
        <w:t xml:space="preserve">the </w:t>
      </w:r>
      <w:r w:rsidR="001B6EE6" w:rsidRPr="00C0765A">
        <w:rPr>
          <w:lang w:val="en-US"/>
        </w:rPr>
        <w:t>four intensi</w:t>
      </w:r>
      <w:r w:rsidR="00E514E6" w:rsidRPr="00C0765A">
        <w:rPr>
          <w:lang w:val="en-US"/>
        </w:rPr>
        <w:t>ties</w:t>
      </w:r>
      <w:r w:rsidR="001B6EE6" w:rsidRPr="00C0765A">
        <w:rPr>
          <w:lang w:val="en-US"/>
        </w:rPr>
        <w:t xml:space="preserve"> which were first rated </w:t>
      </w:r>
      <w:r w:rsidR="00E514E6" w:rsidRPr="00C0765A">
        <w:rPr>
          <w:lang w:val="en-US"/>
        </w:rPr>
        <w:t xml:space="preserve">as 80 on each of the four staircase runs, resulting in an intensity which was clearly perceptible but not painful. Participants were then </w:t>
      </w:r>
      <w:r w:rsidR="00E43296" w:rsidRPr="00C0765A">
        <w:rPr>
          <w:lang w:val="en-US"/>
        </w:rPr>
        <w:t xml:space="preserve">presented with the final five seconds of stimulation at the </w:t>
      </w:r>
      <w:r w:rsidR="005E2C8F" w:rsidRPr="00C0765A">
        <w:rPr>
          <w:lang w:val="en-US"/>
        </w:rPr>
        <w:t>calibrated</w:t>
      </w:r>
      <w:r w:rsidR="00E43296" w:rsidRPr="00C0765A">
        <w:rPr>
          <w:lang w:val="en-US"/>
        </w:rPr>
        <w:t xml:space="preserve"> intensity</w:t>
      </w:r>
      <w:r w:rsidR="005E2C8F" w:rsidRPr="00C0765A">
        <w:rPr>
          <w:lang w:val="en-US"/>
        </w:rPr>
        <w:t>, and gave verbal consent to proceed with the experiment.</w:t>
      </w:r>
    </w:p>
    <w:p w14:paraId="27612715" w14:textId="283561E8" w:rsidR="00B96F53" w:rsidRPr="00C0765A" w:rsidRDefault="00B506E4" w:rsidP="00EC6C99">
      <w:pPr>
        <w:rPr>
          <w:lang w:val="en-US"/>
        </w:rPr>
      </w:pPr>
      <w:r w:rsidRPr="00C0765A">
        <w:rPr>
          <w:lang w:val="en-US"/>
        </w:rPr>
        <w:t>T</w:t>
      </w:r>
      <w:r w:rsidR="00B96F53" w:rsidRPr="00C0765A">
        <w:rPr>
          <w:lang w:val="en-US"/>
        </w:rPr>
        <w:t>he stimulation was turned on</w:t>
      </w:r>
      <w:r w:rsidR="0072759E" w:rsidRPr="00C0765A">
        <w:rPr>
          <w:lang w:val="en-US"/>
        </w:rPr>
        <w:t xml:space="preserve"> and was delivered continuously for approximately 45 minutes. During this time, participants underwent </w:t>
      </w:r>
      <w:r w:rsidR="00936407" w:rsidRPr="00C0765A">
        <w:rPr>
          <w:lang w:val="en-US"/>
        </w:rPr>
        <w:t xml:space="preserve">six </w:t>
      </w:r>
      <w:r w:rsidR="00267F3C" w:rsidRPr="00C0765A">
        <w:rPr>
          <w:lang w:val="en-US"/>
        </w:rPr>
        <w:t xml:space="preserve">blocks of </w:t>
      </w:r>
      <w:r w:rsidR="0031165E" w:rsidRPr="00C0765A">
        <w:rPr>
          <w:lang w:val="en-US"/>
        </w:rPr>
        <w:t>sensory stimulation</w:t>
      </w:r>
      <w:r w:rsidR="009316C1" w:rsidRPr="00C0765A">
        <w:rPr>
          <w:lang w:val="en-US"/>
        </w:rPr>
        <w:t xml:space="preserve">, </w:t>
      </w:r>
      <w:r w:rsidR="0031165E" w:rsidRPr="00C0765A">
        <w:rPr>
          <w:lang w:val="en-US"/>
        </w:rPr>
        <w:t xml:space="preserve">with </w:t>
      </w:r>
      <w:r w:rsidR="009316C1" w:rsidRPr="00C0765A">
        <w:rPr>
          <w:lang w:val="en-US"/>
        </w:rPr>
        <w:t>two blocks</w:t>
      </w:r>
      <w:r w:rsidR="0031165E" w:rsidRPr="00C0765A">
        <w:rPr>
          <w:lang w:val="en-US"/>
        </w:rPr>
        <w:t xml:space="preserve"> of 22 paired stimuli</w:t>
      </w:r>
      <w:r w:rsidR="009316C1" w:rsidRPr="00C0765A">
        <w:rPr>
          <w:lang w:val="en-US"/>
        </w:rPr>
        <w:t xml:space="preserve"> </w:t>
      </w:r>
      <w:r w:rsidR="00DD62B5" w:rsidRPr="00C0765A">
        <w:rPr>
          <w:lang w:val="en-US"/>
        </w:rPr>
        <w:t>for</w:t>
      </w:r>
      <w:r w:rsidR="00267F3C" w:rsidRPr="00C0765A">
        <w:rPr>
          <w:lang w:val="en-US"/>
        </w:rPr>
        <w:t xml:space="preserve"> each of the three sensory modalities</w:t>
      </w:r>
      <w:r w:rsidR="004639E2" w:rsidRPr="00C0765A">
        <w:rPr>
          <w:lang w:val="en-US"/>
        </w:rPr>
        <w:t xml:space="preserve">, as described </w:t>
      </w:r>
      <w:r w:rsidR="000E584A" w:rsidRPr="00C0765A">
        <w:rPr>
          <w:lang w:val="en-US"/>
        </w:rPr>
        <w:t xml:space="preserve">in 2.2. </w:t>
      </w:r>
      <w:r w:rsidR="0028569C" w:rsidRPr="00C0765A">
        <w:rPr>
          <w:lang w:val="en-US"/>
        </w:rPr>
        <w:t xml:space="preserve">The order of </w:t>
      </w:r>
      <w:r w:rsidR="00816876" w:rsidRPr="00C0765A">
        <w:rPr>
          <w:lang w:val="en-US"/>
        </w:rPr>
        <w:t xml:space="preserve">sensory </w:t>
      </w:r>
      <w:r w:rsidR="0028569C" w:rsidRPr="00C0765A">
        <w:rPr>
          <w:lang w:val="en-US"/>
        </w:rPr>
        <w:t xml:space="preserve">modalities was counterbalanced across participants, </w:t>
      </w:r>
      <w:r w:rsidR="00461B3F" w:rsidRPr="00C0765A">
        <w:rPr>
          <w:lang w:val="en-US"/>
        </w:rPr>
        <w:t xml:space="preserve">and organized </w:t>
      </w:r>
      <w:r w:rsidR="00CB1E30" w:rsidRPr="00C0765A">
        <w:rPr>
          <w:lang w:val="en-US"/>
        </w:rPr>
        <w:t>in an ABC–CBA fashion, to e</w:t>
      </w:r>
      <w:r w:rsidR="003C62C8" w:rsidRPr="00C0765A">
        <w:rPr>
          <w:lang w:val="en-US"/>
        </w:rPr>
        <w:t xml:space="preserve">nsure that the average duration of stimulation up to each block was </w:t>
      </w:r>
      <w:r w:rsidR="00473191" w:rsidRPr="00C0765A">
        <w:rPr>
          <w:lang w:val="en-US"/>
        </w:rPr>
        <w:t xml:space="preserve">roughly </w:t>
      </w:r>
      <w:r w:rsidR="003C62C8" w:rsidRPr="00C0765A">
        <w:rPr>
          <w:lang w:val="en-US"/>
        </w:rPr>
        <w:t>the same</w:t>
      </w:r>
      <w:r w:rsidR="00EB5675" w:rsidRPr="00C0765A">
        <w:rPr>
          <w:lang w:val="en-US"/>
        </w:rPr>
        <w:t xml:space="preserve"> (approximately 21 minutes)</w:t>
      </w:r>
      <w:r w:rsidR="003C62C8" w:rsidRPr="00C0765A">
        <w:rPr>
          <w:lang w:val="en-US"/>
        </w:rPr>
        <w:t xml:space="preserve"> in all three modalities</w:t>
      </w:r>
      <w:r w:rsidR="00A92C42" w:rsidRPr="00C0765A">
        <w:rPr>
          <w:lang w:val="en-US"/>
        </w:rPr>
        <w:t xml:space="preserve"> (see Figure 1). </w:t>
      </w:r>
      <w:r w:rsidR="003B4576" w:rsidRPr="00C0765A">
        <w:rPr>
          <w:lang w:val="en-US"/>
        </w:rPr>
        <w:t xml:space="preserve">At the end of each block, participants were asked to rate the intensity and unpleasantness of </w:t>
      </w:r>
      <w:r w:rsidR="0031586D" w:rsidRPr="00C0765A">
        <w:rPr>
          <w:lang w:val="en-US"/>
        </w:rPr>
        <w:t xml:space="preserve">the </w:t>
      </w:r>
      <w:r w:rsidR="003B4576" w:rsidRPr="00C0765A">
        <w:rPr>
          <w:lang w:val="en-US"/>
        </w:rPr>
        <w:t>sensory stimul</w:t>
      </w:r>
      <w:r w:rsidR="00083189" w:rsidRPr="00C0765A">
        <w:rPr>
          <w:lang w:val="en-US"/>
        </w:rPr>
        <w:t>i</w:t>
      </w:r>
      <w:r w:rsidR="003B4576" w:rsidRPr="00C0765A">
        <w:rPr>
          <w:lang w:val="en-US"/>
        </w:rPr>
        <w:t xml:space="preserve"> (</w:t>
      </w:r>
      <w:r w:rsidR="003B4576" w:rsidRPr="00C0765A">
        <w:rPr>
          <w:i/>
          <w:iCs/>
          <w:lang w:val="en-US"/>
        </w:rPr>
        <w:t xml:space="preserve">not </w:t>
      </w:r>
      <w:proofErr w:type="spellStart"/>
      <w:r w:rsidR="003B4576" w:rsidRPr="00C0765A">
        <w:rPr>
          <w:lang w:val="en-US"/>
        </w:rPr>
        <w:t>taVNS</w:t>
      </w:r>
      <w:proofErr w:type="spellEnd"/>
      <w:r w:rsidR="003B4576" w:rsidRPr="00C0765A">
        <w:rPr>
          <w:lang w:val="en-US"/>
        </w:rPr>
        <w:t xml:space="preserve">) using modified Borg scales. </w:t>
      </w:r>
      <w:r w:rsidR="00A92C42" w:rsidRPr="00C0765A">
        <w:rPr>
          <w:lang w:val="en-US"/>
        </w:rPr>
        <w:t>After</w:t>
      </w:r>
      <w:r w:rsidR="009E1D73" w:rsidRPr="00C0765A">
        <w:rPr>
          <w:lang w:val="en-US"/>
        </w:rPr>
        <w:t xml:space="preserve"> </w:t>
      </w:r>
      <w:r w:rsidR="006C212B" w:rsidRPr="00C0765A">
        <w:rPr>
          <w:lang w:val="en-US"/>
        </w:rPr>
        <w:t xml:space="preserve">the third and the sixth </w:t>
      </w:r>
      <w:r w:rsidR="009E1D73" w:rsidRPr="00C0765A">
        <w:rPr>
          <w:lang w:val="en-US"/>
        </w:rPr>
        <w:t>block, participants were asked to rate the intensity</w:t>
      </w:r>
      <w:r w:rsidR="00082499" w:rsidRPr="00C0765A">
        <w:rPr>
          <w:lang w:val="en-US"/>
        </w:rPr>
        <w:t xml:space="preserve"> of the </w:t>
      </w:r>
      <w:r w:rsidR="00A6531A" w:rsidRPr="00C0765A">
        <w:rPr>
          <w:lang w:val="en-US"/>
        </w:rPr>
        <w:t>ear stimulation</w:t>
      </w:r>
      <w:r w:rsidR="00082499" w:rsidRPr="00C0765A">
        <w:rPr>
          <w:lang w:val="en-US"/>
        </w:rPr>
        <w:t xml:space="preserve"> (on the scale of 0 </w:t>
      </w:r>
      <w:r w:rsidR="00C2624F" w:rsidRPr="00C0765A">
        <w:rPr>
          <w:lang w:val="en-US"/>
        </w:rPr>
        <w:t>to</w:t>
      </w:r>
      <w:r w:rsidR="00082499" w:rsidRPr="00C0765A">
        <w:rPr>
          <w:lang w:val="en-US"/>
        </w:rPr>
        <w:t xml:space="preserve"> 100</w:t>
      </w:r>
      <w:r w:rsidR="00C2624F" w:rsidRPr="00C0765A">
        <w:rPr>
          <w:lang w:val="en-US"/>
        </w:rPr>
        <w:t xml:space="preserve">; see the calibration </w:t>
      </w:r>
      <w:r w:rsidR="00C2624F" w:rsidRPr="00C0765A">
        <w:rPr>
          <w:lang w:val="en-US"/>
        </w:rPr>
        <w:lastRenderedPageBreak/>
        <w:t>section above</w:t>
      </w:r>
      <w:r w:rsidR="00082499" w:rsidRPr="00C0765A">
        <w:rPr>
          <w:lang w:val="en-US"/>
        </w:rPr>
        <w:t xml:space="preserve">) and the unpleasantness of the </w:t>
      </w:r>
      <w:r w:rsidR="00C13FEB" w:rsidRPr="00C0765A">
        <w:rPr>
          <w:lang w:val="en-US"/>
        </w:rPr>
        <w:t>ear stimulation</w:t>
      </w:r>
      <w:r w:rsidR="000E584A" w:rsidRPr="00C0765A">
        <w:rPr>
          <w:lang w:val="en-US"/>
        </w:rPr>
        <w:t xml:space="preserve"> </w:t>
      </w:r>
      <w:r w:rsidR="00FE7B08" w:rsidRPr="00C0765A">
        <w:rPr>
          <w:lang w:val="en-US"/>
        </w:rPr>
        <w:t>on the scale of -50 (extremely unpleasant) to 50 (extremely pleasant).</w:t>
      </w:r>
    </w:p>
    <w:p w14:paraId="58C7D054" w14:textId="3757252D" w:rsidR="00B96F53" w:rsidRPr="00C0765A" w:rsidRDefault="00B911CD" w:rsidP="00EC6C99">
      <w:pPr>
        <w:rPr>
          <w:lang w:val="en-US"/>
        </w:rPr>
      </w:pPr>
      <w:r w:rsidRPr="00C0765A">
        <w:rPr>
          <w:lang w:val="en-US"/>
        </w:rPr>
        <w:t xml:space="preserve">After the sixth </w:t>
      </w:r>
      <w:r w:rsidR="003E603F" w:rsidRPr="00C0765A">
        <w:rPr>
          <w:lang w:val="en-US"/>
        </w:rPr>
        <w:t xml:space="preserve">sensory stimulation </w:t>
      </w:r>
      <w:r w:rsidRPr="00C0765A">
        <w:rPr>
          <w:lang w:val="en-US"/>
        </w:rPr>
        <w:t xml:space="preserve">block and the final rating of </w:t>
      </w:r>
      <w:r w:rsidR="00C13FEB" w:rsidRPr="00C0765A">
        <w:rPr>
          <w:lang w:val="en-US"/>
        </w:rPr>
        <w:t>ear stimulation</w:t>
      </w:r>
      <w:r w:rsidR="00D12161" w:rsidRPr="00C0765A">
        <w:rPr>
          <w:lang w:val="en-US"/>
        </w:rPr>
        <w:t xml:space="preserve">, participants were asked to provide the second </w:t>
      </w:r>
      <w:r w:rsidR="00D70742" w:rsidRPr="00C0765A">
        <w:rPr>
          <w:lang w:val="en-US"/>
        </w:rPr>
        <w:t>subjective experienced arousal</w:t>
      </w:r>
      <w:r w:rsidR="00D12161" w:rsidRPr="00C0765A">
        <w:rPr>
          <w:lang w:val="en-US"/>
        </w:rPr>
        <w:t xml:space="preserve"> rating using S</w:t>
      </w:r>
      <w:r w:rsidR="00C13FEB" w:rsidRPr="00C0765A">
        <w:rPr>
          <w:lang w:val="en-US"/>
        </w:rPr>
        <w:t>A</w:t>
      </w:r>
      <w:r w:rsidR="00D12161" w:rsidRPr="00C0765A">
        <w:rPr>
          <w:lang w:val="en-US"/>
        </w:rPr>
        <w:t xml:space="preserve">M, and the second saliva sample, which was collected in the same manner as the first. </w:t>
      </w:r>
      <w:r w:rsidR="00E44847" w:rsidRPr="00C0765A">
        <w:rPr>
          <w:lang w:val="en-US"/>
        </w:rPr>
        <w:t>Stimulation was</w:t>
      </w:r>
      <w:r w:rsidR="008007F0" w:rsidRPr="00C0765A">
        <w:rPr>
          <w:lang w:val="en-US"/>
        </w:rPr>
        <w:t xml:space="preserve"> </w:t>
      </w:r>
      <w:r w:rsidR="00E44847" w:rsidRPr="00C0765A">
        <w:rPr>
          <w:lang w:val="en-US"/>
        </w:rPr>
        <w:t>turned off, and participants underwent another five minutes</w:t>
      </w:r>
      <w:r w:rsidR="0066526C" w:rsidRPr="00C0765A">
        <w:rPr>
          <w:lang w:val="en-US"/>
        </w:rPr>
        <w:t>’ resting state EEG recording with their eyes closed.</w:t>
      </w:r>
      <w:r w:rsidR="00237DAB" w:rsidRPr="00C0765A">
        <w:rPr>
          <w:lang w:val="en-US"/>
        </w:rPr>
        <w:t xml:space="preserve"> Participants then filled in the adverse events checklist</w:t>
      </w:r>
      <w:r w:rsidR="00AA5D67" w:rsidRPr="00C0765A">
        <w:rPr>
          <w:lang w:val="en-US"/>
        </w:rPr>
        <w:t>.</w:t>
      </w:r>
    </w:p>
    <w:p w14:paraId="385CFB64" w14:textId="0F095175" w:rsidR="00A1546F" w:rsidRPr="00C0765A" w:rsidRDefault="00EC588A" w:rsidP="00EC6C99">
      <w:pPr>
        <w:pStyle w:val="Heading3"/>
        <w:rPr>
          <w:lang w:val="en-US"/>
        </w:rPr>
      </w:pPr>
      <w:r w:rsidRPr="00C0765A">
        <w:rPr>
          <w:lang w:val="en-US"/>
        </w:rPr>
        <w:t>2.3.2 Second session</w:t>
      </w:r>
    </w:p>
    <w:p w14:paraId="0CC57D94" w14:textId="77777777" w:rsidR="00E1414A" w:rsidRPr="00C0765A" w:rsidRDefault="00EC588A" w:rsidP="00E1414A">
      <w:pPr>
        <w:rPr>
          <w:lang w:val="en-US"/>
        </w:rPr>
      </w:pPr>
      <w:r w:rsidRPr="00C0765A">
        <w:rPr>
          <w:lang w:val="en-US"/>
        </w:rPr>
        <w:t>The second session proceeded</w:t>
      </w:r>
      <w:r w:rsidR="00937979" w:rsidRPr="00C0765A">
        <w:rPr>
          <w:lang w:val="en-US"/>
        </w:rPr>
        <w:t xml:space="preserve"> similarly to the first, with the main difference being the </w:t>
      </w:r>
      <w:r w:rsidR="008007F0" w:rsidRPr="00C0765A">
        <w:rPr>
          <w:lang w:val="en-US"/>
        </w:rPr>
        <w:t>auricular stimulation</w:t>
      </w:r>
      <w:r w:rsidR="00937979" w:rsidRPr="00C0765A">
        <w:rPr>
          <w:lang w:val="en-US"/>
        </w:rPr>
        <w:t xml:space="preserve"> site. </w:t>
      </w:r>
      <w:r w:rsidR="004F242D" w:rsidRPr="00C0765A">
        <w:rPr>
          <w:lang w:val="en-US"/>
        </w:rPr>
        <w:t xml:space="preserve">Participants </w:t>
      </w:r>
      <w:r w:rsidR="003B139B" w:rsidRPr="00C0765A">
        <w:rPr>
          <w:lang w:val="en-US"/>
        </w:rPr>
        <w:t xml:space="preserve">once </w:t>
      </w:r>
      <w:r w:rsidR="004F242D" w:rsidRPr="00C0765A">
        <w:rPr>
          <w:lang w:val="en-US"/>
        </w:rPr>
        <w:t xml:space="preserve">again signed the consent form and completed all of the pre-stimulation measures in the same order (see Figure 1), with the exception of spirometry, which was not performed in the second session under the assumption that participants’ lung function </w:t>
      </w:r>
      <w:r w:rsidR="00CE5E76" w:rsidRPr="00C0765A">
        <w:rPr>
          <w:lang w:val="en-US"/>
        </w:rPr>
        <w:t xml:space="preserve">did not change in the seven intervening days. </w:t>
      </w:r>
      <w:r w:rsidR="00506B39" w:rsidRPr="00C0765A">
        <w:rPr>
          <w:lang w:val="en-US"/>
        </w:rPr>
        <w:t>Familiarization with the sensory stimulation and ratings was also not performed in the second session,</w:t>
      </w:r>
      <w:r w:rsidR="00857BB0" w:rsidRPr="00C0765A">
        <w:rPr>
          <w:lang w:val="en-US"/>
        </w:rPr>
        <w:t xml:space="preserve"> and neither was the calibration of the paired electrocutaneous stimuli, as the aim was to maintain the same stimulus intensity across </w:t>
      </w:r>
      <w:r w:rsidR="007E5E63" w:rsidRPr="00C0765A">
        <w:rPr>
          <w:lang w:val="en-US"/>
        </w:rPr>
        <w:t>b</w:t>
      </w:r>
      <w:r w:rsidR="00CB051B" w:rsidRPr="00C0765A">
        <w:rPr>
          <w:lang w:val="en-US"/>
        </w:rPr>
        <w:t xml:space="preserve"> </w:t>
      </w:r>
      <w:proofErr w:type="spellStart"/>
      <w:r w:rsidR="00CB051B" w:rsidRPr="00C0765A">
        <w:rPr>
          <w:lang w:val="en-US"/>
        </w:rPr>
        <w:t>oth</w:t>
      </w:r>
      <w:proofErr w:type="spellEnd"/>
      <w:r w:rsidR="00CB051B" w:rsidRPr="00C0765A">
        <w:rPr>
          <w:lang w:val="en-US"/>
        </w:rPr>
        <w:t xml:space="preserve"> sessions. </w:t>
      </w:r>
      <w:proofErr w:type="spellStart"/>
      <w:r w:rsidR="00CB051B" w:rsidRPr="00C0765A">
        <w:rPr>
          <w:lang w:val="en-US"/>
        </w:rPr>
        <w:t>taVNS</w:t>
      </w:r>
      <w:proofErr w:type="spellEnd"/>
      <w:r w:rsidR="00CB051B" w:rsidRPr="00C0765A">
        <w:rPr>
          <w:lang w:val="en-US"/>
        </w:rPr>
        <w:t>/Sham calibration was performed in the same manner as in the first session (see above). The active stimulation period proceeded identically to the first session, and the order of the sensory modalities was not changed from the first session. After the sixth block, post-stimulation measures were collected in the same manner as the first session. Additional to the second session was the manipulation blindness check – participants were asked to make an informed guess as to which of the two stimulation sites (</w:t>
      </w:r>
      <w:r w:rsidR="00CB051B" w:rsidRPr="00C0765A">
        <w:rPr>
          <w:i/>
          <w:iCs/>
          <w:lang w:val="en-US"/>
        </w:rPr>
        <w:t>cymba concha</w:t>
      </w:r>
      <w:r w:rsidR="00CB051B" w:rsidRPr="00C0765A">
        <w:rPr>
          <w:lang w:val="en-US"/>
        </w:rPr>
        <w:t xml:space="preserve">/earlobe) constituted the experimental and which the control condition, and were then debriefed as to the correct answer and the research aim and hypotheses. As in the </w:t>
      </w:r>
      <w:r w:rsidR="00E1414A" w:rsidRPr="00C0765A">
        <w:rPr>
          <w:lang w:val="en-US"/>
        </w:rPr>
        <w:t>first session, participants filled in the adverse events form at the end of the session.</w:t>
      </w:r>
      <w:r w:rsidR="00E1414A" w:rsidRPr="00C0765A">
        <w:rPr>
          <w:noProof/>
          <w:szCs w:val="22"/>
          <w:lang w:val="en-US"/>
          <w14:ligatures w14:val="standardContextual"/>
        </w:rPr>
        <w:t xml:space="preserve"> </w:t>
      </w:r>
    </w:p>
    <w:p w14:paraId="1182EDD8" w14:textId="0F6F5EA0" w:rsidR="00342596" w:rsidRPr="00C0765A" w:rsidRDefault="00663A27" w:rsidP="00386722">
      <w:pPr>
        <w:rPr>
          <w:lang w:val="en-US"/>
        </w:rPr>
      </w:pPr>
      <w:r w:rsidRPr="00C0765A">
        <w:rPr>
          <w:noProof/>
          <w:szCs w:val="22"/>
          <w:lang w:val="en-US"/>
          <w14:ligatures w14:val="standardContextual"/>
        </w:rPr>
        <w:lastRenderedPageBreak/>
        <w:drawing>
          <wp:inline distT="0" distB="0" distL="0" distR="0" wp14:anchorId="7E08E577" wp14:editId="33FCC821">
            <wp:extent cx="5760720" cy="4497070"/>
            <wp:effectExtent l="0" t="0" r="0" b="0"/>
            <wp:docPr id="1241397965" name="Picture 1" descr="A diagram of a device used to treat an e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397965" name="Picture 1" descr="A diagram of a device used to treat an ear&#10;&#10;Description automatically generated with medium confidence"/>
                    <pic:cNvPicPr/>
                  </pic:nvPicPr>
                  <pic:blipFill rotWithShape="1">
                    <a:blip r:embed="rId17">
                      <a:extLst>
                        <a:ext uri="{28A0092B-C50C-407E-A947-70E740481C1C}">
                          <a14:useLocalDpi xmlns:a14="http://schemas.microsoft.com/office/drawing/2010/main" val="0"/>
                        </a:ext>
                      </a:extLst>
                    </a:blip>
                    <a:srcRect l="1289" r="10057"/>
                    <a:stretch/>
                  </pic:blipFill>
                  <pic:spPr bwMode="auto">
                    <a:xfrm>
                      <a:off x="0" y="0"/>
                      <a:ext cx="5760720" cy="4497070"/>
                    </a:xfrm>
                    <a:prstGeom prst="rect">
                      <a:avLst/>
                    </a:prstGeom>
                    <a:ln>
                      <a:noFill/>
                    </a:ln>
                    <a:extLst>
                      <a:ext uri="{53640926-AAD7-44D8-BBD7-CCE9431645EC}">
                        <a14:shadowObscured xmlns:a14="http://schemas.microsoft.com/office/drawing/2010/main"/>
                      </a:ext>
                    </a:extLst>
                  </pic:spPr>
                </pic:pic>
              </a:graphicData>
            </a:graphic>
          </wp:inline>
        </w:drawing>
      </w:r>
      <w:r w:rsidRPr="00C0765A">
        <w:rPr>
          <w:noProof/>
        </w:rPr>
        <mc:AlternateContent>
          <mc:Choice Requires="wps">
            <w:drawing>
              <wp:inline distT="0" distB="0" distL="0" distR="0" wp14:anchorId="4A1885E4" wp14:editId="0AB859D8">
                <wp:extent cx="5760720" cy="541655"/>
                <wp:effectExtent l="0" t="0" r="0" b="0"/>
                <wp:docPr id="103174032" name="Text Box 1"/>
                <wp:cNvGraphicFramePr/>
                <a:graphic xmlns:a="http://schemas.openxmlformats.org/drawingml/2006/main">
                  <a:graphicData uri="http://schemas.microsoft.com/office/word/2010/wordprocessingShape">
                    <wps:wsp>
                      <wps:cNvSpPr txBox="1"/>
                      <wps:spPr>
                        <a:xfrm>
                          <a:off x="0" y="0"/>
                          <a:ext cx="5760720" cy="541655"/>
                        </a:xfrm>
                        <a:prstGeom prst="rect">
                          <a:avLst/>
                        </a:prstGeom>
                        <a:solidFill>
                          <a:prstClr val="white"/>
                        </a:solidFill>
                        <a:ln>
                          <a:noFill/>
                        </a:ln>
                      </wps:spPr>
                      <wps:txbx>
                        <w:txbxContent>
                          <w:p w14:paraId="65FBCE22" w14:textId="77777777" w:rsidR="00663A27" w:rsidRPr="00374342" w:rsidRDefault="00663A27" w:rsidP="00663A27">
                            <w:pPr>
                              <w:pStyle w:val="Caption"/>
                              <w:rPr>
                                <w:noProof/>
                                <w:sz w:val="22"/>
                                <w:szCs w:val="22"/>
                                <w:lang w:val="en-US"/>
                              </w:rPr>
                            </w:pPr>
                            <w:r w:rsidRPr="00315450">
                              <w:rPr>
                                <w:b/>
                                <w:bCs/>
                                <w:lang w:val="en-US"/>
                              </w:rPr>
                              <w:t xml:space="preserve">Figure </w:t>
                            </w:r>
                            <w:r w:rsidRPr="00315450">
                              <w:rPr>
                                <w:b/>
                                <w:bCs/>
                              </w:rPr>
                              <w:fldChar w:fldCharType="begin"/>
                            </w:r>
                            <w:r w:rsidRPr="00315450">
                              <w:rPr>
                                <w:b/>
                                <w:bCs/>
                                <w:lang w:val="en-US"/>
                              </w:rPr>
                              <w:instrText xml:space="preserve"> SEQ Figure \* ARABIC </w:instrText>
                            </w:r>
                            <w:r w:rsidRPr="00315450">
                              <w:rPr>
                                <w:b/>
                                <w:bCs/>
                              </w:rPr>
                              <w:fldChar w:fldCharType="separate"/>
                            </w:r>
                            <w:r>
                              <w:rPr>
                                <w:b/>
                                <w:bCs/>
                                <w:noProof/>
                                <w:lang w:val="en-US"/>
                              </w:rPr>
                              <w:t>1</w:t>
                            </w:r>
                            <w:r w:rsidRPr="00315450">
                              <w:rPr>
                                <w:b/>
                                <w:bCs/>
                              </w:rPr>
                              <w:fldChar w:fldCharType="end"/>
                            </w:r>
                            <w:r w:rsidRPr="00374342">
                              <w:rPr>
                                <w:lang w:val="en-US"/>
                              </w:rPr>
                              <w:t xml:space="preserve"> A) The depiction of </w:t>
                            </w:r>
                            <w:r>
                              <w:rPr>
                                <w:lang w:val="en-US"/>
                              </w:rPr>
                              <w:t xml:space="preserve">the </w:t>
                            </w:r>
                            <w:r w:rsidRPr="00374342">
                              <w:rPr>
                                <w:lang w:val="en-US"/>
                              </w:rPr>
                              <w:t>e</w:t>
                            </w:r>
                            <w:r>
                              <w:rPr>
                                <w:lang w:val="en-US"/>
                              </w:rPr>
                              <w:t xml:space="preserve">lectrode placement on the left ear for </w:t>
                            </w:r>
                            <w:proofErr w:type="spellStart"/>
                            <w:r>
                              <w:rPr>
                                <w:lang w:val="en-US"/>
                              </w:rPr>
                              <w:t>taVNS</w:t>
                            </w:r>
                            <w:proofErr w:type="spellEnd"/>
                            <w:r>
                              <w:rPr>
                                <w:lang w:val="en-US"/>
                              </w:rPr>
                              <w:t xml:space="preserve"> (left) and Sham stimulation (right). Created using Biorender.com B) Schematic depiction of the single-session protocol. Abbreviations: </w:t>
                            </w:r>
                            <w:proofErr w:type="spellStart"/>
                            <w:r>
                              <w:rPr>
                                <w:lang w:val="en-US"/>
                              </w:rPr>
                              <w:t>c.concha</w:t>
                            </w:r>
                            <w:proofErr w:type="spellEnd"/>
                            <w:r>
                              <w:rPr>
                                <w:lang w:val="en-US"/>
                              </w:rPr>
                              <w:t xml:space="preserve"> = cymba concha, SAM = Self-Assessment Manikin, PES = paired electrocutaneous stimuli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shapetype w14:anchorId="4A1885E4" id="_x0000_t202" coordsize="21600,21600" o:spt="202" path="m,l,21600r21600,l21600,xe">
                <v:stroke joinstyle="miter"/>
                <v:path gradientshapeok="t" o:connecttype="rect"/>
              </v:shapetype>
              <v:shape id="Text Box 1" o:spid="_x0000_s1026" type="#_x0000_t202" style="width:453.6pt;height:4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" stroked="f">
                <v:textbox style="mso-fit-shape-to-text:t" inset="0,0,0,0">
                  <w:txbxContent>
                    <w:p w14:paraId="65FBCE22" w14:textId="77777777" w:rsidR="00663A27" w:rsidRPr="00374342" w:rsidRDefault="00663A27" w:rsidP="00663A27">
                      <w:pPr>
                        <w:pStyle w:val="Caption"/>
                        <w:rPr>
                          <w:noProof/>
                          <w:sz w:val="22"/>
                          <w:szCs w:val="22"/>
                          <w:lang w:val="en-US"/>
                        </w:rPr>
                      </w:pPr>
                      <w:r w:rsidRPr="00315450">
                        <w:rPr>
                          <w:b/>
                          <w:bCs/>
                          <w:lang w:val="en-US"/>
                        </w:rPr>
                        <w:t xml:space="preserve">Figure </w:t>
                      </w:r>
                      <w:r w:rsidRPr="00315450">
                        <w:rPr>
                          <w:b/>
                          <w:bCs/>
                        </w:rPr>
                        <w:fldChar w:fldCharType="begin"/>
                      </w:r>
                      <w:r w:rsidRPr="00315450">
                        <w:rPr>
                          <w:b/>
                          <w:bCs/>
                          <w:lang w:val="en-US"/>
                        </w:rPr>
                        <w:instrText xml:space="preserve"> SEQ Figure \* ARABIC </w:instrText>
                      </w:r>
                      <w:r w:rsidRPr="00315450">
                        <w:rPr>
                          <w:b/>
                          <w:bCs/>
                        </w:rPr>
                        <w:fldChar w:fldCharType="separate"/>
                      </w:r>
                      <w:r>
                        <w:rPr>
                          <w:b/>
                          <w:bCs/>
                          <w:noProof/>
                          <w:lang w:val="en-US"/>
                        </w:rPr>
                        <w:t>1</w:t>
                      </w:r>
                      <w:r w:rsidRPr="00315450">
                        <w:rPr>
                          <w:b/>
                          <w:bCs/>
                        </w:rPr>
                        <w:fldChar w:fldCharType="end"/>
                      </w:r>
                      <w:r w:rsidRPr="00374342">
                        <w:rPr>
                          <w:lang w:val="en-US"/>
                        </w:rPr>
                        <w:t xml:space="preserve"> A) The depiction of </w:t>
                      </w:r>
                      <w:r>
                        <w:rPr>
                          <w:lang w:val="en-US"/>
                        </w:rPr>
                        <w:t xml:space="preserve">the </w:t>
                      </w:r>
                      <w:r w:rsidRPr="00374342">
                        <w:rPr>
                          <w:lang w:val="en-US"/>
                        </w:rPr>
                        <w:t>e</w:t>
                      </w:r>
                      <w:r>
                        <w:rPr>
                          <w:lang w:val="en-US"/>
                        </w:rPr>
                        <w:t xml:space="preserve">lectrode placement on the left ear for </w:t>
                      </w:r>
                      <w:proofErr w:type="spellStart"/>
                      <w:r>
                        <w:rPr>
                          <w:lang w:val="en-US"/>
                        </w:rPr>
                        <w:t>taVNS</w:t>
                      </w:r>
                      <w:proofErr w:type="spellEnd"/>
                      <w:r>
                        <w:rPr>
                          <w:lang w:val="en-US"/>
                        </w:rPr>
                        <w:t xml:space="preserve"> (left) and Sham stimulation (right). Created using Biorender.com B) Schematic depiction of the single-session protocol. Abbreviations: </w:t>
                      </w:r>
                      <w:proofErr w:type="spellStart"/>
                      <w:r>
                        <w:rPr>
                          <w:lang w:val="en-US"/>
                        </w:rPr>
                        <w:t>c.concha</w:t>
                      </w:r>
                      <w:proofErr w:type="spellEnd"/>
                      <w:r>
                        <w:rPr>
                          <w:lang w:val="en-US"/>
                        </w:rPr>
                        <w:t xml:space="preserve"> = cymba concha, SAM = Self-Assessment Manikin, PES = paired electrocutaneous stimuli</w:t>
                      </w:r>
                    </w:p>
                  </w:txbxContent>
                </v:textbox>
                <w10:anchorlock/>
              </v:shape>
            </w:pict>
          </mc:Fallback>
        </mc:AlternateContent>
      </w:r>
    </w:p>
    <w:p w14:paraId="55A320E8" w14:textId="38619067" w:rsidR="00660CC7" w:rsidRPr="00C0765A" w:rsidRDefault="00660CC7" w:rsidP="00EC6C99">
      <w:pPr>
        <w:pStyle w:val="Heading2"/>
        <w:rPr>
          <w:lang w:val="en-US"/>
        </w:rPr>
      </w:pPr>
      <w:r w:rsidRPr="00C0765A">
        <w:rPr>
          <w:lang w:val="en-US"/>
        </w:rPr>
        <w:t>2.4 Data Analysis</w:t>
      </w:r>
    </w:p>
    <w:p w14:paraId="155E7F8D" w14:textId="3340BAE9" w:rsidR="006747E0" w:rsidRPr="00C0765A" w:rsidRDefault="00952C23" w:rsidP="00EC6C99">
      <w:pPr>
        <w:pStyle w:val="Heading3"/>
        <w:rPr>
          <w:lang w:val="en-US"/>
        </w:rPr>
      </w:pPr>
      <w:r w:rsidRPr="00C0765A">
        <w:rPr>
          <w:lang w:val="en-US"/>
        </w:rPr>
        <w:t>2.4.1 Salivary alpha</w:t>
      </w:r>
      <w:r w:rsidR="00B83D1F" w:rsidRPr="00C0765A">
        <w:rPr>
          <w:lang w:val="en-US"/>
        </w:rPr>
        <w:t>-</w:t>
      </w:r>
      <w:r w:rsidRPr="00C0765A">
        <w:rPr>
          <w:lang w:val="en-US"/>
        </w:rPr>
        <w:t>amylase</w:t>
      </w:r>
    </w:p>
    <w:p w14:paraId="001CAE54" w14:textId="00902102" w:rsidR="005D581B" w:rsidRPr="00C0765A" w:rsidRDefault="000700AD" w:rsidP="00EC6C99">
      <w:pPr>
        <w:rPr>
          <w:lang w:val="en-US"/>
        </w:rPr>
      </w:pPr>
      <w:r w:rsidRPr="00C0765A">
        <w:rPr>
          <w:lang w:val="en-US"/>
        </w:rPr>
        <w:t>The saliva samples were stored in test tubes labeled with consecutive three-digit codes</w:t>
      </w:r>
      <w:r w:rsidR="002D4D01" w:rsidRPr="00C0765A">
        <w:rPr>
          <w:lang w:val="en-US"/>
        </w:rPr>
        <w:t xml:space="preserve"> (</w:t>
      </w:r>
      <w:r w:rsidR="004036F9" w:rsidRPr="00C0765A">
        <w:rPr>
          <w:lang w:val="en-US"/>
        </w:rPr>
        <w:t>anonymously</w:t>
      </w:r>
      <w:r w:rsidR="002D4D01" w:rsidRPr="00C0765A">
        <w:rPr>
          <w:lang w:val="en-US"/>
        </w:rPr>
        <w:t xml:space="preserve"> assigned to participants’ unique IDs</w:t>
      </w:r>
      <w:r w:rsidR="00D868B1" w:rsidRPr="00C0765A">
        <w:rPr>
          <w:lang w:val="en-US"/>
        </w:rPr>
        <w:t xml:space="preserve"> and session</w:t>
      </w:r>
      <w:r w:rsidR="004036F9" w:rsidRPr="00C0765A">
        <w:rPr>
          <w:lang w:val="en-US"/>
        </w:rPr>
        <w:t>s</w:t>
      </w:r>
      <w:r w:rsidR="00827341" w:rsidRPr="00C0765A">
        <w:rPr>
          <w:lang w:val="en-US"/>
        </w:rPr>
        <w:t>/time points</w:t>
      </w:r>
      <w:r w:rsidR="009E74CE" w:rsidRPr="00C0765A">
        <w:rPr>
          <w:lang w:val="en-US"/>
        </w:rPr>
        <w:t>). The samples were kept frozen at -</w:t>
      </w:r>
      <w:r w:rsidR="00C61DC0" w:rsidRPr="00C0765A">
        <w:rPr>
          <w:lang w:val="en-US"/>
        </w:rPr>
        <w:t>2</w:t>
      </w:r>
      <w:r w:rsidR="000A0FF4" w:rsidRPr="00C0765A">
        <w:rPr>
          <w:lang w:val="en-US"/>
        </w:rPr>
        <w:t>1</w:t>
      </w:r>
      <w:r w:rsidR="009E74CE" w:rsidRPr="00C0765A">
        <w:rPr>
          <w:lang w:val="en-US"/>
        </w:rPr>
        <w:t>°C</w:t>
      </w:r>
      <w:r w:rsidR="00CF119C" w:rsidRPr="00C0765A">
        <w:rPr>
          <w:lang w:val="en-US"/>
        </w:rPr>
        <w:t xml:space="preserve">. Upon the completion of data collection, the samples were </w:t>
      </w:r>
      <w:r w:rsidR="00D868B1" w:rsidRPr="00C0765A">
        <w:rPr>
          <w:lang w:val="en-US"/>
        </w:rPr>
        <w:t xml:space="preserve">sent for immunoassay analysis </w:t>
      </w:r>
      <w:r w:rsidR="004A2AC3" w:rsidRPr="00C0765A">
        <w:rPr>
          <w:rFonts w:cstheme="minorHAnsi"/>
          <w:lang w:val="en-US"/>
        </w:rPr>
        <w:t xml:space="preserve">(Dresden </w:t>
      </w:r>
      <w:proofErr w:type="spellStart"/>
      <w:r w:rsidR="004A2AC3" w:rsidRPr="00C0765A">
        <w:rPr>
          <w:rFonts w:cstheme="minorHAnsi"/>
          <w:lang w:val="en-US"/>
        </w:rPr>
        <w:t>LabService</w:t>
      </w:r>
      <w:proofErr w:type="spellEnd"/>
      <w:r w:rsidR="004A2AC3" w:rsidRPr="00C0765A">
        <w:rPr>
          <w:rFonts w:cstheme="minorHAnsi"/>
          <w:lang w:val="en-US"/>
        </w:rPr>
        <w:t xml:space="preserve"> GmbH, Germany) </w:t>
      </w:r>
      <w:r w:rsidR="00D868B1" w:rsidRPr="00C0765A">
        <w:rPr>
          <w:lang w:val="en-US"/>
        </w:rPr>
        <w:t>to extract salivary alpha</w:t>
      </w:r>
      <w:r w:rsidR="00B83D1F" w:rsidRPr="00C0765A">
        <w:rPr>
          <w:lang w:val="en-US"/>
        </w:rPr>
        <w:t>-</w:t>
      </w:r>
      <w:r w:rsidR="00D868B1" w:rsidRPr="00C0765A">
        <w:rPr>
          <w:lang w:val="en-US"/>
        </w:rPr>
        <w:t>amylase concentration</w:t>
      </w:r>
      <w:r w:rsidR="00827341" w:rsidRPr="00C0765A">
        <w:rPr>
          <w:lang w:val="en-US"/>
        </w:rPr>
        <w:t xml:space="preserve"> (</w:t>
      </w:r>
      <w:r w:rsidR="00827341" w:rsidRPr="00C0765A">
        <w:rPr>
          <w:rFonts w:cstheme="minorHAnsi"/>
          <w:lang w:val="en-US"/>
        </w:rPr>
        <w:t xml:space="preserve">net </w:t>
      </w:r>
      <w:proofErr w:type="spellStart"/>
      <w:r w:rsidR="00827341" w:rsidRPr="00C0765A">
        <w:rPr>
          <w:rFonts w:cstheme="minorHAnsi"/>
          <w:lang w:val="en-US"/>
        </w:rPr>
        <w:t>sAA</w:t>
      </w:r>
      <w:proofErr w:type="spellEnd"/>
      <w:r w:rsidR="00827341" w:rsidRPr="00C0765A">
        <w:rPr>
          <w:rFonts w:cstheme="minorHAnsi"/>
          <w:lang w:val="en-US"/>
        </w:rPr>
        <w:t xml:space="preserve"> per milliliter of fluid - U/ml)</w:t>
      </w:r>
      <w:r w:rsidR="00D868B1" w:rsidRPr="00C0765A">
        <w:rPr>
          <w:lang w:val="en-US"/>
        </w:rPr>
        <w:t>.</w:t>
      </w:r>
    </w:p>
    <w:p w14:paraId="0A5D6D3D" w14:textId="016E9B13" w:rsidR="00952C23" w:rsidRPr="00C0765A" w:rsidRDefault="00952C23" w:rsidP="00EC6C99">
      <w:pPr>
        <w:pStyle w:val="Heading3"/>
        <w:rPr>
          <w:lang w:val="en-US"/>
        </w:rPr>
      </w:pPr>
      <w:r w:rsidRPr="00C0765A">
        <w:rPr>
          <w:lang w:val="en-US"/>
        </w:rPr>
        <w:t>2.4.2 EEG analysis</w:t>
      </w:r>
    </w:p>
    <w:p w14:paraId="05FF9210" w14:textId="55D055D4" w:rsidR="006D2053" w:rsidRPr="00C0765A" w:rsidRDefault="006D2053" w:rsidP="00EC6C99">
      <w:pPr>
        <w:rPr>
          <w:rFonts w:cstheme="minorHAnsi"/>
          <w:lang w:val="en-US"/>
        </w:rPr>
      </w:pPr>
      <w:r w:rsidRPr="00C0765A">
        <w:rPr>
          <w:rFonts w:cstheme="minorHAnsi"/>
          <w:lang w:val="en-US"/>
        </w:rPr>
        <w:t xml:space="preserve">All analyses of EEG data were performed using </w:t>
      </w:r>
      <w:r w:rsidR="00751AE1" w:rsidRPr="00C0765A">
        <w:rPr>
          <w:rFonts w:cstheme="minorHAnsi"/>
          <w:lang w:val="en-US"/>
        </w:rPr>
        <w:t xml:space="preserve">the </w:t>
      </w:r>
      <w:r w:rsidRPr="00C0765A">
        <w:rPr>
          <w:rFonts w:cstheme="minorHAnsi"/>
          <w:lang w:val="en-US"/>
        </w:rPr>
        <w:t>MNE</w:t>
      </w:r>
      <w:r w:rsidR="00751AE1" w:rsidRPr="00C0765A">
        <w:rPr>
          <w:rFonts w:cstheme="minorHAnsi"/>
          <w:lang w:val="en-US"/>
        </w:rPr>
        <w:t xml:space="preserve"> </w:t>
      </w:r>
      <w:r w:rsidRPr="00C0765A">
        <w:rPr>
          <w:rFonts w:cstheme="minorHAnsi"/>
          <w:lang w:val="en-US"/>
        </w:rPr>
        <w:t>Python</w:t>
      </w:r>
      <w:r w:rsidR="00751AE1" w:rsidRPr="00C0765A">
        <w:rPr>
          <w:rFonts w:cstheme="minorHAnsi"/>
          <w:lang w:val="en-US"/>
        </w:rPr>
        <w:t xml:space="preserve"> library</w:t>
      </w:r>
      <w:r w:rsidRPr="00C0765A">
        <w:rPr>
          <w:rFonts w:cstheme="minorHAnsi"/>
          <w:lang w:val="en-US"/>
        </w:rPr>
        <w:t xml:space="preserve"> </w:t>
      </w:r>
      <w:r w:rsidRPr="00C0765A">
        <w:rPr>
          <w:lang w:val="en-US"/>
        </w:rPr>
        <w:t>(</w:t>
      </w:r>
      <w:proofErr w:type="spellStart"/>
      <w:r w:rsidRPr="00C0765A">
        <w:rPr>
          <w:lang w:val="en-US"/>
        </w:rPr>
        <w:t>Gramfort</w:t>
      </w:r>
      <w:proofErr w:type="spellEnd"/>
      <w:r w:rsidRPr="00C0765A">
        <w:rPr>
          <w:lang w:val="en-US"/>
        </w:rPr>
        <w:t xml:space="preserve"> et al., 2013)</w:t>
      </w:r>
      <w:r w:rsidRPr="00C0765A">
        <w:rPr>
          <w:rFonts w:cstheme="minorHAnsi"/>
          <w:lang w:val="en-US"/>
        </w:rPr>
        <w:t>.</w:t>
      </w:r>
    </w:p>
    <w:p w14:paraId="55FCC22E" w14:textId="07F9C657" w:rsidR="004E2505" w:rsidRPr="00C0765A" w:rsidRDefault="00E7730A" w:rsidP="00EC6C99">
      <w:pPr>
        <w:pStyle w:val="Heading4"/>
        <w:rPr>
          <w:vanish/>
          <w:lang w:val="en-US"/>
          <w:specVanish/>
        </w:rPr>
      </w:pPr>
      <w:r w:rsidRPr="00C0765A">
        <w:rPr>
          <w:lang w:val="en-US"/>
        </w:rPr>
        <w:t xml:space="preserve">2.4.2.1 ERP analysis. </w:t>
      </w:r>
    </w:p>
    <w:p w14:paraId="2B749054" w14:textId="74D16203" w:rsidR="00807772" w:rsidRPr="00C0765A" w:rsidRDefault="00E2561D" w:rsidP="00F7099A">
      <w:pPr>
        <w:rPr>
          <w:sz w:val="20"/>
          <w:szCs w:val="20"/>
          <w:lang w:val="en-US"/>
        </w:rPr>
      </w:pPr>
      <w:r w:rsidRPr="00C0765A">
        <w:rPr>
          <w:lang w:val="en-US"/>
        </w:rPr>
        <w:t xml:space="preserve"> </w:t>
      </w:r>
      <w:r w:rsidR="006D2053" w:rsidRPr="00C0765A">
        <w:rPr>
          <w:lang w:val="en-US"/>
        </w:rPr>
        <w:t>For the analysis of event-related potentials and neural gating</w:t>
      </w:r>
      <w:r w:rsidR="00D35DAD" w:rsidRPr="00C0765A">
        <w:rPr>
          <w:lang w:val="en-US"/>
        </w:rPr>
        <w:t>, raw EEG data w</w:t>
      </w:r>
      <w:r w:rsidR="001104B7" w:rsidRPr="00C0765A">
        <w:rPr>
          <w:lang w:val="en-US"/>
        </w:rPr>
        <w:t>ere</w:t>
      </w:r>
      <w:r w:rsidR="00D35DAD" w:rsidRPr="00C0765A">
        <w:rPr>
          <w:lang w:val="en-US"/>
        </w:rPr>
        <w:t xml:space="preserve"> </w:t>
      </w:r>
      <w:proofErr w:type="spellStart"/>
      <w:r w:rsidR="00D35DAD" w:rsidRPr="00C0765A">
        <w:rPr>
          <w:lang w:val="en-US"/>
        </w:rPr>
        <w:t>downsampled</w:t>
      </w:r>
      <w:proofErr w:type="spellEnd"/>
      <w:r w:rsidR="00D35DAD" w:rsidRPr="00C0765A">
        <w:rPr>
          <w:lang w:val="en-US"/>
        </w:rPr>
        <w:t xml:space="preserve"> to 500Hz</w:t>
      </w:r>
      <w:r w:rsidR="0059145B" w:rsidRPr="00C0765A">
        <w:rPr>
          <w:lang w:val="en-US"/>
        </w:rPr>
        <w:t xml:space="preserve"> and re-referenced to the average of all</w:t>
      </w:r>
      <w:r w:rsidR="00C63026" w:rsidRPr="00C0765A">
        <w:rPr>
          <w:lang w:val="en-US"/>
        </w:rPr>
        <w:t xml:space="preserve"> the</w:t>
      </w:r>
      <w:r w:rsidR="0059145B" w:rsidRPr="00C0765A">
        <w:rPr>
          <w:lang w:val="en-US"/>
        </w:rPr>
        <w:t xml:space="preserve"> </w:t>
      </w:r>
      <w:r w:rsidR="001104B7" w:rsidRPr="00C0765A">
        <w:rPr>
          <w:lang w:val="en-US"/>
        </w:rPr>
        <w:t>channels</w:t>
      </w:r>
      <w:r w:rsidR="0059145B" w:rsidRPr="00C0765A">
        <w:rPr>
          <w:lang w:val="en-US"/>
        </w:rPr>
        <w:t xml:space="preserve">. </w:t>
      </w:r>
      <w:r w:rsidR="009C6A4D" w:rsidRPr="00C0765A">
        <w:rPr>
          <w:lang w:val="en-US"/>
        </w:rPr>
        <w:t>A</w:t>
      </w:r>
      <w:r w:rsidR="0059145B" w:rsidRPr="00C0765A">
        <w:rPr>
          <w:lang w:val="en-US"/>
        </w:rPr>
        <w:t xml:space="preserve"> </w:t>
      </w:r>
      <w:r w:rsidR="00BC5E7C" w:rsidRPr="00C0765A">
        <w:rPr>
          <w:lang w:val="en-US"/>
        </w:rPr>
        <w:t xml:space="preserve">copy </w:t>
      </w:r>
      <w:r w:rsidR="00BC5E7C" w:rsidRPr="00C0765A">
        <w:rPr>
          <w:lang w:val="en-US"/>
        </w:rPr>
        <w:lastRenderedPageBreak/>
        <w:t xml:space="preserve">of the raw </w:t>
      </w:r>
      <w:r w:rsidR="0059145B" w:rsidRPr="00C0765A">
        <w:rPr>
          <w:lang w:val="en-US"/>
        </w:rPr>
        <w:t>data w</w:t>
      </w:r>
      <w:r w:rsidR="00BC5E7C" w:rsidRPr="00C0765A">
        <w:rPr>
          <w:lang w:val="en-US"/>
        </w:rPr>
        <w:t>as</w:t>
      </w:r>
      <w:r w:rsidR="0059145B" w:rsidRPr="00C0765A">
        <w:rPr>
          <w:lang w:val="en-US"/>
        </w:rPr>
        <w:t xml:space="preserve"> then</w:t>
      </w:r>
      <w:r w:rsidR="00D35DAD" w:rsidRPr="00C0765A">
        <w:rPr>
          <w:lang w:val="en-US"/>
        </w:rPr>
        <w:t xml:space="preserve"> filtered</w:t>
      </w:r>
      <w:r w:rsidR="0059145B" w:rsidRPr="00C0765A">
        <w:rPr>
          <w:lang w:val="en-US"/>
        </w:rPr>
        <w:t xml:space="preserve"> for </w:t>
      </w:r>
      <w:r w:rsidR="00B547BA" w:rsidRPr="00C0765A">
        <w:rPr>
          <w:lang w:val="en-US"/>
        </w:rPr>
        <w:t xml:space="preserve">artifact </w:t>
      </w:r>
      <w:r w:rsidR="00E43E77" w:rsidRPr="00C0765A">
        <w:rPr>
          <w:lang w:val="en-US"/>
        </w:rPr>
        <w:t>rejection</w:t>
      </w:r>
      <w:r w:rsidR="00B547BA" w:rsidRPr="00C0765A">
        <w:rPr>
          <w:lang w:val="en-US"/>
        </w:rPr>
        <w:t xml:space="preserve"> using</w:t>
      </w:r>
      <w:r w:rsidR="00D35DAD" w:rsidRPr="00C0765A">
        <w:rPr>
          <w:lang w:val="en-US"/>
        </w:rPr>
        <w:t xml:space="preserve"> a </w:t>
      </w:r>
      <w:r w:rsidR="00B547BA" w:rsidRPr="00C0765A">
        <w:rPr>
          <w:lang w:val="en-US"/>
        </w:rPr>
        <w:t>finite-impulse</w:t>
      </w:r>
      <w:r w:rsidR="002C4644" w:rsidRPr="00C0765A">
        <w:rPr>
          <w:lang w:val="en-US"/>
        </w:rPr>
        <w:t xml:space="preserve"> response (FIR)</w:t>
      </w:r>
      <w:r w:rsidR="00D35DAD" w:rsidRPr="00C0765A">
        <w:rPr>
          <w:lang w:val="en-US"/>
        </w:rPr>
        <w:t xml:space="preserve"> filter with a </w:t>
      </w:r>
      <w:r w:rsidR="00E63AE7" w:rsidRPr="00C0765A">
        <w:rPr>
          <w:lang w:val="en-US"/>
        </w:rPr>
        <w:t xml:space="preserve">low </w:t>
      </w:r>
      <w:r w:rsidR="00D35DAD" w:rsidRPr="00C0765A">
        <w:rPr>
          <w:lang w:val="en-US"/>
        </w:rPr>
        <w:t>cutoff frequency of 1 Hz</w:t>
      </w:r>
      <w:r w:rsidR="00435B7D" w:rsidRPr="00C0765A">
        <w:rPr>
          <w:lang w:val="en-US"/>
        </w:rPr>
        <w:t xml:space="preserve">, </w:t>
      </w:r>
      <w:r w:rsidR="00D35DAD" w:rsidRPr="00C0765A">
        <w:rPr>
          <w:lang w:val="en-US"/>
        </w:rPr>
        <w:t xml:space="preserve">a </w:t>
      </w:r>
      <w:r w:rsidR="00E63AE7" w:rsidRPr="00C0765A">
        <w:rPr>
          <w:lang w:val="en-US"/>
        </w:rPr>
        <w:t>high</w:t>
      </w:r>
      <w:r w:rsidR="00D35DAD" w:rsidRPr="00C0765A">
        <w:rPr>
          <w:lang w:val="en-US"/>
        </w:rPr>
        <w:t xml:space="preserve"> cutoff frequency of 30 Hz</w:t>
      </w:r>
      <w:r w:rsidR="00435B7D" w:rsidRPr="00C0765A">
        <w:rPr>
          <w:lang w:val="en-US"/>
        </w:rPr>
        <w:t xml:space="preserve">, </w:t>
      </w:r>
      <w:r w:rsidR="00DE617F" w:rsidRPr="00C0765A">
        <w:rPr>
          <w:lang w:val="en-US"/>
        </w:rPr>
        <w:t>with</w:t>
      </w:r>
      <w:r w:rsidR="00435B7D" w:rsidRPr="00C0765A">
        <w:rPr>
          <w:lang w:val="en-US"/>
        </w:rPr>
        <w:t xml:space="preserve"> a length of </w:t>
      </w:r>
      <w:r w:rsidR="00900E43" w:rsidRPr="00C0765A">
        <w:rPr>
          <w:lang w:val="en-US"/>
        </w:rPr>
        <w:t>3</w:t>
      </w:r>
      <w:r w:rsidR="00435B7D" w:rsidRPr="00C0765A">
        <w:rPr>
          <w:lang w:val="en-US"/>
        </w:rPr>
        <w:t>.</w:t>
      </w:r>
      <w:r w:rsidR="00900E43" w:rsidRPr="00C0765A">
        <w:rPr>
          <w:lang w:val="en-US"/>
        </w:rPr>
        <w:t>3</w:t>
      </w:r>
      <w:r w:rsidR="00435B7D" w:rsidRPr="00C0765A">
        <w:rPr>
          <w:lang w:val="en-US"/>
        </w:rPr>
        <w:t>s</w:t>
      </w:r>
      <w:r w:rsidR="00E63AE7" w:rsidRPr="00C0765A">
        <w:rPr>
          <w:lang w:val="en-US"/>
        </w:rPr>
        <w:t>.</w:t>
      </w:r>
      <w:r w:rsidR="00D35DAD" w:rsidRPr="00C0765A">
        <w:rPr>
          <w:lang w:val="en-US"/>
        </w:rPr>
        <w:t xml:space="preserve"> </w:t>
      </w:r>
      <w:r w:rsidR="00817BB0" w:rsidRPr="00C0765A">
        <w:rPr>
          <w:lang w:val="en-US"/>
        </w:rPr>
        <w:t>The data w</w:t>
      </w:r>
      <w:r w:rsidR="00C16326" w:rsidRPr="00C0765A">
        <w:rPr>
          <w:lang w:val="en-US"/>
        </w:rPr>
        <w:t>ere</w:t>
      </w:r>
      <w:r w:rsidR="00817BB0" w:rsidRPr="00C0765A">
        <w:rPr>
          <w:lang w:val="en-US"/>
        </w:rPr>
        <w:t xml:space="preserve"> then visually inspected to identify noisy channels</w:t>
      </w:r>
      <w:r w:rsidR="00931445" w:rsidRPr="00C0765A">
        <w:rPr>
          <w:lang w:val="en-US"/>
        </w:rPr>
        <w:t xml:space="preserve">, which </w:t>
      </w:r>
      <w:r w:rsidR="007839B4" w:rsidRPr="00C0765A">
        <w:rPr>
          <w:lang w:val="en-US"/>
        </w:rPr>
        <w:t>were interpolated using spherical splines</w:t>
      </w:r>
      <w:r w:rsidR="00BE6539" w:rsidRPr="00C0765A">
        <w:rPr>
          <w:lang w:val="en-US"/>
        </w:rPr>
        <w:t xml:space="preserve">. </w:t>
      </w:r>
      <w:r w:rsidR="00931445" w:rsidRPr="00C0765A">
        <w:rPr>
          <w:lang w:val="en-US"/>
        </w:rPr>
        <w:t>The number of interpolated channels was limited to 10%.</w:t>
      </w:r>
      <w:r w:rsidR="00BE6539" w:rsidRPr="00C0765A">
        <w:rPr>
          <w:lang w:val="en-US"/>
        </w:rPr>
        <w:t xml:space="preserve"> The </w:t>
      </w:r>
      <w:r w:rsidR="00AB21B1" w:rsidRPr="00C0765A">
        <w:rPr>
          <w:lang w:val="en-US"/>
        </w:rPr>
        <w:t xml:space="preserve">copy </w:t>
      </w:r>
      <w:r w:rsidR="00BE6539" w:rsidRPr="00C0765A">
        <w:rPr>
          <w:lang w:val="en-US"/>
        </w:rPr>
        <w:t xml:space="preserve">data were </w:t>
      </w:r>
      <w:r w:rsidR="009107F8" w:rsidRPr="00C0765A">
        <w:rPr>
          <w:lang w:val="en-US"/>
        </w:rPr>
        <w:t>segmented</w:t>
      </w:r>
      <w:r w:rsidR="00BE6539" w:rsidRPr="00C0765A">
        <w:rPr>
          <w:lang w:val="en-US"/>
        </w:rPr>
        <w:t xml:space="preserve"> </w:t>
      </w:r>
      <w:r w:rsidR="00A32BDF" w:rsidRPr="00C0765A">
        <w:rPr>
          <w:lang w:val="en-US"/>
        </w:rPr>
        <w:t>into 4-second epochs</w:t>
      </w:r>
      <w:r w:rsidR="009107F8" w:rsidRPr="00C0765A">
        <w:rPr>
          <w:lang w:val="en-US"/>
        </w:rPr>
        <w:t xml:space="preserve"> locked to the delivery of the first stimulus in a pair</w:t>
      </w:r>
      <w:r w:rsidR="009A27CD" w:rsidRPr="00C0765A">
        <w:rPr>
          <w:lang w:val="en-US"/>
        </w:rPr>
        <w:t xml:space="preserve"> [-2s,2s]. These epochs were then entered into </w:t>
      </w:r>
      <w:r w:rsidR="007B6EC5" w:rsidRPr="00C0765A">
        <w:rPr>
          <w:lang w:val="en-US"/>
        </w:rPr>
        <w:t xml:space="preserve">an independent component analysis using the </w:t>
      </w:r>
      <w:proofErr w:type="spellStart"/>
      <w:r w:rsidR="007B6EC5" w:rsidRPr="00C0765A">
        <w:rPr>
          <w:i/>
          <w:iCs/>
          <w:lang w:val="en-US"/>
        </w:rPr>
        <w:t>fastica</w:t>
      </w:r>
      <w:proofErr w:type="spellEnd"/>
      <w:r w:rsidR="007B6EC5" w:rsidRPr="00C0765A">
        <w:rPr>
          <w:lang w:val="en-US"/>
        </w:rPr>
        <w:t xml:space="preserve"> algorithm </w:t>
      </w:r>
      <w:r w:rsidR="00D92F77" w:rsidRPr="00C0765A">
        <w:rPr>
          <w:lang w:val="en-US"/>
        </w:rPr>
        <w:t>(Hyvarinen, 1999)</w:t>
      </w:r>
      <w:r w:rsidR="000127C4" w:rsidRPr="00C0765A">
        <w:rPr>
          <w:lang w:val="en-US"/>
        </w:rPr>
        <w:t xml:space="preserve"> as implemented in the P</w:t>
      </w:r>
      <w:r w:rsidR="00181B0E" w:rsidRPr="00C0765A">
        <w:rPr>
          <w:lang w:val="en-US"/>
        </w:rPr>
        <w:t xml:space="preserve">ython module </w:t>
      </w:r>
      <w:r w:rsidR="00181B0E" w:rsidRPr="00C0765A">
        <w:rPr>
          <w:i/>
          <w:iCs/>
          <w:lang w:val="en-US"/>
        </w:rPr>
        <w:t>s</w:t>
      </w:r>
      <w:r w:rsidR="008533D0" w:rsidRPr="00C0765A">
        <w:rPr>
          <w:i/>
          <w:iCs/>
          <w:lang w:val="en-US"/>
        </w:rPr>
        <w:t>c</w:t>
      </w:r>
      <w:r w:rsidR="00181B0E" w:rsidRPr="00C0765A">
        <w:rPr>
          <w:i/>
          <w:iCs/>
          <w:lang w:val="en-US"/>
        </w:rPr>
        <w:t>i</w:t>
      </w:r>
      <w:r w:rsidR="008533D0" w:rsidRPr="00C0765A">
        <w:rPr>
          <w:i/>
          <w:iCs/>
          <w:lang w:val="en-US"/>
        </w:rPr>
        <w:t xml:space="preserve">kit-learn </w:t>
      </w:r>
      <w:r w:rsidR="008533D0" w:rsidRPr="00C0765A">
        <w:rPr>
          <w:lang w:val="en-US"/>
        </w:rPr>
        <w:t>(Pedregosa et al.,</w:t>
      </w:r>
      <w:r w:rsidR="0007676E" w:rsidRPr="00C0765A">
        <w:rPr>
          <w:lang w:val="en-US"/>
        </w:rPr>
        <w:t xml:space="preserve"> </w:t>
      </w:r>
      <w:r w:rsidR="008533D0" w:rsidRPr="00C0765A">
        <w:rPr>
          <w:lang w:val="en-US"/>
        </w:rPr>
        <w:t xml:space="preserve">2011). </w:t>
      </w:r>
      <w:r w:rsidR="00371307" w:rsidRPr="00C0765A">
        <w:rPr>
          <w:lang w:val="en-US"/>
        </w:rPr>
        <w:t>Independent c</w:t>
      </w:r>
      <w:r w:rsidR="00030D80" w:rsidRPr="00C0765A">
        <w:rPr>
          <w:lang w:val="en-US"/>
        </w:rPr>
        <w:t xml:space="preserve">omponents capturing </w:t>
      </w:r>
      <w:r w:rsidR="007C66EA" w:rsidRPr="00C0765A">
        <w:rPr>
          <w:lang w:val="en-US"/>
        </w:rPr>
        <w:t xml:space="preserve">the </w:t>
      </w:r>
      <w:r w:rsidR="00030D80" w:rsidRPr="00C0765A">
        <w:rPr>
          <w:lang w:val="en-US"/>
        </w:rPr>
        <w:t xml:space="preserve">activity related to eye blinks, eye movements, heartbeat, </w:t>
      </w:r>
      <w:proofErr w:type="spellStart"/>
      <w:r w:rsidR="00030D80" w:rsidRPr="00C0765A">
        <w:rPr>
          <w:lang w:val="en-US"/>
        </w:rPr>
        <w:t>taVNS</w:t>
      </w:r>
      <w:proofErr w:type="spellEnd"/>
      <w:r w:rsidR="00030D80" w:rsidRPr="00C0765A">
        <w:rPr>
          <w:lang w:val="en-US"/>
        </w:rPr>
        <w:t xml:space="preserve"> noise and </w:t>
      </w:r>
      <w:r w:rsidR="00371307" w:rsidRPr="00C0765A">
        <w:rPr>
          <w:lang w:val="en-US"/>
        </w:rPr>
        <w:t>channel noise/</w:t>
      </w:r>
      <w:r w:rsidR="000944AC" w:rsidRPr="00C0765A">
        <w:rPr>
          <w:lang w:val="en-US"/>
        </w:rPr>
        <w:t xml:space="preserve">electrical artifacts were manually identified and </w:t>
      </w:r>
      <w:r w:rsidR="00E00719" w:rsidRPr="00C0765A">
        <w:rPr>
          <w:lang w:val="en-US"/>
        </w:rPr>
        <w:t xml:space="preserve">marked for rejection. </w:t>
      </w:r>
      <w:r w:rsidR="00BC5E7C" w:rsidRPr="00C0765A">
        <w:rPr>
          <w:lang w:val="en-US"/>
        </w:rPr>
        <w:t>The original raw data w</w:t>
      </w:r>
      <w:r w:rsidR="00DE2A66" w:rsidRPr="00C0765A">
        <w:rPr>
          <w:lang w:val="en-US"/>
        </w:rPr>
        <w:t>ere</w:t>
      </w:r>
      <w:r w:rsidR="00BC5E7C" w:rsidRPr="00C0765A">
        <w:rPr>
          <w:lang w:val="en-US"/>
        </w:rPr>
        <w:t xml:space="preserve"> then</w:t>
      </w:r>
      <w:r w:rsidR="002C4644" w:rsidRPr="00C0765A">
        <w:rPr>
          <w:lang w:val="en-US"/>
        </w:rPr>
        <w:t xml:space="preserve"> filtered </w:t>
      </w:r>
      <w:r w:rsidR="00CF217E" w:rsidRPr="00C0765A">
        <w:rPr>
          <w:lang w:val="en-US"/>
        </w:rPr>
        <w:t>using</w:t>
      </w:r>
      <w:r w:rsidR="002C4644" w:rsidRPr="00C0765A">
        <w:rPr>
          <w:lang w:val="en-US"/>
        </w:rPr>
        <w:t xml:space="preserve"> a less</w:t>
      </w:r>
      <w:r w:rsidR="00967EBD" w:rsidRPr="00C0765A">
        <w:rPr>
          <w:lang w:val="en-US"/>
        </w:rPr>
        <w:t>-</w:t>
      </w:r>
      <w:r w:rsidR="002C4644" w:rsidRPr="00C0765A">
        <w:rPr>
          <w:lang w:val="en-US"/>
        </w:rPr>
        <w:t>aggressive FIR</w:t>
      </w:r>
      <w:r w:rsidR="00BC5E7C" w:rsidRPr="00C0765A">
        <w:rPr>
          <w:lang w:val="en-US"/>
        </w:rPr>
        <w:t xml:space="preserve"> </w:t>
      </w:r>
      <w:r w:rsidR="002C4644" w:rsidRPr="00C0765A">
        <w:rPr>
          <w:lang w:val="en-US"/>
        </w:rPr>
        <w:t>filter</w:t>
      </w:r>
      <w:r w:rsidR="009B5D42" w:rsidRPr="00C0765A">
        <w:rPr>
          <w:lang w:val="en-US"/>
        </w:rPr>
        <w:t xml:space="preserve"> with a low cutoff frequency of 0.</w:t>
      </w:r>
      <w:r w:rsidR="00B60E0F" w:rsidRPr="00C0765A">
        <w:rPr>
          <w:lang w:val="en-US"/>
        </w:rPr>
        <w:t>3</w:t>
      </w:r>
      <w:r w:rsidR="009B5D42" w:rsidRPr="00C0765A">
        <w:rPr>
          <w:lang w:val="en-US"/>
        </w:rPr>
        <w:t xml:space="preserve">Hz and </w:t>
      </w:r>
      <w:r w:rsidR="003F0319" w:rsidRPr="00C0765A">
        <w:rPr>
          <w:lang w:val="en-US"/>
        </w:rPr>
        <w:t>the length of 3.3s.</w:t>
      </w:r>
      <w:r w:rsidR="00CF217E" w:rsidRPr="00C0765A">
        <w:rPr>
          <w:lang w:val="en-US"/>
        </w:rPr>
        <w:t xml:space="preserve"> </w:t>
      </w:r>
      <w:r w:rsidR="00177A0C" w:rsidRPr="00C0765A">
        <w:rPr>
          <w:lang w:val="en-US"/>
        </w:rPr>
        <w:t xml:space="preserve">A notch filter centered on 50Hz with a length of 10s was implemented to further suppress line noise. </w:t>
      </w:r>
      <w:r w:rsidR="00E00719" w:rsidRPr="00C0765A">
        <w:rPr>
          <w:lang w:val="en-US"/>
        </w:rPr>
        <w:t xml:space="preserve">The rejected </w:t>
      </w:r>
      <w:r w:rsidR="001953B9" w:rsidRPr="00C0765A">
        <w:rPr>
          <w:lang w:val="en-US"/>
        </w:rPr>
        <w:t xml:space="preserve">ICA </w:t>
      </w:r>
      <w:r w:rsidR="00E00719" w:rsidRPr="00C0765A">
        <w:rPr>
          <w:lang w:val="en-US"/>
        </w:rPr>
        <w:t xml:space="preserve">components were </w:t>
      </w:r>
      <w:r w:rsidR="000944AC" w:rsidRPr="00C0765A">
        <w:rPr>
          <w:lang w:val="en-US"/>
        </w:rPr>
        <w:t xml:space="preserve">regressed out of the </w:t>
      </w:r>
      <w:r w:rsidR="00BC5E7C" w:rsidRPr="00C0765A">
        <w:rPr>
          <w:lang w:val="en-US"/>
        </w:rPr>
        <w:t>original</w:t>
      </w:r>
      <w:r w:rsidR="001953B9" w:rsidRPr="00C0765A">
        <w:rPr>
          <w:lang w:val="en-US"/>
        </w:rPr>
        <w:t xml:space="preserve"> data, which w</w:t>
      </w:r>
      <w:r w:rsidR="00722605" w:rsidRPr="00C0765A">
        <w:rPr>
          <w:lang w:val="en-US"/>
        </w:rPr>
        <w:t>ere</w:t>
      </w:r>
      <w:r w:rsidR="001953B9" w:rsidRPr="00C0765A">
        <w:rPr>
          <w:lang w:val="en-US"/>
        </w:rPr>
        <w:t xml:space="preserve"> then </w:t>
      </w:r>
      <w:r w:rsidR="00CF217E" w:rsidRPr="00C0765A">
        <w:rPr>
          <w:lang w:val="en-US"/>
        </w:rPr>
        <w:t xml:space="preserve">segmented into </w:t>
      </w:r>
      <w:r w:rsidR="005B565E" w:rsidRPr="00C0765A">
        <w:rPr>
          <w:lang w:val="en-US"/>
        </w:rPr>
        <w:t>the [-200ms,1000ms] epochs surrounding the delivery of each stimulus (first and second stimulus in each pair)</w:t>
      </w:r>
      <w:r w:rsidR="009D469B" w:rsidRPr="00C0765A">
        <w:rPr>
          <w:lang w:val="en-US"/>
        </w:rPr>
        <w:t xml:space="preserve">. The epochs were baseline corrected </w:t>
      </w:r>
      <w:r w:rsidR="000E181D" w:rsidRPr="00C0765A">
        <w:rPr>
          <w:lang w:val="en-US"/>
        </w:rPr>
        <w:t>by</w:t>
      </w:r>
      <w:r w:rsidR="009D469B" w:rsidRPr="00C0765A">
        <w:rPr>
          <w:lang w:val="en-US"/>
        </w:rPr>
        <w:t xml:space="preserve"> the interval of [-130ms,-30ms] preceding the delivery of each stimulus</w:t>
      </w:r>
      <w:r w:rsidR="009A3C91" w:rsidRPr="00C0765A">
        <w:rPr>
          <w:lang w:val="en-US"/>
        </w:rPr>
        <w:t xml:space="preserve">, and averaged according to stimulus </w:t>
      </w:r>
      <w:r w:rsidR="001835AA" w:rsidRPr="00C0765A">
        <w:rPr>
          <w:lang w:val="en-US"/>
        </w:rPr>
        <w:t>number</w:t>
      </w:r>
      <w:r w:rsidR="009A3C91" w:rsidRPr="00C0765A">
        <w:rPr>
          <w:lang w:val="en-US"/>
        </w:rPr>
        <w:t xml:space="preserve"> (S1 = first stimulus in a pair, S2</w:t>
      </w:r>
      <w:r w:rsidR="00231885" w:rsidRPr="00C0765A">
        <w:rPr>
          <w:lang w:val="en-US"/>
        </w:rPr>
        <w:t xml:space="preserve"> = second stimulus in a pair).</w:t>
      </w:r>
      <w:r w:rsidR="00C343E5" w:rsidRPr="00C0765A">
        <w:rPr>
          <w:lang w:val="en-US"/>
        </w:rPr>
        <w:t xml:space="preserve"> Prior to averaging, a copy of auditory </w:t>
      </w:r>
      <w:r w:rsidR="00086D35" w:rsidRPr="00C0765A">
        <w:rPr>
          <w:lang w:val="en-US"/>
        </w:rPr>
        <w:t xml:space="preserve">stimulus </w:t>
      </w:r>
      <w:r w:rsidR="00C343E5" w:rsidRPr="00C0765A">
        <w:rPr>
          <w:lang w:val="en-US"/>
        </w:rPr>
        <w:t xml:space="preserve">epochs was created and additionally filtered using </w:t>
      </w:r>
      <w:r w:rsidR="002B6A5B" w:rsidRPr="00C0765A">
        <w:rPr>
          <w:lang w:val="en-US"/>
        </w:rPr>
        <w:t xml:space="preserve">a FIR filter with a </w:t>
      </w:r>
      <w:r w:rsidR="00EA0982" w:rsidRPr="00C0765A">
        <w:rPr>
          <w:lang w:val="en-US"/>
        </w:rPr>
        <w:t>low cutoff frequency of 10Hz, for the measurement of the P50 component</w:t>
      </w:r>
      <w:r w:rsidR="00880F94" w:rsidRPr="00C0765A">
        <w:rPr>
          <w:lang w:val="en-US"/>
        </w:rPr>
        <w:t xml:space="preserve">, to help distinguish it </w:t>
      </w:r>
      <w:r w:rsidR="00DE39F1" w:rsidRPr="00C0765A">
        <w:rPr>
          <w:lang w:val="en-US"/>
        </w:rPr>
        <w:t>from the other early peaks</w:t>
      </w:r>
      <w:r w:rsidR="00C8386A" w:rsidRPr="00C0765A">
        <w:rPr>
          <w:lang w:val="en-US"/>
        </w:rPr>
        <w:t xml:space="preserve"> (Patterson et al., 2008).</w:t>
      </w:r>
      <w:r w:rsidR="00C409EB" w:rsidRPr="00C0765A">
        <w:rPr>
          <w:lang w:val="en-US"/>
        </w:rPr>
        <w:t xml:space="preserve"> </w:t>
      </w:r>
      <w:r w:rsidR="001C48EE" w:rsidRPr="00C0765A">
        <w:rPr>
          <w:lang w:val="en-US"/>
        </w:rPr>
        <w:t xml:space="preserve">Epochs with amplitude deviations of &gt;200μV were automatically excluded. The average number of accepted trials per trial type is provided in the Supplement (Table S1). After averaging, the amplitudes of </w:t>
      </w:r>
      <w:r w:rsidR="00164F87" w:rsidRPr="00C0765A">
        <w:rPr>
          <w:lang w:val="en-US"/>
        </w:rPr>
        <w:t>AEP P50 and AEP/</w:t>
      </w:r>
      <w:r w:rsidR="001C48EE" w:rsidRPr="00C0765A">
        <w:rPr>
          <w:lang w:val="en-US"/>
        </w:rPr>
        <w:t>RREP</w:t>
      </w:r>
      <w:r w:rsidR="00164F87" w:rsidRPr="00C0765A">
        <w:rPr>
          <w:lang w:val="en-US"/>
        </w:rPr>
        <w:t>/SEP</w:t>
      </w:r>
      <w:r w:rsidR="001C48EE" w:rsidRPr="00C0765A">
        <w:rPr>
          <w:lang w:val="en-US"/>
        </w:rPr>
        <w:t xml:space="preserve"> N1 were extracted for both the first stimulus (S1) and the second stimulus (S2), while the amplitudes of </w:t>
      </w:r>
      <w:r w:rsidR="00164F87" w:rsidRPr="00C0765A">
        <w:rPr>
          <w:lang w:val="en-US"/>
        </w:rPr>
        <w:t xml:space="preserve">AEP/RREP/SEP </w:t>
      </w:r>
      <w:r w:rsidR="001C48EE" w:rsidRPr="00C0765A">
        <w:rPr>
          <w:lang w:val="en-US"/>
        </w:rPr>
        <w:t xml:space="preserve">P2 were extracted for S1 only. The </w:t>
      </w:r>
      <w:r w:rsidR="00DD5856" w:rsidRPr="00C0765A">
        <w:rPr>
          <w:lang w:val="en-US"/>
        </w:rPr>
        <w:t xml:space="preserve">P50 </w:t>
      </w:r>
      <w:r w:rsidR="001C48EE" w:rsidRPr="00C0765A">
        <w:rPr>
          <w:lang w:val="en-US"/>
        </w:rPr>
        <w:t xml:space="preserve">amplitudes were determined as the </w:t>
      </w:r>
      <w:r w:rsidR="00B249B3" w:rsidRPr="00C0765A">
        <w:rPr>
          <w:lang w:val="en-US"/>
        </w:rPr>
        <w:t>largest</w:t>
      </w:r>
      <w:r w:rsidR="001C48EE" w:rsidRPr="00C0765A">
        <w:rPr>
          <w:lang w:val="en-US"/>
        </w:rPr>
        <w:t xml:space="preserve"> </w:t>
      </w:r>
      <w:r w:rsidR="00DD5856" w:rsidRPr="00C0765A">
        <w:rPr>
          <w:lang w:val="en-US"/>
        </w:rPr>
        <w:t>peak</w:t>
      </w:r>
      <w:r w:rsidR="001C48EE" w:rsidRPr="00C0765A">
        <w:rPr>
          <w:lang w:val="en-US"/>
        </w:rPr>
        <w:t xml:space="preserve">-to-peak </w:t>
      </w:r>
      <w:r w:rsidR="00B249B3" w:rsidRPr="00C0765A">
        <w:rPr>
          <w:lang w:val="en-US"/>
        </w:rPr>
        <w:t xml:space="preserve">positive </w:t>
      </w:r>
      <w:r w:rsidR="001C48EE" w:rsidRPr="00C0765A">
        <w:rPr>
          <w:lang w:val="en-US"/>
        </w:rPr>
        <w:t>deviation</w:t>
      </w:r>
      <w:r w:rsidR="00B249B3" w:rsidRPr="00C0765A">
        <w:rPr>
          <w:lang w:val="en-US"/>
        </w:rPr>
        <w:t xml:space="preserve">s in the time window of </w:t>
      </w:r>
      <w:r w:rsidR="00362EE8" w:rsidRPr="00C0765A">
        <w:rPr>
          <w:lang w:val="en-US"/>
        </w:rPr>
        <w:t>[30ms,60ms</w:t>
      </w:r>
      <w:r w:rsidR="00B57D2C" w:rsidRPr="00C0765A">
        <w:rPr>
          <w:lang w:val="en-US"/>
        </w:rPr>
        <w:t xml:space="preserve">] post-stimulus at a single </w:t>
      </w:r>
      <w:proofErr w:type="spellStart"/>
      <w:r w:rsidR="00B57D2C" w:rsidRPr="00C0765A">
        <w:rPr>
          <w:lang w:val="en-US"/>
        </w:rPr>
        <w:t>centro</w:t>
      </w:r>
      <w:proofErr w:type="spellEnd"/>
      <w:r w:rsidR="00B57D2C" w:rsidRPr="00C0765A">
        <w:rPr>
          <w:lang w:val="en-US"/>
        </w:rPr>
        <w:t xml:space="preserve">-lateral channel. </w:t>
      </w:r>
      <w:r w:rsidR="00794DF6" w:rsidRPr="00C0765A">
        <w:rPr>
          <w:lang w:val="en-US"/>
        </w:rPr>
        <w:t>The N1 and P2 amplitudes were determined as the largest baseline-to-peak deviations in the time windows of [</w:t>
      </w:r>
      <w:r w:rsidR="00CA6C57" w:rsidRPr="00C0765A">
        <w:rPr>
          <w:lang w:val="en-US"/>
        </w:rPr>
        <w:t>8</w:t>
      </w:r>
      <w:r w:rsidR="00794DF6" w:rsidRPr="00C0765A">
        <w:rPr>
          <w:lang w:val="en-US"/>
        </w:rPr>
        <w:t>0ms,</w:t>
      </w:r>
      <w:r w:rsidR="00CA6C57" w:rsidRPr="00C0765A">
        <w:rPr>
          <w:lang w:val="en-US"/>
        </w:rPr>
        <w:t>140</w:t>
      </w:r>
      <w:r w:rsidR="00794DF6" w:rsidRPr="00C0765A">
        <w:rPr>
          <w:lang w:val="en-US"/>
        </w:rPr>
        <w:t>ms]</w:t>
      </w:r>
      <w:r w:rsidR="00CA6C57" w:rsidRPr="00C0765A">
        <w:rPr>
          <w:lang w:val="en-US"/>
        </w:rPr>
        <w:t xml:space="preserve"> and [150ms,220ms] respectively.</w:t>
      </w:r>
      <w:r w:rsidR="00794DF6" w:rsidRPr="00C0765A">
        <w:rPr>
          <w:lang w:val="en-US"/>
        </w:rPr>
        <w:t xml:space="preserve"> </w:t>
      </w:r>
      <w:r w:rsidR="00CA6C57" w:rsidRPr="00C0765A">
        <w:rPr>
          <w:lang w:val="en-US"/>
        </w:rPr>
        <w:t>N1 and P2 amplitudes were identified</w:t>
      </w:r>
      <w:r w:rsidR="00794DF6" w:rsidRPr="00C0765A">
        <w:rPr>
          <w:lang w:val="en-US"/>
        </w:rPr>
        <w:t xml:space="preserve"> </w:t>
      </w:r>
      <w:r w:rsidR="001C48EE" w:rsidRPr="00C0765A">
        <w:rPr>
          <w:lang w:val="en-US"/>
        </w:rPr>
        <w:t>at a hotspot cluster of three channels</w:t>
      </w:r>
      <w:r w:rsidR="000B1286" w:rsidRPr="00C0765A">
        <w:rPr>
          <w:lang w:val="en-US"/>
        </w:rPr>
        <w:t>, as in our previous research (Jelinčić et al., 2022)</w:t>
      </w:r>
      <w:r w:rsidR="001C48EE" w:rsidRPr="00C0765A">
        <w:rPr>
          <w:lang w:val="en-US"/>
        </w:rPr>
        <w:t xml:space="preserve">. For each participant and ERP component, the hotspot clusters were individually selected from the </w:t>
      </w:r>
      <w:proofErr w:type="spellStart"/>
      <w:r w:rsidR="001C48EE" w:rsidRPr="00C0765A">
        <w:rPr>
          <w:lang w:val="en-US"/>
        </w:rPr>
        <w:t>centro</w:t>
      </w:r>
      <w:proofErr w:type="spellEnd"/>
      <w:r w:rsidR="001C48EE" w:rsidRPr="00C0765A">
        <w:rPr>
          <w:lang w:val="en-US"/>
        </w:rPr>
        <w:t>-lateral channels</w:t>
      </w:r>
      <w:r w:rsidR="00FA695D" w:rsidRPr="00C0765A">
        <w:rPr>
          <w:lang w:val="en-US"/>
        </w:rPr>
        <w:t xml:space="preserve">, </w:t>
      </w:r>
      <w:r w:rsidR="001C48EE" w:rsidRPr="00C0765A">
        <w:rPr>
          <w:lang w:val="en-US"/>
        </w:rPr>
        <w:t xml:space="preserve">based on the highest cluster activity. The N1 S2 peak was always identified from the same hotspot cluster as the N1 S1 peak. The neural gating of the </w:t>
      </w:r>
      <w:r w:rsidR="0067650B" w:rsidRPr="00C0765A">
        <w:rPr>
          <w:lang w:val="en-US"/>
        </w:rPr>
        <w:t xml:space="preserve">P50 and </w:t>
      </w:r>
      <w:r w:rsidR="001C48EE" w:rsidRPr="00C0765A">
        <w:rPr>
          <w:lang w:val="en-US"/>
        </w:rPr>
        <w:t>N1 component</w:t>
      </w:r>
      <w:r w:rsidR="0067650B" w:rsidRPr="00C0765A">
        <w:rPr>
          <w:lang w:val="en-US"/>
        </w:rPr>
        <w:t>s</w:t>
      </w:r>
      <w:r w:rsidR="001C48EE" w:rsidRPr="00C0765A">
        <w:rPr>
          <w:lang w:val="en-US"/>
        </w:rPr>
        <w:t xml:space="preserve"> was determined by calculating the average amplitude </w:t>
      </w:r>
      <w:r w:rsidR="00F9289B" w:rsidRPr="00C0765A">
        <w:rPr>
          <w:lang w:val="en-US"/>
        </w:rPr>
        <w:t>difference</w:t>
      </w:r>
      <w:r w:rsidR="001C48EE" w:rsidRPr="00C0765A">
        <w:rPr>
          <w:lang w:val="en-US"/>
        </w:rPr>
        <w:t xml:space="preserve"> (S2</w:t>
      </w:r>
      <w:r w:rsidR="00F9289B" w:rsidRPr="00C0765A">
        <w:rPr>
          <w:lang w:val="en-US"/>
        </w:rPr>
        <w:t>-</w:t>
      </w:r>
      <w:r w:rsidR="001C48EE" w:rsidRPr="00C0765A">
        <w:rPr>
          <w:lang w:val="en-US"/>
        </w:rPr>
        <w:t xml:space="preserve">S1) </w:t>
      </w:r>
      <w:r w:rsidR="0011403F" w:rsidRPr="00C0765A">
        <w:rPr>
          <w:lang w:val="en-US"/>
        </w:rPr>
        <w:t>(</w:t>
      </w:r>
      <w:proofErr w:type="spellStart"/>
      <w:r w:rsidR="0011403F" w:rsidRPr="00C0765A">
        <w:rPr>
          <w:lang w:val="en-US"/>
        </w:rPr>
        <w:t>Chenivesse</w:t>
      </w:r>
      <w:proofErr w:type="spellEnd"/>
      <w:r w:rsidR="0011403F" w:rsidRPr="00C0765A">
        <w:rPr>
          <w:lang w:val="en-US"/>
        </w:rPr>
        <w:t xml:space="preserve"> et al., 2014; Herzog, Sucec, Van Diest, Van den Bergh, et al., 2018)</w:t>
      </w:r>
      <w:r w:rsidR="00F7099A" w:rsidRPr="00C0765A">
        <w:rPr>
          <w:rFonts w:cs="Arial"/>
          <w:lang w:val="en-US"/>
        </w:rPr>
        <w:t xml:space="preserve"> (see </w:t>
      </w:r>
      <w:hyperlink w:anchor="_2.4.3.2_Deviations_from" w:history="1">
        <w:r w:rsidR="003C1D52" w:rsidRPr="00C0765A">
          <w:rPr>
            <w:rStyle w:val="Hyperlink"/>
            <w:rFonts w:cs="Arial"/>
            <w:lang w:val="en-US"/>
          </w:rPr>
          <w:t>2.4.3.2</w:t>
        </w:r>
      </w:hyperlink>
      <w:r w:rsidR="003C1D52" w:rsidRPr="00C0765A">
        <w:rPr>
          <w:rFonts w:cs="Arial"/>
          <w:lang w:val="en-US"/>
        </w:rPr>
        <w:t xml:space="preserve"> for </w:t>
      </w:r>
      <w:r w:rsidR="00A64491" w:rsidRPr="00C0765A">
        <w:rPr>
          <w:rFonts w:cs="Arial"/>
          <w:lang w:val="en-US"/>
        </w:rPr>
        <w:t xml:space="preserve">the </w:t>
      </w:r>
      <w:r w:rsidR="003C1D52" w:rsidRPr="00C0765A">
        <w:rPr>
          <w:rFonts w:cs="Arial"/>
          <w:lang w:val="en-US"/>
        </w:rPr>
        <w:t xml:space="preserve">rationale on using </w:t>
      </w:r>
      <w:r w:rsidR="003C1D52" w:rsidRPr="00C0765A">
        <w:rPr>
          <w:rFonts w:cs="Arial"/>
          <w:lang w:val="en-US"/>
        </w:rPr>
        <w:lastRenderedPageBreak/>
        <w:t>this measure)</w:t>
      </w:r>
      <w:r w:rsidR="001C48EE" w:rsidRPr="00C0765A">
        <w:rPr>
          <w:lang w:val="en-US"/>
        </w:rPr>
        <w:t xml:space="preserve">. </w:t>
      </w:r>
      <w:r w:rsidR="00AB4629" w:rsidRPr="00C0765A">
        <w:rPr>
          <w:lang w:val="en-US"/>
        </w:rPr>
        <w:t xml:space="preserve">During all of the above-described pre-processing and analysis steps, the researcher was blinded to the </w:t>
      </w:r>
      <w:r w:rsidR="00945C04" w:rsidRPr="00C0765A">
        <w:rPr>
          <w:lang w:val="en-US"/>
        </w:rPr>
        <w:t>condition (</w:t>
      </w:r>
      <w:proofErr w:type="spellStart"/>
      <w:r w:rsidR="00945C04" w:rsidRPr="00C0765A">
        <w:rPr>
          <w:lang w:val="en-US"/>
        </w:rPr>
        <w:t>taVNS</w:t>
      </w:r>
      <w:proofErr w:type="spellEnd"/>
      <w:r w:rsidR="00945C04" w:rsidRPr="00C0765A">
        <w:rPr>
          <w:lang w:val="en-US"/>
        </w:rPr>
        <w:t xml:space="preserve"> or Sham) of the recording.</w:t>
      </w:r>
    </w:p>
    <w:p w14:paraId="50E457AC" w14:textId="1F964909" w:rsidR="00D13D93" w:rsidRPr="00C0765A" w:rsidRDefault="00371DB0" w:rsidP="00371DB0">
      <w:pPr>
        <w:pStyle w:val="Heading4"/>
        <w:rPr>
          <w:vanish/>
          <w:lang w:val="en-US"/>
          <w:specVanish/>
        </w:rPr>
      </w:pPr>
      <w:r w:rsidRPr="00C0765A">
        <w:rPr>
          <w:lang w:val="en-US"/>
        </w:rPr>
        <w:t>2.4.2.2 Spectral power analysis.</w:t>
      </w:r>
    </w:p>
    <w:p w14:paraId="5BD6390F" w14:textId="2CA32E9F" w:rsidR="00CB1FA0" w:rsidRPr="00C0765A" w:rsidRDefault="00D82AD6" w:rsidP="00CB1FA0">
      <w:pPr>
        <w:rPr>
          <w:lang w:val="en-US"/>
        </w:rPr>
      </w:pPr>
      <w:r w:rsidRPr="00C0765A">
        <w:rPr>
          <w:lang w:val="en-US"/>
        </w:rPr>
        <w:t xml:space="preserve"> </w:t>
      </w:r>
      <w:r w:rsidR="00CB1FA0" w:rsidRPr="00C0765A">
        <w:rPr>
          <w:lang w:val="en-US"/>
        </w:rPr>
        <w:t xml:space="preserve">To assess potential changes to </w:t>
      </w:r>
      <w:r w:rsidR="00135490" w:rsidRPr="00C0765A">
        <w:rPr>
          <w:lang w:val="en-US"/>
        </w:rPr>
        <w:t xml:space="preserve">spectral power dynamics in the alpha (8-13Hz) band, the raw resting state data were </w:t>
      </w:r>
      <w:proofErr w:type="spellStart"/>
      <w:r w:rsidR="00135490" w:rsidRPr="00C0765A">
        <w:rPr>
          <w:lang w:val="en-US"/>
        </w:rPr>
        <w:t>downsampled</w:t>
      </w:r>
      <w:proofErr w:type="spellEnd"/>
      <w:r w:rsidR="00135490" w:rsidRPr="00C0765A">
        <w:rPr>
          <w:lang w:val="en-US"/>
        </w:rPr>
        <w:t xml:space="preserve"> to </w:t>
      </w:r>
      <w:r w:rsidR="00DC086F" w:rsidRPr="00C0765A">
        <w:rPr>
          <w:lang w:val="en-US"/>
        </w:rPr>
        <w:t xml:space="preserve">250Hz and cropped to the first four minutes of </w:t>
      </w:r>
      <w:r w:rsidR="000B332F" w:rsidRPr="00C0765A">
        <w:rPr>
          <w:lang w:val="en-US"/>
        </w:rPr>
        <w:t>each</w:t>
      </w:r>
      <w:r w:rsidR="00DC086F" w:rsidRPr="00C0765A">
        <w:rPr>
          <w:lang w:val="en-US"/>
        </w:rPr>
        <w:t xml:space="preserve"> resting state recording. The data were then re-referenced to the average of all electrodes</w:t>
      </w:r>
      <w:r w:rsidR="004A0000" w:rsidRPr="00C0765A">
        <w:rPr>
          <w:lang w:val="en-US"/>
        </w:rPr>
        <w:t xml:space="preserve"> and a notch filter centered at 50Hz with a length of 10s was applied to suppress line noise. </w:t>
      </w:r>
      <w:r w:rsidR="00223246" w:rsidRPr="00C0765A">
        <w:rPr>
          <w:lang w:val="en-US"/>
        </w:rPr>
        <w:t>The data were then segmented into epochs of equal length (4s) with a 0.75s overlap</w:t>
      </w:r>
      <w:r w:rsidR="00936656" w:rsidRPr="00C0765A">
        <w:rPr>
          <w:lang w:val="en-US"/>
        </w:rPr>
        <w:t>, and the epochs were detrended in a linear fashion</w:t>
      </w:r>
      <w:r w:rsidR="00223246" w:rsidRPr="00C0765A">
        <w:rPr>
          <w:lang w:val="en-US"/>
        </w:rPr>
        <w:t>.</w:t>
      </w:r>
      <w:r w:rsidR="007756BC" w:rsidRPr="00C0765A">
        <w:rPr>
          <w:lang w:val="en-US"/>
        </w:rPr>
        <w:t xml:space="preserve"> Bad channels </w:t>
      </w:r>
      <w:r w:rsidR="00015AA3" w:rsidRPr="00C0765A">
        <w:rPr>
          <w:lang w:val="en-US"/>
        </w:rPr>
        <w:t xml:space="preserve">and epochs </w:t>
      </w:r>
      <w:r w:rsidR="007756BC" w:rsidRPr="00C0765A">
        <w:rPr>
          <w:lang w:val="en-US"/>
        </w:rPr>
        <w:t xml:space="preserve">were automatically </w:t>
      </w:r>
      <w:r w:rsidR="004122E2" w:rsidRPr="00C0765A">
        <w:rPr>
          <w:lang w:val="en-US"/>
        </w:rPr>
        <w:t xml:space="preserve">identified using </w:t>
      </w:r>
      <w:r w:rsidR="00CA611E" w:rsidRPr="00C0765A">
        <w:rPr>
          <w:lang w:val="en-US"/>
        </w:rPr>
        <w:t>cross-validation</w:t>
      </w:r>
      <w:r w:rsidR="00094B8C" w:rsidRPr="00C0765A">
        <w:rPr>
          <w:lang w:val="en-US"/>
        </w:rPr>
        <w:t xml:space="preserve"> and Random Sample Consensus</w:t>
      </w:r>
      <w:r w:rsidR="00DB5F01" w:rsidRPr="00C0765A">
        <w:rPr>
          <w:lang w:val="en-US"/>
        </w:rPr>
        <w:t>, as</w:t>
      </w:r>
      <w:r w:rsidR="00CA611E" w:rsidRPr="00C0765A">
        <w:rPr>
          <w:lang w:val="en-US"/>
        </w:rPr>
        <w:t xml:space="preserve"> implemented in </w:t>
      </w:r>
      <w:r w:rsidR="004122E2" w:rsidRPr="00C0765A">
        <w:rPr>
          <w:lang w:val="en-US"/>
        </w:rPr>
        <w:t xml:space="preserve">the </w:t>
      </w:r>
      <w:proofErr w:type="spellStart"/>
      <w:r w:rsidR="004122E2" w:rsidRPr="00C0765A">
        <w:rPr>
          <w:i/>
          <w:iCs/>
          <w:lang w:val="en-US"/>
        </w:rPr>
        <w:t>autoreject</w:t>
      </w:r>
      <w:proofErr w:type="spellEnd"/>
      <w:r w:rsidR="004122E2" w:rsidRPr="00C0765A">
        <w:rPr>
          <w:i/>
          <w:iCs/>
          <w:lang w:val="en-US"/>
        </w:rPr>
        <w:t xml:space="preserve"> </w:t>
      </w:r>
      <w:r w:rsidR="004122E2" w:rsidRPr="00C0765A">
        <w:rPr>
          <w:lang w:val="en-US"/>
        </w:rPr>
        <w:t>library</w:t>
      </w:r>
      <w:r w:rsidR="00DB5F01" w:rsidRPr="00C0765A">
        <w:rPr>
          <w:lang w:val="en-US"/>
        </w:rPr>
        <w:t xml:space="preserve"> (Jas et al., 2017)</w:t>
      </w:r>
      <w:r w:rsidR="004122E2" w:rsidRPr="00C0765A">
        <w:rPr>
          <w:lang w:val="en-US"/>
        </w:rPr>
        <w:t xml:space="preserve"> </w:t>
      </w:r>
      <w:r w:rsidR="00DB5F01" w:rsidRPr="00C0765A">
        <w:rPr>
          <w:lang w:val="en-US"/>
        </w:rPr>
        <w:t xml:space="preserve">running </w:t>
      </w:r>
      <w:r w:rsidR="004122E2" w:rsidRPr="00C0765A">
        <w:rPr>
          <w:lang w:val="en-US"/>
        </w:rPr>
        <w:t>in MNE-Python</w:t>
      </w:r>
      <w:r w:rsidR="002E09F2" w:rsidRPr="00C0765A">
        <w:rPr>
          <w:lang w:val="en-US"/>
        </w:rPr>
        <w:t xml:space="preserve"> (</w:t>
      </w:r>
      <w:proofErr w:type="spellStart"/>
      <w:r w:rsidR="002E09F2" w:rsidRPr="00C0765A">
        <w:rPr>
          <w:lang w:val="en-US"/>
        </w:rPr>
        <w:t>Gramfort</w:t>
      </w:r>
      <w:proofErr w:type="spellEnd"/>
      <w:r w:rsidR="002E09F2" w:rsidRPr="00C0765A">
        <w:rPr>
          <w:lang w:val="en-US"/>
        </w:rPr>
        <w:t xml:space="preserve"> et al., 2013)</w:t>
      </w:r>
      <w:r w:rsidR="00015AA3" w:rsidRPr="00C0765A">
        <w:rPr>
          <w:lang w:val="en-US"/>
        </w:rPr>
        <w:t xml:space="preserve">. </w:t>
      </w:r>
      <w:r w:rsidR="008F205A" w:rsidRPr="00C0765A">
        <w:rPr>
          <w:lang w:val="en-US"/>
        </w:rPr>
        <w:t xml:space="preserve">The bad channels were interpolated, while the bad epochs were either </w:t>
      </w:r>
      <w:r w:rsidR="00443291" w:rsidRPr="00C0765A">
        <w:rPr>
          <w:lang w:val="en-US"/>
        </w:rPr>
        <w:t>repaired or rejected</w:t>
      </w:r>
      <w:r w:rsidR="00234740" w:rsidRPr="00C0765A">
        <w:rPr>
          <w:lang w:val="en-US"/>
        </w:rPr>
        <w:t>.</w:t>
      </w:r>
      <w:r w:rsidR="00231053" w:rsidRPr="00C0765A">
        <w:rPr>
          <w:lang w:val="en-US"/>
        </w:rPr>
        <w:t xml:space="preserve"> The average number of accepted epochs per condition/time is provided in the Supplement (Table S</w:t>
      </w:r>
      <w:r w:rsidR="006A4CCB" w:rsidRPr="00C0765A">
        <w:rPr>
          <w:lang w:val="en-US"/>
        </w:rPr>
        <w:t>2</w:t>
      </w:r>
      <w:r w:rsidR="00231053" w:rsidRPr="00C0765A">
        <w:rPr>
          <w:lang w:val="en-US"/>
        </w:rPr>
        <w:t>).</w:t>
      </w:r>
      <w:r w:rsidR="00CA611E" w:rsidRPr="00C0765A">
        <w:rPr>
          <w:lang w:val="en-US"/>
        </w:rPr>
        <w:t xml:space="preserve"> </w:t>
      </w:r>
      <w:r w:rsidR="00624C6F" w:rsidRPr="00C0765A">
        <w:rPr>
          <w:lang w:val="en-US"/>
        </w:rPr>
        <w:t xml:space="preserve">Using </w:t>
      </w:r>
      <w:r w:rsidR="002818A4" w:rsidRPr="00C0765A">
        <w:rPr>
          <w:lang w:val="en-US"/>
        </w:rPr>
        <w:t xml:space="preserve">the </w:t>
      </w:r>
      <w:proofErr w:type="spellStart"/>
      <w:r w:rsidR="00624C6F" w:rsidRPr="00C0765A">
        <w:rPr>
          <w:lang w:val="en-US"/>
        </w:rPr>
        <w:t>multitaper</w:t>
      </w:r>
      <w:proofErr w:type="spellEnd"/>
      <w:r w:rsidR="00624C6F" w:rsidRPr="00C0765A">
        <w:rPr>
          <w:lang w:val="en-US"/>
        </w:rPr>
        <w:t xml:space="preserve"> </w:t>
      </w:r>
      <w:r w:rsidR="00EF2659" w:rsidRPr="00C0765A">
        <w:rPr>
          <w:lang w:val="en-US"/>
        </w:rPr>
        <w:t xml:space="preserve">spectrum method, </w:t>
      </w:r>
      <w:r w:rsidR="00231053" w:rsidRPr="00C0765A">
        <w:rPr>
          <w:lang w:val="en-US"/>
        </w:rPr>
        <w:t>power</w:t>
      </w:r>
      <w:r w:rsidR="006A4CCB" w:rsidRPr="00C0765A">
        <w:rPr>
          <w:lang w:val="en-US"/>
        </w:rPr>
        <w:t>-</w:t>
      </w:r>
      <w:r w:rsidR="002818A4" w:rsidRPr="00C0765A">
        <w:rPr>
          <w:lang w:val="en-US"/>
        </w:rPr>
        <w:t>spectr</w:t>
      </w:r>
      <w:r w:rsidR="006A4CCB" w:rsidRPr="00C0765A">
        <w:rPr>
          <w:lang w:val="en-US"/>
        </w:rPr>
        <w:t>al</w:t>
      </w:r>
      <w:r w:rsidR="002818A4" w:rsidRPr="00C0765A">
        <w:rPr>
          <w:lang w:val="en-US"/>
        </w:rPr>
        <w:t xml:space="preserve"> density (PSD)</w:t>
      </w:r>
      <w:r w:rsidR="00743B19" w:rsidRPr="00C0765A">
        <w:rPr>
          <w:lang w:val="en-US"/>
        </w:rPr>
        <w:t xml:space="preserve"> in the alpha range (8-13Hz) was estimated a</w:t>
      </w:r>
      <w:r w:rsidR="0006139F" w:rsidRPr="00C0765A">
        <w:rPr>
          <w:lang w:val="en-US"/>
        </w:rPr>
        <w:t xml:space="preserve">cross all epochs and channels. </w:t>
      </w:r>
      <w:r w:rsidR="006B26BA" w:rsidRPr="00C0765A">
        <w:rPr>
          <w:lang w:val="en-US"/>
        </w:rPr>
        <w:t xml:space="preserve">Average PSD was then extracted from parieto-occipital channels around </w:t>
      </w:r>
      <w:proofErr w:type="spellStart"/>
      <w:r w:rsidR="006B26BA" w:rsidRPr="00C0765A">
        <w:rPr>
          <w:lang w:val="en-US"/>
        </w:rPr>
        <w:t>Pz</w:t>
      </w:r>
      <w:proofErr w:type="spellEnd"/>
      <w:r w:rsidR="006B26BA" w:rsidRPr="00C0765A">
        <w:rPr>
          <w:lang w:val="en-US"/>
        </w:rPr>
        <w:t xml:space="preserve"> and Oz</w:t>
      </w:r>
      <w:r w:rsidR="00937DA2" w:rsidRPr="00C0765A">
        <w:rPr>
          <w:lang w:val="en-US"/>
        </w:rPr>
        <w:t xml:space="preserve"> for each condition (</w:t>
      </w:r>
      <w:proofErr w:type="spellStart"/>
      <w:r w:rsidR="00937DA2" w:rsidRPr="00C0765A">
        <w:rPr>
          <w:lang w:val="en-US"/>
        </w:rPr>
        <w:t>taVNS</w:t>
      </w:r>
      <w:proofErr w:type="spellEnd"/>
      <w:r w:rsidR="00937DA2" w:rsidRPr="00C0765A">
        <w:rPr>
          <w:lang w:val="en-US"/>
        </w:rPr>
        <w:t>/Sham) and time (pre-/post-stimulation).</w:t>
      </w:r>
      <w:r w:rsidR="00CA611E" w:rsidRPr="00C0765A">
        <w:rPr>
          <w:lang w:val="en-US"/>
        </w:rPr>
        <w:t xml:space="preserve"> </w:t>
      </w:r>
    </w:p>
    <w:p w14:paraId="086DDBDC" w14:textId="77777777" w:rsidR="00807772" w:rsidRPr="00C0765A" w:rsidRDefault="00807772" w:rsidP="00EC6C99">
      <w:pPr>
        <w:pStyle w:val="Heading3"/>
        <w:rPr>
          <w:vanish/>
          <w:lang w:val="en-US"/>
          <w:specVanish/>
        </w:rPr>
      </w:pPr>
      <w:r w:rsidRPr="00C0765A">
        <w:rPr>
          <w:lang w:val="en-US"/>
        </w:rPr>
        <w:t>2.4.3 Statistical analysis</w:t>
      </w:r>
    </w:p>
    <w:p w14:paraId="79983680" w14:textId="77777777" w:rsidR="00807772" w:rsidRPr="00C0765A" w:rsidRDefault="00807772" w:rsidP="00807772">
      <w:pPr>
        <w:rPr>
          <w:lang w:val="en-US"/>
        </w:rPr>
      </w:pPr>
      <w:r w:rsidRPr="00C0765A">
        <w:rPr>
          <w:lang w:val="en-US"/>
        </w:rPr>
        <w:t xml:space="preserve"> </w:t>
      </w:r>
    </w:p>
    <w:p w14:paraId="3C0F59E2" w14:textId="0698CB62" w:rsidR="00397BA8" w:rsidRPr="00C0765A" w:rsidRDefault="00397BA8" w:rsidP="00807772">
      <w:pPr>
        <w:rPr>
          <w:lang w:val="en-US"/>
        </w:rPr>
      </w:pPr>
      <w:r w:rsidRPr="00C0765A">
        <w:rPr>
          <w:lang w:val="en-US"/>
        </w:rPr>
        <w:t>All statistic</w:t>
      </w:r>
      <w:r w:rsidR="00601D16" w:rsidRPr="00C0765A">
        <w:rPr>
          <w:lang w:val="en-US"/>
        </w:rPr>
        <w:t>al analyses</w:t>
      </w:r>
      <w:r w:rsidRPr="00C0765A">
        <w:rPr>
          <w:lang w:val="en-US"/>
        </w:rPr>
        <w:t xml:space="preserve"> were performed using RStudio</w:t>
      </w:r>
      <w:r w:rsidR="005F1DA3" w:rsidRPr="00C0765A">
        <w:rPr>
          <w:lang w:val="en-US"/>
        </w:rPr>
        <w:t>, v</w:t>
      </w:r>
      <w:r w:rsidR="000B7A68" w:rsidRPr="00C0765A">
        <w:rPr>
          <w:lang w:val="en-US"/>
        </w:rPr>
        <w:t>ersion</w:t>
      </w:r>
      <w:r w:rsidR="00402805" w:rsidRPr="00C0765A">
        <w:rPr>
          <w:lang w:val="en-US"/>
        </w:rPr>
        <w:t xml:space="preserve"> 2024.04.2</w:t>
      </w:r>
      <w:r w:rsidR="000B7A68" w:rsidRPr="00C0765A">
        <w:rPr>
          <w:lang w:val="en-US"/>
        </w:rPr>
        <w:t xml:space="preserve"> (RStudio Team, 2015)</w:t>
      </w:r>
      <w:r w:rsidR="00402805" w:rsidRPr="00C0765A">
        <w:rPr>
          <w:lang w:val="en-US"/>
        </w:rPr>
        <w:t xml:space="preserve"> running </w:t>
      </w:r>
      <w:r w:rsidR="00A72EE2" w:rsidRPr="00C0765A">
        <w:rPr>
          <w:lang w:val="en-US"/>
        </w:rPr>
        <w:t xml:space="preserve">the </w:t>
      </w:r>
      <w:r w:rsidR="00402805" w:rsidRPr="00C0765A">
        <w:rPr>
          <w:lang w:val="en-US"/>
        </w:rPr>
        <w:t>R v</w:t>
      </w:r>
      <w:r w:rsidR="000B7A68" w:rsidRPr="00C0765A">
        <w:rPr>
          <w:lang w:val="en-US"/>
        </w:rPr>
        <w:t>ersion 4.3.1</w:t>
      </w:r>
      <w:r w:rsidR="00101408" w:rsidRPr="00C0765A">
        <w:rPr>
          <w:lang w:val="en-US"/>
        </w:rPr>
        <w:t xml:space="preserve">. </w:t>
      </w:r>
      <w:r w:rsidR="00B50A98" w:rsidRPr="00C0765A">
        <w:rPr>
          <w:lang w:val="en-US"/>
        </w:rPr>
        <w:t xml:space="preserve">The analyses were pre-registered at </w:t>
      </w:r>
      <w:hyperlink r:id="rId18" w:history="1">
        <w:r w:rsidR="00D43FE1" w:rsidRPr="00C0765A">
          <w:rPr>
            <w:rStyle w:val="Hyperlink"/>
            <w:lang w:val="en-US"/>
          </w:rPr>
          <w:t>https://osf.io/pv57c/</w:t>
        </w:r>
      </w:hyperlink>
      <w:r w:rsidR="007633FC" w:rsidRPr="00C0765A">
        <w:rPr>
          <w:lang w:val="en-US"/>
        </w:rPr>
        <w:t>.</w:t>
      </w:r>
      <w:r w:rsidR="00D43FE1" w:rsidRPr="00C0765A">
        <w:rPr>
          <w:lang w:val="en-US"/>
        </w:rPr>
        <w:t xml:space="preserve"> </w:t>
      </w:r>
    </w:p>
    <w:p w14:paraId="1840E219" w14:textId="65F052D9" w:rsidR="005A562B" w:rsidRPr="00C0765A" w:rsidRDefault="006F46F9" w:rsidP="000972CA">
      <w:pPr>
        <w:rPr>
          <w:lang w:val="en-US"/>
        </w:rPr>
      </w:pPr>
      <w:r w:rsidRPr="00C0765A">
        <w:rPr>
          <w:lang w:val="en-US"/>
        </w:rPr>
        <w:t xml:space="preserve">To test whether </w:t>
      </w:r>
      <w:proofErr w:type="spellStart"/>
      <w:r w:rsidRPr="00C0765A">
        <w:rPr>
          <w:lang w:val="en-US"/>
        </w:rPr>
        <w:t>taVNS</w:t>
      </w:r>
      <w:proofErr w:type="spellEnd"/>
      <w:r w:rsidRPr="00C0765A">
        <w:rPr>
          <w:lang w:val="en-US"/>
        </w:rPr>
        <w:t xml:space="preserve"> resulted in a</w:t>
      </w:r>
      <w:r w:rsidR="005D365E" w:rsidRPr="00C0765A">
        <w:rPr>
          <w:lang w:val="en-US"/>
        </w:rPr>
        <w:t xml:space="preserve"> relative</w:t>
      </w:r>
      <w:r w:rsidRPr="00C0765A">
        <w:rPr>
          <w:lang w:val="en-US"/>
        </w:rPr>
        <w:t xml:space="preserve"> increase of noradrenergic </w:t>
      </w:r>
      <w:r w:rsidR="00B90E2C" w:rsidRPr="00C0765A">
        <w:rPr>
          <w:lang w:val="en-US"/>
        </w:rPr>
        <w:t>activity</w:t>
      </w:r>
      <w:r w:rsidRPr="00C0765A">
        <w:rPr>
          <w:lang w:val="en-US"/>
        </w:rPr>
        <w:t xml:space="preserve"> </w:t>
      </w:r>
      <w:r w:rsidR="00BE5A6B" w:rsidRPr="00C0765A">
        <w:rPr>
          <w:lang w:val="en-US"/>
        </w:rPr>
        <w:t xml:space="preserve">and a </w:t>
      </w:r>
      <w:r w:rsidR="005D365E" w:rsidRPr="00C0765A">
        <w:rPr>
          <w:lang w:val="en-US"/>
        </w:rPr>
        <w:t xml:space="preserve">relative </w:t>
      </w:r>
      <w:r w:rsidR="00BE5A6B" w:rsidRPr="00C0765A">
        <w:rPr>
          <w:lang w:val="en-US"/>
        </w:rPr>
        <w:t xml:space="preserve">decrease in resting-state alpha power </w:t>
      </w:r>
      <w:r w:rsidR="005D365E" w:rsidRPr="00C0765A">
        <w:rPr>
          <w:lang w:val="en-US"/>
        </w:rPr>
        <w:t>compared</w:t>
      </w:r>
      <w:r w:rsidRPr="00C0765A">
        <w:rPr>
          <w:lang w:val="en-US"/>
        </w:rPr>
        <w:t xml:space="preserve"> to Sham, we constructed linear mixed-effects models (LMEM)</w:t>
      </w:r>
      <w:r w:rsidR="00702EE4" w:rsidRPr="00C0765A">
        <w:rPr>
          <w:lang w:val="en-US"/>
        </w:rPr>
        <w:t xml:space="preserve"> for </w:t>
      </w:r>
      <w:proofErr w:type="spellStart"/>
      <w:r w:rsidR="00BC01C2" w:rsidRPr="00C0765A">
        <w:rPr>
          <w:lang w:val="en-US"/>
        </w:rPr>
        <w:t>sAA</w:t>
      </w:r>
      <w:proofErr w:type="spellEnd"/>
      <w:r w:rsidR="00BC01C2" w:rsidRPr="00C0765A">
        <w:rPr>
          <w:lang w:val="en-US"/>
        </w:rPr>
        <w:t xml:space="preserve"> concentration, </w:t>
      </w:r>
      <w:r w:rsidR="00D70742" w:rsidRPr="00C0765A">
        <w:rPr>
          <w:lang w:val="en-US"/>
        </w:rPr>
        <w:t>subjective experienced arousal</w:t>
      </w:r>
      <w:r w:rsidR="00BC01C2" w:rsidRPr="00C0765A">
        <w:rPr>
          <w:lang w:val="en-US"/>
        </w:rPr>
        <w:t>, and alpha PSD,</w:t>
      </w:r>
      <w:r w:rsidRPr="00C0765A">
        <w:rPr>
          <w:lang w:val="en-US"/>
        </w:rPr>
        <w:t xml:space="preserve"> using the</w:t>
      </w:r>
      <w:r w:rsidR="005F73B4" w:rsidRPr="00C0765A">
        <w:rPr>
          <w:lang w:val="en-US"/>
        </w:rPr>
        <w:t xml:space="preserve"> maximum-likelihood method</w:t>
      </w:r>
      <w:r w:rsidR="00456618" w:rsidRPr="00C0765A">
        <w:rPr>
          <w:lang w:val="en-US"/>
        </w:rPr>
        <w:t xml:space="preserve"> within the</w:t>
      </w:r>
      <w:r w:rsidRPr="00C0765A">
        <w:rPr>
          <w:lang w:val="en-US"/>
        </w:rPr>
        <w:t xml:space="preserve"> </w:t>
      </w:r>
      <w:r w:rsidRPr="00C0765A">
        <w:rPr>
          <w:i/>
          <w:iCs/>
          <w:lang w:val="en-US"/>
        </w:rPr>
        <w:t>lme4</w:t>
      </w:r>
      <w:r w:rsidRPr="00C0765A">
        <w:rPr>
          <w:lang w:val="en-US"/>
        </w:rPr>
        <w:t xml:space="preserve"> package (Bates et al., 2015). </w:t>
      </w:r>
      <w:r w:rsidR="00510889" w:rsidRPr="00C0765A">
        <w:rPr>
          <w:lang w:val="en-US"/>
        </w:rPr>
        <w:t xml:space="preserve">We entered </w:t>
      </w:r>
      <w:r w:rsidR="00510889" w:rsidRPr="00C0765A">
        <w:rPr>
          <w:i/>
          <w:iCs/>
          <w:lang w:val="en-US"/>
        </w:rPr>
        <w:t>time</w:t>
      </w:r>
      <w:r w:rsidR="00510889" w:rsidRPr="00C0765A">
        <w:rPr>
          <w:lang w:val="en-US"/>
        </w:rPr>
        <w:t xml:space="preserve"> (levels: </w:t>
      </w:r>
      <w:r w:rsidR="00183AAA" w:rsidRPr="00C0765A">
        <w:rPr>
          <w:lang w:val="en-US"/>
        </w:rPr>
        <w:t xml:space="preserve">0 </w:t>
      </w:r>
      <w:r w:rsidR="00D87E14" w:rsidRPr="00C0765A">
        <w:rPr>
          <w:lang w:val="en-US"/>
        </w:rPr>
        <w:t xml:space="preserve">– </w:t>
      </w:r>
      <w:r w:rsidR="00510889" w:rsidRPr="00C0765A">
        <w:rPr>
          <w:lang w:val="en-US"/>
        </w:rPr>
        <w:t>pre-stimulation,</w:t>
      </w:r>
      <w:r w:rsidR="00183AAA" w:rsidRPr="00C0765A">
        <w:rPr>
          <w:lang w:val="en-US"/>
        </w:rPr>
        <w:t xml:space="preserve"> 1</w:t>
      </w:r>
      <w:r w:rsidR="00510889" w:rsidRPr="00C0765A">
        <w:rPr>
          <w:lang w:val="en-US"/>
        </w:rPr>
        <w:t xml:space="preserve"> </w:t>
      </w:r>
      <w:r w:rsidR="00D87E14" w:rsidRPr="00C0765A">
        <w:rPr>
          <w:lang w:val="en-US"/>
        </w:rPr>
        <w:t xml:space="preserve">– </w:t>
      </w:r>
      <w:r w:rsidR="00510889" w:rsidRPr="00C0765A">
        <w:rPr>
          <w:lang w:val="en-US"/>
        </w:rPr>
        <w:t>end</w:t>
      </w:r>
      <w:r w:rsidR="00DF013C" w:rsidRPr="00C0765A">
        <w:rPr>
          <w:lang w:val="en-US"/>
        </w:rPr>
        <w:t>-stimulation</w:t>
      </w:r>
      <w:r w:rsidR="00510889" w:rsidRPr="00C0765A">
        <w:rPr>
          <w:lang w:val="en-US"/>
        </w:rPr>
        <w:t>)</w:t>
      </w:r>
      <w:r w:rsidR="002715E9" w:rsidRPr="00C0765A">
        <w:rPr>
          <w:lang w:val="en-US"/>
        </w:rPr>
        <w:t>,</w:t>
      </w:r>
      <w:r w:rsidR="007558F0" w:rsidRPr="00C0765A">
        <w:rPr>
          <w:lang w:val="en-US"/>
        </w:rPr>
        <w:t xml:space="preserve"> </w:t>
      </w:r>
      <w:r w:rsidR="007558F0" w:rsidRPr="00C0765A">
        <w:rPr>
          <w:i/>
          <w:iCs/>
          <w:lang w:val="en-US"/>
        </w:rPr>
        <w:t>condition</w:t>
      </w:r>
      <w:r w:rsidR="007558F0" w:rsidRPr="00C0765A">
        <w:rPr>
          <w:lang w:val="en-US"/>
        </w:rPr>
        <w:t xml:space="preserve"> (levels: </w:t>
      </w:r>
      <w:r w:rsidR="00AF1241" w:rsidRPr="00C0765A">
        <w:rPr>
          <w:lang w:val="en-US"/>
        </w:rPr>
        <w:t xml:space="preserve">0 </w:t>
      </w:r>
      <w:r w:rsidR="00D87E14" w:rsidRPr="00C0765A">
        <w:rPr>
          <w:lang w:val="en-US"/>
        </w:rPr>
        <w:t xml:space="preserve">– </w:t>
      </w:r>
      <w:r w:rsidR="007558F0" w:rsidRPr="00C0765A">
        <w:rPr>
          <w:lang w:val="en-US"/>
        </w:rPr>
        <w:t>Sham</w:t>
      </w:r>
      <w:r w:rsidR="00B0595C" w:rsidRPr="00C0765A">
        <w:rPr>
          <w:lang w:val="en-US"/>
        </w:rPr>
        <w:t xml:space="preserve">, 1 – </w:t>
      </w:r>
      <w:proofErr w:type="spellStart"/>
      <w:r w:rsidR="00B0595C" w:rsidRPr="00C0765A">
        <w:rPr>
          <w:lang w:val="en-US"/>
        </w:rPr>
        <w:t>taVNS</w:t>
      </w:r>
      <w:proofErr w:type="spellEnd"/>
      <w:r w:rsidR="007558F0" w:rsidRPr="00C0765A">
        <w:rPr>
          <w:lang w:val="en-US"/>
        </w:rPr>
        <w:t>)</w:t>
      </w:r>
      <w:r w:rsidR="002715E9" w:rsidRPr="00C0765A">
        <w:rPr>
          <w:lang w:val="en-US"/>
        </w:rPr>
        <w:t xml:space="preserve">, and the interaction of </w:t>
      </w:r>
      <w:r w:rsidR="002715E9" w:rsidRPr="00C0765A">
        <w:rPr>
          <w:i/>
          <w:iCs/>
          <w:lang w:val="en-US"/>
        </w:rPr>
        <w:t xml:space="preserve">time </w:t>
      </w:r>
      <w:r w:rsidR="002715E9" w:rsidRPr="00C0765A">
        <w:rPr>
          <w:lang w:val="en-US"/>
        </w:rPr>
        <w:t xml:space="preserve">and </w:t>
      </w:r>
      <w:r w:rsidR="002715E9" w:rsidRPr="00C0765A">
        <w:rPr>
          <w:i/>
          <w:iCs/>
          <w:lang w:val="en-US"/>
        </w:rPr>
        <w:t>condition</w:t>
      </w:r>
      <w:r w:rsidR="007558F0" w:rsidRPr="00C0765A">
        <w:rPr>
          <w:lang w:val="en-US"/>
        </w:rPr>
        <w:t xml:space="preserve"> </w:t>
      </w:r>
      <w:r w:rsidR="00510889" w:rsidRPr="00C0765A">
        <w:rPr>
          <w:lang w:val="en-US"/>
        </w:rPr>
        <w:t>as fixed effect</w:t>
      </w:r>
      <w:r w:rsidR="007558F0" w:rsidRPr="00C0765A">
        <w:rPr>
          <w:lang w:val="en-US"/>
        </w:rPr>
        <w:t>s</w:t>
      </w:r>
      <w:r w:rsidR="00510889" w:rsidRPr="00C0765A">
        <w:rPr>
          <w:lang w:val="en-US"/>
        </w:rPr>
        <w:t xml:space="preserve">, </w:t>
      </w:r>
      <w:r w:rsidR="00C76EB1" w:rsidRPr="00C0765A">
        <w:rPr>
          <w:lang w:val="en-US"/>
        </w:rPr>
        <w:t>with</w:t>
      </w:r>
      <w:r w:rsidR="00510889" w:rsidRPr="00C0765A">
        <w:rPr>
          <w:lang w:val="en-US"/>
        </w:rPr>
        <w:t xml:space="preserve"> the participants’ individual intercepts as random effects</w:t>
      </w:r>
      <w:r w:rsidR="00456618" w:rsidRPr="00C0765A">
        <w:rPr>
          <w:lang w:val="en-US"/>
        </w:rPr>
        <w:t>, and no random slopes</w:t>
      </w:r>
      <w:r w:rsidR="00510889" w:rsidRPr="00C0765A">
        <w:rPr>
          <w:lang w:val="en-US"/>
        </w:rPr>
        <w:t xml:space="preserve">. </w:t>
      </w:r>
    </w:p>
    <w:p w14:paraId="70C79C23" w14:textId="306217EC" w:rsidR="005A562B" w:rsidRPr="00C0765A" w:rsidRDefault="00510889" w:rsidP="005A562B">
      <w:pPr>
        <w:rPr>
          <w:lang w:val="en-US"/>
        </w:rPr>
      </w:pPr>
      <w:r w:rsidRPr="00C0765A">
        <w:rPr>
          <w:lang w:val="en-US"/>
        </w:rPr>
        <w:t xml:space="preserve">To test the effects of </w:t>
      </w:r>
      <w:proofErr w:type="spellStart"/>
      <w:r w:rsidR="0091084C" w:rsidRPr="00C0765A">
        <w:rPr>
          <w:lang w:val="en-US"/>
        </w:rPr>
        <w:t>taVNS</w:t>
      </w:r>
      <w:proofErr w:type="spellEnd"/>
      <w:r w:rsidR="0091084C" w:rsidRPr="00C0765A">
        <w:rPr>
          <w:lang w:val="en-US"/>
        </w:rPr>
        <w:t xml:space="preserve"> relative to Sham</w:t>
      </w:r>
      <w:r w:rsidRPr="00C0765A">
        <w:rPr>
          <w:lang w:val="en-US"/>
        </w:rPr>
        <w:t xml:space="preserve"> on the </w:t>
      </w:r>
      <w:r w:rsidR="0091084C" w:rsidRPr="00C0765A">
        <w:rPr>
          <w:lang w:val="en-US"/>
        </w:rPr>
        <w:t>ERP amplitudes and neural gating</w:t>
      </w:r>
      <w:r w:rsidR="004C6EF2" w:rsidRPr="00C0765A">
        <w:rPr>
          <w:lang w:val="en-US"/>
        </w:rPr>
        <w:t xml:space="preserve">, we constructed </w:t>
      </w:r>
      <w:r w:rsidR="0096757B" w:rsidRPr="00C0765A">
        <w:rPr>
          <w:lang w:val="en-US"/>
        </w:rPr>
        <w:t xml:space="preserve">separate </w:t>
      </w:r>
      <w:r w:rsidR="004C6EF2" w:rsidRPr="00C0765A">
        <w:rPr>
          <w:lang w:val="en-US"/>
        </w:rPr>
        <w:t xml:space="preserve">LMEM </w:t>
      </w:r>
      <w:r w:rsidR="0096757B" w:rsidRPr="00C0765A">
        <w:rPr>
          <w:lang w:val="en-US"/>
        </w:rPr>
        <w:t>for AEP P50, AEP/RREP/SEP N1</w:t>
      </w:r>
      <w:r w:rsidR="001C5989" w:rsidRPr="00C0765A">
        <w:rPr>
          <w:lang w:val="en-US"/>
        </w:rPr>
        <w:t xml:space="preserve">, AEP/RREP/SEP P2, AEP P50 gating and AEP/RREP/SEP N1 gating, </w:t>
      </w:r>
      <w:r w:rsidR="004C6EF2" w:rsidRPr="00C0765A">
        <w:rPr>
          <w:lang w:val="en-US"/>
        </w:rPr>
        <w:t xml:space="preserve">with the fixed effect of </w:t>
      </w:r>
      <w:r w:rsidR="004C6EF2" w:rsidRPr="00C0765A">
        <w:rPr>
          <w:i/>
          <w:iCs/>
          <w:lang w:val="en-US"/>
        </w:rPr>
        <w:t>condition</w:t>
      </w:r>
      <w:r w:rsidR="00792004" w:rsidRPr="00C0765A">
        <w:rPr>
          <w:lang w:val="en-US"/>
        </w:rPr>
        <w:t xml:space="preserve"> and random individ</w:t>
      </w:r>
      <w:r w:rsidR="003A47CD" w:rsidRPr="00C0765A">
        <w:rPr>
          <w:lang w:val="en-US"/>
        </w:rPr>
        <w:t xml:space="preserve">ual intercepts. </w:t>
      </w:r>
      <w:r w:rsidR="005A562B" w:rsidRPr="00C0765A">
        <w:rPr>
          <w:lang w:val="en-US"/>
        </w:rPr>
        <w:t>To assess whether neural gating occurred for all the studied ERPs, we performed a one-sample two-tailed t-test with alpha = .05 on the S2</w:t>
      </w:r>
      <w:r w:rsidR="005913E7" w:rsidRPr="00C0765A">
        <w:rPr>
          <w:lang w:val="en-US"/>
        </w:rPr>
        <w:t>-</w:t>
      </w:r>
      <w:r w:rsidR="005A562B" w:rsidRPr="00C0765A">
        <w:rPr>
          <w:lang w:val="en-US"/>
        </w:rPr>
        <w:t xml:space="preserve">S1 </w:t>
      </w:r>
      <w:r w:rsidR="005913E7" w:rsidRPr="00C0765A">
        <w:rPr>
          <w:lang w:val="en-US"/>
        </w:rPr>
        <w:t>difference</w:t>
      </w:r>
      <w:r w:rsidR="005A562B" w:rsidRPr="00C0765A">
        <w:rPr>
          <w:lang w:val="en-US"/>
        </w:rPr>
        <w:t xml:space="preserve">, against the </w:t>
      </w:r>
      <w:r w:rsidR="005A562B" w:rsidRPr="00C0765A">
        <w:rPr>
          <w:i/>
          <w:iCs/>
          <w:lang w:val="en-US"/>
        </w:rPr>
        <w:t xml:space="preserve">mu </w:t>
      </w:r>
      <w:r w:rsidR="005A562B" w:rsidRPr="00C0765A">
        <w:rPr>
          <w:lang w:val="en-US"/>
        </w:rPr>
        <w:t xml:space="preserve">= </w:t>
      </w:r>
      <w:r w:rsidR="005913E7" w:rsidRPr="00C0765A">
        <w:rPr>
          <w:lang w:val="en-US"/>
        </w:rPr>
        <w:t>0</w:t>
      </w:r>
      <w:r w:rsidR="005A562B" w:rsidRPr="00C0765A">
        <w:rPr>
          <w:lang w:val="en-US"/>
        </w:rPr>
        <w:t xml:space="preserve"> (</w:t>
      </w:r>
      <w:r w:rsidR="005A562B" w:rsidRPr="00C0765A">
        <w:rPr>
          <w:i/>
          <w:iCs/>
          <w:lang w:val="en-US"/>
        </w:rPr>
        <w:t>H</w:t>
      </w:r>
      <w:r w:rsidR="005A562B" w:rsidRPr="00C0765A">
        <w:rPr>
          <w:i/>
          <w:iCs/>
          <w:vertAlign w:val="subscript"/>
          <w:lang w:val="en-US"/>
        </w:rPr>
        <w:t>0</w:t>
      </w:r>
      <w:r w:rsidR="005A562B" w:rsidRPr="00C0765A">
        <w:rPr>
          <w:lang w:val="en-US"/>
        </w:rPr>
        <w:t xml:space="preserve">: S1 = S2). </w:t>
      </w:r>
    </w:p>
    <w:p w14:paraId="296EDFAD" w14:textId="098AE273" w:rsidR="00051F97" w:rsidRPr="00C0765A" w:rsidRDefault="003A47CD" w:rsidP="000972CA">
      <w:pPr>
        <w:rPr>
          <w:lang w:val="en-US"/>
        </w:rPr>
      </w:pPr>
      <w:r w:rsidRPr="00C0765A">
        <w:rPr>
          <w:lang w:val="en-US"/>
        </w:rPr>
        <w:t xml:space="preserve">To exploratorily assess any </w:t>
      </w:r>
      <w:proofErr w:type="spellStart"/>
      <w:r w:rsidRPr="00C0765A">
        <w:rPr>
          <w:lang w:val="en-US"/>
        </w:rPr>
        <w:t>taVNS</w:t>
      </w:r>
      <w:proofErr w:type="spellEnd"/>
      <w:r w:rsidRPr="00C0765A">
        <w:rPr>
          <w:lang w:val="en-US"/>
        </w:rPr>
        <w:t xml:space="preserve"> effects on </w:t>
      </w:r>
      <w:r w:rsidR="00510889" w:rsidRPr="00C0765A">
        <w:rPr>
          <w:lang w:val="en-US"/>
        </w:rPr>
        <w:t xml:space="preserve">perception, we constructed </w:t>
      </w:r>
      <w:r w:rsidR="00F75A05" w:rsidRPr="00C0765A">
        <w:rPr>
          <w:lang w:val="en-US"/>
        </w:rPr>
        <w:t>separate</w:t>
      </w:r>
      <w:r w:rsidR="00510889" w:rsidRPr="00C0765A">
        <w:rPr>
          <w:lang w:val="en-US"/>
        </w:rPr>
        <w:t xml:space="preserve"> LMEM for intensity</w:t>
      </w:r>
      <w:r w:rsidR="0063564F" w:rsidRPr="00C0765A">
        <w:rPr>
          <w:lang w:val="en-US"/>
        </w:rPr>
        <w:t xml:space="preserve"> and</w:t>
      </w:r>
      <w:r w:rsidR="00510889" w:rsidRPr="00C0765A">
        <w:rPr>
          <w:lang w:val="en-US"/>
        </w:rPr>
        <w:t xml:space="preserve"> unpleasantness</w:t>
      </w:r>
      <w:r w:rsidR="0063564F" w:rsidRPr="00C0765A">
        <w:rPr>
          <w:lang w:val="en-US"/>
        </w:rPr>
        <w:t xml:space="preserve"> of all three types of sensory stimulation (clicks, occlusions, </w:t>
      </w:r>
      <w:r w:rsidR="0063564F" w:rsidRPr="00C0765A">
        <w:rPr>
          <w:lang w:val="en-US"/>
        </w:rPr>
        <w:lastRenderedPageBreak/>
        <w:t>and electrocutaneous stimuli)</w:t>
      </w:r>
      <w:r w:rsidR="004378B2" w:rsidRPr="00C0765A">
        <w:rPr>
          <w:lang w:val="en-US"/>
        </w:rPr>
        <w:t xml:space="preserve">, with the fixed effect of </w:t>
      </w:r>
      <w:r w:rsidR="004378B2" w:rsidRPr="00C0765A">
        <w:rPr>
          <w:i/>
          <w:iCs/>
          <w:lang w:val="en-US"/>
        </w:rPr>
        <w:t>condition</w:t>
      </w:r>
      <w:r w:rsidR="004378B2" w:rsidRPr="00C0765A">
        <w:rPr>
          <w:lang w:val="en-US"/>
        </w:rPr>
        <w:t xml:space="preserve"> and random individual intercepts.</w:t>
      </w:r>
      <w:r w:rsidR="000972CA" w:rsidRPr="00C0765A">
        <w:rPr>
          <w:lang w:val="en-US"/>
        </w:rPr>
        <w:t xml:space="preserve"> </w:t>
      </w:r>
    </w:p>
    <w:p w14:paraId="3701D9AB" w14:textId="37C08702" w:rsidR="00510889" w:rsidRPr="00C0765A" w:rsidRDefault="00510889" w:rsidP="000972CA">
      <w:pPr>
        <w:rPr>
          <w:lang w:val="en-US"/>
        </w:rPr>
      </w:pPr>
      <w:r w:rsidRPr="00C0765A">
        <w:rPr>
          <w:lang w:val="en-US"/>
        </w:rPr>
        <w:t xml:space="preserve">The significance of all </w:t>
      </w:r>
      <w:r w:rsidR="00610875" w:rsidRPr="00C0765A">
        <w:rPr>
          <w:lang w:val="en-US"/>
        </w:rPr>
        <w:t xml:space="preserve">the </w:t>
      </w:r>
      <w:r w:rsidRPr="00C0765A">
        <w:rPr>
          <w:lang w:val="en-US"/>
        </w:rPr>
        <w:t xml:space="preserve">models was determined using the Satterthwaite’s degrees-of-freedom method as implemented in the package </w:t>
      </w:r>
      <w:proofErr w:type="spellStart"/>
      <w:r w:rsidRPr="00C0765A">
        <w:rPr>
          <w:i/>
          <w:iCs/>
          <w:lang w:val="en-US"/>
        </w:rPr>
        <w:t>lmertest</w:t>
      </w:r>
      <w:proofErr w:type="spellEnd"/>
      <w:r w:rsidRPr="00C0765A">
        <w:rPr>
          <w:lang w:val="en-US"/>
        </w:rPr>
        <w:t xml:space="preserve"> </w:t>
      </w:r>
      <w:r w:rsidR="000972CA" w:rsidRPr="00C0765A">
        <w:rPr>
          <w:lang w:val="en-US"/>
        </w:rPr>
        <w:t>(Kuznetsova et al., 2017)</w:t>
      </w:r>
      <w:r w:rsidR="00D42776" w:rsidRPr="00C0765A">
        <w:rPr>
          <w:lang w:val="en-US"/>
        </w:rPr>
        <w:t>.</w:t>
      </w:r>
      <w:r w:rsidR="00E6740E" w:rsidRPr="00C0765A">
        <w:rPr>
          <w:lang w:val="en-US"/>
        </w:rPr>
        <w:t xml:space="preserve"> </w:t>
      </w:r>
      <w:r w:rsidR="00BA7F7B" w:rsidRPr="00C0765A">
        <w:rPr>
          <w:lang w:val="en-US"/>
        </w:rPr>
        <w:t xml:space="preserve">Outcomes </w:t>
      </w:r>
      <w:r w:rsidR="00D42776" w:rsidRPr="00C0765A">
        <w:rPr>
          <w:lang w:val="en-US"/>
        </w:rPr>
        <w:t>found to violate the LMEM assumption of homoscedasticity of residuals</w:t>
      </w:r>
      <w:r w:rsidR="00E6740E" w:rsidRPr="00C0765A">
        <w:rPr>
          <w:lang w:val="en-US"/>
        </w:rPr>
        <w:t xml:space="preserve"> </w:t>
      </w:r>
      <w:r w:rsidR="00D42776" w:rsidRPr="00C0765A">
        <w:rPr>
          <w:lang w:val="en-US"/>
        </w:rPr>
        <w:t>were transformed using the square</w:t>
      </w:r>
      <w:r w:rsidR="00BB5652" w:rsidRPr="00C0765A">
        <w:rPr>
          <w:lang w:val="en-US"/>
        </w:rPr>
        <w:t xml:space="preserve"> </w:t>
      </w:r>
      <w:r w:rsidR="00D42776" w:rsidRPr="00C0765A">
        <w:rPr>
          <w:lang w:val="en-US"/>
        </w:rPr>
        <w:t>root transformation</w:t>
      </w:r>
      <w:r w:rsidR="00B12DE3" w:rsidRPr="00C0765A">
        <w:rPr>
          <w:lang w:val="en-US"/>
        </w:rPr>
        <w:t xml:space="preserve"> or log transformation (ERP amplitudes)</w:t>
      </w:r>
      <w:r w:rsidR="000947F4" w:rsidRPr="00C0765A">
        <w:rPr>
          <w:lang w:val="en-US"/>
        </w:rPr>
        <w:t>, to improve the model fit</w:t>
      </w:r>
      <w:r w:rsidR="00D42776" w:rsidRPr="00C0765A">
        <w:rPr>
          <w:lang w:val="en-US"/>
        </w:rPr>
        <w:t>.</w:t>
      </w:r>
    </w:p>
    <w:p w14:paraId="438D2509" w14:textId="020E6A28" w:rsidR="00EC2F31" w:rsidRPr="00C0765A" w:rsidRDefault="00EC2F31" w:rsidP="00EC2F31">
      <w:pPr>
        <w:pStyle w:val="Heading4"/>
        <w:rPr>
          <w:vanish/>
          <w:lang w:val="en-US"/>
          <w:specVanish/>
        </w:rPr>
      </w:pPr>
      <w:r w:rsidRPr="00C0765A">
        <w:rPr>
          <w:lang w:val="en-US"/>
        </w:rPr>
        <w:t>2.4.3.1 Data exclusion</w:t>
      </w:r>
      <w:r w:rsidR="00E14C12" w:rsidRPr="00C0765A">
        <w:rPr>
          <w:lang w:val="en-US"/>
        </w:rPr>
        <w:t>.</w:t>
      </w:r>
    </w:p>
    <w:p w14:paraId="0847CB26" w14:textId="1C4C388E" w:rsidR="00130DF2" w:rsidRPr="00C0765A" w:rsidRDefault="0020035C" w:rsidP="00FD5EAB">
      <w:pPr>
        <w:rPr>
          <w:lang w:val="en-US"/>
        </w:rPr>
      </w:pPr>
      <w:r w:rsidRPr="00C0765A">
        <w:rPr>
          <w:lang w:val="en-US"/>
        </w:rPr>
        <w:t xml:space="preserve"> </w:t>
      </w:r>
      <w:r w:rsidR="00BC4369" w:rsidRPr="00C0765A">
        <w:rPr>
          <w:lang w:val="en-US"/>
        </w:rPr>
        <w:t xml:space="preserve">A number of data points were </w:t>
      </w:r>
      <w:r w:rsidR="00E044AA" w:rsidRPr="00C0765A">
        <w:rPr>
          <w:lang w:val="en-US"/>
        </w:rPr>
        <w:t xml:space="preserve">missing or </w:t>
      </w:r>
      <w:r w:rsidR="00BC4369" w:rsidRPr="00C0765A">
        <w:rPr>
          <w:lang w:val="en-US"/>
        </w:rPr>
        <w:t>excluded</w:t>
      </w:r>
      <w:r w:rsidR="00F42568" w:rsidRPr="00C0765A">
        <w:rPr>
          <w:lang w:val="en-US"/>
        </w:rPr>
        <w:t xml:space="preserve"> from the final LMEM analyses</w:t>
      </w:r>
      <w:r w:rsidRPr="00C0765A">
        <w:rPr>
          <w:lang w:val="en-US"/>
        </w:rPr>
        <w:t>.</w:t>
      </w:r>
      <w:r w:rsidR="005467A4" w:rsidRPr="00C0765A">
        <w:rPr>
          <w:lang w:val="en-US"/>
        </w:rPr>
        <w:t xml:space="preserve"> </w:t>
      </w:r>
      <w:r w:rsidRPr="00C0765A">
        <w:rPr>
          <w:lang w:val="en-US"/>
        </w:rPr>
        <w:t>The exclusions, along with the reasons for them,</w:t>
      </w:r>
      <w:r w:rsidR="005467A4" w:rsidRPr="00C0765A">
        <w:rPr>
          <w:lang w:val="en-US"/>
        </w:rPr>
        <w:t xml:space="preserve"> are listed</w:t>
      </w:r>
      <w:r w:rsidR="00130DF2" w:rsidRPr="00C0765A">
        <w:rPr>
          <w:lang w:val="en-US"/>
        </w:rPr>
        <w:t xml:space="preserve"> below</w:t>
      </w:r>
      <w:r w:rsidR="009C6C54" w:rsidRPr="00C0765A">
        <w:rPr>
          <w:lang w:val="en-US"/>
        </w:rPr>
        <w:t>,</w:t>
      </w:r>
      <w:r w:rsidR="005467A4" w:rsidRPr="00C0765A">
        <w:rPr>
          <w:lang w:val="en-US"/>
        </w:rPr>
        <w:t xml:space="preserve"> in</w:t>
      </w:r>
      <w:r w:rsidR="00FD5EAB" w:rsidRPr="00C0765A">
        <w:rPr>
          <w:lang w:val="en-US"/>
        </w:rPr>
        <w:t xml:space="preserve"> the</w:t>
      </w:r>
      <w:r w:rsidR="005467A4" w:rsidRPr="00C0765A">
        <w:rPr>
          <w:lang w:val="en-US"/>
        </w:rPr>
        <w:t xml:space="preserve"> order of studied outcomes</w:t>
      </w:r>
      <w:r w:rsidR="00F42568" w:rsidRPr="00C0765A">
        <w:rPr>
          <w:lang w:val="en-US"/>
        </w:rPr>
        <w:t xml:space="preserve">. </w:t>
      </w:r>
      <w:r w:rsidR="00A243D5" w:rsidRPr="00C0765A">
        <w:rPr>
          <w:lang w:val="en-US"/>
        </w:rPr>
        <w:t>We did not interpolate the missing data.</w:t>
      </w:r>
      <w:r w:rsidR="00EA190A" w:rsidRPr="00C0765A">
        <w:rPr>
          <w:lang w:val="en-US"/>
        </w:rPr>
        <w:t xml:space="preserve"> Participants with missing data in one or more of the outcomes were still included in the analysis of other outcomes (</w:t>
      </w:r>
      <w:r w:rsidR="00503DED" w:rsidRPr="00C0765A">
        <w:rPr>
          <w:lang w:val="en-US"/>
        </w:rPr>
        <w:t>pairwise</w:t>
      </w:r>
      <w:r w:rsidR="00EA190A" w:rsidRPr="00C0765A">
        <w:rPr>
          <w:lang w:val="en-US"/>
        </w:rPr>
        <w:t xml:space="preserve"> exclusion).</w:t>
      </w:r>
    </w:p>
    <w:p w14:paraId="30509732" w14:textId="73EF493F" w:rsidR="00130DF2" w:rsidRPr="00C0765A" w:rsidRDefault="008333CD" w:rsidP="00130DF2">
      <w:pPr>
        <w:pStyle w:val="ListParagraph"/>
        <w:numPr>
          <w:ilvl w:val="0"/>
          <w:numId w:val="6"/>
        </w:numPr>
        <w:rPr>
          <w:lang w:val="en-US"/>
        </w:rPr>
      </w:pPr>
      <w:r w:rsidRPr="00C0765A">
        <w:rPr>
          <w:lang w:val="en-US"/>
        </w:rPr>
        <w:t xml:space="preserve">Due to </w:t>
      </w:r>
      <w:r w:rsidR="005B3F57" w:rsidRPr="00C0765A">
        <w:rPr>
          <w:lang w:val="en-US"/>
        </w:rPr>
        <w:t xml:space="preserve">issues with delivering </w:t>
      </w:r>
      <w:r w:rsidR="00E452C6" w:rsidRPr="00C0765A">
        <w:rPr>
          <w:lang w:val="en-US"/>
        </w:rPr>
        <w:t xml:space="preserve">ear </w:t>
      </w:r>
      <w:r w:rsidR="005B3F57" w:rsidRPr="00C0765A">
        <w:rPr>
          <w:lang w:val="en-US"/>
        </w:rPr>
        <w:t>stimulation</w:t>
      </w:r>
      <w:r w:rsidR="00453FA8" w:rsidRPr="00C0765A">
        <w:rPr>
          <w:lang w:val="en-US"/>
        </w:rPr>
        <w:t xml:space="preserve"> (high impedance)</w:t>
      </w:r>
      <w:r w:rsidR="005B3F57" w:rsidRPr="00C0765A">
        <w:rPr>
          <w:lang w:val="en-US"/>
        </w:rPr>
        <w:t xml:space="preserve">, one participant’s Sham condition was excluded from all analyses. </w:t>
      </w:r>
    </w:p>
    <w:p w14:paraId="672E136C" w14:textId="0FE3BA1F" w:rsidR="00130DF2" w:rsidRPr="00C0765A" w:rsidRDefault="00E044AA" w:rsidP="00130DF2">
      <w:pPr>
        <w:pStyle w:val="ListParagraph"/>
        <w:numPr>
          <w:ilvl w:val="0"/>
          <w:numId w:val="6"/>
        </w:numPr>
        <w:rPr>
          <w:lang w:val="en-US"/>
        </w:rPr>
      </w:pPr>
      <w:r w:rsidRPr="00C0765A">
        <w:rPr>
          <w:lang w:val="en-US"/>
        </w:rPr>
        <w:t xml:space="preserve">Due to non-compliance with instructions, </w:t>
      </w:r>
      <w:r w:rsidR="00C43F95" w:rsidRPr="00C0765A">
        <w:rPr>
          <w:lang w:val="en-US"/>
        </w:rPr>
        <w:t>three</w:t>
      </w:r>
      <w:r w:rsidR="0092726F" w:rsidRPr="00C0765A">
        <w:rPr>
          <w:lang w:val="en-US"/>
        </w:rPr>
        <w:t xml:space="preserve"> participants’ </w:t>
      </w:r>
      <w:proofErr w:type="spellStart"/>
      <w:r w:rsidR="00F65FFD" w:rsidRPr="00C0765A">
        <w:rPr>
          <w:lang w:val="en-US"/>
        </w:rPr>
        <w:t>taVNS</w:t>
      </w:r>
      <w:proofErr w:type="spellEnd"/>
      <w:r w:rsidR="00F65FFD" w:rsidRPr="00C0765A">
        <w:rPr>
          <w:lang w:val="en-US"/>
        </w:rPr>
        <w:t xml:space="preserve"> condition</w:t>
      </w:r>
      <w:r w:rsidR="005C5973" w:rsidRPr="00C0765A">
        <w:rPr>
          <w:lang w:val="en-US"/>
        </w:rPr>
        <w:t>s</w:t>
      </w:r>
      <w:r w:rsidR="00F65FFD" w:rsidRPr="00C0765A">
        <w:rPr>
          <w:lang w:val="en-US"/>
        </w:rPr>
        <w:t xml:space="preserve"> and two participants’ Sham condition</w:t>
      </w:r>
      <w:r w:rsidR="005C5973" w:rsidRPr="00C0765A">
        <w:rPr>
          <w:lang w:val="en-US"/>
        </w:rPr>
        <w:t>s</w:t>
      </w:r>
      <w:r w:rsidR="00F65FFD" w:rsidRPr="00C0765A">
        <w:rPr>
          <w:lang w:val="en-US"/>
        </w:rPr>
        <w:t xml:space="preserve"> were excluded from </w:t>
      </w:r>
      <w:r w:rsidR="002015FD" w:rsidRPr="00C0765A">
        <w:rPr>
          <w:lang w:val="en-US"/>
        </w:rPr>
        <w:t xml:space="preserve">the </w:t>
      </w:r>
      <w:proofErr w:type="spellStart"/>
      <w:r w:rsidR="002015FD" w:rsidRPr="00C0765A">
        <w:rPr>
          <w:lang w:val="en-US"/>
        </w:rPr>
        <w:t>sAA</w:t>
      </w:r>
      <w:proofErr w:type="spellEnd"/>
      <w:r w:rsidR="002015FD" w:rsidRPr="00C0765A">
        <w:rPr>
          <w:lang w:val="en-US"/>
        </w:rPr>
        <w:t xml:space="preserve"> analysis. Due to sample contamination, one participant’s </w:t>
      </w:r>
      <w:proofErr w:type="spellStart"/>
      <w:r w:rsidR="002015FD" w:rsidRPr="00C0765A">
        <w:rPr>
          <w:lang w:val="en-US"/>
        </w:rPr>
        <w:t>taVNS</w:t>
      </w:r>
      <w:proofErr w:type="spellEnd"/>
      <w:r w:rsidR="002015FD" w:rsidRPr="00C0765A">
        <w:rPr>
          <w:lang w:val="en-US"/>
        </w:rPr>
        <w:t xml:space="preserve"> and one participant’s Sham condition had missing </w:t>
      </w:r>
      <w:proofErr w:type="spellStart"/>
      <w:r w:rsidR="002015FD" w:rsidRPr="00C0765A">
        <w:rPr>
          <w:lang w:val="en-US"/>
        </w:rPr>
        <w:t>sAA</w:t>
      </w:r>
      <w:proofErr w:type="spellEnd"/>
      <w:r w:rsidR="002015FD" w:rsidRPr="00C0765A">
        <w:rPr>
          <w:lang w:val="en-US"/>
        </w:rPr>
        <w:t xml:space="preserve"> values. </w:t>
      </w:r>
    </w:p>
    <w:p w14:paraId="0854B89A" w14:textId="6D8A9F0D" w:rsidR="009E7410" w:rsidRPr="00C0765A" w:rsidRDefault="00837F32" w:rsidP="00130DF2">
      <w:pPr>
        <w:pStyle w:val="ListParagraph"/>
        <w:numPr>
          <w:ilvl w:val="0"/>
          <w:numId w:val="6"/>
        </w:numPr>
        <w:rPr>
          <w:lang w:val="en-US"/>
        </w:rPr>
      </w:pPr>
      <w:r w:rsidRPr="00C0765A">
        <w:rPr>
          <w:lang w:val="en-US"/>
        </w:rPr>
        <w:t xml:space="preserve">Due to </w:t>
      </w:r>
      <w:r w:rsidR="004D46BC" w:rsidRPr="00C0765A">
        <w:rPr>
          <w:lang w:val="en-US"/>
        </w:rPr>
        <w:t>an issue</w:t>
      </w:r>
      <w:r w:rsidRPr="00C0765A">
        <w:rPr>
          <w:lang w:val="en-US"/>
        </w:rPr>
        <w:t xml:space="preserve"> </w:t>
      </w:r>
      <w:r w:rsidR="004D46BC" w:rsidRPr="00C0765A">
        <w:rPr>
          <w:lang w:val="en-US"/>
        </w:rPr>
        <w:t>of</w:t>
      </w:r>
      <w:r w:rsidRPr="00C0765A">
        <w:rPr>
          <w:lang w:val="en-US"/>
        </w:rPr>
        <w:t xml:space="preserve"> </w:t>
      </w:r>
      <w:proofErr w:type="spellStart"/>
      <w:r w:rsidRPr="00C0765A">
        <w:rPr>
          <w:lang w:val="en-US"/>
        </w:rPr>
        <w:t>PsychoPy</w:t>
      </w:r>
      <w:proofErr w:type="spellEnd"/>
      <w:r w:rsidRPr="00C0765A">
        <w:rPr>
          <w:lang w:val="en-US"/>
        </w:rPr>
        <w:t xml:space="preserve"> </w:t>
      </w:r>
      <w:r w:rsidR="005B3F57" w:rsidRPr="00C0765A">
        <w:rPr>
          <w:lang w:val="en-US"/>
        </w:rPr>
        <w:t>crashing without</w:t>
      </w:r>
      <w:r w:rsidRPr="00C0765A">
        <w:rPr>
          <w:lang w:val="en-US"/>
        </w:rPr>
        <w:t xml:space="preserve"> saving the data, </w:t>
      </w:r>
      <w:r w:rsidR="00892933" w:rsidRPr="00C0765A">
        <w:rPr>
          <w:lang w:val="en-US"/>
        </w:rPr>
        <w:t xml:space="preserve">one participant’s pre-stimulation arousal rating and </w:t>
      </w:r>
      <w:r w:rsidR="00033AEF" w:rsidRPr="00C0765A">
        <w:rPr>
          <w:lang w:val="en-US"/>
        </w:rPr>
        <w:t>three</w:t>
      </w:r>
      <w:r w:rsidRPr="00C0765A">
        <w:rPr>
          <w:lang w:val="en-US"/>
        </w:rPr>
        <w:t xml:space="preserve"> participants</w:t>
      </w:r>
      <w:r w:rsidR="00B17FC2" w:rsidRPr="00C0765A">
        <w:rPr>
          <w:lang w:val="en-US"/>
        </w:rPr>
        <w:t xml:space="preserve">’ </w:t>
      </w:r>
      <w:r w:rsidR="00892933" w:rsidRPr="00C0765A">
        <w:rPr>
          <w:lang w:val="en-US"/>
        </w:rPr>
        <w:t xml:space="preserve">post-stimulation </w:t>
      </w:r>
      <w:r w:rsidR="00B17FC2" w:rsidRPr="00C0765A">
        <w:rPr>
          <w:lang w:val="en-US"/>
        </w:rPr>
        <w:t xml:space="preserve">arousal ratings in the </w:t>
      </w:r>
      <w:proofErr w:type="spellStart"/>
      <w:r w:rsidR="00B17FC2" w:rsidRPr="00C0765A">
        <w:rPr>
          <w:lang w:val="en-US"/>
        </w:rPr>
        <w:t>taVNS</w:t>
      </w:r>
      <w:proofErr w:type="spellEnd"/>
      <w:r w:rsidR="00B17FC2" w:rsidRPr="00C0765A">
        <w:rPr>
          <w:lang w:val="en-US"/>
        </w:rPr>
        <w:t xml:space="preserve"> condition </w:t>
      </w:r>
      <w:r w:rsidR="00E044AA" w:rsidRPr="00C0765A">
        <w:rPr>
          <w:lang w:val="en-US"/>
        </w:rPr>
        <w:t xml:space="preserve">were missing. </w:t>
      </w:r>
    </w:p>
    <w:p w14:paraId="79686124" w14:textId="5A50D260" w:rsidR="00144D08" w:rsidRPr="00C0765A" w:rsidRDefault="00F42568" w:rsidP="00130DF2">
      <w:pPr>
        <w:pStyle w:val="ListParagraph"/>
        <w:numPr>
          <w:ilvl w:val="0"/>
          <w:numId w:val="6"/>
        </w:numPr>
        <w:rPr>
          <w:lang w:val="en-US"/>
        </w:rPr>
      </w:pPr>
      <w:r w:rsidRPr="00C0765A">
        <w:rPr>
          <w:lang w:val="en-US"/>
        </w:rPr>
        <w:t>Due to non-compliance with instructions, one participant</w:t>
      </w:r>
      <w:r w:rsidR="00502054" w:rsidRPr="00C0765A">
        <w:rPr>
          <w:lang w:val="en-US"/>
        </w:rPr>
        <w:t xml:space="preserve">’s </w:t>
      </w:r>
      <w:proofErr w:type="spellStart"/>
      <w:r w:rsidR="00502054" w:rsidRPr="00C0765A">
        <w:rPr>
          <w:lang w:val="en-US"/>
        </w:rPr>
        <w:t>taVNS</w:t>
      </w:r>
      <w:proofErr w:type="spellEnd"/>
      <w:r w:rsidR="00502054" w:rsidRPr="00C0765A">
        <w:rPr>
          <w:lang w:val="en-US"/>
        </w:rPr>
        <w:t xml:space="preserve"> condition</w:t>
      </w:r>
      <w:r w:rsidRPr="00C0765A">
        <w:rPr>
          <w:lang w:val="en-US"/>
        </w:rPr>
        <w:t xml:space="preserve"> was </w:t>
      </w:r>
      <w:r w:rsidR="00D9052D" w:rsidRPr="00C0765A">
        <w:rPr>
          <w:lang w:val="en-US"/>
        </w:rPr>
        <w:t>excluded</w:t>
      </w:r>
      <w:r w:rsidR="00EA706B" w:rsidRPr="00C0765A">
        <w:rPr>
          <w:lang w:val="en-US"/>
        </w:rPr>
        <w:t xml:space="preserve"> from the EEG analyses of auditory blocks. </w:t>
      </w:r>
      <w:r w:rsidR="00E52F03" w:rsidRPr="00C0765A">
        <w:rPr>
          <w:lang w:val="en-US"/>
        </w:rPr>
        <w:t>T</w:t>
      </w:r>
      <w:r w:rsidR="0018661B" w:rsidRPr="00C0765A">
        <w:rPr>
          <w:lang w:val="en-US"/>
        </w:rPr>
        <w:t>hree</w:t>
      </w:r>
      <w:r w:rsidR="00E52F03" w:rsidRPr="00C0765A">
        <w:rPr>
          <w:lang w:val="en-US"/>
        </w:rPr>
        <w:t xml:space="preserve"> participants’ </w:t>
      </w:r>
      <w:r w:rsidR="0064315B" w:rsidRPr="00C0765A">
        <w:rPr>
          <w:lang w:val="en-US"/>
        </w:rPr>
        <w:t xml:space="preserve">EEG data in the </w:t>
      </w:r>
      <w:proofErr w:type="spellStart"/>
      <w:r w:rsidR="0064315B" w:rsidRPr="00C0765A">
        <w:rPr>
          <w:lang w:val="en-US"/>
        </w:rPr>
        <w:t>taVNS</w:t>
      </w:r>
      <w:proofErr w:type="spellEnd"/>
      <w:r w:rsidR="0064315B" w:rsidRPr="00C0765A">
        <w:rPr>
          <w:lang w:val="en-US"/>
        </w:rPr>
        <w:t xml:space="preserve"> condition, and </w:t>
      </w:r>
      <w:r w:rsidR="00EF39C1" w:rsidRPr="00C0765A">
        <w:rPr>
          <w:lang w:val="en-US"/>
        </w:rPr>
        <w:t>six</w:t>
      </w:r>
      <w:r w:rsidR="0064315B" w:rsidRPr="00C0765A">
        <w:rPr>
          <w:lang w:val="en-US"/>
        </w:rPr>
        <w:t xml:space="preserve"> participants’ data in the Sham condition were excluded </w:t>
      </w:r>
      <w:r w:rsidR="0008383D" w:rsidRPr="00C0765A">
        <w:rPr>
          <w:lang w:val="en-US"/>
        </w:rPr>
        <w:t xml:space="preserve">from the EEG analyses of auditory blocks </w:t>
      </w:r>
      <w:r w:rsidR="0064315B" w:rsidRPr="00C0765A">
        <w:rPr>
          <w:lang w:val="en-US"/>
        </w:rPr>
        <w:t>on account of</w:t>
      </w:r>
      <w:r w:rsidR="00144D08" w:rsidRPr="00C0765A">
        <w:rPr>
          <w:lang w:val="en-US"/>
        </w:rPr>
        <w:t xml:space="preserve"> noise.</w:t>
      </w:r>
    </w:p>
    <w:p w14:paraId="539BF24B" w14:textId="54544173" w:rsidR="00D841EF" w:rsidRPr="00C0765A" w:rsidRDefault="00D841EF" w:rsidP="00D841EF">
      <w:pPr>
        <w:pStyle w:val="ListParagraph"/>
        <w:numPr>
          <w:ilvl w:val="0"/>
          <w:numId w:val="6"/>
        </w:numPr>
        <w:rPr>
          <w:lang w:val="en-US"/>
        </w:rPr>
      </w:pPr>
      <w:r w:rsidRPr="00C0765A">
        <w:rPr>
          <w:lang w:val="en-US"/>
        </w:rPr>
        <w:t xml:space="preserve">Due to </w:t>
      </w:r>
      <w:r w:rsidR="008D3C89" w:rsidRPr="00C0765A">
        <w:rPr>
          <w:lang w:val="en-US"/>
        </w:rPr>
        <w:t>&gt;50%</w:t>
      </w:r>
      <w:r w:rsidRPr="00C0765A">
        <w:rPr>
          <w:lang w:val="en-US"/>
        </w:rPr>
        <w:t xml:space="preserve"> incomplete occlusions, one participant’s </w:t>
      </w:r>
      <w:proofErr w:type="spellStart"/>
      <w:r w:rsidRPr="00C0765A">
        <w:rPr>
          <w:lang w:val="en-US"/>
        </w:rPr>
        <w:t>taVNS</w:t>
      </w:r>
      <w:proofErr w:type="spellEnd"/>
      <w:r w:rsidRPr="00C0765A">
        <w:rPr>
          <w:lang w:val="en-US"/>
        </w:rPr>
        <w:t xml:space="preserve"> condition</w:t>
      </w:r>
      <w:r w:rsidR="008D3C89" w:rsidRPr="00C0765A">
        <w:rPr>
          <w:lang w:val="en-US"/>
        </w:rPr>
        <w:t>, and three participants’ Sham conditions were excluded</w:t>
      </w:r>
      <w:r w:rsidRPr="00C0765A">
        <w:rPr>
          <w:lang w:val="en-US"/>
        </w:rPr>
        <w:t xml:space="preserve"> from the EEG analyses of </w:t>
      </w:r>
      <w:r w:rsidR="008D3C89" w:rsidRPr="00C0765A">
        <w:rPr>
          <w:lang w:val="en-US"/>
        </w:rPr>
        <w:t>respiratory</w:t>
      </w:r>
      <w:r w:rsidRPr="00C0765A">
        <w:rPr>
          <w:lang w:val="en-US"/>
        </w:rPr>
        <w:t xml:space="preserve"> blocks. </w:t>
      </w:r>
      <w:r w:rsidR="00654495" w:rsidRPr="00C0765A">
        <w:rPr>
          <w:lang w:val="en-US"/>
        </w:rPr>
        <w:t>T</w:t>
      </w:r>
      <w:r w:rsidR="00182EC7" w:rsidRPr="00C0765A">
        <w:rPr>
          <w:lang w:val="en-US"/>
        </w:rPr>
        <w:t>wo</w:t>
      </w:r>
      <w:r w:rsidRPr="00C0765A">
        <w:rPr>
          <w:lang w:val="en-US"/>
        </w:rPr>
        <w:t xml:space="preserve"> participants’ </w:t>
      </w:r>
      <w:r w:rsidR="00654495" w:rsidRPr="00C0765A">
        <w:rPr>
          <w:lang w:val="en-US"/>
        </w:rPr>
        <w:t>respiratory</w:t>
      </w:r>
      <w:r w:rsidRPr="00C0765A">
        <w:rPr>
          <w:lang w:val="en-US"/>
        </w:rPr>
        <w:t xml:space="preserve"> blocks</w:t>
      </w:r>
      <w:r w:rsidR="00654495" w:rsidRPr="00C0765A">
        <w:rPr>
          <w:lang w:val="en-US"/>
        </w:rPr>
        <w:t>’</w:t>
      </w:r>
      <w:r w:rsidRPr="00C0765A">
        <w:rPr>
          <w:lang w:val="en-US"/>
        </w:rPr>
        <w:t xml:space="preserve"> EEG data in the </w:t>
      </w:r>
      <w:proofErr w:type="spellStart"/>
      <w:r w:rsidRPr="00C0765A">
        <w:rPr>
          <w:lang w:val="en-US"/>
        </w:rPr>
        <w:t>taVNS</w:t>
      </w:r>
      <w:proofErr w:type="spellEnd"/>
      <w:r w:rsidRPr="00C0765A">
        <w:rPr>
          <w:lang w:val="en-US"/>
        </w:rPr>
        <w:t xml:space="preserve"> condition, and </w:t>
      </w:r>
      <w:r w:rsidR="00654495" w:rsidRPr="00C0765A">
        <w:rPr>
          <w:lang w:val="en-US"/>
        </w:rPr>
        <w:t>six</w:t>
      </w:r>
      <w:r w:rsidRPr="00C0765A">
        <w:rPr>
          <w:lang w:val="en-US"/>
        </w:rPr>
        <w:t xml:space="preserve"> participants’ data in the Sham condition were excluded on account of noise. </w:t>
      </w:r>
    </w:p>
    <w:p w14:paraId="7A43D9DE" w14:textId="3CA973CE" w:rsidR="00DF208D" w:rsidRPr="00C0765A" w:rsidRDefault="000B4CD8" w:rsidP="00DF208D">
      <w:pPr>
        <w:pStyle w:val="ListParagraph"/>
        <w:numPr>
          <w:ilvl w:val="0"/>
          <w:numId w:val="6"/>
        </w:numPr>
        <w:rPr>
          <w:lang w:val="en-US"/>
        </w:rPr>
      </w:pPr>
      <w:r w:rsidRPr="00C0765A">
        <w:rPr>
          <w:lang w:val="en-US"/>
        </w:rPr>
        <w:t xml:space="preserve">Due to issues with delivering electrocutaneous stimuli, one participant’s </w:t>
      </w:r>
      <w:proofErr w:type="spellStart"/>
      <w:r w:rsidRPr="00C0765A">
        <w:rPr>
          <w:lang w:val="en-US"/>
        </w:rPr>
        <w:t>taVNS</w:t>
      </w:r>
      <w:proofErr w:type="spellEnd"/>
      <w:r w:rsidRPr="00C0765A">
        <w:rPr>
          <w:lang w:val="en-US"/>
        </w:rPr>
        <w:t xml:space="preserve"> condition was excluded from the EEG analyses of somatosensory blocks. </w:t>
      </w:r>
      <w:r w:rsidR="00E83DDE" w:rsidRPr="00C0765A">
        <w:rPr>
          <w:lang w:val="en-US"/>
        </w:rPr>
        <w:t>Three</w:t>
      </w:r>
      <w:r w:rsidRPr="00C0765A">
        <w:rPr>
          <w:lang w:val="en-US"/>
        </w:rPr>
        <w:t xml:space="preserve"> participant</w:t>
      </w:r>
      <w:r w:rsidR="00EF7A58" w:rsidRPr="00C0765A">
        <w:rPr>
          <w:lang w:val="en-US"/>
        </w:rPr>
        <w:t>’</w:t>
      </w:r>
      <w:r w:rsidRPr="00C0765A">
        <w:rPr>
          <w:lang w:val="en-US"/>
        </w:rPr>
        <w:t xml:space="preserve">s </w:t>
      </w:r>
      <w:r w:rsidR="00EF7A58" w:rsidRPr="00C0765A">
        <w:rPr>
          <w:lang w:val="en-US"/>
        </w:rPr>
        <w:t>somatosensory</w:t>
      </w:r>
      <w:r w:rsidRPr="00C0765A">
        <w:rPr>
          <w:lang w:val="en-US"/>
        </w:rPr>
        <w:t xml:space="preserve"> blocks’ EEG data in the </w:t>
      </w:r>
      <w:proofErr w:type="spellStart"/>
      <w:r w:rsidRPr="00C0765A">
        <w:rPr>
          <w:lang w:val="en-US"/>
        </w:rPr>
        <w:t>taVNS</w:t>
      </w:r>
      <w:proofErr w:type="spellEnd"/>
      <w:r w:rsidRPr="00C0765A">
        <w:rPr>
          <w:lang w:val="en-US"/>
        </w:rPr>
        <w:t xml:space="preserve"> condition, and </w:t>
      </w:r>
      <w:r w:rsidR="00816E31" w:rsidRPr="00C0765A">
        <w:rPr>
          <w:lang w:val="en-US"/>
        </w:rPr>
        <w:t>eight</w:t>
      </w:r>
      <w:r w:rsidRPr="00C0765A">
        <w:rPr>
          <w:lang w:val="en-US"/>
        </w:rPr>
        <w:t xml:space="preserve"> participants’ data in the Sham condition were excluded on account of noise.</w:t>
      </w:r>
    </w:p>
    <w:p w14:paraId="11FEC00C" w14:textId="0D4AC157" w:rsidR="00E03549" w:rsidRPr="00C0765A" w:rsidRDefault="00103DEE" w:rsidP="00600DB4">
      <w:pPr>
        <w:pStyle w:val="ListParagraph"/>
        <w:numPr>
          <w:ilvl w:val="0"/>
          <w:numId w:val="6"/>
        </w:numPr>
        <w:rPr>
          <w:lang w:val="en-US"/>
        </w:rPr>
      </w:pPr>
      <w:r w:rsidRPr="00C0765A">
        <w:rPr>
          <w:lang w:val="en-US"/>
        </w:rPr>
        <w:lastRenderedPageBreak/>
        <w:t xml:space="preserve">Due to </w:t>
      </w:r>
      <w:r w:rsidR="004D46BC" w:rsidRPr="00C0765A">
        <w:rPr>
          <w:lang w:val="en-US"/>
        </w:rPr>
        <w:t xml:space="preserve">an issue of </w:t>
      </w:r>
      <w:proofErr w:type="spellStart"/>
      <w:r w:rsidRPr="00C0765A">
        <w:rPr>
          <w:lang w:val="en-US"/>
        </w:rPr>
        <w:t>PsychoPy</w:t>
      </w:r>
      <w:proofErr w:type="spellEnd"/>
      <w:r w:rsidRPr="00C0765A">
        <w:rPr>
          <w:lang w:val="en-US"/>
        </w:rPr>
        <w:t xml:space="preserve"> crashing without saving the data, </w:t>
      </w:r>
      <w:r w:rsidR="00787305" w:rsidRPr="00C0765A">
        <w:rPr>
          <w:lang w:val="en-US"/>
        </w:rPr>
        <w:t>four</w:t>
      </w:r>
      <w:r w:rsidR="006C4BFB" w:rsidRPr="00C0765A">
        <w:rPr>
          <w:lang w:val="en-US"/>
        </w:rPr>
        <w:t xml:space="preserve"> participants’ ratings</w:t>
      </w:r>
      <w:r w:rsidR="00964942" w:rsidRPr="00C0765A">
        <w:rPr>
          <w:lang w:val="en-US"/>
        </w:rPr>
        <w:t xml:space="preserve"> (for sensory stimulatio</w:t>
      </w:r>
      <w:r w:rsidR="00053D1F" w:rsidRPr="00C0765A">
        <w:rPr>
          <w:lang w:val="en-US"/>
        </w:rPr>
        <w:t>n and ear stimulation)</w:t>
      </w:r>
      <w:r w:rsidR="006C4BFB" w:rsidRPr="00C0765A">
        <w:rPr>
          <w:lang w:val="en-US"/>
        </w:rPr>
        <w:t xml:space="preserve"> in the </w:t>
      </w:r>
      <w:proofErr w:type="spellStart"/>
      <w:r w:rsidR="006C4BFB" w:rsidRPr="00C0765A">
        <w:rPr>
          <w:lang w:val="en-US"/>
        </w:rPr>
        <w:t>taVNS</w:t>
      </w:r>
      <w:proofErr w:type="spellEnd"/>
      <w:r w:rsidR="006C4BFB" w:rsidRPr="00C0765A">
        <w:rPr>
          <w:lang w:val="en-US"/>
        </w:rPr>
        <w:t xml:space="preserve"> condition were missing.</w:t>
      </w:r>
    </w:p>
    <w:p w14:paraId="3CB5D041" w14:textId="5C5C61E0" w:rsidR="00E610D3" w:rsidRPr="00C0765A" w:rsidRDefault="00E610D3" w:rsidP="00600DB4">
      <w:pPr>
        <w:pStyle w:val="ListParagraph"/>
        <w:numPr>
          <w:ilvl w:val="0"/>
          <w:numId w:val="6"/>
        </w:numPr>
        <w:rPr>
          <w:lang w:val="en-US"/>
        </w:rPr>
      </w:pPr>
      <w:r w:rsidRPr="00C0765A">
        <w:rPr>
          <w:lang w:val="en-US"/>
        </w:rPr>
        <w:t xml:space="preserve">Due to experimenter error, three participants’ </w:t>
      </w:r>
      <w:r w:rsidR="003C51A1" w:rsidRPr="00C0765A">
        <w:rPr>
          <w:lang w:val="en-US"/>
        </w:rPr>
        <w:t>manipulation check</w:t>
      </w:r>
      <w:r w:rsidR="00053D1F" w:rsidRPr="00C0765A">
        <w:rPr>
          <w:lang w:val="en-US"/>
        </w:rPr>
        <w:t xml:space="preserve">s were not </w:t>
      </w:r>
      <w:r w:rsidR="00074222" w:rsidRPr="00C0765A">
        <w:rPr>
          <w:lang w:val="en-US"/>
        </w:rPr>
        <w:t>collected</w:t>
      </w:r>
      <w:r w:rsidR="00053D1F" w:rsidRPr="00C0765A">
        <w:rPr>
          <w:lang w:val="en-US"/>
        </w:rPr>
        <w:t>.</w:t>
      </w:r>
    </w:p>
    <w:p w14:paraId="320713CB" w14:textId="7E0B3D12" w:rsidR="00E03549" w:rsidRPr="00C0765A" w:rsidRDefault="00E03549" w:rsidP="00E03549">
      <w:pPr>
        <w:pStyle w:val="Heading4"/>
        <w:rPr>
          <w:vanish/>
          <w:lang w:val="en-US"/>
          <w:specVanish/>
        </w:rPr>
      </w:pPr>
      <w:bookmarkStart w:id="3" w:name="_2.4.3.2_Deviations_from"/>
      <w:bookmarkEnd w:id="3"/>
      <w:r w:rsidRPr="00C0765A">
        <w:rPr>
          <w:lang w:val="en-US"/>
        </w:rPr>
        <w:t>2.4.3.2</w:t>
      </w:r>
      <w:r w:rsidR="00A77E62" w:rsidRPr="00C0765A">
        <w:rPr>
          <w:lang w:val="en-US"/>
        </w:rPr>
        <w:t xml:space="preserve"> </w:t>
      </w:r>
      <w:r w:rsidR="00C24BB5" w:rsidRPr="00C0765A">
        <w:rPr>
          <w:lang w:val="en-US"/>
        </w:rPr>
        <w:t>Deviations from</w:t>
      </w:r>
      <w:r w:rsidR="005628F1" w:rsidRPr="00C0765A">
        <w:rPr>
          <w:lang w:val="en-US"/>
        </w:rPr>
        <w:t xml:space="preserve"> the</w:t>
      </w:r>
      <w:r w:rsidR="00C24BB5" w:rsidRPr="00C0765A">
        <w:rPr>
          <w:lang w:val="en-US"/>
        </w:rPr>
        <w:t xml:space="preserve"> p</w:t>
      </w:r>
      <w:r w:rsidR="00A77E62" w:rsidRPr="00C0765A">
        <w:rPr>
          <w:lang w:val="en-US"/>
        </w:rPr>
        <w:t>re-regist</w:t>
      </w:r>
      <w:r w:rsidR="005628F1" w:rsidRPr="00C0765A">
        <w:rPr>
          <w:lang w:val="en-US"/>
        </w:rPr>
        <w:t>ered analyses</w:t>
      </w:r>
      <w:r w:rsidR="00E14C12" w:rsidRPr="00C0765A">
        <w:rPr>
          <w:lang w:val="en-US"/>
        </w:rPr>
        <w:t>.</w:t>
      </w:r>
      <w:r w:rsidR="00A77E62" w:rsidRPr="00C0765A">
        <w:rPr>
          <w:lang w:val="en-US"/>
        </w:rPr>
        <w:t xml:space="preserve"> </w:t>
      </w:r>
    </w:p>
    <w:p w14:paraId="3029870E" w14:textId="36DAE68A" w:rsidR="00DF1606" w:rsidRPr="00C0765A" w:rsidRDefault="007F070F" w:rsidP="00A77E62">
      <w:pPr>
        <w:rPr>
          <w:lang w:val="en-US"/>
        </w:rPr>
      </w:pPr>
      <w:r w:rsidRPr="00C0765A">
        <w:rPr>
          <w:lang w:val="en-US"/>
        </w:rPr>
        <w:t xml:space="preserve">The pre-registered </w:t>
      </w:r>
      <w:r w:rsidR="001A27D1" w:rsidRPr="00C0765A">
        <w:rPr>
          <w:lang w:val="en-US"/>
        </w:rPr>
        <w:t>analyses</w:t>
      </w:r>
      <w:r w:rsidR="009E6C7D" w:rsidRPr="00C0765A">
        <w:rPr>
          <w:lang w:val="en-US"/>
        </w:rPr>
        <w:t xml:space="preserve"> </w:t>
      </w:r>
      <w:r w:rsidR="00EB1FAC" w:rsidRPr="00C0765A">
        <w:rPr>
          <w:lang w:val="en-US"/>
        </w:rPr>
        <w:t>for</w:t>
      </w:r>
      <w:r w:rsidR="009E6C7D" w:rsidRPr="00C0765A">
        <w:rPr>
          <w:lang w:val="en-US"/>
        </w:rPr>
        <w:t xml:space="preserve"> neural processing </w:t>
      </w:r>
      <w:r w:rsidR="00CE6CFE" w:rsidRPr="00C0765A">
        <w:rPr>
          <w:lang w:val="en-US"/>
        </w:rPr>
        <w:t xml:space="preserve">only concerned neural gating (as the topic of an over-arching project), however </w:t>
      </w:r>
      <w:r w:rsidR="00FB7E76" w:rsidRPr="00C0765A">
        <w:rPr>
          <w:lang w:val="en-US"/>
        </w:rPr>
        <w:t xml:space="preserve">we have decided to additionally analyze the </w:t>
      </w:r>
      <w:r w:rsidR="00477D33" w:rsidRPr="00C0765A">
        <w:rPr>
          <w:lang w:val="en-US"/>
        </w:rPr>
        <w:t>ERP amplitudes</w:t>
      </w:r>
      <w:r w:rsidR="003F7940" w:rsidRPr="00C0765A">
        <w:rPr>
          <w:lang w:val="en-US"/>
        </w:rPr>
        <w:t xml:space="preserve">. This decision was made based on our </w:t>
      </w:r>
      <w:r w:rsidR="000E490C" w:rsidRPr="00C0765A">
        <w:rPr>
          <w:lang w:val="en-US"/>
        </w:rPr>
        <w:t>recent</w:t>
      </w:r>
      <w:r w:rsidR="003F7940" w:rsidRPr="00C0765A">
        <w:rPr>
          <w:lang w:val="en-US"/>
        </w:rPr>
        <w:t xml:space="preserve"> research</w:t>
      </w:r>
      <w:r w:rsidR="007A0153" w:rsidRPr="00C0765A">
        <w:rPr>
          <w:lang w:val="en-US"/>
        </w:rPr>
        <w:t xml:space="preserve"> in</w:t>
      </w:r>
      <w:r w:rsidR="003F7940" w:rsidRPr="00C0765A">
        <w:rPr>
          <w:lang w:val="en-US"/>
        </w:rPr>
        <w:t xml:space="preserve"> which</w:t>
      </w:r>
      <w:r w:rsidR="007A0153" w:rsidRPr="00C0765A">
        <w:rPr>
          <w:lang w:val="en-US"/>
        </w:rPr>
        <w:t xml:space="preserve"> we</w:t>
      </w:r>
      <w:r w:rsidR="003F7940" w:rsidRPr="00C0765A">
        <w:rPr>
          <w:lang w:val="en-US"/>
        </w:rPr>
        <w:t xml:space="preserve"> found no effects </w:t>
      </w:r>
      <w:r w:rsidR="00600DB4" w:rsidRPr="00C0765A">
        <w:rPr>
          <w:lang w:val="en-US"/>
        </w:rPr>
        <w:t xml:space="preserve">of experimental manipulations </w:t>
      </w:r>
      <w:r w:rsidR="003F7940" w:rsidRPr="00C0765A">
        <w:rPr>
          <w:lang w:val="en-US"/>
        </w:rPr>
        <w:t>on neural gating</w:t>
      </w:r>
      <w:r w:rsidR="00C47840" w:rsidRPr="00C0765A">
        <w:rPr>
          <w:lang w:val="en-US"/>
        </w:rPr>
        <w:t>,</w:t>
      </w:r>
      <w:r w:rsidR="003F7940" w:rsidRPr="00C0765A">
        <w:rPr>
          <w:lang w:val="en-US"/>
        </w:rPr>
        <w:t xml:space="preserve"> but </w:t>
      </w:r>
      <w:r w:rsidR="00055552" w:rsidRPr="00C0765A">
        <w:rPr>
          <w:lang w:val="en-US"/>
        </w:rPr>
        <w:t xml:space="preserve">did </w:t>
      </w:r>
      <w:r w:rsidR="007A0153" w:rsidRPr="00C0765A">
        <w:rPr>
          <w:lang w:val="en-US"/>
        </w:rPr>
        <w:t xml:space="preserve">find the effects on N1 and P2 amplitudes </w:t>
      </w:r>
      <w:r w:rsidR="004B5C39" w:rsidRPr="00C0765A">
        <w:rPr>
          <w:lang w:val="en-US"/>
        </w:rPr>
        <w:t>(Jelinčić et al., 2022, 2024)</w:t>
      </w:r>
      <w:r w:rsidR="000022E8" w:rsidRPr="00C0765A">
        <w:rPr>
          <w:lang w:val="en-US"/>
        </w:rPr>
        <w:t xml:space="preserve">. </w:t>
      </w:r>
      <w:r w:rsidR="007E0D2C" w:rsidRPr="00C0765A">
        <w:rPr>
          <w:lang w:val="en-US"/>
        </w:rPr>
        <w:t xml:space="preserve">These analyses are considered confirmatory, </w:t>
      </w:r>
      <w:r w:rsidR="002645CF" w:rsidRPr="00C0765A">
        <w:rPr>
          <w:lang w:val="en-US"/>
        </w:rPr>
        <w:t>given our</w:t>
      </w:r>
      <w:r w:rsidR="005471C0" w:rsidRPr="00C0765A">
        <w:rPr>
          <w:lang w:val="en-US"/>
        </w:rPr>
        <w:t xml:space="preserve"> directional hypothesis of </w:t>
      </w:r>
      <w:proofErr w:type="spellStart"/>
      <w:r w:rsidR="005471C0" w:rsidRPr="00C0765A">
        <w:rPr>
          <w:lang w:val="en-US"/>
        </w:rPr>
        <w:t>taVNS</w:t>
      </w:r>
      <w:proofErr w:type="spellEnd"/>
      <w:r w:rsidR="005471C0" w:rsidRPr="00C0765A">
        <w:rPr>
          <w:lang w:val="en-US"/>
        </w:rPr>
        <w:t xml:space="preserve"> &gt; Sham for all the </w:t>
      </w:r>
      <w:r w:rsidR="002645CF" w:rsidRPr="00C0765A">
        <w:rPr>
          <w:lang w:val="en-US"/>
        </w:rPr>
        <w:t>ERP amplitudes.</w:t>
      </w:r>
    </w:p>
    <w:p w14:paraId="19AC168D" w14:textId="60892C15" w:rsidR="00A77E62" w:rsidRPr="00C0765A" w:rsidRDefault="00962CA1" w:rsidP="00A77E62">
      <w:pPr>
        <w:rPr>
          <w:lang w:val="en-US"/>
        </w:rPr>
      </w:pPr>
      <w:r w:rsidRPr="00C0765A">
        <w:rPr>
          <w:lang w:val="en-US"/>
        </w:rPr>
        <w:t xml:space="preserve">In addition, our previous research </w:t>
      </w:r>
      <w:r w:rsidR="006E5BA6" w:rsidRPr="00C0765A">
        <w:rPr>
          <w:lang w:val="en-US"/>
        </w:rPr>
        <w:t>quantified</w:t>
      </w:r>
      <w:r w:rsidRPr="00C0765A">
        <w:rPr>
          <w:lang w:val="en-US"/>
        </w:rPr>
        <w:t xml:space="preserve"> </w:t>
      </w:r>
      <w:r w:rsidR="00F65DFD" w:rsidRPr="00C0765A">
        <w:rPr>
          <w:lang w:val="en-US"/>
        </w:rPr>
        <w:t xml:space="preserve">N1 </w:t>
      </w:r>
      <w:r w:rsidRPr="00C0765A">
        <w:rPr>
          <w:lang w:val="en-US"/>
        </w:rPr>
        <w:t xml:space="preserve">neural gating as </w:t>
      </w:r>
      <w:r w:rsidR="00F905A3" w:rsidRPr="00C0765A">
        <w:rPr>
          <w:lang w:val="en-US"/>
        </w:rPr>
        <w:t>the</w:t>
      </w:r>
      <w:r w:rsidRPr="00C0765A">
        <w:rPr>
          <w:lang w:val="en-US"/>
        </w:rPr>
        <w:t xml:space="preserve"> ratio of the S2 and S1 amplitudes, in accordance with most established research on the topic</w:t>
      </w:r>
      <w:r w:rsidR="00F65DFD" w:rsidRPr="00C0765A">
        <w:rPr>
          <w:lang w:val="en-US"/>
        </w:rPr>
        <w:t xml:space="preserve"> (Chan et al., 2012; Chan &amp; Davenport, 2008; Montoya et al., 2006)</w:t>
      </w:r>
      <w:r w:rsidRPr="00C0765A">
        <w:rPr>
          <w:lang w:val="en-US"/>
        </w:rPr>
        <w:t xml:space="preserve">. However, this </w:t>
      </w:r>
      <w:r w:rsidR="00CA3761" w:rsidRPr="00C0765A">
        <w:rPr>
          <w:lang w:val="en-US"/>
        </w:rPr>
        <w:t xml:space="preserve">operationalization comes </w:t>
      </w:r>
      <w:r w:rsidR="009564B2" w:rsidRPr="00C0765A">
        <w:rPr>
          <w:lang w:val="en-US"/>
        </w:rPr>
        <w:t>with</w:t>
      </w:r>
      <w:r w:rsidR="00962BFF" w:rsidRPr="00C0765A">
        <w:rPr>
          <w:lang w:val="en-US"/>
        </w:rPr>
        <w:t xml:space="preserve"> the cost </w:t>
      </w:r>
      <w:r w:rsidR="00CA3761" w:rsidRPr="00C0765A">
        <w:rPr>
          <w:lang w:val="en-US"/>
        </w:rPr>
        <w:t>of having to drop data points where the S2/S1 ratio is negative (</w:t>
      </w:r>
      <w:r w:rsidR="00F65DFD" w:rsidRPr="00C0765A">
        <w:rPr>
          <w:lang w:val="en-US"/>
        </w:rPr>
        <w:t xml:space="preserve">which results from one of the </w:t>
      </w:r>
      <w:r w:rsidR="00962BFF" w:rsidRPr="00C0765A">
        <w:rPr>
          <w:lang w:val="en-US"/>
        </w:rPr>
        <w:t xml:space="preserve">N1 amplitudes, usually S2, </w:t>
      </w:r>
      <w:r w:rsidR="009A5F53" w:rsidRPr="00C0765A">
        <w:rPr>
          <w:lang w:val="en-US"/>
        </w:rPr>
        <w:t xml:space="preserve">not reaching the negative amplitude range). In the pre-registration, we established that </w:t>
      </w:r>
      <w:r w:rsidR="0007279D" w:rsidRPr="00C0765A">
        <w:rPr>
          <w:lang w:val="en-US"/>
        </w:rPr>
        <w:t xml:space="preserve">the </w:t>
      </w:r>
      <w:r w:rsidR="009A5F53" w:rsidRPr="00C0765A">
        <w:rPr>
          <w:lang w:val="en-US"/>
        </w:rPr>
        <w:t xml:space="preserve">ratio measure would be used </w:t>
      </w:r>
      <w:r w:rsidR="00076362" w:rsidRPr="00C0765A">
        <w:rPr>
          <w:lang w:val="en-US"/>
        </w:rPr>
        <w:t xml:space="preserve">in </w:t>
      </w:r>
      <w:r w:rsidR="00D94F34" w:rsidRPr="00C0765A">
        <w:rPr>
          <w:lang w:val="en-US"/>
        </w:rPr>
        <w:t>the current</w:t>
      </w:r>
      <w:r w:rsidR="00076362" w:rsidRPr="00C0765A">
        <w:rPr>
          <w:lang w:val="en-US"/>
        </w:rPr>
        <w:t xml:space="preserve"> dataset as well, </w:t>
      </w:r>
      <w:r w:rsidR="009A5F53" w:rsidRPr="00C0765A">
        <w:rPr>
          <w:lang w:val="en-US"/>
        </w:rPr>
        <w:t>unless 20%</w:t>
      </w:r>
      <w:r w:rsidR="007E0A1C" w:rsidRPr="00C0765A">
        <w:rPr>
          <w:lang w:val="en-US"/>
        </w:rPr>
        <w:t xml:space="preserve"> or more</w:t>
      </w:r>
      <w:r w:rsidR="009A5F53" w:rsidRPr="00C0765A">
        <w:rPr>
          <w:lang w:val="en-US"/>
        </w:rPr>
        <w:t xml:space="preserve"> data points in any of the three N1 gating ratio</w:t>
      </w:r>
      <w:r w:rsidR="007E0A1C" w:rsidRPr="00C0765A">
        <w:rPr>
          <w:lang w:val="en-US"/>
        </w:rPr>
        <w:t xml:space="preserve"> outcomes</w:t>
      </w:r>
      <w:r w:rsidR="009A5F53" w:rsidRPr="00C0765A">
        <w:rPr>
          <w:lang w:val="en-US"/>
        </w:rPr>
        <w:t xml:space="preserve"> were negative. This cut-off was reached in the current dataset</w:t>
      </w:r>
      <w:r w:rsidR="007E0A1C" w:rsidRPr="00C0765A">
        <w:rPr>
          <w:lang w:val="en-US"/>
        </w:rPr>
        <w:t>, with the highest percentage of negative gating ratios</w:t>
      </w:r>
      <w:r w:rsidR="00203210" w:rsidRPr="00C0765A">
        <w:rPr>
          <w:lang w:val="en-US"/>
        </w:rPr>
        <w:t xml:space="preserve"> (for the AEP N1 gating ratio) of </w:t>
      </w:r>
      <w:r w:rsidR="00C24BB5" w:rsidRPr="00C0765A">
        <w:rPr>
          <w:lang w:val="en-US"/>
        </w:rPr>
        <w:t xml:space="preserve">31%. </w:t>
      </w:r>
      <w:r w:rsidR="00B97A2E" w:rsidRPr="00C0765A">
        <w:rPr>
          <w:lang w:val="en-US"/>
        </w:rPr>
        <w:t xml:space="preserve">We therefore opted to measure neural gating as the S2-S1 difference for </w:t>
      </w:r>
      <w:r w:rsidR="00E913E2" w:rsidRPr="00C0765A">
        <w:rPr>
          <w:lang w:val="en-US"/>
        </w:rPr>
        <w:t xml:space="preserve">all the sensory modalities, which allowed us to retain all of the </w:t>
      </w:r>
      <w:r w:rsidR="00F9289B" w:rsidRPr="00C0765A">
        <w:rPr>
          <w:lang w:val="en-US"/>
        </w:rPr>
        <w:t>non-missing data points.</w:t>
      </w:r>
    </w:p>
    <w:p w14:paraId="5F37D786" w14:textId="31D1A335" w:rsidR="00660CC7" w:rsidRPr="00C0765A" w:rsidRDefault="00660CC7">
      <w:pPr>
        <w:spacing w:after="160" w:line="259" w:lineRule="auto"/>
        <w:rPr>
          <w:sz w:val="20"/>
          <w:szCs w:val="20"/>
          <w:lang w:val="en-US"/>
        </w:rPr>
      </w:pPr>
      <w:r w:rsidRPr="00C0765A">
        <w:rPr>
          <w:sz w:val="20"/>
          <w:szCs w:val="20"/>
          <w:lang w:val="en-US"/>
        </w:rPr>
        <w:br w:type="page"/>
      </w:r>
    </w:p>
    <w:p w14:paraId="2C67E276" w14:textId="6C3D64DA" w:rsidR="007B17C5" w:rsidRPr="00C0765A" w:rsidRDefault="00EC6C99" w:rsidP="00EC6C99">
      <w:pPr>
        <w:pStyle w:val="Heading1"/>
        <w:rPr>
          <w:lang w:val="en-US"/>
        </w:rPr>
      </w:pPr>
      <w:r w:rsidRPr="00C0765A">
        <w:rPr>
          <w:lang w:val="en-US"/>
        </w:rPr>
        <w:lastRenderedPageBreak/>
        <w:t xml:space="preserve">3. </w:t>
      </w:r>
      <w:r w:rsidR="007B17C5" w:rsidRPr="00C0765A">
        <w:rPr>
          <w:lang w:val="en-US"/>
        </w:rPr>
        <w:t>Results</w:t>
      </w:r>
    </w:p>
    <w:p w14:paraId="42A50DF5" w14:textId="3621983B" w:rsidR="00990C28" w:rsidRPr="00C0765A" w:rsidRDefault="00990C28" w:rsidP="00990C28">
      <w:pPr>
        <w:rPr>
          <w:lang w:val="en-US"/>
        </w:rPr>
      </w:pPr>
      <w:r w:rsidRPr="00C0765A">
        <w:rPr>
          <w:lang w:val="en-US"/>
        </w:rPr>
        <w:t>All the below reported results are the output of linear mixed effects models</w:t>
      </w:r>
      <w:r w:rsidR="00A21098" w:rsidRPr="00C0765A">
        <w:rPr>
          <w:lang w:val="en-US"/>
        </w:rPr>
        <w:t xml:space="preserve"> (LMEM)</w:t>
      </w:r>
      <w:r w:rsidRPr="00C0765A">
        <w:rPr>
          <w:lang w:val="en-US"/>
        </w:rPr>
        <w:t xml:space="preserve">, unless specified otherwise. We report random effects and residual variance, as well as AIC and BIC criteria, in </w:t>
      </w:r>
      <w:r w:rsidR="00712A27" w:rsidRPr="00C0765A">
        <w:rPr>
          <w:lang w:val="en-US"/>
        </w:rPr>
        <w:t>the Supplement,</w:t>
      </w:r>
      <w:r w:rsidRPr="00C0765A">
        <w:rPr>
          <w:lang w:val="en-US"/>
        </w:rPr>
        <w:t xml:space="preserve"> Tables </w:t>
      </w:r>
      <w:r w:rsidR="00712A27" w:rsidRPr="00C0765A">
        <w:rPr>
          <w:lang w:val="en-US"/>
        </w:rPr>
        <w:t>S</w:t>
      </w:r>
      <w:r w:rsidR="004F161C" w:rsidRPr="00C0765A">
        <w:rPr>
          <w:lang w:val="en-US"/>
        </w:rPr>
        <w:t>4</w:t>
      </w:r>
      <w:r w:rsidR="00DF51C1" w:rsidRPr="00C0765A">
        <w:rPr>
          <w:lang w:val="en-US"/>
        </w:rPr>
        <w:t>-</w:t>
      </w:r>
      <w:r w:rsidR="00712A27" w:rsidRPr="00C0765A">
        <w:rPr>
          <w:lang w:val="en-US"/>
        </w:rPr>
        <w:t>S</w:t>
      </w:r>
      <w:r w:rsidR="00E509E9" w:rsidRPr="00C0765A">
        <w:rPr>
          <w:lang w:val="en-US"/>
        </w:rPr>
        <w:t>6</w:t>
      </w:r>
      <w:r w:rsidRPr="00C0765A">
        <w:rPr>
          <w:lang w:val="en-US"/>
        </w:rPr>
        <w:t>.</w:t>
      </w:r>
      <w:r w:rsidR="00A21098" w:rsidRPr="00C0765A">
        <w:rPr>
          <w:lang w:val="en-US"/>
        </w:rPr>
        <w:t xml:space="preserve"> In the LMEM tables, square-root-transformed outcomes are marked with </w:t>
      </w:r>
      <w:r w:rsidR="00DE2747" w:rsidRPr="00C0765A">
        <w:rPr>
          <w:lang w:val="en-US"/>
        </w:rPr>
        <w:t>a superscript SQRT</w:t>
      </w:r>
      <w:r w:rsidR="00E514DE" w:rsidRPr="00C0765A">
        <w:rPr>
          <w:lang w:val="en-US"/>
        </w:rPr>
        <w:t>, and log</w:t>
      </w:r>
      <w:r w:rsidR="0084703F" w:rsidRPr="00C0765A">
        <w:rPr>
          <w:lang w:val="en-US"/>
        </w:rPr>
        <w:t>-transformed variables with a superscript LOG</w:t>
      </w:r>
      <w:r w:rsidR="00DE2747" w:rsidRPr="00C0765A">
        <w:rPr>
          <w:lang w:val="en-US"/>
        </w:rPr>
        <w:t>.</w:t>
      </w:r>
      <w:r w:rsidRPr="00C0765A">
        <w:rPr>
          <w:lang w:val="en-US"/>
        </w:rPr>
        <w:t xml:space="preserve"> In text, we report the fixed effect estimates (</w:t>
      </w:r>
      <m:oMath>
        <m:r>
          <w:rPr>
            <w:rFonts w:ascii="Cambria Math" w:hAnsi="Cambria Math"/>
            <w:lang w:val="en-US"/>
          </w:rPr>
          <m:t>β</m:t>
        </m:r>
      </m:oMath>
      <w:r w:rsidRPr="00C0765A">
        <w:rPr>
          <w:lang w:val="en-US"/>
        </w:rPr>
        <w:t>) with 97.5% confidence intervals (</w:t>
      </w:r>
      <w:r w:rsidRPr="00C0765A">
        <w:rPr>
          <w:i/>
          <w:iCs/>
          <w:lang w:val="en-US"/>
        </w:rPr>
        <w:t>CI</w:t>
      </w:r>
      <w:r w:rsidRPr="00C0765A">
        <w:rPr>
          <w:lang w:val="en-US"/>
        </w:rPr>
        <w:t xml:space="preserve">), </w:t>
      </w:r>
      <w:r w:rsidRPr="00C0765A">
        <w:rPr>
          <w:i/>
          <w:iCs/>
          <w:lang w:val="en-US"/>
        </w:rPr>
        <w:t>p</w:t>
      </w:r>
      <w:r w:rsidRPr="00C0765A">
        <w:rPr>
          <w:lang w:val="en-US"/>
        </w:rPr>
        <w:t>-values (</w:t>
      </w:r>
      <w:proofErr w:type="spellStart"/>
      <w:r w:rsidRPr="00C0765A">
        <w:rPr>
          <w:i/>
          <w:iCs/>
          <w:lang w:val="en-US"/>
        </w:rPr>
        <w:t>lmertest</w:t>
      </w:r>
      <w:proofErr w:type="spellEnd"/>
      <w:r w:rsidRPr="00C0765A">
        <w:rPr>
          <w:lang w:val="en-US"/>
        </w:rPr>
        <w:t xml:space="preserve"> output) and the robust effect size index (</w:t>
      </w:r>
      <m:oMath>
        <m:r>
          <w:rPr>
            <w:rFonts w:ascii="Cambria Math" w:hAnsi="Cambria Math"/>
            <w:lang w:val="en-US"/>
          </w:rPr>
          <m:t>Sβ</m:t>
        </m:r>
      </m:oMath>
      <w:r w:rsidRPr="00C0765A">
        <w:rPr>
          <w:lang w:val="en-US"/>
        </w:rPr>
        <w:t>)</w:t>
      </w:r>
      <w:r w:rsidR="00273B46" w:rsidRPr="00C0765A">
        <w:rPr>
          <w:lang w:val="en-US"/>
        </w:rPr>
        <w:t xml:space="preserve"> </w:t>
      </w:r>
      <w:r w:rsidR="001165F2" w:rsidRPr="00C0765A">
        <w:rPr>
          <w:lang w:val="en-US"/>
        </w:rPr>
        <w:t xml:space="preserve">(RESI; </w:t>
      </w:r>
      <w:r w:rsidR="00273B46" w:rsidRPr="00C0765A">
        <w:rPr>
          <w:lang w:val="en-US"/>
        </w:rPr>
        <w:t>(</w:t>
      </w:r>
      <w:proofErr w:type="spellStart"/>
      <w:r w:rsidR="00273B46" w:rsidRPr="00C0765A">
        <w:rPr>
          <w:lang w:val="en-US"/>
        </w:rPr>
        <w:t>Vandekar</w:t>
      </w:r>
      <w:proofErr w:type="spellEnd"/>
      <w:r w:rsidR="00273B46" w:rsidRPr="00C0765A">
        <w:rPr>
          <w:lang w:val="en-US"/>
        </w:rPr>
        <w:t xml:space="preserve"> et al., 2020)</w:t>
      </w:r>
      <w:r w:rsidR="001165F2" w:rsidRPr="00C0765A">
        <w:rPr>
          <w:lang w:val="en-US"/>
        </w:rPr>
        <w:t>)</w:t>
      </w:r>
      <w:r w:rsidRPr="00C0765A">
        <w:rPr>
          <w:lang w:val="en-US"/>
        </w:rPr>
        <w:t xml:space="preserve">. </w:t>
      </w:r>
      <w:r w:rsidR="00297FB0" w:rsidRPr="00C0765A">
        <w:rPr>
          <w:lang w:val="en-US"/>
        </w:rPr>
        <w:t>While they usually correspond, o</w:t>
      </w:r>
      <w:r w:rsidR="00FD2E0B" w:rsidRPr="00C0765A">
        <w:rPr>
          <w:lang w:val="en-US"/>
        </w:rPr>
        <w:t>ccasionally</w:t>
      </w:r>
      <w:r w:rsidR="00FD2E0B" w:rsidRPr="00C0765A">
        <w:rPr>
          <w:i/>
          <w:lang w:val="en-US"/>
        </w:rPr>
        <w:t xml:space="preserve"> </w:t>
      </w:r>
      <w:r w:rsidR="001165F2" w:rsidRPr="00C0765A">
        <w:rPr>
          <w:iCs/>
          <w:lang w:val="en-US"/>
        </w:rPr>
        <w:t xml:space="preserve">RESI </w:t>
      </w:r>
      <w:r w:rsidR="00FD2E0B" w:rsidRPr="00C0765A">
        <w:rPr>
          <w:lang w:val="en-US"/>
        </w:rPr>
        <w:t>indicates the existence of an effect</w:t>
      </w:r>
      <w:r w:rsidR="007E7A83" w:rsidRPr="00C0765A">
        <w:rPr>
          <w:lang w:val="en-US"/>
        </w:rPr>
        <w:t xml:space="preserve"> (</w:t>
      </w:r>
      <m:oMath>
        <m:r>
          <w:rPr>
            <w:rFonts w:ascii="Cambria Math" w:hAnsi="Cambria Math"/>
            <w:lang w:val="en-US"/>
          </w:rPr>
          <m:t>Sβ</m:t>
        </m:r>
      </m:oMath>
      <w:r w:rsidR="00907E24" w:rsidRPr="00C0765A">
        <w:rPr>
          <w:lang w:val="en-US"/>
        </w:rPr>
        <w:t xml:space="preserve"> </w:t>
      </w:r>
      <w:r w:rsidR="007E7A83" w:rsidRPr="00C0765A">
        <w:rPr>
          <w:lang w:val="en-US"/>
        </w:rPr>
        <w:t>&gt;</w:t>
      </w:r>
      <w:r w:rsidR="00907E24" w:rsidRPr="00C0765A">
        <w:rPr>
          <w:lang w:val="en-US"/>
        </w:rPr>
        <w:t xml:space="preserve"> </w:t>
      </w:r>
      <w:r w:rsidR="007E7A83" w:rsidRPr="00C0765A">
        <w:rPr>
          <w:lang w:val="en-US"/>
        </w:rPr>
        <w:t>0.1) while</w:t>
      </w:r>
      <w:r w:rsidR="00FD2E0B" w:rsidRPr="00C0765A">
        <w:rPr>
          <w:lang w:val="en-US"/>
        </w:rPr>
        <w:t xml:space="preserve"> </w:t>
      </w:r>
      <w:r w:rsidR="00FD2E0B" w:rsidRPr="00C0765A">
        <w:rPr>
          <w:i/>
          <w:iCs/>
          <w:lang w:val="en-US"/>
        </w:rPr>
        <w:t>p-</w:t>
      </w:r>
      <w:r w:rsidR="007E7A83" w:rsidRPr="00C0765A">
        <w:rPr>
          <w:lang w:val="en-US"/>
        </w:rPr>
        <w:t xml:space="preserve">values are larger than 0.05. These effects are </w:t>
      </w:r>
      <w:r w:rsidR="00297FB0" w:rsidRPr="00C0765A">
        <w:rPr>
          <w:lang w:val="en-US"/>
        </w:rPr>
        <w:t xml:space="preserve">described as </w:t>
      </w:r>
      <w:r w:rsidR="004F5274" w:rsidRPr="00C0765A">
        <w:rPr>
          <w:lang w:val="en-US"/>
        </w:rPr>
        <w:t>“</w:t>
      </w:r>
      <w:r w:rsidR="00297FB0" w:rsidRPr="00C0765A">
        <w:rPr>
          <w:lang w:val="en-US"/>
        </w:rPr>
        <w:t>small and non-significant</w:t>
      </w:r>
      <w:r w:rsidR="004F5274" w:rsidRPr="00C0765A">
        <w:rPr>
          <w:lang w:val="en-US"/>
        </w:rPr>
        <w:t>”</w:t>
      </w:r>
      <w:r w:rsidR="00297FB0" w:rsidRPr="00C0765A">
        <w:rPr>
          <w:lang w:val="en-US"/>
        </w:rPr>
        <w:t xml:space="preserve"> in text. </w:t>
      </w:r>
      <w:r w:rsidRPr="00C0765A">
        <w:rPr>
          <w:lang w:val="en-US"/>
        </w:rPr>
        <w:t xml:space="preserve">For </w:t>
      </w:r>
      <w:r w:rsidR="007C49CC" w:rsidRPr="00C0765A">
        <w:rPr>
          <w:lang w:val="en-US"/>
        </w:rPr>
        <w:t>one</w:t>
      </w:r>
      <w:r w:rsidRPr="00C0765A">
        <w:rPr>
          <w:lang w:val="en-US"/>
        </w:rPr>
        <w:t xml:space="preserve">-sample t-tests, we report the </w:t>
      </w:r>
      <w:r w:rsidRPr="00C0765A">
        <w:rPr>
          <w:i/>
          <w:iCs/>
          <w:lang w:val="en-US"/>
        </w:rPr>
        <w:t>t</w:t>
      </w:r>
      <w:r w:rsidRPr="00C0765A">
        <w:rPr>
          <w:lang w:val="en-US"/>
        </w:rPr>
        <w:t xml:space="preserve">-statistics, degrees of freedom, </w:t>
      </w:r>
      <w:r w:rsidRPr="00C0765A">
        <w:rPr>
          <w:i/>
          <w:iCs/>
          <w:lang w:val="en-US"/>
        </w:rPr>
        <w:t>p</w:t>
      </w:r>
      <w:r w:rsidRPr="00C0765A">
        <w:rPr>
          <w:lang w:val="en-US"/>
        </w:rPr>
        <w:t xml:space="preserve">-values and Cohen’s </w:t>
      </w:r>
      <w:r w:rsidRPr="00C0765A">
        <w:rPr>
          <w:i/>
          <w:iCs/>
          <w:lang w:val="en-US"/>
        </w:rPr>
        <w:t>d</w:t>
      </w:r>
      <w:r w:rsidRPr="00C0765A">
        <w:rPr>
          <w:lang w:val="en-US"/>
        </w:rPr>
        <w:t xml:space="preserve"> values (</w:t>
      </w:r>
      <w:proofErr w:type="spellStart"/>
      <w:r w:rsidRPr="00C0765A">
        <w:rPr>
          <w:i/>
          <w:iCs/>
          <w:lang w:val="en-US"/>
        </w:rPr>
        <w:t>dz</w:t>
      </w:r>
      <w:proofErr w:type="spellEnd"/>
      <w:r w:rsidRPr="00C0765A">
        <w:rPr>
          <w:lang w:val="en-US"/>
        </w:rPr>
        <w:t>).</w:t>
      </w:r>
    </w:p>
    <w:p w14:paraId="53A26821" w14:textId="7BEDC9E7" w:rsidR="005255A4" w:rsidRPr="00C0765A" w:rsidRDefault="000716AA" w:rsidP="00EC6C99">
      <w:pPr>
        <w:pStyle w:val="Heading2"/>
        <w:rPr>
          <w:lang w:val="en-US"/>
        </w:rPr>
      </w:pPr>
      <w:r w:rsidRPr="00C0765A">
        <w:rPr>
          <w:lang w:val="en-US"/>
        </w:rPr>
        <w:t xml:space="preserve">3.1 </w:t>
      </w:r>
      <w:r w:rsidR="006267CC" w:rsidRPr="00C0765A">
        <w:rPr>
          <w:bCs/>
          <w:lang w:val="en-US"/>
        </w:rPr>
        <w:t>Markers of noradrenergic activation</w:t>
      </w:r>
    </w:p>
    <w:p w14:paraId="27AADF91" w14:textId="77777777" w:rsidR="00C41CF2" w:rsidRPr="00C0765A" w:rsidRDefault="00C41CF2" w:rsidP="00E13865">
      <w:pPr>
        <w:pStyle w:val="Heading3"/>
        <w:rPr>
          <w:lang w:val="en-US"/>
        </w:rPr>
      </w:pPr>
      <w:r w:rsidRPr="00C0765A">
        <w:rPr>
          <w:lang w:val="en-US"/>
        </w:rPr>
        <w:t>3.1.1 Salivary alpha-amylase concentration</w:t>
      </w:r>
    </w:p>
    <w:p w14:paraId="1A4834C2" w14:textId="77CCC8FE" w:rsidR="00A37014" w:rsidRPr="00C0765A" w:rsidRDefault="00A37014" w:rsidP="00A37014">
      <w:pPr>
        <w:rPr>
          <w:lang w:val="en-US"/>
        </w:rPr>
      </w:pPr>
      <w:r w:rsidRPr="00C0765A">
        <w:rPr>
          <w:lang w:val="en-US"/>
        </w:rPr>
        <w:t xml:space="preserve">To test the effects of </w:t>
      </w:r>
      <w:proofErr w:type="spellStart"/>
      <w:r w:rsidRPr="00C0765A">
        <w:rPr>
          <w:lang w:val="en-US"/>
        </w:rPr>
        <w:t>taVNS</w:t>
      </w:r>
      <w:proofErr w:type="spellEnd"/>
      <w:r w:rsidRPr="00C0765A">
        <w:rPr>
          <w:lang w:val="en-US"/>
        </w:rPr>
        <w:t xml:space="preserve"> on the noradrenergic activation, salivary alpha amylase </w:t>
      </w:r>
      <w:r w:rsidR="00772605" w:rsidRPr="00C0765A">
        <w:rPr>
          <w:lang w:val="en-US"/>
        </w:rPr>
        <w:t xml:space="preserve">was measured </w:t>
      </w:r>
      <w:r w:rsidRPr="00C0765A">
        <w:rPr>
          <w:lang w:val="en-US"/>
        </w:rPr>
        <w:t>before and after the stimulation on both days. For descriptive statistics, see Table</w:t>
      </w:r>
      <w:r w:rsidR="00F65740" w:rsidRPr="00C0765A">
        <w:rPr>
          <w:lang w:val="en-US"/>
        </w:rPr>
        <w:t xml:space="preserve"> 1. Results are shown graphically in Figure </w:t>
      </w:r>
      <w:r w:rsidR="007A5398" w:rsidRPr="00C0765A">
        <w:rPr>
          <w:lang w:val="en-US"/>
        </w:rPr>
        <w:t>2</w:t>
      </w:r>
      <w:r w:rsidR="00F65740" w:rsidRPr="00C0765A">
        <w:rPr>
          <w:lang w:val="en-US"/>
        </w:rPr>
        <w:t>A</w:t>
      </w:r>
      <w:r w:rsidR="001861D0" w:rsidRPr="00C0765A">
        <w:rPr>
          <w:lang w:val="en-US"/>
        </w:rPr>
        <w:t>/B</w:t>
      </w:r>
      <w:r w:rsidR="00F65740" w:rsidRPr="00C0765A">
        <w:rPr>
          <w:lang w:val="en-US"/>
        </w:rPr>
        <w:t xml:space="preserve">. </w:t>
      </w:r>
      <w:r w:rsidRPr="00C0765A">
        <w:rPr>
          <w:lang w:val="en-US"/>
        </w:rPr>
        <w:t xml:space="preserve">We observed a marginally significant decrease in </w:t>
      </w:r>
      <w:proofErr w:type="spellStart"/>
      <w:r w:rsidRPr="00C0765A">
        <w:rPr>
          <w:lang w:val="en-US"/>
        </w:rPr>
        <w:t>sAA</w:t>
      </w:r>
      <w:proofErr w:type="spellEnd"/>
      <w:r w:rsidRPr="00C0765A">
        <w:rPr>
          <w:lang w:val="en-US"/>
        </w:rPr>
        <w:t xml:space="preserve"> concentration after the stimulation (</w:t>
      </w:r>
      <m:oMath>
        <m:r>
          <w:rPr>
            <w:rFonts w:ascii="Cambria Math" w:hAnsi="Cambria Math"/>
            <w:lang w:val="en-US"/>
          </w:rPr>
          <m:t>β</m:t>
        </m:r>
      </m:oMath>
      <w:r w:rsidRPr="00C0765A">
        <w:rPr>
          <w:lang w:val="en-US"/>
        </w:rPr>
        <w:t xml:space="preserve"> = -0.76, </w:t>
      </w:r>
      <w:r w:rsidRPr="00C0765A">
        <w:rPr>
          <w:i/>
          <w:iCs/>
          <w:lang w:val="en-US"/>
        </w:rPr>
        <w:t>CI</w:t>
      </w:r>
      <w:r w:rsidRPr="00C0765A">
        <w:rPr>
          <w:lang w:val="en-US"/>
        </w:rPr>
        <w:t xml:space="preserve"> = 1.50, </w:t>
      </w:r>
      <w:r w:rsidRPr="00C0765A">
        <w:rPr>
          <w:i/>
          <w:iCs/>
          <w:lang w:val="en-US"/>
        </w:rPr>
        <w:t>p</w:t>
      </w:r>
      <w:r w:rsidRPr="00C0765A">
        <w:rPr>
          <w:lang w:val="en-US"/>
        </w:rPr>
        <w:t xml:space="preserve"> = 0.05, </w:t>
      </w:r>
      <m:oMath>
        <m:r>
          <w:rPr>
            <w:rFonts w:ascii="Cambria Math" w:hAnsi="Cambria Math"/>
            <w:lang w:val="en-US"/>
          </w:rPr>
          <m:t>Sβ</m:t>
        </m:r>
      </m:oMath>
      <w:r w:rsidRPr="00C0765A">
        <w:rPr>
          <w:lang w:val="en-US"/>
        </w:rPr>
        <w:t xml:space="preserve"> = 0.18). There was no significant effect of </w:t>
      </w:r>
      <w:r w:rsidRPr="00C0765A">
        <w:rPr>
          <w:i/>
          <w:iCs/>
          <w:lang w:val="en-US"/>
        </w:rPr>
        <w:t>condition</w:t>
      </w:r>
      <w:r w:rsidRPr="00C0765A">
        <w:rPr>
          <w:lang w:val="en-US"/>
        </w:rPr>
        <w:t xml:space="preserve"> (</w:t>
      </w:r>
      <m:oMath>
        <m:r>
          <w:rPr>
            <w:rFonts w:ascii="Cambria Math" w:hAnsi="Cambria Math"/>
            <w:lang w:val="en-US"/>
          </w:rPr>
          <m:t>β</m:t>
        </m:r>
      </m:oMath>
      <w:r w:rsidRPr="00C0765A">
        <w:rPr>
          <w:lang w:val="en-US"/>
        </w:rPr>
        <w:t xml:space="preserve"> = 0.42, </w:t>
      </w:r>
      <w:r w:rsidRPr="00C0765A">
        <w:rPr>
          <w:i/>
          <w:iCs/>
          <w:lang w:val="en-US"/>
        </w:rPr>
        <w:t>CI</w:t>
      </w:r>
      <w:r w:rsidRPr="00C0765A">
        <w:rPr>
          <w:lang w:val="en-US"/>
        </w:rPr>
        <w:t xml:space="preserve"> = 1.54, </w:t>
      </w:r>
      <w:r w:rsidRPr="00C0765A">
        <w:rPr>
          <w:i/>
          <w:iCs/>
          <w:lang w:val="en-US"/>
        </w:rPr>
        <w:t>p</w:t>
      </w:r>
      <w:r w:rsidRPr="00C0765A">
        <w:rPr>
          <w:lang w:val="en-US"/>
        </w:rPr>
        <w:t xml:space="preserve"> = 0.29, </w:t>
      </w:r>
      <m:oMath>
        <m:r>
          <w:rPr>
            <w:rFonts w:ascii="Cambria Math" w:hAnsi="Cambria Math"/>
            <w:lang w:val="en-US"/>
          </w:rPr>
          <m:t>Sβ</m:t>
        </m:r>
      </m:oMath>
      <w:r w:rsidRPr="00C0765A">
        <w:rPr>
          <w:lang w:val="en-US"/>
        </w:rPr>
        <w:t xml:space="preserve"> = 0.07), and no significant interaction between </w:t>
      </w:r>
      <w:r w:rsidRPr="00C0765A">
        <w:rPr>
          <w:i/>
          <w:iCs/>
          <w:lang w:val="en-US"/>
        </w:rPr>
        <w:t>condition</w:t>
      </w:r>
      <w:r w:rsidRPr="00C0765A">
        <w:rPr>
          <w:lang w:val="en-US"/>
        </w:rPr>
        <w:t xml:space="preserve"> and </w:t>
      </w:r>
      <w:r w:rsidRPr="00C0765A">
        <w:rPr>
          <w:i/>
          <w:iCs/>
          <w:lang w:val="en-US"/>
        </w:rPr>
        <w:t>time</w:t>
      </w:r>
      <w:r w:rsidRPr="00C0765A">
        <w:rPr>
          <w:lang w:val="en-US"/>
        </w:rPr>
        <w:t xml:space="preserve"> (</w:t>
      </w:r>
      <m:oMath>
        <m:r>
          <w:rPr>
            <w:rFonts w:ascii="Cambria Math" w:hAnsi="Cambria Math"/>
            <w:lang w:val="en-US"/>
          </w:rPr>
          <m:t>β</m:t>
        </m:r>
      </m:oMath>
      <w:r w:rsidRPr="00C0765A">
        <w:rPr>
          <w:lang w:val="en-US"/>
        </w:rPr>
        <w:t xml:space="preserve"> = 0.48, </w:t>
      </w:r>
      <w:r w:rsidRPr="00C0765A">
        <w:rPr>
          <w:i/>
          <w:iCs/>
          <w:lang w:val="en-US"/>
        </w:rPr>
        <w:t>CI</w:t>
      </w:r>
      <w:r w:rsidRPr="00C0765A">
        <w:rPr>
          <w:lang w:val="en-US"/>
        </w:rPr>
        <w:t xml:space="preserve"> = 2.98, </w:t>
      </w:r>
      <w:r w:rsidRPr="00C0765A">
        <w:rPr>
          <w:i/>
          <w:iCs/>
          <w:lang w:val="en-US"/>
        </w:rPr>
        <w:t>p</w:t>
      </w:r>
      <w:r w:rsidRPr="00C0765A">
        <w:rPr>
          <w:lang w:val="en-US"/>
        </w:rPr>
        <w:t xml:space="preserve"> = 0.52, </w:t>
      </w:r>
      <m:oMath>
        <m:r>
          <w:rPr>
            <w:rFonts w:ascii="Cambria Math" w:hAnsi="Cambria Math"/>
            <w:lang w:val="en-US"/>
          </w:rPr>
          <m:t>Sβ</m:t>
        </m:r>
      </m:oMath>
      <w:r w:rsidRPr="00C0765A">
        <w:rPr>
          <w:lang w:val="en-US"/>
        </w:rPr>
        <w:t xml:space="preserve"> = 0.00) on </w:t>
      </w:r>
      <w:r w:rsidR="00943D9D" w:rsidRPr="00C0765A">
        <w:rPr>
          <w:lang w:val="en-US"/>
        </w:rPr>
        <w:t>log-</w:t>
      </w:r>
      <w:r w:rsidRPr="00C0765A">
        <w:rPr>
          <w:lang w:val="en-US"/>
        </w:rPr>
        <w:t xml:space="preserve">transformed </w:t>
      </w:r>
      <w:proofErr w:type="spellStart"/>
      <w:r w:rsidRPr="00C0765A">
        <w:rPr>
          <w:lang w:val="en-US"/>
        </w:rPr>
        <w:t>sAA</w:t>
      </w:r>
      <w:proofErr w:type="spellEnd"/>
      <w:r w:rsidRPr="00C0765A">
        <w:rPr>
          <w:lang w:val="en-US"/>
        </w:rPr>
        <w:t xml:space="preserve"> values.</w:t>
      </w:r>
    </w:p>
    <w:p w14:paraId="6ACC5AAA" w14:textId="490F49EF" w:rsidR="00AA5D66" w:rsidRPr="00C0765A" w:rsidRDefault="00AA5D66" w:rsidP="00AA5D66">
      <w:pPr>
        <w:pStyle w:val="Heading3"/>
        <w:rPr>
          <w:lang w:val="en-US"/>
        </w:rPr>
      </w:pPr>
      <w:bookmarkStart w:id="4" w:name="self-reported-arousal"/>
      <w:r w:rsidRPr="00C0765A">
        <w:rPr>
          <w:lang w:val="en-US"/>
        </w:rPr>
        <w:t xml:space="preserve">3.1.2 </w:t>
      </w:r>
      <w:r w:rsidR="00D70742" w:rsidRPr="00C0765A">
        <w:rPr>
          <w:lang w:val="en-US"/>
        </w:rPr>
        <w:t xml:space="preserve">Subjective experienced </w:t>
      </w:r>
      <w:r w:rsidRPr="00C0765A">
        <w:rPr>
          <w:lang w:val="en-US"/>
        </w:rPr>
        <w:t>arousal</w:t>
      </w:r>
    </w:p>
    <w:p w14:paraId="695D4E12" w14:textId="7E4E2832" w:rsidR="00397B44" w:rsidRPr="00C0765A" w:rsidRDefault="00AA5D66" w:rsidP="008F0BE1">
      <w:pPr>
        <w:rPr>
          <w:lang w:val="en-US"/>
        </w:rPr>
      </w:pPr>
      <w:r w:rsidRPr="00C0765A">
        <w:rPr>
          <w:lang w:val="en-US"/>
        </w:rPr>
        <w:t xml:space="preserve">Participants provided a </w:t>
      </w:r>
      <w:r w:rsidR="00E75695" w:rsidRPr="00C0765A">
        <w:rPr>
          <w:lang w:val="en-US"/>
        </w:rPr>
        <w:t>rating</w:t>
      </w:r>
      <w:r w:rsidRPr="00C0765A">
        <w:rPr>
          <w:lang w:val="en-US"/>
        </w:rPr>
        <w:t xml:space="preserve"> of their </w:t>
      </w:r>
      <w:r w:rsidR="00E75695" w:rsidRPr="00C0765A">
        <w:rPr>
          <w:lang w:val="en-US"/>
        </w:rPr>
        <w:t xml:space="preserve">subjective experienced arousal </w:t>
      </w:r>
      <w:r w:rsidRPr="00C0765A">
        <w:rPr>
          <w:lang w:val="en-US"/>
        </w:rPr>
        <w:t xml:space="preserve">using SAM, pre- and post-stimulation on both days. For descriptive statistics, see Table </w:t>
      </w:r>
      <w:r w:rsidR="00F84C00" w:rsidRPr="00C0765A">
        <w:rPr>
          <w:lang w:val="en-US"/>
        </w:rPr>
        <w:t>1</w:t>
      </w:r>
      <w:r w:rsidRPr="00C0765A">
        <w:rPr>
          <w:lang w:val="en-US"/>
        </w:rPr>
        <w:t xml:space="preserve">. </w:t>
      </w:r>
      <w:r w:rsidR="00230A09" w:rsidRPr="00C0765A">
        <w:rPr>
          <w:lang w:val="en-US"/>
        </w:rPr>
        <w:t xml:space="preserve">Results are shown graphically in Figure </w:t>
      </w:r>
      <w:r w:rsidR="007A5398" w:rsidRPr="00C0765A">
        <w:rPr>
          <w:lang w:val="en-US"/>
        </w:rPr>
        <w:t>2</w:t>
      </w:r>
      <w:r w:rsidR="00B44466" w:rsidRPr="00C0765A">
        <w:rPr>
          <w:lang w:val="en-US"/>
        </w:rPr>
        <w:t>C/D</w:t>
      </w:r>
      <w:r w:rsidR="00230A09" w:rsidRPr="00C0765A">
        <w:rPr>
          <w:lang w:val="en-US"/>
        </w:rPr>
        <w:t xml:space="preserve">. </w:t>
      </w:r>
      <w:r w:rsidRPr="00C0765A">
        <w:rPr>
          <w:lang w:val="en-US"/>
        </w:rPr>
        <w:t xml:space="preserve">We observed no main effect of </w:t>
      </w:r>
      <w:r w:rsidRPr="00C0765A">
        <w:rPr>
          <w:i/>
          <w:iCs/>
          <w:lang w:val="en-US"/>
        </w:rPr>
        <w:t>time</w:t>
      </w:r>
      <w:r w:rsidRPr="00C0765A">
        <w:rPr>
          <w:lang w:val="en-US"/>
        </w:rPr>
        <w:t>, i.e.</w:t>
      </w:r>
      <w:r w:rsidR="00723A32" w:rsidRPr="00C0765A">
        <w:rPr>
          <w:lang w:val="en-US"/>
        </w:rPr>
        <w:t xml:space="preserve"> </w:t>
      </w:r>
      <w:r w:rsidRPr="00C0765A">
        <w:rPr>
          <w:lang w:val="en-US"/>
        </w:rPr>
        <w:t xml:space="preserve">no significant change in </w:t>
      </w:r>
      <w:r w:rsidR="00E75695" w:rsidRPr="00C0765A">
        <w:rPr>
          <w:lang w:val="en-US"/>
        </w:rPr>
        <w:t xml:space="preserve">subjective experienced arousal </w:t>
      </w:r>
      <w:r w:rsidRPr="00C0765A">
        <w:rPr>
          <w:lang w:val="en-US"/>
        </w:rPr>
        <w:t>after the stimulation (</w:t>
      </w:r>
      <m:oMath>
        <m:r>
          <w:rPr>
            <w:rFonts w:ascii="Cambria Math" w:hAnsi="Cambria Math"/>
            <w:lang w:val="en-US"/>
          </w:rPr>
          <m:t>β</m:t>
        </m:r>
      </m:oMath>
      <w:r w:rsidRPr="00C0765A">
        <w:rPr>
          <w:lang w:val="en-US"/>
        </w:rPr>
        <w:t xml:space="preserve"> = 0.</w:t>
      </w:r>
      <w:r w:rsidR="00FD0F04" w:rsidRPr="00C0765A">
        <w:rPr>
          <w:lang w:val="en-US"/>
        </w:rPr>
        <w:t>04</w:t>
      </w:r>
      <w:r w:rsidRPr="00C0765A">
        <w:rPr>
          <w:lang w:val="en-US"/>
        </w:rPr>
        <w:t xml:space="preserve">, </w:t>
      </w:r>
      <w:r w:rsidRPr="00C0765A">
        <w:rPr>
          <w:i/>
          <w:iCs/>
          <w:lang w:val="en-US"/>
        </w:rPr>
        <w:t>CI</w:t>
      </w:r>
      <w:r w:rsidRPr="00C0765A">
        <w:rPr>
          <w:lang w:val="en-US"/>
        </w:rPr>
        <w:t xml:space="preserve"> = 0.</w:t>
      </w:r>
      <w:r w:rsidR="00FD0F04" w:rsidRPr="00C0765A">
        <w:rPr>
          <w:lang w:val="en-US"/>
        </w:rPr>
        <w:t>8</w:t>
      </w:r>
      <w:r w:rsidR="00AC7539" w:rsidRPr="00C0765A">
        <w:rPr>
          <w:lang w:val="en-US"/>
        </w:rPr>
        <w:t>1</w:t>
      </w:r>
      <w:r w:rsidRPr="00C0765A">
        <w:rPr>
          <w:lang w:val="en-US"/>
        </w:rPr>
        <w:t xml:space="preserve">, </w:t>
      </w:r>
      <w:r w:rsidRPr="00C0765A">
        <w:rPr>
          <w:i/>
          <w:iCs/>
          <w:lang w:val="en-US"/>
        </w:rPr>
        <w:t>p</w:t>
      </w:r>
      <w:r w:rsidRPr="00C0765A">
        <w:rPr>
          <w:lang w:val="en-US"/>
        </w:rPr>
        <w:t xml:space="preserve"> = 0.</w:t>
      </w:r>
      <w:r w:rsidR="00FD0F04" w:rsidRPr="00C0765A">
        <w:rPr>
          <w:lang w:val="en-US"/>
        </w:rPr>
        <w:t>85</w:t>
      </w:r>
      <w:r w:rsidRPr="00C0765A">
        <w:rPr>
          <w:lang w:val="en-US"/>
        </w:rPr>
        <w:t xml:space="preserve">, </w:t>
      </w:r>
      <m:oMath>
        <m:r>
          <w:rPr>
            <w:rFonts w:ascii="Cambria Math" w:hAnsi="Cambria Math"/>
            <w:lang w:val="en-US"/>
          </w:rPr>
          <m:t>Sβ</m:t>
        </m:r>
      </m:oMath>
      <w:r w:rsidRPr="00C0765A">
        <w:rPr>
          <w:lang w:val="en-US"/>
        </w:rPr>
        <w:t xml:space="preserve"> = 0.00). There was </w:t>
      </w:r>
      <w:r w:rsidR="007418A0" w:rsidRPr="00C0765A">
        <w:rPr>
          <w:lang w:val="en-US"/>
        </w:rPr>
        <w:t>no significant main</w:t>
      </w:r>
      <w:r w:rsidRPr="00C0765A">
        <w:rPr>
          <w:lang w:val="en-US"/>
        </w:rPr>
        <w:t xml:space="preserve"> effect of </w:t>
      </w:r>
      <w:r w:rsidRPr="00C0765A">
        <w:rPr>
          <w:i/>
          <w:iCs/>
          <w:lang w:val="en-US"/>
        </w:rPr>
        <w:t>condition</w:t>
      </w:r>
      <w:r w:rsidRPr="00C0765A">
        <w:rPr>
          <w:lang w:val="en-US"/>
        </w:rPr>
        <w:t xml:space="preserve"> (</w:t>
      </w:r>
      <m:oMath>
        <m:r>
          <w:rPr>
            <w:rFonts w:ascii="Cambria Math" w:hAnsi="Cambria Math"/>
            <w:lang w:val="en-US"/>
          </w:rPr>
          <m:t>β</m:t>
        </m:r>
      </m:oMath>
      <w:r w:rsidRPr="00C0765A">
        <w:rPr>
          <w:lang w:val="en-US"/>
        </w:rPr>
        <w:t xml:space="preserve"> = -0.</w:t>
      </w:r>
      <w:r w:rsidR="00AC7539" w:rsidRPr="00C0765A">
        <w:rPr>
          <w:lang w:val="en-US"/>
        </w:rPr>
        <w:t>19</w:t>
      </w:r>
      <w:r w:rsidRPr="00C0765A">
        <w:rPr>
          <w:lang w:val="en-US"/>
        </w:rPr>
        <w:t xml:space="preserve">, </w:t>
      </w:r>
      <w:r w:rsidRPr="00C0765A">
        <w:rPr>
          <w:i/>
          <w:iCs/>
          <w:lang w:val="en-US"/>
        </w:rPr>
        <w:t>CI</w:t>
      </w:r>
      <w:r w:rsidRPr="00C0765A">
        <w:rPr>
          <w:lang w:val="en-US"/>
        </w:rPr>
        <w:t xml:space="preserve"> = 0.</w:t>
      </w:r>
      <w:r w:rsidR="007418A0" w:rsidRPr="00C0765A">
        <w:rPr>
          <w:lang w:val="en-US"/>
        </w:rPr>
        <w:t>8</w:t>
      </w:r>
      <w:r w:rsidR="00AC7539" w:rsidRPr="00C0765A">
        <w:rPr>
          <w:lang w:val="en-US"/>
        </w:rPr>
        <w:t>1</w:t>
      </w:r>
      <w:r w:rsidRPr="00C0765A">
        <w:rPr>
          <w:lang w:val="en-US"/>
        </w:rPr>
        <w:t xml:space="preserve">, </w:t>
      </w:r>
      <w:r w:rsidRPr="00C0765A">
        <w:rPr>
          <w:i/>
          <w:iCs/>
          <w:lang w:val="en-US"/>
        </w:rPr>
        <w:t>p</w:t>
      </w:r>
      <w:r w:rsidRPr="00C0765A">
        <w:rPr>
          <w:lang w:val="en-US"/>
        </w:rPr>
        <w:t xml:space="preserve"> = 0.</w:t>
      </w:r>
      <w:r w:rsidR="00AC7539" w:rsidRPr="00C0765A">
        <w:rPr>
          <w:lang w:val="en-US"/>
        </w:rPr>
        <w:t>36</w:t>
      </w:r>
      <w:r w:rsidRPr="00C0765A">
        <w:rPr>
          <w:lang w:val="en-US"/>
        </w:rPr>
        <w:t xml:space="preserve">, </w:t>
      </w:r>
      <m:oMath>
        <m:r>
          <w:rPr>
            <w:rFonts w:ascii="Cambria Math" w:hAnsi="Cambria Math"/>
            <w:lang w:val="en-US"/>
          </w:rPr>
          <m:t>Sβ</m:t>
        </m:r>
      </m:oMath>
      <w:r w:rsidRPr="00C0765A">
        <w:rPr>
          <w:lang w:val="en-US"/>
        </w:rPr>
        <w:t xml:space="preserve"> = 0.</w:t>
      </w:r>
      <w:r w:rsidR="00AC7539" w:rsidRPr="00C0765A">
        <w:rPr>
          <w:lang w:val="en-US"/>
        </w:rPr>
        <w:t>0</w:t>
      </w:r>
      <w:r w:rsidR="007418A0" w:rsidRPr="00C0765A">
        <w:rPr>
          <w:lang w:val="en-US"/>
        </w:rPr>
        <w:t>0</w:t>
      </w:r>
      <w:r w:rsidRPr="00C0765A">
        <w:rPr>
          <w:lang w:val="en-US"/>
        </w:rPr>
        <w:t>),</w:t>
      </w:r>
      <w:r w:rsidR="00FD2619" w:rsidRPr="00C0765A">
        <w:rPr>
          <w:lang w:val="en-US"/>
        </w:rPr>
        <w:t xml:space="preserve"> </w:t>
      </w:r>
      <w:r w:rsidR="00696155" w:rsidRPr="00C0765A">
        <w:rPr>
          <w:lang w:val="en-US"/>
        </w:rPr>
        <w:t>however</w:t>
      </w:r>
      <w:r w:rsidR="00B33394" w:rsidRPr="00C0765A">
        <w:rPr>
          <w:lang w:val="en-US"/>
        </w:rPr>
        <w:t xml:space="preserve"> a significant</w:t>
      </w:r>
      <w:r w:rsidRPr="00C0765A">
        <w:rPr>
          <w:lang w:val="en-US"/>
        </w:rPr>
        <w:t xml:space="preserve"> interaction </w:t>
      </w:r>
      <w:r w:rsidR="00B33394" w:rsidRPr="00C0765A">
        <w:rPr>
          <w:lang w:val="en-US"/>
        </w:rPr>
        <w:t xml:space="preserve">was found </w:t>
      </w:r>
      <w:r w:rsidRPr="00C0765A">
        <w:rPr>
          <w:lang w:val="en-US"/>
        </w:rPr>
        <w:t xml:space="preserve">between </w:t>
      </w:r>
      <w:r w:rsidRPr="00C0765A">
        <w:rPr>
          <w:i/>
          <w:iCs/>
          <w:lang w:val="en-US"/>
        </w:rPr>
        <w:t>condition</w:t>
      </w:r>
      <w:r w:rsidRPr="00C0765A">
        <w:rPr>
          <w:lang w:val="en-US"/>
        </w:rPr>
        <w:t xml:space="preserve"> and </w:t>
      </w:r>
      <w:r w:rsidRPr="00C0765A">
        <w:rPr>
          <w:i/>
          <w:iCs/>
          <w:lang w:val="en-US"/>
        </w:rPr>
        <w:t>time</w:t>
      </w:r>
      <w:r w:rsidRPr="00C0765A">
        <w:rPr>
          <w:lang w:val="en-US"/>
        </w:rPr>
        <w:t xml:space="preserve"> (</w:t>
      </w:r>
      <m:oMath>
        <m:r>
          <w:rPr>
            <w:rFonts w:ascii="Cambria Math" w:hAnsi="Cambria Math"/>
            <w:lang w:val="en-US"/>
          </w:rPr>
          <m:t>β</m:t>
        </m:r>
      </m:oMath>
      <w:r w:rsidRPr="00C0765A">
        <w:rPr>
          <w:lang w:val="en-US"/>
        </w:rPr>
        <w:t xml:space="preserve"> = 0.</w:t>
      </w:r>
      <w:r w:rsidR="00B33394" w:rsidRPr="00C0765A">
        <w:rPr>
          <w:lang w:val="en-US"/>
        </w:rPr>
        <w:t>8</w:t>
      </w:r>
      <w:r w:rsidR="00386CCD" w:rsidRPr="00C0765A">
        <w:rPr>
          <w:lang w:val="en-US"/>
        </w:rPr>
        <w:t>8</w:t>
      </w:r>
      <w:r w:rsidRPr="00C0765A">
        <w:rPr>
          <w:lang w:val="en-US"/>
        </w:rPr>
        <w:t xml:space="preserve">, </w:t>
      </w:r>
      <w:r w:rsidRPr="00C0765A">
        <w:rPr>
          <w:i/>
          <w:iCs/>
          <w:lang w:val="en-US"/>
        </w:rPr>
        <w:t>CI</w:t>
      </w:r>
      <w:r w:rsidRPr="00C0765A">
        <w:rPr>
          <w:lang w:val="en-US"/>
        </w:rPr>
        <w:t xml:space="preserve"> = 1.</w:t>
      </w:r>
      <w:r w:rsidR="00AC7539" w:rsidRPr="00C0765A">
        <w:rPr>
          <w:lang w:val="en-US"/>
        </w:rPr>
        <w:t>59</w:t>
      </w:r>
      <w:r w:rsidRPr="00C0765A">
        <w:rPr>
          <w:lang w:val="en-US"/>
        </w:rPr>
        <w:t xml:space="preserve">, </w:t>
      </w:r>
      <w:r w:rsidRPr="00C0765A">
        <w:rPr>
          <w:i/>
          <w:iCs/>
          <w:lang w:val="en-US"/>
        </w:rPr>
        <w:t>p</w:t>
      </w:r>
      <w:r w:rsidRPr="00C0765A">
        <w:rPr>
          <w:lang w:val="en-US"/>
        </w:rPr>
        <w:t xml:space="preserve"> = 0.</w:t>
      </w:r>
      <w:r w:rsidR="00B33394" w:rsidRPr="00C0765A">
        <w:rPr>
          <w:lang w:val="en-US"/>
        </w:rPr>
        <w:t>03</w:t>
      </w:r>
      <w:r w:rsidRPr="00C0765A">
        <w:rPr>
          <w:lang w:val="en-US"/>
        </w:rPr>
        <w:t xml:space="preserve">, </w:t>
      </w:r>
      <m:oMath>
        <m:r>
          <w:rPr>
            <w:rFonts w:ascii="Cambria Math" w:hAnsi="Cambria Math"/>
            <w:lang w:val="en-US"/>
          </w:rPr>
          <m:t>Sβ</m:t>
        </m:r>
      </m:oMath>
      <w:r w:rsidRPr="00C0765A">
        <w:rPr>
          <w:lang w:val="en-US"/>
        </w:rPr>
        <w:t xml:space="preserve"> = 0.</w:t>
      </w:r>
      <w:r w:rsidR="00B33394" w:rsidRPr="00C0765A">
        <w:rPr>
          <w:lang w:val="en-US"/>
        </w:rPr>
        <w:t>36</w:t>
      </w:r>
      <w:r w:rsidRPr="00C0765A">
        <w:rPr>
          <w:lang w:val="en-US"/>
        </w:rPr>
        <w:t xml:space="preserve">) </w:t>
      </w:r>
      <w:r w:rsidR="00696155" w:rsidRPr="00C0765A">
        <w:rPr>
          <w:lang w:val="en-US"/>
        </w:rPr>
        <w:t>indicating</w:t>
      </w:r>
      <w:r w:rsidR="00741138" w:rsidRPr="00C0765A">
        <w:rPr>
          <w:lang w:val="en-US"/>
        </w:rPr>
        <w:t xml:space="preserve"> </w:t>
      </w:r>
      <w:r w:rsidR="004D7187" w:rsidRPr="00C0765A">
        <w:rPr>
          <w:lang w:val="en-US"/>
        </w:rPr>
        <w:t>the higher</w:t>
      </w:r>
      <w:r w:rsidR="007E3687" w:rsidRPr="00C0765A">
        <w:rPr>
          <w:lang w:val="en-US"/>
        </w:rPr>
        <w:t xml:space="preserve"> end-stimulation</w:t>
      </w:r>
      <w:r w:rsidR="00741138" w:rsidRPr="00C0765A">
        <w:rPr>
          <w:lang w:val="en-US"/>
        </w:rPr>
        <w:t xml:space="preserve"> increase</w:t>
      </w:r>
      <w:r w:rsidR="007E3687" w:rsidRPr="00C0765A">
        <w:rPr>
          <w:lang w:val="en-US"/>
        </w:rPr>
        <w:t xml:space="preserve"> in</w:t>
      </w:r>
      <w:r w:rsidRPr="00C0765A">
        <w:rPr>
          <w:lang w:val="en-US"/>
        </w:rPr>
        <w:t xml:space="preserve"> </w:t>
      </w:r>
      <w:r w:rsidR="00E04E5D" w:rsidRPr="00C0765A">
        <w:rPr>
          <w:lang w:val="en-US"/>
        </w:rPr>
        <w:t>arousal</w:t>
      </w:r>
      <w:r w:rsidRPr="00C0765A">
        <w:rPr>
          <w:lang w:val="en-US"/>
        </w:rPr>
        <w:t xml:space="preserve"> ratings</w:t>
      </w:r>
      <w:r w:rsidR="007E3687" w:rsidRPr="00C0765A">
        <w:rPr>
          <w:lang w:val="en-US"/>
        </w:rPr>
        <w:t xml:space="preserve"> in the </w:t>
      </w:r>
      <w:proofErr w:type="spellStart"/>
      <w:r w:rsidR="007E3687" w:rsidRPr="00C0765A">
        <w:rPr>
          <w:lang w:val="en-US"/>
        </w:rPr>
        <w:t>taVNS</w:t>
      </w:r>
      <w:proofErr w:type="spellEnd"/>
      <w:r w:rsidR="007E3687" w:rsidRPr="00C0765A">
        <w:rPr>
          <w:lang w:val="en-US"/>
        </w:rPr>
        <w:t xml:space="preserve"> condition</w:t>
      </w:r>
      <w:r w:rsidRPr="00C0765A">
        <w:rPr>
          <w:lang w:val="en-US"/>
        </w:rPr>
        <w:t>.</w:t>
      </w:r>
      <w:bookmarkEnd w:id="4"/>
    </w:p>
    <w:p w14:paraId="1957B99B" w14:textId="77777777" w:rsidR="008F0BE1" w:rsidRPr="00C0765A" w:rsidRDefault="008F0BE1" w:rsidP="008F0BE1">
      <w:pPr>
        <w:rPr>
          <w:lang w:val="en-US"/>
        </w:rPr>
      </w:pPr>
    </w:p>
    <w:p w14:paraId="7D5F84BD" w14:textId="77777777" w:rsidR="008F0BE1" w:rsidRPr="00C0765A" w:rsidRDefault="008F0BE1" w:rsidP="008F0BE1">
      <w:pPr>
        <w:rPr>
          <w:lang w:val="en-US"/>
        </w:rPr>
      </w:pPr>
    </w:p>
    <w:p w14:paraId="0C145AEE" w14:textId="77777777" w:rsidR="008F0BE1" w:rsidRPr="00C0765A" w:rsidRDefault="008F0BE1" w:rsidP="008F0BE1">
      <w:pPr>
        <w:rPr>
          <w:lang w:val="en-US"/>
        </w:rPr>
      </w:pPr>
    </w:p>
    <w:p w14:paraId="556434AC" w14:textId="77777777" w:rsidR="008F0BE1" w:rsidRPr="00C0765A" w:rsidRDefault="008F0BE1" w:rsidP="008F0BE1">
      <w:pPr>
        <w:rPr>
          <w:lang w:val="en-US"/>
        </w:rPr>
      </w:pPr>
    </w:p>
    <w:p w14:paraId="0878F8BB" w14:textId="77777777" w:rsidR="008F0BE1" w:rsidRPr="00C0765A" w:rsidRDefault="008F0BE1" w:rsidP="008F0BE1">
      <w:pPr>
        <w:rPr>
          <w:lang w:val="en-US"/>
        </w:rPr>
      </w:pPr>
    </w:p>
    <w:p w14:paraId="0165353A" w14:textId="77777777" w:rsidR="008F0BE1" w:rsidRPr="00C0765A" w:rsidRDefault="008F0BE1" w:rsidP="008F0BE1">
      <w:pPr>
        <w:rPr>
          <w:lang w:val="en-US"/>
        </w:rPr>
      </w:pPr>
    </w:p>
    <w:p w14:paraId="456E5618" w14:textId="6E6F547F" w:rsidR="00310DEC" w:rsidRPr="00C0765A" w:rsidRDefault="00310DEC" w:rsidP="00310DEC">
      <w:pPr>
        <w:pStyle w:val="Caption"/>
        <w:keepNext/>
        <w:rPr>
          <w:lang w:val="en-US"/>
        </w:rPr>
      </w:pPr>
      <w:r w:rsidRPr="00C0765A">
        <w:rPr>
          <w:b/>
          <w:bCs/>
          <w:lang w:val="en-US"/>
        </w:rPr>
        <w:t xml:space="preserve">Table </w:t>
      </w:r>
      <w:r w:rsidRPr="00C0765A">
        <w:rPr>
          <w:b/>
          <w:bCs/>
        </w:rPr>
        <w:fldChar w:fldCharType="begin"/>
      </w:r>
      <w:r w:rsidRPr="00C0765A">
        <w:rPr>
          <w:b/>
          <w:bCs/>
          <w:lang w:val="en-US"/>
        </w:rPr>
        <w:instrText xml:space="preserve"> SEQ Table \* ARABIC </w:instrText>
      </w:r>
      <w:r w:rsidRPr="00C0765A">
        <w:rPr>
          <w:b/>
          <w:bCs/>
        </w:rPr>
        <w:fldChar w:fldCharType="separate"/>
      </w:r>
      <w:r w:rsidR="00F74AF7" w:rsidRPr="00C0765A">
        <w:rPr>
          <w:b/>
          <w:bCs/>
          <w:noProof/>
          <w:lang w:val="en-US"/>
        </w:rPr>
        <w:t>1</w:t>
      </w:r>
      <w:r w:rsidRPr="00C0765A">
        <w:rPr>
          <w:b/>
          <w:bCs/>
        </w:rPr>
        <w:fldChar w:fldCharType="end"/>
      </w:r>
      <w:r w:rsidR="00B12F28" w:rsidRPr="00C0765A">
        <w:rPr>
          <w:lang w:val="en-US"/>
        </w:rPr>
        <w:t xml:space="preserve"> Descriptive statistics for the NA markers</w:t>
      </w:r>
      <w:r w:rsidR="00D17083" w:rsidRPr="00C0765A">
        <w:rPr>
          <w:lang w:val="en-US"/>
        </w:rPr>
        <w:t>:</w:t>
      </w:r>
      <w:r w:rsidR="001310B2" w:rsidRPr="00C0765A">
        <w:rPr>
          <w:lang w:val="en-US"/>
        </w:rPr>
        <w:t xml:space="preserve"> salivary alpha-amylase (</w:t>
      </w:r>
      <w:proofErr w:type="spellStart"/>
      <w:r w:rsidR="001310B2" w:rsidRPr="00C0765A">
        <w:rPr>
          <w:lang w:val="en-US"/>
        </w:rPr>
        <w:t>sAA</w:t>
      </w:r>
      <w:proofErr w:type="spellEnd"/>
      <w:r w:rsidR="001310B2" w:rsidRPr="00C0765A">
        <w:rPr>
          <w:lang w:val="en-US"/>
        </w:rPr>
        <w:t>) concentration (</w:t>
      </w:r>
      <m:oMath>
        <m:rad>
          <m:radPr>
            <m:degHide m:val="1"/>
            <m:ctrlPr>
              <w:rPr>
                <w:rFonts w:ascii="Cambria Math" w:hAnsi="Cambria Math"/>
                <w:lang w:val="en-US"/>
              </w:rPr>
            </m:ctrlPr>
          </m:radPr>
          <m:deg/>
          <m:e>
            <m:r>
              <w:rPr>
                <w:rFonts w:ascii="Cambria Math" w:hAnsi="Cambria Math"/>
                <w:lang w:val="en-US"/>
              </w:rPr>
              <m:t>(U</m:t>
            </m:r>
          </m:e>
        </m:rad>
        <m:r>
          <w:rPr>
            <w:rFonts w:ascii="Cambria Math" w:hAnsi="Cambria Math"/>
            <w:lang w:val="en-US"/>
          </w:rPr>
          <m:t>/ml))</m:t>
        </m:r>
      </m:oMath>
      <w:r w:rsidR="00D17083" w:rsidRPr="00C0765A">
        <w:rPr>
          <w:lang w:val="en-US"/>
        </w:rPr>
        <w:t xml:space="preserve"> and </w:t>
      </w:r>
      <w:r w:rsidR="00E75695" w:rsidRPr="00C0765A">
        <w:rPr>
          <w:lang w:val="en-US"/>
        </w:rPr>
        <w:t xml:space="preserve">subjective experienced arousal </w:t>
      </w:r>
      <w:r w:rsidR="00D17083" w:rsidRPr="00C0765A">
        <w:rPr>
          <w:lang w:val="en-US"/>
        </w:rPr>
        <w:t>(Self-Assessment Manikin ratings)</w:t>
      </w:r>
    </w:p>
    <w:tbl>
      <w:tblPr>
        <w:tblStyle w:val="TableGrid"/>
        <w:tblW w:w="0" w:type="auto"/>
        <w:tblInd w:w="-147" w:type="dxa"/>
        <w:tblLayout w:type="fixed"/>
        <w:tblLook w:val="04A0" w:firstRow="1" w:lastRow="0" w:firstColumn="1" w:lastColumn="0" w:noHBand="0" w:noVBand="1"/>
      </w:tblPr>
      <w:tblGrid>
        <w:gridCol w:w="649"/>
        <w:gridCol w:w="1053"/>
        <w:gridCol w:w="1087"/>
        <w:gridCol w:w="1039"/>
        <w:gridCol w:w="1101"/>
        <w:gridCol w:w="1025"/>
        <w:gridCol w:w="1115"/>
        <w:gridCol w:w="1011"/>
        <w:gridCol w:w="1129"/>
      </w:tblGrid>
      <w:tr w:rsidR="00F0097B" w:rsidRPr="00C0765A" w14:paraId="65A545E2" w14:textId="77777777" w:rsidTr="00B839E8">
        <w:tc>
          <w:tcPr>
            <w:tcW w:w="649" w:type="dxa"/>
            <w:tcBorders>
              <w:top w:val="nil"/>
              <w:left w:val="nil"/>
              <w:bottom w:val="nil"/>
            </w:tcBorders>
          </w:tcPr>
          <w:p w14:paraId="10B28772" w14:textId="77777777" w:rsidR="00F0097B" w:rsidRPr="00C0765A" w:rsidRDefault="00F0097B" w:rsidP="008F0BE1">
            <w:pPr>
              <w:ind w:firstLine="0"/>
              <w:rPr>
                <w:lang w:val="en-US"/>
              </w:rPr>
            </w:pPr>
          </w:p>
        </w:tc>
        <w:tc>
          <w:tcPr>
            <w:tcW w:w="4280" w:type="dxa"/>
            <w:gridSpan w:val="4"/>
            <w:tcBorders>
              <w:right w:val="single" w:sz="12" w:space="0" w:color="auto"/>
            </w:tcBorders>
            <w:shd w:val="clear" w:color="auto" w:fill="E8E8E8" w:themeFill="background2"/>
          </w:tcPr>
          <w:p w14:paraId="03094A78" w14:textId="4729098B" w:rsidR="00F0097B" w:rsidRPr="00C0765A" w:rsidRDefault="00F0097B" w:rsidP="00454FE6">
            <w:pPr>
              <w:ind w:firstLine="0"/>
              <w:jc w:val="center"/>
              <w:rPr>
                <w:b/>
                <w:bCs/>
                <w:lang w:val="en-US"/>
              </w:rPr>
            </w:pPr>
            <w:proofErr w:type="spellStart"/>
            <w:r w:rsidRPr="00C0765A">
              <w:rPr>
                <w:b/>
                <w:bCs/>
                <w:lang w:val="en-US"/>
              </w:rPr>
              <w:t>taVNS</w:t>
            </w:r>
            <w:proofErr w:type="spellEnd"/>
          </w:p>
        </w:tc>
        <w:tc>
          <w:tcPr>
            <w:tcW w:w="4280" w:type="dxa"/>
            <w:gridSpan w:val="4"/>
            <w:tcBorders>
              <w:left w:val="single" w:sz="12" w:space="0" w:color="auto"/>
            </w:tcBorders>
            <w:shd w:val="clear" w:color="auto" w:fill="E8E8E8" w:themeFill="background2"/>
          </w:tcPr>
          <w:p w14:paraId="37F24DF3" w14:textId="364C6F3D" w:rsidR="00F0097B" w:rsidRPr="00C0765A" w:rsidRDefault="00F0097B" w:rsidP="00454FE6">
            <w:pPr>
              <w:ind w:firstLine="0"/>
              <w:jc w:val="center"/>
              <w:rPr>
                <w:b/>
                <w:bCs/>
                <w:lang w:val="en-US"/>
              </w:rPr>
            </w:pPr>
            <w:r w:rsidRPr="00C0765A">
              <w:rPr>
                <w:b/>
                <w:bCs/>
                <w:lang w:val="en-US"/>
              </w:rPr>
              <w:t>Sham</w:t>
            </w:r>
          </w:p>
        </w:tc>
      </w:tr>
      <w:tr w:rsidR="00F0097B" w:rsidRPr="00C0765A" w14:paraId="0CB483DD" w14:textId="77777777" w:rsidTr="00B839E8">
        <w:tc>
          <w:tcPr>
            <w:tcW w:w="649" w:type="dxa"/>
            <w:tcBorders>
              <w:top w:val="nil"/>
              <w:left w:val="nil"/>
              <w:bottom w:val="nil"/>
            </w:tcBorders>
          </w:tcPr>
          <w:p w14:paraId="1076CA71" w14:textId="77777777" w:rsidR="00F0097B" w:rsidRPr="00C0765A" w:rsidRDefault="00F0097B" w:rsidP="00AE53B1">
            <w:pPr>
              <w:ind w:firstLine="0"/>
              <w:rPr>
                <w:lang w:val="en-US"/>
              </w:rPr>
            </w:pPr>
          </w:p>
        </w:tc>
        <w:tc>
          <w:tcPr>
            <w:tcW w:w="2140" w:type="dxa"/>
            <w:gridSpan w:val="2"/>
          </w:tcPr>
          <w:p w14:paraId="33C184E9" w14:textId="3E308051" w:rsidR="00F0097B" w:rsidRPr="00C0765A" w:rsidRDefault="00F0097B" w:rsidP="00454FE6">
            <w:pPr>
              <w:ind w:firstLine="0"/>
              <w:jc w:val="center"/>
              <w:rPr>
                <w:b/>
                <w:bCs/>
                <w:lang w:val="en-US"/>
              </w:rPr>
            </w:pPr>
            <w:r w:rsidRPr="00C0765A">
              <w:rPr>
                <w:b/>
                <w:bCs/>
                <w:lang w:val="en-US"/>
              </w:rPr>
              <w:t>Pre-stimulation</w:t>
            </w:r>
          </w:p>
        </w:tc>
        <w:tc>
          <w:tcPr>
            <w:tcW w:w="2140" w:type="dxa"/>
            <w:gridSpan w:val="2"/>
            <w:tcBorders>
              <w:right w:val="single" w:sz="12" w:space="0" w:color="auto"/>
            </w:tcBorders>
          </w:tcPr>
          <w:p w14:paraId="0F5825D6" w14:textId="1E62DE73" w:rsidR="00F0097B" w:rsidRPr="00C0765A" w:rsidRDefault="00310DEC" w:rsidP="00454FE6">
            <w:pPr>
              <w:ind w:firstLine="0"/>
              <w:jc w:val="center"/>
              <w:rPr>
                <w:b/>
                <w:bCs/>
                <w:lang w:val="en-US"/>
              </w:rPr>
            </w:pPr>
            <w:r w:rsidRPr="00C0765A">
              <w:rPr>
                <w:b/>
                <w:bCs/>
                <w:lang w:val="en-US"/>
              </w:rPr>
              <w:t>End</w:t>
            </w:r>
            <w:r w:rsidR="00F0097B" w:rsidRPr="00C0765A">
              <w:rPr>
                <w:b/>
                <w:bCs/>
                <w:lang w:val="en-US"/>
              </w:rPr>
              <w:t>-stimulation</w:t>
            </w:r>
          </w:p>
        </w:tc>
        <w:tc>
          <w:tcPr>
            <w:tcW w:w="2140" w:type="dxa"/>
            <w:gridSpan w:val="2"/>
            <w:tcBorders>
              <w:left w:val="single" w:sz="12" w:space="0" w:color="auto"/>
            </w:tcBorders>
          </w:tcPr>
          <w:p w14:paraId="59847ADE" w14:textId="5D70B03D" w:rsidR="00F0097B" w:rsidRPr="00C0765A" w:rsidRDefault="00F0097B" w:rsidP="00454FE6">
            <w:pPr>
              <w:ind w:firstLine="0"/>
              <w:jc w:val="center"/>
              <w:rPr>
                <w:b/>
                <w:bCs/>
                <w:lang w:val="en-US"/>
              </w:rPr>
            </w:pPr>
            <w:r w:rsidRPr="00C0765A">
              <w:rPr>
                <w:b/>
                <w:bCs/>
                <w:lang w:val="en-US"/>
              </w:rPr>
              <w:t>Pre-stimulation</w:t>
            </w:r>
          </w:p>
        </w:tc>
        <w:tc>
          <w:tcPr>
            <w:tcW w:w="2140" w:type="dxa"/>
            <w:gridSpan w:val="2"/>
          </w:tcPr>
          <w:p w14:paraId="74556FF2" w14:textId="64FC0E4F" w:rsidR="00F0097B" w:rsidRPr="00C0765A" w:rsidRDefault="00310DEC" w:rsidP="00454FE6">
            <w:pPr>
              <w:ind w:firstLine="0"/>
              <w:jc w:val="center"/>
              <w:rPr>
                <w:b/>
                <w:bCs/>
                <w:lang w:val="en-US"/>
              </w:rPr>
            </w:pPr>
            <w:r w:rsidRPr="00C0765A">
              <w:rPr>
                <w:b/>
                <w:bCs/>
                <w:lang w:val="en-US"/>
              </w:rPr>
              <w:t>End</w:t>
            </w:r>
            <w:r w:rsidR="00F0097B" w:rsidRPr="00C0765A">
              <w:rPr>
                <w:b/>
                <w:bCs/>
                <w:lang w:val="en-US"/>
              </w:rPr>
              <w:t>-stimulation</w:t>
            </w:r>
          </w:p>
        </w:tc>
      </w:tr>
      <w:tr w:rsidR="00AE53B1" w:rsidRPr="00C0765A" w14:paraId="1DBA9EEC" w14:textId="77777777" w:rsidTr="00B839E8">
        <w:tc>
          <w:tcPr>
            <w:tcW w:w="649" w:type="dxa"/>
            <w:tcBorders>
              <w:top w:val="nil"/>
              <w:left w:val="nil"/>
            </w:tcBorders>
          </w:tcPr>
          <w:p w14:paraId="04336CF6" w14:textId="77777777" w:rsidR="00AE53B1" w:rsidRPr="00C0765A" w:rsidRDefault="00AE53B1" w:rsidP="00AE53B1">
            <w:pPr>
              <w:ind w:firstLine="0"/>
              <w:rPr>
                <w:lang w:val="en-US"/>
              </w:rPr>
            </w:pPr>
          </w:p>
        </w:tc>
        <w:tc>
          <w:tcPr>
            <w:tcW w:w="1053" w:type="dxa"/>
          </w:tcPr>
          <w:p w14:paraId="43E7CB45" w14:textId="5CD7BDC3" w:rsidR="00AE53B1" w:rsidRPr="00C0765A" w:rsidRDefault="00AE53B1" w:rsidP="00454FE6">
            <w:pPr>
              <w:ind w:firstLine="0"/>
              <w:jc w:val="center"/>
              <w:rPr>
                <w:lang w:val="en-US"/>
              </w:rPr>
            </w:pPr>
            <w:proofErr w:type="spellStart"/>
            <w:r w:rsidRPr="00C0765A">
              <w:rPr>
                <w:lang w:val="en-US"/>
              </w:rPr>
              <w:t>sAA</w:t>
            </w:r>
            <w:proofErr w:type="spellEnd"/>
          </w:p>
        </w:tc>
        <w:tc>
          <w:tcPr>
            <w:tcW w:w="1087" w:type="dxa"/>
          </w:tcPr>
          <w:p w14:paraId="2E6DEEDC" w14:textId="52F93607" w:rsidR="00AE53B1" w:rsidRPr="00C0765A" w:rsidRDefault="00AE53B1" w:rsidP="00454FE6">
            <w:pPr>
              <w:ind w:firstLine="0"/>
              <w:jc w:val="center"/>
              <w:rPr>
                <w:lang w:val="en-US"/>
              </w:rPr>
            </w:pPr>
            <w:r w:rsidRPr="00C0765A">
              <w:rPr>
                <w:lang w:val="en-US"/>
              </w:rPr>
              <w:t>Arousal</w:t>
            </w:r>
          </w:p>
        </w:tc>
        <w:tc>
          <w:tcPr>
            <w:tcW w:w="1039" w:type="dxa"/>
          </w:tcPr>
          <w:p w14:paraId="4A712AC3" w14:textId="282197CF" w:rsidR="00AE53B1" w:rsidRPr="00C0765A" w:rsidRDefault="00AE53B1" w:rsidP="00454FE6">
            <w:pPr>
              <w:ind w:firstLine="0"/>
              <w:jc w:val="center"/>
              <w:rPr>
                <w:lang w:val="en-US"/>
              </w:rPr>
            </w:pPr>
            <w:proofErr w:type="spellStart"/>
            <w:r w:rsidRPr="00C0765A">
              <w:rPr>
                <w:lang w:val="en-US"/>
              </w:rPr>
              <w:t>sAA</w:t>
            </w:r>
            <w:proofErr w:type="spellEnd"/>
          </w:p>
        </w:tc>
        <w:tc>
          <w:tcPr>
            <w:tcW w:w="1101" w:type="dxa"/>
            <w:tcBorders>
              <w:right w:val="single" w:sz="12" w:space="0" w:color="auto"/>
            </w:tcBorders>
          </w:tcPr>
          <w:p w14:paraId="7282678F" w14:textId="3E7836B2" w:rsidR="00AE53B1" w:rsidRPr="00C0765A" w:rsidRDefault="00AE53B1" w:rsidP="00454FE6">
            <w:pPr>
              <w:ind w:firstLine="0"/>
              <w:jc w:val="center"/>
              <w:rPr>
                <w:lang w:val="en-US"/>
              </w:rPr>
            </w:pPr>
            <w:r w:rsidRPr="00C0765A">
              <w:rPr>
                <w:lang w:val="en-US"/>
              </w:rPr>
              <w:t>Arousal</w:t>
            </w:r>
          </w:p>
        </w:tc>
        <w:tc>
          <w:tcPr>
            <w:tcW w:w="1025" w:type="dxa"/>
            <w:tcBorders>
              <w:left w:val="single" w:sz="12" w:space="0" w:color="auto"/>
            </w:tcBorders>
          </w:tcPr>
          <w:p w14:paraId="0FCBC84C" w14:textId="4C50F536" w:rsidR="00AE53B1" w:rsidRPr="00C0765A" w:rsidRDefault="00AE53B1" w:rsidP="00454FE6">
            <w:pPr>
              <w:ind w:firstLine="0"/>
              <w:jc w:val="center"/>
              <w:rPr>
                <w:lang w:val="en-US"/>
              </w:rPr>
            </w:pPr>
            <w:proofErr w:type="spellStart"/>
            <w:r w:rsidRPr="00C0765A">
              <w:rPr>
                <w:lang w:val="en-US"/>
              </w:rPr>
              <w:t>sAA</w:t>
            </w:r>
            <w:proofErr w:type="spellEnd"/>
          </w:p>
        </w:tc>
        <w:tc>
          <w:tcPr>
            <w:tcW w:w="1115" w:type="dxa"/>
          </w:tcPr>
          <w:p w14:paraId="17CFBC17" w14:textId="58DBF142" w:rsidR="00AE53B1" w:rsidRPr="00C0765A" w:rsidRDefault="00AE53B1" w:rsidP="00454FE6">
            <w:pPr>
              <w:ind w:firstLine="0"/>
              <w:jc w:val="center"/>
              <w:rPr>
                <w:lang w:val="en-US"/>
              </w:rPr>
            </w:pPr>
            <w:r w:rsidRPr="00C0765A">
              <w:rPr>
                <w:lang w:val="en-US"/>
              </w:rPr>
              <w:t>Arousal</w:t>
            </w:r>
          </w:p>
        </w:tc>
        <w:tc>
          <w:tcPr>
            <w:tcW w:w="1011" w:type="dxa"/>
          </w:tcPr>
          <w:p w14:paraId="176F85D7" w14:textId="08C34640" w:rsidR="00AE53B1" w:rsidRPr="00C0765A" w:rsidRDefault="00AE53B1" w:rsidP="00454FE6">
            <w:pPr>
              <w:ind w:firstLine="0"/>
              <w:jc w:val="center"/>
              <w:rPr>
                <w:lang w:val="en-US"/>
              </w:rPr>
            </w:pPr>
            <w:proofErr w:type="spellStart"/>
            <w:r w:rsidRPr="00C0765A">
              <w:rPr>
                <w:lang w:val="en-US"/>
              </w:rPr>
              <w:t>sAA</w:t>
            </w:r>
            <w:proofErr w:type="spellEnd"/>
          </w:p>
        </w:tc>
        <w:tc>
          <w:tcPr>
            <w:tcW w:w="1129" w:type="dxa"/>
          </w:tcPr>
          <w:p w14:paraId="2C6E4786" w14:textId="466AAD7D" w:rsidR="00AE53B1" w:rsidRPr="00C0765A" w:rsidRDefault="00AE53B1" w:rsidP="00454FE6">
            <w:pPr>
              <w:ind w:firstLine="0"/>
              <w:jc w:val="center"/>
              <w:rPr>
                <w:lang w:val="en-US"/>
              </w:rPr>
            </w:pPr>
            <w:r w:rsidRPr="00C0765A">
              <w:rPr>
                <w:lang w:val="en-US"/>
              </w:rPr>
              <w:t>Arousal</w:t>
            </w:r>
          </w:p>
        </w:tc>
      </w:tr>
      <w:tr w:rsidR="00E82D51" w:rsidRPr="00C0765A" w14:paraId="1EF53EA8" w14:textId="77777777" w:rsidTr="00B839E8">
        <w:tc>
          <w:tcPr>
            <w:tcW w:w="649" w:type="dxa"/>
          </w:tcPr>
          <w:p w14:paraId="1B6F82E7" w14:textId="6B46E5D9" w:rsidR="00E82D51" w:rsidRPr="00C0765A" w:rsidRDefault="00E82D51" w:rsidP="00E82D51">
            <w:pPr>
              <w:ind w:firstLine="0"/>
              <w:rPr>
                <w:i/>
                <w:iCs/>
                <w:lang w:val="en-US"/>
              </w:rPr>
            </w:pPr>
            <w:r w:rsidRPr="00C0765A">
              <w:rPr>
                <w:i/>
                <w:iCs/>
                <w:lang w:val="en-US"/>
              </w:rPr>
              <w:t>M</w:t>
            </w:r>
          </w:p>
        </w:tc>
        <w:tc>
          <w:tcPr>
            <w:tcW w:w="1053" w:type="dxa"/>
          </w:tcPr>
          <w:p w14:paraId="1FFD901E" w14:textId="7555719F" w:rsidR="00E82D51" w:rsidRPr="00C0765A" w:rsidRDefault="00E82D51" w:rsidP="00E82D51">
            <w:pPr>
              <w:ind w:firstLine="0"/>
              <w:rPr>
                <w:lang w:val="en-US"/>
              </w:rPr>
            </w:pPr>
            <w:r w:rsidRPr="00C0765A">
              <w:rPr>
                <w:lang w:val="en-US"/>
              </w:rPr>
              <w:t>6.45</w:t>
            </w:r>
          </w:p>
        </w:tc>
        <w:tc>
          <w:tcPr>
            <w:tcW w:w="1087" w:type="dxa"/>
          </w:tcPr>
          <w:p w14:paraId="5D8E8B37" w14:textId="517134A4" w:rsidR="00E82D51" w:rsidRPr="00C0765A" w:rsidRDefault="00E82D51" w:rsidP="00E82D51">
            <w:pPr>
              <w:ind w:firstLine="0"/>
              <w:rPr>
                <w:lang w:val="en-US"/>
              </w:rPr>
            </w:pPr>
            <w:r w:rsidRPr="00C0765A">
              <w:rPr>
                <w:lang w:val="en-US"/>
              </w:rPr>
              <w:t>3.41</w:t>
            </w:r>
          </w:p>
        </w:tc>
        <w:tc>
          <w:tcPr>
            <w:tcW w:w="1039" w:type="dxa"/>
          </w:tcPr>
          <w:p w14:paraId="407F9F49" w14:textId="32C60F53" w:rsidR="00E82D51" w:rsidRPr="00C0765A" w:rsidRDefault="00E82D51" w:rsidP="00E82D51">
            <w:pPr>
              <w:ind w:firstLine="0"/>
              <w:rPr>
                <w:lang w:val="en-US"/>
              </w:rPr>
            </w:pPr>
            <w:r w:rsidRPr="00C0765A">
              <w:rPr>
                <w:lang w:val="en-US"/>
              </w:rPr>
              <w:t>5.86</w:t>
            </w:r>
          </w:p>
        </w:tc>
        <w:tc>
          <w:tcPr>
            <w:tcW w:w="1101" w:type="dxa"/>
            <w:tcBorders>
              <w:right w:val="single" w:sz="12" w:space="0" w:color="auto"/>
            </w:tcBorders>
          </w:tcPr>
          <w:p w14:paraId="7B0E9958" w14:textId="7502F992" w:rsidR="00E82D51" w:rsidRPr="00C0765A" w:rsidRDefault="001F1BD9" w:rsidP="00E82D51">
            <w:pPr>
              <w:ind w:firstLine="0"/>
              <w:rPr>
                <w:lang w:val="en-US"/>
              </w:rPr>
            </w:pPr>
            <w:r w:rsidRPr="00C0765A">
              <w:rPr>
                <w:lang w:val="en-US"/>
              </w:rPr>
              <w:t>3.80</w:t>
            </w:r>
          </w:p>
        </w:tc>
        <w:tc>
          <w:tcPr>
            <w:tcW w:w="1025" w:type="dxa"/>
            <w:tcBorders>
              <w:left w:val="single" w:sz="12" w:space="0" w:color="auto"/>
            </w:tcBorders>
          </w:tcPr>
          <w:p w14:paraId="7A1DBF66" w14:textId="7132E443" w:rsidR="00E82D51" w:rsidRPr="00C0765A" w:rsidRDefault="00E82D51" w:rsidP="00E82D51">
            <w:pPr>
              <w:ind w:firstLine="0"/>
              <w:rPr>
                <w:lang w:val="en-US"/>
              </w:rPr>
            </w:pPr>
            <w:r w:rsidRPr="00C0765A">
              <w:rPr>
                <w:lang w:val="en-US"/>
              </w:rPr>
              <w:t>6.26</w:t>
            </w:r>
          </w:p>
        </w:tc>
        <w:tc>
          <w:tcPr>
            <w:tcW w:w="1115" w:type="dxa"/>
          </w:tcPr>
          <w:p w14:paraId="6244A4C3" w14:textId="1FDA98D3" w:rsidR="00E82D51" w:rsidRPr="00C0765A" w:rsidRDefault="00E82D51" w:rsidP="00E82D51">
            <w:pPr>
              <w:ind w:firstLine="0"/>
              <w:rPr>
                <w:lang w:val="en-US"/>
              </w:rPr>
            </w:pPr>
            <w:r w:rsidRPr="00C0765A">
              <w:rPr>
                <w:lang w:val="en-US"/>
              </w:rPr>
              <w:t>4.02</w:t>
            </w:r>
          </w:p>
        </w:tc>
        <w:tc>
          <w:tcPr>
            <w:tcW w:w="1011" w:type="dxa"/>
          </w:tcPr>
          <w:p w14:paraId="7E71BEA7" w14:textId="62D561A0" w:rsidR="00E82D51" w:rsidRPr="00C0765A" w:rsidRDefault="00E82D51" w:rsidP="00E82D51">
            <w:pPr>
              <w:ind w:firstLine="0"/>
              <w:rPr>
                <w:lang w:val="en-US"/>
              </w:rPr>
            </w:pPr>
            <w:r w:rsidRPr="00C0765A">
              <w:rPr>
                <w:lang w:val="en-US"/>
              </w:rPr>
              <w:t>5.24</w:t>
            </w:r>
          </w:p>
        </w:tc>
        <w:tc>
          <w:tcPr>
            <w:tcW w:w="1129" w:type="dxa"/>
          </w:tcPr>
          <w:p w14:paraId="6CAC097F" w14:textId="13F65B1F" w:rsidR="00E82D51" w:rsidRPr="00C0765A" w:rsidRDefault="00E82D51" w:rsidP="00E82D51">
            <w:pPr>
              <w:ind w:firstLine="0"/>
              <w:rPr>
                <w:lang w:val="en-US"/>
              </w:rPr>
            </w:pPr>
            <w:r w:rsidRPr="00C0765A">
              <w:rPr>
                <w:lang w:val="en-US"/>
              </w:rPr>
              <w:t>3.61</w:t>
            </w:r>
          </w:p>
        </w:tc>
      </w:tr>
      <w:tr w:rsidR="00E82D51" w:rsidRPr="00C0765A" w14:paraId="2B75E046" w14:textId="77777777" w:rsidTr="00B839E8">
        <w:tc>
          <w:tcPr>
            <w:tcW w:w="649" w:type="dxa"/>
          </w:tcPr>
          <w:p w14:paraId="41716DB3" w14:textId="274CFD66" w:rsidR="00E82D51" w:rsidRPr="00C0765A" w:rsidRDefault="00E82D51" w:rsidP="00E82D51">
            <w:pPr>
              <w:ind w:firstLine="0"/>
              <w:rPr>
                <w:i/>
                <w:iCs/>
                <w:lang w:val="en-US"/>
              </w:rPr>
            </w:pPr>
            <w:r w:rsidRPr="00C0765A">
              <w:rPr>
                <w:i/>
                <w:iCs/>
                <w:lang w:val="en-US"/>
              </w:rPr>
              <w:t>SD</w:t>
            </w:r>
          </w:p>
        </w:tc>
        <w:tc>
          <w:tcPr>
            <w:tcW w:w="1053" w:type="dxa"/>
          </w:tcPr>
          <w:p w14:paraId="378A4E7C" w14:textId="5D031DDA" w:rsidR="00E82D51" w:rsidRPr="00C0765A" w:rsidRDefault="00E82D51" w:rsidP="00E82D51">
            <w:pPr>
              <w:ind w:firstLine="0"/>
              <w:rPr>
                <w:lang w:val="en-US"/>
              </w:rPr>
            </w:pPr>
            <w:r w:rsidRPr="00C0765A">
              <w:rPr>
                <w:lang w:val="en-US"/>
              </w:rPr>
              <w:t>3.92</w:t>
            </w:r>
          </w:p>
        </w:tc>
        <w:tc>
          <w:tcPr>
            <w:tcW w:w="1087" w:type="dxa"/>
          </w:tcPr>
          <w:p w14:paraId="4FF1B872" w14:textId="474680E2" w:rsidR="00E82D51" w:rsidRPr="00C0765A" w:rsidRDefault="00E82D51" w:rsidP="00E82D51">
            <w:pPr>
              <w:ind w:firstLine="0"/>
              <w:rPr>
                <w:lang w:val="en-US"/>
              </w:rPr>
            </w:pPr>
            <w:r w:rsidRPr="00C0765A">
              <w:rPr>
                <w:lang w:val="en-US"/>
              </w:rPr>
              <w:t>2.27</w:t>
            </w:r>
          </w:p>
        </w:tc>
        <w:tc>
          <w:tcPr>
            <w:tcW w:w="1039" w:type="dxa"/>
          </w:tcPr>
          <w:p w14:paraId="073DDF9C" w14:textId="7346A3AA" w:rsidR="00E82D51" w:rsidRPr="00C0765A" w:rsidRDefault="00E82D51" w:rsidP="00E82D51">
            <w:pPr>
              <w:ind w:firstLine="0"/>
              <w:rPr>
                <w:lang w:val="en-US"/>
              </w:rPr>
            </w:pPr>
            <w:r w:rsidRPr="00C0765A">
              <w:rPr>
                <w:lang w:val="en-US"/>
              </w:rPr>
              <w:t>2.84</w:t>
            </w:r>
          </w:p>
        </w:tc>
        <w:tc>
          <w:tcPr>
            <w:tcW w:w="1101" w:type="dxa"/>
            <w:tcBorders>
              <w:right w:val="single" w:sz="12" w:space="0" w:color="auto"/>
            </w:tcBorders>
          </w:tcPr>
          <w:p w14:paraId="6BB81040" w14:textId="0E89B7CE" w:rsidR="00E82D51" w:rsidRPr="00C0765A" w:rsidRDefault="001F1BD9" w:rsidP="00E82D51">
            <w:pPr>
              <w:ind w:firstLine="0"/>
              <w:rPr>
                <w:lang w:val="en-US"/>
              </w:rPr>
            </w:pPr>
            <w:r w:rsidRPr="00C0765A">
              <w:rPr>
                <w:lang w:val="en-US"/>
              </w:rPr>
              <w:t>1.74</w:t>
            </w:r>
          </w:p>
        </w:tc>
        <w:tc>
          <w:tcPr>
            <w:tcW w:w="1025" w:type="dxa"/>
            <w:tcBorders>
              <w:left w:val="single" w:sz="12" w:space="0" w:color="auto"/>
            </w:tcBorders>
          </w:tcPr>
          <w:p w14:paraId="0F546A61" w14:textId="00CF2B2E" w:rsidR="00E82D51" w:rsidRPr="00C0765A" w:rsidRDefault="00E82D51" w:rsidP="00E82D51">
            <w:pPr>
              <w:ind w:firstLine="0"/>
              <w:rPr>
                <w:lang w:val="en-US"/>
              </w:rPr>
            </w:pPr>
            <w:r w:rsidRPr="00C0765A">
              <w:rPr>
                <w:lang w:val="en-US"/>
              </w:rPr>
              <w:t>3.45</w:t>
            </w:r>
          </w:p>
        </w:tc>
        <w:tc>
          <w:tcPr>
            <w:tcW w:w="1115" w:type="dxa"/>
          </w:tcPr>
          <w:p w14:paraId="3481B9EB" w14:textId="202595F8" w:rsidR="00E82D51" w:rsidRPr="00C0765A" w:rsidRDefault="00E82D51" w:rsidP="00E82D51">
            <w:pPr>
              <w:ind w:firstLine="0"/>
              <w:rPr>
                <w:lang w:val="en-US"/>
              </w:rPr>
            </w:pPr>
            <w:r w:rsidRPr="00C0765A">
              <w:rPr>
                <w:lang w:val="en-US"/>
              </w:rPr>
              <w:t>2.03</w:t>
            </w:r>
          </w:p>
        </w:tc>
        <w:tc>
          <w:tcPr>
            <w:tcW w:w="1011" w:type="dxa"/>
          </w:tcPr>
          <w:p w14:paraId="6FC64C6D" w14:textId="1390902D" w:rsidR="00E82D51" w:rsidRPr="00C0765A" w:rsidRDefault="00E82D51" w:rsidP="00E82D51">
            <w:pPr>
              <w:ind w:firstLine="0"/>
              <w:rPr>
                <w:lang w:val="en-US"/>
              </w:rPr>
            </w:pPr>
            <w:r w:rsidRPr="00C0765A">
              <w:rPr>
                <w:lang w:val="en-US"/>
              </w:rPr>
              <w:t>2.42</w:t>
            </w:r>
          </w:p>
        </w:tc>
        <w:tc>
          <w:tcPr>
            <w:tcW w:w="1129" w:type="dxa"/>
          </w:tcPr>
          <w:p w14:paraId="256EEC8F" w14:textId="1B7147DD" w:rsidR="00E82D51" w:rsidRPr="00C0765A" w:rsidRDefault="00E82D51" w:rsidP="00E82D51">
            <w:pPr>
              <w:ind w:firstLine="0"/>
              <w:rPr>
                <w:lang w:val="en-US"/>
              </w:rPr>
            </w:pPr>
            <w:r w:rsidRPr="00C0765A">
              <w:rPr>
                <w:lang w:val="en-US"/>
              </w:rPr>
              <w:t>1.86</w:t>
            </w:r>
          </w:p>
        </w:tc>
      </w:tr>
      <w:tr w:rsidR="00E82D51" w:rsidRPr="00C0765A" w14:paraId="4680C9C7" w14:textId="77777777" w:rsidTr="00B839E8">
        <w:tc>
          <w:tcPr>
            <w:tcW w:w="649" w:type="dxa"/>
          </w:tcPr>
          <w:p w14:paraId="6429AB5A" w14:textId="4FA1EDD9" w:rsidR="00E82D51" w:rsidRPr="00C0765A" w:rsidRDefault="00E82D51" w:rsidP="00E82D51">
            <w:pPr>
              <w:ind w:firstLine="0"/>
              <w:rPr>
                <w:i/>
                <w:iCs/>
                <w:lang w:val="en-US"/>
              </w:rPr>
            </w:pPr>
            <w:r w:rsidRPr="00C0765A">
              <w:rPr>
                <w:i/>
                <w:iCs/>
                <w:lang w:val="en-US"/>
              </w:rPr>
              <w:t>N</w:t>
            </w:r>
          </w:p>
        </w:tc>
        <w:tc>
          <w:tcPr>
            <w:tcW w:w="1053" w:type="dxa"/>
          </w:tcPr>
          <w:p w14:paraId="2D9F984D" w14:textId="2B9AD73F" w:rsidR="00E82D51" w:rsidRPr="00C0765A" w:rsidRDefault="00E82D51" w:rsidP="00E82D51">
            <w:pPr>
              <w:ind w:firstLine="0"/>
              <w:rPr>
                <w:lang w:val="en-US"/>
              </w:rPr>
            </w:pPr>
            <w:r w:rsidRPr="00C0765A">
              <w:rPr>
                <w:lang w:val="en-US"/>
              </w:rPr>
              <w:t>4</w:t>
            </w:r>
            <w:r w:rsidR="004C0036" w:rsidRPr="00C0765A">
              <w:rPr>
                <w:lang w:val="en-US"/>
              </w:rPr>
              <w:t>1</w:t>
            </w:r>
          </w:p>
        </w:tc>
        <w:tc>
          <w:tcPr>
            <w:tcW w:w="1087" w:type="dxa"/>
          </w:tcPr>
          <w:p w14:paraId="5EA29E6F" w14:textId="6E309E95" w:rsidR="00E82D51" w:rsidRPr="00C0765A" w:rsidRDefault="00E82D51" w:rsidP="00E82D51">
            <w:pPr>
              <w:ind w:firstLine="0"/>
              <w:rPr>
                <w:lang w:val="en-US"/>
              </w:rPr>
            </w:pPr>
            <w:r w:rsidRPr="00C0765A">
              <w:rPr>
                <w:lang w:val="en-US"/>
              </w:rPr>
              <w:t>44</w:t>
            </w:r>
          </w:p>
        </w:tc>
        <w:tc>
          <w:tcPr>
            <w:tcW w:w="1039" w:type="dxa"/>
          </w:tcPr>
          <w:p w14:paraId="1FA4E7B6" w14:textId="36DEEA01" w:rsidR="00E82D51" w:rsidRPr="00C0765A" w:rsidRDefault="00E82D51" w:rsidP="00E82D51">
            <w:pPr>
              <w:ind w:firstLine="0"/>
              <w:rPr>
                <w:lang w:val="en-US"/>
              </w:rPr>
            </w:pPr>
            <w:r w:rsidRPr="00C0765A">
              <w:rPr>
                <w:lang w:val="en-US"/>
              </w:rPr>
              <w:t>4</w:t>
            </w:r>
            <w:r w:rsidR="004C0036" w:rsidRPr="00C0765A">
              <w:rPr>
                <w:lang w:val="en-US"/>
              </w:rPr>
              <w:t>1</w:t>
            </w:r>
          </w:p>
        </w:tc>
        <w:tc>
          <w:tcPr>
            <w:tcW w:w="1101" w:type="dxa"/>
            <w:tcBorders>
              <w:right w:val="single" w:sz="12" w:space="0" w:color="auto"/>
            </w:tcBorders>
          </w:tcPr>
          <w:p w14:paraId="1459ED5D" w14:textId="1030AF1C" w:rsidR="00E82D51" w:rsidRPr="00C0765A" w:rsidRDefault="001F1BD9" w:rsidP="00E82D51">
            <w:pPr>
              <w:ind w:firstLine="0"/>
              <w:rPr>
                <w:lang w:val="en-US"/>
              </w:rPr>
            </w:pPr>
            <w:r w:rsidRPr="00C0765A">
              <w:rPr>
                <w:lang w:val="en-US"/>
              </w:rPr>
              <w:t>41</w:t>
            </w:r>
          </w:p>
        </w:tc>
        <w:tc>
          <w:tcPr>
            <w:tcW w:w="1025" w:type="dxa"/>
            <w:tcBorders>
              <w:left w:val="single" w:sz="12" w:space="0" w:color="auto"/>
            </w:tcBorders>
          </w:tcPr>
          <w:p w14:paraId="58F3BDC2" w14:textId="05F3098D" w:rsidR="00E82D51" w:rsidRPr="00C0765A" w:rsidRDefault="00E82D51" w:rsidP="00E82D51">
            <w:pPr>
              <w:ind w:firstLine="0"/>
              <w:rPr>
                <w:lang w:val="en-US"/>
              </w:rPr>
            </w:pPr>
            <w:r w:rsidRPr="00C0765A">
              <w:rPr>
                <w:lang w:val="en-US"/>
              </w:rPr>
              <w:t>42</w:t>
            </w:r>
          </w:p>
        </w:tc>
        <w:tc>
          <w:tcPr>
            <w:tcW w:w="1115" w:type="dxa"/>
          </w:tcPr>
          <w:p w14:paraId="19C3A56E" w14:textId="19308A90" w:rsidR="00E82D51" w:rsidRPr="00C0765A" w:rsidRDefault="00E82D51" w:rsidP="00E82D51">
            <w:pPr>
              <w:ind w:firstLine="0"/>
              <w:rPr>
                <w:lang w:val="en-US"/>
              </w:rPr>
            </w:pPr>
            <w:r w:rsidRPr="00C0765A">
              <w:rPr>
                <w:lang w:val="en-US"/>
              </w:rPr>
              <w:t>4</w:t>
            </w:r>
            <w:r w:rsidR="00504EC7" w:rsidRPr="00C0765A">
              <w:rPr>
                <w:lang w:val="en-US"/>
              </w:rPr>
              <w:t>4</w:t>
            </w:r>
          </w:p>
        </w:tc>
        <w:tc>
          <w:tcPr>
            <w:tcW w:w="1011" w:type="dxa"/>
          </w:tcPr>
          <w:p w14:paraId="01AE1A4C" w14:textId="59667DBF" w:rsidR="00E82D51" w:rsidRPr="00C0765A" w:rsidRDefault="00E82D51" w:rsidP="00E82D51">
            <w:pPr>
              <w:ind w:firstLine="0"/>
              <w:rPr>
                <w:lang w:val="en-US"/>
              </w:rPr>
            </w:pPr>
            <w:r w:rsidRPr="00C0765A">
              <w:rPr>
                <w:lang w:val="en-US"/>
              </w:rPr>
              <w:t>42</w:t>
            </w:r>
          </w:p>
        </w:tc>
        <w:tc>
          <w:tcPr>
            <w:tcW w:w="1129" w:type="dxa"/>
          </w:tcPr>
          <w:p w14:paraId="0F3384F8" w14:textId="6E7E5304" w:rsidR="00E82D51" w:rsidRPr="00C0765A" w:rsidRDefault="00E82D51" w:rsidP="00E82D51">
            <w:pPr>
              <w:ind w:firstLine="0"/>
              <w:rPr>
                <w:lang w:val="en-US"/>
              </w:rPr>
            </w:pPr>
            <w:r w:rsidRPr="00C0765A">
              <w:rPr>
                <w:lang w:val="en-US"/>
              </w:rPr>
              <w:t>44</w:t>
            </w:r>
          </w:p>
        </w:tc>
      </w:tr>
    </w:tbl>
    <w:p w14:paraId="7736318C" w14:textId="77777777" w:rsidR="008F0BE1" w:rsidRPr="00C0765A" w:rsidRDefault="008F0BE1" w:rsidP="008F0BE1">
      <w:pPr>
        <w:rPr>
          <w:lang w:val="en-US"/>
        </w:rPr>
      </w:pPr>
    </w:p>
    <w:p w14:paraId="1DA370B8" w14:textId="77777777" w:rsidR="00795771" w:rsidRPr="00C0765A" w:rsidRDefault="000A2BFF" w:rsidP="00795771">
      <w:pPr>
        <w:keepNext/>
        <w:jc w:val="center"/>
      </w:pPr>
      <w:r w:rsidRPr="00C0765A">
        <w:rPr>
          <w:noProof/>
          <w:lang w:val="en-US"/>
          <w14:ligatures w14:val="standardContextual"/>
        </w:rPr>
        <w:drawing>
          <wp:inline distT="0" distB="0" distL="0" distR="0" wp14:anchorId="60257A15" wp14:editId="76B78F43">
            <wp:extent cx="5709285" cy="5308600"/>
            <wp:effectExtent l="0" t="0" r="5715" b="6350"/>
            <wp:docPr id="13408147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814727" name="Picture 1340814727"/>
                    <pic:cNvPicPr/>
                  </pic:nvPicPr>
                  <pic:blipFill rotWithShape="1">
                    <a:blip r:embed="rId19">
                      <a:extLst>
                        <a:ext uri="{28A0092B-C50C-407E-A947-70E740481C1C}">
                          <a14:useLocalDpi xmlns:a14="http://schemas.microsoft.com/office/drawing/2010/main" val="0"/>
                        </a:ext>
                      </a:extLst>
                    </a:blip>
                    <a:srcRect l="16012" r="12349" b="3789"/>
                    <a:stretch/>
                  </pic:blipFill>
                  <pic:spPr bwMode="auto">
                    <a:xfrm>
                      <a:off x="0" y="0"/>
                      <a:ext cx="5727696" cy="5325719"/>
                    </a:xfrm>
                    <a:prstGeom prst="rect">
                      <a:avLst/>
                    </a:prstGeom>
                    <a:ln>
                      <a:noFill/>
                    </a:ln>
                    <a:extLst>
                      <a:ext uri="{53640926-AAD7-44D8-BBD7-CCE9431645EC}">
                        <a14:shadowObscured xmlns:a14="http://schemas.microsoft.com/office/drawing/2010/main"/>
                      </a:ext>
                    </a:extLst>
                  </pic:spPr>
                </pic:pic>
              </a:graphicData>
            </a:graphic>
          </wp:inline>
        </w:drawing>
      </w:r>
    </w:p>
    <w:p w14:paraId="2A1376ED" w14:textId="15E57FF1" w:rsidR="0030633B" w:rsidRPr="00C0765A" w:rsidRDefault="00795771" w:rsidP="00795771">
      <w:pPr>
        <w:pStyle w:val="Caption"/>
        <w:jc w:val="left"/>
        <w:rPr>
          <w:lang w:val="en-US"/>
        </w:rPr>
      </w:pPr>
      <w:r w:rsidRPr="00C0765A">
        <w:rPr>
          <w:b/>
          <w:bCs/>
          <w:lang w:val="en-US"/>
        </w:rPr>
        <w:t xml:space="preserve">Figure </w:t>
      </w:r>
      <w:r w:rsidRPr="00C0765A">
        <w:rPr>
          <w:b/>
          <w:bCs/>
        </w:rPr>
        <w:fldChar w:fldCharType="begin"/>
      </w:r>
      <w:r w:rsidRPr="00C0765A">
        <w:rPr>
          <w:b/>
          <w:bCs/>
          <w:lang w:val="en-US"/>
        </w:rPr>
        <w:instrText xml:space="preserve"> SEQ Figure \* ARABIC </w:instrText>
      </w:r>
      <w:r w:rsidRPr="00C0765A">
        <w:rPr>
          <w:b/>
          <w:bCs/>
        </w:rPr>
        <w:fldChar w:fldCharType="separate"/>
      </w:r>
      <w:r w:rsidR="00FA7806" w:rsidRPr="00C0765A">
        <w:rPr>
          <w:b/>
          <w:bCs/>
          <w:noProof/>
          <w:lang w:val="en-US"/>
        </w:rPr>
        <w:t>2</w:t>
      </w:r>
      <w:r w:rsidRPr="00C0765A">
        <w:rPr>
          <w:b/>
          <w:bCs/>
        </w:rPr>
        <w:fldChar w:fldCharType="end"/>
      </w:r>
      <w:r w:rsidRPr="00C0765A">
        <w:rPr>
          <w:lang w:val="en-US"/>
        </w:rPr>
        <w:t xml:space="preserve"> Graphical depiction of the results for NA markers</w:t>
      </w:r>
      <w:r w:rsidR="00C537E8" w:rsidRPr="00C0765A">
        <w:rPr>
          <w:lang w:val="en-US"/>
        </w:rPr>
        <w:t xml:space="preserve">. Violin plots with histograms and superimposed raw data for Sham stimulation (A) and </w:t>
      </w:r>
      <w:proofErr w:type="spellStart"/>
      <w:r w:rsidR="00C537E8" w:rsidRPr="00C0765A">
        <w:rPr>
          <w:lang w:val="en-US"/>
        </w:rPr>
        <w:t>taVNS</w:t>
      </w:r>
      <w:proofErr w:type="spellEnd"/>
      <w:r w:rsidR="00C537E8" w:rsidRPr="00C0765A">
        <w:rPr>
          <w:lang w:val="en-US"/>
        </w:rPr>
        <w:t xml:space="preserve"> (B), showing </w:t>
      </w:r>
      <w:r w:rsidR="00C3186F" w:rsidRPr="00C0765A">
        <w:rPr>
          <w:lang w:val="en-US"/>
        </w:rPr>
        <w:t xml:space="preserve">marginally </w:t>
      </w:r>
      <w:r w:rsidR="00C537E8" w:rsidRPr="00C0765A">
        <w:rPr>
          <w:lang w:val="en-US"/>
        </w:rPr>
        <w:t>significant effects of time but no condition effects</w:t>
      </w:r>
      <w:r w:rsidR="00C3186F" w:rsidRPr="00C0765A">
        <w:rPr>
          <w:lang w:val="en-US"/>
        </w:rPr>
        <w:t xml:space="preserve"> on salivary alpha amylase (</w:t>
      </w:r>
      <w:proofErr w:type="spellStart"/>
      <w:r w:rsidR="00C3186F" w:rsidRPr="00C0765A">
        <w:rPr>
          <w:lang w:val="en-US"/>
        </w:rPr>
        <w:t>sAA</w:t>
      </w:r>
      <w:proofErr w:type="spellEnd"/>
      <w:r w:rsidR="00C3186F" w:rsidRPr="00C0765A">
        <w:rPr>
          <w:lang w:val="en-US"/>
        </w:rPr>
        <w:t>) concentration</w:t>
      </w:r>
      <w:r w:rsidR="00C537E8" w:rsidRPr="00C0765A">
        <w:rPr>
          <w:lang w:val="en-US"/>
        </w:rPr>
        <w:t>.</w:t>
      </w:r>
      <w:r w:rsidR="00C3186F" w:rsidRPr="00C0765A">
        <w:rPr>
          <w:lang w:val="en-US"/>
        </w:rPr>
        <w:t xml:space="preserve"> Violin plots with histograms and superimposed raw data for Sham stimulation (C) and </w:t>
      </w:r>
      <w:proofErr w:type="spellStart"/>
      <w:r w:rsidR="00C3186F" w:rsidRPr="00C0765A">
        <w:rPr>
          <w:lang w:val="en-US"/>
        </w:rPr>
        <w:t>taVNS</w:t>
      </w:r>
      <w:proofErr w:type="spellEnd"/>
      <w:r w:rsidR="00C3186F" w:rsidRPr="00C0765A">
        <w:rPr>
          <w:lang w:val="en-US"/>
        </w:rPr>
        <w:t xml:space="preserve"> (D), showing </w:t>
      </w:r>
      <w:r w:rsidR="00504EC7" w:rsidRPr="00C0765A">
        <w:rPr>
          <w:lang w:val="en-US"/>
        </w:rPr>
        <w:t xml:space="preserve">a significant </w:t>
      </w:r>
      <w:r w:rsidR="002A68CA" w:rsidRPr="00C0765A">
        <w:rPr>
          <w:lang w:val="en-US"/>
        </w:rPr>
        <w:t xml:space="preserve">interaction </w:t>
      </w:r>
      <w:r w:rsidR="00C3186F" w:rsidRPr="00C0765A">
        <w:rPr>
          <w:lang w:val="en-US"/>
        </w:rPr>
        <w:t>effect of time</w:t>
      </w:r>
      <w:r w:rsidR="002A68CA" w:rsidRPr="00C0765A">
        <w:rPr>
          <w:lang w:val="en-US"/>
        </w:rPr>
        <w:t xml:space="preserve"> and condition</w:t>
      </w:r>
      <w:r w:rsidR="00C3186F" w:rsidRPr="00C0765A">
        <w:rPr>
          <w:lang w:val="en-US"/>
        </w:rPr>
        <w:t xml:space="preserve"> </w:t>
      </w:r>
      <w:r w:rsidR="002A68CA" w:rsidRPr="00C0765A">
        <w:rPr>
          <w:lang w:val="en-US"/>
        </w:rPr>
        <w:t xml:space="preserve">on </w:t>
      </w:r>
      <w:r w:rsidR="00E75695" w:rsidRPr="00C0765A">
        <w:rPr>
          <w:lang w:val="en-US"/>
        </w:rPr>
        <w:t>subjective experienced arousal</w:t>
      </w:r>
      <w:r w:rsidR="002A68CA" w:rsidRPr="00C0765A">
        <w:rPr>
          <w:lang w:val="en-US"/>
        </w:rPr>
        <w:t>, as measured via Self-Assessment Manikin (SAM) ratings.</w:t>
      </w:r>
      <w:r w:rsidR="00C3186F" w:rsidRPr="00C0765A">
        <w:rPr>
          <w:lang w:val="en-US"/>
        </w:rPr>
        <w:t xml:space="preserve"> </w:t>
      </w:r>
    </w:p>
    <w:p w14:paraId="38DF20FD" w14:textId="45C3C247" w:rsidR="00131620" w:rsidRPr="00C0765A" w:rsidRDefault="002061C0" w:rsidP="00EC6C99">
      <w:pPr>
        <w:pStyle w:val="Heading2"/>
        <w:rPr>
          <w:lang w:val="en-US"/>
        </w:rPr>
      </w:pPr>
      <w:r w:rsidRPr="00C0765A">
        <w:rPr>
          <w:lang w:val="en-US"/>
        </w:rPr>
        <w:lastRenderedPageBreak/>
        <w:t xml:space="preserve">3.2 </w:t>
      </w:r>
      <w:r w:rsidR="00257A6B" w:rsidRPr="00C0765A">
        <w:rPr>
          <w:lang w:val="en-US"/>
        </w:rPr>
        <w:t>ERP components</w:t>
      </w:r>
      <w:r w:rsidR="00131620" w:rsidRPr="00C0765A">
        <w:rPr>
          <w:lang w:val="en-US"/>
        </w:rPr>
        <w:t xml:space="preserve"> and neural gating</w:t>
      </w:r>
    </w:p>
    <w:p w14:paraId="2FF42ACA" w14:textId="77777777" w:rsidR="006C278A" w:rsidRPr="00C0765A" w:rsidRDefault="006C278A" w:rsidP="006C278A">
      <w:pPr>
        <w:pStyle w:val="Heading3"/>
        <w:rPr>
          <w:lang w:val="en-US"/>
        </w:rPr>
      </w:pPr>
      <w:bookmarkStart w:id="5" w:name="auditory-evoked-potentials"/>
      <w:r w:rsidRPr="00C0765A">
        <w:rPr>
          <w:lang w:val="en-US"/>
        </w:rPr>
        <w:t>3.2.1 Auditory evoked potentials</w:t>
      </w:r>
    </w:p>
    <w:p w14:paraId="43FCECDE" w14:textId="09761A93" w:rsidR="00D771EB" w:rsidRPr="00C0765A" w:rsidRDefault="006C278A" w:rsidP="00D771EB">
      <w:pPr>
        <w:rPr>
          <w:lang w:val="en-US"/>
        </w:rPr>
      </w:pPr>
      <w:r w:rsidRPr="00C0765A">
        <w:rPr>
          <w:lang w:val="en-US"/>
        </w:rPr>
        <w:t xml:space="preserve">To test the effects of </w:t>
      </w:r>
      <w:proofErr w:type="spellStart"/>
      <w:r w:rsidRPr="00C0765A">
        <w:rPr>
          <w:lang w:val="en-US"/>
        </w:rPr>
        <w:t>taVNS</w:t>
      </w:r>
      <w:proofErr w:type="spellEnd"/>
      <w:r w:rsidRPr="00C0765A">
        <w:rPr>
          <w:lang w:val="en-US"/>
        </w:rPr>
        <w:t xml:space="preserve"> on AEP, we measured peak amplitudes for P50, N1 and P2 components in response to the first click in the pair, </w:t>
      </w:r>
      <w:bookmarkStart w:id="6" w:name="respiratory-related-evoked-potentials"/>
      <w:bookmarkEnd w:id="5"/>
      <w:r w:rsidR="00F7544F" w:rsidRPr="00C0765A">
        <w:rPr>
          <w:lang w:val="en-US"/>
        </w:rPr>
        <w:t xml:space="preserve">as well as neural gating as the difference between the peak-to-peak P50 to the second and the first click, and the difference of the baseline-to-peak N1 to the second and the first click. </w:t>
      </w:r>
      <w:r w:rsidR="00AA3014" w:rsidRPr="00C0765A">
        <w:rPr>
          <w:lang w:val="en-US"/>
        </w:rPr>
        <w:t>Two-</w:t>
      </w:r>
      <w:r w:rsidR="00F7544F" w:rsidRPr="00C0765A">
        <w:rPr>
          <w:lang w:val="en-US"/>
        </w:rPr>
        <w:t>sample</w:t>
      </w:r>
      <w:r w:rsidR="006507E7" w:rsidRPr="00C0765A">
        <w:rPr>
          <w:lang w:val="en-US"/>
        </w:rPr>
        <w:t xml:space="preserve"> paired</w:t>
      </w:r>
      <w:r w:rsidR="00F7544F" w:rsidRPr="00C0765A">
        <w:rPr>
          <w:lang w:val="en-US"/>
        </w:rPr>
        <w:t xml:space="preserve"> t-tests showed a significantly decreased P50 peak-to-peak amplitude to the second </w:t>
      </w:r>
      <w:r w:rsidR="00AA3014" w:rsidRPr="00C0765A">
        <w:rPr>
          <w:lang w:val="en-US"/>
        </w:rPr>
        <w:t>click</w:t>
      </w:r>
      <w:r w:rsidR="00F7544F" w:rsidRPr="00C0765A">
        <w:rPr>
          <w:lang w:val="en-US"/>
        </w:rPr>
        <w:t xml:space="preserve"> relative to the first </w:t>
      </w:r>
      <w:r w:rsidR="00AA3014" w:rsidRPr="00C0765A">
        <w:rPr>
          <w:lang w:val="en-US"/>
        </w:rPr>
        <w:t>click</w:t>
      </w:r>
      <w:r w:rsidR="00F7544F" w:rsidRPr="00C0765A">
        <w:rPr>
          <w:lang w:val="en-US"/>
        </w:rPr>
        <w:t xml:space="preserve"> in </w:t>
      </w:r>
      <w:r w:rsidR="006D4351" w:rsidRPr="00C0765A">
        <w:rPr>
          <w:lang w:val="en-US"/>
        </w:rPr>
        <w:t>the</w:t>
      </w:r>
      <w:r w:rsidR="00F7544F" w:rsidRPr="00C0765A">
        <w:rPr>
          <w:lang w:val="en-US"/>
        </w:rPr>
        <w:t xml:space="preserve"> </w:t>
      </w:r>
      <w:proofErr w:type="spellStart"/>
      <w:r w:rsidR="00F7544F" w:rsidRPr="00C0765A">
        <w:rPr>
          <w:lang w:val="en-US"/>
        </w:rPr>
        <w:t>taVNS</w:t>
      </w:r>
      <w:proofErr w:type="spellEnd"/>
      <w:r w:rsidR="002534D9" w:rsidRPr="00C0765A">
        <w:rPr>
          <w:lang w:val="en-US"/>
        </w:rPr>
        <w:t xml:space="preserve"> condition</w:t>
      </w:r>
      <w:r w:rsidR="00F7544F" w:rsidRPr="00C0765A">
        <w:rPr>
          <w:lang w:val="en-US"/>
        </w:rPr>
        <w:t xml:space="preserve"> (</w:t>
      </w:r>
      <m:oMath>
        <m:r>
          <w:rPr>
            <w:rFonts w:ascii="Cambria Math" w:hAnsi="Cambria Math"/>
            <w:lang w:val="en-US"/>
          </w:rPr>
          <m:t>t</m:t>
        </m:r>
      </m:oMath>
      <w:r w:rsidR="00F7544F" w:rsidRPr="00C0765A">
        <w:rPr>
          <w:lang w:val="en-US"/>
        </w:rPr>
        <w:t xml:space="preserve"> = </w:t>
      </w:r>
      <w:r w:rsidR="00373D6C" w:rsidRPr="00C0765A">
        <w:rPr>
          <w:lang w:val="en-US"/>
        </w:rPr>
        <w:t>-</w:t>
      </w:r>
      <w:r w:rsidR="00F7544F" w:rsidRPr="00C0765A">
        <w:rPr>
          <w:lang w:val="en-US"/>
        </w:rPr>
        <w:t xml:space="preserve">3.86, </w:t>
      </w:r>
      <w:proofErr w:type="spellStart"/>
      <w:r w:rsidR="00F7544F" w:rsidRPr="00C0765A">
        <w:rPr>
          <w:i/>
          <w:iCs/>
          <w:lang w:val="en-US"/>
        </w:rPr>
        <w:t>df</w:t>
      </w:r>
      <w:proofErr w:type="spellEnd"/>
      <w:r w:rsidR="00F7544F" w:rsidRPr="00C0765A">
        <w:rPr>
          <w:lang w:val="en-US"/>
        </w:rPr>
        <w:t xml:space="preserve"> = 76.79, </w:t>
      </w:r>
      <w:r w:rsidR="00F7544F" w:rsidRPr="00C0765A">
        <w:rPr>
          <w:i/>
          <w:iCs/>
          <w:lang w:val="en-US"/>
        </w:rPr>
        <w:t>p</w:t>
      </w:r>
      <w:r w:rsidR="00F7544F" w:rsidRPr="00C0765A">
        <w:rPr>
          <w:lang w:val="en-US"/>
        </w:rPr>
        <w:t xml:space="preserve"> </w:t>
      </w:r>
      <w:r w:rsidR="00A2041B" w:rsidRPr="00C0765A">
        <w:rPr>
          <w:lang w:val="en-US"/>
        </w:rPr>
        <w:t>&lt;</w:t>
      </w:r>
      <w:r w:rsidR="00F7544F" w:rsidRPr="00C0765A">
        <w:rPr>
          <w:lang w:val="en-US"/>
        </w:rPr>
        <w:t xml:space="preserve"> 0.00</w:t>
      </w:r>
      <w:r w:rsidR="00A2041B" w:rsidRPr="00C0765A">
        <w:rPr>
          <w:lang w:val="en-US"/>
        </w:rPr>
        <w:t>1</w:t>
      </w:r>
      <w:r w:rsidR="00F7544F" w:rsidRPr="00C0765A">
        <w:rPr>
          <w:lang w:val="en-US"/>
        </w:rPr>
        <w:t xml:space="preserve">, </w:t>
      </w:r>
      <w:proofErr w:type="spellStart"/>
      <w:r w:rsidR="00F7544F" w:rsidRPr="00C0765A">
        <w:rPr>
          <w:i/>
          <w:iCs/>
          <w:lang w:val="en-US"/>
        </w:rPr>
        <w:t>dz</w:t>
      </w:r>
      <w:proofErr w:type="spellEnd"/>
      <w:r w:rsidR="00F7544F" w:rsidRPr="00C0765A">
        <w:rPr>
          <w:lang w:val="en-US"/>
        </w:rPr>
        <w:t xml:space="preserve"> = </w:t>
      </w:r>
      <w:r w:rsidR="002B16EB" w:rsidRPr="00C0765A">
        <w:rPr>
          <w:lang w:val="en-US"/>
        </w:rPr>
        <w:t>-</w:t>
      </w:r>
      <w:r w:rsidR="00F7544F" w:rsidRPr="00C0765A">
        <w:rPr>
          <w:lang w:val="en-US"/>
        </w:rPr>
        <w:t xml:space="preserve">0.85) </w:t>
      </w:r>
      <w:r w:rsidR="002534D9" w:rsidRPr="00C0765A">
        <w:rPr>
          <w:lang w:val="en-US"/>
        </w:rPr>
        <w:t>while the difference in the</w:t>
      </w:r>
      <w:r w:rsidR="00F7544F" w:rsidRPr="00C0765A">
        <w:rPr>
          <w:lang w:val="en-US"/>
        </w:rPr>
        <w:t xml:space="preserve"> Sham condition</w:t>
      </w:r>
      <w:r w:rsidR="002534D9" w:rsidRPr="00C0765A">
        <w:rPr>
          <w:lang w:val="en-US"/>
        </w:rPr>
        <w:t xml:space="preserve"> was marginally significant</w:t>
      </w:r>
      <w:r w:rsidR="00F7544F" w:rsidRPr="00C0765A">
        <w:rPr>
          <w:lang w:val="en-US"/>
        </w:rPr>
        <w:t xml:space="preserve"> (</w:t>
      </w:r>
      <m:oMath>
        <m:r>
          <w:rPr>
            <w:rFonts w:ascii="Cambria Math" w:hAnsi="Cambria Math"/>
            <w:lang w:val="en-US"/>
          </w:rPr>
          <m:t>t</m:t>
        </m:r>
      </m:oMath>
      <w:r w:rsidR="00F7544F" w:rsidRPr="00C0765A">
        <w:rPr>
          <w:lang w:val="en-US"/>
        </w:rPr>
        <w:t xml:space="preserve"> =</w:t>
      </w:r>
      <w:r w:rsidR="00373D6C" w:rsidRPr="00C0765A">
        <w:rPr>
          <w:lang w:val="en-US"/>
        </w:rPr>
        <w:t>-</w:t>
      </w:r>
      <w:r w:rsidR="00F7544F" w:rsidRPr="00C0765A">
        <w:rPr>
          <w:lang w:val="en-US"/>
        </w:rPr>
        <w:t xml:space="preserve"> 1.96, </w:t>
      </w:r>
      <w:proofErr w:type="spellStart"/>
      <w:r w:rsidR="00F7544F" w:rsidRPr="00C0765A">
        <w:rPr>
          <w:i/>
          <w:iCs/>
          <w:lang w:val="en-US"/>
        </w:rPr>
        <w:t>df</w:t>
      </w:r>
      <w:proofErr w:type="spellEnd"/>
      <w:r w:rsidR="00F7544F" w:rsidRPr="00C0765A">
        <w:rPr>
          <w:lang w:val="en-US"/>
        </w:rPr>
        <w:t xml:space="preserve"> = 70.98, </w:t>
      </w:r>
      <w:r w:rsidR="00F7544F" w:rsidRPr="00C0765A">
        <w:rPr>
          <w:i/>
          <w:iCs/>
          <w:lang w:val="en-US"/>
        </w:rPr>
        <w:t>p</w:t>
      </w:r>
      <w:r w:rsidR="00F7544F" w:rsidRPr="00C0765A">
        <w:rPr>
          <w:lang w:val="en-US"/>
        </w:rPr>
        <w:t xml:space="preserve"> </w:t>
      </w:r>
      <w:r w:rsidR="002534D9" w:rsidRPr="00C0765A">
        <w:rPr>
          <w:lang w:val="en-US"/>
        </w:rPr>
        <w:t>=</w:t>
      </w:r>
      <w:r w:rsidR="00F7544F" w:rsidRPr="00C0765A">
        <w:rPr>
          <w:lang w:val="en-US"/>
        </w:rPr>
        <w:t xml:space="preserve"> 0.05, </w:t>
      </w:r>
      <w:proofErr w:type="spellStart"/>
      <w:r w:rsidR="00F7544F" w:rsidRPr="00C0765A">
        <w:rPr>
          <w:i/>
          <w:iCs/>
          <w:lang w:val="en-US"/>
        </w:rPr>
        <w:t>dz</w:t>
      </w:r>
      <w:proofErr w:type="spellEnd"/>
      <w:r w:rsidR="00F7544F" w:rsidRPr="00C0765A">
        <w:rPr>
          <w:lang w:val="en-US"/>
        </w:rPr>
        <w:t xml:space="preserve"> = </w:t>
      </w:r>
      <w:r w:rsidR="002B16EB" w:rsidRPr="00C0765A">
        <w:rPr>
          <w:lang w:val="en-US"/>
        </w:rPr>
        <w:t>-</w:t>
      </w:r>
      <w:r w:rsidR="00F7544F" w:rsidRPr="00C0765A">
        <w:rPr>
          <w:lang w:val="en-US"/>
        </w:rPr>
        <w:t xml:space="preserve">0.45). N1 amplitude to the second </w:t>
      </w:r>
      <w:r w:rsidR="00373D6C" w:rsidRPr="00C0765A">
        <w:rPr>
          <w:lang w:val="en-US"/>
        </w:rPr>
        <w:t>click</w:t>
      </w:r>
      <w:r w:rsidR="00F7544F" w:rsidRPr="00C0765A">
        <w:rPr>
          <w:lang w:val="en-US"/>
        </w:rPr>
        <w:t xml:space="preserve"> relative to the first </w:t>
      </w:r>
      <w:r w:rsidR="00373D6C" w:rsidRPr="00C0765A">
        <w:rPr>
          <w:lang w:val="en-US"/>
        </w:rPr>
        <w:t>click</w:t>
      </w:r>
      <w:r w:rsidR="00F7544F" w:rsidRPr="00C0765A">
        <w:rPr>
          <w:lang w:val="en-US"/>
        </w:rPr>
        <w:t xml:space="preserve"> was significantly decreased in both </w:t>
      </w:r>
      <w:proofErr w:type="spellStart"/>
      <w:r w:rsidR="00F7544F" w:rsidRPr="00C0765A">
        <w:rPr>
          <w:lang w:val="en-US"/>
        </w:rPr>
        <w:t>taVNS</w:t>
      </w:r>
      <w:proofErr w:type="spellEnd"/>
      <w:r w:rsidR="00F7544F" w:rsidRPr="00C0765A">
        <w:rPr>
          <w:lang w:val="en-US"/>
        </w:rPr>
        <w:t xml:space="preserve"> (</w:t>
      </w:r>
      <m:oMath>
        <m:r>
          <w:rPr>
            <w:rFonts w:ascii="Cambria Math" w:hAnsi="Cambria Math"/>
            <w:lang w:val="en-US"/>
          </w:rPr>
          <m:t>t</m:t>
        </m:r>
      </m:oMath>
      <w:r w:rsidR="00F7544F" w:rsidRPr="00C0765A">
        <w:rPr>
          <w:lang w:val="en-US"/>
        </w:rPr>
        <w:t xml:space="preserve"> = 7.50, </w:t>
      </w:r>
      <w:proofErr w:type="spellStart"/>
      <w:r w:rsidR="00F7544F" w:rsidRPr="00C0765A">
        <w:rPr>
          <w:i/>
          <w:iCs/>
          <w:lang w:val="en-US"/>
        </w:rPr>
        <w:t>df</w:t>
      </w:r>
      <w:proofErr w:type="spellEnd"/>
      <w:r w:rsidR="00F7544F" w:rsidRPr="00C0765A">
        <w:rPr>
          <w:lang w:val="en-US"/>
        </w:rPr>
        <w:t xml:space="preserve"> = 47.93, </w:t>
      </w:r>
      <w:r w:rsidR="00F7544F" w:rsidRPr="00C0765A">
        <w:rPr>
          <w:i/>
          <w:iCs/>
          <w:lang w:val="en-US"/>
        </w:rPr>
        <w:t>p</w:t>
      </w:r>
      <w:r w:rsidR="00F7544F" w:rsidRPr="00C0765A">
        <w:rPr>
          <w:lang w:val="en-US"/>
        </w:rPr>
        <w:t xml:space="preserve"> </w:t>
      </w:r>
      <w:r w:rsidR="00600F43" w:rsidRPr="00C0765A">
        <w:rPr>
          <w:lang w:val="en-US"/>
        </w:rPr>
        <w:t>&lt;</w:t>
      </w:r>
      <w:r w:rsidR="00F7544F" w:rsidRPr="00C0765A">
        <w:rPr>
          <w:lang w:val="en-US"/>
        </w:rPr>
        <w:t xml:space="preserve"> 0.00</w:t>
      </w:r>
      <w:r w:rsidR="00600F43" w:rsidRPr="00C0765A">
        <w:rPr>
          <w:lang w:val="en-US"/>
        </w:rPr>
        <w:t>1</w:t>
      </w:r>
      <w:r w:rsidR="00F7544F" w:rsidRPr="00C0765A">
        <w:rPr>
          <w:lang w:val="en-US"/>
        </w:rPr>
        <w:t xml:space="preserve">, </w:t>
      </w:r>
      <w:proofErr w:type="spellStart"/>
      <w:r w:rsidR="00F7544F" w:rsidRPr="00C0765A">
        <w:rPr>
          <w:i/>
          <w:iCs/>
          <w:lang w:val="en-US"/>
        </w:rPr>
        <w:t>dz</w:t>
      </w:r>
      <w:proofErr w:type="spellEnd"/>
      <w:r w:rsidR="00F7544F" w:rsidRPr="00C0765A">
        <w:rPr>
          <w:lang w:val="en-US"/>
        </w:rPr>
        <w:t xml:space="preserve"> = 1.66) and Sham conditions (</w:t>
      </w:r>
      <m:oMath>
        <m:r>
          <w:rPr>
            <w:rFonts w:ascii="Cambria Math" w:hAnsi="Cambria Math"/>
            <w:lang w:val="en-US"/>
          </w:rPr>
          <m:t>t</m:t>
        </m:r>
      </m:oMath>
      <w:r w:rsidR="00F7544F" w:rsidRPr="00C0765A">
        <w:rPr>
          <w:lang w:val="en-US"/>
        </w:rPr>
        <w:t xml:space="preserve"> = 7.67, </w:t>
      </w:r>
      <w:proofErr w:type="spellStart"/>
      <w:r w:rsidR="00F7544F" w:rsidRPr="00C0765A">
        <w:rPr>
          <w:i/>
          <w:iCs/>
          <w:lang w:val="en-US"/>
        </w:rPr>
        <w:t>df</w:t>
      </w:r>
      <w:proofErr w:type="spellEnd"/>
      <w:r w:rsidR="00F7544F" w:rsidRPr="00C0765A">
        <w:rPr>
          <w:lang w:val="en-US"/>
        </w:rPr>
        <w:t xml:space="preserve"> = 45.80, </w:t>
      </w:r>
      <w:r w:rsidR="00F7544F" w:rsidRPr="00C0765A">
        <w:rPr>
          <w:i/>
          <w:iCs/>
          <w:lang w:val="en-US"/>
        </w:rPr>
        <w:t>p</w:t>
      </w:r>
      <w:r w:rsidR="00F7544F" w:rsidRPr="00C0765A">
        <w:rPr>
          <w:lang w:val="en-US"/>
        </w:rPr>
        <w:t xml:space="preserve"> </w:t>
      </w:r>
      <w:r w:rsidR="00600F43" w:rsidRPr="00C0765A">
        <w:rPr>
          <w:lang w:val="en-US"/>
        </w:rPr>
        <w:t>&lt;</w:t>
      </w:r>
      <w:r w:rsidR="00F7544F" w:rsidRPr="00C0765A">
        <w:rPr>
          <w:lang w:val="en-US"/>
        </w:rPr>
        <w:t xml:space="preserve"> 0.00</w:t>
      </w:r>
      <w:r w:rsidR="00600F43" w:rsidRPr="00C0765A">
        <w:rPr>
          <w:lang w:val="en-US"/>
        </w:rPr>
        <w:t>1</w:t>
      </w:r>
      <w:r w:rsidR="00F7544F" w:rsidRPr="00C0765A">
        <w:rPr>
          <w:lang w:val="en-US"/>
        </w:rPr>
        <w:t xml:space="preserve">, </w:t>
      </w:r>
      <w:proofErr w:type="spellStart"/>
      <w:r w:rsidR="00F7544F" w:rsidRPr="00C0765A">
        <w:rPr>
          <w:i/>
          <w:iCs/>
          <w:lang w:val="en-US"/>
        </w:rPr>
        <w:t>dz</w:t>
      </w:r>
      <w:proofErr w:type="spellEnd"/>
      <w:r w:rsidR="00F7544F" w:rsidRPr="00C0765A">
        <w:rPr>
          <w:lang w:val="en-US"/>
        </w:rPr>
        <w:t xml:space="preserve"> = 1.76). For descriptive statistics, see Table 2</w:t>
      </w:r>
      <w:r w:rsidR="00FB51AA" w:rsidRPr="00C0765A">
        <w:rPr>
          <w:lang w:val="en-US"/>
        </w:rPr>
        <w:t>, for graphical depiction, see Figure 3.</w:t>
      </w:r>
      <w:r w:rsidR="00F7544F" w:rsidRPr="00C0765A">
        <w:rPr>
          <w:lang w:val="en-US"/>
        </w:rPr>
        <w:t xml:space="preserve"> While we observed no significant effect of </w:t>
      </w:r>
      <w:r w:rsidR="00F7544F" w:rsidRPr="00C0765A">
        <w:rPr>
          <w:i/>
          <w:iCs/>
          <w:lang w:val="en-US"/>
        </w:rPr>
        <w:t>condition</w:t>
      </w:r>
      <w:r w:rsidR="00F7544F" w:rsidRPr="00C0765A">
        <w:rPr>
          <w:lang w:val="en-US"/>
        </w:rPr>
        <w:t xml:space="preserve"> on P50 amplitudes </w:t>
      </w:r>
      <w:r w:rsidR="0022328C" w:rsidRPr="00C0765A">
        <w:rPr>
          <w:lang w:val="en-US"/>
        </w:rPr>
        <w:t>(</w:t>
      </w:r>
      <m:oMath>
        <m:r>
          <w:rPr>
            <w:rFonts w:ascii="Cambria Math" w:hAnsi="Cambria Math"/>
          </w:rPr>
          <m:t>β</m:t>
        </m:r>
      </m:oMath>
      <w:r w:rsidR="0022328C" w:rsidRPr="00C0765A">
        <w:rPr>
          <w:lang w:val="en-US"/>
        </w:rPr>
        <w:t xml:space="preserve"> = -0.08, </w:t>
      </w:r>
      <w:r w:rsidR="0022328C" w:rsidRPr="00C0765A">
        <w:rPr>
          <w:i/>
          <w:iCs/>
          <w:lang w:val="en-US"/>
        </w:rPr>
        <w:t>CI</w:t>
      </w:r>
      <w:r w:rsidR="0022328C" w:rsidRPr="00C0765A">
        <w:rPr>
          <w:lang w:val="en-US"/>
        </w:rPr>
        <w:t xml:space="preserve"> = 0.38, </w:t>
      </w:r>
      <w:r w:rsidR="0022328C" w:rsidRPr="00C0765A">
        <w:rPr>
          <w:i/>
          <w:iCs/>
          <w:lang w:val="en-US"/>
        </w:rPr>
        <w:t>p</w:t>
      </w:r>
      <w:r w:rsidR="0022328C" w:rsidRPr="00C0765A">
        <w:rPr>
          <w:lang w:val="en-US"/>
        </w:rPr>
        <w:t xml:space="preserve"> = 0.42, </w:t>
      </w:r>
      <m:oMath>
        <m:r>
          <w:rPr>
            <w:rFonts w:ascii="Cambria Math" w:hAnsi="Cambria Math"/>
          </w:rPr>
          <m:t>Sβ</m:t>
        </m:r>
      </m:oMath>
      <w:r w:rsidR="0022328C" w:rsidRPr="00C0765A">
        <w:rPr>
          <w:lang w:val="en-US"/>
        </w:rPr>
        <w:t xml:space="preserve"> = 0.00), or N1 amplitudes (</w:t>
      </w:r>
      <m:oMath>
        <m:r>
          <w:rPr>
            <w:rFonts w:ascii="Cambria Math" w:hAnsi="Cambria Math"/>
          </w:rPr>
          <m:t>β</m:t>
        </m:r>
      </m:oMath>
      <w:r w:rsidR="0022328C" w:rsidRPr="00C0765A">
        <w:rPr>
          <w:lang w:val="en-US"/>
        </w:rPr>
        <w:t xml:space="preserve"> = -0.01, </w:t>
      </w:r>
      <w:r w:rsidR="0022328C" w:rsidRPr="00C0765A">
        <w:rPr>
          <w:i/>
          <w:iCs/>
          <w:lang w:val="en-US"/>
        </w:rPr>
        <w:t>CI</w:t>
      </w:r>
      <w:r w:rsidR="0022328C" w:rsidRPr="00C0765A">
        <w:rPr>
          <w:lang w:val="en-US"/>
        </w:rPr>
        <w:t xml:space="preserve"> = 0.10, </w:t>
      </w:r>
      <w:r w:rsidR="0022328C" w:rsidRPr="00C0765A">
        <w:rPr>
          <w:i/>
          <w:iCs/>
          <w:lang w:val="en-US"/>
        </w:rPr>
        <w:t>p</w:t>
      </w:r>
      <w:r w:rsidR="0022328C" w:rsidRPr="00C0765A">
        <w:rPr>
          <w:lang w:val="en-US"/>
        </w:rPr>
        <w:t xml:space="preserve"> = 0.60, </w:t>
      </w:r>
      <m:oMath>
        <m:r>
          <w:rPr>
            <w:rFonts w:ascii="Cambria Math" w:hAnsi="Cambria Math"/>
          </w:rPr>
          <m:t>Sβ</m:t>
        </m:r>
      </m:oMath>
      <w:r w:rsidR="0022328C" w:rsidRPr="00C0765A">
        <w:rPr>
          <w:lang w:val="en-US"/>
        </w:rPr>
        <w:t xml:space="preserve"> = 0.00)</w:t>
      </w:r>
      <w:r w:rsidR="00F7544F" w:rsidRPr="00C0765A">
        <w:rPr>
          <w:lang w:val="en-US"/>
        </w:rPr>
        <w:t>,</w:t>
      </w:r>
      <w:r w:rsidR="00642CD5" w:rsidRPr="00C0765A">
        <w:rPr>
          <w:lang w:val="en-US"/>
        </w:rPr>
        <w:t xml:space="preserve"> </w:t>
      </w:r>
      <w:r w:rsidR="00FE7E25" w:rsidRPr="00C0765A">
        <w:rPr>
          <w:lang w:val="en-US"/>
        </w:rPr>
        <w:t>w</w:t>
      </w:r>
      <w:r w:rsidR="00F7544F" w:rsidRPr="00C0765A">
        <w:rPr>
          <w:lang w:val="en-US"/>
        </w:rPr>
        <w:t xml:space="preserve">e observed significantly increased P2 amplitudes in the </w:t>
      </w:r>
      <w:proofErr w:type="spellStart"/>
      <w:r w:rsidR="00F7544F" w:rsidRPr="00C0765A">
        <w:rPr>
          <w:lang w:val="en-US"/>
        </w:rPr>
        <w:t>taVNS</w:t>
      </w:r>
      <w:proofErr w:type="spellEnd"/>
      <w:r w:rsidR="00F7544F" w:rsidRPr="00C0765A">
        <w:rPr>
          <w:lang w:val="en-US"/>
        </w:rPr>
        <w:t xml:space="preserve"> condition (</w:t>
      </w:r>
      <m:oMath>
        <m:r>
          <w:rPr>
            <w:rFonts w:ascii="Cambria Math" w:hAnsi="Cambria Math"/>
            <w:lang w:val="en-US"/>
          </w:rPr>
          <m:t>β</m:t>
        </m:r>
      </m:oMath>
      <w:r w:rsidR="00F7544F" w:rsidRPr="00C0765A">
        <w:rPr>
          <w:lang w:val="en-US"/>
        </w:rPr>
        <w:t xml:space="preserve"> = 1.96, </w:t>
      </w:r>
      <w:r w:rsidR="00F7544F" w:rsidRPr="00C0765A">
        <w:rPr>
          <w:i/>
          <w:iCs/>
          <w:lang w:val="en-US"/>
        </w:rPr>
        <w:t>CI</w:t>
      </w:r>
      <w:r w:rsidR="00F7544F" w:rsidRPr="00C0765A">
        <w:rPr>
          <w:lang w:val="en-US"/>
        </w:rPr>
        <w:t xml:space="preserve"> = 3.02, </w:t>
      </w:r>
      <w:r w:rsidR="00F7544F" w:rsidRPr="00C0765A">
        <w:rPr>
          <w:i/>
          <w:iCs/>
          <w:lang w:val="en-US"/>
        </w:rPr>
        <w:t>p</w:t>
      </w:r>
      <w:r w:rsidR="00F7544F" w:rsidRPr="00C0765A">
        <w:rPr>
          <w:lang w:val="en-US"/>
        </w:rPr>
        <w:t xml:space="preserve"> = 0.01, </w:t>
      </w:r>
      <m:oMath>
        <m:r>
          <w:rPr>
            <w:rFonts w:ascii="Cambria Math" w:hAnsi="Cambria Math"/>
            <w:lang w:val="en-US"/>
          </w:rPr>
          <m:t>Sβ</m:t>
        </m:r>
      </m:oMath>
      <w:r w:rsidR="00F7544F" w:rsidRPr="00C0765A">
        <w:rPr>
          <w:lang w:val="en-US"/>
        </w:rPr>
        <w:t xml:space="preserve"> = 0.35). </w:t>
      </w:r>
      <w:r w:rsidR="00F46506" w:rsidRPr="00C0765A">
        <w:rPr>
          <w:lang w:val="en-US"/>
        </w:rPr>
        <w:t xml:space="preserve">We found no effects of </w:t>
      </w:r>
      <w:r w:rsidR="00F46506" w:rsidRPr="00C0765A">
        <w:rPr>
          <w:i/>
          <w:iCs/>
          <w:lang w:val="en-US"/>
        </w:rPr>
        <w:t>condition</w:t>
      </w:r>
      <w:r w:rsidR="00F46506" w:rsidRPr="00C0765A">
        <w:rPr>
          <w:lang w:val="en-US"/>
        </w:rPr>
        <w:t xml:space="preserve"> on the neural gating of the P50 (</w:t>
      </w:r>
      <m:oMath>
        <m:r>
          <w:rPr>
            <w:rFonts w:ascii="Cambria Math" w:hAnsi="Cambria Math"/>
          </w:rPr>
          <m:t>β</m:t>
        </m:r>
      </m:oMath>
      <w:r w:rsidR="00F46506" w:rsidRPr="00C0765A">
        <w:rPr>
          <w:lang w:val="en-US"/>
        </w:rPr>
        <w:t xml:space="preserve"> = -0.02, </w:t>
      </w:r>
      <w:r w:rsidR="00F46506" w:rsidRPr="00C0765A">
        <w:rPr>
          <w:i/>
          <w:iCs/>
          <w:lang w:val="en-US"/>
        </w:rPr>
        <w:t>CI</w:t>
      </w:r>
      <w:r w:rsidR="00F46506" w:rsidRPr="00C0765A">
        <w:rPr>
          <w:lang w:val="en-US"/>
        </w:rPr>
        <w:t xml:space="preserve"> = 0.28, </w:t>
      </w:r>
      <w:r w:rsidR="00F46506" w:rsidRPr="00C0765A">
        <w:rPr>
          <w:i/>
          <w:iCs/>
          <w:lang w:val="en-US"/>
        </w:rPr>
        <w:t>p</w:t>
      </w:r>
      <w:r w:rsidR="00F46506" w:rsidRPr="00C0765A">
        <w:rPr>
          <w:lang w:val="en-US"/>
        </w:rPr>
        <w:t xml:space="preserve"> = 0.81, </w:t>
      </w:r>
      <m:oMath>
        <m:r>
          <w:rPr>
            <w:rFonts w:ascii="Cambria Math" w:hAnsi="Cambria Math"/>
          </w:rPr>
          <m:t>Sβ</m:t>
        </m:r>
      </m:oMath>
      <w:r w:rsidR="00F46506" w:rsidRPr="00C0765A">
        <w:rPr>
          <w:lang w:val="en-US"/>
        </w:rPr>
        <w:t xml:space="preserve"> = 0.00) or the N1 component</w:t>
      </w:r>
      <w:r w:rsidR="00710D01" w:rsidRPr="00C0765A">
        <w:rPr>
          <w:lang w:val="en-US"/>
        </w:rPr>
        <w:t>s</w:t>
      </w:r>
      <w:r w:rsidR="00F46506" w:rsidRPr="00C0765A">
        <w:rPr>
          <w:lang w:val="en-US"/>
        </w:rPr>
        <w:t xml:space="preserve"> (</w:t>
      </w:r>
      <m:oMath>
        <m:r>
          <w:rPr>
            <w:rFonts w:ascii="Cambria Math" w:hAnsi="Cambria Math"/>
          </w:rPr>
          <m:t>β</m:t>
        </m:r>
      </m:oMath>
      <w:r w:rsidR="00F46506" w:rsidRPr="00C0765A">
        <w:rPr>
          <w:lang w:val="en-US"/>
        </w:rPr>
        <w:t xml:space="preserve"> = -0.00, </w:t>
      </w:r>
      <w:r w:rsidR="00F46506" w:rsidRPr="00C0765A">
        <w:rPr>
          <w:i/>
          <w:iCs/>
          <w:lang w:val="en-US"/>
        </w:rPr>
        <w:t>CI</w:t>
      </w:r>
      <w:r w:rsidR="00F46506" w:rsidRPr="00C0765A">
        <w:rPr>
          <w:lang w:val="en-US"/>
        </w:rPr>
        <w:t xml:space="preserve"> = 0.41, </w:t>
      </w:r>
      <w:r w:rsidR="00F46506" w:rsidRPr="00C0765A">
        <w:rPr>
          <w:i/>
          <w:iCs/>
          <w:lang w:val="en-US"/>
        </w:rPr>
        <w:t>p</w:t>
      </w:r>
      <w:r w:rsidR="00F46506" w:rsidRPr="00C0765A">
        <w:rPr>
          <w:lang w:val="en-US"/>
        </w:rPr>
        <w:t xml:space="preserve"> = 0.96, </w:t>
      </w:r>
      <m:oMath>
        <m:r>
          <w:rPr>
            <w:rFonts w:ascii="Cambria Math" w:hAnsi="Cambria Math"/>
          </w:rPr>
          <m:t>Sβ</m:t>
        </m:r>
      </m:oMath>
      <w:r w:rsidR="00F46506" w:rsidRPr="00C0765A">
        <w:rPr>
          <w:lang w:val="en-US"/>
        </w:rPr>
        <w:t xml:space="preserve"> = 0.00)</w:t>
      </w:r>
      <w:r w:rsidR="00F7544F" w:rsidRPr="00C0765A">
        <w:rPr>
          <w:lang w:val="en-US"/>
        </w:rPr>
        <w:t>.</w:t>
      </w:r>
    </w:p>
    <w:p w14:paraId="047ED17E" w14:textId="2537E21D" w:rsidR="00C4482B" w:rsidRPr="00C0765A" w:rsidRDefault="00C4482B" w:rsidP="00AA3014">
      <w:pPr>
        <w:pStyle w:val="Heading3"/>
        <w:rPr>
          <w:lang w:val="en-US"/>
        </w:rPr>
      </w:pPr>
      <w:r w:rsidRPr="00C0765A">
        <w:rPr>
          <w:lang w:val="en-US"/>
        </w:rPr>
        <w:t>3.2.2 Respiratory-related evoked-potentials</w:t>
      </w:r>
    </w:p>
    <w:p w14:paraId="10378CD1" w14:textId="53634E95" w:rsidR="00C4482B" w:rsidRPr="00C0765A" w:rsidRDefault="00C4482B" w:rsidP="009E2BE9">
      <w:pPr>
        <w:rPr>
          <w:lang w:val="en-US"/>
        </w:rPr>
      </w:pPr>
      <w:r w:rsidRPr="00C0765A">
        <w:rPr>
          <w:lang w:val="en-US"/>
        </w:rPr>
        <w:t xml:space="preserve">To test the effects of </w:t>
      </w:r>
      <w:proofErr w:type="spellStart"/>
      <w:r w:rsidRPr="00C0765A">
        <w:rPr>
          <w:lang w:val="en-US"/>
        </w:rPr>
        <w:t>taVNS</w:t>
      </w:r>
      <w:proofErr w:type="spellEnd"/>
      <w:r w:rsidRPr="00C0765A">
        <w:rPr>
          <w:lang w:val="en-US"/>
        </w:rPr>
        <w:t xml:space="preserve"> on RREP, we measured peak amplitudes </w:t>
      </w:r>
      <w:r w:rsidR="007D4EFF" w:rsidRPr="00C0765A">
        <w:rPr>
          <w:lang w:val="en-US"/>
        </w:rPr>
        <w:t>of</w:t>
      </w:r>
      <w:r w:rsidRPr="00C0765A">
        <w:rPr>
          <w:lang w:val="en-US"/>
        </w:rPr>
        <w:t xml:space="preserve"> N1 and P2 components in response to the first occlusion in the pair, </w:t>
      </w:r>
      <w:r w:rsidR="009E2BE9" w:rsidRPr="00C0765A">
        <w:rPr>
          <w:lang w:val="en-US"/>
        </w:rPr>
        <w:t xml:space="preserve">as well as neural gating as the difference between the peak N1 response to the second and the first occlusion. Two-sample </w:t>
      </w:r>
      <w:r w:rsidR="006507E7" w:rsidRPr="00C0765A">
        <w:rPr>
          <w:lang w:val="en-US"/>
        </w:rPr>
        <w:t xml:space="preserve">paired </w:t>
      </w:r>
      <w:r w:rsidR="009E2BE9" w:rsidRPr="00C0765A">
        <w:rPr>
          <w:lang w:val="en-US"/>
        </w:rPr>
        <w:t xml:space="preserve">t-tests showed a significantly decreased N1 amplitude to the second occlusion in both </w:t>
      </w:r>
      <w:proofErr w:type="spellStart"/>
      <w:r w:rsidR="009E2BE9" w:rsidRPr="00C0765A">
        <w:rPr>
          <w:lang w:val="en-US"/>
        </w:rPr>
        <w:t>taVNS</w:t>
      </w:r>
      <w:proofErr w:type="spellEnd"/>
      <w:r w:rsidR="009E2BE9" w:rsidRPr="00C0765A">
        <w:rPr>
          <w:lang w:val="en-US"/>
        </w:rPr>
        <w:t xml:space="preserve"> (</w:t>
      </w:r>
      <m:oMath>
        <m:r>
          <w:rPr>
            <w:rFonts w:ascii="Cambria Math" w:hAnsi="Cambria Math"/>
            <w:lang w:val="en-US"/>
          </w:rPr>
          <m:t>t</m:t>
        </m:r>
      </m:oMath>
      <w:r w:rsidR="009E2BE9" w:rsidRPr="00C0765A">
        <w:rPr>
          <w:lang w:val="en-US"/>
        </w:rPr>
        <w:t xml:space="preserve"> = </w:t>
      </w:r>
      <w:r w:rsidR="00881A7A" w:rsidRPr="00C0765A">
        <w:rPr>
          <w:lang w:val="en-US"/>
        </w:rPr>
        <w:t>8</w:t>
      </w:r>
      <w:r w:rsidR="009E2BE9" w:rsidRPr="00C0765A">
        <w:rPr>
          <w:lang w:val="en-US"/>
        </w:rPr>
        <w:t>.</w:t>
      </w:r>
      <w:r w:rsidR="00881A7A" w:rsidRPr="00C0765A">
        <w:rPr>
          <w:lang w:val="en-US"/>
        </w:rPr>
        <w:t>41</w:t>
      </w:r>
      <w:r w:rsidR="009E2BE9" w:rsidRPr="00C0765A">
        <w:rPr>
          <w:lang w:val="en-US"/>
        </w:rPr>
        <w:t xml:space="preserve">, </w:t>
      </w:r>
      <w:proofErr w:type="spellStart"/>
      <w:r w:rsidR="009E2BE9" w:rsidRPr="00C0765A">
        <w:rPr>
          <w:i/>
          <w:iCs/>
          <w:lang w:val="en-US"/>
        </w:rPr>
        <w:t>df</w:t>
      </w:r>
      <w:proofErr w:type="spellEnd"/>
      <w:r w:rsidR="009E2BE9" w:rsidRPr="00C0765A">
        <w:rPr>
          <w:lang w:val="en-US"/>
        </w:rPr>
        <w:t xml:space="preserve"> = </w:t>
      </w:r>
      <w:r w:rsidR="00881A7A" w:rsidRPr="00C0765A">
        <w:rPr>
          <w:lang w:val="en-US"/>
        </w:rPr>
        <w:t>58</w:t>
      </w:r>
      <w:r w:rsidR="009E2BE9" w:rsidRPr="00C0765A">
        <w:rPr>
          <w:lang w:val="en-US"/>
        </w:rPr>
        <w:t>.</w:t>
      </w:r>
      <w:r w:rsidR="00881A7A" w:rsidRPr="00C0765A">
        <w:rPr>
          <w:lang w:val="en-US"/>
        </w:rPr>
        <w:t>63</w:t>
      </w:r>
      <w:r w:rsidR="009E2BE9" w:rsidRPr="00C0765A">
        <w:rPr>
          <w:lang w:val="en-US"/>
        </w:rPr>
        <w:t xml:space="preserve">, </w:t>
      </w:r>
      <w:r w:rsidR="009E2BE9" w:rsidRPr="00C0765A">
        <w:rPr>
          <w:i/>
          <w:iCs/>
          <w:lang w:val="en-US"/>
        </w:rPr>
        <w:t>p</w:t>
      </w:r>
      <w:r w:rsidR="009E2BE9" w:rsidRPr="00C0765A">
        <w:rPr>
          <w:lang w:val="en-US"/>
        </w:rPr>
        <w:t xml:space="preserve"> &lt; 0.001, </w:t>
      </w:r>
      <w:proofErr w:type="spellStart"/>
      <w:r w:rsidR="009E2BE9" w:rsidRPr="00C0765A">
        <w:rPr>
          <w:i/>
          <w:iCs/>
          <w:lang w:val="en-US"/>
        </w:rPr>
        <w:t>dz</w:t>
      </w:r>
      <w:proofErr w:type="spellEnd"/>
      <w:r w:rsidR="009E2BE9" w:rsidRPr="00C0765A">
        <w:rPr>
          <w:lang w:val="en-US"/>
        </w:rPr>
        <w:t xml:space="preserve"> = 1.12) and Sham conditions (</w:t>
      </w:r>
      <m:oMath>
        <m:r>
          <w:rPr>
            <w:rFonts w:ascii="Cambria Math" w:hAnsi="Cambria Math"/>
            <w:lang w:val="en-US"/>
          </w:rPr>
          <m:t>t</m:t>
        </m:r>
      </m:oMath>
      <w:r w:rsidR="009E2BE9" w:rsidRPr="00C0765A">
        <w:rPr>
          <w:lang w:val="en-US"/>
        </w:rPr>
        <w:t xml:space="preserve"> = </w:t>
      </w:r>
      <w:r w:rsidR="00B142AD" w:rsidRPr="00C0765A">
        <w:rPr>
          <w:lang w:val="en-US"/>
        </w:rPr>
        <w:t>5</w:t>
      </w:r>
      <w:r w:rsidR="009E2BE9" w:rsidRPr="00C0765A">
        <w:rPr>
          <w:lang w:val="en-US"/>
        </w:rPr>
        <w:t>.0</w:t>
      </w:r>
      <w:r w:rsidR="001E72FC" w:rsidRPr="00C0765A">
        <w:rPr>
          <w:lang w:val="en-US"/>
        </w:rPr>
        <w:t>8</w:t>
      </w:r>
      <w:r w:rsidR="009E2BE9" w:rsidRPr="00C0765A">
        <w:rPr>
          <w:lang w:val="en-US"/>
        </w:rPr>
        <w:t xml:space="preserve">, </w:t>
      </w:r>
      <w:proofErr w:type="spellStart"/>
      <w:r w:rsidR="009E2BE9" w:rsidRPr="00C0765A">
        <w:rPr>
          <w:i/>
          <w:iCs/>
          <w:lang w:val="en-US"/>
        </w:rPr>
        <w:t>df</w:t>
      </w:r>
      <w:proofErr w:type="spellEnd"/>
      <w:r w:rsidR="009E2BE9" w:rsidRPr="00C0765A">
        <w:rPr>
          <w:lang w:val="en-US"/>
        </w:rPr>
        <w:t xml:space="preserve"> = </w:t>
      </w:r>
      <w:r w:rsidR="00872692" w:rsidRPr="00C0765A">
        <w:rPr>
          <w:lang w:val="en-US"/>
        </w:rPr>
        <w:t>63</w:t>
      </w:r>
      <w:r w:rsidR="009E2BE9" w:rsidRPr="00C0765A">
        <w:rPr>
          <w:lang w:val="en-US"/>
        </w:rPr>
        <w:t>.</w:t>
      </w:r>
      <w:r w:rsidR="00872692" w:rsidRPr="00C0765A">
        <w:rPr>
          <w:lang w:val="en-US"/>
        </w:rPr>
        <w:t>56</w:t>
      </w:r>
      <w:r w:rsidR="009E2BE9" w:rsidRPr="00C0765A">
        <w:rPr>
          <w:lang w:val="en-US"/>
        </w:rPr>
        <w:t xml:space="preserve">, </w:t>
      </w:r>
      <w:r w:rsidR="009E2BE9" w:rsidRPr="00C0765A">
        <w:rPr>
          <w:i/>
          <w:iCs/>
          <w:lang w:val="en-US"/>
        </w:rPr>
        <w:t>p</w:t>
      </w:r>
      <w:r w:rsidR="009E2BE9" w:rsidRPr="00C0765A">
        <w:rPr>
          <w:lang w:val="en-US"/>
        </w:rPr>
        <w:t xml:space="preserve"> </w:t>
      </w:r>
      <w:r w:rsidR="001E72FC" w:rsidRPr="00C0765A">
        <w:rPr>
          <w:lang w:val="en-US"/>
        </w:rPr>
        <w:t>&lt;</w:t>
      </w:r>
      <w:r w:rsidR="009E2BE9" w:rsidRPr="00C0765A">
        <w:rPr>
          <w:lang w:val="en-US"/>
        </w:rPr>
        <w:t xml:space="preserve"> </w:t>
      </w:r>
      <w:r w:rsidR="001E72FC" w:rsidRPr="00C0765A">
        <w:rPr>
          <w:lang w:val="en-US"/>
        </w:rPr>
        <w:t>0</w:t>
      </w:r>
      <w:r w:rsidR="009E2BE9" w:rsidRPr="00C0765A">
        <w:rPr>
          <w:lang w:val="en-US"/>
        </w:rPr>
        <w:t>.00</w:t>
      </w:r>
      <w:r w:rsidR="001E72FC" w:rsidRPr="00C0765A">
        <w:rPr>
          <w:lang w:val="en-US"/>
        </w:rPr>
        <w:t>1</w:t>
      </w:r>
      <w:r w:rsidR="009E2BE9" w:rsidRPr="00C0765A">
        <w:rPr>
          <w:lang w:val="en-US"/>
        </w:rPr>
        <w:t xml:space="preserve">, </w:t>
      </w:r>
      <w:proofErr w:type="spellStart"/>
      <w:r w:rsidR="009E2BE9" w:rsidRPr="00C0765A">
        <w:rPr>
          <w:i/>
          <w:iCs/>
          <w:lang w:val="en-US"/>
        </w:rPr>
        <w:t>dz</w:t>
      </w:r>
      <w:proofErr w:type="spellEnd"/>
      <w:r w:rsidR="009E2BE9" w:rsidRPr="00C0765A">
        <w:rPr>
          <w:lang w:val="en-US"/>
        </w:rPr>
        <w:t xml:space="preserve"> = </w:t>
      </w:r>
      <w:r w:rsidR="001E72FC" w:rsidRPr="00C0765A">
        <w:rPr>
          <w:lang w:val="en-US"/>
        </w:rPr>
        <w:t>1</w:t>
      </w:r>
      <w:r w:rsidR="009E2BE9" w:rsidRPr="00C0765A">
        <w:rPr>
          <w:lang w:val="en-US"/>
        </w:rPr>
        <w:t>.</w:t>
      </w:r>
      <w:r w:rsidR="001E72FC" w:rsidRPr="00C0765A">
        <w:rPr>
          <w:lang w:val="en-US"/>
        </w:rPr>
        <w:t>2</w:t>
      </w:r>
      <w:r w:rsidR="00AC5097" w:rsidRPr="00C0765A">
        <w:rPr>
          <w:lang w:val="en-US"/>
        </w:rPr>
        <w:t>0</w:t>
      </w:r>
      <w:r w:rsidR="009E2BE9" w:rsidRPr="00C0765A">
        <w:rPr>
          <w:lang w:val="en-US"/>
        </w:rPr>
        <w:t xml:space="preserve">). For descriptive statistics, see Table 3. </w:t>
      </w:r>
      <w:r w:rsidR="001C5AC3" w:rsidRPr="00C0765A">
        <w:rPr>
          <w:lang w:val="en-US"/>
        </w:rPr>
        <w:t xml:space="preserve">We observed no significant effect of </w:t>
      </w:r>
      <w:r w:rsidR="001C5AC3" w:rsidRPr="00C0765A">
        <w:rPr>
          <w:i/>
          <w:iCs/>
          <w:lang w:val="en-US"/>
        </w:rPr>
        <w:t>condition</w:t>
      </w:r>
      <w:r w:rsidR="001C5AC3" w:rsidRPr="00C0765A">
        <w:rPr>
          <w:lang w:val="en-US"/>
        </w:rPr>
        <w:t xml:space="preserve"> on N1 amplitudes (</w:t>
      </w:r>
      <m:oMath>
        <m:r>
          <w:rPr>
            <w:rFonts w:ascii="Cambria Math" w:hAnsi="Cambria Math"/>
          </w:rPr>
          <m:t>β</m:t>
        </m:r>
      </m:oMath>
      <w:r w:rsidR="001C5AC3" w:rsidRPr="00C0765A">
        <w:rPr>
          <w:lang w:val="en-US"/>
        </w:rPr>
        <w:t xml:space="preserve"> = 0.06, </w:t>
      </w:r>
      <w:r w:rsidR="001C5AC3" w:rsidRPr="00C0765A">
        <w:rPr>
          <w:i/>
          <w:iCs/>
          <w:lang w:val="en-US"/>
        </w:rPr>
        <w:t>CI</w:t>
      </w:r>
      <w:r w:rsidR="001C5AC3" w:rsidRPr="00C0765A">
        <w:rPr>
          <w:lang w:val="en-US"/>
        </w:rPr>
        <w:t xml:space="preserve"> = 0.32, </w:t>
      </w:r>
      <w:r w:rsidR="001C5AC3" w:rsidRPr="00C0765A">
        <w:rPr>
          <w:i/>
          <w:iCs/>
          <w:lang w:val="en-US"/>
        </w:rPr>
        <w:t>p</w:t>
      </w:r>
      <w:r w:rsidR="001C5AC3" w:rsidRPr="00C0765A">
        <w:rPr>
          <w:lang w:val="en-US"/>
        </w:rPr>
        <w:t xml:space="preserve"> = 0.46, </w:t>
      </w:r>
      <m:oMath>
        <m:r>
          <w:rPr>
            <w:rFonts w:ascii="Cambria Math" w:hAnsi="Cambria Math"/>
          </w:rPr>
          <m:t>Sβ</m:t>
        </m:r>
      </m:oMath>
      <w:r w:rsidR="001C5AC3" w:rsidRPr="00C0765A">
        <w:rPr>
          <w:lang w:val="en-US"/>
        </w:rPr>
        <w:t xml:space="preserve"> = 0.00), P2 amplitudes (</w:t>
      </w:r>
      <m:oMath>
        <m:r>
          <w:rPr>
            <w:rFonts w:ascii="Cambria Math" w:hAnsi="Cambria Math"/>
          </w:rPr>
          <m:t>β</m:t>
        </m:r>
      </m:oMath>
      <w:r w:rsidR="001C5AC3" w:rsidRPr="00C0765A">
        <w:rPr>
          <w:lang w:val="en-US"/>
        </w:rPr>
        <w:t xml:space="preserve"> = -0.01, </w:t>
      </w:r>
      <w:r w:rsidR="001C5AC3" w:rsidRPr="00C0765A">
        <w:rPr>
          <w:i/>
          <w:iCs/>
          <w:lang w:val="en-US"/>
        </w:rPr>
        <w:t>CI</w:t>
      </w:r>
      <w:r w:rsidR="001C5AC3" w:rsidRPr="00C0765A">
        <w:rPr>
          <w:lang w:val="en-US"/>
        </w:rPr>
        <w:t xml:space="preserve"> = 2.83, </w:t>
      </w:r>
      <w:r w:rsidR="001C5AC3" w:rsidRPr="00C0765A">
        <w:rPr>
          <w:i/>
          <w:iCs/>
          <w:lang w:val="en-US"/>
        </w:rPr>
        <w:t>p</w:t>
      </w:r>
      <w:r w:rsidR="001C5AC3" w:rsidRPr="00C0765A">
        <w:rPr>
          <w:lang w:val="en-US"/>
        </w:rPr>
        <w:t xml:space="preserve"> = 0.98, </w:t>
      </w:r>
      <m:oMath>
        <m:r>
          <w:rPr>
            <w:rFonts w:ascii="Cambria Math" w:hAnsi="Cambria Math"/>
          </w:rPr>
          <m:t>Sβ</m:t>
        </m:r>
      </m:oMath>
      <w:r w:rsidR="001C5AC3" w:rsidRPr="00C0765A">
        <w:rPr>
          <w:lang w:val="en-US"/>
        </w:rPr>
        <w:t xml:space="preserve"> = 0.00), or neural gating (</w:t>
      </w:r>
      <m:oMath>
        <m:r>
          <w:rPr>
            <w:rFonts w:ascii="Cambria Math" w:hAnsi="Cambria Math"/>
          </w:rPr>
          <m:t>β</m:t>
        </m:r>
      </m:oMath>
      <w:r w:rsidR="001C5AC3" w:rsidRPr="00C0765A">
        <w:rPr>
          <w:lang w:val="en-US"/>
        </w:rPr>
        <w:t xml:space="preserve"> = 0.06, </w:t>
      </w:r>
      <w:r w:rsidR="001C5AC3" w:rsidRPr="00C0765A">
        <w:rPr>
          <w:i/>
          <w:iCs/>
          <w:lang w:val="en-US"/>
        </w:rPr>
        <w:t>CI</w:t>
      </w:r>
      <w:r w:rsidR="001C5AC3" w:rsidRPr="00C0765A">
        <w:rPr>
          <w:lang w:val="en-US"/>
        </w:rPr>
        <w:t xml:space="preserve"> = 0.38, </w:t>
      </w:r>
      <w:r w:rsidR="001C5AC3" w:rsidRPr="00C0765A">
        <w:rPr>
          <w:i/>
          <w:iCs/>
          <w:lang w:val="en-US"/>
        </w:rPr>
        <w:t>p</w:t>
      </w:r>
      <w:r w:rsidR="001C5AC3" w:rsidRPr="00C0765A">
        <w:rPr>
          <w:lang w:val="en-US"/>
        </w:rPr>
        <w:t xml:space="preserve"> = 0.50, </w:t>
      </w:r>
      <m:oMath>
        <m:r>
          <w:rPr>
            <w:rFonts w:ascii="Cambria Math" w:hAnsi="Cambria Math"/>
          </w:rPr>
          <m:t>Sβ</m:t>
        </m:r>
      </m:oMath>
      <w:r w:rsidR="001C5AC3" w:rsidRPr="00C0765A">
        <w:rPr>
          <w:lang w:val="en-US"/>
        </w:rPr>
        <w:t xml:space="preserve"> = 0.00)</w:t>
      </w:r>
      <w:r w:rsidR="00E13152" w:rsidRPr="00C0765A">
        <w:rPr>
          <w:lang w:val="en-US"/>
        </w:rPr>
        <w:t>.</w:t>
      </w:r>
      <w:r w:rsidR="00C4057D" w:rsidRPr="00C0765A">
        <w:rPr>
          <w:lang w:val="en-US"/>
        </w:rPr>
        <w:t xml:space="preserve"> For graphical depiction, see Figure 4.</w:t>
      </w:r>
    </w:p>
    <w:p w14:paraId="163CE2D7" w14:textId="77777777" w:rsidR="003F3514" w:rsidRPr="00C0765A" w:rsidRDefault="003F3514" w:rsidP="003F3514">
      <w:pPr>
        <w:pStyle w:val="Heading3"/>
        <w:rPr>
          <w:lang w:val="en-US"/>
        </w:rPr>
      </w:pPr>
      <w:bookmarkStart w:id="7" w:name="somatosensory-evoked-potentials"/>
      <w:bookmarkEnd w:id="6"/>
      <w:r w:rsidRPr="00C0765A">
        <w:rPr>
          <w:lang w:val="en-US"/>
        </w:rPr>
        <w:t>3.2.3 Somatosensory evoked potentials</w:t>
      </w:r>
    </w:p>
    <w:p w14:paraId="2DD6A93A" w14:textId="3913A0CF" w:rsidR="00D771EB" w:rsidRPr="00C0765A" w:rsidRDefault="003F3514" w:rsidP="00AA310D">
      <w:pPr>
        <w:rPr>
          <w:lang w:val="en-US"/>
        </w:rPr>
      </w:pPr>
      <w:r w:rsidRPr="00C0765A">
        <w:rPr>
          <w:lang w:val="en-US"/>
        </w:rPr>
        <w:t xml:space="preserve">To test the effects of </w:t>
      </w:r>
      <w:proofErr w:type="spellStart"/>
      <w:r w:rsidRPr="00C0765A">
        <w:rPr>
          <w:lang w:val="en-US"/>
        </w:rPr>
        <w:t>taVNS</w:t>
      </w:r>
      <w:proofErr w:type="spellEnd"/>
      <w:r w:rsidRPr="00C0765A">
        <w:rPr>
          <w:lang w:val="en-US"/>
        </w:rPr>
        <w:t xml:space="preserve"> on SEP, we measured peak amplitudes for N1 and P2 components in response to the first stimulus in the pair, </w:t>
      </w:r>
      <w:r w:rsidR="008E6F86" w:rsidRPr="00C0765A">
        <w:rPr>
          <w:lang w:val="en-US"/>
        </w:rPr>
        <w:t xml:space="preserve">as well as neural gating as the difference between the peak N1 response to the second and the first stimulus. </w:t>
      </w:r>
      <w:r w:rsidR="009270C1" w:rsidRPr="00C0765A">
        <w:rPr>
          <w:lang w:val="en-US"/>
        </w:rPr>
        <w:t xml:space="preserve">Descriptive statistics are found in Table 4, and the graphical depiction in Figure 5. </w:t>
      </w:r>
      <w:r w:rsidR="008E6F86" w:rsidRPr="00C0765A">
        <w:rPr>
          <w:lang w:val="en-US"/>
        </w:rPr>
        <w:t xml:space="preserve">Two-sample </w:t>
      </w:r>
      <w:r w:rsidR="006507E7" w:rsidRPr="00C0765A">
        <w:rPr>
          <w:lang w:val="en-US"/>
        </w:rPr>
        <w:t xml:space="preserve">paired </w:t>
      </w:r>
      <w:r w:rsidR="008E6F86" w:rsidRPr="00C0765A">
        <w:rPr>
          <w:lang w:val="en-US"/>
        </w:rPr>
        <w:t xml:space="preserve">t-tests showed a significantly decreased N1 amplitude to the second stimulus relative to the first </w:t>
      </w:r>
      <w:r w:rsidR="008E6F86" w:rsidRPr="00C0765A">
        <w:rPr>
          <w:lang w:val="en-US"/>
        </w:rPr>
        <w:lastRenderedPageBreak/>
        <w:t xml:space="preserve">stimulus in both </w:t>
      </w:r>
      <w:proofErr w:type="spellStart"/>
      <w:r w:rsidR="008E6F86" w:rsidRPr="00C0765A">
        <w:rPr>
          <w:lang w:val="en-US"/>
        </w:rPr>
        <w:t>taVNS</w:t>
      </w:r>
      <w:proofErr w:type="spellEnd"/>
      <w:r w:rsidR="008E6F86" w:rsidRPr="00C0765A">
        <w:rPr>
          <w:lang w:val="en-US"/>
        </w:rPr>
        <w:t xml:space="preserve"> (</w:t>
      </w:r>
      <m:oMath>
        <m:r>
          <w:rPr>
            <w:rFonts w:ascii="Cambria Math" w:hAnsi="Cambria Math"/>
            <w:lang w:val="en-US"/>
          </w:rPr>
          <m:t>t</m:t>
        </m:r>
      </m:oMath>
      <w:r w:rsidR="008E6F86" w:rsidRPr="00C0765A">
        <w:rPr>
          <w:lang w:val="en-US"/>
        </w:rPr>
        <w:t xml:space="preserve"> = 2.</w:t>
      </w:r>
      <w:r w:rsidR="00416459" w:rsidRPr="00C0765A">
        <w:rPr>
          <w:lang w:val="en-US"/>
        </w:rPr>
        <w:t>91</w:t>
      </w:r>
      <w:r w:rsidR="008E6F86" w:rsidRPr="00C0765A">
        <w:rPr>
          <w:lang w:val="en-US"/>
        </w:rPr>
        <w:t xml:space="preserve">, </w:t>
      </w:r>
      <w:proofErr w:type="spellStart"/>
      <w:r w:rsidR="008E6F86" w:rsidRPr="00C0765A">
        <w:rPr>
          <w:i/>
          <w:iCs/>
          <w:lang w:val="en-US"/>
        </w:rPr>
        <w:t>df</w:t>
      </w:r>
      <w:proofErr w:type="spellEnd"/>
      <w:r w:rsidR="008E6F86" w:rsidRPr="00C0765A">
        <w:rPr>
          <w:lang w:val="en-US"/>
        </w:rPr>
        <w:t xml:space="preserve"> = </w:t>
      </w:r>
      <w:r w:rsidR="00416459" w:rsidRPr="00C0765A">
        <w:rPr>
          <w:lang w:val="en-US"/>
        </w:rPr>
        <w:t>67</w:t>
      </w:r>
      <w:r w:rsidR="008E6F86" w:rsidRPr="00C0765A">
        <w:rPr>
          <w:lang w:val="en-US"/>
        </w:rPr>
        <w:t>.</w:t>
      </w:r>
      <w:r w:rsidR="00416459" w:rsidRPr="00C0765A">
        <w:rPr>
          <w:lang w:val="en-US"/>
        </w:rPr>
        <w:t>35</w:t>
      </w:r>
      <w:r w:rsidR="008E6F86" w:rsidRPr="00C0765A">
        <w:rPr>
          <w:lang w:val="en-US"/>
        </w:rPr>
        <w:t xml:space="preserve">, </w:t>
      </w:r>
      <w:r w:rsidR="008E6F86" w:rsidRPr="00C0765A">
        <w:rPr>
          <w:i/>
          <w:iCs/>
          <w:lang w:val="en-US"/>
        </w:rPr>
        <w:t>p</w:t>
      </w:r>
      <w:r w:rsidR="008E6F86" w:rsidRPr="00C0765A">
        <w:rPr>
          <w:lang w:val="en-US"/>
        </w:rPr>
        <w:t xml:space="preserve"> = 0.01, </w:t>
      </w:r>
      <w:proofErr w:type="spellStart"/>
      <w:r w:rsidR="008E6F86" w:rsidRPr="00C0765A">
        <w:rPr>
          <w:i/>
          <w:iCs/>
          <w:lang w:val="en-US"/>
        </w:rPr>
        <w:t>dz</w:t>
      </w:r>
      <w:proofErr w:type="spellEnd"/>
      <w:r w:rsidR="008E6F86" w:rsidRPr="00C0765A">
        <w:rPr>
          <w:lang w:val="en-US"/>
        </w:rPr>
        <w:t xml:space="preserve"> = 0.58) and Sham conditions (</w:t>
      </w:r>
      <m:oMath>
        <m:r>
          <w:rPr>
            <w:rFonts w:ascii="Cambria Math" w:hAnsi="Cambria Math"/>
            <w:lang w:val="en-US"/>
          </w:rPr>
          <m:t>t</m:t>
        </m:r>
      </m:oMath>
      <w:r w:rsidR="008E6F86" w:rsidRPr="00C0765A">
        <w:rPr>
          <w:lang w:val="en-US"/>
        </w:rPr>
        <w:t xml:space="preserve"> = 2.65, </w:t>
      </w:r>
      <w:proofErr w:type="spellStart"/>
      <w:r w:rsidR="008E6F86" w:rsidRPr="00C0765A">
        <w:rPr>
          <w:i/>
          <w:iCs/>
          <w:lang w:val="en-US"/>
        </w:rPr>
        <w:t>df</w:t>
      </w:r>
      <w:proofErr w:type="spellEnd"/>
      <w:r w:rsidR="008E6F86" w:rsidRPr="00C0765A">
        <w:rPr>
          <w:lang w:val="en-US"/>
        </w:rPr>
        <w:t xml:space="preserve"> = 54.61, </w:t>
      </w:r>
      <w:r w:rsidR="008E6F86" w:rsidRPr="00C0765A">
        <w:rPr>
          <w:i/>
          <w:iCs/>
          <w:lang w:val="en-US"/>
        </w:rPr>
        <w:t>p</w:t>
      </w:r>
      <w:r w:rsidR="008E6F86" w:rsidRPr="00C0765A">
        <w:rPr>
          <w:lang w:val="en-US"/>
        </w:rPr>
        <w:t xml:space="preserve"> = 0.01, </w:t>
      </w:r>
      <w:proofErr w:type="spellStart"/>
      <w:r w:rsidR="008E6F86" w:rsidRPr="00C0765A">
        <w:rPr>
          <w:i/>
          <w:iCs/>
          <w:lang w:val="en-US"/>
        </w:rPr>
        <w:t>dz</w:t>
      </w:r>
      <w:proofErr w:type="spellEnd"/>
      <w:r w:rsidR="008E6F86" w:rsidRPr="00C0765A">
        <w:rPr>
          <w:lang w:val="en-US"/>
        </w:rPr>
        <w:t xml:space="preserve"> = 0.63). While we observed no effect of </w:t>
      </w:r>
      <w:r w:rsidR="008E6F86" w:rsidRPr="00C0765A">
        <w:rPr>
          <w:i/>
          <w:iCs/>
          <w:lang w:val="en-US"/>
        </w:rPr>
        <w:t>condition</w:t>
      </w:r>
      <w:r w:rsidR="008E6F86" w:rsidRPr="00C0765A">
        <w:rPr>
          <w:lang w:val="en-US"/>
        </w:rPr>
        <w:t xml:space="preserve"> on N1 amplitudes </w:t>
      </w:r>
      <w:r w:rsidR="0062537E" w:rsidRPr="00C0765A">
        <w:rPr>
          <w:lang w:val="en-US"/>
        </w:rPr>
        <w:t>(</w:t>
      </w:r>
      <m:oMath>
        <m:r>
          <w:rPr>
            <w:rFonts w:ascii="Cambria Math" w:hAnsi="Cambria Math"/>
          </w:rPr>
          <m:t>β</m:t>
        </m:r>
      </m:oMath>
      <w:r w:rsidR="0062537E" w:rsidRPr="00C0765A">
        <w:rPr>
          <w:lang w:val="en-US"/>
        </w:rPr>
        <w:t xml:space="preserve"> = -0.01, </w:t>
      </w:r>
      <w:r w:rsidR="0062537E" w:rsidRPr="00C0765A">
        <w:rPr>
          <w:i/>
          <w:iCs/>
          <w:lang w:val="en-US"/>
        </w:rPr>
        <w:t>CI</w:t>
      </w:r>
      <w:r w:rsidR="0062537E" w:rsidRPr="00C0765A">
        <w:rPr>
          <w:lang w:val="en-US"/>
        </w:rPr>
        <w:t xml:space="preserve"> = 0.30, </w:t>
      </w:r>
      <w:r w:rsidR="0062537E" w:rsidRPr="00C0765A">
        <w:rPr>
          <w:i/>
          <w:iCs/>
          <w:lang w:val="en-US"/>
        </w:rPr>
        <w:t>p</w:t>
      </w:r>
      <w:r w:rsidR="0062537E" w:rsidRPr="00C0765A">
        <w:rPr>
          <w:lang w:val="en-US"/>
        </w:rPr>
        <w:t xml:space="preserve"> = 0.86, </w:t>
      </w:r>
      <m:oMath>
        <m:r>
          <w:rPr>
            <w:rFonts w:ascii="Cambria Math" w:hAnsi="Cambria Math"/>
          </w:rPr>
          <m:t>Sβ</m:t>
        </m:r>
      </m:oMath>
      <w:r w:rsidR="0062537E" w:rsidRPr="00C0765A">
        <w:rPr>
          <w:lang w:val="en-US"/>
        </w:rPr>
        <w:t xml:space="preserve"> = 0.00)</w:t>
      </w:r>
      <w:r w:rsidR="008E6F86" w:rsidRPr="00C0765A">
        <w:rPr>
          <w:lang w:val="en-US"/>
        </w:rPr>
        <w:t>, there was a marginally significant moderate effect of condition on P2 amplitudes (</w:t>
      </w:r>
      <m:oMath>
        <m:r>
          <w:rPr>
            <w:rFonts w:ascii="Cambria Math" w:hAnsi="Cambria Math"/>
            <w:lang w:val="en-US"/>
          </w:rPr>
          <m:t>β</m:t>
        </m:r>
      </m:oMath>
      <w:r w:rsidR="008E6F86" w:rsidRPr="00C0765A">
        <w:rPr>
          <w:lang w:val="en-US"/>
        </w:rPr>
        <w:t xml:space="preserve"> = 1.42, </w:t>
      </w:r>
      <w:r w:rsidR="008E6F86" w:rsidRPr="00C0765A">
        <w:rPr>
          <w:i/>
          <w:iCs/>
          <w:lang w:val="en-US"/>
        </w:rPr>
        <w:t>CI</w:t>
      </w:r>
      <w:r w:rsidR="008E6F86" w:rsidRPr="00C0765A">
        <w:rPr>
          <w:lang w:val="en-US"/>
        </w:rPr>
        <w:t xml:space="preserve"> = 2.81, </w:t>
      </w:r>
      <w:r w:rsidR="008E6F86" w:rsidRPr="00C0765A">
        <w:rPr>
          <w:i/>
          <w:iCs/>
          <w:lang w:val="en-US"/>
        </w:rPr>
        <w:t>p</w:t>
      </w:r>
      <w:r w:rsidR="008E6F86" w:rsidRPr="00C0765A">
        <w:rPr>
          <w:lang w:val="en-US"/>
        </w:rPr>
        <w:t xml:space="preserve"> = 0.05, </w:t>
      </w:r>
      <m:oMath>
        <m:r>
          <w:rPr>
            <w:rFonts w:ascii="Cambria Math" w:hAnsi="Cambria Math"/>
            <w:lang w:val="en-US"/>
          </w:rPr>
          <m:t>Sβ</m:t>
        </m:r>
      </m:oMath>
      <w:r w:rsidR="008E6F86" w:rsidRPr="00C0765A">
        <w:rPr>
          <w:lang w:val="en-US"/>
        </w:rPr>
        <w:t xml:space="preserve"> = 0.26), which were increased in the taVNS condition. There was no significant effect on neural gating </w:t>
      </w:r>
      <w:r w:rsidR="00C50B0B" w:rsidRPr="00C0765A">
        <w:rPr>
          <w:lang w:val="en-US"/>
        </w:rPr>
        <w:t>(</w:t>
      </w:r>
      <m:oMath>
        <m:r>
          <w:rPr>
            <w:rFonts w:ascii="Cambria Math" w:hAnsi="Cambria Math"/>
          </w:rPr>
          <m:t>β</m:t>
        </m:r>
      </m:oMath>
      <w:r w:rsidR="00C50B0B" w:rsidRPr="00C0765A">
        <w:rPr>
          <w:lang w:val="en-US"/>
        </w:rPr>
        <w:t xml:space="preserve"> = -0.03, </w:t>
      </w:r>
      <w:r w:rsidR="00C50B0B" w:rsidRPr="00C0765A">
        <w:rPr>
          <w:i/>
          <w:iCs/>
          <w:lang w:val="en-US"/>
        </w:rPr>
        <w:t>CI</w:t>
      </w:r>
      <w:r w:rsidR="00C50B0B" w:rsidRPr="00C0765A">
        <w:rPr>
          <w:lang w:val="en-US"/>
        </w:rPr>
        <w:t xml:space="preserve"> = 0.30, </w:t>
      </w:r>
      <w:r w:rsidR="00C50B0B" w:rsidRPr="00C0765A">
        <w:rPr>
          <w:i/>
          <w:iCs/>
          <w:lang w:val="en-US"/>
        </w:rPr>
        <w:t>p</w:t>
      </w:r>
      <w:r w:rsidR="00C50B0B" w:rsidRPr="00C0765A">
        <w:rPr>
          <w:lang w:val="en-US"/>
        </w:rPr>
        <w:t xml:space="preserve"> = 0.67, </w:t>
      </w:r>
      <m:oMath>
        <m:r>
          <w:rPr>
            <w:rFonts w:ascii="Cambria Math" w:hAnsi="Cambria Math"/>
          </w:rPr>
          <m:t>Sβ</m:t>
        </m:r>
      </m:oMath>
      <w:r w:rsidR="00C50B0B" w:rsidRPr="00C0765A">
        <w:rPr>
          <w:lang w:val="en-US"/>
        </w:rPr>
        <w:t xml:space="preserve"> = 0.00)</w:t>
      </w:r>
      <w:r w:rsidR="008E6F86" w:rsidRPr="00C0765A">
        <w:rPr>
          <w:lang w:val="en-US"/>
        </w:rPr>
        <w:t>.</w:t>
      </w:r>
      <w:bookmarkEnd w:id="7"/>
    </w:p>
    <w:p w14:paraId="0CF8D462" w14:textId="1A793E10" w:rsidR="004872B0" w:rsidRPr="00C0765A" w:rsidRDefault="00E44CF7" w:rsidP="004872B0">
      <w:pPr>
        <w:pStyle w:val="Caption"/>
        <w:keepNext/>
        <w:rPr>
          <w:lang w:val="en-US"/>
        </w:rPr>
      </w:pPr>
      <w:r w:rsidRPr="00C0765A">
        <w:rPr>
          <w:noProof/>
        </w:rPr>
        <mc:AlternateContent>
          <mc:Choice Requires="wps">
            <w:drawing>
              <wp:anchor distT="0" distB="0" distL="114300" distR="114300" simplePos="0" relativeHeight="251655168" behindDoc="0" locked="0" layoutInCell="1" allowOverlap="1" wp14:anchorId="4BA2ACBD" wp14:editId="2868AB78">
                <wp:simplePos x="0" y="0"/>
                <wp:positionH relativeFrom="margin">
                  <wp:posOffset>-666115</wp:posOffset>
                </wp:positionH>
                <wp:positionV relativeFrom="paragraph">
                  <wp:posOffset>6605905</wp:posOffset>
                </wp:positionV>
                <wp:extent cx="7021195" cy="737235"/>
                <wp:effectExtent l="0" t="0" r="8255" b="5715"/>
                <wp:wrapTopAndBottom/>
                <wp:docPr id="1536433535" name="Text Box 1"/>
                <wp:cNvGraphicFramePr/>
                <a:graphic xmlns:a="http://schemas.openxmlformats.org/drawingml/2006/main">
                  <a:graphicData uri="http://schemas.microsoft.com/office/word/2010/wordprocessingShape">
                    <wps:wsp>
                      <wps:cNvSpPr txBox="1"/>
                      <wps:spPr>
                        <a:xfrm>
                          <a:off x="0" y="0"/>
                          <a:ext cx="7021195" cy="737235"/>
                        </a:xfrm>
                        <a:prstGeom prst="rect">
                          <a:avLst/>
                        </a:prstGeom>
                        <a:solidFill>
                          <a:prstClr val="white"/>
                        </a:solidFill>
                        <a:ln>
                          <a:noFill/>
                        </a:ln>
                      </wps:spPr>
                      <wps:txbx>
                        <w:txbxContent>
                          <w:p w14:paraId="11305806" w14:textId="22B429C4" w:rsidR="00901A9B" w:rsidRPr="00901A9B" w:rsidRDefault="00901A9B" w:rsidP="00710D01">
                            <w:pPr>
                              <w:pStyle w:val="Caption"/>
                              <w:spacing w:after="0"/>
                              <w:rPr>
                                <w:lang w:val="en-US"/>
                              </w:rPr>
                            </w:pPr>
                            <w:r w:rsidRPr="009B2135">
                              <w:rPr>
                                <w:b/>
                                <w:bCs/>
                                <w:lang w:val="en-US"/>
                              </w:rPr>
                              <w:t xml:space="preserve">Figure </w:t>
                            </w:r>
                            <w:r w:rsidRPr="009B2135">
                              <w:rPr>
                                <w:b/>
                                <w:bCs/>
                              </w:rPr>
                              <w:fldChar w:fldCharType="begin"/>
                            </w:r>
                            <w:r w:rsidRPr="009B2135">
                              <w:rPr>
                                <w:b/>
                                <w:bCs/>
                                <w:lang w:val="en-US"/>
                              </w:rPr>
                              <w:instrText xml:space="preserve"> SEQ Figure \* ARABIC </w:instrText>
                            </w:r>
                            <w:r w:rsidRPr="009B2135">
                              <w:rPr>
                                <w:b/>
                                <w:bCs/>
                              </w:rPr>
                              <w:fldChar w:fldCharType="separate"/>
                            </w:r>
                            <w:r>
                              <w:rPr>
                                <w:b/>
                                <w:bCs/>
                                <w:noProof/>
                                <w:lang w:val="en-US"/>
                              </w:rPr>
                              <w:t>3</w:t>
                            </w:r>
                            <w:r w:rsidRPr="009B2135">
                              <w:rPr>
                                <w:b/>
                                <w:bCs/>
                              </w:rPr>
                              <w:fldChar w:fldCharType="end"/>
                            </w:r>
                            <w:r w:rsidRPr="002A68CA">
                              <w:rPr>
                                <w:lang w:val="en-US"/>
                              </w:rPr>
                              <w:t xml:space="preserve"> Graphical depiction of results f</w:t>
                            </w:r>
                            <w:r>
                              <w:rPr>
                                <w:lang w:val="en-US"/>
                              </w:rPr>
                              <w:t>or auditory evoked potentials (AEP). Violin plots with histograms and superimposed raw data for AEP P50 amplitudes (A) and AEP N1 amplitudes (B), showing no condition effects on peak amplitudes nor neural gating. Violin plots with histograms and superimposed raw data for AEP P2 amplitudes (C), showing a significant effect of condition. D) Grand-average AEP at central electrodes, with 0.8 confidence interval as the shaded area. E) Grand-average topography for each studied peak.</w:t>
                            </w:r>
                            <w:r w:rsidR="00893D99" w:rsidRPr="00893D99">
                              <w:rPr>
                                <w:lang w:val="en-US"/>
                              </w:rPr>
                              <w:t xml:space="preserve"> </w:t>
                            </w:r>
                            <w:r w:rsidR="00893D99" w:rsidRPr="008E617A">
                              <w:rPr>
                                <w:lang w:val="en-US"/>
                              </w:rPr>
                              <w:t>Abbreviations: S1/2 = first/second stimulus in the pair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A2ACBD" id="_x0000_s1027" type="#_x0000_t202" style="position:absolute;left:0;text-align:left;margin-left:-52.45pt;margin-top:520.15pt;width:552.85pt;height:58.05pt;z-index:2516551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" stroked="f">
                <v:textbox inset="0,0,0,0">
                  <w:txbxContent>
                    <w:p w14:paraId="11305806" w14:textId="22B429C4" w:rsidR="00901A9B" w:rsidRPr="00901A9B" w:rsidRDefault="00901A9B" w:rsidP="00710D01">
                      <w:pPr>
                        <w:pStyle w:val="Caption"/>
                        <w:spacing w:after="0"/>
                        <w:rPr>
                          <w:lang w:val="en-US"/>
                        </w:rPr>
                      </w:pPr>
                      <w:r w:rsidRPr="009B2135">
                        <w:rPr>
                          <w:b/>
                          <w:bCs/>
                          <w:lang w:val="en-US"/>
                        </w:rPr>
                        <w:t xml:space="preserve">Figure </w:t>
                      </w:r>
                      <w:r w:rsidRPr="009B2135">
                        <w:rPr>
                          <w:b/>
                          <w:bCs/>
                        </w:rPr>
                        <w:fldChar w:fldCharType="begin"/>
                      </w:r>
                      <w:r w:rsidRPr="009B2135">
                        <w:rPr>
                          <w:b/>
                          <w:bCs/>
                          <w:lang w:val="en-US"/>
                        </w:rPr>
                        <w:instrText xml:space="preserve"> SEQ Figure \* ARABIC </w:instrText>
                      </w:r>
                      <w:r w:rsidRPr="009B2135">
                        <w:rPr>
                          <w:b/>
                          <w:bCs/>
                        </w:rPr>
                        <w:fldChar w:fldCharType="separate"/>
                      </w:r>
                      <w:r>
                        <w:rPr>
                          <w:b/>
                          <w:bCs/>
                          <w:noProof/>
                          <w:lang w:val="en-US"/>
                        </w:rPr>
                        <w:t>3</w:t>
                      </w:r>
                      <w:r w:rsidRPr="009B2135">
                        <w:rPr>
                          <w:b/>
                          <w:bCs/>
                        </w:rPr>
                        <w:fldChar w:fldCharType="end"/>
                      </w:r>
                      <w:r w:rsidRPr="002A68CA">
                        <w:rPr>
                          <w:lang w:val="en-US"/>
                        </w:rPr>
                        <w:t xml:space="preserve"> Graphical depiction of results f</w:t>
                      </w:r>
                      <w:r>
                        <w:rPr>
                          <w:lang w:val="en-US"/>
                        </w:rPr>
                        <w:t>or auditory evoked potentials (AEP). Violin plots with histograms and superimposed raw data for AEP P50 amplitudes (A) and AEP N1 amplitudes (B), showing no condition effects on peak amplitudes nor neural gating. Violin plots with histograms and superimposed raw data for AEP P2 amplitudes (C), showing a significant effect of condition. D) Grand-average AEP at central electrodes, with 0.8 confidence interval as the shaded area. E) Grand-average topography for each studied peak.</w:t>
                      </w:r>
                      <w:r w:rsidR="00893D99" w:rsidRPr="00893D99">
                        <w:rPr>
                          <w:lang w:val="en-US"/>
                        </w:rPr>
                        <w:t xml:space="preserve"> </w:t>
                      </w:r>
                      <w:r w:rsidR="00893D99" w:rsidRPr="008E617A">
                        <w:rPr>
                          <w:lang w:val="en-US"/>
                        </w:rPr>
                        <w:t>Abbreviations: S1/2 = first/second stimulus in the pair</w:t>
                      </w:r>
                    </w:p>
                  </w:txbxContent>
                </v:textbox>
                <w10:wrap type="topAndBottom" anchorx="margin"/>
              </v:shape>
            </w:pict>
          </mc:Fallback>
        </mc:AlternateContent>
      </w:r>
      <w:r w:rsidR="00893D99" w:rsidRPr="00C0765A">
        <w:rPr>
          <w:noProof/>
          <w:lang w:val="en-US"/>
          <w14:ligatures w14:val="standardContextual"/>
        </w:rPr>
        <w:drawing>
          <wp:anchor distT="0" distB="0" distL="114300" distR="114300" simplePos="0" relativeHeight="251653120" behindDoc="0" locked="0" layoutInCell="1" allowOverlap="1" wp14:anchorId="063D7059" wp14:editId="37FDC6BE">
            <wp:simplePos x="0" y="0"/>
            <wp:positionH relativeFrom="margin">
              <wp:posOffset>-348615</wp:posOffset>
            </wp:positionH>
            <wp:positionV relativeFrom="paragraph">
              <wp:posOffset>2203119</wp:posOffset>
            </wp:positionV>
            <wp:extent cx="6448425" cy="4464050"/>
            <wp:effectExtent l="0" t="0" r="9525" b="0"/>
            <wp:wrapTopAndBottom/>
            <wp:docPr id="156338548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385484" name="Picture 1563385484"/>
                    <pic:cNvPicPr/>
                  </pic:nvPicPr>
                  <pic:blipFill>
                    <a:blip r:embed="rId20">
                      <a:extLst>
                        <a:ext uri="{28A0092B-C50C-407E-A947-70E740481C1C}">
                          <a14:useLocalDpi xmlns:a14="http://schemas.microsoft.com/office/drawing/2010/main" val="0"/>
                        </a:ext>
                      </a:extLst>
                    </a:blip>
                    <a:stretch>
                      <a:fillRect/>
                    </a:stretch>
                  </pic:blipFill>
                  <pic:spPr>
                    <a:xfrm>
                      <a:off x="0" y="0"/>
                      <a:ext cx="6448425" cy="4464050"/>
                    </a:xfrm>
                    <a:prstGeom prst="rect">
                      <a:avLst/>
                    </a:prstGeom>
                  </pic:spPr>
                </pic:pic>
              </a:graphicData>
            </a:graphic>
            <wp14:sizeRelH relativeFrom="margin">
              <wp14:pctWidth>0</wp14:pctWidth>
            </wp14:sizeRelH>
            <wp14:sizeRelV relativeFrom="margin">
              <wp14:pctHeight>0</wp14:pctHeight>
            </wp14:sizeRelV>
          </wp:anchor>
        </w:drawing>
      </w:r>
      <w:r w:rsidR="004872B0" w:rsidRPr="00C0765A">
        <w:rPr>
          <w:b/>
          <w:bCs/>
          <w:lang w:val="en-US"/>
        </w:rPr>
        <w:t xml:space="preserve">Table </w:t>
      </w:r>
      <w:r w:rsidR="004872B0" w:rsidRPr="00C0765A">
        <w:rPr>
          <w:b/>
          <w:bCs/>
        </w:rPr>
        <w:fldChar w:fldCharType="begin"/>
      </w:r>
      <w:r w:rsidR="004872B0" w:rsidRPr="00C0765A">
        <w:rPr>
          <w:b/>
          <w:bCs/>
          <w:lang w:val="en-US"/>
        </w:rPr>
        <w:instrText xml:space="preserve"> SEQ Table \* ARABIC </w:instrText>
      </w:r>
      <w:r w:rsidR="004872B0" w:rsidRPr="00C0765A">
        <w:rPr>
          <w:b/>
          <w:bCs/>
        </w:rPr>
        <w:fldChar w:fldCharType="separate"/>
      </w:r>
      <w:r w:rsidR="00F74AF7" w:rsidRPr="00C0765A">
        <w:rPr>
          <w:b/>
          <w:bCs/>
          <w:noProof/>
          <w:lang w:val="en-US"/>
        </w:rPr>
        <w:t>2</w:t>
      </w:r>
      <w:r w:rsidR="004872B0" w:rsidRPr="00C0765A">
        <w:rPr>
          <w:b/>
          <w:bCs/>
        </w:rPr>
        <w:fldChar w:fldCharType="end"/>
      </w:r>
      <w:r w:rsidR="004872B0" w:rsidRPr="00C0765A">
        <w:rPr>
          <w:lang w:val="en-US"/>
        </w:rPr>
        <w:t xml:space="preserve"> </w:t>
      </w:r>
      <w:r w:rsidR="006C56E0" w:rsidRPr="00C0765A">
        <w:rPr>
          <w:lang w:val="en-US"/>
        </w:rPr>
        <w:t xml:space="preserve">Descriptive statistics for the </w:t>
      </w:r>
      <w:r w:rsidR="00E86BC9" w:rsidRPr="00C0765A">
        <w:rPr>
          <w:lang w:val="en-US"/>
        </w:rPr>
        <w:t>peak amplitudes of auditory evoked potentials and auditory neural gating (S2-S1).</w:t>
      </w:r>
      <w:r w:rsidR="000340BC" w:rsidRPr="00C0765A">
        <w:rPr>
          <w:lang w:val="en-US"/>
        </w:rPr>
        <w:t xml:space="preserve"> Abbreviations: S1/2 = firs/second click in the pair</w:t>
      </w:r>
    </w:p>
    <w:tbl>
      <w:tblPr>
        <w:tblStyle w:val="TableGrid"/>
        <w:tblW w:w="9386" w:type="dxa"/>
        <w:tblInd w:w="-147" w:type="dxa"/>
        <w:tblLayout w:type="fixed"/>
        <w:tblLook w:val="04A0" w:firstRow="1" w:lastRow="0" w:firstColumn="1" w:lastColumn="0" w:noHBand="0" w:noVBand="1"/>
      </w:tblPr>
      <w:tblGrid>
        <w:gridCol w:w="573"/>
        <w:gridCol w:w="708"/>
        <w:gridCol w:w="1134"/>
        <w:gridCol w:w="1134"/>
        <w:gridCol w:w="1265"/>
        <w:gridCol w:w="1184"/>
        <w:gridCol w:w="1102"/>
        <w:gridCol w:w="1199"/>
        <w:gridCol w:w="1087"/>
      </w:tblGrid>
      <w:tr w:rsidR="000F504A" w:rsidRPr="00C0765A" w14:paraId="0542F301" w14:textId="77777777" w:rsidTr="002A3026">
        <w:trPr>
          <w:trHeight w:val="484"/>
        </w:trPr>
        <w:tc>
          <w:tcPr>
            <w:tcW w:w="573" w:type="dxa"/>
            <w:tcBorders>
              <w:top w:val="nil"/>
              <w:left w:val="nil"/>
              <w:right w:val="nil"/>
            </w:tcBorders>
          </w:tcPr>
          <w:p w14:paraId="7D9471C7" w14:textId="77777777" w:rsidR="000F504A" w:rsidRPr="00C0765A" w:rsidRDefault="000F504A" w:rsidP="00E66E0D">
            <w:pPr>
              <w:ind w:firstLine="0"/>
              <w:rPr>
                <w:sz w:val="20"/>
                <w:szCs w:val="20"/>
                <w:lang w:val="en-US"/>
              </w:rPr>
            </w:pPr>
          </w:p>
        </w:tc>
        <w:tc>
          <w:tcPr>
            <w:tcW w:w="708" w:type="dxa"/>
            <w:tcBorders>
              <w:top w:val="nil"/>
              <w:left w:val="nil"/>
            </w:tcBorders>
          </w:tcPr>
          <w:p w14:paraId="5B9A53E6" w14:textId="4C8AA2CD" w:rsidR="000F504A" w:rsidRPr="00C0765A" w:rsidRDefault="000F504A" w:rsidP="00E66E0D">
            <w:pPr>
              <w:ind w:firstLine="0"/>
              <w:rPr>
                <w:sz w:val="20"/>
                <w:szCs w:val="20"/>
                <w:lang w:val="en-US"/>
              </w:rPr>
            </w:pPr>
          </w:p>
        </w:tc>
        <w:tc>
          <w:tcPr>
            <w:tcW w:w="1134" w:type="dxa"/>
          </w:tcPr>
          <w:p w14:paraId="4A9186DB" w14:textId="29A4048A" w:rsidR="000F504A" w:rsidRPr="00C0765A" w:rsidRDefault="000F504A" w:rsidP="002A3026">
            <w:pPr>
              <w:ind w:firstLine="0"/>
              <w:jc w:val="center"/>
              <w:rPr>
                <w:b/>
                <w:bCs/>
                <w:sz w:val="20"/>
                <w:szCs w:val="20"/>
                <w:lang w:val="en-US"/>
              </w:rPr>
            </w:pPr>
            <w:r w:rsidRPr="00C0765A">
              <w:rPr>
                <w:b/>
                <w:bCs/>
                <w:sz w:val="20"/>
                <w:szCs w:val="20"/>
                <w:lang w:val="en-US"/>
              </w:rPr>
              <w:t>S1 P50</w:t>
            </w:r>
          </w:p>
        </w:tc>
        <w:tc>
          <w:tcPr>
            <w:tcW w:w="1134" w:type="dxa"/>
          </w:tcPr>
          <w:p w14:paraId="4BEF5367" w14:textId="462472A3" w:rsidR="000F504A" w:rsidRPr="00C0765A" w:rsidRDefault="000F504A" w:rsidP="002A3026">
            <w:pPr>
              <w:ind w:firstLine="0"/>
              <w:jc w:val="center"/>
              <w:rPr>
                <w:b/>
                <w:bCs/>
                <w:sz w:val="20"/>
                <w:szCs w:val="20"/>
                <w:lang w:val="en-US"/>
              </w:rPr>
            </w:pPr>
            <w:r w:rsidRPr="00C0765A">
              <w:rPr>
                <w:b/>
                <w:bCs/>
                <w:sz w:val="20"/>
                <w:szCs w:val="20"/>
                <w:lang w:val="en-US"/>
              </w:rPr>
              <w:t>S2 P50</w:t>
            </w:r>
          </w:p>
        </w:tc>
        <w:tc>
          <w:tcPr>
            <w:tcW w:w="1265" w:type="dxa"/>
          </w:tcPr>
          <w:p w14:paraId="375F7A13" w14:textId="074A619D" w:rsidR="000F504A" w:rsidRPr="00C0765A" w:rsidRDefault="000F504A" w:rsidP="002A3026">
            <w:pPr>
              <w:ind w:firstLine="0"/>
              <w:jc w:val="center"/>
              <w:rPr>
                <w:b/>
                <w:bCs/>
                <w:sz w:val="20"/>
                <w:szCs w:val="20"/>
                <w:lang w:val="en-US"/>
              </w:rPr>
            </w:pPr>
            <w:r w:rsidRPr="00C0765A">
              <w:rPr>
                <w:b/>
                <w:bCs/>
                <w:sz w:val="20"/>
                <w:szCs w:val="20"/>
                <w:lang w:val="en-US"/>
              </w:rPr>
              <w:t>P50 gating</w:t>
            </w:r>
          </w:p>
        </w:tc>
        <w:tc>
          <w:tcPr>
            <w:tcW w:w="1184" w:type="dxa"/>
          </w:tcPr>
          <w:p w14:paraId="64DAF4B4" w14:textId="2199DE4B" w:rsidR="000F504A" w:rsidRPr="00C0765A" w:rsidRDefault="000F504A" w:rsidP="002A3026">
            <w:pPr>
              <w:ind w:firstLine="0"/>
              <w:jc w:val="center"/>
              <w:rPr>
                <w:b/>
                <w:bCs/>
                <w:sz w:val="20"/>
                <w:szCs w:val="20"/>
                <w:lang w:val="en-US"/>
              </w:rPr>
            </w:pPr>
            <w:r w:rsidRPr="00C0765A">
              <w:rPr>
                <w:b/>
                <w:bCs/>
                <w:sz w:val="20"/>
                <w:szCs w:val="20"/>
                <w:lang w:val="en-US"/>
              </w:rPr>
              <w:t>S1 N1</w:t>
            </w:r>
          </w:p>
        </w:tc>
        <w:tc>
          <w:tcPr>
            <w:tcW w:w="1102" w:type="dxa"/>
          </w:tcPr>
          <w:p w14:paraId="3EEA9A5F" w14:textId="740B6559" w:rsidR="000F504A" w:rsidRPr="00C0765A" w:rsidRDefault="000F504A" w:rsidP="002A3026">
            <w:pPr>
              <w:ind w:firstLine="0"/>
              <w:jc w:val="center"/>
              <w:rPr>
                <w:b/>
                <w:bCs/>
                <w:sz w:val="20"/>
                <w:szCs w:val="20"/>
                <w:lang w:val="en-US"/>
              </w:rPr>
            </w:pPr>
            <w:r w:rsidRPr="00C0765A">
              <w:rPr>
                <w:b/>
                <w:bCs/>
                <w:sz w:val="20"/>
                <w:szCs w:val="20"/>
                <w:lang w:val="en-US"/>
              </w:rPr>
              <w:t>S2 N1</w:t>
            </w:r>
          </w:p>
        </w:tc>
        <w:tc>
          <w:tcPr>
            <w:tcW w:w="1199" w:type="dxa"/>
          </w:tcPr>
          <w:p w14:paraId="49310774" w14:textId="39594B75" w:rsidR="000F504A" w:rsidRPr="00C0765A" w:rsidRDefault="000F504A" w:rsidP="002A3026">
            <w:pPr>
              <w:ind w:firstLine="0"/>
              <w:jc w:val="center"/>
              <w:rPr>
                <w:b/>
                <w:bCs/>
                <w:sz w:val="20"/>
                <w:szCs w:val="20"/>
                <w:lang w:val="en-US"/>
              </w:rPr>
            </w:pPr>
            <w:r w:rsidRPr="00C0765A">
              <w:rPr>
                <w:b/>
                <w:bCs/>
                <w:sz w:val="20"/>
                <w:szCs w:val="20"/>
                <w:lang w:val="en-US"/>
              </w:rPr>
              <w:t>N1 gating</w:t>
            </w:r>
          </w:p>
        </w:tc>
        <w:tc>
          <w:tcPr>
            <w:tcW w:w="1087" w:type="dxa"/>
          </w:tcPr>
          <w:p w14:paraId="78F7B7EA" w14:textId="6D00B67E" w:rsidR="000F504A" w:rsidRPr="00C0765A" w:rsidRDefault="000F504A" w:rsidP="002A3026">
            <w:pPr>
              <w:ind w:firstLine="0"/>
              <w:jc w:val="center"/>
              <w:rPr>
                <w:b/>
                <w:bCs/>
                <w:sz w:val="20"/>
                <w:szCs w:val="20"/>
                <w:lang w:val="en-US"/>
              </w:rPr>
            </w:pPr>
            <w:r w:rsidRPr="00C0765A">
              <w:rPr>
                <w:b/>
                <w:bCs/>
                <w:sz w:val="20"/>
                <w:szCs w:val="20"/>
                <w:lang w:val="en-US"/>
              </w:rPr>
              <w:t>S1 P2</w:t>
            </w:r>
          </w:p>
        </w:tc>
      </w:tr>
      <w:tr w:rsidR="004B3202" w:rsidRPr="00C0765A" w14:paraId="76021C22" w14:textId="77777777" w:rsidTr="00B839E8">
        <w:trPr>
          <w:trHeight w:val="396"/>
        </w:trPr>
        <w:tc>
          <w:tcPr>
            <w:tcW w:w="573" w:type="dxa"/>
            <w:vMerge w:val="restart"/>
            <w:shd w:val="clear" w:color="auto" w:fill="E8E8E8" w:themeFill="background2"/>
            <w:textDirection w:val="tbRl"/>
          </w:tcPr>
          <w:p w14:paraId="6238BFD6" w14:textId="518932F7" w:rsidR="004B3202" w:rsidRPr="00C0765A" w:rsidRDefault="004B3202" w:rsidP="00922A7F">
            <w:pPr>
              <w:ind w:left="113" w:right="113" w:firstLine="0"/>
              <w:jc w:val="center"/>
              <w:rPr>
                <w:b/>
                <w:bCs/>
                <w:sz w:val="20"/>
                <w:szCs w:val="20"/>
                <w:lang w:val="en-US"/>
              </w:rPr>
            </w:pPr>
            <w:proofErr w:type="spellStart"/>
            <w:r w:rsidRPr="00C0765A">
              <w:rPr>
                <w:b/>
                <w:bCs/>
                <w:sz w:val="20"/>
                <w:szCs w:val="20"/>
                <w:lang w:val="en-US"/>
              </w:rPr>
              <w:t>taVNS</w:t>
            </w:r>
            <w:proofErr w:type="spellEnd"/>
          </w:p>
        </w:tc>
        <w:tc>
          <w:tcPr>
            <w:tcW w:w="708" w:type="dxa"/>
          </w:tcPr>
          <w:p w14:paraId="74711D9D" w14:textId="356797D6" w:rsidR="004B3202" w:rsidRPr="00C0765A" w:rsidRDefault="004B3202" w:rsidP="00E66E0D">
            <w:pPr>
              <w:ind w:firstLine="0"/>
              <w:rPr>
                <w:i/>
                <w:iCs/>
                <w:sz w:val="20"/>
                <w:szCs w:val="20"/>
                <w:lang w:val="en-US"/>
              </w:rPr>
            </w:pPr>
            <w:r w:rsidRPr="00C0765A">
              <w:rPr>
                <w:i/>
                <w:iCs/>
                <w:sz w:val="20"/>
                <w:szCs w:val="20"/>
                <w:lang w:val="en-US"/>
              </w:rPr>
              <w:t>M</w:t>
            </w:r>
          </w:p>
        </w:tc>
        <w:tc>
          <w:tcPr>
            <w:tcW w:w="1134" w:type="dxa"/>
            <w:shd w:val="clear" w:color="auto" w:fill="FFFFFF" w:themeFill="background1"/>
          </w:tcPr>
          <w:p w14:paraId="328A0F57" w14:textId="54406811" w:rsidR="004B3202" w:rsidRPr="00C0765A" w:rsidRDefault="00536A0E" w:rsidP="00E66E0D">
            <w:pPr>
              <w:ind w:firstLine="0"/>
              <w:rPr>
                <w:sz w:val="20"/>
                <w:szCs w:val="20"/>
                <w:lang w:val="en-US"/>
              </w:rPr>
            </w:pPr>
            <w:r w:rsidRPr="00C0765A">
              <w:rPr>
                <w:sz w:val="20"/>
                <w:szCs w:val="20"/>
                <w:lang w:val="en-US"/>
              </w:rPr>
              <w:t>4</w:t>
            </w:r>
            <w:r w:rsidRPr="00C0765A">
              <w:rPr>
                <w:sz w:val="20"/>
                <w:szCs w:val="20"/>
                <w:shd w:val="clear" w:color="auto" w:fill="FFFFFF" w:themeFill="background1"/>
                <w:lang w:val="en-US"/>
              </w:rPr>
              <w:t>.34</w:t>
            </w:r>
          </w:p>
        </w:tc>
        <w:tc>
          <w:tcPr>
            <w:tcW w:w="1134" w:type="dxa"/>
          </w:tcPr>
          <w:p w14:paraId="757B4775" w14:textId="7421283F" w:rsidR="004B3202" w:rsidRPr="00C0765A" w:rsidRDefault="00536A0E" w:rsidP="00E66E0D">
            <w:pPr>
              <w:ind w:firstLine="0"/>
              <w:rPr>
                <w:sz w:val="20"/>
                <w:szCs w:val="20"/>
                <w:lang w:val="en-US"/>
              </w:rPr>
            </w:pPr>
            <w:r w:rsidRPr="00C0765A">
              <w:rPr>
                <w:sz w:val="20"/>
                <w:szCs w:val="20"/>
                <w:lang w:val="en-US"/>
              </w:rPr>
              <w:t>2.18</w:t>
            </w:r>
          </w:p>
        </w:tc>
        <w:tc>
          <w:tcPr>
            <w:tcW w:w="1265" w:type="dxa"/>
          </w:tcPr>
          <w:p w14:paraId="15713EF4" w14:textId="004F5454" w:rsidR="004B3202" w:rsidRPr="00C0765A" w:rsidRDefault="00580355" w:rsidP="00E66E0D">
            <w:pPr>
              <w:ind w:firstLine="0"/>
              <w:rPr>
                <w:sz w:val="20"/>
                <w:szCs w:val="20"/>
                <w:lang w:val="en-US"/>
              </w:rPr>
            </w:pPr>
            <w:r w:rsidRPr="00C0765A">
              <w:rPr>
                <w:sz w:val="20"/>
                <w:szCs w:val="20"/>
                <w:lang w:val="en-US"/>
              </w:rPr>
              <w:t>2.16</w:t>
            </w:r>
          </w:p>
        </w:tc>
        <w:tc>
          <w:tcPr>
            <w:tcW w:w="1184" w:type="dxa"/>
          </w:tcPr>
          <w:p w14:paraId="3488DC66" w14:textId="53A4BD5D" w:rsidR="004B3202" w:rsidRPr="00C0765A" w:rsidRDefault="00580355" w:rsidP="00E66E0D">
            <w:pPr>
              <w:ind w:firstLine="0"/>
              <w:rPr>
                <w:sz w:val="20"/>
                <w:szCs w:val="20"/>
                <w:lang w:val="en-US"/>
              </w:rPr>
            </w:pPr>
            <w:r w:rsidRPr="00C0765A">
              <w:rPr>
                <w:sz w:val="20"/>
                <w:szCs w:val="20"/>
                <w:lang w:val="en-US"/>
              </w:rPr>
              <w:t>-9.13</w:t>
            </w:r>
          </w:p>
        </w:tc>
        <w:tc>
          <w:tcPr>
            <w:tcW w:w="1102" w:type="dxa"/>
          </w:tcPr>
          <w:p w14:paraId="017C1305" w14:textId="18460604" w:rsidR="004B3202" w:rsidRPr="00C0765A" w:rsidRDefault="00536A0E" w:rsidP="00E66E0D">
            <w:pPr>
              <w:ind w:firstLine="0"/>
              <w:rPr>
                <w:sz w:val="20"/>
                <w:szCs w:val="20"/>
                <w:lang w:val="en-US"/>
              </w:rPr>
            </w:pPr>
            <w:r w:rsidRPr="00C0765A">
              <w:rPr>
                <w:sz w:val="20"/>
                <w:szCs w:val="20"/>
                <w:lang w:val="en-US"/>
              </w:rPr>
              <w:t>-1.90</w:t>
            </w:r>
          </w:p>
        </w:tc>
        <w:tc>
          <w:tcPr>
            <w:tcW w:w="1199" w:type="dxa"/>
          </w:tcPr>
          <w:p w14:paraId="0FF251C1" w14:textId="2161951B" w:rsidR="004B3202" w:rsidRPr="00C0765A" w:rsidRDefault="00545973" w:rsidP="00E66E0D">
            <w:pPr>
              <w:ind w:firstLine="0"/>
              <w:rPr>
                <w:sz w:val="20"/>
                <w:szCs w:val="20"/>
                <w:lang w:val="en-US"/>
              </w:rPr>
            </w:pPr>
            <w:r w:rsidRPr="00C0765A">
              <w:rPr>
                <w:sz w:val="20"/>
                <w:szCs w:val="20"/>
                <w:lang w:val="en-US"/>
              </w:rPr>
              <w:t>7.23</w:t>
            </w:r>
          </w:p>
        </w:tc>
        <w:tc>
          <w:tcPr>
            <w:tcW w:w="1087" w:type="dxa"/>
          </w:tcPr>
          <w:p w14:paraId="5E370FA9" w14:textId="1CDF6599" w:rsidR="004B3202" w:rsidRPr="00C0765A" w:rsidRDefault="008503A4" w:rsidP="00E66E0D">
            <w:pPr>
              <w:ind w:firstLine="0"/>
              <w:rPr>
                <w:sz w:val="20"/>
                <w:szCs w:val="20"/>
                <w:lang w:val="en-US"/>
              </w:rPr>
            </w:pPr>
            <w:r w:rsidRPr="00C0765A">
              <w:rPr>
                <w:sz w:val="20"/>
                <w:szCs w:val="20"/>
                <w:lang w:val="en-US"/>
              </w:rPr>
              <w:t>12.03</w:t>
            </w:r>
          </w:p>
        </w:tc>
      </w:tr>
      <w:tr w:rsidR="004B3202" w:rsidRPr="00C0765A" w14:paraId="2F0B3BE6" w14:textId="77777777" w:rsidTr="00B839E8">
        <w:trPr>
          <w:trHeight w:val="147"/>
        </w:trPr>
        <w:tc>
          <w:tcPr>
            <w:tcW w:w="573" w:type="dxa"/>
            <w:vMerge/>
            <w:shd w:val="clear" w:color="auto" w:fill="E8E8E8" w:themeFill="background2"/>
            <w:textDirection w:val="tbRl"/>
          </w:tcPr>
          <w:p w14:paraId="6928AA21" w14:textId="77777777" w:rsidR="004B3202" w:rsidRPr="00C0765A" w:rsidRDefault="004B3202" w:rsidP="00922A7F">
            <w:pPr>
              <w:ind w:left="113" w:right="113" w:firstLine="0"/>
              <w:jc w:val="center"/>
              <w:rPr>
                <w:b/>
                <w:bCs/>
                <w:sz w:val="20"/>
                <w:szCs w:val="20"/>
                <w:lang w:val="en-US"/>
              </w:rPr>
            </w:pPr>
          </w:p>
        </w:tc>
        <w:tc>
          <w:tcPr>
            <w:tcW w:w="708" w:type="dxa"/>
          </w:tcPr>
          <w:p w14:paraId="49FE3904" w14:textId="1C685244" w:rsidR="004B3202" w:rsidRPr="00C0765A" w:rsidRDefault="004B3202" w:rsidP="00E66E0D">
            <w:pPr>
              <w:ind w:firstLine="0"/>
              <w:rPr>
                <w:i/>
                <w:iCs/>
                <w:sz w:val="20"/>
                <w:szCs w:val="20"/>
                <w:lang w:val="en-US"/>
              </w:rPr>
            </w:pPr>
            <w:r w:rsidRPr="00C0765A">
              <w:rPr>
                <w:i/>
                <w:iCs/>
                <w:sz w:val="20"/>
                <w:szCs w:val="20"/>
                <w:lang w:val="en-US"/>
              </w:rPr>
              <w:t>SD</w:t>
            </w:r>
          </w:p>
        </w:tc>
        <w:tc>
          <w:tcPr>
            <w:tcW w:w="1134" w:type="dxa"/>
          </w:tcPr>
          <w:p w14:paraId="38DE2CCA" w14:textId="1D70DD42" w:rsidR="004B3202" w:rsidRPr="00C0765A" w:rsidRDefault="00536A0E" w:rsidP="00E66E0D">
            <w:pPr>
              <w:ind w:firstLine="0"/>
              <w:rPr>
                <w:sz w:val="20"/>
                <w:szCs w:val="20"/>
                <w:lang w:val="en-US"/>
              </w:rPr>
            </w:pPr>
            <w:r w:rsidRPr="00C0765A">
              <w:rPr>
                <w:sz w:val="20"/>
                <w:szCs w:val="20"/>
                <w:lang w:val="en-US"/>
              </w:rPr>
              <w:t>2.26</w:t>
            </w:r>
          </w:p>
        </w:tc>
        <w:tc>
          <w:tcPr>
            <w:tcW w:w="1134" w:type="dxa"/>
          </w:tcPr>
          <w:p w14:paraId="3E690F29" w14:textId="05391D20" w:rsidR="004B3202" w:rsidRPr="00C0765A" w:rsidRDefault="00536A0E" w:rsidP="00E66E0D">
            <w:pPr>
              <w:ind w:firstLine="0"/>
              <w:rPr>
                <w:sz w:val="20"/>
                <w:szCs w:val="20"/>
                <w:lang w:val="en-US"/>
              </w:rPr>
            </w:pPr>
            <w:r w:rsidRPr="00C0765A">
              <w:rPr>
                <w:sz w:val="20"/>
                <w:szCs w:val="20"/>
                <w:lang w:val="en-US"/>
              </w:rPr>
              <w:t>2.78</w:t>
            </w:r>
          </w:p>
        </w:tc>
        <w:tc>
          <w:tcPr>
            <w:tcW w:w="1265" w:type="dxa"/>
          </w:tcPr>
          <w:p w14:paraId="5F776033" w14:textId="049FA5B6" w:rsidR="004B3202" w:rsidRPr="00C0765A" w:rsidRDefault="00580355" w:rsidP="00E66E0D">
            <w:pPr>
              <w:ind w:firstLine="0"/>
              <w:rPr>
                <w:sz w:val="20"/>
                <w:szCs w:val="20"/>
                <w:lang w:val="en-US"/>
              </w:rPr>
            </w:pPr>
            <w:r w:rsidRPr="00C0765A">
              <w:rPr>
                <w:sz w:val="20"/>
                <w:szCs w:val="20"/>
                <w:lang w:val="en-US"/>
              </w:rPr>
              <w:t>3.04</w:t>
            </w:r>
          </w:p>
        </w:tc>
        <w:tc>
          <w:tcPr>
            <w:tcW w:w="1184" w:type="dxa"/>
          </w:tcPr>
          <w:p w14:paraId="01B2693C" w14:textId="08294CED" w:rsidR="004B3202" w:rsidRPr="00C0765A" w:rsidRDefault="008503A4" w:rsidP="00E66E0D">
            <w:pPr>
              <w:ind w:firstLine="0"/>
              <w:rPr>
                <w:sz w:val="20"/>
                <w:szCs w:val="20"/>
                <w:lang w:val="en-US"/>
              </w:rPr>
            </w:pPr>
            <w:r w:rsidRPr="00C0765A">
              <w:rPr>
                <w:sz w:val="20"/>
                <w:szCs w:val="20"/>
                <w:lang w:val="en-US"/>
              </w:rPr>
              <w:t>5.88</w:t>
            </w:r>
          </w:p>
        </w:tc>
        <w:tc>
          <w:tcPr>
            <w:tcW w:w="1102" w:type="dxa"/>
          </w:tcPr>
          <w:p w14:paraId="347BDB12" w14:textId="2E37D3E4" w:rsidR="004B3202" w:rsidRPr="00C0765A" w:rsidRDefault="00536A0E" w:rsidP="00E66E0D">
            <w:pPr>
              <w:ind w:firstLine="0"/>
              <w:rPr>
                <w:sz w:val="20"/>
                <w:szCs w:val="20"/>
                <w:lang w:val="en-US"/>
              </w:rPr>
            </w:pPr>
            <w:r w:rsidRPr="00C0765A">
              <w:rPr>
                <w:sz w:val="20"/>
                <w:szCs w:val="20"/>
                <w:lang w:val="en-US"/>
              </w:rPr>
              <w:t>1.86</w:t>
            </w:r>
          </w:p>
        </w:tc>
        <w:tc>
          <w:tcPr>
            <w:tcW w:w="1199" w:type="dxa"/>
          </w:tcPr>
          <w:p w14:paraId="0E9004D5" w14:textId="6D10B12C" w:rsidR="004B3202" w:rsidRPr="00C0765A" w:rsidRDefault="00545973" w:rsidP="00E66E0D">
            <w:pPr>
              <w:ind w:firstLine="0"/>
              <w:rPr>
                <w:sz w:val="20"/>
                <w:szCs w:val="20"/>
                <w:lang w:val="en-US"/>
              </w:rPr>
            </w:pPr>
            <w:r w:rsidRPr="00C0765A">
              <w:rPr>
                <w:sz w:val="20"/>
                <w:szCs w:val="20"/>
                <w:lang w:val="en-US"/>
              </w:rPr>
              <w:t>5.66</w:t>
            </w:r>
          </w:p>
        </w:tc>
        <w:tc>
          <w:tcPr>
            <w:tcW w:w="1087" w:type="dxa"/>
          </w:tcPr>
          <w:p w14:paraId="461607D7" w14:textId="3A491D53" w:rsidR="004B3202" w:rsidRPr="00C0765A" w:rsidRDefault="008503A4" w:rsidP="00E66E0D">
            <w:pPr>
              <w:ind w:firstLine="0"/>
              <w:rPr>
                <w:sz w:val="20"/>
                <w:szCs w:val="20"/>
                <w:lang w:val="en-US"/>
              </w:rPr>
            </w:pPr>
            <w:r w:rsidRPr="00C0765A">
              <w:rPr>
                <w:sz w:val="20"/>
                <w:szCs w:val="20"/>
                <w:lang w:val="en-US"/>
              </w:rPr>
              <w:t>6.22</w:t>
            </w:r>
          </w:p>
        </w:tc>
      </w:tr>
      <w:tr w:rsidR="004B3202" w:rsidRPr="00C0765A" w14:paraId="1EB4524A" w14:textId="77777777" w:rsidTr="00B839E8">
        <w:trPr>
          <w:trHeight w:val="147"/>
        </w:trPr>
        <w:tc>
          <w:tcPr>
            <w:tcW w:w="573" w:type="dxa"/>
            <w:vMerge/>
            <w:tcBorders>
              <w:bottom w:val="single" w:sz="12" w:space="0" w:color="auto"/>
            </w:tcBorders>
            <w:shd w:val="clear" w:color="auto" w:fill="E8E8E8" w:themeFill="background2"/>
            <w:textDirection w:val="tbRl"/>
          </w:tcPr>
          <w:p w14:paraId="1F719654" w14:textId="77777777" w:rsidR="004B3202" w:rsidRPr="00C0765A" w:rsidRDefault="004B3202" w:rsidP="00922A7F">
            <w:pPr>
              <w:ind w:left="113" w:right="113" w:firstLine="0"/>
              <w:jc w:val="center"/>
              <w:rPr>
                <w:b/>
                <w:bCs/>
                <w:sz w:val="20"/>
                <w:szCs w:val="20"/>
                <w:lang w:val="en-US"/>
              </w:rPr>
            </w:pPr>
          </w:p>
        </w:tc>
        <w:tc>
          <w:tcPr>
            <w:tcW w:w="708" w:type="dxa"/>
            <w:tcBorders>
              <w:bottom w:val="single" w:sz="12" w:space="0" w:color="auto"/>
            </w:tcBorders>
          </w:tcPr>
          <w:p w14:paraId="5D05A412" w14:textId="31DDA78D" w:rsidR="004B3202" w:rsidRPr="00C0765A" w:rsidRDefault="004B3202" w:rsidP="00E66E0D">
            <w:pPr>
              <w:ind w:firstLine="0"/>
              <w:rPr>
                <w:i/>
                <w:iCs/>
                <w:sz w:val="20"/>
                <w:szCs w:val="20"/>
                <w:lang w:val="en-US"/>
              </w:rPr>
            </w:pPr>
            <w:r w:rsidRPr="00C0765A">
              <w:rPr>
                <w:i/>
                <w:iCs/>
                <w:sz w:val="20"/>
                <w:szCs w:val="20"/>
                <w:lang w:val="en-US"/>
              </w:rPr>
              <w:t>N</w:t>
            </w:r>
          </w:p>
        </w:tc>
        <w:tc>
          <w:tcPr>
            <w:tcW w:w="1134" w:type="dxa"/>
            <w:tcBorders>
              <w:bottom w:val="single" w:sz="12" w:space="0" w:color="auto"/>
            </w:tcBorders>
          </w:tcPr>
          <w:p w14:paraId="3C742540" w14:textId="215E09FC" w:rsidR="004B3202" w:rsidRPr="00C0765A" w:rsidRDefault="00536A0E" w:rsidP="00E66E0D">
            <w:pPr>
              <w:ind w:firstLine="0"/>
              <w:rPr>
                <w:sz w:val="20"/>
                <w:szCs w:val="20"/>
                <w:lang w:val="en-US"/>
              </w:rPr>
            </w:pPr>
            <w:r w:rsidRPr="00C0765A">
              <w:rPr>
                <w:sz w:val="20"/>
                <w:szCs w:val="20"/>
                <w:lang w:val="en-US"/>
              </w:rPr>
              <w:t>41</w:t>
            </w:r>
          </w:p>
        </w:tc>
        <w:tc>
          <w:tcPr>
            <w:tcW w:w="1134" w:type="dxa"/>
            <w:tcBorders>
              <w:bottom w:val="single" w:sz="12" w:space="0" w:color="auto"/>
            </w:tcBorders>
          </w:tcPr>
          <w:p w14:paraId="4EC5D281" w14:textId="72BCE5A3" w:rsidR="004B3202" w:rsidRPr="00C0765A" w:rsidRDefault="00536A0E" w:rsidP="00E66E0D">
            <w:pPr>
              <w:ind w:firstLine="0"/>
              <w:rPr>
                <w:sz w:val="20"/>
                <w:szCs w:val="20"/>
                <w:lang w:val="en-US"/>
              </w:rPr>
            </w:pPr>
            <w:r w:rsidRPr="00C0765A">
              <w:rPr>
                <w:sz w:val="20"/>
                <w:szCs w:val="20"/>
                <w:lang w:val="en-US"/>
              </w:rPr>
              <w:t>41</w:t>
            </w:r>
          </w:p>
        </w:tc>
        <w:tc>
          <w:tcPr>
            <w:tcW w:w="1265" w:type="dxa"/>
            <w:tcBorders>
              <w:bottom w:val="single" w:sz="12" w:space="0" w:color="auto"/>
            </w:tcBorders>
          </w:tcPr>
          <w:p w14:paraId="162978EE" w14:textId="018C121A" w:rsidR="004B3202" w:rsidRPr="00C0765A" w:rsidRDefault="00580355" w:rsidP="00E66E0D">
            <w:pPr>
              <w:ind w:firstLine="0"/>
              <w:rPr>
                <w:sz w:val="20"/>
                <w:szCs w:val="20"/>
                <w:lang w:val="en-US"/>
              </w:rPr>
            </w:pPr>
            <w:r w:rsidRPr="00C0765A">
              <w:rPr>
                <w:sz w:val="20"/>
                <w:szCs w:val="20"/>
                <w:lang w:val="en-US"/>
              </w:rPr>
              <w:t>41</w:t>
            </w:r>
          </w:p>
        </w:tc>
        <w:tc>
          <w:tcPr>
            <w:tcW w:w="1184" w:type="dxa"/>
            <w:tcBorders>
              <w:bottom w:val="single" w:sz="12" w:space="0" w:color="auto"/>
            </w:tcBorders>
          </w:tcPr>
          <w:p w14:paraId="501102AD" w14:textId="3F3F4A38" w:rsidR="004B3202" w:rsidRPr="00C0765A" w:rsidRDefault="008503A4" w:rsidP="00E66E0D">
            <w:pPr>
              <w:ind w:firstLine="0"/>
              <w:rPr>
                <w:sz w:val="20"/>
                <w:szCs w:val="20"/>
                <w:lang w:val="en-US"/>
              </w:rPr>
            </w:pPr>
            <w:r w:rsidRPr="00C0765A">
              <w:rPr>
                <w:sz w:val="20"/>
                <w:szCs w:val="20"/>
                <w:lang w:val="en-US"/>
              </w:rPr>
              <w:t>41</w:t>
            </w:r>
          </w:p>
        </w:tc>
        <w:tc>
          <w:tcPr>
            <w:tcW w:w="1102" w:type="dxa"/>
            <w:tcBorders>
              <w:bottom w:val="single" w:sz="12" w:space="0" w:color="auto"/>
            </w:tcBorders>
          </w:tcPr>
          <w:p w14:paraId="37A073E0" w14:textId="61664833" w:rsidR="004B3202" w:rsidRPr="00C0765A" w:rsidRDefault="00536A0E" w:rsidP="00E66E0D">
            <w:pPr>
              <w:ind w:firstLine="0"/>
              <w:rPr>
                <w:sz w:val="20"/>
                <w:szCs w:val="20"/>
                <w:lang w:val="en-US"/>
              </w:rPr>
            </w:pPr>
            <w:r w:rsidRPr="00C0765A">
              <w:rPr>
                <w:sz w:val="20"/>
                <w:szCs w:val="20"/>
                <w:lang w:val="en-US"/>
              </w:rPr>
              <w:t>41</w:t>
            </w:r>
          </w:p>
        </w:tc>
        <w:tc>
          <w:tcPr>
            <w:tcW w:w="1199" w:type="dxa"/>
            <w:tcBorders>
              <w:bottom w:val="single" w:sz="12" w:space="0" w:color="auto"/>
            </w:tcBorders>
          </w:tcPr>
          <w:p w14:paraId="218A27BA" w14:textId="05B1D09D" w:rsidR="004B3202" w:rsidRPr="00C0765A" w:rsidRDefault="00580355" w:rsidP="00E66E0D">
            <w:pPr>
              <w:ind w:firstLine="0"/>
              <w:rPr>
                <w:sz w:val="20"/>
                <w:szCs w:val="20"/>
                <w:lang w:val="en-US"/>
              </w:rPr>
            </w:pPr>
            <w:r w:rsidRPr="00C0765A">
              <w:rPr>
                <w:sz w:val="20"/>
                <w:szCs w:val="20"/>
                <w:lang w:val="en-US"/>
              </w:rPr>
              <w:t>41</w:t>
            </w:r>
          </w:p>
        </w:tc>
        <w:tc>
          <w:tcPr>
            <w:tcW w:w="1087" w:type="dxa"/>
            <w:tcBorders>
              <w:bottom w:val="single" w:sz="12" w:space="0" w:color="auto"/>
            </w:tcBorders>
          </w:tcPr>
          <w:p w14:paraId="4C22CBC2" w14:textId="119C8A65" w:rsidR="004B3202" w:rsidRPr="00C0765A" w:rsidRDefault="008503A4" w:rsidP="00E66E0D">
            <w:pPr>
              <w:ind w:firstLine="0"/>
              <w:rPr>
                <w:sz w:val="20"/>
                <w:szCs w:val="20"/>
                <w:lang w:val="en-US"/>
              </w:rPr>
            </w:pPr>
            <w:r w:rsidRPr="00C0765A">
              <w:rPr>
                <w:sz w:val="20"/>
                <w:szCs w:val="20"/>
                <w:lang w:val="en-US"/>
              </w:rPr>
              <w:t>41</w:t>
            </w:r>
          </w:p>
        </w:tc>
      </w:tr>
      <w:tr w:rsidR="004B3202" w:rsidRPr="00C0765A" w14:paraId="18D25D28" w14:textId="77777777" w:rsidTr="00B839E8">
        <w:trPr>
          <w:trHeight w:val="396"/>
        </w:trPr>
        <w:tc>
          <w:tcPr>
            <w:tcW w:w="573" w:type="dxa"/>
            <w:vMerge w:val="restart"/>
            <w:tcBorders>
              <w:top w:val="single" w:sz="12" w:space="0" w:color="auto"/>
            </w:tcBorders>
            <w:shd w:val="clear" w:color="auto" w:fill="E8E8E8" w:themeFill="background2"/>
            <w:textDirection w:val="tbRl"/>
          </w:tcPr>
          <w:p w14:paraId="507A6C76" w14:textId="11C1ECAA" w:rsidR="004B3202" w:rsidRPr="00C0765A" w:rsidRDefault="004B3202" w:rsidP="00922A7F">
            <w:pPr>
              <w:ind w:left="113" w:right="113" w:firstLine="0"/>
              <w:jc w:val="center"/>
              <w:rPr>
                <w:b/>
                <w:bCs/>
                <w:sz w:val="20"/>
                <w:szCs w:val="20"/>
                <w:lang w:val="en-US"/>
              </w:rPr>
            </w:pPr>
            <w:r w:rsidRPr="00C0765A">
              <w:rPr>
                <w:b/>
                <w:bCs/>
                <w:sz w:val="20"/>
                <w:szCs w:val="20"/>
                <w:lang w:val="en-US"/>
              </w:rPr>
              <w:t>Sham</w:t>
            </w:r>
          </w:p>
        </w:tc>
        <w:tc>
          <w:tcPr>
            <w:tcW w:w="708" w:type="dxa"/>
            <w:tcBorders>
              <w:top w:val="single" w:sz="12" w:space="0" w:color="auto"/>
            </w:tcBorders>
          </w:tcPr>
          <w:p w14:paraId="039FC28A" w14:textId="5E92260D" w:rsidR="004B3202" w:rsidRPr="00C0765A" w:rsidRDefault="004B3202" w:rsidP="000F504A">
            <w:pPr>
              <w:ind w:firstLine="0"/>
              <w:rPr>
                <w:i/>
                <w:iCs/>
                <w:sz w:val="20"/>
                <w:szCs w:val="20"/>
                <w:lang w:val="en-US"/>
              </w:rPr>
            </w:pPr>
            <w:r w:rsidRPr="00C0765A">
              <w:rPr>
                <w:i/>
                <w:iCs/>
                <w:sz w:val="20"/>
                <w:szCs w:val="20"/>
                <w:lang w:val="en-US"/>
              </w:rPr>
              <w:t>M</w:t>
            </w:r>
          </w:p>
        </w:tc>
        <w:tc>
          <w:tcPr>
            <w:tcW w:w="1134" w:type="dxa"/>
            <w:tcBorders>
              <w:top w:val="single" w:sz="12" w:space="0" w:color="auto"/>
            </w:tcBorders>
          </w:tcPr>
          <w:p w14:paraId="22F6C92E" w14:textId="34E22924" w:rsidR="004B3202" w:rsidRPr="00C0765A" w:rsidRDefault="006F0708" w:rsidP="000F504A">
            <w:pPr>
              <w:ind w:firstLine="0"/>
              <w:rPr>
                <w:sz w:val="20"/>
                <w:szCs w:val="20"/>
                <w:lang w:val="en-US"/>
              </w:rPr>
            </w:pPr>
            <w:r w:rsidRPr="00C0765A">
              <w:rPr>
                <w:sz w:val="20"/>
                <w:szCs w:val="20"/>
                <w:lang w:val="en-US"/>
              </w:rPr>
              <w:t>5.11</w:t>
            </w:r>
          </w:p>
        </w:tc>
        <w:tc>
          <w:tcPr>
            <w:tcW w:w="1134" w:type="dxa"/>
            <w:tcBorders>
              <w:top w:val="single" w:sz="12" w:space="0" w:color="auto"/>
            </w:tcBorders>
          </w:tcPr>
          <w:p w14:paraId="7090A128" w14:textId="6B9A3C42" w:rsidR="004B3202" w:rsidRPr="00C0765A" w:rsidRDefault="000550E3" w:rsidP="000F504A">
            <w:pPr>
              <w:ind w:firstLine="0"/>
              <w:rPr>
                <w:sz w:val="20"/>
                <w:szCs w:val="20"/>
                <w:lang w:val="en-US"/>
              </w:rPr>
            </w:pPr>
            <w:r w:rsidRPr="00C0765A">
              <w:rPr>
                <w:sz w:val="20"/>
                <w:szCs w:val="20"/>
                <w:lang w:val="en-US"/>
              </w:rPr>
              <w:t>3.</w:t>
            </w:r>
            <w:r w:rsidR="00545973" w:rsidRPr="00C0765A">
              <w:rPr>
                <w:sz w:val="20"/>
                <w:szCs w:val="20"/>
                <w:lang w:val="en-US"/>
              </w:rPr>
              <w:t>28</w:t>
            </w:r>
          </w:p>
        </w:tc>
        <w:tc>
          <w:tcPr>
            <w:tcW w:w="1265" w:type="dxa"/>
            <w:tcBorders>
              <w:top w:val="single" w:sz="12" w:space="0" w:color="auto"/>
            </w:tcBorders>
          </w:tcPr>
          <w:p w14:paraId="77836541" w14:textId="6E0DC952" w:rsidR="004B3202" w:rsidRPr="00C0765A" w:rsidRDefault="006E59F5" w:rsidP="000F504A">
            <w:pPr>
              <w:ind w:firstLine="0"/>
              <w:rPr>
                <w:sz w:val="20"/>
                <w:szCs w:val="20"/>
                <w:lang w:val="en-US"/>
              </w:rPr>
            </w:pPr>
            <w:r w:rsidRPr="00C0765A">
              <w:rPr>
                <w:sz w:val="20"/>
                <w:szCs w:val="20"/>
                <w:lang w:val="en-US"/>
              </w:rPr>
              <w:t>1.84</w:t>
            </w:r>
          </w:p>
        </w:tc>
        <w:tc>
          <w:tcPr>
            <w:tcW w:w="1184" w:type="dxa"/>
            <w:tcBorders>
              <w:top w:val="single" w:sz="12" w:space="0" w:color="auto"/>
            </w:tcBorders>
          </w:tcPr>
          <w:p w14:paraId="06D053D8" w14:textId="395A852B" w:rsidR="004B3202" w:rsidRPr="00C0765A" w:rsidRDefault="006E59F5" w:rsidP="000F504A">
            <w:pPr>
              <w:ind w:firstLine="0"/>
              <w:rPr>
                <w:sz w:val="20"/>
                <w:szCs w:val="20"/>
                <w:lang w:val="en-US"/>
              </w:rPr>
            </w:pPr>
            <w:r w:rsidRPr="00C0765A">
              <w:rPr>
                <w:sz w:val="20"/>
                <w:szCs w:val="20"/>
                <w:lang w:val="en-US"/>
              </w:rPr>
              <w:t>-8.07</w:t>
            </w:r>
          </w:p>
        </w:tc>
        <w:tc>
          <w:tcPr>
            <w:tcW w:w="1102" w:type="dxa"/>
            <w:tcBorders>
              <w:top w:val="single" w:sz="12" w:space="0" w:color="auto"/>
            </w:tcBorders>
          </w:tcPr>
          <w:p w14:paraId="012D483C" w14:textId="2314807F" w:rsidR="004B3202" w:rsidRPr="00C0765A" w:rsidRDefault="006F0708" w:rsidP="000F504A">
            <w:pPr>
              <w:ind w:firstLine="0"/>
              <w:rPr>
                <w:sz w:val="20"/>
                <w:szCs w:val="20"/>
                <w:lang w:val="en-US"/>
              </w:rPr>
            </w:pPr>
            <w:r w:rsidRPr="00C0765A">
              <w:rPr>
                <w:sz w:val="20"/>
                <w:szCs w:val="20"/>
                <w:lang w:val="en-US"/>
              </w:rPr>
              <w:t>-0.99</w:t>
            </w:r>
          </w:p>
        </w:tc>
        <w:tc>
          <w:tcPr>
            <w:tcW w:w="1199" w:type="dxa"/>
            <w:tcBorders>
              <w:top w:val="single" w:sz="12" w:space="0" w:color="auto"/>
            </w:tcBorders>
          </w:tcPr>
          <w:p w14:paraId="4138D334" w14:textId="37717DC4" w:rsidR="004B3202" w:rsidRPr="00C0765A" w:rsidRDefault="007732F9" w:rsidP="000F504A">
            <w:pPr>
              <w:ind w:firstLine="0"/>
              <w:rPr>
                <w:sz w:val="20"/>
                <w:szCs w:val="20"/>
                <w:lang w:val="en-US"/>
              </w:rPr>
            </w:pPr>
            <w:r w:rsidRPr="00C0765A">
              <w:rPr>
                <w:sz w:val="20"/>
                <w:szCs w:val="20"/>
                <w:lang w:val="en-US"/>
              </w:rPr>
              <w:t>7.08</w:t>
            </w:r>
          </w:p>
        </w:tc>
        <w:tc>
          <w:tcPr>
            <w:tcW w:w="1087" w:type="dxa"/>
            <w:tcBorders>
              <w:top w:val="single" w:sz="12" w:space="0" w:color="auto"/>
            </w:tcBorders>
          </w:tcPr>
          <w:p w14:paraId="3C0B4E94" w14:textId="10DBC0F5" w:rsidR="004B3202" w:rsidRPr="00C0765A" w:rsidRDefault="00747EB6" w:rsidP="000F504A">
            <w:pPr>
              <w:ind w:firstLine="0"/>
              <w:rPr>
                <w:sz w:val="20"/>
                <w:szCs w:val="20"/>
                <w:lang w:val="en-US"/>
              </w:rPr>
            </w:pPr>
            <w:r w:rsidRPr="00C0765A">
              <w:rPr>
                <w:sz w:val="20"/>
                <w:szCs w:val="20"/>
                <w:lang w:val="en-US"/>
              </w:rPr>
              <w:t>10.23</w:t>
            </w:r>
          </w:p>
        </w:tc>
      </w:tr>
      <w:tr w:rsidR="004B3202" w:rsidRPr="00C0765A" w14:paraId="227C00A8" w14:textId="77777777" w:rsidTr="00B839E8">
        <w:trPr>
          <w:trHeight w:val="147"/>
        </w:trPr>
        <w:tc>
          <w:tcPr>
            <w:tcW w:w="573" w:type="dxa"/>
            <w:vMerge/>
            <w:shd w:val="clear" w:color="auto" w:fill="E8E8E8" w:themeFill="background2"/>
          </w:tcPr>
          <w:p w14:paraId="594C95C1" w14:textId="77777777" w:rsidR="004B3202" w:rsidRPr="00C0765A" w:rsidRDefault="004B3202" w:rsidP="000F504A">
            <w:pPr>
              <w:ind w:firstLine="0"/>
              <w:rPr>
                <w:sz w:val="20"/>
                <w:szCs w:val="20"/>
                <w:lang w:val="en-US"/>
              </w:rPr>
            </w:pPr>
          </w:p>
        </w:tc>
        <w:tc>
          <w:tcPr>
            <w:tcW w:w="708" w:type="dxa"/>
          </w:tcPr>
          <w:p w14:paraId="6A19FF3A" w14:textId="27CA9997" w:rsidR="004B3202" w:rsidRPr="00C0765A" w:rsidRDefault="004B3202" w:rsidP="000F504A">
            <w:pPr>
              <w:ind w:firstLine="0"/>
              <w:rPr>
                <w:i/>
                <w:iCs/>
                <w:sz w:val="20"/>
                <w:szCs w:val="20"/>
                <w:lang w:val="en-US"/>
              </w:rPr>
            </w:pPr>
            <w:r w:rsidRPr="00C0765A">
              <w:rPr>
                <w:i/>
                <w:iCs/>
                <w:sz w:val="20"/>
                <w:szCs w:val="20"/>
                <w:lang w:val="en-US"/>
              </w:rPr>
              <w:t>SD</w:t>
            </w:r>
          </w:p>
        </w:tc>
        <w:tc>
          <w:tcPr>
            <w:tcW w:w="1134" w:type="dxa"/>
          </w:tcPr>
          <w:p w14:paraId="0261466A" w14:textId="07B87BCD" w:rsidR="004B3202" w:rsidRPr="00C0765A" w:rsidRDefault="006F0708" w:rsidP="000F504A">
            <w:pPr>
              <w:ind w:firstLine="0"/>
              <w:rPr>
                <w:sz w:val="20"/>
                <w:szCs w:val="20"/>
                <w:lang w:val="en-US"/>
              </w:rPr>
            </w:pPr>
            <w:r w:rsidRPr="00C0765A">
              <w:rPr>
                <w:sz w:val="20"/>
                <w:szCs w:val="20"/>
                <w:lang w:val="en-US"/>
              </w:rPr>
              <w:t>3.64</w:t>
            </w:r>
          </w:p>
        </w:tc>
        <w:tc>
          <w:tcPr>
            <w:tcW w:w="1134" w:type="dxa"/>
          </w:tcPr>
          <w:p w14:paraId="68D70B06" w14:textId="7435E956" w:rsidR="004B3202" w:rsidRPr="00C0765A" w:rsidRDefault="00545973" w:rsidP="000F504A">
            <w:pPr>
              <w:ind w:firstLine="0"/>
              <w:rPr>
                <w:sz w:val="20"/>
                <w:szCs w:val="20"/>
                <w:lang w:val="en-US"/>
              </w:rPr>
            </w:pPr>
            <w:r w:rsidRPr="00C0765A">
              <w:rPr>
                <w:sz w:val="20"/>
                <w:szCs w:val="20"/>
                <w:lang w:val="en-US"/>
              </w:rPr>
              <w:t>4.48</w:t>
            </w:r>
          </w:p>
        </w:tc>
        <w:tc>
          <w:tcPr>
            <w:tcW w:w="1265" w:type="dxa"/>
          </w:tcPr>
          <w:p w14:paraId="1CCEE011" w14:textId="1F293EEF" w:rsidR="004B3202" w:rsidRPr="00C0765A" w:rsidRDefault="006E59F5" w:rsidP="000F504A">
            <w:pPr>
              <w:ind w:firstLine="0"/>
              <w:rPr>
                <w:sz w:val="20"/>
                <w:szCs w:val="20"/>
                <w:lang w:val="en-US"/>
              </w:rPr>
            </w:pPr>
            <w:r w:rsidRPr="00C0765A">
              <w:rPr>
                <w:sz w:val="20"/>
                <w:szCs w:val="20"/>
                <w:lang w:val="en-US"/>
              </w:rPr>
              <w:t>2.69</w:t>
            </w:r>
          </w:p>
        </w:tc>
        <w:tc>
          <w:tcPr>
            <w:tcW w:w="1184" w:type="dxa"/>
          </w:tcPr>
          <w:p w14:paraId="4776B275" w14:textId="49E34E25" w:rsidR="004B3202" w:rsidRPr="00C0765A" w:rsidRDefault="006E59F5" w:rsidP="000F504A">
            <w:pPr>
              <w:ind w:firstLine="0"/>
              <w:rPr>
                <w:sz w:val="20"/>
                <w:szCs w:val="20"/>
                <w:lang w:val="en-US"/>
              </w:rPr>
            </w:pPr>
            <w:r w:rsidRPr="00C0765A">
              <w:rPr>
                <w:sz w:val="20"/>
                <w:szCs w:val="20"/>
                <w:lang w:val="en-US"/>
              </w:rPr>
              <w:t>5.38</w:t>
            </w:r>
          </w:p>
        </w:tc>
        <w:tc>
          <w:tcPr>
            <w:tcW w:w="1102" w:type="dxa"/>
          </w:tcPr>
          <w:p w14:paraId="2FA91AE1" w14:textId="0EDF6833" w:rsidR="004B3202" w:rsidRPr="00C0765A" w:rsidRDefault="000550E3" w:rsidP="000F504A">
            <w:pPr>
              <w:ind w:firstLine="0"/>
              <w:rPr>
                <w:sz w:val="20"/>
                <w:szCs w:val="20"/>
                <w:lang w:val="en-US"/>
              </w:rPr>
            </w:pPr>
            <w:r w:rsidRPr="00C0765A">
              <w:rPr>
                <w:sz w:val="20"/>
                <w:szCs w:val="20"/>
                <w:lang w:val="en-US"/>
              </w:rPr>
              <w:t>1.87</w:t>
            </w:r>
          </w:p>
        </w:tc>
        <w:tc>
          <w:tcPr>
            <w:tcW w:w="1199" w:type="dxa"/>
          </w:tcPr>
          <w:p w14:paraId="0579048E" w14:textId="02BDA721" w:rsidR="004B3202" w:rsidRPr="00C0765A" w:rsidRDefault="007732F9" w:rsidP="000F504A">
            <w:pPr>
              <w:ind w:firstLine="0"/>
              <w:rPr>
                <w:sz w:val="20"/>
                <w:szCs w:val="20"/>
                <w:lang w:val="en-US"/>
              </w:rPr>
            </w:pPr>
            <w:r w:rsidRPr="00C0765A">
              <w:rPr>
                <w:sz w:val="20"/>
                <w:szCs w:val="20"/>
                <w:lang w:val="en-US"/>
              </w:rPr>
              <w:t>5.65</w:t>
            </w:r>
          </w:p>
        </w:tc>
        <w:tc>
          <w:tcPr>
            <w:tcW w:w="1087" w:type="dxa"/>
          </w:tcPr>
          <w:p w14:paraId="0EB074C2" w14:textId="1FC03EB7" w:rsidR="004B3202" w:rsidRPr="00C0765A" w:rsidRDefault="00747EB6" w:rsidP="000F504A">
            <w:pPr>
              <w:ind w:firstLine="0"/>
              <w:rPr>
                <w:sz w:val="20"/>
                <w:szCs w:val="20"/>
                <w:lang w:val="en-US"/>
              </w:rPr>
            </w:pPr>
            <w:r w:rsidRPr="00C0765A">
              <w:rPr>
                <w:sz w:val="20"/>
                <w:szCs w:val="20"/>
                <w:lang w:val="en-US"/>
              </w:rPr>
              <w:t>5.04</w:t>
            </w:r>
          </w:p>
        </w:tc>
      </w:tr>
      <w:tr w:rsidR="004B3202" w:rsidRPr="00C0765A" w14:paraId="72945AFE" w14:textId="77777777" w:rsidTr="00B839E8">
        <w:trPr>
          <w:trHeight w:val="147"/>
        </w:trPr>
        <w:tc>
          <w:tcPr>
            <w:tcW w:w="573" w:type="dxa"/>
            <w:vMerge/>
            <w:shd w:val="clear" w:color="auto" w:fill="E8E8E8" w:themeFill="background2"/>
          </w:tcPr>
          <w:p w14:paraId="0A320021" w14:textId="77777777" w:rsidR="004B3202" w:rsidRPr="00C0765A" w:rsidRDefault="004B3202" w:rsidP="000F504A">
            <w:pPr>
              <w:ind w:firstLine="0"/>
              <w:rPr>
                <w:sz w:val="20"/>
                <w:szCs w:val="20"/>
                <w:lang w:val="en-US"/>
              </w:rPr>
            </w:pPr>
          </w:p>
        </w:tc>
        <w:tc>
          <w:tcPr>
            <w:tcW w:w="708" w:type="dxa"/>
          </w:tcPr>
          <w:p w14:paraId="3B3BB653" w14:textId="2272F9AB" w:rsidR="004B3202" w:rsidRPr="00C0765A" w:rsidRDefault="004B3202" w:rsidP="000F504A">
            <w:pPr>
              <w:ind w:firstLine="0"/>
              <w:rPr>
                <w:i/>
                <w:iCs/>
                <w:sz w:val="20"/>
                <w:szCs w:val="20"/>
                <w:lang w:val="en-US"/>
              </w:rPr>
            </w:pPr>
            <w:r w:rsidRPr="00C0765A">
              <w:rPr>
                <w:i/>
                <w:iCs/>
                <w:sz w:val="20"/>
                <w:szCs w:val="20"/>
                <w:lang w:val="en-US"/>
              </w:rPr>
              <w:t>N</w:t>
            </w:r>
          </w:p>
        </w:tc>
        <w:tc>
          <w:tcPr>
            <w:tcW w:w="1134" w:type="dxa"/>
          </w:tcPr>
          <w:p w14:paraId="7CCE5ACD" w14:textId="751E9B53" w:rsidR="004B3202" w:rsidRPr="00C0765A" w:rsidRDefault="006F0708" w:rsidP="000F504A">
            <w:pPr>
              <w:ind w:firstLine="0"/>
              <w:rPr>
                <w:sz w:val="20"/>
                <w:szCs w:val="20"/>
                <w:lang w:val="en-US"/>
              </w:rPr>
            </w:pPr>
            <w:r w:rsidRPr="00C0765A">
              <w:rPr>
                <w:sz w:val="20"/>
                <w:szCs w:val="20"/>
                <w:lang w:val="en-US"/>
              </w:rPr>
              <w:t>38</w:t>
            </w:r>
          </w:p>
        </w:tc>
        <w:tc>
          <w:tcPr>
            <w:tcW w:w="1134" w:type="dxa"/>
          </w:tcPr>
          <w:p w14:paraId="137E63B6" w14:textId="2EDAE05D" w:rsidR="004B3202" w:rsidRPr="00C0765A" w:rsidRDefault="00545973" w:rsidP="000F504A">
            <w:pPr>
              <w:ind w:firstLine="0"/>
              <w:rPr>
                <w:sz w:val="20"/>
                <w:szCs w:val="20"/>
                <w:lang w:val="en-US"/>
              </w:rPr>
            </w:pPr>
            <w:r w:rsidRPr="00C0765A">
              <w:rPr>
                <w:sz w:val="20"/>
                <w:szCs w:val="20"/>
                <w:lang w:val="en-US"/>
              </w:rPr>
              <w:t>38</w:t>
            </w:r>
          </w:p>
        </w:tc>
        <w:tc>
          <w:tcPr>
            <w:tcW w:w="1265" w:type="dxa"/>
          </w:tcPr>
          <w:p w14:paraId="72C3ECB2" w14:textId="5E9FB94D" w:rsidR="004B3202" w:rsidRPr="00C0765A" w:rsidRDefault="006E59F5" w:rsidP="000F504A">
            <w:pPr>
              <w:ind w:firstLine="0"/>
              <w:rPr>
                <w:sz w:val="20"/>
                <w:szCs w:val="20"/>
                <w:lang w:val="en-US"/>
              </w:rPr>
            </w:pPr>
            <w:r w:rsidRPr="00C0765A">
              <w:rPr>
                <w:sz w:val="20"/>
                <w:szCs w:val="20"/>
                <w:lang w:val="en-US"/>
              </w:rPr>
              <w:t>38</w:t>
            </w:r>
          </w:p>
        </w:tc>
        <w:tc>
          <w:tcPr>
            <w:tcW w:w="1184" w:type="dxa"/>
          </w:tcPr>
          <w:p w14:paraId="615C4F9D" w14:textId="31990D6A" w:rsidR="004B3202" w:rsidRPr="00C0765A" w:rsidRDefault="006E59F5" w:rsidP="000F504A">
            <w:pPr>
              <w:ind w:firstLine="0"/>
              <w:rPr>
                <w:sz w:val="20"/>
                <w:szCs w:val="20"/>
                <w:lang w:val="en-US"/>
              </w:rPr>
            </w:pPr>
            <w:r w:rsidRPr="00C0765A">
              <w:rPr>
                <w:sz w:val="20"/>
                <w:szCs w:val="20"/>
                <w:lang w:val="en-US"/>
              </w:rPr>
              <w:t>38</w:t>
            </w:r>
          </w:p>
        </w:tc>
        <w:tc>
          <w:tcPr>
            <w:tcW w:w="1102" w:type="dxa"/>
          </w:tcPr>
          <w:p w14:paraId="2D672A0E" w14:textId="2AD721DE" w:rsidR="004B3202" w:rsidRPr="00C0765A" w:rsidRDefault="000550E3" w:rsidP="000F504A">
            <w:pPr>
              <w:ind w:firstLine="0"/>
              <w:rPr>
                <w:sz w:val="20"/>
                <w:szCs w:val="20"/>
                <w:lang w:val="en-US"/>
              </w:rPr>
            </w:pPr>
            <w:r w:rsidRPr="00C0765A">
              <w:rPr>
                <w:sz w:val="20"/>
                <w:szCs w:val="20"/>
                <w:lang w:val="en-US"/>
              </w:rPr>
              <w:t>38</w:t>
            </w:r>
          </w:p>
        </w:tc>
        <w:tc>
          <w:tcPr>
            <w:tcW w:w="1199" w:type="dxa"/>
          </w:tcPr>
          <w:p w14:paraId="69C523C4" w14:textId="51476D47" w:rsidR="004B3202" w:rsidRPr="00C0765A" w:rsidRDefault="007732F9" w:rsidP="000F504A">
            <w:pPr>
              <w:ind w:firstLine="0"/>
              <w:rPr>
                <w:sz w:val="20"/>
                <w:szCs w:val="20"/>
                <w:lang w:val="en-US"/>
              </w:rPr>
            </w:pPr>
            <w:r w:rsidRPr="00C0765A">
              <w:rPr>
                <w:sz w:val="20"/>
                <w:szCs w:val="20"/>
                <w:lang w:val="en-US"/>
              </w:rPr>
              <w:t>38</w:t>
            </w:r>
          </w:p>
        </w:tc>
        <w:tc>
          <w:tcPr>
            <w:tcW w:w="1087" w:type="dxa"/>
          </w:tcPr>
          <w:p w14:paraId="4AF9F763" w14:textId="0D1AE267" w:rsidR="004B3202" w:rsidRPr="00C0765A" w:rsidRDefault="00747EB6" w:rsidP="000F504A">
            <w:pPr>
              <w:ind w:firstLine="0"/>
              <w:rPr>
                <w:sz w:val="20"/>
                <w:szCs w:val="20"/>
                <w:lang w:val="en-US"/>
              </w:rPr>
            </w:pPr>
            <w:r w:rsidRPr="00C0765A">
              <w:rPr>
                <w:sz w:val="20"/>
                <w:szCs w:val="20"/>
                <w:lang w:val="en-US"/>
              </w:rPr>
              <w:t>38</w:t>
            </w:r>
          </w:p>
        </w:tc>
      </w:tr>
    </w:tbl>
    <w:p w14:paraId="5640CF1F" w14:textId="549E991B" w:rsidR="004D27FA" w:rsidRPr="00C0765A" w:rsidRDefault="004D27FA" w:rsidP="004D27FA">
      <w:pPr>
        <w:pStyle w:val="Caption"/>
        <w:keepNext/>
        <w:rPr>
          <w:lang w:val="en-US"/>
        </w:rPr>
      </w:pPr>
      <w:r w:rsidRPr="00C0765A">
        <w:rPr>
          <w:b/>
          <w:bCs/>
          <w:lang w:val="en-US"/>
        </w:rPr>
        <w:lastRenderedPageBreak/>
        <w:t xml:space="preserve">Table </w:t>
      </w:r>
      <w:r w:rsidRPr="00C0765A">
        <w:rPr>
          <w:b/>
          <w:bCs/>
        </w:rPr>
        <w:fldChar w:fldCharType="begin"/>
      </w:r>
      <w:r w:rsidRPr="00C0765A">
        <w:rPr>
          <w:b/>
          <w:bCs/>
          <w:lang w:val="en-US"/>
        </w:rPr>
        <w:instrText xml:space="preserve"> SEQ Table \* ARABIC </w:instrText>
      </w:r>
      <w:r w:rsidRPr="00C0765A">
        <w:rPr>
          <w:b/>
          <w:bCs/>
        </w:rPr>
        <w:fldChar w:fldCharType="separate"/>
      </w:r>
      <w:r w:rsidR="00F74AF7" w:rsidRPr="00C0765A">
        <w:rPr>
          <w:b/>
          <w:bCs/>
          <w:noProof/>
          <w:lang w:val="en-US"/>
        </w:rPr>
        <w:t>3</w:t>
      </w:r>
      <w:r w:rsidRPr="00C0765A">
        <w:rPr>
          <w:b/>
          <w:bCs/>
        </w:rPr>
        <w:fldChar w:fldCharType="end"/>
      </w:r>
      <w:r w:rsidRPr="00C0765A">
        <w:rPr>
          <w:lang w:val="en-US"/>
        </w:rPr>
        <w:t xml:space="preserve"> Descriptive statistics for the peak amplitudes of respiratory-related evoked potentials and respiratory neural gating (S2-S1). Abbreviations: S1/2 = firs</w:t>
      </w:r>
      <w:r w:rsidR="0042046F" w:rsidRPr="00C0765A">
        <w:rPr>
          <w:lang w:val="en-US"/>
        </w:rPr>
        <w:t>t</w:t>
      </w:r>
      <w:r w:rsidRPr="00C0765A">
        <w:rPr>
          <w:lang w:val="en-US"/>
        </w:rPr>
        <w:t>/second occlusion in the pair</w:t>
      </w:r>
    </w:p>
    <w:tbl>
      <w:tblPr>
        <w:tblStyle w:val="TableGrid"/>
        <w:tblpPr w:leftFromText="141" w:rightFromText="141" w:vertAnchor="page" w:horzAnchor="margin" w:tblpY="2143"/>
        <w:tblW w:w="8532" w:type="dxa"/>
        <w:tblLayout w:type="fixed"/>
        <w:tblLook w:val="04A0" w:firstRow="1" w:lastRow="0" w:firstColumn="1" w:lastColumn="0" w:noHBand="0" w:noVBand="1"/>
      </w:tblPr>
      <w:tblGrid>
        <w:gridCol w:w="835"/>
        <w:gridCol w:w="1032"/>
        <w:gridCol w:w="1726"/>
        <w:gridCol w:w="1606"/>
        <w:gridCol w:w="1748"/>
        <w:gridCol w:w="1585"/>
      </w:tblGrid>
      <w:tr w:rsidR="006510EC" w:rsidRPr="00C0765A" w14:paraId="27918C9F" w14:textId="77777777" w:rsidTr="00E66E0D">
        <w:trPr>
          <w:trHeight w:val="547"/>
        </w:trPr>
        <w:tc>
          <w:tcPr>
            <w:tcW w:w="835" w:type="dxa"/>
            <w:tcBorders>
              <w:top w:val="nil"/>
              <w:left w:val="nil"/>
              <w:right w:val="nil"/>
            </w:tcBorders>
          </w:tcPr>
          <w:p w14:paraId="2B611CE4" w14:textId="77777777" w:rsidR="006510EC" w:rsidRPr="00C0765A" w:rsidRDefault="006510EC" w:rsidP="00E66E0D">
            <w:pPr>
              <w:ind w:firstLine="0"/>
              <w:rPr>
                <w:lang w:val="en-US"/>
              </w:rPr>
            </w:pPr>
          </w:p>
        </w:tc>
        <w:tc>
          <w:tcPr>
            <w:tcW w:w="1032" w:type="dxa"/>
            <w:tcBorders>
              <w:top w:val="nil"/>
              <w:left w:val="nil"/>
            </w:tcBorders>
          </w:tcPr>
          <w:p w14:paraId="479E15FE" w14:textId="77777777" w:rsidR="006510EC" w:rsidRPr="00C0765A" w:rsidRDefault="006510EC" w:rsidP="00E66E0D">
            <w:pPr>
              <w:ind w:firstLine="0"/>
              <w:rPr>
                <w:lang w:val="en-US"/>
              </w:rPr>
            </w:pPr>
          </w:p>
        </w:tc>
        <w:tc>
          <w:tcPr>
            <w:tcW w:w="1726" w:type="dxa"/>
          </w:tcPr>
          <w:p w14:paraId="16BE8FD6" w14:textId="77777777" w:rsidR="006510EC" w:rsidRPr="00C0765A" w:rsidRDefault="006510EC" w:rsidP="00E66E0D">
            <w:pPr>
              <w:ind w:firstLine="0"/>
              <w:jc w:val="center"/>
              <w:rPr>
                <w:b/>
                <w:bCs/>
                <w:lang w:val="en-US"/>
              </w:rPr>
            </w:pPr>
            <w:r w:rsidRPr="00C0765A">
              <w:rPr>
                <w:b/>
                <w:bCs/>
                <w:lang w:val="en-US"/>
              </w:rPr>
              <w:t>S1 N1</w:t>
            </w:r>
          </w:p>
        </w:tc>
        <w:tc>
          <w:tcPr>
            <w:tcW w:w="1606" w:type="dxa"/>
          </w:tcPr>
          <w:p w14:paraId="27A0C110" w14:textId="77777777" w:rsidR="006510EC" w:rsidRPr="00C0765A" w:rsidRDefault="006510EC" w:rsidP="00E66E0D">
            <w:pPr>
              <w:ind w:firstLine="0"/>
              <w:jc w:val="center"/>
              <w:rPr>
                <w:b/>
                <w:bCs/>
                <w:lang w:val="en-US"/>
              </w:rPr>
            </w:pPr>
            <w:r w:rsidRPr="00C0765A">
              <w:rPr>
                <w:b/>
                <w:bCs/>
                <w:lang w:val="en-US"/>
              </w:rPr>
              <w:t>S2 N1</w:t>
            </w:r>
          </w:p>
        </w:tc>
        <w:tc>
          <w:tcPr>
            <w:tcW w:w="1748" w:type="dxa"/>
          </w:tcPr>
          <w:p w14:paraId="5D1B3EC1" w14:textId="77777777" w:rsidR="006510EC" w:rsidRPr="00C0765A" w:rsidRDefault="006510EC" w:rsidP="00E66E0D">
            <w:pPr>
              <w:ind w:firstLine="0"/>
              <w:jc w:val="center"/>
              <w:rPr>
                <w:b/>
                <w:bCs/>
                <w:lang w:val="en-US"/>
              </w:rPr>
            </w:pPr>
            <w:r w:rsidRPr="00C0765A">
              <w:rPr>
                <w:b/>
                <w:bCs/>
                <w:lang w:val="en-US"/>
              </w:rPr>
              <w:t>N1 gating</w:t>
            </w:r>
          </w:p>
        </w:tc>
        <w:tc>
          <w:tcPr>
            <w:tcW w:w="1585" w:type="dxa"/>
          </w:tcPr>
          <w:p w14:paraId="794357F0" w14:textId="77777777" w:rsidR="006510EC" w:rsidRPr="00C0765A" w:rsidRDefault="006510EC" w:rsidP="00E66E0D">
            <w:pPr>
              <w:ind w:firstLine="0"/>
              <w:jc w:val="center"/>
              <w:rPr>
                <w:b/>
                <w:bCs/>
                <w:lang w:val="en-US"/>
              </w:rPr>
            </w:pPr>
            <w:r w:rsidRPr="00C0765A">
              <w:rPr>
                <w:b/>
                <w:bCs/>
                <w:lang w:val="en-US"/>
              </w:rPr>
              <w:t>S1 P2</w:t>
            </w:r>
          </w:p>
        </w:tc>
      </w:tr>
      <w:tr w:rsidR="006510EC" w:rsidRPr="00C0765A" w14:paraId="1D8088D7" w14:textId="77777777" w:rsidTr="00B839E8">
        <w:trPr>
          <w:trHeight w:val="448"/>
        </w:trPr>
        <w:tc>
          <w:tcPr>
            <w:tcW w:w="835" w:type="dxa"/>
            <w:vMerge w:val="restart"/>
            <w:shd w:val="clear" w:color="auto" w:fill="E8E8E8" w:themeFill="background2"/>
            <w:textDirection w:val="tbRl"/>
          </w:tcPr>
          <w:p w14:paraId="15CC821C" w14:textId="77777777" w:rsidR="006510EC" w:rsidRPr="00C0765A" w:rsidRDefault="006510EC" w:rsidP="00E66E0D">
            <w:pPr>
              <w:ind w:left="113" w:right="113" w:firstLine="0"/>
              <w:jc w:val="center"/>
              <w:rPr>
                <w:b/>
                <w:bCs/>
                <w:lang w:val="en-US"/>
              </w:rPr>
            </w:pPr>
            <w:proofErr w:type="spellStart"/>
            <w:r w:rsidRPr="00C0765A">
              <w:rPr>
                <w:b/>
                <w:bCs/>
                <w:lang w:val="en-US"/>
              </w:rPr>
              <w:t>taVNS</w:t>
            </w:r>
            <w:proofErr w:type="spellEnd"/>
          </w:p>
        </w:tc>
        <w:tc>
          <w:tcPr>
            <w:tcW w:w="1032" w:type="dxa"/>
          </w:tcPr>
          <w:p w14:paraId="61A8378C" w14:textId="77777777" w:rsidR="006510EC" w:rsidRPr="00C0765A" w:rsidRDefault="006510EC" w:rsidP="00E66E0D">
            <w:pPr>
              <w:ind w:firstLine="0"/>
              <w:rPr>
                <w:i/>
                <w:iCs/>
                <w:lang w:val="en-US"/>
              </w:rPr>
            </w:pPr>
            <w:r w:rsidRPr="00C0765A">
              <w:rPr>
                <w:i/>
                <w:iCs/>
                <w:lang w:val="en-US"/>
              </w:rPr>
              <w:t>M</w:t>
            </w:r>
          </w:p>
        </w:tc>
        <w:tc>
          <w:tcPr>
            <w:tcW w:w="1726" w:type="dxa"/>
          </w:tcPr>
          <w:p w14:paraId="0D67EBBA" w14:textId="77777777" w:rsidR="006510EC" w:rsidRPr="00C0765A" w:rsidRDefault="006510EC" w:rsidP="00E66E0D">
            <w:pPr>
              <w:ind w:firstLine="0"/>
              <w:jc w:val="center"/>
              <w:rPr>
                <w:lang w:val="en-US"/>
              </w:rPr>
            </w:pPr>
            <w:r w:rsidRPr="00C0765A">
              <w:rPr>
                <w:lang w:val="en-US"/>
              </w:rPr>
              <w:t>-4.02</w:t>
            </w:r>
          </w:p>
        </w:tc>
        <w:tc>
          <w:tcPr>
            <w:tcW w:w="1606" w:type="dxa"/>
          </w:tcPr>
          <w:p w14:paraId="66CAE754" w14:textId="77777777" w:rsidR="006510EC" w:rsidRPr="00C0765A" w:rsidRDefault="006510EC" w:rsidP="00E66E0D">
            <w:pPr>
              <w:ind w:firstLine="0"/>
              <w:jc w:val="center"/>
              <w:rPr>
                <w:lang w:val="en-US"/>
              </w:rPr>
            </w:pPr>
            <w:r w:rsidRPr="00C0765A">
              <w:rPr>
                <w:lang w:val="en-US"/>
              </w:rPr>
              <w:t>-2.02</w:t>
            </w:r>
          </w:p>
        </w:tc>
        <w:tc>
          <w:tcPr>
            <w:tcW w:w="1748" w:type="dxa"/>
          </w:tcPr>
          <w:p w14:paraId="11197A87" w14:textId="77777777" w:rsidR="006510EC" w:rsidRPr="00C0765A" w:rsidRDefault="006510EC" w:rsidP="00E66E0D">
            <w:pPr>
              <w:ind w:firstLine="0"/>
              <w:jc w:val="center"/>
              <w:rPr>
                <w:lang w:val="en-US"/>
              </w:rPr>
            </w:pPr>
            <w:r w:rsidRPr="00C0765A">
              <w:rPr>
                <w:lang w:val="en-US"/>
              </w:rPr>
              <w:t>2.00</w:t>
            </w:r>
          </w:p>
        </w:tc>
        <w:tc>
          <w:tcPr>
            <w:tcW w:w="1585" w:type="dxa"/>
          </w:tcPr>
          <w:p w14:paraId="197E4DEF" w14:textId="77777777" w:rsidR="006510EC" w:rsidRPr="00C0765A" w:rsidRDefault="006510EC" w:rsidP="00E66E0D">
            <w:pPr>
              <w:ind w:firstLine="0"/>
              <w:jc w:val="center"/>
              <w:rPr>
                <w:lang w:val="en-US"/>
              </w:rPr>
            </w:pPr>
            <w:r w:rsidRPr="00C0765A">
              <w:rPr>
                <w:lang w:val="en-US"/>
              </w:rPr>
              <w:t>7.22</w:t>
            </w:r>
          </w:p>
        </w:tc>
      </w:tr>
      <w:tr w:rsidR="006510EC" w:rsidRPr="00C0765A" w14:paraId="0F133DE2" w14:textId="77777777" w:rsidTr="00B839E8">
        <w:trPr>
          <w:trHeight w:val="166"/>
        </w:trPr>
        <w:tc>
          <w:tcPr>
            <w:tcW w:w="835" w:type="dxa"/>
            <w:vMerge/>
            <w:shd w:val="clear" w:color="auto" w:fill="E8E8E8" w:themeFill="background2"/>
            <w:textDirection w:val="tbRl"/>
          </w:tcPr>
          <w:p w14:paraId="670E70BA" w14:textId="77777777" w:rsidR="006510EC" w:rsidRPr="00C0765A" w:rsidRDefault="006510EC" w:rsidP="00E66E0D">
            <w:pPr>
              <w:ind w:left="113" w:right="113" w:firstLine="0"/>
              <w:jc w:val="center"/>
              <w:rPr>
                <w:b/>
                <w:bCs/>
                <w:lang w:val="en-US"/>
              </w:rPr>
            </w:pPr>
          </w:p>
        </w:tc>
        <w:tc>
          <w:tcPr>
            <w:tcW w:w="1032" w:type="dxa"/>
          </w:tcPr>
          <w:p w14:paraId="30077A7F" w14:textId="77777777" w:rsidR="006510EC" w:rsidRPr="00C0765A" w:rsidRDefault="006510EC" w:rsidP="00E66E0D">
            <w:pPr>
              <w:ind w:firstLine="0"/>
              <w:rPr>
                <w:i/>
                <w:iCs/>
                <w:lang w:val="en-US"/>
              </w:rPr>
            </w:pPr>
            <w:r w:rsidRPr="00C0765A">
              <w:rPr>
                <w:i/>
                <w:iCs/>
                <w:lang w:val="en-US"/>
              </w:rPr>
              <w:t>SD</w:t>
            </w:r>
          </w:p>
        </w:tc>
        <w:tc>
          <w:tcPr>
            <w:tcW w:w="1726" w:type="dxa"/>
          </w:tcPr>
          <w:p w14:paraId="29F31555" w14:textId="77777777" w:rsidR="006510EC" w:rsidRPr="00C0765A" w:rsidRDefault="006510EC" w:rsidP="00E66E0D">
            <w:pPr>
              <w:ind w:firstLine="0"/>
              <w:jc w:val="center"/>
              <w:rPr>
                <w:lang w:val="en-US"/>
              </w:rPr>
            </w:pPr>
            <w:r w:rsidRPr="00C0765A">
              <w:rPr>
                <w:lang w:val="en-US"/>
              </w:rPr>
              <w:t>3.82</w:t>
            </w:r>
          </w:p>
        </w:tc>
        <w:tc>
          <w:tcPr>
            <w:tcW w:w="1606" w:type="dxa"/>
          </w:tcPr>
          <w:p w14:paraId="6D862462" w14:textId="77777777" w:rsidR="006510EC" w:rsidRPr="00C0765A" w:rsidRDefault="006510EC" w:rsidP="00E66E0D">
            <w:pPr>
              <w:ind w:firstLine="0"/>
              <w:jc w:val="center"/>
              <w:rPr>
                <w:lang w:val="en-US"/>
              </w:rPr>
            </w:pPr>
            <w:r w:rsidRPr="00C0765A">
              <w:rPr>
                <w:lang w:val="en-US"/>
              </w:rPr>
              <w:t>2.30</w:t>
            </w:r>
          </w:p>
        </w:tc>
        <w:tc>
          <w:tcPr>
            <w:tcW w:w="1748" w:type="dxa"/>
          </w:tcPr>
          <w:p w14:paraId="4E2EC0E2" w14:textId="77777777" w:rsidR="006510EC" w:rsidRPr="00C0765A" w:rsidRDefault="006510EC" w:rsidP="00E66E0D">
            <w:pPr>
              <w:ind w:firstLine="0"/>
              <w:jc w:val="center"/>
              <w:rPr>
                <w:lang w:val="en-US"/>
              </w:rPr>
            </w:pPr>
            <w:r w:rsidRPr="00C0765A">
              <w:rPr>
                <w:lang w:val="en-US"/>
              </w:rPr>
              <w:t>2.83</w:t>
            </w:r>
          </w:p>
        </w:tc>
        <w:tc>
          <w:tcPr>
            <w:tcW w:w="1585" w:type="dxa"/>
          </w:tcPr>
          <w:p w14:paraId="72AA6C8C" w14:textId="77777777" w:rsidR="006510EC" w:rsidRPr="00C0765A" w:rsidRDefault="006510EC" w:rsidP="00E66E0D">
            <w:pPr>
              <w:ind w:firstLine="0"/>
              <w:jc w:val="center"/>
              <w:rPr>
                <w:lang w:val="en-US"/>
              </w:rPr>
            </w:pPr>
            <w:r w:rsidRPr="00C0765A">
              <w:rPr>
                <w:lang w:val="en-US"/>
              </w:rPr>
              <w:t>5.06</w:t>
            </w:r>
          </w:p>
        </w:tc>
      </w:tr>
      <w:tr w:rsidR="006510EC" w:rsidRPr="00C0765A" w14:paraId="51D158B6" w14:textId="77777777" w:rsidTr="00B839E8">
        <w:trPr>
          <w:trHeight w:val="166"/>
        </w:trPr>
        <w:tc>
          <w:tcPr>
            <w:tcW w:w="835" w:type="dxa"/>
            <w:vMerge/>
            <w:shd w:val="clear" w:color="auto" w:fill="E8E8E8" w:themeFill="background2"/>
            <w:textDirection w:val="tbRl"/>
          </w:tcPr>
          <w:p w14:paraId="7039C6DD" w14:textId="77777777" w:rsidR="006510EC" w:rsidRPr="00C0765A" w:rsidRDefault="006510EC" w:rsidP="00E66E0D">
            <w:pPr>
              <w:ind w:left="113" w:right="113" w:firstLine="0"/>
              <w:jc w:val="center"/>
              <w:rPr>
                <w:b/>
                <w:bCs/>
                <w:lang w:val="en-US"/>
              </w:rPr>
            </w:pPr>
          </w:p>
        </w:tc>
        <w:tc>
          <w:tcPr>
            <w:tcW w:w="1032" w:type="dxa"/>
          </w:tcPr>
          <w:p w14:paraId="738EFC3A" w14:textId="77777777" w:rsidR="006510EC" w:rsidRPr="00C0765A" w:rsidRDefault="006510EC" w:rsidP="00E66E0D">
            <w:pPr>
              <w:ind w:firstLine="0"/>
              <w:rPr>
                <w:i/>
                <w:iCs/>
                <w:lang w:val="en-US"/>
              </w:rPr>
            </w:pPr>
            <w:r w:rsidRPr="00C0765A">
              <w:rPr>
                <w:i/>
                <w:iCs/>
                <w:lang w:val="en-US"/>
              </w:rPr>
              <w:t>N</w:t>
            </w:r>
          </w:p>
        </w:tc>
        <w:tc>
          <w:tcPr>
            <w:tcW w:w="1726" w:type="dxa"/>
          </w:tcPr>
          <w:p w14:paraId="4F6F254C" w14:textId="77777777" w:rsidR="006510EC" w:rsidRPr="00C0765A" w:rsidRDefault="006510EC" w:rsidP="00E66E0D">
            <w:pPr>
              <w:ind w:firstLine="0"/>
              <w:jc w:val="center"/>
              <w:rPr>
                <w:lang w:val="en-US"/>
              </w:rPr>
            </w:pPr>
            <w:r w:rsidRPr="00C0765A">
              <w:rPr>
                <w:lang w:val="en-US"/>
              </w:rPr>
              <w:t>42</w:t>
            </w:r>
          </w:p>
        </w:tc>
        <w:tc>
          <w:tcPr>
            <w:tcW w:w="1606" w:type="dxa"/>
          </w:tcPr>
          <w:p w14:paraId="75F6A18F" w14:textId="77777777" w:rsidR="006510EC" w:rsidRPr="00C0765A" w:rsidRDefault="006510EC" w:rsidP="00E66E0D">
            <w:pPr>
              <w:ind w:firstLine="0"/>
              <w:jc w:val="center"/>
              <w:rPr>
                <w:lang w:val="en-US"/>
              </w:rPr>
            </w:pPr>
            <w:r w:rsidRPr="00C0765A">
              <w:rPr>
                <w:lang w:val="en-US"/>
              </w:rPr>
              <w:t>42</w:t>
            </w:r>
          </w:p>
        </w:tc>
        <w:tc>
          <w:tcPr>
            <w:tcW w:w="1748" w:type="dxa"/>
          </w:tcPr>
          <w:p w14:paraId="11A0D9B2" w14:textId="77777777" w:rsidR="006510EC" w:rsidRPr="00C0765A" w:rsidRDefault="006510EC" w:rsidP="00E66E0D">
            <w:pPr>
              <w:ind w:firstLine="0"/>
              <w:jc w:val="center"/>
              <w:rPr>
                <w:lang w:val="en-US"/>
              </w:rPr>
            </w:pPr>
            <w:r w:rsidRPr="00C0765A">
              <w:rPr>
                <w:lang w:val="en-US"/>
              </w:rPr>
              <w:t>42</w:t>
            </w:r>
          </w:p>
        </w:tc>
        <w:tc>
          <w:tcPr>
            <w:tcW w:w="1585" w:type="dxa"/>
          </w:tcPr>
          <w:p w14:paraId="62CC471F" w14:textId="77777777" w:rsidR="006510EC" w:rsidRPr="00C0765A" w:rsidRDefault="006510EC" w:rsidP="00E66E0D">
            <w:pPr>
              <w:ind w:firstLine="0"/>
              <w:jc w:val="center"/>
              <w:rPr>
                <w:lang w:val="en-US"/>
              </w:rPr>
            </w:pPr>
            <w:r w:rsidRPr="00C0765A">
              <w:rPr>
                <w:lang w:val="en-US"/>
              </w:rPr>
              <w:t>42</w:t>
            </w:r>
          </w:p>
        </w:tc>
      </w:tr>
      <w:tr w:rsidR="006510EC" w:rsidRPr="00C0765A" w14:paraId="09ECDF7E" w14:textId="77777777" w:rsidTr="00B839E8">
        <w:trPr>
          <w:trHeight w:val="448"/>
        </w:trPr>
        <w:tc>
          <w:tcPr>
            <w:tcW w:w="835" w:type="dxa"/>
            <w:vMerge w:val="restart"/>
            <w:tcBorders>
              <w:top w:val="single" w:sz="12" w:space="0" w:color="auto"/>
            </w:tcBorders>
            <w:shd w:val="clear" w:color="auto" w:fill="E8E8E8" w:themeFill="background2"/>
            <w:textDirection w:val="tbRl"/>
          </w:tcPr>
          <w:p w14:paraId="67451FE6" w14:textId="77777777" w:rsidR="006510EC" w:rsidRPr="00C0765A" w:rsidRDefault="006510EC" w:rsidP="00E66E0D">
            <w:pPr>
              <w:ind w:left="113" w:right="113" w:firstLine="0"/>
              <w:jc w:val="center"/>
              <w:rPr>
                <w:b/>
                <w:bCs/>
                <w:lang w:val="en-US"/>
              </w:rPr>
            </w:pPr>
            <w:r w:rsidRPr="00C0765A">
              <w:rPr>
                <w:b/>
                <w:bCs/>
                <w:lang w:val="en-US"/>
              </w:rPr>
              <w:t>Sham</w:t>
            </w:r>
          </w:p>
        </w:tc>
        <w:tc>
          <w:tcPr>
            <w:tcW w:w="1032" w:type="dxa"/>
            <w:tcBorders>
              <w:top w:val="single" w:sz="12" w:space="0" w:color="auto"/>
            </w:tcBorders>
          </w:tcPr>
          <w:p w14:paraId="61E595F7" w14:textId="77777777" w:rsidR="006510EC" w:rsidRPr="00C0765A" w:rsidRDefault="006510EC" w:rsidP="00E66E0D">
            <w:pPr>
              <w:ind w:firstLine="0"/>
              <w:rPr>
                <w:i/>
                <w:iCs/>
                <w:lang w:val="en-US"/>
              </w:rPr>
            </w:pPr>
            <w:r w:rsidRPr="00C0765A">
              <w:rPr>
                <w:i/>
                <w:iCs/>
                <w:lang w:val="en-US"/>
              </w:rPr>
              <w:t>M</w:t>
            </w:r>
          </w:p>
        </w:tc>
        <w:tc>
          <w:tcPr>
            <w:tcW w:w="1726" w:type="dxa"/>
            <w:tcBorders>
              <w:top w:val="single" w:sz="12" w:space="0" w:color="auto"/>
            </w:tcBorders>
          </w:tcPr>
          <w:p w14:paraId="3FB715A6" w14:textId="77777777" w:rsidR="006510EC" w:rsidRPr="00C0765A" w:rsidRDefault="006510EC" w:rsidP="00E66E0D">
            <w:pPr>
              <w:ind w:firstLine="0"/>
              <w:jc w:val="center"/>
              <w:rPr>
                <w:lang w:val="en-US"/>
              </w:rPr>
            </w:pPr>
            <w:r w:rsidRPr="00C0765A">
              <w:rPr>
                <w:lang w:val="en-US"/>
              </w:rPr>
              <w:t>-4.43</w:t>
            </w:r>
          </w:p>
        </w:tc>
        <w:tc>
          <w:tcPr>
            <w:tcW w:w="1606" w:type="dxa"/>
            <w:tcBorders>
              <w:top w:val="single" w:sz="12" w:space="0" w:color="auto"/>
            </w:tcBorders>
          </w:tcPr>
          <w:p w14:paraId="6DC650E0" w14:textId="77777777" w:rsidR="006510EC" w:rsidRPr="00C0765A" w:rsidRDefault="006510EC" w:rsidP="00E66E0D">
            <w:pPr>
              <w:ind w:firstLine="0"/>
              <w:jc w:val="center"/>
              <w:rPr>
                <w:lang w:val="en-US"/>
              </w:rPr>
            </w:pPr>
            <w:r w:rsidRPr="00C0765A">
              <w:rPr>
                <w:lang w:val="en-US"/>
              </w:rPr>
              <w:t>-2.34</w:t>
            </w:r>
          </w:p>
        </w:tc>
        <w:tc>
          <w:tcPr>
            <w:tcW w:w="1748" w:type="dxa"/>
            <w:tcBorders>
              <w:top w:val="single" w:sz="12" w:space="0" w:color="auto"/>
            </w:tcBorders>
          </w:tcPr>
          <w:p w14:paraId="6C199DD4" w14:textId="77777777" w:rsidR="006510EC" w:rsidRPr="00C0765A" w:rsidRDefault="006510EC" w:rsidP="00E66E0D">
            <w:pPr>
              <w:ind w:firstLine="0"/>
              <w:jc w:val="center"/>
              <w:rPr>
                <w:lang w:val="en-US"/>
              </w:rPr>
            </w:pPr>
            <w:r w:rsidRPr="00C0765A">
              <w:rPr>
                <w:lang w:val="en-US"/>
              </w:rPr>
              <w:t>2.09</w:t>
            </w:r>
          </w:p>
        </w:tc>
        <w:tc>
          <w:tcPr>
            <w:tcW w:w="1585" w:type="dxa"/>
            <w:tcBorders>
              <w:top w:val="single" w:sz="12" w:space="0" w:color="auto"/>
            </w:tcBorders>
          </w:tcPr>
          <w:p w14:paraId="2DC8C2FB" w14:textId="77777777" w:rsidR="006510EC" w:rsidRPr="00C0765A" w:rsidRDefault="006510EC" w:rsidP="00E66E0D">
            <w:pPr>
              <w:ind w:firstLine="0"/>
              <w:jc w:val="center"/>
              <w:rPr>
                <w:lang w:val="en-US"/>
              </w:rPr>
            </w:pPr>
            <w:r w:rsidRPr="00C0765A">
              <w:rPr>
                <w:lang w:val="en-US"/>
              </w:rPr>
              <w:t>5.99</w:t>
            </w:r>
          </w:p>
        </w:tc>
      </w:tr>
      <w:tr w:rsidR="006510EC" w:rsidRPr="00C0765A" w14:paraId="256CBCE5" w14:textId="77777777" w:rsidTr="00B839E8">
        <w:trPr>
          <w:trHeight w:val="166"/>
        </w:trPr>
        <w:tc>
          <w:tcPr>
            <w:tcW w:w="835" w:type="dxa"/>
            <w:vMerge/>
            <w:shd w:val="clear" w:color="auto" w:fill="E8E8E8" w:themeFill="background2"/>
          </w:tcPr>
          <w:p w14:paraId="5F46A31D" w14:textId="77777777" w:rsidR="006510EC" w:rsidRPr="00C0765A" w:rsidRDefault="006510EC" w:rsidP="00E66E0D">
            <w:pPr>
              <w:ind w:firstLine="0"/>
              <w:rPr>
                <w:lang w:val="en-US"/>
              </w:rPr>
            </w:pPr>
          </w:p>
        </w:tc>
        <w:tc>
          <w:tcPr>
            <w:tcW w:w="1032" w:type="dxa"/>
          </w:tcPr>
          <w:p w14:paraId="33EC6E2C" w14:textId="77777777" w:rsidR="006510EC" w:rsidRPr="00C0765A" w:rsidRDefault="006510EC" w:rsidP="00E66E0D">
            <w:pPr>
              <w:ind w:firstLine="0"/>
              <w:rPr>
                <w:i/>
                <w:iCs/>
                <w:lang w:val="en-US"/>
              </w:rPr>
            </w:pPr>
            <w:r w:rsidRPr="00C0765A">
              <w:rPr>
                <w:i/>
                <w:iCs/>
                <w:lang w:val="en-US"/>
              </w:rPr>
              <w:t>SD</w:t>
            </w:r>
          </w:p>
        </w:tc>
        <w:tc>
          <w:tcPr>
            <w:tcW w:w="1726" w:type="dxa"/>
          </w:tcPr>
          <w:p w14:paraId="104B5146" w14:textId="77777777" w:rsidR="006510EC" w:rsidRPr="00C0765A" w:rsidRDefault="006510EC" w:rsidP="00E66E0D">
            <w:pPr>
              <w:ind w:firstLine="0"/>
              <w:jc w:val="center"/>
              <w:rPr>
                <w:lang w:val="en-US"/>
              </w:rPr>
            </w:pPr>
            <w:r w:rsidRPr="00C0765A">
              <w:rPr>
                <w:lang w:val="en-US"/>
              </w:rPr>
              <w:t>4.03</w:t>
            </w:r>
          </w:p>
        </w:tc>
        <w:tc>
          <w:tcPr>
            <w:tcW w:w="1606" w:type="dxa"/>
          </w:tcPr>
          <w:p w14:paraId="3479A241" w14:textId="77777777" w:rsidR="006510EC" w:rsidRPr="00C0765A" w:rsidRDefault="006510EC" w:rsidP="00E66E0D">
            <w:pPr>
              <w:ind w:firstLine="0"/>
              <w:jc w:val="center"/>
              <w:rPr>
                <w:lang w:val="en-US"/>
              </w:rPr>
            </w:pPr>
            <w:r w:rsidRPr="00C0765A">
              <w:rPr>
                <w:lang w:val="en-US"/>
              </w:rPr>
              <w:t>2.34</w:t>
            </w:r>
          </w:p>
        </w:tc>
        <w:tc>
          <w:tcPr>
            <w:tcW w:w="1748" w:type="dxa"/>
          </w:tcPr>
          <w:p w14:paraId="39525774" w14:textId="77777777" w:rsidR="006510EC" w:rsidRPr="00C0765A" w:rsidRDefault="006510EC" w:rsidP="00E66E0D">
            <w:pPr>
              <w:ind w:firstLine="0"/>
              <w:jc w:val="center"/>
              <w:rPr>
                <w:lang w:val="en-US"/>
              </w:rPr>
            </w:pPr>
            <w:r w:rsidRPr="00C0765A">
              <w:rPr>
                <w:lang w:val="en-US"/>
              </w:rPr>
              <w:t>2.99</w:t>
            </w:r>
          </w:p>
        </w:tc>
        <w:tc>
          <w:tcPr>
            <w:tcW w:w="1585" w:type="dxa"/>
          </w:tcPr>
          <w:p w14:paraId="26F1CDB1" w14:textId="77777777" w:rsidR="006510EC" w:rsidRPr="00C0765A" w:rsidRDefault="006510EC" w:rsidP="00E66E0D">
            <w:pPr>
              <w:ind w:firstLine="0"/>
              <w:jc w:val="center"/>
              <w:rPr>
                <w:lang w:val="en-US"/>
              </w:rPr>
            </w:pPr>
            <w:r w:rsidRPr="00C0765A">
              <w:rPr>
                <w:lang w:val="en-US"/>
              </w:rPr>
              <w:t>3.57</w:t>
            </w:r>
          </w:p>
        </w:tc>
      </w:tr>
      <w:tr w:rsidR="006510EC" w:rsidRPr="00C0765A" w14:paraId="4ECA7159" w14:textId="77777777" w:rsidTr="00B839E8">
        <w:trPr>
          <w:trHeight w:val="166"/>
        </w:trPr>
        <w:tc>
          <w:tcPr>
            <w:tcW w:w="835" w:type="dxa"/>
            <w:vMerge/>
            <w:shd w:val="clear" w:color="auto" w:fill="E8E8E8" w:themeFill="background2"/>
          </w:tcPr>
          <w:p w14:paraId="57975C81" w14:textId="77777777" w:rsidR="006510EC" w:rsidRPr="00C0765A" w:rsidRDefault="006510EC" w:rsidP="00E66E0D">
            <w:pPr>
              <w:ind w:firstLine="0"/>
              <w:rPr>
                <w:lang w:val="en-US"/>
              </w:rPr>
            </w:pPr>
          </w:p>
        </w:tc>
        <w:tc>
          <w:tcPr>
            <w:tcW w:w="1032" w:type="dxa"/>
          </w:tcPr>
          <w:p w14:paraId="64C4AD5C" w14:textId="77777777" w:rsidR="006510EC" w:rsidRPr="00C0765A" w:rsidRDefault="006510EC" w:rsidP="00E66E0D">
            <w:pPr>
              <w:ind w:firstLine="0"/>
              <w:rPr>
                <w:i/>
                <w:iCs/>
                <w:lang w:val="en-US"/>
              </w:rPr>
            </w:pPr>
            <w:r w:rsidRPr="00C0765A">
              <w:rPr>
                <w:i/>
                <w:iCs/>
                <w:lang w:val="en-US"/>
              </w:rPr>
              <w:t>N</w:t>
            </w:r>
          </w:p>
        </w:tc>
        <w:tc>
          <w:tcPr>
            <w:tcW w:w="1726" w:type="dxa"/>
          </w:tcPr>
          <w:p w14:paraId="683B7CDC" w14:textId="77777777" w:rsidR="006510EC" w:rsidRPr="00C0765A" w:rsidRDefault="006510EC" w:rsidP="00E66E0D">
            <w:pPr>
              <w:ind w:firstLine="0"/>
              <w:jc w:val="center"/>
              <w:rPr>
                <w:lang w:val="en-US"/>
              </w:rPr>
            </w:pPr>
            <w:r w:rsidRPr="00C0765A">
              <w:rPr>
                <w:lang w:val="en-US"/>
              </w:rPr>
              <w:t>35</w:t>
            </w:r>
          </w:p>
        </w:tc>
        <w:tc>
          <w:tcPr>
            <w:tcW w:w="1606" w:type="dxa"/>
          </w:tcPr>
          <w:p w14:paraId="4D31E6FA" w14:textId="77777777" w:rsidR="006510EC" w:rsidRPr="00C0765A" w:rsidRDefault="006510EC" w:rsidP="00E66E0D">
            <w:pPr>
              <w:ind w:firstLine="0"/>
              <w:jc w:val="center"/>
              <w:rPr>
                <w:lang w:val="en-US"/>
              </w:rPr>
            </w:pPr>
            <w:r w:rsidRPr="00C0765A">
              <w:rPr>
                <w:lang w:val="en-US"/>
              </w:rPr>
              <w:t>35</w:t>
            </w:r>
          </w:p>
        </w:tc>
        <w:tc>
          <w:tcPr>
            <w:tcW w:w="1748" w:type="dxa"/>
          </w:tcPr>
          <w:p w14:paraId="0E76E39C" w14:textId="77777777" w:rsidR="006510EC" w:rsidRPr="00C0765A" w:rsidRDefault="006510EC" w:rsidP="00E66E0D">
            <w:pPr>
              <w:ind w:firstLine="0"/>
              <w:jc w:val="center"/>
              <w:rPr>
                <w:lang w:val="en-US"/>
              </w:rPr>
            </w:pPr>
            <w:r w:rsidRPr="00C0765A">
              <w:rPr>
                <w:lang w:val="en-US"/>
              </w:rPr>
              <w:t>35</w:t>
            </w:r>
          </w:p>
        </w:tc>
        <w:tc>
          <w:tcPr>
            <w:tcW w:w="1585" w:type="dxa"/>
          </w:tcPr>
          <w:p w14:paraId="02068289" w14:textId="77777777" w:rsidR="006510EC" w:rsidRPr="00C0765A" w:rsidRDefault="006510EC" w:rsidP="00E66E0D">
            <w:pPr>
              <w:ind w:firstLine="0"/>
              <w:jc w:val="center"/>
              <w:rPr>
                <w:lang w:val="en-US"/>
              </w:rPr>
            </w:pPr>
            <w:r w:rsidRPr="00C0765A">
              <w:rPr>
                <w:lang w:val="en-US"/>
              </w:rPr>
              <w:t>35</w:t>
            </w:r>
          </w:p>
        </w:tc>
      </w:tr>
    </w:tbl>
    <w:p w14:paraId="34194BF4" w14:textId="20C271B4" w:rsidR="00D771EB" w:rsidRPr="00C0765A" w:rsidRDefault="00D771EB" w:rsidP="009270C1">
      <w:pPr>
        <w:rPr>
          <w:lang w:val="en-US"/>
        </w:rPr>
      </w:pPr>
    </w:p>
    <w:p w14:paraId="58652976" w14:textId="1B695B15" w:rsidR="00901A9B" w:rsidRPr="00C0765A" w:rsidRDefault="00901A9B" w:rsidP="00901A9B">
      <w:pPr>
        <w:spacing w:after="160" w:line="259" w:lineRule="auto"/>
        <w:ind w:firstLine="0"/>
        <w:jc w:val="left"/>
        <w:rPr>
          <w:lang w:val="en-US"/>
        </w:rPr>
      </w:pPr>
    </w:p>
    <w:p w14:paraId="7BF078A7" w14:textId="0835ADB0" w:rsidR="00735249" w:rsidRPr="00C0765A" w:rsidRDefault="00735249" w:rsidP="00735249">
      <w:pPr>
        <w:pStyle w:val="Caption"/>
        <w:keepNext/>
        <w:ind w:firstLine="0"/>
        <w:rPr>
          <w:b/>
          <w:bCs/>
          <w:lang w:val="en-US"/>
        </w:rPr>
      </w:pPr>
    </w:p>
    <w:p w14:paraId="53C92703" w14:textId="77777777" w:rsidR="004D27FA" w:rsidRPr="00C0765A" w:rsidRDefault="004D27FA" w:rsidP="00735249">
      <w:pPr>
        <w:pStyle w:val="Caption"/>
        <w:keepNext/>
        <w:ind w:firstLine="0"/>
        <w:rPr>
          <w:lang w:val="en-US"/>
        </w:rPr>
      </w:pPr>
    </w:p>
    <w:p w14:paraId="4CE22D4E" w14:textId="77777777" w:rsidR="004D27FA" w:rsidRPr="00C0765A" w:rsidRDefault="004D27FA" w:rsidP="00735249">
      <w:pPr>
        <w:pStyle w:val="Caption"/>
        <w:keepNext/>
        <w:ind w:firstLine="0"/>
        <w:rPr>
          <w:lang w:val="en-US"/>
        </w:rPr>
      </w:pPr>
    </w:p>
    <w:p w14:paraId="5CA61DED" w14:textId="1CDA7739" w:rsidR="00735249" w:rsidRPr="00C0765A" w:rsidRDefault="00735249" w:rsidP="00735249">
      <w:pPr>
        <w:pStyle w:val="Caption"/>
        <w:keepNext/>
        <w:ind w:firstLine="0"/>
        <w:rPr>
          <w:lang w:val="en-US"/>
        </w:rPr>
      </w:pPr>
    </w:p>
    <w:p w14:paraId="7B59C8E3" w14:textId="77777777" w:rsidR="001C5701" w:rsidRPr="00C0765A" w:rsidRDefault="001C5701" w:rsidP="001C5701">
      <w:pPr>
        <w:rPr>
          <w:lang w:val="en-US"/>
        </w:rPr>
      </w:pPr>
    </w:p>
    <w:p w14:paraId="518B5BC3" w14:textId="77777777" w:rsidR="001C5701" w:rsidRPr="00C0765A" w:rsidRDefault="001C5701" w:rsidP="001C5701">
      <w:pPr>
        <w:rPr>
          <w:lang w:val="en-US"/>
        </w:rPr>
      </w:pPr>
    </w:p>
    <w:p w14:paraId="06757939" w14:textId="6F355EF7" w:rsidR="001C5701" w:rsidRPr="00C0765A" w:rsidRDefault="001C5701" w:rsidP="001C5701">
      <w:pPr>
        <w:rPr>
          <w:lang w:val="en-US"/>
        </w:rPr>
      </w:pPr>
      <w:r w:rsidRPr="00C0765A">
        <w:rPr>
          <w:noProof/>
        </w:rPr>
        <mc:AlternateContent>
          <mc:Choice Requires="wps">
            <w:drawing>
              <wp:anchor distT="0" distB="0" distL="114300" distR="114300" simplePos="0" relativeHeight="251661312" behindDoc="0" locked="0" layoutInCell="1" allowOverlap="1" wp14:anchorId="0E062EFD" wp14:editId="45EF13F0">
                <wp:simplePos x="0" y="0"/>
                <wp:positionH relativeFrom="margin">
                  <wp:posOffset>135172</wp:posOffset>
                </wp:positionH>
                <wp:positionV relativeFrom="paragraph">
                  <wp:posOffset>5087454</wp:posOffset>
                </wp:positionV>
                <wp:extent cx="5410200" cy="635"/>
                <wp:effectExtent l="0" t="0" r="0" b="5715"/>
                <wp:wrapTopAndBottom/>
                <wp:docPr id="35085025" name="Text Box 1"/>
                <wp:cNvGraphicFramePr/>
                <a:graphic xmlns:a="http://schemas.openxmlformats.org/drawingml/2006/main">
                  <a:graphicData uri="http://schemas.microsoft.com/office/word/2010/wordprocessingShape">
                    <wps:wsp>
                      <wps:cNvSpPr txBox="1"/>
                      <wps:spPr>
                        <a:xfrm>
                          <a:off x="0" y="0"/>
                          <a:ext cx="5410200" cy="635"/>
                        </a:xfrm>
                        <a:prstGeom prst="rect">
                          <a:avLst/>
                        </a:prstGeom>
                        <a:solidFill>
                          <a:prstClr val="white"/>
                        </a:solidFill>
                        <a:ln>
                          <a:noFill/>
                        </a:ln>
                      </wps:spPr>
                      <wps:txbx>
                        <w:txbxContent>
                          <w:p w14:paraId="5B4C32C1" w14:textId="32EBB66D" w:rsidR="00893D99" w:rsidRPr="00251C76" w:rsidRDefault="001C5701" w:rsidP="00893D99">
                            <w:pPr>
                              <w:pStyle w:val="Caption"/>
                              <w:rPr>
                                <w:lang w:val="en-US"/>
                              </w:rPr>
                            </w:pPr>
                            <w:r w:rsidRPr="00FA7806">
                              <w:rPr>
                                <w:b/>
                                <w:bCs/>
                                <w:lang w:val="en-US"/>
                              </w:rPr>
                              <w:t xml:space="preserve">Figure </w:t>
                            </w:r>
                            <w:r w:rsidRPr="00FA7806">
                              <w:rPr>
                                <w:b/>
                                <w:bCs/>
                              </w:rPr>
                              <w:fldChar w:fldCharType="begin"/>
                            </w:r>
                            <w:r w:rsidRPr="00FA7806">
                              <w:rPr>
                                <w:b/>
                                <w:bCs/>
                                <w:lang w:val="en-US"/>
                              </w:rPr>
                              <w:instrText xml:space="preserve"> SEQ Figure \* ARABIC </w:instrText>
                            </w:r>
                            <w:r w:rsidRPr="00FA7806">
                              <w:rPr>
                                <w:b/>
                                <w:bCs/>
                              </w:rPr>
                              <w:fldChar w:fldCharType="separate"/>
                            </w:r>
                            <w:r>
                              <w:rPr>
                                <w:b/>
                                <w:bCs/>
                                <w:noProof/>
                                <w:lang w:val="en-US"/>
                              </w:rPr>
                              <w:t>4</w:t>
                            </w:r>
                            <w:r w:rsidRPr="00FA7806">
                              <w:rPr>
                                <w:b/>
                                <w:bCs/>
                              </w:rPr>
                              <w:fldChar w:fldCharType="end"/>
                            </w:r>
                            <w:r w:rsidRPr="003835C0">
                              <w:rPr>
                                <w:lang w:val="en-US"/>
                              </w:rPr>
                              <w:t xml:space="preserve"> </w:t>
                            </w:r>
                            <w:r w:rsidRPr="002A68CA">
                              <w:rPr>
                                <w:lang w:val="en-US"/>
                              </w:rPr>
                              <w:t>Graphical depiction of results f</w:t>
                            </w:r>
                            <w:r>
                              <w:rPr>
                                <w:lang w:val="en-US"/>
                              </w:rPr>
                              <w:t>or respiratory-related evoked potentials (RREP). Violin plots with histograms and superimposed raw data for RREP N1 amplitudes (A), and RREP P2 amplitudes (B) showing no condition effects on peak amplitudes nor neural gating. C) Grand-average RREP at central electrodes, with 0.8 confidence interval as the shaded area. D) Grand-average topography for each studied peak.</w:t>
                            </w:r>
                            <w:r w:rsidR="00893D99" w:rsidRPr="00893D99">
                              <w:rPr>
                                <w:lang w:val="en-US"/>
                              </w:rPr>
                              <w:t xml:space="preserve"> </w:t>
                            </w:r>
                            <w:r w:rsidR="00893D99" w:rsidRPr="008E617A">
                              <w:rPr>
                                <w:lang w:val="en-US"/>
                              </w:rPr>
                              <w:t xml:space="preserve">Abbreviations: S1/2 = first/second </w:t>
                            </w:r>
                            <w:r w:rsidR="00FB1283">
                              <w:rPr>
                                <w:lang w:val="en-US"/>
                              </w:rPr>
                              <w:t>occlusion</w:t>
                            </w:r>
                            <w:r w:rsidR="00893D99" w:rsidRPr="008E617A">
                              <w:rPr>
                                <w:lang w:val="en-US"/>
                              </w:rPr>
                              <w:t xml:space="preserve"> in the pair</w:t>
                            </w:r>
                          </w:p>
                          <w:p w14:paraId="75B197DF" w14:textId="15440E00" w:rsidR="001C5701" w:rsidRPr="006F4026" w:rsidRDefault="001C5701" w:rsidP="001C5701">
                            <w:pPr>
                              <w:pStyle w:val="Caption"/>
                              <w:rPr>
                                <w:noProof/>
                                <w:sz w:val="22"/>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E062EFD" id="_x0000_s1028" type="#_x0000_t202" style="position:absolute;left:0;text-align:left;margin-left:10.65pt;margin-top:400.6pt;width:426pt;height:.0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" stroked="f">
                <v:textbox style="mso-fit-shape-to-text:t" inset="0,0,0,0">
                  <w:txbxContent>
                    <w:p w14:paraId="5B4C32C1" w14:textId="32EBB66D" w:rsidR="00893D99" w:rsidRPr="00251C76" w:rsidRDefault="001C5701" w:rsidP="00893D99">
                      <w:pPr>
                        <w:pStyle w:val="Caption"/>
                        <w:rPr>
                          <w:lang w:val="en-US"/>
                        </w:rPr>
                      </w:pPr>
                      <w:r w:rsidRPr="00FA7806">
                        <w:rPr>
                          <w:b/>
                          <w:bCs/>
                          <w:lang w:val="en-US"/>
                        </w:rPr>
                        <w:t xml:space="preserve">Figure </w:t>
                      </w:r>
                      <w:r w:rsidRPr="00FA7806">
                        <w:rPr>
                          <w:b/>
                          <w:bCs/>
                        </w:rPr>
                        <w:fldChar w:fldCharType="begin"/>
                      </w:r>
                      <w:r w:rsidRPr="00FA7806">
                        <w:rPr>
                          <w:b/>
                          <w:bCs/>
                          <w:lang w:val="en-US"/>
                        </w:rPr>
                        <w:instrText xml:space="preserve"> SEQ Figure \* ARABIC </w:instrText>
                      </w:r>
                      <w:r w:rsidRPr="00FA7806">
                        <w:rPr>
                          <w:b/>
                          <w:bCs/>
                        </w:rPr>
                        <w:fldChar w:fldCharType="separate"/>
                      </w:r>
                      <w:r>
                        <w:rPr>
                          <w:b/>
                          <w:bCs/>
                          <w:noProof/>
                          <w:lang w:val="en-US"/>
                        </w:rPr>
                        <w:t>4</w:t>
                      </w:r>
                      <w:r w:rsidRPr="00FA7806">
                        <w:rPr>
                          <w:b/>
                          <w:bCs/>
                        </w:rPr>
                        <w:fldChar w:fldCharType="end"/>
                      </w:r>
                      <w:r w:rsidRPr="003835C0">
                        <w:rPr>
                          <w:lang w:val="en-US"/>
                        </w:rPr>
                        <w:t xml:space="preserve"> </w:t>
                      </w:r>
                      <w:r w:rsidRPr="002A68CA">
                        <w:rPr>
                          <w:lang w:val="en-US"/>
                        </w:rPr>
                        <w:t>Graphical depiction of results f</w:t>
                      </w:r>
                      <w:r>
                        <w:rPr>
                          <w:lang w:val="en-US"/>
                        </w:rPr>
                        <w:t>or respiratory-related evoked potentials (RREP). Violin plots with histograms and superimposed raw data for RREP N1 amplitudes (A), and RREP P2 amplitudes (B) showing no condition effects on peak amplitudes nor neural gating. C) Grand-average RREP at central electrodes, with 0.8 confidence interval as the shaded area. D) Grand-average topography for each studied peak.</w:t>
                      </w:r>
                      <w:r w:rsidR="00893D99" w:rsidRPr="00893D99">
                        <w:rPr>
                          <w:lang w:val="en-US"/>
                        </w:rPr>
                        <w:t xml:space="preserve"> </w:t>
                      </w:r>
                      <w:r w:rsidR="00893D99" w:rsidRPr="008E617A">
                        <w:rPr>
                          <w:lang w:val="en-US"/>
                        </w:rPr>
                        <w:t xml:space="preserve">Abbreviations: S1/2 = first/second </w:t>
                      </w:r>
                      <w:r w:rsidR="00FB1283">
                        <w:rPr>
                          <w:lang w:val="en-US"/>
                        </w:rPr>
                        <w:t>occlusion</w:t>
                      </w:r>
                      <w:r w:rsidR="00893D99" w:rsidRPr="008E617A">
                        <w:rPr>
                          <w:lang w:val="en-US"/>
                        </w:rPr>
                        <w:t xml:space="preserve"> in the pair</w:t>
                      </w:r>
                    </w:p>
                    <w:p w14:paraId="75B197DF" w14:textId="15440E00" w:rsidR="001C5701" w:rsidRPr="006F4026" w:rsidRDefault="001C5701" w:rsidP="001C5701">
                      <w:pPr>
                        <w:pStyle w:val="Caption"/>
                        <w:rPr>
                          <w:noProof/>
                          <w:sz w:val="22"/>
                          <w:lang w:val="en-US"/>
                        </w:rPr>
                      </w:pPr>
                    </w:p>
                  </w:txbxContent>
                </v:textbox>
                <w10:wrap type="topAndBottom" anchorx="margin"/>
              </v:shape>
            </w:pict>
          </mc:Fallback>
        </mc:AlternateContent>
      </w:r>
      <w:r w:rsidRPr="00C0765A">
        <w:rPr>
          <w:noProof/>
          <w:lang w:val="en-US"/>
          <w14:ligatures w14:val="standardContextual"/>
        </w:rPr>
        <w:drawing>
          <wp:anchor distT="0" distB="0" distL="114300" distR="114300" simplePos="0" relativeHeight="251658240" behindDoc="0" locked="0" layoutInCell="1" allowOverlap="1" wp14:anchorId="0CED7DA4" wp14:editId="110C1E87">
            <wp:simplePos x="0" y="0"/>
            <wp:positionH relativeFrom="margin">
              <wp:align>left</wp:align>
            </wp:positionH>
            <wp:positionV relativeFrom="paragraph">
              <wp:posOffset>401403</wp:posOffset>
            </wp:positionV>
            <wp:extent cx="5410200" cy="4648627"/>
            <wp:effectExtent l="0" t="0" r="0" b="0"/>
            <wp:wrapTopAndBottom/>
            <wp:docPr id="1754739156" name="Picture 4" descr="A close-up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739156" name="Picture 4" descr="A close-up of a diagram&#10;&#10;Description automatically generated"/>
                    <pic:cNvPicPr/>
                  </pic:nvPicPr>
                  <pic:blipFill rotWithShape="1">
                    <a:blip r:embed="rId21">
                      <a:extLst>
                        <a:ext uri="{28A0092B-C50C-407E-A947-70E740481C1C}">
                          <a14:useLocalDpi xmlns:a14="http://schemas.microsoft.com/office/drawing/2010/main" val="0"/>
                        </a:ext>
                      </a:extLst>
                    </a:blip>
                    <a:srcRect r="19421"/>
                    <a:stretch/>
                  </pic:blipFill>
                  <pic:spPr bwMode="auto">
                    <a:xfrm>
                      <a:off x="0" y="0"/>
                      <a:ext cx="5410200" cy="4648627"/>
                    </a:xfrm>
                    <a:prstGeom prst="rect">
                      <a:avLst/>
                    </a:prstGeom>
                    <a:ln>
                      <a:noFill/>
                    </a:ln>
                    <a:extLst>
                      <a:ext uri="{53640926-AAD7-44D8-BBD7-CCE9431645EC}">
                        <a14:shadowObscured xmlns:a14="http://schemas.microsoft.com/office/drawing/2010/main"/>
                      </a:ext>
                    </a:extLst>
                  </pic:spPr>
                </pic:pic>
              </a:graphicData>
            </a:graphic>
          </wp:anchor>
        </w:drawing>
      </w:r>
    </w:p>
    <w:p w14:paraId="2B5CD196" w14:textId="2BAFE81A" w:rsidR="001C5701" w:rsidRPr="00C0765A" w:rsidRDefault="001C5701" w:rsidP="001C5701">
      <w:pPr>
        <w:rPr>
          <w:lang w:val="en-US"/>
        </w:rPr>
      </w:pPr>
    </w:p>
    <w:p w14:paraId="339A6DD3" w14:textId="058F8D88" w:rsidR="001C5701" w:rsidRPr="00C0765A" w:rsidRDefault="001C5701" w:rsidP="001C5701">
      <w:pPr>
        <w:rPr>
          <w:lang w:val="en-US"/>
        </w:rPr>
      </w:pPr>
    </w:p>
    <w:p w14:paraId="6AADE486" w14:textId="78CA78CA" w:rsidR="001C5701" w:rsidRPr="00C0765A" w:rsidRDefault="001C5701" w:rsidP="001C5701">
      <w:pPr>
        <w:rPr>
          <w:i/>
          <w:iCs/>
          <w:color w:val="0E2841" w:themeColor="text2"/>
          <w:sz w:val="18"/>
          <w:szCs w:val="18"/>
          <w:lang w:val="en-US"/>
        </w:rPr>
      </w:pPr>
      <w:r w:rsidRPr="00C0765A">
        <w:rPr>
          <w:b/>
          <w:bCs/>
          <w:i/>
          <w:iCs/>
          <w:color w:val="0E2841" w:themeColor="text2"/>
          <w:sz w:val="18"/>
          <w:szCs w:val="18"/>
          <w:lang w:val="en-US"/>
        </w:rPr>
        <w:t xml:space="preserve">Table </w:t>
      </w:r>
      <w:r w:rsidRPr="00C0765A">
        <w:rPr>
          <w:b/>
          <w:bCs/>
          <w:i/>
          <w:iCs/>
          <w:color w:val="0E2841" w:themeColor="text2"/>
          <w:sz w:val="18"/>
          <w:szCs w:val="18"/>
        </w:rPr>
        <w:fldChar w:fldCharType="begin"/>
      </w:r>
      <w:r w:rsidRPr="00C0765A">
        <w:rPr>
          <w:b/>
          <w:bCs/>
          <w:i/>
          <w:iCs/>
          <w:color w:val="0E2841" w:themeColor="text2"/>
          <w:sz w:val="18"/>
          <w:szCs w:val="18"/>
          <w:lang w:val="en-US"/>
        </w:rPr>
        <w:instrText xml:space="preserve"> SEQ Table \* ARABIC </w:instrText>
      </w:r>
      <w:r w:rsidRPr="00C0765A">
        <w:rPr>
          <w:b/>
          <w:bCs/>
          <w:i/>
          <w:iCs/>
          <w:color w:val="0E2841" w:themeColor="text2"/>
          <w:sz w:val="18"/>
          <w:szCs w:val="18"/>
        </w:rPr>
        <w:fldChar w:fldCharType="separate"/>
      </w:r>
      <w:r w:rsidR="00F74AF7" w:rsidRPr="00C0765A">
        <w:rPr>
          <w:b/>
          <w:bCs/>
          <w:i/>
          <w:iCs/>
          <w:noProof/>
          <w:color w:val="0E2841" w:themeColor="text2"/>
          <w:sz w:val="18"/>
          <w:szCs w:val="18"/>
          <w:lang w:val="en-US"/>
        </w:rPr>
        <w:t>4</w:t>
      </w:r>
      <w:r w:rsidRPr="00C0765A">
        <w:rPr>
          <w:b/>
          <w:bCs/>
          <w:i/>
          <w:iCs/>
          <w:color w:val="0E2841" w:themeColor="text2"/>
          <w:sz w:val="18"/>
          <w:szCs w:val="18"/>
        </w:rPr>
        <w:fldChar w:fldCharType="end"/>
      </w:r>
      <w:r w:rsidRPr="00C0765A">
        <w:rPr>
          <w:i/>
          <w:iCs/>
          <w:color w:val="0E2841" w:themeColor="text2"/>
          <w:sz w:val="18"/>
          <w:szCs w:val="18"/>
          <w:lang w:val="en-US"/>
        </w:rPr>
        <w:t xml:space="preserve"> Descriptive statistics for the peak amplitudes of somatosensory evoked potentials and somatosensory neural gating (S2-S1). Abbreviations: S1/2 = first/second stimulus in the pair</w:t>
      </w:r>
    </w:p>
    <w:tbl>
      <w:tblPr>
        <w:tblStyle w:val="TableGrid"/>
        <w:tblpPr w:leftFromText="141" w:rightFromText="141" w:vertAnchor="page" w:horzAnchor="margin" w:tblpY="2692"/>
        <w:tblW w:w="8532" w:type="dxa"/>
        <w:tblLayout w:type="fixed"/>
        <w:tblLook w:val="04A0" w:firstRow="1" w:lastRow="0" w:firstColumn="1" w:lastColumn="0" w:noHBand="0" w:noVBand="1"/>
      </w:tblPr>
      <w:tblGrid>
        <w:gridCol w:w="835"/>
        <w:gridCol w:w="1032"/>
        <w:gridCol w:w="1726"/>
        <w:gridCol w:w="1606"/>
        <w:gridCol w:w="1748"/>
        <w:gridCol w:w="1585"/>
      </w:tblGrid>
      <w:tr w:rsidR="006510EC" w:rsidRPr="00C0765A" w14:paraId="42B5750C" w14:textId="77777777" w:rsidTr="00083B73">
        <w:trPr>
          <w:trHeight w:val="547"/>
        </w:trPr>
        <w:tc>
          <w:tcPr>
            <w:tcW w:w="835" w:type="dxa"/>
            <w:tcBorders>
              <w:top w:val="nil"/>
              <w:left w:val="nil"/>
              <w:right w:val="nil"/>
            </w:tcBorders>
          </w:tcPr>
          <w:p w14:paraId="10E99130" w14:textId="77777777" w:rsidR="006510EC" w:rsidRPr="00C0765A" w:rsidRDefault="006510EC" w:rsidP="00083B73">
            <w:pPr>
              <w:ind w:firstLine="0"/>
              <w:rPr>
                <w:lang w:val="en-US"/>
              </w:rPr>
            </w:pPr>
          </w:p>
        </w:tc>
        <w:tc>
          <w:tcPr>
            <w:tcW w:w="1032" w:type="dxa"/>
            <w:tcBorders>
              <w:top w:val="nil"/>
              <w:left w:val="nil"/>
            </w:tcBorders>
          </w:tcPr>
          <w:p w14:paraId="6B73A5C4" w14:textId="77777777" w:rsidR="006510EC" w:rsidRPr="00C0765A" w:rsidRDefault="006510EC" w:rsidP="00083B73">
            <w:pPr>
              <w:ind w:firstLine="0"/>
              <w:rPr>
                <w:lang w:val="en-US"/>
              </w:rPr>
            </w:pPr>
          </w:p>
        </w:tc>
        <w:tc>
          <w:tcPr>
            <w:tcW w:w="1726" w:type="dxa"/>
          </w:tcPr>
          <w:p w14:paraId="4EAB4D68" w14:textId="77777777" w:rsidR="006510EC" w:rsidRPr="00C0765A" w:rsidRDefault="006510EC" w:rsidP="00083B73">
            <w:pPr>
              <w:ind w:firstLine="0"/>
              <w:jc w:val="center"/>
              <w:rPr>
                <w:b/>
                <w:bCs/>
                <w:lang w:val="en-US"/>
              </w:rPr>
            </w:pPr>
            <w:r w:rsidRPr="00C0765A">
              <w:rPr>
                <w:b/>
                <w:bCs/>
                <w:lang w:val="en-US"/>
              </w:rPr>
              <w:t>S1 N1</w:t>
            </w:r>
          </w:p>
        </w:tc>
        <w:tc>
          <w:tcPr>
            <w:tcW w:w="1606" w:type="dxa"/>
          </w:tcPr>
          <w:p w14:paraId="1CC57CB4" w14:textId="77777777" w:rsidR="006510EC" w:rsidRPr="00C0765A" w:rsidRDefault="006510EC" w:rsidP="00083B73">
            <w:pPr>
              <w:ind w:firstLine="0"/>
              <w:jc w:val="center"/>
              <w:rPr>
                <w:b/>
                <w:bCs/>
                <w:lang w:val="en-US"/>
              </w:rPr>
            </w:pPr>
            <w:r w:rsidRPr="00C0765A">
              <w:rPr>
                <w:b/>
                <w:bCs/>
                <w:lang w:val="en-US"/>
              </w:rPr>
              <w:t>S2 N1</w:t>
            </w:r>
          </w:p>
        </w:tc>
        <w:tc>
          <w:tcPr>
            <w:tcW w:w="1748" w:type="dxa"/>
          </w:tcPr>
          <w:p w14:paraId="5F4DCAC6" w14:textId="77777777" w:rsidR="006510EC" w:rsidRPr="00C0765A" w:rsidRDefault="006510EC" w:rsidP="00083B73">
            <w:pPr>
              <w:ind w:firstLine="0"/>
              <w:jc w:val="center"/>
              <w:rPr>
                <w:b/>
                <w:bCs/>
                <w:lang w:val="en-US"/>
              </w:rPr>
            </w:pPr>
            <w:r w:rsidRPr="00C0765A">
              <w:rPr>
                <w:b/>
                <w:bCs/>
                <w:lang w:val="en-US"/>
              </w:rPr>
              <w:t>N1 gating</w:t>
            </w:r>
          </w:p>
        </w:tc>
        <w:tc>
          <w:tcPr>
            <w:tcW w:w="1585" w:type="dxa"/>
          </w:tcPr>
          <w:p w14:paraId="4668EF69" w14:textId="77777777" w:rsidR="006510EC" w:rsidRPr="00C0765A" w:rsidRDefault="006510EC" w:rsidP="00083B73">
            <w:pPr>
              <w:ind w:firstLine="0"/>
              <w:jc w:val="center"/>
              <w:rPr>
                <w:b/>
                <w:bCs/>
                <w:lang w:val="en-US"/>
              </w:rPr>
            </w:pPr>
            <w:r w:rsidRPr="00C0765A">
              <w:rPr>
                <w:b/>
                <w:bCs/>
                <w:lang w:val="en-US"/>
              </w:rPr>
              <w:t>S1 P2</w:t>
            </w:r>
          </w:p>
        </w:tc>
      </w:tr>
      <w:tr w:rsidR="006510EC" w:rsidRPr="00C0765A" w14:paraId="5D162E91" w14:textId="77777777" w:rsidTr="00B839E8">
        <w:trPr>
          <w:trHeight w:val="448"/>
        </w:trPr>
        <w:tc>
          <w:tcPr>
            <w:tcW w:w="835" w:type="dxa"/>
            <w:vMerge w:val="restart"/>
            <w:shd w:val="clear" w:color="auto" w:fill="E8E8E8" w:themeFill="background2"/>
            <w:textDirection w:val="tbRl"/>
          </w:tcPr>
          <w:p w14:paraId="46582866" w14:textId="77777777" w:rsidR="006510EC" w:rsidRPr="00C0765A" w:rsidRDefault="006510EC" w:rsidP="00083B73">
            <w:pPr>
              <w:ind w:left="113" w:right="113" w:firstLine="0"/>
              <w:jc w:val="center"/>
              <w:rPr>
                <w:b/>
                <w:bCs/>
                <w:lang w:val="en-US"/>
              </w:rPr>
            </w:pPr>
            <w:proofErr w:type="spellStart"/>
            <w:r w:rsidRPr="00C0765A">
              <w:rPr>
                <w:b/>
                <w:bCs/>
                <w:lang w:val="en-US"/>
              </w:rPr>
              <w:t>taVNS</w:t>
            </w:r>
            <w:proofErr w:type="spellEnd"/>
          </w:p>
        </w:tc>
        <w:tc>
          <w:tcPr>
            <w:tcW w:w="1032" w:type="dxa"/>
          </w:tcPr>
          <w:p w14:paraId="3F129F21" w14:textId="77777777" w:rsidR="006510EC" w:rsidRPr="00C0765A" w:rsidRDefault="006510EC" w:rsidP="00083B73">
            <w:pPr>
              <w:ind w:firstLine="0"/>
              <w:rPr>
                <w:i/>
                <w:iCs/>
                <w:lang w:val="en-US"/>
              </w:rPr>
            </w:pPr>
            <w:r w:rsidRPr="00C0765A">
              <w:rPr>
                <w:i/>
                <w:iCs/>
                <w:lang w:val="en-US"/>
              </w:rPr>
              <w:t>M</w:t>
            </w:r>
          </w:p>
        </w:tc>
        <w:tc>
          <w:tcPr>
            <w:tcW w:w="1726" w:type="dxa"/>
          </w:tcPr>
          <w:p w14:paraId="486F992B" w14:textId="77777777" w:rsidR="006510EC" w:rsidRPr="00C0765A" w:rsidRDefault="006510EC" w:rsidP="00083B73">
            <w:pPr>
              <w:ind w:firstLine="0"/>
              <w:jc w:val="center"/>
              <w:rPr>
                <w:lang w:val="en-US"/>
              </w:rPr>
            </w:pPr>
            <w:r w:rsidRPr="00C0765A">
              <w:rPr>
                <w:lang w:val="en-US"/>
              </w:rPr>
              <w:t>-7.63</w:t>
            </w:r>
          </w:p>
        </w:tc>
        <w:tc>
          <w:tcPr>
            <w:tcW w:w="1606" w:type="dxa"/>
          </w:tcPr>
          <w:p w14:paraId="7C53DAD6" w14:textId="77777777" w:rsidR="006510EC" w:rsidRPr="00C0765A" w:rsidRDefault="006510EC" w:rsidP="00083B73">
            <w:pPr>
              <w:ind w:firstLine="0"/>
              <w:jc w:val="center"/>
              <w:rPr>
                <w:lang w:val="en-US"/>
              </w:rPr>
            </w:pPr>
            <w:r w:rsidRPr="00C0765A">
              <w:rPr>
                <w:lang w:val="en-US"/>
              </w:rPr>
              <w:t>-2.38</w:t>
            </w:r>
          </w:p>
        </w:tc>
        <w:tc>
          <w:tcPr>
            <w:tcW w:w="1748" w:type="dxa"/>
          </w:tcPr>
          <w:p w14:paraId="37FF4A3D" w14:textId="77777777" w:rsidR="006510EC" w:rsidRPr="00C0765A" w:rsidRDefault="006510EC" w:rsidP="00083B73">
            <w:pPr>
              <w:ind w:firstLine="0"/>
              <w:jc w:val="center"/>
              <w:rPr>
                <w:lang w:val="en-US"/>
              </w:rPr>
            </w:pPr>
            <w:r w:rsidRPr="00C0765A">
              <w:rPr>
                <w:lang w:val="en-US"/>
              </w:rPr>
              <w:t>5.24</w:t>
            </w:r>
          </w:p>
        </w:tc>
        <w:tc>
          <w:tcPr>
            <w:tcW w:w="1585" w:type="dxa"/>
          </w:tcPr>
          <w:p w14:paraId="57CFE1CC" w14:textId="77777777" w:rsidR="006510EC" w:rsidRPr="00C0765A" w:rsidRDefault="006510EC" w:rsidP="00083B73">
            <w:pPr>
              <w:ind w:firstLine="0"/>
              <w:jc w:val="center"/>
              <w:rPr>
                <w:lang w:val="en-US"/>
              </w:rPr>
            </w:pPr>
            <w:r w:rsidRPr="00C0765A">
              <w:rPr>
                <w:lang w:val="en-US"/>
              </w:rPr>
              <w:t>7.48</w:t>
            </w:r>
          </w:p>
        </w:tc>
      </w:tr>
      <w:tr w:rsidR="006510EC" w:rsidRPr="00C0765A" w14:paraId="357C2F93" w14:textId="77777777" w:rsidTr="00B839E8">
        <w:trPr>
          <w:trHeight w:val="166"/>
        </w:trPr>
        <w:tc>
          <w:tcPr>
            <w:tcW w:w="835" w:type="dxa"/>
            <w:vMerge/>
            <w:shd w:val="clear" w:color="auto" w:fill="E8E8E8" w:themeFill="background2"/>
            <w:textDirection w:val="tbRl"/>
          </w:tcPr>
          <w:p w14:paraId="37055A40" w14:textId="77777777" w:rsidR="006510EC" w:rsidRPr="00C0765A" w:rsidRDefault="006510EC" w:rsidP="00083B73">
            <w:pPr>
              <w:ind w:left="113" w:right="113" w:firstLine="0"/>
              <w:jc w:val="center"/>
              <w:rPr>
                <w:b/>
                <w:bCs/>
                <w:lang w:val="en-US"/>
              </w:rPr>
            </w:pPr>
          </w:p>
        </w:tc>
        <w:tc>
          <w:tcPr>
            <w:tcW w:w="1032" w:type="dxa"/>
          </w:tcPr>
          <w:p w14:paraId="63642077" w14:textId="77777777" w:rsidR="006510EC" w:rsidRPr="00C0765A" w:rsidRDefault="006510EC" w:rsidP="00083B73">
            <w:pPr>
              <w:ind w:firstLine="0"/>
              <w:rPr>
                <w:i/>
                <w:iCs/>
                <w:lang w:val="en-US"/>
              </w:rPr>
            </w:pPr>
            <w:r w:rsidRPr="00C0765A">
              <w:rPr>
                <w:i/>
                <w:iCs/>
                <w:lang w:val="en-US"/>
              </w:rPr>
              <w:t>SD</w:t>
            </w:r>
          </w:p>
        </w:tc>
        <w:tc>
          <w:tcPr>
            <w:tcW w:w="1726" w:type="dxa"/>
          </w:tcPr>
          <w:p w14:paraId="133E5F8F" w14:textId="77777777" w:rsidR="006510EC" w:rsidRPr="00C0765A" w:rsidRDefault="006510EC" w:rsidP="00083B73">
            <w:pPr>
              <w:ind w:firstLine="0"/>
              <w:jc w:val="center"/>
              <w:rPr>
                <w:lang w:val="en-US"/>
              </w:rPr>
            </w:pPr>
            <w:r w:rsidRPr="00C0765A">
              <w:rPr>
                <w:lang w:val="en-US"/>
              </w:rPr>
              <w:t>3.58</w:t>
            </w:r>
          </w:p>
        </w:tc>
        <w:tc>
          <w:tcPr>
            <w:tcW w:w="1606" w:type="dxa"/>
          </w:tcPr>
          <w:p w14:paraId="5AE49AC2" w14:textId="77777777" w:rsidR="006510EC" w:rsidRPr="00C0765A" w:rsidRDefault="006510EC" w:rsidP="00083B73">
            <w:pPr>
              <w:ind w:firstLine="0"/>
              <w:jc w:val="center"/>
              <w:rPr>
                <w:lang w:val="en-US"/>
              </w:rPr>
            </w:pPr>
            <w:r w:rsidRPr="00C0765A">
              <w:rPr>
                <w:lang w:val="en-US"/>
              </w:rPr>
              <w:t>1.78</w:t>
            </w:r>
          </w:p>
        </w:tc>
        <w:tc>
          <w:tcPr>
            <w:tcW w:w="1748" w:type="dxa"/>
          </w:tcPr>
          <w:p w14:paraId="0F11EBF5" w14:textId="77777777" w:rsidR="006510EC" w:rsidRPr="00C0765A" w:rsidRDefault="006510EC" w:rsidP="00083B73">
            <w:pPr>
              <w:ind w:firstLine="0"/>
              <w:jc w:val="center"/>
              <w:rPr>
                <w:lang w:val="en-US"/>
              </w:rPr>
            </w:pPr>
            <w:r w:rsidRPr="00C0765A">
              <w:rPr>
                <w:lang w:val="en-US"/>
              </w:rPr>
              <w:t>3.41</w:t>
            </w:r>
          </w:p>
        </w:tc>
        <w:tc>
          <w:tcPr>
            <w:tcW w:w="1585" w:type="dxa"/>
          </w:tcPr>
          <w:p w14:paraId="3D95C390" w14:textId="77777777" w:rsidR="006510EC" w:rsidRPr="00C0765A" w:rsidRDefault="006510EC" w:rsidP="00083B73">
            <w:pPr>
              <w:ind w:firstLine="0"/>
              <w:jc w:val="center"/>
              <w:rPr>
                <w:lang w:val="en-US"/>
              </w:rPr>
            </w:pPr>
            <w:r w:rsidRPr="00C0765A">
              <w:rPr>
                <w:lang w:val="en-US"/>
              </w:rPr>
              <w:t>4.82</w:t>
            </w:r>
          </w:p>
        </w:tc>
      </w:tr>
      <w:tr w:rsidR="006510EC" w:rsidRPr="00C0765A" w14:paraId="7DF7301E" w14:textId="77777777" w:rsidTr="00B839E8">
        <w:trPr>
          <w:trHeight w:val="166"/>
        </w:trPr>
        <w:tc>
          <w:tcPr>
            <w:tcW w:w="835" w:type="dxa"/>
            <w:vMerge/>
            <w:tcBorders>
              <w:bottom w:val="single" w:sz="12" w:space="0" w:color="auto"/>
            </w:tcBorders>
            <w:shd w:val="clear" w:color="auto" w:fill="E8E8E8" w:themeFill="background2"/>
            <w:textDirection w:val="tbRl"/>
          </w:tcPr>
          <w:p w14:paraId="7839E015" w14:textId="77777777" w:rsidR="006510EC" w:rsidRPr="00C0765A" w:rsidRDefault="006510EC" w:rsidP="00083B73">
            <w:pPr>
              <w:ind w:left="113" w:right="113" w:firstLine="0"/>
              <w:jc w:val="center"/>
              <w:rPr>
                <w:b/>
                <w:bCs/>
                <w:lang w:val="en-US"/>
              </w:rPr>
            </w:pPr>
          </w:p>
        </w:tc>
        <w:tc>
          <w:tcPr>
            <w:tcW w:w="1032" w:type="dxa"/>
            <w:tcBorders>
              <w:bottom w:val="single" w:sz="12" w:space="0" w:color="auto"/>
            </w:tcBorders>
          </w:tcPr>
          <w:p w14:paraId="5F5682FB" w14:textId="77777777" w:rsidR="006510EC" w:rsidRPr="00C0765A" w:rsidRDefault="006510EC" w:rsidP="00083B73">
            <w:pPr>
              <w:ind w:firstLine="0"/>
              <w:rPr>
                <w:i/>
                <w:iCs/>
                <w:lang w:val="en-US"/>
              </w:rPr>
            </w:pPr>
            <w:r w:rsidRPr="00C0765A">
              <w:rPr>
                <w:i/>
                <w:iCs/>
                <w:lang w:val="en-US"/>
              </w:rPr>
              <w:t>N</w:t>
            </w:r>
          </w:p>
        </w:tc>
        <w:tc>
          <w:tcPr>
            <w:tcW w:w="1726" w:type="dxa"/>
            <w:tcBorders>
              <w:bottom w:val="single" w:sz="12" w:space="0" w:color="auto"/>
            </w:tcBorders>
          </w:tcPr>
          <w:p w14:paraId="14EBD30B" w14:textId="77777777" w:rsidR="006510EC" w:rsidRPr="00C0765A" w:rsidRDefault="006510EC" w:rsidP="00083B73">
            <w:pPr>
              <w:ind w:firstLine="0"/>
              <w:jc w:val="center"/>
              <w:rPr>
                <w:lang w:val="en-US"/>
              </w:rPr>
            </w:pPr>
            <w:r w:rsidRPr="00C0765A">
              <w:rPr>
                <w:lang w:val="en-US"/>
              </w:rPr>
              <w:t>41</w:t>
            </w:r>
          </w:p>
        </w:tc>
        <w:tc>
          <w:tcPr>
            <w:tcW w:w="1606" w:type="dxa"/>
            <w:tcBorders>
              <w:bottom w:val="single" w:sz="12" w:space="0" w:color="auto"/>
            </w:tcBorders>
          </w:tcPr>
          <w:p w14:paraId="360C0A23" w14:textId="77777777" w:rsidR="006510EC" w:rsidRPr="00C0765A" w:rsidRDefault="006510EC" w:rsidP="00083B73">
            <w:pPr>
              <w:ind w:firstLine="0"/>
              <w:jc w:val="center"/>
              <w:rPr>
                <w:lang w:val="en-US"/>
              </w:rPr>
            </w:pPr>
            <w:r w:rsidRPr="00C0765A">
              <w:rPr>
                <w:lang w:val="en-US"/>
              </w:rPr>
              <w:t>41</w:t>
            </w:r>
          </w:p>
        </w:tc>
        <w:tc>
          <w:tcPr>
            <w:tcW w:w="1748" w:type="dxa"/>
            <w:tcBorders>
              <w:bottom w:val="single" w:sz="12" w:space="0" w:color="auto"/>
            </w:tcBorders>
          </w:tcPr>
          <w:p w14:paraId="06EDC2F3" w14:textId="77777777" w:rsidR="006510EC" w:rsidRPr="00C0765A" w:rsidRDefault="006510EC" w:rsidP="00083B73">
            <w:pPr>
              <w:ind w:firstLine="0"/>
              <w:jc w:val="center"/>
              <w:rPr>
                <w:lang w:val="en-US"/>
              </w:rPr>
            </w:pPr>
            <w:r w:rsidRPr="00C0765A">
              <w:rPr>
                <w:lang w:val="en-US"/>
              </w:rPr>
              <w:t>41</w:t>
            </w:r>
          </w:p>
        </w:tc>
        <w:tc>
          <w:tcPr>
            <w:tcW w:w="1585" w:type="dxa"/>
            <w:tcBorders>
              <w:bottom w:val="single" w:sz="12" w:space="0" w:color="auto"/>
            </w:tcBorders>
          </w:tcPr>
          <w:p w14:paraId="6A5C9CC5" w14:textId="77777777" w:rsidR="006510EC" w:rsidRPr="00C0765A" w:rsidRDefault="006510EC" w:rsidP="00083B73">
            <w:pPr>
              <w:ind w:firstLine="0"/>
              <w:jc w:val="center"/>
              <w:rPr>
                <w:lang w:val="en-US"/>
              </w:rPr>
            </w:pPr>
            <w:r w:rsidRPr="00C0765A">
              <w:rPr>
                <w:lang w:val="en-US"/>
              </w:rPr>
              <w:t>41</w:t>
            </w:r>
          </w:p>
        </w:tc>
      </w:tr>
      <w:tr w:rsidR="006510EC" w:rsidRPr="00C0765A" w14:paraId="73BA3141" w14:textId="77777777" w:rsidTr="00B839E8">
        <w:trPr>
          <w:trHeight w:val="448"/>
        </w:trPr>
        <w:tc>
          <w:tcPr>
            <w:tcW w:w="835" w:type="dxa"/>
            <w:vMerge w:val="restart"/>
            <w:tcBorders>
              <w:top w:val="single" w:sz="12" w:space="0" w:color="auto"/>
            </w:tcBorders>
            <w:shd w:val="clear" w:color="auto" w:fill="E8E8E8" w:themeFill="background2"/>
            <w:textDirection w:val="tbRl"/>
          </w:tcPr>
          <w:p w14:paraId="0EFDE716" w14:textId="77777777" w:rsidR="006510EC" w:rsidRPr="00C0765A" w:rsidRDefault="006510EC" w:rsidP="00083B73">
            <w:pPr>
              <w:ind w:left="113" w:right="113" w:firstLine="0"/>
              <w:jc w:val="center"/>
              <w:rPr>
                <w:b/>
                <w:bCs/>
                <w:lang w:val="en-US"/>
              </w:rPr>
            </w:pPr>
            <w:r w:rsidRPr="00C0765A">
              <w:rPr>
                <w:b/>
                <w:bCs/>
                <w:lang w:val="en-US"/>
              </w:rPr>
              <w:t>Sham</w:t>
            </w:r>
          </w:p>
        </w:tc>
        <w:tc>
          <w:tcPr>
            <w:tcW w:w="1032" w:type="dxa"/>
            <w:tcBorders>
              <w:top w:val="single" w:sz="12" w:space="0" w:color="auto"/>
            </w:tcBorders>
          </w:tcPr>
          <w:p w14:paraId="3D96F7F5" w14:textId="77777777" w:rsidR="006510EC" w:rsidRPr="00C0765A" w:rsidRDefault="006510EC" w:rsidP="00083B73">
            <w:pPr>
              <w:ind w:firstLine="0"/>
              <w:rPr>
                <w:i/>
                <w:iCs/>
                <w:lang w:val="en-US"/>
              </w:rPr>
            </w:pPr>
            <w:r w:rsidRPr="00C0765A">
              <w:rPr>
                <w:i/>
                <w:iCs/>
                <w:lang w:val="en-US"/>
              </w:rPr>
              <w:t>M</w:t>
            </w:r>
          </w:p>
        </w:tc>
        <w:tc>
          <w:tcPr>
            <w:tcW w:w="1726" w:type="dxa"/>
            <w:tcBorders>
              <w:top w:val="single" w:sz="12" w:space="0" w:color="auto"/>
            </w:tcBorders>
          </w:tcPr>
          <w:p w14:paraId="63B337FC" w14:textId="77777777" w:rsidR="006510EC" w:rsidRPr="00C0765A" w:rsidRDefault="006510EC" w:rsidP="00083B73">
            <w:pPr>
              <w:ind w:firstLine="0"/>
              <w:jc w:val="center"/>
              <w:rPr>
                <w:lang w:val="en-US"/>
              </w:rPr>
            </w:pPr>
            <w:r w:rsidRPr="00C0765A">
              <w:rPr>
                <w:lang w:val="en-US"/>
              </w:rPr>
              <w:t>-7.70</w:t>
            </w:r>
          </w:p>
        </w:tc>
        <w:tc>
          <w:tcPr>
            <w:tcW w:w="1606" w:type="dxa"/>
            <w:tcBorders>
              <w:top w:val="single" w:sz="12" w:space="0" w:color="auto"/>
            </w:tcBorders>
          </w:tcPr>
          <w:p w14:paraId="6D77B169" w14:textId="77777777" w:rsidR="006510EC" w:rsidRPr="00C0765A" w:rsidRDefault="006510EC" w:rsidP="00083B73">
            <w:pPr>
              <w:ind w:firstLine="0"/>
              <w:jc w:val="center"/>
              <w:rPr>
                <w:lang w:val="en-US"/>
              </w:rPr>
            </w:pPr>
            <w:r w:rsidRPr="00C0765A">
              <w:rPr>
                <w:lang w:val="en-US"/>
              </w:rPr>
              <w:t>-3.10</w:t>
            </w:r>
          </w:p>
        </w:tc>
        <w:tc>
          <w:tcPr>
            <w:tcW w:w="1748" w:type="dxa"/>
            <w:tcBorders>
              <w:top w:val="single" w:sz="12" w:space="0" w:color="auto"/>
            </w:tcBorders>
          </w:tcPr>
          <w:p w14:paraId="23DDF472" w14:textId="77777777" w:rsidR="006510EC" w:rsidRPr="00C0765A" w:rsidRDefault="006510EC" w:rsidP="00083B73">
            <w:pPr>
              <w:ind w:firstLine="0"/>
              <w:jc w:val="center"/>
              <w:rPr>
                <w:lang w:val="en-US"/>
              </w:rPr>
            </w:pPr>
            <w:r w:rsidRPr="00C0765A">
              <w:rPr>
                <w:lang w:val="en-US"/>
              </w:rPr>
              <w:t>4.61</w:t>
            </w:r>
          </w:p>
        </w:tc>
        <w:tc>
          <w:tcPr>
            <w:tcW w:w="1585" w:type="dxa"/>
            <w:tcBorders>
              <w:top w:val="single" w:sz="12" w:space="0" w:color="auto"/>
            </w:tcBorders>
          </w:tcPr>
          <w:p w14:paraId="14F77117" w14:textId="77777777" w:rsidR="006510EC" w:rsidRPr="00C0765A" w:rsidRDefault="006510EC" w:rsidP="00083B73">
            <w:pPr>
              <w:ind w:firstLine="0"/>
              <w:jc w:val="center"/>
              <w:rPr>
                <w:lang w:val="en-US"/>
              </w:rPr>
            </w:pPr>
            <w:r w:rsidRPr="00C0765A">
              <w:rPr>
                <w:lang w:val="en-US"/>
              </w:rPr>
              <w:t>7.55</w:t>
            </w:r>
          </w:p>
        </w:tc>
      </w:tr>
      <w:tr w:rsidR="006510EC" w:rsidRPr="00C0765A" w14:paraId="75832779" w14:textId="77777777" w:rsidTr="00B839E8">
        <w:trPr>
          <w:trHeight w:val="166"/>
        </w:trPr>
        <w:tc>
          <w:tcPr>
            <w:tcW w:w="835" w:type="dxa"/>
            <w:vMerge/>
            <w:shd w:val="clear" w:color="auto" w:fill="E8E8E8" w:themeFill="background2"/>
          </w:tcPr>
          <w:p w14:paraId="490089C4" w14:textId="77777777" w:rsidR="006510EC" w:rsidRPr="00C0765A" w:rsidRDefault="006510EC" w:rsidP="00083B73">
            <w:pPr>
              <w:ind w:firstLine="0"/>
              <w:rPr>
                <w:lang w:val="en-US"/>
              </w:rPr>
            </w:pPr>
          </w:p>
        </w:tc>
        <w:tc>
          <w:tcPr>
            <w:tcW w:w="1032" w:type="dxa"/>
          </w:tcPr>
          <w:p w14:paraId="34B2077C" w14:textId="77777777" w:rsidR="006510EC" w:rsidRPr="00C0765A" w:rsidRDefault="006510EC" w:rsidP="00083B73">
            <w:pPr>
              <w:ind w:firstLine="0"/>
              <w:rPr>
                <w:i/>
                <w:iCs/>
                <w:lang w:val="en-US"/>
              </w:rPr>
            </w:pPr>
            <w:r w:rsidRPr="00C0765A">
              <w:rPr>
                <w:i/>
                <w:iCs/>
                <w:lang w:val="en-US"/>
              </w:rPr>
              <w:t>SD</w:t>
            </w:r>
          </w:p>
        </w:tc>
        <w:tc>
          <w:tcPr>
            <w:tcW w:w="1726" w:type="dxa"/>
          </w:tcPr>
          <w:p w14:paraId="2CD5ED60" w14:textId="77777777" w:rsidR="006510EC" w:rsidRPr="00C0765A" w:rsidRDefault="006510EC" w:rsidP="00083B73">
            <w:pPr>
              <w:ind w:firstLine="0"/>
              <w:jc w:val="center"/>
              <w:rPr>
                <w:lang w:val="en-US"/>
              </w:rPr>
            </w:pPr>
            <w:r w:rsidRPr="00C0765A">
              <w:rPr>
                <w:lang w:val="en-US"/>
              </w:rPr>
              <w:t>4.41</w:t>
            </w:r>
          </w:p>
        </w:tc>
        <w:tc>
          <w:tcPr>
            <w:tcW w:w="1606" w:type="dxa"/>
          </w:tcPr>
          <w:p w14:paraId="260040BC" w14:textId="77777777" w:rsidR="006510EC" w:rsidRPr="00C0765A" w:rsidRDefault="006510EC" w:rsidP="00083B73">
            <w:pPr>
              <w:ind w:firstLine="0"/>
              <w:jc w:val="center"/>
              <w:rPr>
                <w:lang w:val="en-US"/>
              </w:rPr>
            </w:pPr>
            <w:r w:rsidRPr="00C0765A">
              <w:rPr>
                <w:lang w:val="en-US"/>
              </w:rPr>
              <w:t>3.17</w:t>
            </w:r>
          </w:p>
        </w:tc>
        <w:tc>
          <w:tcPr>
            <w:tcW w:w="1748" w:type="dxa"/>
          </w:tcPr>
          <w:p w14:paraId="72C0435C" w14:textId="77777777" w:rsidR="006510EC" w:rsidRPr="00C0765A" w:rsidRDefault="006510EC" w:rsidP="00083B73">
            <w:pPr>
              <w:ind w:firstLine="0"/>
              <w:jc w:val="center"/>
              <w:rPr>
                <w:lang w:val="en-US"/>
              </w:rPr>
            </w:pPr>
            <w:r w:rsidRPr="00C0765A">
              <w:rPr>
                <w:lang w:val="en-US"/>
              </w:rPr>
              <w:t>2.66</w:t>
            </w:r>
          </w:p>
        </w:tc>
        <w:tc>
          <w:tcPr>
            <w:tcW w:w="1585" w:type="dxa"/>
          </w:tcPr>
          <w:p w14:paraId="54E5232C" w14:textId="77777777" w:rsidR="006510EC" w:rsidRPr="00C0765A" w:rsidRDefault="006510EC" w:rsidP="00083B73">
            <w:pPr>
              <w:ind w:firstLine="0"/>
              <w:jc w:val="center"/>
              <w:rPr>
                <w:lang w:val="en-US"/>
              </w:rPr>
            </w:pPr>
            <w:r w:rsidRPr="00C0765A">
              <w:rPr>
                <w:lang w:val="en-US"/>
              </w:rPr>
              <w:t>4.54</w:t>
            </w:r>
          </w:p>
        </w:tc>
      </w:tr>
      <w:tr w:rsidR="006510EC" w:rsidRPr="00C0765A" w14:paraId="64B17B19" w14:textId="77777777" w:rsidTr="00B839E8">
        <w:trPr>
          <w:trHeight w:val="166"/>
        </w:trPr>
        <w:tc>
          <w:tcPr>
            <w:tcW w:w="835" w:type="dxa"/>
            <w:vMerge/>
            <w:shd w:val="clear" w:color="auto" w:fill="E8E8E8" w:themeFill="background2"/>
          </w:tcPr>
          <w:p w14:paraId="438E3AA7" w14:textId="77777777" w:rsidR="006510EC" w:rsidRPr="00C0765A" w:rsidRDefault="006510EC" w:rsidP="00083B73">
            <w:pPr>
              <w:ind w:firstLine="0"/>
              <w:rPr>
                <w:lang w:val="en-US"/>
              </w:rPr>
            </w:pPr>
          </w:p>
        </w:tc>
        <w:tc>
          <w:tcPr>
            <w:tcW w:w="1032" w:type="dxa"/>
          </w:tcPr>
          <w:p w14:paraId="426CEF83" w14:textId="77777777" w:rsidR="006510EC" w:rsidRPr="00C0765A" w:rsidRDefault="006510EC" w:rsidP="00083B73">
            <w:pPr>
              <w:ind w:firstLine="0"/>
              <w:rPr>
                <w:i/>
                <w:iCs/>
                <w:lang w:val="en-US"/>
              </w:rPr>
            </w:pPr>
            <w:r w:rsidRPr="00C0765A">
              <w:rPr>
                <w:i/>
                <w:iCs/>
                <w:lang w:val="en-US"/>
              </w:rPr>
              <w:t>N</w:t>
            </w:r>
          </w:p>
        </w:tc>
        <w:tc>
          <w:tcPr>
            <w:tcW w:w="1726" w:type="dxa"/>
          </w:tcPr>
          <w:p w14:paraId="682D3C12" w14:textId="77777777" w:rsidR="006510EC" w:rsidRPr="00C0765A" w:rsidRDefault="006510EC" w:rsidP="00083B73">
            <w:pPr>
              <w:ind w:firstLine="0"/>
              <w:jc w:val="center"/>
              <w:rPr>
                <w:lang w:val="en-US"/>
              </w:rPr>
            </w:pPr>
            <w:r w:rsidRPr="00C0765A">
              <w:rPr>
                <w:lang w:val="en-US"/>
              </w:rPr>
              <w:t>36</w:t>
            </w:r>
          </w:p>
        </w:tc>
        <w:tc>
          <w:tcPr>
            <w:tcW w:w="1606" w:type="dxa"/>
          </w:tcPr>
          <w:p w14:paraId="2A666352" w14:textId="77777777" w:rsidR="006510EC" w:rsidRPr="00C0765A" w:rsidRDefault="006510EC" w:rsidP="00083B73">
            <w:pPr>
              <w:ind w:firstLine="0"/>
              <w:jc w:val="center"/>
              <w:rPr>
                <w:lang w:val="en-US"/>
              </w:rPr>
            </w:pPr>
            <w:r w:rsidRPr="00C0765A">
              <w:rPr>
                <w:lang w:val="en-US"/>
              </w:rPr>
              <w:t>36</w:t>
            </w:r>
          </w:p>
        </w:tc>
        <w:tc>
          <w:tcPr>
            <w:tcW w:w="1748" w:type="dxa"/>
          </w:tcPr>
          <w:p w14:paraId="34FD0008" w14:textId="77777777" w:rsidR="006510EC" w:rsidRPr="00C0765A" w:rsidRDefault="006510EC" w:rsidP="00083B73">
            <w:pPr>
              <w:ind w:firstLine="0"/>
              <w:jc w:val="center"/>
              <w:rPr>
                <w:lang w:val="en-US"/>
              </w:rPr>
            </w:pPr>
            <w:r w:rsidRPr="00C0765A">
              <w:rPr>
                <w:lang w:val="en-US"/>
              </w:rPr>
              <w:t>36</w:t>
            </w:r>
          </w:p>
        </w:tc>
        <w:tc>
          <w:tcPr>
            <w:tcW w:w="1585" w:type="dxa"/>
          </w:tcPr>
          <w:p w14:paraId="68F6F212" w14:textId="77777777" w:rsidR="006510EC" w:rsidRPr="00C0765A" w:rsidRDefault="006510EC" w:rsidP="00083B73">
            <w:pPr>
              <w:ind w:firstLine="0"/>
              <w:jc w:val="center"/>
              <w:rPr>
                <w:lang w:val="en-US"/>
              </w:rPr>
            </w:pPr>
            <w:r w:rsidRPr="00C0765A">
              <w:rPr>
                <w:lang w:val="en-US"/>
              </w:rPr>
              <w:t>36</w:t>
            </w:r>
          </w:p>
        </w:tc>
      </w:tr>
    </w:tbl>
    <w:p w14:paraId="1ECA9A7E" w14:textId="64152D7E" w:rsidR="001C5701" w:rsidRPr="00C0765A" w:rsidRDefault="001C5701" w:rsidP="001C5701">
      <w:pPr>
        <w:rPr>
          <w:lang w:val="en-US"/>
        </w:rPr>
      </w:pPr>
    </w:p>
    <w:p w14:paraId="0D81986F" w14:textId="22989056" w:rsidR="001C5701" w:rsidRPr="00C0765A" w:rsidRDefault="00083B73" w:rsidP="006510EC">
      <w:pPr>
        <w:ind w:firstLine="0"/>
        <w:rPr>
          <w:lang w:val="en-US"/>
        </w:rPr>
      </w:pPr>
      <w:r w:rsidRPr="00C0765A">
        <w:rPr>
          <w:b/>
          <w:bCs/>
          <w:noProof/>
          <w:lang w:val="en-US"/>
          <w14:ligatures w14:val="standardContextual"/>
        </w:rPr>
        <w:drawing>
          <wp:anchor distT="0" distB="0" distL="114300" distR="114300" simplePos="0" relativeHeight="251662336" behindDoc="0" locked="0" layoutInCell="1" allowOverlap="1" wp14:anchorId="00BE8E78" wp14:editId="2244200A">
            <wp:simplePos x="0" y="0"/>
            <wp:positionH relativeFrom="margin">
              <wp:posOffset>0</wp:posOffset>
            </wp:positionH>
            <wp:positionV relativeFrom="paragraph">
              <wp:posOffset>2190419</wp:posOffset>
            </wp:positionV>
            <wp:extent cx="5708650" cy="4794250"/>
            <wp:effectExtent l="0" t="0" r="6350" b="6350"/>
            <wp:wrapTopAndBottom/>
            <wp:docPr id="1114833194" name="Picture 5" descr="A close-up of several graph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833194" name="Picture 5" descr="A close-up of several graphs&#10;&#10;Description automatically generated"/>
                    <pic:cNvPicPr/>
                  </pic:nvPicPr>
                  <pic:blipFill rotWithShape="1">
                    <a:blip r:embed="rId22">
                      <a:extLst>
                        <a:ext uri="{28A0092B-C50C-407E-A947-70E740481C1C}">
                          <a14:useLocalDpi xmlns:a14="http://schemas.microsoft.com/office/drawing/2010/main" val="0"/>
                        </a:ext>
                      </a:extLst>
                    </a:blip>
                    <a:srcRect r="19533" b="2391"/>
                    <a:stretch/>
                  </pic:blipFill>
                  <pic:spPr bwMode="auto">
                    <a:xfrm>
                      <a:off x="0" y="0"/>
                      <a:ext cx="5708650" cy="47942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C0765A">
        <w:rPr>
          <w:noProof/>
        </w:rPr>
        <mc:AlternateContent>
          <mc:Choice Requires="wps">
            <w:drawing>
              <wp:anchor distT="0" distB="0" distL="114300" distR="114300" simplePos="0" relativeHeight="251663360" behindDoc="0" locked="0" layoutInCell="1" allowOverlap="1" wp14:anchorId="3CD98F4B" wp14:editId="51E60669">
                <wp:simplePos x="0" y="0"/>
                <wp:positionH relativeFrom="margin">
                  <wp:align>right</wp:align>
                </wp:positionH>
                <wp:positionV relativeFrom="paragraph">
                  <wp:posOffset>7011394</wp:posOffset>
                </wp:positionV>
                <wp:extent cx="5708650" cy="635"/>
                <wp:effectExtent l="0" t="0" r="6350" b="0"/>
                <wp:wrapTopAndBottom/>
                <wp:docPr id="792359513" name="Text Box 1"/>
                <wp:cNvGraphicFramePr/>
                <a:graphic xmlns:a="http://schemas.openxmlformats.org/drawingml/2006/main">
                  <a:graphicData uri="http://schemas.microsoft.com/office/word/2010/wordprocessingShape">
                    <wps:wsp>
                      <wps:cNvSpPr txBox="1"/>
                      <wps:spPr>
                        <a:xfrm>
                          <a:off x="0" y="0"/>
                          <a:ext cx="5708650" cy="635"/>
                        </a:xfrm>
                        <a:prstGeom prst="rect">
                          <a:avLst/>
                        </a:prstGeom>
                        <a:solidFill>
                          <a:prstClr val="white"/>
                        </a:solidFill>
                        <a:ln>
                          <a:noFill/>
                        </a:ln>
                      </wps:spPr>
                      <wps:txbx>
                        <w:txbxContent>
                          <w:p w14:paraId="5B680304" w14:textId="7DD8C217" w:rsidR="006510EC" w:rsidRPr="00251C76" w:rsidRDefault="006510EC" w:rsidP="006510EC">
                            <w:pPr>
                              <w:pStyle w:val="Caption"/>
                              <w:rPr>
                                <w:lang w:val="en-US"/>
                              </w:rPr>
                            </w:pPr>
                            <w:r w:rsidRPr="00251C76">
                              <w:rPr>
                                <w:b/>
                                <w:bCs/>
                                <w:lang w:val="en-US"/>
                              </w:rPr>
                              <w:t xml:space="preserve">Figure </w:t>
                            </w:r>
                            <w:r w:rsidRPr="00251C76">
                              <w:rPr>
                                <w:b/>
                                <w:bCs/>
                              </w:rPr>
                              <w:fldChar w:fldCharType="begin"/>
                            </w:r>
                            <w:r w:rsidRPr="00251C76">
                              <w:rPr>
                                <w:b/>
                                <w:bCs/>
                                <w:lang w:val="en-US"/>
                              </w:rPr>
                              <w:instrText xml:space="preserve"> SEQ Figure \* ARABIC </w:instrText>
                            </w:r>
                            <w:r w:rsidRPr="00251C76">
                              <w:rPr>
                                <w:b/>
                                <w:bCs/>
                              </w:rPr>
                              <w:fldChar w:fldCharType="separate"/>
                            </w:r>
                            <w:r w:rsidRPr="00251C76">
                              <w:rPr>
                                <w:b/>
                                <w:bCs/>
                                <w:noProof/>
                                <w:lang w:val="en-US"/>
                              </w:rPr>
                              <w:t>5</w:t>
                            </w:r>
                            <w:r w:rsidRPr="00251C76">
                              <w:rPr>
                                <w:b/>
                                <w:bCs/>
                              </w:rPr>
                              <w:fldChar w:fldCharType="end"/>
                            </w:r>
                            <w:r w:rsidRPr="00FA7806">
                              <w:rPr>
                                <w:lang w:val="en-US"/>
                              </w:rPr>
                              <w:t xml:space="preserve"> </w:t>
                            </w:r>
                            <w:r w:rsidRPr="002A68CA">
                              <w:rPr>
                                <w:lang w:val="en-US"/>
                              </w:rPr>
                              <w:t>Graphical depiction of results f</w:t>
                            </w:r>
                            <w:r>
                              <w:rPr>
                                <w:lang w:val="en-US"/>
                              </w:rPr>
                              <w:t xml:space="preserve">or somatosensory evoked potentials (SEP). Violin plots with histograms and superimposed raw data for N1 amplitudes (A), showing no condition effects on peak amplitudes nor neural gating. Violin plots with histograms and superimposed raw data for SEP P2 amplitudes (B), showing a marginally significant effect of condition. C) Grand-average SEP at </w:t>
                            </w:r>
                            <w:proofErr w:type="spellStart"/>
                            <w:r>
                              <w:rPr>
                                <w:lang w:val="en-US"/>
                              </w:rPr>
                              <w:t>centro</w:t>
                            </w:r>
                            <w:proofErr w:type="spellEnd"/>
                            <w:r>
                              <w:rPr>
                                <w:lang w:val="en-US"/>
                              </w:rPr>
                              <w:t>-lateral channels, with 0.8 confidence interval as the shaded area. E) Grand-average topography for each studied peak.</w:t>
                            </w:r>
                            <w:r w:rsidR="008E617A" w:rsidRPr="008E617A">
                              <w:rPr>
                                <w:lang w:val="en-US"/>
                              </w:rPr>
                              <w:t xml:space="preserve"> Abbreviations: S1/2 = first/second stimulus in the pair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CD98F4B" id="_x0000_s1029" type="#_x0000_t202" style="position:absolute;left:0;text-align:left;margin-left:398.3pt;margin-top:552.1pt;width:449.5pt;height:.05pt;z-index:25166336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" stroked="f">
                <v:textbox style="mso-fit-shape-to-text:t" inset="0,0,0,0">
                  <w:txbxContent>
                    <w:p w14:paraId="5B680304" w14:textId="7DD8C217" w:rsidR="006510EC" w:rsidRPr="00251C76" w:rsidRDefault="006510EC" w:rsidP="006510EC">
                      <w:pPr>
                        <w:pStyle w:val="Caption"/>
                        <w:rPr>
                          <w:lang w:val="en-US"/>
                        </w:rPr>
                      </w:pPr>
                      <w:r w:rsidRPr="00251C76">
                        <w:rPr>
                          <w:b/>
                          <w:bCs/>
                          <w:lang w:val="en-US"/>
                        </w:rPr>
                        <w:t xml:space="preserve">Figure </w:t>
                      </w:r>
                      <w:r w:rsidRPr="00251C76">
                        <w:rPr>
                          <w:b/>
                          <w:bCs/>
                        </w:rPr>
                        <w:fldChar w:fldCharType="begin"/>
                      </w:r>
                      <w:r w:rsidRPr="00251C76">
                        <w:rPr>
                          <w:b/>
                          <w:bCs/>
                          <w:lang w:val="en-US"/>
                        </w:rPr>
                        <w:instrText xml:space="preserve"> SEQ Figure \* ARABIC </w:instrText>
                      </w:r>
                      <w:r w:rsidRPr="00251C76">
                        <w:rPr>
                          <w:b/>
                          <w:bCs/>
                        </w:rPr>
                        <w:fldChar w:fldCharType="separate"/>
                      </w:r>
                      <w:r w:rsidRPr="00251C76">
                        <w:rPr>
                          <w:b/>
                          <w:bCs/>
                          <w:noProof/>
                          <w:lang w:val="en-US"/>
                        </w:rPr>
                        <w:t>5</w:t>
                      </w:r>
                      <w:r w:rsidRPr="00251C76">
                        <w:rPr>
                          <w:b/>
                          <w:bCs/>
                        </w:rPr>
                        <w:fldChar w:fldCharType="end"/>
                      </w:r>
                      <w:r w:rsidRPr="00FA7806">
                        <w:rPr>
                          <w:lang w:val="en-US"/>
                        </w:rPr>
                        <w:t xml:space="preserve"> </w:t>
                      </w:r>
                      <w:r w:rsidRPr="002A68CA">
                        <w:rPr>
                          <w:lang w:val="en-US"/>
                        </w:rPr>
                        <w:t>Graphical depiction of results f</w:t>
                      </w:r>
                      <w:r>
                        <w:rPr>
                          <w:lang w:val="en-US"/>
                        </w:rPr>
                        <w:t xml:space="preserve">or somatosensory evoked potentials (SEP). Violin plots with histograms and superimposed raw data for N1 amplitudes (A), showing no condition effects on peak amplitudes nor neural gating. Violin plots with histograms and superimposed raw data for SEP P2 amplitudes (B), showing a marginally significant effect of condition. C) Grand-average SEP at </w:t>
                      </w:r>
                      <w:proofErr w:type="spellStart"/>
                      <w:r>
                        <w:rPr>
                          <w:lang w:val="en-US"/>
                        </w:rPr>
                        <w:t>centro</w:t>
                      </w:r>
                      <w:proofErr w:type="spellEnd"/>
                      <w:r>
                        <w:rPr>
                          <w:lang w:val="en-US"/>
                        </w:rPr>
                        <w:t>-lateral channels, with 0.8 confidence interval as the shaded area. E) Grand-average topography for each studied peak.</w:t>
                      </w:r>
                      <w:r w:rsidR="008E617A" w:rsidRPr="008E617A">
                        <w:rPr>
                          <w:lang w:val="en-US"/>
                        </w:rPr>
                        <w:t xml:space="preserve"> Abbreviations: S1/2 = first/second stimulus in the pair</w:t>
                      </w:r>
                    </w:p>
                  </w:txbxContent>
                </v:textbox>
                <w10:wrap type="topAndBottom" anchorx="margin"/>
              </v:shape>
            </w:pict>
          </mc:Fallback>
        </mc:AlternateContent>
      </w:r>
    </w:p>
    <w:p w14:paraId="079B38DE" w14:textId="1398632B" w:rsidR="003150FA" w:rsidRPr="00C0765A" w:rsidRDefault="00013DF8" w:rsidP="00EC6C99">
      <w:pPr>
        <w:pStyle w:val="Heading2"/>
        <w:rPr>
          <w:lang w:val="en-US"/>
        </w:rPr>
      </w:pPr>
      <w:r w:rsidRPr="00C0765A">
        <w:rPr>
          <w:lang w:val="en-US"/>
        </w:rPr>
        <w:lastRenderedPageBreak/>
        <w:t xml:space="preserve">3.3 </w:t>
      </w:r>
      <w:r w:rsidR="00257A6B" w:rsidRPr="00C0765A">
        <w:rPr>
          <w:lang w:val="en-US"/>
        </w:rPr>
        <w:t>Resting state alpha power</w:t>
      </w:r>
    </w:p>
    <w:p w14:paraId="6E6423A5" w14:textId="57E755E4" w:rsidR="00E07E8A" w:rsidRPr="00C0765A" w:rsidRDefault="00E07E8A" w:rsidP="00B7322E">
      <w:pPr>
        <w:rPr>
          <w:lang w:val="en-US"/>
        </w:rPr>
      </w:pPr>
      <w:r w:rsidRPr="00C0765A">
        <w:rPr>
          <w:lang w:val="en-US"/>
        </w:rPr>
        <w:t xml:space="preserve">Extracted PSD values for </w:t>
      </w:r>
      <w:r w:rsidR="00620903" w:rsidRPr="00C0765A">
        <w:rPr>
          <w:lang w:val="en-US"/>
        </w:rPr>
        <w:t xml:space="preserve">the </w:t>
      </w:r>
      <w:r w:rsidRPr="00C0765A">
        <w:rPr>
          <w:lang w:val="en-US"/>
        </w:rPr>
        <w:t xml:space="preserve">alpha band (8-13Hz) were </w:t>
      </w:r>
      <w:r w:rsidR="009F7052" w:rsidRPr="00C0765A">
        <w:rPr>
          <w:lang w:val="en-US"/>
        </w:rPr>
        <w:t xml:space="preserve">log-transformed and </w:t>
      </w:r>
      <w:r w:rsidRPr="00C0765A">
        <w:rPr>
          <w:lang w:val="en-US"/>
        </w:rPr>
        <w:t xml:space="preserve">compared between pre- and post-stimulation on both days. For descriptive statistics, see Table 5. </w:t>
      </w:r>
      <w:r w:rsidR="00976175">
        <w:rPr>
          <w:lang w:val="en-US"/>
        </w:rPr>
        <w:t xml:space="preserve">Results are depicted graphically in the Supplement (Figure S1). </w:t>
      </w:r>
      <w:r w:rsidRPr="00C0765A">
        <w:rPr>
          <w:lang w:val="en-US"/>
        </w:rPr>
        <w:t xml:space="preserve">We observed a significant main effect of </w:t>
      </w:r>
      <w:r w:rsidRPr="00C0765A">
        <w:rPr>
          <w:i/>
          <w:iCs/>
          <w:lang w:val="en-US"/>
        </w:rPr>
        <w:t>time</w:t>
      </w:r>
      <w:r w:rsidRPr="00C0765A">
        <w:rPr>
          <w:lang w:val="en-US"/>
        </w:rPr>
        <w:t>, with increased alpha PSD after stimulation in both conditions (</w:t>
      </w:r>
      <m:oMath>
        <m:r>
          <w:rPr>
            <w:rFonts w:ascii="Cambria Math" w:hAnsi="Cambria Math"/>
            <w:lang w:val="en-US"/>
          </w:rPr>
          <m:t>β</m:t>
        </m:r>
      </m:oMath>
      <w:r w:rsidRPr="00C0765A">
        <w:rPr>
          <w:lang w:val="en-US"/>
        </w:rPr>
        <w:t xml:space="preserve"> = 1</w:t>
      </w:r>
      <w:r w:rsidR="003B7D1D" w:rsidRPr="00C0765A">
        <w:rPr>
          <w:lang w:val="en-US"/>
        </w:rPr>
        <w:t>.00</w:t>
      </w:r>
      <w:r w:rsidRPr="00C0765A">
        <w:rPr>
          <w:lang w:val="en-US"/>
        </w:rPr>
        <w:t xml:space="preserve">, </w:t>
      </w:r>
      <w:r w:rsidRPr="00C0765A">
        <w:rPr>
          <w:i/>
          <w:iCs/>
          <w:lang w:val="en-US"/>
        </w:rPr>
        <w:t>CI</w:t>
      </w:r>
      <w:r w:rsidRPr="00C0765A">
        <w:rPr>
          <w:lang w:val="en-US"/>
        </w:rPr>
        <w:t xml:space="preserve"> = 0.9</w:t>
      </w:r>
      <w:r w:rsidR="000F32D8" w:rsidRPr="00C0765A">
        <w:rPr>
          <w:lang w:val="en-US"/>
        </w:rPr>
        <w:t>2</w:t>
      </w:r>
      <w:r w:rsidRPr="00C0765A">
        <w:rPr>
          <w:lang w:val="en-US"/>
        </w:rPr>
        <w:t xml:space="preserve">, </w:t>
      </w:r>
      <w:r w:rsidRPr="00C0765A">
        <w:rPr>
          <w:i/>
          <w:iCs/>
          <w:lang w:val="en-US"/>
        </w:rPr>
        <w:t>p</w:t>
      </w:r>
      <w:r w:rsidRPr="00C0765A">
        <w:rPr>
          <w:lang w:val="en-US"/>
        </w:rPr>
        <w:t xml:space="preserve"> &lt; 0.001, </w:t>
      </w:r>
      <m:oMath>
        <m:r>
          <w:rPr>
            <w:rFonts w:ascii="Cambria Math" w:hAnsi="Cambria Math"/>
            <w:lang w:val="en-US"/>
          </w:rPr>
          <m:t>Sβ</m:t>
        </m:r>
      </m:oMath>
      <w:r w:rsidRPr="00C0765A">
        <w:rPr>
          <w:lang w:val="en-US"/>
        </w:rPr>
        <w:t xml:space="preserve"> = 0.7</w:t>
      </w:r>
      <w:r w:rsidR="003B7D1D" w:rsidRPr="00C0765A">
        <w:rPr>
          <w:lang w:val="en-US"/>
        </w:rPr>
        <w:t>7</w:t>
      </w:r>
      <w:r w:rsidRPr="00C0765A">
        <w:rPr>
          <w:lang w:val="en-US"/>
        </w:rPr>
        <w:t xml:space="preserve">), but found no significant effect of </w:t>
      </w:r>
      <w:r w:rsidRPr="00C0765A">
        <w:rPr>
          <w:i/>
          <w:iCs/>
          <w:lang w:val="en-US"/>
        </w:rPr>
        <w:t>condition</w:t>
      </w:r>
      <w:r w:rsidRPr="00C0765A">
        <w:rPr>
          <w:lang w:val="en-US"/>
        </w:rPr>
        <w:t xml:space="preserve"> (</w:t>
      </w:r>
      <m:oMath>
        <m:r>
          <w:rPr>
            <w:rFonts w:ascii="Cambria Math" w:hAnsi="Cambria Math"/>
            <w:lang w:val="en-US"/>
          </w:rPr>
          <m:t>β</m:t>
        </m:r>
      </m:oMath>
      <w:r w:rsidRPr="00C0765A">
        <w:rPr>
          <w:lang w:val="en-US"/>
        </w:rPr>
        <w:t xml:space="preserve"> = 0.</w:t>
      </w:r>
      <w:r w:rsidR="000F32D8" w:rsidRPr="00C0765A">
        <w:rPr>
          <w:lang w:val="en-US"/>
        </w:rPr>
        <w:t>12</w:t>
      </w:r>
      <w:r w:rsidRPr="00C0765A">
        <w:rPr>
          <w:lang w:val="en-US"/>
        </w:rPr>
        <w:t xml:space="preserve">, </w:t>
      </w:r>
      <w:r w:rsidRPr="00C0765A">
        <w:rPr>
          <w:i/>
          <w:iCs/>
          <w:lang w:val="en-US"/>
        </w:rPr>
        <w:t>CI</w:t>
      </w:r>
      <w:r w:rsidRPr="00C0765A">
        <w:rPr>
          <w:lang w:val="en-US"/>
        </w:rPr>
        <w:t xml:space="preserve"> = 1</w:t>
      </w:r>
      <w:r w:rsidR="000F32D8" w:rsidRPr="00C0765A">
        <w:rPr>
          <w:lang w:val="en-US"/>
        </w:rPr>
        <w:t>.</w:t>
      </w:r>
      <w:r w:rsidRPr="00C0765A">
        <w:rPr>
          <w:lang w:val="en-US"/>
        </w:rPr>
        <w:t>0</w:t>
      </w:r>
      <w:r w:rsidR="000F32D8" w:rsidRPr="00C0765A">
        <w:rPr>
          <w:lang w:val="en-US"/>
        </w:rPr>
        <w:t>1</w:t>
      </w:r>
      <w:r w:rsidRPr="00C0765A">
        <w:rPr>
          <w:lang w:val="en-US"/>
        </w:rPr>
        <w:t xml:space="preserve">, </w:t>
      </w:r>
      <w:r w:rsidRPr="00C0765A">
        <w:rPr>
          <w:i/>
          <w:iCs/>
          <w:lang w:val="en-US"/>
        </w:rPr>
        <w:t>p</w:t>
      </w:r>
      <w:r w:rsidRPr="00C0765A">
        <w:rPr>
          <w:lang w:val="en-US"/>
        </w:rPr>
        <w:t xml:space="preserve"> = 0.65, </w:t>
      </w:r>
      <m:oMath>
        <m:r>
          <w:rPr>
            <w:rFonts w:ascii="Cambria Math" w:hAnsi="Cambria Math"/>
            <w:lang w:val="en-US"/>
          </w:rPr>
          <m:t>Sβ</m:t>
        </m:r>
      </m:oMath>
      <w:r w:rsidRPr="00C0765A">
        <w:rPr>
          <w:lang w:val="en-US"/>
        </w:rPr>
        <w:t xml:space="preserve"> = 0.00), and no interaction between </w:t>
      </w:r>
      <w:r w:rsidRPr="00C0765A">
        <w:rPr>
          <w:i/>
          <w:iCs/>
          <w:lang w:val="en-US"/>
        </w:rPr>
        <w:t>condition</w:t>
      </w:r>
      <w:r w:rsidRPr="00C0765A">
        <w:rPr>
          <w:lang w:val="en-US"/>
        </w:rPr>
        <w:t xml:space="preserve"> and </w:t>
      </w:r>
      <w:r w:rsidRPr="00C0765A">
        <w:rPr>
          <w:i/>
          <w:iCs/>
          <w:lang w:val="en-US"/>
        </w:rPr>
        <w:t>time</w:t>
      </w:r>
      <w:r w:rsidRPr="00C0765A">
        <w:rPr>
          <w:lang w:val="en-US"/>
        </w:rPr>
        <w:t xml:space="preserve"> (</w:t>
      </w:r>
      <m:oMath>
        <m:r>
          <w:rPr>
            <w:rFonts w:ascii="Cambria Math" w:hAnsi="Cambria Math"/>
            <w:lang w:val="en-US"/>
          </w:rPr>
          <m:t>β</m:t>
        </m:r>
      </m:oMath>
      <w:r w:rsidRPr="00C0765A">
        <w:rPr>
          <w:lang w:val="en-US"/>
        </w:rPr>
        <w:t xml:space="preserve"> = -0.0</w:t>
      </w:r>
      <w:r w:rsidR="000F32D8" w:rsidRPr="00C0765A">
        <w:rPr>
          <w:lang w:val="en-US"/>
        </w:rPr>
        <w:t>7</w:t>
      </w:r>
      <w:r w:rsidRPr="00C0765A">
        <w:rPr>
          <w:lang w:val="en-US"/>
        </w:rPr>
        <w:t xml:space="preserve">, </w:t>
      </w:r>
      <w:r w:rsidRPr="00C0765A">
        <w:rPr>
          <w:i/>
          <w:iCs/>
          <w:lang w:val="en-US"/>
        </w:rPr>
        <w:t>CI</w:t>
      </w:r>
      <w:r w:rsidRPr="00C0765A">
        <w:rPr>
          <w:lang w:val="en-US"/>
        </w:rPr>
        <w:t xml:space="preserve"> = </w:t>
      </w:r>
      <w:r w:rsidR="000F32D8" w:rsidRPr="00C0765A">
        <w:rPr>
          <w:lang w:val="en-US"/>
        </w:rPr>
        <w:t>1</w:t>
      </w:r>
      <w:r w:rsidRPr="00C0765A">
        <w:rPr>
          <w:lang w:val="en-US"/>
        </w:rPr>
        <w:t>.</w:t>
      </w:r>
      <w:r w:rsidR="000F32D8" w:rsidRPr="00C0765A">
        <w:rPr>
          <w:lang w:val="en-US"/>
        </w:rPr>
        <w:t>84</w:t>
      </w:r>
      <w:r w:rsidRPr="00C0765A">
        <w:rPr>
          <w:lang w:val="en-US"/>
        </w:rPr>
        <w:t xml:space="preserve">, </w:t>
      </w:r>
      <w:r w:rsidRPr="00C0765A">
        <w:rPr>
          <w:i/>
          <w:iCs/>
          <w:lang w:val="en-US"/>
        </w:rPr>
        <w:t>p</w:t>
      </w:r>
      <w:r w:rsidRPr="00C0765A">
        <w:rPr>
          <w:lang w:val="en-US"/>
        </w:rPr>
        <w:t xml:space="preserve"> = 0.8</w:t>
      </w:r>
      <w:r w:rsidR="000F32D8" w:rsidRPr="00C0765A">
        <w:rPr>
          <w:lang w:val="en-US"/>
        </w:rPr>
        <w:t>9</w:t>
      </w:r>
      <w:r w:rsidRPr="00C0765A">
        <w:rPr>
          <w:lang w:val="en-US"/>
        </w:rPr>
        <w:t xml:space="preserve">, </w:t>
      </w:r>
      <m:oMath>
        <m:r>
          <w:rPr>
            <w:rFonts w:ascii="Cambria Math" w:hAnsi="Cambria Math"/>
            <w:lang w:val="en-US"/>
          </w:rPr>
          <m:t>Sβ</m:t>
        </m:r>
      </m:oMath>
      <w:r w:rsidRPr="00C0765A">
        <w:rPr>
          <w:lang w:val="en-US"/>
        </w:rPr>
        <w:t xml:space="preserve"> = 0.00).</w:t>
      </w:r>
    </w:p>
    <w:p w14:paraId="301319E8" w14:textId="77777777" w:rsidR="004317D8" w:rsidRPr="00C0765A" w:rsidRDefault="004317D8" w:rsidP="00B7322E">
      <w:pPr>
        <w:jc w:val="center"/>
        <w:rPr>
          <w:lang w:val="en-US"/>
        </w:rPr>
      </w:pPr>
    </w:p>
    <w:p w14:paraId="693BF70E" w14:textId="090A83EC" w:rsidR="004317D8" w:rsidRPr="00C0765A" w:rsidRDefault="004317D8" w:rsidP="004317D8">
      <w:pPr>
        <w:pStyle w:val="Caption"/>
        <w:keepNext/>
        <w:rPr>
          <w:lang w:val="en-US"/>
        </w:rPr>
      </w:pPr>
      <w:r w:rsidRPr="00C0765A">
        <w:rPr>
          <w:b/>
          <w:bCs/>
          <w:lang w:val="en-US"/>
        </w:rPr>
        <w:t xml:space="preserve">Table </w:t>
      </w:r>
      <w:r w:rsidRPr="00C0765A">
        <w:rPr>
          <w:b/>
          <w:bCs/>
        </w:rPr>
        <w:fldChar w:fldCharType="begin"/>
      </w:r>
      <w:r w:rsidRPr="00C0765A">
        <w:rPr>
          <w:b/>
          <w:bCs/>
          <w:lang w:val="en-US"/>
        </w:rPr>
        <w:instrText xml:space="preserve"> SEQ Table \* ARABIC </w:instrText>
      </w:r>
      <w:r w:rsidRPr="00C0765A">
        <w:rPr>
          <w:b/>
          <w:bCs/>
        </w:rPr>
        <w:fldChar w:fldCharType="separate"/>
      </w:r>
      <w:r w:rsidR="00F74AF7" w:rsidRPr="00C0765A">
        <w:rPr>
          <w:b/>
          <w:bCs/>
          <w:noProof/>
          <w:lang w:val="en-US"/>
        </w:rPr>
        <w:t>5</w:t>
      </w:r>
      <w:r w:rsidRPr="00C0765A">
        <w:rPr>
          <w:b/>
          <w:bCs/>
        </w:rPr>
        <w:fldChar w:fldCharType="end"/>
      </w:r>
      <w:r w:rsidRPr="00C0765A">
        <w:rPr>
          <w:lang w:val="en-US"/>
        </w:rPr>
        <w:t xml:space="preserve"> Descriptive statistics for </w:t>
      </w:r>
      <w:r w:rsidR="00D72035" w:rsidRPr="00C0765A">
        <w:rPr>
          <w:lang w:val="en-US"/>
        </w:rPr>
        <w:t xml:space="preserve">the </w:t>
      </w:r>
      <w:r w:rsidRPr="00C0765A">
        <w:rPr>
          <w:lang w:val="en-US"/>
        </w:rPr>
        <w:t xml:space="preserve">log-transformed </w:t>
      </w:r>
      <w:r w:rsidR="00C242A8" w:rsidRPr="00C0765A">
        <w:rPr>
          <w:lang w:val="en-US"/>
        </w:rPr>
        <w:t>alpha (8-13Hz) power-spectral density</w:t>
      </w:r>
      <w:r w:rsidR="00DA13B4" w:rsidRPr="00C0765A">
        <w:rPr>
          <w:lang w:val="en-US"/>
        </w:rPr>
        <w:t xml:space="preserve"> (PSD) during resting state</w:t>
      </w:r>
    </w:p>
    <w:tbl>
      <w:tblPr>
        <w:tblStyle w:val="TableGrid"/>
        <w:tblW w:w="9717" w:type="dxa"/>
        <w:tblInd w:w="-147" w:type="dxa"/>
        <w:tblLayout w:type="fixed"/>
        <w:tblLook w:val="04A0" w:firstRow="1" w:lastRow="0" w:firstColumn="1" w:lastColumn="0" w:noHBand="0" w:noVBand="1"/>
      </w:tblPr>
      <w:tblGrid>
        <w:gridCol w:w="1279"/>
        <w:gridCol w:w="2074"/>
        <w:gridCol w:w="2145"/>
        <w:gridCol w:w="2047"/>
        <w:gridCol w:w="2172"/>
      </w:tblGrid>
      <w:tr w:rsidR="000C1313" w:rsidRPr="00C0765A" w14:paraId="378D0CD1" w14:textId="671E1330" w:rsidTr="00B839E8">
        <w:trPr>
          <w:trHeight w:val="493"/>
        </w:trPr>
        <w:tc>
          <w:tcPr>
            <w:tcW w:w="1279" w:type="dxa"/>
            <w:tcBorders>
              <w:top w:val="nil"/>
              <w:left w:val="nil"/>
              <w:bottom w:val="nil"/>
            </w:tcBorders>
          </w:tcPr>
          <w:p w14:paraId="30DE1CA0" w14:textId="77777777" w:rsidR="000C1313" w:rsidRPr="00C0765A" w:rsidRDefault="000C1313" w:rsidP="00E66E0D">
            <w:pPr>
              <w:ind w:firstLine="0"/>
              <w:rPr>
                <w:lang w:val="en-US"/>
              </w:rPr>
            </w:pPr>
          </w:p>
        </w:tc>
        <w:tc>
          <w:tcPr>
            <w:tcW w:w="4219" w:type="dxa"/>
            <w:gridSpan w:val="2"/>
            <w:tcBorders>
              <w:right w:val="single" w:sz="12" w:space="0" w:color="auto"/>
            </w:tcBorders>
            <w:shd w:val="clear" w:color="auto" w:fill="E8E8E8" w:themeFill="background2"/>
          </w:tcPr>
          <w:p w14:paraId="53FCEA89" w14:textId="27D4CC17" w:rsidR="000C1313" w:rsidRPr="00C0765A" w:rsidRDefault="000C1313" w:rsidP="00E66E0D">
            <w:pPr>
              <w:ind w:firstLine="0"/>
              <w:jc w:val="center"/>
              <w:rPr>
                <w:b/>
                <w:bCs/>
                <w:lang w:val="en-US"/>
              </w:rPr>
            </w:pPr>
            <w:proofErr w:type="spellStart"/>
            <w:r w:rsidRPr="00C0765A">
              <w:rPr>
                <w:b/>
                <w:bCs/>
                <w:lang w:val="en-US"/>
              </w:rPr>
              <w:t>taVNS</w:t>
            </w:r>
            <w:proofErr w:type="spellEnd"/>
          </w:p>
        </w:tc>
        <w:tc>
          <w:tcPr>
            <w:tcW w:w="4219" w:type="dxa"/>
            <w:gridSpan w:val="2"/>
            <w:tcBorders>
              <w:left w:val="single" w:sz="12" w:space="0" w:color="auto"/>
            </w:tcBorders>
            <w:shd w:val="clear" w:color="auto" w:fill="E8E8E8" w:themeFill="background2"/>
          </w:tcPr>
          <w:p w14:paraId="28BE5D64" w14:textId="1DD3A0C8" w:rsidR="000C1313" w:rsidRPr="00C0765A" w:rsidRDefault="000C1313" w:rsidP="00E66E0D">
            <w:pPr>
              <w:ind w:firstLine="0"/>
              <w:jc w:val="center"/>
              <w:rPr>
                <w:b/>
                <w:bCs/>
                <w:lang w:val="en-US"/>
              </w:rPr>
            </w:pPr>
            <w:r w:rsidRPr="00C0765A">
              <w:rPr>
                <w:b/>
                <w:bCs/>
                <w:lang w:val="en-US"/>
              </w:rPr>
              <w:t>Sham</w:t>
            </w:r>
          </w:p>
        </w:tc>
      </w:tr>
      <w:tr w:rsidR="000C1313" w:rsidRPr="00C0765A" w14:paraId="0506C4E4" w14:textId="6D110764" w:rsidTr="00B839E8">
        <w:trPr>
          <w:trHeight w:val="892"/>
        </w:trPr>
        <w:tc>
          <w:tcPr>
            <w:tcW w:w="1279" w:type="dxa"/>
            <w:tcBorders>
              <w:top w:val="nil"/>
              <w:left w:val="nil"/>
            </w:tcBorders>
          </w:tcPr>
          <w:p w14:paraId="39319182" w14:textId="77777777" w:rsidR="000C1313" w:rsidRPr="00C0765A" w:rsidRDefault="000C1313" w:rsidP="00977DEC">
            <w:pPr>
              <w:ind w:firstLine="0"/>
              <w:rPr>
                <w:lang w:val="en-US"/>
              </w:rPr>
            </w:pPr>
          </w:p>
        </w:tc>
        <w:tc>
          <w:tcPr>
            <w:tcW w:w="2074" w:type="dxa"/>
          </w:tcPr>
          <w:p w14:paraId="5C0BF05A" w14:textId="77777777" w:rsidR="000C1313" w:rsidRPr="00C0765A" w:rsidRDefault="000C1313" w:rsidP="00977DEC">
            <w:pPr>
              <w:ind w:firstLine="0"/>
              <w:jc w:val="center"/>
              <w:rPr>
                <w:b/>
                <w:bCs/>
                <w:lang w:val="en-US"/>
              </w:rPr>
            </w:pPr>
            <w:r w:rsidRPr="00C0765A">
              <w:rPr>
                <w:b/>
                <w:bCs/>
                <w:lang w:val="en-US"/>
              </w:rPr>
              <w:t>Pre-stimulation</w:t>
            </w:r>
          </w:p>
          <w:p w14:paraId="3DA7EB10" w14:textId="019B1BE4" w:rsidR="000C1313" w:rsidRPr="00C0765A" w:rsidRDefault="000C1313" w:rsidP="00977DEC">
            <w:pPr>
              <w:ind w:firstLine="0"/>
              <w:jc w:val="center"/>
              <w:rPr>
                <w:b/>
                <w:bCs/>
                <w:lang w:val="en-US"/>
              </w:rPr>
            </w:pPr>
            <w:r w:rsidRPr="00C0765A">
              <w:rPr>
                <w:b/>
                <w:bCs/>
                <w:lang w:val="en-US"/>
              </w:rPr>
              <w:t>alpha PSD</w:t>
            </w:r>
          </w:p>
        </w:tc>
        <w:tc>
          <w:tcPr>
            <w:tcW w:w="2144" w:type="dxa"/>
            <w:tcBorders>
              <w:right w:val="single" w:sz="12" w:space="0" w:color="auto"/>
            </w:tcBorders>
          </w:tcPr>
          <w:p w14:paraId="6DF19F8C" w14:textId="07F7B900" w:rsidR="000C1313" w:rsidRPr="00C0765A" w:rsidRDefault="000C1313" w:rsidP="00977DEC">
            <w:pPr>
              <w:ind w:firstLine="0"/>
              <w:jc w:val="center"/>
              <w:rPr>
                <w:b/>
                <w:bCs/>
                <w:lang w:val="en-US"/>
              </w:rPr>
            </w:pPr>
            <w:r w:rsidRPr="00C0765A">
              <w:rPr>
                <w:b/>
                <w:bCs/>
                <w:lang w:val="en-US"/>
              </w:rPr>
              <w:t>Post-stimulation alpha PSD</w:t>
            </w:r>
          </w:p>
        </w:tc>
        <w:tc>
          <w:tcPr>
            <w:tcW w:w="2047" w:type="dxa"/>
            <w:tcBorders>
              <w:left w:val="single" w:sz="12" w:space="0" w:color="auto"/>
            </w:tcBorders>
          </w:tcPr>
          <w:p w14:paraId="6982BCC9" w14:textId="5F7FC970" w:rsidR="000C1313" w:rsidRPr="00C0765A" w:rsidRDefault="000C1313" w:rsidP="00977DEC">
            <w:pPr>
              <w:ind w:firstLine="0"/>
              <w:jc w:val="center"/>
              <w:rPr>
                <w:b/>
                <w:bCs/>
                <w:lang w:val="en-US"/>
              </w:rPr>
            </w:pPr>
            <w:r w:rsidRPr="00C0765A">
              <w:rPr>
                <w:b/>
                <w:bCs/>
                <w:lang w:val="en-US"/>
              </w:rPr>
              <w:t>Pre-stimulation alpha PSD</w:t>
            </w:r>
          </w:p>
        </w:tc>
        <w:tc>
          <w:tcPr>
            <w:tcW w:w="2172" w:type="dxa"/>
          </w:tcPr>
          <w:p w14:paraId="57915FD5" w14:textId="48EBE837" w:rsidR="000C1313" w:rsidRPr="00C0765A" w:rsidRDefault="000C1313" w:rsidP="00977DEC">
            <w:pPr>
              <w:ind w:firstLine="0"/>
              <w:jc w:val="center"/>
              <w:rPr>
                <w:b/>
                <w:bCs/>
                <w:lang w:val="en-US"/>
              </w:rPr>
            </w:pPr>
            <w:r w:rsidRPr="00C0765A">
              <w:rPr>
                <w:b/>
                <w:bCs/>
                <w:lang w:val="en-US"/>
              </w:rPr>
              <w:t>Post-stimulation alpha PSD</w:t>
            </w:r>
          </w:p>
        </w:tc>
      </w:tr>
      <w:tr w:rsidR="000C1313" w:rsidRPr="00C0765A" w14:paraId="3146CE10" w14:textId="5E7AE298" w:rsidTr="00B839E8">
        <w:trPr>
          <w:trHeight w:val="493"/>
        </w:trPr>
        <w:tc>
          <w:tcPr>
            <w:tcW w:w="1279" w:type="dxa"/>
          </w:tcPr>
          <w:p w14:paraId="6FBC0989" w14:textId="77777777" w:rsidR="000C1313" w:rsidRPr="00C0765A" w:rsidRDefault="000C1313" w:rsidP="00977DEC">
            <w:pPr>
              <w:ind w:firstLine="0"/>
              <w:rPr>
                <w:i/>
                <w:iCs/>
                <w:lang w:val="en-US"/>
              </w:rPr>
            </w:pPr>
            <w:r w:rsidRPr="00C0765A">
              <w:rPr>
                <w:i/>
                <w:iCs/>
                <w:lang w:val="en-US"/>
              </w:rPr>
              <w:t>M</w:t>
            </w:r>
          </w:p>
        </w:tc>
        <w:tc>
          <w:tcPr>
            <w:tcW w:w="2074" w:type="dxa"/>
          </w:tcPr>
          <w:p w14:paraId="1BC6BB24" w14:textId="13B3A352" w:rsidR="000C1313" w:rsidRPr="00C0765A" w:rsidRDefault="000C1313" w:rsidP="00977DEC">
            <w:pPr>
              <w:ind w:firstLine="0"/>
              <w:rPr>
                <w:lang w:val="en-US"/>
              </w:rPr>
            </w:pPr>
            <w:r w:rsidRPr="00C0765A">
              <w:rPr>
                <w:lang w:val="en-US"/>
              </w:rPr>
              <w:t>-</w:t>
            </w:r>
            <w:r w:rsidR="00865420" w:rsidRPr="00C0765A">
              <w:rPr>
                <w:lang w:val="en-US"/>
              </w:rPr>
              <w:t>32</w:t>
            </w:r>
            <w:r w:rsidRPr="00C0765A">
              <w:rPr>
                <w:lang w:val="en-US"/>
              </w:rPr>
              <w:t>.</w:t>
            </w:r>
            <w:r w:rsidR="00865420" w:rsidRPr="00C0765A">
              <w:rPr>
                <w:lang w:val="en-US"/>
              </w:rPr>
              <w:t>15</w:t>
            </w:r>
          </w:p>
        </w:tc>
        <w:tc>
          <w:tcPr>
            <w:tcW w:w="2144" w:type="dxa"/>
            <w:tcBorders>
              <w:right w:val="single" w:sz="12" w:space="0" w:color="auto"/>
            </w:tcBorders>
          </w:tcPr>
          <w:p w14:paraId="32061CFC" w14:textId="36E44F46" w:rsidR="000C1313" w:rsidRPr="00C0765A" w:rsidRDefault="000C1313" w:rsidP="00977DEC">
            <w:pPr>
              <w:ind w:firstLine="0"/>
              <w:rPr>
                <w:lang w:val="en-US"/>
              </w:rPr>
            </w:pPr>
            <w:r w:rsidRPr="00C0765A">
              <w:rPr>
                <w:lang w:val="en-US"/>
              </w:rPr>
              <w:t>-</w:t>
            </w:r>
            <w:r w:rsidR="00865420" w:rsidRPr="00C0765A">
              <w:rPr>
                <w:lang w:val="en-US"/>
              </w:rPr>
              <w:t>31</w:t>
            </w:r>
            <w:r w:rsidRPr="00C0765A">
              <w:rPr>
                <w:lang w:val="en-US"/>
              </w:rPr>
              <w:t>.</w:t>
            </w:r>
            <w:r w:rsidR="00865420" w:rsidRPr="00C0765A">
              <w:rPr>
                <w:lang w:val="en-US"/>
              </w:rPr>
              <w:t>43</w:t>
            </w:r>
          </w:p>
        </w:tc>
        <w:tc>
          <w:tcPr>
            <w:tcW w:w="2047" w:type="dxa"/>
            <w:tcBorders>
              <w:left w:val="single" w:sz="12" w:space="0" w:color="auto"/>
            </w:tcBorders>
          </w:tcPr>
          <w:p w14:paraId="2F92BF46" w14:textId="158C8881" w:rsidR="000C1313" w:rsidRPr="00C0765A" w:rsidRDefault="000C1313" w:rsidP="00977DEC">
            <w:pPr>
              <w:ind w:firstLine="0"/>
              <w:rPr>
                <w:lang w:val="en-US"/>
              </w:rPr>
            </w:pPr>
            <w:r w:rsidRPr="00C0765A">
              <w:rPr>
                <w:lang w:val="en-US"/>
              </w:rPr>
              <w:t>-</w:t>
            </w:r>
            <w:r w:rsidR="00EB3C76" w:rsidRPr="00C0765A">
              <w:rPr>
                <w:lang w:val="en-US"/>
              </w:rPr>
              <w:t>31</w:t>
            </w:r>
            <w:r w:rsidRPr="00C0765A">
              <w:rPr>
                <w:lang w:val="en-US"/>
              </w:rPr>
              <w:t>.9</w:t>
            </w:r>
            <w:r w:rsidR="00EB3C76" w:rsidRPr="00C0765A">
              <w:rPr>
                <w:lang w:val="en-US"/>
              </w:rPr>
              <w:t>0</w:t>
            </w:r>
          </w:p>
        </w:tc>
        <w:tc>
          <w:tcPr>
            <w:tcW w:w="2172" w:type="dxa"/>
          </w:tcPr>
          <w:p w14:paraId="2BC09E19" w14:textId="76501BA2" w:rsidR="000C1313" w:rsidRPr="00C0765A" w:rsidRDefault="000C1313" w:rsidP="00977DEC">
            <w:pPr>
              <w:ind w:firstLine="0"/>
              <w:rPr>
                <w:lang w:val="en-US"/>
              </w:rPr>
            </w:pPr>
            <w:r w:rsidRPr="00C0765A">
              <w:rPr>
                <w:lang w:val="en-US"/>
              </w:rPr>
              <w:t>-</w:t>
            </w:r>
            <w:r w:rsidR="00863E1E" w:rsidRPr="00C0765A">
              <w:rPr>
                <w:lang w:val="en-US"/>
              </w:rPr>
              <w:t>31</w:t>
            </w:r>
            <w:r w:rsidRPr="00C0765A">
              <w:rPr>
                <w:lang w:val="en-US"/>
              </w:rPr>
              <w:t>.1</w:t>
            </w:r>
            <w:r w:rsidR="00863E1E" w:rsidRPr="00C0765A">
              <w:rPr>
                <w:lang w:val="en-US"/>
              </w:rPr>
              <w:t>8</w:t>
            </w:r>
          </w:p>
        </w:tc>
      </w:tr>
      <w:tr w:rsidR="000C1313" w:rsidRPr="00C0765A" w14:paraId="3B1CEC2C" w14:textId="7D9CEB18" w:rsidTr="00B839E8">
        <w:trPr>
          <w:trHeight w:val="478"/>
        </w:trPr>
        <w:tc>
          <w:tcPr>
            <w:tcW w:w="1279" w:type="dxa"/>
          </w:tcPr>
          <w:p w14:paraId="045C0EE9" w14:textId="77777777" w:rsidR="000C1313" w:rsidRPr="00C0765A" w:rsidRDefault="000C1313" w:rsidP="00977DEC">
            <w:pPr>
              <w:ind w:firstLine="0"/>
              <w:rPr>
                <w:i/>
                <w:iCs/>
                <w:lang w:val="en-US"/>
              </w:rPr>
            </w:pPr>
            <w:r w:rsidRPr="00C0765A">
              <w:rPr>
                <w:i/>
                <w:iCs/>
                <w:lang w:val="en-US"/>
              </w:rPr>
              <w:t>SD</w:t>
            </w:r>
          </w:p>
        </w:tc>
        <w:tc>
          <w:tcPr>
            <w:tcW w:w="2074" w:type="dxa"/>
          </w:tcPr>
          <w:p w14:paraId="5AB4C4FA" w14:textId="4FFF319B" w:rsidR="000C1313" w:rsidRPr="00C0765A" w:rsidRDefault="00917FF4" w:rsidP="00977DEC">
            <w:pPr>
              <w:ind w:firstLine="0"/>
              <w:rPr>
                <w:lang w:val="en-US"/>
              </w:rPr>
            </w:pPr>
            <w:r w:rsidRPr="00C0765A">
              <w:rPr>
                <w:lang w:val="en-US"/>
              </w:rPr>
              <w:t>5.97</w:t>
            </w:r>
          </w:p>
        </w:tc>
        <w:tc>
          <w:tcPr>
            <w:tcW w:w="2144" w:type="dxa"/>
            <w:tcBorders>
              <w:right w:val="single" w:sz="12" w:space="0" w:color="auto"/>
            </w:tcBorders>
          </w:tcPr>
          <w:p w14:paraId="63F59DD5" w14:textId="711D6065" w:rsidR="000C1313" w:rsidRPr="00C0765A" w:rsidRDefault="000C1313" w:rsidP="00977DEC">
            <w:pPr>
              <w:ind w:firstLine="0"/>
              <w:rPr>
                <w:lang w:val="en-US"/>
              </w:rPr>
            </w:pPr>
            <w:r w:rsidRPr="00C0765A">
              <w:rPr>
                <w:lang w:val="en-US"/>
              </w:rPr>
              <w:t>5</w:t>
            </w:r>
            <w:r w:rsidR="00917FF4" w:rsidRPr="00C0765A">
              <w:rPr>
                <w:lang w:val="en-US"/>
              </w:rPr>
              <w:t>.5</w:t>
            </w:r>
            <w:r w:rsidRPr="00C0765A">
              <w:rPr>
                <w:lang w:val="en-US"/>
              </w:rPr>
              <w:t>6</w:t>
            </w:r>
          </w:p>
        </w:tc>
        <w:tc>
          <w:tcPr>
            <w:tcW w:w="2047" w:type="dxa"/>
            <w:tcBorders>
              <w:left w:val="single" w:sz="12" w:space="0" w:color="auto"/>
            </w:tcBorders>
          </w:tcPr>
          <w:p w14:paraId="60B4ED9C" w14:textId="61E6C068" w:rsidR="000C1313" w:rsidRPr="00C0765A" w:rsidRDefault="00EB3C76" w:rsidP="00977DEC">
            <w:pPr>
              <w:ind w:firstLine="0"/>
              <w:rPr>
                <w:lang w:val="en-US"/>
              </w:rPr>
            </w:pPr>
            <w:r w:rsidRPr="00C0765A">
              <w:rPr>
                <w:lang w:val="en-US"/>
              </w:rPr>
              <w:t>5.03</w:t>
            </w:r>
          </w:p>
        </w:tc>
        <w:tc>
          <w:tcPr>
            <w:tcW w:w="2172" w:type="dxa"/>
          </w:tcPr>
          <w:p w14:paraId="180C75D5" w14:textId="314198A2" w:rsidR="000C1313" w:rsidRPr="00C0765A" w:rsidRDefault="000C1313" w:rsidP="00977DEC">
            <w:pPr>
              <w:ind w:firstLine="0"/>
              <w:rPr>
                <w:lang w:val="en-US"/>
              </w:rPr>
            </w:pPr>
            <w:r w:rsidRPr="00C0765A">
              <w:rPr>
                <w:lang w:val="en-US"/>
              </w:rPr>
              <w:t>5</w:t>
            </w:r>
            <w:r w:rsidR="00EB3C76" w:rsidRPr="00C0765A">
              <w:rPr>
                <w:lang w:val="en-US"/>
              </w:rPr>
              <w:t>.</w:t>
            </w:r>
            <w:r w:rsidRPr="00C0765A">
              <w:rPr>
                <w:lang w:val="en-US"/>
              </w:rPr>
              <w:t>5</w:t>
            </w:r>
            <w:r w:rsidR="00EB3C76" w:rsidRPr="00C0765A">
              <w:rPr>
                <w:lang w:val="en-US"/>
              </w:rPr>
              <w:t>1</w:t>
            </w:r>
          </w:p>
        </w:tc>
      </w:tr>
      <w:tr w:rsidR="000C1313" w:rsidRPr="00C0765A" w14:paraId="63264B56" w14:textId="69AA8DA7" w:rsidTr="00B839E8">
        <w:trPr>
          <w:trHeight w:val="493"/>
        </w:trPr>
        <w:tc>
          <w:tcPr>
            <w:tcW w:w="1279" w:type="dxa"/>
          </w:tcPr>
          <w:p w14:paraId="5F9D3A8F" w14:textId="77777777" w:rsidR="000C1313" w:rsidRPr="00C0765A" w:rsidRDefault="000C1313" w:rsidP="00977DEC">
            <w:pPr>
              <w:ind w:firstLine="0"/>
              <w:rPr>
                <w:i/>
                <w:iCs/>
                <w:lang w:val="en-US"/>
              </w:rPr>
            </w:pPr>
            <w:r w:rsidRPr="00C0765A">
              <w:rPr>
                <w:i/>
                <w:iCs/>
                <w:lang w:val="en-US"/>
              </w:rPr>
              <w:t>N</w:t>
            </w:r>
          </w:p>
        </w:tc>
        <w:tc>
          <w:tcPr>
            <w:tcW w:w="2074" w:type="dxa"/>
          </w:tcPr>
          <w:p w14:paraId="2DDC7357" w14:textId="6F9A5E73" w:rsidR="000C1313" w:rsidRPr="00C0765A" w:rsidRDefault="000C1313" w:rsidP="00977DEC">
            <w:pPr>
              <w:ind w:firstLine="0"/>
              <w:rPr>
                <w:lang w:val="en-US"/>
              </w:rPr>
            </w:pPr>
            <w:r w:rsidRPr="00C0765A">
              <w:rPr>
                <w:lang w:val="en-US"/>
              </w:rPr>
              <w:t>36</w:t>
            </w:r>
          </w:p>
        </w:tc>
        <w:tc>
          <w:tcPr>
            <w:tcW w:w="2144" w:type="dxa"/>
            <w:tcBorders>
              <w:right w:val="single" w:sz="12" w:space="0" w:color="auto"/>
            </w:tcBorders>
          </w:tcPr>
          <w:p w14:paraId="7D419FF3" w14:textId="490FE19F" w:rsidR="000C1313" w:rsidRPr="00C0765A" w:rsidRDefault="000C1313" w:rsidP="00977DEC">
            <w:pPr>
              <w:ind w:firstLine="0"/>
              <w:rPr>
                <w:lang w:val="en-US"/>
              </w:rPr>
            </w:pPr>
            <w:r w:rsidRPr="00C0765A">
              <w:rPr>
                <w:lang w:val="en-US"/>
              </w:rPr>
              <w:t>39</w:t>
            </w:r>
          </w:p>
        </w:tc>
        <w:tc>
          <w:tcPr>
            <w:tcW w:w="2047" w:type="dxa"/>
            <w:tcBorders>
              <w:left w:val="single" w:sz="12" w:space="0" w:color="auto"/>
            </w:tcBorders>
          </w:tcPr>
          <w:p w14:paraId="59A23B31" w14:textId="05AF4673" w:rsidR="000C1313" w:rsidRPr="00C0765A" w:rsidRDefault="000C1313" w:rsidP="00977DEC">
            <w:pPr>
              <w:ind w:firstLine="0"/>
              <w:rPr>
                <w:lang w:val="en-US"/>
              </w:rPr>
            </w:pPr>
            <w:r w:rsidRPr="00C0765A">
              <w:rPr>
                <w:lang w:val="en-US"/>
              </w:rPr>
              <w:t>39</w:t>
            </w:r>
          </w:p>
        </w:tc>
        <w:tc>
          <w:tcPr>
            <w:tcW w:w="2172" w:type="dxa"/>
          </w:tcPr>
          <w:p w14:paraId="3FC5A1D7" w14:textId="2BDBA212" w:rsidR="000C1313" w:rsidRPr="00C0765A" w:rsidRDefault="000C1313" w:rsidP="00977DEC">
            <w:pPr>
              <w:ind w:firstLine="0"/>
              <w:rPr>
                <w:lang w:val="en-US"/>
              </w:rPr>
            </w:pPr>
            <w:r w:rsidRPr="00C0765A">
              <w:rPr>
                <w:lang w:val="en-US"/>
              </w:rPr>
              <w:t>37</w:t>
            </w:r>
          </w:p>
        </w:tc>
      </w:tr>
    </w:tbl>
    <w:p w14:paraId="37095366" w14:textId="54600DB4" w:rsidR="00C659BB" w:rsidRPr="00C0765A" w:rsidRDefault="00C659BB" w:rsidP="00EC6C99">
      <w:pPr>
        <w:pStyle w:val="Heading2"/>
        <w:rPr>
          <w:lang w:val="en-US"/>
        </w:rPr>
      </w:pPr>
      <w:r w:rsidRPr="00C0765A">
        <w:rPr>
          <w:lang w:val="en-US"/>
        </w:rPr>
        <w:t>3.</w:t>
      </w:r>
      <w:r w:rsidR="00131620" w:rsidRPr="00C0765A">
        <w:rPr>
          <w:lang w:val="en-US"/>
        </w:rPr>
        <w:t>4</w:t>
      </w:r>
      <w:r w:rsidRPr="00C0765A">
        <w:rPr>
          <w:lang w:val="en-US"/>
        </w:rPr>
        <w:t xml:space="preserve"> Exploratory analyses</w:t>
      </w:r>
    </w:p>
    <w:p w14:paraId="3BA155DF" w14:textId="64189520" w:rsidR="00946A76" w:rsidRPr="00C0765A" w:rsidRDefault="00946A76" w:rsidP="00946A76">
      <w:pPr>
        <w:pStyle w:val="Heading3"/>
        <w:rPr>
          <w:lang w:val="en-US"/>
        </w:rPr>
      </w:pPr>
      <w:bookmarkStart w:id="8" w:name="perception-of-sensory-stimulation"/>
      <w:r w:rsidRPr="00C0765A">
        <w:rPr>
          <w:lang w:val="en-US"/>
        </w:rPr>
        <w:t>3.4.1 Perception of sensory stimul</w:t>
      </w:r>
      <w:r w:rsidR="003F499E" w:rsidRPr="00C0765A">
        <w:rPr>
          <w:lang w:val="en-US"/>
        </w:rPr>
        <w:t>i</w:t>
      </w:r>
    </w:p>
    <w:p w14:paraId="03F6F683" w14:textId="6CF2DF5E" w:rsidR="00DD2751" w:rsidRPr="00C0765A" w:rsidRDefault="00946A76" w:rsidP="00337666">
      <w:pPr>
        <w:rPr>
          <w:lang w:val="en-US"/>
        </w:rPr>
      </w:pPr>
      <w:r w:rsidRPr="00C0765A">
        <w:rPr>
          <w:lang w:val="en-US"/>
        </w:rPr>
        <w:t xml:space="preserve">To explore the effects of </w:t>
      </w:r>
      <w:proofErr w:type="spellStart"/>
      <w:r w:rsidRPr="00C0765A">
        <w:rPr>
          <w:lang w:val="en-US"/>
        </w:rPr>
        <w:t>taVNS</w:t>
      </w:r>
      <w:proofErr w:type="spellEnd"/>
      <w:r w:rsidRPr="00C0765A">
        <w:rPr>
          <w:lang w:val="en-US"/>
        </w:rPr>
        <w:t xml:space="preserve"> on self-reported intensity and unpleasantness of sensory stimul</w:t>
      </w:r>
      <w:r w:rsidR="003F499E" w:rsidRPr="00C0765A">
        <w:rPr>
          <w:lang w:val="en-US"/>
        </w:rPr>
        <w:t>i</w:t>
      </w:r>
      <w:r w:rsidRPr="00C0765A">
        <w:rPr>
          <w:lang w:val="en-US"/>
        </w:rPr>
        <w:t xml:space="preserve">, we compared the ratings during </w:t>
      </w:r>
      <w:proofErr w:type="spellStart"/>
      <w:r w:rsidRPr="00C0765A">
        <w:rPr>
          <w:lang w:val="en-US"/>
        </w:rPr>
        <w:t>taVNS</w:t>
      </w:r>
      <w:proofErr w:type="spellEnd"/>
      <w:r w:rsidRPr="00C0765A">
        <w:rPr>
          <w:lang w:val="en-US"/>
        </w:rPr>
        <w:t xml:space="preserve"> and Sham conditions. </w:t>
      </w:r>
      <w:r w:rsidR="00337666" w:rsidRPr="00C0765A">
        <w:rPr>
          <w:lang w:val="en-US"/>
        </w:rPr>
        <w:t xml:space="preserve">Descriptive statistics are detailed in Table </w:t>
      </w:r>
      <w:r w:rsidR="002C3A1D" w:rsidRPr="00C0765A">
        <w:rPr>
          <w:lang w:val="en-US"/>
        </w:rPr>
        <w:t>6</w:t>
      </w:r>
      <w:r w:rsidR="00337666" w:rsidRPr="00C0765A">
        <w:rPr>
          <w:lang w:val="en-US"/>
        </w:rPr>
        <w:t xml:space="preserve">. </w:t>
      </w:r>
      <w:r w:rsidR="00976175">
        <w:rPr>
          <w:lang w:val="en-US"/>
        </w:rPr>
        <w:t>Results are depicted graphically in the Supplement (Figure S</w:t>
      </w:r>
      <w:r w:rsidR="00976175">
        <w:rPr>
          <w:lang w:val="en-US"/>
        </w:rPr>
        <w:t>2</w:t>
      </w:r>
      <w:r w:rsidR="00976175">
        <w:rPr>
          <w:lang w:val="en-US"/>
        </w:rPr>
        <w:t xml:space="preserve">). </w:t>
      </w:r>
      <w:r w:rsidRPr="00C0765A">
        <w:rPr>
          <w:lang w:val="en-US"/>
        </w:rPr>
        <w:t xml:space="preserve">We found </w:t>
      </w:r>
      <w:r w:rsidR="00B46A18" w:rsidRPr="00C0765A">
        <w:rPr>
          <w:lang w:val="en-US"/>
        </w:rPr>
        <w:t xml:space="preserve">a small and </w:t>
      </w:r>
      <w:r w:rsidRPr="00C0765A">
        <w:rPr>
          <w:lang w:val="en-US"/>
        </w:rPr>
        <w:t>no</w:t>
      </w:r>
      <w:r w:rsidR="00B46A18" w:rsidRPr="00C0765A">
        <w:rPr>
          <w:lang w:val="en-US"/>
        </w:rPr>
        <w:t>n-</w:t>
      </w:r>
      <w:r w:rsidR="00F43BA8" w:rsidRPr="00C0765A">
        <w:rPr>
          <w:lang w:val="en-US"/>
        </w:rPr>
        <w:t xml:space="preserve">significant </w:t>
      </w:r>
      <w:r w:rsidRPr="00C0765A">
        <w:rPr>
          <w:lang w:val="en-US"/>
        </w:rPr>
        <w:t xml:space="preserve">main effect of </w:t>
      </w:r>
      <w:r w:rsidRPr="00C0765A">
        <w:rPr>
          <w:i/>
          <w:iCs/>
          <w:lang w:val="en-US"/>
        </w:rPr>
        <w:t>condition</w:t>
      </w:r>
      <w:r w:rsidRPr="00C0765A">
        <w:rPr>
          <w:lang w:val="en-US"/>
        </w:rPr>
        <w:t xml:space="preserve"> on the </w:t>
      </w:r>
      <w:r w:rsidR="007422D9" w:rsidRPr="00C0765A">
        <w:rPr>
          <w:lang w:val="en-US"/>
        </w:rPr>
        <w:t xml:space="preserve">square-root-transformed </w:t>
      </w:r>
      <w:r w:rsidR="00B46A18" w:rsidRPr="00C0765A">
        <w:rPr>
          <w:lang w:val="en-US"/>
        </w:rPr>
        <w:t>intensity</w:t>
      </w:r>
      <w:r w:rsidRPr="00C0765A">
        <w:rPr>
          <w:lang w:val="en-US"/>
        </w:rPr>
        <w:t xml:space="preserve"> </w:t>
      </w:r>
      <w:r w:rsidR="007422D9" w:rsidRPr="00C0765A">
        <w:rPr>
          <w:lang w:val="en-US"/>
        </w:rPr>
        <w:t xml:space="preserve">ratings </w:t>
      </w:r>
      <w:r w:rsidRPr="00C0765A">
        <w:rPr>
          <w:lang w:val="en-US"/>
        </w:rPr>
        <w:t>of auditory clicks (</w:t>
      </w:r>
      <m:oMath>
        <m:r>
          <w:rPr>
            <w:rFonts w:ascii="Cambria Math" w:hAnsi="Cambria Math"/>
            <w:lang w:val="en-US"/>
          </w:rPr>
          <m:t>β</m:t>
        </m:r>
      </m:oMath>
      <w:r w:rsidRPr="00C0765A">
        <w:rPr>
          <w:lang w:val="en-US"/>
        </w:rPr>
        <w:t xml:space="preserve"> = 0.13, </w:t>
      </w:r>
      <w:r w:rsidRPr="00C0765A">
        <w:rPr>
          <w:i/>
          <w:iCs/>
          <w:lang w:val="en-US"/>
        </w:rPr>
        <w:t>CI</w:t>
      </w:r>
      <w:r w:rsidRPr="00C0765A">
        <w:rPr>
          <w:lang w:val="en-US"/>
        </w:rPr>
        <w:t xml:space="preserve"> = 0.33, </w:t>
      </w:r>
      <w:r w:rsidRPr="00C0765A">
        <w:rPr>
          <w:i/>
          <w:iCs/>
          <w:lang w:val="en-US"/>
        </w:rPr>
        <w:t>p</w:t>
      </w:r>
      <w:r w:rsidRPr="00C0765A">
        <w:rPr>
          <w:lang w:val="en-US"/>
        </w:rPr>
        <w:t xml:space="preserve"> = 0.13, </w:t>
      </w:r>
      <m:oMath>
        <m:r>
          <w:rPr>
            <w:rFonts w:ascii="Cambria Math" w:hAnsi="Cambria Math"/>
            <w:lang w:val="en-US"/>
          </w:rPr>
          <m:t>Sβ</m:t>
        </m:r>
      </m:oMath>
      <w:r w:rsidRPr="00C0765A">
        <w:rPr>
          <w:lang w:val="en-US"/>
        </w:rPr>
        <w:t xml:space="preserve"> = 0.19</w:t>
      </w:r>
      <w:r w:rsidR="00B46A18" w:rsidRPr="00C0765A">
        <w:rPr>
          <w:lang w:val="en-US"/>
        </w:rPr>
        <w:t xml:space="preserve">, but not </w:t>
      </w:r>
      <w:r w:rsidRPr="00C0765A">
        <w:rPr>
          <w:lang w:val="en-US"/>
        </w:rPr>
        <w:t>unpleasantness:</w:t>
      </w:r>
      <w:r w:rsidR="00B46A18" w:rsidRPr="00C0765A">
        <w:rPr>
          <w:lang w:val="en-US"/>
        </w:rPr>
        <w:t xml:space="preserve"> (</w:t>
      </w:r>
      <m:oMath>
        <m:r>
          <w:rPr>
            <w:rFonts w:ascii="Cambria Math" w:hAnsi="Cambria Math"/>
            <w:lang w:val="en-US"/>
          </w:rPr>
          <m:t>β</m:t>
        </m:r>
      </m:oMath>
      <w:r w:rsidRPr="00C0765A">
        <w:rPr>
          <w:lang w:val="en-US"/>
        </w:rPr>
        <w:t xml:space="preserve"> = -0.06, </w:t>
      </w:r>
      <w:r w:rsidRPr="00C0765A">
        <w:rPr>
          <w:i/>
          <w:iCs/>
          <w:lang w:val="en-US"/>
        </w:rPr>
        <w:t>CI</w:t>
      </w:r>
      <w:r w:rsidRPr="00C0765A">
        <w:rPr>
          <w:lang w:val="en-US"/>
        </w:rPr>
        <w:t xml:space="preserve"> = 0.34, </w:t>
      </w:r>
      <w:r w:rsidRPr="00C0765A">
        <w:rPr>
          <w:i/>
          <w:iCs/>
          <w:lang w:val="en-US"/>
        </w:rPr>
        <w:t>p</w:t>
      </w:r>
      <w:r w:rsidRPr="00C0765A">
        <w:rPr>
          <w:lang w:val="en-US"/>
        </w:rPr>
        <w:t xml:space="preserve"> = 0.49, </w:t>
      </w:r>
      <m:oMath>
        <m:r>
          <w:rPr>
            <w:rFonts w:ascii="Cambria Math" w:hAnsi="Cambria Math"/>
            <w:lang w:val="en-US"/>
          </w:rPr>
          <m:t>Sβ</m:t>
        </m:r>
      </m:oMath>
      <w:r w:rsidRPr="00C0765A">
        <w:rPr>
          <w:lang w:val="en-US"/>
        </w:rPr>
        <w:t xml:space="preserve"> = 0.00)</w:t>
      </w:r>
      <w:r w:rsidR="00BB10EF" w:rsidRPr="00C0765A">
        <w:rPr>
          <w:lang w:val="en-US"/>
        </w:rPr>
        <w:t>.</w:t>
      </w:r>
      <w:r w:rsidR="00E713AB" w:rsidRPr="00C0765A">
        <w:rPr>
          <w:lang w:val="en-US"/>
        </w:rPr>
        <w:t xml:space="preserve"> </w:t>
      </w:r>
      <w:r w:rsidR="00BB10EF" w:rsidRPr="00C0765A">
        <w:rPr>
          <w:lang w:val="en-US"/>
        </w:rPr>
        <w:t xml:space="preserve">Similarly, we found a small and non-significant main effect of </w:t>
      </w:r>
      <w:r w:rsidR="00BB10EF" w:rsidRPr="00C0765A">
        <w:rPr>
          <w:i/>
          <w:iCs/>
          <w:lang w:val="en-US"/>
        </w:rPr>
        <w:t>condition</w:t>
      </w:r>
      <w:r w:rsidR="00BB10EF" w:rsidRPr="00C0765A">
        <w:rPr>
          <w:lang w:val="en-US"/>
        </w:rPr>
        <w:t xml:space="preserve"> on the</w:t>
      </w:r>
      <w:r w:rsidR="007422D9" w:rsidRPr="00C0765A">
        <w:rPr>
          <w:lang w:val="en-US"/>
        </w:rPr>
        <w:t xml:space="preserve"> square-root-transformed</w:t>
      </w:r>
      <w:r w:rsidR="00BB10EF" w:rsidRPr="00C0765A">
        <w:rPr>
          <w:lang w:val="en-US"/>
        </w:rPr>
        <w:t xml:space="preserve"> intensity</w:t>
      </w:r>
      <w:r w:rsidR="00E836BA" w:rsidRPr="00C0765A">
        <w:rPr>
          <w:lang w:val="en-US"/>
        </w:rPr>
        <w:t xml:space="preserve"> ratings</w:t>
      </w:r>
      <w:r w:rsidR="00BB10EF" w:rsidRPr="00C0765A">
        <w:rPr>
          <w:lang w:val="en-US"/>
        </w:rPr>
        <w:t xml:space="preserve"> of electrocutaneous stimuli (</w:t>
      </w:r>
      <m:oMath>
        <m:r>
          <w:rPr>
            <w:rFonts w:ascii="Cambria Math" w:hAnsi="Cambria Math"/>
            <w:lang w:val="en-US"/>
          </w:rPr>
          <m:t>β</m:t>
        </m:r>
      </m:oMath>
      <w:r w:rsidR="00BB10EF" w:rsidRPr="00C0765A">
        <w:rPr>
          <w:lang w:val="en-US"/>
        </w:rPr>
        <w:t xml:space="preserve"> = 0.08, </w:t>
      </w:r>
      <w:r w:rsidR="00BB10EF" w:rsidRPr="00C0765A">
        <w:rPr>
          <w:i/>
          <w:iCs/>
          <w:lang w:val="en-US"/>
        </w:rPr>
        <w:t>CI</w:t>
      </w:r>
      <w:r w:rsidR="00BB10EF" w:rsidRPr="00C0765A">
        <w:rPr>
          <w:lang w:val="en-US"/>
        </w:rPr>
        <w:t xml:space="preserve"> = 0.23, </w:t>
      </w:r>
      <w:r w:rsidR="00BB10EF" w:rsidRPr="00C0765A">
        <w:rPr>
          <w:i/>
          <w:iCs/>
          <w:lang w:val="en-US"/>
        </w:rPr>
        <w:t>p</w:t>
      </w:r>
      <w:r w:rsidR="00BB10EF" w:rsidRPr="00C0765A">
        <w:rPr>
          <w:lang w:val="en-US"/>
        </w:rPr>
        <w:t xml:space="preserve"> = 0.18, </w:t>
      </w:r>
      <m:oMath>
        <m:r>
          <w:rPr>
            <w:rFonts w:ascii="Cambria Math" w:hAnsi="Cambria Math"/>
            <w:lang w:val="en-US"/>
          </w:rPr>
          <m:t>Sβ</m:t>
        </m:r>
      </m:oMath>
      <w:r w:rsidR="00BB10EF" w:rsidRPr="00C0765A">
        <w:rPr>
          <w:lang w:val="en-US"/>
        </w:rPr>
        <w:t xml:space="preserve"> = 0.13), but not unpleasantness: (</w:t>
      </w:r>
      <m:oMath>
        <m:r>
          <w:rPr>
            <w:rFonts w:ascii="Cambria Math" w:hAnsi="Cambria Math"/>
            <w:lang w:val="en-US"/>
          </w:rPr>
          <m:t>β</m:t>
        </m:r>
      </m:oMath>
      <w:r w:rsidR="00BB10EF" w:rsidRPr="00C0765A">
        <w:rPr>
          <w:lang w:val="en-US"/>
        </w:rPr>
        <w:t xml:space="preserve"> = 0.04, </w:t>
      </w:r>
      <w:r w:rsidR="00BB10EF" w:rsidRPr="00C0765A">
        <w:rPr>
          <w:i/>
          <w:iCs/>
          <w:lang w:val="en-US"/>
        </w:rPr>
        <w:t>CI</w:t>
      </w:r>
      <w:r w:rsidR="00BB10EF" w:rsidRPr="00C0765A">
        <w:rPr>
          <w:lang w:val="en-US"/>
        </w:rPr>
        <w:t xml:space="preserve"> = 0.22, </w:t>
      </w:r>
      <w:r w:rsidR="00BB10EF" w:rsidRPr="00C0765A">
        <w:rPr>
          <w:i/>
          <w:iCs/>
          <w:lang w:val="en-US"/>
        </w:rPr>
        <w:t>p</w:t>
      </w:r>
      <w:r w:rsidR="00BB10EF" w:rsidRPr="00C0765A">
        <w:rPr>
          <w:lang w:val="en-US"/>
        </w:rPr>
        <w:t xml:space="preserve"> = 0.48, </w:t>
      </w:r>
      <m:oMath>
        <m:r>
          <w:rPr>
            <w:rFonts w:ascii="Cambria Math" w:hAnsi="Cambria Math"/>
            <w:lang w:val="en-US"/>
          </w:rPr>
          <m:t>Sβ</m:t>
        </m:r>
      </m:oMath>
      <w:r w:rsidR="00BB10EF" w:rsidRPr="00C0765A">
        <w:rPr>
          <w:lang w:val="en-US"/>
        </w:rPr>
        <w:t xml:space="preserve"> = 0.00). We found no effects </w:t>
      </w:r>
      <w:r w:rsidR="007D7947" w:rsidRPr="00C0765A">
        <w:rPr>
          <w:lang w:val="en-US"/>
        </w:rPr>
        <w:t xml:space="preserve">of </w:t>
      </w:r>
      <w:r w:rsidR="001E28C7" w:rsidRPr="00C0765A">
        <w:rPr>
          <w:i/>
          <w:iCs/>
          <w:lang w:val="en-US"/>
        </w:rPr>
        <w:t>condition</w:t>
      </w:r>
      <w:r w:rsidR="007D7947" w:rsidRPr="00C0765A">
        <w:rPr>
          <w:lang w:val="en-US"/>
        </w:rPr>
        <w:t xml:space="preserve"> on the perception of </w:t>
      </w:r>
      <w:r w:rsidRPr="00C0765A">
        <w:rPr>
          <w:lang w:val="en-US"/>
        </w:rPr>
        <w:t xml:space="preserve">inspiratory occlusions (intensity: </w:t>
      </w:r>
      <m:oMath>
        <m:r>
          <w:rPr>
            <w:rFonts w:ascii="Cambria Math" w:hAnsi="Cambria Math"/>
            <w:lang w:val="en-US"/>
          </w:rPr>
          <m:t>β</m:t>
        </m:r>
      </m:oMath>
      <w:r w:rsidRPr="00C0765A">
        <w:rPr>
          <w:lang w:val="en-US"/>
        </w:rPr>
        <w:t xml:space="preserve"> = 0.11, </w:t>
      </w:r>
      <w:r w:rsidRPr="00C0765A">
        <w:rPr>
          <w:i/>
          <w:iCs/>
          <w:lang w:val="en-US"/>
        </w:rPr>
        <w:t>CI</w:t>
      </w:r>
      <w:r w:rsidRPr="00C0765A">
        <w:rPr>
          <w:lang w:val="en-US"/>
        </w:rPr>
        <w:t xml:space="preserve"> = 0.79, </w:t>
      </w:r>
      <w:r w:rsidRPr="00C0765A">
        <w:rPr>
          <w:i/>
          <w:iCs/>
          <w:lang w:val="en-US"/>
        </w:rPr>
        <w:t>p</w:t>
      </w:r>
      <w:r w:rsidRPr="00C0765A">
        <w:rPr>
          <w:lang w:val="en-US"/>
        </w:rPr>
        <w:t xml:space="preserve"> = 0.57, </w:t>
      </w:r>
      <m:oMath>
        <m:r>
          <w:rPr>
            <w:rFonts w:ascii="Cambria Math" w:hAnsi="Cambria Math"/>
            <w:lang w:val="en-US"/>
          </w:rPr>
          <m:t>Sβ</m:t>
        </m:r>
      </m:oMath>
      <w:r w:rsidRPr="00C0765A">
        <w:rPr>
          <w:lang w:val="en-US"/>
        </w:rPr>
        <w:t xml:space="preserve"> = 0.00; unpleasantness: </w:t>
      </w:r>
      <m:oMath>
        <m:r>
          <w:rPr>
            <w:rFonts w:ascii="Cambria Math" w:hAnsi="Cambria Math"/>
            <w:lang w:val="en-US"/>
          </w:rPr>
          <m:t>β</m:t>
        </m:r>
      </m:oMath>
      <w:r w:rsidRPr="00C0765A">
        <w:rPr>
          <w:lang w:val="en-US"/>
        </w:rPr>
        <w:t xml:space="preserve"> = 0.05, </w:t>
      </w:r>
      <w:r w:rsidRPr="00C0765A">
        <w:rPr>
          <w:i/>
          <w:iCs/>
          <w:lang w:val="en-US"/>
        </w:rPr>
        <w:t>CI</w:t>
      </w:r>
      <w:r w:rsidRPr="00C0765A">
        <w:rPr>
          <w:lang w:val="en-US"/>
        </w:rPr>
        <w:t xml:space="preserve"> = 0.74, </w:t>
      </w:r>
      <w:r w:rsidRPr="00C0765A">
        <w:rPr>
          <w:i/>
          <w:iCs/>
          <w:lang w:val="en-US"/>
        </w:rPr>
        <w:t>p</w:t>
      </w:r>
      <w:r w:rsidRPr="00C0765A">
        <w:rPr>
          <w:lang w:val="en-US"/>
        </w:rPr>
        <w:t xml:space="preserve"> = 0.78, </w:t>
      </w:r>
      <m:oMath>
        <m:r>
          <w:rPr>
            <w:rFonts w:ascii="Cambria Math" w:hAnsi="Cambria Math"/>
            <w:lang w:val="en-US"/>
          </w:rPr>
          <m:t>Sβ</m:t>
        </m:r>
      </m:oMath>
      <w:r w:rsidRPr="00C0765A">
        <w:rPr>
          <w:lang w:val="en-US"/>
        </w:rPr>
        <w:t xml:space="preserve"> = 0.00)</w:t>
      </w:r>
      <w:bookmarkEnd w:id="8"/>
      <w:r w:rsidR="007D7947" w:rsidRPr="00C0765A">
        <w:rPr>
          <w:lang w:val="en-US"/>
        </w:rPr>
        <w:t>.</w:t>
      </w:r>
    </w:p>
    <w:p w14:paraId="417A897B" w14:textId="77777777" w:rsidR="00B94709" w:rsidRPr="00C0765A" w:rsidRDefault="00B94709" w:rsidP="000E5353">
      <w:pPr>
        <w:jc w:val="center"/>
        <w:rPr>
          <w:lang w:val="en-US"/>
        </w:rPr>
      </w:pPr>
    </w:p>
    <w:p w14:paraId="17B59975" w14:textId="77777777" w:rsidR="005D5236" w:rsidRPr="00C0765A" w:rsidRDefault="005D5236" w:rsidP="000E5353">
      <w:pPr>
        <w:jc w:val="center"/>
        <w:rPr>
          <w:lang w:val="en-US"/>
        </w:rPr>
      </w:pPr>
    </w:p>
    <w:p w14:paraId="2EAFEF26" w14:textId="756A7899" w:rsidR="00280F3C" w:rsidRPr="00C0765A" w:rsidRDefault="00280F3C" w:rsidP="00746465">
      <w:pPr>
        <w:pStyle w:val="Caption"/>
        <w:keepNext/>
        <w:rPr>
          <w:lang w:val="en-US"/>
        </w:rPr>
      </w:pPr>
      <w:r w:rsidRPr="00C0765A">
        <w:rPr>
          <w:b/>
          <w:bCs/>
          <w:lang w:val="en-US"/>
        </w:rPr>
        <w:lastRenderedPageBreak/>
        <w:t xml:space="preserve">Table </w:t>
      </w:r>
      <w:r w:rsidRPr="00C0765A">
        <w:rPr>
          <w:b/>
          <w:bCs/>
        </w:rPr>
        <w:fldChar w:fldCharType="begin"/>
      </w:r>
      <w:r w:rsidRPr="00C0765A">
        <w:rPr>
          <w:b/>
          <w:bCs/>
          <w:lang w:val="en-US"/>
        </w:rPr>
        <w:instrText xml:space="preserve"> SEQ Table \* ARABIC </w:instrText>
      </w:r>
      <w:r w:rsidRPr="00C0765A">
        <w:rPr>
          <w:b/>
          <w:bCs/>
        </w:rPr>
        <w:fldChar w:fldCharType="separate"/>
      </w:r>
      <w:r w:rsidR="00F74AF7" w:rsidRPr="00C0765A">
        <w:rPr>
          <w:b/>
          <w:bCs/>
          <w:noProof/>
          <w:lang w:val="en-US"/>
        </w:rPr>
        <w:t>6</w:t>
      </w:r>
      <w:r w:rsidRPr="00C0765A">
        <w:rPr>
          <w:b/>
          <w:bCs/>
        </w:rPr>
        <w:fldChar w:fldCharType="end"/>
      </w:r>
      <w:r w:rsidRPr="00C0765A">
        <w:rPr>
          <w:lang w:val="en-US"/>
        </w:rPr>
        <w:t xml:space="preserve"> Descriptive statistics for</w:t>
      </w:r>
      <w:r w:rsidR="00854A23" w:rsidRPr="00C0765A">
        <w:rPr>
          <w:lang w:val="en-US"/>
        </w:rPr>
        <w:t xml:space="preserve"> the</w:t>
      </w:r>
      <w:r w:rsidRPr="00C0765A">
        <w:rPr>
          <w:lang w:val="en-US"/>
        </w:rPr>
        <w:t xml:space="preserve"> self-reported intensity and unpleasantness of sensory stimulation, as measured using modified Borg</w:t>
      </w:r>
      <w:r w:rsidR="00BD371A" w:rsidRPr="00C0765A">
        <w:rPr>
          <w:lang w:val="en-US"/>
        </w:rPr>
        <w:t xml:space="preserve"> </w:t>
      </w:r>
      <w:r w:rsidR="00352412" w:rsidRPr="00C0765A">
        <w:rPr>
          <w:lang w:val="en-US"/>
        </w:rPr>
        <w:t>scale</w:t>
      </w:r>
      <w:r w:rsidRPr="00C0765A">
        <w:rPr>
          <w:lang w:val="en-US"/>
        </w:rPr>
        <w:t xml:space="preserve"> ratings (0-10)</w:t>
      </w:r>
    </w:p>
    <w:tbl>
      <w:tblPr>
        <w:tblStyle w:val="TableGrid"/>
        <w:tblpPr w:leftFromText="141" w:rightFromText="141" w:vertAnchor="page" w:horzAnchor="margin" w:tblpY="2473"/>
        <w:tblW w:w="9214" w:type="dxa"/>
        <w:tblLayout w:type="fixed"/>
        <w:tblLook w:val="04A0" w:firstRow="1" w:lastRow="0" w:firstColumn="1" w:lastColumn="0" w:noHBand="0" w:noVBand="1"/>
      </w:tblPr>
      <w:tblGrid>
        <w:gridCol w:w="560"/>
        <w:gridCol w:w="574"/>
        <w:gridCol w:w="1276"/>
        <w:gridCol w:w="1417"/>
        <w:gridCol w:w="1134"/>
        <w:gridCol w:w="1418"/>
        <w:gridCol w:w="1417"/>
        <w:gridCol w:w="1418"/>
      </w:tblGrid>
      <w:tr w:rsidR="00154689" w:rsidRPr="00C0765A" w14:paraId="0EBE2E67" w14:textId="0388E1B6" w:rsidTr="003F54F2">
        <w:trPr>
          <w:trHeight w:val="477"/>
        </w:trPr>
        <w:tc>
          <w:tcPr>
            <w:tcW w:w="560" w:type="dxa"/>
            <w:tcBorders>
              <w:top w:val="nil"/>
              <w:left w:val="nil"/>
              <w:bottom w:val="nil"/>
              <w:right w:val="nil"/>
            </w:tcBorders>
          </w:tcPr>
          <w:p w14:paraId="265E2718" w14:textId="77777777" w:rsidR="00154689" w:rsidRPr="00C0765A" w:rsidRDefault="00154689" w:rsidP="003F54F2">
            <w:pPr>
              <w:ind w:firstLine="0"/>
              <w:rPr>
                <w:lang w:val="en-US"/>
              </w:rPr>
            </w:pPr>
          </w:p>
        </w:tc>
        <w:tc>
          <w:tcPr>
            <w:tcW w:w="574" w:type="dxa"/>
            <w:tcBorders>
              <w:top w:val="nil"/>
              <w:left w:val="nil"/>
              <w:bottom w:val="nil"/>
            </w:tcBorders>
          </w:tcPr>
          <w:p w14:paraId="050E88BB" w14:textId="77777777" w:rsidR="00154689" w:rsidRPr="00C0765A" w:rsidRDefault="00154689" w:rsidP="003F54F2">
            <w:pPr>
              <w:ind w:firstLine="0"/>
              <w:rPr>
                <w:lang w:val="en-US"/>
              </w:rPr>
            </w:pPr>
          </w:p>
        </w:tc>
        <w:tc>
          <w:tcPr>
            <w:tcW w:w="2693" w:type="dxa"/>
            <w:gridSpan w:val="2"/>
          </w:tcPr>
          <w:p w14:paraId="30DAD78C" w14:textId="31548181" w:rsidR="00154689" w:rsidRPr="00C0765A" w:rsidRDefault="00154689" w:rsidP="003F54F2">
            <w:pPr>
              <w:ind w:firstLine="0"/>
              <w:jc w:val="center"/>
              <w:rPr>
                <w:b/>
                <w:bCs/>
                <w:lang w:val="en-US"/>
              </w:rPr>
            </w:pPr>
            <w:r w:rsidRPr="00C0765A">
              <w:rPr>
                <w:b/>
                <w:bCs/>
                <w:lang w:val="en-US"/>
              </w:rPr>
              <w:t>Auditory blocks</w:t>
            </w:r>
          </w:p>
        </w:tc>
        <w:tc>
          <w:tcPr>
            <w:tcW w:w="2552" w:type="dxa"/>
            <w:gridSpan w:val="2"/>
          </w:tcPr>
          <w:p w14:paraId="515D98DD" w14:textId="26418BBF" w:rsidR="00154689" w:rsidRPr="00C0765A" w:rsidRDefault="00154689" w:rsidP="003F54F2">
            <w:pPr>
              <w:ind w:firstLine="0"/>
              <w:jc w:val="center"/>
              <w:rPr>
                <w:b/>
                <w:bCs/>
                <w:lang w:val="en-US"/>
              </w:rPr>
            </w:pPr>
            <w:r w:rsidRPr="00C0765A">
              <w:rPr>
                <w:b/>
                <w:bCs/>
                <w:lang w:val="en-US"/>
              </w:rPr>
              <w:t>Respiratory blocks</w:t>
            </w:r>
          </w:p>
        </w:tc>
        <w:tc>
          <w:tcPr>
            <w:tcW w:w="2835" w:type="dxa"/>
            <w:gridSpan w:val="2"/>
          </w:tcPr>
          <w:p w14:paraId="1DAA3A92" w14:textId="5634B089" w:rsidR="00154689" w:rsidRPr="00C0765A" w:rsidRDefault="00154689" w:rsidP="003F54F2">
            <w:pPr>
              <w:ind w:firstLine="0"/>
              <w:jc w:val="center"/>
              <w:rPr>
                <w:b/>
                <w:bCs/>
                <w:lang w:val="en-US"/>
              </w:rPr>
            </w:pPr>
            <w:r w:rsidRPr="00C0765A">
              <w:rPr>
                <w:b/>
                <w:bCs/>
                <w:lang w:val="en-US"/>
              </w:rPr>
              <w:t>Somatosensory blocks</w:t>
            </w:r>
          </w:p>
        </w:tc>
      </w:tr>
      <w:tr w:rsidR="00280F3C" w:rsidRPr="00C0765A" w14:paraId="12930AF5" w14:textId="04EFC69B" w:rsidTr="003F54F2">
        <w:trPr>
          <w:trHeight w:val="477"/>
        </w:trPr>
        <w:tc>
          <w:tcPr>
            <w:tcW w:w="560" w:type="dxa"/>
            <w:tcBorders>
              <w:top w:val="nil"/>
              <w:left w:val="nil"/>
              <w:right w:val="nil"/>
            </w:tcBorders>
          </w:tcPr>
          <w:p w14:paraId="3C1576B9" w14:textId="77777777" w:rsidR="00EE6BB5" w:rsidRPr="00C0765A" w:rsidRDefault="00EE6BB5" w:rsidP="003F54F2">
            <w:pPr>
              <w:ind w:firstLine="0"/>
              <w:rPr>
                <w:lang w:val="en-US"/>
              </w:rPr>
            </w:pPr>
          </w:p>
        </w:tc>
        <w:tc>
          <w:tcPr>
            <w:tcW w:w="574" w:type="dxa"/>
            <w:tcBorders>
              <w:top w:val="nil"/>
              <w:left w:val="nil"/>
            </w:tcBorders>
          </w:tcPr>
          <w:p w14:paraId="1E785E04" w14:textId="77777777" w:rsidR="00EE6BB5" w:rsidRPr="00C0765A" w:rsidRDefault="00EE6BB5" w:rsidP="003F54F2">
            <w:pPr>
              <w:ind w:firstLine="0"/>
              <w:rPr>
                <w:lang w:val="en-US"/>
              </w:rPr>
            </w:pPr>
          </w:p>
        </w:tc>
        <w:tc>
          <w:tcPr>
            <w:tcW w:w="1276" w:type="dxa"/>
          </w:tcPr>
          <w:p w14:paraId="0ABB8BE2" w14:textId="20E9D367" w:rsidR="00EE6BB5" w:rsidRPr="00C0765A" w:rsidRDefault="00EE6BB5" w:rsidP="003F54F2">
            <w:pPr>
              <w:ind w:firstLine="0"/>
              <w:jc w:val="center"/>
              <w:rPr>
                <w:b/>
                <w:bCs/>
                <w:lang w:val="en-US"/>
              </w:rPr>
            </w:pPr>
            <w:r w:rsidRPr="00C0765A">
              <w:rPr>
                <w:b/>
                <w:bCs/>
                <w:lang w:val="en-US"/>
              </w:rPr>
              <w:t>Intensity</w:t>
            </w:r>
          </w:p>
        </w:tc>
        <w:tc>
          <w:tcPr>
            <w:tcW w:w="1417" w:type="dxa"/>
          </w:tcPr>
          <w:p w14:paraId="57F21B11" w14:textId="02EA4F2A" w:rsidR="00EE6BB5" w:rsidRPr="00C0765A" w:rsidRDefault="00EE6BB5" w:rsidP="003F54F2">
            <w:pPr>
              <w:ind w:firstLine="0"/>
              <w:jc w:val="center"/>
              <w:rPr>
                <w:b/>
                <w:bCs/>
                <w:lang w:val="en-US"/>
              </w:rPr>
            </w:pPr>
            <w:r w:rsidRPr="00C0765A">
              <w:rPr>
                <w:b/>
                <w:bCs/>
                <w:lang w:val="en-US"/>
              </w:rPr>
              <w:t>Unpleasant</w:t>
            </w:r>
            <w:r w:rsidR="003F54F2" w:rsidRPr="00C0765A">
              <w:rPr>
                <w:b/>
                <w:bCs/>
                <w:lang w:val="en-US"/>
              </w:rPr>
              <w:t>-</w:t>
            </w:r>
            <w:r w:rsidRPr="00C0765A">
              <w:rPr>
                <w:b/>
                <w:bCs/>
                <w:lang w:val="en-US"/>
              </w:rPr>
              <w:t>ness</w:t>
            </w:r>
          </w:p>
        </w:tc>
        <w:tc>
          <w:tcPr>
            <w:tcW w:w="1134" w:type="dxa"/>
          </w:tcPr>
          <w:p w14:paraId="7E053D54" w14:textId="2401B721" w:rsidR="00EE6BB5" w:rsidRPr="00C0765A" w:rsidRDefault="00EE6BB5" w:rsidP="003F54F2">
            <w:pPr>
              <w:ind w:firstLine="0"/>
              <w:jc w:val="center"/>
              <w:rPr>
                <w:b/>
                <w:bCs/>
                <w:lang w:val="en-US"/>
              </w:rPr>
            </w:pPr>
            <w:r w:rsidRPr="00C0765A">
              <w:rPr>
                <w:b/>
                <w:bCs/>
                <w:lang w:val="en-US"/>
              </w:rPr>
              <w:t>Intensity</w:t>
            </w:r>
          </w:p>
        </w:tc>
        <w:tc>
          <w:tcPr>
            <w:tcW w:w="1418" w:type="dxa"/>
          </w:tcPr>
          <w:p w14:paraId="2A0EBDC5" w14:textId="71EBA9DD" w:rsidR="00EE6BB5" w:rsidRPr="00C0765A" w:rsidRDefault="00EE6BB5" w:rsidP="003F54F2">
            <w:pPr>
              <w:ind w:firstLine="0"/>
              <w:jc w:val="center"/>
              <w:rPr>
                <w:b/>
                <w:bCs/>
                <w:lang w:val="en-US"/>
              </w:rPr>
            </w:pPr>
            <w:r w:rsidRPr="00C0765A">
              <w:rPr>
                <w:b/>
                <w:bCs/>
                <w:lang w:val="en-US"/>
              </w:rPr>
              <w:t>Unpleasant</w:t>
            </w:r>
            <w:r w:rsidR="003F54F2" w:rsidRPr="00C0765A">
              <w:rPr>
                <w:b/>
                <w:bCs/>
                <w:lang w:val="en-US"/>
              </w:rPr>
              <w:t>-</w:t>
            </w:r>
            <w:r w:rsidRPr="00C0765A">
              <w:rPr>
                <w:b/>
                <w:bCs/>
                <w:lang w:val="en-US"/>
              </w:rPr>
              <w:t>ness</w:t>
            </w:r>
          </w:p>
        </w:tc>
        <w:tc>
          <w:tcPr>
            <w:tcW w:w="1417" w:type="dxa"/>
          </w:tcPr>
          <w:p w14:paraId="7DA2DC3B" w14:textId="24543E22" w:rsidR="00EE6BB5" w:rsidRPr="00C0765A" w:rsidRDefault="00EE6BB5" w:rsidP="003F54F2">
            <w:pPr>
              <w:ind w:firstLine="0"/>
              <w:jc w:val="center"/>
              <w:rPr>
                <w:b/>
                <w:bCs/>
                <w:lang w:val="en-US"/>
              </w:rPr>
            </w:pPr>
            <w:r w:rsidRPr="00C0765A">
              <w:rPr>
                <w:b/>
                <w:bCs/>
                <w:lang w:val="en-US"/>
              </w:rPr>
              <w:t>Intensity</w:t>
            </w:r>
          </w:p>
        </w:tc>
        <w:tc>
          <w:tcPr>
            <w:tcW w:w="1418" w:type="dxa"/>
          </w:tcPr>
          <w:p w14:paraId="6BE7BEEA" w14:textId="78E0788C" w:rsidR="00EE6BB5" w:rsidRPr="00C0765A" w:rsidRDefault="00EE6BB5" w:rsidP="003F54F2">
            <w:pPr>
              <w:ind w:firstLine="0"/>
              <w:jc w:val="center"/>
              <w:rPr>
                <w:b/>
                <w:bCs/>
                <w:lang w:val="en-US"/>
              </w:rPr>
            </w:pPr>
            <w:r w:rsidRPr="00C0765A">
              <w:rPr>
                <w:b/>
                <w:bCs/>
                <w:lang w:val="en-US"/>
              </w:rPr>
              <w:t>Unpleasant</w:t>
            </w:r>
            <w:r w:rsidR="003F54F2" w:rsidRPr="00C0765A">
              <w:rPr>
                <w:b/>
                <w:bCs/>
                <w:lang w:val="en-US"/>
              </w:rPr>
              <w:t>-</w:t>
            </w:r>
            <w:r w:rsidRPr="00C0765A">
              <w:rPr>
                <w:b/>
                <w:bCs/>
                <w:lang w:val="en-US"/>
              </w:rPr>
              <w:t>ness</w:t>
            </w:r>
          </w:p>
        </w:tc>
      </w:tr>
      <w:tr w:rsidR="00280F3C" w:rsidRPr="00C0765A" w14:paraId="1A458DBB" w14:textId="161F88E2" w:rsidTr="003F54F2">
        <w:trPr>
          <w:trHeight w:val="391"/>
        </w:trPr>
        <w:tc>
          <w:tcPr>
            <w:tcW w:w="560" w:type="dxa"/>
            <w:vMerge w:val="restart"/>
            <w:shd w:val="clear" w:color="auto" w:fill="E8E8E8" w:themeFill="background2"/>
            <w:textDirection w:val="tbRl"/>
          </w:tcPr>
          <w:p w14:paraId="2E180B0F" w14:textId="77777777" w:rsidR="00EE6BB5" w:rsidRPr="00C0765A" w:rsidRDefault="00EE6BB5" w:rsidP="003F54F2">
            <w:pPr>
              <w:ind w:left="113" w:right="113" w:firstLine="0"/>
              <w:jc w:val="center"/>
              <w:rPr>
                <w:b/>
                <w:bCs/>
                <w:lang w:val="en-US"/>
              </w:rPr>
            </w:pPr>
            <w:proofErr w:type="spellStart"/>
            <w:r w:rsidRPr="00C0765A">
              <w:rPr>
                <w:b/>
                <w:bCs/>
                <w:lang w:val="en-US"/>
              </w:rPr>
              <w:t>taVNS</w:t>
            </w:r>
            <w:proofErr w:type="spellEnd"/>
          </w:p>
        </w:tc>
        <w:tc>
          <w:tcPr>
            <w:tcW w:w="574" w:type="dxa"/>
          </w:tcPr>
          <w:p w14:paraId="6B6CFECF" w14:textId="77777777" w:rsidR="00EE6BB5" w:rsidRPr="00C0765A" w:rsidRDefault="00EE6BB5" w:rsidP="003F54F2">
            <w:pPr>
              <w:ind w:firstLine="0"/>
              <w:rPr>
                <w:i/>
                <w:iCs/>
                <w:lang w:val="en-US"/>
              </w:rPr>
            </w:pPr>
            <w:r w:rsidRPr="00C0765A">
              <w:rPr>
                <w:i/>
                <w:iCs/>
                <w:lang w:val="en-US"/>
              </w:rPr>
              <w:t>M</w:t>
            </w:r>
          </w:p>
        </w:tc>
        <w:tc>
          <w:tcPr>
            <w:tcW w:w="1276" w:type="dxa"/>
          </w:tcPr>
          <w:p w14:paraId="4F784C86" w14:textId="020593D5" w:rsidR="00EE6BB5" w:rsidRPr="00C0765A" w:rsidRDefault="00F22721" w:rsidP="003F54F2">
            <w:pPr>
              <w:ind w:firstLine="0"/>
              <w:jc w:val="center"/>
              <w:rPr>
                <w:lang w:val="en-US"/>
              </w:rPr>
            </w:pPr>
            <w:r w:rsidRPr="00C0765A">
              <w:rPr>
                <w:lang w:val="en-US"/>
              </w:rPr>
              <w:t>2.96</w:t>
            </w:r>
          </w:p>
        </w:tc>
        <w:tc>
          <w:tcPr>
            <w:tcW w:w="1417" w:type="dxa"/>
          </w:tcPr>
          <w:p w14:paraId="551C9E4C" w14:textId="0DA459F9" w:rsidR="00EE6BB5" w:rsidRPr="00C0765A" w:rsidRDefault="00644BAE" w:rsidP="003F54F2">
            <w:pPr>
              <w:ind w:firstLine="0"/>
              <w:jc w:val="center"/>
              <w:rPr>
                <w:lang w:val="en-US"/>
              </w:rPr>
            </w:pPr>
            <w:r w:rsidRPr="00C0765A">
              <w:rPr>
                <w:lang w:val="en-US"/>
              </w:rPr>
              <w:t>2.53</w:t>
            </w:r>
          </w:p>
        </w:tc>
        <w:tc>
          <w:tcPr>
            <w:tcW w:w="1134" w:type="dxa"/>
          </w:tcPr>
          <w:p w14:paraId="45F1BFD9" w14:textId="0D64CB3A" w:rsidR="00EE6BB5" w:rsidRPr="00C0765A" w:rsidRDefault="00635C5E" w:rsidP="003F54F2">
            <w:pPr>
              <w:ind w:firstLine="0"/>
              <w:jc w:val="center"/>
              <w:rPr>
                <w:lang w:val="en-US"/>
              </w:rPr>
            </w:pPr>
            <w:r w:rsidRPr="00C0765A">
              <w:rPr>
                <w:lang w:val="en-US"/>
              </w:rPr>
              <w:t>3.31</w:t>
            </w:r>
          </w:p>
        </w:tc>
        <w:tc>
          <w:tcPr>
            <w:tcW w:w="1418" w:type="dxa"/>
          </w:tcPr>
          <w:p w14:paraId="6659B36F" w14:textId="45F282F0" w:rsidR="00EE6BB5" w:rsidRPr="00C0765A" w:rsidRDefault="00635C5E" w:rsidP="003F54F2">
            <w:pPr>
              <w:ind w:firstLine="0"/>
              <w:jc w:val="center"/>
              <w:rPr>
                <w:lang w:val="en-US"/>
              </w:rPr>
            </w:pPr>
            <w:r w:rsidRPr="00C0765A">
              <w:rPr>
                <w:lang w:val="en-US"/>
              </w:rPr>
              <w:t>3.55</w:t>
            </w:r>
          </w:p>
        </w:tc>
        <w:tc>
          <w:tcPr>
            <w:tcW w:w="1417" w:type="dxa"/>
          </w:tcPr>
          <w:p w14:paraId="52D3056A" w14:textId="270A8683" w:rsidR="00EE6BB5" w:rsidRPr="00C0765A" w:rsidRDefault="00644BAE" w:rsidP="003F54F2">
            <w:pPr>
              <w:ind w:firstLine="0"/>
              <w:jc w:val="center"/>
              <w:rPr>
                <w:lang w:val="en-US"/>
              </w:rPr>
            </w:pPr>
            <w:r w:rsidRPr="00C0765A">
              <w:rPr>
                <w:lang w:val="en-US"/>
              </w:rPr>
              <w:t>2.15</w:t>
            </w:r>
          </w:p>
        </w:tc>
        <w:tc>
          <w:tcPr>
            <w:tcW w:w="1418" w:type="dxa"/>
          </w:tcPr>
          <w:p w14:paraId="0483A002" w14:textId="2C182A64" w:rsidR="00EE6BB5" w:rsidRPr="00C0765A" w:rsidRDefault="00644BAE" w:rsidP="003F54F2">
            <w:pPr>
              <w:ind w:firstLine="0"/>
              <w:jc w:val="center"/>
              <w:rPr>
                <w:lang w:val="en-US"/>
              </w:rPr>
            </w:pPr>
            <w:r w:rsidRPr="00C0765A">
              <w:rPr>
                <w:lang w:val="en-US"/>
              </w:rPr>
              <w:t>2.18</w:t>
            </w:r>
          </w:p>
        </w:tc>
      </w:tr>
      <w:tr w:rsidR="00280F3C" w:rsidRPr="00C0765A" w14:paraId="2901D2C0" w14:textId="14C188D5" w:rsidTr="003F54F2">
        <w:trPr>
          <w:trHeight w:val="145"/>
        </w:trPr>
        <w:tc>
          <w:tcPr>
            <w:tcW w:w="560" w:type="dxa"/>
            <w:vMerge/>
            <w:shd w:val="clear" w:color="auto" w:fill="E8E8E8" w:themeFill="background2"/>
            <w:textDirection w:val="tbRl"/>
          </w:tcPr>
          <w:p w14:paraId="795B01B1" w14:textId="77777777" w:rsidR="00EE6BB5" w:rsidRPr="00C0765A" w:rsidRDefault="00EE6BB5" w:rsidP="003F54F2">
            <w:pPr>
              <w:ind w:left="113" w:right="113" w:firstLine="0"/>
              <w:jc w:val="center"/>
              <w:rPr>
                <w:b/>
                <w:bCs/>
                <w:lang w:val="en-US"/>
              </w:rPr>
            </w:pPr>
          </w:p>
        </w:tc>
        <w:tc>
          <w:tcPr>
            <w:tcW w:w="574" w:type="dxa"/>
          </w:tcPr>
          <w:p w14:paraId="335CDD6F" w14:textId="77777777" w:rsidR="00EE6BB5" w:rsidRPr="00C0765A" w:rsidRDefault="00EE6BB5" w:rsidP="003F54F2">
            <w:pPr>
              <w:ind w:firstLine="0"/>
              <w:rPr>
                <w:i/>
                <w:iCs/>
                <w:lang w:val="en-US"/>
              </w:rPr>
            </w:pPr>
            <w:r w:rsidRPr="00C0765A">
              <w:rPr>
                <w:i/>
                <w:iCs/>
                <w:lang w:val="en-US"/>
              </w:rPr>
              <w:t>SD</w:t>
            </w:r>
          </w:p>
        </w:tc>
        <w:tc>
          <w:tcPr>
            <w:tcW w:w="1276" w:type="dxa"/>
          </w:tcPr>
          <w:p w14:paraId="0CA7C82A" w14:textId="07C869CF" w:rsidR="00EE6BB5" w:rsidRPr="00C0765A" w:rsidRDefault="00644BAE" w:rsidP="003F54F2">
            <w:pPr>
              <w:ind w:firstLine="0"/>
              <w:jc w:val="center"/>
              <w:rPr>
                <w:lang w:val="en-US"/>
              </w:rPr>
            </w:pPr>
            <w:r w:rsidRPr="00C0765A">
              <w:rPr>
                <w:lang w:val="en-US"/>
              </w:rPr>
              <w:t>1.86</w:t>
            </w:r>
          </w:p>
        </w:tc>
        <w:tc>
          <w:tcPr>
            <w:tcW w:w="1417" w:type="dxa"/>
          </w:tcPr>
          <w:p w14:paraId="1BB6A8C2" w14:textId="379B86B8" w:rsidR="00EE6BB5" w:rsidRPr="00C0765A" w:rsidRDefault="00644BAE" w:rsidP="003F54F2">
            <w:pPr>
              <w:ind w:firstLine="0"/>
              <w:jc w:val="center"/>
              <w:rPr>
                <w:lang w:val="en-US"/>
              </w:rPr>
            </w:pPr>
            <w:r w:rsidRPr="00C0765A">
              <w:rPr>
                <w:lang w:val="en-US"/>
              </w:rPr>
              <w:t>1.76</w:t>
            </w:r>
          </w:p>
        </w:tc>
        <w:tc>
          <w:tcPr>
            <w:tcW w:w="1134" w:type="dxa"/>
          </w:tcPr>
          <w:p w14:paraId="4974E87A" w14:textId="59C23401" w:rsidR="00EE6BB5" w:rsidRPr="00C0765A" w:rsidRDefault="00635C5E" w:rsidP="003F54F2">
            <w:pPr>
              <w:ind w:firstLine="0"/>
              <w:jc w:val="center"/>
              <w:rPr>
                <w:lang w:val="en-US"/>
              </w:rPr>
            </w:pPr>
            <w:r w:rsidRPr="00C0765A">
              <w:rPr>
                <w:lang w:val="en-US"/>
              </w:rPr>
              <w:t>1.98</w:t>
            </w:r>
          </w:p>
        </w:tc>
        <w:tc>
          <w:tcPr>
            <w:tcW w:w="1418" w:type="dxa"/>
          </w:tcPr>
          <w:p w14:paraId="25076D88" w14:textId="70F03073" w:rsidR="00EE6BB5" w:rsidRPr="00C0765A" w:rsidRDefault="00635C5E" w:rsidP="003F54F2">
            <w:pPr>
              <w:ind w:firstLine="0"/>
              <w:jc w:val="center"/>
              <w:rPr>
                <w:lang w:val="en-US"/>
              </w:rPr>
            </w:pPr>
            <w:r w:rsidRPr="00C0765A">
              <w:rPr>
                <w:lang w:val="en-US"/>
              </w:rPr>
              <w:t>2.07</w:t>
            </w:r>
          </w:p>
        </w:tc>
        <w:tc>
          <w:tcPr>
            <w:tcW w:w="1417" w:type="dxa"/>
          </w:tcPr>
          <w:p w14:paraId="5FAAFE50" w14:textId="747AB35F" w:rsidR="00EE6BB5" w:rsidRPr="00C0765A" w:rsidRDefault="00644BAE" w:rsidP="003F54F2">
            <w:pPr>
              <w:ind w:firstLine="0"/>
              <w:jc w:val="center"/>
              <w:rPr>
                <w:lang w:val="en-US"/>
              </w:rPr>
            </w:pPr>
            <w:r w:rsidRPr="00C0765A">
              <w:rPr>
                <w:lang w:val="en-US"/>
              </w:rPr>
              <w:t>1.46</w:t>
            </w:r>
          </w:p>
        </w:tc>
        <w:tc>
          <w:tcPr>
            <w:tcW w:w="1418" w:type="dxa"/>
          </w:tcPr>
          <w:p w14:paraId="3DEB1FF9" w14:textId="6DF90AB9" w:rsidR="00EE6BB5" w:rsidRPr="00C0765A" w:rsidRDefault="00644BAE" w:rsidP="003F54F2">
            <w:pPr>
              <w:ind w:firstLine="0"/>
              <w:jc w:val="center"/>
              <w:rPr>
                <w:lang w:val="en-US"/>
              </w:rPr>
            </w:pPr>
            <w:r w:rsidRPr="00C0765A">
              <w:rPr>
                <w:lang w:val="en-US"/>
              </w:rPr>
              <w:t>1.72</w:t>
            </w:r>
          </w:p>
        </w:tc>
      </w:tr>
      <w:tr w:rsidR="00280F3C" w:rsidRPr="00C0765A" w14:paraId="20DC851D" w14:textId="67F71C6D" w:rsidTr="003F54F2">
        <w:trPr>
          <w:trHeight w:val="145"/>
        </w:trPr>
        <w:tc>
          <w:tcPr>
            <w:tcW w:w="560" w:type="dxa"/>
            <w:vMerge/>
            <w:shd w:val="clear" w:color="auto" w:fill="E8E8E8" w:themeFill="background2"/>
            <w:textDirection w:val="tbRl"/>
          </w:tcPr>
          <w:p w14:paraId="45FEC925" w14:textId="77777777" w:rsidR="00EE6BB5" w:rsidRPr="00C0765A" w:rsidRDefault="00EE6BB5" w:rsidP="003F54F2">
            <w:pPr>
              <w:ind w:left="113" w:right="113" w:firstLine="0"/>
              <w:jc w:val="center"/>
              <w:rPr>
                <w:b/>
                <w:bCs/>
                <w:lang w:val="en-US"/>
              </w:rPr>
            </w:pPr>
          </w:p>
        </w:tc>
        <w:tc>
          <w:tcPr>
            <w:tcW w:w="574" w:type="dxa"/>
          </w:tcPr>
          <w:p w14:paraId="5A776F86" w14:textId="77777777" w:rsidR="00EE6BB5" w:rsidRPr="00C0765A" w:rsidRDefault="00EE6BB5" w:rsidP="003F54F2">
            <w:pPr>
              <w:ind w:firstLine="0"/>
              <w:rPr>
                <w:i/>
                <w:iCs/>
                <w:lang w:val="en-US"/>
              </w:rPr>
            </w:pPr>
            <w:r w:rsidRPr="00C0765A">
              <w:rPr>
                <w:i/>
                <w:iCs/>
                <w:lang w:val="en-US"/>
              </w:rPr>
              <w:t>N</w:t>
            </w:r>
          </w:p>
        </w:tc>
        <w:tc>
          <w:tcPr>
            <w:tcW w:w="1276" w:type="dxa"/>
          </w:tcPr>
          <w:p w14:paraId="32FE54C7" w14:textId="003A2305" w:rsidR="00EE6BB5" w:rsidRPr="00C0765A" w:rsidRDefault="00F22721" w:rsidP="003F54F2">
            <w:pPr>
              <w:ind w:firstLine="0"/>
              <w:jc w:val="center"/>
              <w:rPr>
                <w:lang w:val="en-US"/>
              </w:rPr>
            </w:pPr>
            <w:r w:rsidRPr="00C0765A">
              <w:rPr>
                <w:lang w:val="en-US"/>
              </w:rPr>
              <w:t>41</w:t>
            </w:r>
          </w:p>
        </w:tc>
        <w:tc>
          <w:tcPr>
            <w:tcW w:w="1417" w:type="dxa"/>
          </w:tcPr>
          <w:p w14:paraId="62071BC0" w14:textId="2563C718" w:rsidR="00EE6BB5" w:rsidRPr="00C0765A" w:rsidRDefault="00F22721" w:rsidP="003F54F2">
            <w:pPr>
              <w:ind w:firstLine="0"/>
              <w:jc w:val="center"/>
              <w:rPr>
                <w:lang w:val="en-US"/>
              </w:rPr>
            </w:pPr>
            <w:r w:rsidRPr="00C0765A">
              <w:rPr>
                <w:lang w:val="en-US"/>
              </w:rPr>
              <w:t>41</w:t>
            </w:r>
          </w:p>
        </w:tc>
        <w:tc>
          <w:tcPr>
            <w:tcW w:w="1134" w:type="dxa"/>
          </w:tcPr>
          <w:p w14:paraId="45C07D33" w14:textId="5AAF5DA5" w:rsidR="00EE6BB5" w:rsidRPr="00C0765A" w:rsidRDefault="00F22721" w:rsidP="003F54F2">
            <w:pPr>
              <w:ind w:firstLine="0"/>
              <w:jc w:val="center"/>
              <w:rPr>
                <w:lang w:val="en-US"/>
              </w:rPr>
            </w:pPr>
            <w:r w:rsidRPr="00C0765A">
              <w:rPr>
                <w:lang w:val="en-US"/>
              </w:rPr>
              <w:t>41</w:t>
            </w:r>
          </w:p>
        </w:tc>
        <w:tc>
          <w:tcPr>
            <w:tcW w:w="1418" w:type="dxa"/>
          </w:tcPr>
          <w:p w14:paraId="048FEF50" w14:textId="1A2A3443" w:rsidR="00EE6BB5" w:rsidRPr="00C0765A" w:rsidRDefault="00F22721" w:rsidP="003F54F2">
            <w:pPr>
              <w:ind w:firstLine="0"/>
              <w:jc w:val="center"/>
              <w:rPr>
                <w:lang w:val="en-US"/>
              </w:rPr>
            </w:pPr>
            <w:r w:rsidRPr="00C0765A">
              <w:rPr>
                <w:lang w:val="en-US"/>
              </w:rPr>
              <w:t>41</w:t>
            </w:r>
          </w:p>
        </w:tc>
        <w:tc>
          <w:tcPr>
            <w:tcW w:w="1417" w:type="dxa"/>
          </w:tcPr>
          <w:p w14:paraId="0E0A64CE" w14:textId="53904EC0" w:rsidR="00EE6BB5" w:rsidRPr="00C0765A" w:rsidRDefault="00F22721" w:rsidP="003F54F2">
            <w:pPr>
              <w:ind w:firstLine="0"/>
              <w:jc w:val="center"/>
              <w:rPr>
                <w:lang w:val="en-US"/>
              </w:rPr>
            </w:pPr>
            <w:r w:rsidRPr="00C0765A">
              <w:rPr>
                <w:lang w:val="en-US"/>
              </w:rPr>
              <w:t>41</w:t>
            </w:r>
          </w:p>
        </w:tc>
        <w:tc>
          <w:tcPr>
            <w:tcW w:w="1418" w:type="dxa"/>
          </w:tcPr>
          <w:p w14:paraId="3FC9F932" w14:textId="7FB0E8A9" w:rsidR="00EE6BB5" w:rsidRPr="00C0765A" w:rsidRDefault="00F22721" w:rsidP="003F54F2">
            <w:pPr>
              <w:ind w:firstLine="0"/>
              <w:jc w:val="center"/>
              <w:rPr>
                <w:lang w:val="en-US"/>
              </w:rPr>
            </w:pPr>
            <w:r w:rsidRPr="00C0765A">
              <w:rPr>
                <w:lang w:val="en-US"/>
              </w:rPr>
              <w:t>41</w:t>
            </w:r>
          </w:p>
        </w:tc>
      </w:tr>
      <w:tr w:rsidR="00280F3C" w:rsidRPr="00C0765A" w14:paraId="1FE7BD1D" w14:textId="241C2E43" w:rsidTr="003F54F2">
        <w:trPr>
          <w:trHeight w:val="391"/>
        </w:trPr>
        <w:tc>
          <w:tcPr>
            <w:tcW w:w="560" w:type="dxa"/>
            <w:vMerge w:val="restart"/>
            <w:tcBorders>
              <w:top w:val="single" w:sz="12" w:space="0" w:color="auto"/>
            </w:tcBorders>
            <w:shd w:val="clear" w:color="auto" w:fill="E8E8E8" w:themeFill="background2"/>
            <w:textDirection w:val="tbRl"/>
          </w:tcPr>
          <w:p w14:paraId="46EB7417" w14:textId="77777777" w:rsidR="00EE6BB5" w:rsidRPr="00C0765A" w:rsidRDefault="00EE6BB5" w:rsidP="003F54F2">
            <w:pPr>
              <w:ind w:left="113" w:right="113" w:firstLine="0"/>
              <w:jc w:val="center"/>
              <w:rPr>
                <w:b/>
                <w:bCs/>
                <w:lang w:val="en-US"/>
              </w:rPr>
            </w:pPr>
            <w:r w:rsidRPr="00C0765A">
              <w:rPr>
                <w:b/>
                <w:bCs/>
                <w:lang w:val="en-US"/>
              </w:rPr>
              <w:t>Sham</w:t>
            </w:r>
          </w:p>
        </w:tc>
        <w:tc>
          <w:tcPr>
            <w:tcW w:w="574" w:type="dxa"/>
            <w:tcBorders>
              <w:top w:val="single" w:sz="12" w:space="0" w:color="auto"/>
            </w:tcBorders>
          </w:tcPr>
          <w:p w14:paraId="51D165EE" w14:textId="77777777" w:rsidR="00EE6BB5" w:rsidRPr="00C0765A" w:rsidRDefault="00EE6BB5" w:rsidP="003F54F2">
            <w:pPr>
              <w:ind w:firstLine="0"/>
              <w:rPr>
                <w:i/>
                <w:iCs/>
                <w:lang w:val="en-US"/>
              </w:rPr>
            </w:pPr>
            <w:r w:rsidRPr="00C0765A">
              <w:rPr>
                <w:i/>
                <w:iCs/>
                <w:lang w:val="en-US"/>
              </w:rPr>
              <w:t>M</w:t>
            </w:r>
          </w:p>
        </w:tc>
        <w:tc>
          <w:tcPr>
            <w:tcW w:w="1276" w:type="dxa"/>
            <w:tcBorders>
              <w:top w:val="single" w:sz="12" w:space="0" w:color="auto"/>
            </w:tcBorders>
          </w:tcPr>
          <w:p w14:paraId="6940318D" w14:textId="38A4C287" w:rsidR="00EE6BB5" w:rsidRPr="00C0765A" w:rsidRDefault="00C63FDC" w:rsidP="003F54F2">
            <w:pPr>
              <w:ind w:firstLine="0"/>
              <w:jc w:val="center"/>
              <w:rPr>
                <w:lang w:val="en-US"/>
              </w:rPr>
            </w:pPr>
            <w:r w:rsidRPr="00C0765A">
              <w:rPr>
                <w:lang w:val="en-US"/>
              </w:rPr>
              <w:t>2.60</w:t>
            </w:r>
          </w:p>
        </w:tc>
        <w:tc>
          <w:tcPr>
            <w:tcW w:w="1417" w:type="dxa"/>
            <w:tcBorders>
              <w:top w:val="single" w:sz="12" w:space="0" w:color="auto"/>
            </w:tcBorders>
          </w:tcPr>
          <w:p w14:paraId="5EB9E31C" w14:textId="669A2103" w:rsidR="00EE6BB5" w:rsidRPr="00C0765A" w:rsidRDefault="00C63FDC" w:rsidP="003F54F2">
            <w:pPr>
              <w:ind w:firstLine="0"/>
              <w:jc w:val="center"/>
              <w:rPr>
                <w:lang w:val="en-US"/>
              </w:rPr>
            </w:pPr>
            <w:r w:rsidRPr="00C0765A">
              <w:rPr>
                <w:lang w:val="en-US"/>
              </w:rPr>
              <w:t>2.75</w:t>
            </w:r>
          </w:p>
        </w:tc>
        <w:tc>
          <w:tcPr>
            <w:tcW w:w="1134" w:type="dxa"/>
            <w:tcBorders>
              <w:top w:val="single" w:sz="12" w:space="0" w:color="auto"/>
            </w:tcBorders>
          </w:tcPr>
          <w:p w14:paraId="1C4A90CD" w14:textId="65CF3BC2" w:rsidR="00EE6BB5" w:rsidRPr="00C0765A" w:rsidRDefault="005B2C30" w:rsidP="003F54F2">
            <w:pPr>
              <w:ind w:firstLine="0"/>
              <w:jc w:val="center"/>
              <w:rPr>
                <w:lang w:val="en-US"/>
              </w:rPr>
            </w:pPr>
            <w:r w:rsidRPr="00C0765A">
              <w:rPr>
                <w:lang w:val="en-US"/>
              </w:rPr>
              <w:t>3.12</w:t>
            </w:r>
          </w:p>
        </w:tc>
        <w:tc>
          <w:tcPr>
            <w:tcW w:w="1418" w:type="dxa"/>
            <w:tcBorders>
              <w:top w:val="single" w:sz="12" w:space="0" w:color="auto"/>
            </w:tcBorders>
          </w:tcPr>
          <w:p w14:paraId="73A1C3F7" w14:textId="5ECCCDAB" w:rsidR="00EE6BB5" w:rsidRPr="00C0765A" w:rsidRDefault="005B2C30" w:rsidP="003F54F2">
            <w:pPr>
              <w:ind w:firstLine="0"/>
              <w:jc w:val="center"/>
              <w:rPr>
                <w:lang w:val="en-US"/>
              </w:rPr>
            </w:pPr>
            <w:r w:rsidRPr="00C0765A">
              <w:rPr>
                <w:lang w:val="en-US"/>
              </w:rPr>
              <w:t>3.35</w:t>
            </w:r>
          </w:p>
        </w:tc>
        <w:tc>
          <w:tcPr>
            <w:tcW w:w="1417" w:type="dxa"/>
            <w:tcBorders>
              <w:top w:val="single" w:sz="12" w:space="0" w:color="auto"/>
            </w:tcBorders>
          </w:tcPr>
          <w:p w14:paraId="682786FF" w14:textId="2CA69EEF" w:rsidR="00EE6BB5" w:rsidRPr="00C0765A" w:rsidRDefault="005B2C30" w:rsidP="003F54F2">
            <w:pPr>
              <w:ind w:firstLine="0"/>
              <w:jc w:val="center"/>
              <w:rPr>
                <w:lang w:val="en-US"/>
              </w:rPr>
            </w:pPr>
            <w:r w:rsidRPr="00C0765A">
              <w:rPr>
                <w:lang w:val="en-US"/>
              </w:rPr>
              <w:t>2.02</w:t>
            </w:r>
          </w:p>
        </w:tc>
        <w:tc>
          <w:tcPr>
            <w:tcW w:w="1418" w:type="dxa"/>
            <w:tcBorders>
              <w:top w:val="single" w:sz="12" w:space="0" w:color="auto"/>
            </w:tcBorders>
          </w:tcPr>
          <w:p w14:paraId="4F72C97D" w14:textId="1CA581A7" w:rsidR="00EE6BB5" w:rsidRPr="00C0765A" w:rsidRDefault="005B2C30" w:rsidP="003F54F2">
            <w:pPr>
              <w:ind w:firstLine="0"/>
              <w:jc w:val="center"/>
              <w:rPr>
                <w:lang w:val="en-US"/>
              </w:rPr>
            </w:pPr>
            <w:r w:rsidRPr="00C0765A">
              <w:rPr>
                <w:lang w:val="en-US"/>
              </w:rPr>
              <w:t>2.02</w:t>
            </w:r>
          </w:p>
        </w:tc>
      </w:tr>
      <w:tr w:rsidR="00280F3C" w:rsidRPr="00C0765A" w14:paraId="0BBACCC6" w14:textId="239A51CB" w:rsidTr="003F54F2">
        <w:trPr>
          <w:trHeight w:val="145"/>
        </w:trPr>
        <w:tc>
          <w:tcPr>
            <w:tcW w:w="560" w:type="dxa"/>
            <w:vMerge/>
            <w:shd w:val="clear" w:color="auto" w:fill="E8E8E8" w:themeFill="background2"/>
          </w:tcPr>
          <w:p w14:paraId="184EC80C" w14:textId="77777777" w:rsidR="00EE6BB5" w:rsidRPr="00C0765A" w:rsidRDefault="00EE6BB5" w:rsidP="003F54F2">
            <w:pPr>
              <w:ind w:firstLine="0"/>
              <w:rPr>
                <w:lang w:val="en-US"/>
              </w:rPr>
            </w:pPr>
          </w:p>
        </w:tc>
        <w:tc>
          <w:tcPr>
            <w:tcW w:w="574" w:type="dxa"/>
          </w:tcPr>
          <w:p w14:paraId="215D24EA" w14:textId="77777777" w:rsidR="00EE6BB5" w:rsidRPr="00C0765A" w:rsidRDefault="00EE6BB5" w:rsidP="003F54F2">
            <w:pPr>
              <w:ind w:firstLine="0"/>
              <w:rPr>
                <w:i/>
                <w:iCs/>
                <w:lang w:val="en-US"/>
              </w:rPr>
            </w:pPr>
            <w:r w:rsidRPr="00C0765A">
              <w:rPr>
                <w:i/>
                <w:iCs/>
                <w:lang w:val="en-US"/>
              </w:rPr>
              <w:t>SD</w:t>
            </w:r>
          </w:p>
        </w:tc>
        <w:tc>
          <w:tcPr>
            <w:tcW w:w="1276" w:type="dxa"/>
          </w:tcPr>
          <w:p w14:paraId="0D5DF376" w14:textId="1E2CFB45" w:rsidR="00EE6BB5" w:rsidRPr="00C0765A" w:rsidRDefault="00C63FDC" w:rsidP="003F54F2">
            <w:pPr>
              <w:ind w:firstLine="0"/>
              <w:jc w:val="center"/>
              <w:rPr>
                <w:lang w:val="en-US"/>
              </w:rPr>
            </w:pPr>
            <w:r w:rsidRPr="00C0765A">
              <w:rPr>
                <w:lang w:val="en-US"/>
              </w:rPr>
              <w:t>1.90</w:t>
            </w:r>
          </w:p>
        </w:tc>
        <w:tc>
          <w:tcPr>
            <w:tcW w:w="1417" w:type="dxa"/>
          </w:tcPr>
          <w:p w14:paraId="6851B029" w14:textId="5CEBD6D0" w:rsidR="00EE6BB5" w:rsidRPr="00C0765A" w:rsidRDefault="00C63FDC" w:rsidP="003F54F2">
            <w:pPr>
              <w:ind w:firstLine="0"/>
              <w:jc w:val="center"/>
              <w:rPr>
                <w:lang w:val="en-US"/>
              </w:rPr>
            </w:pPr>
            <w:r w:rsidRPr="00C0765A">
              <w:rPr>
                <w:lang w:val="en-US"/>
              </w:rPr>
              <w:t>2.00</w:t>
            </w:r>
          </w:p>
        </w:tc>
        <w:tc>
          <w:tcPr>
            <w:tcW w:w="1134" w:type="dxa"/>
          </w:tcPr>
          <w:p w14:paraId="20DFFAE0" w14:textId="307CFDA4" w:rsidR="00EE6BB5" w:rsidRPr="00C0765A" w:rsidRDefault="005B2C30" w:rsidP="003F54F2">
            <w:pPr>
              <w:ind w:firstLine="0"/>
              <w:jc w:val="center"/>
              <w:rPr>
                <w:lang w:val="en-US"/>
              </w:rPr>
            </w:pPr>
            <w:r w:rsidRPr="00C0765A">
              <w:rPr>
                <w:lang w:val="en-US"/>
              </w:rPr>
              <w:t>2.07</w:t>
            </w:r>
          </w:p>
        </w:tc>
        <w:tc>
          <w:tcPr>
            <w:tcW w:w="1418" w:type="dxa"/>
          </w:tcPr>
          <w:p w14:paraId="4BA81F04" w14:textId="27D3DDC3" w:rsidR="00EE6BB5" w:rsidRPr="00C0765A" w:rsidRDefault="005B2C30" w:rsidP="003F54F2">
            <w:pPr>
              <w:ind w:firstLine="0"/>
              <w:jc w:val="center"/>
              <w:rPr>
                <w:lang w:val="en-US"/>
              </w:rPr>
            </w:pPr>
            <w:r w:rsidRPr="00C0765A">
              <w:rPr>
                <w:lang w:val="en-US"/>
              </w:rPr>
              <w:t>2.11</w:t>
            </w:r>
          </w:p>
        </w:tc>
        <w:tc>
          <w:tcPr>
            <w:tcW w:w="1417" w:type="dxa"/>
          </w:tcPr>
          <w:p w14:paraId="72409D01" w14:textId="3B534EB3" w:rsidR="00EE6BB5" w:rsidRPr="00C0765A" w:rsidRDefault="005B2C30" w:rsidP="003F54F2">
            <w:pPr>
              <w:ind w:firstLine="0"/>
              <w:jc w:val="center"/>
              <w:rPr>
                <w:lang w:val="en-US"/>
              </w:rPr>
            </w:pPr>
            <w:r w:rsidRPr="00C0765A">
              <w:rPr>
                <w:lang w:val="en-US"/>
              </w:rPr>
              <w:t>1.76</w:t>
            </w:r>
          </w:p>
        </w:tc>
        <w:tc>
          <w:tcPr>
            <w:tcW w:w="1418" w:type="dxa"/>
          </w:tcPr>
          <w:p w14:paraId="33D41B69" w14:textId="11AB95C8" w:rsidR="00EE6BB5" w:rsidRPr="00C0765A" w:rsidRDefault="005B2C30" w:rsidP="003F54F2">
            <w:pPr>
              <w:ind w:firstLine="0"/>
              <w:jc w:val="center"/>
              <w:rPr>
                <w:lang w:val="en-US"/>
              </w:rPr>
            </w:pPr>
            <w:r w:rsidRPr="00C0765A">
              <w:rPr>
                <w:lang w:val="en-US"/>
              </w:rPr>
              <w:t>1.67</w:t>
            </w:r>
          </w:p>
        </w:tc>
      </w:tr>
      <w:tr w:rsidR="00280F3C" w:rsidRPr="00C0765A" w14:paraId="0D60EB7E" w14:textId="045AFED3" w:rsidTr="003F54F2">
        <w:trPr>
          <w:trHeight w:val="145"/>
        </w:trPr>
        <w:tc>
          <w:tcPr>
            <w:tcW w:w="560" w:type="dxa"/>
            <w:vMerge/>
            <w:shd w:val="clear" w:color="auto" w:fill="E8E8E8" w:themeFill="background2"/>
          </w:tcPr>
          <w:p w14:paraId="184E861F" w14:textId="77777777" w:rsidR="00EE6BB5" w:rsidRPr="00C0765A" w:rsidRDefault="00EE6BB5" w:rsidP="003F54F2">
            <w:pPr>
              <w:ind w:firstLine="0"/>
              <w:rPr>
                <w:lang w:val="en-US"/>
              </w:rPr>
            </w:pPr>
          </w:p>
        </w:tc>
        <w:tc>
          <w:tcPr>
            <w:tcW w:w="574" w:type="dxa"/>
          </w:tcPr>
          <w:p w14:paraId="177C23F6" w14:textId="77777777" w:rsidR="00EE6BB5" w:rsidRPr="00C0765A" w:rsidRDefault="00EE6BB5" w:rsidP="003F54F2">
            <w:pPr>
              <w:ind w:firstLine="0"/>
              <w:rPr>
                <w:i/>
                <w:iCs/>
                <w:lang w:val="en-US"/>
              </w:rPr>
            </w:pPr>
            <w:r w:rsidRPr="00C0765A">
              <w:rPr>
                <w:i/>
                <w:iCs/>
                <w:lang w:val="en-US"/>
              </w:rPr>
              <w:t>N</w:t>
            </w:r>
          </w:p>
        </w:tc>
        <w:tc>
          <w:tcPr>
            <w:tcW w:w="1276" w:type="dxa"/>
          </w:tcPr>
          <w:p w14:paraId="107C5FE6" w14:textId="0C7C3A10" w:rsidR="00EE6BB5" w:rsidRPr="00C0765A" w:rsidRDefault="00C63FDC" w:rsidP="003F54F2">
            <w:pPr>
              <w:ind w:firstLine="0"/>
              <w:jc w:val="center"/>
              <w:rPr>
                <w:lang w:val="en-US"/>
              </w:rPr>
            </w:pPr>
            <w:r w:rsidRPr="00C0765A">
              <w:rPr>
                <w:lang w:val="en-US"/>
              </w:rPr>
              <w:t>44</w:t>
            </w:r>
          </w:p>
        </w:tc>
        <w:tc>
          <w:tcPr>
            <w:tcW w:w="1417" w:type="dxa"/>
          </w:tcPr>
          <w:p w14:paraId="0E77B1A1" w14:textId="43AFC229" w:rsidR="00EE6BB5" w:rsidRPr="00C0765A" w:rsidRDefault="00C63FDC" w:rsidP="003F54F2">
            <w:pPr>
              <w:ind w:firstLine="0"/>
              <w:jc w:val="center"/>
              <w:rPr>
                <w:lang w:val="en-US"/>
              </w:rPr>
            </w:pPr>
            <w:r w:rsidRPr="00C0765A">
              <w:rPr>
                <w:lang w:val="en-US"/>
              </w:rPr>
              <w:t>44</w:t>
            </w:r>
          </w:p>
        </w:tc>
        <w:tc>
          <w:tcPr>
            <w:tcW w:w="1134" w:type="dxa"/>
          </w:tcPr>
          <w:p w14:paraId="20E6345F" w14:textId="1EDB1A8F" w:rsidR="00EE6BB5" w:rsidRPr="00C0765A" w:rsidRDefault="005B2C30" w:rsidP="003F54F2">
            <w:pPr>
              <w:ind w:firstLine="0"/>
              <w:jc w:val="center"/>
              <w:rPr>
                <w:lang w:val="en-US"/>
              </w:rPr>
            </w:pPr>
            <w:r w:rsidRPr="00C0765A">
              <w:rPr>
                <w:lang w:val="en-US"/>
              </w:rPr>
              <w:t>44</w:t>
            </w:r>
          </w:p>
        </w:tc>
        <w:tc>
          <w:tcPr>
            <w:tcW w:w="1418" w:type="dxa"/>
          </w:tcPr>
          <w:p w14:paraId="3A73F3E8" w14:textId="3D22B1C8" w:rsidR="00EE6BB5" w:rsidRPr="00C0765A" w:rsidRDefault="00F22721" w:rsidP="003F54F2">
            <w:pPr>
              <w:ind w:firstLine="0"/>
              <w:jc w:val="center"/>
              <w:rPr>
                <w:lang w:val="en-US"/>
              </w:rPr>
            </w:pPr>
            <w:r w:rsidRPr="00C0765A">
              <w:rPr>
                <w:lang w:val="en-US"/>
              </w:rPr>
              <w:t>44</w:t>
            </w:r>
          </w:p>
        </w:tc>
        <w:tc>
          <w:tcPr>
            <w:tcW w:w="1417" w:type="dxa"/>
          </w:tcPr>
          <w:p w14:paraId="31EE8CF7" w14:textId="22FB51E0" w:rsidR="00EE6BB5" w:rsidRPr="00C0765A" w:rsidRDefault="005B2C30" w:rsidP="003F54F2">
            <w:pPr>
              <w:ind w:firstLine="0"/>
              <w:jc w:val="center"/>
              <w:rPr>
                <w:lang w:val="en-US"/>
              </w:rPr>
            </w:pPr>
            <w:r w:rsidRPr="00C0765A">
              <w:rPr>
                <w:lang w:val="en-US"/>
              </w:rPr>
              <w:t>44</w:t>
            </w:r>
          </w:p>
        </w:tc>
        <w:tc>
          <w:tcPr>
            <w:tcW w:w="1418" w:type="dxa"/>
          </w:tcPr>
          <w:p w14:paraId="27A2AEEE" w14:textId="0699E59D" w:rsidR="00EE6BB5" w:rsidRPr="00C0765A" w:rsidRDefault="005B2C30" w:rsidP="003F54F2">
            <w:pPr>
              <w:ind w:firstLine="0"/>
              <w:jc w:val="center"/>
              <w:rPr>
                <w:lang w:val="en-US"/>
              </w:rPr>
            </w:pPr>
            <w:r w:rsidRPr="00C0765A">
              <w:rPr>
                <w:lang w:val="en-US"/>
              </w:rPr>
              <w:t>44</w:t>
            </w:r>
          </w:p>
        </w:tc>
      </w:tr>
    </w:tbl>
    <w:p w14:paraId="69E894E4" w14:textId="6F1E4A5E" w:rsidR="00257A6B" w:rsidRPr="00C0765A" w:rsidRDefault="00257A6B" w:rsidP="004B6064">
      <w:pPr>
        <w:pStyle w:val="Heading3"/>
        <w:rPr>
          <w:lang w:val="en-US"/>
        </w:rPr>
      </w:pPr>
      <w:r w:rsidRPr="00C0765A">
        <w:rPr>
          <w:lang w:val="en-US"/>
        </w:rPr>
        <w:t>3.</w:t>
      </w:r>
      <w:r w:rsidR="004B6064" w:rsidRPr="00C0765A">
        <w:rPr>
          <w:lang w:val="en-US"/>
        </w:rPr>
        <w:t>4.2</w:t>
      </w:r>
      <w:r w:rsidRPr="00C0765A">
        <w:rPr>
          <w:lang w:val="en-US"/>
        </w:rPr>
        <w:t xml:space="preserve"> </w:t>
      </w:r>
      <w:r w:rsidR="00A544C9" w:rsidRPr="00C0765A">
        <w:rPr>
          <w:lang w:val="en-US"/>
        </w:rPr>
        <w:t>Stimulation perception,</w:t>
      </w:r>
      <w:r w:rsidRPr="00C0765A">
        <w:rPr>
          <w:lang w:val="en-US"/>
        </w:rPr>
        <w:t xml:space="preserve"> </w:t>
      </w:r>
      <w:r w:rsidR="00F122E2" w:rsidRPr="00C0765A">
        <w:rPr>
          <w:lang w:val="en-US"/>
        </w:rPr>
        <w:t>side-effect</w:t>
      </w:r>
      <w:r w:rsidRPr="00C0765A">
        <w:rPr>
          <w:lang w:val="en-US"/>
        </w:rPr>
        <w:t>s and manipulation blindness</w:t>
      </w:r>
    </w:p>
    <w:p w14:paraId="24D889FE" w14:textId="61598023" w:rsidR="003D30F0" w:rsidRPr="00C0765A" w:rsidRDefault="00BD2D67" w:rsidP="009069CA">
      <w:pPr>
        <w:rPr>
          <w:lang w:val="en-US"/>
        </w:rPr>
      </w:pPr>
      <w:r w:rsidRPr="00C0765A">
        <w:rPr>
          <w:lang w:val="en-US"/>
        </w:rPr>
        <w:t xml:space="preserve">During two rating instances </w:t>
      </w:r>
      <w:r w:rsidR="001D414C" w:rsidRPr="00C0765A">
        <w:rPr>
          <w:lang w:val="en-US"/>
        </w:rPr>
        <w:t xml:space="preserve">(mid-stimulation and end-stimulation), participants indicated a mean </w:t>
      </w:r>
      <w:r w:rsidR="00352412" w:rsidRPr="00C0765A">
        <w:rPr>
          <w:lang w:val="en-US"/>
        </w:rPr>
        <w:t>perceived</w:t>
      </w:r>
      <w:r w:rsidR="001D414C" w:rsidRPr="00C0765A">
        <w:rPr>
          <w:lang w:val="en-US"/>
        </w:rPr>
        <w:t xml:space="preserve"> intensity of 21.17 </w:t>
      </w:r>
      <w:r w:rsidR="007762F5" w:rsidRPr="00C0765A">
        <w:rPr>
          <w:lang w:val="en-US"/>
        </w:rPr>
        <w:t>(</w:t>
      </w:r>
      <w:r w:rsidR="007762F5" w:rsidRPr="00C0765A">
        <w:rPr>
          <w:i/>
          <w:iCs/>
          <w:lang w:val="en-US"/>
        </w:rPr>
        <w:t>SD</w:t>
      </w:r>
      <w:r w:rsidR="007762F5" w:rsidRPr="00C0765A">
        <w:rPr>
          <w:lang w:val="en-US"/>
        </w:rPr>
        <w:t>(4</w:t>
      </w:r>
      <w:r w:rsidR="0049229F" w:rsidRPr="00C0765A">
        <w:rPr>
          <w:lang w:val="en-US"/>
        </w:rPr>
        <w:t>1</w:t>
      </w:r>
      <w:r w:rsidR="007762F5" w:rsidRPr="00C0765A">
        <w:rPr>
          <w:lang w:val="en-US"/>
        </w:rPr>
        <w:t xml:space="preserve">) = 20.65) </w:t>
      </w:r>
      <w:r w:rsidR="001D414C" w:rsidRPr="00C0765A">
        <w:rPr>
          <w:lang w:val="en-US"/>
        </w:rPr>
        <w:t xml:space="preserve">for </w:t>
      </w:r>
      <w:proofErr w:type="spellStart"/>
      <w:r w:rsidR="001D414C" w:rsidRPr="00C0765A">
        <w:rPr>
          <w:lang w:val="en-US"/>
        </w:rPr>
        <w:t>taVNS</w:t>
      </w:r>
      <w:proofErr w:type="spellEnd"/>
      <w:r w:rsidR="001D414C" w:rsidRPr="00C0765A">
        <w:rPr>
          <w:lang w:val="en-US"/>
        </w:rPr>
        <w:t xml:space="preserve"> and 19.93</w:t>
      </w:r>
      <w:r w:rsidR="007762F5" w:rsidRPr="00C0765A">
        <w:rPr>
          <w:lang w:val="en-US"/>
        </w:rPr>
        <w:t xml:space="preserve"> (</w:t>
      </w:r>
      <w:r w:rsidR="007762F5" w:rsidRPr="00C0765A">
        <w:rPr>
          <w:i/>
          <w:iCs/>
          <w:lang w:val="en-US"/>
        </w:rPr>
        <w:t>SD</w:t>
      </w:r>
      <w:r w:rsidR="007762F5" w:rsidRPr="00C0765A">
        <w:rPr>
          <w:lang w:val="en-US"/>
        </w:rPr>
        <w:t xml:space="preserve">(44) = </w:t>
      </w:r>
      <w:r w:rsidR="001E7B4F" w:rsidRPr="00C0765A">
        <w:rPr>
          <w:lang w:val="en-US"/>
        </w:rPr>
        <w:t>18</w:t>
      </w:r>
      <w:r w:rsidR="007762F5" w:rsidRPr="00C0765A">
        <w:rPr>
          <w:lang w:val="en-US"/>
        </w:rPr>
        <w:t>.6</w:t>
      </w:r>
      <w:r w:rsidR="001E7B4F" w:rsidRPr="00C0765A">
        <w:rPr>
          <w:lang w:val="en-US"/>
        </w:rPr>
        <w:t>7</w:t>
      </w:r>
      <w:r w:rsidR="007762F5" w:rsidRPr="00C0765A">
        <w:rPr>
          <w:lang w:val="en-US"/>
        </w:rPr>
        <w:t>)</w:t>
      </w:r>
      <w:r w:rsidR="001D414C" w:rsidRPr="00C0765A">
        <w:rPr>
          <w:lang w:val="en-US"/>
        </w:rPr>
        <w:t xml:space="preserve"> for Sham.</w:t>
      </w:r>
      <w:r w:rsidR="007C5B11" w:rsidRPr="00C0765A">
        <w:rPr>
          <w:lang w:val="en-US"/>
        </w:rPr>
        <w:t xml:space="preserve"> </w:t>
      </w:r>
      <w:r w:rsidR="003F2A81" w:rsidRPr="00C0765A">
        <w:rPr>
          <w:lang w:val="en-US"/>
        </w:rPr>
        <w:t>Participants indicated</w:t>
      </w:r>
      <w:r w:rsidR="00424CCE" w:rsidRPr="00C0765A">
        <w:rPr>
          <w:lang w:val="en-US"/>
        </w:rPr>
        <w:t xml:space="preserve"> on average</w:t>
      </w:r>
      <w:r w:rsidR="003F2A81" w:rsidRPr="00C0765A">
        <w:rPr>
          <w:lang w:val="en-US"/>
        </w:rPr>
        <w:t xml:space="preserve"> </w:t>
      </w:r>
      <w:r w:rsidR="009B2E72" w:rsidRPr="00C0765A">
        <w:rPr>
          <w:lang w:val="en-US"/>
        </w:rPr>
        <w:t xml:space="preserve">that </w:t>
      </w:r>
      <w:proofErr w:type="spellStart"/>
      <w:r w:rsidR="009B2E72" w:rsidRPr="00C0765A">
        <w:rPr>
          <w:lang w:val="en-US"/>
        </w:rPr>
        <w:t>taVNS</w:t>
      </w:r>
      <w:proofErr w:type="spellEnd"/>
      <w:r w:rsidR="009B2E72" w:rsidRPr="00C0765A">
        <w:rPr>
          <w:lang w:val="en-US"/>
        </w:rPr>
        <w:t xml:space="preserve"> was slightly unpleasant, with a mean rating of </w:t>
      </w:r>
      <w:r w:rsidR="00D63AD4" w:rsidRPr="00C0765A">
        <w:rPr>
          <w:lang w:val="en-US"/>
        </w:rPr>
        <w:t>-4.34 (</w:t>
      </w:r>
      <w:r w:rsidR="00D63AD4" w:rsidRPr="00C0765A">
        <w:rPr>
          <w:i/>
          <w:iCs/>
          <w:lang w:val="en-US"/>
        </w:rPr>
        <w:t>SD</w:t>
      </w:r>
      <w:r w:rsidR="00D63AD4" w:rsidRPr="00C0765A">
        <w:rPr>
          <w:lang w:val="en-US"/>
        </w:rPr>
        <w:t>(4</w:t>
      </w:r>
      <w:r w:rsidR="0049229F" w:rsidRPr="00C0765A">
        <w:rPr>
          <w:lang w:val="en-US"/>
        </w:rPr>
        <w:t>1</w:t>
      </w:r>
      <w:r w:rsidR="00D63AD4" w:rsidRPr="00C0765A">
        <w:rPr>
          <w:lang w:val="en-US"/>
        </w:rPr>
        <w:t xml:space="preserve">) = </w:t>
      </w:r>
      <w:r w:rsidR="00045637" w:rsidRPr="00C0765A">
        <w:rPr>
          <w:lang w:val="en-US"/>
        </w:rPr>
        <w:t>16.71</w:t>
      </w:r>
      <w:r w:rsidR="00D63AD4" w:rsidRPr="00C0765A">
        <w:rPr>
          <w:lang w:val="en-US"/>
        </w:rPr>
        <w:t>), while Sham</w:t>
      </w:r>
      <w:r w:rsidR="00066C8A" w:rsidRPr="00C0765A">
        <w:rPr>
          <w:lang w:val="en-US"/>
        </w:rPr>
        <w:t xml:space="preserve"> stimulation</w:t>
      </w:r>
      <w:r w:rsidR="00D63AD4" w:rsidRPr="00C0765A">
        <w:rPr>
          <w:lang w:val="en-US"/>
        </w:rPr>
        <w:t xml:space="preserve"> was on average slightly pleasant, with a mean rating of 2.73 (</w:t>
      </w:r>
      <w:r w:rsidR="00D63AD4" w:rsidRPr="00C0765A">
        <w:rPr>
          <w:i/>
          <w:iCs/>
          <w:lang w:val="en-US"/>
        </w:rPr>
        <w:t>SD</w:t>
      </w:r>
      <w:r w:rsidR="00D63AD4" w:rsidRPr="00C0765A">
        <w:rPr>
          <w:lang w:val="en-US"/>
        </w:rPr>
        <w:t xml:space="preserve">(44) = </w:t>
      </w:r>
      <w:r w:rsidR="00045637" w:rsidRPr="00C0765A">
        <w:rPr>
          <w:lang w:val="en-US"/>
        </w:rPr>
        <w:t>19.75)</w:t>
      </w:r>
      <w:r w:rsidR="00CA3BC9" w:rsidRPr="00C0765A">
        <w:rPr>
          <w:lang w:val="en-US"/>
        </w:rPr>
        <w:t xml:space="preserve">. The model comparing </w:t>
      </w:r>
      <w:proofErr w:type="spellStart"/>
      <w:r w:rsidR="00D75602" w:rsidRPr="00C0765A">
        <w:rPr>
          <w:lang w:val="en-US"/>
        </w:rPr>
        <w:t>taVNS</w:t>
      </w:r>
      <w:proofErr w:type="spellEnd"/>
      <w:r w:rsidR="00D75602" w:rsidRPr="00C0765A">
        <w:rPr>
          <w:lang w:val="en-US"/>
        </w:rPr>
        <w:t xml:space="preserve"> and Sham on</w:t>
      </w:r>
      <w:r w:rsidR="003477FE" w:rsidRPr="00C0765A">
        <w:rPr>
          <w:lang w:val="en-US"/>
        </w:rPr>
        <w:t xml:space="preserve"> log-transformed</w:t>
      </w:r>
      <w:r w:rsidR="00D75602" w:rsidRPr="00C0765A">
        <w:rPr>
          <w:lang w:val="en-US"/>
        </w:rPr>
        <w:t xml:space="preserve"> intensity</w:t>
      </w:r>
      <w:r w:rsidR="0046799A" w:rsidRPr="00C0765A">
        <w:rPr>
          <w:lang w:val="en-US"/>
        </w:rPr>
        <w:t xml:space="preserve"> ratings</w:t>
      </w:r>
      <w:r w:rsidR="00D75602" w:rsidRPr="00C0765A">
        <w:rPr>
          <w:lang w:val="en-US"/>
        </w:rPr>
        <w:t xml:space="preserve"> revealed no significant effect of </w:t>
      </w:r>
      <w:r w:rsidR="00D75602" w:rsidRPr="00C0765A">
        <w:rPr>
          <w:i/>
          <w:iCs/>
          <w:lang w:val="en-US"/>
        </w:rPr>
        <w:t>condition</w:t>
      </w:r>
      <w:r w:rsidR="00670A7E" w:rsidRPr="00C0765A">
        <w:rPr>
          <w:lang w:val="en-US"/>
        </w:rPr>
        <w:t xml:space="preserve"> (</w:t>
      </w:r>
      <m:oMath>
        <m:r>
          <w:rPr>
            <w:rFonts w:ascii="Cambria Math" w:hAnsi="Cambria Math"/>
            <w:lang w:val="en-US"/>
          </w:rPr>
          <m:t>β</m:t>
        </m:r>
      </m:oMath>
      <w:r w:rsidR="00670A7E" w:rsidRPr="00C0765A">
        <w:rPr>
          <w:lang w:val="en-US"/>
        </w:rPr>
        <w:t xml:space="preserve"> = 0.</w:t>
      </w:r>
      <w:r w:rsidR="00D233BB" w:rsidRPr="00C0765A">
        <w:rPr>
          <w:lang w:val="en-US"/>
        </w:rPr>
        <w:t>12</w:t>
      </w:r>
      <w:r w:rsidR="00670A7E" w:rsidRPr="00C0765A">
        <w:rPr>
          <w:lang w:val="en-US"/>
        </w:rPr>
        <w:t xml:space="preserve">, </w:t>
      </w:r>
      <w:r w:rsidR="00670A7E" w:rsidRPr="00C0765A">
        <w:rPr>
          <w:i/>
          <w:iCs/>
          <w:lang w:val="en-US"/>
        </w:rPr>
        <w:t>CI</w:t>
      </w:r>
      <w:r w:rsidR="00670A7E" w:rsidRPr="00C0765A">
        <w:rPr>
          <w:lang w:val="en-US"/>
        </w:rPr>
        <w:t xml:space="preserve"> = 0.</w:t>
      </w:r>
      <w:r w:rsidR="00D233BB" w:rsidRPr="00C0765A">
        <w:rPr>
          <w:lang w:val="en-US"/>
        </w:rPr>
        <w:t>20</w:t>
      </w:r>
      <w:r w:rsidR="00670A7E" w:rsidRPr="00C0765A">
        <w:rPr>
          <w:lang w:val="en-US"/>
        </w:rPr>
        <w:t xml:space="preserve">, </w:t>
      </w:r>
      <w:r w:rsidR="00670A7E" w:rsidRPr="00C0765A">
        <w:rPr>
          <w:i/>
          <w:iCs/>
          <w:lang w:val="en-US"/>
        </w:rPr>
        <w:t>p</w:t>
      </w:r>
      <w:r w:rsidR="00670A7E" w:rsidRPr="00C0765A">
        <w:rPr>
          <w:lang w:val="en-US"/>
        </w:rPr>
        <w:t xml:space="preserve"> = 0.</w:t>
      </w:r>
      <w:r w:rsidR="00D233BB" w:rsidRPr="00C0765A">
        <w:rPr>
          <w:lang w:val="en-US"/>
        </w:rPr>
        <w:t>54</w:t>
      </w:r>
      <w:r w:rsidR="00670A7E" w:rsidRPr="00C0765A">
        <w:rPr>
          <w:lang w:val="en-US"/>
        </w:rPr>
        <w:t xml:space="preserve">, </w:t>
      </w:r>
      <m:oMath>
        <m:r>
          <w:rPr>
            <w:rFonts w:ascii="Cambria Math" w:hAnsi="Cambria Math"/>
            <w:lang w:val="en-US"/>
          </w:rPr>
          <m:t>Sβ</m:t>
        </m:r>
      </m:oMath>
      <w:r w:rsidR="00670A7E" w:rsidRPr="00C0765A">
        <w:rPr>
          <w:lang w:val="en-US"/>
        </w:rPr>
        <w:t xml:space="preserve"> = 0.00)</w:t>
      </w:r>
      <w:r w:rsidR="00D75602" w:rsidRPr="00C0765A">
        <w:rPr>
          <w:lang w:val="en-US"/>
        </w:rPr>
        <w:t xml:space="preserve">, while the model for </w:t>
      </w:r>
      <w:r w:rsidR="00EB2802" w:rsidRPr="00C0765A">
        <w:rPr>
          <w:lang w:val="en-US"/>
        </w:rPr>
        <w:t xml:space="preserve">log-transformed </w:t>
      </w:r>
      <w:r w:rsidR="00D75602" w:rsidRPr="00C0765A">
        <w:rPr>
          <w:lang w:val="en-US"/>
        </w:rPr>
        <w:t xml:space="preserve">unpleasantness </w:t>
      </w:r>
      <w:r w:rsidR="00EB2802" w:rsidRPr="00C0765A">
        <w:rPr>
          <w:lang w:val="en-US"/>
        </w:rPr>
        <w:t xml:space="preserve">ratings </w:t>
      </w:r>
      <w:r w:rsidR="00D75602" w:rsidRPr="00C0765A">
        <w:rPr>
          <w:lang w:val="en-US"/>
        </w:rPr>
        <w:t>revealed a significant effect</w:t>
      </w:r>
      <w:r w:rsidR="00670A7E" w:rsidRPr="00C0765A">
        <w:rPr>
          <w:lang w:val="en-US"/>
        </w:rPr>
        <w:t xml:space="preserve"> (</w:t>
      </w:r>
      <m:oMath>
        <m:r>
          <w:rPr>
            <w:rFonts w:ascii="Cambria Math" w:hAnsi="Cambria Math"/>
            <w:lang w:val="en-US"/>
          </w:rPr>
          <m:t>β</m:t>
        </m:r>
      </m:oMath>
      <w:r w:rsidR="00670A7E" w:rsidRPr="00C0765A">
        <w:rPr>
          <w:lang w:val="en-US"/>
        </w:rPr>
        <w:t xml:space="preserve"> = </w:t>
      </w:r>
      <w:r w:rsidR="004E1866" w:rsidRPr="00C0765A">
        <w:rPr>
          <w:lang w:val="en-US"/>
        </w:rPr>
        <w:t>-0.23</w:t>
      </w:r>
      <w:r w:rsidR="00670A7E" w:rsidRPr="00C0765A">
        <w:rPr>
          <w:lang w:val="en-US"/>
        </w:rPr>
        <w:t xml:space="preserve">, </w:t>
      </w:r>
      <w:r w:rsidR="00670A7E" w:rsidRPr="00C0765A">
        <w:rPr>
          <w:i/>
          <w:iCs/>
          <w:lang w:val="en-US"/>
        </w:rPr>
        <w:t>CI</w:t>
      </w:r>
      <w:r w:rsidR="00670A7E" w:rsidRPr="00C0765A">
        <w:rPr>
          <w:lang w:val="en-US"/>
        </w:rPr>
        <w:t xml:space="preserve"> = 0.</w:t>
      </w:r>
      <w:r w:rsidR="004E1866" w:rsidRPr="00C0765A">
        <w:rPr>
          <w:lang w:val="en-US"/>
        </w:rPr>
        <w:t>10</w:t>
      </w:r>
      <w:r w:rsidR="00670A7E" w:rsidRPr="00C0765A">
        <w:rPr>
          <w:lang w:val="en-US"/>
        </w:rPr>
        <w:t xml:space="preserve">, </w:t>
      </w:r>
      <w:r w:rsidR="00670A7E" w:rsidRPr="00C0765A">
        <w:rPr>
          <w:i/>
          <w:iCs/>
          <w:lang w:val="en-US"/>
        </w:rPr>
        <w:t>p</w:t>
      </w:r>
      <w:r w:rsidR="00670A7E" w:rsidRPr="00C0765A">
        <w:rPr>
          <w:lang w:val="en-US"/>
        </w:rPr>
        <w:t xml:space="preserve"> = 0.</w:t>
      </w:r>
      <w:r w:rsidR="004E1866" w:rsidRPr="00C0765A">
        <w:rPr>
          <w:lang w:val="en-US"/>
        </w:rPr>
        <w:t>03</w:t>
      </w:r>
      <w:r w:rsidR="00670A7E" w:rsidRPr="00C0765A">
        <w:rPr>
          <w:lang w:val="en-US"/>
        </w:rPr>
        <w:t xml:space="preserve">, </w:t>
      </w:r>
      <m:oMath>
        <m:r>
          <w:rPr>
            <w:rFonts w:ascii="Cambria Math" w:hAnsi="Cambria Math"/>
            <w:lang w:val="en-US"/>
          </w:rPr>
          <m:t>Sβ</m:t>
        </m:r>
      </m:oMath>
      <w:r w:rsidR="00670A7E" w:rsidRPr="00C0765A">
        <w:rPr>
          <w:lang w:val="en-US"/>
        </w:rPr>
        <w:t xml:space="preserve"> = 0.</w:t>
      </w:r>
      <w:r w:rsidR="004D5943" w:rsidRPr="00C0765A">
        <w:rPr>
          <w:lang w:val="en-US"/>
        </w:rPr>
        <w:t>29</w:t>
      </w:r>
      <w:r w:rsidR="00670A7E" w:rsidRPr="00C0765A">
        <w:rPr>
          <w:lang w:val="en-US"/>
        </w:rPr>
        <w:t>)</w:t>
      </w:r>
      <w:r w:rsidR="00322EC4" w:rsidRPr="00C0765A">
        <w:rPr>
          <w:i/>
          <w:iCs/>
          <w:lang w:val="en-US"/>
        </w:rPr>
        <w:t>.</w:t>
      </w:r>
      <w:r w:rsidR="00B07183" w:rsidRPr="00C0765A">
        <w:rPr>
          <w:lang w:val="en-US"/>
        </w:rPr>
        <w:t xml:space="preserve"> </w:t>
      </w:r>
    </w:p>
    <w:p w14:paraId="4175140B" w14:textId="06DB7F71" w:rsidR="009069CA" w:rsidRPr="00C0765A" w:rsidRDefault="00F122E2" w:rsidP="009069CA">
      <w:pPr>
        <w:rPr>
          <w:lang w:val="en-US"/>
        </w:rPr>
      </w:pPr>
      <w:r w:rsidRPr="00C0765A">
        <w:rPr>
          <w:lang w:val="en-US"/>
        </w:rPr>
        <w:t xml:space="preserve">Descriptive statistics </w:t>
      </w:r>
      <w:r w:rsidR="006B0775" w:rsidRPr="00C0765A">
        <w:rPr>
          <w:lang w:val="en-US"/>
        </w:rPr>
        <w:t xml:space="preserve">and analyses </w:t>
      </w:r>
      <w:r w:rsidRPr="00C0765A">
        <w:rPr>
          <w:lang w:val="en-US"/>
        </w:rPr>
        <w:t>for</w:t>
      </w:r>
      <w:r w:rsidR="00C16FA9" w:rsidRPr="00C0765A">
        <w:rPr>
          <w:lang w:val="en-US"/>
        </w:rPr>
        <w:t xml:space="preserve"> </w:t>
      </w:r>
      <w:r w:rsidR="006B0775" w:rsidRPr="00C0765A">
        <w:rPr>
          <w:lang w:val="en-US"/>
        </w:rPr>
        <w:t xml:space="preserve">the </w:t>
      </w:r>
      <w:r w:rsidRPr="00C0765A">
        <w:rPr>
          <w:lang w:val="en-US"/>
        </w:rPr>
        <w:t xml:space="preserve">adverse side-effects are reported in </w:t>
      </w:r>
      <w:r w:rsidR="008A4926" w:rsidRPr="00C0765A">
        <w:rPr>
          <w:lang w:val="en-US"/>
        </w:rPr>
        <w:t xml:space="preserve">the Supplement, </w:t>
      </w:r>
      <w:r w:rsidR="00AB41E9" w:rsidRPr="00C0765A">
        <w:rPr>
          <w:lang w:val="en-US"/>
        </w:rPr>
        <w:t xml:space="preserve">in </w:t>
      </w:r>
      <w:r w:rsidR="008A4926" w:rsidRPr="00C0765A">
        <w:rPr>
          <w:lang w:val="en-US"/>
        </w:rPr>
        <w:t>Table</w:t>
      </w:r>
      <w:r w:rsidR="005F2146" w:rsidRPr="00C0765A">
        <w:rPr>
          <w:lang w:val="en-US"/>
        </w:rPr>
        <w:t>s</w:t>
      </w:r>
      <w:r w:rsidR="008A4926" w:rsidRPr="00C0765A">
        <w:rPr>
          <w:lang w:val="en-US"/>
        </w:rPr>
        <w:t xml:space="preserve"> S</w:t>
      </w:r>
      <w:r w:rsidR="00AB41E9" w:rsidRPr="00C0765A">
        <w:rPr>
          <w:lang w:val="en-US"/>
        </w:rPr>
        <w:t xml:space="preserve">3 and </w:t>
      </w:r>
      <w:r w:rsidR="005F2146" w:rsidRPr="00C0765A">
        <w:rPr>
          <w:lang w:val="en-US"/>
        </w:rPr>
        <w:t>S7</w:t>
      </w:r>
      <w:r w:rsidR="00AB41E9" w:rsidRPr="00C0765A">
        <w:rPr>
          <w:lang w:val="en-US"/>
        </w:rPr>
        <w:t>, respectively</w:t>
      </w:r>
      <w:r w:rsidR="001F6692" w:rsidRPr="00C0765A">
        <w:rPr>
          <w:lang w:val="en-US"/>
        </w:rPr>
        <w:t xml:space="preserve">. </w:t>
      </w:r>
      <w:r w:rsidR="00F23B93" w:rsidRPr="00C0765A">
        <w:rPr>
          <w:lang w:val="en-US"/>
        </w:rPr>
        <w:t>Most participants reported at least on</w:t>
      </w:r>
      <w:r w:rsidR="00116461" w:rsidRPr="00C0765A">
        <w:rPr>
          <w:lang w:val="en-US"/>
        </w:rPr>
        <w:t>e</w:t>
      </w:r>
      <w:r w:rsidR="00F23B93" w:rsidRPr="00C0765A">
        <w:rPr>
          <w:lang w:val="en-US"/>
        </w:rPr>
        <w:t xml:space="preserve"> side-effect,</w:t>
      </w:r>
      <w:r w:rsidR="00407188" w:rsidRPr="00C0765A">
        <w:rPr>
          <w:lang w:val="en-US"/>
        </w:rPr>
        <w:t xml:space="preserve"> </w:t>
      </w:r>
      <w:r w:rsidR="00116461" w:rsidRPr="00C0765A">
        <w:rPr>
          <w:lang w:val="en-US"/>
        </w:rPr>
        <w:t>in a large majority of cases</w:t>
      </w:r>
      <w:r w:rsidR="00A05423" w:rsidRPr="00C0765A">
        <w:rPr>
          <w:lang w:val="en-US"/>
        </w:rPr>
        <w:t xml:space="preserve"> to an</w:t>
      </w:r>
      <w:r w:rsidR="00407188" w:rsidRPr="00C0765A">
        <w:rPr>
          <w:lang w:val="en-US"/>
        </w:rPr>
        <w:t xml:space="preserve"> </w:t>
      </w:r>
      <w:r w:rsidR="00A05423" w:rsidRPr="00C0765A">
        <w:rPr>
          <w:lang w:val="en-US"/>
        </w:rPr>
        <w:t>‘extremely limited’</w:t>
      </w:r>
      <w:r w:rsidR="00F23B93" w:rsidRPr="00C0765A">
        <w:rPr>
          <w:lang w:val="en-US"/>
        </w:rPr>
        <w:t xml:space="preserve"> (1)</w:t>
      </w:r>
      <w:r w:rsidR="00A05423" w:rsidRPr="00C0765A">
        <w:rPr>
          <w:lang w:val="en-US"/>
        </w:rPr>
        <w:t xml:space="preserve"> or </w:t>
      </w:r>
      <w:r w:rsidR="00B204D9" w:rsidRPr="00C0765A">
        <w:rPr>
          <w:lang w:val="en-US"/>
        </w:rPr>
        <w:t>‘very limited’</w:t>
      </w:r>
      <w:r w:rsidR="00F23B93" w:rsidRPr="00C0765A">
        <w:rPr>
          <w:lang w:val="en-US"/>
        </w:rPr>
        <w:t xml:space="preserve"> (2)</w:t>
      </w:r>
      <w:r w:rsidR="00A05423" w:rsidRPr="00C0765A">
        <w:rPr>
          <w:lang w:val="en-US"/>
        </w:rPr>
        <w:t xml:space="preserve"> extent</w:t>
      </w:r>
      <w:r w:rsidR="00D2206D" w:rsidRPr="00C0765A">
        <w:rPr>
          <w:lang w:val="en-US"/>
        </w:rPr>
        <w:t>. Generalized linear mixed effects models</w:t>
      </w:r>
      <w:r w:rsidR="002351E4" w:rsidRPr="00C0765A">
        <w:rPr>
          <w:lang w:val="en-US"/>
        </w:rPr>
        <w:t>,</w:t>
      </w:r>
      <w:r w:rsidR="00D2206D" w:rsidRPr="00C0765A">
        <w:rPr>
          <w:lang w:val="en-US"/>
        </w:rPr>
        <w:t xml:space="preserve"> </w:t>
      </w:r>
      <w:r w:rsidR="00256D91" w:rsidRPr="00C0765A">
        <w:rPr>
          <w:lang w:val="en-US"/>
        </w:rPr>
        <w:t>using a Poisson distribution for</w:t>
      </w:r>
      <w:r w:rsidR="00D2206D" w:rsidRPr="00C0765A">
        <w:rPr>
          <w:lang w:val="en-US"/>
        </w:rPr>
        <w:t xml:space="preserve"> </w:t>
      </w:r>
      <w:r w:rsidR="009A6AF3" w:rsidRPr="00C0765A">
        <w:rPr>
          <w:lang w:val="en-US"/>
        </w:rPr>
        <w:t>zero-inflated data</w:t>
      </w:r>
      <w:r w:rsidR="002351E4" w:rsidRPr="00C0765A">
        <w:rPr>
          <w:lang w:val="en-US"/>
        </w:rPr>
        <w:t>,</w:t>
      </w:r>
      <w:r w:rsidR="00B64EA5" w:rsidRPr="00C0765A">
        <w:rPr>
          <w:lang w:val="en-US"/>
        </w:rPr>
        <w:t xml:space="preserve"> showed that participants reported significantly </w:t>
      </w:r>
      <w:r w:rsidR="00C34358" w:rsidRPr="00C0765A">
        <w:rPr>
          <w:lang w:val="en-US"/>
        </w:rPr>
        <w:t xml:space="preserve">more instances of pain </w:t>
      </w:r>
      <w:r w:rsidR="005304E7" w:rsidRPr="00C0765A">
        <w:rPr>
          <w:lang w:val="en-US"/>
        </w:rPr>
        <w:t>(</w:t>
      </w:r>
      <m:oMath>
        <m:r>
          <w:rPr>
            <w:rFonts w:ascii="Cambria Math" w:hAnsi="Cambria Math"/>
            <w:lang w:val="en-US"/>
          </w:rPr>
          <m:t>β</m:t>
        </m:r>
      </m:oMath>
      <w:r w:rsidR="005304E7" w:rsidRPr="00C0765A">
        <w:rPr>
          <w:lang w:val="en-US"/>
        </w:rPr>
        <w:t xml:space="preserve"> = 0.68, </w:t>
      </w:r>
      <w:r w:rsidR="005304E7" w:rsidRPr="00C0765A">
        <w:rPr>
          <w:i/>
          <w:iCs/>
          <w:lang w:val="en-US"/>
        </w:rPr>
        <w:t>CI</w:t>
      </w:r>
      <w:r w:rsidR="005304E7" w:rsidRPr="00C0765A">
        <w:rPr>
          <w:lang w:val="en-US"/>
        </w:rPr>
        <w:t xml:space="preserve"> = 0.</w:t>
      </w:r>
      <w:r w:rsidR="009E757A" w:rsidRPr="00C0765A">
        <w:rPr>
          <w:lang w:val="en-US"/>
        </w:rPr>
        <w:t>31</w:t>
      </w:r>
      <w:r w:rsidR="005304E7" w:rsidRPr="00C0765A">
        <w:rPr>
          <w:lang w:val="en-US"/>
        </w:rPr>
        <w:t xml:space="preserve">, </w:t>
      </w:r>
      <w:r w:rsidR="005304E7" w:rsidRPr="00C0765A">
        <w:rPr>
          <w:i/>
          <w:iCs/>
          <w:lang w:val="en-US"/>
        </w:rPr>
        <w:t>p</w:t>
      </w:r>
      <w:r w:rsidR="005304E7" w:rsidRPr="00C0765A">
        <w:rPr>
          <w:lang w:val="en-US"/>
        </w:rPr>
        <w:t xml:space="preserve"> = 0.</w:t>
      </w:r>
      <w:r w:rsidR="009E757A" w:rsidRPr="00C0765A">
        <w:rPr>
          <w:lang w:val="en-US"/>
        </w:rPr>
        <w:t>03</w:t>
      </w:r>
      <w:r w:rsidR="005304E7" w:rsidRPr="00C0765A">
        <w:rPr>
          <w:lang w:val="en-US"/>
        </w:rPr>
        <w:t>)</w:t>
      </w:r>
      <w:r w:rsidR="00DB4253" w:rsidRPr="00C0765A">
        <w:rPr>
          <w:lang w:val="en-US"/>
        </w:rPr>
        <w:t xml:space="preserve">, </w:t>
      </w:r>
      <w:r w:rsidR="00CA3BC9" w:rsidRPr="00C0765A">
        <w:rPr>
          <w:lang w:val="en-US"/>
        </w:rPr>
        <w:t>tingling (</w:t>
      </w:r>
      <m:oMath>
        <m:r>
          <w:rPr>
            <w:rFonts w:ascii="Cambria Math" w:hAnsi="Cambria Math"/>
            <w:lang w:val="en-US"/>
          </w:rPr>
          <m:t>β</m:t>
        </m:r>
      </m:oMath>
      <w:r w:rsidR="00CA3BC9" w:rsidRPr="00C0765A">
        <w:rPr>
          <w:lang w:val="en-US"/>
        </w:rPr>
        <w:t xml:space="preserve"> = 0.</w:t>
      </w:r>
      <w:r w:rsidR="00B07183" w:rsidRPr="00C0765A">
        <w:rPr>
          <w:lang w:val="en-US"/>
        </w:rPr>
        <w:t>59</w:t>
      </w:r>
      <w:r w:rsidR="00CA3BC9" w:rsidRPr="00C0765A">
        <w:rPr>
          <w:lang w:val="en-US"/>
        </w:rPr>
        <w:t xml:space="preserve">, </w:t>
      </w:r>
      <w:r w:rsidR="00CA3BC9" w:rsidRPr="00C0765A">
        <w:rPr>
          <w:i/>
          <w:iCs/>
          <w:lang w:val="en-US"/>
        </w:rPr>
        <w:t>CI</w:t>
      </w:r>
      <w:r w:rsidR="00CA3BC9" w:rsidRPr="00C0765A">
        <w:rPr>
          <w:lang w:val="en-US"/>
        </w:rPr>
        <w:t xml:space="preserve"> = 0.</w:t>
      </w:r>
      <w:r w:rsidR="00B07183" w:rsidRPr="00C0765A">
        <w:rPr>
          <w:lang w:val="en-US"/>
        </w:rPr>
        <w:t>21</w:t>
      </w:r>
      <w:r w:rsidR="00CA3BC9" w:rsidRPr="00C0765A">
        <w:rPr>
          <w:lang w:val="en-US"/>
        </w:rPr>
        <w:t xml:space="preserve">, </w:t>
      </w:r>
      <w:r w:rsidR="00CA3BC9" w:rsidRPr="00C0765A">
        <w:rPr>
          <w:i/>
          <w:iCs/>
          <w:lang w:val="en-US"/>
        </w:rPr>
        <w:t>p</w:t>
      </w:r>
      <w:r w:rsidR="00CA3BC9" w:rsidRPr="00C0765A">
        <w:rPr>
          <w:lang w:val="en-US"/>
        </w:rPr>
        <w:t xml:space="preserve"> = 0.0</w:t>
      </w:r>
      <w:r w:rsidR="00B07183" w:rsidRPr="00C0765A">
        <w:rPr>
          <w:lang w:val="en-US"/>
        </w:rPr>
        <w:t>04</w:t>
      </w:r>
      <w:r w:rsidR="00CA3BC9" w:rsidRPr="00C0765A">
        <w:rPr>
          <w:lang w:val="en-US"/>
        </w:rPr>
        <w:t>), and burning (</w:t>
      </w:r>
      <m:oMath>
        <m:r>
          <w:rPr>
            <w:rFonts w:ascii="Cambria Math" w:hAnsi="Cambria Math"/>
            <w:lang w:val="en-US"/>
          </w:rPr>
          <m:t>β</m:t>
        </m:r>
      </m:oMath>
      <w:r w:rsidR="00CA3BC9" w:rsidRPr="00C0765A">
        <w:rPr>
          <w:lang w:val="en-US"/>
        </w:rPr>
        <w:t xml:space="preserve"> = 0.</w:t>
      </w:r>
      <w:r w:rsidR="00537213" w:rsidRPr="00C0765A">
        <w:rPr>
          <w:lang w:val="en-US"/>
        </w:rPr>
        <w:t>90</w:t>
      </w:r>
      <w:r w:rsidR="00CA3BC9" w:rsidRPr="00C0765A">
        <w:rPr>
          <w:lang w:val="en-US"/>
        </w:rPr>
        <w:t xml:space="preserve">, </w:t>
      </w:r>
      <w:r w:rsidR="00CA3BC9" w:rsidRPr="00C0765A">
        <w:rPr>
          <w:i/>
          <w:iCs/>
          <w:lang w:val="en-US"/>
        </w:rPr>
        <w:t>CI</w:t>
      </w:r>
      <w:r w:rsidR="00CA3BC9" w:rsidRPr="00C0765A">
        <w:rPr>
          <w:lang w:val="en-US"/>
        </w:rPr>
        <w:t xml:space="preserve"> = 0.</w:t>
      </w:r>
      <w:r w:rsidR="00537213" w:rsidRPr="00C0765A">
        <w:rPr>
          <w:lang w:val="en-US"/>
        </w:rPr>
        <w:t>43</w:t>
      </w:r>
      <w:r w:rsidR="00CA3BC9" w:rsidRPr="00C0765A">
        <w:rPr>
          <w:lang w:val="en-US"/>
        </w:rPr>
        <w:t xml:space="preserve">, </w:t>
      </w:r>
      <w:r w:rsidR="00CA3BC9" w:rsidRPr="00C0765A">
        <w:rPr>
          <w:i/>
          <w:iCs/>
          <w:lang w:val="en-US"/>
        </w:rPr>
        <w:t>p</w:t>
      </w:r>
      <w:r w:rsidR="00CA3BC9" w:rsidRPr="00C0765A">
        <w:rPr>
          <w:lang w:val="en-US"/>
        </w:rPr>
        <w:t xml:space="preserve"> = 0.0</w:t>
      </w:r>
      <w:r w:rsidR="00537213" w:rsidRPr="00C0765A">
        <w:rPr>
          <w:lang w:val="en-US"/>
        </w:rPr>
        <w:t>4</w:t>
      </w:r>
      <w:r w:rsidR="00CA3BC9" w:rsidRPr="00C0765A">
        <w:rPr>
          <w:lang w:val="en-US"/>
        </w:rPr>
        <w:t xml:space="preserve">) after </w:t>
      </w:r>
      <w:proofErr w:type="spellStart"/>
      <w:r w:rsidR="00CA3BC9" w:rsidRPr="00C0765A">
        <w:rPr>
          <w:lang w:val="en-US"/>
        </w:rPr>
        <w:t>taVNS</w:t>
      </w:r>
      <w:proofErr w:type="spellEnd"/>
      <w:r w:rsidR="00CA3BC9" w:rsidRPr="00C0765A">
        <w:rPr>
          <w:lang w:val="en-US"/>
        </w:rPr>
        <w:t xml:space="preserve"> compared to Sham. The models for other side-effects revealed no significant differences.</w:t>
      </w:r>
    </w:p>
    <w:p w14:paraId="07DFB113" w14:textId="1528CC87" w:rsidR="004C4732" w:rsidRPr="00C0765A" w:rsidRDefault="00552553" w:rsidP="004C4732">
      <w:pPr>
        <w:rPr>
          <w:lang w:val="en-US"/>
        </w:rPr>
      </w:pPr>
      <w:r w:rsidRPr="00C0765A">
        <w:rPr>
          <w:lang w:val="en-US"/>
        </w:rPr>
        <w:t xml:space="preserve">When asked to </w:t>
      </w:r>
      <w:r w:rsidR="000541A7" w:rsidRPr="00C0765A">
        <w:rPr>
          <w:lang w:val="en-US"/>
        </w:rPr>
        <w:t>speculate</w:t>
      </w:r>
      <w:r w:rsidR="00E3162F" w:rsidRPr="00C0765A">
        <w:rPr>
          <w:lang w:val="en-US"/>
        </w:rPr>
        <w:t xml:space="preserve"> which of the two ear stimulation sites constituted the experimental condition</w:t>
      </w:r>
      <w:r w:rsidR="00866F8A" w:rsidRPr="00C0765A">
        <w:rPr>
          <w:lang w:val="en-US"/>
        </w:rPr>
        <w:t xml:space="preserve"> (manipulation </w:t>
      </w:r>
      <w:r w:rsidR="00B91F57" w:rsidRPr="00C0765A">
        <w:rPr>
          <w:lang w:val="en-US"/>
        </w:rPr>
        <w:t xml:space="preserve">blindness </w:t>
      </w:r>
      <w:r w:rsidR="00866F8A" w:rsidRPr="00C0765A">
        <w:rPr>
          <w:lang w:val="en-US"/>
        </w:rPr>
        <w:t>check)</w:t>
      </w:r>
      <w:r w:rsidR="00E3162F" w:rsidRPr="00C0765A">
        <w:rPr>
          <w:lang w:val="en-US"/>
        </w:rPr>
        <w:t>,</w:t>
      </w:r>
      <w:r w:rsidR="005853E5" w:rsidRPr="00C0765A">
        <w:rPr>
          <w:lang w:val="en-US"/>
        </w:rPr>
        <w:t xml:space="preserve"> </w:t>
      </w:r>
      <w:r w:rsidR="00866F8A" w:rsidRPr="00C0765A">
        <w:rPr>
          <w:lang w:val="en-US"/>
        </w:rPr>
        <w:t>21</w:t>
      </w:r>
      <w:r w:rsidR="00E3162F" w:rsidRPr="00C0765A">
        <w:rPr>
          <w:lang w:val="en-US"/>
        </w:rPr>
        <w:t xml:space="preserve"> </w:t>
      </w:r>
      <w:r w:rsidR="00416C85" w:rsidRPr="00C0765A">
        <w:rPr>
          <w:lang w:val="en-US"/>
        </w:rPr>
        <w:t xml:space="preserve">of the </w:t>
      </w:r>
      <w:r w:rsidR="00E3162F" w:rsidRPr="00C0765A">
        <w:rPr>
          <w:lang w:val="en-US"/>
        </w:rPr>
        <w:t>participant</w:t>
      </w:r>
      <w:r w:rsidR="00416C85" w:rsidRPr="00C0765A">
        <w:rPr>
          <w:lang w:val="en-US"/>
        </w:rPr>
        <w:t>s</w:t>
      </w:r>
      <w:r w:rsidR="00E3162F" w:rsidRPr="00C0765A">
        <w:rPr>
          <w:lang w:val="en-US"/>
        </w:rPr>
        <w:t xml:space="preserve"> </w:t>
      </w:r>
      <w:r w:rsidR="009B482C" w:rsidRPr="00C0765A">
        <w:rPr>
          <w:lang w:val="en-US"/>
        </w:rPr>
        <w:t>guessed</w:t>
      </w:r>
      <w:r w:rsidR="00E3162F" w:rsidRPr="00C0765A">
        <w:rPr>
          <w:lang w:val="en-US"/>
        </w:rPr>
        <w:t xml:space="preserve"> </w:t>
      </w:r>
      <w:r w:rsidR="00E3162F" w:rsidRPr="00C0765A">
        <w:rPr>
          <w:i/>
          <w:iCs/>
          <w:lang w:val="en-US"/>
        </w:rPr>
        <w:t xml:space="preserve">cymba concha, </w:t>
      </w:r>
      <w:r w:rsidR="00E3162F" w:rsidRPr="00C0765A">
        <w:rPr>
          <w:lang w:val="en-US"/>
        </w:rPr>
        <w:t xml:space="preserve">and </w:t>
      </w:r>
      <w:r w:rsidR="00866F8A" w:rsidRPr="00C0765A">
        <w:rPr>
          <w:lang w:val="en-US"/>
        </w:rPr>
        <w:t>21</w:t>
      </w:r>
      <w:r w:rsidR="00E3162F" w:rsidRPr="00C0765A">
        <w:rPr>
          <w:lang w:val="en-US"/>
        </w:rPr>
        <w:t xml:space="preserve"> the earlobe</w:t>
      </w:r>
      <w:r w:rsidR="004A4BFE" w:rsidRPr="00C0765A">
        <w:rPr>
          <w:lang w:val="en-US"/>
        </w:rPr>
        <w:t>, an e</w:t>
      </w:r>
      <w:r w:rsidR="00C82E9B" w:rsidRPr="00C0765A">
        <w:rPr>
          <w:lang w:val="en-US"/>
        </w:rPr>
        <w:t>ven</w:t>
      </w:r>
      <w:r w:rsidR="004A4BFE" w:rsidRPr="00C0765A">
        <w:rPr>
          <w:lang w:val="en-US"/>
        </w:rPr>
        <w:t xml:space="preserve"> split</w:t>
      </w:r>
      <w:r w:rsidR="00416C85" w:rsidRPr="00C0765A">
        <w:rPr>
          <w:lang w:val="en-US"/>
        </w:rPr>
        <w:t xml:space="preserve"> </w:t>
      </w:r>
      <w:r w:rsidR="002F0100" w:rsidRPr="00C0765A">
        <w:rPr>
          <w:lang w:val="en-US"/>
        </w:rPr>
        <w:t>suggesting</w:t>
      </w:r>
      <w:r w:rsidR="004A4BFE" w:rsidRPr="00C0765A">
        <w:rPr>
          <w:lang w:val="en-US"/>
        </w:rPr>
        <w:t xml:space="preserve"> a successful single-blind manipulation.</w:t>
      </w:r>
      <w:r w:rsidR="00E3162F" w:rsidRPr="00C0765A">
        <w:rPr>
          <w:lang w:val="en-US"/>
        </w:rPr>
        <w:t xml:space="preserve"> </w:t>
      </w:r>
    </w:p>
    <w:p w14:paraId="044FDFDF" w14:textId="77777777" w:rsidR="004C4732" w:rsidRPr="00C0765A" w:rsidRDefault="004C4732">
      <w:pPr>
        <w:spacing w:after="160" w:line="259" w:lineRule="auto"/>
        <w:ind w:firstLine="0"/>
        <w:jc w:val="left"/>
        <w:rPr>
          <w:lang w:val="en-US"/>
        </w:rPr>
      </w:pPr>
      <w:r w:rsidRPr="00C0765A">
        <w:rPr>
          <w:lang w:val="en-US"/>
        </w:rPr>
        <w:br w:type="page"/>
      </w:r>
    </w:p>
    <w:p w14:paraId="57F29D4E" w14:textId="6F4AF9B6" w:rsidR="007B17C5" w:rsidRPr="00C0765A" w:rsidRDefault="0036234F" w:rsidP="00A402DC">
      <w:pPr>
        <w:pStyle w:val="Heading1"/>
        <w:rPr>
          <w:lang w:val="en-US"/>
        </w:rPr>
      </w:pPr>
      <w:r w:rsidRPr="00C0765A">
        <w:rPr>
          <w:lang w:val="en-US"/>
        </w:rPr>
        <w:lastRenderedPageBreak/>
        <w:t xml:space="preserve">4. </w:t>
      </w:r>
      <w:r w:rsidR="007B17C5" w:rsidRPr="00C0765A">
        <w:rPr>
          <w:lang w:val="en-US"/>
        </w:rPr>
        <w:t>Discussion</w:t>
      </w:r>
    </w:p>
    <w:p w14:paraId="690670D5" w14:textId="6D296FFC" w:rsidR="005255A4" w:rsidRPr="00C0765A" w:rsidRDefault="005255A4" w:rsidP="0036234F">
      <w:pPr>
        <w:rPr>
          <w:lang w:val="en-US"/>
        </w:rPr>
      </w:pPr>
      <w:r w:rsidRPr="00C0765A">
        <w:rPr>
          <w:lang w:val="en-US"/>
        </w:rPr>
        <w:t>The current study investigated</w:t>
      </w:r>
      <w:r w:rsidR="00D200BD" w:rsidRPr="00C0765A">
        <w:rPr>
          <w:lang w:val="en-US"/>
        </w:rPr>
        <w:t xml:space="preserve"> physiological and </w:t>
      </w:r>
      <w:r w:rsidR="005A79E3" w:rsidRPr="00C0765A">
        <w:rPr>
          <w:lang w:val="en-US"/>
        </w:rPr>
        <w:t xml:space="preserve">neurophysiological markers of transcutaneous auricular </w:t>
      </w:r>
      <w:proofErr w:type="spellStart"/>
      <w:r w:rsidR="005A79E3" w:rsidRPr="00C0765A">
        <w:rPr>
          <w:lang w:val="en-US"/>
        </w:rPr>
        <w:t>vagus</w:t>
      </w:r>
      <w:proofErr w:type="spellEnd"/>
      <w:r w:rsidR="005A79E3" w:rsidRPr="00C0765A">
        <w:rPr>
          <w:lang w:val="en-US"/>
        </w:rPr>
        <w:t xml:space="preserve"> nerve stimulation</w:t>
      </w:r>
      <w:r w:rsidR="00F85CC6" w:rsidRPr="00C0765A">
        <w:rPr>
          <w:lang w:val="en-US"/>
        </w:rPr>
        <w:t>, as well as its effects on neural processing of sensory stimulation across three modalities</w:t>
      </w:r>
      <w:r w:rsidR="002A67C3" w:rsidRPr="00C0765A">
        <w:rPr>
          <w:lang w:val="en-US"/>
        </w:rPr>
        <w:t xml:space="preserve"> (auditory, respiratory, and somatosensory)</w:t>
      </w:r>
      <w:r w:rsidR="00F85CC6" w:rsidRPr="00C0765A">
        <w:rPr>
          <w:lang w:val="en-US"/>
        </w:rPr>
        <w:t xml:space="preserve">. </w:t>
      </w:r>
      <w:r w:rsidR="00501379" w:rsidRPr="00C0765A">
        <w:rPr>
          <w:lang w:val="en-US"/>
        </w:rPr>
        <w:t>Motivated by</w:t>
      </w:r>
      <w:r w:rsidR="00F85CC6" w:rsidRPr="00C0765A">
        <w:rPr>
          <w:lang w:val="en-US"/>
        </w:rPr>
        <w:t xml:space="preserve"> the current literature reporting </w:t>
      </w:r>
      <w:r w:rsidR="009100D3" w:rsidRPr="00C0765A">
        <w:rPr>
          <w:lang w:val="en-US"/>
        </w:rPr>
        <w:t>mostly mixed finding</w:t>
      </w:r>
      <w:r w:rsidR="002A67C3" w:rsidRPr="00C0765A">
        <w:rPr>
          <w:lang w:val="en-US"/>
        </w:rPr>
        <w:t>s</w:t>
      </w:r>
      <w:r w:rsidR="00B858CD" w:rsidRPr="00C0765A">
        <w:rPr>
          <w:lang w:val="en-US"/>
        </w:rPr>
        <w:t xml:space="preserve"> and </w:t>
      </w:r>
      <w:r w:rsidR="00501379" w:rsidRPr="00C0765A">
        <w:rPr>
          <w:lang w:val="en-US"/>
        </w:rPr>
        <w:t>single</w:t>
      </w:r>
      <w:r w:rsidR="00B858CD" w:rsidRPr="00C0765A">
        <w:rPr>
          <w:lang w:val="en-US"/>
        </w:rPr>
        <w:t>-domain investigations</w:t>
      </w:r>
      <w:r w:rsidR="009100D3" w:rsidRPr="00C0765A">
        <w:rPr>
          <w:lang w:val="en-US"/>
        </w:rPr>
        <w:t xml:space="preserve">, </w:t>
      </w:r>
      <w:r w:rsidR="00B858CD" w:rsidRPr="00C0765A">
        <w:rPr>
          <w:lang w:val="en-US"/>
        </w:rPr>
        <w:t xml:space="preserve">we conceived </w:t>
      </w:r>
      <w:r w:rsidR="006A3E53" w:rsidRPr="00C0765A">
        <w:rPr>
          <w:lang w:val="en-US"/>
        </w:rPr>
        <w:t>this</w:t>
      </w:r>
      <w:r w:rsidR="009100D3" w:rsidRPr="00C0765A">
        <w:rPr>
          <w:lang w:val="en-US"/>
        </w:rPr>
        <w:t xml:space="preserve"> systematic cross-modal </w:t>
      </w:r>
      <w:r w:rsidR="00B858CD" w:rsidRPr="00C0765A">
        <w:rPr>
          <w:lang w:val="en-US"/>
        </w:rPr>
        <w:t>study</w:t>
      </w:r>
      <w:r w:rsidR="009100D3" w:rsidRPr="00C0765A">
        <w:rPr>
          <w:lang w:val="en-US"/>
        </w:rPr>
        <w:t xml:space="preserve"> </w:t>
      </w:r>
      <w:r w:rsidR="00B858CD" w:rsidRPr="00C0765A">
        <w:rPr>
          <w:lang w:val="en-US"/>
        </w:rPr>
        <w:t>in an attempt</w:t>
      </w:r>
      <w:r w:rsidR="009100D3" w:rsidRPr="00C0765A">
        <w:rPr>
          <w:lang w:val="en-US"/>
        </w:rPr>
        <w:t xml:space="preserve"> </w:t>
      </w:r>
      <w:r w:rsidR="00B858CD" w:rsidRPr="00C0765A">
        <w:rPr>
          <w:lang w:val="en-US"/>
        </w:rPr>
        <w:t>to clarify</w:t>
      </w:r>
      <w:r w:rsidR="009100D3" w:rsidRPr="00C0765A">
        <w:rPr>
          <w:lang w:val="en-US"/>
        </w:rPr>
        <w:t xml:space="preserve"> the mechanism of </w:t>
      </w:r>
      <w:proofErr w:type="spellStart"/>
      <w:r w:rsidR="009100D3" w:rsidRPr="00C0765A">
        <w:rPr>
          <w:lang w:val="en-US"/>
        </w:rPr>
        <w:t>taVNS</w:t>
      </w:r>
      <w:proofErr w:type="spellEnd"/>
      <w:r w:rsidR="00501379" w:rsidRPr="00C0765A">
        <w:rPr>
          <w:lang w:val="en-US"/>
        </w:rPr>
        <w:t xml:space="preserve">, </w:t>
      </w:r>
      <w:r w:rsidR="00B858CD" w:rsidRPr="00C0765A">
        <w:rPr>
          <w:lang w:val="en-US"/>
        </w:rPr>
        <w:t xml:space="preserve">as the three chosen modalities </w:t>
      </w:r>
      <w:r w:rsidR="006A3E53" w:rsidRPr="00C0765A">
        <w:rPr>
          <w:lang w:val="en-US"/>
        </w:rPr>
        <w:t xml:space="preserve">arise from </w:t>
      </w:r>
      <w:r w:rsidR="00252228" w:rsidRPr="00C0765A">
        <w:rPr>
          <w:lang w:val="en-US"/>
        </w:rPr>
        <w:t xml:space="preserve">discrete bottom-up pathways </w:t>
      </w:r>
      <w:r w:rsidR="009F2D56" w:rsidRPr="00C0765A">
        <w:rPr>
          <w:lang w:val="en-US"/>
        </w:rPr>
        <w:t>with</w:t>
      </w:r>
      <w:r w:rsidR="00B90114" w:rsidRPr="00C0765A">
        <w:rPr>
          <w:lang w:val="en-US"/>
        </w:rPr>
        <w:t xml:space="preserve"> different levels of vagal afferent involvement</w:t>
      </w:r>
      <w:r w:rsidR="009F2D56" w:rsidRPr="00C0765A">
        <w:rPr>
          <w:lang w:val="en-US"/>
        </w:rPr>
        <w:t>.</w:t>
      </w:r>
    </w:p>
    <w:p w14:paraId="2C2E3D02" w14:textId="7530FF35" w:rsidR="009F2D56" w:rsidRPr="00C0765A" w:rsidRDefault="005617CB" w:rsidP="005617CB">
      <w:pPr>
        <w:pStyle w:val="Heading2"/>
        <w:rPr>
          <w:lang w:val="en-US"/>
        </w:rPr>
      </w:pPr>
      <w:bookmarkStart w:id="9" w:name="_4.1_taVNS_increased"/>
      <w:bookmarkEnd w:id="9"/>
      <w:r w:rsidRPr="00C0765A">
        <w:rPr>
          <w:lang w:val="en-US"/>
        </w:rPr>
        <w:t xml:space="preserve">4.1 </w:t>
      </w:r>
      <w:proofErr w:type="spellStart"/>
      <w:r w:rsidRPr="00C0765A">
        <w:rPr>
          <w:lang w:val="en-US"/>
        </w:rPr>
        <w:t>taVNS</w:t>
      </w:r>
      <w:proofErr w:type="spellEnd"/>
      <w:r w:rsidRPr="00C0765A">
        <w:rPr>
          <w:lang w:val="en-US"/>
        </w:rPr>
        <w:t xml:space="preserve"> increase</w:t>
      </w:r>
      <w:r w:rsidR="006B4806" w:rsidRPr="00C0765A">
        <w:rPr>
          <w:lang w:val="en-US"/>
        </w:rPr>
        <w:t xml:space="preserve">d </w:t>
      </w:r>
      <w:r w:rsidR="00E75695" w:rsidRPr="00C0765A">
        <w:rPr>
          <w:lang w:val="en-US"/>
        </w:rPr>
        <w:t>subjective experienced arousal</w:t>
      </w:r>
      <w:r w:rsidR="006B4806" w:rsidRPr="00C0765A">
        <w:rPr>
          <w:lang w:val="en-US"/>
        </w:rPr>
        <w:t xml:space="preserve">, but did not </w:t>
      </w:r>
      <w:r w:rsidR="00F075C0" w:rsidRPr="00C0765A">
        <w:rPr>
          <w:lang w:val="en-US"/>
        </w:rPr>
        <w:t>significantly</w:t>
      </w:r>
      <w:r w:rsidR="006B4806" w:rsidRPr="00C0765A">
        <w:rPr>
          <w:lang w:val="en-US"/>
        </w:rPr>
        <w:t xml:space="preserve"> affect </w:t>
      </w:r>
      <w:proofErr w:type="spellStart"/>
      <w:r w:rsidR="000B4597" w:rsidRPr="00C0765A">
        <w:rPr>
          <w:lang w:val="en-US"/>
        </w:rPr>
        <w:t>sAA</w:t>
      </w:r>
      <w:proofErr w:type="spellEnd"/>
      <w:r w:rsidR="000B4597" w:rsidRPr="00C0765A">
        <w:rPr>
          <w:lang w:val="en-US"/>
        </w:rPr>
        <w:t xml:space="preserve"> concentration</w:t>
      </w:r>
      <w:r w:rsidR="00FE68A0" w:rsidRPr="00C0765A">
        <w:rPr>
          <w:lang w:val="en-US"/>
        </w:rPr>
        <w:t xml:space="preserve"> or alpha oscillations</w:t>
      </w:r>
    </w:p>
    <w:p w14:paraId="6B31945C" w14:textId="1B832B3D" w:rsidR="005C0E02" w:rsidRPr="00C0765A" w:rsidRDefault="00FE68A0" w:rsidP="00966186">
      <w:pPr>
        <w:rPr>
          <w:lang w:val="en-US"/>
        </w:rPr>
      </w:pPr>
      <w:r w:rsidRPr="00C0765A">
        <w:rPr>
          <w:lang w:val="en-US"/>
        </w:rPr>
        <w:t>Our results show</w:t>
      </w:r>
      <w:r w:rsidR="000B16A9" w:rsidRPr="00C0765A">
        <w:rPr>
          <w:lang w:val="en-US"/>
        </w:rPr>
        <w:t xml:space="preserve"> that participants reported higher post-stimulation arousal in the </w:t>
      </w:r>
      <w:proofErr w:type="spellStart"/>
      <w:r w:rsidR="000B16A9" w:rsidRPr="00C0765A">
        <w:rPr>
          <w:lang w:val="en-US"/>
        </w:rPr>
        <w:t>taVNS</w:t>
      </w:r>
      <w:proofErr w:type="spellEnd"/>
      <w:r w:rsidR="000B16A9" w:rsidRPr="00C0765A">
        <w:rPr>
          <w:lang w:val="en-US"/>
        </w:rPr>
        <w:t xml:space="preserve"> condition relative to the active Sham condition. </w:t>
      </w:r>
      <w:r w:rsidR="00C95CFE" w:rsidRPr="00C0765A">
        <w:rPr>
          <w:lang w:val="en-US"/>
        </w:rPr>
        <w:t xml:space="preserve">This </w:t>
      </w:r>
      <w:r w:rsidR="00FA5010" w:rsidRPr="00C0765A">
        <w:rPr>
          <w:lang w:val="en-US"/>
        </w:rPr>
        <w:t xml:space="preserve">finding </w:t>
      </w:r>
      <w:r w:rsidR="00C95CFE" w:rsidRPr="00C0765A">
        <w:rPr>
          <w:lang w:val="en-US"/>
        </w:rPr>
        <w:t xml:space="preserve">supports the current understanding that </w:t>
      </w:r>
      <w:proofErr w:type="spellStart"/>
      <w:r w:rsidR="00C95CFE" w:rsidRPr="00C0765A">
        <w:rPr>
          <w:lang w:val="en-US"/>
        </w:rPr>
        <w:t>taVNS</w:t>
      </w:r>
      <w:proofErr w:type="spellEnd"/>
      <w:r w:rsidR="00C95CFE" w:rsidRPr="00C0765A">
        <w:rPr>
          <w:lang w:val="en-US"/>
        </w:rPr>
        <w:t xml:space="preserve"> increases arousal</w:t>
      </w:r>
      <w:r w:rsidR="0086485A" w:rsidRPr="00C0765A">
        <w:rPr>
          <w:lang w:val="en-US"/>
        </w:rPr>
        <w:t xml:space="preserve">, likely by way of </w:t>
      </w:r>
      <w:r w:rsidR="00535C67" w:rsidRPr="00C0765A">
        <w:rPr>
          <w:lang w:val="en-US"/>
        </w:rPr>
        <w:t xml:space="preserve">the LC-NA </w:t>
      </w:r>
      <w:r w:rsidR="00256DC6" w:rsidRPr="00C0765A">
        <w:rPr>
          <w:lang w:val="en-US"/>
        </w:rPr>
        <w:t>axis</w:t>
      </w:r>
      <w:r w:rsidR="007C6FA7" w:rsidRPr="00C0765A">
        <w:rPr>
          <w:lang w:val="en-US"/>
        </w:rPr>
        <w:t xml:space="preserve"> </w:t>
      </w:r>
      <w:r w:rsidR="003C523E" w:rsidRPr="00C0765A">
        <w:rPr>
          <w:lang w:val="en-US"/>
        </w:rPr>
        <w:t>(Urbin et al., 2021)</w:t>
      </w:r>
      <w:r w:rsidR="0093070A" w:rsidRPr="00C0765A">
        <w:rPr>
          <w:lang w:val="en-US"/>
        </w:rPr>
        <w:t xml:space="preserve">. </w:t>
      </w:r>
      <w:r w:rsidR="00FA5010" w:rsidRPr="00C0765A">
        <w:rPr>
          <w:lang w:val="en-US"/>
        </w:rPr>
        <w:t xml:space="preserve">However, </w:t>
      </w:r>
      <w:r w:rsidR="00535C67" w:rsidRPr="00C0765A">
        <w:rPr>
          <w:lang w:val="en-US"/>
        </w:rPr>
        <w:t>we found no evidence that</w:t>
      </w:r>
      <w:r w:rsidR="003333BE" w:rsidRPr="00C0765A">
        <w:rPr>
          <w:lang w:val="en-US"/>
        </w:rPr>
        <w:t xml:space="preserve"> salivary </w:t>
      </w:r>
      <w:r w:rsidR="005C0E02" w:rsidRPr="00C0765A">
        <w:rPr>
          <w:lang w:val="en-US"/>
        </w:rPr>
        <w:t>alpha</w:t>
      </w:r>
      <w:r w:rsidR="00B00889" w:rsidRPr="00C0765A">
        <w:rPr>
          <w:lang w:val="en-US"/>
        </w:rPr>
        <w:t>-</w:t>
      </w:r>
      <w:r w:rsidR="005C0E02" w:rsidRPr="00C0765A">
        <w:rPr>
          <w:lang w:val="en-US"/>
        </w:rPr>
        <w:t xml:space="preserve">amylase concentration was </w:t>
      </w:r>
      <w:r w:rsidR="00DD67BC" w:rsidRPr="00C0765A">
        <w:rPr>
          <w:lang w:val="en-US"/>
        </w:rPr>
        <w:t xml:space="preserve">significantly </w:t>
      </w:r>
      <w:r w:rsidR="005C0E02" w:rsidRPr="00C0765A">
        <w:rPr>
          <w:lang w:val="en-US"/>
        </w:rPr>
        <w:t xml:space="preserve">increased after </w:t>
      </w:r>
      <w:proofErr w:type="spellStart"/>
      <w:r w:rsidR="005C0E02" w:rsidRPr="00C0765A">
        <w:rPr>
          <w:lang w:val="en-US"/>
        </w:rPr>
        <w:t>taVNS</w:t>
      </w:r>
      <w:proofErr w:type="spellEnd"/>
      <w:r w:rsidR="005C0E02" w:rsidRPr="00C0765A">
        <w:rPr>
          <w:lang w:val="en-US"/>
        </w:rPr>
        <w:t xml:space="preserve"> relative to Sham</w:t>
      </w:r>
      <w:r w:rsidR="007D75CF" w:rsidRPr="00C0765A">
        <w:rPr>
          <w:lang w:val="en-US"/>
        </w:rPr>
        <w:t xml:space="preserve">. This finding </w:t>
      </w:r>
      <w:r w:rsidR="00385DAF" w:rsidRPr="00C0765A">
        <w:rPr>
          <w:lang w:val="en-US"/>
        </w:rPr>
        <w:t>counters the LC-NA</w:t>
      </w:r>
      <w:r w:rsidR="005D21B4" w:rsidRPr="00C0765A">
        <w:rPr>
          <w:lang w:val="en-US"/>
        </w:rPr>
        <w:t xml:space="preserve"> hypothesis,</w:t>
      </w:r>
      <w:r w:rsidR="00385DAF" w:rsidRPr="00C0765A">
        <w:rPr>
          <w:lang w:val="en-US"/>
        </w:rPr>
        <w:t xml:space="preserve"> as sympathetic activation (</w:t>
      </w:r>
      <w:r w:rsidR="0026044A" w:rsidRPr="00C0765A">
        <w:rPr>
          <w:lang w:val="en-US"/>
        </w:rPr>
        <w:t xml:space="preserve">partly </w:t>
      </w:r>
      <w:r w:rsidR="00385DAF" w:rsidRPr="00C0765A">
        <w:rPr>
          <w:lang w:val="en-US"/>
        </w:rPr>
        <w:t xml:space="preserve">indexed by </w:t>
      </w:r>
      <w:proofErr w:type="spellStart"/>
      <w:r w:rsidR="00385DAF" w:rsidRPr="00C0765A">
        <w:rPr>
          <w:lang w:val="en-US"/>
        </w:rPr>
        <w:t>sAA</w:t>
      </w:r>
      <w:proofErr w:type="spellEnd"/>
      <w:r w:rsidR="00385DAF" w:rsidRPr="00C0765A">
        <w:rPr>
          <w:lang w:val="en-US"/>
        </w:rPr>
        <w:t>) and noradrenergic activation</w:t>
      </w:r>
      <w:r w:rsidR="002F3466" w:rsidRPr="00C0765A">
        <w:rPr>
          <w:lang w:val="en-US"/>
        </w:rPr>
        <w:t xml:space="preserve"> (NA)</w:t>
      </w:r>
      <w:r w:rsidR="004932BD" w:rsidRPr="00C0765A">
        <w:rPr>
          <w:lang w:val="en-US"/>
        </w:rPr>
        <w:t xml:space="preserve"> tend to be strongly related</w:t>
      </w:r>
      <w:r w:rsidR="002F3466" w:rsidRPr="00C0765A">
        <w:rPr>
          <w:lang w:val="en-US"/>
        </w:rPr>
        <w:t xml:space="preserve"> </w:t>
      </w:r>
      <w:r w:rsidR="00963600" w:rsidRPr="00C0765A">
        <w:rPr>
          <w:lang w:val="en-US"/>
        </w:rPr>
        <w:t>(Ali &amp; Nater, 2020)</w:t>
      </w:r>
      <w:r w:rsidR="00CD3FD8" w:rsidRPr="00C0765A">
        <w:rPr>
          <w:lang w:val="en-US"/>
        </w:rPr>
        <w:t xml:space="preserve">, and </w:t>
      </w:r>
      <w:r w:rsidR="004E72F4" w:rsidRPr="00C0765A">
        <w:rPr>
          <w:lang w:val="en-US"/>
        </w:rPr>
        <w:t>are increased by the same pharmacological interventions (Warren et al., 2017)</w:t>
      </w:r>
      <w:r w:rsidR="00CD3FD8" w:rsidRPr="00C0765A">
        <w:rPr>
          <w:lang w:val="en-US"/>
        </w:rPr>
        <w:t xml:space="preserve">. It was </w:t>
      </w:r>
      <w:r w:rsidR="00D1210F" w:rsidRPr="00C0765A">
        <w:rPr>
          <w:lang w:val="en-US"/>
        </w:rPr>
        <w:t xml:space="preserve">suggested in a recent mega-analysis that the </w:t>
      </w:r>
      <w:proofErr w:type="spellStart"/>
      <w:r w:rsidR="00D1210F" w:rsidRPr="00C0765A">
        <w:rPr>
          <w:lang w:val="en-US"/>
        </w:rPr>
        <w:t>taVNS</w:t>
      </w:r>
      <w:proofErr w:type="spellEnd"/>
      <w:r w:rsidR="00D1210F" w:rsidRPr="00C0765A">
        <w:rPr>
          <w:lang w:val="en-US"/>
        </w:rPr>
        <w:t xml:space="preserve"> effects on </w:t>
      </w:r>
      <w:proofErr w:type="spellStart"/>
      <w:r w:rsidR="00D1210F" w:rsidRPr="00C0765A">
        <w:rPr>
          <w:lang w:val="en-US"/>
        </w:rPr>
        <w:t>sAA</w:t>
      </w:r>
      <w:proofErr w:type="spellEnd"/>
      <w:r w:rsidR="00D1210F" w:rsidRPr="00C0765A">
        <w:rPr>
          <w:lang w:val="en-US"/>
        </w:rPr>
        <w:t xml:space="preserve"> are relatively small, which in addition to small sample sizes and other methodological differences between studies could contribute to null findings </w:t>
      </w:r>
      <w:r w:rsidR="00692534" w:rsidRPr="00C0765A">
        <w:rPr>
          <w:lang w:val="en-US"/>
        </w:rPr>
        <w:t>(</w:t>
      </w:r>
      <w:proofErr w:type="spellStart"/>
      <w:r w:rsidR="00692534" w:rsidRPr="00C0765A">
        <w:rPr>
          <w:lang w:val="en-US"/>
        </w:rPr>
        <w:t>Giraudier</w:t>
      </w:r>
      <w:proofErr w:type="spellEnd"/>
      <w:r w:rsidR="00692534" w:rsidRPr="00C0765A">
        <w:rPr>
          <w:lang w:val="en-US"/>
        </w:rPr>
        <w:t xml:space="preserve"> et al., 2022)</w:t>
      </w:r>
      <w:r w:rsidR="000614B8" w:rsidRPr="00C0765A">
        <w:rPr>
          <w:lang w:val="en-US"/>
        </w:rPr>
        <w:t xml:space="preserve">. </w:t>
      </w:r>
      <w:r w:rsidR="00FF3547" w:rsidRPr="00C0765A">
        <w:rPr>
          <w:lang w:val="en-US"/>
        </w:rPr>
        <w:t>A further</w:t>
      </w:r>
      <w:r w:rsidR="000614B8" w:rsidRPr="00C0765A">
        <w:rPr>
          <w:lang w:val="en-US"/>
        </w:rPr>
        <w:t xml:space="preserve"> possible explanation for th</w:t>
      </w:r>
      <w:r w:rsidR="00E574E8" w:rsidRPr="00C0765A">
        <w:rPr>
          <w:lang w:val="en-US"/>
        </w:rPr>
        <w:t>e</w:t>
      </w:r>
      <w:r w:rsidR="00516A0E" w:rsidRPr="00C0765A">
        <w:rPr>
          <w:lang w:val="en-US"/>
        </w:rPr>
        <w:t>se</w:t>
      </w:r>
      <w:r w:rsidR="00FF3547" w:rsidRPr="00C0765A">
        <w:rPr>
          <w:lang w:val="en-US"/>
        </w:rPr>
        <w:t xml:space="preserve"> and previous </w:t>
      </w:r>
      <w:r w:rsidR="00CD3FD8" w:rsidRPr="00C0765A">
        <w:rPr>
          <w:lang w:val="en-US"/>
        </w:rPr>
        <w:t>null</w:t>
      </w:r>
      <w:r w:rsidR="00516A0E" w:rsidRPr="00C0765A">
        <w:rPr>
          <w:lang w:val="en-US"/>
        </w:rPr>
        <w:t xml:space="preserve"> findings</w:t>
      </w:r>
      <w:r w:rsidR="000614B8" w:rsidRPr="00C0765A">
        <w:rPr>
          <w:lang w:val="en-US"/>
        </w:rPr>
        <w:t xml:space="preserve"> </w:t>
      </w:r>
      <w:r w:rsidR="00E64EA9" w:rsidRPr="00C0765A">
        <w:rPr>
          <w:lang w:val="en-US"/>
        </w:rPr>
        <w:t xml:space="preserve">is that placing the electrodes at the earlobe </w:t>
      </w:r>
      <w:r w:rsidR="009461E3" w:rsidRPr="00C0765A">
        <w:rPr>
          <w:lang w:val="en-US"/>
        </w:rPr>
        <w:t>may also lead to</w:t>
      </w:r>
      <w:r w:rsidR="00097360" w:rsidRPr="00C0765A">
        <w:rPr>
          <w:lang w:val="en-US"/>
        </w:rPr>
        <w:t xml:space="preserve"> brainstem activation</w:t>
      </w:r>
      <w:r w:rsidR="009461E3" w:rsidRPr="00C0765A">
        <w:rPr>
          <w:lang w:val="en-US"/>
        </w:rPr>
        <w:t xml:space="preserve"> via the greater </w:t>
      </w:r>
      <w:r w:rsidR="00402D6D" w:rsidRPr="00C0765A">
        <w:rPr>
          <w:lang w:val="en-US"/>
        </w:rPr>
        <w:t>auricular nerve (GAN)</w:t>
      </w:r>
      <w:r w:rsidR="00B27173" w:rsidRPr="00C0765A">
        <w:rPr>
          <w:lang w:val="en-US"/>
        </w:rPr>
        <w:t>,</w:t>
      </w:r>
      <w:r w:rsidR="00097360" w:rsidRPr="00C0765A">
        <w:rPr>
          <w:lang w:val="en-US"/>
        </w:rPr>
        <w:t xml:space="preserve"> </w:t>
      </w:r>
      <w:r w:rsidR="00402D6D" w:rsidRPr="00C0765A">
        <w:rPr>
          <w:lang w:val="en-US"/>
        </w:rPr>
        <w:t>with</w:t>
      </w:r>
      <w:r w:rsidR="00097360" w:rsidRPr="00C0765A">
        <w:rPr>
          <w:lang w:val="en-US"/>
        </w:rPr>
        <w:t xml:space="preserve"> carryover effects to the relevant nuclei (NTS, LC)</w:t>
      </w:r>
      <w:r w:rsidR="00402D6D" w:rsidRPr="00C0765A">
        <w:rPr>
          <w:lang w:val="en-US"/>
        </w:rPr>
        <w:t xml:space="preserve"> </w:t>
      </w:r>
      <w:r w:rsidR="0025446F" w:rsidRPr="00C0765A">
        <w:rPr>
          <w:lang w:val="en-US"/>
        </w:rPr>
        <w:t>resulting in</w:t>
      </w:r>
      <w:r w:rsidR="00B27173" w:rsidRPr="00C0765A">
        <w:rPr>
          <w:lang w:val="en-US"/>
        </w:rPr>
        <w:t xml:space="preserve"> smaller</w:t>
      </w:r>
      <w:r w:rsidR="00B2638A" w:rsidRPr="00C0765A">
        <w:rPr>
          <w:lang w:val="en-US"/>
        </w:rPr>
        <w:t xml:space="preserve"> group-level</w:t>
      </w:r>
      <w:r w:rsidR="00B27173" w:rsidRPr="00C0765A">
        <w:rPr>
          <w:lang w:val="en-US"/>
        </w:rPr>
        <w:t xml:space="preserve"> effect</w:t>
      </w:r>
      <w:r w:rsidR="00B2638A" w:rsidRPr="00C0765A">
        <w:rPr>
          <w:lang w:val="en-US"/>
        </w:rPr>
        <w:t>s</w:t>
      </w:r>
      <w:r w:rsidR="00FF3547" w:rsidRPr="00C0765A">
        <w:rPr>
          <w:lang w:val="en-US"/>
        </w:rPr>
        <w:t xml:space="preserve"> </w:t>
      </w:r>
      <w:r w:rsidR="00DB646A" w:rsidRPr="00C0765A">
        <w:rPr>
          <w:lang w:val="en-US"/>
        </w:rPr>
        <w:t>(</w:t>
      </w:r>
      <w:proofErr w:type="spellStart"/>
      <w:r w:rsidR="00DB646A" w:rsidRPr="00C0765A">
        <w:rPr>
          <w:lang w:val="en-US"/>
        </w:rPr>
        <w:t>Keute</w:t>
      </w:r>
      <w:proofErr w:type="spellEnd"/>
      <w:r w:rsidR="00DB646A" w:rsidRPr="00C0765A">
        <w:rPr>
          <w:lang w:val="en-US"/>
        </w:rPr>
        <w:t xml:space="preserve"> et al., 2018; </w:t>
      </w:r>
      <w:proofErr w:type="spellStart"/>
      <w:r w:rsidR="00DB646A" w:rsidRPr="00C0765A">
        <w:rPr>
          <w:lang w:val="en-US"/>
        </w:rPr>
        <w:t>Sclocco</w:t>
      </w:r>
      <w:proofErr w:type="spellEnd"/>
      <w:r w:rsidR="00DB646A" w:rsidRPr="00C0765A">
        <w:rPr>
          <w:lang w:val="en-US"/>
        </w:rPr>
        <w:t xml:space="preserve"> et al., 2019)</w:t>
      </w:r>
      <w:r w:rsidR="00B27173" w:rsidRPr="00C0765A">
        <w:rPr>
          <w:lang w:val="en-US"/>
        </w:rPr>
        <w:t>.</w:t>
      </w:r>
      <w:r w:rsidR="00707CAA" w:rsidRPr="00C0765A">
        <w:rPr>
          <w:lang w:val="en-US"/>
        </w:rPr>
        <w:t xml:space="preserve"> It is also important to note that the measure of </w:t>
      </w:r>
      <w:proofErr w:type="spellStart"/>
      <w:r w:rsidR="00707CAA" w:rsidRPr="00C0765A">
        <w:rPr>
          <w:lang w:val="en-US"/>
        </w:rPr>
        <w:t>sAA</w:t>
      </w:r>
      <w:proofErr w:type="spellEnd"/>
      <w:r w:rsidR="00707CAA" w:rsidRPr="00C0765A">
        <w:rPr>
          <w:lang w:val="en-US"/>
        </w:rPr>
        <w:t xml:space="preserve"> </w:t>
      </w:r>
      <w:r w:rsidR="00707CAA" w:rsidRPr="00C0765A">
        <w:rPr>
          <w:i/>
          <w:iCs/>
          <w:lang w:val="en-US"/>
        </w:rPr>
        <w:t>concentration</w:t>
      </w:r>
      <w:r w:rsidR="00707CAA" w:rsidRPr="00C0765A">
        <w:rPr>
          <w:lang w:val="en-US"/>
        </w:rPr>
        <w:t xml:space="preserve"> </w:t>
      </w:r>
      <w:r w:rsidR="00653C2C" w:rsidRPr="00C0765A">
        <w:rPr>
          <w:lang w:val="en-US"/>
        </w:rPr>
        <w:t xml:space="preserve">is not </w:t>
      </w:r>
      <w:r w:rsidR="00D61AA5" w:rsidRPr="00C0765A">
        <w:rPr>
          <w:lang w:val="en-US"/>
        </w:rPr>
        <w:t>an</w:t>
      </w:r>
      <w:r w:rsidR="00653C2C" w:rsidRPr="00C0765A">
        <w:rPr>
          <w:lang w:val="en-US"/>
        </w:rPr>
        <w:t xml:space="preserve"> ideal index of sympathetic activity, as it depends on salivary flow rate, which is modulated by the parasympathetic </w:t>
      </w:r>
      <w:r w:rsidR="001201D3" w:rsidRPr="00C0765A">
        <w:rPr>
          <w:lang w:val="en-US"/>
        </w:rPr>
        <w:t xml:space="preserve">ANS </w:t>
      </w:r>
      <w:r w:rsidR="00286308" w:rsidRPr="00C0765A">
        <w:rPr>
          <w:lang w:val="en-US"/>
        </w:rPr>
        <w:t>(Burger et al., 2020)</w:t>
      </w:r>
      <w:r w:rsidR="00D61AA5" w:rsidRPr="00C0765A">
        <w:rPr>
          <w:lang w:val="en-US"/>
        </w:rPr>
        <w:t>.</w:t>
      </w:r>
    </w:p>
    <w:p w14:paraId="6F764AEB" w14:textId="0F6FE3B4" w:rsidR="000F6ADD" w:rsidRPr="00C0765A" w:rsidRDefault="000F6ADD" w:rsidP="00966186">
      <w:pPr>
        <w:rPr>
          <w:lang w:val="en-US"/>
        </w:rPr>
      </w:pPr>
      <w:r w:rsidRPr="00C0765A">
        <w:rPr>
          <w:lang w:val="en-US"/>
        </w:rPr>
        <w:t xml:space="preserve">Similarly, we found no evidence that </w:t>
      </w:r>
      <w:proofErr w:type="spellStart"/>
      <w:r w:rsidRPr="00C0765A">
        <w:rPr>
          <w:lang w:val="en-US"/>
        </w:rPr>
        <w:t>taVNS</w:t>
      </w:r>
      <w:proofErr w:type="spellEnd"/>
      <w:r w:rsidRPr="00C0765A">
        <w:rPr>
          <w:lang w:val="en-US"/>
        </w:rPr>
        <w:t xml:space="preserve">, compared to Sham, </w:t>
      </w:r>
      <w:r w:rsidR="00A7585B" w:rsidRPr="00C0765A">
        <w:rPr>
          <w:lang w:val="en-US"/>
        </w:rPr>
        <w:t>suppresses spontaneous alpha oscillations</w:t>
      </w:r>
      <w:r w:rsidR="00B842A7" w:rsidRPr="00C0765A">
        <w:rPr>
          <w:lang w:val="en-US"/>
        </w:rPr>
        <w:t xml:space="preserve">, in contrast to previous reports </w:t>
      </w:r>
      <w:r w:rsidR="00BB6B96" w:rsidRPr="00C0765A">
        <w:rPr>
          <w:lang w:val="en-US"/>
        </w:rPr>
        <w:t>(Sharon et al., 2021; Wienke et al., 2023)</w:t>
      </w:r>
      <w:r w:rsidR="00A7585B" w:rsidRPr="00C0765A">
        <w:rPr>
          <w:lang w:val="en-US"/>
        </w:rPr>
        <w:t xml:space="preserve">. We found a </w:t>
      </w:r>
      <w:r w:rsidR="00F637C9" w:rsidRPr="00C0765A">
        <w:rPr>
          <w:lang w:val="en-US"/>
        </w:rPr>
        <w:t>main effect</w:t>
      </w:r>
      <w:r w:rsidR="00924278" w:rsidRPr="00C0765A">
        <w:rPr>
          <w:lang w:val="en-US"/>
        </w:rPr>
        <w:t xml:space="preserve"> showing that the relative power of alpha oscillations increased </w:t>
      </w:r>
      <w:r w:rsidR="00EF467C" w:rsidRPr="00C0765A">
        <w:rPr>
          <w:lang w:val="en-US"/>
        </w:rPr>
        <w:t>after stimulation, however we found no effect of stimulation type or an interaction</w:t>
      </w:r>
      <w:r w:rsidR="002C4A16" w:rsidRPr="00C0765A">
        <w:rPr>
          <w:lang w:val="en-US"/>
        </w:rPr>
        <w:t xml:space="preserve"> effect</w:t>
      </w:r>
      <w:r w:rsidR="00EF467C" w:rsidRPr="00C0765A">
        <w:rPr>
          <w:lang w:val="en-US"/>
        </w:rPr>
        <w:t xml:space="preserve">. </w:t>
      </w:r>
      <w:r w:rsidR="0028523F" w:rsidRPr="00C0765A">
        <w:rPr>
          <w:lang w:val="en-US"/>
        </w:rPr>
        <w:t>Since alpha oscillations</w:t>
      </w:r>
      <w:r w:rsidR="00526C32" w:rsidRPr="00C0765A">
        <w:rPr>
          <w:lang w:val="en-US"/>
        </w:rPr>
        <w:t xml:space="preserve"> synchronize (</w:t>
      </w:r>
      <w:r w:rsidR="0028523F" w:rsidRPr="00C0765A">
        <w:rPr>
          <w:lang w:val="en-US"/>
        </w:rPr>
        <w:t>increase in power</w:t>
      </w:r>
      <w:r w:rsidR="00526C32" w:rsidRPr="00C0765A">
        <w:rPr>
          <w:lang w:val="en-US"/>
        </w:rPr>
        <w:t>)</w:t>
      </w:r>
      <w:r w:rsidR="0028523F" w:rsidRPr="00C0765A">
        <w:rPr>
          <w:lang w:val="en-US"/>
        </w:rPr>
        <w:t xml:space="preserve"> </w:t>
      </w:r>
      <w:r w:rsidR="00255923" w:rsidRPr="00C0765A">
        <w:rPr>
          <w:lang w:val="en-US"/>
        </w:rPr>
        <w:t>during relaxed and tired states</w:t>
      </w:r>
      <w:r w:rsidR="00D10852" w:rsidRPr="00C0765A">
        <w:rPr>
          <w:lang w:val="en-US"/>
        </w:rPr>
        <w:t xml:space="preserve"> </w:t>
      </w:r>
      <w:r w:rsidR="00D608D1" w:rsidRPr="00C0765A">
        <w:rPr>
          <w:lang w:val="en-US"/>
        </w:rPr>
        <w:t>(Klimesch et al., 1998)</w:t>
      </w:r>
      <w:r w:rsidR="00255923" w:rsidRPr="00C0765A">
        <w:rPr>
          <w:lang w:val="en-US"/>
        </w:rPr>
        <w:t>, t</w:t>
      </w:r>
      <w:r w:rsidR="00EF467C" w:rsidRPr="00C0765A">
        <w:rPr>
          <w:lang w:val="en-US"/>
        </w:rPr>
        <w:t xml:space="preserve">he main effect likely </w:t>
      </w:r>
      <w:r w:rsidR="0028523F" w:rsidRPr="00C0765A">
        <w:rPr>
          <w:lang w:val="en-US"/>
        </w:rPr>
        <w:t>stems from</w:t>
      </w:r>
      <w:r w:rsidR="000037AA" w:rsidRPr="00C0765A">
        <w:rPr>
          <w:lang w:val="en-US"/>
        </w:rPr>
        <w:t xml:space="preserve"> a</w:t>
      </w:r>
      <w:r w:rsidR="0028523F" w:rsidRPr="00C0765A">
        <w:rPr>
          <w:lang w:val="en-US"/>
        </w:rPr>
        <w:t xml:space="preserve"> general fatigue induced by the experimental procedure</w:t>
      </w:r>
      <w:r w:rsidR="00255923" w:rsidRPr="00C0765A">
        <w:rPr>
          <w:lang w:val="en-US"/>
        </w:rPr>
        <w:t>, given that all the sessions</w:t>
      </w:r>
      <w:r w:rsidR="00B0084B" w:rsidRPr="00C0765A">
        <w:rPr>
          <w:lang w:val="en-US"/>
        </w:rPr>
        <w:t xml:space="preserve"> lasted two hours and</w:t>
      </w:r>
      <w:r w:rsidR="00255923" w:rsidRPr="00C0765A">
        <w:rPr>
          <w:lang w:val="en-US"/>
        </w:rPr>
        <w:t xml:space="preserve"> took place in </w:t>
      </w:r>
      <w:r w:rsidR="007E18D1" w:rsidRPr="00C0765A">
        <w:rPr>
          <w:lang w:val="en-US"/>
        </w:rPr>
        <w:t xml:space="preserve">the afternoon. </w:t>
      </w:r>
      <w:r w:rsidR="00AB3E92" w:rsidRPr="00C0765A">
        <w:rPr>
          <w:lang w:val="en-US"/>
        </w:rPr>
        <w:t xml:space="preserve">Another possible explanation is that </w:t>
      </w:r>
      <w:r w:rsidR="00930FC2" w:rsidRPr="00C0765A">
        <w:rPr>
          <w:lang w:val="en-US"/>
        </w:rPr>
        <w:t xml:space="preserve">participants were experiencing </w:t>
      </w:r>
      <w:r w:rsidR="00254603" w:rsidRPr="00C0765A">
        <w:rPr>
          <w:lang w:val="en-US"/>
        </w:rPr>
        <w:t xml:space="preserve">acute </w:t>
      </w:r>
      <w:r w:rsidR="00930FC2" w:rsidRPr="00C0765A">
        <w:rPr>
          <w:lang w:val="en-US"/>
        </w:rPr>
        <w:t xml:space="preserve">relief and positive affect </w:t>
      </w:r>
      <w:r w:rsidR="00387E1B" w:rsidRPr="00C0765A">
        <w:rPr>
          <w:lang w:val="en-US"/>
        </w:rPr>
        <w:lastRenderedPageBreak/>
        <w:t>during the second resting</w:t>
      </w:r>
      <w:r w:rsidR="009D1DE2" w:rsidRPr="00C0765A">
        <w:rPr>
          <w:lang w:val="en-US"/>
        </w:rPr>
        <w:t>-</w:t>
      </w:r>
      <w:r w:rsidR="00387E1B" w:rsidRPr="00C0765A">
        <w:rPr>
          <w:lang w:val="en-US"/>
        </w:rPr>
        <w:t>state measure</w:t>
      </w:r>
      <w:r w:rsidR="009D1DE2" w:rsidRPr="00C0765A">
        <w:rPr>
          <w:lang w:val="en-US"/>
        </w:rPr>
        <w:t>ment</w:t>
      </w:r>
      <w:r w:rsidR="00387E1B" w:rsidRPr="00C0765A">
        <w:rPr>
          <w:lang w:val="en-US"/>
        </w:rPr>
        <w:t xml:space="preserve">, as the </w:t>
      </w:r>
      <w:r w:rsidR="000037AA" w:rsidRPr="00C0765A">
        <w:rPr>
          <w:lang w:val="en-US"/>
        </w:rPr>
        <w:t xml:space="preserve">ear </w:t>
      </w:r>
      <w:r w:rsidR="00387E1B" w:rsidRPr="00C0765A">
        <w:rPr>
          <w:lang w:val="en-US"/>
        </w:rPr>
        <w:t xml:space="preserve">stimulation was turned off </w:t>
      </w:r>
      <w:r w:rsidR="007341EE" w:rsidRPr="00C0765A">
        <w:rPr>
          <w:lang w:val="en-US"/>
        </w:rPr>
        <w:t xml:space="preserve">immediately </w:t>
      </w:r>
      <w:r w:rsidR="009D1DE2" w:rsidRPr="00C0765A">
        <w:rPr>
          <w:lang w:val="en-US"/>
        </w:rPr>
        <w:t>prior to</w:t>
      </w:r>
      <w:r w:rsidR="007341EE" w:rsidRPr="00C0765A">
        <w:rPr>
          <w:lang w:val="en-US"/>
        </w:rPr>
        <w:t xml:space="preserve"> </w:t>
      </w:r>
      <w:r w:rsidR="009D1DE2" w:rsidRPr="00C0765A">
        <w:rPr>
          <w:lang w:val="en-US"/>
        </w:rPr>
        <w:t>it</w:t>
      </w:r>
      <w:r w:rsidR="00F32651" w:rsidRPr="00C0765A">
        <w:rPr>
          <w:lang w:val="en-US"/>
        </w:rPr>
        <w:t xml:space="preserve">, and alpha </w:t>
      </w:r>
      <w:r w:rsidR="00254603" w:rsidRPr="00C0765A">
        <w:rPr>
          <w:lang w:val="en-US"/>
        </w:rPr>
        <w:t>synchronization</w:t>
      </w:r>
      <w:r w:rsidR="00F32651" w:rsidRPr="00C0765A">
        <w:rPr>
          <w:lang w:val="en-US"/>
        </w:rPr>
        <w:t xml:space="preserve"> has </w:t>
      </w:r>
      <w:r w:rsidR="00705A58" w:rsidRPr="00C0765A">
        <w:rPr>
          <w:lang w:val="en-US"/>
        </w:rPr>
        <w:t xml:space="preserve">previously </w:t>
      </w:r>
      <w:r w:rsidR="00F32651" w:rsidRPr="00C0765A">
        <w:rPr>
          <w:lang w:val="en-US"/>
        </w:rPr>
        <w:t xml:space="preserve">been </w:t>
      </w:r>
      <w:r w:rsidR="00705A58" w:rsidRPr="00C0765A">
        <w:rPr>
          <w:lang w:val="en-US"/>
        </w:rPr>
        <w:t>linked</w:t>
      </w:r>
      <w:r w:rsidR="00F32651" w:rsidRPr="00C0765A">
        <w:rPr>
          <w:lang w:val="en-US"/>
        </w:rPr>
        <w:t xml:space="preserve"> to positive affect (Yu et al., 2011).</w:t>
      </w:r>
      <w:r w:rsidR="00807153" w:rsidRPr="00C0765A">
        <w:rPr>
          <w:lang w:val="en-US"/>
        </w:rPr>
        <w:t xml:space="preserve"> This could also explain the absent interaction </w:t>
      </w:r>
      <w:r w:rsidR="00A02A21" w:rsidRPr="00C0765A">
        <w:rPr>
          <w:lang w:val="en-US"/>
        </w:rPr>
        <w:t>e</w:t>
      </w:r>
      <w:r w:rsidR="00807153" w:rsidRPr="00C0765A">
        <w:rPr>
          <w:lang w:val="en-US"/>
        </w:rPr>
        <w:t xml:space="preserve">ffect, </w:t>
      </w:r>
      <w:r w:rsidR="005B1C3A" w:rsidRPr="00C0765A">
        <w:rPr>
          <w:lang w:val="en-US"/>
        </w:rPr>
        <w:t>given that</w:t>
      </w:r>
      <w:r w:rsidR="00807153" w:rsidRPr="00C0765A">
        <w:rPr>
          <w:lang w:val="en-US"/>
        </w:rPr>
        <w:t xml:space="preserve"> </w:t>
      </w:r>
      <w:proofErr w:type="spellStart"/>
      <w:r w:rsidR="00807153" w:rsidRPr="00C0765A">
        <w:rPr>
          <w:lang w:val="en-US"/>
        </w:rPr>
        <w:t>taVNS</w:t>
      </w:r>
      <w:proofErr w:type="spellEnd"/>
      <w:r w:rsidR="00807153" w:rsidRPr="00C0765A">
        <w:rPr>
          <w:lang w:val="en-US"/>
        </w:rPr>
        <w:t xml:space="preserve"> was experienced </w:t>
      </w:r>
      <w:r w:rsidR="00F32651" w:rsidRPr="00C0765A">
        <w:rPr>
          <w:lang w:val="en-US"/>
        </w:rPr>
        <w:t xml:space="preserve">as more unpleasant than Sham stimulation, </w:t>
      </w:r>
      <w:r w:rsidR="00385309" w:rsidRPr="00C0765A">
        <w:rPr>
          <w:lang w:val="en-US"/>
        </w:rPr>
        <w:t xml:space="preserve">which could have </w:t>
      </w:r>
      <w:r w:rsidR="00705A58" w:rsidRPr="00C0765A">
        <w:rPr>
          <w:lang w:val="en-US"/>
        </w:rPr>
        <w:t>prompted</w:t>
      </w:r>
      <w:r w:rsidR="00385309" w:rsidRPr="00C0765A">
        <w:rPr>
          <w:lang w:val="en-US"/>
        </w:rPr>
        <w:t xml:space="preserve"> stronger positive affect and </w:t>
      </w:r>
      <w:r w:rsidR="000B1CC2" w:rsidRPr="00C0765A">
        <w:rPr>
          <w:lang w:val="en-US"/>
        </w:rPr>
        <w:t xml:space="preserve">alpha </w:t>
      </w:r>
      <w:r w:rsidR="000A5988" w:rsidRPr="00C0765A">
        <w:rPr>
          <w:lang w:val="en-US"/>
        </w:rPr>
        <w:t>synchronization</w:t>
      </w:r>
      <w:r w:rsidR="006332C6" w:rsidRPr="00C0765A">
        <w:rPr>
          <w:lang w:val="en-US"/>
        </w:rPr>
        <w:t xml:space="preserve"> upon </w:t>
      </w:r>
      <w:r w:rsidR="00991AD6" w:rsidRPr="00C0765A">
        <w:rPr>
          <w:lang w:val="en-US"/>
        </w:rPr>
        <w:t>it being turned off</w:t>
      </w:r>
      <w:r w:rsidR="000B1CC2" w:rsidRPr="00C0765A">
        <w:rPr>
          <w:lang w:val="en-US"/>
        </w:rPr>
        <w:t xml:space="preserve">, potentially masking any suppressive effects of the LC-NA axis. </w:t>
      </w:r>
      <w:r w:rsidR="00B0488E" w:rsidRPr="00C0765A">
        <w:rPr>
          <w:lang w:val="en-US"/>
        </w:rPr>
        <w:t>To address this issue, f</w:t>
      </w:r>
      <w:r w:rsidR="000A5988" w:rsidRPr="00C0765A">
        <w:rPr>
          <w:lang w:val="en-US"/>
        </w:rPr>
        <w:t xml:space="preserve">uture studies investigating resting-state alpha dynamics should introduce </w:t>
      </w:r>
      <w:r w:rsidR="002E63E9" w:rsidRPr="00C0765A">
        <w:rPr>
          <w:lang w:val="en-US"/>
        </w:rPr>
        <w:t>more</w:t>
      </w:r>
      <w:r w:rsidR="00345850" w:rsidRPr="00C0765A">
        <w:rPr>
          <w:lang w:val="en-US"/>
        </w:rPr>
        <w:t xml:space="preserve"> measurement points</w:t>
      </w:r>
      <w:r w:rsidR="00E94D9F" w:rsidRPr="00C0765A">
        <w:rPr>
          <w:lang w:val="en-US"/>
        </w:rPr>
        <w:t>, to assess the changes in alpha dynamics during a longer post-stimulation period</w:t>
      </w:r>
      <w:r w:rsidR="00AC3903" w:rsidRPr="00C0765A">
        <w:rPr>
          <w:lang w:val="en-US"/>
        </w:rPr>
        <w:t>, as opposed to only immediately after the stimulation</w:t>
      </w:r>
      <w:r w:rsidR="002E63E9" w:rsidRPr="00C0765A">
        <w:rPr>
          <w:lang w:val="en-US"/>
        </w:rPr>
        <w:t xml:space="preserve"> is turned off</w:t>
      </w:r>
      <w:r w:rsidR="00E94D9F" w:rsidRPr="00C0765A">
        <w:rPr>
          <w:lang w:val="en-US"/>
        </w:rPr>
        <w:t xml:space="preserve">. </w:t>
      </w:r>
      <w:r w:rsidR="00DD2412" w:rsidRPr="00C0765A">
        <w:rPr>
          <w:lang w:val="en-US"/>
        </w:rPr>
        <w:t>One such</w:t>
      </w:r>
      <w:r w:rsidR="009934B4" w:rsidRPr="00C0765A">
        <w:rPr>
          <w:lang w:val="en-US"/>
        </w:rPr>
        <w:t xml:space="preserve"> previous study using</w:t>
      </w:r>
      <w:r w:rsidR="00E00D99" w:rsidRPr="00C0765A">
        <w:rPr>
          <w:lang w:val="en-US"/>
        </w:rPr>
        <w:t xml:space="preserve"> </w:t>
      </w:r>
      <w:r w:rsidR="009254E1" w:rsidRPr="00C0765A">
        <w:rPr>
          <w:lang w:val="en-US"/>
        </w:rPr>
        <w:t xml:space="preserve">transcutaneous cervical </w:t>
      </w:r>
      <w:r w:rsidR="00E00D99" w:rsidRPr="00C0765A">
        <w:rPr>
          <w:lang w:val="en-US"/>
        </w:rPr>
        <w:t>VNS</w:t>
      </w:r>
      <w:r w:rsidR="00474FE2" w:rsidRPr="00C0765A">
        <w:rPr>
          <w:lang w:val="en-US"/>
        </w:rPr>
        <w:t>,</w:t>
      </w:r>
      <w:r w:rsidR="009934B4" w:rsidRPr="00C0765A">
        <w:rPr>
          <w:lang w:val="en-US"/>
        </w:rPr>
        <w:t xml:space="preserve"> </w:t>
      </w:r>
      <w:r w:rsidR="002274AE" w:rsidRPr="00C0765A">
        <w:rPr>
          <w:lang w:val="en-US"/>
        </w:rPr>
        <w:t>and taking</w:t>
      </w:r>
      <w:r w:rsidR="009934B4" w:rsidRPr="00C0765A">
        <w:rPr>
          <w:lang w:val="en-US"/>
        </w:rPr>
        <w:t xml:space="preserve"> </w:t>
      </w:r>
      <w:r w:rsidR="00565F46" w:rsidRPr="00C0765A">
        <w:rPr>
          <w:lang w:val="en-US"/>
        </w:rPr>
        <w:t xml:space="preserve">multiple </w:t>
      </w:r>
      <w:r w:rsidR="00580BFD" w:rsidRPr="00C0765A">
        <w:rPr>
          <w:lang w:val="en-US"/>
        </w:rPr>
        <w:t xml:space="preserve">post-stimulation </w:t>
      </w:r>
      <w:r w:rsidR="00565F46" w:rsidRPr="00C0765A">
        <w:rPr>
          <w:lang w:val="en-US"/>
        </w:rPr>
        <w:t>measurement</w:t>
      </w:r>
      <w:r w:rsidR="00661880" w:rsidRPr="00C0765A">
        <w:rPr>
          <w:lang w:val="en-US"/>
        </w:rPr>
        <w:t>s</w:t>
      </w:r>
      <w:r w:rsidR="00474FE2" w:rsidRPr="00C0765A">
        <w:rPr>
          <w:lang w:val="en-US"/>
        </w:rPr>
        <w:t>,</w:t>
      </w:r>
      <w:r w:rsidR="00661880" w:rsidRPr="00C0765A">
        <w:rPr>
          <w:lang w:val="en-US"/>
        </w:rPr>
        <w:t xml:space="preserve"> </w:t>
      </w:r>
      <w:r w:rsidR="00565F46" w:rsidRPr="00C0765A">
        <w:rPr>
          <w:lang w:val="en-US"/>
        </w:rPr>
        <w:t xml:space="preserve">found </w:t>
      </w:r>
      <w:r w:rsidR="00F07A44" w:rsidRPr="00C0765A">
        <w:rPr>
          <w:lang w:val="en-US"/>
        </w:rPr>
        <w:t xml:space="preserve">suppressive </w:t>
      </w:r>
      <w:r w:rsidR="00565F46" w:rsidRPr="00C0765A">
        <w:rPr>
          <w:lang w:val="en-US"/>
        </w:rPr>
        <w:t xml:space="preserve">effects on low frequencies (including alpha) lasting for up to two hours post-stimulation </w:t>
      </w:r>
      <w:r w:rsidR="002F477D" w:rsidRPr="00C0765A">
        <w:rPr>
          <w:lang w:val="en-US"/>
        </w:rPr>
        <w:t>(Lewine et al., 2019)</w:t>
      </w:r>
      <w:r w:rsidR="00565F46" w:rsidRPr="00C0765A">
        <w:rPr>
          <w:lang w:val="en-US"/>
        </w:rPr>
        <w:t xml:space="preserve">. </w:t>
      </w:r>
      <w:r w:rsidR="00B0084B" w:rsidRPr="00C0765A">
        <w:rPr>
          <w:lang w:val="en-US"/>
        </w:rPr>
        <w:t xml:space="preserve">Another reason for the </w:t>
      </w:r>
      <w:r w:rsidR="007F4279" w:rsidRPr="00C0765A">
        <w:rPr>
          <w:lang w:val="en-US"/>
        </w:rPr>
        <w:t>lack of an interaction</w:t>
      </w:r>
      <w:r w:rsidR="00B0084B" w:rsidRPr="00C0765A">
        <w:rPr>
          <w:lang w:val="en-US"/>
        </w:rPr>
        <w:t xml:space="preserve"> may be our use of continuous stimulation</w:t>
      </w:r>
      <w:r w:rsidR="00AB3E92" w:rsidRPr="00C0765A">
        <w:rPr>
          <w:lang w:val="en-US"/>
        </w:rPr>
        <w:t xml:space="preserve"> and measuring resting-state dynamics</w:t>
      </w:r>
      <w:r w:rsidR="00250D9E" w:rsidRPr="00C0765A">
        <w:rPr>
          <w:lang w:val="en-US"/>
        </w:rPr>
        <w:t xml:space="preserve">, while Sharon and colleagues used short </w:t>
      </w:r>
      <w:r w:rsidR="00993573" w:rsidRPr="00C0765A">
        <w:rPr>
          <w:lang w:val="en-US"/>
        </w:rPr>
        <w:t xml:space="preserve">stimulation </w:t>
      </w:r>
      <w:r w:rsidR="00250D9E" w:rsidRPr="00C0765A">
        <w:rPr>
          <w:lang w:val="en-US"/>
        </w:rPr>
        <w:t>bursts</w:t>
      </w:r>
      <w:r w:rsidR="00993573" w:rsidRPr="00C0765A">
        <w:rPr>
          <w:lang w:val="en-US"/>
        </w:rPr>
        <w:t>, and measured event-related alpha dynamics in response to</w:t>
      </w:r>
      <w:r w:rsidR="00AB3E92" w:rsidRPr="00C0765A">
        <w:rPr>
          <w:lang w:val="en-US"/>
        </w:rPr>
        <w:t xml:space="preserve"> the bursts</w:t>
      </w:r>
      <w:r w:rsidR="002E63E9" w:rsidRPr="00C0765A">
        <w:rPr>
          <w:lang w:val="en-US"/>
        </w:rPr>
        <w:t xml:space="preserve"> (Sharon et al., 2021)</w:t>
      </w:r>
      <w:r w:rsidR="007F4279" w:rsidRPr="00C0765A">
        <w:rPr>
          <w:lang w:val="en-US"/>
        </w:rPr>
        <w:t>.</w:t>
      </w:r>
      <w:r w:rsidR="003D4290" w:rsidRPr="00C0765A">
        <w:rPr>
          <w:lang w:val="en-US"/>
        </w:rPr>
        <w:t xml:space="preserve"> A recent study found that event-related </w:t>
      </w:r>
      <w:r w:rsidR="009D1C3C" w:rsidRPr="00C0765A">
        <w:rPr>
          <w:lang w:val="en-US"/>
        </w:rPr>
        <w:t xml:space="preserve">pupil responses were modulated by </w:t>
      </w:r>
      <w:proofErr w:type="spellStart"/>
      <w:r w:rsidR="009D1C3C" w:rsidRPr="00C0765A">
        <w:rPr>
          <w:lang w:val="en-US"/>
        </w:rPr>
        <w:t>taVNS</w:t>
      </w:r>
      <w:proofErr w:type="spellEnd"/>
      <w:r w:rsidR="009D1C3C" w:rsidRPr="00C0765A">
        <w:rPr>
          <w:lang w:val="en-US"/>
        </w:rPr>
        <w:t xml:space="preserve"> only when </w:t>
      </w:r>
      <w:r w:rsidR="00570D4C" w:rsidRPr="00C0765A">
        <w:rPr>
          <w:lang w:val="en-US"/>
        </w:rPr>
        <w:t xml:space="preserve">higher-dose </w:t>
      </w:r>
      <w:r w:rsidR="009D1C3C" w:rsidRPr="00C0765A">
        <w:rPr>
          <w:lang w:val="en-US"/>
        </w:rPr>
        <w:t>short bursts</w:t>
      </w:r>
      <w:r w:rsidR="00570D4C" w:rsidRPr="00C0765A">
        <w:rPr>
          <w:lang w:val="en-US"/>
        </w:rPr>
        <w:t xml:space="preserve"> were employed (</w:t>
      </w:r>
      <w:proofErr w:type="spellStart"/>
      <w:r w:rsidR="00570D4C" w:rsidRPr="00C0765A">
        <w:rPr>
          <w:lang w:val="en-US"/>
        </w:rPr>
        <w:t>D’Agostini</w:t>
      </w:r>
      <w:proofErr w:type="spellEnd"/>
      <w:r w:rsidR="00570D4C" w:rsidRPr="00C0765A">
        <w:rPr>
          <w:lang w:val="en-US"/>
        </w:rPr>
        <w:t>, Burger, Franssen, et al., 2023)</w:t>
      </w:r>
      <w:r w:rsidR="00FF7C81" w:rsidRPr="00C0765A">
        <w:rPr>
          <w:lang w:val="en-US"/>
        </w:rPr>
        <w:t xml:space="preserve">, indicating that continuous </w:t>
      </w:r>
      <w:r w:rsidR="008F58C1" w:rsidRPr="00C0765A">
        <w:rPr>
          <w:lang w:val="en-US"/>
        </w:rPr>
        <w:t xml:space="preserve">(tonic) </w:t>
      </w:r>
      <w:r w:rsidR="00FF7C81" w:rsidRPr="00C0765A">
        <w:rPr>
          <w:lang w:val="en-US"/>
        </w:rPr>
        <w:t xml:space="preserve">stimulation may not be the most effective </w:t>
      </w:r>
      <w:r w:rsidR="002C4A16" w:rsidRPr="00C0765A">
        <w:rPr>
          <w:lang w:val="en-US"/>
        </w:rPr>
        <w:t xml:space="preserve">manner of </w:t>
      </w:r>
      <w:r w:rsidR="00EC6769" w:rsidRPr="00C0765A">
        <w:rPr>
          <w:lang w:val="en-US"/>
        </w:rPr>
        <w:t>modulat</w:t>
      </w:r>
      <w:r w:rsidR="008F58C1" w:rsidRPr="00C0765A">
        <w:rPr>
          <w:lang w:val="en-US"/>
        </w:rPr>
        <w:t>ing</w:t>
      </w:r>
      <w:r w:rsidR="00EC6769" w:rsidRPr="00C0765A">
        <w:rPr>
          <w:lang w:val="en-US"/>
        </w:rPr>
        <w:t xml:space="preserve"> </w:t>
      </w:r>
      <w:r w:rsidR="007C4E62" w:rsidRPr="00C0765A">
        <w:rPr>
          <w:lang w:val="en-US"/>
        </w:rPr>
        <w:t xml:space="preserve">phasic </w:t>
      </w:r>
      <w:r w:rsidR="00AA7FA9" w:rsidRPr="00C0765A">
        <w:rPr>
          <w:lang w:val="en-US"/>
        </w:rPr>
        <w:t>LC-NA activity as measured by pupil dilation and alpha oscillations</w:t>
      </w:r>
      <w:r w:rsidR="002C4A16" w:rsidRPr="00C0765A">
        <w:rPr>
          <w:lang w:val="en-US"/>
        </w:rPr>
        <w:t>.</w:t>
      </w:r>
      <w:r w:rsidR="007F4279" w:rsidRPr="00C0765A">
        <w:rPr>
          <w:lang w:val="en-US"/>
        </w:rPr>
        <w:t xml:space="preserve"> </w:t>
      </w:r>
      <w:r w:rsidR="00B65BB0" w:rsidRPr="00C0765A">
        <w:rPr>
          <w:lang w:val="en-US"/>
        </w:rPr>
        <w:t xml:space="preserve">It is, however, also important to note </w:t>
      </w:r>
      <w:r w:rsidR="00E72985" w:rsidRPr="00C0765A">
        <w:rPr>
          <w:lang w:val="en-US"/>
        </w:rPr>
        <w:t>a recent non-replication of the alpha oscillation finding of Sharon et al. (Lloyd et al., 2023), which shows that these effects may not be very stable.</w:t>
      </w:r>
      <w:r w:rsidR="0018072A" w:rsidRPr="00C0765A">
        <w:rPr>
          <w:lang w:val="en-US"/>
        </w:rPr>
        <w:t xml:space="preserve"> In relation to this, the power of alpha oscillations </w:t>
      </w:r>
      <w:r w:rsidR="00FB4DE7" w:rsidRPr="00C0765A">
        <w:rPr>
          <w:lang w:val="en-US"/>
        </w:rPr>
        <w:t>is influenced by a</w:t>
      </w:r>
      <w:r w:rsidR="0018072A" w:rsidRPr="00C0765A">
        <w:rPr>
          <w:lang w:val="en-US"/>
        </w:rPr>
        <w:t xml:space="preserve"> plethora of neural and cognitive processes</w:t>
      </w:r>
      <w:r w:rsidR="00FB4DE7" w:rsidRPr="00C0765A">
        <w:rPr>
          <w:lang w:val="en-US"/>
        </w:rPr>
        <w:t xml:space="preserve"> </w:t>
      </w:r>
      <w:r w:rsidR="0015100E" w:rsidRPr="00C0765A">
        <w:rPr>
          <w:lang w:val="en-US"/>
        </w:rPr>
        <w:t>(</w:t>
      </w:r>
      <w:proofErr w:type="spellStart"/>
      <w:r w:rsidR="0015100E" w:rsidRPr="00C0765A">
        <w:rPr>
          <w:lang w:val="en-US"/>
        </w:rPr>
        <w:t>Bazanova</w:t>
      </w:r>
      <w:proofErr w:type="spellEnd"/>
      <w:r w:rsidR="0015100E" w:rsidRPr="00C0765A">
        <w:rPr>
          <w:lang w:val="en-US"/>
        </w:rPr>
        <w:t xml:space="preserve"> &amp; Vernon, 2014; Jelinčić, Van Diest, et al., 2021)</w:t>
      </w:r>
      <w:r w:rsidR="0018072A" w:rsidRPr="00C0765A">
        <w:rPr>
          <w:lang w:val="en-US"/>
        </w:rPr>
        <w:t xml:space="preserve">, </w:t>
      </w:r>
      <w:r w:rsidR="00FB4DE7" w:rsidRPr="00C0765A">
        <w:rPr>
          <w:lang w:val="en-US"/>
        </w:rPr>
        <w:t>making it a highly non-specific outcome</w:t>
      </w:r>
      <w:r w:rsidR="0031759A" w:rsidRPr="00C0765A">
        <w:rPr>
          <w:lang w:val="en-US"/>
        </w:rPr>
        <w:t xml:space="preserve">, and therefore </w:t>
      </w:r>
      <w:r w:rsidR="002E213A" w:rsidRPr="00C0765A">
        <w:rPr>
          <w:lang w:val="en-US"/>
        </w:rPr>
        <w:t>likely not the most appropriate marker</w:t>
      </w:r>
      <w:r w:rsidR="0015100E" w:rsidRPr="00C0765A">
        <w:rPr>
          <w:lang w:val="en-US"/>
        </w:rPr>
        <w:t xml:space="preserve"> for the effects of </w:t>
      </w:r>
      <w:proofErr w:type="spellStart"/>
      <w:r w:rsidR="0015100E" w:rsidRPr="00C0765A">
        <w:rPr>
          <w:lang w:val="en-US"/>
        </w:rPr>
        <w:t>taVNS</w:t>
      </w:r>
      <w:proofErr w:type="spellEnd"/>
      <w:r w:rsidR="0031759A" w:rsidRPr="00C0765A">
        <w:rPr>
          <w:lang w:val="en-US"/>
        </w:rPr>
        <w:t xml:space="preserve"> on neural processing</w:t>
      </w:r>
      <w:r w:rsidR="00FC46BB" w:rsidRPr="00C0765A">
        <w:rPr>
          <w:lang w:val="en-US"/>
        </w:rPr>
        <w:t xml:space="preserve"> and the LC-NA axis</w:t>
      </w:r>
      <w:r w:rsidR="0031759A" w:rsidRPr="00C0765A">
        <w:rPr>
          <w:lang w:val="en-US"/>
        </w:rPr>
        <w:t>.</w:t>
      </w:r>
    </w:p>
    <w:p w14:paraId="0DC7C248" w14:textId="41103059" w:rsidR="00686957" w:rsidRPr="00C0765A" w:rsidRDefault="001E4D59" w:rsidP="001E4D59">
      <w:pPr>
        <w:pStyle w:val="Heading2"/>
        <w:rPr>
          <w:lang w:val="en-US"/>
        </w:rPr>
      </w:pPr>
      <w:bookmarkStart w:id="10" w:name="_4.2_ERP_effects"/>
      <w:bookmarkEnd w:id="10"/>
      <w:r w:rsidRPr="00C0765A">
        <w:rPr>
          <w:lang w:val="en-US"/>
        </w:rPr>
        <w:t xml:space="preserve">4.2 </w:t>
      </w:r>
      <w:r w:rsidR="00D67BDF" w:rsidRPr="00C0765A">
        <w:rPr>
          <w:lang w:val="en-US"/>
        </w:rPr>
        <w:t xml:space="preserve">ERP effects </w:t>
      </w:r>
      <w:r w:rsidR="00C44CD7" w:rsidRPr="00C0765A">
        <w:rPr>
          <w:lang w:val="en-US"/>
        </w:rPr>
        <w:t xml:space="preserve">manifested in </w:t>
      </w:r>
      <w:r w:rsidR="00EC6769" w:rsidRPr="00C0765A">
        <w:rPr>
          <w:lang w:val="en-US"/>
        </w:rPr>
        <w:t>long-latency</w:t>
      </w:r>
      <w:r w:rsidR="00C44CD7" w:rsidRPr="00C0765A">
        <w:rPr>
          <w:lang w:val="en-US"/>
        </w:rPr>
        <w:t xml:space="preserve"> peaks </w:t>
      </w:r>
      <w:r w:rsidR="005C4B52" w:rsidRPr="00C0765A">
        <w:rPr>
          <w:lang w:val="en-US"/>
        </w:rPr>
        <w:t>in response to</w:t>
      </w:r>
      <w:r w:rsidR="00C44CD7" w:rsidRPr="00C0765A">
        <w:rPr>
          <w:lang w:val="en-US"/>
        </w:rPr>
        <w:t xml:space="preserve"> </w:t>
      </w:r>
      <w:r w:rsidR="00686957" w:rsidRPr="00C0765A">
        <w:rPr>
          <w:lang w:val="en-US"/>
        </w:rPr>
        <w:t>auditory and electrocutaneous stimuli</w:t>
      </w:r>
    </w:p>
    <w:p w14:paraId="4FB108BD" w14:textId="6DFB29DE" w:rsidR="0071435B" w:rsidRPr="00C0765A" w:rsidRDefault="005C4B52" w:rsidP="0071435B">
      <w:pPr>
        <w:rPr>
          <w:lang w:val="en-US"/>
        </w:rPr>
      </w:pPr>
      <w:r w:rsidRPr="00C0765A">
        <w:rPr>
          <w:lang w:val="en-US"/>
        </w:rPr>
        <w:t xml:space="preserve">The current results showed </w:t>
      </w:r>
      <w:proofErr w:type="spellStart"/>
      <w:r w:rsidRPr="00C0765A">
        <w:rPr>
          <w:lang w:val="en-US"/>
        </w:rPr>
        <w:t>taVNS</w:t>
      </w:r>
      <w:proofErr w:type="spellEnd"/>
      <w:r w:rsidRPr="00C0765A">
        <w:rPr>
          <w:lang w:val="en-US"/>
        </w:rPr>
        <w:t xml:space="preserve"> effects on the peak amplitudes of </w:t>
      </w:r>
      <w:r w:rsidR="00EA0E22" w:rsidRPr="00C0765A">
        <w:rPr>
          <w:lang w:val="en-US"/>
        </w:rPr>
        <w:t xml:space="preserve">AEP and SEP </w:t>
      </w:r>
      <w:r w:rsidRPr="00C0765A">
        <w:rPr>
          <w:lang w:val="en-US"/>
        </w:rPr>
        <w:t xml:space="preserve">P2 </w:t>
      </w:r>
      <w:r w:rsidR="00EA0E22" w:rsidRPr="00C0765A">
        <w:rPr>
          <w:lang w:val="en-US"/>
        </w:rPr>
        <w:t>components</w:t>
      </w:r>
      <w:r w:rsidR="00D92F6E" w:rsidRPr="00C0765A">
        <w:rPr>
          <w:lang w:val="en-US"/>
        </w:rPr>
        <w:t xml:space="preserve">, but no effects on </w:t>
      </w:r>
      <w:r w:rsidR="0034673B" w:rsidRPr="00C0765A">
        <w:rPr>
          <w:lang w:val="en-US"/>
        </w:rPr>
        <w:t xml:space="preserve">the </w:t>
      </w:r>
      <w:r w:rsidR="00D92F6E" w:rsidRPr="00C0765A">
        <w:rPr>
          <w:lang w:val="en-US"/>
        </w:rPr>
        <w:t xml:space="preserve">earlier N1 or P50 peak amplitudes. </w:t>
      </w:r>
      <w:r w:rsidR="0080343C" w:rsidRPr="00C0765A">
        <w:rPr>
          <w:lang w:val="en-US"/>
        </w:rPr>
        <w:t xml:space="preserve">As </w:t>
      </w:r>
      <w:r w:rsidR="006604C2" w:rsidRPr="00C0765A">
        <w:rPr>
          <w:lang w:val="en-US"/>
        </w:rPr>
        <w:t>a l</w:t>
      </w:r>
      <w:r w:rsidR="00CF0634">
        <w:rPr>
          <w:lang w:val="en-US"/>
        </w:rPr>
        <w:t>ong</w:t>
      </w:r>
      <w:r w:rsidR="006604C2" w:rsidRPr="00C0765A">
        <w:rPr>
          <w:lang w:val="en-US"/>
        </w:rPr>
        <w:t>-latency component, P2 is known to be affected by attentional manipulations</w:t>
      </w:r>
      <w:r w:rsidR="00E85B34" w:rsidRPr="00C0765A">
        <w:rPr>
          <w:lang w:val="en-US"/>
        </w:rPr>
        <w:t xml:space="preserve"> (Jelinčić et al., 2024; </w:t>
      </w:r>
      <w:proofErr w:type="spellStart"/>
      <w:r w:rsidR="00E85B34" w:rsidRPr="00C0765A">
        <w:rPr>
          <w:lang w:val="en-US"/>
        </w:rPr>
        <w:t>Lijffijt</w:t>
      </w:r>
      <w:proofErr w:type="spellEnd"/>
      <w:r w:rsidR="00E85B34" w:rsidRPr="00C0765A">
        <w:rPr>
          <w:lang w:val="en-US"/>
        </w:rPr>
        <w:t xml:space="preserve"> et al., 2009)</w:t>
      </w:r>
      <w:r w:rsidR="007E5589" w:rsidRPr="00C0765A">
        <w:rPr>
          <w:lang w:val="en-US"/>
        </w:rPr>
        <w:t>. T</w:t>
      </w:r>
      <w:r w:rsidR="006604C2" w:rsidRPr="00C0765A">
        <w:rPr>
          <w:lang w:val="en-US"/>
        </w:rPr>
        <w:t xml:space="preserve">he current results </w:t>
      </w:r>
      <w:r w:rsidR="007E5589" w:rsidRPr="00C0765A">
        <w:rPr>
          <w:lang w:val="en-US"/>
        </w:rPr>
        <w:t xml:space="preserve">thus </w:t>
      </w:r>
      <w:r w:rsidR="00D92F6E" w:rsidRPr="00C0765A">
        <w:rPr>
          <w:lang w:val="en-US"/>
        </w:rPr>
        <w:t xml:space="preserve">indicate that </w:t>
      </w:r>
      <w:proofErr w:type="spellStart"/>
      <w:r w:rsidR="00D92F6E" w:rsidRPr="00C0765A">
        <w:rPr>
          <w:lang w:val="en-US"/>
        </w:rPr>
        <w:t>taVNS</w:t>
      </w:r>
      <w:proofErr w:type="spellEnd"/>
      <w:r w:rsidR="00D92F6E" w:rsidRPr="00C0765A">
        <w:rPr>
          <w:lang w:val="en-US"/>
        </w:rPr>
        <w:t xml:space="preserve"> </w:t>
      </w:r>
      <w:r w:rsidR="005617EA" w:rsidRPr="00C0765A">
        <w:rPr>
          <w:lang w:val="en-US"/>
        </w:rPr>
        <w:t xml:space="preserve">likely </w:t>
      </w:r>
      <w:r w:rsidR="00D92F6E" w:rsidRPr="00C0765A">
        <w:rPr>
          <w:lang w:val="en-US"/>
        </w:rPr>
        <w:t>exert</w:t>
      </w:r>
      <w:r w:rsidR="005617EA" w:rsidRPr="00C0765A">
        <w:rPr>
          <w:lang w:val="en-US"/>
        </w:rPr>
        <w:t>s</w:t>
      </w:r>
      <w:r w:rsidR="00D92F6E" w:rsidRPr="00C0765A">
        <w:rPr>
          <w:lang w:val="en-US"/>
        </w:rPr>
        <w:t xml:space="preserve"> a</w:t>
      </w:r>
      <w:r w:rsidR="00E85B34" w:rsidRPr="00C0765A">
        <w:rPr>
          <w:lang w:val="en-US"/>
        </w:rPr>
        <w:t xml:space="preserve">n </w:t>
      </w:r>
      <w:r w:rsidR="00D92F6E" w:rsidRPr="00C0765A">
        <w:rPr>
          <w:lang w:val="en-US"/>
        </w:rPr>
        <w:t>influence on central attentional and cognitive processing</w:t>
      </w:r>
      <w:r w:rsidR="005107C9" w:rsidRPr="00C0765A">
        <w:rPr>
          <w:lang w:val="en-US"/>
        </w:rPr>
        <w:t>,</w:t>
      </w:r>
      <w:r w:rsidR="00D92F6E" w:rsidRPr="00C0765A">
        <w:rPr>
          <w:lang w:val="en-US"/>
        </w:rPr>
        <w:t xml:space="preserve"> </w:t>
      </w:r>
      <w:r w:rsidR="004D0BFB" w:rsidRPr="00C0765A">
        <w:rPr>
          <w:lang w:val="en-US"/>
        </w:rPr>
        <w:t xml:space="preserve">independent of the </w:t>
      </w:r>
      <w:r w:rsidR="005107C9" w:rsidRPr="00C0765A">
        <w:rPr>
          <w:lang w:val="en-US"/>
        </w:rPr>
        <w:t>modality-specific sensory processing</w:t>
      </w:r>
      <w:r w:rsidR="00EA7252" w:rsidRPr="00C0765A">
        <w:rPr>
          <w:lang w:val="en-US"/>
        </w:rPr>
        <w:t xml:space="preserve">, which is consistent with the current understanding </w:t>
      </w:r>
      <w:r w:rsidR="002037AA" w:rsidRPr="00C0765A">
        <w:rPr>
          <w:lang w:val="en-US"/>
        </w:rPr>
        <w:t>based on</w:t>
      </w:r>
      <w:r w:rsidR="00EA7252" w:rsidRPr="00C0765A">
        <w:rPr>
          <w:lang w:val="en-US"/>
        </w:rPr>
        <w:t xml:space="preserve"> the LC-NA hypothesis </w:t>
      </w:r>
      <w:r w:rsidR="001248E1" w:rsidRPr="006470CD">
        <w:rPr>
          <w:lang w:val="en-US"/>
        </w:rPr>
        <w:t>(Farmer et al., 2021; Ventura-Bort et al., 2018)</w:t>
      </w:r>
      <w:r w:rsidR="0037418D" w:rsidRPr="00C0765A">
        <w:rPr>
          <w:lang w:val="en-US"/>
        </w:rPr>
        <w:t xml:space="preserve">, and previous research </w:t>
      </w:r>
      <w:r w:rsidR="005B6CC5" w:rsidRPr="006470CD">
        <w:rPr>
          <w:lang w:val="en-US"/>
        </w:rPr>
        <w:t>(</w:t>
      </w:r>
      <w:proofErr w:type="spellStart"/>
      <w:r w:rsidR="005B6CC5" w:rsidRPr="006470CD">
        <w:rPr>
          <w:lang w:val="en-US"/>
        </w:rPr>
        <w:t>Giraudier</w:t>
      </w:r>
      <w:proofErr w:type="spellEnd"/>
      <w:r w:rsidR="005B6CC5" w:rsidRPr="006470CD">
        <w:rPr>
          <w:lang w:val="en-US"/>
        </w:rPr>
        <w:t xml:space="preserve"> et al., 2024; Lewine et al., 2019; Obst et al., 2020; Ventura-Bort et al., 2018)</w:t>
      </w:r>
      <w:r w:rsidR="00EA7252" w:rsidRPr="006470CD">
        <w:rPr>
          <w:lang w:val="en-US"/>
        </w:rPr>
        <w:t xml:space="preserve">. </w:t>
      </w:r>
      <w:r w:rsidR="00556F16" w:rsidRPr="00C0765A">
        <w:rPr>
          <w:lang w:val="en-US"/>
        </w:rPr>
        <w:t xml:space="preserve">Apart from </w:t>
      </w:r>
      <w:r w:rsidR="000573C6" w:rsidRPr="00C0765A">
        <w:rPr>
          <w:lang w:val="en-US"/>
        </w:rPr>
        <w:t xml:space="preserve">the </w:t>
      </w:r>
      <w:r w:rsidR="00556F16" w:rsidRPr="00C0765A">
        <w:rPr>
          <w:lang w:val="en-US"/>
        </w:rPr>
        <w:t xml:space="preserve">central working </w:t>
      </w:r>
      <w:r w:rsidR="00556F16" w:rsidRPr="00C0765A">
        <w:rPr>
          <w:lang w:val="en-US"/>
        </w:rPr>
        <w:lastRenderedPageBreak/>
        <w:t xml:space="preserve">mechanism of </w:t>
      </w:r>
      <w:proofErr w:type="spellStart"/>
      <w:r w:rsidR="00556F16" w:rsidRPr="00C0765A">
        <w:rPr>
          <w:lang w:val="en-US"/>
        </w:rPr>
        <w:t>taVNS</w:t>
      </w:r>
      <w:proofErr w:type="spellEnd"/>
      <w:r w:rsidR="00556F16" w:rsidRPr="00C0765A">
        <w:rPr>
          <w:lang w:val="en-US"/>
        </w:rPr>
        <w:t xml:space="preserve">, another explanation for the </w:t>
      </w:r>
      <w:r w:rsidR="00180025" w:rsidRPr="00C0765A">
        <w:rPr>
          <w:lang w:val="en-US"/>
        </w:rPr>
        <w:t xml:space="preserve">absent effects on P50 and N1 is that these components are intensity-dependent </w:t>
      </w:r>
      <w:r w:rsidR="00EA0E22" w:rsidRPr="00C0765A">
        <w:rPr>
          <w:lang w:val="en-US"/>
        </w:rPr>
        <w:t>(Klostermann et al., 2009; Lewine et al., 2019; Linka et al., 2007)</w:t>
      </w:r>
      <w:r w:rsidR="0071435B" w:rsidRPr="00C0765A">
        <w:rPr>
          <w:lang w:val="en-US"/>
        </w:rPr>
        <w:t xml:space="preserve">. In the current study, we aimed for all the stimuli to be mild, but noticeable, however it is possible that this intensity range is not an optimal one to show modulations by </w:t>
      </w:r>
      <w:proofErr w:type="spellStart"/>
      <w:r w:rsidR="0071435B" w:rsidRPr="00C0765A">
        <w:rPr>
          <w:lang w:val="en-US"/>
        </w:rPr>
        <w:t>taVNS</w:t>
      </w:r>
      <w:proofErr w:type="spellEnd"/>
      <w:r w:rsidR="0071435B" w:rsidRPr="00C0765A">
        <w:rPr>
          <w:lang w:val="en-US"/>
        </w:rPr>
        <w:t>. Future studies could probe the effects of intensity by employing (sub)liminal in addition to supraliminal stimuli in all modalities</w:t>
      </w:r>
      <w:r w:rsidR="00FF5975" w:rsidRPr="00C0765A">
        <w:rPr>
          <w:lang w:val="en-US"/>
        </w:rPr>
        <w:t>, or assessing stimulus discrimination accuracy (</w:t>
      </w:r>
      <w:proofErr w:type="spellStart"/>
      <w:r w:rsidR="00FF5975" w:rsidRPr="00C0765A">
        <w:rPr>
          <w:lang w:val="en-US"/>
        </w:rPr>
        <w:t>Jigo</w:t>
      </w:r>
      <w:proofErr w:type="spellEnd"/>
      <w:r w:rsidR="00FF5975" w:rsidRPr="00C0765A">
        <w:rPr>
          <w:lang w:val="en-US"/>
        </w:rPr>
        <w:t xml:space="preserve"> et al., 2024)</w:t>
      </w:r>
      <w:r w:rsidR="00BD7F31" w:rsidRPr="00C0765A">
        <w:rPr>
          <w:lang w:val="en-US"/>
        </w:rPr>
        <w:t>.</w:t>
      </w:r>
    </w:p>
    <w:p w14:paraId="0930DAE8" w14:textId="0355FF6D" w:rsidR="00D92F6E" w:rsidRPr="00C0765A" w:rsidRDefault="00786E4F" w:rsidP="00646EDE">
      <w:pPr>
        <w:rPr>
          <w:lang w:val="en-US"/>
        </w:rPr>
      </w:pPr>
      <w:r w:rsidRPr="00C0765A">
        <w:rPr>
          <w:lang w:val="en-US"/>
        </w:rPr>
        <w:t>We found no effects on any components of the respiratory-related evoked potential (RREP)</w:t>
      </w:r>
      <w:r w:rsidR="00B91F80" w:rsidRPr="00C0765A">
        <w:rPr>
          <w:lang w:val="en-US"/>
        </w:rPr>
        <w:t>, a highly surprising finding given th</w:t>
      </w:r>
      <w:r w:rsidR="001908B9" w:rsidRPr="00C0765A">
        <w:rPr>
          <w:lang w:val="en-US"/>
        </w:rPr>
        <w:t xml:space="preserve">e direct involvement of vagal afferents in the </w:t>
      </w:r>
      <w:r w:rsidR="0028640B" w:rsidRPr="00C0765A">
        <w:rPr>
          <w:lang w:val="en-US"/>
        </w:rPr>
        <w:t>processing of inspiratory occlusions</w:t>
      </w:r>
      <w:r w:rsidR="00D92F6E" w:rsidRPr="00C0765A">
        <w:rPr>
          <w:lang w:val="en-US"/>
        </w:rPr>
        <w:t xml:space="preserve"> </w:t>
      </w:r>
      <w:r w:rsidR="0028640B" w:rsidRPr="00C0765A">
        <w:rPr>
          <w:lang w:val="en-US"/>
        </w:rPr>
        <w:t>(Davenport &amp; Vovk, 2009)</w:t>
      </w:r>
      <w:r w:rsidR="0076162C" w:rsidRPr="00C0765A">
        <w:rPr>
          <w:lang w:val="en-US"/>
        </w:rPr>
        <w:t xml:space="preserve">, and </w:t>
      </w:r>
      <w:r w:rsidR="00614459" w:rsidRPr="00C0765A">
        <w:rPr>
          <w:lang w:val="en-US"/>
        </w:rPr>
        <w:t xml:space="preserve">known cross-communication </w:t>
      </w:r>
      <w:r w:rsidR="00977428" w:rsidRPr="00C0765A">
        <w:rPr>
          <w:lang w:val="en-US"/>
        </w:rPr>
        <w:t>between</w:t>
      </w:r>
      <w:r w:rsidR="00614459" w:rsidRPr="00C0765A">
        <w:rPr>
          <w:lang w:val="en-US"/>
        </w:rPr>
        <w:t xml:space="preserve"> the auricular and laryngeal afferent vagal branches </w:t>
      </w:r>
      <w:r w:rsidR="00890866" w:rsidRPr="00C0765A">
        <w:rPr>
          <w:lang w:val="en-US"/>
        </w:rPr>
        <w:t>(Ryan et al., 2014)</w:t>
      </w:r>
      <w:r w:rsidR="009B07ED" w:rsidRPr="00C0765A">
        <w:rPr>
          <w:lang w:val="en-US"/>
        </w:rPr>
        <w:t xml:space="preserve">. The current results </w:t>
      </w:r>
      <w:r w:rsidR="00CB254D" w:rsidRPr="00C0765A">
        <w:rPr>
          <w:lang w:val="en-US"/>
        </w:rPr>
        <w:t xml:space="preserve">therefore </w:t>
      </w:r>
      <w:r w:rsidR="009B07ED" w:rsidRPr="00C0765A">
        <w:rPr>
          <w:lang w:val="en-US"/>
        </w:rPr>
        <w:t xml:space="preserve">suggest that </w:t>
      </w:r>
      <w:proofErr w:type="spellStart"/>
      <w:r w:rsidR="009B07ED" w:rsidRPr="00C0765A">
        <w:rPr>
          <w:lang w:val="en-US"/>
        </w:rPr>
        <w:t>taVNS</w:t>
      </w:r>
      <w:proofErr w:type="spellEnd"/>
      <w:r w:rsidR="009B07ED" w:rsidRPr="00C0765A">
        <w:rPr>
          <w:lang w:val="en-US"/>
        </w:rPr>
        <w:t xml:space="preserve"> is more successful at modulating </w:t>
      </w:r>
      <w:r w:rsidR="008C76AB" w:rsidRPr="00C0765A">
        <w:rPr>
          <w:lang w:val="en-US"/>
        </w:rPr>
        <w:t>cortical responses</w:t>
      </w:r>
      <w:r w:rsidR="006D229C" w:rsidRPr="00C0765A">
        <w:rPr>
          <w:lang w:val="en-US"/>
        </w:rPr>
        <w:t xml:space="preserve"> to </w:t>
      </w:r>
      <w:r w:rsidR="00A943E4" w:rsidRPr="00C0765A">
        <w:rPr>
          <w:lang w:val="en-US"/>
        </w:rPr>
        <w:t xml:space="preserve">exteroceptive auditory stimuli and proximally exteroceptive somatosensory stimuli than </w:t>
      </w:r>
      <w:r w:rsidR="00060203" w:rsidRPr="00C0765A">
        <w:rPr>
          <w:lang w:val="en-US"/>
        </w:rPr>
        <w:t xml:space="preserve">to </w:t>
      </w:r>
      <w:r w:rsidR="00892C16" w:rsidRPr="00C0765A">
        <w:rPr>
          <w:lang w:val="en-US"/>
        </w:rPr>
        <w:t xml:space="preserve">vagally mediated interoceptive stimuli. There are several potential explanations for this </w:t>
      </w:r>
      <w:r w:rsidR="008E12A7" w:rsidRPr="00C0765A">
        <w:rPr>
          <w:lang w:val="en-US"/>
        </w:rPr>
        <w:t>surprising</w:t>
      </w:r>
      <w:r w:rsidR="00892C16" w:rsidRPr="00C0765A">
        <w:rPr>
          <w:lang w:val="en-US"/>
        </w:rPr>
        <w:t xml:space="preserve"> </w:t>
      </w:r>
      <w:r w:rsidR="008E12A7" w:rsidRPr="00C0765A">
        <w:rPr>
          <w:lang w:val="en-US"/>
        </w:rPr>
        <w:t>finding</w:t>
      </w:r>
      <w:r w:rsidR="00187EDE" w:rsidRPr="00C0765A">
        <w:rPr>
          <w:lang w:val="en-US"/>
        </w:rPr>
        <w:t xml:space="preserve">. </w:t>
      </w:r>
      <w:r w:rsidR="005765F0" w:rsidRPr="00C0765A">
        <w:rPr>
          <w:lang w:val="en-US"/>
        </w:rPr>
        <w:t>S</w:t>
      </w:r>
      <w:r w:rsidR="006A4D9F" w:rsidRPr="00C0765A">
        <w:rPr>
          <w:lang w:val="en-US"/>
        </w:rPr>
        <w:t>ince</w:t>
      </w:r>
      <w:r w:rsidR="000E7BC2" w:rsidRPr="00C0765A">
        <w:rPr>
          <w:lang w:val="en-US"/>
        </w:rPr>
        <w:t xml:space="preserve"> </w:t>
      </w:r>
      <w:r w:rsidR="00790A53" w:rsidRPr="00C0765A">
        <w:rPr>
          <w:lang w:val="en-US"/>
        </w:rPr>
        <w:t xml:space="preserve">inspiratory occlusions </w:t>
      </w:r>
      <w:r w:rsidR="000E7BC2" w:rsidRPr="00C0765A">
        <w:rPr>
          <w:lang w:val="en-US"/>
        </w:rPr>
        <w:t>stimulat</w:t>
      </w:r>
      <w:r w:rsidR="00790A53" w:rsidRPr="00C0765A">
        <w:rPr>
          <w:lang w:val="en-US"/>
        </w:rPr>
        <w:t>e</w:t>
      </w:r>
      <w:r w:rsidR="006A4D9F" w:rsidRPr="00C0765A">
        <w:rPr>
          <w:lang w:val="en-US"/>
        </w:rPr>
        <w:t xml:space="preserve"> </w:t>
      </w:r>
      <w:r w:rsidR="0057708B" w:rsidRPr="00C0765A">
        <w:rPr>
          <w:lang w:val="en-US"/>
        </w:rPr>
        <w:t>thoracic tissue and muscles</w:t>
      </w:r>
      <w:r w:rsidR="00790A53" w:rsidRPr="00C0765A">
        <w:rPr>
          <w:lang w:val="en-US"/>
        </w:rPr>
        <w:t>, thereby</w:t>
      </w:r>
      <w:r w:rsidR="0057708B" w:rsidRPr="00C0765A">
        <w:rPr>
          <w:lang w:val="en-US"/>
        </w:rPr>
        <w:t xml:space="preserve"> </w:t>
      </w:r>
      <w:r w:rsidR="006A4D9F" w:rsidRPr="00C0765A">
        <w:rPr>
          <w:lang w:val="en-US"/>
        </w:rPr>
        <w:t xml:space="preserve">already </w:t>
      </w:r>
      <w:r w:rsidR="00790A53" w:rsidRPr="00C0765A">
        <w:rPr>
          <w:lang w:val="en-US"/>
        </w:rPr>
        <w:t>activating</w:t>
      </w:r>
      <w:r w:rsidR="006A4D9F" w:rsidRPr="00C0765A">
        <w:rPr>
          <w:lang w:val="en-US"/>
        </w:rPr>
        <w:t xml:space="preserve"> the afferent </w:t>
      </w:r>
      <w:r w:rsidR="007067EF" w:rsidRPr="00C0765A">
        <w:rPr>
          <w:lang w:val="en-US"/>
        </w:rPr>
        <w:t>vagal fibers</w:t>
      </w:r>
      <w:r w:rsidR="005765F0" w:rsidRPr="00C0765A">
        <w:rPr>
          <w:lang w:val="en-US"/>
        </w:rPr>
        <w:t>, it is possible that</w:t>
      </w:r>
      <w:r w:rsidR="0057708B" w:rsidRPr="00C0765A">
        <w:rPr>
          <w:lang w:val="en-US"/>
        </w:rPr>
        <w:t xml:space="preserve"> </w:t>
      </w:r>
      <w:r w:rsidR="005765F0" w:rsidRPr="00C0765A">
        <w:rPr>
          <w:lang w:val="en-US"/>
        </w:rPr>
        <w:t xml:space="preserve">additional activation via </w:t>
      </w:r>
      <w:proofErr w:type="spellStart"/>
      <w:r w:rsidR="005765F0" w:rsidRPr="00C0765A">
        <w:rPr>
          <w:lang w:val="en-US"/>
        </w:rPr>
        <w:t>taVNS</w:t>
      </w:r>
      <w:proofErr w:type="spellEnd"/>
      <w:r w:rsidR="005765F0" w:rsidRPr="00C0765A">
        <w:rPr>
          <w:lang w:val="en-US"/>
        </w:rPr>
        <w:t xml:space="preserve"> </w:t>
      </w:r>
      <w:r w:rsidR="00C3036A" w:rsidRPr="00C0765A">
        <w:rPr>
          <w:lang w:val="en-US"/>
        </w:rPr>
        <w:t xml:space="preserve">would not </w:t>
      </w:r>
      <w:r w:rsidR="00F91D95" w:rsidRPr="00C0765A">
        <w:rPr>
          <w:lang w:val="en-US"/>
        </w:rPr>
        <w:t xml:space="preserve">have </w:t>
      </w:r>
      <w:r w:rsidR="00660BBA" w:rsidRPr="00C0765A">
        <w:rPr>
          <w:lang w:val="en-US"/>
        </w:rPr>
        <w:t xml:space="preserve">had </w:t>
      </w:r>
      <w:r w:rsidR="00F91D95" w:rsidRPr="00C0765A">
        <w:rPr>
          <w:lang w:val="en-US"/>
        </w:rPr>
        <w:t xml:space="preserve">a </w:t>
      </w:r>
      <w:r w:rsidR="00C3036A" w:rsidRPr="00C0765A">
        <w:rPr>
          <w:lang w:val="en-US"/>
        </w:rPr>
        <w:t xml:space="preserve">significant </w:t>
      </w:r>
      <w:r w:rsidR="00F91D95" w:rsidRPr="00C0765A">
        <w:rPr>
          <w:lang w:val="en-US"/>
        </w:rPr>
        <w:t>contribution</w:t>
      </w:r>
      <w:r w:rsidR="00C3036A" w:rsidRPr="00C0765A">
        <w:rPr>
          <w:lang w:val="en-US"/>
        </w:rPr>
        <w:t xml:space="preserve"> (i.e. the ceiling effect). Related to this, </w:t>
      </w:r>
      <w:r w:rsidR="002B6174" w:rsidRPr="00C0765A">
        <w:rPr>
          <w:lang w:val="en-US"/>
        </w:rPr>
        <w:t>since</w:t>
      </w:r>
      <w:r w:rsidR="00187EDE" w:rsidRPr="00C0765A">
        <w:rPr>
          <w:lang w:val="en-US"/>
        </w:rPr>
        <w:t xml:space="preserve"> </w:t>
      </w:r>
      <w:r w:rsidR="003A5F24" w:rsidRPr="00C0765A">
        <w:rPr>
          <w:lang w:val="en-US"/>
        </w:rPr>
        <w:t xml:space="preserve">participants experienced </w:t>
      </w:r>
      <w:r w:rsidR="00187EDE" w:rsidRPr="00C0765A">
        <w:rPr>
          <w:lang w:val="en-US"/>
        </w:rPr>
        <w:t xml:space="preserve">respiratory stimuli as more </w:t>
      </w:r>
      <w:r w:rsidR="002B0B34" w:rsidRPr="00C0765A">
        <w:rPr>
          <w:lang w:val="en-US"/>
        </w:rPr>
        <w:t>intense</w:t>
      </w:r>
      <w:r w:rsidR="00187EDE" w:rsidRPr="00C0765A">
        <w:rPr>
          <w:lang w:val="en-US"/>
        </w:rPr>
        <w:t xml:space="preserve"> and unpleasant relative to auditory and electrocutaneous stimuli</w:t>
      </w:r>
      <w:r w:rsidR="00BF1E0E" w:rsidRPr="00C0765A">
        <w:rPr>
          <w:lang w:val="en-US"/>
        </w:rPr>
        <w:t xml:space="preserve"> (see </w:t>
      </w:r>
      <w:hyperlink w:anchor="_Figure_S2:_Self-reported" w:history="1">
        <w:r w:rsidR="007561DE" w:rsidRPr="00C0765A">
          <w:rPr>
            <w:rStyle w:val="Hyperlink"/>
            <w:lang w:val="en-US"/>
          </w:rPr>
          <w:t xml:space="preserve">Supplement, </w:t>
        </w:r>
        <w:r w:rsidR="00BF1E0E" w:rsidRPr="00C0765A">
          <w:rPr>
            <w:rStyle w:val="Hyperlink"/>
            <w:lang w:val="en-US"/>
          </w:rPr>
          <w:t>Figure S</w:t>
        </w:r>
        <w:r w:rsidR="00FE5EF7" w:rsidRPr="00C0765A">
          <w:rPr>
            <w:rStyle w:val="Hyperlink"/>
            <w:lang w:val="en-US"/>
          </w:rPr>
          <w:t>2</w:t>
        </w:r>
      </w:hyperlink>
      <w:r w:rsidR="00BF1E0E" w:rsidRPr="00C0765A">
        <w:rPr>
          <w:lang w:val="en-US"/>
        </w:rPr>
        <w:t xml:space="preserve">), </w:t>
      </w:r>
      <w:r w:rsidR="003A5F24" w:rsidRPr="00C0765A">
        <w:rPr>
          <w:lang w:val="en-US"/>
        </w:rPr>
        <w:t xml:space="preserve">the respiratory stimuli </w:t>
      </w:r>
      <w:r w:rsidR="00B97991" w:rsidRPr="00C0765A">
        <w:rPr>
          <w:lang w:val="en-US"/>
        </w:rPr>
        <w:t>could</w:t>
      </w:r>
      <w:r w:rsidR="003A5F24" w:rsidRPr="00C0765A">
        <w:rPr>
          <w:lang w:val="en-US"/>
        </w:rPr>
        <w:t xml:space="preserve"> have </w:t>
      </w:r>
      <w:r w:rsidR="00CC100F" w:rsidRPr="00C0765A">
        <w:rPr>
          <w:lang w:val="en-US"/>
        </w:rPr>
        <w:t>attract</w:t>
      </w:r>
      <w:r w:rsidR="003A5F24" w:rsidRPr="00C0765A">
        <w:rPr>
          <w:lang w:val="en-US"/>
        </w:rPr>
        <w:t>ed</w:t>
      </w:r>
      <w:r w:rsidR="00CC100F" w:rsidRPr="00C0765A">
        <w:rPr>
          <w:lang w:val="en-US"/>
        </w:rPr>
        <w:t xml:space="preserve"> attention in both conditions</w:t>
      </w:r>
      <w:r w:rsidR="00970180" w:rsidRPr="00C0765A">
        <w:rPr>
          <w:lang w:val="en-US"/>
        </w:rPr>
        <w:t>, negating potential stimulation effects</w:t>
      </w:r>
      <w:r w:rsidR="002000DE" w:rsidRPr="00C0765A">
        <w:rPr>
          <w:lang w:val="en-US"/>
        </w:rPr>
        <w:t xml:space="preserve">. </w:t>
      </w:r>
      <w:r w:rsidR="00A70BC5" w:rsidRPr="00C0765A">
        <w:rPr>
          <w:lang w:val="en-US"/>
        </w:rPr>
        <w:t>P</w:t>
      </w:r>
      <w:r w:rsidR="00F457D9" w:rsidRPr="00C0765A">
        <w:rPr>
          <w:lang w:val="en-US"/>
        </w:rPr>
        <w:t>revious</w:t>
      </w:r>
      <w:r w:rsidR="00C47EBB" w:rsidRPr="00C0765A">
        <w:rPr>
          <w:lang w:val="en-US"/>
        </w:rPr>
        <w:t xml:space="preserve"> stud</w:t>
      </w:r>
      <w:r w:rsidR="00B6344F" w:rsidRPr="00C0765A">
        <w:rPr>
          <w:lang w:val="en-US"/>
        </w:rPr>
        <w:t>ies</w:t>
      </w:r>
      <w:r w:rsidR="00C47EBB" w:rsidRPr="00C0765A">
        <w:rPr>
          <w:lang w:val="en-US"/>
        </w:rPr>
        <w:t xml:space="preserve"> </w:t>
      </w:r>
      <w:r w:rsidR="00D44C59" w:rsidRPr="00C0765A">
        <w:rPr>
          <w:lang w:val="en-US"/>
        </w:rPr>
        <w:t xml:space="preserve">investigating the effects of </w:t>
      </w:r>
      <w:proofErr w:type="spellStart"/>
      <w:r w:rsidR="00D44C59" w:rsidRPr="00C0765A">
        <w:rPr>
          <w:lang w:val="en-US"/>
        </w:rPr>
        <w:t>taVNS</w:t>
      </w:r>
      <w:proofErr w:type="spellEnd"/>
      <w:r w:rsidR="00D44C59" w:rsidRPr="00C0765A">
        <w:rPr>
          <w:lang w:val="en-US"/>
        </w:rPr>
        <w:t xml:space="preserve"> on </w:t>
      </w:r>
      <w:r w:rsidR="003658B0" w:rsidRPr="00C0765A">
        <w:rPr>
          <w:lang w:val="en-US"/>
        </w:rPr>
        <w:t>experimentally delivered</w:t>
      </w:r>
      <w:r w:rsidR="00D44C59" w:rsidRPr="00C0765A">
        <w:rPr>
          <w:lang w:val="en-US"/>
        </w:rPr>
        <w:t xml:space="preserve"> nociceptive stimuli</w:t>
      </w:r>
      <w:r w:rsidR="001F17A8" w:rsidRPr="00C0765A">
        <w:rPr>
          <w:lang w:val="en-US"/>
        </w:rPr>
        <w:t xml:space="preserve"> (which are highly salient)</w:t>
      </w:r>
      <w:r w:rsidR="00F457D9" w:rsidRPr="00C0765A">
        <w:rPr>
          <w:lang w:val="en-US"/>
        </w:rPr>
        <w:t xml:space="preserve"> also reported null effects</w:t>
      </w:r>
      <w:r w:rsidR="00FE5EF7" w:rsidRPr="00C0765A">
        <w:rPr>
          <w:lang w:val="en-US"/>
        </w:rPr>
        <w:t>,</w:t>
      </w:r>
      <w:r w:rsidR="00F457D9" w:rsidRPr="00C0765A">
        <w:rPr>
          <w:lang w:val="en-US"/>
        </w:rPr>
        <w:t xml:space="preserve"> both in terms of subjective experience and laser-evoked potentials </w:t>
      </w:r>
      <w:r w:rsidR="003658B0" w:rsidRPr="00C0765A">
        <w:rPr>
          <w:lang w:val="en-US"/>
        </w:rPr>
        <w:t>(Dumoulin et al., 2021; Laqua et al., 2014)</w:t>
      </w:r>
      <w:r w:rsidR="00F457D9" w:rsidRPr="00C0765A">
        <w:rPr>
          <w:lang w:val="en-US"/>
        </w:rPr>
        <w:t xml:space="preserve">. </w:t>
      </w:r>
      <w:r w:rsidR="004E4E85" w:rsidRPr="00C0765A">
        <w:rPr>
          <w:lang w:val="en-US"/>
        </w:rPr>
        <w:t>I</w:t>
      </w:r>
      <w:r w:rsidR="00060203" w:rsidRPr="00C0765A">
        <w:rPr>
          <w:lang w:val="en-US"/>
        </w:rPr>
        <w:t xml:space="preserve">t is also possible that </w:t>
      </w:r>
      <w:r w:rsidR="0054060A" w:rsidRPr="00C0765A">
        <w:rPr>
          <w:lang w:val="en-US"/>
        </w:rPr>
        <w:t xml:space="preserve">the observed </w:t>
      </w:r>
      <w:r w:rsidR="00C2235C" w:rsidRPr="00C0765A">
        <w:rPr>
          <w:lang w:val="en-US"/>
        </w:rPr>
        <w:t>increase</w:t>
      </w:r>
      <w:r w:rsidR="00B31E98" w:rsidRPr="00C0765A">
        <w:rPr>
          <w:lang w:val="en-US"/>
        </w:rPr>
        <w:t xml:space="preserve"> in</w:t>
      </w:r>
      <w:r w:rsidR="00C2235C" w:rsidRPr="00C0765A">
        <w:rPr>
          <w:lang w:val="en-US"/>
        </w:rPr>
        <w:t xml:space="preserve"> </w:t>
      </w:r>
      <w:r w:rsidR="0054060A" w:rsidRPr="00C0765A">
        <w:rPr>
          <w:lang w:val="en-US"/>
        </w:rPr>
        <w:t xml:space="preserve">P2 </w:t>
      </w:r>
      <w:r w:rsidR="004D5EC7" w:rsidRPr="00C0765A">
        <w:rPr>
          <w:lang w:val="en-US"/>
        </w:rPr>
        <w:t xml:space="preserve">in AEP and SEP </w:t>
      </w:r>
      <w:r w:rsidR="0054060A" w:rsidRPr="00C0765A">
        <w:rPr>
          <w:lang w:val="en-US"/>
        </w:rPr>
        <w:t xml:space="preserve">was </w:t>
      </w:r>
      <w:r w:rsidR="00C2235C" w:rsidRPr="00C0765A">
        <w:rPr>
          <w:lang w:val="en-US"/>
        </w:rPr>
        <w:t xml:space="preserve">due to </w:t>
      </w:r>
      <w:r w:rsidR="0054060A" w:rsidRPr="00C0765A">
        <w:rPr>
          <w:lang w:val="en-US"/>
        </w:rPr>
        <w:t>diminished habituation</w:t>
      </w:r>
      <w:r w:rsidR="004D5EC7" w:rsidRPr="00C0765A">
        <w:rPr>
          <w:lang w:val="en-US"/>
        </w:rPr>
        <w:t>, and that habituation was slower to develop in RREP, leading to no observable differences</w:t>
      </w:r>
      <w:r w:rsidR="00C2235C" w:rsidRPr="00C0765A">
        <w:rPr>
          <w:lang w:val="en-US"/>
        </w:rPr>
        <w:t xml:space="preserve"> between conditions</w:t>
      </w:r>
      <w:r w:rsidR="004D5EC7" w:rsidRPr="00C0765A">
        <w:rPr>
          <w:lang w:val="en-US"/>
        </w:rPr>
        <w:t>.</w:t>
      </w:r>
      <w:r w:rsidR="00312C7A" w:rsidRPr="00C0765A">
        <w:rPr>
          <w:lang w:val="en-US"/>
        </w:rPr>
        <w:t xml:space="preserve"> </w:t>
      </w:r>
      <w:r w:rsidR="00C2235C" w:rsidRPr="00C0765A">
        <w:rPr>
          <w:lang w:val="en-US"/>
        </w:rPr>
        <w:t>This explanation is supported by our</w:t>
      </w:r>
      <w:r w:rsidR="00312C7A" w:rsidRPr="00C0765A">
        <w:rPr>
          <w:lang w:val="en-US"/>
        </w:rPr>
        <w:t xml:space="preserve"> recent research</w:t>
      </w:r>
      <w:r w:rsidR="00B01F06" w:rsidRPr="00C0765A">
        <w:rPr>
          <w:lang w:val="en-US"/>
        </w:rPr>
        <w:t>,</w:t>
      </w:r>
      <w:r w:rsidR="00312C7A" w:rsidRPr="00C0765A">
        <w:rPr>
          <w:lang w:val="en-US"/>
        </w:rPr>
        <w:t xml:space="preserve"> show</w:t>
      </w:r>
      <w:r w:rsidR="00B01F06" w:rsidRPr="00C0765A">
        <w:rPr>
          <w:lang w:val="en-US"/>
        </w:rPr>
        <w:t>ing</w:t>
      </w:r>
      <w:r w:rsidR="00312C7A" w:rsidRPr="00C0765A">
        <w:rPr>
          <w:lang w:val="en-US"/>
        </w:rPr>
        <w:t xml:space="preserve"> that </w:t>
      </w:r>
      <w:r w:rsidR="00B01F06" w:rsidRPr="00C0765A">
        <w:rPr>
          <w:lang w:val="en-US"/>
        </w:rPr>
        <w:t xml:space="preserve">both </w:t>
      </w:r>
      <w:r w:rsidR="00312C7A" w:rsidRPr="00C0765A">
        <w:rPr>
          <w:lang w:val="en-US"/>
        </w:rPr>
        <w:t>SEP</w:t>
      </w:r>
      <w:r w:rsidR="00B01F06" w:rsidRPr="00C0765A">
        <w:rPr>
          <w:lang w:val="en-US"/>
        </w:rPr>
        <w:t xml:space="preserve"> and RREP amplitudes exhibit habituation, but that SEP</w:t>
      </w:r>
      <w:r w:rsidR="00312C7A" w:rsidRPr="00C0765A">
        <w:rPr>
          <w:lang w:val="en-US"/>
        </w:rPr>
        <w:t xml:space="preserve"> amplitudes may be more </w:t>
      </w:r>
      <w:r w:rsidR="00043661" w:rsidRPr="00C0765A">
        <w:rPr>
          <w:lang w:val="en-US"/>
        </w:rPr>
        <w:t>susceptible</w:t>
      </w:r>
      <w:r w:rsidR="00312C7A" w:rsidRPr="00C0765A">
        <w:rPr>
          <w:lang w:val="en-US"/>
        </w:rPr>
        <w:t xml:space="preserve"> relative to RREP amplitudes (Jelinčić et al., 2024)</w:t>
      </w:r>
      <w:r w:rsidR="00C2235C" w:rsidRPr="00C0765A">
        <w:rPr>
          <w:lang w:val="en-US"/>
        </w:rPr>
        <w:t xml:space="preserve">. </w:t>
      </w:r>
      <w:r w:rsidR="00A55E7F" w:rsidRPr="00C0765A">
        <w:rPr>
          <w:lang w:val="en-US"/>
        </w:rPr>
        <w:t xml:space="preserve">ERP methodology, being reliant on averaging, </w:t>
      </w:r>
      <w:r w:rsidR="008C5665" w:rsidRPr="00C0765A">
        <w:rPr>
          <w:lang w:val="en-US"/>
        </w:rPr>
        <w:t xml:space="preserve">does not allow for the </w:t>
      </w:r>
      <w:r w:rsidR="0032473D" w:rsidRPr="00C0765A">
        <w:rPr>
          <w:lang w:val="en-US"/>
        </w:rPr>
        <w:t xml:space="preserve">assessment of the </w:t>
      </w:r>
      <w:r w:rsidR="00EC2B81" w:rsidRPr="00C0765A">
        <w:rPr>
          <w:lang w:val="en-US"/>
        </w:rPr>
        <w:t xml:space="preserve">habituation </w:t>
      </w:r>
      <w:r w:rsidR="0032473D" w:rsidRPr="00C0765A">
        <w:rPr>
          <w:lang w:val="en-US"/>
        </w:rPr>
        <w:t>time</w:t>
      </w:r>
      <w:r w:rsidR="00EC2B81" w:rsidRPr="00C0765A">
        <w:rPr>
          <w:lang w:val="en-US"/>
        </w:rPr>
        <w:t>-</w:t>
      </w:r>
      <w:r w:rsidR="0032473D" w:rsidRPr="00C0765A">
        <w:rPr>
          <w:lang w:val="en-US"/>
        </w:rPr>
        <w:t xml:space="preserve">course. Future studies should </w:t>
      </w:r>
      <w:r w:rsidR="00A902F8" w:rsidRPr="00C0765A">
        <w:rPr>
          <w:lang w:val="en-US"/>
        </w:rPr>
        <w:t xml:space="preserve">therefore </w:t>
      </w:r>
      <w:r w:rsidR="0032473D" w:rsidRPr="00C0765A">
        <w:rPr>
          <w:lang w:val="en-US"/>
        </w:rPr>
        <w:t xml:space="preserve">consider using single-trial or time-frequency </w:t>
      </w:r>
      <w:r w:rsidR="00B31E98" w:rsidRPr="00C0765A">
        <w:rPr>
          <w:lang w:val="en-US"/>
        </w:rPr>
        <w:t xml:space="preserve">EEG </w:t>
      </w:r>
      <w:r w:rsidR="0032473D" w:rsidRPr="00C0765A">
        <w:rPr>
          <w:lang w:val="en-US"/>
        </w:rPr>
        <w:t xml:space="preserve">analyses, which </w:t>
      </w:r>
      <w:r w:rsidR="0036331B" w:rsidRPr="00C0765A">
        <w:rPr>
          <w:lang w:val="en-US"/>
        </w:rPr>
        <w:t xml:space="preserve">would </w:t>
      </w:r>
      <w:r w:rsidR="0032473D" w:rsidRPr="00C0765A">
        <w:rPr>
          <w:lang w:val="en-US"/>
        </w:rPr>
        <w:t xml:space="preserve">allow for a more sensitive estimation </w:t>
      </w:r>
      <w:r w:rsidR="0036331B" w:rsidRPr="00C0765A">
        <w:rPr>
          <w:lang w:val="en-US"/>
        </w:rPr>
        <w:t>of habituation effects</w:t>
      </w:r>
      <w:r w:rsidR="00B31E98" w:rsidRPr="00C0765A">
        <w:rPr>
          <w:lang w:val="en-US"/>
        </w:rPr>
        <w:t xml:space="preserve"> during continuous stimulation</w:t>
      </w:r>
      <w:r w:rsidR="0036331B" w:rsidRPr="00C0765A">
        <w:rPr>
          <w:lang w:val="en-US"/>
        </w:rPr>
        <w:t xml:space="preserve"> (Bauer et al., 2014; Hu et al., 2014)</w:t>
      </w:r>
      <w:r w:rsidR="00B31E98" w:rsidRPr="00C0765A">
        <w:rPr>
          <w:lang w:val="en-US"/>
        </w:rPr>
        <w:t xml:space="preserve">. </w:t>
      </w:r>
      <w:r w:rsidR="00571DB3" w:rsidRPr="00C0765A">
        <w:rPr>
          <w:lang w:val="en-US"/>
        </w:rPr>
        <w:t>Final</w:t>
      </w:r>
      <w:r w:rsidR="004E57C6" w:rsidRPr="00C0765A">
        <w:rPr>
          <w:lang w:val="en-US"/>
        </w:rPr>
        <w:t>ly</w:t>
      </w:r>
      <w:r w:rsidR="00571DB3" w:rsidRPr="00C0765A">
        <w:rPr>
          <w:lang w:val="en-US"/>
        </w:rPr>
        <w:t>,</w:t>
      </w:r>
      <w:r w:rsidR="004E57C6" w:rsidRPr="00C0765A">
        <w:rPr>
          <w:lang w:val="en-US"/>
        </w:rPr>
        <w:t xml:space="preserve"> since</w:t>
      </w:r>
      <w:r w:rsidR="00571DB3" w:rsidRPr="00C0765A">
        <w:rPr>
          <w:lang w:val="en-US"/>
        </w:rPr>
        <w:t xml:space="preserve"> </w:t>
      </w:r>
      <w:r w:rsidR="00644105" w:rsidRPr="00C0765A">
        <w:rPr>
          <w:lang w:val="en-US"/>
        </w:rPr>
        <w:t>AEP and SEP are evoked by precisely delivered stimuli</w:t>
      </w:r>
      <w:r w:rsidR="00CC2C2B" w:rsidRPr="00C0765A">
        <w:rPr>
          <w:lang w:val="en-US"/>
        </w:rPr>
        <w:t xml:space="preserve">, </w:t>
      </w:r>
      <w:r w:rsidR="004E57C6" w:rsidRPr="00C0765A">
        <w:rPr>
          <w:lang w:val="en-US"/>
        </w:rPr>
        <w:t xml:space="preserve">they tend to have a </w:t>
      </w:r>
      <w:r w:rsidR="00CC2C2B" w:rsidRPr="00C0765A">
        <w:rPr>
          <w:lang w:val="en-US"/>
        </w:rPr>
        <w:t>higher</w:t>
      </w:r>
      <w:r w:rsidR="004E57C6" w:rsidRPr="00C0765A">
        <w:rPr>
          <w:lang w:val="en-US"/>
        </w:rPr>
        <w:t xml:space="preserve"> signal-to-noise ratio</w:t>
      </w:r>
      <w:r w:rsidR="00DB5380" w:rsidRPr="00C0765A">
        <w:rPr>
          <w:lang w:val="en-US"/>
        </w:rPr>
        <w:t xml:space="preserve"> (SNR)</w:t>
      </w:r>
      <w:r w:rsidR="00CC2C2B" w:rsidRPr="00C0765A">
        <w:rPr>
          <w:lang w:val="en-US"/>
        </w:rPr>
        <w:t>.</w:t>
      </w:r>
      <w:r w:rsidR="007304BA" w:rsidRPr="00C0765A">
        <w:rPr>
          <w:lang w:val="en-US"/>
        </w:rPr>
        <w:t xml:space="preserve"> </w:t>
      </w:r>
      <w:r w:rsidR="00CC2C2B" w:rsidRPr="00C0765A">
        <w:rPr>
          <w:lang w:val="en-US"/>
        </w:rPr>
        <w:t xml:space="preserve">In comparison, inspiratory occlusions are </w:t>
      </w:r>
      <w:r w:rsidR="000225AB" w:rsidRPr="00C0765A">
        <w:rPr>
          <w:lang w:val="en-US"/>
        </w:rPr>
        <w:t xml:space="preserve">induced by </w:t>
      </w:r>
      <w:r w:rsidR="00153942" w:rsidRPr="00C0765A">
        <w:rPr>
          <w:lang w:val="en-US"/>
        </w:rPr>
        <w:t xml:space="preserve">the </w:t>
      </w:r>
      <w:r w:rsidR="000225AB" w:rsidRPr="00C0765A">
        <w:rPr>
          <w:lang w:val="en-US"/>
        </w:rPr>
        <w:t>mechanical closure of the respiratory valve</w:t>
      </w:r>
      <w:r w:rsidR="007304BA" w:rsidRPr="00C0765A">
        <w:rPr>
          <w:lang w:val="en-US"/>
        </w:rPr>
        <w:t>,</w:t>
      </w:r>
      <w:r w:rsidR="009C2D6B" w:rsidRPr="00C0765A">
        <w:rPr>
          <w:lang w:val="en-US"/>
        </w:rPr>
        <w:t xml:space="preserve"> </w:t>
      </w:r>
      <w:r w:rsidR="00153942" w:rsidRPr="00C0765A">
        <w:rPr>
          <w:lang w:val="en-US"/>
        </w:rPr>
        <w:t>which is less precise</w:t>
      </w:r>
      <w:r w:rsidR="009C2D6B" w:rsidRPr="00C0765A">
        <w:rPr>
          <w:lang w:val="en-US"/>
        </w:rPr>
        <w:t>, in addition to further possible</w:t>
      </w:r>
      <w:r w:rsidR="007304BA" w:rsidRPr="00C0765A">
        <w:rPr>
          <w:lang w:val="en-US"/>
        </w:rPr>
        <w:t xml:space="preserve"> </w:t>
      </w:r>
      <w:r w:rsidR="00F655B6" w:rsidRPr="00C0765A">
        <w:rPr>
          <w:lang w:val="en-US"/>
        </w:rPr>
        <w:t>confound</w:t>
      </w:r>
      <w:r w:rsidR="009C2D6B" w:rsidRPr="00C0765A">
        <w:rPr>
          <w:lang w:val="en-US"/>
        </w:rPr>
        <w:t>s</w:t>
      </w:r>
      <w:r w:rsidR="00F655B6" w:rsidRPr="00C0765A">
        <w:rPr>
          <w:lang w:val="en-US"/>
        </w:rPr>
        <w:t xml:space="preserve"> </w:t>
      </w:r>
      <w:r w:rsidR="009C2D6B" w:rsidRPr="00C0765A">
        <w:rPr>
          <w:lang w:val="en-US"/>
        </w:rPr>
        <w:t>from</w:t>
      </w:r>
      <w:r w:rsidR="00F655B6" w:rsidRPr="00C0765A">
        <w:rPr>
          <w:lang w:val="en-US"/>
        </w:rPr>
        <w:t xml:space="preserve"> facial muscle artifacts</w:t>
      </w:r>
      <w:r w:rsidR="002C75DB" w:rsidRPr="00C0765A">
        <w:rPr>
          <w:lang w:val="en-US"/>
        </w:rPr>
        <w:t xml:space="preserve"> and respiration</w:t>
      </w:r>
      <w:r w:rsidR="00DB5380" w:rsidRPr="00C0765A">
        <w:rPr>
          <w:lang w:val="en-US"/>
        </w:rPr>
        <w:t xml:space="preserve">. It is possible that </w:t>
      </w:r>
      <w:r w:rsidR="009C2D6B" w:rsidRPr="00C0765A">
        <w:rPr>
          <w:lang w:val="en-US"/>
        </w:rPr>
        <w:t>the</w:t>
      </w:r>
      <w:r w:rsidR="00DB5380" w:rsidRPr="00C0765A">
        <w:rPr>
          <w:lang w:val="en-US"/>
        </w:rPr>
        <w:t xml:space="preserve"> higher </w:t>
      </w:r>
      <w:r w:rsidR="00DB5380" w:rsidRPr="00C0765A">
        <w:rPr>
          <w:lang w:val="en-US"/>
        </w:rPr>
        <w:lastRenderedPageBreak/>
        <w:t>SNR allowed</w:t>
      </w:r>
      <w:r w:rsidR="009C2D6B" w:rsidRPr="00C0765A">
        <w:rPr>
          <w:lang w:val="en-US"/>
        </w:rPr>
        <w:t xml:space="preserve"> the</w:t>
      </w:r>
      <w:r w:rsidR="00DB5380" w:rsidRPr="00C0765A">
        <w:rPr>
          <w:lang w:val="en-US"/>
        </w:rPr>
        <w:t xml:space="preserve"> small effects</w:t>
      </w:r>
      <w:r w:rsidR="009C2D6B" w:rsidRPr="00C0765A">
        <w:rPr>
          <w:lang w:val="en-US"/>
        </w:rPr>
        <w:t xml:space="preserve"> of condition</w:t>
      </w:r>
      <w:r w:rsidR="00DB5380" w:rsidRPr="00C0765A">
        <w:rPr>
          <w:lang w:val="en-US"/>
        </w:rPr>
        <w:t xml:space="preserve"> to emerge in SEP and AEP, </w:t>
      </w:r>
      <w:r w:rsidR="00CC2C2B" w:rsidRPr="00C0765A">
        <w:rPr>
          <w:lang w:val="en-US"/>
        </w:rPr>
        <w:t>which were not evident in RREP.</w:t>
      </w:r>
    </w:p>
    <w:p w14:paraId="67A2AEF6" w14:textId="77777777" w:rsidR="00686957" w:rsidRPr="00C0765A" w:rsidRDefault="00686957" w:rsidP="00686957">
      <w:pPr>
        <w:pStyle w:val="Heading2"/>
        <w:rPr>
          <w:lang w:val="en-US"/>
        </w:rPr>
      </w:pPr>
      <w:r w:rsidRPr="00C0765A">
        <w:rPr>
          <w:lang w:val="en-US"/>
        </w:rPr>
        <w:t xml:space="preserve">4.3 No effects of </w:t>
      </w:r>
      <w:proofErr w:type="spellStart"/>
      <w:r w:rsidRPr="00C0765A">
        <w:rPr>
          <w:lang w:val="en-US"/>
        </w:rPr>
        <w:t>taVNS</w:t>
      </w:r>
      <w:proofErr w:type="spellEnd"/>
      <w:r w:rsidRPr="00C0765A">
        <w:rPr>
          <w:lang w:val="en-US"/>
        </w:rPr>
        <w:t xml:space="preserve"> on neural gating in either modality</w:t>
      </w:r>
    </w:p>
    <w:p w14:paraId="1B5DFD47" w14:textId="77401E00" w:rsidR="00646EDE" w:rsidRPr="00C0765A" w:rsidRDefault="00CD7764" w:rsidP="00646EDE">
      <w:pPr>
        <w:rPr>
          <w:lang w:val="en-US"/>
        </w:rPr>
      </w:pPr>
      <w:r w:rsidRPr="00C0765A">
        <w:rPr>
          <w:lang w:val="en-US"/>
        </w:rPr>
        <w:t xml:space="preserve">We observed no effects on neural gating in either modality in the current study. </w:t>
      </w:r>
      <w:r w:rsidR="00641046" w:rsidRPr="00C0765A">
        <w:rPr>
          <w:lang w:val="en-US"/>
        </w:rPr>
        <w:t xml:space="preserve">While we did not hypothesize directional effects (see </w:t>
      </w:r>
      <w:hyperlink w:anchor="_1._Introduction" w:history="1">
        <w:r w:rsidR="00641046" w:rsidRPr="00C0765A">
          <w:rPr>
            <w:rStyle w:val="Hyperlink"/>
            <w:lang w:val="en-US"/>
          </w:rPr>
          <w:t>Introduction</w:t>
        </w:r>
      </w:hyperlink>
      <w:r w:rsidR="00641046" w:rsidRPr="00C0765A">
        <w:rPr>
          <w:lang w:val="en-US"/>
        </w:rPr>
        <w:t xml:space="preserve">), we expected to see </w:t>
      </w:r>
      <w:r w:rsidR="00F04CDC" w:rsidRPr="00C0765A">
        <w:rPr>
          <w:lang w:val="en-US"/>
        </w:rPr>
        <w:t xml:space="preserve">significant differences between </w:t>
      </w:r>
      <w:proofErr w:type="spellStart"/>
      <w:r w:rsidR="00F04CDC" w:rsidRPr="00C0765A">
        <w:rPr>
          <w:lang w:val="en-US"/>
        </w:rPr>
        <w:t>taVNS</w:t>
      </w:r>
      <w:proofErr w:type="spellEnd"/>
      <w:r w:rsidR="00F04CDC" w:rsidRPr="00C0765A">
        <w:rPr>
          <w:lang w:val="en-US"/>
        </w:rPr>
        <w:t xml:space="preserve"> and Sham stimulation conditions in neural gating, given the previous pharmacological research showing interactions of neural gating with the LC-NA axis (Adler et al., 1994; Logemann et al., 2013; Stevens et al., 1993)</w:t>
      </w:r>
      <w:r w:rsidR="00570ACF" w:rsidRPr="00C0765A">
        <w:rPr>
          <w:lang w:val="en-US"/>
        </w:rPr>
        <w:t xml:space="preserve">, and previous research reporting prolonged </w:t>
      </w:r>
      <w:r w:rsidR="00613E19" w:rsidRPr="00C0765A">
        <w:rPr>
          <w:lang w:val="en-US"/>
        </w:rPr>
        <w:t xml:space="preserve">enhancing </w:t>
      </w:r>
      <w:r w:rsidR="00570ACF" w:rsidRPr="00C0765A">
        <w:rPr>
          <w:lang w:val="en-US"/>
        </w:rPr>
        <w:t xml:space="preserve">effects of </w:t>
      </w:r>
      <w:proofErr w:type="spellStart"/>
      <w:r w:rsidR="00570ACF" w:rsidRPr="00C0765A">
        <w:rPr>
          <w:lang w:val="en-US"/>
        </w:rPr>
        <w:t>nVNS</w:t>
      </w:r>
      <w:proofErr w:type="spellEnd"/>
      <w:r w:rsidR="00570ACF" w:rsidRPr="00C0765A">
        <w:rPr>
          <w:lang w:val="en-US"/>
        </w:rPr>
        <w:t xml:space="preserve"> on neural gating (Lewine et al., 2019)</w:t>
      </w:r>
      <w:r w:rsidR="008E4C8B" w:rsidRPr="00C0765A">
        <w:rPr>
          <w:lang w:val="en-US"/>
        </w:rPr>
        <w:t xml:space="preserve">. </w:t>
      </w:r>
      <w:r w:rsidR="009E2836" w:rsidRPr="00C0765A">
        <w:rPr>
          <w:lang w:val="en-US"/>
        </w:rPr>
        <w:t>One</w:t>
      </w:r>
      <w:r w:rsidR="008E4C8B" w:rsidRPr="00C0765A">
        <w:rPr>
          <w:lang w:val="en-US"/>
        </w:rPr>
        <w:t xml:space="preserve"> likely explanation for these findings is that </w:t>
      </w:r>
      <w:r w:rsidR="00C271D2" w:rsidRPr="00C0765A">
        <w:rPr>
          <w:lang w:val="en-US"/>
        </w:rPr>
        <w:t xml:space="preserve">the large proportion of </w:t>
      </w:r>
      <w:r w:rsidR="006E721B" w:rsidRPr="00C0765A">
        <w:rPr>
          <w:lang w:val="en-US"/>
        </w:rPr>
        <w:t xml:space="preserve">uninterpretable </w:t>
      </w:r>
      <w:r w:rsidR="00C271D2" w:rsidRPr="00C0765A">
        <w:rPr>
          <w:lang w:val="en-US"/>
        </w:rPr>
        <w:t>data</w:t>
      </w:r>
      <w:r w:rsidR="006E721B" w:rsidRPr="00C0765A">
        <w:rPr>
          <w:lang w:val="en-US"/>
        </w:rPr>
        <w:t xml:space="preserve"> (negative gating ratios)</w:t>
      </w:r>
      <w:r w:rsidR="00C271D2" w:rsidRPr="00C0765A">
        <w:rPr>
          <w:lang w:val="en-US"/>
        </w:rPr>
        <w:t xml:space="preserve"> required us to use </w:t>
      </w:r>
      <w:r w:rsidR="00EF55F8" w:rsidRPr="00C0765A">
        <w:rPr>
          <w:lang w:val="en-US"/>
        </w:rPr>
        <w:t xml:space="preserve">a difference measure of neural gating (S2-S1) as opposed to the ratio measure (S2/S1) which was used in all the above-referenced research. </w:t>
      </w:r>
      <w:r w:rsidR="0099607B" w:rsidRPr="00C0765A">
        <w:rPr>
          <w:lang w:val="en-US"/>
        </w:rPr>
        <w:t xml:space="preserve">While the </w:t>
      </w:r>
      <w:r w:rsidR="00620123" w:rsidRPr="00C0765A">
        <w:rPr>
          <w:lang w:val="en-US"/>
        </w:rPr>
        <w:t xml:space="preserve">difference measure is a valid measure of neural gating, it is strongly biased towards the </w:t>
      </w:r>
      <w:r w:rsidR="006D6CBA" w:rsidRPr="00C0765A">
        <w:rPr>
          <w:lang w:val="en-US"/>
        </w:rPr>
        <w:t xml:space="preserve">response to the </w:t>
      </w:r>
      <w:r w:rsidR="00620123" w:rsidRPr="00C0765A">
        <w:rPr>
          <w:lang w:val="en-US"/>
        </w:rPr>
        <w:t>first stimulus</w:t>
      </w:r>
      <w:r w:rsidR="006D6CBA" w:rsidRPr="00C0765A">
        <w:rPr>
          <w:lang w:val="en-US"/>
        </w:rPr>
        <w:t xml:space="preserve"> (</w:t>
      </w:r>
      <w:r w:rsidR="00513363" w:rsidRPr="00C0765A">
        <w:rPr>
          <w:lang w:val="en-US"/>
        </w:rPr>
        <w:t xml:space="preserve">S1; </w:t>
      </w:r>
      <w:r w:rsidR="006D6CBA" w:rsidRPr="00C0765A">
        <w:rPr>
          <w:lang w:val="en-US"/>
        </w:rPr>
        <w:t xml:space="preserve">Jelinčić et al., 2021). Since </w:t>
      </w:r>
      <w:r w:rsidR="00216C63" w:rsidRPr="00C0765A">
        <w:rPr>
          <w:lang w:val="en-US"/>
        </w:rPr>
        <w:t xml:space="preserve">we observed no condition effects in the S1 P50 </w:t>
      </w:r>
      <w:r w:rsidR="00513363" w:rsidRPr="00C0765A">
        <w:rPr>
          <w:lang w:val="en-US"/>
        </w:rPr>
        <w:t>n</w:t>
      </w:r>
      <w:r w:rsidR="00216C63" w:rsidRPr="00C0765A">
        <w:rPr>
          <w:lang w:val="en-US"/>
        </w:rPr>
        <w:t xml:space="preserve">or </w:t>
      </w:r>
      <w:r w:rsidR="005F7778" w:rsidRPr="00C0765A">
        <w:rPr>
          <w:lang w:val="en-US"/>
        </w:rPr>
        <w:t xml:space="preserve">S1 </w:t>
      </w:r>
      <w:r w:rsidR="00216C63" w:rsidRPr="00C0765A">
        <w:rPr>
          <w:lang w:val="en-US"/>
        </w:rPr>
        <w:t>N1 in any of the modalities, it is not surprising that no neural gating effects were found.</w:t>
      </w:r>
      <w:r w:rsidR="00620123" w:rsidRPr="00C0765A">
        <w:rPr>
          <w:lang w:val="en-US"/>
        </w:rPr>
        <w:t xml:space="preserve"> </w:t>
      </w:r>
      <w:r w:rsidR="00913133" w:rsidRPr="00C0765A">
        <w:rPr>
          <w:lang w:val="en-US"/>
        </w:rPr>
        <w:t>Furthermore, as discussed in our previous research (Jelinčić et al., 2023, 2024)</w:t>
      </w:r>
      <w:r w:rsidR="00B92FBB" w:rsidRPr="00C0765A">
        <w:rPr>
          <w:lang w:val="en-US"/>
        </w:rPr>
        <w:t xml:space="preserve">, </w:t>
      </w:r>
      <w:r w:rsidR="001F0BDD" w:rsidRPr="00C0765A">
        <w:rPr>
          <w:lang w:val="en-US"/>
        </w:rPr>
        <w:t>ERP averaging</w:t>
      </w:r>
      <w:r w:rsidR="00B92FBB" w:rsidRPr="00C0765A">
        <w:rPr>
          <w:lang w:val="en-US"/>
        </w:rPr>
        <w:t xml:space="preserve"> is likely</w:t>
      </w:r>
      <w:r w:rsidR="001F0BDD" w:rsidRPr="00C0765A">
        <w:rPr>
          <w:lang w:val="en-US"/>
        </w:rPr>
        <w:t xml:space="preserve"> to introduce</w:t>
      </w:r>
      <w:r w:rsidR="00B92FBB" w:rsidRPr="00C0765A">
        <w:rPr>
          <w:lang w:val="en-US"/>
        </w:rPr>
        <w:t xml:space="preserve"> significant distortion of the S2 peaks due to </w:t>
      </w:r>
      <w:r w:rsidR="001F0BDD" w:rsidRPr="00C0765A">
        <w:rPr>
          <w:lang w:val="en-US"/>
        </w:rPr>
        <w:t>small latency shifts on individual trials</w:t>
      </w:r>
      <w:r w:rsidR="00FE7558" w:rsidRPr="00C0765A">
        <w:rPr>
          <w:lang w:val="en-US"/>
        </w:rPr>
        <w:t xml:space="preserve">, leading to reduced power to find meaningful effects. There is at present no satisfactory solution to this, </w:t>
      </w:r>
      <w:r w:rsidR="001A4142" w:rsidRPr="00C0765A">
        <w:rPr>
          <w:lang w:val="en-US"/>
        </w:rPr>
        <w:t xml:space="preserve">though research on neural gating using more sensitive time-frequency measures has become </w:t>
      </w:r>
      <w:r w:rsidR="008B1B4E" w:rsidRPr="00C0765A">
        <w:rPr>
          <w:lang w:val="en-US"/>
        </w:rPr>
        <w:t xml:space="preserve">more </w:t>
      </w:r>
      <w:r w:rsidR="001A4142" w:rsidRPr="00C0765A">
        <w:rPr>
          <w:lang w:val="en-US"/>
        </w:rPr>
        <w:t xml:space="preserve">frequent in the past years </w:t>
      </w:r>
      <w:r w:rsidR="00E360FB" w:rsidRPr="00C0765A">
        <w:rPr>
          <w:lang w:val="en-US"/>
        </w:rPr>
        <w:t>(Liang et al., 2023; Nguyen et al., 2020; Wiesman et al., 2017)</w:t>
      </w:r>
      <w:r w:rsidR="001F0BDD" w:rsidRPr="00C0765A">
        <w:rPr>
          <w:lang w:val="en-US"/>
        </w:rPr>
        <w:t xml:space="preserve"> </w:t>
      </w:r>
      <w:r w:rsidR="00E360FB" w:rsidRPr="00C0765A">
        <w:rPr>
          <w:lang w:val="en-US"/>
        </w:rPr>
        <w:t>and will likely supplement ERP measures in future research.</w:t>
      </w:r>
    </w:p>
    <w:p w14:paraId="30811AC4" w14:textId="03CB5DE9" w:rsidR="0026073E" w:rsidRPr="00C0765A" w:rsidRDefault="00193521" w:rsidP="00686957">
      <w:pPr>
        <w:pStyle w:val="Heading2"/>
        <w:rPr>
          <w:lang w:val="en-US"/>
        </w:rPr>
      </w:pPr>
      <w:bookmarkStart w:id="11" w:name="_4.4_Exploratory_findings"/>
      <w:bookmarkEnd w:id="11"/>
      <w:r w:rsidRPr="00C0765A">
        <w:rPr>
          <w:lang w:val="en-US"/>
        </w:rPr>
        <w:t xml:space="preserve">4.4 </w:t>
      </w:r>
      <w:r w:rsidR="008A2558" w:rsidRPr="00C0765A">
        <w:rPr>
          <w:lang w:val="en-US"/>
        </w:rPr>
        <w:t>Exploratory findings</w:t>
      </w:r>
      <w:r w:rsidR="00D67BDF" w:rsidRPr="00C0765A">
        <w:rPr>
          <w:lang w:val="en-US"/>
        </w:rPr>
        <w:t xml:space="preserve"> </w:t>
      </w:r>
    </w:p>
    <w:p w14:paraId="12F2360B" w14:textId="786F0BB5" w:rsidR="00537A2C" w:rsidRPr="00C0765A" w:rsidRDefault="00F048D4" w:rsidP="00537A2C">
      <w:pPr>
        <w:rPr>
          <w:lang w:val="en-US"/>
        </w:rPr>
      </w:pPr>
      <w:r w:rsidRPr="00C0765A">
        <w:rPr>
          <w:lang w:val="en-US"/>
        </w:rPr>
        <w:t>O</w:t>
      </w:r>
      <w:r w:rsidR="00FD139C" w:rsidRPr="00C0765A">
        <w:rPr>
          <w:lang w:val="en-US"/>
        </w:rPr>
        <w:t>ur exploratory analys</w:t>
      </w:r>
      <w:r w:rsidR="0028754C" w:rsidRPr="00C0765A">
        <w:rPr>
          <w:lang w:val="en-US"/>
        </w:rPr>
        <w:t>e</w:t>
      </w:r>
      <w:r w:rsidR="00FD139C" w:rsidRPr="00C0765A">
        <w:rPr>
          <w:lang w:val="en-US"/>
        </w:rPr>
        <w:t>s uncovered no</w:t>
      </w:r>
      <w:r w:rsidR="00575472" w:rsidRPr="00C0765A">
        <w:rPr>
          <w:lang w:val="en-US"/>
        </w:rPr>
        <w:t xml:space="preserve"> significant</w:t>
      </w:r>
      <w:r w:rsidR="00FD139C" w:rsidRPr="00C0765A">
        <w:rPr>
          <w:lang w:val="en-US"/>
        </w:rPr>
        <w:t xml:space="preserve"> effects of stimulation condition on self-reported intensity or unpleasantness of any of the sensory</w:t>
      </w:r>
      <w:r w:rsidR="00060C81" w:rsidRPr="00C0765A">
        <w:rPr>
          <w:lang w:val="en-US"/>
        </w:rPr>
        <w:t xml:space="preserve"> stimuli (clicks, occlusions, electrocutaneous pulses). </w:t>
      </w:r>
      <w:r w:rsidR="00575472" w:rsidRPr="00C0765A">
        <w:rPr>
          <w:lang w:val="en-US"/>
        </w:rPr>
        <w:t>We found small effects (which were not significant) o</w:t>
      </w:r>
      <w:r w:rsidR="00C25A66" w:rsidRPr="00C0765A">
        <w:rPr>
          <w:lang w:val="en-US"/>
        </w:rPr>
        <w:t>f</w:t>
      </w:r>
      <w:r w:rsidR="00575472" w:rsidRPr="00C0765A">
        <w:rPr>
          <w:lang w:val="en-US"/>
        </w:rPr>
        <w:t xml:space="preserve"> </w:t>
      </w:r>
      <w:r w:rsidR="00C25A66" w:rsidRPr="00C0765A">
        <w:rPr>
          <w:lang w:val="en-US"/>
        </w:rPr>
        <w:t>increased</w:t>
      </w:r>
      <w:r w:rsidR="00575472" w:rsidRPr="00C0765A">
        <w:rPr>
          <w:lang w:val="en-US"/>
        </w:rPr>
        <w:t xml:space="preserve"> self-reported intensity of auditory clicks and electrocutaneous stimuli</w:t>
      </w:r>
      <w:r w:rsidR="00C25A66" w:rsidRPr="00C0765A">
        <w:rPr>
          <w:lang w:val="en-US"/>
        </w:rPr>
        <w:t xml:space="preserve"> during </w:t>
      </w:r>
      <w:proofErr w:type="spellStart"/>
      <w:r w:rsidR="00C25A66" w:rsidRPr="00C0765A">
        <w:rPr>
          <w:lang w:val="en-US"/>
        </w:rPr>
        <w:t>taVNS</w:t>
      </w:r>
      <w:proofErr w:type="spellEnd"/>
      <w:r w:rsidR="00575472" w:rsidRPr="00C0765A">
        <w:rPr>
          <w:lang w:val="en-US"/>
        </w:rPr>
        <w:t xml:space="preserve">, which </w:t>
      </w:r>
      <w:r w:rsidR="00AF612E" w:rsidRPr="00C0765A">
        <w:rPr>
          <w:lang w:val="en-US"/>
        </w:rPr>
        <w:t xml:space="preserve">correspond to the </w:t>
      </w:r>
      <w:r w:rsidR="00765126" w:rsidRPr="00C0765A">
        <w:rPr>
          <w:lang w:val="en-US"/>
        </w:rPr>
        <w:t xml:space="preserve">increased P2 amplitudes we observed. </w:t>
      </w:r>
      <w:r w:rsidR="00D41552" w:rsidRPr="00C0765A">
        <w:rPr>
          <w:lang w:val="en-US"/>
        </w:rPr>
        <w:t xml:space="preserve">We observed no effects on respiratory perception, which was somewhat unusual, given that respiratory perception tends to </w:t>
      </w:r>
      <w:r w:rsidR="0011403F" w:rsidRPr="00C0765A">
        <w:rPr>
          <w:lang w:val="en-US"/>
        </w:rPr>
        <w:t xml:space="preserve">be strongly modulated by affective experimental manipulations which </w:t>
      </w:r>
      <w:r w:rsidR="00CF1390" w:rsidRPr="00C0765A">
        <w:rPr>
          <w:lang w:val="en-US"/>
        </w:rPr>
        <w:t>increase</w:t>
      </w:r>
      <w:r w:rsidR="0011403F" w:rsidRPr="00C0765A">
        <w:rPr>
          <w:lang w:val="en-US"/>
        </w:rPr>
        <w:t xml:space="preserve"> arousal </w:t>
      </w:r>
      <w:r w:rsidR="0011403F" w:rsidRPr="006470CD">
        <w:rPr>
          <w:lang w:val="en-US"/>
        </w:rPr>
        <w:t>(Bogaerts et al., 2019; Herzog, Sucec, Van Diest, Van Den Bergh, et al., 2018; Jelinčić et al., 2022, 2024)</w:t>
      </w:r>
      <w:r w:rsidR="00CF1390" w:rsidRPr="006470CD">
        <w:rPr>
          <w:lang w:val="en-US"/>
        </w:rPr>
        <w:t xml:space="preserve">. </w:t>
      </w:r>
      <w:r w:rsidR="00CF1390" w:rsidRPr="00C0765A">
        <w:rPr>
          <w:lang w:val="en-US"/>
        </w:rPr>
        <w:t>However, t</w:t>
      </w:r>
      <w:r w:rsidR="00765126" w:rsidRPr="00C0765A">
        <w:rPr>
          <w:lang w:val="en-US"/>
        </w:rPr>
        <w:t>he small or null effects are no</w:t>
      </w:r>
      <w:r w:rsidR="0098169D" w:rsidRPr="00C0765A">
        <w:rPr>
          <w:lang w:val="en-US"/>
        </w:rPr>
        <w:t>t</w:t>
      </w:r>
      <w:r w:rsidR="00765126" w:rsidRPr="00C0765A">
        <w:rPr>
          <w:lang w:val="en-US"/>
        </w:rPr>
        <w:t xml:space="preserve"> entirely unexpected, given that previous</w:t>
      </w:r>
      <w:r w:rsidR="006E3B64" w:rsidRPr="00C0765A">
        <w:rPr>
          <w:lang w:val="en-US"/>
        </w:rPr>
        <w:t xml:space="preserve"> </w:t>
      </w:r>
      <w:proofErr w:type="spellStart"/>
      <w:r w:rsidR="006E3B64" w:rsidRPr="00C0765A">
        <w:rPr>
          <w:lang w:val="en-US"/>
        </w:rPr>
        <w:t>taVNS</w:t>
      </w:r>
      <w:proofErr w:type="spellEnd"/>
      <w:r w:rsidR="00765126" w:rsidRPr="00C0765A">
        <w:rPr>
          <w:lang w:val="en-US"/>
        </w:rPr>
        <w:t xml:space="preserve"> studies using nociceptive stimuli </w:t>
      </w:r>
      <w:r w:rsidR="00C32557" w:rsidRPr="00C0765A">
        <w:rPr>
          <w:lang w:val="en-US"/>
        </w:rPr>
        <w:t xml:space="preserve">similarly </w:t>
      </w:r>
      <w:r w:rsidR="00765126" w:rsidRPr="00C0765A">
        <w:rPr>
          <w:lang w:val="en-US"/>
        </w:rPr>
        <w:t xml:space="preserve">found no effects on </w:t>
      </w:r>
      <w:r w:rsidR="00FB246C" w:rsidRPr="00C0765A">
        <w:rPr>
          <w:lang w:val="en-US"/>
        </w:rPr>
        <w:t>self-report (Dumoulin et al., 2021; Laqua et al., 2014)</w:t>
      </w:r>
      <w:r w:rsidR="00C5251D" w:rsidRPr="00C0765A">
        <w:rPr>
          <w:lang w:val="en-US"/>
        </w:rPr>
        <w:t xml:space="preserve">. </w:t>
      </w:r>
      <w:r w:rsidR="00E63861" w:rsidRPr="00C0765A">
        <w:rPr>
          <w:lang w:val="en-US"/>
        </w:rPr>
        <w:t>As posited above (</w:t>
      </w:r>
      <w:hyperlink w:anchor="_4.2_ERP_effects" w:history="1">
        <w:r w:rsidR="00E63861" w:rsidRPr="00C0765A">
          <w:rPr>
            <w:rStyle w:val="Hyperlink"/>
            <w:lang w:val="en-US"/>
          </w:rPr>
          <w:t>4.2</w:t>
        </w:r>
      </w:hyperlink>
      <w:r w:rsidR="00E63861" w:rsidRPr="00C0765A">
        <w:rPr>
          <w:lang w:val="en-US"/>
        </w:rPr>
        <w:t xml:space="preserve">), it is possible that </w:t>
      </w:r>
      <w:r w:rsidR="00F86740" w:rsidRPr="00C0765A">
        <w:rPr>
          <w:lang w:val="en-US"/>
        </w:rPr>
        <w:t xml:space="preserve">the </w:t>
      </w:r>
      <w:r w:rsidR="00475886" w:rsidRPr="00C0765A">
        <w:rPr>
          <w:lang w:val="en-US"/>
        </w:rPr>
        <w:t xml:space="preserve">respiratory </w:t>
      </w:r>
      <w:r w:rsidR="00F86740" w:rsidRPr="00C0765A">
        <w:rPr>
          <w:lang w:val="en-US"/>
        </w:rPr>
        <w:t xml:space="preserve">stimuli </w:t>
      </w:r>
      <w:r w:rsidR="00F86740" w:rsidRPr="00C0765A">
        <w:rPr>
          <w:lang w:val="en-US"/>
        </w:rPr>
        <w:lastRenderedPageBreak/>
        <w:t xml:space="preserve">were too </w:t>
      </w:r>
      <w:r w:rsidR="00475886" w:rsidRPr="00C0765A">
        <w:rPr>
          <w:lang w:val="en-US"/>
        </w:rPr>
        <w:t>salient</w:t>
      </w:r>
      <w:r w:rsidR="00F86740" w:rsidRPr="00C0765A">
        <w:rPr>
          <w:lang w:val="en-US"/>
        </w:rPr>
        <w:t xml:space="preserve"> </w:t>
      </w:r>
      <w:r w:rsidR="00284019" w:rsidRPr="00C0765A">
        <w:rPr>
          <w:lang w:val="en-US"/>
        </w:rPr>
        <w:t xml:space="preserve">for their perception </w:t>
      </w:r>
      <w:r w:rsidR="00F86740" w:rsidRPr="00C0765A">
        <w:rPr>
          <w:lang w:val="en-US"/>
        </w:rPr>
        <w:t xml:space="preserve">to be modulated by </w:t>
      </w:r>
      <w:r w:rsidR="00EB798F" w:rsidRPr="00C0765A">
        <w:rPr>
          <w:lang w:val="en-US"/>
        </w:rPr>
        <w:t>the small increase in the LC-NA axis activation.</w:t>
      </w:r>
      <w:r w:rsidR="004A51DC" w:rsidRPr="00C0765A">
        <w:rPr>
          <w:lang w:val="en-US"/>
        </w:rPr>
        <w:t xml:space="preserve"> </w:t>
      </w:r>
      <w:r w:rsidR="003A2794" w:rsidRPr="00C0765A">
        <w:rPr>
          <w:lang w:val="en-US"/>
        </w:rPr>
        <w:t>However</w:t>
      </w:r>
      <w:r w:rsidR="004A51DC" w:rsidRPr="00C0765A">
        <w:rPr>
          <w:lang w:val="en-US"/>
        </w:rPr>
        <w:t>,</w:t>
      </w:r>
      <w:r w:rsidR="00EB798F" w:rsidRPr="00C0765A">
        <w:rPr>
          <w:lang w:val="en-US"/>
        </w:rPr>
        <w:t xml:space="preserve"> reducing the intensity of the stimuli would </w:t>
      </w:r>
      <w:r w:rsidR="00F321F1" w:rsidRPr="00C0765A">
        <w:rPr>
          <w:lang w:val="en-US"/>
        </w:rPr>
        <w:t xml:space="preserve">likely yield </w:t>
      </w:r>
      <w:r w:rsidR="00BB206B" w:rsidRPr="00C0765A">
        <w:rPr>
          <w:lang w:val="en-US"/>
        </w:rPr>
        <w:t>null effects</w:t>
      </w:r>
      <w:r w:rsidR="00F321F1" w:rsidRPr="00C0765A">
        <w:rPr>
          <w:lang w:val="en-US"/>
        </w:rPr>
        <w:t xml:space="preserve"> due to range restriction in ratings</w:t>
      </w:r>
      <w:r w:rsidR="00BB206B" w:rsidRPr="00C0765A">
        <w:rPr>
          <w:lang w:val="en-US"/>
        </w:rPr>
        <w:t xml:space="preserve">, </w:t>
      </w:r>
      <w:r w:rsidR="00F321F1" w:rsidRPr="00C0765A">
        <w:rPr>
          <w:lang w:val="en-US"/>
        </w:rPr>
        <w:t xml:space="preserve">an </w:t>
      </w:r>
      <w:r w:rsidR="00B86BBC" w:rsidRPr="00C0765A">
        <w:rPr>
          <w:lang w:val="en-US"/>
        </w:rPr>
        <w:t xml:space="preserve">issue </w:t>
      </w:r>
      <w:r w:rsidR="003A2794" w:rsidRPr="00C0765A">
        <w:rPr>
          <w:lang w:val="en-US"/>
        </w:rPr>
        <w:t>we already discussed</w:t>
      </w:r>
      <w:r w:rsidR="00B86BBC" w:rsidRPr="00C0765A">
        <w:rPr>
          <w:lang w:val="en-US"/>
        </w:rPr>
        <w:t xml:space="preserve"> in </w:t>
      </w:r>
      <w:r w:rsidR="003A2794" w:rsidRPr="00C0765A">
        <w:rPr>
          <w:lang w:val="en-US"/>
        </w:rPr>
        <w:t>our previous research</w:t>
      </w:r>
      <w:r w:rsidR="00474086" w:rsidRPr="00C0765A">
        <w:rPr>
          <w:lang w:val="en-US"/>
        </w:rPr>
        <w:t xml:space="preserve"> o</w:t>
      </w:r>
      <w:r w:rsidR="003A2794" w:rsidRPr="00C0765A">
        <w:rPr>
          <w:lang w:val="en-US"/>
        </w:rPr>
        <w:t>n</w:t>
      </w:r>
      <w:r w:rsidR="00474086" w:rsidRPr="00C0765A">
        <w:rPr>
          <w:lang w:val="en-US"/>
        </w:rPr>
        <w:t xml:space="preserve"> bodily perception in healthy volunteers </w:t>
      </w:r>
      <w:r w:rsidR="0098169D" w:rsidRPr="00C0765A">
        <w:rPr>
          <w:lang w:val="en-US"/>
        </w:rPr>
        <w:t>(Jelinčić et al., 2023)</w:t>
      </w:r>
      <w:r w:rsidR="00474086" w:rsidRPr="00C0765A">
        <w:rPr>
          <w:lang w:val="en-US"/>
        </w:rPr>
        <w:t xml:space="preserve">. </w:t>
      </w:r>
      <w:r w:rsidR="00CB59AC" w:rsidRPr="00C0765A">
        <w:rPr>
          <w:lang w:val="en-US"/>
        </w:rPr>
        <w:t xml:space="preserve">These results call into question the efficacy of short-term </w:t>
      </w:r>
      <w:proofErr w:type="spellStart"/>
      <w:r w:rsidR="00CB59AC" w:rsidRPr="00C0765A">
        <w:rPr>
          <w:lang w:val="en-US"/>
        </w:rPr>
        <w:t>taVNS</w:t>
      </w:r>
      <w:proofErr w:type="spellEnd"/>
      <w:r w:rsidR="00CB59AC" w:rsidRPr="00C0765A">
        <w:rPr>
          <w:lang w:val="en-US"/>
        </w:rPr>
        <w:t xml:space="preserve"> in modulating </w:t>
      </w:r>
      <w:r w:rsidR="005130EF" w:rsidRPr="00C0765A">
        <w:rPr>
          <w:lang w:val="en-US"/>
        </w:rPr>
        <w:t>bodily and symptom perception, however further clinical research in patient populations i</w:t>
      </w:r>
      <w:r w:rsidR="009B4D2B" w:rsidRPr="00C0765A">
        <w:rPr>
          <w:lang w:val="en-US"/>
        </w:rPr>
        <w:t>s</w:t>
      </w:r>
      <w:r w:rsidR="005130EF" w:rsidRPr="00C0765A">
        <w:rPr>
          <w:lang w:val="en-US"/>
        </w:rPr>
        <w:t xml:space="preserve"> needed to probe the </w:t>
      </w:r>
      <w:r w:rsidR="00CB59AC" w:rsidRPr="00C0765A">
        <w:rPr>
          <w:lang w:val="en-US"/>
        </w:rPr>
        <w:t>potential utility of</w:t>
      </w:r>
      <w:r w:rsidR="005130EF" w:rsidRPr="00C0765A">
        <w:rPr>
          <w:lang w:val="en-US"/>
        </w:rPr>
        <w:t xml:space="preserve"> long-term,</w:t>
      </w:r>
      <w:r w:rsidR="00CB59AC" w:rsidRPr="00C0765A">
        <w:rPr>
          <w:lang w:val="en-US"/>
        </w:rPr>
        <w:t xml:space="preserve"> clinical</w:t>
      </w:r>
      <w:r w:rsidR="005130EF" w:rsidRPr="00C0765A">
        <w:rPr>
          <w:lang w:val="en-US"/>
        </w:rPr>
        <w:t>ly administered</w:t>
      </w:r>
      <w:r w:rsidR="00CB59AC" w:rsidRPr="00C0765A">
        <w:rPr>
          <w:lang w:val="en-US"/>
        </w:rPr>
        <w:t xml:space="preserve"> </w:t>
      </w:r>
      <w:proofErr w:type="spellStart"/>
      <w:r w:rsidR="00CB59AC" w:rsidRPr="00C0765A">
        <w:rPr>
          <w:lang w:val="en-US"/>
        </w:rPr>
        <w:t>taVNS</w:t>
      </w:r>
      <w:proofErr w:type="spellEnd"/>
      <w:r w:rsidR="005130EF" w:rsidRPr="00C0765A">
        <w:rPr>
          <w:lang w:val="en-US"/>
        </w:rPr>
        <w:t>.</w:t>
      </w:r>
    </w:p>
    <w:p w14:paraId="1AE5F9F5" w14:textId="4320F1CB" w:rsidR="003B7F14" w:rsidRPr="00C0765A" w:rsidRDefault="003B7F14" w:rsidP="00537A2C">
      <w:pPr>
        <w:rPr>
          <w:lang w:val="en-US"/>
        </w:rPr>
      </w:pPr>
      <w:r w:rsidRPr="00C0765A">
        <w:rPr>
          <w:lang w:val="en-US"/>
        </w:rPr>
        <w:t xml:space="preserve">Our exploratory probing of the subjective experience </w:t>
      </w:r>
      <w:r w:rsidR="009F3F03" w:rsidRPr="00C0765A">
        <w:rPr>
          <w:lang w:val="en-US"/>
        </w:rPr>
        <w:t xml:space="preserve">and safety </w:t>
      </w:r>
      <w:r w:rsidRPr="00C0765A">
        <w:rPr>
          <w:lang w:val="en-US"/>
        </w:rPr>
        <w:t>of</w:t>
      </w:r>
      <w:r w:rsidR="009F3F03" w:rsidRPr="00C0765A">
        <w:rPr>
          <w:lang w:val="en-US"/>
        </w:rPr>
        <w:t xml:space="preserve"> </w:t>
      </w:r>
      <w:proofErr w:type="spellStart"/>
      <w:r w:rsidR="009F3F03" w:rsidRPr="00C0765A">
        <w:rPr>
          <w:lang w:val="en-US"/>
        </w:rPr>
        <w:t>taVNS</w:t>
      </w:r>
      <w:proofErr w:type="spellEnd"/>
      <w:r w:rsidR="009F3F03" w:rsidRPr="00C0765A">
        <w:rPr>
          <w:lang w:val="en-US"/>
        </w:rPr>
        <w:t xml:space="preserve"> </w:t>
      </w:r>
      <w:r w:rsidR="00560F7D" w:rsidRPr="00C0765A">
        <w:rPr>
          <w:lang w:val="en-US"/>
        </w:rPr>
        <w:t>showed</w:t>
      </w:r>
      <w:r w:rsidR="009F3F03" w:rsidRPr="00C0765A">
        <w:rPr>
          <w:lang w:val="en-US"/>
        </w:rPr>
        <w:t xml:space="preserve"> that participants experienced both </w:t>
      </w:r>
      <w:proofErr w:type="spellStart"/>
      <w:r w:rsidR="009F3F03" w:rsidRPr="00C0765A">
        <w:rPr>
          <w:lang w:val="en-US"/>
        </w:rPr>
        <w:t>taVNS</w:t>
      </w:r>
      <w:proofErr w:type="spellEnd"/>
      <w:r w:rsidR="009F3F03" w:rsidRPr="00C0765A">
        <w:rPr>
          <w:lang w:val="en-US"/>
        </w:rPr>
        <w:t xml:space="preserve"> and Sham stimulation as largely mild and tolerable. </w:t>
      </w:r>
      <w:r w:rsidR="008008B7" w:rsidRPr="00C0765A">
        <w:rPr>
          <w:lang w:val="en-US"/>
        </w:rPr>
        <w:t xml:space="preserve">Side-effects such as pain, </w:t>
      </w:r>
      <w:r w:rsidR="00054390" w:rsidRPr="00C0765A">
        <w:rPr>
          <w:lang w:val="en-US"/>
        </w:rPr>
        <w:t>tingling, and itching</w:t>
      </w:r>
      <w:r w:rsidR="008008B7" w:rsidRPr="00C0765A">
        <w:rPr>
          <w:lang w:val="en-US"/>
        </w:rPr>
        <w:t xml:space="preserve"> were seldom reported, and were largely mild in intensity</w:t>
      </w:r>
      <w:r w:rsidR="00054390" w:rsidRPr="00C0765A">
        <w:rPr>
          <w:lang w:val="en-US"/>
        </w:rPr>
        <w:t xml:space="preserve">. </w:t>
      </w:r>
      <w:r w:rsidR="00AA4F9A" w:rsidRPr="00C0765A">
        <w:rPr>
          <w:lang w:val="en-US"/>
        </w:rPr>
        <w:t>We found, however, that</w:t>
      </w:r>
      <w:r w:rsidRPr="00C0765A">
        <w:rPr>
          <w:lang w:val="en-US"/>
        </w:rPr>
        <w:t xml:space="preserve"> </w:t>
      </w:r>
      <w:r w:rsidR="00AA4F9A" w:rsidRPr="00C0765A">
        <w:rPr>
          <w:lang w:val="en-US"/>
        </w:rPr>
        <w:t xml:space="preserve">even though both types of stimulation were perceived as neutral on average, </w:t>
      </w:r>
      <w:proofErr w:type="spellStart"/>
      <w:r w:rsidR="00AA4F9A" w:rsidRPr="00C0765A">
        <w:rPr>
          <w:lang w:val="en-US"/>
        </w:rPr>
        <w:t>taVNS</w:t>
      </w:r>
      <w:proofErr w:type="spellEnd"/>
      <w:r w:rsidR="00AA4F9A" w:rsidRPr="00C0765A">
        <w:rPr>
          <w:lang w:val="en-US"/>
        </w:rPr>
        <w:t xml:space="preserve"> was experienced to be more unpleasant than Sham, and was associated with a</w:t>
      </w:r>
      <w:r w:rsidR="00C01DDA" w:rsidRPr="00C0765A">
        <w:rPr>
          <w:lang w:val="en-US"/>
        </w:rPr>
        <w:t xml:space="preserve"> higher incidence of </w:t>
      </w:r>
      <w:r w:rsidR="00482BBD" w:rsidRPr="00C0765A">
        <w:rPr>
          <w:lang w:val="en-US"/>
        </w:rPr>
        <w:t>reported side-effects</w:t>
      </w:r>
      <w:r w:rsidR="00027259" w:rsidRPr="00C0765A">
        <w:rPr>
          <w:lang w:val="en-US"/>
        </w:rPr>
        <w:t xml:space="preserve">. This </w:t>
      </w:r>
      <w:r w:rsidR="00216F86" w:rsidRPr="00C0765A">
        <w:rPr>
          <w:lang w:val="en-US"/>
        </w:rPr>
        <w:t>higher intensity and unpleasantness</w:t>
      </w:r>
      <w:r w:rsidR="00027259" w:rsidRPr="00C0765A">
        <w:rPr>
          <w:lang w:val="en-US"/>
        </w:rPr>
        <w:t xml:space="preserve"> of </w:t>
      </w:r>
      <w:proofErr w:type="spellStart"/>
      <w:r w:rsidR="00027259" w:rsidRPr="00C0765A">
        <w:rPr>
          <w:lang w:val="en-US"/>
        </w:rPr>
        <w:t>taVNS</w:t>
      </w:r>
      <w:proofErr w:type="spellEnd"/>
      <w:r w:rsidR="00027259" w:rsidRPr="00C0765A">
        <w:rPr>
          <w:lang w:val="en-US"/>
        </w:rPr>
        <w:t xml:space="preserve"> relative to Sham has also been reported in previous </w:t>
      </w:r>
      <w:proofErr w:type="spellStart"/>
      <w:r w:rsidR="00027259" w:rsidRPr="00C0765A">
        <w:rPr>
          <w:lang w:val="en-US"/>
        </w:rPr>
        <w:t>taVNS</w:t>
      </w:r>
      <w:proofErr w:type="spellEnd"/>
      <w:r w:rsidR="00027259" w:rsidRPr="00C0765A">
        <w:rPr>
          <w:lang w:val="en-US"/>
        </w:rPr>
        <w:t xml:space="preserve"> research</w:t>
      </w:r>
      <w:r w:rsidR="00AA4F9A" w:rsidRPr="00C0765A">
        <w:rPr>
          <w:lang w:val="en-US"/>
        </w:rPr>
        <w:t xml:space="preserve"> </w:t>
      </w:r>
      <w:r w:rsidR="00027259" w:rsidRPr="00C0765A">
        <w:rPr>
          <w:lang w:val="en-US"/>
        </w:rPr>
        <w:t>(</w:t>
      </w:r>
      <w:proofErr w:type="spellStart"/>
      <w:r w:rsidR="00027259" w:rsidRPr="00C0765A">
        <w:rPr>
          <w:lang w:val="en-US"/>
        </w:rPr>
        <w:t>D’Agostini</w:t>
      </w:r>
      <w:proofErr w:type="spellEnd"/>
      <w:r w:rsidR="00027259" w:rsidRPr="00C0765A">
        <w:rPr>
          <w:lang w:val="en-US"/>
        </w:rPr>
        <w:t xml:space="preserve">, Burger, Franssen, et al., 2023; </w:t>
      </w:r>
      <w:proofErr w:type="spellStart"/>
      <w:r w:rsidR="00027259" w:rsidRPr="00C0765A">
        <w:rPr>
          <w:lang w:val="en-US"/>
        </w:rPr>
        <w:t>Keute</w:t>
      </w:r>
      <w:proofErr w:type="spellEnd"/>
      <w:r w:rsidR="00027259" w:rsidRPr="00C0765A">
        <w:rPr>
          <w:lang w:val="en-US"/>
        </w:rPr>
        <w:t xml:space="preserve"> et al., 2018)</w:t>
      </w:r>
      <w:r w:rsidR="00860669" w:rsidRPr="00C0765A">
        <w:rPr>
          <w:lang w:val="en-US"/>
        </w:rPr>
        <w:t xml:space="preserve">, </w:t>
      </w:r>
      <w:r w:rsidR="000F2E8B" w:rsidRPr="00C0765A">
        <w:rPr>
          <w:lang w:val="en-US"/>
        </w:rPr>
        <w:t xml:space="preserve">adding to the </w:t>
      </w:r>
      <w:r w:rsidR="00216F86" w:rsidRPr="00C0765A">
        <w:rPr>
          <w:lang w:val="en-US"/>
        </w:rPr>
        <w:t>calls to reconsider</w:t>
      </w:r>
      <w:r w:rsidR="00860669" w:rsidRPr="00C0765A">
        <w:rPr>
          <w:lang w:val="en-US"/>
        </w:rPr>
        <w:t xml:space="preserve"> earlobe as the optimal control stimulation site. </w:t>
      </w:r>
    </w:p>
    <w:p w14:paraId="619156A8" w14:textId="594448CA" w:rsidR="000E230D" w:rsidRPr="00C0765A" w:rsidRDefault="000E230D" w:rsidP="000E230D">
      <w:pPr>
        <w:pStyle w:val="Heading2"/>
        <w:rPr>
          <w:lang w:val="en-US"/>
        </w:rPr>
      </w:pPr>
      <w:r w:rsidRPr="00C0765A">
        <w:rPr>
          <w:lang w:val="en-US"/>
        </w:rPr>
        <w:t>4.</w:t>
      </w:r>
      <w:r w:rsidR="00193521" w:rsidRPr="00C0765A">
        <w:rPr>
          <w:lang w:val="en-US"/>
        </w:rPr>
        <w:t>5</w:t>
      </w:r>
      <w:r w:rsidR="003118D6" w:rsidRPr="00C0765A">
        <w:rPr>
          <w:lang w:val="en-US"/>
        </w:rPr>
        <w:t xml:space="preserve"> Limitations</w:t>
      </w:r>
      <w:r w:rsidR="00193521" w:rsidRPr="00C0765A">
        <w:rPr>
          <w:lang w:val="en-US"/>
        </w:rPr>
        <w:t xml:space="preserve"> and future directions</w:t>
      </w:r>
    </w:p>
    <w:p w14:paraId="121D3228" w14:textId="77777777" w:rsidR="006E5AAF" w:rsidRPr="00C0765A" w:rsidRDefault="003118D6" w:rsidP="003118D6">
      <w:pPr>
        <w:rPr>
          <w:lang w:val="en-US"/>
        </w:rPr>
      </w:pPr>
      <w:r w:rsidRPr="00C0765A">
        <w:rPr>
          <w:lang w:val="en-US"/>
        </w:rPr>
        <w:t xml:space="preserve">There are several limitations </w:t>
      </w:r>
      <w:r w:rsidR="00924689" w:rsidRPr="00C0765A">
        <w:rPr>
          <w:lang w:val="en-US"/>
        </w:rPr>
        <w:t xml:space="preserve">to the current study that </w:t>
      </w:r>
      <w:r w:rsidR="00BC0662" w:rsidRPr="00C0765A">
        <w:rPr>
          <w:lang w:val="en-US"/>
        </w:rPr>
        <w:t>c</w:t>
      </w:r>
      <w:r w:rsidR="007F437A" w:rsidRPr="00C0765A">
        <w:rPr>
          <w:lang w:val="en-US"/>
        </w:rPr>
        <w:t>ould</w:t>
      </w:r>
      <w:r w:rsidR="00BC0662" w:rsidRPr="00C0765A">
        <w:rPr>
          <w:lang w:val="en-US"/>
        </w:rPr>
        <w:t xml:space="preserve"> </w:t>
      </w:r>
      <w:r w:rsidR="00346515" w:rsidRPr="00C0765A">
        <w:rPr>
          <w:lang w:val="en-US"/>
        </w:rPr>
        <w:t xml:space="preserve">have </w:t>
      </w:r>
      <w:r w:rsidR="007F437A" w:rsidRPr="00C0765A">
        <w:rPr>
          <w:lang w:val="en-US"/>
        </w:rPr>
        <w:t>influence</w:t>
      </w:r>
      <w:r w:rsidR="00346515" w:rsidRPr="00C0765A">
        <w:rPr>
          <w:lang w:val="en-US"/>
        </w:rPr>
        <w:t>d</w:t>
      </w:r>
      <w:r w:rsidR="007F437A" w:rsidRPr="00C0765A">
        <w:rPr>
          <w:lang w:val="en-US"/>
        </w:rPr>
        <w:t xml:space="preserve"> the results and subsequent interpretation</w:t>
      </w:r>
      <w:r w:rsidR="00FD5241" w:rsidRPr="00C0765A">
        <w:rPr>
          <w:lang w:val="en-US"/>
        </w:rPr>
        <w:t>s</w:t>
      </w:r>
      <w:r w:rsidR="007F437A" w:rsidRPr="00C0765A">
        <w:rPr>
          <w:lang w:val="en-US"/>
        </w:rPr>
        <w:t xml:space="preserve">. </w:t>
      </w:r>
    </w:p>
    <w:p w14:paraId="4BE27CB2" w14:textId="29D6D3B5" w:rsidR="003118D6" w:rsidRPr="00C0765A" w:rsidRDefault="007F437A" w:rsidP="003118D6">
      <w:pPr>
        <w:rPr>
          <w:lang w:val="en-US"/>
        </w:rPr>
      </w:pPr>
      <w:r w:rsidRPr="00C0765A">
        <w:rPr>
          <w:lang w:val="en-US"/>
        </w:rPr>
        <w:t>Firstly, our statistical powe</w:t>
      </w:r>
      <w:r w:rsidR="00FD5241" w:rsidRPr="00C0765A">
        <w:rPr>
          <w:lang w:val="en-US"/>
        </w:rPr>
        <w:t xml:space="preserve">r </w:t>
      </w:r>
      <w:r w:rsidR="0010489D" w:rsidRPr="00C0765A">
        <w:rPr>
          <w:lang w:val="en-US"/>
        </w:rPr>
        <w:t>to detect</w:t>
      </w:r>
      <w:r w:rsidRPr="00C0765A">
        <w:rPr>
          <w:lang w:val="en-US"/>
        </w:rPr>
        <w:t xml:space="preserve"> ERP </w:t>
      </w:r>
      <w:r w:rsidR="0010489D" w:rsidRPr="00C0765A">
        <w:rPr>
          <w:lang w:val="en-US"/>
        </w:rPr>
        <w:t>and neural gating effects</w:t>
      </w:r>
      <w:r w:rsidRPr="00C0765A">
        <w:rPr>
          <w:lang w:val="en-US"/>
        </w:rPr>
        <w:t xml:space="preserve"> was reduced by the exclusion of a number of </w:t>
      </w:r>
      <w:r w:rsidR="00135813" w:rsidRPr="00C0765A">
        <w:rPr>
          <w:lang w:val="en-US"/>
        </w:rPr>
        <w:t>data points</w:t>
      </w:r>
      <w:r w:rsidR="000C25FB" w:rsidRPr="00C0765A">
        <w:rPr>
          <w:lang w:val="en-US"/>
        </w:rPr>
        <w:t xml:space="preserve"> </w:t>
      </w:r>
      <w:r w:rsidR="003E324F" w:rsidRPr="00C0765A">
        <w:rPr>
          <w:lang w:val="en-US"/>
        </w:rPr>
        <w:t>due to</w:t>
      </w:r>
      <w:r w:rsidR="000C25FB" w:rsidRPr="00C0765A">
        <w:rPr>
          <w:lang w:val="en-US"/>
        </w:rPr>
        <w:t xml:space="preserve"> measurement noise. The noise primarily arose from the </w:t>
      </w:r>
      <w:r w:rsidR="00F37F85" w:rsidRPr="00C0765A">
        <w:rPr>
          <w:lang w:val="en-US"/>
        </w:rPr>
        <w:t xml:space="preserve">electrical </w:t>
      </w:r>
      <w:r w:rsidR="008D3260" w:rsidRPr="00C0765A">
        <w:rPr>
          <w:lang w:val="en-US"/>
        </w:rPr>
        <w:t xml:space="preserve">interference </w:t>
      </w:r>
      <w:r w:rsidR="00850E45" w:rsidRPr="00C0765A">
        <w:rPr>
          <w:lang w:val="en-US"/>
        </w:rPr>
        <w:t>by</w:t>
      </w:r>
      <w:r w:rsidR="008D3260" w:rsidRPr="00C0765A">
        <w:rPr>
          <w:lang w:val="en-US"/>
        </w:rPr>
        <w:t xml:space="preserve"> the </w:t>
      </w:r>
      <w:proofErr w:type="spellStart"/>
      <w:r w:rsidR="008D3260" w:rsidRPr="00C0765A">
        <w:rPr>
          <w:lang w:val="en-US"/>
        </w:rPr>
        <w:t>taVNS</w:t>
      </w:r>
      <w:proofErr w:type="spellEnd"/>
      <w:r w:rsidR="008D3260" w:rsidRPr="00C0765A">
        <w:rPr>
          <w:lang w:val="en-US"/>
        </w:rPr>
        <w:t xml:space="preserve"> electrode, </w:t>
      </w:r>
      <w:r w:rsidR="00850E45" w:rsidRPr="00C0765A">
        <w:rPr>
          <w:lang w:val="en-US"/>
        </w:rPr>
        <w:t xml:space="preserve">which </w:t>
      </w:r>
      <w:r w:rsidR="008D3260" w:rsidRPr="00C0765A">
        <w:rPr>
          <w:lang w:val="en-US"/>
        </w:rPr>
        <w:t>introduc</w:t>
      </w:r>
      <w:r w:rsidR="00850E45" w:rsidRPr="00C0765A">
        <w:rPr>
          <w:lang w:val="en-US"/>
        </w:rPr>
        <w:t>ed</w:t>
      </w:r>
      <w:r w:rsidR="008D3260" w:rsidRPr="00C0765A">
        <w:rPr>
          <w:lang w:val="en-US"/>
        </w:rPr>
        <w:t xml:space="preserve"> </w:t>
      </w:r>
      <w:r w:rsidR="003229E6" w:rsidRPr="00C0765A">
        <w:rPr>
          <w:lang w:val="en-US"/>
        </w:rPr>
        <w:t>a strong 35Hz signal</w:t>
      </w:r>
      <w:r w:rsidR="00850E45" w:rsidRPr="00C0765A">
        <w:rPr>
          <w:lang w:val="en-US"/>
        </w:rPr>
        <w:t xml:space="preserve">. </w:t>
      </w:r>
      <w:r w:rsidR="00CF4939" w:rsidRPr="00C0765A">
        <w:rPr>
          <w:lang w:val="en-US"/>
        </w:rPr>
        <w:t xml:space="preserve">Based on our previous research </w:t>
      </w:r>
      <w:r w:rsidR="00E15767" w:rsidRPr="00C0765A">
        <w:rPr>
          <w:lang w:val="en-US"/>
        </w:rPr>
        <w:t>(</w:t>
      </w:r>
      <w:proofErr w:type="spellStart"/>
      <w:r w:rsidR="00E15767" w:rsidRPr="00C0765A">
        <w:rPr>
          <w:lang w:val="en-US"/>
        </w:rPr>
        <w:t>D’Agostini</w:t>
      </w:r>
      <w:proofErr w:type="spellEnd"/>
      <w:r w:rsidR="00E15767" w:rsidRPr="00C0765A">
        <w:rPr>
          <w:lang w:val="en-US"/>
        </w:rPr>
        <w:t>, Burger, Jelinčić, et al., 2023)</w:t>
      </w:r>
      <w:r w:rsidR="00CF4939" w:rsidRPr="00C0765A">
        <w:rPr>
          <w:lang w:val="en-US"/>
        </w:rPr>
        <w:t>, w</w:t>
      </w:r>
      <w:r w:rsidR="00850E45" w:rsidRPr="00C0765A">
        <w:rPr>
          <w:lang w:val="en-US"/>
        </w:rPr>
        <w:t xml:space="preserve">e anticipated this issue and </w:t>
      </w:r>
      <w:r w:rsidR="00EF6F21" w:rsidRPr="00C0765A">
        <w:rPr>
          <w:lang w:val="en-US"/>
        </w:rPr>
        <w:t>deliver</w:t>
      </w:r>
      <w:r w:rsidR="009D1E4B" w:rsidRPr="00C0765A">
        <w:rPr>
          <w:lang w:val="en-US"/>
        </w:rPr>
        <w:t>ed</w:t>
      </w:r>
      <w:r w:rsidR="00EF6F21" w:rsidRPr="00C0765A">
        <w:rPr>
          <w:lang w:val="en-US"/>
        </w:rPr>
        <w:t xml:space="preserve"> </w:t>
      </w:r>
      <w:proofErr w:type="spellStart"/>
      <w:r w:rsidR="00EF6F21" w:rsidRPr="00C0765A">
        <w:rPr>
          <w:lang w:val="en-US"/>
        </w:rPr>
        <w:t>taVNS</w:t>
      </w:r>
      <w:proofErr w:type="spellEnd"/>
      <w:r w:rsidR="00EF6F21" w:rsidRPr="00C0765A">
        <w:rPr>
          <w:lang w:val="en-US"/>
        </w:rPr>
        <w:t xml:space="preserve"> at </w:t>
      </w:r>
      <w:r w:rsidR="00135813" w:rsidRPr="00C0765A">
        <w:rPr>
          <w:lang w:val="en-US"/>
        </w:rPr>
        <w:t>35Hz</w:t>
      </w:r>
      <w:r w:rsidR="009D1E4B" w:rsidRPr="00C0765A">
        <w:rPr>
          <w:lang w:val="en-US"/>
        </w:rPr>
        <w:t>,</w:t>
      </w:r>
      <w:r w:rsidR="00135813" w:rsidRPr="00C0765A">
        <w:rPr>
          <w:lang w:val="en-US"/>
        </w:rPr>
        <w:t xml:space="preserve"> rather than the more common 25Hz </w:t>
      </w:r>
      <w:r w:rsidR="00F01D99" w:rsidRPr="00C0765A">
        <w:rPr>
          <w:lang w:val="en-US"/>
        </w:rPr>
        <w:t>(Farmer et al., 2021)</w:t>
      </w:r>
      <w:r w:rsidR="00A12DF7" w:rsidRPr="00C0765A">
        <w:rPr>
          <w:lang w:val="en-US"/>
        </w:rPr>
        <w:t xml:space="preserve">, which would have required more </w:t>
      </w:r>
      <w:r w:rsidR="00F01D99" w:rsidRPr="00C0765A">
        <w:rPr>
          <w:lang w:val="en-US"/>
        </w:rPr>
        <w:t>aggressive</w:t>
      </w:r>
      <w:r w:rsidR="00A12DF7" w:rsidRPr="00C0765A">
        <w:rPr>
          <w:lang w:val="en-US"/>
        </w:rPr>
        <w:t xml:space="preserve"> low-pass filtering</w:t>
      </w:r>
      <w:r w:rsidR="0002648C" w:rsidRPr="00C0765A">
        <w:rPr>
          <w:lang w:val="en-US"/>
        </w:rPr>
        <w:t xml:space="preserve">. </w:t>
      </w:r>
      <w:r w:rsidR="00067146" w:rsidRPr="00C0765A">
        <w:rPr>
          <w:lang w:val="en-US"/>
        </w:rPr>
        <w:t>While i</w:t>
      </w:r>
      <w:r w:rsidR="004B15CD" w:rsidRPr="00C0765A">
        <w:rPr>
          <w:lang w:val="en-US"/>
        </w:rPr>
        <w:t>n most participants</w:t>
      </w:r>
      <w:r w:rsidR="0063339F" w:rsidRPr="00C0765A">
        <w:rPr>
          <w:lang w:val="en-US"/>
        </w:rPr>
        <w:t>,</w:t>
      </w:r>
      <w:r w:rsidR="004B15CD" w:rsidRPr="00C0765A">
        <w:rPr>
          <w:lang w:val="en-US"/>
        </w:rPr>
        <w:t xml:space="preserve"> the </w:t>
      </w:r>
      <w:r w:rsidR="00A12DF7" w:rsidRPr="00C0765A">
        <w:rPr>
          <w:lang w:val="en-US"/>
        </w:rPr>
        <w:t xml:space="preserve">35Hz </w:t>
      </w:r>
      <w:r w:rsidR="0063339F" w:rsidRPr="00C0765A">
        <w:rPr>
          <w:lang w:val="en-US"/>
        </w:rPr>
        <w:t>interference</w:t>
      </w:r>
      <w:r w:rsidR="004B15CD" w:rsidRPr="00C0765A">
        <w:rPr>
          <w:lang w:val="en-US"/>
        </w:rPr>
        <w:t xml:space="preserve"> </w:t>
      </w:r>
      <w:r w:rsidR="0063339F" w:rsidRPr="00C0765A">
        <w:rPr>
          <w:lang w:val="en-US"/>
        </w:rPr>
        <w:t>was captured by the ICA</w:t>
      </w:r>
      <w:r w:rsidR="0046537B" w:rsidRPr="00C0765A">
        <w:rPr>
          <w:lang w:val="en-US"/>
        </w:rPr>
        <w:t xml:space="preserve"> and successfully removed</w:t>
      </w:r>
      <w:r w:rsidR="00D61F9A" w:rsidRPr="00C0765A">
        <w:rPr>
          <w:lang w:val="en-US"/>
        </w:rPr>
        <w:t xml:space="preserve">, </w:t>
      </w:r>
      <w:r w:rsidR="00067146" w:rsidRPr="00C0765A">
        <w:rPr>
          <w:lang w:val="en-US"/>
        </w:rPr>
        <w:t xml:space="preserve">in several cases </w:t>
      </w:r>
      <w:r w:rsidR="00A624F6" w:rsidRPr="00C0765A">
        <w:rPr>
          <w:lang w:val="en-US"/>
        </w:rPr>
        <w:t>th</w:t>
      </w:r>
      <w:r w:rsidR="0046537B" w:rsidRPr="00C0765A">
        <w:rPr>
          <w:lang w:val="en-US"/>
        </w:rPr>
        <w:t xml:space="preserve">is was not possible </w:t>
      </w:r>
      <w:r w:rsidR="00D61F9A" w:rsidRPr="00C0765A">
        <w:rPr>
          <w:lang w:val="en-US"/>
        </w:rPr>
        <w:t>without removing meaningful signal</w:t>
      </w:r>
      <w:r w:rsidR="003229E6" w:rsidRPr="00C0765A">
        <w:rPr>
          <w:lang w:val="en-US"/>
        </w:rPr>
        <w:t>. Further</w:t>
      </w:r>
      <w:r w:rsidR="008F53CC" w:rsidRPr="00C0765A">
        <w:rPr>
          <w:lang w:val="en-US"/>
        </w:rPr>
        <w:t>more</w:t>
      </w:r>
      <w:r w:rsidR="00A902DD" w:rsidRPr="00C0765A">
        <w:rPr>
          <w:lang w:val="en-US"/>
        </w:rPr>
        <w:t>, th</w:t>
      </w:r>
      <w:r w:rsidR="00740DAC" w:rsidRPr="00C0765A">
        <w:rPr>
          <w:lang w:val="en-US"/>
        </w:rPr>
        <w:t>e</w:t>
      </w:r>
      <w:r w:rsidR="00A902DD" w:rsidRPr="00C0765A">
        <w:rPr>
          <w:lang w:val="en-US"/>
        </w:rPr>
        <w:t xml:space="preserve"> </w:t>
      </w:r>
      <w:r w:rsidR="003B0E92" w:rsidRPr="00C0765A">
        <w:rPr>
          <w:lang w:val="en-US"/>
        </w:rPr>
        <w:t>noise</w:t>
      </w:r>
      <w:r w:rsidR="009B7802" w:rsidRPr="00C0765A">
        <w:rPr>
          <w:lang w:val="en-US"/>
        </w:rPr>
        <w:t xml:space="preserve"> </w:t>
      </w:r>
      <w:r w:rsidR="0029602C" w:rsidRPr="00C0765A">
        <w:rPr>
          <w:lang w:val="en-US"/>
        </w:rPr>
        <w:t xml:space="preserve">introduced bias, as </w:t>
      </w:r>
      <w:r w:rsidR="003B0E92" w:rsidRPr="00C0765A">
        <w:rPr>
          <w:lang w:val="en-US"/>
        </w:rPr>
        <w:t>it</w:t>
      </w:r>
      <w:r w:rsidR="0029602C" w:rsidRPr="00C0765A">
        <w:rPr>
          <w:lang w:val="en-US"/>
        </w:rPr>
        <w:t xml:space="preserve"> </w:t>
      </w:r>
      <w:r w:rsidR="009B7802" w:rsidRPr="00C0765A">
        <w:rPr>
          <w:lang w:val="en-US"/>
        </w:rPr>
        <w:t xml:space="preserve">was not equally </w:t>
      </w:r>
      <w:r w:rsidR="003E324F" w:rsidRPr="00C0765A">
        <w:rPr>
          <w:lang w:val="en-US"/>
        </w:rPr>
        <w:t>distributed across</w:t>
      </w:r>
      <w:r w:rsidR="009B7802" w:rsidRPr="00C0765A">
        <w:rPr>
          <w:lang w:val="en-US"/>
        </w:rPr>
        <w:t xml:space="preserve"> conditions</w:t>
      </w:r>
      <w:r w:rsidR="0029602C" w:rsidRPr="00C0765A">
        <w:rPr>
          <w:lang w:val="en-US"/>
        </w:rPr>
        <w:t xml:space="preserve"> – </w:t>
      </w:r>
      <w:r w:rsidR="00A902DD" w:rsidRPr="00C0765A">
        <w:rPr>
          <w:lang w:val="en-US"/>
        </w:rPr>
        <w:t xml:space="preserve">the interference was </w:t>
      </w:r>
      <w:r w:rsidR="008D527C" w:rsidRPr="00C0765A">
        <w:rPr>
          <w:lang w:val="en-US"/>
        </w:rPr>
        <w:t>(up to t</w:t>
      </w:r>
      <w:r w:rsidR="008058DA" w:rsidRPr="00C0765A">
        <w:rPr>
          <w:lang w:val="en-US"/>
        </w:rPr>
        <w:t>hree</w:t>
      </w:r>
      <w:r w:rsidR="008D527C" w:rsidRPr="00C0765A">
        <w:rPr>
          <w:lang w:val="en-US"/>
        </w:rPr>
        <w:t xml:space="preserve"> times) </w:t>
      </w:r>
      <w:r w:rsidR="00A902DD" w:rsidRPr="00C0765A">
        <w:rPr>
          <w:lang w:val="en-US"/>
        </w:rPr>
        <w:t xml:space="preserve">more </w:t>
      </w:r>
      <w:r w:rsidR="003E324F" w:rsidRPr="00C0765A">
        <w:rPr>
          <w:lang w:val="en-US"/>
        </w:rPr>
        <w:t>likely</w:t>
      </w:r>
      <w:r w:rsidR="00A902DD" w:rsidRPr="00C0765A">
        <w:rPr>
          <w:lang w:val="en-US"/>
        </w:rPr>
        <w:t xml:space="preserve"> </w:t>
      </w:r>
      <w:r w:rsidR="00E341F2" w:rsidRPr="00C0765A">
        <w:rPr>
          <w:lang w:val="en-US"/>
        </w:rPr>
        <w:t>in the active Sham condition</w:t>
      </w:r>
      <w:r w:rsidR="009B7802" w:rsidRPr="00C0765A">
        <w:rPr>
          <w:lang w:val="en-US"/>
        </w:rPr>
        <w:t xml:space="preserve">. The likely reason for this was the placement of the electrode </w:t>
      </w:r>
      <w:r w:rsidR="008F53CC" w:rsidRPr="00C0765A">
        <w:rPr>
          <w:lang w:val="en-US"/>
        </w:rPr>
        <w:t>at</w:t>
      </w:r>
      <w:r w:rsidR="009B7802" w:rsidRPr="00C0765A">
        <w:rPr>
          <w:lang w:val="en-US"/>
        </w:rPr>
        <w:t xml:space="preserve"> the </w:t>
      </w:r>
      <w:r w:rsidR="008F53CC" w:rsidRPr="00C0765A">
        <w:rPr>
          <w:lang w:val="en-US"/>
        </w:rPr>
        <w:t xml:space="preserve">center of the left </w:t>
      </w:r>
      <w:r w:rsidR="009B7802" w:rsidRPr="00C0765A">
        <w:rPr>
          <w:lang w:val="en-US"/>
        </w:rPr>
        <w:t xml:space="preserve">earlobe, </w:t>
      </w:r>
      <w:r w:rsidR="000F2EDF" w:rsidRPr="00C0765A">
        <w:rPr>
          <w:lang w:val="en-US"/>
        </w:rPr>
        <w:t xml:space="preserve">which allowed for occasional physical contact </w:t>
      </w:r>
      <w:r w:rsidR="006769D0" w:rsidRPr="00C0765A">
        <w:rPr>
          <w:lang w:val="en-US"/>
        </w:rPr>
        <w:t>between</w:t>
      </w:r>
      <w:r w:rsidR="000F2EDF" w:rsidRPr="00C0765A">
        <w:rPr>
          <w:lang w:val="en-US"/>
        </w:rPr>
        <w:t xml:space="preserve"> the electrode </w:t>
      </w:r>
      <w:r w:rsidR="006769D0" w:rsidRPr="00C0765A">
        <w:rPr>
          <w:lang w:val="en-US"/>
        </w:rPr>
        <w:t>and</w:t>
      </w:r>
      <w:r w:rsidR="000F2EDF" w:rsidRPr="00C0765A">
        <w:rPr>
          <w:lang w:val="en-US"/>
        </w:rPr>
        <w:t xml:space="preserve"> the </w:t>
      </w:r>
      <w:r w:rsidR="000C4AE4" w:rsidRPr="00C0765A">
        <w:rPr>
          <w:lang w:val="en-US"/>
        </w:rPr>
        <w:t>channels</w:t>
      </w:r>
      <w:r w:rsidR="008F75C1" w:rsidRPr="00C0765A">
        <w:rPr>
          <w:lang w:val="en-US"/>
        </w:rPr>
        <w:t xml:space="preserve"> placed around the</w:t>
      </w:r>
      <w:r w:rsidR="00571432" w:rsidRPr="00C0765A">
        <w:rPr>
          <w:lang w:val="en-US"/>
        </w:rPr>
        <w:t xml:space="preserve"> left</w:t>
      </w:r>
      <w:r w:rsidR="008F75C1" w:rsidRPr="00C0765A">
        <w:rPr>
          <w:lang w:val="en-US"/>
        </w:rPr>
        <w:t xml:space="preserve"> ear in our high-density EEG set-up.</w:t>
      </w:r>
      <w:r w:rsidR="00275CBC" w:rsidRPr="00C0765A">
        <w:rPr>
          <w:lang w:val="en-US"/>
        </w:rPr>
        <w:t xml:space="preserve"> In future studies, this issue could be mitigated by changing the Sham stimulation site</w:t>
      </w:r>
      <w:r w:rsidR="000E4649" w:rsidRPr="00C0765A">
        <w:rPr>
          <w:lang w:val="en-US"/>
        </w:rPr>
        <w:t>,</w:t>
      </w:r>
      <w:r w:rsidR="000C4AE4" w:rsidRPr="00C0765A">
        <w:rPr>
          <w:lang w:val="en-US"/>
        </w:rPr>
        <w:t xml:space="preserve"> or using a non-active Sham condition.</w:t>
      </w:r>
      <w:r w:rsidR="000E4649" w:rsidRPr="00C0765A">
        <w:rPr>
          <w:lang w:val="en-US"/>
        </w:rPr>
        <w:t xml:space="preserve"> </w:t>
      </w:r>
      <w:r w:rsidR="000C4AE4" w:rsidRPr="00C0765A">
        <w:rPr>
          <w:lang w:val="en-US"/>
        </w:rPr>
        <w:t>Another option is</w:t>
      </w:r>
      <w:r w:rsidR="000E4649" w:rsidRPr="00C0765A">
        <w:rPr>
          <w:lang w:val="en-US"/>
        </w:rPr>
        <w:t xml:space="preserve"> </w:t>
      </w:r>
      <w:r w:rsidR="000C4AE4" w:rsidRPr="00C0765A">
        <w:rPr>
          <w:lang w:val="en-US"/>
        </w:rPr>
        <w:t>delivering</w:t>
      </w:r>
      <w:r w:rsidR="000E4649" w:rsidRPr="00C0765A">
        <w:rPr>
          <w:lang w:val="en-US"/>
        </w:rPr>
        <w:t xml:space="preserve"> short </w:t>
      </w:r>
      <w:proofErr w:type="spellStart"/>
      <w:r w:rsidR="00436C51" w:rsidRPr="00C0765A">
        <w:rPr>
          <w:lang w:val="en-US"/>
        </w:rPr>
        <w:t>taVNS</w:t>
      </w:r>
      <w:proofErr w:type="spellEnd"/>
      <w:r w:rsidR="004F3CCD" w:rsidRPr="00C0765A">
        <w:rPr>
          <w:lang w:val="en-US"/>
        </w:rPr>
        <w:t xml:space="preserve"> </w:t>
      </w:r>
      <w:r w:rsidR="000E4649" w:rsidRPr="00C0765A">
        <w:rPr>
          <w:lang w:val="en-US"/>
        </w:rPr>
        <w:t>bursts</w:t>
      </w:r>
      <w:r w:rsidR="004F3CCD" w:rsidRPr="00C0765A">
        <w:rPr>
          <w:lang w:val="en-US"/>
        </w:rPr>
        <w:t xml:space="preserve"> followed by sensory stimulation,</w:t>
      </w:r>
      <w:r w:rsidR="000E4649" w:rsidRPr="00C0765A">
        <w:rPr>
          <w:lang w:val="en-US"/>
        </w:rPr>
        <w:t xml:space="preserve"> instead of continuously deliver</w:t>
      </w:r>
      <w:r w:rsidR="004F3CCD" w:rsidRPr="00C0765A">
        <w:rPr>
          <w:lang w:val="en-US"/>
        </w:rPr>
        <w:t>ing</w:t>
      </w:r>
      <w:r w:rsidR="000E4649" w:rsidRPr="00C0765A">
        <w:rPr>
          <w:lang w:val="en-US"/>
        </w:rPr>
        <w:t xml:space="preserve"> </w:t>
      </w:r>
      <w:proofErr w:type="spellStart"/>
      <w:r w:rsidR="00436C51" w:rsidRPr="00C0765A">
        <w:rPr>
          <w:lang w:val="en-US"/>
        </w:rPr>
        <w:t>taVNS</w:t>
      </w:r>
      <w:proofErr w:type="spellEnd"/>
      <w:r w:rsidR="004F3CCD" w:rsidRPr="00C0765A">
        <w:rPr>
          <w:lang w:val="en-US"/>
        </w:rPr>
        <w:t xml:space="preserve"> concurrent with sensory </w:t>
      </w:r>
      <w:r w:rsidR="004F3CCD" w:rsidRPr="00C0765A">
        <w:rPr>
          <w:lang w:val="en-US"/>
        </w:rPr>
        <w:lastRenderedPageBreak/>
        <w:t>stimulation</w:t>
      </w:r>
      <w:r w:rsidR="00BB07D0" w:rsidRPr="00C0765A">
        <w:rPr>
          <w:lang w:val="en-US"/>
        </w:rPr>
        <w:t xml:space="preserve"> (see </w:t>
      </w:r>
      <w:hyperlink w:anchor="_4.1_taVNS_increased" w:history="1">
        <w:r w:rsidR="00F82FE5" w:rsidRPr="00C0765A">
          <w:rPr>
            <w:rStyle w:val="Hyperlink"/>
            <w:lang w:val="en-US"/>
          </w:rPr>
          <w:t>4.1</w:t>
        </w:r>
      </w:hyperlink>
      <w:r w:rsidR="00BB07D0" w:rsidRPr="00C0765A">
        <w:rPr>
          <w:lang w:val="en-US"/>
        </w:rPr>
        <w:t>)</w:t>
      </w:r>
      <w:r w:rsidR="006769D0" w:rsidRPr="00C0765A">
        <w:rPr>
          <w:lang w:val="en-US"/>
        </w:rPr>
        <w:t xml:space="preserve">. </w:t>
      </w:r>
      <w:r w:rsidR="00D54ABF" w:rsidRPr="00C0765A">
        <w:rPr>
          <w:lang w:val="en-US"/>
        </w:rPr>
        <w:t>There is also a possibility</w:t>
      </w:r>
      <w:r w:rsidR="006769D0" w:rsidRPr="00C0765A">
        <w:rPr>
          <w:lang w:val="en-US"/>
        </w:rPr>
        <w:t xml:space="preserve"> to</w:t>
      </w:r>
      <w:r w:rsidR="00374D9E" w:rsidRPr="00C0765A">
        <w:rPr>
          <w:lang w:val="en-US"/>
        </w:rPr>
        <w:t xml:space="preserve"> further increas</w:t>
      </w:r>
      <w:r w:rsidR="006769D0" w:rsidRPr="00C0765A">
        <w:rPr>
          <w:lang w:val="en-US"/>
        </w:rPr>
        <w:t>e</w:t>
      </w:r>
      <w:r w:rsidR="00374D9E" w:rsidRPr="00C0765A">
        <w:rPr>
          <w:lang w:val="en-US"/>
        </w:rPr>
        <w:t xml:space="preserve"> the frequency of </w:t>
      </w:r>
      <w:proofErr w:type="spellStart"/>
      <w:r w:rsidR="00374D9E" w:rsidRPr="00C0765A">
        <w:rPr>
          <w:lang w:val="en-US"/>
        </w:rPr>
        <w:t>taVNS</w:t>
      </w:r>
      <w:proofErr w:type="spellEnd"/>
      <w:r w:rsidR="00374D9E" w:rsidRPr="00C0765A">
        <w:rPr>
          <w:lang w:val="en-US"/>
        </w:rPr>
        <w:t xml:space="preserve">, </w:t>
      </w:r>
      <w:r w:rsidR="006769D0" w:rsidRPr="00C0765A">
        <w:rPr>
          <w:lang w:val="en-US"/>
        </w:rPr>
        <w:t xml:space="preserve">as previous studies showed that frequencies </w:t>
      </w:r>
      <w:r w:rsidR="00D2554E" w:rsidRPr="00C0765A">
        <w:rPr>
          <w:lang w:val="en-US"/>
        </w:rPr>
        <w:t xml:space="preserve">of </w:t>
      </w:r>
      <w:r w:rsidR="006769D0" w:rsidRPr="00C0765A">
        <w:rPr>
          <w:lang w:val="en-US"/>
        </w:rPr>
        <w:t xml:space="preserve">up to 100Hz are safe and tolerated by participants </w:t>
      </w:r>
      <w:r w:rsidR="00B35A88" w:rsidRPr="00C0765A">
        <w:rPr>
          <w:lang w:val="en-US"/>
        </w:rPr>
        <w:t xml:space="preserve">(Lewine et al., 2019; </w:t>
      </w:r>
      <w:proofErr w:type="spellStart"/>
      <w:r w:rsidR="00B35A88" w:rsidRPr="00C0765A">
        <w:rPr>
          <w:lang w:val="en-US"/>
        </w:rPr>
        <w:t>Sclocco</w:t>
      </w:r>
      <w:proofErr w:type="spellEnd"/>
      <w:r w:rsidR="00B35A88" w:rsidRPr="00C0765A">
        <w:rPr>
          <w:lang w:val="en-US"/>
        </w:rPr>
        <w:t xml:space="preserve"> et al., 2020)</w:t>
      </w:r>
      <w:r w:rsidR="00A51B1E" w:rsidRPr="00C0765A">
        <w:rPr>
          <w:lang w:val="en-US"/>
        </w:rPr>
        <w:t xml:space="preserve">, or </w:t>
      </w:r>
      <w:r w:rsidR="00680AAE" w:rsidRPr="00C0765A">
        <w:rPr>
          <w:lang w:val="en-US"/>
        </w:rPr>
        <w:t xml:space="preserve">to </w:t>
      </w:r>
      <w:r w:rsidR="00A51B1E" w:rsidRPr="00C0765A">
        <w:rPr>
          <w:lang w:val="en-US"/>
        </w:rPr>
        <w:t>us</w:t>
      </w:r>
      <w:r w:rsidR="00680AAE" w:rsidRPr="00C0765A">
        <w:rPr>
          <w:lang w:val="en-US"/>
        </w:rPr>
        <w:t>e</w:t>
      </w:r>
      <w:r w:rsidR="00A51B1E" w:rsidRPr="00C0765A">
        <w:rPr>
          <w:lang w:val="en-US"/>
        </w:rPr>
        <w:t xml:space="preserve"> less dense EEG set-ups</w:t>
      </w:r>
      <w:r w:rsidR="00680AAE" w:rsidRPr="00C0765A">
        <w:rPr>
          <w:lang w:val="en-US"/>
        </w:rPr>
        <w:t xml:space="preserve"> to avoid </w:t>
      </w:r>
      <w:r w:rsidR="00BE319F" w:rsidRPr="00C0765A">
        <w:rPr>
          <w:lang w:val="en-US"/>
        </w:rPr>
        <w:t xml:space="preserve">the </w:t>
      </w:r>
      <w:r w:rsidR="00680AAE" w:rsidRPr="00C0765A">
        <w:rPr>
          <w:lang w:val="en-US"/>
        </w:rPr>
        <w:t>contamination of signal by noise</w:t>
      </w:r>
      <w:r w:rsidR="00CF6D3E" w:rsidRPr="00C0765A">
        <w:rPr>
          <w:lang w:val="en-US"/>
        </w:rPr>
        <w:t xml:space="preserve">. Finally, future </w:t>
      </w:r>
      <w:proofErr w:type="spellStart"/>
      <w:r w:rsidR="00CF6D3E" w:rsidRPr="00C0765A">
        <w:rPr>
          <w:lang w:val="en-US"/>
        </w:rPr>
        <w:t>taVNS</w:t>
      </w:r>
      <w:proofErr w:type="spellEnd"/>
      <w:r w:rsidR="00CF6D3E" w:rsidRPr="00C0765A">
        <w:rPr>
          <w:lang w:val="en-US"/>
        </w:rPr>
        <w:t>-E</w:t>
      </w:r>
      <w:r w:rsidR="00680AAE" w:rsidRPr="00C0765A">
        <w:rPr>
          <w:lang w:val="en-US"/>
        </w:rPr>
        <w:t>RP</w:t>
      </w:r>
      <w:r w:rsidR="00CF6D3E" w:rsidRPr="00C0765A">
        <w:rPr>
          <w:lang w:val="en-US"/>
        </w:rPr>
        <w:t xml:space="preserve"> studies should consider it important to </w:t>
      </w:r>
      <w:r w:rsidR="00374D9E" w:rsidRPr="00C0765A">
        <w:rPr>
          <w:lang w:val="en-US"/>
        </w:rPr>
        <w:t>recrui</w:t>
      </w:r>
      <w:r w:rsidR="00CF6D3E" w:rsidRPr="00C0765A">
        <w:rPr>
          <w:lang w:val="en-US"/>
        </w:rPr>
        <w:t>t</w:t>
      </w:r>
      <w:r w:rsidR="00374D9E" w:rsidRPr="00C0765A">
        <w:rPr>
          <w:lang w:val="en-US"/>
        </w:rPr>
        <w:t xml:space="preserve"> larg</w:t>
      </w:r>
      <w:r w:rsidR="00CF6D3E" w:rsidRPr="00C0765A">
        <w:rPr>
          <w:lang w:val="en-US"/>
        </w:rPr>
        <w:t>e</w:t>
      </w:r>
      <w:r w:rsidR="00374D9E" w:rsidRPr="00C0765A">
        <w:rPr>
          <w:lang w:val="en-US"/>
        </w:rPr>
        <w:t xml:space="preserve"> samples to </w:t>
      </w:r>
      <w:r w:rsidR="004A6C0E" w:rsidRPr="00C0765A">
        <w:rPr>
          <w:lang w:val="en-US"/>
        </w:rPr>
        <w:t>ensure the</w:t>
      </w:r>
      <w:r w:rsidR="00BB07D0" w:rsidRPr="00C0765A">
        <w:rPr>
          <w:lang w:val="en-US"/>
        </w:rPr>
        <w:t xml:space="preserve"> </w:t>
      </w:r>
      <w:r w:rsidR="00553151" w:rsidRPr="00C0765A">
        <w:rPr>
          <w:lang w:val="en-US"/>
        </w:rPr>
        <w:t>statistical power</w:t>
      </w:r>
      <w:r w:rsidR="004A6C0E" w:rsidRPr="00C0765A">
        <w:rPr>
          <w:lang w:val="en-US"/>
        </w:rPr>
        <w:t xml:space="preserve"> necessary to detect small ERP effects</w:t>
      </w:r>
      <w:r w:rsidR="00CF0708" w:rsidRPr="00C0765A">
        <w:rPr>
          <w:lang w:val="en-US"/>
        </w:rPr>
        <w:t xml:space="preserve">, and to allow for more sophisticated analyses (for example, partial mediation analysis to assess </w:t>
      </w:r>
      <w:r w:rsidR="00C1414D" w:rsidRPr="00C0765A">
        <w:rPr>
          <w:lang w:val="en-US"/>
        </w:rPr>
        <w:t>whether subjective</w:t>
      </w:r>
      <w:r w:rsidR="00DC16D6" w:rsidRPr="00C0765A">
        <w:rPr>
          <w:lang w:val="en-US"/>
        </w:rPr>
        <w:t xml:space="preserve"> experienced</w:t>
      </w:r>
      <w:r w:rsidR="00C1414D" w:rsidRPr="00C0765A">
        <w:rPr>
          <w:lang w:val="en-US"/>
        </w:rPr>
        <w:t xml:space="preserve"> arousal </w:t>
      </w:r>
      <w:r w:rsidR="00DC16D6" w:rsidRPr="00C0765A">
        <w:rPr>
          <w:lang w:val="en-US"/>
        </w:rPr>
        <w:t xml:space="preserve">or </w:t>
      </w:r>
      <w:proofErr w:type="spellStart"/>
      <w:r w:rsidR="00DC16D6" w:rsidRPr="00C0765A">
        <w:rPr>
          <w:lang w:val="en-US"/>
        </w:rPr>
        <w:t>sAA</w:t>
      </w:r>
      <w:proofErr w:type="spellEnd"/>
      <w:r w:rsidR="00DC16D6" w:rsidRPr="00C0765A">
        <w:rPr>
          <w:lang w:val="en-US"/>
        </w:rPr>
        <w:t xml:space="preserve"> </w:t>
      </w:r>
      <w:r w:rsidR="005D43D3" w:rsidRPr="00C0765A">
        <w:rPr>
          <w:lang w:val="en-US"/>
        </w:rPr>
        <w:t xml:space="preserve">concentration </w:t>
      </w:r>
      <w:r w:rsidR="00C1414D" w:rsidRPr="00C0765A">
        <w:rPr>
          <w:lang w:val="en-US"/>
        </w:rPr>
        <w:t xml:space="preserve">mediate the </w:t>
      </w:r>
      <w:proofErr w:type="spellStart"/>
      <w:r w:rsidR="00C1414D" w:rsidRPr="00C0765A">
        <w:rPr>
          <w:lang w:val="en-US"/>
        </w:rPr>
        <w:t>taVNS</w:t>
      </w:r>
      <w:proofErr w:type="spellEnd"/>
      <w:r w:rsidR="00C1414D" w:rsidRPr="00C0765A">
        <w:rPr>
          <w:lang w:val="en-US"/>
        </w:rPr>
        <w:t xml:space="preserve"> – ERP relationships)</w:t>
      </w:r>
      <w:r w:rsidR="00553151" w:rsidRPr="00C0765A">
        <w:rPr>
          <w:lang w:val="en-US"/>
        </w:rPr>
        <w:t>.</w:t>
      </w:r>
    </w:p>
    <w:p w14:paraId="52C41631" w14:textId="765E83AC" w:rsidR="00DF4C5C" w:rsidRPr="00C0765A" w:rsidRDefault="00DF4C5C" w:rsidP="003118D6">
      <w:pPr>
        <w:rPr>
          <w:lang w:val="en-US"/>
        </w:rPr>
      </w:pPr>
      <w:r w:rsidRPr="00C0765A">
        <w:rPr>
          <w:lang w:val="en-US"/>
        </w:rPr>
        <w:t xml:space="preserve">Related to the </w:t>
      </w:r>
      <w:r w:rsidR="00ED0634" w:rsidRPr="00C0765A">
        <w:rPr>
          <w:lang w:val="en-US"/>
        </w:rPr>
        <w:t xml:space="preserve">above mentioned issue of bias, participants did not experience </w:t>
      </w:r>
      <w:proofErr w:type="spellStart"/>
      <w:r w:rsidR="00ED0634" w:rsidRPr="00C0765A">
        <w:rPr>
          <w:lang w:val="en-US"/>
        </w:rPr>
        <w:t>taVNS</w:t>
      </w:r>
      <w:proofErr w:type="spellEnd"/>
      <w:r w:rsidR="00ED0634" w:rsidRPr="00C0765A">
        <w:rPr>
          <w:lang w:val="en-US"/>
        </w:rPr>
        <w:t xml:space="preserve"> and Sham stimulation equally. </w:t>
      </w:r>
      <w:r w:rsidR="00AA1E7E" w:rsidRPr="00C0765A">
        <w:rPr>
          <w:lang w:val="en-US"/>
        </w:rPr>
        <w:t>T</w:t>
      </w:r>
      <w:r w:rsidR="00ED0634" w:rsidRPr="00C0765A">
        <w:rPr>
          <w:lang w:val="en-US"/>
        </w:rPr>
        <w:t xml:space="preserve">he calibration procedure aimed to </w:t>
      </w:r>
      <w:r w:rsidR="00182F34" w:rsidRPr="00C0765A">
        <w:rPr>
          <w:lang w:val="en-US"/>
        </w:rPr>
        <w:t xml:space="preserve">ensure that </w:t>
      </w:r>
      <w:proofErr w:type="spellStart"/>
      <w:r w:rsidR="00182F34" w:rsidRPr="00C0765A">
        <w:rPr>
          <w:lang w:val="en-US"/>
        </w:rPr>
        <w:t>taVNS</w:t>
      </w:r>
      <w:proofErr w:type="spellEnd"/>
      <w:r w:rsidR="00182F34" w:rsidRPr="00C0765A">
        <w:rPr>
          <w:lang w:val="en-US"/>
        </w:rPr>
        <w:t xml:space="preserve"> and Sham stimulation felt equally intense to participants, </w:t>
      </w:r>
      <w:r w:rsidR="00AA1E7E" w:rsidRPr="00C0765A">
        <w:rPr>
          <w:lang w:val="en-US"/>
        </w:rPr>
        <w:t xml:space="preserve">however </w:t>
      </w:r>
      <w:r w:rsidR="00182F34" w:rsidRPr="00C0765A">
        <w:rPr>
          <w:lang w:val="en-US"/>
        </w:rPr>
        <w:t xml:space="preserve">ratings given at </w:t>
      </w:r>
      <w:r w:rsidR="001305E2" w:rsidRPr="00C0765A">
        <w:rPr>
          <w:lang w:val="en-US"/>
        </w:rPr>
        <w:t xml:space="preserve">the </w:t>
      </w:r>
      <w:r w:rsidR="00182F34" w:rsidRPr="00C0765A">
        <w:rPr>
          <w:lang w:val="en-US"/>
        </w:rPr>
        <w:t xml:space="preserve">halfway point and </w:t>
      </w:r>
      <w:r w:rsidR="00AA1E7E" w:rsidRPr="00C0765A">
        <w:rPr>
          <w:lang w:val="en-US"/>
        </w:rPr>
        <w:t>towards</w:t>
      </w:r>
      <w:r w:rsidR="00182F34" w:rsidRPr="00C0765A">
        <w:rPr>
          <w:lang w:val="en-US"/>
        </w:rPr>
        <w:t xml:space="preserve"> the end of </w:t>
      </w:r>
      <w:r w:rsidR="00AA1E7E" w:rsidRPr="00C0765A">
        <w:rPr>
          <w:lang w:val="en-US"/>
        </w:rPr>
        <w:t xml:space="preserve">the </w:t>
      </w:r>
      <w:r w:rsidR="00182F34" w:rsidRPr="00C0765A">
        <w:rPr>
          <w:lang w:val="en-US"/>
        </w:rPr>
        <w:t xml:space="preserve">stimulation indicated that </w:t>
      </w:r>
      <w:r w:rsidR="009F4FC1" w:rsidRPr="00C0765A">
        <w:rPr>
          <w:lang w:val="en-US"/>
        </w:rPr>
        <w:t>participants</w:t>
      </w:r>
      <w:r w:rsidR="0003277D" w:rsidRPr="00C0765A">
        <w:rPr>
          <w:lang w:val="en-US"/>
        </w:rPr>
        <w:t xml:space="preserve"> </w:t>
      </w:r>
      <w:r w:rsidR="009F4FC1" w:rsidRPr="00C0765A">
        <w:rPr>
          <w:lang w:val="en-US"/>
        </w:rPr>
        <w:t xml:space="preserve">experienced </w:t>
      </w:r>
      <w:proofErr w:type="spellStart"/>
      <w:r w:rsidR="009F4FC1" w:rsidRPr="00C0765A">
        <w:rPr>
          <w:lang w:val="en-US"/>
        </w:rPr>
        <w:t>taVNS</w:t>
      </w:r>
      <w:proofErr w:type="spellEnd"/>
      <w:r w:rsidR="009F4FC1" w:rsidRPr="00C0765A">
        <w:rPr>
          <w:lang w:val="en-US"/>
        </w:rPr>
        <w:t xml:space="preserve"> as </w:t>
      </w:r>
      <w:r w:rsidR="00BE6F93" w:rsidRPr="00C0765A">
        <w:rPr>
          <w:lang w:val="en-US"/>
        </w:rPr>
        <w:t>more unpleasant relative to Sham</w:t>
      </w:r>
      <w:r w:rsidR="00E55D91" w:rsidRPr="00C0765A">
        <w:rPr>
          <w:lang w:val="en-US"/>
        </w:rPr>
        <w:t xml:space="preserve">. When asked about any lingering side-effects, participants </w:t>
      </w:r>
      <w:r w:rsidR="00A51B1E" w:rsidRPr="00C0765A">
        <w:rPr>
          <w:lang w:val="en-US"/>
        </w:rPr>
        <w:t>reported higher incidence of</w:t>
      </w:r>
      <w:r w:rsidR="0003277D" w:rsidRPr="00C0765A">
        <w:rPr>
          <w:lang w:val="en-US"/>
        </w:rPr>
        <w:t xml:space="preserve"> pain,</w:t>
      </w:r>
      <w:r w:rsidR="00A51B1E" w:rsidRPr="00C0765A">
        <w:rPr>
          <w:lang w:val="en-US"/>
        </w:rPr>
        <w:t xml:space="preserve"> burning and tingling </w:t>
      </w:r>
      <w:r w:rsidR="000464B0" w:rsidRPr="00C0765A">
        <w:rPr>
          <w:lang w:val="en-US"/>
        </w:rPr>
        <w:t>after</w:t>
      </w:r>
      <w:r w:rsidR="00E55D91" w:rsidRPr="00C0765A">
        <w:rPr>
          <w:lang w:val="en-US"/>
        </w:rPr>
        <w:t xml:space="preserve"> </w:t>
      </w:r>
      <w:proofErr w:type="spellStart"/>
      <w:r w:rsidR="00E55D91" w:rsidRPr="00C0765A">
        <w:rPr>
          <w:lang w:val="en-US"/>
        </w:rPr>
        <w:t>taVNS</w:t>
      </w:r>
      <w:proofErr w:type="spellEnd"/>
      <w:r w:rsidR="00E55D91" w:rsidRPr="00C0765A">
        <w:rPr>
          <w:lang w:val="en-US"/>
        </w:rPr>
        <w:t xml:space="preserve"> </w:t>
      </w:r>
      <w:r w:rsidR="000464B0" w:rsidRPr="00C0765A">
        <w:rPr>
          <w:lang w:val="en-US"/>
        </w:rPr>
        <w:t>compared to Sham</w:t>
      </w:r>
      <w:r w:rsidR="00A51B1E" w:rsidRPr="00C0765A">
        <w:rPr>
          <w:lang w:val="en-US"/>
        </w:rPr>
        <w:t xml:space="preserve">. Given that </w:t>
      </w:r>
      <w:r w:rsidR="00F63881" w:rsidRPr="00C0765A">
        <w:rPr>
          <w:lang w:val="en-US"/>
        </w:rPr>
        <w:t xml:space="preserve">pain in particular is an arousing sensation, this difference in subjective experience could have contributed to the </w:t>
      </w:r>
      <w:r w:rsidR="00A13392" w:rsidRPr="00C0765A">
        <w:rPr>
          <w:lang w:val="en-US"/>
        </w:rPr>
        <w:t xml:space="preserve">observed </w:t>
      </w:r>
      <w:r w:rsidR="000C50D1" w:rsidRPr="00C0765A">
        <w:rPr>
          <w:lang w:val="en-US"/>
        </w:rPr>
        <w:t>effects</w:t>
      </w:r>
      <w:r w:rsidR="00A13392" w:rsidRPr="00C0765A">
        <w:rPr>
          <w:lang w:val="en-US"/>
        </w:rPr>
        <w:t xml:space="preserve"> in </w:t>
      </w:r>
      <w:r w:rsidR="00092DA9" w:rsidRPr="00C0765A">
        <w:rPr>
          <w:lang w:val="en-US"/>
        </w:rPr>
        <w:t>subjective experienced arousal</w:t>
      </w:r>
      <w:r w:rsidR="00A13392" w:rsidRPr="00C0765A">
        <w:rPr>
          <w:lang w:val="en-US"/>
        </w:rPr>
        <w:t xml:space="preserve">. However, given that </w:t>
      </w:r>
      <w:r w:rsidR="00DA3819" w:rsidRPr="00C0765A">
        <w:rPr>
          <w:lang w:val="en-US"/>
        </w:rPr>
        <w:t>66%</w:t>
      </w:r>
      <w:r w:rsidR="000A3AD4" w:rsidRPr="00C0765A">
        <w:rPr>
          <w:lang w:val="en-US"/>
        </w:rPr>
        <w:t xml:space="preserve"> of</w:t>
      </w:r>
      <w:r w:rsidR="00A13392" w:rsidRPr="00C0765A">
        <w:rPr>
          <w:lang w:val="en-US"/>
        </w:rPr>
        <w:t xml:space="preserve"> participants</w:t>
      </w:r>
      <w:r w:rsidR="00B97B11" w:rsidRPr="00C0765A">
        <w:rPr>
          <w:lang w:val="en-US"/>
        </w:rPr>
        <w:t xml:space="preserve"> </w:t>
      </w:r>
      <w:r w:rsidR="00A13392" w:rsidRPr="00C0765A">
        <w:rPr>
          <w:lang w:val="en-US"/>
        </w:rPr>
        <w:t xml:space="preserve">did not report any pain </w:t>
      </w:r>
      <w:r w:rsidR="00B97B11" w:rsidRPr="00C0765A">
        <w:rPr>
          <w:lang w:val="en-US"/>
        </w:rPr>
        <w:t xml:space="preserve">in either condition, and </w:t>
      </w:r>
      <w:r w:rsidR="00D73F84" w:rsidRPr="00C0765A">
        <w:rPr>
          <w:lang w:val="en-US"/>
        </w:rPr>
        <w:t xml:space="preserve">no </w:t>
      </w:r>
      <w:r w:rsidR="00B773B5" w:rsidRPr="00C0765A">
        <w:rPr>
          <w:lang w:val="en-US"/>
        </w:rPr>
        <w:t>participants</w:t>
      </w:r>
      <w:r w:rsidR="00D73F84" w:rsidRPr="00C0765A">
        <w:rPr>
          <w:lang w:val="en-US"/>
        </w:rPr>
        <w:t xml:space="preserve"> reported </w:t>
      </w:r>
      <w:r w:rsidR="00B773B5" w:rsidRPr="00C0765A">
        <w:rPr>
          <w:lang w:val="en-US"/>
        </w:rPr>
        <w:t>pain higher than “very limited”,</w:t>
      </w:r>
      <w:r w:rsidR="00B97B11" w:rsidRPr="00C0765A">
        <w:rPr>
          <w:lang w:val="en-US"/>
        </w:rPr>
        <w:t xml:space="preserve"> it is unlikely that </w:t>
      </w:r>
      <w:r w:rsidR="00B773B5" w:rsidRPr="00C0765A">
        <w:rPr>
          <w:lang w:val="en-US"/>
        </w:rPr>
        <w:t xml:space="preserve">this </w:t>
      </w:r>
      <w:r w:rsidR="007F0C13" w:rsidRPr="00C0765A">
        <w:rPr>
          <w:lang w:val="en-US"/>
        </w:rPr>
        <w:t xml:space="preserve">difference </w:t>
      </w:r>
      <w:r w:rsidR="007A6724" w:rsidRPr="00C0765A">
        <w:rPr>
          <w:lang w:val="en-US"/>
        </w:rPr>
        <w:t xml:space="preserve">solely </w:t>
      </w:r>
      <w:r w:rsidR="00260AE9" w:rsidRPr="00C0765A">
        <w:rPr>
          <w:lang w:val="en-US"/>
        </w:rPr>
        <w:t>accounted for</w:t>
      </w:r>
      <w:r w:rsidR="007F0C13" w:rsidRPr="00C0765A">
        <w:rPr>
          <w:lang w:val="en-US"/>
        </w:rPr>
        <w:t xml:space="preserve"> the observed effect. Nevertheless, it </w:t>
      </w:r>
      <w:r w:rsidR="00E37F68" w:rsidRPr="00C0765A">
        <w:rPr>
          <w:lang w:val="en-US"/>
        </w:rPr>
        <w:t xml:space="preserve">also points to the fact that earlobe may not be the optimal </w:t>
      </w:r>
      <w:r w:rsidR="003E0C83" w:rsidRPr="00C0765A">
        <w:rPr>
          <w:lang w:val="en-US"/>
        </w:rPr>
        <w:t>control</w:t>
      </w:r>
      <w:r w:rsidR="00E37F68" w:rsidRPr="00C0765A">
        <w:rPr>
          <w:lang w:val="en-US"/>
        </w:rPr>
        <w:t xml:space="preserve"> stimulation site</w:t>
      </w:r>
      <w:r w:rsidR="00C831C2" w:rsidRPr="00C0765A">
        <w:rPr>
          <w:lang w:val="en-US"/>
        </w:rPr>
        <w:t xml:space="preserve"> in terms of subjective experience</w:t>
      </w:r>
      <w:r w:rsidR="00AD38B5" w:rsidRPr="00C0765A">
        <w:rPr>
          <w:lang w:val="en-US"/>
        </w:rPr>
        <w:t xml:space="preserve"> (</w:t>
      </w:r>
      <w:proofErr w:type="spellStart"/>
      <w:r w:rsidR="00AD38B5" w:rsidRPr="00C0765A">
        <w:rPr>
          <w:lang w:val="en-US"/>
        </w:rPr>
        <w:t>Keute</w:t>
      </w:r>
      <w:proofErr w:type="spellEnd"/>
      <w:r w:rsidR="00AD38B5" w:rsidRPr="00C0765A">
        <w:rPr>
          <w:lang w:val="en-US"/>
        </w:rPr>
        <w:t xml:space="preserve"> et al., 2018)</w:t>
      </w:r>
      <w:r w:rsidR="00E37F68" w:rsidRPr="00C0765A">
        <w:rPr>
          <w:lang w:val="en-US"/>
        </w:rPr>
        <w:t>.</w:t>
      </w:r>
      <w:r w:rsidR="00E53D6A" w:rsidRPr="00C0765A">
        <w:rPr>
          <w:lang w:val="en-US"/>
        </w:rPr>
        <w:t xml:space="preserve"> Future studies could </w:t>
      </w:r>
      <w:r w:rsidR="00304195" w:rsidRPr="00C0765A">
        <w:rPr>
          <w:lang w:val="en-US"/>
        </w:rPr>
        <w:t>investigate</w:t>
      </w:r>
      <w:r w:rsidR="005D390F" w:rsidRPr="00C0765A">
        <w:rPr>
          <w:lang w:val="en-US"/>
        </w:rPr>
        <w:t xml:space="preserve"> this by </w:t>
      </w:r>
      <w:r w:rsidR="00E53D6A" w:rsidRPr="00C0765A">
        <w:rPr>
          <w:lang w:val="en-US"/>
        </w:rPr>
        <w:t>introduc</w:t>
      </w:r>
      <w:r w:rsidR="005D390F" w:rsidRPr="00C0765A">
        <w:rPr>
          <w:lang w:val="en-US"/>
        </w:rPr>
        <w:t>ing</w:t>
      </w:r>
      <w:r w:rsidR="00E53D6A" w:rsidRPr="00C0765A">
        <w:rPr>
          <w:lang w:val="en-US"/>
        </w:rPr>
        <w:t xml:space="preserve"> a third crossover session, with inactive </w:t>
      </w:r>
      <w:r w:rsidR="0003056E" w:rsidRPr="00C0765A">
        <w:rPr>
          <w:lang w:val="en-US"/>
        </w:rPr>
        <w:t>stimulation as the additional control condition, as done in previous studies (Janner et al., 2018)</w:t>
      </w:r>
      <w:r w:rsidR="000114BF" w:rsidRPr="00C0765A">
        <w:rPr>
          <w:lang w:val="en-US"/>
        </w:rPr>
        <w:t xml:space="preserve">. </w:t>
      </w:r>
    </w:p>
    <w:p w14:paraId="29C6807F" w14:textId="32B18947" w:rsidR="00E70AB5" w:rsidRPr="00C0765A" w:rsidRDefault="009D3FD8" w:rsidP="003118D6">
      <w:pPr>
        <w:rPr>
          <w:lang w:val="en-US"/>
        </w:rPr>
      </w:pPr>
      <w:r w:rsidRPr="00C0765A">
        <w:rPr>
          <w:lang w:val="en-US"/>
        </w:rPr>
        <w:t>Importantly, our sample was heavily skewed towards young, female participants</w:t>
      </w:r>
      <w:r w:rsidR="00CD1FF8" w:rsidRPr="00C0765A">
        <w:rPr>
          <w:lang w:val="en-US"/>
        </w:rPr>
        <w:t xml:space="preserve">, </w:t>
      </w:r>
      <w:r w:rsidR="00046682" w:rsidRPr="00C0765A">
        <w:rPr>
          <w:lang w:val="en-US"/>
        </w:rPr>
        <w:t>pos</w:t>
      </w:r>
      <w:r w:rsidR="00CD1FF8" w:rsidRPr="00C0765A">
        <w:rPr>
          <w:lang w:val="en-US"/>
        </w:rPr>
        <w:t>ing</w:t>
      </w:r>
      <w:r w:rsidR="00046682" w:rsidRPr="00C0765A">
        <w:rPr>
          <w:lang w:val="en-US"/>
        </w:rPr>
        <w:t xml:space="preserve"> issues for the generalizability of the results.</w:t>
      </w:r>
      <w:r w:rsidR="00D71F93" w:rsidRPr="00C0765A">
        <w:rPr>
          <w:lang w:val="en-US"/>
        </w:rPr>
        <w:t xml:space="preserve"> This skew could be especially relevant for the perception and neural processing of sensory stimulation, as previous studies </w:t>
      </w:r>
      <w:r w:rsidR="003A5ADE" w:rsidRPr="00C0765A">
        <w:rPr>
          <w:lang w:val="en-US"/>
        </w:rPr>
        <w:t>found</w:t>
      </w:r>
      <w:r w:rsidR="00D71F93" w:rsidRPr="00C0765A">
        <w:rPr>
          <w:lang w:val="en-US"/>
        </w:rPr>
        <w:t xml:space="preserve"> that </w:t>
      </w:r>
      <w:proofErr w:type="spellStart"/>
      <w:r w:rsidR="00D71F93" w:rsidRPr="00C0765A">
        <w:rPr>
          <w:lang w:val="en-US"/>
        </w:rPr>
        <w:t>taVNS</w:t>
      </w:r>
      <w:proofErr w:type="spellEnd"/>
      <w:r w:rsidR="00D71F93" w:rsidRPr="00C0765A">
        <w:rPr>
          <w:lang w:val="en-US"/>
        </w:rPr>
        <w:t xml:space="preserve"> (compared to Sham) was more successful in </w:t>
      </w:r>
      <w:r w:rsidR="00E118CB" w:rsidRPr="00C0765A">
        <w:rPr>
          <w:lang w:val="en-US"/>
        </w:rPr>
        <w:t>modulating pain responses in men (Janner et al., 2018).</w:t>
      </w:r>
      <w:r w:rsidR="00046682" w:rsidRPr="00C0765A">
        <w:rPr>
          <w:lang w:val="en-US"/>
        </w:rPr>
        <w:t xml:space="preserve"> </w:t>
      </w:r>
      <w:r w:rsidR="00BD4C5D" w:rsidRPr="00C0765A">
        <w:rPr>
          <w:lang w:val="en-US"/>
        </w:rPr>
        <w:t>Future studies should aim at recruiting gender-balanced samples.</w:t>
      </w:r>
    </w:p>
    <w:p w14:paraId="610F60D2" w14:textId="35F36B1F" w:rsidR="00BD4C5D" w:rsidRPr="00C0765A" w:rsidRDefault="00BD4C5D" w:rsidP="003118D6">
      <w:pPr>
        <w:rPr>
          <w:lang w:val="en-US"/>
        </w:rPr>
      </w:pPr>
      <w:r w:rsidRPr="00C0765A">
        <w:rPr>
          <w:lang w:val="en-US"/>
        </w:rPr>
        <w:t>In conclusion, the current study provides</w:t>
      </w:r>
      <w:r w:rsidR="00EC2EBE" w:rsidRPr="00C0765A">
        <w:rPr>
          <w:lang w:val="en-US"/>
        </w:rPr>
        <w:t xml:space="preserve"> limited</w:t>
      </w:r>
      <w:r w:rsidRPr="00C0765A">
        <w:rPr>
          <w:lang w:val="en-US"/>
        </w:rPr>
        <w:t xml:space="preserve"> </w:t>
      </w:r>
      <w:r w:rsidR="00073204" w:rsidRPr="00C0765A">
        <w:rPr>
          <w:lang w:val="en-US"/>
        </w:rPr>
        <w:t xml:space="preserve">support for the </w:t>
      </w:r>
      <w:r w:rsidR="00111599" w:rsidRPr="00C0765A">
        <w:rPr>
          <w:lang w:val="en-US"/>
        </w:rPr>
        <w:t>LC-NA</w:t>
      </w:r>
      <w:r w:rsidR="00503E58" w:rsidRPr="00C0765A">
        <w:rPr>
          <w:lang w:val="en-US"/>
        </w:rPr>
        <w:t xml:space="preserve"> hypothesis of </w:t>
      </w:r>
      <w:proofErr w:type="spellStart"/>
      <w:r w:rsidR="00503E58" w:rsidRPr="00C0765A">
        <w:rPr>
          <w:lang w:val="en-US"/>
        </w:rPr>
        <w:t>taVNS</w:t>
      </w:r>
      <w:proofErr w:type="spellEnd"/>
      <w:r w:rsidR="00503E58" w:rsidRPr="00C0765A">
        <w:rPr>
          <w:lang w:val="en-US"/>
        </w:rPr>
        <w:t xml:space="preserve">, </w:t>
      </w:r>
      <w:r w:rsidR="00110D87" w:rsidRPr="00C0765A">
        <w:rPr>
          <w:lang w:val="en-US"/>
        </w:rPr>
        <w:t>showing</w:t>
      </w:r>
      <w:r w:rsidR="00503E58" w:rsidRPr="00C0765A">
        <w:rPr>
          <w:lang w:val="en-US"/>
        </w:rPr>
        <w:t xml:space="preserve"> enhanced </w:t>
      </w:r>
      <w:r w:rsidR="004A6CCA" w:rsidRPr="00C0765A">
        <w:rPr>
          <w:lang w:val="en-US"/>
        </w:rPr>
        <w:t xml:space="preserve">long-latency </w:t>
      </w:r>
      <w:r w:rsidR="00503E58" w:rsidRPr="00C0765A">
        <w:rPr>
          <w:lang w:val="en-US"/>
        </w:rPr>
        <w:t xml:space="preserve">ERP amplitudes and </w:t>
      </w:r>
      <w:r w:rsidR="00092DA9" w:rsidRPr="00C0765A">
        <w:rPr>
          <w:lang w:val="en-US"/>
        </w:rPr>
        <w:t>subjective experienced arousal</w:t>
      </w:r>
      <w:r w:rsidR="004A6CCA" w:rsidRPr="00C0765A">
        <w:rPr>
          <w:lang w:val="en-US"/>
        </w:rPr>
        <w:t xml:space="preserve">. </w:t>
      </w:r>
      <w:r w:rsidR="00656172" w:rsidRPr="00C0765A">
        <w:rPr>
          <w:lang w:val="en-US"/>
        </w:rPr>
        <w:t xml:space="preserve">However, </w:t>
      </w:r>
      <w:r w:rsidR="00E53F18" w:rsidRPr="00C0765A">
        <w:rPr>
          <w:lang w:val="en-US"/>
        </w:rPr>
        <w:t>we found</w:t>
      </w:r>
      <w:r w:rsidR="003B0585" w:rsidRPr="00C0765A">
        <w:rPr>
          <w:lang w:val="en-US"/>
        </w:rPr>
        <w:t xml:space="preserve"> </w:t>
      </w:r>
      <w:r w:rsidR="004847B1" w:rsidRPr="00C0765A">
        <w:rPr>
          <w:lang w:val="en-US"/>
        </w:rPr>
        <w:t xml:space="preserve">no effects </w:t>
      </w:r>
      <w:r w:rsidR="00635B8B" w:rsidRPr="00C0765A">
        <w:rPr>
          <w:lang w:val="en-US"/>
        </w:rPr>
        <w:t xml:space="preserve">of </w:t>
      </w:r>
      <w:proofErr w:type="spellStart"/>
      <w:r w:rsidR="00635B8B" w:rsidRPr="00C0765A">
        <w:rPr>
          <w:lang w:val="en-US"/>
        </w:rPr>
        <w:t>taVNS</w:t>
      </w:r>
      <w:proofErr w:type="spellEnd"/>
      <w:r w:rsidR="00635B8B" w:rsidRPr="00C0765A">
        <w:rPr>
          <w:lang w:val="en-US"/>
        </w:rPr>
        <w:t xml:space="preserve"> on </w:t>
      </w:r>
      <w:r w:rsidR="00866F87" w:rsidRPr="00C0765A">
        <w:rPr>
          <w:lang w:val="en-US"/>
        </w:rPr>
        <w:t>salivar</w:t>
      </w:r>
      <w:r w:rsidR="006B5467" w:rsidRPr="00C0765A">
        <w:rPr>
          <w:lang w:val="en-US"/>
        </w:rPr>
        <w:t>y</w:t>
      </w:r>
      <w:r w:rsidR="00866F87" w:rsidRPr="00C0765A">
        <w:rPr>
          <w:lang w:val="en-US"/>
        </w:rPr>
        <w:t xml:space="preserve"> alpha-amylase</w:t>
      </w:r>
      <w:r w:rsidR="006B5467" w:rsidRPr="00C0765A">
        <w:rPr>
          <w:lang w:val="en-US"/>
        </w:rPr>
        <w:t xml:space="preserve"> and spontaneous </w:t>
      </w:r>
      <w:r w:rsidR="00DF59A6" w:rsidRPr="00C0765A">
        <w:rPr>
          <w:lang w:val="en-US"/>
        </w:rPr>
        <w:t>alpha</w:t>
      </w:r>
      <w:r w:rsidR="006B5467" w:rsidRPr="00C0765A">
        <w:rPr>
          <w:lang w:val="en-US"/>
        </w:rPr>
        <w:t xml:space="preserve"> oscillations</w:t>
      </w:r>
      <w:r w:rsidR="00E53F18" w:rsidRPr="00C0765A">
        <w:rPr>
          <w:lang w:val="en-US"/>
        </w:rPr>
        <w:t>, which</w:t>
      </w:r>
      <w:r w:rsidR="006B5467" w:rsidRPr="00C0765A">
        <w:rPr>
          <w:lang w:val="en-US"/>
        </w:rPr>
        <w:t xml:space="preserve"> </w:t>
      </w:r>
      <w:r w:rsidR="003B0585" w:rsidRPr="00C0765A">
        <w:rPr>
          <w:lang w:val="en-US"/>
        </w:rPr>
        <w:t xml:space="preserve">further adds to the mixed </w:t>
      </w:r>
      <w:r w:rsidR="000476A7" w:rsidRPr="00C0765A">
        <w:rPr>
          <w:lang w:val="en-US"/>
        </w:rPr>
        <w:t xml:space="preserve">findings in the experimental </w:t>
      </w:r>
      <w:proofErr w:type="spellStart"/>
      <w:r w:rsidR="000476A7" w:rsidRPr="00C0765A">
        <w:rPr>
          <w:lang w:val="en-US"/>
        </w:rPr>
        <w:t>taVNS</w:t>
      </w:r>
      <w:proofErr w:type="spellEnd"/>
      <w:r w:rsidR="000476A7" w:rsidRPr="00C0765A">
        <w:rPr>
          <w:lang w:val="en-US"/>
        </w:rPr>
        <w:t xml:space="preserve"> research. </w:t>
      </w:r>
      <w:r w:rsidR="00101781" w:rsidRPr="00C0765A">
        <w:rPr>
          <w:lang w:val="en-US"/>
        </w:rPr>
        <w:t>This complex pattern of findings indicates</w:t>
      </w:r>
      <w:r w:rsidR="006B5467" w:rsidRPr="00C0765A">
        <w:rPr>
          <w:lang w:val="en-US"/>
        </w:rPr>
        <w:t xml:space="preserve"> that </w:t>
      </w:r>
      <w:r w:rsidR="00A13444" w:rsidRPr="00C0765A">
        <w:rPr>
          <w:lang w:val="en-US"/>
        </w:rPr>
        <w:t>the</w:t>
      </w:r>
      <w:r w:rsidR="00101781" w:rsidRPr="00C0765A">
        <w:rPr>
          <w:lang w:val="en-US"/>
        </w:rPr>
        <w:t xml:space="preserve"> current experimental</w:t>
      </w:r>
      <w:r w:rsidR="00A13444" w:rsidRPr="00C0765A">
        <w:rPr>
          <w:lang w:val="en-US"/>
        </w:rPr>
        <w:t xml:space="preserve"> </w:t>
      </w:r>
      <w:proofErr w:type="spellStart"/>
      <w:r w:rsidR="00A13444" w:rsidRPr="00C0765A">
        <w:rPr>
          <w:lang w:val="en-US"/>
        </w:rPr>
        <w:t>taVNS</w:t>
      </w:r>
      <w:proofErr w:type="spellEnd"/>
      <w:r w:rsidR="00A13444" w:rsidRPr="00C0765A">
        <w:rPr>
          <w:lang w:val="en-US"/>
        </w:rPr>
        <w:t xml:space="preserve"> protocols can be further optimized, both in terms of </w:t>
      </w:r>
      <w:r w:rsidR="00110D87" w:rsidRPr="00C0765A">
        <w:rPr>
          <w:lang w:val="en-US"/>
        </w:rPr>
        <w:t xml:space="preserve">stimulation parameters and </w:t>
      </w:r>
      <w:r w:rsidR="002F201E" w:rsidRPr="00C0765A">
        <w:rPr>
          <w:lang w:val="en-US"/>
        </w:rPr>
        <w:t xml:space="preserve">the </w:t>
      </w:r>
      <w:r w:rsidR="00110D87" w:rsidRPr="00C0765A">
        <w:rPr>
          <w:lang w:val="en-US"/>
        </w:rPr>
        <w:t>control condition</w:t>
      </w:r>
      <w:r w:rsidR="00101781" w:rsidRPr="00C0765A">
        <w:rPr>
          <w:lang w:val="en-US"/>
        </w:rPr>
        <w:t xml:space="preserve">, in order to </w:t>
      </w:r>
      <w:r w:rsidR="00DB3062" w:rsidRPr="00C0765A">
        <w:rPr>
          <w:lang w:val="en-US"/>
        </w:rPr>
        <w:t>elucidate the mechanism underlying therapeutic effects</w:t>
      </w:r>
      <w:r w:rsidR="002F201E" w:rsidRPr="00C0765A">
        <w:rPr>
          <w:lang w:val="en-US"/>
        </w:rPr>
        <w:t xml:space="preserve"> of </w:t>
      </w:r>
      <w:proofErr w:type="spellStart"/>
      <w:r w:rsidR="002F201E" w:rsidRPr="00C0765A">
        <w:rPr>
          <w:lang w:val="en-US"/>
        </w:rPr>
        <w:t>taVNS</w:t>
      </w:r>
      <w:proofErr w:type="spellEnd"/>
      <w:r w:rsidR="00110D87" w:rsidRPr="00C0765A">
        <w:rPr>
          <w:lang w:val="en-US"/>
        </w:rPr>
        <w:t>.</w:t>
      </w:r>
      <w:r w:rsidR="004A6CCA" w:rsidRPr="00C0765A">
        <w:rPr>
          <w:lang w:val="en-US"/>
        </w:rPr>
        <w:t xml:space="preserve"> </w:t>
      </w:r>
    </w:p>
    <w:p w14:paraId="379AA7F7" w14:textId="083C2F40" w:rsidR="00E56694" w:rsidRPr="00C0765A" w:rsidRDefault="00866F87">
      <w:pPr>
        <w:spacing w:after="160" w:line="259" w:lineRule="auto"/>
        <w:ind w:firstLine="0"/>
        <w:jc w:val="left"/>
        <w:rPr>
          <w:sz w:val="20"/>
          <w:szCs w:val="20"/>
          <w:lang w:val="en-US"/>
        </w:rPr>
      </w:pPr>
      <w:r w:rsidRPr="00C0765A">
        <w:rPr>
          <w:sz w:val="20"/>
          <w:szCs w:val="20"/>
          <w:lang w:val="en-US"/>
        </w:rPr>
        <w:br w:type="page"/>
      </w:r>
    </w:p>
    <w:p w14:paraId="327DECF4" w14:textId="77777777" w:rsidR="001264B9" w:rsidRPr="00C0765A" w:rsidRDefault="00E56694" w:rsidP="00AE24BD">
      <w:pPr>
        <w:pStyle w:val="Heading1"/>
        <w:ind w:firstLine="0"/>
        <w:rPr>
          <w:lang w:val="en-US"/>
        </w:rPr>
      </w:pPr>
      <w:r w:rsidRPr="00C0765A">
        <w:rPr>
          <w:lang w:val="en-US"/>
        </w:rPr>
        <w:lastRenderedPageBreak/>
        <w:t>Funding information</w:t>
      </w:r>
    </w:p>
    <w:p w14:paraId="346932F4" w14:textId="5D32716F" w:rsidR="002559AA" w:rsidRPr="00C0765A" w:rsidRDefault="00F63A2F" w:rsidP="00B26FB9">
      <w:pPr>
        <w:rPr>
          <w:szCs w:val="22"/>
          <w:lang w:val="en-US"/>
        </w:rPr>
      </w:pPr>
      <w:r w:rsidRPr="00C0765A">
        <w:rPr>
          <w:szCs w:val="22"/>
          <w:lang w:val="en-US"/>
        </w:rPr>
        <w:t xml:space="preserve">This work was supported by grants from the Research Foundation Flanders (FWO), Belgium (GOA3718N; G0C1921N), by </w:t>
      </w:r>
      <w:r w:rsidR="00C83A82" w:rsidRPr="00C0765A">
        <w:rPr>
          <w:szCs w:val="22"/>
          <w:lang w:val="en-US"/>
        </w:rPr>
        <w:t xml:space="preserve">an </w:t>
      </w:r>
      <w:r w:rsidRPr="00C0765A">
        <w:rPr>
          <w:szCs w:val="22"/>
          <w:lang w:val="en-US"/>
        </w:rPr>
        <w:t>FWO PhD fellowship (11G132</w:t>
      </w:r>
      <w:r w:rsidR="00231A2E" w:rsidRPr="00C0765A">
        <w:rPr>
          <w:szCs w:val="22"/>
          <w:lang w:val="en-US"/>
        </w:rPr>
        <w:t>2</w:t>
      </w:r>
      <w:r w:rsidRPr="00C0765A">
        <w:rPr>
          <w:szCs w:val="22"/>
          <w:lang w:val="en-US"/>
        </w:rPr>
        <w:t>N), by a</w:t>
      </w:r>
      <w:r w:rsidR="00C83A82" w:rsidRPr="00C0765A">
        <w:rPr>
          <w:szCs w:val="22"/>
          <w:lang w:val="en-US"/>
        </w:rPr>
        <w:t xml:space="preserve"> postdoctoral mandate </w:t>
      </w:r>
      <w:r w:rsidR="00BA749E" w:rsidRPr="00C0765A">
        <w:rPr>
          <w:szCs w:val="22"/>
          <w:lang w:val="en-US"/>
        </w:rPr>
        <w:t>from Research Fund KU Leuven, Belgium</w:t>
      </w:r>
      <w:r w:rsidR="00BE6D1D" w:rsidRPr="00C0765A">
        <w:rPr>
          <w:szCs w:val="22"/>
          <w:lang w:val="en-US"/>
        </w:rPr>
        <w:t xml:space="preserve"> (Pdmt2/22/020)</w:t>
      </w:r>
      <w:r w:rsidR="00C83A82" w:rsidRPr="00C0765A">
        <w:rPr>
          <w:szCs w:val="22"/>
          <w:lang w:val="en-US"/>
        </w:rPr>
        <w:t>, by an</w:t>
      </w:r>
      <w:r w:rsidRPr="00C0765A">
        <w:rPr>
          <w:szCs w:val="22"/>
          <w:lang w:val="en-US"/>
        </w:rPr>
        <w:t xml:space="preserve"> infrastructure grant from the FWO and the Research Fund KU Leuven</w:t>
      </w:r>
      <w:r w:rsidR="00BA749E" w:rsidRPr="00C0765A">
        <w:rPr>
          <w:szCs w:val="22"/>
          <w:lang w:val="en-US"/>
        </w:rPr>
        <w:t xml:space="preserve"> </w:t>
      </w:r>
      <w:r w:rsidRPr="00C0765A">
        <w:rPr>
          <w:szCs w:val="22"/>
          <w:lang w:val="en-US"/>
        </w:rPr>
        <w:t xml:space="preserve">(I011320N; AKUL/19/06), by a project grant of the Research Fund KU Leuven (C16/23/002), and </w:t>
      </w:r>
      <w:r w:rsidR="007D4029" w:rsidRPr="00C0765A">
        <w:rPr>
          <w:szCs w:val="22"/>
          <w:lang w:val="en-US"/>
        </w:rPr>
        <w:t xml:space="preserve">an FWO research consortium grant </w:t>
      </w:r>
      <w:r w:rsidR="00434E95" w:rsidRPr="00C0765A">
        <w:rPr>
          <w:szCs w:val="22"/>
          <w:lang w:val="en-US"/>
        </w:rPr>
        <w:t>(WOG W001520N)</w:t>
      </w:r>
      <w:r w:rsidRPr="00C0765A">
        <w:rPr>
          <w:szCs w:val="22"/>
          <w:lang w:val="en-US"/>
        </w:rPr>
        <w:t xml:space="preserve">. </w:t>
      </w:r>
    </w:p>
    <w:p w14:paraId="533F80F7" w14:textId="77777777" w:rsidR="00B26FB9" w:rsidRPr="00C0765A" w:rsidRDefault="00B26FB9" w:rsidP="00B26FB9">
      <w:pPr>
        <w:rPr>
          <w:szCs w:val="22"/>
          <w:lang w:val="en-US"/>
        </w:rPr>
      </w:pPr>
    </w:p>
    <w:p w14:paraId="2024AA54" w14:textId="1922C246" w:rsidR="00B26FB9" w:rsidRPr="00C0765A" w:rsidRDefault="004142D9" w:rsidP="00AE24BD">
      <w:pPr>
        <w:pStyle w:val="Heading1"/>
        <w:rPr>
          <w:lang w:val="en-US"/>
        </w:rPr>
      </w:pPr>
      <w:r w:rsidRPr="00C0765A">
        <w:rPr>
          <w:lang w:val="en-US"/>
        </w:rPr>
        <w:t>Author Contributions</w:t>
      </w:r>
    </w:p>
    <w:p w14:paraId="49C971BF" w14:textId="77777777" w:rsidR="002C7F71" w:rsidRPr="006F7C97" w:rsidRDefault="005813BB" w:rsidP="006F7C97">
      <w:pPr>
        <w:pStyle w:val="ListParagraph"/>
        <w:numPr>
          <w:ilvl w:val="0"/>
          <w:numId w:val="19"/>
        </w:numPr>
        <w:ind w:left="641" w:hanging="357"/>
        <w:rPr>
          <w:szCs w:val="22"/>
          <w:lang w:val="en-US"/>
        </w:rPr>
      </w:pPr>
      <w:r w:rsidRPr="006F7C97">
        <w:rPr>
          <w:szCs w:val="22"/>
          <w:lang w:val="en-US"/>
        </w:rPr>
        <w:t xml:space="preserve">V.J. acquired funding, developed the research questions, pre-registered and set up the experiment, collected the data, analyzed the data, wrote and edited the manuscript. </w:t>
      </w:r>
    </w:p>
    <w:p w14:paraId="47B272CA" w14:textId="61A8AA04" w:rsidR="002C7F71" w:rsidRPr="006F7C97" w:rsidRDefault="005813BB" w:rsidP="006F7C97">
      <w:pPr>
        <w:pStyle w:val="ListParagraph"/>
        <w:numPr>
          <w:ilvl w:val="0"/>
          <w:numId w:val="19"/>
        </w:numPr>
        <w:ind w:left="641" w:hanging="357"/>
        <w:rPr>
          <w:szCs w:val="22"/>
          <w:lang w:val="en-US"/>
        </w:rPr>
      </w:pPr>
      <w:r w:rsidRPr="006F7C97">
        <w:rPr>
          <w:szCs w:val="22"/>
          <w:lang w:val="en-US"/>
        </w:rPr>
        <w:t xml:space="preserve">M.D. </w:t>
      </w:r>
      <w:r w:rsidR="00504403" w:rsidRPr="006F7C97">
        <w:rPr>
          <w:szCs w:val="22"/>
          <w:lang w:val="en-US"/>
        </w:rPr>
        <w:t xml:space="preserve">acquired funding, </w:t>
      </w:r>
      <w:r w:rsidR="00DB1C85" w:rsidRPr="006F7C97">
        <w:rPr>
          <w:szCs w:val="22"/>
          <w:lang w:val="en-US"/>
        </w:rPr>
        <w:t>set-up the experiment, analyzed the data,</w:t>
      </w:r>
      <w:r w:rsidR="00F074D0" w:rsidRPr="006F7C97">
        <w:rPr>
          <w:szCs w:val="22"/>
          <w:lang w:val="en-US"/>
        </w:rPr>
        <w:t xml:space="preserve"> wrote</w:t>
      </w:r>
      <w:r w:rsidR="00DB1C85" w:rsidRPr="006F7C97">
        <w:rPr>
          <w:szCs w:val="22"/>
          <w:lang w:val="en-US"/>
        </w:rPr>
        <w:t xml:space="preserve"> and edited the manuscript.</w:t>
      </w:r>
      <w:r w:rsidRPr="006F7C97">
        <w:rPr>
          <w:szCs w:val="22"/>
          <w:lang w:val="en-US"/>
        </w:rPr>
        <w:t xml:space="preserve"> </w:t>
      </w:r>
    </w:p>
    <w:p w14:paraId="76013400" w14:textId="54D81947" w:rsidR="002C7F71" w:rsidRPr="006F7C97" w:rsidRDefault="002C7F71" w:rsidP="006F7C97">
      <w:pPr>
        <w:pStyle w:val="ListParagraph"/>
        <w:numPr>
          <w:ilvl w:val="0"/>
          <w:numId w:val="19"/>
        </w:numPr>
        <w:ind w:left="641" w:hanging="357"/>
        <w:rPr>
          <w:szCs w:val="22"/>
          <w:lang w:val="en-US"/>
        </w:rPr>
      </w:pPr>
      <w:r w:rsidRPr="006F7C97">
        <w:rPr>
          <w:szCs w:val="22"/>
          <w:lang w:val="en-US"/>
        </w:rPr>
        <w:t>C.V</w:t>
      </w:r>
      <w:r w:rsidR="00741F63" w:rsidRPr="006F7C97">
        <w:rPr>
          <w:szCs w:val="22"/>
          <w:lang w:val="en-US"/>
        </w:rPr>
        <w:t>-</w:t>
      </w:r>
      <w:r w:rsidRPr="006F7C97">
        <w:rPr>
          <w:szCs w:val="22"/>
          <w:lang w:val="en-US"/>
        </w:rPr>
        <w:t xml:space="preserve">B. developed the research questions, supervised the research, and edited the manuscript. </w:t>
      </w:r>
    </w:p>
    <w:p w14:paraId="30045497" w14:textId="77777777" w:rsidR="002C7F71" w:rsidRPr="006F7C97" w:rsidRDefault="00F074D0" w:rsidP="006F7C97">
      <w:pPr>
        <w:pStyle w:val="ListParagraph"/>
        <w:numPr>
          <w:ilvl w:val="0"/>
          <w:numId w:val="19"/>
        </w:numPr>
        <w:ind w:left="641" w:hanging="357"/>
        <w:rPr>
          <w:szCs w:val="22"/>
          <w:lang w:val="en-US"/>
        </w:rPr>
      </w:pPr>
      <w:r w:rsidRPr="006F7C97">
        <w:rPr>
          <w:szCs w:val="22"/>
          <w:lang w:val="en-US"/>
        </w:rPr>
        <w:t xml:space="preserve">L.C. </w:t>
      </w:r>
      <w:r w:rsidR="005813BB" w:rsidRPr="006F7C97">
        <w:rPr>
          <w:szCs w:val="22"/>
          <w:lang w:val="en-US"/>
        </w:rPr>
        <w:t xml:space="preserve">collected the data, analyzed the data, and edited the manuscript. </w:t>
      </w:r>
    </w:p>
    <w:p w14:paraId="4CC1A223" w14:textId="77777777" w:rsidR="002C7F71" w:rsidRPr="006F7C97" w:rsidRDefault="00F074D0" w:rsidP="006F7C97">
      <w:pPr>
        <w:pStyle w:val="ListParagraph"/>
        <w:numPr>
          <w:ilvl w:val="0"/>
          <w:numId w:val="19"/>
        </w:numPr>
        <w:ind w:left="641" w:hanging="357"/>
        <w:rPr>
          <w:szCs w:val="22"/>
          <w:lang w:val="en-US"/>
        </w:rPr>
      </w:pPr>
      <w:r w:rsidRPr="006F7C97">
        <w:rPr>
          <w:szCs w:val="22"/>
          <w:lang w:val="en-US"/>
        </w:rPr>
        <w:t xml:space="preserve">E.G. collected the data, analyzed the data, and edited the manuscript. </w:t>
      </w:r>
    </w:p>
    <w:p w14:paraId="1849294B" w14:textId="77777777" w:rsidR="002C7F71" w:rsidRPr="006F7C97" w:rsidRDefault="002C7F71" w:rsidP="006F7C97">
      <w:pPr>
        <w:pStyle w:val="ListParagraph"/>
        <w:numPr>
          <w:ilvl w:val="0"/>
          <w:numId w:val="19"/>
        </w:numPr>
        <w:ind w:left="641" w:hanging="357"/>
        <w:rPr>
          <w:szCs w:val="22"/>
          <w:lang w:val="en-US"/>
        </w:rPr>
      </w:pPr>
      <w:r w:rsidRPr="006F7C97">
        <w:rPr>
          <w:szCs w:val="22"/>
          <w:lang w:val="en-US"/>
        </w:rPr>
        <w:t xml:space="preserve">M.W. developed the research questions, supervised the research, and edited the manuscript. </w:t>
      </w:r>
    </w:p>
    <w:p w14:paraId="2F1C4A41" w14:textId="77777777" w:rsidR="002C7F71" w:rsidRPr="006F7C97" w:rsidRDefault="005813BB" w:rsidP="006F7C97">
      <w:pPr>
        <w:pStyle w:val="ListParagraph"/>
        <w:numPr>
          <w:ilvl w:val="0"/>
          <w:numId w:val="19"/>
        </w:numPr>
        <w:ind w:left="641" w:hanging="357"/>
        <w:rPr>
          <w:szCs w:val="22"/>
          <w:lang w:val="en-US"/>
        </w:rPr>
      </w:pPr>
      <w:r w:rsidRPr="006F7C97">
        <w:rPr>
          <w:szCs w:val="22"/>
          <w:lang w:val="en-US"/>
        </w:rPr>
        <w:t xml:space="preserve">D.M.T. acquired funding, supervised the research, and edited the manuscript. </w:t>
      </w:r>
    </w:p>
    <w:p w14:paraId="62EB64EE" w14:textId="4CF55050" w:rsidR="002C7F71" w:rsidRPr="006F7C97" w:rsidRDefault="005813BB" w:rsidP="006F7C97">
      <w:pPr>
        <w:pStyle w:val="ListParagraph"/>
        <w:numPr>
          <w:ilvl w:val="0"/>
          <w:numId w:val="19"/>
        </w:numPr>
        <w:ind w:left="641" w:hanging="357"/>
        <w:rPr>
          <w:szCs w:val="22"/>
          <w:lang w:val="en-US"/>
        </w:rPr>
      </w:pPr>
      <w:r w:rsidRPr="006F7C97">
        <w:rPr>
          <w:szCs w:val="22"/>
          <w:lang w:val="en-US"/>
        </w:rPr>
        <w:t>I.VD. acquired funding, developed the research questions, supervised the research</w:t>
      </w:r>
      <w:r w:rsidR="00873808" w:rsidRPr="006F7C97">
        <w:rPr>
          <w:szCs w:val="22"/>
          <w:lang w:val="en-US"/>
        </w:rPr>
        <w:t>,</w:t>
      </w:r>
      <w:r w:rsidRPr="006F7C97">
        <w:rPr>
          <w:szCs w:val="22"/>
          <w:lang w:val="en-US"/>
        </w:rPr>
        <w:t xml:space="preserve"> and edited the manuscript.</w:t>
      </w:r>
      <w:r w:rsidR="002C7F71" w:rsidRPr="006F7C97">
        <w:rPr>
          <w:szCs w:val="22"/>
          <w:lang w:val="en-US"/>
        </w:rPr>
        <w:t xml:space="preserve"> </w:t>
      </w:r>
    </w:p>
    <w:p w14:paraId="61D64883" w14:textId="6B597BB3" w:rsidR="005813BB" w:rsidRPr="006F7C97" w:rsidRDefault="005813BB" w:rsidP="006F7C97">
      <w:pPr>
        <w:pStyle w:val="ListParagraph"/>
        <w:numPr>
          <w:ilvl w:val="0"/>
          <w:numId w:val="19"/>
        </w:numPr>
        <w:ind w:left="641" w:hanging="357"/>
        <w:rPr>
          <w:szCs w:val="22"/>
          <w:lang w:val="en-US"/>
        </w:rPr>
      </w:pPr>
      <w:proofErr w:type="spellStart"/>
      <w:r w:rsidRPr="006F7C97">
        <w:rPr>
          <w:szCs w:val="22"/>
          <w:lang w:val="en-US"/>
        </w:rPr>
        <w:t>A.vL</w:t>
      </w:r>
      <w:proofErr w:type="spellEnd"/>
      <w:r w:rsidRPr="006F7C97">
        <w:rPr>
          <w:szCs w:val="22"/>
          <w:lang w:val="en-US"/>
        </w:rPr>
        <w:t>. acquired funding, developed the research questions, supervised the research, wrote and edited the manuscript.</w:t>
      </w:r>
    </w:p>
    <w:p w14:paraId="6D205626" w14:textId="77777777" w:rsidR="00B26FB9" w:rsidRPr="00C0765A" w:rsidRDefault="00B26FB9" w:rsidP="00AE24BD">
      <w:pPr>
        <w:pStyle w:val="Heading1"/>
        <w:ind w:firstLine="0"/>
        <w:rPr>
          <w:lang w:val="en-US"/>
        </w:rPr>
      </w:pPr>
      <w:r w:rsidRPr="00C0765A">
        <w:rPr>
          <w:lang w:val="en-US"/>
        </w:rPr>
        <w:t>Acknowledgments</w:t>
      </w:r>
    </w:p>
    <w:p w14:paraId="0C95E05A" w14:textId="77777777" w:rsidR="00B26FB9" w:rsidRPr="00C0765A" w:rsidRDefault="00B26FB9" w:rsidP="00B26FB9">
      <w:pPr>
        <w:rPr>
          <w:lang w:val="en-US"/>
        </w:rPr>
      </w:pPr>
      <w:r w:rsidRPr="00C0765A">
        <w:rPr>
          <w:lang w:val="en-US"/>
        </w:rPr>
        <w:t xml:space="preserve">The authors would like to thank Dr. Mathijs Franssen for his assistance with setting up the experimental and </w:t>
      </w:r>
      <w:proofErr w:type="spellStart"/>
      <w:r w:rsidRPr="00C0765A">
        <w:rPr>
          <w:lang w:val="en-US"/>
        </w:rPr>
        <w:t>taVNS</w:t>
      </w:r>
      <w:proofErr w:type="spellEnd"/>
      <w:r w:rsidRPr="00C0765A">
        <w:rPr>
          <w:lang w:val="en-US"/>
        </w:rPr>
        <w:t xml:space="preserve"> protocols.</w:t>
      </w:r>
    </w:p>
    <w:p w14:paraId="54E4EB36" w14:textId="77777777" w:rsidR="00B26FB9" w:rsidRPr="00C0765A" w:rsidRDefault="00B26FB9" w:rsidP="002559AA">
      <w:pPr>
        <w:rPr>
          <w:lang w:val="en-US"/>
        </w:rPr>
      </w:pPr>
    </w:p>
    <w:p w14:paraId="1538E158" w14:textId="3A82442B" w:rsidR="005255A4" w:rsidRPr="00C0765A" w:rsidRDefault="005255A4" w:rsidP="001264B9">
      <w:pPr>
        <w:pStyle w:val="Heading1"/>
        <w:rPr>
          <w:lang w:val="en-US"/>
        </w:rPr>
      </w:pPr>
      <w:r w:rsidRPr="00C0765A">
        <w:rPr>
          <w:lang w:val="en-US"/>
        </w:rPr>
        <w:br w:type="page"/>
      </w:r>
    </w:p>
    <w:p w14:paraId="73638597" w14:textId="0038F1F8" w:rsidR="00AB72F0" w:rsidRPr="00C0765A" w:rsidRDefault="005255A4" w:rsidP="0036234F">
      <w:pPr>
        <w:pStyle w:val="Heading1"/>
        <w:rPr>
          <w:lang w:val="en-US"/>
        </w:rPr>
      </w:pPr>
      <w:r w:rsidRPr="00C0765A">
        <w:rPr>
          <w:lang w:val="en-US"/>
        </w:rPr>
        <w:lastRenderedPageBreak/>
        <w:t>Bibliography</w:t>
      </w:r>
    </w:p>
    <w:p w14:paraId="1FBC1BA5" w14:textId="2C6D6F3D" w:rsidR="00FF5975" w:rsidRPr="006470CD" w:rsidRDefault="00FF5975" w:rsidP="006470CD">
      <w:pPr>
        <w:pStyle w:val="Bibliography"/>
        <w:spacing w:line="360" w:lineRule="auto"/>
        <w:rPr>
          <w:szCs w:val="22"/>
          <w:lang w:val="en-US"/>
        </w:rPr>
      </w:pPr>
      <w:r w:rsidRPr="006470CD">
        <w:rPr>
          <w:szCs w:val="22"/>
          <w:lang w:val="en-US"/>
        </w:rPr>
        <w:t xml:space="preserve">Adler, L. E., Hoffer, L., </w:t>
      </w:r>
      <w:proofErr w:type="spellStart"/>
      <w:r w:rsidRPr="006470CD">
        <w:rPr>
          <w:szCs w:val="22"/>
          <w:lang w:val="en-US"/>
        </w:rPr>
        <w:t>Nagamoto</w:t>
      </w:r>
      <w:proofErr w:type="spellEnd"/>
      <w:r w:rsidRPr="006470CD">
        <w:rPr>
          <w:szCs w:val="22"/>
          <w:lang w:val="en-US"/>
        </w:rPr>
        <w:t xml:space="preserve">, H. T., Waldo, M. C., Kisley, M. A., &amp; Giffith, J. M. (1994). Yohimbine impairs p50 auditory sensory gating in normal subjects. </w:t>
      </w:r>
      <w:r w:rsidRPr="006470CD">
        <w:rPr>
          <w:i/>
          <w:iCs/>
          <w:szCs w:val="22"/>
          <w:lang w:val="en-US"/>
        </w:rPr>
        <w:t>Neuropsychopharmacology</w:t>
      </w:r>
      <w:r w:rsidRPr="006470CD">
        <w:rPr>
          <w:szCs w:val="22"/>
          <w:lang w:val="en-US"/>
        </w:rPr>
        <w:t xml:space="preserve">, </w:t>
      </w:r>
      <w:r w:rsidRPr="006470CD">
        <w:rPr>
          <w:i/>
          <w:iCs/>
          <w:szCs w:val="22"/>
          <w:lang w:val="en-US"/>
        </w:rPr>
        <w:t>10</w:t>
      </w:r>
      <w:r w:rsidRPr="006470CD">
        <w:rPr>
          <w:szCs w:val="22"/>
          <w:lang w:val="en-US"/>
        </w:rPr>
        <w:t>(4), 249–257. https://doi.org/10.1038/npp.1994.28</w:t>
      </w:r>
    </w:p>
    <w:p w14:paraId="0E7D427D" w14:textId="77777777" w:rsidR="00FF5975" w:rsidRPr="006470CD" w:rsidRDefault="00FF5975" w:rsidP="006470CD">
      <w:pPr>
        <w:pStyle w:val="Bibliography"/>
        <w:spacing w:line="360" w:lineRule="auto"/>
        <w:rPr>
          <w:szCs w:val="22"/>
          <w:lang w:val="en-US"/>
        </w:rPr>
      </w:pPr>
      <w:r w:rsidRPr="006470CD">
        <w:rPr>
          <w:szCs w:val="22"/>
          <w:lang w:val="en-US"/>
        </w:rPr>
        <w:t xml:space="preserve">Ali, N., &amp; Nater, U. M. (2020). Salivary Alpha-Amylase as a Biomarker of Stress in Behavioral Medicine. </w:t>
      </w:r>
      <w:r w:rsidRPr="006470CD">
        <w:rPr>
          <w:i/>
          <w:iCs/>
          <w:szCs w:val="22"/>
          <w:lang w:val="en-US"/>
        </w:rPr>
        <w:t>International Journal of Behavioral Medicine</w:t>
      </w:r>
      <w:r w:rsidRPr="006470CD">
        <w:rPr>
          <w:szCs w:val="22"/>
          <w:lang w:val="en-US"/>
        </w:rPr>
        <w:t xml:space="preserve">, </w:t>
      </w:r>
      <w:r w:rsidRPr="006470CD">
        <w:rPr>
          <w:i/>
          <w:iCs/>
          <w:szCs w:val="22"/>
          <w:lang w:val="en-US"/>
        </w:rPr>
        <w:t>27</w:t>
      </w:r>
      <w:r w:rsidRPr="006470CD">
        <w:rPr>
          <w:szCs w:val="22"/>
          <w:lang w:val="en-US"/>
        </w:rPr>
        <w:t>(3), 337–342. https://doi.org/10.1007/s12529-019-09843-x</w:t>
      </w:r>
    </w:p>
    <w:p w14:paraId="766C7C11" w14:textId="77777777" w:rsidR="00FF5975" w:rsidRPr="006470CD" w:rsidRDefault="00FF5975" w:rsidP="006470CD">
      <w:pPr>
        <w:pStyle w:val="Bibliography"/>
        <w:spacing w:line="360" w:lineRule="auto"/>
        <w:rPr>
          <w:szCs w:val="22"/>
          <w:lang w:val="en-US"/>
        </w:rPr>
      </w:pPr>
      <w:proofErr w:type="spellStart"/>
      <w:r w:rsidRPr="006470CD">
        <w:rPr>
          <w:szCs w:val="22"/>
          <w:lang w:val="en-US"/>
        </w:rPr>
        <w:t>Alsene</w:t>
      </w:r>
      <w:proofErr w:type="spellEnd"/>
      <w:r w:rsidRPr="006470CD">
        <w:rPr>
          <w:szCs w:val="22"/>
          <w:lang w:val="en-US"/>
        </w:rPr>
        <w:t xml:space="preserve">, K. M., &amp; Bakshi, V. P. (2011). Pharmacological Stimulation of Locus Coeruleus Reveals a New Antipsychotic-Responsive Pathway for Deficient Sensorimotor Gating. </w:t>
      </w:r>
      <w:r w:rsidRPr="006470CD">
        <w:rPr>
          <w:i/>
          <w:iCs/>
          <w:szCs w:val="22"/>
          <w:lang w:val="en-US"/>
        </w:rPr>
        <w:t>Neuropsychopharmacology</w:t>
      </w:r>
      <w:r w:rsidRPr="006470CD">
        <w:rPr>
          <w:szCs w:val="22"/>
          <w:lang w:val="en-US"/>
        </w:rPr>
        <w:t xml:space="preserve">, </w:t>
      </w:r>
      <w:r w:rsidRPr="006470CD">
        <w:rPr>
          <w:i/>
          <w:iCs/>
          <w:szCs w:val="22"/>
          <w:lang w:val="en-US"/>
        </w:rPr>
        <w:t>36</w:t>
      </w:r>
      <w:r w:rsidRPr="006470CD">
        <w:rPr>
          <w:szCs w:val="22"/>
          <w:lang w:val="en-US"/>
        </w:rPr>
        <w:t>(8). https://doi.org/10.1038/npp.2011.47</w:t>
      </w:r>
    </w:p>
    <w:p w14:paraId="3AE07D08" w14:textId="77777777" w:rsidR="00FF5975" w:rsidRPr="006470CD" w:rsidRDefault="00FF5975" w:rsidP="006470CD">
      <w:pPr>
        <w:pStyle w:val="Bibliography"/>
        <w:spacing w:line="360" w:lineRule="auto"/>
        <w:rPr>
          <w:szCs w:val="22"/>
          <w:lang w:val="de-DE"/>
        </w:rPr>
      </w:pPr>
      <w:proofErr w:type="spellStart"/>
      <w:r w:rsidRPr="006470CD">
        <w:rPr>
          <w:szCs w:val="22"/>
          <w:lang w:val="en-US"/>
        </w:rPr>
        <w:t>Alsene</w:t>
      </w:r>
      <w:proofErr w:type="spellEnd"/>
      <w:r w:rsidRPr="006470CD">
        <w:rPr>
          <w:szCs w:val="22"/>
          <w:lang w:val="en-US"/>
        </w:rPr>
        <w:t xml:space="preserve">, K. M., Carasso, B. S., Connors, E. E., &amp; Bakshi, V. P. (2006). Disruption of </w:t>
      </w:r>
      <w:proofErr w:type="spellStart"/>
      <w:r w:rsidRPr="006470CD">
        <w:rPr>
          <w:szCs w:val="22"/>
          <w:lang w:val="en-US"/>
        </w:rPr>
        <w:t>Prepulse</w:t>
      </w:r>
      <w:proofErr w:type="spellEnd"/>
      <w:r w:rsidRPr="006470CD">
        <w:rPr>
          <w:szCs w:val="22"/>
          <w:lang w:val="en-US"/>
        </w:rPr>
        <w:t xml:space="preserve"> Inhibition after Stimulation of Central but not Peripheral </w:t>
      </w:r>
      <w:r w:rsidRPr="006470CD">
        <w:rPr>
          <w:szCs w:val="22"/>
        </w:rPr>
        <w:t>α</w:t>
      </w:r>
      <w:r w:rsidRPr="006470CD">
        <w:rPr>
          <w:szCs w:val="22"/>
          <w:lang w:val="en-US"/>
        </w:rPr>
        <w:t xml:space="preserve">-1 Adrenergic Receptors. </w:t>
      </w:r>
      <w:proofErr w:type="spellStart"/>
      <w:r w:rsidRPr="006470CD">
        <w:rPr>
          <w:i/>
          <w:iCs/>
          <w:szCs w:val="22"/>
          <w:lang w:val="de-DE"/>
        </w:rPr>
        <w:t>Neuropsychopharmacology</w:t>
      </w:r>
      <w:proofErr w:type="spellEnd"/>
      <w:r w:rsidRPr="006470CD">
        <w:rPr>
          <w:szCs w:val="22"/>
          <w:lang w:val="de-DE"/>
        </w:rPr>
        <w:t xml:space="preserve">, </w:t>
      </w:r>
      <w:r w:rsidRPr="006470CD">
        <w:rPr>
          <w:i/>
          <w:iCs/>
          <w:szCs w:val="22"/>
          <w:lang w:val="de-DE"/>
        </w:rPr>
        <w:t>31</w:t>
      </w:r>
      <w:r w:rsidRPr="006470CD">
        <w:rPr>
          <w:szCs w:val="22"/>
          <w:lang w:val="de-DE"/>
        </w:rPr>
        <w:t>(10). https://doi.org/10.1038/sj.npp.1300989</w:t>
      </w:r>
    </w:p>
    <w:p w14:paraId="51296243" w14:textId="77777777" w:rsidR="00FF5975" w:rsidRPr="006470CD" w:rsidRDefault="00FF5975" w:rsidP="006470CD">
      <w:pPr>
        <w:pStyle w:val="Bibliography"/>
        <w:spacing w:line="360" w:lineRule="auto"/>
        <w:rPr>
          <w:szCs w:val="22"/>
          <w:lang w:val="de-DE"/>
        </w:rPr>
      </w:pPr>
      <w:r w:rsidRPr="006470CD">
        <w:rPr>
          <w:szCs w:val="22"/>
          <w:lang w:val="de-DE"/>
        </w:rPr>
        <w:t xml:space="preserve">Bates, D., </w:t>
      </w:r>
      <w:proofErr w:type="spellStart"/>
      <w:r w:rsidRPr="006470CD">
        <w:rPr>
          <w:szCs w:val="22"/>
          <w:lang w:val="de-DE"/>
        </w:rPr>
        <w:t>Maechler</w:t>
      </w:r>
      <w:proofErr w:type="spellEnd"/>
      <w:r w:rsidRPr="006470CD">
        <w:rPr>
          <w:szCs w:val="22"/>
          <w:lang w:val="de-DE"/>
        </w:rPr>
        <w:t xml:space="preserve">, M., </w:t>
      </w:r>
      <w:proofErr w:type="spellStart"/>
      <w:r w:rsidRPr="006470CD">
        <w:rPr>
          <w:szCs w:val="22"/>
          <w:lang w:val="de-DE"/>
        </w:rPr>
        <w:t>Bolker</w:t>
      </w:r>
      <w:proofErr w:type="spellEnd"/>
      <w:r w:rsidRPr="006470CD">
        <w:rPr>
          <w:szCs w:val="22"/>
          <w:lang w:val="de-DE"/>
        </w:rPr>
        <w:t xml:space="preserve">, B., Walker, S., Christensen, R. H. B., </w:t>
      </w:r>
      <w:proofErr w:type="spellStart"/>
      <w:r w:rsidRPr="006470CD">
        <w:rPr>
          <w:szCs w:val="22"/>
          <w:lang w:val="de-DE"/>
        </w:rPr>
        <w:t>Singmann</w:t>
      </w:r>
      <w:proofErr w:type="spellEnd"/>
      <w:r w:rsidRPr="006470CD">
        <w:rPr>
          <w:szCs w:val="22"/>
          <w:lang w:val="de-DE"/>
        </w:rPr>
        <w:t xml:space="preserve">, H., Dai, B., &amp; Eigen, C. (2014). Package “lme4.” In </w:t>
      </w:r>
      <w:proofErr w:type="spellStart"/>
      <w:r w:rsidRPr="006470CD">
        <w:rPr>
          <w:i/>
          <w:iCs/>
          <w:szCs w:val="22"/>
          <w:lang w:val="de-DE"/>
        </w:rPr>
        <w:t>Comprehensive</w:t>
      </w:r>
      <w:proofErr w:type="spellEnd"/>
      <w:r w:rsidRPr="006470CD">
        <w:rPr>
          <w:i/>
          <w:iCs/>
          <w:szCs w:val="22"/>
          <w:lang w:val="de-DE"/>
        </w:rPr>
        <w:t xml:space="preserve"> R Archive Network (CRAN)</w:t>
      </w:r>
      <w:r w:rsidRPr="006470CD">
        <w:rPr>
          <w:szCs w:val="22"/>
          <w:lang w:val="de-DE"/>
        </w:rPr>
        <w:t xml:space="preserve"> [Computer </w:t>
      </w:r>
      <w:proofErr w:type="spellStart"/>
      <w:r w:rsidRPr="006470CD">
        <w:rPr>
          <w:szCs w:val="22"/>
          <w:lang w:val="de-DE"/>
        </w:rPr>
        <w:t>software</w:t>
      </w:r>
      <w:proofErr w:type="spellEnd"/>
      <w:r w:rsidRPr="006470CD">
        <w:rPr>
          <w:szCs w:val="22"/>
          <w:lang w:val="de-DE"/>
        </w:rPr>
        <w:t>].</w:t>
      </w:r>
    </w:p>
    <w:p w14:paraId="3BAB93AF" w14:textId="77777777" w:rsidR="00FF5975" w:rsidRPr="006470CD" w:rsidRDefault="00FF5975" w:rsidP="006470CD">
      <w:pPr>
        <w:pStyle w:val="Bibliography"/>
        <w:spacing w:line="360" w:lineRule="auto"/>
        <w:rPr>
          <w:szCs w:val="22"/>
          <w:lang w:val="en-US"/>
        </w:rPr>
      </w:pPr>
      <w:r w:rsidRPr="006470CD">
        <w:rPr>
          <w:szCs w:val="22"/>
          <w:lang w:val="de-DE"/>
        </w:rPr>
        <w:t xml:space="preserve">Bauer, M., Stenner, M. P., </w:t>
      </w:r>
      <w:proofErr w:type="spellStart"/>
      <w:r w:rsidRPr="006470CD">
        <w:rPr>
          <w:szCs w:val="22"/>
          <w:lang w:val="de-DE"/>
        </w:rPr>
        <w:t>Friston</w:t>
      </w:r>
      <w:proofErr w:type="spellEnd"/>
      <w:r w:rsidRPr="006470CD">
        <w:rPr>
          <w:szCs w:val="22"/>
          <w:lang w:val="de-DE"/>
        </w:rPr>
        <w:t xml:space="preserve">, K. J., &amp; Dolan, R. J. (2014). </w:t>
      </w:r>
      <w:r w:rsidRPr="006470CD">
        <w:rPr>
          <w:szCs w:val="22"/>
          <w:lang w:val="en-US"/>
        </w:rPr>
        <w:t xml:space="preserve">Attentional modulation of alpha/beta and gamma oscillations reflect functionally distinct processes. </w:t>
      </w:r>
      <w:r w:rsidRPr="006470CD">
        <w:rPr>
          <w:i/>
          <w:iCs/>
          <w:szCs w:val="22"/>
          <w:lang w:val="en-US"/>
        </w:rPr>
        <w:t>Journal of Neuroscience</w:t>
      </w:r>
      <w:r w:rsidRPr="006470CD">
        <w:rPr>
          <w:szCs w:val="22"/>
          <w:lang w:val="en-US"/>
        </w:rPr>
        <w:t xml:space="preserve">, </w:t>
      </w:r>
      <w:r w:rsidRPr="006470CD">
        <w:rPr>
          <w:i/>
          <w:iCs/>
          <w:szCs w:val="22"/>
          <w:lang w:val="en-US"/>
        </w:rPr>
        <w:t>34</w:t>
      </w:r>
      <w:r w:rsidRPr="006470CD">
        <w:rPr>
          <w:szCs w:val="22"/>
          <w:lang w:val="en-US"/>
        </w:rPr>
        <w:t>(48), 16117–16125. https://doi.org/10.1523/JNEUROSCI.3474-13.2014</w:t>
      </w:r>
    </w:p>
    <w:p w14:paraId="404D7744" w14:textId="77777777" w:rsidR="00FF5975" w:rsidRPr="006470CD" w:rsidRDefault="00FF5975" w:rsidP="006470CD">
      <w:pPr>
        <w:pStyle w:val="Bibliography"/>
        <w:spacing w:line="360" w:lineRule="auto"/>
        <w:rPr>
          <w:szCs w:val="22"/>
          <w:lang w:val="en-US"/>
        </w:rPr>
      </w:pPr>
      <w:proofErr w:type="spellStart"/>
      <w:r w:rsidRPr="006470CD">
        <w:rPr>
          <w:szCs w:val="22"/>
          <w:lang w:val="en-US"/>
        </w:rPr>
        <w:t>Bazanova</w:t>
      </w:r>
      <w:proofErr w:type="spellEnd"/>
      <w:r w:rsidRPr="006470CD">
        <w:rPr>
          <w:szCs w:val="22"/>
          <w:lang w:val="en-US"/>
        </w:rPr>
        <w:t xml:space="preserve">, O. M., &amp; Vernon, D. (2014). Interpreting EEG alpha activity. </w:t>
      </w:r>
      <w:r w:rsidRPr="006470CD">
        <w:rPr>
          <w:i/>
          <w:iCs/>
          <w:szCs w:val="22"/>
          <w:lang w:val="en-US"/>
        </w:rPr>
        <w:t>Neuroscience and Biobehavioral Reviews</w:t>
      </w:r>
      <w:r w:rsidRPr="006470CD">
        <w:rPr>
          <w:szCs w:val="22"/>
          <w:lang w:val="en-US"/>
        </w:rPr>
        <w:t xml:space="preserve">, </w:t>
      </w:r>
      <w:r w:rsidRPr="006470CD">
        <w:rPr>
          <w:i/>
          <w:iCs/>
          <w:szCs w:val="22"/>
          <w:lang w:val="en-US"/>
        </w:rPr>
        <w:t>44</w:t>
      </w:r>
      <w:r w:rsidRPr="006470CD">
        <w:rPr>
          <w:szCs w:val="22"/>
          <w:lang w:val="en-US"/>
        </w:rPr>
        <w:t>, 94–110. https://doi.org/10.1016/j.neubiorev.2013.05.007</w:t>
      </w:r>
    </w:p>
    <w:p w14:paraId="76E54B9C" w14:textId="77777777" w:rsidR="00FF5975" w:rsidRPr="006470CD" w:rsidRDefault="00FF5975" w:rsidP="006470CD">
      <w:pPr>
        <w:pStyle w:val="Bibliography"/>
        <w:spacing w:line="360" w:lineRule="auto"/>
        <w:rPr>
          <w:szCs w:val="22"/>
          <w:lang w:val="en-US"/>
        </w:rPr>
      </w:pPr>
      <w:proofErr w:type="spellStart"/>
      <w:r w:rsidRPr="006470CD">
        <w:rPr>
          <w:szCs w:val="22"/>
          <w:lang w:val="en-US"/>
        </w:rPr>
        <w:t>Beekwilder</w:t>
      </w:r>
      <w:proofErr w:type="spellEnd"/>
      <w:r w:rsidRPr="006470CD">
        <w:rPr>
          <w:szCs w:val="22"/>
          <w:lang w:val="en-US"/>
        </w:rPr>
        <w:t xml:space="preserve">, J. P., &amp; </w:t>
      </w:r>
      <w:proofErr w:type="spellStart"/>
      <w:r w:rsidRPr="006470CD">
        <w:rPr>
          <w:szCs w:val="22"/>
          <w:lang w:val="en-US"/>
        </w:rPr>
        <w:t>Beems</w:t>
      </w:r>
      <w:proofErr w:type="spellEnd"/>
      <w:r w:rsidRPr="006470CD">
        <w:rPr>
          <w:szCs w:val="22"/>
          <w:lang w:val="en-US"/>
        </w:rPr>
        <w:t xml:space="preserve">, T. (2010). Overview of the Clinical Applications of </w:t>
      </w:r>
      <w:proofErr w:type="spellStart"/>
      <w:r w:rsidRPr="006470CD">
        <w:rPr>
          <w:szCs w:val="22"/>
          <w:lang w:val="en-US"/>
        </w:rPr>
        <w:t>Vagus</w:t>
      </w:r>
      <w:proofErr w:type="spellEnd"/>
      <w:r w:rsidRPr="006470CD">
        <w:rPr>
          <w:szCs w:val="22"/>
          <w:lang w:val="en-US"/>
        </w:rPr>
        <w:t xml:space="preserve"> Nerve Stimulation. </w:t>
      </w:r>
      <w:r w:rsidRPr="006470CD">
        <w:rPr>
          <w:i/>
          <w:iCs/>
          <w:szCs w:val="22"/>
          <w:lang w:val="en-US"/>
        </w:rPr>
        <w:t>Journal of Clinical Neurophysiology</w:t>
      </w:r>
      <w:r w:rsidRPr="006470CD">
        <w:rPr>
          <w:szCs w:val="22"/>
          <w:lang w:val="en-US"/>
        </w:rPr>
        <w:t xml:space="preserve">, </w:t>
      </w:r>
      <w:r w:rsidRPr="006470CD">
        <w:rPr>
          <w:i/>
          <w:iCs/>
          <w:szCs w:val="22"/>
          <w:lang w:val="en-US"/>
        </w:rPr>
        <w:t>27</w:t>
      </w:r>
      <w:r w:rsidRPr="006470CD">
        <w:rPr>
          <w:szCs w:val="22"/>
          <w:lang w:val="en-US"/>
        </w:rPr>
        <w:t>(2). https://doi.org/10.1097/wnp.0b013e3181d64d8a</w:t>
      </w:r>
    </w:p>
    <w:p w14:paraId="55928CB1" w14:textId="77777777" w:rsidR="00FF5975" w:rsidRPr="006470CD" w:rsidRDefault="00FF5975" w:rsidP="006470CD">
      <w:pPr>
        <w:pStyle w:val="Bibliography"/>
        <w:spacing w:line="360" w:lineRule="auto"/>
        <w:rPr>
          <w:szCs w:val="22"/>
          <w:lang w:val="en-US"/>
        </w:rPr>
      </w:pPr>
      <w:proofErr w:type="spellStart"/>
      <w:r w:rsidRPr="006470CD">
        <w:rPr>
          <w:szCs w:val="22"/>
          <w:lang w:val="en-US"/>
        </w:rPr>
        <w:t>Blom</w:t>
      </w:r>
      <w:proofErr w:type="spellEnd"/>
      <w:r w:rsidRPr="006470CD">
        <w:rPr>
          <w:szCs w:val="22"/>
          <w:lang w:val="en-US"/>
        </w:rPr>
        <w:t xml:space="preserve">, J. H. G., Wiering, C. H., &amp; Van der Lubbe, R. H. J. (2012). Distraction reduces both early and late electrocutaneous stimulus evoked potentials. </w:t>
      </w:r>
      <w:r w:rsidRPr="006470CD">
        <w:rPr>
          <w:i/>
          <w:iCs/>
          <w:szCs w:val="22"/>
          <w:lang w:val="en-US"/>
        </w:rPr>
        <w:t>Journal of Psychophysiology</w:t>
      </w:r>
      <w:r w:rsidRPr="006470CD">
        <w:rPr>
          <w:szCs w:val="22"/>
          <w:lang w:val="en-US"/>
        </w:rPr>
        <w:t xml:space="preserve">, </w:t>
      </w:r>
      <w:r w:rsidRPr="006470CD">
        <w:rPr>
          <w:i/>
          <w:iCs/>
          <w:szCs w:val="22"/>
          <w:lang w:val="en-US"/>
        </w:rPr>
        <w:t>26</w:t>
      </w:r>
      <w:r w:rsidRPr="006470CD">
        <w:rPr>
          <w:szCs w:val="22"/>
          <w:lang w:val="en-US"/>
        </w:rPr>
        <w:t>(4), 168–177. https://doi.org/10.1027/0269-8803/a000079</w:t>
      </w:r>
    </w:p>
    <w:p w14:paraId="722C473A" w14:textId="77777777" w:rsidR="00FF5975" w:rsidRPr="006470CD" w:rsidRDefault="00FF5975" w:rsidP="006470CD">
      <w:pPr>
        <w:pStyle w:val="Bibliography"/>
        <w:spacing w:line="360" w:lineRule="auto"/>
        <w:rPr>
          <w:szCs w:val="22"/>
        </w:rPr>
      </w:pPr>
      <w:r w:rsidRPr="006470CD">
        <w:rPr>
          <w:szCs w:val="22"/>
          <w:lang w:val="en-US"/>
        </w:rPr>
        <w:t xml:space="preserve">Bogaerts, K., Diest, I. V., Bergh, O. V. den, Houte, M. V. D., </w:t>
      </w:r>
      <w:proofErr w:type="spellStart"/>
      <w:r w:rsidRPr="006470CD">
        <w:rPr>
          <w:szCs w:val="22"/>
          <w:lang w:val="en-US"/>
        </w:rPr>
        <w:t>Oudenhove</w:t>
      </w:r>
      <w:proofErr w:type="spellEnd"/>
      <w:r w:rsidRPr="006470CD">
        <w:rPr>
          <w:szCs w:val="22"/>
          <w:lang w:val="en-US"/>
        </w:rPr>
        <w:t xml:space="preserve">, L. V., Bie, J. D., &amp; </w:t>
      </w:r>
      <w:proofErr w:type="spellStart"/>
      <w:r w:rsidRPr="006470CD">
        <w:rPr>
          <w:szCs w:val="22"/>
          <w:lang w:val="en-US"/>
        </w:rPr>
        <w:t>Persoons</w:t>
      </w:r>
      <w:proofErr w:type="spellEnd"/>
      <w:r w:rsidRPr="006470CD">
        <w:rPr>
          <w:szCs w:val="22"/>
          <w:lang w:val="en-US"/>
        </w:rPr>
        <w:t xml:space="preserve">, P. (2019). Relationship Between Different Experimental Measures of Distorted Symptom Perception in Functional Syndrome Patients. </w:t>
      </w:r>
      <w:proofErr w:type="spellStart"/>
      <w:r w:rsidRPr="006470CD">
        <w:rPr>
          <w:i/>
          <w:iCs/>
          <w:szCs w:val="22"/>
        </w:rPr>
        <w:t>Psychosomatic</w:t>
      </w:r>
      <w:proofErr w:type="spellEnd"/>
      <w:r w:rsidRPr="006470CD">
        <w:rPr>
          <w:i/>
          <w:iCs/>
          <w:szCs w:val="22"/>
        </w:rPr>
        <w:t xml:space="preserve"> </w:t>
      </w:r>
      <w:proofErr w:type="spellStart"/>
      <w:r w:rsidRPr="006470CD">
        <w:rPr>
          <w:i/>
          <w:iCs/>
          <w:szCs w:val="22"/>
        </w:rPr>
        <w:t>Medicine</w:t>
      </w:r>
      <w:proofErr w:type="spellEnd"/>
      <w:r w:rsidRPr="006470CD">
        <w:rPr>
          <w:szCs w:val="22"/>
        </w:rPr>
        <w:t xml:space="preserve">, </w:t>
      </w:r>
      <w:r w:rsidRPr="006470CD">
        <w:rPr>
          <w:i/>
          <w:iCs/>
          <w:szCs w:val="22"/>
        </w:rPr>
        <w:t>81</w:t>
      </w:r>
      <w:r w:rsidRPr="006470CD">
        <w:rPr>
          <w:szCs w:val="22"/>
        </w:rPr>
        <w:t>(5). https://doi.org/10.1097/psy.0000000000000692</w:t>
      </w:r>
    </w:p>
    <w:p w14:paraId="27B56F9D" w14:textId="77777777" w:rsidR="00FF5975" w:rsidRPr="006470CD" w:rsidRDefault="00FF5975" w:rsidP="006470CD">
      <w:pPr>
        <w:pStyle w:val="Bibliography"/>
        <w:spacing w:line="360" w:lineRule="auto"/>
        <w:rPr>
          <w:szCs w:val="22"/>
          <w:lang w:val="en-US"/>
        </w:rPr>
      </w:pPr>
      <w:r w:rsidRPr="006470CD">
        <w:rPr>
          <w:szCs w:val="22"/>
        </w:rPr>
        <w:t xml:space="preserve">Bradley, M. M., &amp; Lang, P. J. (1994). </w:t>
      </w:r>
      <w:r w:rsidRPr="006470CD">
        <w:rPr>
          <w:szCs w:val="22"/>
          <w:lang w:val="en-US"/>
        </w:rPr>
        <w:t xml:space="preserve">Measuring emotion: The self-assessment manikin and the semantic differential. </w:t>
      </w:r>
      <w:r w:rsidRPr="006470CD">
        <w:rPr>
          <w:i/>
          <w:iCs/>
          <w:szCs w:val="22"/>
          <w:lang w:val="en-US"/>
        </w:rPr>
        <w:t>Journal of Behavior Therapy and Experimental Psychiatry</w:t>
      </w:r>
      <w:r w:rsidRPr="006470CD">
        <w:rPr>
          <w:szCs w:val="22"/>
          <w:lang w:val="en-US"/>
        </w:rPr>
        <w:t xml:space="preserve">, </w:t>
      </w:r>
      <w:r w:rsidRPr="006470CD">
        <w:rPr>
          <w:i/>
          <w:iCs/>
          <w:szCs w:val="22"/>
          <w:lang w:val="en-US"/>
        </w:rPr>
        <w:t>25</w:t>
      </w:r>
      <w:r w:rsidRPr="006470CD">
        <w:rPr>
          <w:szCs w:val="22"/>
          <w:lang w:val="en-US"/>
        </w:rPr>
        <w:t>(1), 49–59. https://doi.org/10.1016/0005-7916(94)90063-9</w:t>
      </w:r>
    </w:p>
    <w:p w14:paraId="7687911B" w14:textId="77777777" w:rsidR="00FF5975" w:rsidRPr="006470CD" w:rsidRDefault="00FF5975" w:rsidP="006470CD">
      <w:pPr>
        <w:pStyle w:val="Bibliography"/>
        <w:spacing w:line="360" w:lineRule="auto"/>
        <w:rPr>
          <w:szCs w:val="22"/>
          <w:lang w:val="en-US"/>
        </w:rPr>
      </w:pPr>
      <w:r w:rsidRPr="006470CD">
        <w:rPr>
          <w:szCs w:val="22"/>
        </w:rPr>
        <w:lastRenderedPageBreak/>
        <w:t xml:space="preserve">Burger, A. M., </w:t>
      </w:r>
      <w:proofErr w:type="spellStart"/>
      <w:r w:rsidRPr="006470CD">
        <w:rPr>
          <w:szCs w:val="22"/>
        </w:rPr>
        <w:t>D’Agostini</w:t>
      </w:r>
      <w:proofErr w:type="spellEnd"/>
      <w:r w:rsidRPr="006470CD">
        <w:rPr>
          <w:szCs w:val="22"/>
        </w:rPr>
        <w:t xml:space="preserve">, M., Verkuil, B., &amp; Van Diest, I. (2020). </w:t>
      </w:r>
      <w:r w:rsidRPr="006470CD">
        <w:rPr>
          <w:szCs w:val="22"/>
          <w:lang w:val="en-US"/>
        </w:rPr>
        <w:t xml:space="preserve">Moving beyond belief: A narrative review of potential biomarkers for transcutaneous </w:t>
      </w:r>
      <w:proofErr w:type="spellStart"/>
      <w:r w:rsidRPr="006470CD">
        <w:rPr>
          <w:szCs w:val="22"/>
          <w:lang w:val="en-US"/>
        </w:rPr>
        <w:t>vagus</w:t>
      </w:r>
      <w:proofErr w:type="spellEnd"/>
      <w:r w:rsidRPr="006470CD">
        <w:rPr>
          <w:szCs w:val="22"/>
          <w:lang w:val="en-US"/>
        </w:rPr>
        <w:t xml:space="preserve"> nerve stimulation. </w:t>
      </w:r>
      <w:r w:rsidRPr="006470CD">
        <w:rPr>
          <w:i/>
          <w:iCs/>
          <w:szCs w:val="22"/>
          <w:lang w:val="en-US"/>
        </w:rPr>
        <w:t>Psychophysiology</w:t>
      </w:r>
      <w:r w:rsidRPr="006470CD">
        <w:rPr>
          <w:szCs w:val="22"/>
          <w:lang w:val="en-US"/>
        </w:rPr>
        <w:t xml:space="preserve">, </w:t>
      </w:r>
      <w:r w:rsidRPr="006470CD">
        <w:rPr>
          <w:i/>
          <w:iCs/>
          <w:szCs w:val="22"/>
          <w:lang w:val="en-US"/>
        </w:rPr>
        <w:t>57</w:t>
      </w:r>
      <w:r w:rsidRPr="006470CD">
        <w:rPr>
          <w:szCs w:val="22"/>
          <w:lang w:val="en-US"/>
        </w:rPr>
        <w:t>(6). https://doi.org/10.1111/psyp.13571</w:t>
      </w:r>
    </w:p>
    <w:p w14:paraId="49D6A60E" w14:textId="77777777" w:rsidR="00FF5975" w:rsidRPr="006470CD" w:rsidRDefault="00FF5975" w:rsidP="006470CD">
      <w:pPr>
        <w:pStyle w:val="Bibliography"/>
        <w:spacing w:line="360" w:lineRule="auto"/>
        <w:rPr>
          <w:szCs w:val="22"/>
          <w:lang w:val="en-US"/>
        </w:rPr>
      </w:pPr>
      <w:r w:rsidRPr="006470CD">
        <w:rPr>
          <w:szCs w:val="22"/>
          <w:lang w:val="en-US"/>
        </w:rPr>
        <w:t xml:space="preserve">Butt, M. F., </w:t>
      </w:r>
      <w:proofErr w:type="spellStart"/>
      <w:r w:rsidRPr="006470CD">
        <w:rPr>
          <w:szCs w:val="22"/>
          <w:lang w:val="en-US"/>
        </w:rPr>
        <w:t>Albusoda</w:t>
      </w:r>
      <w:proofErr w:type="spellEnd"/>
      <w:r w:rsidRPr="006470CD">
        <w:rPr>
          <w:szCs w:val="22"/>
          <w:lang w:val="en-US"/>
        </w:rPr>
        <w:t xml:space="preserve">, A., Farmer, A. D., &amp; Aziz, Q. (2020). The anatomical basis for transcutaneous auricular </w:t>
      </w:r>
      <w:proofErr w:type="spellStart"/>
      <w:r w:rsidRPr="006470CD">
        <w:rPr>
          <w:szCs w:val="22"/>
          <w:lang w:val="en-US"/>
        </w:rPr>
        <w:t>vagus</w:t>
      </w:r>
      <w:proofErr w:type="spellEnd"/>
      <w:r w:rsidRPr="006470CD">
        <w:rPr>
          <w:szCs w:val="22"/>
          <w:lang w:val="en-US"/>
        </w:rPr>
        <w:t xml:space="preserve"> nerve stimulation. </w:t>
      </w:r>
      <w:r w:rsidRPr="006470CD">
        <w:rPr>
          <w:i/>
          <w:iCs/>
          <w:szCs w:val="22"/>
          <w:lang w:val="en-US"/>
        </w:rPr>
        <w:t>Journal of Anatomy</w:t>
      </w:r>
      <w:r w:rsidRPr="006470CD">
        <w:rPr>
          <w:szCs w:val="22"/>
          <w:lang w:val="en-US"/>
        </w:rPr>
        <w:t xml:space="preserve">, </w:t>
      </w:r>
      <w:r w:rsidRPr="006470CD">
        <w:rPr>
          <w:i/>
          <w:iCs/>
          <w:szCs w:val="22"/>
          <w:lang w:val="en-US"/>
        </w:rPr>
        <w:t>236</w:t>
      </w:r>
      <w:r w:rsidRPr="006470CD">
        <w:rPr>
          <w:szCs w:val="22"/>
          <w:lang w:val="en-US"/>
        </w:rPr>
        <w:t>(4), 588–611. https://doi.org/10.1111/JOA.13122</w:t>
      </w:r>
    </w:p>
    <w:p w14:paraId="4AAD3AA1" w14:textId="77777777" w:rsidR="00FF5975" w:rsidRPr="006470CD" w:rsidRDefault="00FF5975" w:rsidP="006470CD">
      <w:pPr>
        <w:pStyle w:val="Bibliography"/>
        <w:spacing w:line="360" w:lineRule="auto"/>
        <w:rPr>
          <w:szCs w:val="22"/>
          <w:lang w:val="en-US"/>
        </w:rPr>
      </w:pPr>
      <w:r w:rsidRPr="006470CD">
        <w:rPr>
          <w:szCs w:val="22"/>
          <w:lang w:val="en-US"/>
        </w:rPr>
        <w:t xml:space="preserve">Capone, F., Assenza, G., Di Pino, G., Musumeci, G., Ranieri, F., Florio, L., Barbato, C., &amp; Di Lazzaro, V. (2015). The effect of transcutaneous </w:t>
      </w:r>
      <w:proofErr w:type="spellStart"/>
      <w:r w:rsidRPr="006470CD">
        <w:rPr>
          <w:szCs w:val="22"/>
          <w:lang w:val="en-US"/>
        </w:rPr>
        <w:t>vagus</w:t>
      </w:r>
      <w:proofErr w:type="spellEnd"/>
      <w:r w:rsidRPr="006470CD">
        <w:rPr>
          <w:szCs w:val="22"/>
          <w:lang w:val="en-US"/>
        </w:rPr>
        <w:t xml:space="preserve"> nerve stimulation on cortical excitability. </w:t>
      </w:r>
      <w:r w:rsidRPr="006470CD">
        <w:rPr>
          <w:i/>
          <w:iCs/>
          <w:szCs w:val="22"/>
          <w:lang w:val="en-US"/>
        </w:rPr>
        <w:t>Journal of Neural Transmission</w:t>
      </w:r>
      <w:r w:rsidRPr="006470CD">
        <w:rPr>
          <w:szCs w:val="22"/>
          <w:lang w:val="en-US"/>
        </w:rPr>
        <w:t xml:space="preserve">, </w:t>
      </w:r>
      <w:r w:rsidRPr="006470CD">
        <w:rPr>
          <w:i/>
          <w:iCs/>
          <w:szCs w:val="22"/>
          <w:lang w:val="en-US"/>
        </w:rPr>
        <w:t>122</w:t>
      </w:r>
      <w:r w:rsidRPr="006470CD">
        <w:rPr>
          <w:szCs w:val="22"/>
          <w:lang w:val="en-US"/>
        </w:rPr>
        <w:t>(5). https://doi.org/10.1007/s00702-014-1299-7</w:t>
      </w:r>
    </w:p>
    <w:p w14:paraId="72AF20A1" w14:textId="77777777" w:rsidR="00FF5975" w:rsidRPr="006470CD" w:rsidRDefault="00FF5975" w:rsidP="006470CD">
      <w:pPr>
        <w:pStyle w:val="Bibliography"/>
        <w:spacing w:line="360" w:lineRule="auto"/>
        <w:rPr>
          <w:szCs w:val="22"/>
          <w:lang w:val="de-DE"/>
        </w:rPr>
      </w:pPr>
      <w:proofErr w:type="spellStart"/>
      <w:r w:rsidRPr="006470CD">
        <w:rPr>
          <w:szCs w:val="22"/>
          <w:lang w:val="en-US"/>
        </w:rPr>
        <w:t>Ceunen</w:t>
      </w:r>
      <w:proofErr w:type="spellEnd"/>
      <w:r w:rsidRPr="006470CD">
        <w:rPr>
          <w:szCs w:val="22"/>
          <w:lang w:val="en-US"/>
        </w:rPr>
        <w:t xml:space="preserve">, E., Vlaeyen, J. W. S., &amp; Van Diest, I. (2016). On the Origin of Interoception. </w:t>
      </w:r>
      <w:r w:rsidRPr="006470CD">
        <w:rPr>
          <w:i/>
          <w:iCs/>
          <w:szCs w:val="22"/>
          <w:lang w:val="de-DE"/>
        </w:rPr>
        <w:t xml:space="preserve">Frontiers in </w:t>
      </w:r>
      <w:proofErr w:type="spellStart"/>
      <w:r w:rsidRPr="006470CD">
        <w:rPr>
          <w:i/>
          <w:iCs/>
          <w:szCs w:val="22"/>
          <w:lang w:val="de-DE"/>
        </w:rPr>
        <w:t>Psychology</w:t>
      </w:r>
      <w:proofErr w:type="spellEnd"/>
      <w:r w:rsidRPr="006470CD">
        <w:rPr>
          <w:szCs w:val="22"/>
          <w:lang w:val="de-DE"/>
        </w:rPr>
        <w:t xml:space="preserve">, </w:t>
      </w:r>
      <w:r w:rsidRPr="006470CD">
        <w:rPr>
          <w:i/>
          <w:iCs/>
          <w:szCs w:val="22"/>
          <w:lang w:val="de-DE"/>
        </w:rPr>
        <w:t>7</w:t>
      </w:r>
      <w:r w:rsidRPr="006470CD">
        <w:rPr>
          <w:szCs w:val="22"/>
          <w:lang w:val="de-DE"/>
        </w:rPr>
        <w:t>(5), 743. https://doi.org/10.3389/fpsyg.2016.00743</w:t>
      </w:r>
    </w:p>
    <w:p w14:paraId="4383C124" w14:textId="77777777" w:rsidR="00FF5975" w:rsidRPr="006470CD" w:rsidRDefault="00FF5975" w:rsidP="006470CD">
      <w:pPr>
        <w:pStyle w:val="Bibliography"/>
        <w:spacing w:line="360" w:lineRule="auto"/>
        <w:rPr>
          <w:szCs w:val="22"/>
          <w:lang w:val="fr-FR"/>
        </w:rPr>
      </w:pPr>
      <w:r w:rsidRPr="006470CD">
        <w:rPr>
          <w:szCs w:val="22"/>
          <w:lang w:val="de-DE"/>
        </w:rPr>
        <w:t xml:space="preserve">Chan, P.-Y. S., Cheng, C.-H., Liu, C.-Y., &amp; Davenport, P. W. (2022). </w:t>
      </w:r>
      <w:r w:rsidRPr="006470CD">
        <w:rPr>
          <w:szCs w:val="22"/>
          <w:lang w:val="en-US"/>
        </w:rPr>
        <w:t xml:space="preserve">Cortical Sources of Respiratory Mechanosensation, Laterality, and Emotion: An MEG Study. </w:t>
      </w:r>
      <w:r w:rsidRPr="006470CD">
        <w:rPr>
          <w:i/>
          <w:iCs/>
          <w:szCs w:val="22"/>
          <w:lang w:val="fr-FR"/>
        </w:rPr>
        <w:t>Brain Sciences</w:t>
      </w:r>
      <w:r w:rsidRPr="006470CD">
        <w:rPr>
          <w:szCs w:val="22"/>
          <w:lang w:val="fr-FR"/>
        </w:rPr>
        <w:t xml:space="preserve">, </w:t>
      </w:r>
      <w:r w:rsidRPr="006470CD">
        <w:rPr>
          <w:i/>
          <w:iCs/>
          <w:szCs w:val="22"/>
          <w:lang w:val="fr-FR"/>
        </w:rPr>
        <w:t>12</w:t>
      </w:r>
      <w:r w:rsidRPr="006470CD">
        <w:rPr>
          <w:szCs w:val="22"/>
          <w:lang w:val="fr-FR"/>
        </w:rPr>
        <w:t>(2), Article 2. https://doi.org/10.3390/brainsci12020249</w:t>
      </w:r>
    </w:p>
    <w:p w14:paraId="30955746" w14:textId="77777777" w:rsidR="00FF5975" w:rsidRPr="006470CD" w:rsidRDefault="00FF5975" w:rsidP="006470CD">
      <w:pPr>
        <w:pStyle w:val="Bibliography"/>
        <w:spacing w:line="360" w:lineRule="auto"/>
        <w:rPr>
          <w:szCs w:val="22"/>
          <w:lang w:val="en-US"/>
        </w:rPr>
      </w:pPr>
      <w:r w:rsidRPr="006470CD">
        <w:rPr>
          <w:szCs w:val="22"/>
          <w:lang w:val="fr-FR"/>
        </w:rPr>
        <w:t xml:space="preserve">Chan, P.-Y. S., &amp; Davenport, P. W. (2008). </w:t>
      </w:r>
      <w:r w:rsidRPr="006470CD">
        <w:rPr>
          <w:szCs w:val="22"/>
          <w:lang w:val="en-US"/>
        </w:rPr>
        <w:t xml:space="preserve">Respiratory-related evoked potential measures of respiratory sensory gating. </w:t>
      </w:r>
      <w:r w:rsidRPr="006470CD">
        <w:rPr>
          <w:i/>
          <w:iCs/>
          <w:szCs w:val="22"/>
          <w:lang w:val="en-US"/>
        </w:rPr>
        <w:t>Journal of Applied Physiology</w:t>
      </w:r>
      <w:r w:rsidRPr="006470CD">
        <w:rPr>
          <w:szCs w:val="22"/>
          <w:lang w:val="en-US"/>
        </w:rPr>
        <w:t xml:space="preserve">, </w:t>
      </w:r>
      <w:r w:rsidRPr="006470CD">
        <w:rPr>
          <w:i/>
          <w:iCs/>
          <w:szCs w:val="22"/>
          <w:lang w:val="en-US"/>
        </w:rPr>
        <w:t>105</w:t>
      </w:r>
      <w:r w:rsidRPr="006470CD">
        <w:rPr>
          <w:szCs w:val="22"/>
          <w:lang w:val="en-US"/>
        </w:rPr>
        <w:t>(4), 1106–1113. https://doi.org/10.1152/japplphysiol.90722.2008</w:t>
      </w:r>
    </w:p>
    <w:p w14:paraId="6C41E00F" w14:textId="77777777" w:rsidR="00FF5975" w:rsidRPr="006470CD" w:rsidRDefault="00FF5975" w:rsidP="006470CD">
      <w:pPr>
        <w:pStyle w:val="Bibliography"/>
        <w:spacing w:line="360" w:lineRule="auto"/>
        <w:rPr>
          <w:szCs w:val="22"/>
          <w:lang w:val="en-US"/>
        </w:rPr>
      </w:pPr>
      <w:r w:rsidRPr="006470CD">
        <w:rPr>
          <w:szCs w:val="22"/>
          <w:lang w:val="en-US"/>
        </w:rPr>
        <w:t xml:space="preserve">Chan, P.-Y. S., von Leupoldt, A., Bradley, M. M., Lang, P. J., &amp; Davenport, P. W. (2012). The effect of anxiety on respiratory sensory gating measured by respiratory-related evoked potentials. </w:t>
      </w:r>
      <w:r w:rsidRPr="006470CD">
        <w:rPr>
          <w:i/>
          <w:iCs/>
          <w:szCs w:val="22"/>
          <w:lang w:val="en-US"/>
        </w:rPr>
        <w:t>Biological Psychology</w:t>
      </w:r>
      <w:r w:rsidRPr="006470CD">
        <w:rPr>
          <w:szCs w:val="22"/>
          <w:lang w:val="en-US"/>
        </w:rPr>
        <w:t xml:space="preserve">, </w:t>
      </w:r>
      <w:r w:rsidRPr="006470CD">
        <w:rPr>
          <w:i/>
          <w:iCs/>
          <w:szCs w:val="22"/>
          <w:lang w:val="en-US"/>
        </w:rPr>
        <w:t>91</w:t>
      </w:r>
      <w:r w:rsidRPr="006470CD">
        <w:rPr>
          <w:szCs w:val="22"/>
          <w:lang w:val="en-US"/>
        </w:rPr>
        <w:t>(2), 185–189. https://doi.org/10.1016/j.biopsycho.2012.07.001</w:t>
      </w:r>
    </w:p>
    <w:p w14:paraId="363D922A" w14:textId="77777777" w:rsidR="00FF5975" w:rsidRPr="006470CD" w:rsidRDefault="00FF5975" w:rsidP="006470CD">
      <w:pPr>
        <w:pStyle w:val="Bibliography"/>
        <w:spacing w:line="360" w:lineRule="auto"/>
        <w:rPr>
          <w:szCs w:val="22"/>
          <w:lang w:val="en-US"/>
        </w:rPr>
      </w:pPr>
      <w:r w:rsidRPr="006470CD">
        <w:rPr>
          <w:szCs w:val="22"/>
          <w:lang w:val="en-US"/>
        </w:rPr>
        <w:t xml:space="preserve">Cheng, C. H., Chan, P. Y. S., </w:t>
      </w:r>
      <w:proofErr w:type="spellStart"/>
      <w:r w:rsidRPr="006470CD">
        <w:rPr>
          <w:szCs w:val="22"/>
          <w:lang w:val="en-US"/>
        </w:rPr>
        <w:t>Niddam</w:t>
      </w:r>
      <w:proofErr w:type="spellEnd"/>
      <w:r w:rsidRPr="006470CD">
        <w:rPr>
          <w:szCs w:val="22"/>
          <w:lang w:val="en-US"/>
        </w:rPr>
        <w:t xml:space="preserve">, D. M., Tsai, S. Y., Hsu, S. C., &amp; Liu, C. Y. (2016). Sensory gating, inhibition control and gamma oscillations in the human somatosensory cortex. </w:t>
      </w:r>
      <w:r w:rsidRPr="006470CD">
        <w:rPr>
          <w:i/>
          <w:iCs/>
          <w:szCs w:val="22"/>
          <w:lang w:val="en-US"/>
        </w:rPr>
        <w:t>Scientific Reports</w:t>
      </w:r>
      <w:r w:rsidRPr="006470CD">
        <w:rPr>
          <w:szCs w:val="22"/>
          <w:lang w:val="en-US"/>
        </w:rPr>
        <w:t xml:space="preserve">, </w:t>
      </w:r>
      <w:r w:rsidRPr="006470CD">
        <w:rPr>
          <w:i/>
          <w:iCs/>
          <w:szCs w:val="22"/>
          <w:lang w:val="en-US"/>
        </w:rPr>
        <w:t>6</w:t>
      </w:r>
      <w:r w:rsidRPr="006470CD">
        <w:rPr>
          <w:szCs w:val="22"/>
          <w:lang w:val="en-US"/>
        </w:rPr>
        <w:t>(1), 1–8. https://doi.org/10.1038/srep20437</w:t>
      </w:r>
    </w:p>
    <w:p w14:paraId="731D32B1" w14:textId="77777777" w:rsidR="00FF5975" w:rsidRPr="006470CD" w:rsidRDefault="00FF5975" w:rsidP="006470CD">
      <w:pPr>
        <w:pStyle w:val="Bibliography"/>
        <w:spacing w:line="360" w:lineRule="auto"/>
        <w:rPr>
          <w:szCs w:val="22"/>
          <w:lang w:val="en-US"/>
        </w:rPr>
      </w:pPr>
      <w:proofErr w:type="spellStart"/>
      <w:r w:rsidRPr="006470CD">
        <w:rPr>
          <w:szCs w:val="22"/>
          <w:lang w:val="en-US"/>
        </w:rPr>
        <w:t>Chenivesse</w:t>
      </w:r>
      <w:proofErr w:type="spellEnd"/>
      <w:r w:rsidRPr="006470CD">
        <w:rPr>
          <w:szCs w:val="22"/>
          <w:lang w:val="en-US"/>
        </w:rPr>
        <w:t xml:space="preserve">, C., Chan, P.-Y., Tsai, H.-W., Wheeler-Hegland, K., Silverman, E., von Leupoldt, A., </w:t>
      </w:r>
      <w:proofErr w:type="spellStart"/>
      <w:r w:rsidRPr="006470CD">
        <w:rPr>
          <w:szCs w:val="22"/>
          <w:lang w:val="en-US"/>
        </w:rPr>
        <w:t>Similowski</w:t>
      </w:r>
      <w:proofErr w:type="spellEnd"/>
      <w:r w:rsidRPr="006470CD">
        <w:rPr>
          <w:szCs w:val="22"/>
          <w:lang w:val="en-US"/>
        </w:rPr>
        <w:t xml:space="preserve">, T., &amp; Davenport, P. (2014). Negative emotional stimulation decreases respiratory sensory gating in healthy humans. </w:t>
      </w:r>
      <w:r w:rsidRPr="006470CD">
        <w:rPr>
          <w:i/>
          <w:iCs/>
          <w:szCs w:val="22"/>
          <w:lang w:val="en-US"/>
        </w:rPr>
        <w:t>Respiratory Physiology &amp; Neurobiology</w:t>
      </w:r>
      <w:r w:rsidRPr="006470CD">
        <w:rPr>
          <w:szCs w:val="22"/>
          <w:lang w:val="en-US"/>
        </w:rPr>
        <w:t xml:space="preserve">, </w:t>
      </w:r>
      <w:r w:rsidRPr="006470CD">
        <w:rPr>
          <w:i/>
          <w:iCs/>
          <w:szCs w:val="22"/>
          <w:lang w:val="en-US"/>
        </w:rPr>
        <w:t>204</w:t>
      </w:r>
      <w:r w:rsidRPr="006470CD">
        <w:rPr>
          <w:szCs w:val="22"/>
          <w:lang w:val="en-US"/>
        </w:rPr>
        <w:t>, 50–57. https://doi.org/10.1016/j.resp.2014.08.019</w:t>
      </w:r>
    </w:p>
    <w:p w14:paraId="422E9D8C" w14:textId="77777777" w:rsidR="00FF5975" w:rsidRPr="006470CD" w:rsidRDefault="00FF5975" w:rsidP="006470CD">
      <w:pPr>
        <w:pStyle w:val="Bibliography"/>
        <w:spacing w:line="360" w:lineRule="auto"/>
        <w:rPr>
          <w:szCs w:val="22"/>
          <w:lang w:val="en-US"/>
        </w:rPr>
      </w:pPr>
      <w:r w:rsidRPr="006470CD">
        <w:rPr>
          <w:szCs w:val="22"/>
          <w:lang w:val="en-US"/>
        </w:rPr>
        <w:t xml:space="preserve">Clancy, K. J., Andrzejewski, J. A., You, Y., Rosenberg, J. T., Ding, M., &amp; Li, W. (2022). Transcranial stimulation of alpha oscillations up-regulates the default mode network. </w:t>
      </w:r>
      <w:r w:rsidRPr="006470CD">
        <w:rPr>
          <w:i/>
          <w:iCs/>
          <w:szCs w:val="22"/>
          <w:lang w:val="en-US"/>
        </w:rPr>
        <w:t>Proceedings of the National Academy of Sciences</w:t>
      </w:r>
      <w:r w:rsidRPr="006470CD">
        <w:rPr>
          <w:szCs w:val="22"/>
          <w:lang w:val="en-US"/>
        </w:rPr>
        <w:t xml:space="preserve">, </w:t>
      </w:r>
      <w:r w:rsidRPr="006470CD">
        <w:rPr>
          <w:i/>
          <w:iCs/>
          <w:szCs w:val="22"/>
          <w:lang w:val="en-US"/>
        </w:rPr>
        <w:t>119</w:t>
      </w:r>
      <w:r w:rsidRPr="006470CD">
        <w:rPr>
          <w:szCs w:val="22"/>
          <w:lang w:val="en-US"/>
        </w:rPr>
        <w:t>(1), e2110868119. https://doi.org/10.1073/pnas.2110868119</w:t>
      </w:r>
    </w:p>
    <w:p w14:paraId="115ED768" w14:textId="77777777" w:rsidR="00FF5975" w:rsidRPr="006470CD" w:rsidRDefault="00FF5975" w:rsidP="006470CD">
      <w:pPr>
        <w:pStyle w:val="Bibliography"/>
        <w:spacing w:line="360" w:lineRule="auto"/>
        <w:rPr>
          <w:szCs w:val="22"/>
          <w:lang w:val="en-US"/>
        </w:rPr>
      </w:pPr>
      <w:r w:rsidRPr="006470CD">
        <w:rPr>
          <w:szCs w:val="22"/>
          <w:lang w:val="fr-FR"/>
        </w:rPr>
        <w:t xml:space="preserve">D’Agostini, M., Burger, A., B., Ponce, G. V., Claes, S., Leupoldt, A. von, &amp; Diest, I. V. (2022). </w:t>
      </w:r>
      <w:r w:rsidRPr="006470CD">
        <w:rPr>
          <w:szCs w:val="22"/>
          <w:lang w:val="en-US"/>
        </w:rPr>
        <w:t xml:space="preserve">No evidence for a modulating effect of continuous transcutaneous auricular </w:t>
      </w:r>
      <w:proofErr w:type="spellStart"/>
      <w:r w:rsidRPr="006470CD">
        <w:rPr>
          <w:szCs w:val="22"/>
          <w:lang w:val="en-US"/>
        </w:rPr>
        <w:t>vagus</w:t>
      </w:r>
      <w:proofErr w:type="spellEnd"/>
      <w:r w:rsidRPr="006470CD">
        <w:rPr>
          <w:szCs w:val="22"/>
          <w:lang w:val="en-US"/>
        </w:rPr>
        <w:t xml:space="preserve"> nerve </w:t>
      </w:r>
      <w:r w:rsidRPr="006470CD">
        <w:rPr>
          <w:szCs w:val="22"/>
          <w:lang w:val="en-US"/>
        </w:rPr>
        <w:lastRenderedPageBreak/>
        <w:t xml:space="preserve">stimulation on markers of noradrenergic activity. </w:t>
      </w:r>
      <w:r w:rsidRPr="006470CD">
        <w:rPr>
          <w:i/>
          <w:iCs/>
          <w:szCs w:val="22"/>
          <w:lang w:val="en-US"/>
        </w:rPr>
        <w:t>Psychophysiology</w:t>
      </w:r>
      <w:r w:rsidRPr="006470CD">
        <w:rPr>
          <w:szCs w:val="22"/>
          <w:lang w:val="en-US"/>
        </w:rPr>
        <w:t xml:space="preserve">, </w:t>
      </w:r>
      <w:r w:rsidRPr="006470CD">
        <w:rPr>
          <w:i/>
          <w:iCs/>
          <w:szCs w:val="22"/>
          <w:lang w:val="en-US"/>
        </w:rPr>
        <w:t>59</w:t>
      </w:r>
      <w:r w:rsidRPr="006470CD">
        <w:rPr>
          <w:szCs w:val="22"/>
          <w:lang w:val="en-US"/>
        </w:rPr>
        <w:t>(4). https://doi.org/10.1111/psyp.13984</w:t>
      </w:r>
    </w:p>
    <w:p w14:paraId="7E7A788F" w14:textId="77777777" w:rsidR="00FF5975" w:rsidRPr="006470CD" w:rsidRDefault="00FF5975" w:rsidP="006470CD">
      <w:pPr>
        <w:pStyle w:val="Bibliography"/>
        <w:spacing w:line="360" w:lineRule="auto"/>
        <w:rPr>
          <w:szCs w:val="22"/>
          <w:lang w:val="en-US"/>
        </w:rPr>
      </w:pPr>
      <w:proofErr w:type="spellStart"/>
      <w:r w:rsidRPr="006470CD">
        <w:rPr>
          <w:szCs w:val="22"/>
          <w:lang w:val="en-US"/>
        </w:rPr>
        <w:t>D’Agostini</w:t>
      </w:r>
      <w:proofErr w:type="spellEnd"/>
      <w:r w:rsidRPr="006470CD">
        <w:rPr>
          <w:szCs w:val="22"/>
          <w:lang w:val="en-US"/>
        </w:rPr>
        <w:t xml:space="preserve">, M., Burger, A. E., Franssen, M., Claes, N., Weymar, M., Leupoldt, A. von, &amp; Diest, I. V. (2021). Effects of transcutaneous auricular </w:t>
      </w:r>
      <w:proofErr w:type="spellStart"/>
      <w:r w:rsidRPr="006470CD">
        <w:rPr>
          <w:szCs w:val="22"/>
          <w:lang w:val="en-US"/>
        </w:rPr>
        <w:t>vagus</w:t>
      </w:r>
      <w:proofErr w:type="spellEnd"/>
      <w:r w:rsidRPr="006470CD">
        <w:rPr>
          <w:szCs w:val="22"/>
          <w:lang w:val="en-US"/>
        </w:rPr>
        <w:t xml:space="preserve"> nerve stimulation on reversal learning, tonic pupil size, salivary alpha</w:t>
      </w:r>
      <w:r w:rsidRPr="006470CD">
        <w:rPr>
          <w:rFonts w:ascii="Cambria Math" w:hAnsi="Cambria Math" w:cs="Cambria Math"/>
          <w:szCs w:val="22"/>
          <w:lang w:val="en-US"/>
        </w:rPr>
        <w:t>‐</w:t>
      </w:r>
      <w:r w:rsidRPr="006470CD">
        <w:rPr>
          <w:szCs w:val="22"/>
          <w:lang w:val="en-US"/>
        </w:rPr>
        <w:t xml:space="preserve">amylase, and cortisol. </w:t>
      </w:r>
      <w:r w:rsidRPr="006470CD">
        <w:rPr>
          <w:i/>
          <w:iCs/>
          <w:szCs w:val="22"/>
          <w:lang w:val="en-US"/>
        </w:rPr>
        <w:t>Psychophysiology</w:t>
      </w:r>
      <w:r w:rsidRPr="006470CD">
        <w:rPr>
          <w:szCs w:val="22"/>
          <w:lang w:val="en-US"/>
        </w:rPr>
        <w:t xml:space="preserve">, </w:t>
      </w:r>
      <w:r w:rsidRPr="006470CD">
        <w:rPr>
          <w:i/>
          <w:iCs/>
          <w:szCs w:val="22"/>
          <w:lang w:val="en-US"/>
        </w:rPr>
        <w:t>58</w:t>
      </w:r>
      <w:r w:rsidRPr="006470CD">
        <w:rPr>
          <w:szCs w:val="22"/>
          <w:lang w:val="en-US"/>
        </w:rPr>
        <w:t>(10). https://doi.org/10.1111/psyp.13885</w:t>
      </w:r>
    </w:p>
    <w:p w14:paraId="3B70069A" w14:textId="77777777" w:rsidR="00FF5975" w:rsidRPr="006470CD" w:rsidRDefault="00FF5975" w:rsidP="006470CD">
      <w:pPr>
        <w:pStyle w:val="Bibliography"/>
        <w:spacing w:line="360" w:lineRule="auto"/>
        <w:rPr>
          <w:szCs w:val="22"/>
          <w:lang w:val="en-US"/>
        </w:rPr>
      </w:pPr>
      <w:proofErr w:type="spellStart"/>
      <w:r w:rsidRPr="006470CD">
        <w:rPr>
          <w:szCs w:val="22"/>
          <w:lang w:val="en-US"/>
        </w:rPr>
        <w:t>D’Agostini</w:t>
      </w:r>
      <w:proofErr w:type="spellEnd"/>
      <w:r w:rsidRPr="006470CD">
        <w:rPr>
          <w:szCs w:val="22"/>
          <w:lang w:val="en-US"/>
        </w:rPr>
        <w:t xml:space="preserve">, M., Burger, A. M., Franssen, M., Perkovic, A., Claes, S., von Leupoldt, A., Murphy, P. R., &amp; Van Diest, I. (2023). Short bursts of transcutaneous auricular </w:t>
      </w:r>
      <w:proofErr w:type="spellStart"/>
      <w:r w:rsidRPr="006470CD">
        <w:rPr>
          <w:szCs w:val="22"/>
          <w:lang w:val="en-US"/>
        </w:rPr>
        <w:t>vagus</w:t>
      </w:r>
      <w:proofErr w:type="spellEnd"/>
      <w:r w:rsidRPr="006470CD">
        <w:rPr>
          <w:szCs w:val="22"/>
          <w:lang w:val="en-US"/>
        </w:rPr>
        <w:t xml:space="preserve"> nerve stimulation enhance evoked pupil dilation as a function of stimulation parameters. </w:t>
      </w:r>
      <w:r w:rsidRPr="006470CD">
        <w:rPr>
          <w:i/>
          <w:iCs/>
          <w:szCs w:val="22"/>
          <w:lang w:val="en-US"/>
        </w:rPr>
        <w:t>Cortex; a Journal Devoted to the Study of the Nervous System and Behavior</w:t>
      </w:r>
      <w:r w:rsidRPr="006470CD">
        <w:rPr>
          <w:szCs w:val="22"/>
          <w:lang w:val="en-US"/>
        </w:rPr>
        <w:t xml:space="preserve">, </w:t>
      </w:r>
      <w:r w:rsidRPr="006470CD">
        <w:rPr>
          <w:i/>
          <w:iCs/>
          <w:szCs w:val="22"/>
          <w:lang w:val="en-US"/>
        </w:rPr>
        <w:t>159</w:t>
      </w:r>
      <w:r w:rsidRPr="006470CD">
        <w:rPr>
          <w:szCs w:val="22"/>
          <w:lang w:val="en-US"/>
        </w:rPr>
        <w:t>, 233–253. https://doi.org/10.1016/j.cortex.2022.11.012</w:t>
      </w:r>
    </w:p>
    <w:p w14:paraId="53BA1723" w14:textId="77777777" w:rsidR="00FF5975" w:rsidRPr="006470CD" w:rsidRDefault="00FF5975" w:rsidP="006470CD">
      <w:pPr>
        <w:pStyle w:val="Bibliography"/>
        <w:spacing w:line="360" w:lineRule="auto"/>
        <w:rPr>
          <w:szCs w:val="22"/>
          <w:lang w:val="en-US"/>
        </w:rPr>
      </w:pPr>
      <w:proofErr w:type="spellStart"/>
      <w:r w:rsidRPr="006470CD">
        <w:rPr>
          <w:szCs w:val="22"/>
        </w:rPr>
        <w:t>D’Agostini</w:t>
      </w:r>
      <w:proofErr w:type="spellEnd"/>
      <w:r w:rsidRPr="006470CD">
        <w:rPr>
          <w:szCs w:val="22"/>
        </w:rPr>
        <w:t xml:space="preserve">, M., Burger, A. M., Jelinčić, V., von Leupoldt, A., &amp; Van Diest, I. (2023). </w:t>
      </w:r>
      <w:r w:rsidRPr="006470CD">
        <w:rPr>
          <w:szCs w:val="22"/>
          <w:lang w:val="en-US"/>
        </w:rPr>
        <w:t xml:space="preserve">Effects of transcutaneous auricular </w:t>
      </w:r>
      <w:proofErr w:type="spellStart"/>
      <w:r w:rsidRPr="006470CD">
        <w:rPr>
          <w:szCs w:val="22"/>
          <w:lang w:val="en-US"/>
        </w:rPr>
        <w:t>vagus</w:t>
      </w:r>
      <w:proofErr w:type="spellEnd"/>
      <w:r w:rsidRPr="006470CD">
        <w:rPr>
          <w:szCs w:val="22"/>
          <w:lang w:val="en-US"/>
        </w:rPr>
        <w:t xml:space="preserve"> nerve stimulation on P300 magnitudes and salivary alpha-amylase during an auditory oddball task. </w:t>
      </w:r>
      <w:r w:rsidRPr="006470CD">
        <w:rPr>
          <w:i/>
          <w:iCs/>
          <w:szCs w:val="22"/>
          <w:lang w:val="en-US"/>
        </w:rPr>
        <w:t>Biological Psychology</w:t>
      </w:r>
      <w:r w:rsidRPr="006470CD">
        <w:rPr>
          <w:szCs w:val="22"/>
          <w:lang w:val="en-US"/>
        </w:rPr>
        <w:t xml:space="preserve">, </w:t>
      </w:r>
      <w:r w:rsidRPr="006470CD">
        <w:rPr>
          <w:i/>
          <w:iCs/>
          <w:szCs w:val="22"/>
          <w:lang w:val="en-US"/>
        </w:rPr>
        <w:t>182</w:t>
      </w:r>
      <w:r w:rsidRPr="006470CD">
        <w:rPr>
          <w:szCs w:val="22"/>
          <w:lang w:val="en-US"/>
        </w:rPr>
        <w:t>, 108646. https://doi.org/10.1016/j.biopsycho.2023.108646</w:t>
      </w:r>
    </w:p>
    <w:p w14:paraId="251687B6" w14:textId="77777777" w:rsidR="00FF5975" w:rsidRPr="006470CD" w:rsidRDefault="00FF5975" w:rsidP="006470CD">
      <w:pPr>
        <w:pStyle w:val="Bibliography"/>
        <w:spacing w:line="360" w:lineRule="auto"/>
        <w:rPr>
          <w:szCs w:val="22"/>
          <w:lang w:val="en-US"/>
        </w:rPr>
      </w:pPr>
      <w:r w:rsidRPr="006470CD">
        <w:rPr>
          <w:szCs w:val="22"/>
          <w:lang w:val="en-US"/>
        </w:rPr>
        <w:t xml:space="preserve">Dahl, M. J., Mather, M., &amp; </w:t>
      </w:r>
      <w:proofErr w:type="spellStart"/>
      <w:r w:rsidRPr="006470CD">
        <w:rPr>
          <w:szCs w:val="22"/>
          <w:lang w:val="en-US"/>
        </w:rPr>
        <w:t>Werkle</w:t>
      </w:r>
      <w:proofErr w:type="spellEnd"/>
      <w:r w:rsidRPr="006470CD">
        <w:rPr>
          <w:szCs w:val="22"/>
          <w:lang w:val="en-US"/>
        </w:rPr>
        <w:t xml:space="preserve">-Bergner, M. (2022). Noradrenergic modulation of rhythmic neural activity shapes selective attention. </w:t>
      </w:r>
      <w:r w:rsidRPr="006470CD">
        <w:rPr>
          <w:i/>
          <w:iCs/>
          <w:szCs w:val="22"/>
          <w:lang w:val="en-US"/>
        </w:rPr>
        <w:t>Trends in Cognitive Sciences</w:t>
      </w:r>
      <w:r w:rsidRPr="006470CD">
        <w:rPr>
          <w:szCs w:val="22"/>
          <w:lang w:val="en-US"/>
        </w:rPr>
        <w:t xml:space="preserve">, </w:t>
      </w:r>
      <w:r w:rsidRPr="006470CD">
        <w:rPr>
          <w:i/>
          <w:iCs/>
          <w:szCs w:val="22"/>
          <w:lang w:val="en-US"/>
        </w:rPr>
        <w:t>26</w:t>
      </w:r>
      <w:r w:rsidRPr="006470CD">
        <w:rPr>
          <w:szCs w:val="22"/>
          <w:lang w:val="en-US"/>
        </w:rPr>
        <w:t>(1), 38–52. https://doi.org/10.1016/j.tics.2021.10.009</w:t>
      </w:r>
    </w:p>
    <w:p w14:paraId="6C611D77" w14:textId="77777777" w:rsidR="00FF5975" w:rsidRPr="006470CD" w:rsidRDefault="00FF5975" w:rsidP="006470CD">
      <w:pPr>
        <w:pStyle w:val="Bibliography"/>
        <w:spacing w:line="360" w:lineRule="auto"/>
        <w:rPr>
          <w:szCs w:val="22"/>
          <w:lang w:val="en-US"/>
        </w:rPr>
      </w:pPr>
      <w:r w:rsidRPr="006470CD">
        <w:rPr>
          <w:szCs w:val="22"/>
          <w:lang w:val="en-US"/>
        </w:rPr>
        <w:t xml:space="preserve">Dalecki, A., Croft, R. J., &amp; Johnstone, S. J. (2011). An evaluation of P50 paired-click methodologies. </w:t>
      </w:r>
      <w:r w:rsidRPr="006470CD">
        <w:rPr>
          <w:i/>
          <w:iCs/>
          <w:szCs w:val="22"/>
          <w:lang w:val="en-US"/>
        </w:rPr>
        <w:t>Psychophysiology</w:t>
      </w:r>
      <w:r w:rsidRPr="006470CD">
        <w:rPr>
          <w:szCs w:val="22"/>
          <w:lang w:val="en-US"/>
        </w:rPr>
        <w:t xml:space="preserve">, </w:t>
      </w:r>
      <w:r w:rsidRPr="006470CD">
        <w:rPr>
          <w:i/>
          <w:iCs/>
          <w:szCs w:val="22"/>
          <w:lang w:val="en-US"/>
        </w:rPr>
        <w:t>48</w:t>
      </w:r>
      <w:r w:rsidRPr="006470CD">
        <w:rPr>
          <w:szCs w:val="22"/>
          <w:lang w:val="en-US"/>
        </w:rPr>
        <w:t>(12), 1692–1700. https://doi.org/10.1111/J.1469-8986.2011.01262.X</w:t>
      </w:r>
    </w:p>
    <w:p w14:paraId="64B461F4" w14:textId="77777777" w:rsidR="00FF5975" w:rsidRPr="006470CD" w:rsidRDefault="00FF5975" w:rsidP="006470CD">
      <w:pPr>
        <w:pStyle w:val="Bibliography"/>
        <w:spacing w:line="360" w:lineRule="auto"/>
        <w:rPr>
          <w:szCs w:val="22"/>
          <w:lang w:val="en-US"/>
        </w:rPr>
      </w:pPr>
      <w:r w:rsidRPr="006470CD">
        <w:rPr>
          <w:szCs w:val="22"/>
          <w:lang w:val="en-US"/>
        </w:rPr>
        <w:t xml:space="preserve">Davenport, P. W., Chan, P.-Y. S., Zhang, W., &amp; Chou, Y.-L. (2007). Detection threshold for inspiratory resistive loads and respiratory-related evoked potentials. </w:t>
      </w:r>
      <w:r w:rsidRPr="006470CD">
        <w:rPr>
          <w:i/>
          <w:iCs/>
          <w:szCs w:val="22"/>
          <w:lang w:val="en-US"/>
        </w:rPr>
        <w:t>Journal of Applied Physiology (Bethesda, Md.</w:t>
      </w:r>
      <w:r w:rsidRPr="006470CD">
        <w:rPr>
          <w:rFonts w:ascii="Arial" w:hAnsi="Arial" w:cs="Arial"/>
          <w:i/>
          <w:iCs/>
          <w:szCs w:val="22"/>
          <w:lang w:val="en-US"/>
        </w:rPr>
        <w:t> </w:t>
      </w:r>
      <w:r w:rsidRPr="006470CD">
        <w:rPr>
          <w:i/>
          <w:iCs/>
          <w:szCs w:val="22"/>
          <w:lang w:val="en-US"/>
        </w:rPr>
        <w:t>: 1985)</w:t>
      </w:r>
      <w:r w:rsidRPr="006470CD">
        <w:rPr>
          <w:szCs w:val="22"/>
          <w:lang w:val="en-US"/>
        </w:rPr>
        <w:t xml:space="preserve">, </w:t>
      </w:r>
      <w:r w:rsidRPr="006470CD">
        <w:rPr>
          <w:i/>
          <w:iCs/>
          <w:szCs w:val="22"/>
          <w:lang w:val="en-US"/>
        </w:rPr>
        <w:t>102</w:t>
      </w:r>
      <w:r w:rsidRPr="006470CD">
        <w:rPr>
          <w:szCs w:val="22"/>
          <w:lang w:val="en-US"/>
        </w:rPr>
        <w:t>(1), 276–285. https://doi.org/10.1152/japplphysiol.01436.2005</w:t>
      </w:r>
    </w:p>
    <w:p w14:paraId="771EB411" w14:textId="77777777" w:rsidR="00FF5975" w:rsidRPr="006470CD" w:rsidRDefault="00FF5975" w:rsidP="006470CD">
      <w:pPr>
        <w:pStyle w:val="Bibliography"/>
        <w:spacing w:line="360" w:lineRule="auto"/>
        <w:rPr>
          <w:szCs w:val="22"/>
          <w:lang w:val="en-US"/>
        </w:rPr>
      </w:pPr>
      <w:r w:rsidRPr="006470CD">
        <w:rPr>
          <w:szCs w:val="22"/>
          <w:lang w:val="de-DE"/>
        </w:rPr>
        <w:t xml:space="preserve">Davenport, P. W., &amp; </w:t>
      </w:r>
      <w:proofErr w:type="spellStart"/>
      <w:r w:rsidRPr="006470CD">
        <w:rPr>
          <w:szCs w:val="22"/>
          <w:lang w:val="de-DE"/>
        </w:rPr>
        <w:t>Vovk</w:t>
      </w:r>
      <w:proofErr w:type="spellEnd"/>
      <w:r w:rsidRPr="006470CD">
        <w:rPr>
          <w:szCs w:val="22"/>
          <w:lang w:val="de-DE"/>
        </w:rPr>
        <w:t xml:space="preserve">, A. (2009). </w:t>
      </w:r>
      <w:r w:rsidRPr="006470CD">
        <w:rPr>
          <w:szCs w:val="22"/>
          <w:lang w:val="en-US"/>
        </w:rPr>
        <w:t xml:space="preserve">Cortical and subcortical central neural pathways in respiratory sensations. </w:t>
      </w:r>
      <w:r w:rsidRPr="006470CD">
        <w:rPr>
          <w:i/>
          <w:iCs/>
          <w:szCs w:val="22"/>
          <w:lang w:val="en-US"/>
        </w:rPr>
        <w:t>Respiratory Physiology and Neurobiology</w:t>
      </w:r>
      <w:r w:rsidRPr="006470CD">
        <w:rPr>
          <w:szCs w:val="22"/>
          <w:lang w:val="en-US"/>
        </w:rPr>
        <w:t>. https://doi.org/10.1016/j.resp.2008.10.001</w:t>
      </w:r>
    </w:p>
    <w:p w14:paraId="6FEED5A0" w14:textId="77777777" w:rsidR="00FF5975" w:rsidRPr="006470CD" w:rsidRDefault="00FF5975" w:rsidP="006470CD">
      <w:pPr>
        <w:pStyle w:val="Bibliography"/>
        <w:spacing w:line="360" w:lineRule="auto"/>
        <w:rPr>
          <w:szCs w:val="22"/>
          <w:lang w:val="es-ES"/>
        </w:rPr>
      </w:pPr>
      <w:r w:rsidRPr="006470CD">
        <w:rPr>
          <w:szCs w:val="22"/>
          <w:lang w:val="en-US"/>
        </w:rPr>
        <w:t xml:space="preserve">Davey, C. G., Pujol, J., &amp; Harrison, B. J. (2016). Mapping the self in the brain’s default mode network. </w:t>
      </w:r>
      <w:proofErr w:type="spellStart"/>
      <w:r w:rsidRPr="006470CD">
        <w:rPr>
          <w:i/>
          <w:iCs/>
          <w:szCs w:val="22"/>
          <w:lang w:val="es-ES"/>
        </w:rPr>
        <w:t>NeuroImage</w:t>
      </w:r>
      <w:proofErr w:type="spellEnd"/>
      <w:r w:rsidRPr="006470CD">
        <w:rPr>
          <w:szCs w:val="22"/>
          <w:lang w:val="es-ES"/>
        </w:rPr>
        <w:t xml:space="preserve">, </w:t>
      </w:r>
      <w:r w:rsidRPr="006470CD">
        <w:rPr>
          <w:i/>
          <w:iCs/>
          <w:szCs w:val="22"/>
          <w:lang w:val="es-ES"/>
        </w:rPr>
        <w:t>132</w:t>
      </w:r>
      <w:r w:rsidRPr="006470CD">
        <w:rPr>
          <w:szCs w:val="22"/>
          <w:lang w:val="es-ES"/>
        </w:rPr>
        <w:t>, 390–397. https://doi.org/10.1016/j.neuroimage.2016.02.022</w:t>
      </w:r>
    </w:p>
    <w:p w14:paraId="3886593B" w14:textId="77777777" w:rsidR="00FF5975" w:rsidRPr="006470CD" w:rsidRDefault="00FF5975" w:rsidP="006470CD">
      <w:pPr>
        <w:pStyle w:val="Bibliography"/>
        <w:spacing w:line="360" w:lineRule="auto"/>
        <w:rPr>
          <w:szCs w:val="22"/>
        </w:rPr>
      </w:pPr>
      <w:r w:rsidRPr="006470CD">
        <w:rPr>
          <w:szCs w:val="22"/>
          <w:lang w:val="es-ES"/>
        </w:rPr>
        <w:t xml:space="preserve">de Tommaso, M., </w:t>
      </w:r>
      <w:proofErr w:type="spellStart"/>
      <w:r w:rsidRPr="006470CD">
        <w:rPr>
          <w:szCs w:val="22"/>
          <w:lang w:val="es-ES"/>
        </w:rPr>
        <w:t>Valeriani</w:t>
      </w:r>
      <w:proofErr w:type="spellEnd"/>
      <w:r w:rsidRPr="006470CD">
        <w:rPr>
          <w:szCs w:val="22"/>
          <w:lang w:val="es-ES"/>
        </w:rPr>
        <w:t xml:space="preserve">, M., Guido, M., Libro, G., </w:t>
      </w:r>
      <w:proofErr w:type="spellStart"/>
      <w:r w:rsidRPr="006470CD">
        <w:rPr>
          <w:szCs w:val="22"/>
          <w:lang w:val="es-ES"/>
        </w:rPr>
        <w:t>Specchio</w:t>
      </w:r>
      <w:proofErr w:type="spellEnd"/>
      <w:r w:rsidRPr="006470CD">
        <w:rPr>
          <w:szCs w:val="22"/>
          <w:lang w:val="es-ES"/>
        </w:rPr>
        <w:t xml:space="preserve">, L. M., </w:t>
      </w:r>
      <w:proofErr w:type="spellStart"/>
      <w:r w:rsidRPr="006470CD">
        <w:rPr>
          <w:szCs w:val="22"/>
          <w:lang w:val="es-ES"/>
        </w:rPr>
        <w:t>Tonali</w:t>
      </w:r>
      <w:proofErr w:type="spellEnd"/>
      <w:r w:rsidRPr="006470CD">
        <w:rPr>
          <w:szCs w:val="22"/>
          <w:lang w:val="es-ES"/>
        </w:rPr>
        <w:t xml:space="preserve">, P., &amp; </w:t>
      </w:r>
      <w:proofErr w:type="spellStart"/>
      <w:r w:rsidRPr="006470CD">
        <w:rPr>
          <w:szCs w:val="22"/>
          <w:lang w:val="es-ES"/>
        </w:rPr>
        <w:t>Puca</w:t>
      </w:r>
      <w:proofErr w:type="spellEnd"/>
      <w:r w:rsidRPr="006470CD">
        <w:rPr>
          <w:szCs w:val="22"/>
          <w:lang w:val="es-ES"/>
        </w:rPr>
        <w:t xml:space="preserve">, F. (2003). </w:t>
      </w:r>
      <w:r w:rsidRPr="006470CD">
        <w:rPr>
          <w:szCs w:val="22"/>
          <w:lang w:val="en-US"/>
        </w:rPr>
        <w:t xml:space="preserve">Abnormal brain processing of cutaneous pain in patients with chronic migraine. </w:t>
      </w:r>
      <w:proofErr w:type="spellStart"/>
      <w:r w:rsidRPr="006470CD">
        <w:rPr>
          <w:i/>
          <w:iCs/>
          <w:szCs w:val="22"/>
        </w:rPr>
        <w:t>Pain</w:t>
      </w:r>
      <w:proofErr w:type="spellEnd"/>
      <w:r w:rsidRPr="006470CD">
        <w:rPr>
          <w:szCs w:val="22"/>
        </w:rPr>
        <w:t xml:space="preserve">, </w:t>
      </w:r>
      <w:r w:rsidRPr="006470CD">
        <w:rPr>
          <w:i/>
          <w:iCs/>
          <w:szCs w:val="22"/>
        </w:rPr>
        <w:t>101</w:t>
      </w:r>
      <w:r w:rsidRPr="006470CD">
        <w:rPr>
          <w:szCs w:val="22"/>
        </w:rPr>
        <w:t>(1–2), 25–32. https://doi.org/10.1016/S0304-3959(02)00299-3</w:t>
      </w:r>
    </w:p>
    <w:p w14:paraId="1519FAE3" w14:textId="77777777" w:rsidR="00FF5975" w:rsidRPr="006470CD" w:rsidRDefault="00FF5975" w:rsidP="006470CD">
      <w:pPr>
        <w:pStyle w:val="Bibliography"/>
        <w:spacing w:line="360" w:lineRule="auto"/>
        <w:rPr>
          <w:szCs w:val="22"/>
          <w:lang w:val="en-US"/>
        </w:rPr>
      </w:pPr>
      <w:r w:rsidRPr="006470CD">
        <w:rPr>
          <w:szCs w:val="22"/>
        </w:rPr>
        <w:lastRenderedPageBreak/>
        <w:t xml:space="preserve">Denutte, Y., Reijnders, T., Davenport, P. W., Janssens, W., Troosters, T., &amp; Leupoldt, A. V. (2020). </w:t>
      </w:r>
      <w:r w:rsidRPr="006470CD">
        <w:rPr>
          <w:szCs w:val="22"/>
          <w:lang w:val="en-US"/>
        </w:rPr>
        <w:t xml:space="preserve">Reduced neural gating of respiratory sensations in COPD patients versus healthy controls. </w:t>
      </w:r>
      <w:r w:rsidRPr="006470CD">
        <w:rPr>
          <w:i/>
          <w:iCs/>
          <w:szCs w:val="22"/>
          <w:lang w:val="en-US"/>
        </w:rPr>
        <w:t>European Respiratory Journal</w:t>
      </w:r>
      <w:r w:rsidRPr="006470CD">
        <w:rPr>
          <w:szCs w:val="22"/>
          <w:lang w:val="en-US"/>
        </w:rPr>
        <w:t xml:space="preserve">, </w:t>
      </w:r>
      <w:r w:rsidRPr="006470CD">
        <w:rPr>
          <w:i/>
          <w:iCs/>
          <w:szCs w:val="22"/>
          <w:lang w:val="en-US"/>
        </w:rPr>
        <w:t>56</w:t>
      </w:r>
      <w:r w:rsidRPr="006470CD">
        <w:rPr>
          <w:szCs w:val="22"/>
          <w:lang w:val="en-US"/>
        </w:rPr>
        <w:t>, 1936. https://doi.org/10.1183/13993003.congress-2020.1936</w:t>
      </w:r>
    </w:p>
    <w:p w14:paraId="20BA90C3" w14:textId="77777777" w:rsidR="00FF5975" w:rsidRPr="006470CD" w:rsidRDefault="00FF5975" w:rsidP="006470CD">
      <w:pPr>
        <w:pStyle w:val="Bibliography"/>
        <w:spacing w:line="360" w:lineRule="auto"/>
        <w:rPr>
          <w:szCs w:val="22"/>
          <w:lang w:val="en-US"/>
        </w:rPr>
      </w:pPr>
      <w:r w:rsidRPr="006470CD">
        <w:rPr>
          <w:szCs w:val="22"/>
          <w:lang w:val="en-US"/>
        </w:rPr>
        <w:t xml:space="preserve">Di </w:t>
      </w:r>
      <w:proofErr w:type="spellStart"/>
      <w:r w:rsidRPr="006470CD">
        <w:rPr>
          <w:szCs w:val="22"/>
          <w:lang w:val="en-US"/>
        </w:rPr>
        <w:t>Lernia</w:t>
      </w:r>
      <w:proofErr w:type="spellEnd"/>
      <w:r w:rsidRPr="006470CD">
        <w:rPr>
          <w:szCs w:val="22"/>
          <w:lang w:val="en-US"/>
        </w:rPr>
        <w:t xml:space="preserve">, D., Serino, S., &amp; Riva, G. (2016). Pain in the body. Altered interoception in chronic pain conditions: A systematic review. </w:t>
      </w:r>
      <w:r w:rsidRPr="006470CD">
        <w:rPr>
          <w:i/>
          <w:iCs/>
          <w:szCs w:val="22"/>
          <w:lang w:val="en-US"/>
        </w:rPr>
        <w:t>Neuroscience &amp; Biobehavioral Reviews</w:t>
      </w:r>
      <w:r w:rsidRPr="006470CD">
        <w:rPr>
          <w:szCs w:val="22"/>
          <w:lang w:val="en-US"/>
        </w:rPr>
        <w:t xml:space="preserve">, </w:t>
      </w:r>
      <w:r w:rsidRPr="006470CD">
        <w:rPr>
          <w:i/>
          <w:iCs/>
          <w:szCs w:val="22"/>
          <w:lang w:val="en-US"/>
        </w:rPr>
        <w:t>71</w:t>
      </w:r>
      <w:r w:rsidRPr="006470CD">
        <w:rPr>
          <w:szCs w:val="22"/>
          <w:lang w:val="en-US"/>
        </w:rPr>
        <w:t>, 328–341. https://doi.org/10.1016/j.neubiorev.2016.09.015</w:t>
      </w:r>
    </w:p>
    <w:p w14:paraId="30504875" w14:textId="77777777" w:rsidR="00FF5975" w:rsidRPr="006470CD" w:rsidRDefault="00FF5975" w:rsidP="006470CD">
      <w:pPr>
        <w:pStyle w:val="Bibliography"/>
        <w:spacing w:line="360" w:lineRule="auto"/>
        <w:rPr>
          <w:szCs w:val="22"/>
          <w:lang w:val="en-US"/>
        </w:rPr>
      </w:pPr>
      <w:r w:rsidRPr="006470CD">
        <w:rPr>
          <w:szCs w:val="22"/>
          <w:lang w:val="en-US"/>
        </w:rPr>
        <w:t xml:space="preserve">Dumoulin, M., Liberati, G., </w:t>
      </w:r>
      <w:proofErr w:type="spellStart"/>
      <w:r w:rsidRPr="006470CD">
        <w:rPr>
          <w:szCs w:val="22"/>
          <w:lang w:val="en-US"/>
        </w:rPr>
        <w:t>Mouraux</w:t>
      </w:r>
      <w:proofErr w:type="spellEnd"/>
      <w:r w:rsidRPr="006470CD">
        <w:rPr>
          <w:szCs w:val="22"/>
          <w:lang w:val="en-US"/>
        </w:rPr>
        <w:t xml:space="preserve">, A., Santos, S. F., &amp; </w:t>
      </w:r>
      <w:proofErr w:type="spellStart"/>
      <w:r w:rsidRPr="006470CD">
        <w:rPr>
          <w:szCs w:val="22"/>
          <w:lang w:val="en-US"/>
        </w:rPr>
        <w:t>Tahry</w:t>
      </w:r>
      <w:proofErr w:type="spellEnd"/>
      <w:r w:rsidRPr="006470CD">
        <w:rPr>
          <w:szCs w:val="22"/>
          <w:lang w:val="en-US"/>
        </w:rPr>
        <w:t xml:space="preserve">, R. E. (2021). Transcutaneous auricular VNS applied to experimental pain: A paired behavioral and EEG study using </w:t>
      </w:r>
      <w:proofErr w:type="spellStart"/>
      <w:r w:rsidRPr="006470CD">
        <w:rPr>
          <w:szCs w:val="22"/>
          <w:lang w:val="en-US"/>
        </w:rPr>
        <w:t>thermonociceptive</w:t>
      </w:r>
      <w:proofErr w:type="spellEnd"/>
      <w:r w:rsidRPr="006470CD">
        <w:rPr>
          <w:szCs w:val="22"/>
          <w:lang w:val="en-US"/>
        </w:rPr>
        <w:t xml:space="preserve"> CO2 laser. </w:t>
      </w:r>
      <w:r w:rsidRPr="006470CD">
        <w:rPr>
          <w:i/>
          <w:iCs/>
          <w:szCs w:val="22"/>
          <w:lang w:val="en-US"/>
        </w:rPr>
        <w:t>PLOS ONE</w:t>
      </w:r>
      <w:r w:rsidRPr="006470CD">
        <w:rPr>
          <w:szCs w:val="22"/>
          <w:lang w:val="en-US"/>
        </w:rPr>
        <w:t xml:space="preserve">, </w:t>
      </w:r>
      <w:r w:rsidRPr="006470CD">
        <w:rPr>
          <w:i/>
          <w:iCs/>
          <w:szCs w:val="22"/>
          <w:lang w:val="en-US"/>
        </w:rPr>
        <w:t>16</w:t>
      </w:r>
      <w:r w:rsidRPr="006470CD">
        <w:rPr>
          <w:szCs w:val="22"/>
          <w:lang w:val="en-US"/>
        </w:rPr>
        <w:t>(7), e0254480. https://doi.org/10.1371/journal.pone.0254480</w:t>
      </w:r>
    </w:p>
    <w:p w14:paraId="12F86C26" w14:textId="77777777" w:rsidR="00FF5975" w:rsidRPr="006470CD" w:rsidRDefault="00FF5975" w:rsidP="006470CD">
      <w:pPr>
        <w:pStyle w:val="Bibliography"/>
        <w:spacing w:line="360" w:lineRule="auto"/>
        <w:rPr>
          <w:szCs w:val="22"/>
          <w:lang w:val="en-US"/>
        </w:rPr>
      </w:pPr>
      <w:r w:rsidRPr="006470CD">
        <w:rPr>
          <w:szCs w:val="22"/>
          <w:lang w:val="en-US"/>
        </w:rPr>
        <w:t xml:space="preserve">Edgar, J. C., Miller, G. A., Moses, S. N., </w:t>
      </w:r>
      <w:proofErr w:type="spellStart"/>
      <w:r w:rsidRPr="006470CD">
        <w:rPr>
          <w:szCs w:val="22"/>
          <w:lang w:val="en-US"/>
        </w:rPr>
        <w:t>Thoma</w:t>
      </w:r>
      <w:proofErr w:type="spellEnd"/>
      <w:r w:rsidRPr="006470CD">
        <w:rPr>
          <w:szCs w:val="22"/>
          <w:lang w:val="en-US"/>
        </w:rPr>
        <w:t xml:space="preserve">, R. J., Huang, M. X., Hanlon, F. M., Weisend, M. P., Sherwood, A., Bustillo, J., Adler, L. E., &amp; </w:t>
      </w:r>
      <w:proofErr w:type="spellStart"/>
      <w:r w:rsidRPr="006470CD">
        <w:rPr>
          <w:szCs w:val="22"/>
          <w:lang w:val="en-US"/>
        </w:rPr>
        <w:t>Cañive</w:t>
      </w:r>
      <w:proofErr w:type="spellEnd"/>
      <w:r w:rsidRPr="006470CD">
        <w:rPr>
          <w:szCs w:val="22"/>
          <w:lang w:val="en-US"/>
        </w:rPr>
        <w:t xml:space="preserve">, J. M. (2005). Cross-modal generality of the gating deficit. </w:t>
      </w:r>
      <w:r w:rsidRPr="006470CD">
        <w:rPr>
          <w:i/>
          <w:iCs/>
          <w:szCs w:val="22"/>
          <w:lang w:val="en-US"/>
        </w:rPr>
        <w:t>Psychophysiology</w:t>
      </w:r>
      <w:r w:rsidRPr="006470CD">
        <w:rPr>
          <w:szCs w:val="22"/>
          <w:lang w:val="en-US"/>
        </w:rPr>
        <w:t xml:space="preserve">, </w:t>
      </w:r>
      <w:r w:rsidRPr="006470CD">
        <w:rPr>
          <w:i/>
          <w:iCs/>
          <w:szCs w:val="22"/>
          <w:lang w:val="en-US"/>
        </w:rPr>
        <w:t>42</w:t>
      </w:r>
      <w:r w:rsidRPr="006470CD">
        <w:rPr>
          <w:szCs w:val="22"/>
          <w:lang w:val="en-US"/>
        </w:rPr>
        <w:t>(3), 318–327. https://doi.org/10.1111/j.1469-8986.2005.00292.x</w:t>
      </w:r>
    </w:p>
    <w:p w14:paraId="5F59B7C2" w14:textId="77777777" w:rsidR="00FF5975" w:rsidRPr="006470CD" w:rsidRDefault="00FF5975" w:rsidP="006470CD">
      <w:pPr>
        <w:pStyle w:val="Bibliography"/>
        <w:spacing w:line="360" w:lineRule="auto"/>
        <w:rPr>
          <w:szCs w:val="22"/>
          <w:lang w:val="en-US"/>
        </w:rPr>
      </w:pPr>
      <w:r w:rsidRPr="006470CD">
        <w:rPr>
          <w:szCs w:val="22"/>
          <w:lang w:val="en-US"/>
        </w:rPr>
        <w:t xml:space="preserve">Farmer, A. D., Strzelczyk, A., </w:t>
      </w:r>
      <w:proofErr w:type="spellStart"/>
      <w:r w:rsidRPr="006470CD">
        <w:rPr>
          <w:szCs w:val="22"/>
          <w:lang w:val="en-US"/>
        </w:rPr>
        <w:t>Finisguerra</w:t>
      </w:r>
      <w:proofErr w:type="spellEnd"/>
      <w:r w:rsidRPr="006470CD">
        <w:rPr>
          <w:szCs w:val="22"/>
          <w:lang w:val="en-US"/>
        </w:rPr>
        <w:t xml:space="preserve">, A., </w:t>
      </w:r>
      <w:proofErr w:type="spellStart"/>
      <w:r w:rsidRPr="006470CD">
        <w:rPr>
          <w:szCs w:val="22"/>
          <w:lang w:val="en-US"/>
        </w:rPr>
        <w:t>Gourine</w:t>
      </w:r>
      <w:proofErr w:type="spellEnd"/>
      <w:r w:rsidRPr="006470CD">
        <w:rPr>
          <w:szCs w:val="22"/>
          <w:lang w:val="en-US"/>
        </w:rPr>
        <w:t xml:space="preserve">, A. V., Gharabaghi, A., Hasan, A., Burger, A. M., Jaramillo, A. M., Mertens, A., Majid, A., </w:t>
      </w:r>
      <w:proofErr w:type="spellStart"/>
      <w:r w:rsidRPr="006470CD">
        <w:rPr>
          <w:szCs w:val="22"/>
          <w:lang w:val="en-US"/>
        </w:rPr>
        <w:t>Verkuil</w:t>
      </w:r>
      <w:proofErr w:type="spellEnd"/>
      <w:r w:rsidRPr="006470CD">
        <w:rPr>
          <w:szCs w:val="22"/>
          <w:lang w:val="en-US"/>
        </w:rPr>
        <w:t xml:space="preserve">, B., Badran, B. W., Ventura-Bort, C., Gaul, C., Beste, C., Warren, C. M., </w:t>
      </w:r>
      <w:proofErr w:type="spellStart"/>
      <w:r w:rsidRPr="006470CD">
        <w:rPr>
          <w:szCs w:val="22"/>
          <w:lang w:val="en-US"/>
        </w:rPr>
        <w:t>Quintana</w:t>
      </w:r>
      <w:proofErr w:type="spellEnd"/>
      <w:r w:rsidRPr="006470CD">
        <w:rPr>
          <w:szCs w:val="22"/>
          <w:lang w:val="en-US"/>
        </w:rPr>
        <w:t xml:space="preserve">, D. S., </w:t>
      </w:r>
      <w:proofErr w:type="spellStart"/>
      <w:r w:rsidRPr="006470CD">
        <w:rPr>
          <w:szCs w:val="22"/>
          <w:lang w:val="en-US"/>
        </w:rPr>
        <w:t>Hämmerer</w:t>
      </w:r>
      <w:proofErr w:type="spellEnd"/>
      <w:r w:rsidRPr="006470CD">
        <w:rPr>
          <w:szCs w:val="22"/>
          <w:lang w:val="en-US"/>
        </w:rPr>
        <w:t xml:space="preserve">, D., </w:t>
      </w:r>
      <w:proofErr w:type="spellStart"/>
      <w:r w:rsidRPr="006470CD">
        <w:rPr>
          <w:szCs w:val="22"/>
          <w:lang w:val="en-US"/>
        </w:rPr>
        <w:t>Freri</w:t>
      </w:r>
      <w:proofErr w:type="spellEnd"/>
      <w:r w:rsidRPr="006470CD">
        <w:rPr>
          <w:szCs w:val="22"/>
          <w:lang w:val="en-US"/>
        </w:rPr>
        <w:t xml:space="preserve">, E., … Koenig, J. (2021). International Consensus Based Review and Recommendations for Minimum Reporting Standards in Research on Transcutaneous </w:t>
      </w:r>
      <w:proofErr w:type="spellStart"/>
      <w:r w:rsidRPr="006470CD">
        <w:rPr>
          <w:szCs w:val="22"/>
          <w:lang w:val="en-US"/>
        </w:rPr>
        <w:t>Vagus</w:t>
      </w:r>
      <w:proofErr w:type="spellEnd"/>
      <w:r w:rsidRPr="006470CD">
        <w:rPr>
          <w:szCs w:val="22"/>
          <w:lang w:val="en-US"/>
        </w:rPr>
        <w:t xml:space="preserve"> Nerve Stimulation (Version 2020). </w:t>
      </w:r>
      <w:r w:rsidRPr="006470CD">
        <w:rPr>
          <w:i/>
          <w:iCs/>
          <w:szCs w:val="22"/>
          <w:lang w:val="en-US"/>
        </w:rPr>
        <w:t>Frontiers in Human Neuroscience</w:t>
      </w:r>
      <w:r w:rsidRPr="006470CD">
        <w:rPr>
          <w:szCs w:val="22"/>
          <w:lang w:val="en-US"/>
        </w:rPr>
        <w:t xml:space="preserve">, </w:t>
      </w:r>
      <w:r w:rsidRPr="006470CD">
        <w:rPr>
          <w:i/>
          <w:iCs/>
          <w:szCs w:val="22"/>
          <w:lang w:val="en-US"/>
        </w:rPr>
        <w:t>14</w:t>
      </w:r>
      <w:r w:rsidRPr="006470CD">
        <w:rPr>
          <w:szCs w:val="22"/>
          <w:lang w:val="en-US"/>
        </w:rPr>
        <w:t>. https://doi.org/10.3389/FNHUM.2020.568051</w:t>
      </w:r>
    </w:p>
    <w:p w14:paraId="0FEB7209" w14:textId="77777777" w:rsidR="00FF5975" w:rsidRPr="006470CD" w:rsidRDefault="00FF5975" w:rsidP="006470CD">
      <w:pPr>
        <w:pStyle w:val="Bibliography"/>
        <w:spacing w:line="360" w:lineRule="auto"/>
        <w:rPr>
          <w:szCs w:val="22"/>
          <w:lang w:val="en-US"/>
        </w:rPr>
      </w:pPr>
      <w:proofErr w:type="spellStart"/>
      <w:r w:rsidRPr="006470CD">
        <w:rPr>
          <w:szCs w:val="22"/>
          <w:lang w:val="en-US"/>
        </w:rPr>
        <w:t>Giraudier</w:t>
      </w:r>
      <w:proofErr w:type="spellEnd"/>
      <w:r w:rsidRPr="006470CD">
        <w:rPr>
          <w:szCs w:val="22"/>
          <w:lang w:val="en-US"/>
        </w:rPr>
        <w:t xml:space="preserve">, M., Ventura-Bort, C., Burger, A. M., Claes, N., </w:t>
      </w:r>
      <w:proofErr w:type="spellStart"/>
      <w:r w:rsidRPr="006470CD">
        <w:rPr>
          <w:szCs w:val="22"/>
          <w:lang w:val="en-US"/>
        </w:rPr>
        <w:t>D’Agostini</w:t>
      </w:r>
      <w:proofErr w:type="spellEnd"/>
      <w:r w:rsidRPr="006470CD">
        <w:rPr>
          <w:szCs w:val="22"/>
          <w:lang w:val="en-US"/>
        </w:rPr>
        <w:t xml:space="preserve">, M., Fischer, R., Franssen, M., Kaess, M., Koenig, J., </w:t>
      </w:r>
      <w:proofErr w:type="spellStart"/>
      <w:r w:rsidRPr="006470CD">
        <w:rPr>
          <w:szCs w:val="22"/>
          <w:lang w:val="en-US"/>
        </w:rPr>
        <w:t>Liepelt</w:t>
      </w:r>
      <w:proofErr w:type="spellEnd"/>
      <w:r w:rsidRPr="006470CD">
        <w:rPr>
          <w:szCs w:val="22"/>
          <w:lang w:val="en-US"/>
        </w:rPr>
        <w:t xml:space="preserve">, R., Nieuwenhuis, S., Sommer, A., </w:t>
      </w:r>
      <w:proofErr w:type="spellStart"/>
      <w:r w:rsidRPr="006470CD">
        <w:rPr>
          <w:szCs w:val="22"/>
          <w:lang w:val="en-US"/>
        </w:rPr>
        <w:t>Usichenko</w:t>
      </w:r>
      <w:proofErr w:type="spellEnd"/>
      <w:r w:rsidRPr="006470CD">
        <w:rPr>
          <w:szCs w:val="22"/>
          <w:lang w:val="en-US"/>
        </w:rPr>
        <w:t xml:space="preserve">, T., Van Diest, I., von Leupoldt, A., Warren, C. M., &amp; Weymar, M. (2022). Evidence for a modulating effect of transcutaneous auricular </w:t>
      </w:r>
      <w:proofErr w:type="spellStart"/>
      <w:r w:rsidRPr="006470CD">
        <w:rPr>
          <w:szCs w:val="22"/>
          <w:lang w:val="en-US"/>
        </w:rPr>
        <w:t>vagus</w:t>
      </w:r>
      <w:proofErr w:type="spellEnd"/>
      <w:r w:rsidRPr="006470CD">
        <w:rPr>
          <w:szCs w:val="22"/>
          <w:lang w:val="en-US"/>
        </w:rPr>
        <w:t xml:space="preserve"> nerve stimulation (</w:t>
      </w:r>
      <w:proofErr w:type="spellStart"/>
      <w:r w:rsidRPr="006470CD">
        <w:rPr>
          <w:szCs w:val="22"/>
          <w:lang w:val="en-US"/>
        </w:rPr>
        <w:t>taVNS</w:t>
      </w:r>
      <w:proofErr w:type="spellEnd"/>
      <w:r w:rsidRPr="006470CD">
        <w:rPr>
          <w:szCs w:val="22"/>
          <w:lang w:val="en-US"/>
        </w:rPr>
        <w:t xml:space="preserve">) on salivary alpha-amylase as indirect noradrenergic marker: A pooled mega-analysis. </w:t>
      </w:r>
      <w:r w:rsidRPr="006470CD">
        <w:rPr>
          <w:i/>
          <w:iCs/>
          <w:szCs w:val="22"/>
          <w:lang w:val="en-US"/>
        </w:rPr>
        <w:t>Brain Stimulation</w:t>
      </w:r>
      <w:r w:rsidRPr="006470CD">
        <w:rPr>
          <w:szCs w:val="22"/>
          <w:lang w:val="en-US"/>
        </w:rPr>
        <w:t xml:space="preserve">, </w:t>
      </w:r>
      <w:r w:rsidRPr="006470CD">
        <w:rPr>
          <w:i/>
          <w:iCs/>
          <w:szCs w:val="22"/>
          <w:lang w:val="en-US"/>
        </w:rPr>
        <w:t>15</w:t>
      </w:r>
      <w:r w:rsidRPr="006470CD">
        <w:rPr>
          <w:szCs w:val="22"/>
          <w:lang w:val="en-US"/>
        </w:rPr>
        <w:t>(6), 1378–1388. https://doi.org/10.1016/j.brs.2022.09.009</w:t>
      </w:r>
    </w:p>
    <w:p w14:paraId="56826D9A" w14:textId="77777777" w:rsidR="00FF5975" w:rsidRPr="006470CD" w:rsidRDefault="00FF5975" w:rsidP="006470CD">
      <w:pPr>
        <w:pStyle w:val="Bibliography"/>
        <w:spacing w:line="360" w:lineRule="auto"/>
        <w:rPr>
          <w:szCs w:val="22"/>
          <w:lang w:val="en-US"/>
        </w:rPr>
      </w:pPr>
      <w:proofErr w:type="spellStart"/>
      <w:r w:rsidRPr="006470CD">
        <w:rPr>
          <w:szCs w:val="22"/>
          <w:lang w:val="en-US"/>
        </w:rPr>
        <w:t>Giraudier</w:t>
      </w:r>
      <w:proofErr w:type="spellEnd"/>
      <w:r w:rsidRPr="006470CD">
        <w:rPr>
          <w:szCs w:val="22"/>
          <w:lang w:val="en-US"/>
        </w:rPr>
        <w:t xml:space="preserve">, M., Ventura-Bort, C., &amp; Weymar, M. (2024). Effects of Transcutaneous Auricular </w:t>
      </w:r>
      <w:proofErr w:type="spellStart"/>
      <w:r w:rsidRPr="006470CD">
        <w:rPr>
          <w:szCs w:val="22"/>
          <w:lang w:val="en-US"/>
        </w:rPr>
        <w:t>Vagus</w:t>
      </w:r>
      <w:proofErr w:type="spellEnd"/>
      <w:r w:rsidRPr="006470CD">
        <w:rPr>
          <w:szCs w:val="22"/>
          <w:lang w:val="en-US"/>
        </w:rPr>
        <w:t xml:space="preserve"> Nerve Stimulation on the P300: Do Stimulation Duration and Stimulation Type Matter? </w:t>
      </w:r>
      <w:r w:rsidRPr="006470CD">
        <w:rPr>
          <w:i/>
          <w:iCs/>
          <w:szCs w:val="22"/>
          <w:lang w:val="en-US"/>
        </w:rPr>
        <w:t>Brain Sciences</w:t>
      </w:r>
      <w:r w:rsidRPr="006470CD">
        <w:rPr>
          <w:szCs w:val="22"/>
          <w:lang w:val="en-US"/>
        </w:rPr>
        <w:t xml:space="preserve">, </w:t>
      </w:r>
      <w:r w:rsidRPr="006470CD">
        <w:rPr>
          <w:i/>
          <w:iCs/>
          <w:szCs w:val="22"/>
          <w:lang w:val="en-US"/>
        </w:rPr>
        <w:t>14</w:t>
      </w:r>
      <w:r w:rsidRPr="006470CD">
        <w:rPr>
          <w:szCs w:val="22"/>
          <w:lang w:val="en-US"/>
        </w:rPr>
        <w:t>(7), 690. https://doi.org/10.3390/brainsci14070690</w:t>
      </w:r>
    </w:p>
    <w:p w14:paraId="64B39ED6" w14:textId="77777777" w:rsidR="00FF5975" w:rsidRPr="006470CD" w:rsidRDefault="00FF5975" w:rsidP="006470CD">
      <w:pPr>
        <w:pStyle w:val="Bibliography"/>
        <w:spacing w:line="360" w:lineRule="auto"/>
        <w:rPr>
          <w:szCs w:val="22"/>
          <w:lang w:val="en-US"/>
        </w:rPr>
      </w:pPr>
      <w:proofErr w:type="spellStart"/>
      <w:r w:rsidRPr="006470CD">
        <w:rPr>
          <w:szCs w:val="22"/>
          <w:lang w:val="en-US"/>
        </w:rPr>
        <w:t>Gramfort</w:t>
      </w:r>
      <w:proofErr w:type="spellEnd"/>
      <w:r w:rsidRPr="006470CD">
        <w:rPr>
          <w:szCs w:val="22"/>
          <w:lang w:val="en-US"/>
        </w:rPr>
        <w:t xml:space="preserve">, A., </w:t>
      </w:r>
      <w:proofErr w:type="spellStart"/>
      <w:r w:rsidRPr="006470CD">
        <w:rPr>
          <w:szCs w:val="22"/>
          <w:lang w:val="en-US"/>
        </w:rPr>
        <w:t>Luessi</w:t>
      </w:r>
      <w:proofErr w:type="spellEnd"/>
      <w:r w:rsidRPr="006470CD">
        <w:rPr>
          <w:szCs w:val="22"/>
          <w:lang w:val="en-US"/>
        </w:rPr>
        <w:t xml:space="preserve">, M., Larson, E., Engemann, D., Strohmeier, D., Brodbeck, C., </w:t>
      </w:r>
      <w:proofErr w:type="spellStart"/>
      <w:r w:rsidRPr="006470CD">
        <w:rPr>
          <w:szCs w:val="22"/>
          <w:lang w:val="en-US"/>
        </w:rPr>
        <w:t>Goj</w:t>
      </w:r>
      <w:proofErr w:type="spellEnd"/>
      <w:r w:rsidRPr="006470CD">
        <w:rPr>
          <w:szCs w:val="22"/>
          <w:lang w:val="en-US"/>
        </w:rPr>
        <w:t xml:space="preserve">, R., Jas, M., Brooks, T., Parkkonen, L., &amp; Hämäläinen, M. (2013). MEG and EEG data analysis with MNE-Python. </w:t>
      </w:r>
      <w:r w:rsidRPr="006470CD">
        <w:rPr>
          <w:i/>
          <w:iCs/>
          <w:szCs w:val="22"/>
          <w:lang w:val="en-US"/>
        </w:rPr>
        <w:t>Frontiers in Neuroscience</w:t>
      </w:r>
      <w:r w:rsidRPr="006470CD">
        <w:rPr>
          <w:szCs w:val="22"/>
          <w:lang w:val="en-US"/>
        </w:rPr>
        <w:t xml:space="preserve">, </w:t>
      </w:r>
      <w:r w:rsidRPr="006470CD">
        <w:rPr>
          <w:i/>
          <w:iCs/>
          <w:szCs w:val="22"/>
          <w:lang w:val="en-US"/>
        </w:rPr>
        <w:t>7</w:t>
      </w:r>
      <w:r w:rsidRPr="006470CD">
        <w:rPr>
          <w:szCs w:val="22"/>
          <w:lang w:val="en-US"/>
        </w:rPr>
        <w:t>. https://www.frontiersin.org/articles/10.3389/fnins.2013.00267</w:t>
      </w:r>
    </w:p>
    <w:p w14:paraId="59E1552D" w14:textId="77777777" w:rsidR="00FF5975" w:rsidRPr="006470CD" w:rsidRDefault="00FF5975" w:rsidP="006470CD">
      <w:pPr>
        <w:pStyle w:val="Bibliography"/>
        <w:spacing w:line="360" w:lineRule="auto"/>
        <w:rPr>
          <w:szCs w:val="22"/>
          <w:lang w:val="en-US"/>
        </w:rPr>
      </w:pPr>
      <w:r w:rsidRPr="006470CD">
        <w:rPr>
          <w:szCs w:val="22"/>
          <w:lang w:val="en-US"/>
        </w:rPr>
        <w:lastRenderedPageBreak/>
        <w:t xml:space="preserve">Green, P., &amp; MacLeod, C. J. (2016). SIMR: An R package for power analysis of generalized linear mixed models by simulation. </w:t>
      </w:r>
      <w:r w:rsidRPr="006470CD">
        <w:rPr>
          <w:i/>
          <w:iCs/>
          <w:szCs w:val="22"/>
          <w:lang w:val="en-US"/>
        </w:rPr>
        <w:t>Methods in Ecology and Evolution</w:t>
      </w:r>
      <w:r w:rsidRPr="006470CD">
        <w:rPr>
          <w:szCs w:val="22"/>
          <w:lang w:val="en-US"/>
        </w:rPr>
        <w:t xml:space="preserve">, </w:t>
      </w:r>
      <w:r w:rsidRPr="006470CD">
        <w:rPr>
          <w:i/>
          <w:iCs/>
          <w:szCs w:val="22"/>
          <w:lang w:val="en-US"/>
        </w:rPr>
        <w:t>7</w:t>
      </w:r>
      <w:r w:rsidRPr="006470CD">
        <w:rPr>
          <w:szCs w:val="22"/>
          <w:lang w:val="en-US"/>
        </w:rPr>
        <w:t>(4), 493–498. https://doi.org/10.1111/2041-210X.12504</w:t>
      </w:r>
    </w:p>
    <w:p w14:paraId="348D8C98" w14:textId="77777777" w:rsidR="00FF5975" w:rsidRPr="006470CD" w:rsidRDefault="00FF5975" w:rsidP="006470CD">
      <w:pPr>
        <w:pStyle w:val="Bibliography"/>
        <w:spacing w:line="360" w:lineRule="auto"/>
        <w:rPr>
          <w:szCs w:val="22"/>
          <w:lang w:val="en-US"/>
        </w:rPr>
      </w:pPr>
      <w:r w:rsidRPr="006470CD">
        <w:rPr>
          <w:szCs w:val="22"/>
          <w:lang w:val="en-US"/>
        </w:rPr>
        <w:t xml:space="preserve">Herzog, M., Sucec, J., Van Diest, I., Van den Bergh, O., Chan, P.-Y. S., Davenport, P., &amp; von Leupoldt, A. (2018). Reduced neural gating of respiratory sensations is associated with increased </w:t>
      </w:r>
      <w:proofErr w:type="spellStart"/>
      <w:r w:rsidRPr="006470CD">
        <w:rPr>
          <w:szCs w:val="22"/>
          <w:lang w:val="en-US"/>
        </w:rPr>
        <w:t>dyspnoea</w:t>
      </w:r>
      <w:proofErr w:type="spellEnd"/>
      <w:r w:rsidRPr="006470CD">
        <w:rPr>
          <w:szCs w:val="22"/>
          <w:lang w:val="en-US"/>
        </w:rPr>
        <w:t xml:space="preserve"> perception. </w:t>
      </w:r>
      <w:r w:rsidRPr="006470CD">
        <w:rPr>
          <w:i/>
          <w:iCs/>
          <w:szCs w:val="22"/>
          <w:lang w:val="en-US"/>
        </w:rPr>
        <w:t>European Respiratory Journal</w:t>
      </w:r>
      <w:r w:rsidRPr="006470CD">
        <w:rPr>
          <w:szCs w:val="22"/>
          <w:lang w:val="en-US"/>
        </w:rPr>
        <w:t xml:space="preserve">, </w:t>
      </w:r>
      <w:r w:rsidRPr="006470CD">
        <w:rPr>
          <w:i/>
          <w:iCs/>
          <w:szCs w:val="22"/>
          <w:lang w:val="en-US"/>
        </w:rPr>
        <w:t>52</w:t>
      </w:r>
      <w:r w:rsidRPr="006470CD">
        <w:rPr>
          <w:szCs w:val="22"/>
          <w:lang w:val="en-US"/>
        </w:rPr>
        <w:t>(1), 1800559. https://doi.org/10.1183/13993003.00559-2018</w:t>
      </w:r>
    </w:p>
    <w:p w14:paraId="3557769D" w14:textId="77777777" w:rsidR="00FF5975" w:rsidRPr="006470CD" w:rsidRDefault="00FF5975" w:rsidP="006470CD">
      <w:pPr>
        <w:pStyle w:val="Bibliography"/>
        <w:spacing w:line="360" w:lineRule="auto"/>
        <w:rPr>
          <w:szCs w:val="22"/>
          <w:lang w:val="en-US"/>
        </w:rPr>
      </w:pPr>
      <w:r w:rsidRPr="006470CD">
        <w:rPr>
          <w:szCs w:val="22"/>
          <w:lang w:val="en-US"/>
        </w:rPr>
        <w:t xml:space="preserve">Herzog, M., Sucec, J., Van Diest, I., Van Den Bergh, O., </w:t>
      </w:r>
      <w:proofErr w:type="spellStart"/>
      <w:r w:rsidRPr="006470CD">
        <w:rPr>
          <w:szCs w:val="22"/>
          <w:lang w:val="en-US"/>
        </w:rPr>
        <w:t>Chenivesse</w:t>
      </w:r>
      <w:proofErr w:type="spellEnd"/>
      <w:r w:rsidRPr="006470CD">
        <w:rPr>
          <w:szCs w:val="22"/>
          <w:lang w:val="en-US"/>
        </w:rPr>
        <w:t xml:space="preserve">, C., Davenport, P., </w:t>
      </w:r>
      <w:proofErr w:type="spellStart"/>
      <w:r w:rsidRPr="006470CD">
        <w:rPr>
          <w:szCs w:val="22"/>
          <w:lang w:val="en-US"/>
        </w:rPr>
        <w:t>Similowski</w:t>
      </w:r>
      <w:proofErr w:type="spellEnd"/>
      <w:r w:rsidRPr="006470CD">
        <w:rPr>
          <w:szCs w:val="22"/>
          <w:lang w:val="en-US"/>
        </w:rPr>
        <w:t xml:space="preserve">, T., &amp; Von Leupoldt, A. (2018). Observing </w:t>
      </w:r>
      <w:proofErr w:type="spellStart"/>
      <w:r w:rsidRPr="006470CD">
        <w:rPr>
          <w:szCs w:val="22"/>
          <w:lang w:val="en-US"/>
        </w:rPr>
        <w:t>dyspnoea</w:t>
      </w:r>
      <w:proofErr w:type="spellEnd"/>
      <w:r w:rsidRPr="006470CD">
        <w:rPr>
          <w:szCs w:val="22"/>
          <w:lang w:val="en-US"/>
        </w:rPr>
        <w:t xml:space="preserve"> in others elicits </w:t>
      </w:r>
      <w:proofErr w:type="spellStart"/>
      <w:r w:rsidRPr="006470CD">
        <w:rPr>
          <w:szCs w:val="22"/>
          <w:lang w:val="en-US"/>
        </w:rPr>
        <w:t>dyspnoea</w:t>
      </w:r>
      <w:proofErr w:type="spellEnd"/>
      <w:r w:rsidRPr="006470CD">
        <w:rPr>
          <w:szCs w:val="22"/>
          <w:lang w:val="en-US"/>
        </w:rPr>
        <w:t xml:space="preserve">, negative affect and brain responses. </w:t>
      </w:r>
      <w:r w:rsidRPr="006470CD">
        <w:rPr>
          <w:i/>
          <w:iCs/>
          <w:szCs w:val="22"/>
          <w:lang w:val="en-US"/>
        </w:rPr>
        <w:t>European Respiratory Journal</w:t>
      </w:r>
      <w:r w:rsidRPr="006470CD">
        <w:rPr>
          <w:szCs w:val="22"/>
          <w:lang w:val="en-US"/>
        </w:rPr>
        <w:t>. https://doi.org/10.1183/13993003.02682-2017</w:t>
      </w:r>
    </w:p>
    <w:p w14:paraId="776E453D" w14:textId="77777777" w:rsidR="00FF5975" w:rsidRPr="006470CD" w:rsidRDefault="00FF5975" w:rsidP="006470CD">
      <w:pPr>
        <w:pStyle w:val="Bibliography"/>
        <w:spacing w:line="360" w:lineRule="auto"/>
        <w:rPr>
          <w:szCs w:val="22"/>
          <w:lang w:val="fr-FR"/>
        </w:rPr>
      </w:pPr>
      <w:r w:rsidRPr="006470CD">
        <w:rPr>
          <w:szCs w:val="22"/>
          <w:lang w:val="en-US"/>
        </w:rPr>
        <w:t xml:space="preserve">Hsiao, F. J., Wang, S. J., Lin, Y. Y., Fuh, J. L., Ko, Y. C., Wang, P. N., &amp; Chen, W. T. (2018). Somatosensory gating is altered and associated with migraine </w:t>
      </w:r>
      <w:proofErr w:type="spellStart"/>
      <w:r w:rsidRPr="006470CD">
        <w:rPr>
          <w:szCs w:val="22"/>
          <w:lang w:val="en-US"/>
        </w:rPr>
        <w:t>chronification</w:t>
      </w:r>
      <w:proofErr w:type="spellEnd"/>
      <w:r w:rsidRPr="006470CD">
        <w:rPr>
          <w:szCs w:val="22"/>
          <w:lang w:val="en-US"/>
        </w:rPr>
        <w:t xml:space="preserve">: A magnetoencephalographic study. </w:t>
      </w:r>
      <w:proofErr w:type="spellStart"/>
      <w:r w:rsidRPr="006470CD">
        <w:rPr>
          <w:i/>
          <w:iCs/>
          <w:szCs w:val="22"/>
          <w:lang w:val="fr-FR"/>
        </w:rPr>
        <w:t>Cephalalgia</w:t>
      </w:r>
      <w:proofErr w:type="spellEnd"/>
      <w:r w:rsidRPr="006470CD">
        <w:rPr>
          <w:szCs w:val="22"/>
          <w:lang w:val="fr-FR"/>
        </w:rPr>
        <w:t xml:space="preserve">, </w:t>
      </w:r>
      <w:r w:rsidRPr="006470CD">
        <w:rPr>
          <w:i/>
          <w:iCs/>
          <w:szCs w:val="22"/>
          <w:lang w:val="fr-FR"/>
        </w:rPr>
        <w:t>38</w:t>
      </w:r>
      <w:r w:rsidRPr="006470CD">
        <w:rPr>
          <w:szCs w:val="22"/>
          <w:lang w:val="fr-FR"/>
        </w:rPr>
        <w:t>(4), 744–753. https://doi.org/10.1177/0333102417712718</w:t>
      </w:r>
    </w:p>
    <w:p w14:paraId="5C633E0E" w14:textId="77777777" w:rsidR="00FF5975" w:rsidRPr="006470CD" w:rsidRDefault="00FF5975" w:rsidP="006470CD">
      <w:pPr>
        <w:pStyle w:val="Bibliography"/>
        <w:spacing w:line="360" w:lineRule="auto"/>
        <w:rPr>
          <w:szCs w:val="22"/>
          <w:lang w:val="en-US"/>
        </w:rPr>
      </w:pPr>
      <w:r w:rsidRPr="006470CD">
        <w:rPr>
          <w:szCs w:val="22"/>
          <w:lang w:val="fr-FR"/>
        </w:rPr>
        <w:t xml:space="preserve">Hu, L., Xiao, P., Zhang, Z. G., </w:t>
      </w:r>
      <w:proofErr w:type="spellStart"/>
      <w:r w:rsidRPr="006470CD">
        <w:rPr>
          <w:szCs w:val="22"/>
          <w:lang w:val="fr-FR"/>
        </w:rPr>
        <w:t>Mouraux</w:t>
      </w:r>
      <w:proofErr w:type="spellEnd"/>
      <w:r w:rsidRPr="006470CD">
        <w:rPr>
          <w:szCs w:val="22"/>
          <w:lang w:val="fr-FR"/>
        </w:rPr>
        <w:t xml:space="preserve">, A., &amp; </w:t>
      </w:r>
      <w:proofErr w:type="spellStart"/>
      <w:r w:rsidRPr="006470CD">
        <w:rPr>
          <w:szCs w:val="22"/>
          <w:lang w:val="fr-FR"/>
        </w:rPr>
        <w:t>Iannetti</w:t>
      </w:r>
      <w:proofErr w:type="spellEnd"/>
      <w:r w:rsidRPr="006470CD">
        <w:rPr>
          <w:szCs w:val="22"/>
          <w:lang w:val="fr-FR"/>
        </w:rPr>
        <w:t xml:space="preserve">, G. D. (2014). </w:t>
      </w:r>
      <w:r w:rsidRPr="006470CD">
        <w:rPr>
          <w:szCs w:val="22"/>
          <w:lang w:val="en-US"/>
        </w:rPr>
        <w:t xml:space="preserve">Single-trial time–frequency analysis of electrocortical signals: Baseline correction and beyond. </w:t>
      </w:r>
      <w:proofErr w:type="spellStart"/>
      <w:r w:rsidRPr="006470CD">
        <w:rPr>
          <w:i/>
          <w:iCs/>
          <w:szCs w:val="22"/>
          <w:lang w:val="en-US"/>
        </w:rPr>
        <w:t>NeuroImage</w:t>
      </w:r>
      <w:proofErr w:type="spellEnd"/>
      <w:r w:rsidRPr="006470CD">
        <w:rPr>
          <w:szCs w:val="22"/>
          <w:lang w:val="en-US"/>
        </w:rPr>
        <w:t xml:space="preserve">, </w:t>
      </w:r>
      <w:r w:rsidRPr="006470CD">
        <w:rPr>
          <w:i/>
          <w:iCs/>
          <w:szCs w:val="22"/>
          <w:lang w:val="en-US"/>
        </w:rPr>
        <w:t>84</w:t>
      </w:r>
      <w:r w:rsidRPr="006470CD">
        <w:rPr>
          <w:szCs w:val="22"/>
          <w:lang w:val="en-US"/>
        </w:rPr>
        <w:t>, 876–887. https://doi.org/10.1016/j.neuroimage.2013.09.055</w:t>
      </w:r>
    </w:p>
    <w:p w14:paraId="66507387" w14:textId="77777777" w:rsidR="00FF5975" w:rsidRPr="006470CD" w:rsidRDefault="00FF5975" w:rsidP="006470CD">
      <w:pPr>
        <w:pStyle w:val="Bibliography"/>
        <w:spacing w:line="360" w:lineRule="auto"/>
        <w:rPr>
          <w:szCs w:val="22"/>
          <w:lang w:val="en-US"/>
        </w:rPr>
      </w:pPr>
      <w:r w:rsidRPr="006470CD">
        <w:rPr>
          <w:szCs w:val="22"/>
          <w:lang w:val="en-US"/>
        </w:rPr>
        <w:t xml:space="preserve">Hyvarinen, A. (1999). Fast and robust fixed-point algorithms for independent component analysis. </w:t>
      </w:r>
      <w:r w:rsidRPr="006470CD">
        <w:rPr>
          <w:i/>
          <w:iCs/>
          <w:szCs w:val="22"/>
          <w:lang w:val="en-US"/>
        </w:rPr>
        <w:t>IEEE Transactions on Neural Networks</w:t>
      </w:r>
      <w:r w:rsidRPr="006470CD">
        <w:rPr>
          <w:szCs w:val="22"/>
          <w:lang w:val="en-US"/>
        </w:rPr>
        <w:t xml:space="preserve">, </w:t>
      </w:r>
      <w:r w:rsidRPr="006470CD">
        <w:rPr>
          <w:i/>
          <w:iCs/>
          <w:szCs w:val="22"/>
          <w:lang w:val="en-US"/>
        </w:rPr>
        <w:t>10</w:t>
      </w:r>
      <w:r w:rsidRPr="006470CD">
        <w:rPr>
          <w:szCs w:val="22"/>
          <w:lang w:val="en-US"/>
        </w:rPr>
        <w:t>(3), 626–634. IEEE Transactions on Neural Networks. https://doi.org/10.1109/72.761722</w:t>
      </w:r>
    </w:p>
    <w:p w14:paraId="376CF715" w14:textId="77777777" w:rsidR="00FF5975" w:rsidRPr="006470CD" w:rsidRDefault="00FF5975" w:rsidP="006470CD">
      <w:pPr>
        <w:pStyle w:val="Bibliography"/>
        <w:spacing w:line="360" w:lineRule="auto"/>
        <w:rPr>
          <w:szCs w:val="22"/>
          <w:lang w:val="en-US"/>
        </w:rPr>
      </w:pPr>
      <w:r w:rsidRPr="006470CD">
        <w:rPr>
          <w:szCs w:val="22"/>
          <w:lang w:val="en-US"/>
        </w:rPr>
        <w:t xml:space="preserve">Janner, H., </w:t>
      </w:r>
      <w:proofErr w:type="spellStart"/>
      <w:r w:rsidRPr="006470CD">
        <w:rPr>
          <w:szCs w:val="22"/>
          <w:lang w:val="en-US"/>
        </w:rPr>
        <w:t>Klausenitz</w:t>
      </w:r>
      <w:proofErr w:type="spellEnd"/>
      <w:r w:rsidRPr="006470CD">
        <w:rPr>
          <w:szCs w:val="22"/>
          <w:lang w:val="en-US"/>
        </w:rPr>
        <w:t xml:space="preserve">, C., Gürtler, N., </w:t>
      </w:r>
      <w:proofErr w:type="spellStart"/>
      <w:r w:rsidRPr="006470CD">
        <w:rPr>
          <w:szCs w:val="22"/>
          <w:lang w:val="en-US"/>
        </w:rPr>
        <w:t>Hahnenkamp</w:t>
      </w:r>
      <w:proofErr w:type="spellEnd"/>
      <w:r w:rsidRPr="006470CD">
        <w:rPr>
          <w:szCs w:val="22"/>
          <w:lang w:val="en-US"/>
        </w:rPr>
        <w:t xml:space="preserve">, K., &amp; </w:t>
      </w:r>
      <w:proofErr w:type="spellStart"/>
      <w:r w:rsidRPr="006470CD">
        <w:rPr>
          <w:szCs w:val="22"/>
          <w:lang w:val="en-US"/>
        </w:rPr>
        <w:t>Usichenko</w:t>
      </w:r>
      <w:proofErr w:type="spellEnd"/>
      <w:r w:rsidRPr="006470CD">
        <w:rPr>
          <w:szCs w:val="22"/>
          <w:lang w:val="en-US"/>
        </w:rPr>
        <w:t xml:space="preserve">, T. I. (2018). Effects of Electrical Transcutaneous </w:t>
      </w:r>
      <w:proofErr w:type="spellStart"/>
      <w:r w:rsidRPr="006470CD">
        <w:rPr>
          <w:szCs w:val="22"/>
          <w:lang w:val="en-US"/>
        </w:rPr>
        <w:t>Vagus</w:t>
      </w:r>
      <w:proofErr w:type="spellEnd"/>
      <w:r w:rsidRPr="006470CD">
        <w:rPr>
          <w:szCs w:val="22"/>
          <w:lang w:val="en-US"/>
        </w:rPr>
        <w:t xml:space="preserve"> Nerve Stimulation on the Perceived Intensity of Repetitive Painful Heat Stimuli: A Blinded Placebo- and Sham-Controlled Randomized Crossover Investigation. </w:t>
      </w:r>
      <w:r w:rsidRPr="006470CD">
        <w:rPr>
          <w:i/>
          <w:iCs/>
          <w:szCs w:val="22"/>
          <w:lang w:val="en-US"/>
        </w:rPr>
        <w:t>Anesthesia and Analgesia</w:t>
      </w:r>
      <w:r w:rsidRPr="006470CD">
        <w:rPr>
          <w:szCs w:val="22"/>
          <w:lang w:val="en-US"/>
        </w:rPr>
        <w:t xml:space="preserve">, </w:t>
      </w:r>
      <w:r w:rsidRPr="006470CD">
        <w:rPr>
          <w:i/>
          <w:iCs/>
          <w:szCs w:val="22"/>
          <w:lang w:val="en-US"/>
        </w:rPr>
        <w:t>126</w:t>
      </w:r>
      <w:r w:rsidRPr="006470CD">
        <w:rPr>
          <w:szCs w:val="22"/>
          <w:lang w:val="en-US"/>
        </w:rPr>
        <w:t>(6), 2085–2092. https://doi.org/10.1213/ANE.0000000000002820</w:t>
      </w:r>
    </w:p>
    <w:p w14:paraId="6A4FAFD3" w14:textId="77777777" w:rsidR="00FF5975" w:rsidRPr="006470CD" w:rsidRDefault="00FF5975" w:rsidP="006470CD">
      <w:pPr>
        <w:pStyle w:val="Bibliography"/>
        <w:spacing w:line="360" w:lineRule="auto"/>
        <w:rPr>
          <w:szCs w:val="22"/>
          <w:lang w:val="en-US"/>
        </w:rPr>
      </w:pPr>
      <w:r w:rsidRPr="006470CD">
        <w:rPr>
          <w:szCs w:val="22"/>
          <w:lang w:val="en-US"/>
        </w:rPr>
        <w:t xml:space="preserve">Jas, M., Engemann, D. A., Bekhti, Y., Raimondo, F., &amp; </w:t>
      </w:r>
      <w:proofErr w:type="spellStart"/>
      <w:r w:rsidRPr="006470CD">
        <w:rPr>
          <w:szCs w:val="22"/>
          <w:lang w:val="en-US"/>
        </w:rPr>
        <w:t>Gramfort</w:t>
      </w:r>
      <w:proofErr w:type="spellEnd"/>
      <w:r w:rsidRPr="006470CD">
        <w:rPr>
          <w:szCs w:val="22"/>
          <w:lang w:val="en-US"/>
        </w:rPr>
        <w:t xml:space="preserve">, A. (2017). </w:t>
      </w:r>
      <w:proofErr w:type="spellStart"/>
      <w:r w:rsidRPr="006470CD">
        <w:rPr>
          <w:szCs w:val="22"/>
          <w:lang w:val="en-US"/>
        </w:rPr>
        <w:t>Autoreject</w:t>
      </w:r>
      <w:proofErr w:type="spellEnd"/>
      <w:r w:rsidRPr="006470CD">
        <w:rPr>
          <w:szCs w:val="22"/>
          <w:lang w:val="en-US"/>
        </w:rPr>
        <w:t xml:space="preserve">: Automated artifact rejection for MEG and EEG data. </w:t>
      </w:r>
      <w:proofErr w:type="spellStart"/>
      <w:r w:rsidRPr="006470CD">
        <w:rPr>
          <w:i/>
          <w:iCs/>
          <w:szCs w:val="22"/>
          <w:lang w:val="en-US"/>
        </w:rPr>
        <w:t>NeuroImage</w:t>
      </w:r>
      <w:proofErr w:type="spellEnd"/>
      <w:r w:rsidRPr="006470CD">
        <w:rPr>
          <w:szCs w:val="22"/>
          <w:lang w:val="en-US"/>
        </w:rPr>
        <w:t xml:space="preserve">, </w:t>
      </w:r>
      <w:r w:rsidRPr="006470CD">
        <w:rPr>
          <w:i/>
          <w:iCs/>
          <w:szCs w:val="22"/>
          <w:lang w:val="en-US"/>
        </w:rPr>
        <w:t>159</w:t>
      </w:r>
      <w:r w:rsidRPr="006470CD">
        <w:rPr>
          <w:szCs w:val="22"/>
          <w:lang w:val="en-US"/>
        </w:rPr>
        <w:t>, 417–429. https://doi.org/10.1016/j.neuroimage.2017.06.030</w:t>
      </w:r>
    </w:p>
    <w:p w14:paraId="0E1931A2" w14:textId="77777777" w:rsidR="00FF5975" w:rsidRPr="006470CD" w:rsidRDefault="00FF5975" w:rsidP="006470CD">
      <w:pPr>
        <w:pStyle w:val="Bibliography"/>
        <w:spacing w:line="360" w:lineRule="auto"/>
        <w:rPr>
          <w:szCs w:val="22"/>
          <w:lang w:val="en-US"/>
        </w:rPr>
      </w:pPr>
      <w:proofErr w:type="spellStart"/>
      <w:r w:rsidRPr="006470CD">
        <w:rPr>
          <w:szCs w:val="22"/>
          <w:lang w:val="en-US"/>
        </w:rPr>
        <w:t>Jelincic</w:t>
      </w:r>
      <w:proofErr w:type="spellEnd"/>
      <w:r w:rsidRPr="006470CD">
        <w:rPr>
          <w:szCs w:val="22"/>
          <w:lang w:val="en-US"/>
        </w:rPr>
        <w:t xml:space="preserve">, V. (2023). </w:t>
      </w:r>
      <w:r w:rsidRPr="006470CD">
        <w:rPr>
          <w:i/>
          <w:iCs/>
          <w:szCs w:val="22"/>
          <w:lang w:val="en-US"/>
        </w:rPr>
        <w:t xml:space="preserve">The effects of transcutaneous auricular </w:t>
      </w:r>
      <w:proofErr w:type="spellStart"/>
      <w:r w:rsidRPr="006470CD">
        <w:rPr>
          <w:i/>
          <w:iCs/>
          <w:szCs w:val="22"/>
          <w:lang w:val="en-US"/>
        </w:rPr>
        <w:t>vagus</w:t>
      </w:r>
      <w:proofErr w:type="spellEnd"/>
      <w:r w:rsidRPr="006470CD">
        <w:rPr>
          <w:i/>
          <w:iCs/>
          <w:szCs w:val="22"/>
          <w:lang w:val="en-US"/>
        </w:rPr>
        <w:t xml:space="preserve"> nerve stimulation on the neural gating of </w:t>
      </w:r>
      <w:proofErr w:type="spellStart"/>
      <w:r w:rsidRPr="006470CD">
        <w:rPr>
          <w:i/>
          <w:iCs/>
          <w:szCs w:val="22"/>
          <w:lang w:val="en-US"/>
        </w:rPr>
        <w:t>extero</w:t>
      </w:r>
      <w:proofErr w:type="spellEnd"/>
      <w:r w:rsidRPr="006470CD">
        <w:rPr>
          <w:i/>
          <w:iCs/>
          <w:szCs w:val="22"/>
          <w:lang w:val="en-US"/>
        </w:rPr>
        <w:t>- and interoceptive sensations</w:t>
      </w:r>
      <w:r w:rsidRPr="006470CD">
        <w:rPr>
          <w:szCs w:val="22"/>
          <w:lang w:val="en-US"/>
        </w:rPr>
        <w:t>. https://osf.io/pv57c/</w:t>
      </w:r>
    </w:p>
    <w:p w14:paraId="7791D09E" w14:textId="77777777" w:rsidR="00FF5975" w:rsidRPr="006470CD" w:rsidRDefault="00FF5975" w:rsidP="006470CD">
      <w:pPr>
        <w:pStyle w:val="Bibliography"/>
        <w:spacing w:line="360" w:lineRule="auto"/>
        <w:rPr>
          <w:szCs w:val="22"/>
          <w:lang w:val="en-US"/>
        </w:rPr>
      </w:pPr>
      <w:r w:rsidRPr="006470CD">
        <w:rPr>
          <w:szCs w:val="22"/>
          <w:lang w:val="en-US"/>
        </w:rPr>
        <w:t xml:space="preserve">Jelinčić, V., Sone, M., </w:t>
      </w:r>
      <w:proofErr w:type="spellStart"/>
      <w:r w:rsidRPr="006470CD">
        <w:rPr>
          <w:szCs w:val="22"/>
          <w:lang w:val="en-US"/>
        </w:rPr>
        <w:t>Cerrahoğlu</w:t>
      </w:r>
      <w:proofErr w:type="spellEnd"/>
      <w:r w:rsidRPr="006470CD">
        <w:rPr>
          <w:szCs w:val="22"/>
          <w:lang w:val="en-US"/>
        </w:rPr>
        <w:t xml:space="preserve">, B., Torta, D. M., Van Diest, I., &amp; von Leupoldt, A. (2024). </w:t>
      </w:r>
      <w:r w:rsidRPr="006470CD">
        <w:rPr>
          <w:i/>
          <w:iCs/>
          <w:szCs w:val="22"/>
          <w:lang w:val="en-US"/>
        </w:rPr>
        <w:t>Conditioned Fear Selectively Increases the Perception and Neural Processing of Respiratory Stimuli Relative to Somatosensory Stimuli</w:t>
      </w:r>
      <w:r w:rsidRPr="006470CD">
        <w:rPr>
          <w:szCs w:val="22"/>
          <w:lang w:val="en-US"/>
        </w:rPr>
        <w:t xml:space="preserve"> (SSRN Scholarly Paper 4874882). https://doi.org/10.2139/ssrn.4874882</w:t>
      </w:r>
    </w:p>
    <w:p w14:paraId="2FFD2327" w14:textId="77777777" w:rsidR="00FF5975" w:rsidRPr="006470CD" w:rsidRDefault="00FF5975" w:rsidP="006470CD">
      <w:pPr>
        <w:pStyle w:val="Bibliography"/>
        <w:spacing w:line="360" w:lineRule="auto"/>
        <w:rPr>
          <w:szCs w:val="22"/>
          <w:lang w:val="en-US"/>
        </w:rPr>
      </w:pPr>
      <w:r w:rsidRPr="006470CD">
        <w:rPr>
          <w:szCs w:val="22"/>
        </w:rPr>
        <w:lastRenderedPageBreak/>
        <w:t xml:space="preserve">Jelinčić, V., Torta, D. M., Van Diest, I., &amp; Leupoldt, A. (2021). </w:t>
      </w:r>
      <w:r w:rsidRPr="006470CD">
        <w:rPr>
          <w:szCs w:val="22"/>
          <w:lang w:val="en-US"/>
        </w:rPr>
        <w:t>Cross</w:t>
      </w:r>
      <w:r w:rsidRPr="006470CD">
        <w:rPr>
          <w:rFonts w:ascii="Cambria Math" w:hAnsi="Cambria Math" w:cs="Cambria Math"/>
          <w:szCs w:val="22"/>
          <w:lang w:val="en-US"/>
        </w:rPr>
        <w:t>‐</w:t>
      </w:r>
      <w:r w:rsidRPr="006470CD">
        <w:rPr>
          <w:szCs w:val="22"/>
          <w:lang w:val="en-US"/>
        </w:rPr>
        <w:t xml:space="preserve">modal relationships of neural gating with the subjective perception of respiratory and somatosensory sensations. </w:t>
      </w:r>
      <w:r w:rsidRPr="006470CD">
        <w:rPr>
          <w:i/>
          <w:iCs/>
          <w:szCs w:val="22"/>
          <w:lang w:val="en-US"/>
        </w:rPr>
        <w:t>Psychophysiology</w:t>
      </w:r>
      <w:r w:rsidRPr="006470CD">
        <w:rPr>
          <w:szCs w:val="22"/>
          <w:lang w:val="en-US"/>
        </w:rPr>
        <w:t xml:space="preserve">, </w:t>
      </w:r>
      <w:r w:rsidRPr="006470CD">
        <w:rPr>
          <w:i/>
          <w:iCs/>
          <w:szCs w:val="22"/>
          <w:lang w:val="en-US"/>
        </w:rPr>
        <w:t>58</w:t>
      </w:r>
      <w:r w:rsidRPr="006470CD">
        <w:rPr>
          <w:szCs w:val="22"/>
          <w:lang w:val="en-US"/>
        </w:rPr>
        <w:t>(1). https://doi.org/10.1111/psyp.13710</w:t>
      </w:r>
    </w:p>
    <w:p w14:paraId="1D3A5C6C" w14:textId="77777777" w:rsidR="00FF5975" w:rsidRPr="006470CD" w:rsidRDefault="00FF5975" w:rsidP="006470CD">
      <w:pPr>
        <w:pStyle w:val="Bibliography"/>
        <w:spacing w:line="360" w:lineRule="auto"/>
        <w:rPr>
          <w:szCs w:val="22"/>
        </w:rPr>
      </w:pPr>
      <w:r w:rsidRPr="006470CD">
        <w:rPr>
          <w:szCs w:val="22"/>
          <w:lang w:val="en-US"/>
        </w:rPr>
        <w:t xml:space="preserve">Jelinčić, V., Torta, D. M., Van Diest, I., &amp; von Leupoldt, A. (2022). The effects of unpredictability and negative affect on perception and neural gating in different interoceptive modalities. </w:t>
      </w:r>
      <w:proofErr w:type="spellStart"/>
      <w:r w:rsidRPr="006470CD">
        <w:rPr>
          <w:i/>
          <w:iCs/>
          <w:szCs w:val="22"/>
        </w:rPr>
        <w:t>Biological</w:t>
      </w:r>
      <w:proofErr w:type="spellEnd"/>
      <w:r w:rsidRPr="006470CD">
        <w:rPr>
          <w:i/>
          <w:iCs/>
          <w:szCs w:val="22"/>
        </w:rPr>
        <w:t xml:space="preserve"> </w:t>
      </w:r>
      <w:proofErr w:type="spellStart"/>
      <w:r w:rsidRPr="006470CD">
        <w:rPr>
          <w:i/>
          <w:iCs/>
          <w:szCs w:val="22"/>
        </w:rPr>
        <w:t>Psychology</w:t>
      </w:r>
      <w:proofErr w:type="spellEnd"/>
      <w:r w:rsidRPr="006470CD">
        <w:rPr>
          <w:szCs w:val="22"/>
        </w:rPr>
        <w:t xml:space="preserve">, </w:t>
      </w:r>
      <w:r w:rsidRPr="006470CD">
        <w:rPr>
          <w:i/>
          <w:iCs/>
          <w:szCs w:val="22"/>
        </w:rPr>
        <w:t>169</w:t>
      </w:r>
      <w:r w:rsidRPr="006470CD">
        <w:rPr>
          <w:szCs w:val="22"/>
        </w:rPr>
        <w:t>, 108267. https://doi.org/10.1016/j.biopsycho.2022.108267</w:t>
      </w:r>
    </w:p>
    <w:p w14:paraId="62F85920" w14:textId="77777777" w:rsidR="00FF5975" w:rsidRPr="006470CD" w:rsidRDefault="00FF5975" w:rsidP="006470CD">
      <w:pPr>
        <w:pStyle w:val="Bibliography"/>
        <w:spacing w:line="360" w:lineRule="auto"/>
        <w:rPr>
          <w:szCs w:val="22"/>
          <w:lang w:val="en-US"/>
        </w:rPr>
      </w:pPr>
      <w:r w:rsidRPr="006470CD">
        <w:rPr>
          <w:szCs w:val="22"/>
        </w:rPr>
        <w:t xml:space="preserve">Jelinčić, V., Torta, D. M., Vanden Bossche, L., Van Diest, I., &amp; von Leupoldt, A. (2023). </w:t>
      </w:r>
      <w:r w:rsidRPr="006470CD">
        <w:rPr>
          <w:szCs w:val="22"/>
          <w:lang w:val="en-US"/>
        </w:rPr>
        <w:t xml:space="preserve">Repeated exposure to aversive sensations differentially affects neural gating and bodily perception. </w:t>
      </w:r>
      <w:proofErr w:type="spellStart"/>
      <w:r w:rsidRPr="006470CD">
        <w:rPr>
          <w:i/>
          <w:iCs/>
          <w:szCs w:val="22"/>
          <w:lang w:val="en-US"/>
        </w:rPr>
        <w:t>Behaviour</w:t>
      </w:r>
      <w:proofErr w:type="spellEnd"/>
      <w:r w:rsidRPr="006470CD">
        <w:rPr>
          <w:i/>
          <w:iCs/>
          <w:szCs w:val="22"/>
          <w:lang w:val="en-US"/>
        </w:rPr>
        <w:t xml:space="preserve"> Research and Therapy</w:t>
      </w:r>
      <w:r w:rsidRPr="006470CD">
        <w:rPr>
          <w:szCs w:val="22"/>
          <w:lang w:val="en-US"/>
        </w:rPr>
        <w:t>, 104422. https://doi.org/10.1016/j.brat.2023.104422</w:t>
      </w:r>
    </w:p>
    <w:p w14:paraId="6C7FFBCF" w14:textId="77777777" w:rsidR="00FF5975" w:rsidRPr="006470CD" w:rsidRDefault="00FF5975" w:rsidP="006470CD">
      <w:pPr>
        <w:pStyle w:val="Bibliography"/>
        <w:spacing w:line="360" w:lineRule="auto"/>
        <w:rPr>
          <w:szCs w:val="22"/>
          <w:lang w:val="de-DE"/>
        </w:rPr>
      </w:pPr>
      <w:r w:rsidRPr="006470CD">
        <w:rPr>
          <w:szCs w:val="22"/>
          <w:lang w:val="en-US"/>
        </w:rPr>
        <w:t xml:space="preserve">Jelinčić, V., Van Diest, I., Torta, D. M., &amp; von Leupoldt, A. (2021). The breathing brain: The potential of neural oscillations for the understanding of respiratory perception in health and disease. </w:t>
      </w:r>
      <w:proofErr w:type="spellStart"/>
      <w:r w:rsidRPr="006470CD">
        <w:rPr>
          <w:i/>
          <w:iCs/>
          <w:szCs w:val="22"/>
          <w:lang w:val="de-DE"/>
        </w:rPr>
        <w:t>Psychophysiology</w:t>
      </w:r>
      <w:proofErr w:type="spellEnd"/>
      <w:r w:rsidRPr="006470CD">
        <w:rPr>
          <w:szCs w:val="22"/>
          <w:lang w:val="de-DE"/>
        </w:rPr>
        <w:t>, e13844. https://doi.org/10.1111/psyp.13844</w:t>
      </w:r>
    </w:p>
    <w:p w14:paraId="04EC3694" w14:textId="77777777" w:rsidR="00FF5975" w:rsidRPr="006470CD" w:rsidRDefault="00FF5975" w:rsidP="006470CD">
      <w:pPr>
        <w:pStyle w:val="Bibliography"/>
        <w:spacing w:line="360" w:lineRule="auto"/>
        <w:rPr>
          <w:szCs w:val="22"/>
          <w:lang w:val="de-DE"/>
        </w:rPr>
      </w:pPr>
      <w:proofErr w:type="spellStart"/>
      <w:r w:rsidRPr="006470CD">
        <w:rPr>
          <w:szCs w:val="22"/>
          <w:lang w:val="de-DE"/>
        </w:rPr>
        <w:t>Jigo</w:t>
      </w:r>
      <w:proofErr w:type="spellEnd"/>
      <w:r w:rsidRPr="006470CD">
        <w:rPr>
          <w:szCs w:val="22"/>
          <w:lang w:val="de-DE"/>
        </w:rPr>
        <w:t xml:space="preserve">, M., Carmel, J. B., Wang, Q., &amp; Rodenkirch, C. (2024). </w:t>
      </w:r>
      <w:r w:rsidRPr="006470CD">
        <w:rPr>
          <w:szCs w:val="22"/>
          <w:lang w:val="en-US"/>
        </w:rPr>
        <w:t xml:space="preserve">Transcutaneous cervical </w:t>
      </w:r>
      <w:proofErr w:type="spellStart"/>
      <w:r w:rsidRPr="006470CD">
        <w:rPr>
          <w:szCs w:val="22"/>
          <w:lang w:val="en-US"/>
        </w:rPr>
        <w:t>vagus</w:t>
      </w:r>
      <w:proofErr w:type="spellEnd"/>
      <w:r w:rsidRPr="006470CD">
        <w:rPr>
          <w:szCs w:val="22"/>
          <w:lang w:val="en-US"/>
        </w:rPr>
        <w:t xml:space="preserve"> nerve stimulation improves sensory performance in humans: A randomized controlled crossover pilot study. </w:t>
      </w:r>
      <w:r w:rsidRPr="006470CD">
        <w:rPr>
          <w:i/>
          <w:iCs/>
          <w:szCs w:val="22"/>
          <w:lang w:val="de-DE"/>
        </w:rPr>
        <w:t>Scientific Reports</w:t>
      </w:r>
      <w:r w:rsidRPr="006470CD">
        <w:rPr>
          <w:szCs w:val="22"/>
          <w:lang w:val="de-DE"/>
        </w:rPr>
        <w:t xml:space="preserve">, </w:t>
      </w:r>
      <w:r w:rsidRPr="006470CD">
        <w:rPr>
          <w:i/>
          <w:iCs/>
          <w:szCs w:val="22"/>
          <w:lang w:val="de-DE"/>
        </w:rPr>
        <w:t>14</w:t>
      </w:r>
      <w:r w:rsidRPr="006470CD">
        <w:rPr>
          <w:szCs w:val="22"/>
          <w:lang w:val="de-DE"/>
        </w:rPr>
        <w:t>(1), 3975. https://doi.org/10.1038/s41598-024-54026-8</w:t>
      </w:r>
    </w:p>
    <w:p w14:paraId="74F68156" w14:textId="77777777" w:rsidR="00FF5975" w:rsidRPr="006470CD" w:rsidRDefault="00FF5975" w:rsidP="006470CD">
      <w:pPr>
        <w:pStyle w:val="Bibliography"/>
        <w:spacing w:line="360" w:lineRule="auto"/>
        <w:rPr>
          <w:szCs w:val="22"/>
          <w:lang w:val="en-US"/>
        </w:rPr>
      </w:pPr>
      <w:proofErr w:type="spellStart"/>
      <w:r w:rsidRPr="006470CD">
        <w:rPr>
          <w:szCs w:val="22"/>
          <w:lang w:val="de-DE"/>
        </w:rPr>
        <w:t>Keute</w:t>
      </w:r>
      <w:proofErr w:type="spellEnd"/>
      <w:r w:rsidRPr="006470CD">
        <w:rPr>
          <w:szCs w:val="22"/>
          <w:lang w:val="de-DE"/>
        </w:rPr>
        <w:t xml:space="preserve">, M., </w:t>
      </w:r>
      <w:proofErr w:type="spellStart"/>
      <w:r w:rsidRPr="006470CD">
        <w:rPr>
          <w:szCs w:val="22"/>
          <w:lang w:val="de-DE"/>
        </w:rPr>
        <w:t>Demirezen</w:t>
      </w:r>
      <w:proofErr w:type="spellEnd"/>
      <w:r w:rsidRPr="006470CD">
        <w:rPr>
          <w:szCs w:val="22"/>
          <w:lang w:val="de-DE"/>
        </w:rPr>
        <w:t xml:space="preserve">, M., Graf, A., Müller, N. G., &amp; </w:t>
      </w:r>
      <w:proofErr w:type="spellStart"/>
      <w:r w:rsidRPr="006470CD">
        <w:rPr>
          <w:szCs w:val="22"/>
          <w:lang w:val="de-DE"/>
        </w:rPr>
        <w:t>Zaehle</w:t>
      </w:r>
      <w:proofErr w:type="spellEnd"/>
      <w:r w:rsidRPr="006470CD">
        <w:rPr>
          <w:szCs w:val="22"/>
          <w:lang w:val="de-DE"/>
        </w:rPr>
        <w:t xml:space="preserve">, T. (2019). </w:t>
      </w:r>
      <w:r w:rsidRPr="006470CD">
        <w:rPr>
          <w:szCs w:val="22"/>
          <w:lang w:val="en-US"/>
        </w:rPr>
        <w:t xml:space="preserve">No modulation of pupil size and event-related pupil response by transcutaneous auricular </w:t>
      </w:r>
      <w:proofErr w:type="spellStart"/>
      <w:r w:rsidRPr="006470CD">
        <w:rPr>
          <w:szCs w:val="22"/>
          <w:lang w:val="en-US"/>
        </w:rPr>
        <w:t>vagus</w:t>
      </w:r>
      <w:proofErr w:type="spellEnd"/>
      <w:r w:rsidRPr="006470CD">
        <w:rPr>
          <w:szCs w:val="22"/>
          <w:lang w:val="en-US"/>
        </w:rPr>
        <w:t xml:space="preserve"> nerve stimulation (</w:t>
      </w:r>
      <w:proofErr w:type="spellStart"/>
      <w:r w:rsidRPr="006470CD">
        <w:rPr>
          <w:szCs w:val="22"/>
          <w:lang w:val="en-US"/>
        </w:rPr>
        <w:t>taVNS</w:t>
      </w:r>
      <w:proofErr w:type="spellEnd"/>
      <w:r w:rsidRPr="006470CD">
        <w:rPr>
          <w:szCs w:val="22"/>
          <w:lang w:val="en-US"/>
        </w:rPr>
        <w:t xml:space="preserve">). </w:t>
      </w:r>
      <w:r w:rsidRPr="006470CD">
        <w:rPr>
          <w:i/>
          <w:iCs/>
          <w:szCs w:val="22"/>
          <w:lang w:val="en-US"/>
        </w:rPr>
        <w:t>Scientific Reports</w:t>
      </w:r>
      <w:r w:rsidRPr="006470CD">
        <w:rPr>
          <w:szCs w:val="22"/>
          <w:lang w:val="en-US"/>
        </w:rPr>
        <w:t xml:space="preserve">, </w:t>
      </w:r>
      <w:r w:rsidRPr="006470CD">
        <w:rPr>
          <w:i/>
          <w:iCs/>
          <w:szCs w:val="22"/>
          <w:lang w:val="en-US"/>
        </w:rPr>
        <w:t>9</w:t>
      </w:r>
      <w:r w:rsidRPr="006470CD">
        <w:rPr>
          <w:szCs w:val="22"/>
          <w:lang w:val="en-US"/>
        </w:rPr>
        <w:t>(1). https://doi.org/10.1038/s41598-019-47961-4</w:t>
      </w:r>
    </w:p>
    <w:p w14:paraId="2FCCBB93" w14:textId="77777777" w:rsidR="00FF5975" w:rsidRPr="006470CD" w:rsidRDefault="00FF5975" w:rsidP="006470CD">
      <w:pPr>
        <w:pStyle w:val="Bibliography"/>
        <w:spacing w:line="360" w:lineRule="auto"/>
        <w:rPr>
          <w:szCs w:val="22"/>
          <w:lang w:val="en-US"/>
        </w:rPr>
      </w:pPr>
      <w:proofErr w:type="spellStart"/>
      <w:r w:rsidRPr="006470CD">
        <w:rPr>
          <w:szCs w:val="22"/>
          <w:lang w:val="en-US"/>
        </w:rPr>
        <w:t>Keute</w:t>
      </w:r>
      <w:proofErr w:type="spellEnd"/>
      <w:r w:rsidRPr="006470CD">
        <w:rPr>
          <w:szCs w:val="22"/>
          <w:lang w:val="en-US"/>
        </w:rPr>
        <w:t xml:space="preserve">, M., Ruhnau, P., &amp; </w:t>
      </w:r>
      <w:proofErr w:type="spellStart"/>
      <w:r w:rsidRPr="006470CD">
        <w:rPr>
          <w:szCs w:val="22"/>
          <w:lang w:val="en-US"/>
        </w:rPr>
        <w:t>Zaehle</w:t>
      </w:r>
      <w:proofErr w:type="spellEnd"/>
      <w:r w:rsidRPr="006470CD">
        <w:rPr>
          <w:szCs w:val="22"/>
          <w:lang w:val="en-US"/>
        </w:rPr>
        <w:t xml:space="preserve">, T. (2018). Reply to “Reconsidering Sham in Transcutaneous </w:t>
      </w:r>
      <w:proofErr w:type="spellStart"/>
      <w:r w:rsidRPr="006470CD">
        <w:rPr>
          <w:szCs w:val="22"/>
          <w:lang w:val="en-US"/>
        </w:rPr>
        <w:t>Vagus</w:t>
      </w:r>
      <w:proofErr w:type="spellEnd"/>
      <w:r w:rsidRPr="006470CD">
        <w:rPr>
          <w:szCs w:val="22"/>
          <w:lang w:val="en-US"/>
        </w:rPr>
        <w:t xml:space="preserve"> Nerve Stimulation studies.” </w:t>
      </w:r>
      <w:r w:rsidRPr="006470CD">
        <w:rPr>
          <w:i/>
          <w:iCs/>
          <w:szCs w:val="22"/>
          <w:lang w:val="en-US"/>
        </w:rPr>
        <w:t>Clinical Neurophysiology</w:t>
      </w:r>
      <w:r w:rsidRPr="006470CD">
        <w:rPr>
          <w:szCs w:val="22"/>
          <w:lang w:val="en-US"/>
        </w:rPr>
        <w:t xml:space="preserve">, </w:t>
      </w:r>
      <w:r w:rsidRPr="006470CD">
        <w:rPr>
          <w:i/>
          <w:iCs/>
          <w:szCs w:val="22"/>
          <w:lang w:val="en-US"/>
        </w:rPr>
        <w:t>129</w:t>
      </w:r>
      <w:r w:rsidRPr="006470CD">
        <w:rPr>
          <w:szCs w:val="22"/>
          <w:lang w:val="en-US"/>
        </w:rPr>
        <w:t>(11). https://doi.org/10.1016/j.clinph.2018.09.001</w:t>
      </w:r>
    </w:p>
    <w:p w14:paraId="5C44CFA4" w14:textId="77777777" w:rsidR="00FF5975" w:rsidRPr="006470CD" w:rsidRDefault="00FF5975" w:rsidP="006470CD">
      <w:pPr>
        <w:pStyle w:val="Bibliography"/>
        <w:spacing w:line="360" w:lineRule="auto"/>
        <w:rPr>
          <w:szCs w:val="22"/>
          <w:lang w:val="en-US"/>
        </w:rPr>
      </w:pPr>
      <w:r w:rsidRPr="006470CD">
        <w:rPr>
          <w:szCs w:val="22"/>
          <w:lang w:val="en-US"/>
        </w:rPr>
        <w:t xml:space="preserve">Khalsa, S. S., &amp; Lapidus, R. C. (2016). Can interoception improve the pragmatic search for biomarkers in psychiatry? </w:t>
      </w:r>
      <w:r w:rsidRPr="006470CD">
        <w:rPr>
          <w:i/>
          <w:iCs/>
          <w:szCs w:val="22"/>
          <w:lang w:val="en-US"/>
        </w:rPr>
        <w:t>Frontiers in Psychiatry</w:t>
      </w:r>
      <w:r w:rsidRPr="006470CD">
        <w:rPr>
          <w:szCs w:val="22"/>
          <w:lang w:val="en-US"/>
        </w:rPr>
        <w:t xml:space="preserve">, </w:t>
      </w:r>
      <w:r w:rsidRPr="006470CD">
        <w:rPr>
          <w:i/>
          <w:iCs/>
          <w:szCs w:val="22"/>
          <w:lang w:val="en-US"/>
        </w:rPr>
        <w:t>7</w:t>
      </w:r>
      <w:r w:rsidRPr="006470CD">
        <w:rPr>
          <w:szCs w:val="22"/>
          <w:lang w:val="en-US"/>
        </w:rPr>
        <w:t>(JUL). https://doi.org/10.3389/fpsyt.2016.00121</w:t>
      </w:r>
    </w:p>
    <w:p w14:paraId="56DEAD3B" w14:textId="77777777" w:rsidR="00FF5975" w:rsidRPr="006470CD" w:rsidRDefault="00FF5975" w:rsidP="006470CD">
      <w:pPr>
        <w:pStyle w:val="Bibliography"/>
        <w:spacing w:line="360" w:lineRule="auto"/>
        <w:rPr>
          <w:szCs w:val="22"/>
          <w:lang w:val="en-US"/>
        </w:rPr>
      </w:pPr>
      <w:r w:rsidRPr="006470CD">
        <w:rPr>
          <w:szCs w:val="22"/>
          <w:lang w:val="en-US"/>
        </w:rPr>
        <w:t xml:space="preserve">Klimesch, W. (2012). Alpha-band oscillations, attention, and controlled access to stored information. </w:t>
      </w:r>
      <w:r w:rsidRPr="006470CD">
        <w:rPr>
          <w:i/>
          <w:iCs/>
          <w:szCs w:val="22"/>
          <w:lang w:val="en-US"/>
        </w:rPr>
        <w:t>Trends in Cognitive Sciences</w:t>
      </w:r>
      <w:r w:rsidRPr="006470CD">
        <w:rPr>
          <w:szCs w:val="22"/>
          <w:lang w:val="en-US"/>
        </w:rPr>
        <w:t xml:space="preserve">, </w:t>
      </w:r>
      <w:r w:rsidRPr="006470CD">
        <w:rPr>
          <w:i/>
          <w:iCs/>
          <w:szCs w:val="22"/>
          <w:lang w:val="en-US"/>
        </w:rPr>
        <w:t>16</w:t>
      </w:r>
      <w:r w:rsidRPr="006470CD">
        <w:rPr>
          <w:szCs w:val="22"/>
          <w:lang w:val="en-US"/>
        </w:rPr>
        <w:t>(12), 606–617. https://doi.org/10.1016/j.tics.2012.10.007</w:t>
      </w:r>
    </w:p>
    <w:p w14:paraId="37A8846E" w14:textId="77777777" w:rsidR="00FF5975" w:rsidRPr="006470CD" w:rsidRDefault="00FF5975" w:rsidP="006470CD">
      <w:pPr>
        <w:pStyle w:val="Bibliography"/>
        <w:spacing w:line="360" w:lineRule="auto"/>
        <w:rPr>
          <w:szCs w:val="22"/>
          <w:lang w:val="en-US"/>
        </w:rPr>
      </w:pPr>
      <w:r w:rsidRPr="006470CD">
        <w:rPr>
          <w:szCs w:val="22"/>
          <w:lang w:val="en-US"/>
        </w:rPr>
        <w:t xml:space="preserve">Klimesch, W., </w:t>
      </w:r>
      <w:proofErr w:type="spellStart"/>
      <w:r w:rsidRPr="006470CD">
        <w:rPr>
          <w:szCs w:val="22"/>
          <w:lang w:val="en-US"/>
        </w:rPr>
        <w:t>Doppelmayr</w:t>
      </w:r>
      <w:proofErr w:type="spellEnd"/>
      <w:r w:rsidRPr="006470CD">
        <w:rPr>
          <w:szCs w:val="22"/>
          <w:lang w:val="en-US"/>
        </w:rPr>
        <w:t xml:space="preserve">, M., </w:t>
      </w:r>
      <w:proofErr w:type="spellStart"/>
      <w:r w:rsidRPr="006470CD">
        <w:rPr>
          <w:szCs w:val="22"/>
          <w:lang w:val="en-US"/>
        </w:rPr>
        <w:t>Russegger</w:t>
      </w:r>
      <w:proofErr w:type="spellEnd"/>
      <w:r w:rsidRPr="006470CD">
        <w:rPr>
          <w:szCs w:val="22"/>
          <w:lang w:val="en-US"/>
        </w:rPr>
        <w:t xml:space="preserve">, H., Pachinger, T., &amp; Schwaiger, J. (1998). Induced alpha band power changes in the human EEG and attention. </w:t>
      </w:r>
      <w:r w:rsidRPr="006470CD">
        <w:rPr>
          <w:i/>
          <w:iCs/>
          <w:szCs w:val="22"/>
          <w:lang w:val="en-US"/>
        </w:rPr>
        <w:t>Neuroscience Letters</w:t>
      </w:r>
      <w:r w:rsidRPr="006470CD">
        <w:rPr>
          <w:szCs w:val="22"/>
          <w:lang w:val="en-US"/>
        </w:rPr>
        <w:t xml:space="preserve">, </w:t>
      </w:r>
      <w:r w:rsidRPr="006470CD">
        <w:rPr>
          <w:i/>
          <w:iCs/>
          <w:szCs w:val="22"/>
          <w:lang w:val="en-US"/>
        </w:rPr>
        <w:t>244</w:t>
      </w:r>
      <w:r w:rsidRPr="006470CD">
        <w:rPr>
          <w:szCs w:val="22"/>
          <w:lang w:val="en-US"/>
        </w:rPr>
        <w:t>(2), 73–76. https://doi.org/10.1016/S0304-3940(98)00122-0</w:t>
      </w:r>
    </w:p>
    <w:p w14:paraId="56ED3B30" w14:textId="77777777" w:rsidR="00FF5975" w:rsidRPr="006470CD" w:rsidRDefault="00FF5975" w:rsidP="006470CD">
      <w:pPr>
        <w:pStyle w:val="Bibliography"/>
        <w:spacing w:line="360" w:lineRule="auto"/>
        <w:rPr>
          <w:szCs w:val="22"/>
          <w:lang w:val="en-US"/>
        </w:rPr>
      </w:pPr>
      <w:r w:rsidRPr="006470CD">
        <w:rPr>
          <w:szCs w:val="22"/>
          <w:lang w:val="en-US"/>
        </w:rPr>
        <w:lastRenderedPageBreak/>
        <w:t xml:space="preserve">Klimesch, W., </w:t>
      </w:r>
      <w:proofErr w:type="spellStart"/>
      <w:r w:rsidRPr="006470CD">
        <w:rPr>
          <w:szCs w:val="22"/>
          <w:lang w:val="en-US"/>
        </w:rPr>
        <w:t>Sauseng</w:t>
      </w:r>
      <w:proofErr w:type="spellEnd"/>
      <w:r w:rsidRPr="006470CD">
        <w:rPr>
          <w:szCs w:val="22"/>
          <w:lang w:val="en-US"/>
        </w:rPr>
        <w:t xml:space="preserve">, P., &amp; </w:t>
      </w:r>
      <w:proofErr w:type="spellStart"/>
      <w:r w:rsidRPr="006470CD">
        <w:rPr>
          <w:szCs w:val="22"/>
          <w:lang w:val="en-US"/>
        </w:rPr>
        <w:t>Hanslmayr</w:t>
      </w:r>
      <w:proofErr w:type="spellEnd"/>
      <w:r w:rsidRPr="006470CD">
        <w:rPr>
          <w:szCs w:val="22"/>
          <w:lang w:val="en-US"/>
        </w:rPr>
        <w:t xml:space="preserve">, S. (2007). EEG alpha oscillations: The inhibition-timing hypothesis. </w:t>
      </w:r>
      <w:r w:rsidRPr="006470CD">
        <w:rPr>
          <w:i/>
          <w:iCs/>
          <w:szCs w:val="22"/>
          <w:lang w:val="en-US"/>
        </w:rPr>
        <w:t>Brain Research Reviews</w:t>
      </w:r>
      <w:r w:rsidRPr="006470CD">
        <w:rPr>
          <w:szCs w:val="22"/>
          <w:lang w:val="en-US"/>
        </w:rPr>
        <w:t xml:space="preserve">, </w:t>
      </w:r>
      <w:r w:rsidRPr="006470CD">
        <w:rPr>
          <w:i/>
          <w:iCs/>
          <w:szCs w:val="22"/>
          <w:lang w:val="en-US"/>
        </w:rPr>
        <w:t>53</w:t>
      </w:r>
      <w:r w:rsidRPr="006470CD">
        <w:rPr>
          <w:szCs w:val="22"/>
          <w:lang w:val="en-US"/>
        </w:rPr>
        <w:t>(1), 63–88. https://doi.org/10.1016/j.brainresrev.2006.06.003</w:t>
      </w:r>
    </w:p>
    <w:p w14:paraId="6604885C" w14:textId="77777777" w:rsidR="00FF5975" w:rsidRPr="006470CD" w:rsidRDefault="00FF5975" w:rsidP="006470CD">
      <w:pPr>
        <w:pStyle w:val="Bibliography"/>
        <w:spacing w:line="360" w:lineRule="auto"/>
        <w:rPr>
          <w:szCs w:val="22"/>
          <w:lang w:val="en-US"/>
        </w:rPr>
      </w:pPr>
      <w:r w:rsidRPr="006470CD">
        <w:rPr>
          <w:szCs w:val="22"/>
          <w:lang w:val="en-US"/>
        </w:rPr>
        <w:t xml:space="preserve">Klostermann, F., Wahl, M., </w:t>
      </w:r>
      <w:proofErr w:type="spellStart"/>
      <w:r w:rsidRPr="006470CD">
        <w:rPr>
          <w:szCs w:val="22"/>
          <w:lang w:val="en-US"/>
        </w:rPr>
        <w:t>Schomann</w:t>
      </w:r>
      <w:proofErr w:type="spellEnd"/>
      <w:r w:rsidRPr="006470CD">
        <w:rPr>
          <w:szCs w:val="22"/>
          <w:lang w:val="en-US"/>
        </w:rPr>
        <w:t xml:space="preserve">, J., Kupsch, A., Curio, G., &amp; Marzinzik, F. (2009). </w:t>
      </w:r>
      <w:proofErr w:type="spellStart"/>
      <w:r w:rsidRPr="006470CD">
        <w:rPr>
          <w:szCs w:val="22"/>
          <w:lang w:val="en-US"/>
        </w:rPr>
        <w:t>Thalamo</w:t>
      </w:r>
      <w:proofErr w:type="spellEnd"/>
      <w:r w:rsidRPr="006470CD">
        <w:rPr>
          <w:szCs w:val="22"/>
          <w:lang w:val="en-US"/>
        </w:rPr>
        <w:t xml:space="preserve">-cortical processing of near-threshold somatosensory stimuli in humans. </w:t>
      </w:r>
      <w:r w:rsidRPr="006470CD">
        <w:rPr>
          <w:i/>
          <w:iCs/>
          <w:szCs w:val="22"/>
          <w:lang w:val="en-US"/>
        </w:rPr>
        <w:t>European Journal of Neuroscience</w:t>
      </w:r>
      <w:r w:rsidRPr="006470CD">
        <w:rPr>
          <w:szCs w:val="22"/>
          <w:lang w:val="en-US"/>
        </w:rPr>
        <w:t xml:space="preserve">, </w:t>
      </w:r>
      <w:r w:rsidRPr="006470CD">
        <w:rPr>
          <w:i/>
          <w:iCs/>
          <w:szCs w:val="22"/>
          <w:lang w:val="en-US"/>
        </w:rPr>
        <w:t>30</w:t>
      </w:r>
      <w:r w:rsidRPr="006470CD">
        <w:rPr>
          <w:szCs w:val="22"/>
          <w:lang w:val="en-US"/>
        </w:rPr>
        <w:t>(9), 1815–1822. https://doi.org/10.1111/j.1460-9568.2009.06970.x</w:t>
      </w:r>
    </w:p>
    <w:p w14:paraId="56F02F27" w14:textId="77777777" w:rsidR="00FF5975" w:rsidRPr="006470CD" w:rsidRDefault="00FF5975" w:rsidP="006470CD">
      <w:pPr>
        <w:pStyle w:val="Bibliography"/>
        <w:spacing w:line="360" w:lineRule="auto"/>
        <w:rPr>
          <w:szCs w:val="22"/>
          <w:lang w:val="en-US"/>
        </w:rPr>
      </w:pPr>
      <w:r w:rsidRPr="006470CD">
        <w:rPr>
          <w:szCs w:val="22"/>
          <w:lang w:val="en-US"/>
        </w:rPr>
        <w:t xml:space="preserve">Knyazev, G. G., </w:t>
      </w:r>
      <w:proofErr w:type="spellStart"/>
      <w:r w:rsidRPr="006470CD">
        <w:rPr>
          <w:szCs w:val="22"/>
          <w:lang w:val="en-US"/>
        </w:rPr>
        <w:t>Slobodskoj-Plusnin</w:t>
      </w:r>
      <w:proofErr w:type="spellEnd"/>
      <w:r w:rsidRPr="006470CD">
        <w:rPr>
          <w:szCs w:val="22"/>
          <w:lang w:val="en-US"/>
        </w:rPr>
        <w:t xml:space="preserve">, J. Y., Bocharov, A. V., &amp; </w:t>
      </w:r>
      <w:proofErr w:type="spellStart"/>
      <w:r w:rsidRPr="006470CD">
        <w:rPr>
          <w:szCs w:val="22"/>
          <w:lang w:val="en-US"/>
        </w:rPr>
        <w:t>Pylkova</w:t>
      </w:r>
      <w:proofErr w:type="spellEnd"/>
      <w:r w:rsidRPr="006470CD">
        <w:rPr>
          <w:szCs w:val="22"/>
          <w:lang w:val="en-US"/>
        </w:rPr>
        <w:t xml:space="preserve">, L. V. (2011). The default mode network and EEG </w:t>
      </w:r>
      <w:r w:rsidRPr="006470CD">
        <w:rPr>
          <w:szCs w:val="22"/>
        </w:rPr>
        <w:t>α</w:t>
      </w:r>
      <w:r w:rsidRPr="006470CD">
        <w:rPr>
          <w:szCs w:val="22"/>
          <w:lang w:val="en-US"/>
        </w:rPr>
        <w:t xml:space="preserve"> oscillations: An independent component analysis. </w:t>
      </w:r>
      <w:r w:rsidRPr="006470CD">
        <w:rPr>
          <w:i/>
          <w:iCs/>
          <w:szCs w:val="22"/>
          <w:lang w:val="en-US"/>
        </w:rPr>
        <w:t>Brain Research</w:t>
      </w:r>
      <w:r w:rsidRPr="006470CD">
        <w:rPr>
          <w:szCs w:val="22"/>
          <w:lang w:val="en-US"/>
        </w:rPr>
        <w:t xml:space="preserve">, </w:t>
      </w:r>
      <w:r w:rsidRPr="006470CD">
        <w:rPr>
          <w:i/>
          <w:iCs/>
          <w:szCs w:val="22"/>
          <w:lang w:val="en-US"/>
        </w:rPr>
        <w:t>1402</w:t>
      </w:r>
      <w:r w:rsidRPr="006470CD">
        <w:rPr>
          <w:szCs w:val="22"/>
          <w:lang w:val="en-US"/>
        </w:rPr>
        <w:t>, 67–79. https://doi.org/10.1016/j.brainres.2011.05.052</w:t>
      </w:r>
    </w:p>
    <w:p w14:paraId="574DBD10" w14:textId="77777777" w:rsidR="00FF5975" w:rsidRPr="006470CD" w:rsidRDefault="00FF5975" w:rsidP="006470CD">
      <w:pPr>
        <w:pStyle w:val="Bibliography"/>
        <w:spacing w:line="360" w:lineRule="auto"/>
        <w:rPr>
          <w:szCs w:val="22"/>
          <w:lang w:val="en-US"/>
        </w:rPr>
      </w:pPr>
      <w:r w:rsidRPr="006470CD">
        <w:rPr>
          <w:szCs w:val="22"/>
          <w:lang w:val="en-US"/>
        </w:rPr>
        <w:t xml:space="preserve">Kong, J., Fang, J., Park, J., Li, S., &amp; Rong, P. (2018). Treating Depression with Transcutaneous Auricular </w:t>
      </w:r>
      <w:proofErr w:type="spellStart"/>
      <w:r w:rsidRPr="006470CD">
        <w:rPr>
          <w:szCs w:val="22"/>
          <w:lang w:val="en-US"/>
        </w:rPr>
        <w:t>Vagus</w:t>
      </w:r>
      <w:proofErr w:type="spellEnd"/>
      <w:r w:rsidRPr="006470CD">
        <w:rPr>
          <w:szCs w:val="22"/>
          <w:lang w:val="en-US"/>
        </w:rPr>
        <w:t xml:space="preserve"> Nerve Stimulation: State of the Art and Future Perspectives. </w:t>
      </w:r>
      <w:r w:rsidRPr="006470CD">
        <w:rPr>
          <w:i/>
          <w:iCs/>
          <w:szCs w:val="22"/>
          <w:lang w:val="en-US"/>
        </w:rPr>
        <w:t>Frontiers in Psychiatry</w:t>
      </w:r>
      <w:r w:rsidRPr="006470CD">
        <w:rPr>
          <w:szCs w:val="22"/>
          <w:lang w:val="en-US"/>
        </w:rPr>
        <w:t xml:space="preserve">, </w:t>
      </w:r>
      <w:r w:rsidRPr="006470CD">
        <w:rPr>
          <w:i/>
          <w:iCs/>
          <w:szCs w:val="22"/>
          <w:lang w:val="en-US"/>
        </w:rPr>
        <w:t>9</w:t>
      </w:r>
      <w:r w:rsidRPr="006470CD">
        <w:rPr>
          <w:szCs w:val="22"/>
          <w:lang w:val="en-US"/>
        </w:rPr>
        <w:t>. https://doi.org/10.3389/fpsyt.2018.00020</w:t>
      </w:r>
    </w:p>
    <w:p w14:paraId="5C5AFD1B" w14:textId="77777777" w:rsidR="00FF5975" w:rsidRPr="006470CD" w:rsidRDefault="00FF5975" w:rsidP="006470CD">
      <w:pPr>
        <w:pStyle w:val="Bibliography"/>
        <w:spacing w:line="360" w:lineRule="auto"/>
        <w:rPr>
          <w:szCs w:val="22"/>
          <w:lang w:val="de-DE"/>
        </w:rPr>
      </w:pPr>
      <w:r w:rsidRPr="006470CD">
        <w:rPr>
          <w:szCs w:val="22"/>
          <w:lang w:val="en-US"/>
        </w:rPr>
        <w:t xml:space="preserve">Köteles, F. (2021). Putting Everything Together: Integrated Models and Pathological Aspects of Symptom Perception. In F. Köteles (Ed.), </w:t>
      </w:r>
      <w:r w:rsidRPr="006470CD">
        <w:rPr>
          <w:i/>
          <w:iCs/>
          <w:szCs w:val="22"/>
          <w:lang w:val="en-US"/>
        </w:rPr>
        <w:t>Body Sensations: The Conscious Aspects of Interoception</w:t>
      </w:r>
      <w:r w:rsidRPr="006470CD">
        <w:rPr>
          <w:szCs w:val="22"/>
          <w:lang w:val="en-US"/>
        </w:rPr>
        <w:t xml:space="preserve"> (pp. 245–278). </w:t>
      </w:r>
      <w:r w:rsidRPr="006470CD">
        <w:rPr>
          <w:szCs w:val="22"/>
          <w:lang w:val="de-DE"/>
        </w:rPr>
        <w:t>Springer International Publishing. https://doi.org/10.1007/978-3-030-63201-4_7</w:t>
      </w:r>
    </w:p>
    <w:p w14:paraId="29ACDD09" w14:textId="77777777" w:rsidR="00FF5975" w:rsidRPr="006470CD" w:rsidRDefault="00FF5975" w:rsidP="006470CD">
      <w:pPr>
        <w:pStyle w:val="Bibliography"/>
        <w:spacing w:line="360" w:lineRule="auto"/>
        <w:rPr>
          <w:szCs w:val="22"/>
          <w:lang w:val="en-US"/>
        </w:rPr>
      </w:pPr>
      <w:r w:rsidRPr="006470CD">
        <w:rPr>
          <w:szCs w:val="22"/>
          <w:lang w:val="de-DE"/>
        </w:rPr>
        <w:t xml:space="preserve">Kühnel, A., Teckentrup, V., Neuser, M. P., </w:t>
      </w:r>
      <w:proofErr w:type="spellStart"/>
      <w:r w:rsidRPr="006470CD">
        <w:rPr>
          <w:szCs w:val="22"/>
          <w:lang w:val="de-DE"/>
        </w:rPr>
        <w:t>Huys</w:t>
      </w:r>
      <w:proofErr w:type="spellEnd"/>
      <w:r w:rsidRPr="006470CD">
        <w:rPr>
          <w:szCs w:val="22"/>
          <w:lang w:val="de-DE"/>
        </w:rPr>
        <w:t xml:space="preserve">, Q. J. M., </w:t>
      </w:r>
      <w:proofErr w:type="spellStart"/>
      <w:r w:rsidRPr="006470CD">
        <w:rPr>
          <w:szCs w:val="22"/>
          <w:lang w:val="de-DE"/>
        </w:rPr>
        <w:t>Burrasch</w:t>
      </w:r>
      <w:proofErr w:type="spellEnd"/>
      <w:r w:rsidRPr="006470CD">
        <w:rPr>
          <w:szCs w:val="22"/>
          <w:lang w:val="de-DE"/>
        </w:rPr>
        <w:t xml:space="preserve">, C., Walter, M., &amp; Kroemer, N. B. (2020). </w:t>
      </w:r>
      <w:r w:rsidRPr="006470CD">
        <w:rPr>
          <w:szCs w:val="22"/>
          <w:lang w:val="en-US"/>
        </w:rPr>
        <w:t xml:space="preserve">Stimulation of the </w:t>
      </w:r>
      <w:proofErr w:type="spellStart"/>
      <w:r w:rsidRPr="006470CD">
        <w:rPr>
          <w:szCs w:val="22"/>
          <w:lang w:val="en-US"/>
        </w:rPr>
        <w:t>vagus</w:t>
      </w:r>
      <w:proofErr w:type="spellEnd"/>
      <w:r w:rsidRPr="006470CD">
        <w:rPr>
          <w:szCs w:val="22"/>
          <w:lang w:val="en-US"/>
        </w:rPr>
        <w:t xml:space="preserve"> nerve reduces learning in a go/no-go reinforcement learning task. </w:t>
      </w:r>
      <w:r w:rsidRPr="006470CD">
        <w:rPr>
          <w:i/>
          <w:iCs/>
          <w:szCs w:val="22"/>
          <w:lang w:val="en-US"/>
        </w:rPr>
        <w:t>European Neuropsychopharmacology</w:t>
      </w:r>
      <w:r w:rsidRPr="006470CD">
        <w:rPr>
          <w:szCs w:val="22"/>
          <w:lang w:val="en-US"/>
        </w:rPr>
        <w:t xml:space="preserve">, </w:t>
      </w:r>
      <w:r w:rsidRPr="006470CD">
        <w:rPr>
          <w:i/>
          <w:iCs/>
          <w:szCs w:val="22"/>
          <w:lang w:val="en-US"/>
        </w:rPr>
        <w:t>35</w:t>
      </w:r>
      <w:r w:rsidRPr="006470CD">
        <w:rPr>
          <w:szCs w:val="22"/>
          <w:lang w:val="en-US"/>
        </w:rPr>
        <w:t>. https://doi.org/10.1016/j.euroneuro.2020.03.023</w:t>
      </w:r>
    </w:p>
    <w:p w14:paraId="67A86F25" w14:textId="77777777" w:rsidR="00FF5975" w:rsidRPr="006470CD" w:rsidRDefault="00FF5975" w:rsidP="006470CD">
      <w:pPr>
        <w:pStyle w:val="Bibliography"/>
        <w:spacing w:line="360" w:lineRule="auto"/>
        <w:rPr>
          <w:szCs w:val="22"/>
          <w:lang w:val="en-US"/>
        </w:rPr>
      </w:pPr>
      <w:r w:rsidRPr="006470CD">
        <w:rPr>
          <w:szCs w:val="22"/>
          <w:lang w:val="en-US"/>
        </w:rPr>
        <w:t xml:space="preserve">Kuznetsova, A., Brockhoff, P. B., &amp; Christensen, R. H. B. (2017). </w:t>
      </w:r>
      <w:proofErr w:type="spellStart"/>
      <w:r w:rsidRPr="006470CD">
        <w:rPr>
          <w:szCs w:val="22"/>
          <w:lang w:val="en-US"/>
        </w:rPr>
        <w:t>lmerTest</w:t>
      </w:r>
      <w:proofErr w:type="spellEnd"/>
      <w:r w:rsidRPr="006470CD">
        <w:rPr>
          <w:szCs w:val="22"/>
          <w:lang w:val="en-US"/>
        </w:rPr>
        <w:t xml:space="preserve"> Package: Tests in Linear Mixed Effects Models. </w:t>
      </w:r>
      <w:r w:rsidRPr="006470CD">
        <w:rPr>
          <w:i/>
          <w:iCs/>
          <w:szCs w:val="22"/>
          <w:lang w:val="en-US"/>
        </w:rPr>
        <w:t>Journal of Statistical Software</w:t>
      </w:r>
      <w:r w:rsidRPr="006470CD">
        <w:rPr>
          <w:szCs w:val="22"/>
          <w:lang w:val="en-US"/>
        </w:rPr>
        <w:t xml:space="preserve">, </w:t>
      </w:r>
      <w:r w:rsidRPr="006470CD">
        <w:rPr>
          <w:i/>
          <w:iCs/>
          <w:szCs w:val="22"/>
          <w:lang w:val="en-US"/>
        </w:rPr>
        <w:t>82</w:t>
      </w:r>
      <w:r w:rsidRPr="006470CD">
        <w:rPr>
          <w:szCs w:val="22"/>
          <w:lang w:val="en-US"/>
        </w:rPr>
        <w:t>(13), 1–26. https://doi.org/10.18637/jss.v082.i13</w:t>
      </w:r>
    </w:p>
    <w:p w14:paraId="43BCC638" w14:textId="77777777" w:rsidR="00FF5975" w:rsidRPr="006470CD" w:rsidRDefault="00FF5975" w:rsidP="006470CD">
      <w:pPr>
        <w:pStyle w:val="Bibliography"/>
        <w:spacing w:line="360" w:lineRule="auto"/>
        <w:rPr>
          <w:szCs w:val="22"/>
          <w:lang w:val="en-US"/>
        </w:rPr>
      </w:pPr>
      <w:r w:rsidRPr="006470CD">
        <w:rPr>
          <w:szCs w:val="22"/>
          <w:lang w:val="en-US"/>
        </w:rPr>
        <w:t xml:space="preserve">Laqua, R., </w:t>
      </w:r>
      <w:proofErr w:type="spellStart"/>
      <w:r w:rsidRPr="006470CD">
        <w:rPr>
          <w:szCs w:val="22"/>
          <w:lang w:val="en-US"/>
        </w:rPr>
        <w:t>Leutzow</w:t>
      </w:r>
      <w:proofErr w:type="spellEnd"/>
      <w:r w:rsidRPr="006470CD">
        <w:rPr>
          <w:szCs w:val="22"/>
          <w:lang w:val="en-US"/>
        </w:rPr>
        <w:t xml:space="preserve">, B., Wendt, M., &amp; </w:t>
      </w:r>
      <w:proofErr w:type="spellStart"/>
      <w:r w:rsidRPr="006470CD">
        <w:rPr>
          <w:szCs w:val="22"/>
          <w:lang w:val="en-US"/>
        </w:rPr>
        <w:t>Usichenko</w:t>
      </w:r>
      <w:proofErr w:type="spellEnd"/>
      <w:r w:rsidRPr="006470CD">
        <w:rPr>
          <w:szCs w:val="22"/>
          <w:lang w:val="en-US"/>
        </w:rPr>
        <w:t xml:space="preserve">, T. (2014). Transcutaneous vagal nerve stimulation may elicit anti- and pro-nociceptive effects under experimentally-induced pain—A crossover placebo-controlled investigation. </w:t>
      </w:r>
      <w:r w:rsidRPr="006470CD">
        <w:rPr>
          <w:i/>
          <w:iCs/>
          <w:szCs w:val="22"/>
          <w:lang w:val="en-US"/>
        </w:rPr>
        <w:t>Autonomic Neuroscience: Basic and Clinical</w:t>
      </w:r>
      <w:r w:rsidRPr="006470CD">
        <w:rPr>
          <w:szCs w:val="22"/>
          <w:lang w:val="en-US"/>
        </w:rPr>
        <w:t xml:space="preserve">, </w:t>
      </w:r>
      <w:r w:rsidRPr="006470CD">
        <w:rPr>
          <w:i/>
          <w:iCs/>
          <w:szCs w:val="22"/>
          <w:lang w:val="en-US"/>
        </w:rPr>
        <w:t>185</w:t>
      </w:r>
      <w:r w:rsidRPr="006470CD">
        <w:rPr>
          <w:szCs w:val="22"/>
          <w:lang w:val="en-US"/>
        </w:rPr>
        <w:t>, 120–122. https://doi.org/10.1016/j.autneu.2014.07.008</w:t>
      </w:r>
    </w:p>
    <w:p w14:paraId="3C0D1BC6" w14:textId="77777777" w:rsidR="00FF5975" w:rsidRPr="006470CD" w:rsidRDefault="00FF5975" w:rsidP="006470CD">
      <w:pPr>
        <w:pStyle w:val="Bibliography"/>
        <w:spacing w:line="360" w:lineRule="auto"/>
        <w:rPr>
          <w:szCs w:val="22"/>
          <w:lang w:val="en-US"/>
        </w:rPr>
      </w:pPr>
      <w:proofErr w:type="spellStart"/>
      <w:r w:rsidRPr="006470CD">
        <w:rPr>
          <w:szCs w:val="22"/>
          <w:lang w:val="fr-FR"/>
        </w:rPr>
        <w:t>Lewine</w:t>
      </w:r>
      <w:proofErr w:type="spellEnd"/>
      <w:r w:rsidRPr="006470CD">
        <w:rPr>
          <w:szCs w:val="22"/>
          <w:lang w:val="fr-FR"/>
        </w:rPr>
        <w:t xml:space="preserve">, J. D., Paulson, K., </w:t>
      </w:r>
      <w:proofErr w:type="spellStart"/>
      <w:r w:rsidRPr="006470CD">
        <w:rPr>
          <w:szCs w:val="22"/>
          <w:lang w:val="fr-FR"/>
        </w:rPr>
        <w:t>Bangera</w:t>
      </w:r>
      <w:proofErr w:type="spellEnd"/>
      <w:r w:rsidRPr="006470CD">
        <w:rPr>
          <w:szCs w:val="22"/>
          <w:lang w:val="fr-FR"/>
        </w:rPr>
        <w:t xml:space="preserve">, N., &amp; Simon, B. J. (2019). </w:t>
      </w:r>
      <w:r w:rsidRPr="006470CD">
        <w:rPr>
          <w:szCs w:val="22"/>
          <w:lang w:val="en-US"/>
        </w:rPr>
        <w:t xml:space="preserve">Exploration of the Impact of Brief Noninvasive Vagal Nerve Stimulation on EEG and Event-Related Potentials. </w:t>
      </w:r>
      <w:r w:rsidRPr="006470CD">
        <w:rPr>
          <w:i/>
          <w:iCs/>
          <w:szCs w:val="22"/>
          <w:lang w:val="en-US"/>
        </w:rPr>
        <w:t>Neuromodulation: Technology at the Neural Interface</w:t>
      </w:r>
      <w:r w:rsidRPr="006470CD">
        <w:rPr>
          <w:szCs w:val="22"/>
          <w:lang w:val="en-US"/>
        </w:rPr>
        <w:t xml:space="preserve">, </w:t>
      </w:r>
      <w:r w:rsidRPr="006470CD">
        <w:rPr>
          <w:i/>
          <w:iCs/>
          <w:szCs w:val="22"/>
          <w:lang w:val="en-US"/>
        </w:rPr>
        <w:t>22</w:t>
      </w:r>
      <w:r w:rsidRPr="006470CD">
        <w:rPr>
          <w:szCs w:val="22"/>
          <w:lang w:val="en-US"/>
        </w:rPr>
        <w:t>(5), 564–572. https://doi.org/10.1111/ner.12864</w:t>
      </w:r>
    </w:p>
    <w:p w14:paraId="5DEF5511" w14:textId="77777777" w:rsidR="00FF5975" w:rsidRPr="006470CD" w:rsidRDefault="00FF5975" w:rsidP="006470CD">
      <w:pPr>
        <w:pStyle w:val="Bibliography"/>
        <w:spacing w:line="360" w:lineRule="auto"/>
        <w:rPr>
          <w:szCs w:val="22"/>
          <w:lang w:val="en-US"/>
        </w:rPr>
      </w:pPr>
      <w:r w:rsidRPr="006470CD">
        <w:rPr>
          <w:szCs w:val="22"/>
          <w:lang w:val="en-US"/>
        </w:rPr>
        <w:t xml:space="preserve">Liang, K.-J., Cheng, C.-H., Liu, C.-Y., von Leupoldt, A., Jelinčić, V., &amp; Chan, P.-Y. S. (2023). Neural oscillatory markers of respiratory sensory gating in human cortices. </w:t>
      </w:r>
      <w:r w:rsidRPr="006470CD">
        <w:rPr>
          <w:i/>
          <w:iCs/>
          <w:szCs w:val="22"/>
          <w:lang w:val="en-US"/>
        </w:rPr>
        <w:t>Biomedical Journal</w:t>
      </w:r>
      <w:r w:rsidRPr="006470CD">
        <w:rPr>
          <w:szCs w:val="22"/>
          <w:lang w:val="en-US"/>
        </w:rPr>
        <w:t>, 100683. https://doi.org/10.1016/j.bj.2023.100683</w:t>
      </w:r>
    </w:p>
    <w:p w14:paraId="419F5AB9" w14:textId="77777777" w:rsidR="00FF5975" w:rsidRPr="006470CD" w:rsidRDefault="00FF5975" w:rsidP="006470CD">
      <w:pPr>
        <w:pStyle w:val="Bibliography"/>
        <w:spacing w:line="360" w:lineRule="auto"/>
        <w:rPr>
          <w:szCs w:val="22"/>
          <w:lang w:val="de-DE"/>
        </w:rPr>
      </w:pPr>
      <w:proofErr w:type="spellStart"/>
      <w:r w:rsidRPr="006470CD">
        <w:rPr>
          <w:szCs w:val="22"/>
          <w:lang w:val="en-US"/>
        </w:rPr>
        <w:lastRenderedPageBreak/>
        <w:t>Lijffijt</w:t>
      </w:r>
      <w:proofErr w:type="spellEnd"/>
      <w:r w:rsidRPr="006470CD">
        <w:rPr>
          <w:szCs w:val="22"/>
          <w:lang w:val="en-US"/>
        </w:rPr>
        <w:t xml:space="preserve">, M., Lane, S. D., Meier, S. L., Boutros, N. N., Burroughs, S., Steinberg, J. L., Gerard Moeller, F., &amp; Swann, A. C. (2009). P50, N100, and P200 sensory gating: Relationships with behavioral inhibition, attention, and working memory. </w:t>
      </w:r>
      <w:proofErr w:type="spellStart"/>
      <w:r w:rsidRPr="006470CD">
        <w:rPr>
          <w:i/>
          <w:iCs/>
          <w:szCs w:val="22"/>
          <w:lang w:val="de-DE"/>
        </w:rPr>
        <w:t>Psychophysiology</w:t>
      </w:r>
      <w:proofErr w:type="spellEnd"/>
      <w:r w:rsidRPr="006470CD">
        <w:rPr>
          <w:szCs w:val="22"/>
          <w:lang w:val="de-DE"/>
        </w:rPr>
        <w:t xml:space="preserve">, </w:t>
      </w:r>
      <w:r w:rsidRPr="006470CD">
        <w:rPr>
          <w:i/>
          <w:iCs/>
          <w:szCs w:val="22"/>
          <w:lang w:val="de-DE"/>
        </w:rPr>
        <w:t>46</w:t>
      </w:r>
      <w:r w:rsidRPr="006470CD">
        <w:rPr>
          <w:szCs w:val="22"/>
          <w:lang w:val="de-DE"/>
        </w:rPr>
        <w:t>(5), 1059–1068. https://doi.org/10.1111/J.1469-8986.2009.00845.X</w:t>
      </w:r>
    </w:p>
    <w:p w14:paraId="1968341D" w14:textId="77777777" w:rsidR="00FF5975" w:rsidRPr="006470CD" w:rsidRDefault="00FF5975" w:rsidP="006470CD">
      <w:pPr>
        <w:pStyle w:val="Bibliography"/>
        <w:spacing w:line="360" w:lineRule="auto"/>
        <w:rPr>
          <w:szCs w:val="22"/>
          <w:lang w:val="en-US"/>
        </w:rPr>
      </w:pPr>
      <w:proofErr w:type="spellStart"/>
      <w:r w:rsidRPr="006470CD">
        <w:rPr>
          <w:szCs w:val="22"/>
          <w:lang w:val="de-DE"/>
        </w:rPr>
        <w:t>Linka</w:t>
      </w:r>
      <w:proofErr w:type="spellEnd"/>
      <w:r w:rsidRPr="006470CD">
        <w:rPr>
          <w:szCs w:val="22"/>
          <w:lang w:val="de-DE"/>
        </w:rPr>
        <w:t xml:space="preserve">, T., </w:t>
      </w:r>
      <w:proofErr w:type="spellStart"/>
      <w:r w:rsidRPr="006470CD">
        <w:rPr>
          <w:szCs w:val="22"/>
          <w:lang w:val="de-DE"/>
        </w:rPr>
        <w:t>Sartory</w:t>
      </w:r>
      <w:proofErr w:type="spellEnd"/>
      <w:r w:rsidRPr="006470CD">
        <w:rPr>
          <w:szCs w:val="22"/>
          <w:lang w:val="de-DE"/>
        </w:rPr>
        <w:t xml:space="preserve">, G., Bender, S., </w:t>
      </w:r>
      <w:proofErr w:type="spellStart"/>
      <w:r w:rsidRPr="006470CD">
        <w:rPr>
          <w:szCs w:val="22"/>
          <w:lang w:val="de-DE"/>
        </w:rPr>
        <w:t>Gastpar</w:t>
      </w:r>
      <w:proofErr w:type="spellEnd"/>
      <w:r w:rsidRPr="006470CD">
        <w:rPr>
          <w:szCs w:val="22"/>
          <w:lang w:val="de-DE"/>
        </w:rPr>
        <w:t xml:space="preserve">, M., &amp; Müller, B. W. (2007). </w:t>
      </w:r>
      <w:r w:rsidRPr="006470CD">
        <w:rPr>
          <w:szCs w:val="22"/>
          <w:lang w:val="en-US"/>
        </w:rPr>
        <w:t xml:space="preserve">The intensity dependence of auditory ERP components in unmedicated patients with major depression and healthy controls. An analysis of group differences. </w:t>
      </w:r>
      <w:r w:rsidRPr="006470CD">
        <w:rPr>
          <w:i/>
          <w:iCs/>
          <w:szCs w:val="22"/>
          <w:lang w:val="en-US"/>
        </w:rPr>
        <w:t>Journal of Affective Disorders</w:t>
      </w:r>
      <w:r w:rsidRPr="006470CD">
        <w:rPr>
          <w:szCs w:val="22"/>
          <w:lang w:val="en-US"/>
        </w:rPr>
        <w:t xml:space="preserve">, </w:t>
      </w:r>
      <w:r w:rsidRPr="006470CD">
        <w:rPr>
          <w:i/>
          <w:iCs/>
          <w:szCs w:val="22"/>
          <w:lang w:val="en-US"/>
        </w:rPr>
        <w:t>103</w:t>
      </w:r>
      <w:r w:rsidRPr="006470CD">
        <w:rPr>
          <w:szCs w:val="22"/>
          <w:lang w:val="en-US"/>
        </w:rPr>
        <w:t>(1), 139–145. https://doi.org/10.1016/j.jad.2007.01.018</w:t>
      </w:r>
    </w:p>
    <w:p w14:paraId="4DA40C42" w14:textId="77777777" w:rsidR="00FF5975" w:rsidRPr="006470CD" w:rsidRDefault="00FF5975" w:rsidP="006470CD">
      <w:pPr>
        <w:pStyle w:val="Bibliography"/>
        <w:spacing w:line="360" w:lineRule="auto"/>
        <w:rPr>
          <w:szCs w:val="22"/>
        </w:rPr>
      </w:pPr>
      <w:r w:rsidRPr="006470CD">
        <w:rPr>
          <w:szCs w:val="22"/>
          <w:lang w:val="en-US"/>
        </w:rPr>
        <w:t xml:space="preserve">Liu, J., Fang, J., Wang, Z., Rong, P., Hong, Y., Fan, Y., Wang, X., Park, J., Jin, Y., Liu, C., Zhu, B., &amp; Kong, J. (2016). Transcutaneous </w:t>
      </w:r>
      <w:proofErr w:type="spellStart"/>
      <w:r w:rsidRPr="006470CD">
        <w:rPr>
          <w:szCs w:val="22"/>
          <w:lang w:val="en-US"/>
        </w:rPr>
        <w:t>vagus</w:t>
      </w:r>
      <w:proofErr w:type="spellEnd"/>
      <w:r w:rsidRPr="006470CD">
        <w:rPr>
          <w:szCs w:val="22"/>
          <w:lang w:val="en-US"/>
        </w:rPr>
        <w:t xml:space="preserve"> nerve stimulation modulates amygdala functional connectivity in patients with depression. </w:t>
      </w:r>
      <w:r w:rsidRPr="006470CD">
        <w:rPr>
          <w:i/>
          <w:iCs/>
          <w:szCs w:val="22"/>
        </w:rPr>
        <w:t xml:space="preserve">Journal of </w:t>
      </w:r>
      <w:proofErr w:type="spellStart"/>
      <w:r w:rsidRPr="006470CD">
        <w:rPr>
          <w:i/>
          <w:iCs/>
          <w:szCs w:val="22"/>
        </w:rPr>
        <w:t>Affective</w:t>
      </w:r>
      <w:proofErr w:type="spellEnd"/>
      <w:r w:rsidRPr="006470CD">
        <w:rPr>
          <w:i/>
          <w:iCs/>
          <w:szCs w:val="22"/>
        </w:rPr>
        <w:t xml:space="preserve"> Disorders</w:t>
      </w:r>
      <w:r w:rsidRPr="006470CD">
        <w:rPr>
          <w:szCs w:val="22"/>
        </w:rPr>
        <w:t xml:space="preserve">, </w:t>
      </w:r>
      <w:r w:rsidRPr="006470CD">
        <w:rPr>
          <w:i/>
          <w:iCs/>
          <w:szCs w:val="22"/>
        </w:rPr>
        <w:t>205</w:t>
      </w:r>
      <w:r w:rsidRPr="006470CD">
        <w:rPr>
          <w:szCs w:val="22"/>
        </w:rPr>
        <w:t>. https://doi.org/10.1016/j.jad.2016.08.003</w:t>
      </w:r>
    </w:p>
    <w:p w14:paraId="29772402" w14:textId="77777777" w:rsidR="00FF5975" w:rsidRPr="006470CD" w:rsidRDefault="00FF5975" w:rsidP="006470CD">
      <w:pPr>
        <w:pStyle w:val="Bibliography"/>
        <w:spacing w:line="360" w:lineRule="auto"/>
        <w:rPr>
          <w:szCs w:val="22"/>
          <w:lang w:val="en-US"/>
        </w:rPr>
      </w:pPr>
      <w:r w:rsidRPr="006470CD">
        <w:rPr>
          <w:szCs w:val="22"/>
        </w:rPr>
        <w:t xml:space="preserve">Lloyd, B., Wurm, F., de Kleijn, R., &amp; Nieuwenhuis, S. (2023). </w:t>
      </w:r>
      <w:r w:rsidRPr="006470CD">
        <w:rPr>
          <w:szCs w:val="22"/>
          <w:lang w:val="en-US"/>
        </w:rPr>
        <w:t xml:space="preserve">Short-term transcutaneous </w:t>
      </w:r>
      <w:proofErr w:type="spellStart"/>
      <w:r w:rsidRPr="006470CD">
        <w:rPr>
          <w:szCs w:val="22"/>
          <w:lang w:val="en-US"/>
        </w:rPr>
        <w:t>vagus</w:t>
      </w:r>
      <w:proofErr w:type="spellEnd"/>
      <w:r w:rsidRPr="006470CD">
        <w:rPr>
          <w:szCs w:val="22"/>
          <w:lang w:val="en-US"/>
        </w:rPr>
        <w:t xml:space="preserve"> nerve stimulation increases pupil size but does not affect EEG alpha power: A replication of Sharon et al. (2021, Journal of Neuroscience). </w:t>
      </w:r>
      <w:r w:rsidRPr="006470CD">
        <w:rPr>
          <w:i/>
          <w:iCs/>
          <w:szCs w:val="22"/>
          <w:lang w:val="en-US"/>
        </w:rPr>
        <w:t>Brain Stimulation</w:t>
      </w:r>
      <w:r w:rsidRPr="006470CD">
        <w:rPr>
          <w:szCs w:val="22"/>
          <w:lang w:val="en-US"/>
        </w:rPr>
        <w:t xml:space="preserve">, </w:t>
      </w:r>
      <w:r w:rsidRPr="006470CD">
        <w:rPr>
          <w:i/>
          <w:iCs/>
          <w:szCs w:val="22"/>
          <w:lang w:val="en-US"/>
        </w:rPr>
        <w:t>16</w:t>
      </w:r>
      <w:r w:rsidRPr="006470CD">
        <w:rPr>
          <w:szCs w:val="22"/>
          <w:lang w:val="en-US"/>
        </w:rPr>
        <w:t>(4), 1001–1008. https://doi.org/10.1016/j.brs.2023.06.010</w:t>
      </w:r>
    </w:p>
    <w:p w14:paraId="5AAD2702" w14:textId="77777777" w:rsidR="00FF5975" w:rsidRPr="006470CD" w:rsidRDefault="00FF5975" w:rsidP="006470CD">
      <w:pPr>
        <w:pStyle w:val="Bibliography"/>
        <w:spacing w:line="360" w:lineRule="auto"/>
        <w:rPr>
          <w:szCs w:val="22"/>
          <w:lang w:val="en-US"/>
        </w:rPr>
      </w:pPr>
      <w:r w:rsidRPr="006470CD">
        <w:rPr>
          <w:szCs w:val="22"/>
          <w:lang w:val="en-US"/>
        </w:rPr>
        <w:t xml:space="preserve">Logemann, A., Böcker, K. B. E., Deschamps, P., Kemner, C., &amp; </w:t>
      </w:r>
      <w:proofErr w:type="spellStart"/>
      <w:r w:rsidRPr="006470CD">
        <w:rPr>
          <w:szCs w:val="22"/>
          <w:lang w:val="en-US"/>
        </w:rPr>
        <w:t>Kenemans</w:t>
      </w:r>
      <w:proofErr w:type="spellEnd"/>
      <w:r w:rsidRPr="006470CD">
        <w:rPr>
          <w:szCs w:val="22"/>
          <w:lang w:val="en-US"/>
        </w:rPr>
        <w:t xml:space="preserve">, J. L. (2013). The effect of attenuating noradrenergic neurotransmission by clonidine on brain activity measures of visuospatial attention. </w:t>
      </w:r>
      <w:r w:rsidRPr="006470CD">
        <w:rPr>
          <w:i/>
          <w:iCs/>
          <w:szCs w:val="22"/>
          <w:lang w:val="en-US"/>
        </w:rPr>
        <w:t>Human Psychopharmacology: Clinical and Experimental</w:t>
      </w:r>
      <w:r w:rsidRPr="006470CD">
        <w:rPr>
          <w:szCs w:val="22"/>
          <w:lang w:val="en-US"/>
        </w:rPr>
        <w:t xml:space="preserve">, </w:t>
      </w:r>
      <w:r w:rsidRPr="006470CD">
        <w:rPr>
          <w:i/>
          <w:iCs/>
          <w:szCs w:val="22"/>
          <w:lang w:val="en-US"/>
        </w:rPr>
        <w:t>29</w:t>
      </w:r>
      <w:r w:rsidRPr="006470CD">
        <w:rPr>
          <w:szCs w:val="22"/>
          <w:lang w:val="en-US"/>
        </w:rPr>
        <w:t>(1). https://doi.org/10.1002/hup.2367</w:t>
      </w:r>
    </w:p>
    <w:p w14:paraId="3FBE601A" w14:textId="77777777" w:rsidR="00FF5975" w:rsidRPr="006470CD" w:rsidRDefault="00FF5975" w:rsidP="006470CD">
      <w:pPr>
        <w:pStyle w:val="Bibliography"/>
        <w:spacing w:line="360" w:lineRule="auto"/>
        <w:rPr>
          <w:szCs w:val="22"/>
          <w:lang w:val="en-US"/>
        </w:rPr>
      </w:pPr>
      <w:proofErr w:type="spellStart"/>
      <w:r w:rsidRPr="006470CD">
        <w:rPr>
          <w:szCs w:val="22"/>
          <w:lang w:val="en-US"/>
        </w:rPr>
        <w:t>Maraver</w:t>
      </w:r>
      <w:proofErr w:type="spellEnd"/>
      <w:r w:rsidRPr="006470CD">
        <w:rPr>
          <w:szCs w:val="22"/>
          <w:lang w:val="en-US"/>
        </w:rPr>
        <w:t xml:space="preserve">, M. J., Steenbergen, L., Actis-Grosso, R., Ricciardelli, P., Hommel, B., &amp; </w:t>
      </w:r>
      <w:proofErr w:type="spellStart"/>
      <w:r w:rsidRPr="006470CD">
        <w:rPr>
          <w:szCs w:val="22"/>
          <w:lang w:val="en-US"/>
        </w:rPr>
        <w:t>Colzato</w:t>
      </w:r>
      <w:proofErr w:type="spellEnd"/>
      <w:r w:rsidRPr="006470CD">
        <w:rPr>
          <w:szCs w:val="22"/>
          <w:lang w:val="en-US"/>
        </w:rPr>
        <w:t xml:space="preserve">, L. S. (2020). Transcutaneous </w:t>
      </w:r>
      <w:proofErr w:type="spellStart"/>
      <w:r w:rsidRPr="006470CD">
        <w:rPr>
          <w:szCs w:val="22"/>
          <w:lang w:val="en-US"/>
        </w:rPr>
        <w:t>vagus</w:t>
      </w:r>
      <w:proofErr w:type="spellEnd"/>
      <w:r w:rsidRPr="006470CD">
        <w:rPr>
          <w:szCs w:val="22"/>
          <w:lang w:val="en-US"/>
        </w:rPr>
        <w:t xml:space="preserve"> nerve stimulation modulates attentional resource deployment towards social cues. </w:t>
      </w:r>
      <w:proofErr w:type="spellStart"/>
      <w:r w:rsidRPr="006470CD">
        <w:rPr>
          <w:i/>
          <w:iCs/>
          <w:szCs w:val="22"/>
          <w:lang w:val="en-US"/>
        </w:rPr>
        <w:t>Neuropsychologia</w:t>
      </w:r>
      <w:proofErr w:type="spellEnd"/>
      <w:r w:rsidRPr="006470CD">
        <w:rPr>
          <w:szCs w:val="22"/>
          <w:lang w:val="en-US"/>
        </w:rPr>
        <w:t xml:space="preserve">, </w:t>
      </w:r>
      <w:r w:rsidRPr="006470CD">
        <w:rPr>
          <w:i/>
          <w:iCs/>
          <w:szCs w:val="22"/>
          <w:lang w:val="en-US"/>
        </w:rPr>
        <w:t>143</w:t>
      </w:r>
      <w:r w:rsidRPr="006470CD">
        <w:rPr>
          <w:szCs w:val="22"/>
          <w:lang w:val="en-US"/>
        </w:rPr>
        <w:t>. https://doi.org/10.1016/j.neuropsychologia.2020.107465</w:t>
      </w:r>
    </w:p>
    <w:p w14:paraId="0579A043" w14:textId="77777777" w:rsidR="00FF5975" w:rsidRPr="006470CD" w:rsidRDefault="00FF5975" w:rsidP="006470CD">
      <w:pPr>
        <w:pStyle w:val="Bibliography"/>
        <w:spacing w:line="360" w:lineRule="auto"/>
        <w:rPr>
          <w:szCs w:val="22"/>
          <w:lang w:val="fr-FR"/>
        </w:rPr>
      </w:pPr>
      <w:r w:rsidRPr="006470CD">
        <w:rPr>
          <w:szCs w:val="22"/>
          <w:lang w:val="en-US"/>
        </w:rPr>
        <w:t xml:space="preserve">Melnychuk, M. C., Robertson, I. H., Plini, E. R. G., &amp; Dockree, P. M. (2021). A Bridge between the Breath and the Brain: Synchronization of Respiration, a Pupillometric Marker of the Locus Coeruleus, and an EEG Marker of Attentional Control State. </w:t>
      </w:r>
      <w:r w:rsidRPr="006470CD">
        <w:rPr>
          <w:i/>
          <w:iCs/>
          <w:szCs w:val="22"/>
          <w:lang w:val="fr-FR"/>
        </w:rPr>
        <w:t>Brain Sciences</w:t>
      </w:r>
      <w:r w:rsidRPr="006470CD">
        <w:rPr>
          <w:szCs w:val="22"/>
          <w:lang w:val="fr-FR"/>
        </w:rPr>
        <w:t xml:space="preserve">, </w:t>
      </w:r>
      <w:r w:rsidRPr="006470CD">
        <w:rPr>
          <w:i/>
          <w:iCs/>
          <w:szCs w:val="22"/>
          <w:lang w:val="fr-FR"/>
        </w:rPr>
        <w:t>11</w:t>
      </w:r>
      <w:r w:rsidRPr="006470CD">
        <w:rPr>
          <w:szCs w:val="22"/>
          <w:lang w:val="fr-FR"/>
        </w:rPr>
        <w:t>(10), Article 10. https://doi.org/10.3390/brainsci11101324</w:t>
      </w:r>
    </w:p>
    <w:p w14:paraId="2605E383" w14:textId="77777777" w:rsidR="00FF5975" w:rsidRPr="006470CD" w:rsidRDefault="00FF5975" w:rsidP="006470CD">
      <w:pPr>
        <w:pStyle w:val="Bibliography"/>
        <w:spacing w:line="360" w:lineRule="auto"/>
        <w:rPr>
          <w:szCs w:val="22"/>
          <w:lang w:val="en-US"/>
        </w:rPr>
      </w:pPr>
      <w:proofErr w:type="spellStart"/>
      <w:r w:rsidRPr="006470CD">
        <w:rPr>
          <w:szCs w:val="22"/>
          <w:lang w:val="fr-FR"/>
        </w:rPr>
        <w:t>Mercante</w:t>
      </w:r>
      <w:proofErr w:type="spellEnd"/>
      <w:r w:rsidRPr="006470CD">
        <w:rPr>
          <w:szCs w:val="22"/>
          <w:lang w:val="fr-FR"/>
        </w:rPr>
        <w:t xml:space="preserve">, B., Enrico, P., </w:t>
      </w:r>
      <w:proofErr w:type="spellStart"/>
      <w:r w:rsidRPr="006470CD">
        <w:rPr>
          <w:szCs w:val="22"/>
          <w:lang w:val="fr-FR"/>
        </w:rPr>
        <w:t>Ginatempo</w:t>
      </w:r>
      <w:proofErr w:type="spellEnd"/>
      <w:r w:rsidRPr="006470CD">
        <w:rPr>
          <w:szCs w:val="22"/>
          <w:lang w:val="fr-FR"/>
        </w:rPr>
        <w:t xml:space="preserve">, F., Loi, N., &amp; </w:t>
      </w:r>
      <w:proofErr w:type="spellStart"/>
      <w:r w:rsidRPr="006470CD">
        <w:rPr>
          <w:szCs w:val="22"/>
          <w:lang w:val="fr-FR"/>
        </w:rPr>
        <w:t>Deriu</w:t>
      </w:r>
      <w:proofErr w:type="spellEnd"/>
      <w:r w:rsidRPr="006470CD">
        <w:rPr>
          <w:szCs w:val="22"/>
          <w:lang w:val="fr-FR"/>
        </w:rPr>
        <w:t xml:space="preserve">, F. (2023). </w:t>
      </w:r>
      <w:r w:rsidRPr="006470CD">
        <w:rPr>
          <w:szCs w:val="22"/>
          <w:lang w:val="en-US"/>
        </w:rPr>
        <w:t xml:space="preserve">Short-term transcutaneous trigeminal nerve stimulation does not affect visual oddball task and paired-click paradigm ERP responses in healthy volunteers. </w:t>
      </w:r>
      <w:r w:rsidRPr="006470CD">
        <w:rPr>
          <w:i/>
          <w:iCs/>
          <w:szCs w:val="22"/>
          <w:lang w:val="en-US"/>
        </w:rPr>
        <w:t>Experimental Brain Research</w:t>
      </w:r>
      <w:r w:rsidRPr="006470CD">
        <w:rPr>
          <w:szCs w:val="22"/>
          <w:lang w:val="en-US"/>
        </w:rPr>
        <w:t xml:space="preserve">, </w:t>
      </w:r>
      <w:r w:rsidRPr="006470CD">
        <w:rPr>
          <w:i/>
          <w:iCs/>
          <w:szCs w:val="22"/>
          <w:lang w:val="en-US"/>
        </w:rPr>
        <w:t>241</w:t>
      </w:r>
      <w:r w:rsidRPr="006470CD">
        <w:rPr>
          <w:szCs w:val="22"/>
          <w:lang w:val="en-US"/>
        </w:rPr>
        <w:t>(2), 327–339. https://doi.org/10.1007/s00221-022-06525-1</w:t>
      </w:r>
    </w:p>
    <w:p w14:paraId="4AF5E2C5" w14:textId="77777777" w:rsidR="00FF5975" w:rsidRPr="006470CD" w:rsidRDefault="00FF5975" w:rsidP="006470CD">
      <w:pPr>
        <w:pStyle w:val="Bibliography"/>
        <w:spacing w:line="360" w:lineRule="auto"/>
        <w:rPr>
          <w:szCs w:val="22"/>
          <w:lang w:val="fr-FR"/>
        </w:rPr>
      </w:pPr>
      <w:r w:rsidRPr="006470CD">
        <w:rPr>
          <w:szCs w:val="22"/>
          <w:lang w:val="en-US"/>
        </w:rPr>
        <w:t xml:space="preserve">Mertens, A., Naert, L., </w:t>
      </w:r>
      <w:proofErr w:type="spellStart"/>
      <w:r w:rsidRPr="006470CD">
        <w:rPr>
          <w:szCs w:val="22"/>
          <w:lang w:val="en-US"/>
        </w:rPr>
        <w:t>Miatton</w:t>
      </w:r>
      <w:proofErr w:type="spellEnd"/>
      <w:r w:rsidRPr="006470CD">
        <w:rPr>
          <w:szCs w:val="22"/>
          <w:lang w:val="en-US"/>
        </w:rPr>
        <w:t xml:space="preserve">, M., Poppa, T., Carrette, E., </w:t>
      </w:r>
      <w:proofErr w:type="spellStart"/>
      <w:r w:rsidRPr="006470CD">
        <w:rPr>
          <w:szCs w:val="22"/>
          <w:lang w:val="en-US"/>
        </w:rPr>
        <w:t>Gadeyne</w:t>
      </w:r>
      <w:proofErr w:type="spellEnd"/>
      <w:r w:rsidRPr="006470CD">
        <w:rPr>
          <w:szCs w:val="22"/>
          <w:lang w:val="en-US"/>
        </w:rPr>
        <w:t xml:space="preserve">, S., </w:t>
      </w:r>
      <w:proofErr w:type="spellStart"/>
      <w:r w:rsidRPr="006470CD">
        <w:rPr>
          <w:szCs w:val="22"/>
          <w:lang w:val="en-US"/>
        </w:rPr>
        <w:t>Raedt</w:t>
      </w:r>
      <w:proofErr w:type="spellEnd"/>
      <w:r w:rsidRPr="006470CD">
        <w:rPr>
          <w:szCs w:val="22"/>
          <w:lang w:val="en-US"/>
        </w:rPr>
        <w:t xml:space="preserve">, R., Boon, P., &amp; </w:t>
      </w:r>
      <w:proofErr w:type="spellStart"/>
      <w:r w:rsidRPr="006470CD">
        <w:rPr>
          <w:szCs w:val="22"/>
          <w:lang w:val="en-US"/>
        </w:rPr>
        <w:t>Vonck</w:t>
      </w:r>
      <w:proofErr w:type="spellEnd"/>
      <w:r w:rsidRPr="006470CD">
        <w:rPr>
          <w:szCs w:val="22"/>
          <w:lang w:val="en-US"/>
        </w:rPr>
        <w:t xml:space="preserve">, K. (2020). Transcutaneous </w:t>
      </w:r>
      <w:proofErr w:type="spellStart"/>
      <w:r w:rsidRPr="006470CD">
        <w:rPr>
          <w:szCs w:val="22"/>
          <w:lang w:val="en-US"/>
        </w:rPr>
        <w:t>Vagus</w:t>
      </w:r>
      <w:proofErr w:type="spellEnd"/>
      <w:r w:rsidRPr="006470CD">
        <w:rPr>
          <w:szCs w:val="22"/>
          <w:lang w:val="en-US"/>
        </w:rPr>
        <w:t xml:space="preserve"> Nerve Stimulation Does Not Affect Verbal </w:t>
      </w:r>
      <w:r w:rsidRPr="006470CD">
        <w:rPr>
          <w:szCs w:val="22"/>
          <w:lang w:val="en-US"/>
        </w:rPr>
        <w:lastRenderedPageBreak/>
        <w:t xml:space="preserve">Memory Performance in Healthy Volunteers. </w:t>
      </w:r>
      <w:proofErr w:type="spellStart"/>
      <w:r w:rsidRPr="006470CD">
        <w:rPr>
          <w:i/>
          <w:iCs/>
          <w:szCs w:val="22"/>
          <w:lang w:val="fr-FR"/>
        </w:rPr>
        <w:t>Frontiers</w:t>
      </w:r>
      <w:proofErr w:type="spellEnd"/>
      <w:r w:rsidRPr="006470CD">
        <w:rPr>
          <w:i/>
          <w:iCs/>
          <w:szCs w:val="22"/>
          <w:lang w:val="fr-FR"/>
        </w:rPr>
        <w:t xml:space="preserve"> in Psychology</w:t>
      </w:r>
      <w:r w:rsidRPr="006470CD">
        <w:rPr>
          <w:szCs w:val="22"/>
          <w:lang w:val="fr-FR"/>
        </w:rPr>
        <w:t xml:space="preserve">, </w:t>
      </w:r>
      <w:r w:rsidRPr="006470CD">
        <w:rPr>
          <w:i/>
          <w:iCs/>
          <w:szCs w:val="22"/>
          <w:lang w:val="fr-FR"/>
        </w:rPr>
        <w:t>11</w:t>
      </w:r>
      <w:r w:rsidRPr="006470CD">
        <w:rPr>
          <w:szCs w:val="22"/>
          <w:lang w:val="fr-FR"/>
        </w:rPr>
        <w:t>. https://doi.org/10.3389/fpsyg.2020.00551</w:t>
      </w:r>
    </w:p>
    <w:p w14:paraId="560972A9" w14:textId="77777777" w:rsidR="00FF5975" w:rsidRPr="006470CD" w:rsidRDefault="00FF5975" w:rsidP="006470CD">
      <w:pPr>
        <w:pStyle w:val="Bibliography"/>
        <w:spacing w:line="360" w:lineRule="auto"/>
        <w:rPr>
          <w:szCs w:val="22"/>
          <w:lang w:val="en-US"/>
        </w:rPr>
      </w:pPr>
      <w:proofErr w:type="spellStart"/>
      <w:r w:rsidRPr="006470CD">
        <w:rPr>
          <w:szCs w:val="22"/>
          <w:lang w:val="fr-FR"/>
        </w:rPr>
        <w:t>Micoulaud</w:t>
      </w:r>
      <w:proofErr w:type="spellEnd"/>
      <w:r w:rsidRPr="006470CD">
        <w:rPr>
          <w:szCs w:val="22"/>
          <w:lang w:val="fr-FR"/>
        </w:rPr>
        <w:t xml:space="preserve">-Franchi, J.-A., Lopez, R., </w:t>
      </w:r>
      <w:proofErr w:type="spellStart"/>
      <w:r w:rsidRPr="006470CD">
        <w:rPr>
          <w:szCs w:val="22"/>
          <w:lang w:val="fr-FR"/>
        </w:rPr>
        <w:t>Cermolacce</w:t>
      </w:r>
      <w:proofErr w:type="spellEnd"/>
      <w:r w:rsidRPr="006470CD">
        <w:rPr>
          <w:szCs w:val="22"/>
          <w:lang w:val="fr-FR"/>
        </w:rPr>
        <w:t xml:space="preserve">, M., Vaillant, F., Péri, P., Boyer, L., </w:t>
      </w:r>
      <w:proofErr w:type="spellStart"/>
      <w:r w:rsidRPr="006470CD">
        <w:rPr>
          <w:szCs w:val="22"/>
          <w:lang w:val="fr-FR"/>
        </w:rPr>
        <w:t>Richieri</w:t>
      </w:r>
      <w:proofErr w:type="spellEnd"/>
      <w:r w:rsidRPr="006470CD">
        <w:rPr>
          <w:szCs w:val="22"/>
          <w:lang w:val="fr-FR"/>
        </w:rPr>
        <w:t xml:space="preserve">, R., </w:t>
      </w:r>
      <w:proofErr w:type="spellStart"/>
      <w:r w:rsidRPr="006470CD">
        <w:rPr>
          <w:szCs w:val="22"/>
          <w:lang w:val="fr-FR"/>
        </w:rPr>
        <w:t>Bioulac</w:t>
      </w:r>
      <w:proofErr w:type="spellEnd"/>
      <w:r w:rsidRPr="006470CD">
        <w:rPr>
          <w:szCs w:val="22"/>
          <w:lang w:val="fr-FR"/>
        </w:rPr>
        <w:t xml:space="preserve">, S., </w:t>
      </w:r>
      <w:proofErr w:type="spellStart"/>
      <w:r w:rsidRPr="006470CD">
        <w:rPr>
          <w:szCs w:val="22"/>
          <w:lang w:val="fr-FR"/>
        </w:rPr>
        <w:t>Sagaspe</w:t>
      </w:r>
      <w:proofErr w:type="spellEnd"/>
      <w:r w:rsidRPr="006470CD">
        <w:rPr>
          <w:szCs w:val="22"/>
          <w:lang w:val="fr-FR"/>
        </w:rPr>
        <w:t xml:space="preserve">, P., Philip, P., Vion-Dury, J., &amp; </w:t>
      </w:r>
      <w:proofErr w:type="spellStart"/>
      <w:r w:rsidRPr="006470CD">
        <w:rPr>
          <w:szCs w:val="22"/>
          <w:lang w:val="fr-FR"/>
        </w:rPr>
        <w:t>Lancon</w:t>
      </w:r>
      <w:proofErr w:type="spellEnd"/>
      <w:r w:rsidRPr="006470CD">
        <w:rPr>
          <w:szCs w:val="22"/>
          <w:lang w:val="fr-FR"/>
        </w:rPr>
        <w:t xml:space="preserve">, C. (2016). </w:t>
      </w:r>
      <w:r w:rsidRPr="006470CD">
        <w:rPr>
          <w:szCs w:val="22"/>
          <w:lang w:val="en-US"/>
        </w:rPr>
        <w:t xml:space="preserve">Sensory Gating Capacity and Attentional Function in Adults With ADHD. </w:t>
      </w:r>
      <w:r w:rsidRPr="006470CD">
        <w:rPr>
          <w:i/>
          <w:iCs/>
          <w:szCs w:val="22"/>
          <w:lang w:val="en-US"/>
        </w:rPr>
        <w:t>Journal of Attention Disorders</w:t>
      </w:r>
      <w:r w:rsidRPr="006470CD">
        <w:rPr>
          <w:szCs w:val="22"/>
          <w:lang w:val="en-US"/>
        </w:rPr>
        <w:t>. https://doi.org/10.1177/1087054716629716</w:t>
      </w:r>
    </w:p>
    <w:p w14:paraId="4380A818" w14:textId="77777777" w:rsidR="00FF5975" w:rsidRPr="006470CD" w:rsidRDefault="00FF5975" w:rsidP="006470CD">
      <w:pPr>
        <w:pStyle w:val="Bibliography"/>
        <w:spacing w:line="360" w:lineRule="auto"/>
        <w:rPr>
          <w:szCs w:val="22"/>
          <w:lang w:val="en-US"/>
        </w:rPr>
      </w:pPr>
      <w:r w:rsidRPr="006470CD">
        <w:rPr>
          <w:szCs w:val="22"/>
          <w:lang w:val="en-US"/>
        </w:rPr>
        <w:t xml:space="preserve">Miller, M. R., Hankinson, J., </w:t>
      </w:r>
      <w:proofErr w:type="spellStart"/>
      <w:r w:rsidRPr="006470CD">
        <w:rPr>
          <w:szCs w:val="22"/>
          <w:lang w:val="en-US"/>
        </w:rPr>
        <w:t>Brusasco</w:t>
      </w:r>
      <w:proofErr w:type="spellEnd"/>
      <w:r w:rsidRPr="006470CD">
        <w:rPr>
          <w:szCs w:val="22"/>
          <w:lang w:val="en-US"/>
        </w:rPr>
        <w:t xml:space="preserve">, V., Burgos, F., Casaburi, R., Coates, A., Crapo, R., Enright, P., van der </w:t>
      </w:r>
      <w:proofErr w:type="spellStart"/>
      <w:r w:rsidRPr="006470CD">
        <w:rPr>
          <w:szCs w:val="22"/>
          <w:lang w:val="en-US"/>
        </w:rPr>
        <w:t>Grinten</w:t>
      </w:r>
      <w:proofErr w:type="spellEnd"/>
      <w:r w:rsidRPr="006470CD">
        <w:rPr>
          <w:szCs w:val="22"/>
          <w:lang w:val="en-US"/>
        </w:rPr>
        <w:t xml:space="preserve">, C. P. M., Gustafsson, P., Jensen, R., Johnson, D. C., </w:t>
      </w:r>
      <w:proofErr w:type="spellStart"/>
      <w:r w:rsidRPr="006470CD">
        <w:rPr>
          <w:szCs w:val="22"/>
          <w:lang w:val="en-US"/>
        </w:rPr>
        <w:t>MacIntyre</w:t>
      </w:r>
      <w:proofErr w:type="spellEnd"/>
      <w:r w:rsidRPr="006470CD">
        <w:rPr>
          <w:szCs w:val="22"/>
          <w:lang w:val="en-US"/>
        </w:rPr>
        <w:t xml:space="preserve">, N., McKay, R., </w:t>
      </w:r>
      <w:proofErr w:type="spellStart"/>
      <w:r w:rsidRPr="006470CD">
        <w:rPr>
          <w:szCs w:val="22"/>
          <w:lang w:val="en-US"/>
        </w:rPr>
        <w:t>Navajas</w:t>
      </w:r>
      <w:proofErr w:type="spellEnd"/>
      <w:r w:rsidRPr="006470CD">
        <w:rPr>
          <w:szCs w:val="22"/>
          <w:lang w:val="en-US"/>
        </w:rPr>
        <w:t xml:space="preserve">, D., Pedersen, O. F., Pellegrino, R., </w:t>
      </w:r>
      <w:proofErr w:type="spellStart"/>
      <w:r w:rsidRPr="006470CD">
        <w:rPr>
          <w:szCs w:val="22"/>
          <w:lang w:val="en-US"/>
        </w:rPr>
        <w:t>Viegi</w:t>
      </w:r>
      <w:proofErr w:type="spellEnd"/>
      <w:r w:rsidRPr="006470CD">
        <w:rPr>
          <w:szCs w:val="22"/>
          <w:lang w:val="en-US"/>
        </w:rPr>
        <w:t xml:space="preserve">, G., Wanger, J., &amp; ATS/ERS Task Force. (2005). </w:t>
      </w:r>
      <w:proofErr w:type="spellStart"/>
      <w:r w:rsidRPr="006470CD">
        <w:rPr>
          <w:szCs w:val="22"/>
          <w:lang w:val="en-US"/>
        </w:rPr>
        <w:t>Standardisation</w:t>
      </w:r>
      <w:proofErr w:type="spellEnd"/>
      <w:r w:rsidRPr="006470CD">
        <w:rPr>
          <w:szCs w:val="22"/>
          <w:lang w:val="en-US"/>
        </w:rPr>
        <w:t xml:space="preserve"> of spirometry. </w:t>
      </w:r>
      <w:r w:rsidRPr="006470CD">
        <w:rPr>
          <w:i/>
          <w:iCs/>
          <w:szCs w:val="22"/>
          <w:lang w:val="en-US"/>
        </w:rPr>
        <w:t>The European Respiratory Journal</w:t>
      </w:r>
      <w:r w:rsidRPr="006470CD">
        <w:rPr>
          <w:szCs w:val="22"/>
          <w:lang w:val="en-US"/>
        </w:rPr>
        <w:t xml:space="preserve">, </w:t>
      </w:r>
      <w:r w:rsidRPr="006470CD">
        <w:rPr>
          <w:i/>
          <w:iCs/>
          <w:szCs w:val="22"/>
          <w:lang w:val="en-US"/>
        </w:rPr>
        <w:t>26</w:t>
      </w:r>
      <w:r w:rsidRPr="006470CD">
        <w:rPr>
          <w:szCs w:val="22"/>
          <w:lang w:val="en-US"/>
        </w:rPr>
        <w:t>(2), 319–338. https://doi.org/10.1183/09031936.05.00034805</w:t>
      </w:r>
    </w:p>
    <w:p w14:paraId="39BD6D5F" w14:textId="77777777" w:rsidR="00FF5975" w:rsidRPr="006470CD" w:rsidRDefault="00FF5975" w:rsidP="006470CD">
      <w:pPr>
        <w:pStyle w:val="Bibliography"/>
        <w:spacing w:line="360" w:lineRule="auto"/>
        <w:rPr>
          <w:szCs w:val="22"/>
          <w:lang w:val="es-ES"/>
        </w:rPr>
      </w:pPr>
      <w:proofErr w:type="spellStart"/>
      <w:r w:rsidRPr="006470CD">
        <w:rPr>
          <w:szCs w:val="22"/>
          <w:lang w:val="de-DE"/>
        </w:rPr>
        <w:t>Minzenberg</w:t>
      </w:r>
      <w:proofErr w:type="spellEnd"/>
      <w:r w:rsidRPr="006470CD">
        <w:rPr>
          <w:szCs w:val="22"/>
          <w:lang w:val="de-DE"/>
        </w:rPr>
        <w:t xml:space="preserve">, M. J., Yoon, J. H., &amp; Carter, C. S. (2011). </w:t>
      </w:r>
      <w:r w:rsidRPr="006470CD">
        <w:rPr>
          <w:szCs w:val="22"/>
          <w:lang w:val="en-US"/>
        </w:rPr>
        <w:t xml:space="preserve">Modafinil modulation of the default mode network. </w:t>
      </w:r>
      <w:proofErr w:type="spellStart"/>
      <w:r w:rsidRPr="006470CD">
        <w:rPr>
          <w:i/>
          <w:iCs/>
          <w:szCs w:val="22"/>
          <w:lang w:val="es-ES"/>
        </w:rPr>
        <w:t>Psychopharmacology</w:t>
      </w:r>
      <w:proofErr w:type="spellEnd"/>
      <w:r w:rsidRPr="006470CD">
        <w:rPr>
          <w:szCs w:val="22"/>
          <w:lang w:val="es-ES"/>
        </w:rPr>
        <w:t xml:space="preserve">, </w:t>
      </w:r>
      <w:r w:rsidRPr="006470CD">
        <w:rPr>
          <w:i/>
          <w:iCs/>
          <w:szCs w:val="22"/>
          <w:lang w:val="es-ES"/>
        </w:rPr>
        <w:t>215</w:t>
      </w:r>
      <w:r w:rsidRPr="006470CD">
        <w:rPr>
          <w:szCs w:val="22"/>
          <w:lang w:val="es-ES"/>
        </w:rPr>
        <w:t>(1), 23–31. https://doi.org/10.1007/s00213-010-2111-5</w:t>
      </w:r>
    </w:p>
    <w:p w14:paraId="3319A862" w14:textId="77777777" w:rsidR="00FF5975" w:rsidRPr="006470CD" w:rsidRDefault="00FF5975" w:rsidP="006470CD">
      <w:pPr>
        <w:pStyle w:val="Bibliography"/>
        <w:spacing w:line="360" w:lineRule="auto"/>
        <w:rPr>
          <w:szCs w:val="22"/>
          <w:lang w:val="en-US"/>
        </w:rPr>
      </w:pPr>
      <w:r w:rsidRPr="006470CD">
        <w:rPr>
          <w:szCs w:val="22"/>
          <w:lang w:val="es-ES"/>
        </w:rPr>
        <w:t xml:space="preserve">Montoya, P., Sitges, C., García-Herrera, M., Rodríguez-Cotes, A., Izquierdo, R., </w:t>
      </w:r>
      <w:proofErr w:type="spellStart"/>
      <w:r w:rsidRPr="006470CD">
        <w:rPr>
          <w:szCs w:val="22"/>
          <w:lang w:val="es-ES"/>
        </w:rPr>
        <w:t>Truyols</w:t>
      </w:r>
      <w:proofErr w:type="spellEnd"/>
      <w:r w:rsidRPr="006470CD">
        <w:rPr>
          <w:szCs w:val="22"/>
          <w:lang w:val="es-ES"/>
        </w:rPr>
        <w:t xml:space="preserve">, M., &amp; Collado, D. (2006). </w:t>
      </w:r>
      <w:r w:rsidRPr="006470CD">
        <w:rPr>
          <w:szCs w:val="22"/>
          <w:lang w:val="en-US"/>
        </w:rPr>
        <w:t xml:space="preserve">Reduced brain habituation to somatosensory stimulation in patients with fibromyalgia. </w:t>
      </w:r>
      <w:r w:rsidRPr="006470CD">
        <w:rPr>
          <w:i/>
          <w:iCs/>
          <w:szCs w:val="22"/>
          <w:lang w:val="en-US"/>
        </w:rPr>
        <w:t>Arthritis and Rheumatism</w:t>
      </w:r>
      <w:r w:rsidRPr="006470CD">
        <w:rPr>
          <w:szCs w:val="22"/>
          <w:lang w:val="en-US"/>
        </w:rPr>
        <w:t xml:space="preserve">, </w:t>
      </w:r>
      <w:r w:rsidRPr="006470CD">
        <w:rPr>
          <w:i/>
          <w:iCs/>
          <w:szCs w:val="22"/>
          <w:lang w:val="en-US"/>
        </w:rPr>
        <w:t>54</w:t>
      </w:r>
      <w:r w:rsidRPr="006470CD">
        <w:rPr>
          <w:szCs w:val="22"/>
          <w:lang w:val="en-US"/>
        </w:rPr>
        <w:t>(6), 1995–2003. https://doi.org/10.1002/art.21910</w:t>
      </w:r>
    </w:p>
    <w:p w14:paraId="7A5D8D64" w14:textId="77777777" w:rsidR="00FF5975" w:rsidRPr="006470CD" w:rsidRDefault="00FF5975" w:rsidP="006470CD">
      <w:pPr>
        <w:pStyle w:val="Bibliography"/>
        <w:spacing w:line="360" w:lineRule="auto"/>
        <w:rPr>
          <w:szCs w:val="22"/>
          <w:lang w:val="en-US"/>
        </w:rPr>
      </w:pPr>
      <w:r w:rsidRPr="006470CD">
        <w:rPr>
          <w:szCs w:val="22"/>
          <w:lang w:val="en-US"/>
        </w:rPr>
        <w:t xml:space="preserve">Morand-Beaulieu, S., &amp; Lavoie, M. E. (2019). Cognitive and motor event-related potentials in Tourette syndrome and tic disorders: A systematic review. </w:t>
      </w:r>
      <w:r w:rsidRPr="006470CD">
        <w:rPr>
          <w:i/>
          <w:iCs/>
          <w:szCs w:val="22"/>
          <w:lang w:val="en-US"/>
        </w:rPr>
        <w:t>Clinical Neurophysiology</w:t>
      </w:r>
      <w:r w:rsidRPr="006470CD">
        <w:rPr>
          <w:szCs w:val="22"/>
          <w:lang w:val="en-US"/>
        </w:rPr>
        <w:t xml:space="preserve">, </w:t>
      </w:r>
      <w:r w:rsidRPr="006470CD">
        <w:rPr>
          <w:i/>
          <w:iCs/>
          <w:szCs w:val="22"/>
          <w:lang w:val="en-US"/>
        </w:rPr>
        <w:t>130</w:t>
      </w:r>
      <w:r w:rsidRPr="006470CD">
        <w:rPr>
          <w:szCs w:val="22"/>
          <w:lang w:val="en-US"/>
        </w:rPr>
        <w:t>(6), 1041–1057. https://doi.org/10.1016/j.clinph.2018.10.022</w:t>
      </w:r>
    </w:p>
    <w:p w14:paraId="720634B4" w14:textId="77777777" w:rsidR="00FF5975" w:rsidRPr="006470CD" w:rsidRDefault="00FF5975" w:rsidP="006470CD">
      <w:pPr>
        <w:pStyle w:val="Bibliography"/>
        <w:spacing w:line="360" w:lineRule="auto"/>
        <w:rPr>
          <w:szCs w:val="22"/>
          <w:lang w:val="en-US"/>
        </w:rPr>
      </w:pPr>
      <w:r w:rsidRPr="006470CD">
        <w:rPr>
          <w:szCs w:val="22"/>
          <w:lang w:val="en-US"/>
        </w:rPr>
        <w:t xml:space="preserve">Narayanan, J. T., Watts, R., Haddad, N., Labar, D. R., Li, P. M., &amp; Filippi, C. G. (2002). Cerebral Activation during </w:t>
      </w:r>
      <w:proofErr w:type="spellStart"/>
      <w:r w:rsidRPr="006470CD">
        <w:rPr>
          <w:szCs w:val="22"/>
          <w:lang w:val="en-US"/>
        </w:rPr>
        <w:t>Vagus</w:t>
      </w:r>
      <w:proofErr w:type="spellEnd"/>
      <w:r w:rsidRPr="006470CD">
        <w:rPr>
          <w:szCs w:val="22"/>
          <w:lang w:val="en-US"/>
        </w:rPr>
        <w:t xml:space="preserve"> Nerve Stimulation: A Functional MR Study. </w:t>
      </w:r>
      <w:r w:rsidRPr="006470CD">
        <w:rPr>
          <w:i/>
          <w:iCs/>
          <w:szCs w:val="22"/>
          <w:lang w:val="en-US"/>
        </w:rPr>
        <w:t>Epilepsia</w:t>
      </w:r>
      <w:r w:rsidRPr="006470CD">
        <w:rPr>
          <w:szCs w:val="22"/>
          <w:lang w:val="en-US"/>
        </w:rPr>
        <w:t xml:space="preserve">, </w:t>
      </w:r>
      <w:r w:rsidRPr="006470CD">
        <w:rPr>
          <w:i/>
          <w:iCs/>
          <w:szCs w:val="22"/>
          <w:lang w:val="en-US"/>
        </w:rPr>
        <w:t>43</w:t>
      </w:r>
      <w:r w:rsidRPr="006470CD">
        <w:rPr>
          <w:szCs w:val="22"/>
          <w:lang w:val="en-US"/>
        </w:rPr>
        <w:t>(12), 1509–1514. https://doi.org/10.1046/j.1528-1157.2002.16102.x</w:t>
      </w:r>
    </w:p>
    <w:p w14:paraId="7320D57F" w14:textId="77777777" w:rsidR="00FF5975" w:rsidRPr="006470CD" w:rsidRDefault="00FF5975" w:rsidP="006470CD">
      <w:pPr>
        <w:pStyle w:val="Bibliography"/>
        <w:spacing w:line="360" w:lineRule="auto"/>
        <w:rPr>
          <w:szCs w:val="22"/>
          <w:lang w:val="en-US"/>
        </w:rPr>
      </w:pPr>
      <w:r w:rsidRPr="006470CD">
        <w:rPr>
          <w:szCs w:val="22"/>
          <w:lang w:val="en-US"/>
        </w:rPr>
        <w:t xml:space="preserve">Nemeroff, C. B., </w:t>
      </w:r>
      <w:proofErr w:type="spellStart"/>
      <w:r w:rsidRPr="006470CD">
        <w:rPr>
          <w:szCs w:val="22"/>
          <w:lang w:val="en-US"/>
        </w:rPr>
        <w:t>Mayberg</w:t>
      </w:r>
      <w:proofErr w:type="spellEnd"/>
      <w:r w:rsidRPr="006470CD">
        <w:rPr>
          <w:szCs w:val="22"/>
          <w:lang w:val="en-US"/>
        </w:rPr>
        <w:t xml:space="preserve">, H. S., Krahl, S. E., McNamara, J. O., Frazer, A., Henry, T. R., George, M. S., Charney, D. S., &amp; Brannan, S. K. (2006). VNS Therapy in Treatment-Resistant Depression: Clinical Evidence and Putative Neurobiological Mechanisms. </w:t>
      </w:r>
      <w:r w:rsidRPr="006470CD">
        <w:rPr>
          <w:i/>
          <w:iCs/>
          <w:szCs w:val="22"/>
          <w:lang w:val="en-US"/>
        </w:rPr>
        <w:t>Neuropsychopharmacology</w:t>
      </w:r>
      <w:r w:rsidRPr="006470CD">
        <w:rPr>
          <w:szCs w:val="22"/>
          <w:lang w:val="en-US"/>
        </w:rPr>
        <w:t xml:space="preserve">, </w:t>
      </w:r>
      <w:r w:rsidRPr="006470CD">
        <w:rPr>
          <w:i/>
          <w:iCs/>
          <w:szCs w:val="22"/>
          <w:lang w:val="en-US"/>
        </w:rPr>
        <w:t>31</w:t>
      </w:r>
      <w:r w:rsidRPr="006470CD">
        <w:rPr>
          <w:szCs w:val="22"/>
          <w:lang w:val="en-US"/>
        </w:rPr>
        <w:t>(7). https://doi.org/10.1038/sj.npp.1301082</w:t>
      </w:r>
    </w:p>
    <w:p w14:paraId="4DAB6FEF" w14:textId="77777777" w:rsidR="00FF5975" w:rsidRPr="006470CD" w:rsidRDefault="00FF5975" w:rsidP="006470CD">
      <w:pPr>
        <w:pStyle w:val="Bibliography"/>
        <w:spacing w:line="360" w:lineRule="auto"/>
        <w:rPr>
          <w:szCs w:val="22"/>
          <w:lang w:val="en-US"/>
        </w:rPr>
      </w:pPr>
      <w:r w:rsidRPr="006470CD">
        <w:rPr>
          <w:szCs w:val="22"/>
          <w:lang w:val="en-US"/>
        </w:rPr>
        <w:t xml:space="preserve">Nesbitt, A. D., Marin, J. C. A., Tompkins, E., Ruttledge, M. H., &amp; </w:t>
      </w:r>
      <w:proofErr w:type="spellStart"/>
      <w:r w:rsidRPr="006470CD">
        <w:rPr>
          <w:szCs w:val="22"/>
          <w:lang w:val="en-US"/>
        </w:rPr>
        <w:t>Goadsby</w:t>
      </w:r>
      <w:proofErr w:type="spellEnd"/>
      <w:r w:rsidRPr="006470CD">
        <w:rPr>
          <w:szCs w:val="22"/>
          <w:lang w:val="en-US"/>
        </w:rPr>
        <w:t xml:space="preserve">, P. J. (2015). Initial use of a novel noninvasive </w:t>
      </w:r>
      <w:proofErr w:type="spellStart"/>
      <w:r w:rsidRPr="006470CD">
        <w:rPr>
          <w:szCs w:val="22"/>
          <w:lang w:val="en-US"/>
        </w:rPr>
        <w:t>vagus</w:t>
      </w:r>
      <w:proofErr w:type="spellEnd"/>
      <w:r w:rsidRPr="006470CD">
        <w:rPr>
          <w:szCs w:val="22"/>
          <w:lang w:val="en-US"/>
        </w:rPr>
        <w:t xml:space="preserve"> nerve stimulator for cluster headache treatment. </w:t>
      </w:r>
      <w:r w:rsidRPr="006470CD">
        <w:rPr>
          <w:i/>
          <w:iCs/>
          <w:szCs w:val="22"/>
          <w:lang w:val="en-US"/>
        </w:rPr>
        <w:t>Neurology</w:t>
      </w:r>
      <w:r w:rsidRPr="006470CD">
        <w:rPr>
          <w:szCs w:val="22"/>
          <w:lang w:val="en-US"/>
        </w:rPr>
        <w:t xml:space="preserve">, </w:t>
      </w:r>
      <w:r w:rsidRPr="006470CD">
        <w:rPr>
          <w:i/>
          <w:iCs/>
          <w:szCs w:val="22"/>
          <w:lang w:val="en-US"/>
        </w:rPr>
        <w:t>84</w:t>
      </w:r>
      <w:r w:rsidRPr="006470CD">
        <w:rPr>
          <w:szCs w:val="22"/>
          <w:lang w:val="en-US"/>
        </w:rPr>
        <w:t>(12), 1249–1253. https://doi.org/10.1212/WNL.0000000000001394</w:t>
      </w:r>
    </w:p>
    <w:p w14:paraId="44F1F4F9" w14:textId="77777777" w:rsidR="00FF5975" w:rsidRPr="006470CD" w:rsidRDefault="00FF5975" w:rsidP="006470CD">
      <w:pPr>
        <w:pStyle w:val="Bibliography"/>
        <w:spacing w:line="360" w:lineRule="auto"/>
        <w:rPr>
          <w:szCs w:val="22"/>
          <w:lang w:val="en-US"/>
        </w:rPr>
      </w:pPr>
      <w:r w:rsidRPr="006470CD">
        <w:rPr>
          <w:szCs w:val="22"/>
          <w:lang w:val="en-US"/>
        </w:rPr>
        <w:t xml:space="preserve">Neuhaus, A. H., </w:t>
      </w:r>
      <w:proofErr w:type="spellStart"/>
      <w:r w:rsidRPr="006470CD">
        <w:rPr>
          <w:szCs w:val="22"/>
          <w:lang w:val="en-US"/>
        </w:rPr>
        <w:t>Luborzewski</w:t>
      </w:r>
      <w:proofErr w:type="spellEnd"/>
      <w:r w:rsidRPr="006470CD">
        <w:rPr>
          <w:szCs w:val="22"/>
          <w:lang w:val="en-US"/>
        </w:rPr>
        <w:t xml:space="preserve">, A., </w:t>
      </w:r>
      <w:proofErr w:type="spellStart"/>
      <w:r w:rsidRPr="006470CD">
        <w:rPr>
          <w:szCs w:val="22"/>
          <w:lang w:val="en-US"/>
        </w:rPr>
        <w:t>Rentzsch</w:t>
      </w:r>
      <w:proofErr w:type="spellEnd"/>
      <w:r w:rsidRPr="006470CD">
        <w:rPr>
          <w:szCs w:val="22"/>
          <w:lang w:val="en-US"/>
        </w:rPr>
        <w:t xml:space="preserve">, J., </w:t>
      </w:r>
      <w:proofErr w:type="spellStart"/>
      <w:r w:rsidRPr="006470CD">
        <w:rPr>
          <w:szCs w:val="22"/>
          <w:lang w:val="en-US"/>
        </w:rPr>
        <w:t>Brakemeier</w:t>
      </w:r>
      <w:proofErr w:type="spellEnd"/>
      <w:r w:rsidRPr="006470CD">
        <w:rPr>
          <w:szCs w:val="22"/>
          <w:lang w:val="en-US"/>
        </w:rPr>
        <w:t xml:space="preserve">, E. L., </w:t>
      </w:r>
      <w:proofErr w:type="spellStart"/>
      <w:r w:rsidRPr="006470CD">
        <w:rPr>
          <w:szCs w:val="22"/>
          <w:lang w:val="en-US"/>
        </w:rPr>
        <w:t>Opgen</w:t>
      </w:r>
      <w:proofErr w:type="spellEnd"/>
      <w:r w:rsidRPr="006470CD">
        <w:rPr>
          <w:szCs w:val="22"/>
          <w:lang w:val="en-US"/>
        </w:rPr>
        <w:t xml:space="preserve">-Rhein, C., Gallinat, J., &amp; </w:t>
      </w:r>
      <w:proofErr w:type="spellStart"/>
      <w:r w:rsidRPr="006470CD">
        <w:rPr>
          <w:szCs w:val="22"/>
          <w:lang w:val="en-US"/>
        </w:rPr>
        <w:t>Bajbouj</w:t>
      </w:r>
      <w:proofErr w:type="spellEnd"/>
      <w:r w:rsidRPr="006470CD">
        <w:rPr>
          <w:szCs w:val="22"/>
          <w:lang w:val="en-US"/>
        </w:rPr>
        <w:t xml:space="preserve">, M. (2007). P300 is enhanced in responders to </w:t>
      </w:r>
      <w:proofErr w:type="spellStart"/>
      <w:r w:rsidRPr="006470CD">
        <w:rPr>
          <w:szCs w:val="22"/>
          <w:lang w:val="en-US"/>
        </w:rPr>
        <w:t>vagus</w:t>
      </w:r>
      <w:proofErr w:type="spellEnd"/>
      <w:r w:rsidRPr="006470CD">
        <w:rPr>
          <w:szCs w:val="22"/>
          <w:lang w:val="en-US"/>
        </w:rPr>
        <w:t xml:space="preserve"> nerve stimulation for treatment of major depressive disorder. </w:t>
      </w:r>
      <w:r w:rsidRPr="006470CD">
        <w:rPr>
          <w:i/>
          <w:iCs/>
          <w:szCs w:val="22"/>
          <w:lang w:val="en-US"/>
        </w:rPr>
        <w:t>Journal of Affective Disorders</w:t>
      </w:r>
      <w:r w:rsidRPr="006470CD">
        <w:rPr>
          <w:szCs w:val="22"/>
          <w:lang w:val="en-US"/>
        </w:rPr>
        <w:t xml:space="preserve">, </w:t>
      </w:r>
      <w:r w:rsidRPr="006470CD">
        <w:rPr>
          <w:i/>
          <w:iCs/>
          <w:szCs w:val="22"/>
          <w:lang w:val="en-US"/>
        </w:rPr>
        <w:t>100</w:t>
      </w:r>
      <w:r w:rsidRPr="006470CD">
        <w:rPr>
          <w:szCs w:val="22"/>
          <w:lang w:val="en-US"/>
        </w:rPr>
        <w:t>(1), 123–128. https://doi.org/10.1016/j.jad.2006.10.005</w:t>
      </w:r>
    </w:p>
    <w:p w14:paraId="114FC36F" w14:textId="77777777" w:rsidR="00FF5975" w:rsidRPr="006470CD" w:rsidRDefault="00FF5975" w:rsidP="006470CD">
      <w:pPr>
        <w:pStyle w:val="Bibliography"/>
        <w:spacing w:line="360" w:lineRule="auto"/>
        <w:rPr>
          <w:szCs w:val="22"/>
          <w:lang w:val="en-US"/>
        </w:rPr>
      </w:pPr>
      <w:r w:rsidRPr="006470CD">
        <w:rPr>
          <w:szCs w:val="22"/>
          <w:lang w:val="en-US"/>
        </w:rPr>
        <w:lastRenderedPageBreak/>
        <w:t xml:space="preserve">Neylan, T. C., Fletcher, D. J., Lenoci, M., McCallin, K., Weiss, D. S., Schoenfeld, F. B., Marmar, C. R., &amp; Fein, G. (1999). Sensory gating in chronic posttraumatic stress disorder: Reduced auditory P50 suppression in combat veterans. </w:t>
      </w:r>
      <w:r w:rsidRPr="006470CD">
        <w:rPr>
          <w:i/>
          <w:iCs/>
          <w:szCs w:val="22"/>
          <w:lang w:val="en-US"/>
        </w:rPr>
        <w:t>Biological Psychiatry</w:t>
      </w:r>
      <w:r w:rsidRPr="006470CD">
        <w:rPr>
          <w:szCs w:val="22"/>
          <w:lang w:val="en-US"/>
        </w:rPr>
        <w:t xml:space="preserve">, </w:t>
      </w:r>
      <w:r w:rsidRPr="006470CD">
        <w:rPr>
          <w:i/>
          <w:iCs/>
          <w:szCs w:val="22"/>
          <w:lang w:val="en-US"/>
        </w:rPr>
        <w:t>46</w:t>
      </w:r>
      <w:r w:rsidRPr="006470CD">
        <w:rPr>
          <w:szCs w:val="22"/>
          <w:lang w:val="en-US"/>
        </w:rPr>
        <w:t>(12), 1656–1664. https://doi.org/10.1016/s0006-3223(99)00047-5</w:t>
      </w:r>
    </w:p>
    <w:p w14:paraId="3C093E09" w14:textId="77777777" w:rsidR="00FF5975" w:rsidRPr="006470CD" w:rsidRDefault="00FF5975" w:rsidP="006470CD">
      <w:pPr>
        <w:pStyle w:val="Bibliography"/>
        <w:spacing w:line="360" w:lineRule="auto"/>
        <w:rPr>
          <w:szCs w:val="22"/>
          <w:lang w:val="en-US"/>
        </w:rPr>
      </w:pPr>
      <w:r w:rsidRPr="006470CD">
        <w:rPr>
          <w:szCs w:val="22"/>
          <w:lang w:val="en-US"/>
        </w:rPr>
        <w:t xml:space="preserve">Nguyen, A. T., Hetrick, W. P., O’Donnell, B. F., &amp; Brenner, C. A. (2020). Abnormal beta and gamma frequency neural oscillations mediate auditory sensory gating deficit in schizophrenia. </w:t>
      </w:r>
      <w:r w:rsidRPr="006470CD">
        <w:rPr>
          <w:i/>
          <w:iCs/>
          <w:szCs w:val="22"/>
          <w:lang w:val="en-US"/>
        </w:rPr>
        <w:t>Journal of Psychiatric Research</w:t>
      </w:r>
      <w:r w:rsidRPr="006470CD">
        <w:rPr>
          <w:szCs w:val="22"/>
          <w:lang w:val="en-US"/>
        </w:rPr>
        <w:t xml:space="preserve">, </w:t>
      </w:r>
      <w:r w:rsidRPr="006470CD">
        <w:rPr>
          <w:i/>
          <w:iCs/>
          <w:szCs w:val="22"/>
          <w:lang w:val="en-US"/>
        </w:rPr>
        <w:t>124</w:t>
      </w:r>
      <w:r w:rsidRPr="006470CD">
        <w:rPr>
          <w:szCs w:val="22"/>
          <w:lang w:val="en-US"/>
        </w:rPr>
        <w:t>, 13–21. https://doi.org/10.1016/j.jpsychires.2020.01.014</w:t>
      </w:r>
    </w:p>
    <w:p w14:paraId="499DA866" w14:textId="77777777" w:rsidR="00FF5975" w:rsidRPr="006470CD" w:rsidRDefault="00FF5975" w:rsidP="006470CD">
      <w:pPr>
        <w:pStyle w:val="Bibliography"/>
        <w:spacing w:line="360" w:lineRule="auto"/>
        <w:rPr>
          <w:szCs w:val="22"/>
          <w:lang w:val="en-US"/>
        </w:rPr>
      </w:pPr>
      <w:r w:rsidRPr="006470CD">
        <w:rPr>
          <w:szCs w:val="22"/>
          <w:lang w:val="en-US"/>
        </w:rPr>
        <w:t xml:space="preserve">Nonis, R., </w:t>
      </w:r>
      <w:proofErr w:type="spellStart"/>
      <w:r w:rsidRPr="006470CD">
        <w:rPr>
          <w:szCs w:val="22"/>
          <w:lang w:val="en-US"/>
        </w:rPr>
        <w:t>D’Ostilio</w:t>
      </w:r>
      <w:proofErr w:type="spellEnd"/>
      <w:r w:rsidRPr="006470CD">
        <w:rPr>
          <w:szCs w:val="22"/>
          <w:lang w:val="en-US"/>
        </w:rPr>
        <w:t xml:space="preserve">, K., Schoenen, J., &amp; Magis, D. (2017). Evidence of activation of vagal afferents by non-invasive </w:t>
      </w:r>
      <w:proofErr w:type="spellStart"/>
      <w:r w:rsidRPr="006470CD">
        <w:rPr>
          <w:szCs w:val="22"/>
          <w:lang w:val="en-US"/>
        </w:rPr>
        <w:t>vagus</w:t>
      </w:r>
      <w:proofErr w:type="spellEnd"/>
      <w:r w:rsidRPr="006470CD">
        <w:rPr>
          <w:szCs w:val="22"/>
          <w:lang w:val="en-US"/>
        </w:rPr>
        <w:t xml:space="preserve"> nerve stimulation: An electrophysiological study in healthy volunteers. </w:t>
      </w:r>
      <w:r w:rsidRPr="006470CD">
        <w:rPr>
          <w:i/>
          <w:iCs/>
          <w:szCs w:val="22"/>
          <w:lang w:val="en-US"/>
        </w:rPr>
        <w:t>Cephalalgia</w:t>
      </w:r>
      <w:r w:rsidRPr="006470CD">
        <w:rPr>
          <w:szCs w:val="22"/>
          <w:lang w:val="en-US"/>
        </w:rPr>
        <w:t xml:space="preserve">, </w:t>
      </w:r>
      <w:r w:rsidRPr="006470CD">
        <w:rPr>
          <w:i/>
          <w:iCs/>
          <w:szCs w:val="22"/>
          <w:lang w:val="en-US"/>
        </w:rPr>
        <w:t>37</w:t>
      </w:r>
      <w:r w:rsidRPr="006470CD">
        <w:rPr>
          <w:szCs w:val="22"/>
          <w:lang w:val="en-US"/>
        </w:rPr>
        <w:t>(13). https://doi.org/10.1177/0333102417717470</w:t>
      </w:r>
    </w:p>
    <w:p w14:paraId="405235AF" w14:textId="77777777" w:rsidR="00FF5975" w:rsidRPr="006470CD" w:rsidRDefault="00FF5975" w:rsidP="006470CD">
      <w:pPr>
        <w:pStyle w:val="Bibliography"/>
        <w:spacing w:line="360" w:lineRule="auto"/>
        <w:rPr>
          <w:szCs w:val="22"/>
          <w:lang w:val="en-US"/>
        </w:rPr>
      </w:pPr>
      <w:r w:rsidRPr="006470CD">
        <w:rPr>
          <w:szCs w:val="22"/>
          <w:lang w:val="en-US"/>
        </w:rPr>
        <w:t xml:space="preserve">Obst, M. A., Heldmann, M., Alicart, H., </w:t>
      </w:r>
      <w:proofErr w:type="spellStart"/>
      <w:r w:rsidRPr="006470CD">
        <w:rPr>
          <w:szCs w:val="22"/>
          <w:lang w:val="en-US"/>
        </w:rPr>
        <w:t>Tittgemeyer</w:t>
      </w:r>
      <w:proofErr w:type="spellEnd"/>
      <w:r w:rsidRPr="006470CD">
        <w:rPr>
          <w:szCs w:val="22"/>
          <w:lang w:val="en-US"/>
        </w:rPr>
        <w:t xml:space="preserve">, M., &amp; </w:t>
      </w:r>
      <w:proofErr w:type="spellStart"/>
      <w:r w:rsidRPr="006470CD">
        <w:rPr>
          <w:szCs w:val="22"/>
          <w:lang w:val="en-US"/>
        </w:rPr>
        <w:t>Münte</w:t>
      </w:r>
      <w:proofErr w:type="spellEnd"/>
      <w:r w:rsidRPr="006470CD">
        <w:rPr>
          <w:szCs w:val="22"/>
          <w:lang w:val="en-US"/>
        </w:rPr>
        <w:t xml:space="preserve">, T. F. (2020). Effect of Short-Term Transcutaneous </w:t>
      </w:r>
      <w:proofErr w:type="spellStart"/>
      <w:r w:rsidRPr="006470CD">
        <w:rPr>
          <w:szCs w:val="22"/>
          <w:lang w:val="en-US"/>
        </w:rPr>
        <w:t>Vagus</w:t>
      </w:r>
      <w:proofErr w:type="spellEnd"/>
      <w:r w:rsidRPr="006470CD">
        <w:rPr>
          <w:szCs w:val="22"/>
          <w:lang w:val="en-US"/>
        </w:rPr>
        <w:t xml:space="preserve"> Nerve Stimulation (</w:t>
      </w:r>
      <w:proofErr w:type="spellStart"/>
      <w:r w:rsidRPr="006470CD">
        <w:rPr>
          <w:szCs w:val="22"/>
          <w:lang w:val="en-US"/>
        </w:rPr>
        <w:t>tVNS</w:t>
      </w:r>
      <w:proofErr w:type="spellEnd"/>
      <w:r w:rsidRPr="006470CD">
        <w:rPr>
          <w:szCs w:val="22"/>
          <w:lang w:val="en-US"/>
        </w:rPr>
        <w:t xml:space="preserve">) on Brain Processing of Food Cues: An Electrophysiological Study. </w:t>
      </w:r>
      <w:r w:rsidRPr="006470CD">
        <w:rPr>
          <w:i/>
          <w:iCs/>
          <w:szCs w:val="22"/>
          <w:lang w:val="en-US"/>
        </w:rPr>
        <w:t>Frontiers in Human Neuroscience</w:t>
      </w:r>
      <w:r w:rsidRPr="006470CD">
        <w:rPr>
          <w:szCs w:val="22"/>
          <w:lang w:val="en-US"/>
        </w:rPr>
        <w:t xml:space="preserve">, </w:t>
      </w:r>
      <w:r w:rsidRPr="006470CD">
        <w:rPr>
          <w:i/>
          <w:iCs/>
          <w:szCs w:val="22"/>
          <w:lang w:val="en-US"/>
        </w:rPr>
        <w:t>14</w:t>
      </w:r>
      <w:r w:rsidRPr="006470CD">
        <w:rPr>
          <w:szCs w:val="22"/>
          <w:lang w:val="en-US"/>
        </w:rPr>
        <w:t>, 206. https://doi.org/10.3389/fnhum.2020.00206</w:t>
      </w:r>
    </w:p>
    <w:p w14:paraId="2CE2523E" w14:textId="77777777" w:rsidR="00FF5975" w:rsidRPr="006470CD" w:rsidRDefault="00FF5975" w:rsidP="006470CD">
      <w:pPr>
        <w:pStyle w:val="Bibliography"/>
        <w:spacing w:line="360" w:lineRule="auto"/>
        <w:rPr>
          <w:szCs w:val="22"/>
          <w:lang w:val="en-US"/>
        </w:rPr>
      </w:pPr>
      <w:r w:rsidRPr="006470CD">
        <w:rPr>
          <w:szCs w:val="22"/>
          <w:lang w:val="en-US"/>
        </w:rPr>
        <w:t xml:space="preserve">Patterson, J. V., Hetrick, W. P., Boutros, N. N., Jin, Y., Sandman, C., Stern, H., </w:t>
      </w:r>
      <w:proofErr w:type="spellStart"/>
      <w:r w:rsidRPr="006470CD">
        <w:rPr>
          <w:szCs w:val="22"/>
          <w:lang w:val="en-US"/>
        </w:rPr>
        <w:t>Potkin</w:t>
      </w:r>
      <w:proofErr w:type="spellEnd"/>
      <w:r w:rsidRPr="006470CD">
        <w:rPr>
          <w:szCs w:val="22"/>
          <w:lang w:val="en-US"/>
        </w:rPr>
        <w:t xml:space="preserve">, S., &amp; Bunney, W. E. (2008). P50 sensory gating ratios in schizophrenics and controls: A review and data analysis. </w:t>
      </w:r>
      <w:r w:rsidRPr="006470CD">
        <w:rPr>
          <w:i/>
          <w:iCs/>
          <w:szCs w:val="22"/>
          <w:lang w:val="en-US"/>
        </w:rPr>
        <w:t>Psychiatry Research</w:t>
      </w:r>
      <w:r w:rsidRPr="006470CD">
        <w:rPr>
          <w:szCs w:val="22"/>
          <w:lang w:val="en-US"/>
        </w:rPr>
        <w:t xml:space="preserve">, </w:t>
      </w:r>
      <w:r w:rsidRPr="006470CD">
        <w:rPr>
          <w:i/>
          <w:iCs/>
          <w:szCs w:val="22"/>
          <w:lang w:val="en-US"/>
        </w:rPr>
        <w:t>158</w:t>
      </w:r>
      <w:r w:rsidRPr="006470CD">
        <w:rPr>
          <w:szCs w:val="22"/>
          <w:lang w:val="en-US"/>
        </w:rPr>
        <w:t>(2), 226–247. https://doi.org/10.1016/j.psychres.2007.02.009</w:t>
      </w:r>
    </w:p>
    <w:p w14:paraId="0179DBEF" w14:textId="77777777" w:rsidR="00FF5975" w:rsidRPr="006470CD" w:rsidRDefault="00FF5975" w:rsidP="006470CD">
      <w:pPr>
        <w:pStyle w:val="Bibliography"/>
        <w:spacing w:line="360" w:lineRule="auto"/>
        <w:rPr>
          <w:szCs w:val="22"/>
          <w:lang w:val="en-US"/>
        </w:rPr>
      </w:pPr>
      <w:r w:rsidRPr="006470CD">
        <w:rPr>
          <w:szCs w:val="22"/>
          <w:lang w:val="en-US"/>
        </w:rPr>
        <w:t xml:space="preserve">Pedregosa, F., </w:t>
      </w:r>
      <w:proofErr w:type="spellStart"/>
      <w:r w:rsidRPr="006470CD">
        <w:rPr>
          <w:szCs w:val="22"/>
          <w:lang w:val="en-US"/>
        </w:rPr>
        <w:t>Varoquaux</w:t>
      </w:r>
      <w:proofErr w:type="spellEnd"/>
      <w:r w:rsidRPr="006470CD">
        <w:rPr>
          <w:szCs w:val="22"/>
          <w:lang w:val="en-US"/>
        </w:rPr>
        <w:t xml:space="preserve">, G., </w:t>
      </w:r>
      <w:proofErr w:type="spellStart"/>
      <w:r w:rsidRPr="006470CD">
        <w:rPr>
          <w:szCs w:val="22"/>
          <w:lang w:val="en-US"/>
        </w:rPr>
        <w:t>Gramfort</w:t>
      </w:r>
      <w:proofErr w:type="spellEnd"/>
      <w:r w:rsidRPr="006470CD">
        <w:rPr>
          <w:szCs w:val="22"/>
          <w:lang w:val="en-US"/>
        </w:rPr>
        <w:t xml:space="preserve">, A., Michel, V., Thirion, B., Grisel, O., Blondel, M., </w:t>
      </w:r>
      <w:proofErr w:type="spellStart"/>
      <w:r w:rsidRPr="006470CD">
        <w:rPr>
          <w:szCs w:val="22"/>
          <w:lang w:val="en-US"/>
        </w:rPr>
        <w:t>Prettenhofer</w:t>
      </w:r>
      <w:proofErr w:type="spellEnd"/>
      <w:r w:rsidRPr="006470CD">
        <w:rPr>
          <w:szCs w:val="22"/>
          <w:lang w:val="en-US"/>
        </w:rPr>
        <w:t xml:space="preserve">, P., Weiss, R., Dubourg, V., Vanderplas, J., Passos, A., </w:t>
      </w:r>
      <w:proofErr w:type="spellStart"/>
      <w:r w:rsidRPr="006470CD">
        <w:rPr>
          <w:szCs w:val="22"/>
          <w:lang w:val="en-US"/>
        </w:rPr>
        <w:t>Cournapeau</w:t>
      </w:r>
      <w:proofErr w:type="spellEnd"/>
      <w:r w:rsidRPr="006470CD">
        <w:rPr>
          <w:szCs w:val="22"/>
          <w:lang w:val="en-US"/>
        </w:rPr>
        <w:t xml:space="preserve">, D., Brucher, M., Perrot, M., &amp; </w:t>
      </w:r>
      <w:proofErr w:type="spellStart"/>
      <w:r w:rsidRPr="006470CD">
        <w:rPr>
          <w:szCs w:val="22"/>
          <w:lang w:val="en-US"/>
        </w:rPr>
        <w:t>Duchesnay</w:t>
      </w:r>
      <w:proofErr w:type="spellEnd"/>
      <w:r w:rsidRPr="006470CD">
        <w:rPr>
          <w:szCs w:val="22"/>
          <w:lang w:val="en-US"/>
        </w:rPr>
        <w:t xml:space="preserve">, É. (2011). Scikit-learn: Machine Learning in Python. </w:t>
      </w:r>
      <w:r w:rsidRPr="006470CD">
        <w:rPr>
          <w:i/>
          <w:iCs/>
          <w:szCs w:val="22"/>
          <w:lang w:val="en-US"/>
        </w:rPr>
        <w:t>Journal of Machine Learning Research</w:t>
      </w:r>
      <w:r w:rsidRPr="006470CD">
        <w:rPr>
          <w:szCs w:val="22"/>
          <w:lang w:val="en-US"/>
        </w:rPr>
        <w:t xml:space="preserve">, </w:t>
      </w:r>
      <w:r w:rsidRPr="006470CD">
        <w:rPr>
          <w:i/>
          <w:iCs/>
          <w:szCs w:val="22"/>
          <w:lang w:val="en-US"/>
        </w:rPr>
        <w:t>12</w:t>
      </w:r>
      <w:r w:rsidRPr="006470CD">
        <w:rPr>
          <w:szCs w:val="22"/>
          <w:lang w:val="en-US"/>
        </w:rPr>
        <w:t>(85), 2825–2830.</w:t>
      </w:r>
    </w:p>
    <w:p w14:paraId="3AF71746" w14:textId="77777777" w:rsidR="00FF5975" w:rsidRPr="006470CD" w:rsidRDefault="00FF5975" w:rsidP="006470CD">
      <w:pPr>
        <w:pStyle w:val="Bibliography"/>
        <w:spacing w:line="360" w:lineRule="auto"/>
        <w:rPr>
          <w:szCs w:val="22"/>
          <w:lang w:val="en-US"/>
        </w:rPr>
      </w:pPr>
      <w:r w:rsidRPr="006470CD">
        <w:rPr>
          <w:szCs w:val="22"/>
          <w:lang w:val="en-US"/>
        </w:rPr>
        <w:t xml:space="preserve">Peirce, J., Gray, J. R., Simpson, S., MacAskill, M., </w:t>
      </w:r>
      <w:proofErr w:type="spellStart"/>
      <w:r w:rsidRPr="006470CD">
        <w:rPr>
          <w:szCs w:val="22"/>
          <w:lang w:val="en-US"/>
        </w:rPr>
        <w:t>Höchenberger</w:t>
      </w:r>
      <w:proofErr w:type="spellEnd"/>
      <w:r w:rsidRPr="006470CD">
        <w:rPr>
          <w:szCs w:val="22"/>
          <w:lang w:val="en-US"/>
        </w:rPr>
        <w:t xml:space="preserve">, R., Sogo, H., Kastman, E., &amp; Lindeløv, J. K. (2019). PsychoPy2: Experiments in behavior made easy. </w:t>
      </w:r>
      <w:r w:rsidRPr="006470CD">
        <w:rPr>
          <w:i/>
          <w:iCs/>
          <w:szCs w:val="22"/>
          <w:lang w:val="en-US"/>
        </w:rPr>
        <w:t>Behavior Research Methods</w:t>
      </w:r>
      <w:r w:rsidRPr="006470CD">
        <w:rPr>
          <w:szCs w:val="22"/>
          <w:lang w:val="en-US"/>
        </w:rPr>
        <w:t xml:space="preserve">, </w:t>
      </w:r>
      <w:r w:rsidRPr="006470CD">
        <w:rPr>
          <w:i/>
          <w:iCs/>
          <w:szCs w:val="22"/>
          <w:lang w:val="en-US"/>
        </w:rPr>
        <w:t>51</w:t>
      </w:r>
      <w:r w:rsidRPr="006470CD">
        <w:rPr>
          <w:szCs w:val="22"/>
          <w:lang w:val="en-US"/>
        </w:rPr>
        <w:t>(1), 195–203. https://doi.org/10.3758/s13428-018-01193-y</w:t>
      </w:r>
    </w:p>
    <w:p w14:paraId="34449BCB" w14:textId="77777777" w:rsidR="00FF5975" w:rsidRPr="006470CD" w:rsidRDefault="00FF5975" w:rsidP="006470CD">
      <w:pPr>
        <w:pStyle w:val="Bibliography"/>
        <w:spacing w:line="360" w:lineRule="auto"/>
        <w:rPr>
          <w:szCs w:val="22"/>
          <w:lang w:val="en-US"/>
        </w:rPr>
      </w:pPr>
      <w:r w:rsidRPr="006470CD">
        <w:rPr>
          <w:szCs w:val="22"/>
          <w:lang w:val="de-DE"/>
        </w:rPr>
        <w:t xml:space="preserve">Petersen, S., </w:t>
      </w:r>
      <w:proofErr w:type="spellStart"/>
      <w:r w:rsidRPr="006470CD">
        <w:rPr>
          <w:szCs w:val="22"/>
          <w:lang w:val="de-DE"/>
        </w:rPr>
        <w:t>Staeyen</w:t>
      </w:r>
      <w:proofErr w:type="spellEnd"/>
      <w:r w:rsidRPr="006470CD">
        <w:rPr>
          <w:szCs w:val="22"/>
          <w:lang w:val="de-DE"/>
        </w:rPr>
        <w:t xml:space="preserve">, K. V., Vögele, C., Leupoldt, A. von, &amp; Bergh, O. V. den. </w:t>
      </w:r>
      <w:r w:rsidRPr="006470CD">
        <w:rPr>
          <w:szCs w:val="22"/>
          <w:lang w:val="en-US"/>
        </w:rPr>
        <w:t xml:space="preserve">(2015). Interoception and symptom reporting: Disentangling accuracy and bias. </w:t>
      </w:r>
      <w:r w:rsidRPr="006470CD">
        <w:rPr>
          <w:i/>
          <w:iCs/>
          <w:szCs w:val="22"/>
          <w:lang w:val="en-US"/>
        </w:rPr>
        <w:t>Frontiers in Psychology</w:t>
      </w:r>
      <w:r w:rsidRPr="006470CD">
        <w:rPr>
          <w:szCs w:val="22"/>
          <w:lang w:val="en-US"/>
        </w:rPr>
        <w:t xml:space="preserve">, </w:t>
      </w:r>
      <w:r w:rsidRPr="006470CD">
        <w:rPr>
          <w:i/>
          <w:iCs/>
          <w:szCs w:val="22"/>
          <w:lang w:val="en-US"/>
        </w:rPr>
        <w:t>06</w:t>
      </w:r>
      <w:r w:rsidRPr="006470CD">
        <w:rPr>
          <w:szCs w:val="22"/>
          <w:lang w:val="en-US"/>
        </w:rPr>
        <w:t>. https://doi.org/10.3389/fpsyg.2015.00732</w:t>
      </w:r>
    </w:p>
    <w:p w14:paraId="47198500" w14:textId="77777777" w:rsidR="00FF5975" w:rsidRPr="006470CD" w:rsidRDefault="00FF5975" w:rsidP="006470CD">
      <w:pPr>
        <w:pStyle w:val="Bibliography"/>
        <w:spacing w:line="360" w:lineRule="auto"/>
        <w:rPr>
          <w:szCs w:val="22"/>
          <w:lang w:val="es-ES"/>
        </w:rPr>
      </w:pPr>
      <w:proofErr w:type="spellStart"/>
      <w:r w:rsidRPr="006470CD">
        <w:rPr>
          <w:szCs w:val="22"/>
          <w:lang w:val="en-US"/>
        </w:rPr>
        <w:t>Petrakova</w:t>
      </w:r>
      <w:proofErr w:type="spellEnd"/>
      <w:r w:rsidRPr="006470CD">
        <w:rPr>
          <w:szCs w:val="22"/>
          <w:lang w:val="en-US"/>
        </w:rPr>
        <w:t xml:space="preserve">, L., Doering, B. K., Vits, S., Engler, H., Rief, W., </w:t>
      </w:r>
      <w:proofErr w:type="spellStart"/>
      <w:r w:rsidRPr="006470CD">
        <w:rPr>
          <w:szCs w:val="22"/>
          <w:lang w:val="en-US"/>
        </w:rPr>
        <w:t>Schedlowski</w:t>
      </w:r>
      <w:proofErr w:type="spellEnd"/>
      <w:r w:rsidRPr="006470CD">
        <w:rPr>
          <w:szCs w:val="22"/>
          <w:lang w:val="en-US"/>
        </w:rPr>
        <w:t xml:space="preserve">, M., &amp; Grigoleit, J.-S. (2015). Psychosocial Stress Increases Salivary Alpha-Amylase Activity Independently from Plasma Noradrenaline Levels. </w:t>
      </w:r>
      <w:proofErr w:type="spellStart"/>
      <w:r w:rsidRPr="006470CD">
        <w:rPr>
          <w:i/>
          <w:iCs/>
          <w:szCs w:val="22"/>
          <w:lang w:val="es-ES"/>
        </w:rPr>
        <w:t>PLoS</w:t>
      </w:r>
      <w:proofErr w:type="spellEnd"/>
      <w:r w:rsidRPr="006470CD">
        <w:rPr>
          <w:i/>
          <w:iCs/>
          <w:szCs w:val="22"/>
          <w:lang w:val="es-ES"/>
        </w:rPr>
        <w:t xml:space="preserve"> ONE</w:t>
      </w:r>
      <w:r w:rsidRPr="006470CD">
        <w:rPr>
          <w:szCs w:val="22"/>
          <w:lang w:val="es-ES"/>
        </w:rPr>
        <w:t xml:space="preserve">, </w:t>
      </w:r>
      <w:r w:rsidRPr="006470CD">
        <w:rPr>
          <w:i/>
          <w:iCs/>
          <w:szCs w:val="22"/>
          <w:lang w:val="es-ES"/>
        </w:rPr>
        <w:t>10</w:t>
      </w:r>
      <w:r w:rsidRPr="006470CD">
        <w:rPr>
          <w:szCs w:val="22"/>
          <w:lang w:val="es-ES"/>
        </w:rPr>
        <w:t>(8), e0134561. https://doi.org/10.1371/journal.pone.0134561</w:t>
      </w:r>
    </w:p>
    <w:p w14:paraId="39102B11" w14:textId="77777777" w:rsidR="00FF5975" w:rsidRPr="006470CD" w:rsidRDefault="00FF5975" w:rsidP="006470CD">
      <w:pPr>
        <w:pStyle w:val="Bibliography"/>
        <w:spacing w:line="360" w:lineRule="auto"/>
        <w:rPr>
          <w:szCs w:val="22"/>
          <w:lang w:val="en-US"/>
        </w:rPr>
      </w:pPr>
      <w:proofErr w:type="spellStart"/>
      <w:r w:rsidRPr="006470CD">
        <w:rPr>
          <w:szCs w:val="22"/>
          <w:lang w:val="es-ES"/>
        </w:rPr>
        <w:t>Polich</w:t>
      </w:r>
      <w:proofErr w:type="spellEnd"/>
      <w:r w:rsidRPr="006470CD">
        <w:rPr>
          <w:szCs w:val="22"/>
          <w:lang w:val="es-ES"/>
        </w:rPr>
        <w:t xml:space="preserve">, J. (1989). </w:t>
      </w:r>
      <w:r w:rsidRPr="006470CD">
        <w:rPr>
          <w:szCs w:val="22"/>
          <w:lang w:val="en-US"/>
        </w:rPr>
        <w:t xml:space="preserve">Habituation of P300 from auditory stimuli. </w:t>
      </w:r>
      <w:r w:rsidRPr="006470CD">
        <w:rPr>
          <w:i/>
          <w:iCs/>
          <w:szCs w:val="22"/>
          <w:lang w:val="en-US"/>
        </w:rPr>
        <w:t>Psychobiology</w:t>
      </w:r>
      <w:r w:rsidRPr="006470CD">
        <w:rPr>
          <w:szCs w:val="22"/>
          <w:lang w:val="en-US"/>
        </w:rPr>
        <w:t xml:space="preserve">, </w:t>
      </w:r>
      <w:r w:rsidRPr="006470CD">
        <w:rPr>
          <w:i/>
          <w:iCs/>
          <w:szCs w:val="22"/>
          <w:lang w:val="en-US"/>
        </w:rPr>
        <w:t>17</w:t>
      </w:r>
      <w:r w:rsidRPr="006470CD">
        <w:rPr>
          <w:szCs w:val="22"/>
          <w:lang w:val="en-US"/>
        </w:rPr>
        <w:t>(1), 19–28. https://doi.org/10.3758/BF03337813</w:t>
      </w:r>
    </w:p>
    <w:p w14:paraId="3C50EB64" w14:textId="77777777" w:rsidR="00FF5975" w:rsidRPr="006470CD" w:rsidRDefault="00FF5975" w:rsidP="006470CD">
      <w:pPr>
        <w:pStyle w:val="Bibliography"/>
        <w:spacing w:line="360" w:lineRule="auto"/>
        <w:rPr>
          <w:szCs w:val="22"/>
          <w:lang w:val="en-US"/>
        </w:rPr>
      </w:pPr>
      <w:r w:rsidRPr="006470CD">
        <w:rPr>
          <w:szCs w:val="22"/>
          <w:lang w:val="en-US"/>
        </w:rPr>
        <w:lastRenderedPageBreak/>
        <w:t xml:space="preserve">Polich, J. (2007). Updating P300: An integrative theory of P3a and P3b. </w:t>
      </w:r>
      <w:r w:rsidRPr="006470CD">
        <w:rPr>
          <w:i/>
          <w:iCs/>
          <w:szCs w:val="22"/>
          <w:lang w:val="en-US"/>
        </w:rPr>
        <w:t>Clinical Neurophysiology</w:t>
      </w:r>
      <w:r w:rsidRPr="006470CD">
        <w:rPr>
          <w:szCs w:val="22"/>
          <w:lang w:val="en-US"/>
        </w:rPr>
        <w:t xml:space="preserve">, </w:t>
      </w:r>
      <w:r w:rsidRPr="006470CD">
        <w:rPr>
          <w:i/>
          <w:iCs/>
          <w:szCs w:val="22"/>
          <w:lang w:val="en-US"/>
        </w:rPr>
        <w:t>118</w:t>
      </w:r>
      <w:r w:rsidRPr="006470CD">
        <w:rPr>
          <w:szCs w:val="22"/>
          <w:lang w:val="en-US"/>
        </w:rPr>
        <w:t>(10). https://doi.org/10.1016/j.clinph.2007.04.019</w:t>
      </w:r>
    </w:p>
    <w:p w14:paraId="0763285C" w14:textId="77777777" w:rsidR="00FF5975" w:rsidRPr="006470CD" w:rsidRDefault="00FF5975" w:rsidP="006470CD">
      <w:pPr>
        <w:pStyle w:val="Bibliography"/>
        <w:spacing w:line="360" w:lineRule="auto"/>
        <w:rPr>
          <w:szCs w:val="22"/>
          <w:lang w:val="en-US"/>
        </w:rPr>
      </w:pPr>
      <w:proofErr w:type="spellStart"/>
      <w:r w:rsidRPr="006470CD">
        <w:rPr>
          <w:szCs w:val="22"/>
          <w:lang w:val="en-US"/>
        </w:rPr>
        <w:t>Rohenkohl</w:t>
      </w:r>
      <w:proofErr w:type="spellEnd"/>
      <w:r w:rsidRPr="006470CD">
        <w:rPr>
          <w:szCs w:val="22"/>
          <w:lang w:val="en-US"/>
        </w:rPr>
        <w:t xml:space="preserve">, G., &amp; Nobre, A. C. (2011). Alpha Oscillations Related to Anticipatory Attention Follow Temporal Expectations. </w:t>
      </w:r>
      <w:r w:rsidRPr="006470CD">
        <w:rPr>
          <w:i/>
          <w:iCs/>
          <w:szCs w:val="22"/>
          <w:lang w:val="en-US"/>
        </w:rPr>
        <w:t>Journal of Neuroscience</w:t>
      </w:r>
      <w:r w:rsidRPr="006470CD">
        <w:rPr>
          <w:szCs w:val="22"/>
          <w:lang w:val="en-US"/>
        </w:rPr>
        <w:t xml:space="preserve">, </w:t>
      </w:r>
      <w:r w:rsidRPr="006470CD">
        <w:rPr>
          <w:i/>
          <w:iCs/>
          <w:szCs w:val="22"/>
          <w:lang w:val="en-US"/>
        </w:rPr>
        <w:t>31</w:t>
      </w:r>
      <w:r w:rsidRPr="006470CD">
        <w:rPr>
          <w:szCs w:val="22"/>
          <w:lang w:val="en-US"/>
        </w:rPr>
        <w:t>(40), 14076–14084. https://doi.org/10.1523/JNEUROSCI.3387-11.2011</w:t>
      </w:r>
    </w:p>
    <w:p w14:paraId="020FFA69" w14:textId="77777777" w:rsidR="00FF5975" w:rsidRPr="006470CD" w:rsidRDefault="00FF5975" w:rsidP="006470CD">
      <w:pPr>
        <w:pStyle w:val="Bibliography"/>
        <w:spacing w:line="360" w:lineRule="auto"/>
        <w:rPr>
          <w:szCs w:val="22"/>
          <w:lang w:val="en-US"/>
        </w:rPr>
      </w:pPr>
      <w:r w:rsidRPr="006470CD">
        <w:rPr>
          <w:szCs w:val="22"/>
          <w:lang w:val="en-US"/>
        </w:rPr>
        <w:t xml:space="preserve">RStudio Team. (2015). </w:t>
      </w:r>
      <w:r w:rsidRPr="006470CD">
        <w:rPr>
          <w:i/>
          <w:iCs/>
          <w:szCs w:val="22"/>
          <w:lang w:val="en-US"/>
        </w:rPr>
        <w:t>RStudio: Integrated Development for R.</w:t>
      </w:r>
      <w:r w:rsidRPr="006470CD">
        <w:rPr>
          <w:szCs w:val="22"/>
          <w:lang w:val="en-US"/>
        </w:rPr>
        <w:t xml:space="preserve"> [Computer software]. R Studio Inc. http://www.rstudio.com/</w:t>
      </w:r>
    </w:p>
    <w:p w14:paraId="3A064F55" w14:textId="77777777" w:rsidR="00FF5975" w:rsidRPr="006470CD" w:rsidRDefault="00FF5975" w:rsidP="006470CD">
      <w:pPr>
        <w:pStyle w:val="Bibliography"/>
        <w:spacing w:line="360" w:lineRule="auto"/>
        <w:rPr>
          <w:szCs w:val="22"/>
          <w:lang w:val="en-US"/>
        </w:rPr>
      </w:pPr>
      <w:r w:rsidRPr="006470CD">
        <w:rPr>
          <w:szCs w:val="22"/>
          <w:lang w:val="en-US"/>
        </w:rPr>
        <w:t xml:space="preserve">Rush, A. J., George, M. S., </w:t>
      </w:r>
      <w:proofErr w:type="spellStart"/>
      <w:r w:rsidRPr="006470CD">
        <w:rPr>
          <w:szCs w:val="22"/>
          <w:lang w:val="en-US"/>
        </w:rPr>
        <w:t>Sackeim</w:t>
      </w:r>
      <w:proofErr w:type="spellEnd"/>
      <w:r w:rsidRPr="006470CD">
        <w:rPr>
          <w:szCs w:val="22"/>
          <w:lang w:val="en-US"/>
        </w:rPr>
        <w:t xml:space="preserve">, H. A., </w:t>
      </w:r>
      <w:proofErr w:type="spellStart"/>
      <w:r w:rsidRPr="006470CD">
        <w:rPr>
          <w:szCs w:val="22"/>
          <w:lang w:val="en-US"/>
        </w:rPr>
        <w:t>Marangell</w:t>
      </w:r>
      <w:proofErr w:type="spellEnd"/>
      <w:r w:rsidRPr="006470CD">
        <w:rPr>
          <w:szCs w:val="22"/>
          <w:lang w:val="en-US"/>
        </w:rPr>
        <w:t xml:space="preserve">, L. B., Husain, M. M., Giller, C., Nahas, Z., Haines, S., Simpson, R. K., &amp; Goodman, R. (2000). </w:t>
      </w:r>
      <w:proofErr w:type="spellStart"/>
      <w:r w:rsidRPr="006470CD">
        <w:rPr>
          <w:szCs w:val="22"/>
          <w:lang w:val="en-US"/>
        </w:rPr>
        <w:t>Vagus</w:t>
      </w:r>
      <w:proofErr w:type="spellEnd"/>
      <w:r w:rsidRPr="006470CD">
        <w:rPr>
          <w:szCs w:val="22"/>
          <w:lang w:val="en-US"/>
        </w:rPr>
        <w:t xml:space="preserve"> nerve stimulation (VNS) for treatment-resistant depressions: A multicenter study </w:t>
      </w:r>
      <w:r w:rsidRPr="006470CD">
        <w:rPr>
          <w:rFonts w:ascii="Cambria Math" w:hAnsi="Cambria Math" w:cs="Cambria Math"/>
          <w:szCs w:val="22"/>
          <w:lang w:val="en-US"/>
        </w:rPr>
        <w:t>∗</w:t>
      </w:r>
      <w:r w:rsidRPr="006470CD">
        <w:rPr>
          <w:szCs w:val="22"/>
          <w:lang w:val="en-US"/>
        </w:rPr>
        <w:t xml:space="preserve">. </w:t>
      </w:r>
      <w:r w:rsidRPr="006470CD">
        <w:rPr>
          <w:i/>
          <w:iCs/>
          <w:szCs w:val="22"/>
          <w:lang w:val="en-US"/>
        </w:rPr>
        <w:t>Biological Psychiatry</w:t>
      </w:r>
      <w:r w:rsidRPr="006470CD">
        <w:rPr>
          <w:szCs w:val="22"/>
          <w:lang w:val="en-US"/>
        </w:rPr>
        <w:t xml:space="preserve">, </w:t>
      </w:r>
      <w:r w:rsidRPr="006470CD">
        <w:rPr>
          <w:i/>
          <w:iCs/>
          <w:szCs w:val="22"/>
          <w:lang w:val="en-US"/>
        </w:rPr>
        <w:t>47</w:t>
      </w:r>
      <w:r w:rsidRPr="006470CD">
        <w:rPr>
          <w:szCs w:val="22"/>
          <w:lang w:val="en-US"/>
        </w:rPr>
        <w:t>(4), 276–286. https://doi.org/10.1016/S0006-3223(99)00304-2</w:t>
      </w:r>
    </w:p>
    <w:p w14:paraId="1F1E4AC6" w14:textId="77777777" w:rsidR="00FF5975" w:rsidRPr="006470CD" w:rsidRDefault="00FF5975" w:rsidP="006470CD">
      <w:pPr>
        <w:pStyle w:val="Bibliography"/>
        <w:spacing w:line="360" w:lineRule="auto"/>
        <w:rPr>
          <w:szCs w:val="22"/>
          <w:lang w:val="en-US"/>
        </w:rPr>
      </w:pPr>
      <w:r w:rsidRPr="006470CD">
        <w:rPr>
          <w:szCs w:val="22"/>
          <w:lang w:val="en-US"/>
        </w:rPr>
        <w:t xml:space="preserve">Ryan, N. M., Gibson, P. G., &amp; Birring, S. S. (2014). Arnold’s nerve cough reflex: Evidence for chronic cough as a sensory vagal neuropathy. </w:t>
      </w:r>
      <w:r w:rsidRPr="006470CD">
        <w:rPr>
          <w:i/>
          <w:iCs/>
          <w:szCs w:val="22"/>
          <w:lang w:val="en-US"/>
        </w:rPr>
        <w:t>Journal of Thoracic Disease</w:t>
      </w:r>
      <w:r w:rsidRPr="006470CD">
        <w:rPr>
          <w:szCs w:val="22"/>
          <w:lang w:val="en-US"/>
        </w:rPr>
        <w:t xml:space="preserve">, </w:t>
      </w:r>
      <w:r w:rsidRPr="006470CD">
        <w:rPr>
          <w:i/>
          <w:iCs/>
          <w:szCs w:val="22"/>
          <w:lang w:val="en-US"/>
        </w:rPr>
        <w:t>6</w:t>
      </w:r>
      <w:r w:rsidRPr="006470CD">
        <w:rPr>
          <w:szCs w:val="22"/>
          <w:lang w:val="en-US"/>
        </w:rPr>
        <w:t>(Suppl 7), S748–S752. https://doi.org/10.3978/j.issn.2072-1439.2014.04.22</w:t>
      </w:r>
    </w:p>
    <w:p w14:paraId="68273EB5" w14:textId="77777777" w:rsidR="00FF5975" w:rsidRPr="006470CD" w:rsidRDefault="00FF5975" w:rsidP="006470CD">
      <w:pPr>
        <w:pStyle w:val="Bibliography"/>
        <w:spacing w:line="360" w:lineRule="auto"/>
        <w:rPr>
          <w:szCs w:val="22"/>
          <w:lang w:val="en-US"/>
        </w:rPr>
      </w:pPr>
      <w:proofErr w:type="spellStart"/>
      <w:r w:rsidRPr="006470CD">
        <w:rPr>
          <w:szCs w:val="22"/>
          <w:lang w:val="en-US"/>
        </w:rPr>
        <w:t>Sclocco</w:t>
      </w:r>
      <w:proofErr w:type="spellEnd"/>
      <w:r w:rsidRPr="006470CD">
        <w:rPr>
          <w:szCs w:val="22"/>
          <w:lang w:val="en-US"/>
        </w:rPr>
        <w:t xml:space="preserve">, R., Garcia, R. G., Kettner, N. W., Fisher, H. P., Isenburg, K., </w:t>
      </w:r>
      <w:proofErr w:type="spellStart"/>
      <w:r w:rsidRPr="006470CD">
        <w:rPr>
          <w:szCs w:val="22"/>
          <w:lang w:val="en-US"/>
        </w:rPr>
        <w:t>Makarovsky</w:t>
      </w:r>
      <w:proofErr w:type="spellEnd"/>
      <w:r w:rsidRPr="006470CD">
        <w:rPr>
          <w:szCs w:val="22"/>
          <w:lang w:val="en-US"/>
        </w:rPr>
        <w:t xml:space="preserve">, M., Stowell, J., Goldstein, J., Barbieri, R., &amp; </w:t>
      </w:r>
      <w:proofErr w:type="spellStart"/>
      <w:r w:rsidRPr="006470CD">
        <w:rPr>
          <w:szCs w:val="22"/>
          <w:lang w:val="en-US"/>
        </w:rPr>
        <w:t>Napadow</w:t>
      </w:r>
      <w:proofErr w:type="spellEnd"/>
      <w:r w:rsidRPr="006470CD">
        <w:rPr>
          <w:szCs w:val="22"/>
          <w:lang w:val="en-US"/>
        </w:rPr>
        <w:t xml:space="preserve">, V. (2020). Stimulus frequency modulates brainstem response to respiratory-gated transcutaneous auricular </w:t>
      </w:r>
      <w:proofErr w:type="spellStart"/>
      <w:r w:rsidRPr="006470CD">
        <w:rPr>
          <w:szCs w:val="22"/>
          <w:lang w:val="en-US"/>
        </w:rPr>
        <w:t>vagus</w:t>
      </w:r>
      <w:proofErr w:type="spellEnd"/>
      <w:r w:rsidRPr="006470CD">
        <w:rPr>
          <w:szCs w:val="22"/>
          <w:lang w:val="en-US"/>
        </w:rPr>
        <w:t xml:space="preserve"> nerve stimulation. </w:t>
      </w:r>
      <w:r w:rsidRPr="006470CD">
        <w:rPr>
          <w:i/>
          <w:iCs/>
          <w:szCs w:val="22"/>
          <w:lang w:val="en-US"/>
        </w:rPr>
        <w:t>Brain Stimulation</w:t>
      </w:r>
      <w:r w:rsidRPr="006470CD">
        <w:rPr>
          <w:szCs w:val="22"/>
          <w:lang w:val="en-US"/>
        </w:rPr>
        <w:t xml:space="preserve">, </w:t>
      </w:r>
      <w:r w:rsidRPr="006470CD">
        <w:rPr>
          <w:i/>
          <w:iCs/>
          <w:szCs w:val="22"/>
          <w:lang w:val="en-US"/>
        </w:rPr>
        <w:t>13</w:t>
      </w:r>
      <w:r w:rsidRPr="006470CD">
        <w:rPr>
          <w:szCs w:val="22"/>
          <w:lang w:val="en-US"/>
        </w:rPr>
        <w:t>(4), 970–978. https://doi.org/10.1016/J.BRS.2020.03.011</w:t>
      </w:r>
    </w:p>
    <w:p w14:paraId="449D891C" w14:textId="77777777" w:rsidR="00FF5975" w:rsidRPr="006470CD" w:rsidRDefault="00FF5975" w:rsidP="006470CD">
      <w:pPr>
        <w:pStyle w:val="Bibliography"/>
        <w:spacing w:line="360" w:lineRule="auto"/>
        <w:rPr>
          <w:szCs w:val="22"/>
          <w:lang w:val="en-US"/>
        </w:rPr>
      </w:pPr>
      <w:proofErr w:type="spellStart"/>
      <w:r w:rsidRPr="006470CD">
        <w:rPr>
          <w:szCs w:val="22"/>
          <w:lang w:val="en-US"/>
        </w:rPr>
        <w:t>Sclocco</w:t>
      </w:r>
      <w:proofErr w:type="spellEnd"/>
      <w:r w:rsidRPr="006470CD">
        <w:rPr>
          <w:szCs w:val="22"/>
          <w:lang w:val="en-US"/>
        </w:rPr>
        <w:t xml:space="preserve">, R., Garcia, R. G., Kettner, N. W., Isenburg, K., Fisher, H. P., Hubbard, C. S., Ay, I., Polimeni, J. R., Goldstein, J., Makris, N., Toschi, N., Barbieri, R., &amp; </w:t>
      </w:r>
      <w:proofErr w:type="spellStart"/>
      <w:r w:rsidRPr="006470CD">
        <w:rPr>
          <w:szCs w:val="22"/>
          <w:lang w:val="en-US"/>
        </w:rPr>
        <w:t>Napadow</w:t>
      </w:r>
      <w:proofErr w:type="spellEnd"/>
      <w:r w:rsidRPr="006470CD">
        <w:rPr>
          <w:szCs w:val="22"/>
          <w:lang w:val="en-US"/>
        </w:rPr>
        <w:t xml:space="preserve">, V. (2019). The influence of respiration on brainstem and cardiovagal response to auricular </w:t>
      </w:r>
      <w:proofErr w:type="spellStart"/>
      <w:r w:rsidRPr="006470CD">
        <w:rPr>
          <w:szCs w:val="22"/>
          <w:lang w:val="en-US"/>
        </w:rPr>
        <w:t>vagus</w:t>
      </w:r>
      <w:proofErr w:type="spellEnd"/>
      <w:r w:rsidRPr="006470CD">
        <w:rPr>
          <w:szCs w:val="22"/>
          <w:lang w:val="en-US"/>
        </w:rPr>
        <w:t xml:space="preserve"> nerve stimulation: A multimodal ultrahigh-field (7T) fMRI study. </w:t>
      </w:r>
      <w:r w:rsidRPr="006470CD">
        <w:rPr>
          <w:i/>
          <w:iCs/>
          <w:szCs w:val="22"/>
          <w:lang w:val="en-US"/>
        </w:rPr>
        <w:t>Brain Stimulation</w:t>
      </w:r>
      <w:r w:rsidRPr="006470CD">
        <w:rPr>
          <w:szCs w:val="22"/>
          <w:lang w:val="en-US"/>
        </w:rPr>
        <w:t xml:space="preserve">, </w:t>
      </w:r>
      <w:r w:rsidRPr="006470CD">
        <w:rPr>
          <w:i/>
          <w:iCs/>
          <w:szCs w:val="22"/>
          <w:lang w:val="en-US"/>
        </w:rPr>
        <w:t>12</w:t>
      </w:r>
      <w:r w:rsidRPr="006470CD">
        <w:rPr>
          <w:szCs w:val="22"/>
          <w:lang w:val="en-US"/>
        </w:rPr>
        <w:t>(4), 911–921. https://doi.org/10.1016/J.BRS.2019.02.003</w:t>
      </w:r>
    </w:p>
    <w:p w14:paraId="6AA1CB77" w14:textId="77777777" w:rsidR="00FF5975" w:rsidRPr="006470CD" w:rsidRDefault="00FF5975" w:rsidP="006470CD">
      <w:pPr>
        <w:pStyle w:val="Bibliography"/>
        <w:spacing w:line="360" w:lineRule="auto"/>
        <w:rPr>
          <w:szCs w:val="22"/>
          <w:lang w:val="en-US"/>
        </w:rPr>
      </w:pPr>
      <w:r w:rsidRPr="006470CD">
        <w:rPr>
          <w:szCs w:val="22"/>
          <w:lang w:val="en-US"/>
        </w:rPr>
        <w:t xml:space="preserve">Sharon, O., </w:t>
      </w:r>
      <w:proofErr w:type="spellStart"/>
      <w:r w:rsidRPr="006470CD">
        <w:rPr>
          <w:szCs w:val="22"/>
          <w:lang w:val="en-US"/>
        </w:rPr>
        <w:t>Fahoum</w:t>
      </w:r>
      <w:proofErr w:type="spellEnd"/>
      <w:r w:rsidRPr="006470CD">
        <w:rPr>
          <w:szCs w:val="22"/>
          <w:lang w:val="en-US"/>
        </w:rPr>
        <w:t xml:space="preserve">, F., &amp; Nir, Y. (2021). Transcutaneous </w:t>
      </w:r>
      <w:proofErr w:type="spellStart"/>
      <w:r w:rsidRPr="006470CD">
        <w:rPr>
          <w:szCs w:val="22"/>
          <w:lang w:val="en-US"/>
        </w:rPr>
        <w:t>vagus</w:t>
      </w:r>
      <w:proofErr w:type="spellEnd"/>
      <w:r w:rsidRPr="006470CD">
        <w:rPr>
          <w:szCs w:val="22"/>
          <w:lang w:val="en-US"/>
        </w:rPr>
        <w:t xml:space="preserve"> nerve stimulation in humans induces pupil dilation and attenuates alpha oscillations. </w:t>
      </w:r>
      <w:r w:rsidRPr="006470CD">
        <w:rPr>
          <w:i/>
          <w:iCs/>
          <w:szCs w:val="22"/>
          <w:lang w:val="en-US"/>
        </w:rPr>
        <w:t>Journal of Neuroscience</w:t>
      </w:r>
      <w:r w:rsidRPr="006470CD">
        <w:rPr>
          <w:szCs w:val="22"/>
          <w:lang w:val="en-US"/>
        </w:rPr>
        <w:t xml:space="preserve">, </w:t>
      </w:r>
      <w:r w:rsidRPr="006470CD">
        <w:rPr>
          <w:i/>
          <w:iCs/>
          <w:szCs w:val="22"/>
          <w:lang w:val="en-US"/>
        </w:rPr>
        <w:t>41</w:t>
      </w:r>
      <w:r w:rsidRPr="006470CD">
        <w:rPr>
          <w:szCs w:val="22"/>
          <w:lang w:val="en-US"/>
        </w:rPr>
        <w:t>(2), 320–330. https://doi.org/10.1523/JNEUROSCI.1361-20.2020</w:t>
      </w:r>
    </w:p>
    <w:p w14:paraId="5C077B55" w14:textId="77777777" w:rsidR="00FF5975" w:rsidRPr="006470CD" w:rsidRDefault="00FF5975" w:rsidP="006470CD">
      <w:pPr>
        <w:pStyle w:val="Bibliography"/>
        <w:spacing w:line="360" w:lineRule="auto"/>
        <w:rPr>
          <w:szCs w:val="22"/>
          <w:lang w:val="en-US"/>
        </w:rPr>
      </w:pPr>
      <w:r w:rsidRPr="006470CD">
        <w:rPr>
          <w:szCs w:val="22"/>
          <w:lang w:val="en-US"/>
        </w:rPr>
        <w:t xml:space="preserve">Skora, L., </w:t>
      </w:r>
      <w:proofErr w:type="spellStart"/>
      <w:r w:rsidRPr="006470CD">
        <w:rPr>
          <w:szCs w:val="22"/>
          <w:lang w:val="en-US"/>
        </w:rPr>
        <w:t>Marzecová</w:t>
      </w:r>
      <w:proofErr w:type="spellEnd"/>
      <w:r w:rsidRPr="006470CD">
        <w:rPr>
          <w:szCs w:val="22"/>
          <w:lang w:val="en-US"/>
        </w:rPr>
        <w:t xml:space="preserve">, A., &amp; Jocham, G. (2024). Tonic and phasic transcutaneous auricular </w:t>
      </w:r>
      <w:proofErr w:type="spellStart"/>
      <w:r w:rsidRPr="006470CD">
        <w:rPr>
          <w:szCs w:val="22"/>
          <w:lang w:val="en-US"/>
        </w:rPr>
        <w:t>vagus</w:t>
      </w:r>
      <w:proofErr w:type="spellEnd"/>
      <w:r w:rsidRPr="006470CD">
        <w:rPr>
          <w:szCs w:val="22"/>
          <w:lang w:val="en-US"/>
        </w:rPr>
        <w:t xml:space="preserve"> nerve stimulation (</w:t>
      </w:r>
      <w:proofErr w:type="spellStart"/>
      <w:r w:rsidRPr="006470CD">
        <w:rPr>
          <w:szCs w:val="22"/>
          <w:lang w:val="en-US"/>
        </w:rPr>
        <w:t>taVNS</w:t>
      </w:r>
      <w:proofErr w:type="spellEnd"/>
      <w:r w:rsidRPr="006470CD">
        <w:rPr>
          <w:szCs w:val="22"/>
          <w:lang w:val="en-US"/>
        </w:rPr>
        <w:t xml:space="preserve">) both evoke rapid and transient pupil dilation. </w:t>
      </w:r>
      <w:r w:rsidRPr="006470CD">
        <w:rPr>
          <w:i/>
          <w:iCs/>
          <w:szCs w:val="22"/>
          <w:lang w:val="en-US"/>
        </w:rPr>
        <w:t>Brain Stimulation: Basic, Translational, and Clinical Research in Neuromodulation</w:t>
      </w:r>
      <w:r w:rsidRPr="006470CD">
        <w:rPr>
          <w:szCs w:val="22"/>
          <w:lang w:val="en-US"/>
        </w:rPr>
        <w:t xml:space="preserve">, </w:t>
      </w:r>
      <w:r w:rsidRPr="006470CD">
        <w:rPr>
          <w:i/>
          <w:iCs/>
          <w:szCs w:val="22"/>
          <w:lang w:val="en-US"/>
        </w:rPr>
        <w:t>17</w:t>
      </w:r>
      <w:r w:rsidRPr="006470CD">
        <w:rPr>
          <w:szCs w:val="22"/>
          <w:lang w:val="en-US"/>
        </w:rPr>
        <w:t>(2), 233–244. https://doi.org/10.1016/j.brs.2024.02.013</w:t>
      </w:r>
    </w:p>
    <w:p w14:paraId="26134352" w14:textId="77777777" w:rsidR="00FF5975" w:rsidRPr="006470CD" w:rsidRDefault="00FF5975" w:rsidP="006470CD">
      <w:pPr>
        <w:pStyle w:val="Bibliography"/>
        <w:spacing w:line="360" w:lineRule="auto"/>
        <w:rPr>
          <w:szCs w:val="22"/>
          <w:lang w:val="en-US"/>
        </w:rPr>
      </w:pPr>
      <w:r w:rsidRPr="006470CD">
        <w:rPr>
          <w:szCs w:val="22"/>
        </w:rPr>
        <w:t xml:space="preserve">Smet, S. D., </w:t>
      </w:r>
      <w:proofErr w:type="spellStart"/>
      <w:r w:rsidRPr="006470CD">
        <w:rPr>
          <w:szCs w:val="22"/>
        </w:rPr>
        <w:t>Baeken</w:t>
      </w:r>
      <w:proofErr w:type="spellEnd"/>
      <w:r w:rsidRPr="006470CD">
        <w:rPr>
          <w:szCs w:val="22"/>
        </w:rPr>
        <w:t xml:space="preserve">, C., </w:t>
      </w:r>
      <w:proofErr w:type="spellStart"/>
      <w:r w:rsidRPr="006470CD">
        <w:rPr>
          <w:szCs w:val="22"/>
        </w:rPr>
        <w:t>Seminck</w:t>
      </w:r>
      <w:proofErr w:type="spellEnd"/>
      <w:r w:rsidRPr="006470CD">
        <w:rPr>
          <w:szCs w:val="22"/>
        </w:rPr>
        <w:t xml:space="preserve">, N., Tilleman, J., </w:t>
      </w:r>
      <w:proofErr w:type="spellStart"/>
      <w:r w:rsidRPr="006470CD">
        <w:rPr>
          <w:szCs w:val="22"/>
        </w:rPr>
        <w:t>Carrette</w:t>
      </w:r>
      <w:proofErr w:type="spellEnd"/>
      <w:r w:rsidRPr="006470CD">
        <w:rPr>
          <w:szCs w:val="22"/>
        </w:rPr>
        <w:t xml:space="preserve">, E., Vonck, K., &amp; </w:t>
      </w:r>
      <w:proofErr w:type="spellStart"/>
      <w:r w:rsidRPr="006470CD">
        <w:rPr>
          <w:szCs w:val="22"/>
        </w:rPr>
        <w:t>Vanderhasselt</w:t>
      </w:r>
      <w:proofErr w:type="spellEnd"/>
      <w:r w:rsidRPr="006470CD">
        <w:rPr>
          <w:szCs w:val="22"/>
        </w:rPr>
        <w:t xml:space="preserve">, M.-A. (2021). </w:t>
      </w:r>
      <w:r w:rsidRPr="006470CD">
        <w:rPr>
          <w:szCs w:val="22"/>
          <w:lang w:val="en-US"/>
        </w:rPr>
        <w:t xml:space="preserve">Non-invasive vagal nerve stimulation enhances cognitive emotion regulation. </w:t>
      </w:r>
      <w:proofErr w:type="spellStart"/>
      <w:r w:rsidRPr="006470CD">
        <w:rPr>
          <w:i/>
          <w:iCs/>
          <w:szCs w:val="22"/>
          <w:lang w:val="en-US"/>
        </w:rPr>
        <w:t>Behaviour</w:t>
      </w:r>
      <w:proofErr w:type="spellEnd"/>
      <w:r w:rsidRPr="006470CD">
        <w:rPr>
          <w:i/>
          <w:iCs/>
          <w:szCs w:val="22"/>
          <w:lang w:val="en-US"/>
        </w:rPr>
        <w:t xml:space="preserve"> Research and Therapy</w:t>
      </w:r>
      <w:r w:rsidRPr="006470CD">
        <w:rPr>
          <w:szCs w:val="22"/>
          <w:lang w:val="en-US"/>
        </w:rPr>
        <w:t xml:space="preserve">, </w:t>
      </w:r>
      <w:r w:rsidRPr="006470CD">
        <w:rPr>
          <w:i/>
          <w:iCs/>
          <w:szCs w:val="22"/>
          <w:lang w:val="en-US"/>
        </w:rPr>
        <w:t>145</w:t>
      </w:r>
      <w:r w:rsidRPr="006470CD">
        <w:rPr>
          <w:szCs w:val="22"/>
          <w:lang w:val="en-US"/>
        </w:rPr>
        <w:t>. https://doi.org/10.1016/j.brat.2021.103933</w:t>
      </w:r>
    </w:p>
    <w:p w14:paraId="4C0A79A7" w14:textId="77777777" w:rsidR="00FF5975" w:rsidRPr="006470CD" w:rsidRDefault="00FF5975" w:rsidP="006470CD">
      <w:pPr>
        <w:pStyle w:val="Bibliography"/>
        <w:spacing w:line="360" w:lineRule="auto"/>
        <w:rPr>
          <w:szCs w:val="22"/>
          <w:lang w:val="en-US"/>
        </w:rPr>
      </w:pPr>
      <w:r w:rsidRPr="006470CD">
        <w:rPr>
          <w:szCs w:val="22"/>
          <w:lang w:val="en-US"/>
        </w:rPr>
        <w:lastRenderedPageBreak/>
        <w:t xml:space="preserve">Stevens, K. E., Meltzer, J., &amp; Rose, G. M. (1993). Disruption of sensory gating by the </w:t>
      </w:r>
      <w:r w:rsidRPr="006470CD">
        <w:rPr>
          <w:szCs w:val="22"/>
        </w:rPr>
        <w:t>α</w:t>
      </w:r>
      <w:r w:rsidRPr="006470CD">
        <w:rPr>
          <w:szCs w:val="22"/>
          <w:lang w:val="en-US"/>
        </w:rPr>
        <w:t xml:space="preserve">2 selective noradrenergic antagonist yohimbine. </w:t>
      </w:r>
      <w:r w:rsidRPr="006470CD">
        <w:rPr>
          <w:i/>
          <w:iCs/>
          <w:szCs w:val="22"/>
          <w:lang w:val="en-US"/>
        </w:rPr>
        <w:t>Biological Psychiatry</w:t>
      </w:r>
      <w:r w:rsidRPr="006470CD">
        <w:rPr>
          <w:szCs w:val="22"/>
          <w:lang w:val="en-US"/>
        </w:rPr>
        <w:t xml:space="preserve">, </w:t>
      </w:r>
      <w:r w:rsidRPr="006470CD">
        <w:rPr>
          <w:i/>
          <w:iCs/>
          <w:szCs w:val="22"/>
          <w:lang w:val="en-US"/>
        </w:rPr>
        <w:t>33</w:t>
      </w:r>
      <w:r w:rsidRPr="006470CD">
        <w:rPr>
          <w:szCs w:val="22"/>
          <w:lang w:val="en-US"/>
        </w:rPr>
        <w:t>(2), 130–132. https://doi.org/10.1016/0006-3223(93)90313-3</w:t>
      </w:r>
    </w:p>
    <w:p w14:paraId="48E9E5D7" w14:textId="77777777" w:rsidR="00FF5975" w:rsidRPr="006470CD" w:rsidRDefault="00FF5975" w:rsidP="006470CD">
      <w:pPr>
        <w:pStyle w:val="Bibliography"/>
        <w:spacing w:line="360" w:lineRule="auto"/>
        <w:rPr>
          <w:szCs w:val="22"/>
          <w:lang w:val="en-US"/>
        </w:rPr>
      </w:pPr>
      <w:r w:rsidRPr="006470CD">
        <w:rPr>
          <w:szCs w:val="22"/>
          <w:lang w:val="en-US"/>
        </w:rPr>
        <w:t xml:space="preserve">Takahashi, H., </w:t>
      </w:r>
      <w:proofErr w:type="spellStart"/>
      <w:r w:rsidRPr="006470CD">
        <w:rPr>
          <w:szCs w:val="22"/>
          <w:lang w:val="en-US"/>
        </w:rPr>
        <w:t>Shiramatsu</w:t>
      </w:r>
      <w:proofErr w:type="spellEnd"/>
      <w:r w:rsidRPr="006470CD">
        <w:rPr>
          <w:szCs w:val="22"/>
          <w:lang w:val="en-US"/>
        </w:rPr>
        <w:t xml:space="preserve">, T. I., </w:t>
      </w:r>
      <w:proofErr w:type="spellStart"/>
      <w:r w:rsidRPr="006470CD">
        <w:rPr>
          <w:szCs w:val="22"/>
          <w:lang w:val="en-US"/>
        </w:rPr>
        <w:t>Hitsuyu</w:t>
      </w:r>
      <w:proofErr w:type="spellEnd"/>
      <w:r w:rsidRPr="006470CD">
        <w:rPr>
          <w:szCs w:val="22"/>
          <w:lang w:val="en-US"/>
        </w:rPr>
        <w:t xml:space="preserve">, R., </w:t>
      </w:r>
      <w:proofErr w:type="spellStart"/>
      <w:r w:rsidRPr="006470CD">
        <w:rPr>
          <w:szCs w:val="22"/>
          <w:lang w:val="en-US"/>
        </w:rPr>
        <w:t>Ibayashi</w:t>
      </w:r>
      <w:proofErr w:type="spellEnd"/>
      <w:r w:rsidRPr="006470CD">
        <w:rPr>
          <w:szCs w:val="22"/>
          <w:lang w:val="en-US"/>
        </w:rPr>
        <w:t xml:space="preserve">, K., &amp; Kawai, K. (2020). </w:t>
      </w:r>
      <w:proofErr w:type="spellStart"/>
      <w:r w:rsidRPr="006470CD">
        <w:rPr>
          <w:szCs w:val="22"/>
          <w:lang w:val="en-US"/>
        </w:rPr>
        <w:t>Vagus</w:t>
      </w:r>
      <w:proofErr w:type="spellEnd"/>
      <w:r w:rsidRPr="006470CD">
        <w:rPr>
          <w:szCs w:val="22"/>
          <w:lang w:val="en-US"/>
        </w:rPr>
        <w:t xml:space="preserve"> nerve stimulation (VNS)-induced layer-specific modulation of evoked responses in the sensory cortex of rats. </w:t>
      </w:r>
      <w:r w:rsidRPr="006470CD">
        <w:rPr>
          <w:i/>
          <w:iCs/>
          <w:szCs w:val="22"/>
          <w:lang w:val="en-US"/>
        </w:rPr>
        <w:t>Scientific Reports</w:t>
      </w:r>
      <w:r w:rsidRPr="006470CD">
        <w:rPr>
          <w:szCs w:val="22"/>
          <w:lang w:val="en-US"/>
        </w:rPr>
        <w:t xml:space="preserve">, </w:t>
      </w:r>
      <w:r w:rsidRPr="006470CD">
        <w:rPr>
          <w:i/>
          <w:iCs/>
          <w:szCs w:val="22"/>
          <w:lang w:val="en-US"/>
        </w:rPr>
        <w:t>10</w:t>
      </w:r>
      <w:r w:rsidRPr="006470CD">
        <w:rPr>
          <w:szCs w:val="22"/>
          <w:lang w:val="en-US"/>
        </w:rPr>
        <w:t>(1), 8932. https://doi.org/10.1038/s41598-020-65745-z</w:t>
      </w:r>
    </w:p>
    <w:p w14:paraId="502351B4" w14:textId="77777777" w:rsidR="00FF5975" w:rsidRPr="006470CD" w:rsidRDefault="00FF5975" w:rsidP="006470CD">
      <w:pPr>
        <w:pStyle w:val="Bibliography"/>
        <w:spacing w:line="360" w:lineRule="auto"/>
        <w:rPr>
          <w:szCs w:val="22"/>
          <w:lang w:val="en-US"/>
        </w:rPr>
      </w:pPr>
      <w:r w:rsidRPr="006470CD">
        <w:rPr>
          <w:szCs w:val="22"/>
          <w:lang w:val="en-US"/>
        </w:rPr>
        <w:t xml:space="preserve">Urbin, M. A., Lafe, C. W., Simpson, T., Wittenberg, G. F., Chandrasekaran, B., &amp; Weber, D. J. (2021). Electrical stimulation of the external ear acutely activates noradrenergic mechanisms in humans. </w:t>
      </w:r>
      <w:r w:rsidRPr="006470CD">
        <w:rPr>
          <w:i/>
          <w:iCs/>
          <w:szCs w:val="22"/>
          <w:lang w:val="en-US"/>
        </w:rPr>
        <w:t>Brain Stimulation</w:t>
      </w:r>
      <w:r w:rsidRPr="006470CD">
        <w:rPr>
          <w:szCs w:val="22"/>
          <w:lang w:val="en-US"/>
        </w:rPr>
        <w:t xml:space="preserve">, </w:t>
      </w:r>
      <w:r w:rsidRPr="006470CD">
        <w:rPr>
          <w:i/>
          <w:iCs/>
          <w:szCs w:val="22"/>
          <w:lang w:val="en-US"/>
        </w:rPr>
        <w:t>14</w:t>
      </w:r>
      <w:r w:rsidRPr="006470CD">
        <w:rPr>
          <w:szCs w:val="22"/>
          <w:lang w:val="en-US"/>
        </w:rPr>
        <w:t>(4). https://doi.org/10.1016/j.brs.2021.06.002</w:t>
      </w:r>
    </w:p>
    <w:p w14:paraId="7602561B" w14:textId="77777777" w:rsidR="00FF5975" w:rsidRPr="006470CD" w:rsidRDefault="00FF5975" w:rsidP="006470CD">
      <w:pPr>
        <w:pStyle w:val="Bibliography"/>
        <w:spacing w:line="360" w:lineRule="auto"/>
        <w:rPr>
          <w:szCs w:val="22"/>
          <w:lang w:val="en-US"/>
        </w:rPr>
      </w:pPr>
      <w:r w:rsidRPr="006470CD">
        <w:rPr>
          <w:szCs w:val="22"/>
          <w:lang w:val="en-US"/>
        </w:rPr>
        <w:t xml:space="preserve">van Buuren, M., Gladwin, T. E., </w:t>
      </w:r>
      <w:proofErr w:type="spellStart"/>
      <w:r w:rsidRPr="006470CD">
        <w:rPr>
          <w:szCs w:val="22"/>
          <w:lang w:val="en-US"/>
        </w:rPr>
        <w:t>Zandbelt</w:t>
      </w:r>
      <w:proofErr w:type="spellEnd"/>
      <w:r w:rsidRPr="006470CD">
        <w:rPr>
          <w:szCs w:val="22"/>
          <w:lang w:val="en-US"/>
        </w:rPr>
        <w:t xml:space="preserve">, B. B., Kahn, R. S., &amp; Vink, M. (2010). Reduced functional coupling in the default-mode network during self-referential processing. </w:t>
      </w:r>
      <w:r w:rsidRPr="006470CD">
        <w:rPr>
          <w:i/>
          <w:iCs/>
          <w:szCs w:val="22"/>
          <w:lang w:val="en-US"/>
        </w:rPr>
        <w:t>Human Brain Mapping</w:t>
      </w:r>
      <w:r w:rsidRPr="006470CD">
        <w:rPr>
          <w:szCs w:val="22"/>
          <w:lang w:val="en-US"/>
        </w:rPr>
        <w:t xml:space="preserve">, </w:t>
      </w:r>
      <w:r w:rsidRPr="006470CD">
        <w:rPr>
          <w:i/>
          <w:iCs/>
          <w:szCs w:val="22"/>
          <w:lang w:val="en-US"/>
        </w:rPr>
        <w:t>31</w:t>
      </w:r>
      <w:r w:rsidRPr="006470CD">
        <w:rPr>
          <w:szCs w:val="22"/>
          <w:lang w:val="en-US"/>
        </w:rPr>
        <w:t>(8), 1117–1127. https://doi.org/10.1002/hbm.20920</w:t>
      </w:r>
    </w:p>
    <w:p w14:paraId="52AE4357" w14:textId="77777777" w:rsidR="00FF5975" w:rsidRPr="006470CD" w:rsidRDefault="00FF5975" w:rsidP="006470CD">
      <w:pPr>
        <w:pStyle w:val="Bibliography"/>
        <w:spacing w:line="360" w:lineRule="auto"/>
        <w:rPr>
          <w:szCs w:val="22"/>
          <w:lang w:val="en-US"/>
        </w:rPr>
      </w:pPr>
      <w:r w:rsidRPr="006470CD">
        <w:rPr>
          <w:szCs w:val="22"/>
          <w:lang w:val="en-US"/>
        </w:rPr>
        <w:t xml:space="preserve">Van den Bergh, O., </w:t>
      </w:r>
      <w:proofErr w:type="spellStart"/>
      <w:r w:rsidRPr="006470CD">
        <w:rPr>
          <w:szCs w:val="22"/>
          <w:lang w:val="en-US"/>
        </w:rPr>
        <w:t>Witthöft</w:t>
      </w:r>
      <w:proofErr w:type="spellEnd"/>
      <w:r w:rsidRPr="006470CD">
        <w:rPr>
          <w:szCs w:val="22"/>
          <w:lang w:val="en-US"/>
        </w:rPr>
        <w:t xml:space="preserve">, M., Petersen, S., &amp; Brown, R. J. (2017). Symptoms and the body: Taking the inferential leap. </w:t>
      </w:r>
      <w:r w:rsidRPr="006470CD">
        <w:rPr>
          <w:i/>
          <w:iCs/>
          <w:szCs w:val="22"/>
          <w:lang w:val="en-US"/>
        </w:rPr>
        <w:t>Neuroscience and Biobehavioral Reviews</w:t>
      </w:r>
      <w:r w:rsidRPr="006470CD">
        <w:rPr>
          <w:szCs w:val="22"/>
          <w:lang w:val="en-US"/>
        </w:rPr>
        <w:t xml:space="preserve">, </w:t>
      </w:r>
      <w:r w:rsidRPr="006470CD">
        <w:rPr>
          <w:i/>
          <w:iCs/>
          <w:szCs w:val="22"/>
          <w:lang w:val="en-US"/>
        </w:rPr>
        <w:t>74</w:t>
      </w:r>
      <w:r w:rsidRPr="006470CD">
        <w:rPr>
          <w:szCs w:val="22"/>
          <w:lang w:val="en-US"/>
        </w:rPr>
        <w:t>(Pt A), 185–203. https://doi.org/10.1016/j.neubiorev.2017.01.015</w:t>
      </w:r>
    </w:p>
    <w:p w14:paraId="025A526D" w14:textId="77777777" w:rsidR="00FF5975" w:rsidRPr="006470CD" w:rsidRDefault="00FF5975" w:rsidP="006470CD">
      <w:pPr>
        <w:pStyle w:val="Bibliography"/>
        <w:spacing w:line="360" w:lineRule="auto"/>
        <w:rPr>
          <w:szCs w:val="22"/>
          <w:lang w:val="de-DE"/>
        </w:rPr>
      </w:pPr>
      <w:r w:rsidRPr="006470CD">
        <w:rPr>
          <w:szCs w:val="22"/>
        </w:rPr>
        <w:t xml:space="preserve">Vandekar, S., Tao, R., &amp; Blume, J. (2020). </w:t>
      </w:r>
      <w:r w:rsidRPr="006470CD">
        <w:rPr>
          <w:szCs w:val="22"/>
          <w:lang w:val="en-US"/>
        </w:rPr>
        <w:t xml:space="preserve">A Robust Effect Size Index. </w:t>
      </w:r>
      <w:proofErr w:type="spellStart"/>
      <w:r w:rsidRPr="006470CD">
        <w:rPr>
          <w:i/>
          <w:iCs/>
          <w:szCs w:val="22"/>
          <w:lang w:val="de-DE"/>
        </w:rPr>
        <w:t>Psychometrika</w:t>
      </w:r>
      <w:proofErr w:type="spellEnd"/>
      <w:r w:rsidRPr="006470CD">
        <w:rPr>
          <w:szCs w:val="22"/>
          <w:lang w:val="de-DE"/>
        </w:rPr>
        <w:t xml:space="preserve">, </w:t>
      </w:r>
      <w:r w:rsidRPr="006470CD">
        <w:rPr>
          <w:i/>
          <w:iCs/>
          <w:szCs w:val="22"/>
          <w:lang w:val="de-DE"/>
        </w:rPr>
        <w:t>85</w:t>
      </w:r>
      <w:r w:rsidRPr="006470CD">
        <w:rPr>
          <w:szCs w:val="22"/>
          <w:lang w:val="de-DE"/>
        </w:rPr>
        <w:t>(1), 232–246. https://doi.org/10.1007/s11336-020-09698-2</w:t>
      </w:r>
    </w:p>
    <w:p w14:paraId="5E18CFB3" w14:textId="77777777" w:rsidR="00FF5975" w:rsidRPr="006470CD" w:rsidRDefault="00FF5975" w:rsidP="006470CD">
      <w:pPr>
        <w:pStyle w:val="Bibliography"/>
        <w:spacing w:line="360" w:lineRule="auto"/>
        <w:rPr>
          <w:szCs w:val="22"/>
          <w:lang w:val="en-US"/>
        </w:rPr>
      </w:pPr>
      <w:r w:rsidRPr="006470CD">
        <w:rPr>
          <w:szCs w:val="22"/>
          <w:lang w:val="de-DE"/>
        </w:rPr>
        <w:t xml:space="preserve">Ventura-Bort, C., Wirkner, J., </w:t>
      </w:r>
      <w:proofErr w:type="spellStart"/>
      <w:r w:rsidRPr="006470CD">
        <w:rPr>
          <w:szCs w:val="22"/>
          <w:lang w:val="de-DE"/>
        </w:rPr>
        <w:t>Genheimer</w:t>
      </w:r>
      <w:proofErr w:type="spellEnd"/>
      <w:r w:rsidRPr="006470CD">
        <w:rPr>
          <w:szCs w:val="22"/>
          <w:lang w:val="de-DE"/>
        </w:rPr>
        <w:t xml:space="preserve">, H., Wendt, J., Hamm, A. O., &amp; Weymar, M. (2018). </w:t>
      </w:r>
      <w:r w:rsidRPr="006470CD">
        <w:rPr>
          <w:szCs w:val="22"/>
          <w:lang w:val="en-US"/>
        </w:rPr>
        <w:t xml:space="preserve">Effects of Transcutaneous </w:t>
      </w:r>
      <w:proofErr w:type="spellStart"/>
      <w:r w:rsidRPr="006470CD">
        <w:rPr>
          <w:szCs w:val="22"/>
          <w:lang w:val="en-US"/>
        </w:rPr>
        <w:t>Vagus</w:t>
      </w:r>
      <w:proofErr w:type="spellEnd"/>
      <w:r w:rsidRPr="006470CD">
        <w:rPr>
          <w:szCs w:val="22"/>
          <w:lang w:val="en-US"/>
        </w:rPr>
        <w:t xml:space="preserve"> Nerve Stimulation (</w:t>
      </w:r>
      <w:proofErr w:type="spellStart"/>
      <w:r w:rsidRPr="006470CD">
        <w:rPr>
          <w:szCs w:val="22"/>
          <w:lang w:val="en-US"/>
        </w:rPr>
        <w:t>tVNS</w:t>
      </w:r>
      <w:proofErr w:type="spellEnd"/>
      <w:r w:rsidRPr="006470CD">
        <w:rPr>
          <w:szCs w:val="22"/>
          <w:lang w:val="en-US"/>
        </w:rPr>
        <w:t xml:space="preserve">) on the P300 and Alpha-Amylase Level: A Pilot Study. </w:t>
      </w:r>
      <w:r w:rsidRPr="006470CD">
        <w:rPr>
          <w:i/>
          <w:iCs/>
          <w:szCs w:val="22"/>
          <w:lang w:val="en-US"/>
        </w:rPr>
        <w:t>Frontiers in Human Neuroscience</w:t>
      </w:r>
      <w:r w:rsidRPr="006470CD">
        <w:rPr>
          <w:szCs w:val="22"/>
          <w:lang w:val="en-US"/>
        </w:rPr>
        <w:t xml:space="preserve">, </w:t>
      </w:r>
      <w:r w:rsidRPr="006470CD">
        <w:rPr>
          <w:i/>
          <w:iCs/>
          <w:szCs w:val="22"/>
          <w:lang w:val="en-US"/>
        </w:rPr>
        <w:t>12</w:t>
      </w:r>
      <w:r w:rsidRPr="006470CD">
        <w:rPr>
          <w:szCs w:val="22"/>
          <w:lang w:val="en-US"/>
        </w:rPr>
        <w:t>, 202. https://doi.org/10.3389/fnhum.2018.00202</w:t>
      </w:r>
    </w:p>
    <w:p w14:paraId="78E4F765" w14:textId="77777777" w:rsidR="00FF5975" w:rsidRPr="006470CD" w:rsidRDefault="00FF5975" w:rsidP="006470CD">
      <w:pPr>
        <w:pStyle w:val="Bibliography"/>
        <w:spacing w:line="360" w:lineRule="auto"/>
        <w:rPr>
          <w:szCs w:val="22"/>
          <w:lang w:val="en-US"/>
        </w:rPr>
      </w:pPr>
      <w:r w:rsidRPr="006470CD">
        <w:rPr>
          <w:szCs w:val="22"/>
          <w:lang w:val="en-US"/>
        </w:rPr>
        <w:t>Ventura</w:t>
      </w:r>
      <w:r w:rsidRPr="006470CD">
        <w:rPr>
          <w:rFonts w:ascii="Cambria Math" w:hAnsi="Cambria Math" w:cs="Cambria Math"/>
          <w:szCs w:val="22"/>
          <w:lang w:val="en-US"/>
        </w:rPr>
        <w:t>‐</w:t>
      </w:r>
      <w:r w:rsidRPr="006470CD">
        <w:rPr>
          <w:szCs w:val="22"/>
          <w:lang w:val="en-US"/>
        </w:rPr>
        <w:t xml:space="preserve">Bort, C., </w:t>
      </w:r>
      <w:proofErr w:type="spellStart"/>
      <w:r w:rsidRPr="006470CD">
        <w:rPr>
          <w:szCs w:val="22"/>
          <w:lang w:val="en-US"/>
        </w:rPr>
        <w:t>Wirkner</w:t>
      </w:r>
      <w:proofErr w:type="spellEnd"/>
      <w:r w:rsidRPr="006470CD">
        <w:rPr>
          <w:szCs w:val="22"/>
          <w:lang w:val="en-US"/>
        </w:rPr>
        <w:t xml:space="preserve">, J., Wendt, J., Hamm, A. O., &amp; Weymar, M. (2021). Establishment of Emotional Memories Is Mediated by Vagal Nerve Activation: Evidence from Noninvasive </w:t>
      </w:r>
      <w:proofErr w:type="spellStart"/>
      <w:r w:rsidRPr="006470CD">
        <w:rPr>
          <w:szCs w:val="22"/>
          <w:lang w:val="en-US"/>
        </w:rPr>
        <w:t>taVNS</w:t>
      </w:r>
      <w:proofErr w:type="spellEnd"/>
      <w:r w:rsidRPr="006470CD">
        <w:rPr>
          <w:szCs w:val="22"/>
          <w:lang w:val="en-US"/>
        </w:rPr>
        <w:t xml:space="preserve">. </w:t>
      </w:r>
      <w:r w:rsidRPr="006470CD">
        <w:rPr>
          <w:i/>
          <w:iCs/>
          <w:szCs w:val="22"/>
          <w:lang w:val="en-US"/>
        </w:rPr>
        <w:t>The Journal of Neuroscience</w:t>
      </w:r>
      <w:r w:rsidRPr="006470CD">
        <w:rPr>
          <w:szCs w:val="22"/>
          <w:lang w:val="en-US"/>
        </w:rPr>
        <w:t xml:space="preserve">, </w:t>
      </w:r>
      <w:r w:rsidRPr="006470CD">
        <w:rPr>
          <w:i/>
          <w:iCs/>
          <w:szCs w:val="22"/>
          <w:lang w:val="en-US"/>
        </w:rPr>
        <w:t>41</w:t>
      </w:r>
      <w:r w:rsidRPr="006470CD">
        <w:rPr>
          <w:szCs w:val="22"/>
          <w:lang w:val="en-US"/>
        </w:rPr>
        <w:t>(36). https://doi.org/10.1523/jneurosci.2329-20.2021</w:t>
      </w:r>
    </w:p>
    <w:p w14:paraId="02F3C7B8" w14:textId="77777777" w:rsidR="00FF5975" w:rsidRPr="006470CD" w:rsidRDefault="00FF5975" w:rsidP="006470CD">
      <w:pPr>
        <w:pStyle w:val="Bibliography"/>
        <w:spacing w:line="360" w:lineRule="auto"/>
        <w:rPr>
          <w:szCs w:val="22"/>
          <w:lang w:val="en-US"/>
        </w:rPr>
      </w:pPr>
      <w:r w:rsidRPr="006470CD">
        <w:rPr>
          <w:szCs w:val="22"/>
          <w:lang w:val="en-US"/>
        </w:rPr>
        <w:t xml:space="preserve">Vieira, A., Reis, A. M., Matos, L. C., Machado, J., &amp; Moreira, A. (2018). Does auriculotherapy have therapeutic effectiveness? An overview of systematic reviews. </w:t>
      </w:r>
      <w:r w:rsidRPr="006470CD">
        <w:rPr>
          <w:i/>
          <w:iCs/>
          <w:szCs w:val="22"/>
          <w:lang w:val="en-US"/>
        </w:rPr>
        <w:t>Complementary Therapies in Clinical Practice</w:t>
      </w:r>
      <w:r w:rsidRPr="006470CD">
        <w:rPr>
          <w:szCs w:val="22"/>
          <w:lang w:val="en-US"/>
        </w:rPr>
        <w:t xml:space="preserve">, </w:t>
      </w:r>
      <w:r w:rsidRPr="006470CD">
        <w:rPr>
          <w:i/>
          <w:iCs/>
          <w:szCs w:val="22"/>
          <w:lang w:val="en-US"/>
        </w:rPr>
        <w:t>33</w:t>
      </w:r>
      <w:r w:rsidRPr="006470CD">
        <w:rPr>
          <w:szCs w:val="22"/>
          <w:lang w:val="en-US"/>
        </w:rPr>
        <w:t>, 61–70. https://doi.org/10.1016/j.ctcp.2018.08.005</w:t>
      </w:r>
    </w:p>
    <w:p w14:paraId="5D419238" w14:textId="77777777" w:rsidR="00FF5975" w:rsidRPr="006470CD" w:rsidRDefault="00FF5975" w:rsidP="006470CD">
      <w:pPr>
        <w:pStyle w:val="Bibliography"/>
        <w:spacing w:line="360" w:lineRule="auto"/>
        <w:rPr>
          <w:szCs w:val="22"/>
          <w:lang w:val="en-US"/>
        </w:rPr>
      </w:pPr>
      <w:r w:rsidRPr="006470CD">
        <w:rPr>
          <w:szCs w:val="22"/>
          <w:lang w:val="de-DE"/>
        </w:rPr>
        <w:t xml:space="preserve">Von Leupoldt, A., </w:t>
      </w:r>
      <w:proofErr w:type="spellStart"/>
      <w:r w:rsidRPr="006470CD">
        <w:rPr>
          <w:szCs w:val="22"/>
          <w:lang w:val="de-DE"/>
        </w:rPr>
        <w:t>Vovk</w:t>
      </w:r>
      <w:proofErr w:type="spellEnd"/>
      <w:r w:rsidRPr="006470CD">
        <w:rPr>
          <w:szCs w:val="22"/>
          <w:lang w:val="de-DE"/>
        </w:rPr>
        <w:t xml:space="preserve">, A., Bradley, M. M., Keil, A., Lang, P. J., &amp; Davenport, P. W. (2010). </w:t>
      </w:r>
      <w:r w:rsidRPr="006470CD">
        <w:rPr>
          <w:szCs w:val="22"/>
          <w:lang w:val="en-US"/>
        </w:rPr>
        <w:t xml:space="preserve">The impact of emotion on respiratory-related evoked potentials. </w:t>
      </w:r>
      <w:r w:rsidRPr="006470CD">
        <w:rPr>
          <w:i/>
          <w:iCs/>
          <w:szCs w:val="22"/>
          <w:lang w:val="en-US"/>
        </w:rPr>
        <w:t>Psychophysiology</w:t>
      </w:r>
      <w:r w:rsidRPr="006470CD">
        <w:rPr>
          <w:szCs w:val="22"/>
          <w:lang w:val="en-US"/>
        </w:rPr>
        <w:t xml:space="preserve">, </w:t>
      </w:r>
      <w:r w:rsidRPr="006470CD">
        <w:rPr>
          <w:i/>
          <w:iCs/>
          <w:szCs w:val="22"/>
          <w:lang w:val="en-US"/>
        </w:rPr>
        <w:t>47</w:t>
      </w:r>
      <w:r w:rsidRPr="006470CD">
        <w:rPr>
          <w:szCs w:val="22"/>
          <w:lang w:val="en-US"/>
        </w:rPr>
        <w:t>(3), 579–586. https://doi.org/10.1111/j.1469-8986.2009.00956.x</w:t>
      </w:r>
    </w:p>
    <w:p w14:paraId="379346EA" w14:textId="77777777" w:rsidR="00FF5975" w:rsidRPr="006470CD" w:rsidRDefault="00FF5975" w:rsidP="006470CD">
      <w:pPr>
        <w:pStyle w:val="Bibliography"/>
        <w:spacing w:line="360" w:lineRule="auto"/>
        <w:rPr>
          <w:szCs w:val="22"/>
          <w:lang w:val="en-US"/>
        </w:rPr>
      </w:pPr>
      <w:r w:rsidRPr="006470CD">
        <w:rPr>
          <w:szCs w:val="22"/>
        </w:rPr>
        <w:t xml:space="preserve">Warren, C. M., van den Brink, R. L., Nieuwenhuis, S., &amp; Bosch, J. A. (2017). </w:t>
      </w:r>
      <w:r w:rsidRPr="006470CD">
        <w:rPr>
          <w:szCs w:val="22"/>
          <w:lang w:val="en-US"/>
        </w:rPr>
        <w:t xml:space="preserve">Norepinephrine transporter blocker atomoxetine increases salivary alpha amylase. </w:t>
      </w:r>
      <w:proofErr w:type="spellStart"/>
      <w:r w:rsidRPr="006470CD">
        <w:rPr>
          <w:i/>
          <w:iCs/>
          <w:szCs w:val="22"/>
          <w:lang w:val="en-US"/>
        </w:rPr>
        <w:lastRenderedPageBreak/>
        <w:t>Psychoneuroendocrinology</w:t>
      </w:r>
      <w:proofErr w:type="spellEnd"/>
      <w:r w:rsidRPr="006470CD">
        <w:rPr>
          <w:szCs w:val="22"/>
          <w:lang w:val="en-US"/>
        </w:rPr>
        <w:t xml:space="preserve">, </w:t>
      </w:r>
      <w:r w:rsidRPr="006470CD">
        <w:rPr>
          <w:i/>
          <w:iCs/>
          <w:szCs w:val="22"/>
          <w:lang w:val="en-US"/>
        </w:rPr>
        <w:t>78</w:t>
      </w:r>
      <w:r w:rsidRPr="006470CD">
        <w:rPr>
          <w:szCs w:val="22"/>
          <w:lang w:val="en-US"/>
        </w:rPr>
        <w:t>, 233–236. https://doi.org/10.1016/j.psyneuen.2017.01.029</w:t>
      </w:r>
    </w:p>
    <w:p w14:paraId="28143DF3" w14:textId="77777777" w:rsidR="00FF5975" w:rsidRPr="006470CD" w:rsidRDefault="00FF5975" w:rsidP="006470CD">
      <w:pPr>
        <w:pStyle w:val="Bibliography"/>
        <w:spacing w:line="360" w:lineRule="auto"/>
        <w:rPr>
          <w:szCs w:val="22"/>
          <w:lang w:val="en-US"/>
        </w:rPr>
      </w:pPr>
      <w:r w:rsidRPr="006470CD">
        <w:rPr>
          <w:szCs w:val="22"/>
          <w:lang w:val="de-DE"/>
        </w:rPr>
        <w:t xml:space="preserve">Wienke, C., </w:t>
      </w:r>
      <w:proofErr w:type="spellStart"/>
      <w:r w:rsidRPr="006470CD">
        <w:rPr>
          <w:szCs w:val="22"/>
          <w:lang w:val="de-DE"/>
        </w:rPr>
        <w:t>Grueschow</w:t>
      </w:r>
      <w:proofErr w:type="spellEnd"/>
      <w:r w:rsidRPr="006470CD">
        <w:rPr>
          <w:szCs w:val="22"/>
          <w:lang w:val="de-DE"/>
        </w:rPr>
        <w:t xml:space="preserve">, M., </w:t>
      </w:r>
      <w:proofErr w:type="spellStart"/>
      <w:r w:rsidRPr="006470CD">
        <w:rPr>
          <w:szCs w:val="22"/>
          <w:lang w:val="de-DE"/>
        </w:rPr>
        <w:t>Haghikia</w:t>
      </w:r>
      <w:proofErr w:type="spellEnd"/>
      <w:r w:rsidRPr="006470CD">
        <w:rPr>
          <w:szCs w:val="22"/>
          <w:lang w:val="de-DE"/>
        </w:rPr>
        <w:t xml:space="preserve">, A., &amp; </w:t>
      </w:r>
      <w:proofErr w:type="spellStart"/>
      <w:r w:rsidRPr="006470CD">
        <w:rPr>
          <w:szCs w:val="22"/>
          <w:lang w:val="de-DE"/>
        </w:rPr>
        <w:t>Zaehle</w:t>
      </w:r>
      <w:proofErr w:type="spellEnd"/>
      <w:r w:rsidRPr="006470CD">
        <w:rPr>
          <w:szCs w:val="22"/>
          <w:lang w:val="de-DE"/>
        </w:rPr>
        <w:t xml:space="preserve">, T. (2023). </w:t>
      </w:r>
      <w:r w:rsidRPr="006470CD">
        <w:rPr>
          <w:szCs w:val="22"/>
          <w:lang w:val="en-US"/>
        </w:rPr>
        <w:t xml:space="preserve">Phasic, Event-Related Transcutaneous Auricular </w:t>
      </w:r>
      <w:proofErr w:type="spellStart"/>
      <w:r w:rsidRPr="006470CD">
        <w:rPr>
          <w:szCs w:val="22"/>
          <w:lang w:val="en-US"/>
        </w:rPr>
        <w:t>Vagus</w:t>
      </w:r>
      <w:proofErr w:type="spellEnd"/>
      <w:r w:rsidRPr="006470CD">
        <w:rPr>
          <w:szCs w:val="22"/>
          <w:lang w:val="en-US"/>
        </w:rPr>
        <w:t xml:space="preserve"> Nerve Stimulation Modifies Behavioral, Pupillary, and Low-Frequency Oscillatory Power Responses. </w:t>
      </w:r>
      <w:r w:rsidRPr="006470CD">
        <w:rPr>
          <w:i/>
          <w:iCs/>
          <w:szCs w:val="22"/>
          <w:lang w:val="en-US"/>
        </w:rPr>
        <w:t>The Journal of Neuroscience</w:t>
      </w:r>
      <w:r w:rsidRPr="006470CD">
        <w:rPr>
          <w:szCs w:val="22"/>
          <w:lang w:val="en-US"/>
        </w:rPr>
        <w:t xml:space="preserve">, </w:t>
      </w:r>
      <w:r w:rsidRPr="006470CD">
        <w:rPr>
          <w:i/>
          <w:iCs/>
          <w:szCs w:val="22"/>
          <w:lang w:val="en-US"/>
        </w:rPr>
        <w:t>43</w:t>
      </w:r>
      <w:r w:rsidRPr="006470CD">
        <w:rPr>
          <w:szCs w:val="22"/>
          <w:lang w:val="en-US"/>
        </w:rPr>
        <w:t>(36). https://doi.org/10.1523/jneurosci.0452-23.2023</w:t>
      </w:r>
    </w:p>
    <w:p w14:paraId="2B995CEF" w14:textId="77777777" w:rsidR="00FF5975" w:rsidRPr="006470CD" w:rsidRDefault="00FF5975" w:rsidP="006470CD">
      <w:pPr>
        <w:pStyle w:val="Bibliography"/>
        <w:spacing w:line="360" w:lineRule="auto"/>
        <w:rPr>
          <w:szCs w:val="22"/>
        </w:rPr>
      </w:pPr>
      <w:r w:rsidRPr="006470CD">
        <w:rPr>
          <w:szCs w:val="22"/>
          <w:lang w:val="en-US"/>
        </w:rPr>
        <w:t xml:space="preserve">Wiesman, A. I., Heinrichs-Graham, E., Coolidge, N. M., Gehringer, J. E., Kurz, M. J., &amp; Wilson, T. W. (2017). Oscillatory dynamics and functional connectivity during gating of primary somatosensory responses. </w:t>
      </w:r>
      <w:r w:rsidRPr="006470CD">
        <w:rPr>
          <w:i/>
          <w:iCs/>
          <w:szCs w:val="22"/>
        </w:rPr>
        <w:t xml:space="preserve">Journal of </w:t>
      </w:r>
      <w:proofErr w:type="spellStart"/>
      <w:r w:rsidRPr="006470CD">
        <w:rPr>
          <w:i/>
          <w:iCs/>
          <w:szCs w:val="22"/>
        </w:rPr>
        <w:t>Physiology</w:t>
      </w:r>
      <w:proofErr w:type="spellEnd"/>
      <w:r w:rsidRPr="006470CD">
        <w:rPr>
          <w:szCs w:val="22"/>
        </w:rPr>
        <w:t xml:space="preserve">, </w:t>
      </w:r>
      <w:r w:rsidRPr="006470CD">
        <w:rPr>
          <w:i/>
          <w:iCs/>
          <w:szCs w:val="22"/>
        </w:rPr>
        <w:t>595</w:t>
      </w:r>
      <w:r w:rsidRPr="006470CD">
        <w:rPr>
          <w:szCs w:val="22"/>
        </w:rPr>
        <w:t>(4), 1365–1375. https://doi.org/10.1113/JP273192</w:t>
      </w:r>
    </w:p>
    <w:p w14:paraId="358F0581" w14:textId="77777777" w:rsidR="00FF5975" w:rsidRPr="006470CD" w:rsidRDefault="00FF5975" w:rsidP="006470CD">
      <w:pPr>
        <w:pStyle w:val="Bibliography"/>
        <w:spacing w:line="360" w:lineRule="auto"/>
        <w:rPr>
          <w:szCs w:val="22"/>
          <w:lang w:val="en-US"/>
        </w:rPr>
      </w:pPr>
      <w:proofErr w:type="spellStart"/>
      <w:r w:rsidRPr="006470CD">
        <w:rPr>
          <w:szCs w:val="22"/>
        </w:rPr>
        <w:t>Wostyn</w:t>
      </w:r>
      <w:proofErr w:type="spellEnd"/>
      <w:r w:rsidRPr="006470CD">
        <w:rPr>
          <w:szCs w:val="22"/>
        </w:rPr>
        <w:t xml:space="preserve">, S., Staljanssens, W., De </w:t>
      </w:r>
      <w:proofErr w:type="spellStart"/>
      <w:r w:rsidRPr="006470CD">
        <w:rPr>
          <w:szCs w:val="22"/>
        </w:rPr>
        <w:t>Taeye</w:t>
      </w:r>
      <w:proofErr w:type="spellEnd"/>
      <w:r w:rsidRPr="006470CD">
        <w:rPr>
          <w:szCs w:val="22"/>
        </w:rPr>
        <w:t xml:space="preserve">, L., Strobbe, G., </w:t>
      </w:r>
      <w:proofErr w:type="spellStart"/>
      <w:r w:rsidRPr="006470CD">
        <w:rPr>
          <w:szCs w:val="22"/>
        </w:rPr>
        <w:t>Gadeyne</w:t>
      </w:r>
      <w:proofErr w:type="spellEnd"/>
      <w:r w:rsidRPr="006470CD">
        <w:rPr>
          <w:szCs w:val="22"/>
        </w:rPr>
        <w:t xml:space="preserve">, S., Van Roost, D., </w:t>
      </w:r>
      <w:proofErr w:type="spellStart"/>
      <w:r w:rsidRPr="006470CD">
        <w:rPr>
          <w:szCs w:val="22"/>
        </w:rPr>
        <w:t>Raedt</w:t>
      </w:r>
      <w:proofErr w:type="spellEnd"/>
      <w:r w:rsidRPr="006470CD">
        <w:rPr>
          <w:szCs w:val="22"/>
        </w:rPr>
        <w:t xml:space="preserve">, R., Vonck, K., &amp; van Mierlo, P. (2017). </w:t>
      </w:r>
      <w:r w:rsidRPr="006470CD">
        <w:rPr>
          <w:szCs w:val="22"/>
          <w:lang w:val="en-US"/>
        </w:rPr>
        <w:t xml:space="preserve">EEG Derived Brain Activity Reflects Treatment Response from </w:t>
      </w:r>
      <w:proofErr w:type="spellStart"/>
      <w:r w:rsidRPr="006470CD">
        <w:rPr>
          <w:szCs w:val="22"/>
          <w:lang w:val="en-US"/>
        </w:rPr>
        <w:t>Vagus</w:t>
      </w:r>
      <w:proofErr w:type="spellEnd"/>
      <w:r w:rsidRPr="006470CD">
        <w:rPr>
          <w:szCs w:val="22"/>
          <w:lang w:val="en-US"/>
        </w:rPr>
        <w:t xml:space="preserve"> Nerve Stimulation in Patients with Epilepsy. </w:t>
      </w:r>
      <w:r w:rsidRPr="006470CD">
        <w:rPr>
          <w:i/>
          <w:iCs/>
          <w:szCs w:val="22"/>
          <w:lang w:val="en-US"/>
        </w:rPr>
        <w:t>International Journal of Neural Systems</w:t>
      </w:r>
      <w:r w:rsidRPr="006470CD">
        <w:rPr>
          <w:szCs w:val="22"/>
          <w:lang w:val="en-US"/>
        </w:rPr>
        <w:t xml:space="preserve">, </w:t>
      </w:r>
      <w:r w:rsidRPr="006470CD">
        <w:rPr>
          <w:i/>
          <w:iCs/>
          <w:szCs w:val="22"/>
          <w:lang w:val="en-US"/>
        </w:rPr>
        <w:t>27</w:t>
      </w:r>
      <w:r w:rsidRPr="006470CD">
        <w:rPr>
          <w:szCs w:val="22"/>
          <w:lang w:val="en-US"/>
        </w:rPr>
        <w:t>(4), 1650048. https://doi.org/10.1142/S0129065716500489</w:t>
      </w:r>
    </w:p>
    <w:p w14:paraId="4AD3070C" w14:textId="77777777" w:rsidR="00FF5975" w:rsidRPr="006470CD" w:rsidRDefault="00FF5975" w:rsidP="006470CD">
      <w:pPr>
        <w:pStyle w:val="Bibliography"/>
        <w:spacing w:line="360" w:lineRule="auto"/>
        <w:rPr>
          <w:szCs w:val="22"/>
          <w:lang w:val="en-US"/>
        </w:rPr>
      </w:pPr>
      <w:r w:rsidRPr="006470CD">
        <w:rPr>
          <w:szCs w:val="22"/>
          <w:lang w:val="en-US"/>
        </w:rPr>
        <w:t xml:space="preserve">Wu, Q., Wang, J., Han, D., Qian, L., Hu, H., &amp; Gao, H. (2024). Current status of transcutaneous auricular </w:t>
      </w:r>
      <w:proofErr w:type="spellStart"/>
      <w:r w:rsidRPr="006470CD">
        <w:rPr>
          <w:szCs w:val="22"/>
          <w:lang w:val="en-US"/>
        </w:rPr>
        <w:t>vagus</w:t>
      </w:r>
      <w:proofErr w:type="spellEnd"/>
      <w:r w:rsidRPr="006470CD">
        <w:rPr>
          <w:szCs w:val="22"/>
          <w:lang w:val="en-US"/>
        </w:rPr>
        <w:t xml:space="preserve"> nerve stimulation for tinnitus: A narrative review of modern research. </w:t>
      </w:r>
      <w:r w:rsidRPr="006470CD">
        <w:rPr>
          <w:i/>
          <w:iCs/>
          <w:szCs w:val="22"/>
          <w:lang w:val="en-US"/>
        </w:rPr>
        <w:t>Frontiers in Neuroscience</w:t>
      </w:r>
      <w:r w:rsidRPr="006470CD">
        <w:rPr>
          <w:szCs w:val="22"/>
          <w:lang w:val="en-US"/>
        </w:rPr>
        <w:t xml:space="preserve">, </w:t>
      </w:r>
      <w:r w:rsidRPr="006470CD">
        <w:rPr>
          <w:i/>
          <w:iCs/>
          <w:szCs w:val="22"/>
          <w:lang w:val="en-US"/>
        </w:rPr>
        <w:t>18</w:t>
      </w:r>
      <w:r w:rsidRPr="006470CD">
        <w:rPr>
          <w:szCs w:val="22"/>
          <w:lang w:val="en-US"/>
        </w:rPr>
        <w:t>. https://doi.org/10.3389/fnins.2024.1405310</w:t>
      </w:r>
    </w:p>
    <w:p w14:paraId="1CC22164" w14:textId="77777777" w:rsidR="00FF5975" w:rsidRPr="006470CD" w:rsidRDefault="00FF5975" w:rsidP="006470CD">
      <w:pPr>
        <w:pStyle w:val="Bibliography"/>
        <w:spacing w:line="360" w:lineRule="auto"/>
        <w:rPr>
          <w:szCs w:val="22"/>
          <w:lang w:val="en-US"/>
        </w:rPr>
      </w:pPr>
      <w:r w:rsidRPr="006470CD">
        <w:rPr>
          <w:szCs w:val="22"/>
          <w:lang w:val="en-US"/>
        </w:rPr>
        <w:t xml:space="preserve">Yamaguchi, S., &amp; Knight, R. T. (1991). P300 generation by novel somatosensory stimuli. </w:t>
      </w:r>
      <w:r w:rsidRPr="006470CD">
        <w:rPr>
          <w:i/>
          <w:iCs/>
          <w:szCs w:val="22"/>
          <w:lang w:val="en-US"/>
        </w:rPr>
        <w:t>Electroencephalography and Clinical Neurophysiology</w:t>
      </w:r>
      <w:r w:rsidRPr="006470CD">
        <w:rPr>
          <w:szCs w:val="22"/>
          <w:lang w:val="en-US"/>
        </w:rPr>
        <w:t xml:space="preserve">, </w:t>
      </w:r>
      <w:r w:rsidRPr="006470CD">
        <w:rPr>
          <w:i/>
          <w:iCs/>
          <w:szCs w:val="22"/>
          <w:lang w:val="en-US"/>
        </w:rPr>
        <w:t>78</w:t>
      </w:r>
      <w:r w:rsidRPr="006470CD">
        <w:rPr>
          <w:szCs w:val="22"/>
          <w:lang w:val="en-US"/>
        </w:rPr>
        <w:t>(1), 50–55. https://doi.org/10.1016/0013-4694(91)90018-Y</w:t>
      </w:r>
    </w:p>
    <w:p w14:paraId="5E87BE7C" w14:textId="77777777" w:rsidR="00FF5975" w:rsidRPr="006470CD" w:rsidRDefault="00FF5975" w:rsidP="006470CD">
      <w:pPr>
        <w:pStyle w:val="Bibliography"/>
        <w:spacing w:line="360" w:lineRule="auto"/>
        <w:rPr>
          <w:szCs w:val="22"/>
          <w:lang w:val="en-US"/>
        </w:rPr>
      </w:pPr>
      <w:r w:rsidRPr="006470CD">
        <w:rPr>
          <w:szCs w:val="22"/>
          <w:lang w:val="en-US"/>
        </w:rPr>
        <w:t xml:space="preserve">Yu, X., </w:t>
      </w:r>
      <w:proofErr w:type="spellStart"/>
      <w:r w:rsidRPr="006470CD">
        <w:rPr>
          <w:szCs w:val="22"/>
          <w:lang w:val="en-US"/>
        </w:rPr>
        <w:t>Fumoto</w:t>
      </w:r>
      <w:proofErr w:type="spellEnd"/>
      <w:r w:rsidRPr="006470CD">
        <w:rPr>
          <w:szCs w:val="22"/>
          <w:lang w:val="en-US"/>
        </w:rPr>
        <w:t xml:space="preserve">, M., Nakatani, Y., </w:t>
      </w:r>
      <w:proofErr w:type="spellStart"/>
      <w:r w:rsidRPr="006470CD">
        <w:rPr>
          <w:szCs w:val="22"/>
          <w:lang w:val="en-US"/>
        </w:rPr>
        <w:t>Sekiyama</w:t>
      </w:r>
      <w:proofErr w:type="spellEnd"/>
      <w:r w:rsidRPr="006470CD">
        <w:rPr>
          <w:szCs w:val="22"/>
          <w:lang w:val="en-US"/>
        </w:rPr>
        <w:t xml:space="preserve">, T., Kikuchi, H., Seki, Y., Sato-Suzuki, I., &amp; Arita, H. (2011). Activation of the anterior prefrontal cortex and serotonergic system is associated with improvements in mood and EEG changes induced by Zen meditation practice in novices. </w:t>
      </w:r>
      <w:r w:rsidRPr="006470CD">
        <w:rPr>
          <w:i/>
          <w:iCs/>
          <w:szCs w:val="22"/>
          <w:lang w:val="en-US"/>
        </w:rPr>
        <w:t>International Journal of Psychophysiology</w:t>
      </w:r>
      <w:r w:rsidRPr="006470CD">
        <w:rPr>
          <w:szCs w:val="22"/>
          <w:lang w:val="en-US"/>
        </w:rPr>
        <w:t xml:space="preserve">, </w:t>
      </w:r>
      <w:r w:rsidRPr="006470CD">
        <w:rPr>
          <w:i/>
          <w:iCs/>
          <w:szCs w:val="22"/>
          <w:lang w:val="en-US"/>
        </w:rPr>
        <w:t>80</w:t>
      </w:r>
      <w:r w:rsidRPr="006470CD">
        <w:rPr>
          <w:szCs w:val="22"/>
          <w:lang w:val="en-US"/>
        </w:rPr>
        <w:t>(2), 103–111. https://doi.org/10.1016/j.ijpsycho.2011.02.004</w:t>
      </w:r>
    </w:p>
    <w:p w14:paraId="39BF83CA" w14:textId="187A71D3" w:rsidR="00677961" w:rsidRPr="00C0765A" w:rsidRDefault="00677961" w:rsidP="00A402DC">
      <w:pPr>
        <w:pStyle w:val="BibliographyAPA"/>
      </w:pPr>
    </w:p>
    <w:p w14:paraId="1FE3D555" w14:textId="46DA38C4" w:rsidR="00677961" w:rsidRPr="00C0765A" w:rsidRDefault="00677961" w:rsidP="00043DD9">
      <w:pPr>
        <w:pStyle w:val="BibliographyAPA"/>
        <w:ind w:left="0" w:firstLine="0"/>
      </w:pPr>
    </w:p>
    <w:sectPr w:rsidR="00677961" w:rsidRPr="00C0765A" w:rsidSect="0077548C">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93278" w14:textId="77777777" w:rsidR="00651108" w:rsidRDefault="00651108" w:rsidP="00D9207E">
      <w:pPr>
        <w:spacing w:line="240" w:lineRule="auto"/>
      </w:pPr>
      <w:r>
        <w:separator/>
      </w:r>
    </w:p>
  </w:endnote>
  <w:endnote w:type="continuationSeparator" w:id="0">
    <w:p w14:paraId="20595530" w14:textId="77777777" w:rsidR="00651108" w:rsidRDefault="00651108" w:rsidP="00D9207E">
      <w:pPr>
        <w:spacing w:line="240" w:lineRule="auto"/>
      </w:pPr>
      <w:r>
        <w:continuationSeparator/>
      </w:r>
    </w:p>
  </w:endnote>
  <w:endnote w:type="continuationNotice" w:id="1">
    <w:p w14:paraId="2CEF539C" w14:textId="77777777" w:rsidR="00651108" w:rsidRDefault="006511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ova">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584478"/>
      <w:docPartObj>
        <w:docPartGallery w:val="Page Numbers (Bottom of Page)"/>
        <w:docPartUnique/>
      </w:docPartObj>
    </w:sdtPr>
    <w:sdtEndPr>
      <w:rPr>
        <w:noProof/>
      </w:rPr>
    </w:sdtEndPr>
    <w:sdtContent>
      <w:p w14:paraId="3F874E1B" w14:textId="6B948FE7" w:rsidR="0077548C" w:rsidRDefault="0077548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CFCA0D" w14:textId="77777777" w:rsidR="0077548C" w:rsidRDefault="007754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E2666" w14:textId="0DB88611" w:rsidR="00C26BBB" w:rsidRDefault="00C26BBB">
    <w:pPr>
      <w:pStyle w:val="Footer"/>
      <w:jc w:val="right"/>
    </w:pPr>
  </w:p>
  <w:p w14:paraId="0BF5893A" w14:textId="77777777" w:rsidR="00C26BBB" w:rsidRDefault="00C26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E2066" w14:textId="77777777" w:rsidR="00651108" w:rsidRDefault="00651108" w:rsidP="00D9207E">
      <w:pPr>
        <w:spacing w:line="240" w:lineRule="auto"/>
      </w:pPr>
      <w:r>
        <w:separator/>
      </w:r>
    </w:p>
  </w:footnote>
  <w:footnote w:type="continuationSeparator" w:id="0">
    <w:p w14:paraId="1304B7C4" w14:textId="77777777" w:rsidR="00651108" w:rsidRDefault="00651108" w:rsidP="00D9207E">
      <w:pPr>
        <w:spacing w:line="240" w:lineRule="auto"/>
      </w:pPr>
      <w:r>
        <w:continuationSeparator/>
      </w:r>
    </w:p>
  </w:footnote>
  <w:footnote w:type="continuationNotice" w:id="1">
    <w:p w14:paraId="2CD2C7E6" w14:textId="77777777" w:rsidR="00651108" w:rsidRDefault="00651108">
      <w:pPr>
        <w:spacing w:line="240" w:lineRule="auto"/>
      </w:pPr>
    </w:p>
  </w:footnote>
  <w:footnote w:id="2">
    <w:p w14:paraId="0C1B15E5" w14:textId="0F5178D4" w:rsidR="000827D4" w:rsidRPr="000827D4" w:rsidRDefault="000827D4">
      <w:pPr>
        <w:pStyle w:val="FootnoteText"/>
        <w:rPr>
          <w:lang w:val="en-US"/>
        </w:rPr>
      </w:pPr>
      <w:r w:rsidRPr="00E8329D">
        <w:rPr>
          <w:rStyle w:val="FootnoteReference"/>
        </w:rPr>
        <w:footnoteRef/>
      </w:r>
      <w:r w:rsidRPr="00E8329D">
        <w:rPr>
          <w:lang w:val="en-US"/>
        </w:rPr>
        <w:t xml:space="preserve"> 17-year-olds were able to participate without parental consent, if </w:t>
      </w:r>
      <w:r w:rsidR="00AC644E" w:rsidRPr="00E8329D">
        <w:rPr>
          <w:lang w:val="en-US"/>
        </w:rPr>
        <w:t>they were 1</w:t>
      </w:r>
      <w:r w:rsidR="00AC644E" w:rsidRPr="00E8329D">
        <w:rPr>
          <w:vertAlign w:val="superscript"/>
          <w:lang w:val="en-US"/>
        </w:rPr>
        <w:t>st</w:t>
      </w:r>
      <w:r w:rsidR="00AC644E" w:rsidRPr="00E8329D">
        <w:rPr>
          <w:lang w:val="en-US"/>
        </w:rPr>
        <w:t xml:space="preserve"> year bachelor students and if </w:t>
      </w:r>
      <w:r w:rsidRPr="00E8329D">
        <w:rPr>
          <w:lang w:val="en-US"/>
        </w:rPr>
        <w:t xml:space="preserve">participation in experimental research </w:t>
      </w:r>
      <w:r w:rsidR="00AC644E" w:rsidRPr="00E8329D">
        <w:rPr>
          <w:lang w:val="en-US"/>
        </w:rPr>
        <w:t>formed</w:t>
      </w:r>
      <w:r w:rsidRPr="00E8329D">
        <w:rPr>
          <w:lang w:val="en-US"/>
        </w:rPr>
        <w:t xml:space="preserve"> </w:t>
      </w:r>
      <w:r w:rsidR="001917DF" w:rsidRPr="00E8329D">
        <w:rPr>
          <w:lang w:val="en-US"/>
        </w:rPr>
        <w:t>a requirement</w:t>
      </w:r>
      <w:r w:rsidRPr="00E8329D">
        <w:rPr>
          <w:lang w:val="en-US"/>
        </w:rPr>
        <w:t xml:space="preserve"> in their course syllabus</w:t>
      </w:r>
      <w:r w:rsidR="00AC644E" w:rsidRPr="00E8329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1DD14" w14:textId="15C7291C" w:rsidR="007D7F27" w:rsidRPr="00B439E6" w:rsidRDefault="008C4398">
    <w:pPr>
      <w:pStyle w:val="Header"/>
      <w:rPr>
        <w:lang w:val="en-US"/>
      </w:rPr>
    </w:pPr>
    <w:proofErr w:type="spellStart"/>
    <w:r w:rsidRPr="008C4398">
      <w:rPr>
        <w:lang w:val="en-US"/>
      </w:rPr>
      <w:t>taVNS</w:t>
    </w:r>
    <w:proofErr w:type="spellEnd"/>
    <w:r w:rsidRPr="008C4398">
      <w:rPr>
        <w:lang w:val="en-US"/>
      </w:rPr>
      <w:t xml:space="preserve"> effects on processing of bodily sensations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2CCEF" w14:textId="5AAD5BFA" w:rsidR="007D7F27" w:rsidRPr="009B483A" w:rsidRDefault="009B483A">
    <w:pPr>
      <w:pStyle w:val="Header"/>
      <w:rPr>
        <w:lang w:val="en-US"/>
      </w:rPr>
    </w:pPr>
    <w:r>
      <w:rPr>
        <w:lang w:val="en-US"/>
      </w:rPr>
      <w:t xml:space="preserve">Running head: </w:t>
    </w:r>
    <w:proofErr w:type="spellStart"/>
    <w:r w:rsidR="008C4398" w:rsidRPr="008C4398">
      <w:rPr>
        <w:lang w:val="en-US"/>
      </w:rPr>
      <w:t>taVNS</w:t>
    </w:r>
    <w:proofErr w:type="spellEnd"/>
    <w:r w:rsidR="008C4398" w:rsidRPr="008C4398">
      <w:rPr>
        <w:lang w:val="en-US"/>
      </w:rPr>
      <w:t xml:space="preserve"> effects on processing of bodily sensations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810B7"/>
    <w:multiLevelType w:val="hybridMultilevel"/>
    <w:tmpl w:val="2AFC798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1A8D5602"/>
    <w:multiLevelType w:val="hybridMultilevel"/>
    <w:tmpl w:val="AB30E75C"/>
    <w:lvl w:ilvl="0" w:tplc="08130001">
      <w:start w:val="1"/>
      <w:numFmt w:val="bullet"/>
      <w:lvlText w:val=""/>
      <w:lvlJc w:val="left"/>
      <w:pPr>
        <w:ind w:left="1004" w:hanging="360"/>
      </w:pPr>
      <w:rPr>
        <w:rFonts w:ascii="Symbol" w:hAnsi="Symbol" w:hint="default"/>
      </w:rPr>
    </w:lvl>
    <w:lvl w:ilvl="1" w:tplc="08130003" w:tentative="1">
      <w:start w:val="1"/>
      <w:numFmt w:val="bullet"/>
      <w:lvlText w:val="o"/>
      <w:lvlJc w:val="left"/>
      <w:pPr>
        <w:ind w:left="1724" w:hanging="360"/>
      </w:pPr>
      <w:rPr>
        <w:rFonts w:ascii="Courier New" w:hAnsi="Courier New" w:cs="Courier New" w:hint="default"/>
      </w:rPr>
    </w:lvl>
    <w:lvl w:ilvl="2" w:tplc="08130005" w:tentative="1">
      <w:start w:val="1"/>
      <w:numFmt w:val="bullet"/>
      <w:lvlText w:val=""/>
      <w:lvlJc w:val="left"/>
      <w:pPr>
        <w:ind w:left="2444" w:hanging="360"/>
      </w:pPr>
      <w:rPr>
        <w:rFonts w:ascii="Wingdings" w:hAnsi="Wingdings" w:hint="default"/>
      </w:rPr>
    </w:lvl>
    <w:lvl w:ilvl="3" w:tplc="08130001" w:tentative="1">
      <w:start w:val="1"/>
      <w:numFmt w:val="bullet"/>
      <w:lvlText w:val=""/>
      <w:lvlJc w:val="left"/>
      <w:pPr>
        <w:ind w:left="3164" w:hanging="360"/>
      </w:pPr>
      <w:rPr>
        <w:rFonts w:ascii="Symbol" w:hAnsi="Symbol" w:hint="default"/>
      </w:rPr>
    </w:lvl>
    <w:lvl w:ilvl="4" w:tplc="08130003" w:tentative="1">
      <w:start w:val="1"/>
      <w:numFmt w:val="bullet"/>
      <w:lvlText w:val="o"/>
      <w:lvlJc w:val="left"/>
      <w:pPr>
        <w:ind w:left="3884" w:hanging="360"/>
      </w:pPr>
      <w:rPr>
        <w:rFonts w:ascii="Courier New" w:hAnsi="Courier New" w:cs="Courier New" w:hint="default"/>
      </w:rPr>
    </w:lvl>
    <w:lvl w:ilvl="5" w:tplc="08130005" w:tentative="1">
      <w:start w:val="1"/>
      <w:numFmt w:val="bullet"/>
      <w:lvlText w:val=""/>
      <w:lvlJc w:val="left"/>
      <w:pPr>
        <w:ind w:left="4604" w:hanging="360"/>
      </w:pPr>
      <w:rPr>
        <w:rFonts w:ascii="Wingdings" w:hAnsi="Wingdings" w:hint="default"/>
      </w:rPr>
    </w:lvl>
    <w:lvl w:ilvl="6" w:tplc="08130001" w:tentative="1">
      <w:start w:val="1"/>
      <w:numFmt w:val="bullet"/>
      <w:lvlText w:val=""/>
      <w:lvlJc w:val="left"/>
      <w:pPr>
        <w:ind w:left="5324" w:hanging="360"/>
      </w:pPr>
      <w:rPr>
        <w:rFonts w:ascii="Symbol" w:hAnsi="Symbol" w:hint="default"/>
      </w:rPr>
    </w:lvl>
    <w:lvl w:ilvl="7" w:tplc="08130003" w:tentative="1">
      <w:start w:val="1"/>
      <w:numFmt w:val="bullet"/>
      <w:lvlText w:val="o"/>
      <w:lvlJc w:val="left"/>
      <w:pPr>
        <w:ind w:left="6044" w:hanging="360"/>
      </w:pPr>
      <w:rPr>
        <w:rFonts w:ascii="Courier New" w:hAnsi="Courier New" w:cs="Courier New" w:hint="default"/>
      </w:rPr>
    </w:lvl>
    <w:lvl w:ilvl="8" w:tplc="08130005" w:tentative="1">
      <w:start w:val="1"/>
      <w:numFmt w:val="bullet"/>
      <w:lvlText w:val=""/>
      <w:lvlJc w:val="left"/>
      <w:pPr>
        <w:ind w:left="6764" w:hanging="360"/>
      </w:pPr>
      <w:rPr>
        <w:rFonts w:ascii="Wingdings" w:hAnsi="Wingdings" w:hint="default"/>
      </w:rPr>
    </w:lvl>
  </w:abstractNum>
  <w:abstractNum w:abstractNumId="2" w15:restartNumberingAfterBreak="0">
    <w:nsid w:val="2AEE35CE"/>
    <w:multiLevelType w:val="hybridMultilevel"/>
    <w:tmpl w:val="A002DDAE"/>
    <w:lvl w:ilvl="0" w:tplc="09DA5652">
      <w:start w:val="1"/>
      <w:numFmt w:val="decimal"/>
      <w:lvlText w:val="%1."/>
      <w:lvlJc w:val="left"/>
      <w:pPr>
        <w:ind w:left="1020" w:hanging="360"/>
      </w:pPr>
    </w:lvl>
    <w:lvl w:ilvl="1" w:tplc="FD706D46">
      <w:start w:val="1"/>
      <w:numFmt w:val="decimal"/>
      <w:lvlText w:val="%2."/>
      <w:lvlJc w:val="left"/>
      <w:pPr>
        <w:ind w:left="1020" w:hanging="360"/>
      </w:pPr>
    </w:lvl>
    <w:lvl w:ilvl="2" w:tplc="AB96256C">
      <w:start w:val="1"/>
      <w:numFmt w:val="decimal"/>
      <w:lvlText w:val="%3."/>
      <w:lvlJc w:val="left"/>
      <w:pPr>
        <w:ind w:left="1020" w:hanging="360"/>
      </w:pPr>
    </w:lvl>
    <w:lvl w:ilvl="3" w:tplc="22D466F4">
      <w:start w:val="1"/>
      <w:numFmt w:val="decimal"/>
      <w:lvlText w:val="%4."/>
      <w:lvlJc w:val="left"/>
      <w:pPr>
        <w:ind w:left="1020" w:hanging="360"/>
      </w:pPr>
    </w:lvl>
    <w:lvl w:ilvl="4" w:tplc="33FA78D2">
      <w:start w:val="1"/>
      <w:numFmt w:val="decimal"/>
      <w:lvlText w:val="%5."/>
      <w:lvlJc w:val="left"/>
      <w:pPr>
        <w:ind w:left="1020" w:hanging="360"/>
      </w:pPr>
    </w:lvl>
    <w:lvl w:ilvl="5" w:tplc="A0EA98E0">
      <w:start w:val="1"/>
      <w:numFmt w:val="decimal"/>
      <w:lvlText w:val="%6."/>
      <w:lvlJc w:val="left"/>
      <w:pPr>
        <w:ind w:left="1020" w:hanging="360"/>
      </w:pPr>
    </w:lvl>
    <w:lvl w:ilvl="6" w:tplc="56985CEA">
      <w:start w:val="1"/>
      <w:numFmt w:val="decimal"/>
      <w:lvlText w:val="%7."/>
      <w:lvlJc w:val="left"/>
      <w:pPr>
        <w:ind w:left="1020" w:hanging="360"/>
      </w:pPr>
    </w:lvl>
    <w:lvl w:ilvl="7" w:tplc="EF32027E">
      <w:start w:val="1"/>
      <w:numFmt w:val="decimal"/>
      <w:lvlText w:val="%8."/>
      <w:lvlJc w:val="left"/>
      <w:pPr>
        <w:ind w:left="1020" w:hanging="360"/>
      </w:pPr>
    </w:lvl>
    <w:lvl w:ilvl="8" w:tplc="F53813C8">
      <w:start w:val="1"/>
      <w:numFmt w:val="decimal"/>
      <w:lvlText w:val="%9."/>
      <w:lvlJc w:val="left"/>
      <w:pPr>
        <w:ind w:left="1020" w:hanging="360"/>
      </w:pPr>
    </w:lvl>
  </w:abstractNum>
  <w:abstractNum w:abstractNumId="3" w15:restartNumberingAfterBreak="0">
    <w:nsid w:val="31CB6F6F"/>
    <w:multiLevelType w:val="hybridMultilevel"/>
    <w:tmpl w:val="70DAD5E0"/>
    <w:lvl w:ilvl="0" w:tplc="08130001">
      <w:start w:val="1"/>
      <w:numFmt w:val="bullet"/>
      <w:lvlText w:val=""/>
      <w:lvlJc w:val="left"/>
      <w:pPr>
        <w:ind w:left="1004" w:hanging="360"/>
      </w:pPr>
      <w:rPr>
        <w:rFonts w:ascii="Symbol" w:hAnsi="Symbol" w:hint="default"/>
      </w:rPr>
    </w:lvl>
    <w:lvl w:ilvl="1" w:tplc="08130003" w:tentative="1">
      <w:start w:val="1"/>
      <w:numFmt w:val="bullet"/>
      <w:lvlText w:val="o"/>
      <w:lvlJc w:val="left"/>
      <w:pPr>
        <w:ind w:left="1724" w:hanging="360"/>
      </w:pPr>
      <w:rPr>
        <w:rFonts w:ascii="Courier New" w:hAnsi="Courier New" w:cs="Courier New" w:hint="default"/>
      </w:rPr>
    </w:lvl>
    <w:lvl w:ilvl="2" w:tplc="08130005" w:tentative="1">
      <w:start w:val="1"/>
      <w:numFmt w:val="bullet"/>
      <w:lvlText w:val=""/>
      <w:lvlJc w:val="left"/>
      <w:pPr>
        <w:ind w:left="2444" w:hanging="360"/>
      </w:pPr>
      <w:rPr>
        <w:rFonts w:ascii="Wingdings" w:hAnsi="Wingdings" w:hint="default"/>
      </w:rPr>
    </w:lvl>
    <w:lvl w:ilvl="3" w:tplc="08130001" w:tentative="1">
      <w:start w:val="1"/>
      <w:numFmt w:val="bullet"/>
      <w:lvlText w:val=""/>
      <w:lvlJc w:val="left"/>
      <w:pPr>
        <w:ind w:left="3164" w:hanging="360"/>
      </w:pPr>
      <w:rPr>
        <w:rFonts w:ascii="Symbol" w:hAnsi="Symbol" w:hint="default"/>
      </w:rPr>
    </w:lvl>
    <w:lvl w:ilvl="4" w:tplc="08130003" w:tentative="1">
      <w:start w:val="1"/>
      <w:numFmt w:val="bullet"/>
      <w:lvlText w:val="o"/>
      <w:lvlJc w:val="left"/>
      <w:pPr>
        <w:ind w:left="3884" w:hanging="360"/>
      </w:pPr>
      <w:rPr>
        <w:rFonts w:ascii="Courier New" w:hAnsi="Courier New" w:cs="Courier New" w:hint="default"/>
      </w:rPr>
    </w:lvl>
    <w:lvl w:ilvl="5" w:tplc="08130005" w:tentative="1">
      <w:start w:val="1"/>
      <w:numFmt w:val="bullet"/>
      <w:lvlText w:val=""/>
      <w:lvlJc w:val="left"/>
      <w:pPr>
        <w:ind w:left="4604" w:hanging="360"/>
      </w:pPr>
      <w:rPr>
        <w:rFonts w:ascii="Wingdings" w:hAnsi="Wingdings" w:hint="default"/>
      </w:rPr>
    </w:lvl>
    <w:lvl w:ilvl="6" w:tplc="08130001" w:tentative="1">
      <w:start w:val="1"/>
      <w:numFmt w:val="bullet"/>
      <w:lvlText w:val=""/>
      <w:lvlJc w:val="left"/>
      <w:pPr>
        <w:ind w:left="5324" w:hanging="360"/>
      </w:pPr>
      <w:rPr>
        <w:rFonts w:ascii="Symbol" w:hAnsi="Symbol" w:hint="default"/>
      </w:rPr>
    </w:lvl>
    <w:lvl w:ilvl="7" w:tplc="08130003" w:tentative="1">
      <w:start w:val="1"/>
      <w:numFmt w:val="bullet"/>
      <w:lvlText w:val="o"/>
      <w:lvlJc w:val="left"/>
      <w:pPr>
        <w:ind w:left="6044" w:hanging="360"/>
      </w:pPr>
      <w:rPr>
        <w:rFonts w:ascii="Courier New" w:hAnsi="Courier New" w:cs="Courier New" w:hint="default"/>
      </w:rPr>
    </w:lvl>
    <w:lvl w:ilvl="8" w:tplc="08130005" w:tentative="1">
      <w:start w:val="1"/>
      <w:numFmt w:val="bullet"/>
      <w:lvlText w:val=""/>
      <w:lvlJc w:val="left"/>
      <w:pPr>
        <w:ind w:left="6764" w:hanging="360"/>
      </w:pPr>
      <w:rPr>
        <w:rFonts w:ascii="Wingdings" w:hAnsi="Wingdings" w:hint="default"/>
      </w:rPr>
    </w:lvl>
  </w:abstractNum>
  <w:abstractNum w:abstractNumId="4" w15:restartNumberingAfterBreak="0">
    <w:nsid w:val="3DE00401"/>
    <w:multiLevelType w:val="hybridMultilevel"/>
    <w:tmpl w:val="B54A67B6"/>
    <w:lvl w:ilvl="0" w:tplc="215E95DA">
      <w:start w:val="1"/>
      <w:numFmt w:val="decimal"/>
      <w:lvlText w:val="%1."/>
      <w:lvlJc w:val="left"/>
      <w:pPr>
        <w:ind w:left="1020" w:hanging="360"/>
      </w:pPr>
    </w:lvl>
    <w:lvl w:ilvl="1" w:tplc="36942C44">
      <w:start w:val="1"/>
      <w:numFmt w:val="decimal"/>
      <w:lvlText w:val="%2."/>
      <w:lvlJc w:val="left"/>
      <w:pPr>
        <w:ind w:left="1020" w:hanging="360"/>
      </w:pPr>
    </w:lvl>
    <w:lvl w:ilvl="2" w:tplc="8348EFE8">
      <w:start w:val="1"/>
      <w:numFmt w:val="decimal"/>
      <w:lvlText w:val="%3."/>
      <w:lvlJc w:val="left"/>
      <w:pPr>
        <w:ind w:left="1020" w:hanging="360"/>
      </w:pPr>
    </w:lvl>
    <w:lvl w:ilvl="3" w:tplc="42D6965E">
      <w:start w:val="1"/>
      <w:numFmt w:val="decimal"/>
      <w:lvlText w:val="%4."/>
      <w:lvlJc w:val="left"/>
      <w:pPr>
        <w:ind w:left="1020" w:hanging="360"/>
      </w:pPr>
    </w:lvl>
    <w:lvl w:ilvl="4" w:tplc="01C0717A">
      <w:start w:val="1"/>
      <w:numFmt w:val="decimal"/>
      <w:lvlText w:val="%5."/>
      <w:lvlJc w:val="left"/>
      <w:pPr>
        <w:ind w:left="1020" w:hanging="360"/>
      </w:pPr>
    </w:lvl>
    <w:lvl w:ilvl="5" w:tplc="C220DF12">
      <w:start w:val="1"/>
      <w:numFmt w:val="decimal"/>
      <w:lvlText w:val="%6."/>
      <w:lvlJc w:val="left"/>
      <w:pPr>
        <w:ind w:left="1020" w:hanging="360"/>
      </w:pPr>
    </w:lvl>
    <w:lvl w:ilvl="6" w:tplc="2F0C25F6">
      <w:start w:val="1"/>
      <w:numFmt w:val="decimal"/>
      <w:lvlText w:val="%7."/>
      <w:lvlJc w:val="left"/>
      <w:pPr>
        <w:ind w:left="1020" w:hanging="360"/>
      </w:pPr>
    </w:lvl>
    <w:lvl w:ilvl="7" w:tplc="9FA63568">
      <w:start w:val="1"/>
      <w:numFmt w:val="decimal"/>
      <w:lvlText w:val="%8."/>
      <w:lvlJc w:val="left"/>
      <w:pPr>
        <w:ind w:left="1020" w:hanging="360"/>
      </w:pPr>
    </w:lvl>
    <w:lvl w:ilvl="8" w:tplc="544432A0">
      <w:start w:val="1"/>
      <w:numFmt w:val="decimal"/>
      <w:lvlText w:val="%9."/>
      <w:lvlJc w:val="left"/>
      <w:pPr>
        <w:ind w:left="1020" w:hanging="360"/>
      </w:pPr>
    </w:lvl>
  </w:abstractNum>
  <w:abstractNum w:abstractNumId="5" w15:restartNumberingAfterBreak="0">
    <w:nsid w:val="40B34687"/>
    <w:multiLevelType w:val="hybridMultilevel"/>
    <w:tmpl w:val="D928891A"/>
    <w:lvl w:ilvl="0" w:tplc="55E83BF2">
      <w:start w:val="1"/>
      <w:numFmt w:val="decimal"/>
      <w:lvlText w:val="%1."/>
      <w:lvlJc w:val="left"/>
      <w:pPr>
        <w:ind w:left="1020" w:hanging="360"/>
      </w:pPr>
    </w:lvl>
    <w:lvl w:ilvl="1" w:tplc="38B85240">
      <w:start w:val="1"/>
      <w:numFmt w:val="decimal"/>
      <w:lvlText w:val="%2."/>
      <w:lvlJc w:val="left"/>
      <w:pPr>
        <w:ind w:left="1020" w:hanging="360"/>
      </w:pPr>
    </w:lvl>
    <w:lvl w:ilvl="2" w:tplc="EF86A3DE">
      <w:start w:val="1"/>
      <w:numFmt w:val="decimal"/>
      <w:lvlText w:val="%3."/>
      <w:lvlJc w:val="left"/>
      <w:pPr>
        <w:ind w:left="1020" w:hanging="360"/>
      </w:pPr>
    </w:lvl>
    <w:lvl w:ilvl="3" w:tplc="FF7CCCAA">
      <w:start w:val="1"/>
      <w:numFmt w:val="decimal"/>
      <w:lvlText w:val="%4."/>
      <w:lvlJc w:val="left"/>
      <w:pPr>
        <w:ind w:left="1020" w:hanging="360"/>
      </w:pPr>
    </w:lvl>
    <w:lvl w:ilvl="4" w:tplc="3224DFBC">
      <w:start w:val="1"/>
      <w:numFmt w:val="decimal"/>
      <w:lvlText w:val="%5."/>
      <w:lvlJc w:val="left"/>
      <w:pPr>
        <w:ind w:left="1020" w:hanging="360"/>
      </w:pPr>
    </w:lvl>
    <w:lvl w:ilvl="5" w:tplc="C7F47A48">
      <w:start w:val="1"/>
      <w:numFmt w:val="decimal"/>
      <w:lvlText w:val="%6."/>
      <w:lvlJc w:val="left"/>
      <w:pPr>
        <w:ind w:left="1020" w:hanging="360"/>
      </w:pPr>
    </w:lvl>
    <w:lvl w:ilvl="6" w:tplc="7ECAA692">
      <w:start w:val="1"/>
      <w:numFmt w:val="decimal"/>
      <w:lvlText w:val="%7."/>
      <w:lvlJc w:val="left"/>
      <w:pPr>
        <w:ind w:left="1020" w:hanging="360"/>
      </w:pPr>
    </w:lvl>
    <w:lvl w:ilvl="7" w:tplc="B4F6D0BE">
      <w:start w:val="1"/>
      <w:numFmt w:val="decimal"/>
      <w:lvlText w:val="%8."/>
      <w:lvlJc w:val="left"/>
      <w:pPr>
        <w:ind w:left="1020" w:hanging="360"/>
      </w:pPr>
    </w:lvl>
    <w:lvl w:ilvl="8" w:tplc="C4406E42">
      <w:start w:val="1"/>
      <w:numFmt w:val="decimal"/>
      <w:lvlText w:val="%9."/>
      <w:lvlJc w:val="left"/>
      <w:pPr>
        <w:ind w:left="1020" w:hanging="360"/>
      </w:pPr>
    </w:lvl>
  </w:abstractNum>
  <w:abstractNum w:abstractNumId="6" w15:restartNumberingAfterBreak="0">
    <w:nsid w:val="43903A75"/>
    <w:multiLevelType w:val="hybridMultilevel"/>
    <w:tmpl w:val="DA12706A"/>
    <w:lvl w:ilvl="0" w:tplc="31D8BB36">
      <w:start w:val="1"/>
      <w:numFmt w:val="decimal"/>
      <w:lvlText w:val="%1."/>
      <w:lvlJc w:val="left"/>
      <w:pPr>
        <w:ind w:left="1020" w:hanging="360"/>
      </w:pPr>
    </w:lvl>
    <w:lvl w:ilvl="1" w:tplc="84C8730A">
      <w:start w:val="1"/>
      <w:numFmt w:val="decimal"/>
      <w:lvlText w:val="%2."/>
      <w:lvlJc w:val="left"/>
      <w:pPr>
        <w:ind w:left="1020" w:hanging="360"/>
      </w:pPr>
    </w:lvl>
    <w:lvl w:ilvl="2" w:tplc="A140B108">
      <w:start w:val="1"/>
      <w:numFmt w:val="decimal"/>
      <w:lvlText w:val="%3."/>
      <w:lvlJc w:val="left"/>
      <w:pPr>
        <w:ind w:left="1020" w:hanging="360"/>
      </w:pPr>
    </w:lvl>
    <w:lvl w:ilvl="3" w:tplc="02CA6F56">
      <w:start w:val="1"/>
      <w:numFmt w:val="decimal"/>
      <w:lvlText w:val="%4."/>
      <w:lvlJc w:val="left"/>
      <w:pPr>
        <w:ind w:left="1020" w:hanging="360"/>
      </w:pPr>
    </w:lvl>
    <w:lvl w:ilvl="4" w:tplc="B77A5D54">
      <w:start w:val="1"/>
      <w:numFmt w:val="decimal"/>
      <w:lvlText w:val="%5."/>
      <w:lvlJc w:val="left"/>
      <w:pPr>
        <w:ind w:left="1020" w:hanging="360"/>
      </w:pPr>
    </w:lvl>
    <w:lvl w:ilvl="5" w:tplc="E3561D38">
      <w:start w:val="1"/>
      <w:numFmt w:val="decimal"/>
      <w:lvlText w:val="%6."/>
      <w:lvlJc w:val="left"/>
      <w:pPr>
        <w:ind w:left="1020" w:hanging="360"/>
      </w:pPr>
    </w:lvl>
    <w:lvl w:ilvl="6" w:tplc="65FCE1C8">
      <w:start w:val="1"/>
      <w:numFmt w:val="decimal"/>
      <w:lvlText w:val="%7."/>
      <w:lvlJc w:val="left"/>
      <w:pPr>
        <w:ind w:left="1020" w:hanging="360"/>
      </w:pPr>
    </w:lvl>
    <w:lvl w:ilvl="7" w:tplc="510EFE2A">
      <w:start w:val="1"/>
      <w:numFmt w:val="decimal"/>
      <w:lvlText w:val="%8."/>
      <w:lvlJc w:val="left"/>
      <w:pPr>
        <w:ind w:left="1020" w:hanging="360"/>
      </w:pPr>
    </w:lvl>
    <w:lvl w:ilvl="8" w:tplc="5718AAF2">
      <w:start w:val="1"/>
      <w:numFmt w:val="decimal"/>
      <w:lvlText w:val="%9."/>
      <w:lvlJc w:val="left"/>
      <w:pPr>
        <w:ind w:left="1020" w:hanging="360"/>
      </w:pPr>
    </w:lvl>
  </w:abstractNum>
  <w:abstractNum w:abstractNumId="7" w15:restartNumberingAfterBreak="0">
    <w:nsid w:val="493C3A0C"/>
    <w:multiLevelType w:val="multilevel"/>
    <w:tmpl w:val="2A708DA6"/>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36A57A2"/>
    <w:multiLevelType w:val="hybridMultilevel"/>
    <w:tmpl w:val="5CAEEED4"/>
    <w:lvl w:ilvl="0" w:tplc="E3F85D92">
      <w:start w:val="1"/>
      <w:numFmt w:val="decimal"/>
      <w:lvlText w:val="%1."/>
      <w:lvlJc w:val="left"/>
      <w:pPr>
        <w:ind w:left="1020" w:hanging="360"/>
      </w:pPr>
    </w:lvl>
    <w:lvl w:ilvl="1" w:tplc="21FE9108">
      <w:start w:val="1"/>
      <w:numFmt w:val="decimal"/>
      <w:lvlText w:val="%2."/>
      <w:lvlJc w:val="left"/>
      <w:pPr>
        <w:ind w:left="1020" w:hanging="360"/>
      </w:pPr>
    </w:lvl>
    <w:lvl w:ilvl="2" w:tplc="5EFEA244">
      <w:start w:val="1"/>
      <w:numFmt w:val="decimal"/>
      <w:lvlText w:val="%3."/>
      <w:lvlJc w:val="left"/>
      <w:pPr>
        <w:ind w:left="1020" w:hanging="360"/>
      </w:pPr>
    </w:lvl>
    <w:lvl w:ilvl="3" w:tplc="AC606D5E">
      <w:start w:val="1"/>
      <w:numFmt w:val="decimal"/>
      <w:lvlText w:val="%4."/>
      <w:lvlJc w:val="left"/>
      <w:pPr>
        <w:ind w:left="1020" w:hanging="360"/>
      </w:pPr>
    </w:lvl>
    <w:lvl w:ilvl="4" w:tplc="504270A0">
      <w:start w:val="1"/>
      <w:numFmt w:val="decimal"/>
      <w:lvlText w:val="%5."/>
      <w:lvlJc w:val="left"/>
      <w:pPr>
        <w:ind w:left="1020" w:hanging="360"/>
      </w:pPr>
    </w:lvl>
    <w:lvl w:ilvl="5" w:tplc="1EFAD33E">
      <w:start w:val="1"/>
      <w:numFmt w:val="decimal"/>
      <w:lvlText w:val="%6."/>
      <w:lvlJc w:val="left"/>
      <w:pPr>
        <w:ind w:left="1020" w:hanging="360"/>
      </w:pPr>
    </w:lvl>
    <w:lvl w:ilvl="6" w:tplc="98823C1A">
      <w:start w:val="1"/>
      <w:numFmt w:val="decimal"/>
      <w:lvlText w:val="%7."/>
      <w:lvlJc w:val="left"/>
      <w:pPr>
        <w:ind w:left="1020" w:hanging="360"/>
      </w:pPr>
    </w:lvl>
    <w:lvl w:ilvl="7" w:tplc="3B825464">
      <w:start w:val="1"/>
      <w:numFmt w:val="decimal"/>
      <w:lvlText w:val="%8."/>
      <w:lvlJc w:val="left"/>
      <w:pPr>
        <w:ind w:left="1020" w:hanging="360"/>
      </w:pPr>
    </w:lvl>
    <w:lvl w:ilvl="8" w:tplc="103045CC">
      <w:start w:val="1"/>
      <w:numFmt w:val="decimal"/>
      <w:lvlText w:val="%9."/>
      <w:lvlJc w:val="left"/>
      <w:pPr>
        <w:ind w:left="1020" w:hanging="360"/>
      </w:pPr>
    </w:lvl>
  </w:abstractNum>
  <w:abstractNum w:abstractNumId="9" w15:restartNumberingAfterBreak="0">
    <w:nsid w:val="58046678"/>
    <w:multiLevelType w:val="hybridMultilevel"/>
    <w:tmpl w:val="B98CAC62"/>
    <w:lvl w:ilvl="0" w:tplc="BDE8F34E">
      <w:start w:val="1"/>
      <w:numFmt w:val="decimal"/>
      <w:lvlText w:val="%1."/>
      <w:lvlJc w:val="left"/>
      <w:pPr>
        <w:ind w:left="1020" w:hanging="360"/>
      </w:pPr>
    </w:lvl>
    <w:lvl w:ilvl="1" w:tplc="96663270">
      <w:start w:val="1"/>
      <w:numFmt w:val="decimal"/>
      <w:lvlText w:val="%2."/>
      <w:lvlJc w:val="left"/>
      <w:pPr>
        <w:ind w:left="1020" w:hanging="360"/>
      </w:pPr>
    </w:lvl>
    <w:lvl w:ilvl="2" w:tplc="82580494">
      <w:start w:val="1"/>
      <w:numFmt w:val="decimal"/>
      <w:lvlText w:val="%3."/>
      <w:lvlJc w:val="left"/>
      <w:pPr>
        <w:ind w:left="1020" w:hanging="360"/>
      </w:pPr>
    </w:lvl>
    <w:lvl w:ilvl="3" w:tplc="1C5689D6">
      <w:start w:val="1"/>
      <w:numFmt w:val="decimal"/>
      <w:lvlText w:val="%4."/>
      <w:lvlJc w:val="left"/>
      <w:pPr>
        <w:ind w:left="1020" w:hanging="360"/>
      </w:pPr>
    </w:lvl>
    <w:lvl w:ilvl="4" w:tplc="4C108310">
      <w:start w:val="1"/>
      <w:numFmt w:val="decimal"/>
      <w:lvlText w:val="%5."/>
      <w:lvlJc w:val="left"/>
      <w:pPr>
        <w:ind w:left="1020" w:hanging="360"/>
      </w:pPr>
    </w:lvl>
    <w:lvl w:ilvl="5" w:tplc="795AF8AC">
      <w:start w:val="1"/>
      <w:numFmt w:val="decimal"/>
      <w:lvlText w:val="%6."/>
      <w:lvlJc w:val="left"/>
      <w:pPr>
        <w:ind w:left="1020" w:hanging="360"/>
      </w:pPr>
    </w:lvl>
    <w:lvl w:ilvl="6" w:tplc="98824A80">
      <w:start w:val="1"/>
      <w:numFmt w:val="decimal"/>
      <w:lvlText w:val="%7."/>
      <w:lvlJc w:val="left"/>
      <w:pPr>
        <w:ind w:left="1020" w:hanging="360"/>
      </w:pPr>
    </w:lvl>
    <w:lvl w:ilvl="7" w:tplc="6E841D1C">
      <w:start w:val="1"/>
      <w:numFmt w:val="decimal"/>
      <w:lvlText w:val="%8."/>
      <w:lvlJc w:val="left"/>
      <w:pPr>
        <w:ind w:left="1020" w:hanging="360"/>
      </w:pPr>
    </w:lvl>
    <w:lvl w:ilvl="8" w:tplc="3A7AAC16">
      <w:start w:val="1"/>
      <w:numFmt w:val="decimal"/>
      <w:lvlText w:val="%9."/>
      <w:lvlJc w:val="left"/>
      <w:pPr>
        <w:ind w:left="1020" w:hanging="360"/>
      </w:pPr>
    </w:lvl>
  </w:abstractNum>
  <w:abstractNum w:abstractNumId="10" w15:restartNumberingAfterBreak="0">
    <w:nsid w:val="5EB16E6B"/>
    <w:multiLevelType w:val="hybridMultilevel"/>
    <w:tmpl w:val="7B1AF6F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62C91797"/>
    <w:multiLevelType w:val="hybridMultilevel"/>
    <w:tmpl w:val="56CE9508"/>
    <w:lvl w:ilvl="0" w:tplc="08130001">
      <w:start w:val="1"/>
      <w:numFmt w:val="bullet"/>
      <w:lvlText w:val=""/>
      <w:lvlJc w:val="left"/>
      <w:pPr>
        <w:ind w:left="1004" w:hanging="360"/>
      </w:pPr>
      <w:rPr>
        <w:rFonts w:ascii="Symbol" w:hAnsi="Symbol" w:hint="default"/>
      </w:rPr>
    </w:lvl>
    <w:lvl w:ilvl="1" w:tplc="08130003" w:tentative="1">
      <w:start w:val="1"/>
      <w:numFmt w:val="bullet"/>
      <w:lvlText w:val="o"/>
      <w:lvlJc w:val="left"/>
      <w:pPr>
        <w:ind w:left="1724" w:hanging="360"/>
      </w:pPr>
      <w:rPr>
        <w:rFonts w:ascii="Courier New" w:hAnsi="Courier New" w:cs="Courier New" w:hint="default"/>
      </w:rPr>
    </w:lvl>
    <w:lvl w:ilvl="2" w:tplc="08130005" w:tentative="1">
      <w:start w:val="1"/>
      <w:numFmt w:val="bullet"/>
      <w:lvlText w:val=""/>
      <w:lvlJc w:val="left"/>
      <w:pPr>
        <w:ind w:left="2444" w:hanging="360"/>
      </w:pPr>
      <w:rPr>
        <w:rFonts w:ascii="Wingdings" w:hAnsi="Wingdings" w:hint="default"/>
      </w:rPr>
    </w:lvl>
    <w:lvl w:ilvl="3" w:tplc="08130001" w:tentative="1">
      <w:start w:val="1"/>
      <w:numFmt w:val="bullet"/>
      <w:lvlText w:val=""/>
      <w:lvlJc w:val="left"/>
      <w:pPr>
        <w:ind w:left="3164" w:hanging="360"/>
      </w:pPr>
      <w:rPr>
        <w:rFonts w:ascii="Symbol" w:hAnsi="Symbol" w:hint="default"/>
      </w:rPr>
    </w:lvl>
    <w:lvl w:ilvl="4" w:tplc="08130003" w:tentative="1">
      <w:start w:val="1"/>
      <w:numFmt w:val="bullet"/>
      <w:lvlText w:val="o"/>
      <w:lvlJc w:val="left"/>
      <w:pPr>
        <w:ind w:left="3884" w:hanging="360"/>
      </w:pPr>
      <w:rPr>
        <w:rFonts w:ascii="Courier New" w:hAnsi="Courier New" w:cs="Courier New" w:hint="default"/>
      </w:rPr>
    </w:lvl>
    <w:lvl w:ilvl="5" w:tplc="08130005" w:tentative="1">
      <w:start w:val="1"/>
      <w:numFmt w:val="bullet"/>
      <w:lvlText w:val=""/>
      <w:lvlJc w:val="left"/>
      <w:pPr>
        <w:ind w:left="4604" w:hanging="360"/>
      </w:pPr>
      <w:rPr>
        <w:rFonts w:ascii="Wingdings" w:hAnsi="Wingdings" w:hint="default"/>
      </w:rPr>
    </w:lvl>
    <w:lvl w:ilvl="6" w:tplc="08130001" w:tentative="1">
      <w:start w:val="1"/>
      <w:numFmt w:val="bullet"/>
      <w:lvlText w:val=""/>
      <w:lvlJc w:val="left"/>
      <w:pPr>
        <w:ind w:left="5324" w:hanging="360"/>
      </w:pPr>
      <w:rPr>
        <w:rFonts w:ascii="Symbol" w:hAnsi="Symbol" w:hint="default"/>
      </w:rPr>
    </w:lvl>
    <w:lvl w:ilvl="7" w:tplc="08130003" w:tentative="1">
      <w:start w:val="1"/>
      <w:numFmt w:val="bullet"/>
      <w:lvlText w:val="o"/>
      <w:lvlJc w:val="left"/>
      <w:pPr>
        <w:ind w:left="6044" w:hanging="360"/>
      </w:pPr>
      <w:rPr>
        <w:rFonts w:ascii="Courier New" w:hAnsi="Courier New" w:cs="Courier New" w:hint="default"/>
      </w:rPr>
    </w:lvl>
    <w:lvl w:ilvl="8" w:tplc="08130005" w:tentative="1">
      <w:start w:val="1"/>
      <w:numFmt w:val="bullet"/>
      <w:lvlText w:val=""/>
      <w:lvlJc w:val="left"/>
      <w:pPr>
        <w:ind w:left="6764" w:hanging="360"/>
      </w:pPr>
      <w:rPr>
        <w:rFonts w:ascii="Wingdings" w:hAnsi="Wingdings" w:hint="default"/>
      </w:rPr>
    </w:lvl>
  </w:abstractNum>
  <w:abstractNum w:abstractNumId="12" w15:restartNumberingAfterBreak="0">
    <w:nsid w:val="6A7D01C2"/>
    <w:multiLevelType w:val="hybridMultilevel"/>
    <w:tmpl w:val="558A0D54"/>
    <w:lvl w:ilvl="0" w:tplc="98D8425C">
      <w:start w:val="1"/>
      <w:numFmt w:val="decimal"/>
      <w:lvlText w:val="%1."/>
      <w:lvlJc w:val="left"/>
      <w:pPr>
        <w:ind w:left="1020" w:hanging="360"/>
      </w:pPr>
    </w:lvl>
    <w:lvl w:ilvl="1" w:tplc="0FAA688A">
      <w:start w:val="1"/>
      <w:numFmt w:val="decimal"/>
      <w:lvlText w:val="%2."/>
      <w:lvlJc w:val="left"/>
      <w:pPr>
        <w:ind w:left="1020" w:hanging="360"/>
      </w:pPr>
    </w:lvl>
    <w:lvl w:ilvl="2" w:tplc="11DA3876">
      <w:start w:val="1"/>
      <w:numFmt w:val="decimal"/>
      <w:lvlText w:val="%3."/>
      <w:lvlJc w:val="left"/>
      <w:pPr>
        <w:ind w:left="1020" w:hanging="360"/>
      </w:pPr>
    </w:lvl>
    <w:lvl w:ilvl="3" w:tplc="94AAEC2A">
      <w:start w:val="1"/>
      <w:numFmt w:val="decimal"/>
      <w:lvlText w:val="%4."/>
      <w:lvlJc w:val="left"/>
      <w:pPr>
        <w:ind w:left="1020" w:hanging="360"/>
      </w:pPr>
    </w:lvl>
    <w:lvl w:ilvl="4" w:tplc="CBF89FE8">
      <w:start w:val="1"/>
      <w:numFmt w:val="decimal"/>
      <w:lvlText w:val="%5."/>
      <w:lvlJc w:val="left"/>
      <w:pPr>
        <w:ind w:left="1020" w:hanging="360"/>
      </w:pPr>
    </w:lvl>
    <w:lvl w:ilvl="5" w:tplc="28B897F0">
      <w:start w:val="1"/>
      <w:numFmt w:val="decimal"/>
      <w:lvlText w:val="%6."/>
      <w:lvlJc w:val="left"/>
      <w:pPr>
        <w:ind w:left="1020" w:hanging="360"/>
      </w:pPr>
    </w:lvl>
    <w:lvl w:ilvl="6" w:tplc="3D508666">
      <w:start w:val="1"/>
      <w:numFmt w:val="decimal"/>
      <w:lvlText w:val="%7."/>
      <w:lvlJc w:val="left"/>
      <w:pPr>
        <w:ind w:left="1020" w:hanging="360"/>
      </w:pPr>
    </w:lvl>
    <w:lvl w:ilvl="7" w:tplc="89CA7DBA">
      <w:start w:val="1"/>
      <w:numFmt w:val="decimal"/>
      <w:lvlText w:val="%8."/>
      <w:lvlJc w:val="left"/>
      <w:pPr>
        <w:ind w:left="1020" w:hanging="360"/>
      </w:pPr>
    </w:lvl>
    <w:lvl w:ilvl="8" w:tplc="B6F432F2">
      <w:start w:val="1"/>
      <w:numFmt w:val="decimal"/>
      <w:lvlText w:val="%9."/>
      <w:lvlJc w:val="left"/>
      <w:pPr>
        <w:ind w:left="1020" w:hanging="360"/>
      </w:pPr>
    </w:lvl>
  </w:abstractNum>
  <w:abstractNum w:abstractNumId="13" w15:restartNumberingAfterBreak="0">
    <w:nsid w:val="6CFF5143"/>
    <w:multiLevelType w:val="hybridMultilevel"/>
    <w:tmpl w:val="95602A22"/>
    <w:lvl w:ilvl="0" w:tplc="BA48FE46">
      <w:start w:val="1"/>
      <w:numFmt w:val="decimal"/>
      <w:lvlText w:val="%1."/>
      <w:lvlJc w:val="left"/>
      <w:pPr>
        <w:ind w:left="1020" w:hanging="360"/>
      </w:pPr>
    </w:lvl>
    <w:lvl w:ilvl="1" w:tplc="6912768A">
      <w:start w:val="1"/>
      <w:numFmt w:val="decimal"/>
      <w:lvlText w:val="%2."/>
      <w:lvlJc w:val="left"/>
      <w:pPr>
        <w:ind w:left="1020" w:hanging="360"/>
      </w:pPr>
    </w:lvl>
    <w:lvl w:ilvl="2" w:tplc="1FB02B3C">
      <w:start w:val="1"/>
      <w:numFmt w:val="decimal"/>
      <w:lvlText w:val="%3."/>
      <w:lvlJc w:val="left"/>
      <w:pPr>
        <w:ind w:left="1020" w:hanging="360"/>
      </w:pPr>
    </w:lvl>
    <w:lvl w:ilvl="3" w:tplc="FBC44A4E">
      <w:start w:val="1"/>
      <w:numFmt w:val="decimal"/>
      <w:lvlText w:val="%4."/>
      <w:lvlJc w:val="left"/>
      <w:pPr>
        <w:ind w:left="1020" w:hanging="360"/>
      </w:pPr>
    </w:lvl>
    <w:lvl w:ilvl="4" w:tplc="05308352">
      <w:start w:val="1"/>
      <w:numFmt w:val="decimal"/>
      <w:lvlText w:val="%5."/>
      <w:lvlJc w:val="left"/>
      <w:pPr>
        <w:ind w:left="1020" w:hanging="360"/>
      </w:pPr>
    </w:lvl>
    <w:lvl w:ilvl="5" w:tplc="6A9662C2">
      <w:start w:val="1"/>
      <w:numFmt w:val="decimal"/>
      <w:lvlText w:val="%6."/>
      <w:lvlJc w:val="left"/>
      <w:pPr>
        <w:ind w:left="1020" w:hanging="360"/>
      </w:pPr>
    </w:lvl>
    <w:lvl w:ilvl="6" w:tplc="44E0D2F6">
      <w:start w:val="1"/>
      <w:numFmt w:val="decimal"/>
      <w:lvlText w:val="%7."/>
      <w:lvlJc w:val="left"/>
      <w:pPr>
        <w:ind w:left="1020" w:hanging="360"/>
      </w:pPr>
    </w:lvl>
    <w:lvl w:ilvl="7" w:tplc="C0F28152">
      <w:start w:val="1"/>
      <w:numFmt w:val="decimal"/>
      <w:lvlText w:val="%8."/>
      <w:lvlJc w:val="left"/>
      <w:pPr>
        <w:ind w:left="1020" w:hanging="360"/>
      </w:pPr>
    </w:lvl>
    <w:lvl w:ilvl="8" w:tplc="9924846C">
      <w:start w:val="1"/>
      <w:numFmt w:val="decimal"/>
      <w:lvlText w:val="%9."/>
      <w:lvlJc w:val="left"/>
      <w:pPr>
        <w:ind w:left="1020" w:hanging="360"/>
      </w:pPr>
    </w:lvl>
  </w:abstractNum>
  <w:abstractNum w:abstractNumId="14" w15:restartNumberingAfterBreak="0">
    <w:nsid w:val="6DCA3B55"/>
    <w:multiLevelType w:val="hybridMultilevel"/>
    <w:tmpl w:val="C00ABE18"/>
    <w:lvl w:ilvl="0" w:tplc="41888AB6">
      <w:start w:val="1"/>
      <w:numFmt w:val="decimal"/>
      <w:lvlText w:val="%1."/>
      <w:lvlJc w:val="left"/>
      <w:pPr>
        <w:ind w:left="1020" w:hanging="360"/>
      </w:pPr>
    </w:lvl>
    <w:lvl w:ilvl="1" w:tplc="D3D2D3F0">
      <w:start w:val="1"/>
      <w:numFmt w:val="decimal"/>
      <w:lvlText w:val="%2."/>
      <w:lvlJc w:val="left"/>
      <w:pPr>
        <w:ind w:left="1020" w:hanging="360"/>
      </w:pPr>
    </w:lvl>
    <w:lvl w:ilvl="2" w:tplc="57A4938A">
      <w:start w:val="1"/>
      <w:numFmt w:val="decimal"/>
      <w:lvlText w:val="%3."/>
      <w:lvlJc w:val="left"/>
      <w:pPr>
        <w:ind w:left="1020" w:hanging="360"/>
      </w:pPr>
    </w:lvl>
    <w:lvl w:ilvl="3" w:tplc="A36874C2">
      <w:start w:val="1"/>
      <w:numFmt w:val="decimal"/>
      <w:lvlText w:val="%4."/>
      <w:lvlJc w:val="left"/>
      <w:pPr>
        <w:ind w:left="1020" w:hanging="360"/>
      </w:pPr>
    </w:lvl>
    <w:lvl w:ilvl="4" w:tplc="B6D6AF74">
      <w:start w:val="1"/>
      <w:numFmt w:val="decimal"/>
      <w:lvlText w:val="%5."/>
      <w:lvlJc w:val="left"/>
      <w:pPr>
        <w:ind w:left="1020" w:hanging="360"/>
      </w:pPr>
    </w:lvl>
    <w:lvl w:ilvl="5" w:tplc="A7A043B4">
      <w:start w:val="1"/>
      <w:numFmt w:val="decimal"/>
      <w:lvlText w:val="%6."/>
      <w:lvlJc w:val="left"/>
      <w:pPr>
        <w:ind w:left="1020" w:hanging="360"/>
      </w:pPr>
    </w:lvl>
    <w:lvl w:ilvl="6" w:tplc="BB8204D0">
      <w:start w:val="1"/>
      <w:numFmt w:val="decimal"/>
      <w:lvlText w:val="%7."/>
      <w:lvlJc w:val="left"/>
      <w:pPr>
        <w:ind w:left="1020" w:hanging="360"/>
      </w:pPr>
    </w:lvl>
    <w:lvl w:ilvl="7" w:tplc="FBE06012">
      <w:start w:val="1"/>
      <w:numFmt w:val="decimal"/>
      <w:lvlText w:val="%8."/>
      <w:lvlJc w:val="left"/>
      <w:pPr>
        <w:ind w:left="1020" w:hanging="360"/>
      </w:pPr>
    </w:lvl>
    <w:lvl w:ilvl="8" w:tplc="0D40BE7E">
      <w:start w:val="1"/>
      <w:numFmt w:val="decimal"/>
      <w:lvlText w:val="%9."/>
      <w:lvlJc w:val="left"/>
      <w:pPr>
        <w:ind w:left="1020" w:hanging="360"/>
      </w:pPr>
    </w:lvl>
  </w:abstractNum>
  <w:abstractNum w:abstractNumId="15" w15:restartNumberingAfterBreak="0">
    <w:nsid w:val="72667352"/>
    <w:multiLevelType w:val="hybridMultilevel"/>
    <w:tmpl w:val="D8CCC87C"/>
    <w:lvl w:ilvl="0" w:tplc="0813000F">
      <w:start w:val="1"/>
      <w:numFmt w:val="decimal"/>
      <w:lvlText w:val="%1."/>
      <w:lvlJc w:val="left"/>
      <w:pPr>
        <w:ind w:left="1004" w:hanging="360"/>
      </w:pPr>
    </w:lvl>
    <w:lvl w:ilvl="1" w:tplc="08130019" w:tentative="1">
      <w:start w:val="1"/>
      <w:numFmt w:val="lowerLetter"/>
      <w:lvlText w:val="%2."/>
      <w:lvlJc w:val="left"/>
      <w:pPr>
        <w:ind w:left="1724" w:hanging="360"/>
      </w:pPr>
    </w:lvl>
    <w:lvl w:ilvl="2" w:tplc="0813001B" w:tentative="1">
      <w:start w:val="1"/>
      <w:numFmt w:val="lowerRoman"/>
      <w:lvlText w:val="%3."/>
      <w:lvlJc w:val="right"/>
      <w:pPr>
        <w:ind w:left="2444" w:hanging="180"/>
      </w:pPr>
    </w:lvl>
    <w:lvl w:ilvl="3" w:tplc="0813000F" w:tentative="1">
      <w:start w:val="1"/>
      <w:numFmt w:val="decimal"/>
      <w:lvlText w:val="%4."/>
      <w:lvlJc w:val="left"/>
      <w:pPr>
        <w:ind w:left="3164" w:hanging="360"/>
      </w:pPr>
    </w:lvl>
    <w:lvl w:ilvl="4" w:tplc="08130019" w:tentative="1">
      <w:start w:val="1"/>
      <w:numFmt w:val="lowerLetter"/>
      <w:lvlText w:val="%5."/>
      <w:lvlJc w:val="left"/>
      <w:pPr>
        <w:ind w:left="3884" w:hanging="360"/>
      </w:pPr>
    </w:lvl>
    <w:lvl w:ilvl="5" w:tplc="0813001B" w:tentative="1">
      <w:start w:val="1"/>
      <w:numFmt w:val="lowerRoman"/>
      <w:lvlText w:val="%6."/>
      <w:lvlJc w:val="right"/>
      <w:pPr>
        <w:ind w:left="4604" w:hanging="180"/>
      </w:pPr>
    </w:lvl>
    <w:lvl w:ilvl="6" w:tplc="0813000F" w:tentative="1">
      <w:start w:val="1"/>
      <w:numFmt w:val="decimal"/>
      <w:lvlText w:val="%7."/>
      <w:lvlJc w:val="left"/>
      <w:pPr>
        <w:ind w:left="5324" w:hanging="360"/>
      </w:pPr>
    </w:lvl>
    <w:lvl w:ilvl="7" w:tplc="08130019" w:tentative="1">
      <w:start w:val="1"/>
      <w:numFmt w:val="lowerLetter"/>
      <w:lvlText w:val="%8."/>
      <w:lvlJc w:val="left"/>
      <w:pPr>
        <w:ind w:left="6044" w:hanging="360"/>
      </w:pPr>
    </w:lvl>
    <w:lvl w:ilvl="8" w:tplc="0813001B" w:tentative="1">
      <w:start w:val="1"/>
      <w:numFmt w:val="lowerRoman"/>
      <w:lvlText w:val="%9."/>
      <w:lvlJc w:val="right"/>
      <w:pPr>
        <w:ind w:left="6764" w:hanging="180"/>
      </w:pPr>
    </w:lvl>
  </w:abstractNum>
  <w:abstractNum w:abstractNumId="16" w15:restartNumberingAfterBreak="0">
    <w:nsid w:val="73C93796"/>
    <w:multiLevelType w:val="hybridMultilevel"/>
    <w:tmpl w:val="435EFE0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761C5126"/>
    <w:multiLevelType w:val="hybridMultilevel"/>
    <w:tmpl w:val="8CB2FF24"/>
    <w:lvl w:ilvl="0" w:tplc="028AC8E4">
      <w:start w:val="1"/>
      <w:numFmt w:val="decimal"/>
      <w:lvlText w:val="%1."/>
      <w:lvlJc w:val="left"/>
      <w:pPr>
        <w:ind w:left="644" w:hanging="360"/>
      </w:pPr>
      <w:rPr>
        <w:rFonts w:hint="default"/>
      </w:rPr>
    </w:lvl>
    <w:lvl w:ilvl="1" w:tplc="08130019" w:tentative="1">
      <w:start w:val="1"/>
      <w:numFmt w:val="lowerLetter"/>
      <w:lvlText w:val="%2."/>
      <w:lvlJc w:val="left"/>
      <w:pPr>
        <w:ind w:left="1364" w:hanging="360"/>
      </w:pPr>
    </w:lvl>
    <w:lvl w:ilvl="2" w:tplc="0813001B" w:tentative="1">
      <w:start w:val="1"/>
      <w:numFmt w:val="lowerRoman"/>
      <w:lvlText w:val="%3."/>
      <w:lvlJc w:val="right"/>
      <w:pPr>
        <w:ind w:left="2084" w:hanging="180"/>
      </w:pPr>
    </w:lvl>
    <w:lvl w:ilvl="3" w:tplc="0813000F" w:tentative="1">
      <w:start w:val="1"/>
      <w:numFmt w:val="decimal"/>
      <w:lvlText w:val="%4."/>
      <w:lvlJc w:val="left"/>
      <w:pPr>
        <w:ind w:left="2804" w:hanging="360"/>
      </w:pPr>
    </w:lvl>
    <w:lvl w:ilvl="4" w:tplc="08130019" w:tentative="1">
      <w:start w:val="1"/>
      <w:numFmt w:val="lowerLetter"/>
      <w:lvlText w:val="%5."/>
      <w:lvlJc w:val="left"/>
      <w:pPr>
        <w:ind w:left="3524" w:hanging="360"/>
      </w:pPr>
    </w:lvl>
    <w:lvl w:ilvl="5" w:tplc="0813001B" w:tentative="1">
      <w:start w:val="1"/>
      <w:numFmt w:val="lowerRoman"/>
      <w:lvlText w:val="%6."/>
      <w:lvlJc w:val="right"/>
      <w:pPr>
        <w:ind w:left="4244" w:hanging="180"/>
      </w:pPr>
    </w:lvl>
    <w:lvl w:ilvl="6" w:tplc="0813000F" w:tentative="1">
      <w:start w:val="1"/>
      <w:numFmt w:val="decimal"/>
      <w:lvlText w:val="%7."/>
      <w:lvlJc w:val="left"/>
      <w:pPr>
        <w:ind w:left="4964" w:hanging="360"/>
      </w:pPr>
    </w:lvl>
    <w:lvl w:ilvl="7" w:tplc="08130019" w:tentative="1">
      <w:start w:val="1"/>
      <w:numFmt w:val="lowerLetter"/>
      <w:lvlText w:val="%8."/>
      <w:lvlJc w:val="left"/>
      <w:pPr>
        <w:ind w:left="5684" w:hanging="360"/>
      </w:pPr>
    </w:lvl>
    <w:lvl w:ilvl="8" w:tplc="0813001B" w:tentative="1">
      <w:start w:val="1"/>
      <w:numFmt w:val="lowerRoman"/>
      <w:lvlText w:val="%9."/>
      <w:lvlJc w:val="right"/>
      <w:pPr>
        <w:ind w:left="6404" w:hanging="180"/>
      </w:pPr>
    </w:lvl>
  </w:abstractNum>
  <w:abstractNum w:abstractNumId="18" w15:restartNumberingAfterBreak="0">
    <w:nsid w:val="78577D79"/>
    <w:multiLevelType w:val="hybridMultilevel"/>
    <w:tmpl w:val="D310B6B8"/>
    <w:lvl w:ilvl="0" w:tplc="300EE894">
      <w:start w:val="1"/>
      <w:numFmt w:val="decimal"/>
      <w:lvlText w:val="%1."/>
      <w:lvlJc w:val="left"/>
      <w:pPr>
        <w:ind w:left="1020" w:hanging="360"/>
      </w:pPr>
    </w:lvl>
    <w:lvl w:ilvl="1" w:tplc="1A8833B8">
      <w:start w:val="1"/>
      <w:numFmt w:val="decimal"/>
      <w:lvlText w:val="%2."/>
      <w:lvlJc w:val="left"/>
      <w:pPr>
        <w:ind w:left="1020" w:hanging="360"/>
      </w:pPr>
    </w:lvl>
    <w:lvl w:ilvl="2" w:tplc="68144B68">
      <w:start w:val="1"/>
      <w:numFmt w:val="decimal"/>
      <w:lvlText w:val="%3."/>
      <w:lvlJc w:val="left"/>
      <w:pPr>
        <w:ind w:left="1020" w:hanging="360"/>
      </w:pPr>
    </w:lvl>
    <w:lvl w:ilvl="3" w:tplc="28406760">
      <w:start w:val="1"/>
      <w:numFmt w:val="decimal"/>
      <w:lvlText w:val="%4."/>
      <w:lvlJc w:val="left"/>
      <w:pPr>
        <w:ind w:left="1020" w:hanging="360"/>
      </w:pPr>
    </w:lvl>
    <w:lvl w:ilvl="4" w:tplc="55C0220E">
      <w:start w:val="1"/>
      <w:numFmt w:val="decimal"/>
      <w:lvlText w:val="%5."/>
      <w:lvlJc w:val="left"/>
      <w:pPr>
        <w:ind w:left="1020" w:hanging="360"/>
      </w:pPr>
    </w:lvl>
    <w:lvl w:ilvl="5" w:tplc="DDF80D9C">
      <w:start w:val="1"/>
      <w:numFmt w:val="decimal"/>
      <w:lvlText w:val="%6."/>
      <w:lvlJc w:val="left"/>
      <w:pPr>
        <w:ind w:left="1020" w:hanging="360"/>
      </w:pPr>
    </w:lvl>
    <w:lvl w:ilvl="6" w:tplc="952A08B8">
      <w:start w:val="1"/>
      <w:numFmt w:val="decimal"/>
      <w:lvlText w:val="%7."/>
      <w:lvlJc w:val="left"/>
      <w:pPr>
        <w:ind w:left="1020" w:hanging="360"/>
      </w:pPr>
    </w:lvl>
    <w:lvl w:ilvl="7" w:tplc="FF2CE330">
      <w:start w:val="1"/>
      <w:numFmt w:val="decimal"/>
      <w:lvlText w:val="%8."/>
      <w:lvlJc w:val="left"/>
      <w:pPr>
        <w:ind w:left="1020" w:hanging="360"/>
      </w:pPr>
    </w:lvl>
    <w:lvl w:ilvl="8" w:tplc="4A5280B4">
      <w:start w:val="1"/>
      <w:numFmt w:val="decimal"/>
      <w:lvlText w:val="%9."/>
      <w:lvlJc w:val="left"/>
      <w:pPr>
        <w:ind w:left="1020" w:hanging="360"/>
      </w:pPr>
    </w:lvl>
  </w:abstractNum>
  <w:num w:numId="1" w16cid:durableId="663820581">
    <w:abstractNumId w:val="7"/>
  </w:num>
  <w:num w:numId="2" w16cid:durableId="1594170851">
    <w:abstractNumId w:val="10"/>
  </w:num>
  <w:num w:numId="3" w16cid:durableId="95173178">
    <w:abstractNumId w:val="0"/>
  </w:num>
  <w:num w:numId="4" w16cid:durableId="2098135717">
    <w:abstractNumId w:val="16"/>
  </w:num>
  <w:num w:numId="5" w16cid:durableId="1985692222">
    <w:abstractNumId w:val="17"/>
  </w:num>
  <w:num w:numId="6" w16cid:durableId="1197891062">
    <w:abstractNumId w:val="15"/>
  </w:num>
  <w:num w:numId="7" w16cid:durableId="1264612658">
    <w:abstractNumId w:val="11"/>
  </w:num>
  <w:num w:numId="8" w16cid:durableId="70394799">
    <w:abstractNumId w:val="3"/>
  </w:num>
  <w:num w:numId="9" w16cid:durableId="974673738">
    <w:abstractNumId w:val="9"/>
  </w:num>
  <w:num w:numId="10" w16cid:durableId="1693339682">
    <w:abstractNumId w:val="13"/>
  </w:num>
  <w:num w:numId="11" w16cid:durableId="1411777012">
    <w:abstractNumId w:val="6"/>
  </w:num>
  <w:num w:numId="12" w16cid:durableId="2121223242">
    <w:abstractNumId w:val="12"/>
  </w:num>
  <w:num w:numId="13" w16cid:durableId="1048410486">
    <w:abstractNumId w:val="4"/>
  </w:num>
  <w:num w:numId="14" w16cid:durableId="506675713">
    <w:abstractNumId w:val="5"/>
  </w:num>
  <w:num w:numId="15" w16cid:durableId="370879420">
    <w:abstractNumId w:val="8"/>
  </w:num>
  <w:num w:numId="16" w16cid:durableId="506215399">
    <w:abstractNumId w:val="2"/>
  </w:num>
  <w:num w:numId="17" w16cid:durableId="1850870686">
    <w:abstractNumId w:val="18"/>
  </w:num>
  <w:num w:numId="18" w16cid:durableId="1157375959">
    <w:abstractNumId w:val="14"/>
  </w:num>
  <w:num w:numId="19" w16cid:durableId="2001275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BD4"/>
    <w:rsid w:val="00000761"/>
    <w:rsid w:val="000022E8"/>
    <w:rsid w:val="000037AA"/>
    <w:rsid w:val="00003FF2"/>
    <w:rsid w:val="00004290"/>
    <w:rsid w:val="000050CD"/>
    <w:rsid w:val="00006641"/>
    <w:rsid w:val="00006722"/>
    <w:rsid w:val="00006844"/>
    <w:rsid w:val="0000765B"/>
    <w:rsid w:val="00007A83"/>
    <w:rsid w:val="000114BF"/>
    <w:rsid w:val="00011672"/>
    <w:rsid w:val="000121BF"/>
    <w:rsid w:val="000127C4"/>
    <w:rsid w:val="00012D27"/>
    <w:rsid w:val="00013DF8"/>
    <w:rsid w:val="00014824"/>
    <w:rsid w:val="00015AA3"/>
    <w:rsid w:val="00016077"/>
    <w:rsid w:val="000162F7"/>
    <w:rsid w:val="000216C2"/>
    <w:rsid w:val="00021A4B"/>
    <w:rsid w:val="000220E4"/>
    <w:rsid w:val="000225AB"/>
    <w:rsid w:val="000239E9"/>
    <w:rsid w:val="00023CB4"/>
    <w:rsid w:val="00023D95"/>
    <w:rsid w:val="000249B2"/>
    <w:rsid w:val="000253AD"/>
    <w:rsid w:val="000255AC"/>
    <w:rsid w:val="0002648C"/>
    <w:rsid w:val="00027259"/>
    <w:rsid w:val="0003056E"/>
    <w:rsid w:val="00030D80"/>
    <w:rsid w:val="0003277D"/>
    <w:rsid w:val="00033AEF"/>
    <w:rsid w:val="000340BC"/>
    <w:rsid w:val="00035A88"/>
    <w:rsid w:val="00035BF6"/>
    <w:rsid w:val="00035E25"/>
    <w:rsid w:val="00036A40"/>
    <w:rsid w:val="00036D43"/>
    <w:rsid w:val="00040403"/>
    <w:rsid w:val="00040748"/>
    <w:rsid w:val="00043437"/>
    <w:rsid w:val="00043661"/>
    <w:rsid w:val="00043DD9"/>
    <w:rsid w:val="00045637"/>
    <w:rsid w:val="00045814"/>
    <w:rsid w:val="000464B0"/>
    <w:rsid w:val="00046682"/>
    <w:rsid w:val="0004743E"/>
    <w:rsid w:val="000476A7"/>
    <w:rsid w:val="00047EEB"/>
    <w:rsid w:val="00051F97"/>
    <w:rsid w:val="00052078"/>
    <w:rsid w:val="00052D68"/>
    <w:rsid w:val="000533B7"/>
    <w:rsid w:val="00053D1F"/>
    <w:rsid w:val="000541A7"/>
    <w:rsid w:val="00054390"/>
    <w:rsid w:val="000550C2"/>
    <w:rsid w:val="000550E3"/>
    <w:rsid w:val="00055552"/>
    <w:rsid w:val="000573C6"/>
    <w:rsid w:val="00060203"/>
    <w:rsid w:val="00060C81"/>
    <w:rsid w:val="00060D17"/>
    <w:rsid w:val="00060F06"/>
    <w:rsid w:val="0006139F"/>
    <w:rsid w:val="0006146B"/>
    <w:rsid w:val="000614B8"/>
    <w:rsid w:val="000635FE"/>
    <w:rsid w:val="00063AD8"/>
    <w:rsid w:val="00064D9E"/>
    <w:rsid w:val="00065FE9"/>
    <w:rsid w:val="00066C8A"/>
    <w:rsid w:val="00067146"/>
    <w:rsid w:val="000700AD"/>
    <w:rsid w:val="00070263"/>
    <w:rsid w:val="000716AA"/>
    <w:rsid w:val="0007279D"/>
    <w:rsid w:val="00073204"/>
    <w:rsid w:val="00074222"/>
    <w:rsid w:val="00074A30"/>
    <w:rsid w:val="00074B95"/>
    <w:rsid w:val="000758F3"/>
    <w:rsid w:val="00075C45"/>
    <w:rsid w:val="00076362"/>
    <w:rsid w:val="0007654B"/>
    <w:rsid w:val="0007676E"/>
    <w:rsid w:val="0008110E"/>
    <w:rsid w:val="000811E9"/>
    <w:rsid w:val="00081AC7"/>
    <w:rsid w:val="00082499"/>
    <w:rsid w:val="000827D4"/>
    <w:rsid w:val="00083189"/>
    <w:rsid w:val="0008383D"/>
    <w:rsid w:val="00083B73"/>
    <w:rsid w:val="00083F2F"/>
    <w:rsid w:val="00084771"/>
    <w:rsid w:val="000864FE"/>
    <w:rsid w:val="00086D35"/>
    <w:rsid w:val="000874B0"/>
    <w:rsid w:val="00090BE8"/>
    <w:rsid w:val="0009181D"/>
    <w:rsid w:val="00091909"/>
    <w:rsid w:val="00092DA9"/>
    <w:rsid w:val="000939C6"/>
    <w:rsid w:val="000944AC"/>
    <w:rsid w:val="000947F4"/>
    <w:rsid w:val="00094B8C"/>
    <w:rsid w:val="000951B0"/>
    <w:rsid w:val="00095470"/>
    <w:rsid w:val="00095950"/>
    <w:rsid w:val="00095E0F"/>
    <w:rsid w:val="00096069"/>
    <w:rsid w:val="000972CA"/>
    <w:rsid w:val="00097360"/>
    <w:rsid w:val="000A0FF4"/>
    <w:rsid w:val="000A2BFF"/>
    <w:rsid w:val="000A3AD4"/>
    <w:rsid w:val="000A5988"/>
    <w:rsid w:val="000B1286"/>
    <w:rsid w:val="000B16A9"/>
    <w:rsid w:val="000B1CC2"/>
    <w:rsid w:val="000B23E0"/>
    <w:rsid w:val="000B332F"/>
    <w:rsid w:val="000B4597"/>
    <w:rsid w:val="000B4CD8"/>
    <w:rsid w:val="000B6C92"/>
    <w:rsid w:val="000B7A68"/>
    <w:rsid w:val="000C1313"/>
    <w:rsid w:val="000C1D6B"/>
    <w:rsid w:val="000C1DD5"/>
    <w:rsid w:val="000C25FB"/>
    <w:rsid w:val="000C34E5"/>
    <w:rsid w:val="000C4AE4"/>
    <w:rsid w:val="000C4BD6"/>
    <w:rsid w:val="000C50D1"/>
    <w:rsid w:val="000C510A"/>
    <w:rsid w:val="000C58DF"/>
    <w:rsid w:val="000D2453"/>
    <w:rsid w:val="000D3146"/>
    <w:rsid w:val="000D5A15"/>
    <w:rsid w:val="000D5C26"/>
    <w:rsid w:val="000D64F2"/>
    <w:rsid w:val="000D6CF0"/>
    <w:rsid w:val="000D6EBE"/>
    <w:rsid w:val="000E181D"/>
    <w:rsid w:val="000E1D1A"/>
    <w:rsid w:val="000E230D"/>
    <w:rsid w:val="000E29C2"/>
    <w:rsid w:val="000E2D51"/>
    <w:rsid w:val="000E4649"/>
    <w:rsid w:val="000E490C"/>
    <w:rsid w:val="000E4930"/>
    <w:rsid w:val="000E4EC5"/>
    <w:rsid w:val="000E5353"/>
    <w:rsid w:val="000E5505"/>
    <w:rsid w:val="000E584A"/>
    <w:rsid w:val="000E5D62"/>
    <w:rsid w:val="000E7BC2"/>
    <w:rsid w:val="000F07AA"/>
    <w:rsid w:val="000F2A88"/>
    <w:rsid w:val="000F2E8B"/>
    <w:rsid w:val="000F2EDF"/>
    <w:rsid w:val="000F32D8"/>
    <w:rsid w:val="000F3EB3"/>
    <w:rsid w:val="000F4AEF"/>
    <w:rsid w:val="000F504A"/>
    <w:rsid w:val="000F505B"/>
    <w:rsid w:val="000F6ADD"/>
    <w:rsid w:val="000F6BB7"/>
    <w:rsid w:val="000F7554"/>
    <w:rsid w:val="00100B8E"/>
    <w:rsid w:val="001011E2"/>
    <w:rsid w:val="00101408"/>
    <w:rsid w:val="00101781"/>
    <w:rsid w:val="001022C9"/>
    <w:rsid w:val="00102498"/>
    <w:rsid w:val="001037A5"/>
    <w:rsid w:val="00103DEE"/>
    <w:rsid w:val="0010489D"/>
    <w:rsid w:val="001055FA"/>
    <w:rsid w:val="00105B5A"/>
    <w:rsid w:val="00107F62"/>
    <w:rsid w:val="001104B7"/>
    <w:rsid w:val="00110D87"/>
    <w:rsid w:val="00111103"/>
    <w:rsid w:val="00111599"/>
    <w:rsid w:val="0011403F"/>
    <w:rsid w:val="001156E6"/>
    <w:rsid w:val="00115BA5"/>
    <w:rsid w:val="00116461"/>
    <w:rsid w:val="001165F2"/>
    <w:rsid w:val="001173EB"/>
    <w:rsid w:val="001201D3"/>
    <w:rsid w:val="00120253"/>
    <w:rsid w:val="0012127A"/>
    <w:rsid w:val="001212EA"/>
    <w:rsid w:val="0012216F"/>
    <w:rsid w:val="001248E1"/>
    <w:rsid w:val="00124BD7"/>
    <w:rsid w:val="00125259"/>
    <w:rsid w:val="001255BF"/>
    <w:rsid w:val="001264B9"/>
    <w:rsid w:val="00126518"/>
    <w:rsid w:val="001271F3"/>
    <w:rsid w:val="0012738A"/>
    <w:rsid w:val="0012797D"/>
    <w:rsid w:val="00127D13"/>
    <w:rsid w:val="00127DAA"/>
    <w:rsid w:val="001305E2"/>
    <w:rsid w:val="00130B2A"/>
    <w:rsid w:val="00130DF2"/>
    <w:rsid w:val="001310B2"/>
    <w:rsid w:val="00131620"/>
    <w:rsid w:val="00132C07"/>
    <w:rsid w:val="001331C3"/>
    <w:rsid w:val="001332F9"/>
    <w:rsid w:val="0013478D"/>
    <w:rsid w:val="00135490"/>
    <w:rsid w:val="00135813"/>
    <w:rsid w:val="00135E34"/>
    <w:rsid w:val="00137415"/>
    <w:rsid w:val="00137DFE"/>
    <w:rsid w:val="00140243"/>
    <w:rsid w:val="001446EE"/>
    <w:rsid w:val="00144D08"/>
    <w:rsid w:val="0014512C"/>
    <w:rsid w:val="00145DE0"/>
    <w:rsid w:val="001460AF"/>
    <w:rsid w:val="00146141"/>
    <w:rsid w:val="001504B3"/>
    <w:rsid w:val="0015100E"/>
    <w:rsid w:val="0015164B"/>
    <w:rsid w:val="00152FB4"/>
    <w:rsid w:val="00153942"/>
    <w:rsid w:val="00153CB7"/>
    <w:rsid w:val="00153E81"/>
    <w:rsid w:val="00154364"/>
    <w:rsid w:val="00154689"/>
    <w:rsid w:val="0015681C"/>
    <w:rsid w:val="00156BDC"/>
    <w:rsid w:val="00156D15"/>
    <w:rsid w:val="00156D6E"/>
    <w:rsid w:val="00157D43"/>
    <w:rsid w:val="0016261E"/>
    <w:rsid w:val="00163659"/>
    <w:rsid w:val="00163BC4"/>
    <w:rsid w:val="00164F87"/>
    <w:rsid w:val="001652D3"/>
    <w:rsid w:val="00166938"/>
    <w:rsid w:val="00166C31"/>
    <w:rsid w:val="00167550"/>
    <w:rsid w:val="00170BE1"/>
    <w:rsid w:val="00171464"/>
    <w:rsid w:val="001717B8"/>
    <w:rsid w:val="00171D15"/>
    <w:rsid w:val="00172D93"/>
    <w:rsid w:val="00173148"/>
    <w:rsid w:val="00173186"/>
    <w:rsid w:val="00173EB4"/>
    <w:rsid w:val="00174501"/>
    <w:rsid w:val="001769F5"/>
    <w:rsid w:val="00176E1B"/>
    <w:rsid w:val="00177A0C"/>
    <w:rsid w:val="00180025"/>
    <w:rsid w:val="0018072A"/>
    <w:rsid w:val="00181308"/>
    <w:rsid w:val="00181B0E"/>
    <w:rsid w:val="00181B84"/>
    <w:rsid w:val="00181E5B"/>
    <w:rsid w:val="00182EC7"/>
    <w:rsid w:val="00182F34"/>
    <w:rsid w:val="001835AA"/>
    <w:rsid w:val="00183AAA"/>
    <w:rsid w:val="0018487A"/>
    <w:rsid w:val="00184E0E"/>
    <w:rsid w:val="001861D0"/>
    <w:rsid w:val="001861E8"/>
    <w:rsid w:val="0018661B"/>
    <w:rsid w:val="00186651"/>
    <w:rsid w:val="00186F7A"/>
    <w:rsid w:val="00187EDE"/>
    <w:rsid w:val="001908B9"/>
    <w:rsid w:val="001917DF"/>
    <w:rsid w:val="00193521"/>
    <w:rsid w:val="00193A31"/>
    <w:rsid w:val="001953B9"/>
    <w:rsid w:val="00196B5F"/>
    <w:rsid w:val="00197945"/>
    <w:rsid w:val="00197BF2"/>
    <w:rsid w:val="001A0A09"/>
    <w:rsid w:val="001A0AF3"/>
    <w:rsid w:val="001A11A5"/>
    <w:rsid w:val="001A27D1"/>
    <w:rsid w:val="001A284E"/>
    <w:rsid w:val="001A2E33"/>
    <w:rsid w:val="001A322E"/>
    <w:rsid w:val="001A4142"/>
    <w:rsid w:val="001A573F"/>
    <w:rsid w:val="001A7757"/>
    <w:rsid w:val="001B053F"/>
    <w:rsid w:val="001B088F"/>
    <w:rsid w:val="001B0CDD"/>
    <w:rsid w:val="001B544A"/>
    <w:rsid w:val="001B61CF"/>
    <w:rsid w:val="001B6D9A"/>
    <w:rsid w:val="001B6EE6"/>
    <w:rsid w:val="001B7CB7"/>
    <w:rsid w:val="001C00D0"/>
    <w:rsid w:val="001C159E"/>
    <w:rsid w:val="001C1866"/>
    <w:rsid w:val="001C18A1"/>
    <w:rsid w:val="001C2F77"/>
    <w:rsid w:val="001C48EE"/>
    <w:rsid w:val="001C4D02"/>
    <w:rsid w:val="001C5418"/>
    <w:rsid w:val="001C5701"/>
    <w:rsid w:val="001C5989"/>
    <w:rsid w:val="001C5AC3"/>
    <w:rsid w:val="001C6761"/>
    <w:rsid w:val="001C7B57"/>
    <w:rsid w:val="001C7C65"/>
    <w:rsid w:val="001C7FEA"/>
    <w:rsid w:val="001D047E"/>
    <w:rsid w:val="001D2175"/>
    <w:rsid w:val="001D2972"/>
    <w:rsid w:val="001D414C"/>
    <w:rsid w:val="001D4681"/>
    <w:rsid w:val="001D5BA9"/>
    <w:rsid w:val="001D6B56"/>
    <w:rsid w:val="001E28C7"/>
    <w:rsid w:val="001E4190"/>
    <w:rsid w:val="001E4D59"/>
    <w:rsid w:val="001E4EA6"/>
    <w:rsid w:val="001E72FC"/>
    <w:rsid w:val="001E7B4F"/>
    <w:rsid w:val="001F07C4"/>
    <w:rsid w:val="001F0BDD"/>
    <w:rsid w:val="001F17A8"/>
    <w:rsid w:val="001F1BD9"/>
    <w:rsid w:val="001F2790"/>
    <w:rsid w:val="001F2D03"/>
    <w:rsid w:val="001F3639"/>
    <w:rsid w:val="001F3E1E"/>
    <w:rsid w:val="001F43DD"/>
    <w:rsid w:val="001F6673"/>
    <w:rsid w:val="001F6692"/>
    <w:rsid w:val="002000DE"/>
    <w:rsid w:val="0020035C"/>
    <w:rsid w:val="002015FD"/>
    <w:rsid w:val="00203210"/>
    <w:rsid w:val="0020368D"/>
    <w:rsid w:val="002037AA"/>
    <w:rsid w:val="00203A4B"/>
    <w:rsid w:val="002052DD"/>
    <w:rsid w:val="0020534A"/>
    <w:rsid w:val="002061C0"/>
    <w:rsid w:val="00206C54"/>
    <w:rsid w:val="00211471"/>
    <w:rsid w:val="0021280D"/>
    <w:rsid w:val="002129AE"/>
    <w:rsid w:val="00214FBA"/>
    <w:rsid w:val="00215965"/>
    <w:rsid w:val="00216C46"/>
    <w:rsid w:val="00216C63"/>
    <w:rsid w:val="00216F86"/>
    <w:rsid w:val="00217A9E"/>
    <w:rsid w:val="00220F33"/>
    <w:rsid w:val="002212E8"/>
    <w:rsid w:val="00221B93"/>
    <w:rsid w:val="002222DC"/>
    <w:rsid w:val="00223246"/>
    <w:rsid w:val="0022328C"/>
    <w:rsid w:val="0022375D"/>
    <w:rsid w:val="002240A2"/>
    <w:rsid w:val="002245BC"/>
    <w:rsid w:val="00225D5E"/>
    <w:rsid w:val="00226AFD"/>
    <w:rsid w:val="00226EBF"/>
    <w:rsid w:val="002274AE"/>
    <w:rsid w:val="00230A09"/>
    <w:rsid w:val="00231053"/>
    <w:rsid w:val="00231885"/>
    <w:rsid w:val="00231A2E"/>
    <w:rsid w:val="0023332D"/>
    <w:rsid w:val="00233D5A"/>
    <w:rsid w:val="00234740"/>
    <w:rsid w:val="00234796"/>
    <w:rsid w:val="002351E4"/>
    <w:rsid w:val="00237DAB"/>
    <w:rsid w:val="002419B6"/>
    <w:rsid w:val="00241D89"/>
    <w:rsid w:val="00242DD2"/>
    <w:rsid w:val="0024673E"/>
    <w:rsid w:val="00250D9E"/>
    <w:rsid w:val="00251C76"/>
    <w:rsid w:val="00252228"/>
    <w:rsid w:val="002534D9"/>
    <w:rsid w:val="00253991"/>
    <w:rsid w:val="00253F38"/>
    <w:rsid w:val="0025446F"/>
    <w:rsid w:val="00254603"/>
    <w:rsid w:val="002557D7"/>
    <w:rsid w:val="00255923"/>
    <w:rsid w:val="002559AA"/>
    <w:rsid w:val="00256814"/>
    <w:rsid w:val="00256D91"/>
    <w:rsid w:val="00256DC6"/>
    <w:rsid w:val="0025787C"/>
    <w:rsid w:val="00257A6B"/>
    <w:rsid w:val="00257E03"/>
    <w:rsid w:val="0026044A"/>
    <w:rsid w:val="0026073E"/>
    <w:rsid w:val="00260AE9"/>
    <w:rsid w:val="00260CAB"/>
    <w:rsid w:val="002645CF"/>
    <w:rsid w:val="00264EF4"/>
    <w:rsid w:val="00267EAF"/>
    <w:rsid w:val="00267F3C"/>
    <w:rsid w:val="00270C30"/>
    <w:rsid w:val="002715E9"/>
    <w:rsid w:val="0027286E"/>
    <w:rsid w:val="002730FC"/>
    <w:rsid w:val="00273B46"/>
    <w:rsid w:val="00273FA6"/>
    <w:rsid w:val="00274AA2"/>
    <w:rsid w:val="00275CBC"/>
    <w:rsid w:val="002764CA"/>
    <w:rsid w:val="00276B77"/>
    <w:rsid w:val="00277EF7"/>
    <w:rsid w:val="00280F3C"/>
    <w:rsid w:val="002812D7"/>
    <w:rsid w:val="002818A4"/>
    <w:rsid w:val="00282EA1"/>
    <w:rsid w:val="00284019"/>
    <w:rsid w:val="0028523F"/>
    <w:rsid w:val="0028569C"/>
    <w:rsid w:val="002857B3"/>
    <w:rsid w:val="002858C4"/>
    <w:rsid w:val="002862D1"/>
    <w:rsid w:val="00286308"/>
    <w:rsid w:val="0028640B"/>
    <w:rsid w:val="0028754C"/>
    <w:rsid w:val="00294387"/>
    <w:rsid w:val="0029602C"/>
    <w:rsid w:val="00297FB0"/>
    <w:rsid w:val="002A1055"/>
    <w:rsid w:val="002A3026"/>
    <w:rsid w:val="002A364A"/>
    <w:rsid w:val="002A458E"/>
    <w:rsid w:val="002A5B96"/>
    <w:rsid w:val="002A6723"/>
    <w:rsid w:val="002A67C3"/>
    <w:rsid w:val="002A68CA"/>
    <w:rsid w:val="002B030B"/>
    <w:rsid w:val="002B0B34"/>
    <w:rsid w:val="002B0C60"/>
    <w:rsid w:val="002B16EB"/>
    <w:rsid w:val="002B203B"/>
    <w:rsid w:val="002B24FA"/>
    <w:rsid w:val="002B3E1A"/>
    <w:rsid w:val="002B4C9F"/>
    <w:rsid w:val="002B51DB"/>
    <w:rsid w:val="002B6174"/>
    <w:rsid w:val="002B62A8"/>
    <w:rsid w:val="002B6315"/>
    <w:rsid w:val="002B6A5B"/>
    <w:rsid w:val="002B7AEB"/>
    <w:rsid w:val="002B7D9F"/>
    <w:rsid w:val="002C051A"/>
    <w:rsid w:val="002C1142"/>
    <w:rsid w:val="002C3A1D"/>
    <w:rsid w:val="002C4264"/>
    <w:rsid w:val="002C4644"/>
    <w:rsid w:val="002C4A16"/>
    <w:rsid w:val="002C5B46"/>
    <w:rsid w:val="002C5D9C"/>
    <w:rsid w:val="002C6169"/>
    <w:rsid w:val="002C6543"/>
    <w:rsid w:val="002C75DB"/>
    <w:rsid w:val="002C7F71"/>
    <w:rsid w:val="002D0624"/>
    <w:rsid w:val="002D0D20"/>
    <w:rsid w:val="002D13B1"/>
    <w:rsid w:val="002D2C19"/>
    <w:rsid w:val="002D3BE6"/>
    <w:rsid w:val="002D4D01"/>
    <w:rsid w:val="002D5F01"/>
    <w:rsid w:val="002D634A"/>
    <w:rsid w:val="002D6DAD"/>
    <w:rsid w:val="002D72D6"/>
    <w:rsid w:val="002D7D48"/>
    <w:rsid w:val="002E09F2"/>
    <w:rsid w:val="002E1F5A"/>
    <w:rsid w:val="002E213A"/>
    <w:rsid w:val="002E27A7"/>
    <w:rsid w:val="002E2F4A"/>
    <w:rsid w:val="002E63E9"/>
    <w:rsid w:val="002E7CE6"/>
    <w:rsid w:val="002F0100"/>
    <w:rsid w:val="002F1576"/>
    <w:rsid w:val="002F1929"/>
    <w:rsid w:val="002F201E"/>
    <w:rsid w:val="002F2BA9"/>
    <w:rsid w:val="002F3466"/>
    <w:rsid w:val="002F36AB"/>
    <w:rsid w:val="002F405A"/>
    <w:rsid w:val="002F477D"/>
    <w:rsid w:val="002F4CA7"/>
    <w:rsid w:val="002F59FB"/>
    <w:rsid w:val="002F680F"/>
    <w:rsid w:val="002F7D45"/>
    <w:rsid w:val="00304195"/>
    <w:rsid w:val="00304498"/>
    <w:rsid w:val="00305F27"/>
    <w:rsid w:val="0030633B"/>
    <w:rsid w:val="0030677F"/>
    <w:rsid w:val="0031088C"/>
    <w:rsid w:val="00310DEC"/>
    <w:rsid w:val="00311564"/>
    <w:rsid w:val="0031165E"/>
    <w:rsid w:val="003118D6"/>
    <w:rsid w:val="00312C7A"/>
    <w:rsid w:val="003150FA"/>
    <w:rsid w:val="00315450"/>
    <w:rsid w:val="0031586D"/>
    <w:rsid w:val="00316CB2"/>
    <w:rsid w:val="0031759A"/>
    <w:rsid w:val="003229E6"/>
    <w:rsid w:val="00322EC4"/>
    <w:rsid w:val="0032473D"/>
    <w:rsid w:val="00325CCD"/>
    <w:rsid w:val="003276D0"/>
    <w:rsid w:val="00331C24"/>
    <w:rsid w:val="003323D9"/>
    <w:rsid w:val="003333BE"/>
    <w:rsid w:val="00333815"/>
    <w:rsid w:val="003338A5"/>
    <w:rsid w:val="003345D0"/>
    <w:rsid w:val="003351C6"/>
    <w:rsid w:val="00335ECB"/>
    <w:rsid w:val="00336217"/>
    <w:rsid w:val="003363DE"/>
    <w:rsid w:val="003365F1"/>
    <w:rsid w:val="0033674E"/>
    <w:rsid w:val="003372CD"/>
    <w:rsid w:val="00337666"/>
    <w:rsid w:val="00337C10"/>
    <w:rsid w:val="00342596"/>
    <w:rsid w:val="00342EC8"/>
    <w:rsid w:val="003436F9"/>
    <w:rsid w:val="00345850"/>
    <w:rsid w:val="00346515"/>
    <w:rsid w:val="0034673B"/>
    <w:rsid w:val="00346DFA"/>
    <w:rsid w:val="003477FE"/>
    <w:rsid w:val="003479F3"/>
    <w:rsid w:val="00350DCA"/>
    <w:rsid w:val="00352412"/>
    <w:rsid w:val="00353111"/>
    <w:rsid w:val="003542A0"/>
    <w:rsid w:val="003548EB"/>
    <w:rsid w:val="00355D46"/>
    <w:rsid w:val="0035614C"/>
    <w:rsid w:val="00357AC5"/>
    <w:rsid w:val="00362047"/>
    <w:rsid w:val="0036234F"/>
    <w:rsid w:val="00362EE8"/>
    <w:rsid w:val="0036331B"/>
    <w:rsid w:val="00363E11"/>
    <w:rsid w:val="003658B0"/>
    <w:rsid w:val="00365C1C"/>
    <w:rsid w:val="0037071A"/>
    <w:rsid w:val="0037109D"/>
    <w:rsid w:val="00371307"/>
    <w:rsid w:val="0037179B"/>
    <w:rsid w:val="00371DB0"/>
    <w:rsid w:val="003724AB"/>
    <w:rsid w:val="003727D9"/>
    <w:rsid w:val="00373D6C"/>
    <w:rsid w:val="0037418D"/>
    <w:rsid w:val="00374342"/>
    <w:rsid w:val="00374D9E"/>
    <w:rsid w:val="00375849"/>
    <w:rsid w:val="00375EF7"/>
    <w:rsid w:val="00375F66"/>
    <w:rsid w:val="00376053"/>
    <w:rsid w:val="00380F8D"/>
    <w:rsid w:val="00381D7D"/>
    <w:rsid w:val="00382E68"/>
    <w:rsid w:val="003835C0"/>
    <w:rsid w:val="00383CAF"/>
    <w:rsid w:val="00385086"/>
    <w:rsid w:val="00385309"/>
    <w:rsid w:val="00385DAF"/>
    <w:rsid w:val="00386718"/>
    <w:rsid w:val="00386722"/>
    <w:rsid w:val="00386775"/>
    <w:rsid w:val="00386BA2"/>
    <w:rsid w:val="00386CCD"/>
    <w:rsid w:val="00387E1B"/>
    <w:rsid w:val="003919DD"/>
    <w:rsid w:val="00397B44"/>
    <w:rsid w:val="00397BA8"/>
    <w:rsid w:val="003A0682"/>
    <w:rsid w:val="003A1F0D"/>
    <w:rsid w:val="003A2245"/>
    <w:rsid w:val="003A2794"/>
    <w:rsid w:val="003A2D57"/>
    <w:rsid w:val="003A467F"/>
    <w:rsid w:val="003A47CD"/>
    <w:rsid w:val="003A48F7"/>
    <w:rsid w:val="003A5ADE"/>
    <w:rsid w:val="003A5F24"/>
    <w:rsid w:val="003A6E3D"/>
    <w:rsid w:val="003A7B45"/>
    <w:rsid w:val="003B007A"/>
    <w:rsid w:val="003B0585"/>
    <w:rsid w:val="003B0E92"/>
    <w:rsid w:val="003B139B"/>
    <w:rsid w:val="003B4576"/>
    <w:rsid w:val="003B4880"/>
    <w:rsid w:val="003B6B2B"/>
    <w:rsid w:val="003B7D1D"/>
    <w:rsid w:val="003B7F14"/>
    <w:rsid w:val="003C0E1B"/>
    <w:rsid w:val="003C1D07"/>
    <w:rsid w:val="003C1D52"/>
    <w:rsid w:val="003C1E14"/>
    <w:rsid w:val="003C244E"/>
    <w:rsid w:val="003C2BDE"/>
    <w:rsid w:val="003C3DF4"/>
    <w:rsid w:val="003C45A1"/>
    <w:rsid w:val="003C486A"/>
    <w:rsid w:val="003C4C83"/>
    <w:rsid w:val="003C4E7A"/>
    <w:rsid w:val="003C51A1"/>
    <w:rsid w:val="003C523E"/>
    <w:rsid w:val="003C5CDA"/>
    <w:rsid w:val="003C602F"/>
    <w:rsid w:val="003C62C8"/>
    <w:rsid w:val="003C7EE6"/>
    <w:rsid w:val="003D17E5"/>
    <w:rsid w:val="003D2904"/>
    <w:rsid w:val="003D30F0"/>
    <w:rsid w:val="003D4290"/>
    <w:rsid w:val="003D514E"/>
    <w:rsid w:val="003D5C0F"/>
    <w:rsid w:val="003D666D"/>
    <w:rsid w:val="003D7132"/>
    <w:rsid w:val="003E0C83"/>
    <w:rsid w:val="003E324F"/>
    <w:rsid w:val="003E5630"/>
    <w:rsid w:val="003E603F"/>
    <w:rsid w:val="003F027F"/>
    <w:rsid w:val="003F0319"/>
    <w:rsid w:val="003F2318"/>
    <w:rsid w:val="003F2A81"/>
    <w:rsid w:val="003F3514"/>
    <w:rsid w:val="003F499E"/>
    <w:rsid w:val="003F4B91"/>
    <w:rsid w:val="003F4E2A"/>
    <w:rsid w:val="003F54F2"/>
    <w:rsid w:val="003F7041"/>
    <w:rsid w:val="003F7940"/>
    <w:rsid w:val="00400E6A"/>
    <w:rsid w:val="00402805"/>
    <w:rsid w:val="00402891"/>
    <w:rsid w:val="00402D6D"/>
    <w:rsid w:val="00403365"/>
    <w:rsid w:val="004036F9"/>
    <w:rsid w:val="004067D1"/>
    <w:rsid w:val="00407188"/>
    <w:rsid w:val="004073A9"/>
    <w:rsid w:val="004100DB"/>
    <w:rsid w:val="00410FFB"/>
    <w:rsid w:val="00411630"/>
    <w:rsid w:val="004122E2"/>
    <w:rsid w:val="004124F0"/>
    <w:rsid w:val="004142D9"/>
    <w:rsid w:val="00414890"/>
    <w:rsid w:val="00414906"/>
    <w:rsid w:val="00414AD7"/>
    <w:rsid w:val="00415340"/>
    <w:rsid w:val="00416459"/>
    <w:rsid w:val="00416482"/>
    <w:rsid w:val="00416C85"/>
    <w:rsid w:val="004171AA"/>
    <w:rsid w:val="0042046F"/>
    <w:rsid w:val="00424038"/>
    <w:rsid w:val="004243BC"/>
    <w:rsid w:val="00424CCE"/>
    <w:rsid w:val="004300E4"/>
    <w:rsid w:val="004317D8"/>
    <w:rsid w:val="00432053"/>
    <w:rsid w:val="00432CAA"/>
    <w:rsid w:val="00434E95"/>
    <w:rsid w:val="00435B7D"/>
    <w:rsid w:val="0043624A"/>
    <w:rsid w:val="00436C51"/>
    <w:rsid w:val="00437179"/>
    <w:rsid w:val="004378B2"/>
    <w:rsid w:val="00440E19"/>
    <w:rsid w:val="0044147F"/>
    <w:rsid w:val="00441A02"/>
    <w:rsid w:val="004430A0"/>
    <w:rsid w:val="00443291"/>
    <w:rsid w:val="00446F0D"/>
    <w:rsid w:val="0044789A"/>
    <w:rsid w:val="00447D2D"/>
    <w:rsid w:val="00451D6D"/>
    <w:rsid w:val="00452F14"/>
    <w:rsid w:val="00453FA8"/>
    <w:rsid w:val="00454FE6"/>
    <w:rsid w:val="00455335"/>
    <w:rsid w:val="00456618"/>
    <w:rsid w:val="00456633"/>
    <w:rsid w:val="004568F7"/>
    <w:rsid w:val="0046143C"/>
    <w:rsid w:val="00461B3F"/>
    <w:rsid w:val="004625AC"/>
    <w:rsid w:val="00462A71"/>
    <w:rsid w:val="004639E2"/>
    <w:rsid w:val="00463E63"/>
    <w:rsid w:val="0046537B"/>
    <w:rsid w:val="00465A18"/>
    <w:rsid w:val="0046799A"/>
    <w:rsid w:val="00471176"/>
    <w:rsid w:val="00471570"/>
    <w:rsid w:val="00473191"/>
    <w:rsid w:val="00473575"/>
    <w:rsid w:val="00474086"/>
    <w:rsid w:val="00474FE2"/>
    <w:rsid w:val="00475886"/>
    <w:rsid w:val="00475A5A"/>
    <w:rsid w:val="00475DF5"/>
    <w:rsid w:val="0047622A"/>
    <w:rsid w:val="00477D33"/>
    <w:rsid w:val="00481294"/>
    <w:rsid w:val="00481EA3"/>
    <w:rsid w:val="00482803"/>
    <w:rsid w:val="00482BBD"/>
    <w:rsid w:val="004833D4"/>
    <w:rsid w:val="004847B1"/>
    <w:rsid w:val="004850E4"/>
    <w:rsid w:val="00485FE7"/>
    <w:rsid w:val="004864A9"/>
    <w:rsid w:val="00486F05"/>
    <w:rsid w:val="004872B0"/>
    <w:rsid w:val="004903CC"/>
    <w:rsid w:val="004909F1"/>
    <w:rsid w:val="0049229F"/>
    <w:rsid w:val="004932BD"/>
    <w:rsid w:val="004932ED"/>
    <w:rsid w:val="004A0000"/>
    <w:rsid w:val="004A0599"/>
    <w:rsid w:val="004A2AC3"/>
    <w:rsid w:val="004A2C08"/>
    <w:rsid w:val="004A4791"/>
    <w:rsid w:val="004A4BFE"/>
    <w:rsid w:val="004A51DC"/>
    <w:rsid w:val="004A587C"/>
    <w:rsid w:val="004A6C0E"/>
    <w:rsid w:val="004A6C32"/>
    <w:rsid w:val="004A6CCA"/>
    <w:rsid w:val="004B15CD"/>
    <w:rsid w:val="004B2B03"/>
    <w:rsid w:val="004B3202"/>
    <w:rsid w:val="004B33F7"/>
    <w:rsid w:val="004B565F"/>
    <w:rsid w:val="004B5C39"/>
    <w:rsid w:val="004B6064"/>
    <w:rsid w:val="004B65D9"/>
    <w:rsid w:val="004B684D"/>
    <w:rsid w:val="004C0036"/>
    <w:rsid w:val="004C10FF"/>
    <w:rsid w:val="004C258A"/>
    <w:rsid w:val="004C318D"/>
    <w:rsid w:val="004C4732"/>
    <w:rsid w:val="004C4A0C"/>
    <w:rsid w:val="004C5D37"/>
    <w:rsid w:val="004C6237"/>
    <w:rsid w:val="004C63A1"/>
    <w:rsid w:val="004C6EF2"/>
    <w:rsid w:val="004C72B7"/>
    <w:rsid w:val="004D0BFB"/>
    <w:rsid w:val="004D0E07"/>
    <w:rsid w:val="004D0EDC"/>
    <w:rsid w:val="004D2218"/>
    <w:rsid w:val="004D254C"/>
    <w:rsid w:val="004D27FA"/>
    <w:rsid w:val="004D2847"/>
    <w:rsid w:val="004D2B67"/>
    <w:rsid w:val="004D426A"/>
    <w:rsid w:val="004D46BC"/>
    <w:rsid w:val="004D50AC"/>
    <w:rsid w:val="004D5940"/>
    <w:rsid w:val="004D5943"/>
    <w:rsid w:val="004D5EC7"/>
    <w:rsid w:val="004D6B8C"/>
    <w:rsid w:val="004D6B9F"/>
    <w:rsid w:val="004D7187"/>
    <w:rsid w:val="004E074B"/>
    <w:rsid w:val="004E1866"/>
    <w:rsid w:val="004E188E"/>
    <w:rsid w:val="004E1D55"/>
    <w:rsid w:val="004E2505"/>
    <w:rsid w:val="004E2664"/>
    <w:rsid w:val="004E32AF"/>
    <w:rsid w:val="004E472E"/>
    <w:rsid w:val="004E4E85"/>
    <w:rsid w:val="004E57C6"/>
    <w:rsid w:val="004E5822"/>
    <w:rsid w:val="004E6202"/>
    <w:rsid w:val="004E72F4"/>
    <w:rsid w:val="004E7E1A"/>
    <w:rsid w:val="004F0197"/>
    <w:rsid w:val="004F0386"/>
    <w:rsid w:val="004F0701"/>
    <w:rsid w:val="004F156A"/>
    <w:rsid w:val="004F161C"/>
    <w:rsid w:val="004F1EBA"/>
    <w:rsid w:val="004F2130"/>
    <w:rsid w:val="004F242D"/>
    <w:rsid w:val="004F2B59"/>
    <w:rsid w:val="004F3CCD"/>
    <w:rsid w:val="004F4260"/>
    <w:rsid w:val="004F5274"/>
    <w:rsid w:val="004F5279"/>
    <w:rsid w:val="004F5CED"/>
    <w:rsid w:val="005001BE"/>
    <w:rsid w:val="00500C48"/>
    <w:rsid w:val="00501379"/>
    <w:rsid w:val="00501CA2"/>
    <w:rsid w:val="00502054"/>
    <w:rsid w:val="00502229"/>
    <w:rsid w:val="005033C2"/>
    <w:rsid w:val="005037FA"/>
    <w:rsid w:val="00503B01"/>
    <w:rsid w:val="00503DED"/>
    <w:rsid w:val="00503E58"/>
    <w:rsid w:val="00504403"/>
    <w:rsid w:val="00504EC7"/>
    <w:rsid w:val="00504EE7"/>
    <w:rsid w:val="00506B39"/>
    <w:rsid w:val="005107C9"/>
    <w:rsid w:val="00510889"/>
    <w:rsid w:val="00510B20"/>
    <w:rsid w:val="00512D8C"/>
    <w:rsid w:val="005130EF"/>
    <w:rsid w:val="00513363"/>
    <w:rsid w:val="005134BC"/>
    <w:rsid w:val="00513A4E"/>
    <w:rsid w:val="0051419B"/>
    <w:rsid w:val="00514601"/>
    <w:rsid w:val="005152C0"/>
    <w:rsid w:val="0051647F"/>
    <w:rsid w:val="00516A0E"/>
    <w:rsid w:val="005178FB"/>
    <w:rsid w:val="00517A40"/>
    <w:rsid w:val="0052158B"/>
    <w:rsid w:val="00521B9C"/>
    <w:rsid w:val="00522EA3"/>
    <w:rsid w:val="005255A4"/>
    <w:rsid w:val="00525BF4"/>
    <w:rsid w:val="00526163"/>
    <w:rsid w:val="00526C32"/>
    <w:rsid w:val="00526E5E"/>
    <w:rsid w:val="0052789D"/>
    <w:rsid w:val="00527F72"/>
    <w:rsid w:val="005304E7"/>
    <w:rsid w:val="00530A83"/>
    <w:rsid w:val="00530AB3"/>
    <w:rsid w:val="00531345"/>
    <w:rsid w:val="0053167B"/>
    <w:rsid w:val="00535C67"/>
    <w:rsid w:val="00536A0E"/>
    <w:rsid w:val="00537213"/>
    <w:rsid w:val="00537A2C"/>
    <w:rsid w:val="0054060A"/>
    <w:rsid w:val="005407A9"/>
    <w:rsid w:val="00543D94"/>
    <w:rsid w:val="00543F54"/>
    <w:rsid w:val="00545973"/>
    <w:rsid w:val="00546790"/>
    <w:rsid w:val="005467A4"/>
    <w:rsid w:val="00546C41"/>
    <w:rsid w:val="005471C0"/>
    <w:rsid w:val="00552553"/>
    <w:rsid w:val="00553151"/>
    <w:rsid w:val="0055323A"/>
    <w:rsid w:val="00553B1F"/>
    <w:rsid w:val="00553E96"/>
    <w:rsid w:val="00555B7F"/>
    <w:rsid w:val="00555E8A"/>
    <w:rsid w:val="00556402"/>
    <w:rsid w:val="00556F16"/>
    <w:rsid w:val="00557227"/>
    <w:rsid w:val="0055741C"/>
    <w:rsid w:val="00557E0D"/>
    <w:rsid w:val="00560ADC"/>
    <w:rsid w:val="00560D60"/>
    <w:rsid w:val="00560F7D"/>
    <w:rsid w:val="0056157B"/>
    <w:rsid w:val="005617CB"/>
    <w:rsid w:val="005617EA"/>
    <w:rsid w:val="00561C56"/>
    <w:rsid w:val="005628F1"/>
    <w:rsid w:val="005651DC"/>
    <w:rsid w:val="00565F46"/>
    <w:rsid w:val="005665E1"/>
    <w:rsid w:val="00566B0E"/>
    <w:rsid w:val="0056725D"/>
    <w:rsid w:val="00567656"/>
    <w:rsid w:val="00570ACF"/>
    <w:rsid w:val="00570D4C"/>
    <w:rsid w:val="00571432"/>
    <w:rsid w:val="0057143A"/>
    <w:rsid w:val="005719E9"/>
    <w:rsid w:val="00571DB3"/>
    <w:rsid w:val="0057315F"/>
    <w:rsid w:val="005751B3"/>
    <w:rsid w:val="00575472"/>
    <w:rsid w:val="005765F0"/>
    <w:rsid w:val="0057708B"/>
    <w:rsid w:val="00580355"/>
    <w:rsid w:val="00580BFD"/>
    <w:rsid w:val="005813BB"/>
    <w:rsid w:val="00582096"/>
    <w:rsid w:val="005853E5"/>
    <w:rsid w:val="005868E1"/>
    <w:rsid w:val="00586A65"/>
    <w:rsid w:val="00587D09"/>
    <w:rsid w:val="00587D5D"/>
    <w:rsid w:val="005913E7"/>
    <w:rsid w:val="0059145B"/>
    <w:rsid w:val="005961B4"/>
    <w:rsid w:val="005A066F"/>
    <w:rsid w:val="005A562B"/>
    <w:rsid w:val="005A660E"/>
    <w:rsid w:val="005A79E3"/>
    <w:rsid w:val="005A7F23"/>
    <w:rsid w:val="005B04A5"/>
    <w:rsid w:val="005B191E"/>
    <w:rsid w:val="005B1C3A"/>
    <w:rsid w:val="005B2C30"/>
    <w:rsid w:val="005B32ED"/>
    <w:rsid w:val="005B3855"/>
    <w:rsid w:val="005B3F57"/>
    <w:rsid w:val="005B4D41"/>
    <w:rsid w:val="005B4FFC"/>
    <w:rsid w:val="005B565E"/>
    <w:rsid w:val="005B6CC5"/>
    <w:rsid w:val="005B6F4D"/>
    <w:rsid w:val="005C09E6"/>
    <w:rsid w:val="005C0E02"/>
    <w:rsid w:val="005C14AA"/>
    <w:rsid w:val="005C3AFC"/>
    <w:rsid w:val="005C4354"/>
    <w:rsid w:val="005C4B52"/>
    <w:rsid w:val="005C5770"/>
    <w:rsid w:val="005C5973"/>
    <w:rsid w:val="005C5AA4"/>
    <w:rsid w:val="005C7B16"/>
    <w:rsid w:val="005D0B98"/>
    <w:rsid w:val="005D0BB0"/>
    <w:rsid w:val="005D21B4"/>
    <w:rsid w:val="005D292C"/>
    <w:rsid w:val="005D2CA8"/>
    <w:rsid w:val="005D34BD"/>
    <w:rsid w:val="005D365E"/>
    <w:rsid w:val="005D390F"/>
    <w:rsid w:val="005D4065"/>
    <w:rsid w:val="005D43D3"/>
    <w:rsid w:val="005D5236"/>
    <w:rsid w:val="005D581B"/>
    <w:rsid w:val="005D5D0E"/>
    <w:rsid w:val="005D6C49"/>
    <w:rsid w:val="005E1CFE"/>
    <w:rsid w:val="005E1E8B"/>
    <w:rsid w:val="005E2099"/>
    <w:rsid w:val="005E2C8F"/>
    <w:rsid w:val="005E3D37"/>
    <w:rsid w:val="005E487C"/>
    <w:rsid w:val="005E5701"/>
    <w:rsid w:val="005E595D"/>
    <w:rsid w:val="005F09E5"/>
    <w:rsid w:val="005F1475"/>
    <w:rsid w:val="005F1DA3"/>
    <w:rsid w:val="005F2146"/>
    <w:rsid w:val="005F34A8"/>
    <w:rsid w:val="005F6038"/>
    <w:rsid w:val="005F6E3D"/>
    <w:rsid w:val="005F73B4"/>
    <w:rsid w:val="005F7778"/>
    <w:rsid w:val="00600DB4"/>
    <w:rsid w:val="00600F43"/>
    <w:rsid w:val="00601D16"/>
    <w:rsid w:val="00602956"/>
    <w:rsid w:val="00605E0F"/>
    <w:rsid w:val="00606343"/>
    <w:rsid w:val="0060657D"/>
    <w:rsid w:val="006070E4"/>
    <w:rsid w:val="00607287"/>
    <w:rsid w:val="006102E2"/>
    <w:rsid w:val="00610875"/>
    <w:rsid w:val="00610FA0"/>
    <w:rsid w:val="00611CAC"/>
    <w:rsid w:val="0061311D"/>
    <w:rsid w:val="006133F1"/>
    <w:rsid w:val="00613E19"/>
    <w:rsid w:val="00614459"/>
    <w:rsid w:val="00615AE8"/>
    <w:rsid w:val="00615B9F"/>
    <w:rsid w:val="00616567"/>
    <w:rsid w:val="00616DAF"/>
    <w:rsid w:val="006179FE"/>
    <w:rsid w:val="00617F6D"/>
    <w:rsid w:val="00620123"/>
    <w:rsid w:val="00620903"/>
    <w:rsid w:val="00624273"/>
    <w:rsid w:val="00624C6F"/>
    <w:rsid w:val="006252A7"/>
    <w:rsid w:val="0062537E"/>
    <w:rsid w:val="006267CC"/>
    <w:rsid w:val="00627228"/>
    <w:rsid w:val="00630435"/>
    <w:rsid w:val="0063073E"/>
    <w:rsid w:val="006328BF"/>
    <w:rsid w:val="006332C6"/>
    <w:rsid w:val="0063339F"/>
    <w:rsid w:val="0063564F"/>
    <w:rsid w:val="00635B8B"/>
    <w:rsid w:val="00635C5E"/>
    <w:rsid w:val="00641046"/>
    <w:rsid w:val="00641E54"/>
    <w:rsid w:val="00642688"/>
    <w:rsid w:val="00642B9E"/>
    <w:rsid w:val="00642CD5"/>
    <w:rsid w:val="0064315B"/>
    <w:rsid w:val="00644105"/>
    <w:rsid w:val="00644BAE"/>
    <w:rsid w:val="00646EDE"/>
    <w:rsid w:val="006470CD"/>
    <w:rsid w:val="00647721"/>
    <w:rsid w:val="006507E7"/>
    <w:rsid w:val="006510EC"/>
    <w:rsid w:val="00651108"/>
    <w:rsid w:val="00651A4C"/>
    <w:rsid w:val="00653C2C"/>
    <w:rsid w:val="00654495"/>
    <w:rsid w:val="00656172"/>
    <w:rsid w:val="00656CE6"/>
    <w:rsid w:val="006604C2"/>
    <w:rsid w:val="00660BBA"/>
    <w:rsid w:val="00660CC7"/>
    <w:rsid w:val="00660CD3"/>
    <w:rsid w:val="00661880"/>
    <w:rsid w:val="006631D9"/>
    <w:rsid w:val="00663A27"/>
    <w:rsid w:val="0066526C"/>
    <w:rsid w:val="00665797"/>
    <w:rsid w:val="0067069A"/>
    <w:rsid w:val="00670754"/>
    <w:rsid w:val="00670A7E"/>
    <w:rsid w:val="00671838"/>
    <w:rsid w:val="00672F03"/>
    <w:rsid w:val="006747E0"/>
    <w:rsid w:val="0067650B"/>
    <w:rsid w:val="006769D0"/>
    <w:rsid w:val="006771CB"/>
    <w:rsid w:val="00677961"/>
    <w:rsid w:val="00680048"/>
    <w:rsid w:val="00680AAE"/>
    <w:rsid w:val="00682048"/>
    <w:rsid w:val="00684077"/>
    <w:rsid w:val="00684FD1"/>
    <w:rsid w:val="006865E4"/>
    <w:rsid w:val="00686957"/>
    <w:rsid w:val="00692534"/>
    <w:rsid w:val="006946DB"/>
    <w:rsid w:val="00694B1F"/>
    <w:rsid w:val="006953E0"/>
    <w:rsid w:val="00696155"/>
    <w:rsid w:val="006A168A"/>
    <w:rsid w:val="006A323C"/>
    <w:rsid w:val="006A3714"/>
    <w:rsid w:val="006A3E53"/>
    <w:rsid w:val="006A4CCB"/>
    <w:rsid w:val="006A4D9F"/>
    <w:rsid w:val="006A4F6D"/>
    <w:rsid w:val="006A52F4"/>
    <w:rsid w:val="006A6ED4"/>
    <w:rsid w:val="006B0775"/>
    <w:rsid w:val="006B26BA"/>
    <w:rsid w:val="006B4806"/>
    <w:rsid w:val="006B5467"/>
    <w:rsid w:val="006B594E"/>
    <w:rsid w:val="006B76D2"/>
    <w:rsid w:val="006C1B94"/>
    <w:rsid w:val="006C212B"/>
    <w:rsid w:val="006C278A"/>
    <w:rsid w:val="006C47B9"/>
    <w:rsid w:val="006C4BFB"/>
    <w:rsid w:val="006C56E0"/>
    <w:rsid w:val="006C59E4"/>
    <w:rsid w:val="006C650E"/>
    <w:rsid w:val="006D00E2"/>
    <w:rsid w:val="006D02B5"/>
    <w:rsid w:val="006D0547"/>
    <w:rsid w:val="006D140C"/>
    <w:rsid w:val="006D1A8B"/>
    <w:rsid w:val="006D2053"/>
    <w:rsid w:val="006D21D2"/>
    <w:rsid w:val="006D229C"/>
    <w:rsid w:val="006D236F"/>
    <w:rsid w:val="006D2428"/>
    <w:rsid w:val="006D4351"/>
    <w:rsid w:val="006D4F68"/>
    <w:rsid w:val="006D598E"/>
    <w:rsid w:val="006D6086"/>
    <w:rsid w:val="006D6103"/>
    <w:rsid w:val="006D6CBA"/>
    <w:rsid w:val="006E26E1"/>
    <w:rsid w:val="006E2BF3"/>
    <w:rsid w:val="006E2D16"/>
    <w:rsid w:val="006E3B64"/>
    <w:rsid w:val="006E4D39"/>
    <w:rsid w:val="006E59F5"/>
    <w:rsid w:val="006E5AAF"/>
    <w:rsid w:val="006E5BA6"/>
    <w:rsid w:val="006E611D"/>
    <w:rsid w:val="006E721B"/>
    <w:rsid w:val="006E7546"/>
    <w:rsid w:val="006F0708"/>
    <w:rsid w:val="006F34A8"/>
    <w:rsid w:val="006F3DD5"/>
    <w:rsid w:val="006F46F9"/>
    <w:rsid w:val="006F6611"/>
    <w:rsid w:val="006F67F7"/>
    <w:rsid w:val="006F7C97"/>
    <w:rsid w:val="007001B7"/>
    <w:rsid w:val="007024D0"/>
    <w:rsid w:val="00702EE4"/>
    <w:rsid w:val="007039A5"/>
    <w:rsid w:val="00704769"/>
    <w:rsid w:val="00705A58"/>
    <w:rsid w:val="007067EF"/>
    <w:rsid w:val="00706DBB"/>
    <w:rsid w:val="00706F5B"/>
    <w:rsid w:val="00707CAA"/>
    <w:rsid w:val="007107D8"/>
    <w:rsid w:val="0071090E"/>
    <w:rsid w:val="00710D01"/>
    <w:rsid w:val="00710F94"/>
    <w:rsid w:val="00711479"/>
    <w:rsid w:val="00711543"/>
    <w:rsid w:val="00711908"/>
    <w:rsid w:val="00712A27"/>
    <w:rsid w:val="0071395B"/>
    <w:rsid w:val="00713F87"/>
    <w:rsid w:val="0071435B"/>
    <w:rsid w:val="0071543A"/>
    <w:rsid w:val="00716F69"/>
    <w:rsid w:val="0071734A"/>
    <w:rsid w:val="00720335"/>
    <w:rsid w:val="007205D4"/>
    <w:rsid w:val="00720A8E"/>
    <w:rsid w:val="00722605"/>
    <w:rsid w:val="007233B3"/>
    <w:rsid w:val="00723A32"/>
    <w:rsid w:val="00724178"/>
    <w:rsid w:val="00724E78"/>
    <w:rsid w:val="00726402"/>
    <w:rsid w:val="0072759E"/>
    <w:rsid w:val="00727972"/>
    <w:rsid w:val="007304BA"/>
    <w:rsid w:val="007307DD"/>
    <w:rsid w:val="00730816"/>
    <w:rsid w:val="00733383"/>
    <w:rsid w:val="007341EE"/>
    <w:rsid w:val="00735249"/>
    <w:rsid w:val="00735397"/>
    <w:rsid w:val="00735821"/>
    <w:rsid w:val="007409C0"/>
    <w:rsid w:val="00740DAC"/>
    <w:rsid w:val="00741138"/>
    <w:rsid w:val="007418A0"/>
    <w:rsid w:val="00741F63"/>
    <w:rsid w:val="007422D9"/>
    <w:rsid w:val="007426B5"/>
    <w:rsid w:val="00743B19"/>
    <w:rsid w:val="0074434A"/>
    <w:rsid w:val="0074483F"/>
    <w:rsid w:val="00745B63"/>
    <w:rsid w:val="00746465"/>
    <w:rsid w:val="00747C27"/>
    <w:rsid w:val="00747EB6"/>
    <w:rsid w:val="00750816"/>
    <w:rsid w:val="00750D6E"/>
    <w:rsid w:val="00751AE1"/>
    <w:rsid w:val="007535F5"/>
    <w:rsid w:val="007545E9"/>
    <w:rsid w:val="00754EB1"/>
    <w:rsid w:val="007555BE"/>
    <w:rsid w:val="007558F0"/>
    <w:rsid w:val="007561DE"/>
    <w:rsid w:val="007569A4"/>
    <w:rsid w:val="00756DF5"/>
    <w:rsid w:val="007577B9"/>
    <w:rsid w:val="0076162C"/>
    <w:rsid w:val="007633FC"/>
    <w:rsid w:val="00765126"/>
    <w:rsid w:val="00765D2D"/>
    <w:rsid w:val="00766767"/>
    <w:rsid w:val="00770F82"/>
    <w:rsid w:val="00771C3B"/>
    <w:rsid w:val="007721BD"/>
    <w:rsid w:val="00772605"/>
    <w:rsid w:val="007732F9"/>
    <w:rsid w:val="0077357F"/>
    <w:rsid w:val="0077548C"/>
    <w:rsid w:val="0077559A"/>
    <w:rsid w:val="007756BC"/>
    <w:rsid w:val="007762F5"/>
    <w:rsid w:val="00777897"/>
    <w:rsid w:val="0078012C"/>
    <w:rsid w:val="00780533"/>
    <w:rsid w:val="00782BCD"/>
    <w:rsid w:val="007839B4"/>
    <w:rsid w:val="00786E4F"/>
    <w:rsid w:val="00787305"/>
    <w:rsid w:val="00790A53"/>
    <w:rsid w:val="00792004"/>
    <w:rsid w:val="00793F76"/>
    <w:rsid w:val="00794DF6"/>
    <w:rsid w:val="00795771"/>
    <w:rsid w:val="007958F0"/>
    <w:rsid w:val="007A0153"/>
    <w:rsid w:val="007A3DD4"/>
    <w:rsid w:val="007A4611"/>
    <w:rsid w:val="007A4E5D"/>
    <w:rsid w:val="007A5398"/>
    <w:rsid w:val="007A6724"/>
    <w:rsid w:val="007A79C6"/>
    <w:rsid w:val="007B145A"/>
    <w:rsid w:val="007B17C5"/>
    <w:rsid w:val="007B406D"/>
    <w:rsid w:val="007B43D1"/>
    <w:rsid w:val="007B512F"/>
    <w:rsid w:val="007B57B4"/>
    <w:rsid w:val="007B6EC5"/>
    <w:rsid w:val="007C0570"/>
    <w:rsid w:val="007C1589"/>
    <w:rsid w:val="007C2BBE"/>
    <w:rsid w:val="007C34E1"/>
    <w:rsid w:val="007C358D"/>
    <w:rsid w:val="007C3E48"/>
    <w:rsid w:val="007C49CC"/>
    <w:rsid w:val="007C4E62"/>
    <w:rsid w:val="007C5B11"/>
    <w:rsid w:val="007C63ED"/>
    <w:rsid w:val="007C66EA"/>
    <w:rsid w:val="007C6FA7"/>
    <w:rsid w:val="007C7124"/>
    <w:rsid w:val="007C73FC"/>
    <w:rsid w:val="007D4029"/>
    <w:rsid w:val="007D45E5"/>
    <w:rsid w:val="007D4EFF"/>
    <w:rsid w:val="007D58EC"/>
    <w:rsid w:val="007D65C0"/>
    <w:rsid w:val="007D6B61"/>
    <w:rsid w:val="007D6BD1"/>
    <w:rsid w:val="007D75CF"/>
    <w:rsid w:val="007D7947"/>
    <w:rsid w:val="007D7F27"/>
    <w:rsid w:val="007E0A1C"/>
    <w:rsid w:val="007E0D2C"/>
    <w:rsid w:val="007E0D85"/>
    <w:rsid w:val="007E1057"/>
    <w:rsid w:val="007E18D1"/>
    <w:rsid w:val="007E3687"/>
    <w:rsid w:val="007E5589"/>
    <w:rsid w:val="007E5E63"/>
    <w:rsid w:val="007E781D"/>
    <w:rsid w:val="007E7A83"/>
    <w:rsid w:val="007F070F"/>
    <w:rsid w:val="007F0C13"/>
    <w:rsid w:val="007F36B4"/>
    <w:rsid w:val="007F403F"/>
    <w:rsid w:val="007F4159"/>
    <w:rsid w:val="007F4279"/>
    <w:rsid w:val="007F437A"/>
    <w:rsid w:val="007F710D"/>
    <w:rsid w:val="007F7172"/>
    <w:rsid w:val="0080017F"/>
    <w:rsid w:val="008007F0"/>
    <w:rsid w:val="008008B7"/>
    <w:rsid w:val="00800D67"/>
    <w:rsid w:val="00801825"/>
    <w:rsid w:val="00802224"/>
    <w:rsid w:val="0080343C"/>
    <w:rsid w:val="00804408"/>
    <w:rsid w:val="008048C8"/>
    <w:rsid w:val="008058DA"/>
    <w:rsid w:val="00807153"/>
    <w:rsid w:val="00807772"/>
    <w:rsid w:val="008079BE"/>
    <w:rsid w:val="00810810"/>
    <w:rsid w:val="008128F8"/>
    <w:rsid w:val="008141FD"/>
    <w:rsid w:val="00816876"/>
    <w:rsid w:val="00816E31"/>
    <w:rsid w:val="0081746D"/>
    <w:rsid w:val="00817BB0"/>
    <w:rsid w:val="0082032B"/>
    <w:rsid w:val="00821EFA"/>
    <w:rsid w:val="00822853"/>
    <w:rsid w:val="00822BF3"/>
    <w:rsid w:val="00826CC6"/>
    <w:rsid w:val="00826D31"/>
    <w:rsid w:val="00827341"/>
    <w:rsid w:val="00827F20"/>
    <w:rsid w:val="008308E6"/>
    <w:rsid w:val="008331AE"/>
    <w:rsid w:val="008333CD"/>
    <w:rsid w:val="00833A6D"/>
    <w:rsid w:val="00833B23"/>
    <w:rsid w:val="00834600"/>
    <w:rsid w:val="00835521"/>
    <w:rsid w:val="00835539"/>
    <w:rsid w:val="00837990"/>
    <w:rsid w:val="00837F32"/>
    <w:rsid w:val="00837F9C"/>
    <w:rsid w:val="0084133F"/>
    <w:rsid w:val="0084232B"/>
    <w:rsid w:val="008426A8"/>
    <w:rsid w:val="00842766"/>
    <w:rsid w:val="0084341D"/>
    <w:rsid w:val="00844BAE"/>
    <w:rsid w:val="0084703F"/>
    <w:rsid w:val="00847B58"/>
    <w:rsid w:val="008502E7"/>
    <w:rsid w:val="008503A4"/>
    <w:rsid w:val="00850E45"/>
    <w:rsid w:val="00851741"/>
    <w:rsid w:val="00851B56"/>
    <w:rsid w:val="00852429"/>
    <w:rsid w:val="008528F0"/>
    <w:rsid w:val="008533D0"/>
    <w:rsid w:val="00853933"/>
    <w:rsid w:val="00854A23"/>
    <w:rsid w:val="00854DB8"/>
    <w:rsid w:val="00857BB0"/>
    <w:rsid w:val="0086019B"/>
    <w:rsid w:val="00860669"/>
    <w:rsid w:val="0086078A"/>
    <w:rsid w:val="0086190F"/>
    <w:rsid w:val="00861C8D"/>
    <w:rsid w:val="008626A0"/>
    <w:rsid w:val="0086320F"/>
    <w:rsid w:val="00863E1E"/>
    <w:rsid w:val="008641B1"/>
    <w:rsid w:val="0086485A"/>
    <w:rsid w:val="00865420"/>
    <w:rsid w:val="00866F87"/>
    <w:rsid w:val="00866F8A"/>
    <w:rsid w:val="00867CD3"/>
    <w:rsid w:val="00872692"/>
    <w:rsid w:val="00872806"/>
    <w:rsid w:val="00872FB5"/>
    <w:rsid w:val="00873221"/>
    <w:rsid w:val="00873808"/>
    <w:rsid w:val="00874E7C"/>
    <w:rsid w:val="00875225"/>
    <w:rsid w:val="00875B85"/>
    <w:rsid w:val="00875D46"/>
    <w:rsid w:val="008769DE"/>
    <w:rsid w:val="00876F4C"/>
    <w:rsid w:val="00880F94"/>
    <w:rsid w:val="008810B0"/>
    <w:rsid w:val="00881204"/>
    <w:rsid w:val="00881A7A"/>
    <w:rsid w:val="00881E8E"/>
    <w:rsid w:val="008838FF"/>
    <w:rsid w:val="0088393D"/>
    <w:rsid w:val="00884651"/>
    <w:rsid w:val="00890866"/>
    <w:rsid w:val="00890B46"/>
    <w:rsid w:val="00892933"/>
    <w:rsid w:val="00892B33"/>
    <w:rsid w:val="00892C16"/>
    <w:rsid w:val="008931C1"/>
    <w:rsid w:val="0089330A"/>
    <w:rsid w:val="0089370B"/>
    <w:rsid w:val="00893B6F"/>
    <w:rsid w:val="00893D99"/>
    <w:rsid w:val="00895219"/>
    <w:rsid w:val="00896148"/>
    <w:rsid w:val="00897804"/>
    <w:rsid w:val="008A0954"/>
    <w:rsid w:val="008A18E9"/>
    <w:rsid w:val="008A20BD"/>
    <w:rsid w:val="008A2558"/>
    <w:rsid w:val="008A27CE"/>
    <w:rsid w:val="008A2BFC"/>
    <w:rsid w:val="008A4926"/>
    <w:rsid w:val="008A7051"/>
    <w:rsid w:val="008B015D"/>
    <w:rsid w:val="008B1B4E"/>
    <w:rsid w:val="008B36E8"/>
    <w:rsid w:val="008B3B87"/>
    <w:rsid w:val="008B7415"/>
    <w:rsid w:val="008B7F65"/>
    <w:rsid w:val="008C07CF"/>
    <w:rsid w:val="008C0DCA"/>
    <w:rsid w:val="008C3267"/>
    <w:rsid w:val="008C4398"/>
    <w:rsid w:val="008C48BA"/>
    <w:rsid w:val="008C50AF"/>
    <w:rsid w:val="008C533F"/>
    <w:rsid w:val="008C5665"/>
    <w:rsid w:val="008C76AB"/>
    <w:rsid w:val="008C7CD7"/>
    <w:rsid w:val="008C7ED9"/>
    <w:rsid w:val="008D11B1"/>
    <w:rsid w:val="008D266F"/>
    <w:rsid w:val="008D3260"/>
    <w:rsid w:val="008D3C89"/>
    <w:rsid w:val="008D44D8"/>
    <w:rsid w:val="008D527C"/>
    <w:rsid w:val="008E0863"/>
    <w:rsid w:val="008E1289"/>
    <w:rsid w:val="008E12A7"/>
    <w:rsid w:val="008E1D54"/>
    <w:rsid w:val="008E2C03"/>
    <w:rsid w:val="008E4C8B"/>
    <w:rsid w:val="008E609B"/>
    <w:rsid w:val="008E617A"/>
    <w:rsid w:val="008E6328"/>
    <w:rsid w:val="008E6AA6"/>
    <w:rsid w:val="008E6CE8"/>
    <w:rsid w:val="008E6F86"/>
    <w:rsid w:val="008E75C9"/>
    <w:rsid w:val="008F0641"/>
    <w:rsid w:val="008F0858"/>
    <w:rsid w:val="008F0BE1"/>
    <w:rsid w:val="008F205A"/>
    <w:rsid w:val="008F53CC"/>
    <w:rsid w:val="008F58C1"/>
    <w:rsid w:val="008F5C88"/>
    <w:rsid w:val="008F6091"/>
    <w:rsid w:val="008F75C1"/>
    <w:rsid w:val="00900E43"/>
    <w:rsid w:val="00901A9B"/>
    <w:rsid w:val="00904F78"/>
    <w:rsid w:val="009069CA"/>
    <w:rsid w:val="00906EBE"/>
    <w:rsid w:val="0090708B"/>
    <w:rsid w:val="009074F5"/>
    <w:rsid w:val="0090799F"/>
    <w:rsid w:val="00907C6D"/>
    <w:rsid w:val="00907E24"/>
    <w:rsid w:val="009100D3"/>
    <w:rsid w:val="009107F8"/>
    <w:rsid w:val="0091084C"/>
    <w:rsid w:val="0091253E"/>
    <w:rsid w:val="00912873"/>
    <w:rsid w:val="00913133"/>
    <w:rsid w:val="009133A2"/>
    <w:rsid w:val="00914092"/>
    <w:rsid w:val="0091644D"/>
    <w:rsid w:val="00916CC3"/>
    <w:rsid w:val="00917FF4"/>
    <w:rsid w:val="00920FC1"/>
    <w:rsid w:val="0092112B"/>
    <w:rsid w:val="00922A7F"/>
    <w:rsid w:val="00922E7B"/>
    <w:rsid w:val="00923D4D"/>
    <w:rsid w:val="00923D77"/>
    <w:rsid w:val="00924278"/>
    <w:rsid w:val="00924689"/>
    <w:rsid w:val="009254E1"/>
    <w:rsid w:val="0092589F"/>
    <w:rsid w:val="009270C1"/>
    <w:rsid w:val="0092726F"/>
    <w:rsid w:val="0093070A"/>
    <w:rsid w:val="00930FC2"/>
    <w:rsid w:val="00931445"/>
    <w:rsid w:val="009316C1"/>
    <w:rsid w:val="009319F6"/>
    <w:rsid w:val="00932EF0"/>
    <w:rsid w:val="00933A64"/>
    <w:rsid w:val="00934B8D"/>
    <w:rsid w:val="009350C5"/>
    <w:rsid w:val="00935C95"/>
    <w:rsid w:val="0093620F"/>
    <w:rsid w:val="00936407"/>
    <w:rsid w:val="00936656"/>
    <w:rsid w:val="00937979"/>
    <w:rsid w:val="00937D74"/>
    <w:rsid w:val="00937DA2"/>
    <w:rsid w:val="00940331"/>
    <w:rsid w:val="00940506"/>
    <w:rsid w:val="0094165F"/>
    <w:rsid w:val="00941FE3"/>
    <w:rsid w:val="0094293A"/>
    <w:rsid w:val="00943687"/>
    <w:rsid w:val="00943B0B"/>
    <w:rsid w:val="00943D9D"/>
    <w:rsid w:val="00945513"/>
    <w:rsid w:val="009455A3"/>
    <w:rsid w:val="00945A90"/>
    <w:rsid w:val="00945C04"/>
    <w:rsid w:val="009461E3"/>
    <w:rsid w:val="00946229"/>
    <w:rsid w:val="00946A76"/>
    <w:rsid w:val="00946B1F"/>
    <w:rsid w:val="00946ECB"/>
    <w:rsid w:val="00951DA4"/>
    <w:rsid w:val="00952C23"/>
    <w:rsid w:val="00953976"/>
    <w:rsid w:val="0095564E"/>
    <w:rsid w:val="00955CED"/>
    <w:rsid w:val="00955CFA"/>
    <w:rsid w:val="009564B2"/>
    <w:rsid w:val="0096168C"/>
    <w:rsid w:val="0096174F"/>
    <w:rsid w:val="00962BFF"/>
    <w:rsid w:val="00962CA1"/>
    <w:rsid w:val="00963600"/>
    <w:rsid w:val="00964942"/>
    <w:rsid w:val="00964E8F"/>
    <w:rsid w:val="009650FF"/>
    <w:rsid w:val="00965193"/>
    <w:rsid w:val="00965B8D"/>
    <w:rsid w:val="00965F23"/>
    <w:rsid w:val="00966186"/>
    <w:rsid w:val="0096757B"/>
    <w:rsid w:val="0096791D"/>
    <w:rsid w:val="00967EBD"/>
    <w:rsid w:val="00970180"/>
    <w:rsid w:val="00970388"/>
    <w:rsid w:val="00973366"/>
    <w:rsid w:val="00973ADC"/>
    <w:rsid w:val="00975160"/>
    <w:rsid w:val="00976175"/>
    <w:rsid w:val="009769A9"/>
    <w:rsid w:val="0097712B"/>
    <w:rsid w:val="00977428"/>
    <w:rsid w:val="00977DEC"/>
    <w:rsid w:val="0098029C"/>
    <w:rsid w:val="0098145C"/>
    <w:rsid w:val="0098148B"/>
    <w:rsid w:val="0098169D"/>
    <w:rsid w:val="00981E77"/>
    <w:rsid w:val="00985118"/>
    <w:rsid w:val="0098648C"/>
    <w:rsid w:val="009870A2"/>
    <w:rsid w:val="009873DD"/>
    <w:rsid w:val="00990C28"/>
    <w:rsid w:val="00990EA8"/>
    <w:rsid w:val="009912F4"/>
    <w:rsid w:val="0099179F"/>
    <w:rsid w:val="00991AD6"/>
    <w:rsid w:val="00992789"/>
    <w:rsid w:val="00992845"/>
    <w:rsid w:val="009929FD"/>
    <w:rsid w:val="009934B4"/>
    <w:rsid w:val="00993573"/>
    <w:rsid w:val="00994D7F"/>
    <w:rsid w:val="0099607B"/>
    <w:rsid w:val="0099690E"/>
    <w:rsid w:val="00997D45"/>
    <w:rsid w:val="009A0BE5"/>
    <w:rsid w:val="009A1E19"/>
    <w:rsid w:val="009A2400"/>
    <w:rsid w:val="009A2707"/>
    <w:rsid w:val="009A27CD"/>
    <w:rsid w:val="009A2F60"/>
    <w:rsid w:val="009A3C91"/>
    <w:rsid w:val="009A46CA"/>
    <w:rsid w:val="009A4C23"/>
    <w:rsid w:val="009A4DAE"/>
    <w:rsid w:val="009A5F53"/>
    <w:rsid w:val="009A6AF3"/>
    <w:rsid w:val="009A72FB"/>
    <w:rsid w:val="009B07ED"/>
    <w:rsid w:val="009B0C88"/>
    <w:rsid w:val="009B154F"/>
    <w:rsid w:val="009B2135"/>
    <w:rsid w:val="009B29C5"/>
    <w:rsid w:val="009B2E72"/>
    <w:rsid w:val="009B482C"/>
    <w:rsid w:val="009B483A"/>
    <w:rsid w:val="009B4CDD"/>
    <w:rsid w:val="009B4D2B"/>
    <w:rsid w:val="009B5D42"/>
    <w:rsid w:val="009B628C"/>
    <w:rsid w:val="009B6A15"/>
    <w:rsid w:val="009B7802"/>
    <w:rsid w:val="009B7C93"/>
    <w:rsid w:val="009C0FBF"/>
    <w:rsid w:val="009C111D"/>
    <w:rsid w:val="009C27CB"/>
    <w:rsid w:val="009C2D6B"/>
    <w:rsid w:val="009C2E20"/>
    <w:rsid w:val="009C31AF"/>
    <w:rsid w:val="009C4141"/>
    <w:rsid w:val="009C4B5E"/>
    <w:rsid w:val="009C5174"/>
    <w:rsid w:val="009C6A4D"/>
    <w:rsid w:val="009C6C54"/>
    <w:rsid w:val="009D056E"/>
    <w:rsid w:val="009D0684"/>
    <w:rsid w:val="009D1568"/>
    <w:rsid w:val="009D1C3C"/>
    <w:rsid w:val="009D1DE2"/>
    <w:rsid w:val="009D1E4B"/>
    <w:rsid w:val="009D1F78"/>
    <w:rsid w:val="009D3C81"/>
    <w:rsid w:val="009D3FD8"/>
    <w:rsid w:val="009D469B"/>
    <w:rsid w:val="009D5858"/>
    <w:rsid w:val="009D6671"/>
    <w:rsid w:val="009E11A4"/>
    <w:rsid w:val="009E1D73"/>
    <w:rsid w:val="009E2836"/>
    <w:rsid w:val="009E2930"/>
    <w:rsid w:val="009E2A99"/>
    <w:rsid w:val="009E2BE9"/>
    <w:rsid w:val="009E6C7D"/>
    <w:rsid w:val="009E7410"/>
    <w:rsid w:val="009E74CE"/>
    <w:rsid w:val="009E757A"/>
    <w:rsid w:val="009F0E5E"/>
    <w:rsid w:val="009F11AB"/>
    <w:rsid w:val="009F1397"/>
    <w:rsid w:val="009F2182"/>
    <w:rsid w:val="009F26E0"/>
    <w:rsid w:val="009F2CEA"/>
    <w:rsid w:val="009F2D56"/>
    <w:rsid w:val="009F3F03"/>
    <w:rsid w:val="009F4F46"/>
    <w:rsid w:val="009F4FC1"/>
    <w:rsid w:val="009F4FF9"/>
    <w:rsid w:val="009F5210"/>
    <w:rsid w:val="009F5B65"/>
    <w:rsid w:val="009F6570"/>
    <w:rsid w:val="009F667F"/>
    <w:rsid w:val="009F7052"/>
    <w:rsid w:val="00A01FA8"/>
    <w:rsid w:val="00A02A21"/>
    <w:rsid w:val="00A02E33"/>
    <w:rsid w:val="00A03C61"/>
    <w:rsid w:val="00A05423"/>
    <w:rsid w:val="00A05F7F"/>
    <w:rsid w:val="00A10EB8"/>
    <w:rsid w:val="00A11261"/>
    <w:rsid w:val="00A12DF7"/>
    <w:rsid w:val="00A13392"/>
    <w:rsid w:val="00A13444"/>
    <w:rsid w:val="00A13607"/>
    <w:rsid w:val="00A14BF2"/>
    <w:rsid w:val="00A1546F"/>
    <w:rsid w:val="00A16B2A"/>
    <w:rsid w:val="00A2041B"/>
    <w:rsid w:val="00A21098"/>
    <w:rsid w:val="00A22645"/>
    <w:rsid w:val="00A22F07"/>
    <w:rsid w:val="00A23D85"/>
    <w:rsid w:val="00A243D5"/>
    <w:rsid w:val="00A30858"/>
    <w:rsid w:val="00A31429"/>
    <w:rsid w:val="00A32256"/>
    <w:rsid w:val="00A32BDF"/>
    <w:rsid w:val="00A34980"/>
    <w:rsid w:val="00A34B2A"/>
    <w:rsid w:val="00A3513B"/>
    <w:rsid w:val="00A35BB7"/>
    <w:rsid w:val="00A36793"/>
    <w:rsid w:val="00A37014"/>
    <w:rsid w:val="00A402DC"/>
    <w:rsid w:val="00A408CC"/>
    <w:rsid w:val="00A41426"/>
    <w:rsid w:val="00A43400"/>
    <w:rsid w:val="00A4384E"/>
    <w:rsid w:val="00A51B1E"/>
    <w:rsid w:val="00A52B6E"/>
    <w:rsid w:val="00A5390E"/>
    <w:rsid w:val="00A53C79"/>
    <w:rsid w:val="00A5435A"/>
    <w:rsid w:val="00A544C9"/>
    <w:rsid w:val="00A54B1D"/>
    <w:rsid w:val="00A5520A"/>
    <w:rsid w:val="00A55E7F"/>
    <w:rsid w:val="00A56A24"/>
    <w:rsid w:val="00A57705"/>
    <w:rsid w:val="00A602F9"/>
    <w:rsid w:val="00A624F6"/>
    <w:rsid w:val="00A62C66"/>
    <w:rsid w:val="00A63CD1"/>
    <w:rsid w:val="00A64197"/>
    <w:rsid w:val="00A64491"/>
    <w:rsid w:val="00A6531A"/>
    <w:rsid w:val="00A6613A"/>
    <w:rsid w:val="00A67BA8"/>
    <w:rsid w:val="00A70B51"/>
    <w:rsid w:val="00A70BC5"/>
    <w:rsid w:val="00A70D94"/>
    <w:rsid w:val="00A72EE2"/>
    <w:rsid w:val="00A74CD9"/>
    <w:rsid w:val="00A75561"/>
    <w:rsid w:val="00A7585B"/>
    <w:rsid w:val="00A77E62"/>
    <w:rsid w:val="00A82BD3"/>
    <w:rsid w:val="00A833E5"/>
    <w:rsid w:val="00A837A0"/>
    <w:rsid w:val="00A84D69"/>
    <w:rsid w:val="00A8699E"/>
    <w:rsid w:val="00A86B30"/>
    <w:rsid w:val="00A87DCF"/>
    <w:rsid w:val="00A902DD"/>
    <w:rsid w:val="00A902F8"/>
    <w:rsid w:val="00A90C1F"/>
    <w:rsid w:val="00A91178"/>
    <w:rsid w:val="00A914AF"/>
    <w:rsid w:val="00A920B5"/>
    <w:rsid w:val="00A92415"/>
    <w:rsid w:val="00A925C8"/>
    <w:rsid w:val="00A92C42"/>
    <w:rsid w:val="00A9410C"/>
    <w:rsid w:val="00A943E4"/>
    <w:rsid w:val="00A9447B"/>
    <w:rsid w:val="00A9452B"/>
    <w:rsid w:val="00A968DB"/>
    <w:rsid w:val="00A97CF2"/>
    <w:rsid w:val="00AA1E7E"/>
    <w:rsid w:val="00AA2C50"/>
    <w:rsid w:val="00AA3014"/>
    <w:rsid w:val="00AA310D"/>
    <w:rsid w:val="00AA3BDA"/>
    <w:rsid w:val="00AA4F9A"/>
    <w:rsid w:val="00AA5D66"/>
    <w:rsid w:val="00AA5D67"/>
    <w:rsid w:val="00AA5E2A"/>
    <w:rsid w:val="00AA679D"/>
    <w:rsid w:val="00AA7FA9"/>
    <w:rsid w:val="00AB1F8B"/>
    <w:rsid w:val="00AB21B1"/>
    <w:rsid w:val="00AB3188"/>
    <w:rsid w:val="00AB3E92"/>
    <w:rsid w:val="00AB41E9"/>
    <w:rsid w:val="00AB4629"/>
    <w:rsid w:val="00AB51BD"/>
    <w:rsid w:val="00AB5F0A"/>
    <w:rsid w:val="00AB684F"/>
    <w:rsid w:val="00AB72F0"/>
    <w:rsid w:val="00AB79E7"/>
    <w:rsid w:val="00AC0D0A"/>
    <w:rsid w:val="00AC0E9F"/>
    <w:rsid w:val="00AC32C8"/>
    <w:rsid w:val="00AC3507"/>
    <w:rsid w:val="00AC3903"/>
    <w:rsid w:val="00AC3F78"/>
    <w:rsid w:val="00AC40B8"/>
    <w:rsid w:val="00AC442E"/>
    <w:rsid w:val="00AC4ACA"/>
    <w:rsid w:val="00AC502A"/>
    <w:rsid w:val="00AC5097"/>
    <w:rsid w:val="00AC5238"/>
    <w:rsid w:val="00AC529B"/>
    <w:rsid w:val="00AC644E"/>
    <w:rsid w:val="00AC7539"/>
    <w:rsid w:val="00AD1857"/>
    <w:rsid w:val="00AD2F81"/>
    <w:rsid w:val="00AD3485"/>
    <w:rsid w:val="00AD38B5"/>
    <w:rsid w:val="00AD3963"/>
    <w:rsid w:val="00AD3B35"/>
    <w:rsid w:val="00AD3F93"/>
    <w:rsid w:val="00AD4974"/>
    <w:rsid w:val="00AD56E8"/>
    <w:rsid w:val="00AD5FE2"/>
    <w:rsid w:val="00AD64E9"/>
    <w:rsid w:val="00AD7BBE"/>
    <w:rsid w:val="00AE087A"/>
    <w:rsid w:val="00AE0D09"/>
    <w:rsid w:val="00AE1EE7"/>
    <w:rsid w:val="00AE24BD"/>
    <w:rsid w:val="00AE297A"/>
    <w:rsid w:val="00AE2D26"/>
    <w:rsid w:val="00AE32BE"/>
    <w:rsid w:val="00AE41A4"/>
    <w:rsid w:val="00AE53B1"/>
    <w:rsid w:val="00AF0414"/>
    <w:rsid w:val="00AF1241"/>
    <w:rsid w:val="00AF205A"/>
    <w:rsid w:val="00AF2F8E"/>
    <w:rsid w:val="00AF3B28"/>
    <w:rsid w:val="00AF4B21"/>
    <w:rsid w:val="00AF4B84"/>
    <w:rsid w:val="00AF612E"/>
    <w:rsid w:val="00B0084B"/>
    <w:rsid w:val="00B00889"/>
    <w:rsid w:val="00B01999"/>
    <w:rsid w:val="00B01F06"/>
    <w:rsid w:val="00B0220D"/>
    <w:rsid w:val="00B03DF0"/>
    <w:rsid w:val="00B0488E"/>
    <w:rsid w:val="00B048F3"/>
    <w:rsid w:val="00B04D2C"/>
    <w:rsid w:val="00B0595C"/>
    <w:rsid w:val="00B067A6"/>
    <w:rsid w:val="00B06BA0"/>
    <w:rsid w:val="00B07183"/>
    <w:rsid w:val="00B114F2"/>
    <w:rsid w:val="00B12DE3"/>
    <w:rsid w:val="00B12F28"/>
    <w:rsid w:val="00B142AD"/>
    <w:rsid w:val="00B152FC"/>
    <w:rsid w:val="00B156D9"/>
    <w:rsid w:val="00B17FC2"/>
    <w:rsid w:val="00B20460"/>
    <w:rsid w:val="00B204D9"/>
    <w:rsid w:val="00B20807"/>
    <w:rsid w:val="00B20E3A"/>
    <w:rsid w:val="00B249B3"/>
    <w:rsid w:val="00B2638A"/>
    <w:rsid w:val="00B26FB9"/>
    <w:rsid w:val="00B27173"/>
    <w:rsid w:val="00B30280"/>
    <w:rsid w:val="00B30994"/>
    <w:rsid w:val="00B31E98"/>
    <w:rsid w:val="00B323C4"/>
    <w:rsid w:val="00B33394"/>
    <w:rsid w:val="00B35A88"/>
    <w:rsid w:val="00B35B9D"/>
    <w:rsid w:val="00B35CD5"/>
    <w:rsid w:val="00B36F4F"/>
    <w:rsid w:val="00B37F2D"/>
    <w:rsid w:val="00B41A5D"/>
    <w:rsid w:val="00B41D92"/>
    <w:rsid w:val="00B439E6"/>
    <w:rsid w:val="00B43D01"/>
    <w:rsid w:val="00B43F0B"/>
    <w:rsid w:val="00B44466"/>
    <w:rsid w:val="00B45404"/>
    <w:rsid w:val="00B45E93"/>
    <w:rsid w:val="00B46A18"/>
    <w:rsid w:val="00B506E4"/>
    <w:rsid w:val="00B50779"/>
    <w:rsid w:val="00B50A98"/>
    <w:rsid w:val="00B5163D"/>
    <w:rsid w:val="00B51883"/>
    <w:rsid w:val="00B520D5"/>
    <w:rsid w:val="00B53186"/>
    <w:rsid w:val="00B53C62"/>
    <w:rsid w:val="00B547BA"/>
    <w:rsid w:val="00B54BD4"/>
    <w:rsid w:val="00B55662"/>
    <w:rsid w:val="00B5759A"/>
    <w:rsid w:val="00B57D2C"/>
    <w:rsid w:val="00B60114"/>
    <w:rsid w:val="00B609B8"/>
    <w:rsid w:val="00B60D7E"/>
    <w:rsid w:val="00B60E0F"/>
    <w:rsid w:val="00B60F0B"/>
    <w:rsid w:val="00B629DC"/>
    <w:rsid w:val="00B62C41"/>
    <w:rsid w:val="00B6344F"/>
    <w:rsid w:val="00B63BBB"/>
    <w:rsid w:val="00B64E2C"/>
    <w:rsid w:val="00B64EA5"/>
    <w:rsid w:val="00B65BB0"/>
    <w:rsid w:val="00B66076"/>
    <w:rsid w:val="00B6668C"/>
    <w:rsid w:val="00B6739A"/>
    <w:rsid w:val="00B70FF7"/>
    <w:rsid w:val="00B7322E"/>
    <w:rsid w:val="00B73905"/>
    <w:rsid w:val="00B73C2E"/>
    <w:rsid w:val="00B73ED9"/>
    <w:rsid w:val="00B74A1D"/>
    <w:rsid w:val="00B758A4"/>
    <w:rsid w:val="00B762FE"/>
    <w:rsid w:val="00B76E11"/>
    <w:rsid w:val="00B773B5"/>
    <w:rsid w:val="00B81991"/>
    <w:rsid w:val="00B81E89"/>
    <w:rsid w:val="00B839E8"/>
    <w:rsid w:val="00B83D1F"/>
    <w:rsid w:val="00B842A7"/>
    <w:rsid w:val="00B84395"/>
    <w:rsid w:val="00B846A3"/>
    <w:rsid w:val="00B84E2D"/>
    <w:rsid w:val="00B858CD"/>
    <w:rsid w:val="00B86B8B"/>
    <w:rsid w:val="00B86BBC"/>
    <w:rsid w:val="00B87DEF"/>
    <w:rsid w:val="00B90114"/>
    <w:rsid w:val="00B90E2C"/>
    <w:rsid w:val="00B911CD"/>
    <w:rsid w:val="00B91F57"/>
    <w:rsid w:val="00B91F80"/>
    <w:rsid w:val="00B9269D"/>
    <w:rsid w:val="00B92FBB"/>
    <w:rsid w:val="00B94709"/>
    <w:rsid w:val="00B96F53"/>
    <w:rsid w:val="00B97991"/>
    <w:rsid w:val="00B97A2E"/>
    <w:rsid w:val="00B97B11"/>
    <w:rsid w:val="00BA072B"/>
    <w:rsid w:val="00BA0E19"/>
    <w:rsid w:val="00BA3BF5"/>
    <w:rsid w:val="00BA3D75"/>
    <w:rsid w:val="00BA3E75"/>
    <w:rsid w:val="00BA6B3B"/>
    <w:rsid w:val="00BA749E"/>
    <w:rsid w:val="00BA772C"/>
    <w:rsid w:val="00BA7B4D"/>
    <w:rsid w:val="00BA7F7B"/>
    <w:rsid w:val="00BB07D0"/>
    <w:rsid w:val="00BB10EF"/>
    <w:rsid w:val="00BB206B"/>
    <w:rsid w:val="00BB2923"/>
    <w:rsid w:val="00BB2937"/>
    <w:rsid w:val="00BB3154"/>
    <w:rsid w:val="00BB32E0"/>
    <w:rsid w:val="00BB5652"/>
    <w:rsid w:val="00BB5CCF"/>
    <w:rsid w:val="00BB6082"/>
    <w:rsid w:val="00BB6B96"/>
    <w:rsid w:val="00BB6CBE"/>
    <w:rsid w:val="00BC01C2"/>
    <w:rsid w:val="00BC0662"/>
    <w:rsid w:val="00BC0834"/>
    <w:rsid w:val="00BC1804"/>
    <w:rsid w:val="00BC1DFB"/>
    <w:rsid w:val="00BC4369"/>
    <w:rsid w:val="00BC58EE"/>
    <w:rsid w:val="00BC594C"/>
    <w:rsid w:val="00BC5E7C"/>
    <w:rsid w:val="00BD1366"/>
    <w:rsid w:val="00BD2245"/>
    <w:rsid w:val="00BD2D67"/>
    <w:rsid w:val="00BD33FA"/>
    <w:rsid w:val="00BD371A"/>
    <w:rsid w:val="00BD4406"/>
    <w:rsid w:val="00BD4C5D"/>
    <w:rsid w:val="00BD4DA5"/>
    <w:rsid w:val="00BD6C29"/>
    <w:rsid w:val="00BD786C"/>
    <w:rsid w:val="00BD7F31"/>
    <w:rsid w:val="00BE05CA"/>
    <w:rsid w:val="00BE0A54"/>
    <w:rsid w:val="00BE0B07"/>
    <w:rsid w:val="00BE10B0"/>
    <w:rsid w:val="00BE1ABD"/>
    <w:rsid w:val="00BE319F"/>
    <w:rsid w:val="00BE5A6B"/>
    <w:rsid w:val="00BE5D5C"/>
    <w:rsid w:val="00BE5F0A"/>
    <w:rsid w:val="00BE6539"/>
    <w:rsid w:val="00BE6B3A"/>
    <w:rsid w:val="00BE6D1D"/>
    <w:rsid w:val="00BE6F93"/>
    <w:rsid w:val="00BF1E0E"/>
    <w:rsid w:val="00BF1F1F"/>
    <w:rsid w:val="00BF303B"/>
    <w:rsid w:val="00BF4C41"/>
    <w:rsid w:val="00BF5332"/>
    <w:rsid w:val="00BF54F5"/>
    <w:rsid w:val="00BF59E6"/>
    <w:rsid w:val="00BF5B8A"/>
    <w:rsid w:val="00BF6725"/>
    <w:rsid w:val="00BF73C2"/>
    <w:rsid w:val="00C00951"/>
    <w:rsid w:val="00C01DDA"/>
    <w:rsid w:val="00C03C90"/>
    <w:rsid w:val="00C04178"/>
    <w:rsid w:val="00C0574A"/>
    <w:rsid w:val="00C06957"/>
    <w:rsid w:val="00C0765A"/>
    <w:rsid w:val="00C105FF"/>
    <w:rsid w:val="00C122C0"/>
    <w:rsid w:val="00C139AC"/>
    <w:rsid w:val="00C13FEB"/>
    <w:rsid w:val="00C1414D"/>
    <w:rsid w:val="00C143EB"/>
    <w:rsid w:val="00C15FA9"/>
    <w:rsid w:val="00C16326"/>
    <w:rsid w:val="00C16FA9"/>
    <w:rsid w:val="00C2002C"/>
    <w:rsid w:val="00C20335"/>
    <w:rsid w:val="00C2235C"/>
    <w:rsid w:val="00C22BC1"/>
    <w:rsid w:val="00C2366D"/>
    <w:rsid w:val="00C23B60"/>
    <w:rsid w:val="00C2416F"/>
    <w:rsid w:val="00C242A8"/>
    <w:rsid w:val="00C24BB5"/>
    <w:rsid w:val="00C25A66"/>
    <w:rsid w:val="00C2624F"/>
    <w:rsid w:val="00C26BBB"/>
    <w:rsid w:val="00C271D2"/>
    <w:rsid w:val="00C3036A"/>
    <w:rsid w:val="00C3186F"/>
    <w:rsid w:val="00C32557"/>
    <w:rsid w:val="00C3332E"/>
    <w:rsid w:val="00C33FA8"/>
    <w:rsid w:val="00C34358"/>
    <w:rsid w:val="00C343E5"/>
    <w:rsid w:val="00C3729F"/>
    <w:rsid w:val="00C37330"/>
    <w:rsid w:val="00C4057D"/>
    <w:rsid w:val="00C40627"/>
    <w:rsid w:val="00C409EB"/>
    <w:rsid w:val="00C40D8A"/>
    <w:rsid w:val="00C40E05"/>
    <w:rsid w:val="00C41CF2"/>
    <w:rsid w:val="00C42A83"/>
    <w:rsid w:val="00C43F95"/>
    <w:rsid w:val="00C4482B"/>
    <w:rsid w:val="00C44CD7"/>
    <w:rsid w:val="00C4681E"/>
    <w:rsid w:val="00C47840"/>
    <w:rsid w:val="00C47EBB"/>
    <w:rsid w:val="00C50B0B"/>
    <w:rsid w:val="00C50F86"/>
    <w:rsid w:val="00C5251D"/>
    <w:rsid w:val="00C537E8"/>
    <w:rsid w:val="00C53A82"/>
    <w:rsid w:val="00C53FF7"/>
    <w:rsid w:val="00C541B1"/>
    <w:rsid w:val="00C54E8E"/>
    <w:rsid w:val="00C55240"/>
    <w:rsid w:val="00C55494"/>
    <w:rsid w:val="00C5611D"/>
    <w:rsid w:val="00C5720D"/>
    <w:rsid w:val="00C57714"/>
    <w:rsid w:val="00C60208"/>
    <w:rsid w:val="00C604D1"/>
    <w:rsid w:val="00C61695"/>
    <w:rsid w:val="00C61CA7"/>
    <w:rsid w:val="00C61DC0"/>
    <w:rsid w:val="00C63026"/>
    <w:rsid w:val="00C630B8"/>
    <w:rsid w:val="00C63FDC"/>
    <w:rsid w:val="00C64036"/>
    <w:rsid w:val="00C647CC"/>
    <w:rsid w:val="00C6486A"/>
    <w:rsid w:val="00C655E3"/>
    <w:rsid w:val="00C65682"/>
    <w:rsid w:val="00C659BB"/>
    <w:rsid w:val="00C65BD4"/>
    <w:rsid w:val="00C66DF9"/>
    <w:rsid w:val="00C66FDA"/>
    <w:rsid w:val="00C70F87"/>
    <w:rsid w:val="00C74794"/>
    <w:rsid w:val="00C74D76"/>
    <w:rsid w:val="00C76EB1"/>
    <w:rsid w:val="00C773B2"/>
    <w:rsid w:val="00C77740"/>
    <w:rsid w:val="00C812BF"/>
    <w:rsid w:val="00C82E9B"/>
    <w:rsid w:val="00C831C2"/>
    <w:rsid w:val="00C834C9"/>
    <w:rsid w:val="00C8386A"/>
    <w:rsid w:val="00C839EC"/>
    <w:rsid w:val="00C83A82"/>
    <w:rsid w:val="00C84637"/>
    <w:rsid w:val="00C84BD2"/>
    <w:rsid w:val="00C84CF3"/>
    <w:rsid w:val="00C87464"/>
    <w:rsid w:val="00C909F8"/>
    <w:rsid w:val="00C90B95"/>
    <w:rsid w:val="00C920AA"/>
    <w:rsid w:val="00C929B5"/>
    <w:rsid w:val="00C92DA4"/>
    <w:rsid w:val="00C9303E"/>
    <w:rsid w:val="00C95CFE"/>
    <w:rsid w:val="00C97267"/>
    <w:rsid w:val="00CA0619"/>
    <w:rsid w:val="00CA091F"/>
    <w:rsid w:val="00CA3761"/>
    <w:rsid w:val="00CA3BC9"/>
    <w:rsid w:val="00CA611E"/>
    <w:rsid w:val="00CA6C57"/>
    <w:rsid w:val="00CA6E9A"/>
    <w:rsid w:val="00CB0455"/>
    <w:rsid w:val="00CB051B"/>
    <w:rsid w:val="00CB05AC"/>
    <w:rsid w:val="00CB192F"/>
    <w:rsid w:val="00CB1E30"/>
    <w:rsid w:val="00CB1FA0"/>
    <w:rsid w:val="00CB254D"/>
    <w:rsid w:val="00CB2566"/>
    <w:rsid w:val="00CB3088"/>
    <w:rsid w:val="00CB44D2"/>
    <w:rsid w:val="00CB46B8"/>
    <w:rsid w:val="00CB59AC"/>
    <w:rsid w:val="00CB5B0F"/>
    <w:rsid w:val="00CB73C0"/>
    <w:rsid w:val="00CC0106"/>
    <w:rsid w:val="00CC100F"/>
    <w:rsid w:val="00CC14D7"/>
    <w:rsid w:val="00CC192A"/>
    <w:rsid w:val="00CC2C2B"/>
    <w:rsid w:val="00CC3542"/>
    <w:rsid w:val="00CC4F86"/>
    <w:rsid w:val="00CC51AC"/>
    <w:rsid w:val="00CC54D1"/>
    <w:rsid w:val="00CC553B"/>
    <w:rsid w:val="00CC68DF"/>
    <w:rsid w:val="00CC76AF"/>
    <w:rsid w:val="00CD1B2D"/>
    <w:rsid w:val="00CD1FF8"/>
    <w:rsid w:val="00CD2094"/>
    <w:rsid w:val="00CD2602"/>
    <w:rsid w:val="00CD2766"/>
    <w:rsid w:val="00CD3FD8"/>
    <w:rsid w:val="00CD6155"/>
    <w:rsid w:val="00CD7764"/>
    <w:rsid w:val="00CE0F3D"/>
    <w:rsid w:val="00CE2BAE"/>
    <w:rsid w:val="00CE43A4"/>
    <w:rsid w:val="00CE4564"/>
    <w:rsid w:val="00CE50E8"/>
    <w:rsid w:val="00CE5E76"/>
    <w:rsid w:val="00CE6CFE"/>
    <w:rsid w:val="00CE7164"/>
    <w:rsid w:val="00CF0634"/>
    <w:rsid w:val="00CF0682"/>
    <w:rsid w:val="00CF0708"/>
    <w:rsid w:val="00CF119C"/>
    <w:rsid w:val="00CF12B7"/>
    <w:rsid w:val="00CF1390"/>
    <w:rsid w:val="00CF217E"/>
    <w:rsid w:val="00CF4939"/>
    <w:rsid w:val="00CF6D3E"/>
    <w:rsid w:val="00CF7138"/>
    <w:rsid w:val="00D00D54"/>
    <w:rsid w:val="00D02007"/>
    <w:rsid w:val="00D0224E"/>
    <w:rsid w:val="00D0294C"/>
    <w:rsid w:val="00D06C46"/>
    <w:rsid w:val="00D07B11"/>
    <w:rsid w:val="00D10852"/>
    <w:rsid w:val="00D1205D"/>
    <w:rsid w:val="00D1210F"/>
    <w:rsid w:val="00D12161"/>
    <w:rsid w:val="00D12D0C"/>
    <w:rsid w:val="00D13D93"/>
    <w:rsid w:val="00D14045"/>
    <w:rsid w:val="00D1434B"/>
    <w:rsid w:val="00D16072"/>
    <w:rsid w:val="00D17083"/>
    <w:rsid w:val="00D17B1F"/>
    <w:rsid w:val="00D200BD"/>
    <w:rsid w:val="00D2206D"/>
    <w:rsid w:val="00D233BB"/>
    <w:rsid w:val="00D2554E"/>
    <w:rsid w:val="00D2609D"/>
    <w:rsid w:val="00D266F9"/>
    <w:rsid w:val="00D2729D"/>
    <w:rsid w:val="00D275C8"/>
    <w:rsid w:val="00D308DB"/>
    <w:rsid w:val="00D30AD2"/>
    <w:rsid w:val="00D3135C"/>
    <w:rsid w:val="00D32EA0"/>
    <w:rsid w:val="00D34C37"/>
    <w:rsid w:val="00D34C4E"/>
    <w:rsid w:val="00D35DAD"/>
    <w:rsid w:val="00D35F60"/>
    <w:rsid w:val="00D400ED"/>
    <w:rsid w:val="00D4076E"/>
    <w:rsid w:val="00D41552"/>
    <w:rsid w:val="00D41D69"/>
    <w:rsid w:val="00D42776"/>
    <w:rsid w:val="00D4297F"/>
    <w:rsid w:val="00D43FE1"/>
    <w:rsid w:val="00D4428D"/>
    <w:rsid w:val="00D44C59"/>
    <w:rsid w:val="00D466D7"/>
    <w:rsid w:val="00D46B05"/>
    <w:rsid w:val="00D51199"/>
    <w:rsid w:val="00D5434C"/>
    <w:rsid w:val="00D54ABF"/>
    <w:rsid w:val="00D54ECD"/>
    <w:rsid w:val="00D558E4"/>
    <w:rsid w:val="00D57562"/>
    <w:rsid w:val="00D608D1"/>
    <w:rsid w:val="00D61AA5"/>
    <w:rsid w:val="00D61F9A"/>
    <w:rsid w:val="00D631A5"/>
    <w:rsid w:val="00D63AD4"/>
    <w:rsid w:val="00D63E95"/>
    <w:rsid w:val="00D64689"/>
    <w:rsid w:val="00D649BD"/>
    <w:rsid w:val="00D66108"/>
    <w:rsid w:val="00D663AB"/>
    <w:rsid w:val="00D67AE0"/>
    <w:rsid w:val="00D67BDF"/>
    <w:rsid w:val="00D70742"/>
    <w:rsid w:val="00D71F93"/>
    <w:rsid w:val="00D72035"/>
    <w:rsid w:val="00D73944"/>
    <w:rsid w:val="00D73B15"/>
    <w:rsid w:val="00D73C3A"/>
    <w:rsid w:val="00D73F84"/>
    <w:rsid w:val="00D748F5"/>
    <w:rsid w:val="00D74DC6"/>
    <w:rsid w:val="00D75602"/>
    <w:rsid w:val="00D75619"/>
    <w:rsid w:val="00D76840"/>
    <w:rsid w:val="00D76C21"/>
    <w:rsid w:val="00D771EB"/>
    <w:rsid w:val="00D81FB6"/>
    <w:rsid w:val="00D82AD6"/>
    <w:rsid w:val="00D841EF"/>
    <w:rsid w:val="00D84B40"/>
    <w:rsid w:val="00D85089"/>
    <w:rsid w:val="00D85F58"/>
    <w:rsid w:val="00D8672F"/>
    <w:rsid w:val="00D868B1"/>
    <w:rsid w:val="00D875D3"/>
    <w:rsid w:val="00D87E14"/>
    <w:rsid w:val="00D90021"/>
    <w:rsid w:val="00D9052D"/>
    <w:rsid w:val="00D90735"/>
    <w:rsid w:val="00D9207E"/>
    <w:rsid w:val="00D92F6E"/>
    <w:rsid w:val="00D92F77"/>
    <w:rsid w:val="00D948A9"/>
    <w:rsid w:val="00D94F34"/>
    <w:rsid w:val="00DA13B4"/>
    <w:rsid w:val="00DA3819"/>
    <w:rsid w:val="00DA3D32"/>
    <w:rsid w:val="00DA4104"/>
    <w:rsid w:val="00DA453E"/>
    <w:rsid w:val="00DA4706"/>
    <w:rsid w:val="00DA4789"/>
    <w:rsid w:val="00DA4D4C"/>
    <w:rsid w:val="00DB1C85"/>
    <w:rsid w:val="00DB3062"/>
    <w:rsid w:val="00DB4253"/>
    <w:rsid w:val="00DB51DE"/>
    <w:rsid w:val="00DB5380"/>
    <w:rsid w:val="00DB5B27"/>
    <w:rsid w:val="00DB5F01"/>
    <w:rsid w:val="00DB646A"/>
    <w:rsid w:val="00DC086F"/>
    <w:rsid w:val="00DC1682"/>
    <w:rsid w:val="00DC16D6"/>
    <w:rsid w:val="00DC1874"/>
    <w:rsid w:val="00DC1FAF"/>
    <w:rsid w:val="00DC2BDC"/>
    <w:rsid w:val="00DC313B"/>
    <w:rsid w:val="00DC3729"/>
    <w:rsid w:val="00DC457D"/>
    <w:rsid w:val="00DC48E7"/>
    <w:rsid w:val="00DC4A8B"/>
    <w:rsid w:val="00DC6DA9"/>
    <w:rsid w:val="00DC7BB1"/>
    <w:rsid w:val="00DD1455"/>
    <w:rsid w:val="00DD2412"/>
    <w:rsid w:val="00DD2751"/>
    <w:rsid w:val="00DD333E"/>
    <w:rsid w:val="00DD4107"/>
    <w:rsid w:val="00DD5522"/>
    <w:rsid w:val="00DD5856"/>
    <w:rsid w:val="00DD5E03"/>
    <w:rsid w:val="00DD62B5"/>
    <w:rsid w:val="00DD67BC"/>
    <w:rsid w:val="00DE0DD7"/>
    <w:rsid w:val="00DE2747"/>
    <w:rsid w:val="00DE2A66"/>
    <w:rsid w:val="00DE362E"/>
    <w:rsid w:val="00DE39F1"/>
    <w:rsid w:val="00DE413E"/>
    <w:rsid w:val="00DE44F2"/>
    <w:rsid w:val="00DE4B7A"/>
    <w:rsid w:val="00DE5FFB"/>
    <w:rsid w:val="00DE617F"/>
    <w:rsid w:val="00DE67A3"/>
    <w:rsid w:val="00DE6873"/>
    <w:rsid w:val="00DE6A8C"/>
    <w:rsid w:val="00DE79FB"/>
    <w:rsid w:val="00DF013C"/>
    <w:rsid w:val="00DF1606"/>
    <w:rsid w:val="00DF16C8"/>
    <w:rsid w:val="00DF208D"/>
    <w:rsid w:val="00DF3499"/>
    <w:rsid w:val="00DF3CA8"/>
    <w:rsid w:val="00DF4841"/>
    <w:rsid w:val="00DF4C5C"/>
    <w:rsid w:val="00DF51C1"/>
    <w:rsid w:val="00DF59A6"/>
    <w:rsid w:val="00DF6E9D"/>
    <w:rsid w:val="00E00393"/>
    <w:rsid w:val="00E00719"/>
    <w:rsid w:val="00E00D99"/>
    <w:rsid w:val="00E01EBA"/>
    <w:rsid w:val="00E0269E"/>
    <w:rsid w:val="00E03320"/>
    <w:rsid w:val="00E0334D"/>
    <w:rsid w:val="00E03549"/>
    <w:rsid w:val="00E044AA"/>
    <w:rsid w:val="00E0479C"/>
    <w:rsid w:val="00E04BB4"/>
    <w:rsid w:val="00E04BCC"/>
    <w:rsid w:val="00E04E5D"/>
    <w:rsid w:val="00E06719"/>
    <w:rsid w:val="00E07427"/>
    <w:rsid w:val="00E07AF0"/>
    <w:rsid w:val="00E07E8A"/>
    <w:rsid w:val="00E118CB"/>
    <w:rsid w:val="00E1274F"/>
    <w:rsid w:val="00E13152"/>
    <w:rsid w:val="00E137C4"/>
    <w:rsid w:val="00E13865"/>
    <w:rsid w:val="00E13BA6"/>
    <w:rsid w:val="00E1414A"/>
    <w:rsid w:val="00E14BD1"/>
    <w:rsid w:val="00E14C12"/>
    <w:rsid w:val="00E1541A"/>
    <w:rsid w:val="00E15767"/>
    <w:rsid w:val="00E16207"/>
    <w:rsid w:val="00E1620A"/>
    <w:rsid w:val="00E16593"/>
    <w:rsid w:val="00E16732"/>
    <w:rsid w:val="00E16B61"/>
    <w:rsid w:val="00E16D25"/>
    <w:rsid w:val="00E200D3"/>
    <w:rsid w:val="00E2060D"/>
    <w:rsid w:val="00E2107B"/>
    <w:rsid w:val="00E2132E"/>
    <w:rsid w:val="00E2304E"/>
    <w:rsid w:val="00E23184"/>
    <w:rsid w:val="00E2561D"/>
    <w:rsid w:val="00E256A0"/>
    <w:rsid w:val="00E25FBD"/>
    <w:rsid w:val="00E260B0"/>
    <w:rsid w:val="00E27C93"/>
    <w:rsid w:val="00E3061E"/>
    <w:rsid w:val="00E3162F"/>
    <w:rsid w:val="00E341F2"/>
    <w:rsid w:val="00E342B9"/>
    <w:rsid w:val="00E342D7"/>
    <w:rsid w:val="00E35EAD"/>
    <w:rsid w:val="00E360FB"/>
    <w:rsid w:val="00E3639D"/>
    <w:rsid w:val="00E37576"/>
    <w:rsid w:val="00E37DA3"/>
    <w:rsid w:val="00E37ED4"/>
    <w:rsid w:val="00E37F68"/>
    <w:rsid w:val="00E40D2E"/>
    <w:rsid w:val="00E43296"/>
    <w:rsid w:val="00E43B19"/>
    <w:rsid w:val="00E43E77"/>
    <w:rsid w:val="00E44847"/>
    <w:rsid w:val="00E44CF7"/>
    <w:rsid w:val="00E4516F"/>
    <w:rsid w:val="00E452C6"/>
    <w:rsid w:val="00E47688"/>
    <w:rsid w:val="00E509E9"/>
    <w:rsid w:val="00E50D14"/>
    <w:rsid w:val="00E50ED7"/>
    <w:rsid w:val="00E514DE"/>
    <w:rsid w:val="00E514E6"/>
    <w:rsid w:val="00E52F03"/>
    <w:rsid w:val="00E53463"/>
    <w:rsid w:val="00E53D6A"/>
    <w:rsid w:val="00E53F18"/>
    <w:rsid w:val="00E55D91"/>
    <w:rsid w:val="00E56694"/>
    <w:rsid w:val="00E567A6"/>
    <w:rsid w:val="00E573B6"/>
    <w:rsid w:val="00E574E8"/>
    <w:rsid w:val="00E5754C"/>
    <w:rsid w:val="00E57C1C"/>
    <w:rsid w:val="00E57EB5"/>
    <w:rsid w:val="00E610D3"/>
    <w:rsid w:val="00E62083"/>
    <w:rsid w:val="00E631D5"/>
    <w:rsid w:val="00E63861"/>
    <w:rsid w:val="00E63AE7"/>
    <w:rsid w:val="00E64A7C"/>
    <w:rsid w:val="00E64EA9"/>
    <w:rsid w:val="00E64F5B"/>
    <w:rsid w:val="00E6740E"/>
    <w:rsid w:val="00E70AB5"/>
    <w:rsid w:val="00E70CA8"/>
    <w:rsid w:val="00E713AB"/>
    <w:rsid w:val="00E71C88"/>
    <w:rsid w:val="00E72985"/>
    <w:rsid w:val="00E74268"/>
    <w:rsid w:val="00E74760"/>
    <w:rsid w:val="00E75695"/>
    <w:rsid w:val="00E7588A"/>
    <w:rsid w:val="00E7730A"/>
    <w:rsid w:val="00E7755D"/>
    <w:rsid w:val="00E8003A"/>
    <w:rsid w:val="00E82D51"/>
    <w:rsid w:val="00E83196"/>
    <w:rsid w:val="00E8329D"/>
    <w:rsid w:val="00E836BA"/>
    <w:rsid w:val="00E83DDE"/>
    <w:rsid w:val="00E8461B"/>
    <w:rsid w:val="00E8530C"/>
    <w:rsid w:val="00E85B34"/>
    <w:rsid w:val="00E86BC9"/>
    <w:rsid w:val="00E86D2F"/>
    <w:rsid w:val="00E913E2"/>
    <w:rsid w:val="00E916CD"/>
    <w:rsid w:val="00E94D9F"/>
    <w:rsid w:val="00E95A74"/>
    <w:rsid w:val="00E96C47"/>
    <w:rsid w:val="00E97CBF"/>
    <w:rsid w:val="00EA0982"/>
    <w:rsid w:val="00EA0BF3"/>
    <w:rsid w:val="00EA0E22"/>
    <w:rsid w:val="00EA190A"/>
    <w:rsid w:val="00EA1DF8"/>
    <w:rsid w:val="00EA27AC"/>
    <w:rsid w:val="00EA288F"/>
    <w:rsid w:val="00EA371F"/>
    <w:rsid w:val="00EA4698"/>
    <w:rsid w:val="00EA706B"/>
    <w:rsid w:val="00EA7252"/>
    <w:rsid w:val="00EB025D"/>
    <w:rsid w:val="00EB1FAC"/>
    <w:rsid w:val="00EB2802"/>
    <w:rsid w:val="00EB2AD1"/>
    <w:rsid w:val="00EB3539"/>
    <w:rsid w:val="00EB3C76"/>
    <w:rsid w:val="00EB4529"/>
    <w:rsid w:val="00EB4BE7"/>
    <w:rsid w:val="00EB5429"/>
    <w:rsid w:val="00EB555D"/>
    <w:rsid w:val="00EB5675"/>
    <w:rsid w:val="00EB798F"/>
    <w:rsid w:val="00EC2B81"/>
    <w:rsid w:val="00EC2EBE"/>
    <w:rsid w:val="00EC2F31"/>
    <w:rsid w:val="00EC363E"/>
    <w:rsid w:val="00EC55B9"/>
    <w:rsid w:val="00EC588A"/>
    <w:rsid w:val="00EC6769"/>
    <w:rsid w:val="00EC6C99"/>
    <w:rsid w:val="00EC77B2"/>
    <w:rsid w:val="00EC7BBF"/>
    <w:rsid w:val="00ED0159"/>
    <w:rsid w:val="00ED0634"/>
    <w:rsid w:val="00ED1B8D"/>
    <w:rsid w:val="00ED21E0"/>
    <w:rsid w:val="00ED2FF2"/>
    <w:rsid w:val="00ED3369"/>
    <w:rsid w:val="00ED396C"/>
    <w:rsid w:val="00ED4161"/>
    <w:rsid w:val="00ED545F"/>
    <w:rsid w:val="00ED67B8"/>
    <w:rsid w:val="00EE1008"/>
    <w:rsid w:val="00EE1D51"/>
    <w:rsid w:val="00EE3A56"/>
    <w:rsid w:val="00EE3BFB"/>
    <w:rsid w:val="00EE6BB5"/>
    <w:rsid w:val="00EE6DE7"/>
    <w:rsid w:val="00EE7755"/>
    <w:rsid w:val="00EF2656"/>
    <w:rsid w:val="00EF2659"/>
    <w:rsid w:val="00EF39C1"/>
    <w:rsid w:val="00EF467C"/>
    <w:rsid w:val="00EF55F8"/>
    <w:rsid w:val="00EF6F21"/>
    <w:rsid w:val="00EF7A58"/>
    <w:rsid w:val="00EF7B36"/>
    <w:rsid w:val="00F0097B"/>
    <w:rsid w:val="00F01D99"/>
    <w:rsid w:val="00F01E12"/>
    <w:rsid w:val="00F03CBE"/>
    <w:rsid w:val="00F03F18"/>
    <w:rsid w:val="00F048D4"/>
    <w:rsid w:val="00F04CDC"/>
    <w:rsid w:val="00F05FD8"/>
    <w:rsid w:val="00F074D0"/>
    <w:rsid w:val="00F075C0"/>
    <w:rsid w:val="00F07A44"/>
    <w:rsid w:val="00F11EA3"/>
    <w:rsid w:val="00F122E2"/>
    <w:rsid w:val="00F134AF"/>
    <w:rsid w:val="00F14570"/>
    <w:rsid w:val="00F16329"/>
    <w:rsid w:val="00F16CEB"/>
    <w:rsid w:val="00F17D1E"/>
    <w:rsid w:val="00F17F02"/>
    <w:rsid w:val="00F222BE"/>
    <w:rsid w:val="00F22721"/>
    <w:rsid w:val="00F22DEA"/>
    <w:rsid w:val="00F23B93"/>
    <w:rsid w:val="00F23D8C"/>
    <w:rsid w:val="00F25D2B"/>
    <w:rsid w:val="00F26101"/>
    <w:rsid w:val="00F26BA8"/>
    <w:rsid w:val="00F26F4F"/>
    <w:rsid w:val="00F31B47"/>
    <w:rsid w:val="00F321F1"/>
    <w:rsid w:val="00F324C5"/>
    <w:rsid w:val="00F32651"/>
    <w:rsid w:val="00F32702"/>
    <w:rsid w:val="00F329A5"/>
    <w:rsid w:val="00F32D30"/>
    <w:rsid w:val="00F34A54"/>
    <w:rsid w:val="00F34ACD"/>
    <w:rsid w:val="00F36A89"/>
    <w:rsid w:val="00F36FDA"/>
    <w:rsid w:val="00F37CC9"/>
    <w:rsid w:val="00F37F85"/>
    <w:rsid w:val="00F41589"/>
    <w:rsid w:val="00F42568"/>
    <w:rsid w:val="00F42A3A"/>
    <w:rsid w:val="00F43BA8"/>
    <w:rsid w:val="00F44D50"/>
    <w:rsid w:val="00F45453"/>
    <w:rsid w:val="00F457D9"/>
    <w:rsid w:val="00F46506"/>
    <w:rsid w:val="00F46592"/>
    <w:rsid w:val="00F513F5"/>
    <w:rsid w:val="00F51EB9"/>
    <w:rsid w:val="00F5347D"/>
    <w:rsid w:val="00F5374B"/>
    <w:rsid w:val="00F53987"/>
    <w:rsid w:val="00F547B0"/>
    <w:rsid w:val="00F54ED8"/>
    <w:rsid w:val="00F5538A"/>
    <w:rsid w:val="00F56187"/>
    <w:rsid w:val="00F60373"/>
    <w:rsid w:val="00F6047F"/>
    <w:rsid w:val="00F61956"/>
    <w:rsid w:val="00F61CA8"/>
    <w:rsid w:val="00F637C9"/>
    <w:rsid w:val="00F63881"/>
    <w:rsid w:val="00F63A2F"/>
    <w:rsid w:val="00F63B8C"/>
    <w:rsid w:val="00F655B6"/>
    <w:rsid w:val="00F65740"/>
    <w:rsid w:val="00F6598D"/>
    <w:rsid w:val="00F65DFD"/>
    <w:rsid w:val="00F65FFD"/>
    <w:rsid w:val="00F6665C"/>
    <w:rsid w:val="00F66EBA"/>
    <w:rsid w:val="00F670C6"/>
    <w:rsid w:val="00F70743"/>
    <w:rsid w:val="00F708C5"/>
    <w:rsid w:val="00F7099A"/>
    <w:rsid w:val="00F7312A"/>
    <w:rsid w:val="00F735C3"/>
    <w:rsid w:val="00F74AF7"/>
    <w:rsid w:val="00F7544F"/>
    <w:rsid w:val="00F75A05"/>
    <w:rsid w:val="00F766CB"/>
    <w:rsid w:val="00F772A2"/>
    <w:rsid w:val="00F774A1"/>
    <w:rsid w:val="00F77F6A"/>
    <w:rsid w:val="00F808DF"/>
    <w:rsid w:val="00F82FE5"/>
    <w:rsid w:val="00F84C00"/>
    <w:rsid w:val="00F85151"/>
    <w:rsid w:val="00F85497"/>
    <w:rsid w:val="00F85CC6"/>
    <w:rsid w:val="00F86711"/>
    <w:rsid w:val="00F86740"/>
    <w:rsid w:val="00F905A3"/>
    <w:rsid w:val="00F91D25"/>
    <w:rsid w:val="00F91D95"/>
    <w:rsid w:val="00F92225"/>
    <w:rsid w:val="00F9289B"/>
    <w:rsid w:val="00F92AE2"/>
    <w:rsid w:val="00F956ED"/>
    <w:rsid w:val="00F96119"/>
    <w:rsid w:val="00F9774A"/>
    <w:rsid w:val="00F97DE2"/>
    <w:rsid w:val="00FA00E4"/>
    <w:rsid w:val="00FA00E7"/>
    <w:rsid w:val="00FA0301"/>
    <w:rsid w:val="00FA0769"/>
    <w:rsid w:val="00FA1BFD"/>
    <w:rsid w:val="00FA1D02"/>
    <w:rsid w:val="00FA1F59"/>
    <w:rsid w:val="00FA39A9"/>
    <w:rsid w:val="00FA4CA3"/>
    <w:rsid w:val="00FA5010"/>
    <w:rsid w:val="00FA5BFE"/>
    <w:rsid w:val="00FA5E31"/>
    <w:rsid w:val="00FA695D"/>
    <w:rsid w:val="00FA7806"/>
    <w:rsid w:val="00FB1283"/>
    <w:rsid w:val="00FB12CA"/>
    <w:rsid w:val="00FB2044"/>
    <w:rsid w:val="00FB246C"/>
    <w:rsid w:val="00FB328B"/>
    <w:rsid w:val="00FB3AC4"/>
    <w:rsid w:val="00FB465C"/>
    <w:rsid w:val="00FB4DE7"/>
    <w:rsid w:val="00FB51AA"/>
    <w:rsid w:val="00FB5B51"/>
    <w:rsid w:val="00FB6927"/>
    <w:rsid w:val="00FB7218"/>
    <w:rsid w:val="00FB723F"/>
    <w:rsid w:val="00FB756E"/>
    <w:rsid w:val="00FB7736"/>
    <w:rsid w:val="00FB7E76"/>
    <w:rsid w:val="00FC0D7A"/>
    <w:rsid w:val="00FC161D"/>
    <w:rsid w:val="00FC46BB"/>
    <w:rsid w:val="00FC6153"/>
    <w:rsid w:val="00FC6724"/>
    <w:rsid w:val="00FD0304"/>
    <w:rsid w:val="00FD0E2B"/>
    <w:rsid w:val="00FD0F04"/>
    <w:rsid w:val="00FD139C"/>
    <w:rsid w:val="00FD177F"/>
    <w:rsid w:val="00FD1D1E"/>
    <w:rsid w:val="00FD2297"/>
    <w:rsid w:val="00FD2619"/>
    <w:rsid w:val="00FD2E0B"/>
    <w:rsid w:val="00FD4D56"/>
    <w:rsid w:val="00FD4DF2"/>
    <w:rsid w:val="00FD5241"/>
    <w:rsid w:val="00FD5EAB"/>
    <w:rsid w:val="00FD5F68"/>
    <w:rsid w:val="00FD6065"/>
    <w:rsid w:val="00FD7041"/>
    <w:rsid w:val="00FD7996"/>
    <w:rsid w:val="00FE0383"/>
    <w:rsid w:val="00FE0F71"/>
    <w:rsid w:val="00FE1412"/>
    <w:rsid w:val="00FE2EBE"/>
    <w:rsid w:val="00FE3C44"/>
    <w:rsid w:val="00FE4059"/>
    <w:rsid w:val="00FE4158"/>
    <w:rsid w:val="00FE567D"/>
    <w:rsid w:val="00FE5EF7"/>
    <w:rsid w:val="00FE68A0"/>
    <w:rsid w:val="00FE7558"/>
    <w:rsid w:val="00FE7B08"/>
    <w:rsid w:val="00FE7CD2"/>
    <w:rsid w:val="00FE7E25"/>
    <w:rsid w:val="00FF2027"/>
    <w:rsid w:val="00FF22A7"/>
    <w:rsid w:val="00FF30EB"/>
    <w:rsid w:val="00FF322B"/>
    <w:rsid w:val="00FF3547"/>
    <w:rsid w:val="00FF46B0"/>
    <w:rsid w:val="00FF5975"/>
    <w:rsid w:val="00FF5AA7"/>
    <w:rsid w:val="00FF600D"/>
    <w:rsid w:val="00FF7212"/>
    <w:rsid w:val="00FF7482"/>
    <w:rsid w:val="00FF7C8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FFE6F"/>
  <w15:chartTrackingRefBased/>
  <w15:docId w15:val="{FE190EF1-DF6F-4C8F-AA40-11BC540DF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A40"/>
    <w:pPr>
      <w:spacing w:after="0" w:line="360" w:lineRule="auto"/>
      <w:ind w:firstLine="284"/>
      <w:jc w:val="both"/>
    </w:pPr>
    <w:rPr>
      <w:rFonts w:ascii="Arial Nova" w:eastAsiaTheme="minorEastAsia" w:hAnsi="Arial Nova" w:cs="Times New Roman"/>
      <w:kern w:val="0"/>
      <w:szCs w:val="24"/>
      <w14:ligatures w14:val="none"/>
    </w:rPr>
  </w:style>
  <w:style w:type="paragraph" w:styleId="Heading1">
    <w:name w:val="heading 1"/>
    <w:basedOn w:val="Normal"/>
    <w:next w:val="Normal"/>
    <w:link w:val="Heading1Char"/>
    <w:uiPriority w:val="9"/>
    <w:qFormat/>
    <w:rsid w:val="00660CC7"/>
    <w:pPr>
      <w:keepNext/>
      <w:keepLines/>
      <w:spacing w:before="360" w:after="80"/>
      <w:jc w:val="center"/>
      <w:outlineLvl w:val="0"/>
    </w:pPr>
    <w:rPr>
      <w:rFonts w:eastAsiaTheme="majorEastAsia" w:cstheme="majorBidi"/>
      <w:b/>
      <w:color w:val="0F4761" w:themeColor="accent1" w:themeShade="BF"/>
      <w:kern w:val="2"/>
      <w:sz w:val="24"/>
      <w:szCs w:val="40"/>
      <w14:ligatures w14:val="standardContextual"/>
    </w:rPr>
  </w:style>
  <w:style w:type="paragraph" w:styleId="Heading2">
    <w:name w:val="heading 2"/>
    <w:basedOn w:val="Normal"/>
    <w:next w:val="Normal"/>
    <w:link w:val="Heading2Char"/>
    <w:uiPriority w:val="9"/>
    <w:unhideWhenUsed/>
    <w:qFormat/>
    <w:rsid w:val="007E1057"/>
    <w:pPr>
      <w:keepNext/>
      <w:keepLines/>
      <w:spacing w:before="160" w:after="80"/>
      <w:ind w:firstLine="0"/>
      <w:jc w:val="left"/>
      <w:outlineLvl w:val="1"/>
    </w:pPr>
    <w:rPr>
      <w:rFonts w:eastAsiaTheme="majorEastAsia" w:cstheme="majorBidi"/>
      <w:b/>
      <w:color w:val="0F4761" w:themeColor="accent1" w:themeShade="BF"/>
      <w:sz w:val="24"/>
      <w:szCs w:val="32"/>
    </w:rPr>
  </w:style>
  <w:style w:type="paragraph" w:styleId="Heading3">
    <w:name w:val="heading 3"/>
    <w:basedOn w:val="Normal"/>
    <w:next w:val="Normal"/>
    <w:link w:val="Heading3Char"/>
    <w:uiPriority w:val="9"/>
    <w:unhideWhenUsed/>
    <w:qFormat/>
    <w:rsid w:val="00854DB8"/>
    <w:pPr>
      <w:spacing w:before="160" w:after="80"/>
      <w:ind w:firstLine="0"/>
      <w:outlineLvl w:val="2"/>
    </w:pPr>
    <w:rPr>
      <w:rFonts w:eastAsiaTheme="majorEastAsia" w:cstheme="majorBidi"/>
      <w:i/>
      <w:color w:val="0F4761" w:themeColor="accent1" w:themeShade="BF"/>
      <w:sz w:val="24"/>
      <w:szCs w:val="28"/>
    </w:rPr>
  </w:style>
  <w:style w:type="paragraph" w:styleId="Heading4">
    <w:name w:val="heading 4"/>
    <w:basedOn w:val="Normal"/>
    <w:next w:val="Normal"/>
    <w:link w:val="Heading4Char"/>
    <w:uiPriority w:val="9"/>
    <w:unhideWhenUsed/>
    <w:qFormat/>
    <w:rsid w:val="00E2561D"/>
    <w:pPr>
      <w:spacing w:before="80" w:after="40"/>
      <w:outlineLvl w:val="3"/>
    </w:pPr>
    <w:rPr>
      <w:rFonts w:eastAsiaTheme="majorEastAsia" w:cstheme="majorBidi"/>
      <w:iCs/>
      <w:color w:val="0F4761" w:themeColor="accent1" w:themeShade="BF"/>
    </w:rPr>
  </w:style>
  <w:style w:type="paragraph" w:styleId="Heading5">
    <w:name w:val="heading 5"/>
    <w:basedOn w:val="Normal"/>
    <w:next w:val="Normal"/>
    <w:link w:val="Heading5Char"/>
    <w:uiPriority w:val="9"/>
    <w:semiHidden/>
    <w:unhideWhenUsed/>
    <w:qFormat/>
    <w:rsid w:val="00C65B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5BD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5BD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5BD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5BD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PhD">
    <w:name w:val="StylePhD"/>
    <w:basedOn w:val="TableNormal"/>
    <w:uiPriority w:val="99"/>
    <w:rsid w:val="00B45404"/>
    <w:pPr>
      <w:spacing w:after="0" w:line="360" w:lineRule="auto"/>
    </w:pPr>
    <w:tblPr>
      <w:tblBorders>
        <w:top w:val="single" w:sz="18" w:space="0" w:color="0F4761" w:themeColor="accent1" w:themeShade="BF"/>
        <w:left w:val="single" w:sz="18" w:space="0" w:color="0F4761" w:themeColor="accent1" w:themeShade="BF"/>
        <w:bottom w:val="single" w:sz="18" w:space="0" w:color="0F4761" w:themeColor="accent1" w:themeShade="BF"/>
        <w:right w:val="single" w:sz="18" w:space="0" w:color="0F4761" w:themeColor="accent1" w:themeShade="BF"/>
        <w:insideH w:val="single" w:sz="18" w:space="0" w:color="0F4761" w:themeColor="accent1" w:themeShade="BF"/>
        <w:insideV w:val="single" w:sz="18" w:space="0" w:color="0F4761" w:themeColor="accent1" w:themeShade="BF"/>
      </w:tblBorders>
    </w:tblPr>
    <w:trPr>
      <w:cantSplit/>
    </w:trPr>
    <w:tcPr>
      <w:shd w:val="clear" w:color="auto" w:fill="FFFFFF" w:themeFill="background1"/>
      <w:vAlign w:val="center"/>
    </w:tcPr>
    <w:tblStylePr w:type="firstRow">
      <w:rPr>
        <w:b/>
      </w:rPr>
      <w:tblPr/>
      <w:tcPr>
        <w:shd w:val="clear" w:color="auto" w:fill="E8E8E8" w:themeFill="background2"/>
      </w:tcPr>
    </w:tblStylePr>
    <w:tblStylePr w:type="firstCol">
      <w:rPr>
        <w:b/>
        <w:i/>
      </w:rPr>
      <w:tblPr/>
      <w:tcPr>
        <w:shd w:val="clear" w:color="auto" w:fill="E8E8E8" w:themeFill="background2"/>
      </w:tcPr>
    </w:tblStylePr>
    <w:tblStylePr w:type="nwCell">
      <w:tblPr/>
      <w:tcPr>
        <w:tcBorders>
          <w:top w:val="nil"/>
          <w:left w:val="nil"/>
          <w:bottom w:val="nil"/>
          <w:right w:val="nil"/>
          <w:insideH w:val="nil"/>
          <w:insideV w:val="nil"/>
        </w:tcBorders>
        <w:shd w:val="clear" w:color="auto" w:fill="FFFFFF" w:themeFill="background1"/>
      </w:tcPr>
    </w:tblStylePr>
  </w:style>
  <w:style w:type="character" w:customStyle="1" w:styleId="Heading1Char">
    <w:name w:val="Heading 1 Char"/>
    <w:basedOn w:val="DefaultParagraphFont"/>
    <w:link w:val="Heading1"/>
    <w:uiPriority w:val="9"/>
    <w:rsid w:val="00660CC7"/>
    <w:rPr>
      <w:rFonts w:ascii="Arial Nova" w:eastAsiaTheme="majorEastAsia" w:hAnsi="Arial Nova" w:cstheme="majorBidi"/>
      <w:b/>
      <w:color w:val="0F4761" w:themeColor="accent1" w:themeShade="BF"/>
      <w:sz w:val="24"/>
      <w:szCs w:val="40"/>
    </w:rPr>
  </w:style>
  <w:style w:type="character" w:customStyle="1" w:styleId="Heading2Char">
    <w:name w:val="Heading 2 Char"/>
    <w:basedOn w:val="DefaultParagraphFont"/>
    <w:link w:val="Heading2"/>
    <w:uiPriority w:val="9"/>
    <w:rsid w:val="007E1057"/>
    <w:rPr>
      <w:rFonts w:ascii="Arial Nova" w:eastAsiaTheme="majorEastAsia" w:hAnsi="Arial Nova" w:cstheme="majorBidi"/>
      <w:b/>
      <w:color w:val="0F4761" w:themeColor="accent1" w:themeShade="BF"/>
      <w:kern w:val="0"/>
      <w:sz w:val="24"/>
      <w:szCs w:val="32"/>
      <w14:ligatures w14:val="none"/>
    </w:rPr>
  </w:style>
  <w:style w:type="character" w:customStyle="1" w:styleId="Heading3Char">
    <w:name w:val="Heading 3 Char"/>
    <w:basedOn w:val="DefaultParagraphFont"/>
    <w:link w:val="Heading3"/>
    <w:uiPriority w:val="9"/>
    <w:rsid w:val="00854DB8"/>
    <w:rPr>
      <w:rFonts w:ascii="Arial Nova" w:eastAsiaTheme="majorEastAsia" w:hAnsi="Arial Nova" w:cstheme="majorBidi"/>
      <w:i/>
      <w:color w:val="0F4761" w:themeColor="accent1" w:themeShade="BF"/>
      <w:kern w:val="0"/>
      <w:sz w:val="24"/>
      <w:szCs w:val="28"/>
      <w14:ligatures w14:val="none"/>
    </w:rPr>
  </w:style>
  <w:style w:type="character" w:customStyle="1" w:styleId="Heading4Char">
    <w:name w:val="Heading 4 Char"/>
    <w:basedOn w:val="DefaultParagraphFont"/>
    <w:link w:val="Heading4"/>
    <w:uiPriority w:val="9"/>
    <w:rsid w:val="00E2561D"/>
    <w:rPr>
      <w:rFonts w:ascii="Arial Nova" w:eastAsiaTheme="majorEastAsia" w:hAnsi="Arial Nova" w:cstheme="majorBidi"/>
      <w:iCs/>
      <w:color w:val="0F4761" w:themeColor="accent1" w:themeShade="BF"/>
      <w:kern w:val="0"/>
      <w:szCs w:val="24"/>
      <w14:ligatures w14:val="none"/>
    </w:rPr>
  </w:style>
  <w:style w:type="character" w:customStyle="1" w:styleId="Heading5Char">
    <w:name w:val="Heading 5 Char"/>
    <w:basedOn w:val="DefaultParagraphFont"/>
    <w:link w:val="Heading5"/>
    <w:uiPriority w:val="9"/>
    <w:semiHidden/>
    <w:rsid w:val="00C65B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5B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5B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5B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5BD4"/>
    <w:rPr>
      <w:rFonts w:eastAsiaTheme="majorEastAsia" w:cstheme="majorBidi"/>
      <w:color w:val="272727" w:themeColor="text1" w:themeTint="D8"/>
    </w:rPr>
  </w:style>
  <w:style w:type="paragraph" w:styleId="Title">
    <w:name w:val="Title"/>
    <w:basedOn w:val="Normal"/>
    <w:next w:val="Normal"/>
    <w:link w:val="TitleChar"/>
    <w:uiPriority w:val="10"/>
    <w:qFormat/>
    <w:rsid w:val="00A92415"/>
    <w:pPr>
      <w:spacing w:after="80"/>
      <w:contextualSpacing/>
      <w:jc w:val="center"/>
    </w:pPr>
    <w:rPr>
      <w:rFonts w:eastAsiaTheme="majorEastAsia" w:cstheme="majorBidi"/>
      <w:b/>
      <w:bCs/>
      <w:color w:val="156082" w:themeColor="accent1"/>
      <w:spacing w:val="-10"/>
      <w:kern w:val="28"/>
      <w:sz w:val="24"/>
      <w:lang w:val="en-US"/>
    </w:rPr>
  </w:style>
  <w:style w:type="character" w:customStyle="1" w:styleId="TitleChar">
    <w:name w:val="Title Char"/>
    <w:basedOn w:val="DefaultParagraphFont"/>
    <w:link w:val="Title"/>
    <w:uiPriority w:val="10"/>
    <w:rsid w:val="00A92415"/>
    <w:rPr>
      <w:rFonts w:ascii="Arial Nova" w:eastAsiaTheme="majorEastAsia" w:hAnsi="Arial Nova" w:cstheme="majorBidi"/>
      <w:b/>
      <w:bCs/>
      <w:color w:val="156082" w:themeColor="accent1"/>
      <w:spacing w:val="-10"/>
      <w:kern w:val="28"/>
      <w:sz w:val="24"/>
      <w:szCs w:val="24"/>
      <w:lang w:val="en-US"/>
      <w14:ligatures w14:val="none"/>
    </w:rPr>
  </w:style>
  <w:style w:type="paragraph" w:styleId="Subtitle">
    <w:name w:val="Subtitle"/>
    <w:basedOn w:val="Normal"/>
    <w:next w:val="Normal"/>
    <w:link w:val="SubtitleChar"/>
    <w:uiPriority w:val="11"/>
    <w:qFormat/>
    <w:rsid w:val="00C65BD4"/>
    <w:pPr>
      <w:numPr>
        <w:ilvl w:val="1"/>
      </w:numPr>
      <w:ind w:firstLine="284"/>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5B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5BD4"/>
    <w:pPr>
      <w:spacing w:before="160"/>
      <w:jc w:val="center"/>
    </w:pPr>
    <w:rPr>
      <w:i/>
      <w:iCs/>
      <w:color w:val="404040" w:themeColor="text1" w:themeTint="BF"/>
    </w:rPr>
  </w:style>
  <w:style w:type="character" w:customStyle="1" w:styleId="QuoteChar">
    <w:name w:val="Quote Char"/>
    <w:basedOn w:val="DefaultParagraphFont"/>
    <w:link w:val="Quote"/>
    <w:uiPriority w:val="29"/>
    <w:rsid w:val="00C65BD4"/>
    <w:rPr>
      <w:i/>
      <w:iCs/>
      <w:color w:val="404040" w:themeColor="text1" w:themeTint="BF"/>
    </w:rPr>
  </w:style>
  <w:style w:type="paragraph" w:styleId="ListParagraph">
    <w:name w:val="List Paragraph"/>
    <w:basedOn w:val="Normal"/>
    <w:uiPriority w:val="34"/>
    <w:qFormat/>
    <w:rsid w:val="00C65BD4"/>
    <w:pPr>
      <w:ind w:left="720"/>
      <w:contextualSpacing/>
    </w:pPr>
  </w:style>
  <w:style w:type="character" w:styleId="IntenseEmphasis">
    <w:name w:val="Intense Emphasis"/>
    <w:basedOn w:val="DefaultParagraphFont"/>
    <w:uiPriority w:val="21"/>
    <w:qFormat/>
    <w:rsid w:val="00C65BD4"/>
    <w:rPr>
      <w:i/>
      <w:iCs/>
      <w:color w:val="0F4761" w:themeColor="accent1" w:themeShade="BF"/>
    </w:rPr>
  </w:style>
  <w:style w:type="paragraph" w:styleId="IntenseQuote">
    <w:name w:val="Intense Quote"/>
    <w:basedOn w:val="Normal"/>
    <w:next w:val="Normal"/>
    <w:link w:val="IntenseQuoteChar"/>
    <w:uiPriority w:val="30"/>
    <w:qFormat/>
    <w:rsid w:val="00C65B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5BD4"/>
    <w:rPr>
      <w:i/>
      <w:iCs/>
      <w:color w:val="0F4761" w:themeColor="accent1" w:themeShade="BF"/>
    </w:rPr>
  </w:style>
  <w:style w:type="character" w:styleId="IntenseReference">
    <w:name w:val="Intense Reference"/>
    <w:basedOn w:val="DefaultParagraphFont"/>
    <w:uiPriority w:val="32"/>
    <w:qFormat/>
    <w:rsid w:val="00C65BD4"/>
    <w:rPr>
      <w:b/>
      <w:bCs/>
      <w:smallCaps/>
      <w:color w:val="0F4761" w:themeColor="accent1" w:themeShade="BF"/>
      <w:spacing w:val="5"/>
    </w:rPr>
  </w:style>
  <w:style w:type="paragraph" w:customStyle="1" w:styleId="Articletitle">
    <w:name w:val="Article title"/>
    <w:basedOn w:val="Normal"/>
    <w:next w:val="Normal"/>
    <w:rsid w:val="00C65BD4"/>
    <w:pPr>
      <w:spacing w:after="120"/>
    </w:pPr>
    <w:rPr>
      <w:rFonts w:ascii="Times New Roman" w:eastAsia="Times New Roman" w:hAnsi="Times New Roman"/>
      <w:b/>
      <w:sz w:val="28"/>
      <w:lang w:eastAsia="en-GB"/>
    </w:rPr>
  </w:style>
  <w:style w:type="paragraph" w:customStyle="1" w:styleId="Authornames">
    <w:name w:val="Author names"/>
    <w:basedOn w:val="Normal"/>
    <w:next w:val="Normal"/>
    <w:rsid w:val="00C65BD4"/>
    <w:pPr>
      <w:spacing w:before="240"/>
    </w:pPr>
    <w:rPr>
      <w:rFonts w:ascii="Times New Roman" w:eastAsia="Times New Roman" w:hAnsi="Times New Roman"/>
      <w:sz w:val="28"/>
      <w:lang w:eastAsia="en-GB"/>
    </w:rPr>
  </w:style>
  <w:style w:type="paragraph" w:customStyle="1" w:styleId="Affiliation">
    <w:name w:val="Affiliation"/>
    <w:basedOn w:val="Normal"/>
    <w:rsid w:val="00C65BD4"/>
    <w:pPr>
      <w:spacing w:before="240"/>
    </w:pPr>
    <w:rPr>
      <w:rFonts w:ascii="Times New Roman" w:eastAsia="Times New Roman" w:hAnsi="Times New Roman"/>
      <w:i/>
      <w:lang w:eastAsia="en-GB"/>
    </w:rPr>
  </w:style>
  <w:style w:type="character" w:styleId="Hyperlink">
    <w:name w:val="Hyperlink"/>
    <w:basedOn w:val="DefaultParagraphFont"/>
    <w:uiPriority w:val="99"/>
    <w:unhideWhenUsed/>
    <w:rsid w:val="00C65BD4"/>
    <w:rPr>
      <w:color w:val="467886" w:themeColor="hyperlink"/>
      <w:u w:val="single"/>
    </w:rPr>
  </w:style>
  <w:style w:type="character" w:styleId="UnresolvedMention">
    <w:name w:val="Unresolved Mention"/>
    <w:basedOn w:val="DefaultParagraphFont"/>
    <w:uiPriority w:val="99"/>
    <w:semiHidden/>
    <w:unhideWhenUsed/>
    <w:rsid w:val="007B17C5"/>
    <w:rPr>
      <w:color w:val="605E5C"/>
      <w:shd w:val="clear" w:color="auto" w:fill="E1DFDD"/>
    </w:rPr>
  </w:style>
  <w:style w:type="paragraph" w:styleId="Header">
    <w:name w:val="header"/>
    <w:basedOn w:val="Normal"/>
    <w:link w:val="HeaderChar"/>
    <w:uiPriority w:val="99"/>
    <w:unhideWhenUsed/>
    <w:rsid w:val="00D9207E"/>
    <w:pPr>
      <w:tabs>
        <w:tab w:val="center" w:pos="4536"/>
        <w:tab w:val="right" w:pos="9072"/>
      </w:tabs>
      <w:spacing w:line="240" w:lineRule="auto"/>
    </w:pPr>
  </w:style>
  <w:style w:type="character" w:customStyle="1" w:styleId="HeaderChar">
    <w:name w:val="Header Char"/>
    <w:basedOn w:val="DefaultParagraphFont"/>
    <w:link w:val="Header"/>
    <w:uiPriority w:val="99"/>
    <w:rsid w:val="00D9207E"/>
    <w:rPr>
      <w:rFonts w:ascii="Arial Nova" w:eastAsiaTheme="minorEastAsia" w:hAnsi="Arial Nova" w:cs="Times New Roman"/>
      <w:kern w:val="0"/>
      <w:szCs w:val="24"/>
      <w14:ligatures w14:val="none"/>
    </w:rPr>
  </w:style>
  <w:style w:type="paragraph" w:styleId="Footer">
    <w:name w:val="footer"/>
    <w:basedOn w:val="Normal"/>
    <w:link w:val="FooterChar"/>
    <w:uiPriority w:val="99"/>
    <w:unhideWhenUsed/>
    <w:rsid w:val="00D9207E"/>
    <w:pPr>
      <w:tabs>
        <w:tab w:val="center" w:pos="4536"/>
        <w:tab w:val="right" w:pos="9072"/>
      </w:tabs>
      <w:spacing w:line="240" w:lineRule="auto"/>
    </w:pPr>
  </w:style>
  <w:style w:type="character" w:customStyle="1" w:styleId="FooterChar">
    <w:name w:val="Footer Char"/>
    <w:basedOn w:val="DefaultParagraphFont"/>
    <w:link w:val="Footer"/>
    <w:uiPriority w:val="99"/>
    <w:rsid w:val="00D9207E"/>
    <w:rPr>
      <w:rFonts w:ascii="Arial Nova" w:eastAsiaTheme="minorEastAsia" w:hAnsi="Arial Nova" w:cs="Times New Roman"/>
      <w:kern w:val="0"/>
      <w:szCs w:val="24"/>
      <w14:ligatures w14:val="none"/>
    </w:rPr>
  </w:style>
  <w:style w:type="character" w:styleId="CommentReference">
    <w:name w:val="annotation reference"/>
    <w:basedOn w:val="DefaultParagraphFont"/>
    <w:uiPriority w:val="99"/>
    <w:semiHidden/>
    <w:unhideWhenUsed/>
    <w:rsid w:val="0071395B"/>
    <w:rPr>
      <w:sz w:val="16"/>
      <w:szCs w:val="16"/>
    </w:rPr>
  </w:style>
  <w:style w:type="paragraph" w:styleId="CommentText">
    <w:name w:val="annotation text"/>
    <w:basedOn w:val="Normal"/>
    <w:link w:val="CommentTextChar"/>
    <w:uiPriority w:val="99"/>
    <w:unhideWhenUsed/>
    <w:rsid w:val="0071395B"/>
    <w:pPr>
      <w:spacing w:line="240" w:lineRule="auto"/>
    </w:pPr>
    <w:rPr>
      <w:sz w:val="20"/>
      <w:szCs w:val="20"/>
    </w:rPr>
  </w:style>
  <w:style w:type="character" w:customStyle="1" w:styleId="CommentTextChar">
    <w:name w:val="Comment Text Char"/>
    <w:basedOn w:val="DefaultParagraphFont"/>
    <w:link w:val="CommentText"/>
    <w:uiPriority w:val="99"/>
    <w:rsid w:val="0071395B"/>
    <w:rPr>
      <w:rFonts w:ascii="Arial Nova" w:eastAsiaTheme="minorEastAsia" w:hAnsi="Arial Nov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1395B"/>
    <w:rPr>
      <w:b/>
      <w:bCs/>
    </w:rPr>
  </w:style>
  <w:style w:type="character" w:customStyle="1" w:styleId="CommentSubjectChar">
    <w:name w:val="Comment Subject Char"/>
    <w:basedOn w:val="CommentTextChar"/>
    <w:link w:val="CommentSubject"/>
    <w:uiPriority w:val="99"/>
    <w:semiHidden/>
    <w:rsid w:val="0071395B"/>
    <w:rPr>
      <w:rFonts w:ascii="Arial Nova" w:eastAsiaTheme="minorEastAsia" w:hAnsi="Arial Nova" w:cs="Times New Roman"/>
      <w:b/>
      <w:bCs/>
      <w:kern w:val="0"/>
      <w:sz w:val="20"/>
      <w:szCs w:val="20"/>
      <w14:ligatures w14:val="none"/>
    </w:rPr>
  </w:style>
  <w:style w:type="paragraph" w:styleId="Bibliography">
    <w:name w:val="Bibliography"/>
    <w:basedOn w:val="Normal"/>
    <w:next w:val="Normal"/>
    <w:link w:val="BibliographyChar"/>
    <w:uiPriority w:val="37"/>
    <w:unhideWhenUsed/>
    <w:rsid w:val="008E6CE8"/>
    <w:pPr>
      <w:spacing w:line="480" w:lineRule="auto"/>
      <w:ind w:left="720" w:hanging="720"/>
    </w:pPr>
  </w:style>
  <w:style w:type="paragraph" w:customStyle="1" w:styleId="BibliographyAPA">
    <w:name w:val="Bibliography_APA"/>
    <w:basedOn w:val="Bibliography"/>
    <w:link w:val="BibliographyAPAChar"/>
    <w:qFormat/>
    <w:rsid w:val="008D11B1"/>
    <w:pPr>
      <w:spacing w:line="360" w:lineRule="auto"/>
      <w:jc w:val="left"/>
    </w:pPr>
    <w:rPr>
      <w:lang w:val="en-US"/>
    </w:rPr>
  </w:style>
  <w:style w:type="character" w:customStyle="1" w:styleId="BibliographyChar">
    <w:name w:val="Bibliography Char"/>
    <w:basedOn w:val="DefaultParagraphFont"/>
    <w:link w:val="Bibliography"/>
    <w:uiPriority w:val="37"/>
    <w:rsid w:val="008D11B1"/>
    <w:rPr>
      <w:rFonts w:ascii="Arial Nova" w:eastAsiaTheme="minorEastAsia" w:hAnsi="Arial Nova" w:cs="Times New Roman"/>
      <w:kern w:val="0"/>
      <w:szCs w:val="24"/>
      <w14:ligatures w14:val="none"/>
    </w:rPr>
  </w:style>
  <w:style w:type="character" w:customStyle="1" w:styleId="BibliographyAPAChar">
    <w:name w:val="Bibliography_APA Char"/>
    <w:basedOn w:val="BibliographyChar"/>
    <w:link w:val="BibliographyAPA"/>
    <w:rsid w:val="008D11B1"/>
    <w:rPr>
      <w:rFonts w:ascii="Arial Nova" w:eastAsiaTheme="minorEastAsia" w:hAnsi="Arial Nova" w:cs="Times New Roman"/>
      <w:kern w:val="0"/>
      <w:szCs w:val="24"/>
      <w:lang w:val="en-US"/>
      <w14:ligatures w14:val="none"/>
    </w:rPr>
  </w:style>
  <w:style w:type="table" w:styleId="TableGrid">
    <w:name w:val="Table Grid"/>
    <w:basedOn w:val="TableNormal"/>
    <w:uiPriority w:val="39"/>
    <w:rsid w:val="00921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9416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B66076"/>
    <w:pPr>
      <w:spacing w:after="200" w:line="240" w:lineRule="auto"/>
    </w:pPr>
    <w:rPr>
      <w:i/>
      <w:iCs/>
      <w:color w:val="0E2841" w:themeColor="text2"/>
      <w:sz w:val="18"/>
      <w:szCs w:val="18"/>
    </w:rPr>
  </w:style>
  <w:style w:type="character" w:styleId="PlaceholderText">
    <w:name w:val="Placeholder Text"/>
    <w:basedOn w:val="DefaultParagraphFont"/>
    <w:uiPriority w:val="99"/>
    <w:semiHidden/>
    <w:rsid w:val="001165F2"/>
    <w:rPr>
      <w:color w:val="666666"/>
    </w:rPr>
  </w:style>
  <w:style w:type="character" w:styleId="FollowedHyperlink">
    <w:name w:val="FollowedHyperlink"/>
    <w:basedOn w:val="DefaultParagraphFont"/>
    <w:uiPriority w:val="99"/>
    <w:semiHidden/>
    <w:unhideWhenUsed/>
    <w:rsid w:val="009F6570"/>
    <w:rPr>
      <w:color w:val="96607D" w:themeColor="followedHyperlink"/>
      <w:u w:val="single"/>
    </w:rPr>
  </w:style>
  <w:style w:type="paragraph" w:styleId="FootnoteText">
    <w:name w:val="footnote text"/>
    <w:basedOn w:val="Normal"/>
    <w:link w:val="FootnoteTextChar"/>
    <w:uiPriority w:val="99"/>
    <w:semiHidden/>
    <w:unhideWhenUsed/>
    <w:rsid w:val="000827D4"/>
    <w:pPr>
      <w:spacing w:line="240" w:lineRule="auto"/>
    </w:pPr>
    <w:rPr>
      <w:sz w:val="20"/>
      <w:szCs w:val="20"/>
    </w:rPr>
  </w:style>
  <w:style w:type="character" w:customStyle="1" w:styleId="FootnoteTextChar">
    <w:name w:val="Footnote Text Char"/>
    <w:basedOn w:val="DefaultParagraphFont"/>
    <w:link w:val="FootnoteText"/>
    <w:uiPriority w:val="99"/>
    <w:semiHidden/>
    <w:rsid w:val="000827D4"/>
    <w:rPr>
      <w:rFonts w:ascii="Arial Nova" w:eastAsiaTheme="minorEastAsia" w:hAnsi="Arial Nova" w:cs="Times New Roman"/>
      <w:kern w:val="0"/>
      <w:sz w:val="20"/>
      <w:szCs w:val="20"/>
      <w14:ligatures w14:val="none"/>
    </w:rPr>
  </w:style>
  <w:style w:type="character" w:styleId="FootnoteReference">
    <w:name w:val="footnote reference"/>
    <w:basedOn w:val="DefaultParagraphFont"/>
    <w:uiPriority w:val="99"/>
    <w:semiHidden/>
    <w:unhideWhenUsed/>
    <w:rsid w:val="000827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26856">
      <w:bodyDiv w:val="1"/>
      <w:marLeft w:val="0"/>
      <w:marRight w:val="0"/>
      <w:marTop w:val="0"/>
      <w:marBottom w:val="0"/>
      <w:divBdr>
        <w:top w:val="none" w:sz="0" w:space="0" w:color="auto"/>
        <w:left w:val="none" w:sz="0" w:space="0" w:color="auto"/>
        <w:bottom w:val="none" w:sz="0" w:space="0" w:color="auto"/>
        <w:right w:val="none" w:sz="0" w:space="0" w:color="auto"/>
      </w:divBdr>
    </w:div>
    <w:div w:id="314989996">
      <w:bodyDiv w:val="1"/>
      <w:marLeft w:val="0"/>
      <w:marRight w:val="0"/>
      <w:marTop w:val="0"/>
      <w:marBottom w:val="0"/>
      <w:divBdr>
        <w:top w:val="none" w:sz="0" w:space="0" w:color="auto"/>
        <w:left w:val="none" w:sz="0" w:space="0" w:color="auto"/>
        <w:bottom w:val="none" w:sz="0" w:space="0" w:color="auto"/>
        <w:right w:val="none" w:sz="0" w:space="0" w:color="auto"/>
      </w:divBdr>
    </w:div>
    <w:div w:id="369259609">
      <w:bodyDiv w:val="1"/>
      <w:marLeft w:val="0"/>
      <w:marRight w:val="0"/>
      <w:marTop w:val="0"/>
      <w:marBottom w:val="0"/>
      <w:divBdr>
        <w:top w:val="none" w:sz="0" w:space="0" w:color="auto"/>
        <w:left w:val="none" w:sz="0" w:space="0" w:color="auto"/>
        <w:bottom w:val="none" w:sz="0" w:space="0" w:color="auto"/>
        <w:right w:val="none" w:sz="0" w:space="0" w:color="auto"/>
      </w:divBdr>
      <w:divsChild>
        <w:div w:id="1003625290">
          <w:marLeft w:val="0"/>
          <w:marRight w:val="0"/>
          <w:marTop w:val="0"/>
          <w:marBottom w:val="0"/>
          <w:divBdr>
            <w:top w:val="none" w:sz="0" w:space="0" w:color="auto"/>
            <w:left w:val="none" w:sz="0" w:space="0" w:color="auto"/>
            <w:bottom w:val="none" w:sz="0" w:space="0" w:color="auto"/>
            <w:right w:val="none" w:sz="0" w:space="0" w:color="auto"/>
          </w:divBdr>
        </w:div>
        <w:div w:id="1961916475">
          <w:marLeft w:val="0"/>
          <w:marRight w:val="0"/>
          <w:marTop w:val="0"/>
          <w:marBottom w:val="0"/>
          <w:divBdr>
            <w:top w:val="none" w:sz="0" w:space="0" w:color="auto"/>
            <w:left w:val="none" w:sz="0" w:space="0" w:color="auto"/>
            <w:bottom w:val="none" w:sz="0" w:space="0" w:color="auto"/>
            <w:right w:val="none" w:sz="0" w:space="0" w:color="auto"/>
          </w:divBdr>
        </w:div>
      </w:divsChild>
    </w:div>
    <w:div w:id="511990954">
      <w:bodyDiv w:val="1"/>
      <w:marLeft w:val="0"/>
      <w:marRight w:val="0"/>
      <w:marTop w:val="0"/>
      <w:marBottom w:val="0"/>
      <w:divBdr>
        <w:top w:val="none" w:sz="0" w:space="0" w:color="auto"/>
        <w:left w:val="none" w:sz="0" w:space="0" w:color="auto"/>
        <w:bottom w:val="none" w:sz="0" w:space="0" w:color="auto"/>
        <w:right w:val="none" w:sz="0" w:space="0" w:color="auto"/>
      </w:divBdr>
    </w:div>
    <w:div w:id="535510983">
      <w:bodyDiv w:val="1"/>
      <w:marLeft w:val="0"/>
      <w:marRight w:val="0"/>
      <w:marTop w:val="0"/>
      <w:marBottom w:val="0"/>
      <w:divBdr>
        <w:top w:val="none" w:sz="0" w:space="0" w:color="auto"/>
        <w:left w:val="none" w:sz="0" w:space="0" w:color="auto"/>
        <w:bottom w:val="none" w:sz="0" w:space="0" w:color="auto"/>
        <w:right w:val="none" w:sz="0" w:space="0" w:color="auto"/>
      </w:divBdr>
    </w:div>
    <w:div w:id="604535157">
      <w:bodyDiv w:val="1"/>
      <w:marLeft w:val="0"/>
      <w:marRight w:val="0"/>
      <w:marTop w:val="0"/>
      <w:marBottom w:val="0"/>
      <w:divBdr>
        <w:top w:val="none" w:sz="0" w:space="0" w:color="auto"/>
        <w:left w:val="none" w:sz="0" w:space="0" w:color="auto"/>
        <w:bottom w:val="none" w:sz="0" w:space="0" w:color="auto"/>
        <w:right w:val="none" w:sz="0" w:space="0" w:color="auto"/>
      </w:divBdr>
    </w:div>
    <w:div w:id="606667267">
      <w:bodyDiv w:val="1"/>
      <w:marLeft w:val="0"/>
      <w:marRight w:val="0"/>
      <w:marTop w:val="0"/>
      <w:marBottom w:val="0"/>
      <w:divBdr>
        <w:top w:val="none" w:sz="0" w:space="0" w:color="auto"/>
        <w:left w:val="none" w:sz="0" w:space="0" w:color="auto"/>
        <w:bottom w:val="none" w:sz="0" w:space="0" w:color="auto"/>
        <w:right w:val="none" w:sz="0" w:space="0" w:color="auto"/>
      </w:divBdr>
    </w:div>
    <w:div w:id="723677004">
      <w:bodyDiv w:val="1"/>
      <w:marLeft w:val="0"/>
      <w:marRight w:val="0"/>
      <w:marTop w:val="0"/>
      <w:marBottom w:val="0"/>
      <w:divBdr>
        <w:top w:val="none" w:sz="0" w:space="0" w:color="auto"/>
        <w:left w:val="none" w:sz="0" w:space="0" w:color="auto"/>
        <w:bottom w:val="none" w:sz="0" w:space="0" w:color="auto"/>
        <w:right w:val="none" w:sz="0" w:space="0" w:color="auto"/>
      </w:divBdr>
    </w:div>
    <w:div w:id="1087995139">
      <w:bodyDiv w:val="1"/>
      <w:marLeft w:val="0"/>
      <w:marRight w:val="0"/>
      <w:marTop w:val="0"/>
      <w:marBottom w:val="0"/>
      <w:divBdr>
        <w:top w:val="none" w:sz="0" w:space="0" w:color="auto"/>
        <w:left w:val="none" w:sz="0" w:space="0" w:color="auto"/>
        <w:bottom w:val="none" w:sz="0" w:space="0" w:color="auto"/>
        <w:right w:val="none" w:sz="0" w:space="0" w:color="auto"/>
      </w:divBdr>
      <w:divsChild>
        <w:div w:id="1949653722">
          <w:marLeft w:val="0"/>
          <w:marRight w:val="0"/>
          <w:marTop w:val="0"/>
          <w:marBottom w:val="0"/>
          <w:divBdr>
            <w:top w:val="none" w:sz="0" w:space="0" w:color="auto"/>
            <w:left w:val="none" w:sz="0" w:space="0" w:color="auto"/>
            <w:bottom w:val="none" w:sz="0" w:space="0" w:color="auto"/>
            <w:right w:val="none" w:sz="0" w:space="0" w:color="auto"/>
          </w:divBdr>
        </w:div>
        <w:div w:id="3434842">
          <w:marLeft w:val="0"/>
          <w:marRight w:val="0"/>
          <w:marTop w:val="0"/>
          <w:marBottom w:val="0"/>
          <w:divBdr>
            <w:top w:val="none" w:sz="0" w:space="0" w:color="auto"/>
            <w:left w:val="none" w:sz="0" w:space="0" w:color="auto"/>
            <w:bottom w:val="none" w:sz="0" w:space="0" w:color="auto"/>
            <w:right w:val="none" w:sz="0" w:space="0" w:color="auto"/>
          </w:divBdr>
        </w:div>
      </w:divsChild>
    </w:div>
    <w:div w:id="1096749695">
      <w:bodyDiv w:val="1"/>
      <w:marLeft w:val="0"/>
      <w:marRight w:val="0"/>
      <w:marTop w:val="0"/>
      <w:marBottom w:val="0"/>
      <w:divBdr>
        <w:top w:val="none" w:sz="0" w:space="0" w:color="auto"/>
        <w:left w:val="none" w:sz="0" w:space="0" w:color="auto"/>
        <w:bottom w:val="none" w:sz="0" w:space="0" w:color="auto"/>
        <w:right w:val="none" w:sz="0" w:space="0" w:color="auto"/>
      </w:divBdr>
    </w:div>
    <w:div w:id="1103377762">
      <w:bodyDiv w:val="1"/>
      <w:marLeft w:val="0"/>
      <w:marRight w:val="0"/>
      <w:marTop w:val="0"/>
      <w:marBottom w:val="0"/>
      <w:divBdr>
        <w:top w:val="none" w:sz="0" w:space="0" w:color="auto"/>
        <w:left w:val="none" w:sz="0" w:space="0" w:color="auto"/>
        <w:bottom w:val="none" w:sz="0" w:space="0" w:color="auto"/>
        <w:right w:val="none" w:sz="0" w:space="0" w:color="auto"/>
      </w:divBdr>
    </w:div>
    <w:div w:id="1243567330">
      <w:bodyDiv w:val="1"/>
      <w:marLeft w:val="0"/>
      <w:marRight w:val="0"/>
      <w:marTop w:val="0"/>
      <w:marBottom w:val="0"/>
      <w:divBdr>
        <w:top w:val="none" w:sz="0" w:space="0" w:color="auto"/>
        <w:left w:val="none" w:sz="0" w:space="0" w:color="auto"/>
        <w:bottom w:val="none" w:sz="0" w:space="0" w:color="auto"/>
        <w:right w:val="none" w:sz="0" w:space="0" w:color="auto"/>
      </w:divBdr>
    </w:div>
    <w:div w:id="1434738704">
      <w:bodyDiv w:val="1"/>
      <w:marLeft w:val="0"/>
      <w:marRight w:val="0"/>
      <w:marTop w:val="0"/>
      <w:marBottom w:val="0"/>
      <w:divBdr>
        <w:top w:val="none" w:sz="0" w:space="0" w:color="auto"/>
        <w:left w:val="none" w:sz="0" w:space="0" w:color="auto"/>
        <w:bottom w:val="none" w:sz="0" w:space="0" w:color="auto"/>
        <w:right w:val="none" w:sz="0" w:space="0" w:color="auto"/>
      </w:divBdr>
    </w:div>
    <w:div w:id="1477991022">
      <w:bodyDiv w:val="1"/>
      <w:marLeft w:val="0"/>
      <w:marRight w:val="0"/>
      <w:marTop w:val="0"/>
      <w:marBottom w:val="0"/>
      <w:divBdr>
        <w:top w:val="none" w:sz="0" w:space="0" w:color="auto"/>
        <w:left w:val="none" w:sz="0" w:space="0" w:color="auto"/>
        <w:bottom w:val="none" w:sz="0" w:space="0" w:color="auto"/>
        <w:right w:val="none" w:sz="0" w:space="0" w:color="auto"/>
      </w:divBdr>
      <w:divsChild>
        <w:div w:id="751702099">
          <w:marLeft w:val="0"/>
          <w:marRight w:val="0"/>
          <w:marTop w:val="0"/>
          <w:marBottom w:val="0"/>
          <w:divBdr>
            <w:top w:val="none" w:sz="0" w:space="0" w:color="auto"/>
            <w:left w:val="none" w:sz="0" w:space="0" w:color="auto"/>
            <w:bottom w:val="none" w:sz="0" w:space="0" w:color="auto"/>
            <w:right w:val="none" w:sz="0" w:space="0" w:color="auto"/>
          </w:divBdr>
        </w:div>
      </w:divsChild>
    </w:div>
    <w:div w:id="1543053697">
      <w:bodyDiv w:val="1"/>
      <w:marLeft w:val="0"/>
      <w:marRight w:val="0"/>
      <w:marTop w:val="0"/>
      <w:marBottom w:val="0"/>
      <w:divBdr>
        <w:top w:val="none" w:sz="0" w:space="0" w:color="auto"/>
        <w:left w:val="none" w:sz="0" w:space="0" w:color="auto"/>
        <w:bottom w:val="none" w:sz="0" w:space="0" w:color="auto"/>
        <w:right w:val="none" w:sz="0" w:space="0" w:color="auto"/>
      </w:divBdr>
    </w:div>
    <w:div w:id="1549145949">
      <w:bodyDiv w:val="1"/>
      <w:marLeft w:val="0"/>
      <w:marRight w:val="0"/>
      <w:marTop w:val="0"/>
      <w:marBottom w:val="0"/>
      <w:divBdr>
        <w:top w:val="none" w:sz="0" w:space="0" w:color="auto"/>
        <w:left w:val="none" w:sz="0" w:space="0" w:color="auto"/>
        <w:bottom w:val="none" w:sz="0" w:space="0" w:color="auto"/>
        <w:right w:val="none" w:sz="0" w:space="0" w:color="auto"/>
      </w:divBdr>
    </w:div>
    <w:div w:id="1618679070">
      <w:bodyDiv w:val="1"/>
      <w:marLeft w:val="0"/>
      <w:marRight w:val="0"/>
      <w:marTop w:val="0"/>
      <w:marBottom w:val="0"/>
      <w:divBdr>
        <w:top w:val="none" w:sz="0" w:space="0" w:color="auto"/>
        <w:left w:val="none" w:sz="0" w:space="0" w:color="auto"/>
        <w:bottom w:val="none" w:sz="0" w:space="0" w:color="auto"/>
        <w:right w:val="none" w:sz="0" w:space="0" w:color="auto"/>
      </w:divBdr>
    </w:div>
    <w:div w:id="1705595441">
      <w:bodyDiv w:val="1"/>
      <w:marLeft w:val="0"/>
      <w:marRight w:val="0"/>
      <w:marTop w:val="0"/>
      <w:marBottom w:val="0"/>
      <w:divBdr>
        <w:top w:val="none" w:sz="0" w:space="0" w:color="auto"/>
        <w:left w:val="none" w:sz="0" w:space="0" w:color="auto"/>
        <w:bottom w:val="none" w:sz="0" w:space="0" w:color="auto"/>
        <w:right w:val="none" w:sz="0" w:space="0" w:color="auto"/>
      </w:divBdr>
    </w:div>
    <w:div w:id="1801532297">
      <w:bodyDiv w:val="1"/>
      <w:marLeft w:val="0"/>
      <w:marRight w:val="0"/>
      <w:marTop w:val="0"/>
      <w:marBottom w:val="0"/>
      <w:divBdr>
        <w:top w:val="none" w:sz="0" w:space="0" w:color="auto"/>
        <w:left w:val="none" w:sz="0" w:space="0" w:color="auto"/>
        <w:bottom w:val="none" w:sz="0" w:space="0" w:color="auto"/>
        <w:right w:val="none" w:sz="0" w:space="0" w:color="auto"/>
      </w:divBdr>
      <w:divsChild>
        <w:div w:id="379016911">
          <w:marLeft w:val="0"/>
          <w:marRight w:val="0"/>
          <w:marTop w:val="0"/>
          <w:marBottom w:val="0"/>
          <w:divBdr>
            <w:top w:val="none" w:sz="0" w:space="0" w:color="auto"/>
            <w:left w:val="none" w:sz="0" w:space="0" w:color="auto"/>
            <w:bottom w:val="none" w:sz="0" w:space="0" w:color="auto"/>
            <w:right w:val="none" w:sz="0" w:space="0" w:color="auto"/>
          </w:divBdr>
        </w:div>
      </w:divsChild>
    </w:div>
    <w:div w:id="1805275802">
      <w:bodyDiv w:val="1"/>
      <w:marLeft w:val="0"/>
      <w:marRight w:val="0"/>
      <w:marTop w:val="0"/>
      <w:marBottom w:val="0"/>
      <w:divBdr>
        <w:top w:val="none" w:sz="0" w:space="0" w:color="auto"/>
        <w:left w:val="none" w:sz="0" w:space="0" w:color="auto"/>
        <w:bottom w:val="none" w:sz="0" w:space="0" w:color="auto"/>
        <w:right w:val="none" w:sz="0" w:space="0" w:color="auto"/>
      </w:divBdr>
    </w:div>
    <w:div w:id="1849589561">
      <w:bodyDiv w:val="1"/>
      <w:marLeft w:val="0"/>
      <w:marRight w:val="0"/>
      <w:marTop w:val="0"/>
      <w:marBottom w:val="0"/>
      <w:divBdr>
        <w:top w:val="none" w:sz="0" w:space="0" w:color="auto"/>
        <w:left w:val="none" w:sz="0" w:space="0" w:color="auto"/>
        <w:bottom w:val="none" w:sz="0" w:space="0" w:color="auto"/>
        <w:right w:val="none" w:sz="0" w:space="0" w:color="auto"/>
      </w:divBdr>
    </w:div>
    <w:div w:id="189172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ntina.jelincic@kuleuven.be" TargetMode="External"/><Relationship Id="rId13" Type="http://schemas.openxmlformats.org/officeDocument/2006/relationships/hyperlink" Target="mailto:mathias.weymar@uni-potsdam.de" TargetMode="External"/><Relationship Id="rId18" Type="http://schemas.openxmlformats.org/officeDocument/2006/relationships/hyperlink" Target="https://osf.io/pv57c/"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endnotes" Target="endnotes.xml"/><Relationship Id="rId12" Type="http://schemas.openxmlformats.org/officeDocument/2006/relationships/hyperlink" Target="mailto:ekaterina.gorianskaia@student.kuleuven.be" TargetMode="External"/><Relationship Id="rId17" Type="http://schemas.openxmlformats.org/officeDocument/2006/relationships/image" Target="media/image1.JP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andreas.vonleupoldt@kuleuven.be" TargetMode="Externa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riss.cascio@student.kuleuven.b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lse.vandiest@kuleuven.b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ventura@uni-potsdam.de" TargetMode="Externa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mailto:md06451@usc.edu" TargetMode="External"/><Relationship Id="rId14" Type="http://schemas.openxmlformats.org/officeDocument/2006/relationships/hyperlink" Target="mailto:diana.torta@kuleuven.be" TargetMode="External"/><Relationship Id="rId22" Type="http://schemas.openxmlformats.org/officeDocument/2006/relationships/image" Target="media/image5.JP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B292C-C123-476D-BABD-F9018262B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16909</Words>
  <Characters>93002</Characters>
  <Application>Microsoft Office Word</Application>
  <DocSecurity>0</DocSecurity>
  <Lines>775</Lines>
  <Paragraphs>219</Paragraphs>
  <ScaleCrop>false</ScaleCrop>
  <HeadingPairs>
    <vt:vector size="2" baseType="variant">
      <vt:variant>
        <vt:lpstr>Title</vt:lpstr>
      </vt:variant>
      <vt:variant>
        <vt:i4>1</vt:i4>
      </vt:variant>
    </vt:vector>
  </HeadingPairs>
  <TitlesOfParts>
    <vt:vector size="1" baseType="lpstr">
      <vt:lpstr/>
    </vt:vector>
  </TitlesOfParts>
  <Company>KU Leuven</Company>
  <LinksUpToDate>false</LinksUpToDate>
  <CharactersWithSpaces>109692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Jelinčić</dc:creator>
  <cp:keywords/>
  <dc:description/>
  <cp:lastModifiedBy>Valentina Jelinčić</cp:lastModifiedBy>
  <cp:revision>5</cp:revision>
  <dcterms:created xsi:type="dcterms:W3CDTF">2024-09-13T19:05:00Z</dcterms:created>
  <dcterms:modified xsi:type="dcterms:W3CDTF">2024-09-13T19:08:00Z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id="5aGP9PLk"/&gt;&lt;style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