
<file path=[Content_Types].xml><?xml version="1.0" encoding="utf-8"?>
<Types xmlns="http://schemas.openxmlformats.org/package/2006/content-types">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343059E">
      <w:pPr>
        <w:rPr>
          <w:rFonts w:hint="eastAsia" w:eastAsiaTheme="minorEastAsia"/>
          <w:lang w:eastAsia="zh-CN"/>
        </w:rPr>
      </w:pPr>
      <w:r>
        <w:rPr>
          <w:rFonts w:hint="eastAsia" w:eastAsiaTheme="minorEastAsia"/>
          <w:lang w:eastAsia="zh-CN"/>
        </w:rPr>
        <w:drawing>
          <wp:inline distT="0" distB="0" distL="114300" distR="114300">
            <wp:extent cx="4319905" cy="3419475"/>
            <wp:effectExtent l="0" t="0" r="10795" b="9525"/>
            <wp:docPr id="1" name="图片 1"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ig. 1"/>
                    <pic:cNvPicPr>
                      <a:picLocks noChangeAspect="1"/>
                    </pic:cNvPicPr>
                  </pic:nvPicPr>
                  <pic:blipFill>
                    <a:blip r:embed="rId4"/>
                    <a:stretch>
                      <a:fillRect/>
                    </a:stretch>
                  </pic:blipFill>
                  <pic:spPr>
                    <a:xfrm>
                      <a:off x="0" y="0"/>
                      <a:ext cx="4319905" cy="3419475"/>
                    </a:xfrm>
                    <a:prstGeom prst="rect">
                      <a:avLst/>
                    </a:prstGeom>
                  </pic:spPr>
                </pic:pic>
              </a:graphicData>
            </a:graphic>
          </wp:inline>
        </w:drawing>
      </w:r>
    </w:p>
    <w:p w14:paraId="046E5615">
      <w:pPr>
        <w:rPr>
          <w:rFonts w:hint="eastAsia" w:eastAsiaTheme="minorEastAsia"/>
          <w:lang w:eastAsia="zh-CN"/>
        </w:rPr>
      </w:pPr>
    </w:p>
    <w:p w14:paraId="7993961E">
      <w:pPr>
        <w:rPr>
          <w:rFonts w:hint="eastAsia" w:eastAsiaTheme="minorEastAsia"/>
          <w:lang w:eastAsia="zh-CN"/>
        </w:rPr>
      </w:pPr>
      <w:r>
        <w:rPr>
          <w:rFonts w:ascii="Arial" w:hAnsi="Arial" w:cs="Arial"/>
          <w:b/>
          <w:bCs/>
          <w:sz w:val="21"/>
        </w:rPr>
        <w:t>Fig. 1.</w:t>
      </w:r>
      <w:r>
        <w:rPr>
          <w:rFonts w:ascii="Arial" w:hAnsi="Arial" w:cs="Arial"/>
          <w:sz w:val="21"/>
        </w:rPr>
        <w:t xml:space="preserve"> Stress treatment, histochemical staining and physiological index analysis of </w:t>
      </w:r>
      <w:r>
        <w:rPr>
          <w:rFonts w:ascii="Arial" w:hAnsi="Arial" w:cs="Arial"/>
          <w:i/>
          <w:sz w:val="21"/>
        </w:rPr>
        <w:t>G. hirsutum</w:t>
      </w:r>
      <w:r>
        <w:rPr>
          <w:rFonts w:ascii="Arial" w:hAnsi="Arial" w:cs="Arial"/>
          <w:sz w:val="21"/>
        </w:rPr>
        <w:t>.</w:t>
      </w:r>
      <w:bookmarkStart w:id="0" w:name="OLE_LINK102"/>
      <w:r>
        <w:rPr>
          <w:rFonts w:ascii="Arial" w:hAnsi="Arial" w:cs="Arial"/>
          <w:sz w:val="21"/>
        </w:rPr>
        <w:t xml:space="preserve"> </w:t>
      </w:r>
      <w:r>
        <w:rPr>
          <w:rFonts w:ascii="Arial" w:hAnsi="Arial" w:cs="Arial"/>
          <w:b/>
          <w:bCs/>
          <w:sz w:val="21"/>
        </w:rPr>
        <w:t xml:space="preserve">A-C, </w:t>
      </w:r>
      <w:r>
        <w:rPr>
          <w:rFonts w:ascii="Arial" w:hAnsi="Arial" w:cs="Arial"/>
          <w:sz w:val="21"/>
        </w:rPr>
        <w:t>The NBT assay, Evans Blue stain, and DAB stain were used to visualize the content of O</w:t>
      </w:r>
      <w:r>
        <w:rPr>
          <w:rFonts w:ascii="Arial" w:hAnsi="Arial" w:cs="Arial"/>
          <w:sz w:val="21"/>
          <w:vertAlign w:val="subscript"/>
        </w:rPr>
        <w:t>2</w:t>
      </w:r>
      <w:r>
        <w:rPr>
          <w:rFonts w:ascii="Arial" w:hAnsi="Arial" w:cs="Arial"/>
          <w:sz w:val="21"/>
          <w:vertAlign w:val="superscript"/>
        </w:rPr>
        <w:t>•－</w:t>
      </w:r>
      <w:r>
        <w:rPr>
          <w:rFonts w:ascii="Arial" w:hAnsi="Arial" w:cs="Arial"/>
          <w:sz w:val="21"/>
        </w:rPr>
        <w:t xml:space="preserve"> in leaves, cell damage and the content of H</w:t>
      </w:r>
      <w:r>
        <w:rPr>
          <w:rFonts w:ascii="Arial" w:hAnsi="Arial" w:cs="Arial"/>
          <w:sz w:val="21"/>
          <w:vertAlign w:val="subscript"/>
        </w:rPr>
        <w:t>2</w:t>
      </w:r>
      <w:r>
        <w:rPr>
          <w:rFonts w:ascii="Arial" w:hAnsi="Arial" w:cs="Arial"/>
          <w:sz w:val="21"/>
        </w:rPr>
        <w:t>O</w:t>
      </w:r>
      <w:r>
        <w:rPr>
          <w:rFonts w:ascii="Arial" w:hAnsi="Arial" w:cs="Arial"/>
          <w:sz w:val="21"/>
          <w:vertAlign w:val="subscript"/>
        </w:rPr>
        <w:t>2</w:t>
      </w:r>
      <w:r>
        <w:rPr>
          <w:rFonts w:ascii="Arial" w:hAnsi="Arial" w:cs="Arial"/>
          <w:sz w:val="21"/>
        </w:rPr>
        <w:t xml:space="preserve"> in leaves. </w:t>
      </w:r>
      <w:r>
        <w:rPr>
          <w:rFonts w:ascii="Arial" w:hAnsi="Arial" w:cs="Arial"/>
          <w:b/>
          <w:bCs/>
          <w:sz w:val="21"/>
        </w:rPr>
        <w:t>D-E,</w:t>
      </w:r>
      <w:r>
        <w:rPr>
          <w:rFonts w:ascii="Arial" w:hAnsi="Arial" w:cs="Arial"/>
          <w:sz w:val="21"/>
        </w:rPr>
        <w:t xml:space="preserve"> The reaction of hydroxylamine and superoxide anion radicals and hydrogen peroxide kit were used to detect the content of O</w:t>
      </w:r>
      <w:r>
        <w:rPr>
          <w:rFonts w:ascii="Arial" w:hAnsi="Arial" w:cs="Arial"/>
          <w:sz w:val="21"/>
          <w:vertAlign w:val="subscript"/>
        </w:rPr>
        <w:t>2</w:t>
      </w:r>
      <w:r>
        <w:rPr>
          <w:rFonts w:ascii="Arial" w:hAnsi="Arial" w:cs="Arial"/>
          <w:sz w:val="21"/>
          <w:vertAlign w:val="superscript"/>
        </w:rPr>
        <w:t>•－</w:t>
      </w:r>
      <w:r>
        <w:rPr>
          <w:rFonts w:ascii="Arial" w:hAnsi="Arial" w:cs="Arial"/>
          <w:sz w:val="21"/>
        </w:rPr>
        <w:t xml:space="preserve"> and H</w:t>
      </w:r>
      <w:r>
        <w:rPr>
          <w:rFonts w:ascii="Arial" w:hAnsi="Arial" w:cs="Arial"/>
          <w:sz w:val="21"/>
          <w:vertAlign w:val="subscript"/>
        </w:rPr>
        <w:t>2</w:t>
      </w:r>
      <w:r>
        <w:rPr>
          <w:rFonts w:ascii="Arial" w:hAnsi="Arial" w:cs="Arial"/>
          <w:sz w:val="21"/>
        </w:rPr>
        <w:t>O</w:t>
      </w:r>
      <w:r>
        <w:rPr>
          <w:rFonts w:ascii="Arial" w:hAnsi="Arial" w:cs="Arial"/>
          <w:sz w:val="21"/>
          <w:vertAlign w:val="subscript"/>
        </w:rPr>
        <w:t>2</w:t>
      </w:r>
      <w:r>
        <w:rPr>
          <w:rFonts w:ascii="Arial" w:hAnsi="Arial" w:cs="Arial"/>
          <w:sz w:val="21"/>
        </w:rPr>
        <w:t xml:space="preserve"> in leaves between CK and UV-B group.</w:t>
      </w:r>
      <w:bookmarkEnd w:id="0"/>
      <w:r>
        <w:rPr>
          <w:rFonts w:ascii="Arial" w:hAnsi="Arial" w:cs="Arial"/>
          <w:sz w:val="21"/>
        </w:rPr>
        <w:t xml:space="preserve"> </w:t>
      </w:r>
      <w:r>
        <w:rPr>
          <w:rFonts w:ascii="Arial" w:hAnsi="Arial" w:cs="Arial"/>
          <w:b/>
          <w:bCs/>
          <w:sz w:val="21"/>
        </w:rPr>
        <w:t>F-G,</w:t>
      </w:r>
      <w:r>
        <w:rPr>
          <w:rFonts w:ascii="Arial" w:hAnsi="Arial" w:cs="Arial"/>
          <w:sz w:val="21"/>
        </w:rPr>
        <w:t xml:space="preserve"> Plant phenotypes under natural condition for 6 h (CK) or UV-B (16 kJ m</w:t>
      </w:r>
      <w:r>
        <w:rPr>
          <w:rFonts w:ascii="Arial" w:hAnsi="Arial" w:cs="Arial"/>
          <w:sz w:val="21"/>
          <w:vertAlign w:val="superscript"/>
        </w:rPr>
        <w:t>-2</w:t>
      </w:r>
      <w:r>
        <w:rPr>
          <w:rFonts w:ascii="Arial" w:hAnsi="Arial" w:cs="Arial"/>
          <w:sz w:val="21"/>
        </w:rPr>
        <w:t xml:space="preserve"> d</w:t>
      </w:r>
      <w:r>
        <w:rPr>
          <w:rFonts w:ascii="Arial" w:hAnsi="Arial" w:cs="Arial"/>
          <w:sz w:val="21"/>
          <w:vertAlign w:val="superscript"/>
        </w:rPr>
        <w:t>-1</w:t>
      </w:r>
      <w:r>
        <w:rPr>
          <w:rFonts w:ascii="Arial" w:hAnsi="Arial" w:cs="Arial"/>
          <w:sz w:val="21"/>
        </w:rPr>
        <w:t>) (UV-B) for 6 h.</w:t>
      </w:r>
    </w:p>
    <w:p w14:paraId="33B01054">
      <w:pPr>
        <w:rPr>
          <w:rFonts w:hint="eastAsia" w:eastAsiaTheme="minorEastAsia"/>
          <w:lang w:eastAsia="zh-CN"/>
        </w:rPr>
      </w:pPr>
    </w:p>
    <w:p w14:paraId="22A5C5E6">
      <w:pPr>
        <w:rPr>
          <w:rFonts w:hint="eastAsia" w:eastAsiaTheme="minorEastAsia"/>
          <w:lang w:eastAsia="zh-CN"/>
        </w:rPr>
      </w:pPr>
    </w:p>
    <w:p w14:paraId="609816FE">
      <w:pPr>
        <w:rPr>
          <w:rFonts w:hint="eastAsia" w:eastAsiaTheme="minorEastAsia"/>
          <w:lang w:eastAsia="zh-CN"/>
        </w:rPr>
      </w:pPr>
    </w:p>
    <w:p w14:paraId="3038F5C9">
      <w:pPr>
        <w:rPr>
          <w:rFonts w:hint="eastAsia" w:eastAsiaTheme="minorEastAsia"/>
          <w:lang w:eastAsia="zh-CN"/>
        </w:rPr>
      </w:pPr>
    </w:p>
    <w:p w14:paraId="21DE1935">
      <w:pPr>
        <w:rPr>
          <w:rFonts w:hint="eastAsia" w:eastAsiaTheme="minorEastAsia"/>
          <w:lang w:eastAsia="zh-CN"/>
        </w:rPr>
      </w:pPr>
    </w:p>
    <w:p w14:paraId="364E8128">
      <w:pPr>
        <w:rPr>
          <w:rFonts w:hint="eastAsia" w:eastAsiaTheme="minorEastAsia"/>
          <w:lang w:eastAsia="zh-CN"/>
        </w:rPr>
      </w:pPr>
    </w:p>
    <w:p w14:paraId="6EB25855">
      <w:pPr>
        <w:rPr>
          <w:rFonts w:hint="eastAsia" w:eastAsiaTheme="minorEastAsia"/>
          <w:lang w:eastAsia="zh-CN"/>
        </w:rPr>
      </w:pPr>
    </w:p>
    <w:p w14:paraId="26795FE4">
      <w:pPr>
        <w:rPr>
          <w:rFonts w:hint="eastAsia" w:eastAsiaTheme="minorEastAsia"/>
          <w:lang w:eastAsia="zh-CN"/>
        </w:rPr>
      </w:pPr>
    </w:p>
    <w:p w14:paraId="070C387E">
      <w:pPr>
        <w:rPr>
          <w:rFonts w:hint="eastAsia" w:eastAsiaTheme="minorEastAsia"/>
          <w:lang w:eastAsia="zh-CN"/>
        </w:rPr>
      </w:pPr>
    </w:p>
    <w:p w14:paraId="40E01D62">
      <w:pPr>
        <w:rPr>
          <w:rFonts w:hint="eastAsia" w:eastAsiaTheme="minorEastAsia"/>
          <w:lang w:eastAsia="zh-CN"/>
        </w:rPr>
      </w:pPr>
    </w:p>
    <w:p w14:paraId="298AF53B">
      <w:pPr>
        <w:rPr>
          <w:rFonts w:hint="eastAsia" w:eastAsiaTheme="minorEastAsia"/>
          <w:lang w:eastAsia="zh-CN"/>
        </w:rPr>
      </w:pPr>
    </w:p>
    <w:p w14:paraId="185F2F98">
      <w:pPr>
        <w:rPr>
          <w:rFonts w:hint="eastAsia" w:eastAsiaTheme="minorEastAsia"/>
          <w:lang w:eastAsia="zh-CN"/>
        </w:rPr>
      </w:pPr>
    </w:p>
    <w:p w14:paraId="2A4A5EF2">
      <w:pPr>
        <w:rPr>
          <w:rFonts w:hint="eastAsia" w:eastAsiaTheme="minorEastAsia"/>
          <w:lang w:eastAsia="zh-CN"/>
        </w:rPr>
      </w:pPr>
    </w:p>
    <w:p w14:paraId="0FAC9C48">
      <w:pPr>
        <w:rPr>
          <w:rFonts w:hint="eastAsia" w:eastAsiaTheme="minorEastAsia"/>
          <w:lang w:eastAsia="zh-CN"/>
        </w:rPr>
      </w:pPr>
    </w:p>
    <w:p w14:paraId="7D814B6B">
      <w:pPr>
        <w:rPr>
          <w:rFonts w:hint="eastAsia" w:eastAsiaTheme="minorEastAsia"/>
          <w:lang w:eastAsia="zh-CN"/>
        </w:rPr>
      </w:pPr>
    </w:p>
    <w:p w14:paraId="3AE7202A">
      <w:pPr>
        <w:rPr>
          <w:rFonts w:hint="eastAsia" w:eastAsiaTheme="minorEastAsia"/>
          <w:lang w:eastAsia="zh-CN"/>
        </w:rPr>
      </w:pPr>
    </w:p>
    <w:p w14:paraId="1A0EE21E">
      <w:pPr>
        <w:rPr>
          <w:rFonts w:hint="eastAsia" w:eastAsiaTheme="minorEastAsia"/>
          <w:lang w:eastAsia="zh-CN"/>
        </w:rPr>
      </w:pPr>
    </w:p>
    <w:p w14:paraId="33AB6ADA">
      <w:pPr>
        <w:rPr>
          <w:rFonts w:hint="eastAsia" w:eastAsiaTheme="minorEastAsia"/>
          <w:lang w:eastAsia="zh-CN"/>
        </w:rPr>
      </w:pPr>
    </w:p>
    <w:p w14:paraId="6146BE32">
      <w:pPr>
        <w:rPr>
          <w:rFonts w:hint="eastAsia" w:eastAsiaTheme="minorEastAsia"/>
          <w:lang w:eastAsia="zh-CN"/>
        </w:rPr>
      </w:pPr>
    </w:p>
    <w:p w14:paraId="6DE9B9BF">
      <w:pPr>
        <w:rPr>
          <w:rFonts w:hint="eastAsia" w:eastAsiaTheme="minorEastAsia"/>
          <w:lang w:eastAsia="zh-CN"/>
        </w:rPr>
      </w:pPr>
      <w:r>
        <w:rPr>
          <w:rFonts w:hint="eastAsia" w:eastAsiaTheme="minorEastAsia"/>
          <w:lang w:eastAsia="zh-CN"/>
        </w:rPr>
        <w:drawing>
          <wp:inline distT="0" distB="0" distL="114300" distR="114300">
            <wp:extent cx="4319905" cy="4396740"/>
            <wp:effectExtent l="0" t="0" r="10795" b="10160"/>
            <wp:docPr id="5" name="图片 5" descr="Fi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ig. 2"/>
                    <pic:cNvPicPr>
                      <a:picLocks noChangeAspect="1"/>
                    </pic:cNvPicPr>
                  </pic:nvPicPr>
                  <pic:blipFill>
                    <a:blip r:embed="rId5"/>
                    <a:stretch>
                      <a:fillRect/>
                    </a:stretch>
                  </pic:blipFill>
                  <pic:spPr>
                    <a:xfrm>
                      <a:off x="0" y="0"/>
                      <a:ext cx="4319905" cy="4396740"/>
                    </a:xfrm>
                    <a:prstGeom prst="rect">
                      <a:avLst/>
                    </a:prstGeom>
                  </pic:spPr>
                </pic:pic>
              </a:graphicData>
            </a:graphic>
          </wp:inline>
        </w:drawing>
      </w:r>
    </w:p>
    <w:p w14:paraId="7E3E04F5">
      <w:pPr>
        <w:rPr>
          <w:rFonts w:hint="eastAsia" w:eastAsiaTheme="minorEastAsia"/>
          <w:lang w:eastAsia="zh-CN"/>
        </w:rPr>
      </w:pPr>
    </w:p>
    <w:p w14:paraId="5E87C7E3">
      <w:pPr>
        <w:rPr>
          <w:rFonts w:hint="eastAsia" w:eastAsiaTheme="minorEastAsia"/>
          <w:lang w:eastAsia="zh-CN"/>
        </w:rPr>
      </w:pPr>
    </w:p>
    <w:p w14:paraId="699102DD">
      <w:pPr>
        <w:rPr>
          <w:rFonts w:hint="eastAsia" w:eastAsiaTheme="minorEastAsia"/>
          <w:lang w:eastAsia="zh-CN"/>
        </w:rPr>
      </w:pPr>
      <w:r>
        <w:rPr>
          <w:rFonts w:ascii="Arial" w:hAnsi="Arial" w:cs="Arial"/>
          <w:b/>
          <w:bCs/>
          <w:sz w:val="21"/>
        </w:rPr>
        <w:t>Fig. 2.</w:t>
      </w:r>
      <w:r>
        <w:rPr>
          <w:rFonts w:ascii="Arial" w:hAnsi="Arial" w:cs="Arial"/>
          <w:sz w:val="21"/>
        </w:rPr>
        <w:t xml:space="preserve"> A ML tree of 12 structural gene families of G. hirsutum. The tree was constructed based on the amino acid sequences of 205 structural genes with 500 bootstrap replicates. Different family or subfamily clades are shadowed by different colors.</w:t>
      </w:r>
    </w:p>
    <w:p w14:paraId="66A076E6">
      <w:pPr>
        <w:rPr>
          <w:rFonts w:hint="eastAsia" w:eastAsiaTheme="minorEastAsia"/>
          <w:lang w:eastAsia="zh-CN"/>
        </w:rPr>
      </w:pPr>
      <w:r>
        <w:rPr>
          <w:rFonts w:hint="eastAsia" w:eastAsiaTheme="minorEastAsia"/>
          <w:lang w:eastAsia="zh-CN"/>
        </w:rPr>
        <w:drawing>
          <wp:inline distT="0" distB="0" distL="114300" distR="114300">
            <wp:extent cx="4319905" cy="3710940"/>
            <wp:effectExtent l="0" t="0" r="10795" b="10160"/>
            <wp:docPr id="2" name="图片 2" descr="Fi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ig. 2"/>
                    <pic:cNvPicPr>
                      <a:picLocks noChangeAspect="1"/>
                    </pic:cNvPicPr>
                  </pic:nvPicPr>
                  <pic:blipFill>
                    <a:blip r:embed="rId6"/>
                    <a:stretch>
                      <a:fillRect/>
                    </a:stretch>
                  </pic:blipFill>
                  <pic:spPr>
                    <a:xfrm>
                      <a:off x="0" y="0"/>
                      <a:ext cx="4319905" cy="3710940"/>
                    </a:xfrm>
                    <a:prstGeom prst="rect">
                      <a:avLst/>
                    </a:prstGeom>
                  </pic:spPr>
                </pic:pic>
              </a:graphicData>
            </a:graphic>
          </wp:inline>
        </w:drawing>
      </w:r>
    </w:p>
    <w:p w14:paraId="7F2CECDF">
      <w:pPr>
        <w:rPr>
          <w:rFonts w:hint="eastAsia" w:eastAsiaTheme="minorEastAsia"/>
          <w:lang w:eastAsia="zh-CN"/>
        </w:rPr>
      </w:pPr>
    </w:p>
    <w:p w14:paraId="199A461C">
      <w:pPr>
        <w:pStyle w:val="4"/>
        <w:ind w:firstLine="0"/>
        <w:rPr>
          <w:rFonts w:ascii="Arial" w:hAnsi="Arial" w:cs="Arial"/>
          <w:sz w:val="21"/>
        </w:rPr>
      </w:pPr>
      <w:r>
        <w:rPr>
          <w:rFonts w:ascii="Arial" w:hAnsi="Arial" w:cs="Arial"/>
          <w:b/>
          <w:bCs/>
          <w:sz w:val="21"/>
        </w:rPr>
        <w:t>Fig. 3.</w:t>
      </w:r>
      <w:r>
        <w:rPr>
          <w:rFonts w:ascii="Arial" w:hAnsi="Arial" w:cs="Arial"/>
          <w:sz w:val="21"/>
        </w:rPr>
        <w:t xml:space="preserve"> Pathway diagram and expression heat map of structural and regulatory genes related to the GSH metabolism. Pathway diagram shows 12 key enzymes in the GSH metabolic pathway; heat map shows structural genes with significantly differential expression under UV-B stress. </w:t>
      </w:r>
    </w:p>
    <w:p w14:paraId="3B7D2CF0">
      <w:pPr>
        <w:rPr>
          <w:rFonts w:hint="eastAsia" w:eastAsiaTheme="minorEastAsia"/>
          <w:lang w:eastAsia="zh-CN"/>
        </w:rPr>
      </w:pPr>
    </w:p>
    <w:p w14:paraId="0336D114">
      <w:pPr>
        <w:rPr>
          <w:rFonts w:hint="eastAsia" w:eastAsiaTheme="minorEastAsia"/>
          <w:lang w:eastAsia="zh-CN"/>
        </w:rPr>
      </w:pPr>
      <w:r>
        <w:rPr>
          <w:rFonts w:hint="eastAsia" w:eastAsiaTheme="minorEastAsia"/>
          <w:lang w:eastAsia="zh-CN"/>
        </w:rPr>
        <w:drawing>
          <wp:inline distT="0" distB="0" distL="114300" distR="114300">
            <wp:extent cx="4319905" cy="5078095"/>
            <wp:effectExtent l="0" t="0" r="10795" b="1905"/>
            <wp:docPr id="3" name="图片 3" descr="Fi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ig. 3"/>
                    <pic:cNvPicPr>
                      <a:picLocks noChangeAspect="1"/>
                    </pic:cNvPicPr>
                  </pic:nvPicPr>
                  <pic:blipFill>
                    <a:blip r:embed="rId7"/>
                    <a:stretch>
                      <a:fillRect/>
                    </a:stretch>
                  </pic:blipFill>
                  <pic:spPr>
                    <a:xfrm>
                      <a:off x="0" y="0"/>
                      <a:ext cx="4319905" cy="5078095"/>
                    </a:xfrm>
                    <a:prstGeom prst="rect">
                      <a:avLst/>
                    </a:prstGeom>
                  </pic:spPr>
                </pic:pic>
              </a:graphicData>
            </a:graphic>
          </wp:inline>
        </w:drawing>
      </w:r>
    </w:p>
    <w:p w14:paraId="1FB96C63">
      <w:pPr>
        <w:rPr>
          <w:rFonts w:hint="eastAsia" w:eastAsiaTheme="minorEastAsia"/>
          <w:lang w:eastAsia="zh-CN"/>
        </w:rPr>
      </w:pPr>
    </w:p>
    <w:p w14:paraId="3739579C">
      <w:pPr>
        <w:rPr>
          <w:rFonts w:hint="eastAsia" w:eastAsiaTheme="minorEastAsia"/>
          <w:lang w:eastAsia="zh-CN"/>
        </w:rPr>
      </w:pPr>
      <w:r>
        <w:rPr>
          <w:rFonts w:ascii="Arial" w:hAnsi="Arial" w:cs="Arial"/>
          <w:b/>
          <w:bCs/>
          <w:sz w:val="21"/>
        </w:rPr>
        <w:t>Fig. 4.</w:t>
      </w:r>
      <w:r>
        <w:rPr>
          <w:rFonts w:ascii="Arial" w:hAnsi="Arial" w:cs="Arial"/>
          <w:sz w:val="21"/>
        </w:rPr>
        <w:t xml:space="preserve"> qRT-PCR analysis of expression changes of representative structural genes and their regulatory genes in the GSH metabolic pathway under UV-B stress. </w:t>
      </w:r>
      <w:r>
        <w:rPr>
          <w:rFonts w:ascii="Arial" w:hAnsi="Arial" w:cs="Arial"/>
          <w:b/>
          <w:bCs/>
          <w:sz w:val="21"/>
        </w:rPr>
        <w:t>A-F,</w:t>
      </w:r>
      <w:r>
        <w:rPr>
          <w:rFonts w:ascii="Arial" w:hAnsi="Arial" w:cs="Arial"/>
          <w:sz w:val="21"/>
        </w:rPr>
        <w:t xml:space="preserve"> The relative expression of </w:t>
      </w:r>
      <w:r>
        <w:rPr>
          <w:rFonts w:ascii="Arial" w:hAnsi="Arial" w:cs="Arial"/>
          <w:i/>
          <w:sz w:val="21"/>
        </w:rPr>
        <w:t>G6PDH</w:t>
      </w:r>
      <w:r>
        <w:rPr>
          <w:rFonts w:ascii="Arial" w:hAnsi="Arial" w:cs="Arial"/>
          <w:sz w:val="21"/>
        </w:rPr>
        <w:t xml:space="preserve">, </w:t>
      </w:r>
      <w:r>
        <w:rPr>
          <w:rFonts w:ascii="Arial" w:hAnsi="Arial" w:cs="Arial"/>
          <w:i/>
          <w:sz w:val="21"/>
        </w:rPr>
        <w:t>GGT</w:t>
      </w:r>
      <w:r>
        <w:rPr>
          <w:rFonts w:ascii="Arial" w:hAnsi="Arial" w:cs="Arial"/>
          <w:sz w:val="21"/>
        </w:rPr>
        <w:t>,</w:t>
      </w:r>
      <w:r>
        <w:rPr>
          <w:rFonts w:ascii="Arial" w:hAnsi="Arial" w:cs="Arial"/>
          <w:i/>
          <w:sz w:val="21"/>
        </w:rPr>
        <w:t xml:space="preserve"> GPX</w:t>
      </w:r>
      <w:r>
        <w:rPr>
          <w:rFonts w:ascii="Arial" w:hAnsi="Arial" w:cs="Arial"/>
          <w:sz w:val="21"/>
        </w:rPr>
        <w:t xml:space="preserve">, </w:t>
      </w:r>
      <w:r>
        <w:rPr>
          <w:rFonts w:ascii="Arial" w:hAnsi="Arial" w:cs="Arial"/>
          <w:i/>
          <w:sz w:val="21"/>
        </w:rPr>
        <w:t>IDH</w:t>
      </w:r>
      <w:r>
        <w:rPr>
          <w:rFonts w:ascii="Arial" w:hAnsi="Arial" w:cs="Arial"/>
          <w:sz w:val="21"/>
        </w:rPr>
        <w:t xml:space="preserve">, </w:t>
      </w:r>
      <w:r>
        <w:rPr>
          <w:rFonts w:ascii="Arial" w:hAnsi="Arial" w:cs="Arial"/>
          <w:i/>
          <w:sz w:val="21"/>
        </w:rPr>
        <w:t>GST</w:t>
      </w:r>
      <w:r>
        <w:rPr>
          <w:rFonts w:ascii="Arial" w:hAnsi="Arial" w:cs="Arial"/>
          <w:sz w:val="21"/>
        </w:rPr>
        <w:t xml:space="preserve">, </w:t>
      </w:r>
      <w:r>
        <w:rPr>
          <w:rFonts w:ascii="Arial" w:hAnsi="Arial" w:cs="Arial"/>
          <w:iCs/>
          <w:sz w:val="21"/>
        </w:rPr>
        <w:t xml:space="preserve">and </w:t>
      </w:r>
      <w:r>
        <w:rPr>
          <w:rFonts w:ascii="Arial" w:hAnsi="Arial" w:cs="Arial"/>
          <w:i/>
          <w:sz w:val="21"/>
        </w:rPr>
        <w:t>PGDC</w:t>
      </w:r>
      <w:r>
        <w:rPr>
          <w:rFonts w:ascii="Arial" w:hAnsi="Arial" w:cs="Arial"/>
          <w:sz w:val="21"/>
        </w:rPr>
        <w:t xml:space="preserve">, and their regulatory genes. Statistical significance was calculated using </w:t>
      </w:r>
      <w:r>
        <w:rPr>
          <w:rFonts w:ascii="Arial" w:hAnsi="Arial" w:cs="Arial"/>
          <w:i/>
          <w:sz w:val="21"/>
        </w:rPr>
        <w:t>T</w:t>
      </w:r>
      <w:r>
        <w:rPr>
          <w:rFonts w:ascii="Arial" w:hAnsi="Arial" w:cs="Arial"/>
          <w:sz w:val="21"/>
        </w:rPr>
        <w:t xml:space="preserve">-test; * </w:t>
      </w:r>
      <w:r>
        <w:rPr>
          <w:rFonts w:ascii="Arial" w:hAnsi="Arial" w:cs="Arial"/>
          <w:i/>
          <w:sz w:val="21"/>
        </w:rPr>
        <w:t xml:space="preserve">P </w:t>
      </w:r>
      <w:r>
        <w:rPr>
          <w:rFonts w:ascii="Arial" w:hAnsi="Arial" w:cs="Arial"/>
          <w:sz w:val="21"/>
        </w:rPr>
        <w:t xml:space="preserve">&lt; 0.05, ** </w:t>
      </w:r>
      <w:r>
        <w:rPr>
          <w:rFonts w:ascii="Arial" w:hAnsi="Arial" w:cs="Arial"/>
          <w:i/>
          <w:sz w:val="21"/>
        </w:rPr>
        <w:t xml:space="preserve">P </w:t>
      </w:r>
      <w:r>
        <w:rPr>
          <w:rFonts w:ascii="Arial" w:hAnsi="Arial" w:cs="Arial"/>
          <w:sz w:val="21"/>
        </w:rPr>
        <w:t>&lt; 0.01.</w:t>
      </w:r>
      <w:bookmarkStart w:id="1" w:name="_GoBack"/>
      <w:bookmarkEnd w:id="1"/>
    </w:p>
    <w:p w14:paraId="1C719351">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mZmQ2MTEzYzBiNzgyZDYzOTA4NzliYzU0ZjhjYzkifQ=="/>
  </w:docVars>
  <w:rsids>
    <w:rsidRoot w:val="3A77266B"/>
    <w:rsid w:val="1CBE7999"/>
    <w:rsid w:val="3A77266B"/>
    <w:rsid w:val="4CDA3C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paragraph" w:customStyle="1" w:styleId="4">
    <w:name w:val="EndNote Bibliography"/>
    <w:basedOn w:val="1"/>
    <w:autoRedefine/>
    <w:qFormat/>
    <w:uiPriority w:val="0"/>
    <w:pPr>
      <w:ind w:firstLine="400"/>
    </w:pPr>
    <w:rPr>
      <w:rFonts w:cs="Calibri"/>
      <w:sz w:val="20"/>
      <w:szCs w:val="21"/>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tiff"/><Relationship Id="rId6" Type="http://schemas.openxmlformats.org/officeDocument/2006/relationships/image" Target="media/image3.tiff"/><Relationship Id="rId5" Type="http://schemas.openxmlformats.org/officeDocument/2006/relationships/image" Target="media/image2.tiff"/><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0</Words>
  <Characters>0</Characters>
  <Lines>0</Lines>
  <Paragraphs>0</Paragraphs>
  <TotalTime>0</TotalTime>
  <ScaleCrop>false</ScaleCrop>
  <LinksUpToDate>false</LinksUpToDate>
  <CharactersWithSpaces>0</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2024-08-12T11:32:00Z</dcterms:created>
  <dc:creator>Song</dc:creator>
  <cp:lastModifiedBy>Song</cp:lastModifiedBy>
  <dcterms:modified xsi:type="dcterms:W3CDTF">2024-08-26T02:40:27Z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3FA86801E73E4E2684568573CC1A09F5_11</vt:lpwstr>
  </property>
</Properties>
</file>