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E16865A">
      <w:pPr>
        <w:pStyle w:val="40"/>
        <w:keepNext w:val="0"/>
        <w:keepLines w:val="0"/>
        <w:pageBreakBefore w:val="0"/>
        <w:widowControl/>
        <w:kinsoku/>
        <w:wordWrap/>
        <w:overflowPunct/>
        <w:topLinePunct w:val="0"/>
        <w:autoSpaceDE/>
        <w:autoSpaceDN/>
        <w:bidi w:val="0"/>
        <w:adjustRightInd/>
        <w:snapToGrid/>
        <w:spacing w:line="480" w:lineRule="auto"/>
        <w:jc w:val="center"/>
        <w:textAlignment w:val="auto"/>
        <w:rPr>
          <w:rFonts w:ascii="Times New Roman" w:hAnsi="Times New Roman" w:eastAsia="Times New Roman"/>
          <w:b/>
          <w:bCs/>
          <w:sz w:val="24"/>
          <w:szCs w:val="28"/>
        </w:rPr>
      </w:pPr>
      <w:r>
        <w:rPr>
          <w:rFonts w:hint="eastAsia" w:ascii="Times New Roman" w:hAnsi="Times New Roman" w:eastAsia="Times New Roman"/>
          <w:b/>
          <w:bCs/>
          <w:sz w:val="24"/>
          <w:szCs w:val="28"/>
        </w:rPr>
        <w:t>A lasting anti-bacterial, pro-angiogenic and pro-osteogenic zirconium-based bulk metallic glass for dental implants</w:t>
      </w:r>
    </w:p>
    <w:p w14:paraId="24D6ABCD">
      <w:pPr>
        <w:widowControl w:val="0"/>
        <w:spacing w:line="360" w:lineRule="auto"/>
        <w:ind w:firstLine="480" w:firstLineChars="200"/>
        <w:jc w:val="both"/>
        <w:rPr>
          <w:rFonts w:hint="eastAsia" w:ascii="Times New Roman" w:hAnsi="Times New Roman" w:eastAsia="Times New Roman"/>
          <w:i/>
          <w:iCs/>
          <w:kern w:val="2"/>
          <w:sz w:val="24"/>
          <w:lang w:val="en-US" w:eastAsia="zh-CN"/>
        </w:rPr>
      </w:pPr>
    </w:p>
    <w:p w14:paraId="37DD5FD8">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sz w:val="24"/>
        </w:rPr>
      </w:pPr>
      <w:r>
        <w:rPr>
          <w:rFonts w:hint="eastAsia" w:ascii="Times New Roman" w:hAnsi="Times New Roman" w:eastAsia="Times New Roman"/>
          <w:i/>
          <w:iCs/>
          <w:kern w:val="2"/>
          <w:sz w:val="24"/>
          <w:lang w:val="en-US" w:eastAsia="zh-CN"/>
        </w:rPr>
        <w:t>Feifei Wang</w:t>
      </w:r>
      <w:r>
        <w:rPr>
          <w:rFonts w:hint="eastAsia" w:ascii="Times New Roman" w:hAnsi="Times New Roman" w:eastAsia="Times New Roman"/>
          <w:sz w:val="24"/>
          <w:vertAlign w:val="baseline"/>
          <w:lang w:val="de-DE"/>
        </w:rPr>
        <w:t>†</w:t>
      </w:r>
      <w:r>
        <w:rPr>
          <w:rFonts w:hint="eastAsia" w:ascii="Times New Roman" w:hAnsi="Times New Roman" w:eastAsia="Times New Roman"/>
          <w:i/>
          <w:iCs/>
          <w:kern w:val="2"/>
          <w:sz w:val="24"/>
          <w:lang w:val="en-US" w:eastAsia="zh-CN"/>
        </w:rPr>
        <w:t>, Yunshu Wu</w:t>
      </w:r>
      <w:r>
        <w:rPr>
          <w:rFonts w:hint="eastAsia" w:ascii="Times New Roman" w:hAnsi="Times New Roman" w:eastAsia="Times New Roman"/>
          <w:sz w:val="24"/>
          <w:lang w:val="de-DE"/>
        </w:rPr>
        <w:t>†</w:t>
      </w:r>
      <w:r>
        <w:rPr>
          <w:rFonts w:hint="eastAsia" w:ascii="Times New Roman" w:hAnsi="Times New Roman" w:eastAsia="Times New Roman"/>
          <w:i/>
          <w:iCs/>
          <w:kern w:val="2"/>
          <w:sz w:val="24"/>
          <w:lang w:val="en-US" w:eastAsia="zh-CN"/>
        </w:rPr>
        <w:t>, Fu Zheng</w:t>
      </w:r>
      <w:r>
        <w:rPr>
          <w:rFonts w:hint="eastAsia" w:ascii="Times New Roman" w:hAnsi="Times New Roman" w:eastAsia="Times New Roman"/>
          <w:sz w:val="24"/>
          <w:lang w:val="de-DE"/>
        </w:rPr>
        <w:t>†</w:t>
      </w:r>
      <w:r>
        <w:rPr>
          <w:rFonts w:hint="eastAsia" w:ascii="Times New Roman" w:hAnsi="Times New Roman" w:eastAsia="Times New Roman"/>
          <w:i/>
          <w:iCs/>
          <w:kern w:val="2"/>
          <w:sz w:val="24"/>
          <w:lang w:val="en-US" w:eastAsia="zh-CN"/>
        </w:rPr>
        <w:t>, Yuhao Zeng, Zifan Zhao, Yao Huang, Xu Zhang*, Baoan Sun*, Yuchun Sun*</w:t>
      </w:r>
    </w:p>
    <w:p w14:paraId="07C3DF0C">
      <w:pPr>
        <w:spacing w:line="360" w:lineRule="auto"/>
        <w:rPr>
          <w:rFonts w:ascii="Times New Roman" w:hAnsi="Times New Roman" w:eastAsia="Times New Roman"/>
          <w:sz w:val="24"/>
          <w:lang w:val="en-US"/>
        </w:rPr>
      </w:pPr>
    </w:p>
    <w:p w14:paraId="2D5D6F13">
      <w:pPr>
        <w:pStyle w:val="31"/>
        <w:keepNext w:val="0"/>
        <w:keepLines w:val="0"/>
        <w:pageBreakBefore w:val="0"/>
        <w:widowControl/>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eastAsia="zh-CN"/>
        </w:rPr>
      </w:pPr>
      <w:r>
        <w:rPr>
          <w:rFonts w:hint="eastAsia" w:ascii="Times New Roman" w:hAnsi="Times New Roman" w:eastAsia="Times New Roman"/>
          <w:sz w:val="24"/>
          <w:lang w:val="en-US" w:eastAsia="zh-CN"/>
        </w:rPr>
        <w:t xml:space="preserve">Dr. F.Wang, Dr. Y.Wu, Dr. Y. Zeng, Dr. Z. Zhao, </w:t>
      </w:r>
      <w:r>
        <w:rPr>
          <w:rFonts w:ascii="Times New Roman" w:hAnsi="Times New Roman" w:eastAsia="Times New Roman"/>
          <w:sz w:val="24"/>
        </w:rPr>
        <w:t>Prof. X. Zhang, Prof. Y. Sun</w:t>
      </w:r>
      <w:r>
        <w:rPr>
          <w:rFonts w:hint="eastAsia" w:ascii="Times New Roman" w:hAnsi="Times New Roman" w:eastAsia="Times New Roman"/>
          <w:sz w:val="24"/>
          <w:lang w:val="en-US" w:eastAsia="zh-CN"/>
        </w:rPr>
        <w:t>.</w:t>
      </w:r>
    </w:p>
    <w:p w14:paraId="5C52435E">
      <w:pPr>
        <w:pStyle w:val="31"/>
        <w:keepNext w:val="0"/>
        <w:keepLines w:val="0"/>
        <w:pageBreakBefore w:val="0"/>
        <w:widowControl/>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eastAsia="zh-CN"/>
        </w:rPr>
      </w:pPr>
      <w:r>
        <w:rPr>
          <w:rFonts w:hint="eastAsia" w:ascii="Times New Roman" w:hAnsi="Times New Roman" w:eastAsia="Times New Roman"/>
          <w:sz w:val="24"/>
          <w:lang w:val="en-US" w:eastAsia="zh-CN"/>
        </w:rPr>
        <w:t>Center of Digital Dentistry, Faculty of Prosthodontics, Peking University School and Hospital of Stomatology; National Center for Stomatology; National Clinical Research Center for Oral Diseases; National Engineering Research Center of Oral Biomaterials and Digital Medical Devices; NHC Key Laboratory of Digital Stomatology; Beijing Key Laboratory of Digital Stomatology; Key Laboratory of Digital Stomatology, Chinese Academy of Medical Sciences, Beijing, 100081, China</w:t>
      </w:r>
    </w:p>
    <w:p w14:paraId="1494F3CA">
      <w:pPr>
        <w:pStyle w:val="31"/>
        <w:keepNext w:val="0"/>
        <w:keepLines w:val="0"/>
        <w:pageBreakBefore w:val="0"/>
        <w:widowControl/>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eastAsia="zh-CN"/>
        </w:rPr>
      </w:pPr>
      <w:r>
        <w:rPr>
          <w:rFonts w:hint="eastAsia" w:ascii="Times New Roman" w:hAnsi="Times New Roman" w:eastAsia="Times New Roman"/>
          <w:sz w:val="24"/>
          <w:lang w:val="en-US" w:eastAsia="zh-CN"/>
        </w:rPr>
        <w:t xml:space="preserve">Dr. F. Zheng. </w:t>
      </w:r>
    </w:p>
    <w:p w14:paraId="09FE569F">
      <w:pPr>
        <w:keepNext w:val="0"/>
        <w:keepLines w:val="0"/>
        <w:pageBreakBefore w:val="0"/>
        <w:widowControl/>
        <w:numPr>
          <w:ilvl w:val="0"/>
          <w:numId w:val="0"/>
        </w:numPr>
        <w:kinsoku/>
        <w:wordWrap/>
        <w:overflowPunct/>
        <w:topLinePunct w:val="0"/>
        <w:autoSpaceDE/>
        <w:autoSpaceDN/>
        <w:bidi w:val="0"/>
        <w:adjustRightInd/>
        <w:snapToGrid/>
        <w:spacing w:line="480" w:lineRule="auto"/>
        <w:textAlignment w:val="auto"/>
        <w:rPr>
          <w:rFonts w:ascii="Times New Roman" w:hAnsi="Times New Roman" w:eastAsia="Times New Roman" w:cs="Times New Roman"/>
          <w:sz w:val="24"/>
        </w:rPr>
      </w:pPr>
      <w:r>
        <w:rPr>
          <w:rFonts w:hint="eastAsia" w:ascii="Times New Roman" w:hAnsi="Times New Roman" w:eastAsia="Times New Roman"/>
          <w:sz w:val="24"/>
          <w:lang w:val="en-US" w:eastAsia="zh-CN"/>
        </w:rPr>
        <w:t xml:space="preserve">National Center for Stomatology; National Clinical Research Center for Oral Diseases; National Engineering Research Center of Oral Biomaterials and Digital Medical Devices; </w:t>
      </w:r>
      <w:r>
        <w:rPr>
          <w:rFonts w:ascii="Times New Roman" w:hAnsi="Times New Roman" w:eastAsia="Times New Roman" w:cs="Times New Roman"/>
          <w:sz w:val="24"/>
        </w:rPr>
        <w:t>Department of Orthodontics, Peking University School and Hospital of Stomatology, Haidian District, Beijing</w:t>
      </w:r>
      <w:r>
        <w:rPr>
          <w:rFonts w:hint="eastAsia" w:ascii="Times New Roman" w:hAnsi="Times New Roman" w:eastAsia="Times New Roman" w:cs="Times New Roman"/>
          <w:sz w:val="24"/>
        </w:rPr>
        <w:t xml:space="preserve"> </w:t>
      </w:r>
      <w:r>
        <w:rPr>
          <w:rFonts w:ascii="Times New Roman" w:hAnsi="Times New Roman" w:eastAsia="Times New Roman" w:cs="Times New Roman"/>
          <w:sz w:val="24"/>
        </w:rPr>
        <w:t xml:space="preserve">100081, China </w:t>
      </w:r>
    </w:p>
    <w:p w14:paraId="36056345">
      <w:pPr>
        <w:pStyle w:val="31"/>
        <w:keepNext w:val="0"/>
        <w:keepLines w:val="0"/>
        <w:pageBreakBefore w:val="0"/>
        <w:widowControl/>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eastAsia="zh-CN"/>
        </w:rPr>
      </w:pPr>
      <w:r>
        <w:rPr>
          <w:rFonts w:hint="eastAsia" w:ascii="Times New Roman" w:hAnsi="Times New Roman" w:eastAsia="Times New Roman"/>
          <w:sz w:val="24"/>
          <w:lang w:val="en-US" w:eastAsia="zh-CN"/>
        </w:rPr>
        <w:t>Dr. Y. Huang, Pro. B. Sun.</w:t>
      </w:r>
    </w:p>
    <w:p w14:paraId="53E4FA9C">
      <w:pPr>
        <w:pStyle w:val="31"/>
        <w:keepNext w:val="0"/>
        <w:keepLines w:val="0"/>
        <w:pageBreakBefore w:val="0"/>
        <w:widowControl/>
        <w:kinsoku/>
        <w:wordWrap/>
        <w:overflowPunct/>
        <w:topLinePunct w:val="0"/>
        <w:autoSpaceDE/>
        <w:autoSpaceDN/>
        <w:bidi w:val="0"/>
        <w:adjustRightInd/>
        <w:snapToGrid/>
        <w:spacing w:line="480" w:lineRule="auto"/>
        <w:jc w:val="both"/>
        <w:textAlignment w:val="auto"/>
        <w:rPr>
          <w:rFonts w:hint="default" w:ascii="Times New Roman" w:hAnsi="Times New Roman" w:eastAsia="Times New Roman"/>
          <w:sz w:val="24"/>
          <w:lang w:val="en-US" w:eastAsia="zh-CN"/>
        </w:rPr>
      </w:pPr>
      <w:r>
        <w:rPr>
          <w:rFonts w:hint="default" w:ascii="Times New Roman" w:hAnsi="Times New Roman" w:eastAsia="Times New Roman"/>
          <w:sz w:val="24"/>
          <w:lang w:val="en-US" w:eastAsia="zh-CN"/>
        </w:rPr>
        <w:t>Institute of Physics, Chinese Academy of Sciences / Beijing National Laboratory for Condensed Matter Physics, Beijing 100190, China</w:t>
      </w:r>
    </w:p>
    <w:p w14:paraId="391F064A">
      <w:pPr>
        <w:pStyle w:val="31"/>
        <w:keepNext w:val="0"/>
        <w:keepLines w:val="0"/>
        <w:pageBreakBefore w:val="0"/>
        <w:widowControl/>
        <w:kinsoku/>
        <w:wordWrap/>
        <w:overflowPunct/>
        <w:topLinePunct w:val="0"/>
        <w:autoSpaceDE/>
        <w:autoSpaceDN/>
        <w:bidi w:val="0"/>
        <w:adjustRightInd/>
        <w:snapToGrid/>
        <w:spacing w:line="480" w:lineRule="auto"/>
        <w:jc w:val="both"/>
        <w:textAlignment w:val="auto"/>
        <w:rPr>
          <w:rFonts w:hint="default" w:ascii="Times New Roman" w:hAnsi="Times New Roman" w:eastAsia="Times New Roman"/>
          <w:b/>
          <w:bCs/>
          <w:sz w:val="24"/>
          <w:lang w:val="en-US" w:eastAsia="zh-CN"/>
        </w:rPr>
      </w:pPr>
      <w:r>
        <w:rPr>
          <w:rFonts w:hint="default" w:ascii="Times New Roman" w:hAnsi="Times New Roman" w:eastAsia="Times New Roman"/>
          <w:b/>
          <w:bCs/>
          <w:sz w:val="24"/>
          <w:lang w:val="en-US" w:eastAsia="zh-CN"/>
        </w:rPr>
        <w:t>† These authors contributed equally to this work.</w:t>
      </w:r>
    </w:p>
    <w:p w14:paraId="229663D7">
      <w:pPr>
        <w:pStyle w:val="31"/>
        <w:spacing w:line="360" w:lineRule="auto"/>
        <w:jc w:val="both"/>
        <w:rPr>
          <w:rFonts w:hint="default" w:ascii="Times New Roman" w:hAnsi="Times New Roman" w:eastAsia="Times New Roman"/>
          <w:b/>
          <w:bCs/>
          <w:sz w:val="24"/>
          <w:lang w:val="en-US" w:eastAsia="zh-CN"/>
        </w:rPr>
      </w:pPr>
    </w:p>
    <w:p w14:paraId="5DBAA206">
      <w:pPr>
        <w:pStyle w:val="31"/>
        <w:keepNext w:val="0"/>
        <w:keepLines w:val="0"/>
        <w:pageBreakBefore w:val="0"/>
        <w:widowControl/>
        <w:kinsoku/>
        <w:wordWrap/>
        <w:overflowPunct/>
        <w:topLinePunct w:val="0"/>
        <w:autoSpaceDE/>
        <w:autoSpaceDN/>
        <w:bidi w:val="0"/>
        <w:adjustRightInd/>
        <w:snapToGrid/>
        <w:spacing w:line="480" w:lineRule="auto"/>
        <w:jc w:val="both"/>
        <w:textAlignment w:val="auto"/>
        <w:rPr>
          <w:rFonts w:hint="default" w:ascii="Times New Roman" w:hAnsi="Times New Roman" w:eastAsia="Times New Roman"/>
          <w:b w:val="0"/>
          <w:bCs w:val="0"/>
          <w:sz w:val="24"/>
          <w:lang w:val="en-US" w:eastAsia="zh-CN"/>
        </w:rPr>
      </w:pPr>
      <w:r>
        <w:rPr>
          <w:rFonts w:hint="default" w:ascii="Times New Roman" w:hAnsi="Times New Roman" w:eastAsia="Times New Roman"/>
          <w:b/>
          <w:bCs/>
          <w:sz w:val="24"/>
          <w:lang w:val="en-US" w:eastAsia="zh-CN"/>
        </w:rPr>
        <w:t xml:space="preserve">*Corresponding authors: </w:t>
      </w:r>
      <w:r>
        <w:rPr>
          <w:rFonts w:hint="default" w:ascii="Times New Roman" w:hAnsi="Times New Roman" w:eastAsia="Times New Roman"/>
          <w:b w:val="0"/>
          <w:bCs w:val="0"/>
          <w:sz w:val="24"/>
          <w:lang w:val="en-US" w:eastAsia="zh-CN"/>
        </w:rPr>
        <w:t>zhangxulove@bjmu.edu.cn (X. Zhang);</w:t>
      </w:r>
      <w:r>
        <w:rPr>
          <w:rFonts w:hint="eastAsia" w:ascii="Times New Roman" w:hAnsi="Times New Roman" w:eastAsia="Times New Roman"/>
          <w:b w:val="0"/>
          <w:bCs w:val="0"/>
          <w:sz w:val="24"/>
          <w:lang w:val="en-US" w:eastAsia="zh-CN"/>
        </w:rPr>
        <w:t xml:space="preserve"> </w:t>
      </w:r>
      <w:r>
        <w:rPr>
          <w:rFonts w:hint="eastAsia" w:ascii="Times New Roman" w:hAnsi="Times New Roman" w:eastAsia="Times New Roman"/>
          <w:b w:val="0"/>
          <w:bCs w:val="0"/>
          <w:color w:val="auto"/>
          <w:sz w:val="24"/>
          <w:u w:val="none"/>
          <w:lang w:val="en-US" w:eastAsia="zh-CN"/>
        </w:rPr>
        <w:t xml:space="preserve">sunba@iphy.ac.cn (B. Sun); </w:t>
      </w:r>
      <w:r>
        <w:rPr>
          <w:rFonts w:hint="default" w:ascii="Times New Roman" w:hAnsi="Times New Roman" w:eastAsia="Times New Roman"/>
          <w:b w:val="0"/>
          <w:bCs w:val="0"/>
          <w:sz w:val="24"/>
          <w:lang w:val="en-US" w:eastAsia="zh-CN"/>
        </w:rPr>
        <w:t>kqsyc@bjmu.edu.cn (Y.</w:t>
      </w:r>
      <w:r>
        <w:rPr>
          <w:rFonts w:hint="eastAsia" w:ascii="Times New Roman" w:hAnsi="Times New Roman" w:eastAsia="Times New Roman"/>
          <w:b w:val="0"/>
          <w:bCs w:val="0"/>
          <w:sz w:val="24"/>
          <w:lang w:val="en-US" w:eastAsia="zh-CN"/>
        </w:rPr>
        <w:t xml:space="preserve"> </w:t>
      </w:r>
      <w:r>
        <w:rPr>
          <w:rFonts w:hint="default" w:ascii="Times New Roman" w:hAnsi="Times New Roman" w:eastAsia="Times New Roman"/>
          <w:b w:val="0"/>
          <w:bCs w:val="0"/>
          <w:sz w:val="24"/>
          <w:lang w:val="en-US" w:eastAsia="zh-CN"/>
        </w:rPr>
        <w:t xml:space="preserve">Sun); </w:t>
      </w:r>
    </w:p>
    <w:p w14:paraId="4BC3C35D">
      <w:pPr>
        <w:rPr>
          <w:rFonts w:hint="default" w:ascii="Times New Roman" w:hAnsi="Times New Roman" w:eastAsia="Times New Roman"/>
          <w:b w:val="0"/>
          <w:bCs w:val="0"/>
          <w:sz w:val="24"/>
          <w:lang w:val="en-US" w:eastAsia="zh-CN"/>
        </w:rPr>
      </w:pPr>
      <w:r>
        <w:rPr>
          <w:rFonts w:hint="default" w:ascii="Times New Roman" w:hAnsi="Times New Roman" w:eastAsia="Times New Roman"/>
          <w:b w:val="0"/>
          <w:bCs w:val="0"/>
          <w:sz w:val="24"/>
          <w:lang w:val="en-US" w:eastAsia="zh-CN"/>
        </w:rPr>
        <w:br w:type="page"/>
      </w:r>
    </w:p>
    <w:p w14:paraId="3133CAA4">
      <w:pPr>
        <w:keepNext w:val="0"/>
        <w:keepLines w:val="0"/>
        <w:pageBreakBefore w:val="0"/>
        <w:widowControl/>
        <w:kinsoku/>
        <w:wordWrap/>
        <w:overflowPunct/>
        <w:topLinePunct w:val="0"/>
        <w:autoSpaceDE/>
        <w:autoSpaceDN/>
        <w:bidi w:val="0"/>
        <w:adjustRightInd/>
        <w:snapToGrid/>
        <w:spacing w:line="480" w:lineRule="auto"/>
        <w:textAlignment w:val="auto"/>
        <w:rPr>
          <w:rFonts w:hint="eastAsia" w:ascii="Times New Roman" w:hAnsi="Times New Roman" w:eastAsia="Times New Roman"/>
          <w:b/>
          <w:bCs/>
          <w:sz w:val="24"/>
        </w:rPr>
      </w:pPr>
      <w:r>
        <w:rPr>
          <w:rFonts w:hint="eastAsia" w:ascii="Times New Roman" w:hAnsi="Times New Roman" w:eastAsia="Times New Roman"/>
          <w:b/>
          <w:bCs/>
          <w:sz w:val="24"/>
        </w:rPr>
        <w:t>Abstract</w:t>
      </w:r>
    </w:p>
    <w:p w14:paraId="66ECB96B">
      <w:pPr>
        <w:keepNext w:val="0"/>
        <w:keepLines w:val="0"/>
        <w:pageBreakBefore w:val="0"/>
        <w:widowControl/>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sz w:val="24"/>
        </w:rPr>
      </w:pPr>
      <w:r>
        <w:rPr>
          <w:rFonts w:hint="eastAsia" w:ascii="Times New Roman" w:hAnsi="Times New Roman" w:eastAsia="Times New Roman"/>
          <w:sz w:val="24"/>
        </w:rPr>
        <w:t>Bacterial infection and mismatched mechanical properties are important factors that increase the risk of dental implant failure. However, zirconium (Zr)-based bulk metallic glasses (BMG) can have both high strength and low modulus, as well as good biocompatibility, due to their unique atomic arrangement structure. Based on these common characteristics, different elemental compositions can endow zirconium-based amorphous alloys with different properties. Here we present a Zr-based BMG containing silver (Ag) with good amorphous process ability, exhibiting lasting antibacterial, pro-angiogenic and pro-osteogenic properties. This newly developed Zr</w:t>
      </w:r>
      <w:r>
        <w:rPr>
          <w:rFonts w:hint="eastAsia" w:ascii="Times New Roman" w:hAnsi="Times New Roman" w:eastAsia="Times New Roman"/>
          <w:sz w:val="24"/>
          <w:vertAlign w:val="subscript"/>
        </w:rPr>
        <w:t>61</w:t>
      </w:r>
      <w:r>
        <w:rPr>
          <w:rFonts w:hint="eastAsia" w:ascii="Times New Roman" w:hAnsi="Times New Roman" w:eastAsia="Times New Roman"/>
          <w:sz w:val="24"/>
        </w:rPr>
        <w:t>Cu</w:t>
      </w:r>
      <w:r>
        <w:rPr>
          <w:rFonts w:hint="eastAsia" w:ascii="Times New Roman" w:hAnsi="Times New Roman" w:eastAsia="Times New Roman"/>
          <w:sz w:val="24"/>
          <w:vertAlign w:val="subscript"/>
        </w:rPr>
        <w:t>23</w:t>
      </w:r>
      <w:r>
        <w:rPr>
          <w:rFonts w:hint="eastAsia" w:ascii="Times New Roman" w:hAnsi="Times New Roman" w:eastAsia="Times New Roman"/>
          <w:sz w:val="24"/>
        </w:rPr>
        <w:t>Al</w:t>
      </w:r>
      <w:r>
        <w:rPr>
          <w:rFonts w:hint="eastAsia" w:ascii="Times New Roman" w:hAnsi="Times New Roman" w:eastAsia="Times New Roman"/>
          <w:sz w:val="24"/>
          <w:vertAlign w:val="subscript"/>
        </w:rPr>
        <w:t>12</w:t>
      </w:r>
      <w:r>
        <w:rPr>
          <w:rFonts w:hint="eastAsia" w:ascii="Times New Roman" w:hAnsi="Times New Roman" w:eastAsia="Times New Roman"/>
          <w:sz w:val="24"/>
        </w:rPr>
        <w:t>Ti</w:t>
      </w:r>
      <w:r>
        <w:rPr>
          <w:rFonts w:hint="eastAsia" w:ascii="Times New Roman" w:hAnsi="Times New Roman" w:eastAsia="Times New Roman"/>
          <w:sz w:val="24"/>
          <w:vertAlign w:val="subscript"/>
        </w:rPr>
        <w:t>2</w:t>
      </w:r>
      <w:r>
        <w:rPr>
          <w:rFonts w:hint="eastAsia" w:ascii="Times New Roman" w:hAnsi="Times New Roman" w:eastAsia="Times New Roman"/>
          <w:sz w:val="24"/>
        </w:rPr>
        <w:t>Ag</w:t>
      </w:r>
      <w:r>
        <w:rPr>
          <w:rFonts w:hint="eastAsia" w:ascii="Times New Roman" w:hAnsi="Times New Roman" w:eastAsia="Times New Roman"/>
          <w:sz w:val="24"/>
          <w:vertAlign w:val="subscript"/>
        </w:rPr>
        <w:t>2</w:t>
      </w:r>
      <w:r>
        <w:rPr>
          <w:rFonts w:hint="eastAsia" w:ascii="Times New Roman" w:hAnsi="Times New Roman" w:eastAsia="Times New Roman"/>
          <w:sz w:val="24"/>
          <w:vertAlign w:val="subscript"/>
          <w:lang w:val="en-US" w:eastAsia="zh-CN"/>
        </w:rPr>
        <w:t xml:space="preserve"> </w:t>
      </w:r>
      <w:r>
        <w:rPr>
          <w:rFonts w:hint="eastAsia" w:ascii="Times New Roman" w:hAnsi="Times New Roman" w:eastAsia="Times New Roman"/>
          <w:sz w:val="24"/>
          <w:vertAlign w:val="baseline"/>
          <w:lang w:val="en-US" w:eastAsia="zh-CN"/>
        </w:rPr>
        <w:t>(at.%)</w:t>
      </w:r>
      <w:r>
        <w:rPr>
          <w:rFonts w:hint="eastAsia" w:ascii="Times New Roman" w:hAnsi="Times New Roman" w:eastAsia="Times New Roman"/>
          <w:sz w:val="24"/>
        </w:rPr>
        <w:t xml:space="preserve"> BMG has higher strength and lower modulus than pure Titanium (Ti). Furthermore, </w:t>
      </w:r>
      <w:r>
        <w:rPr>
          <w:rFonts w:hint="eastAsia" w:ascii="Times New Roman" w:hAnsi="Times New Roman" w:eastAsia="Times New Roman"/>
          <w:sz w:val="24"/>
          <w:lang w:val="en-US" w:eastAsia="zh-CN"/>
        </w:rPr>
        <w:t>it</w:t>
      </w:r>
      <w:r>
        <w:rPr>
          <w:rFonts w:hint="eastAsia" w:ascii="Times New Roman" w:hAnsi="Times New Roman" w:eastAsia="Times New Roman"/>
          <w:sz w:val="24"/>
        </w:rPr>
        <w:t xml:space="preserve"> could exert antibacterial effects through both contact inhibition and metal ion sterilization. And this antibacterial property could last over 3 months. The systematically </w:t>
      </w:r>
      <w:r>
        <w:rPr>
          <w:rFonts w:hint="eastAsia" w:ascii="Times New Roman" w:hAnsi="Times New Roman" w:eastAsia="Times New Roman"/>
          <w:i/>
          <w:iCs/>
          <w:sz w:val="24"/>
        </w:rPr>
        <w:t>in vitro</w:t>
      </w:r>
      <w:r>
        <w:rPr>
          <w:rFonts w:hint="eastAsia" w:ascii="Times New Roman" w:hAnsi="Times New Roman" w:eastAsia="Times New Roman"/>
          <w:sz w:val="24"/>
        </w:rPr>
        <w:t xml:space="preserve"> and </w:t>
      </w:r>
      <w:r>
        <w:rPr>
          <w:rFonts w:hint="eastAsia" w:ascii="Times New Roman" w:hAnsi="Times New Roman" w:eastAsia="Times New Roman"/>
          <w:i/>
          <w:iCs/>
          <w:sz w:val="24"/>
        </w:rPr>
        <w:t>in vivo</w:t>
      </w:r>
      <w:r>
        <w:rPr>
          <w:rFonts w:hint="eastAsia" w:ascii="Times New Roman" w:hAnsi="Times New Roman" w:eastAsia="Times New Roman"/>
          <w:sz w:val="24"/>
        </w:rPr>
        <w:t xml:space="preserve"> results thus demonstrate the advantages and application potentials of Zr-based BMG as a highly promising oral implant material for dental implantation.</w:t>
      </w:r>
    </w:p>
    <w:p w14:paraId="3E10FAD7">
      <w:pPr>
        <w:keepNext w:val="0"/>
        <w:keepLines w:val="0"/>
        <w:pageBreakBefore w:val="0"/>
        <w:widowControl/>
        <w:kinsoku/>
        <w:wordWrap/>
        <w:overflowPunct/>
        <w:topLinePunct w:val="0"/>
        <w:autoSpaceDE/>
        <w:autoSpaceDN/>
        <w:bidi w:val="0"/>
        <w:adjustRightInd/>
        <w:snapToGrid/>
        <w:spacing w:line="360" w:lineRule="auto"/>
        <w:jc w:val="both"/>
        <w:textAlignment w:val="auto"/>
        <w:rPr>
          <w:rFonts w:hint="eastAsia" w:ascii="Times New Roman" w:hAnsi="Times New Roman" w:eastAsia="Times New Roman"/>
          <w:sz w:val="24"/>
        </w:rPr>
      </w:pPr>
    </w:p>
    <w:p w14:paraId="0D870500">
      <w:pPr>
        <w:keepNext w:val="0"/>
        <w:keepLines w:val="0"/>
        <w:pageBreakBefore w:val="0"/>
        <w:widowControl/>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rPr>
      </w:pPr>
      <w:r>
        <w:rPr>
          <w:rFonts w:hint="eastAsia" w:ascii="Times New Roman" w:hAnsi="Times New Roman" w:eastAsia="Times New Roman"/>
          <w:b/>
          <w:bCs/>
          <w:sz w:val="24"/>
          <w:lang w:val="en-US"/>
        </w:rPr>
        <w:t>Keywords:</w:t>
      </w:r>
      <w:r>
        <w:rPr>
          <w:rFonts w:hint="eastAsia" w:ascii="Times New Roman" w:hAnsi="Times New Roman" w:eastAsia="Times New Roman"/>
          <w:sz w:val="24"/>
          <w:lang w:val="en-US"/>
        </w:rPr>
        <w:t xml:space="preserve">  dental implants, zirconium-based metallic glasses, antibacterial, pro-angiogenesis, pro-osteogenesis</w:t>
      </w:r>
    </w:p>
    <w:p w14:paraId="2A8F0C6F">
      <w:pPr>
        <w:rPr>
          <w:rFonts w:hint="eastAsia"/>
          <w:lang w:val="en-US"/>
        </w:rPr>
      </w:pPr>
      <w:r>
        <w:rPr>
          <w:rFonts w:hint="eastAsia" w:ascii="Times New Roman" w:hAnsi="Times New Roman" w:eastAsia="Times New Roman"/>
          <w:sz w:val="24"/>
          <w:lang w:val="en-US"/>
        </w:rPr>
        <w:br w:type="page"/>
      </w:r>
    </w:p>
    <w:p w14:paraId="7F7952C7">
      <w:pPr>
        <w:pStyle w:val="34"/>
        <w:keepNext w:val="0"/>
        <w:keepLines w:val="0"/>
        <w:pageBreakBefore w:val="0"/>
        <w:kinsoku/>
        <w:wordWrap/>
        <w:overflowPunct/>
        <w:topLinePunct w:val="0"/>
        <w:autoSpaceDE/>
        <w:autoSpaceDN/>
        <w:bidi w:val="0"/>
        <w:adjustRightInd/>
        <w:snapToGrid/>
        <w:spacing w:line="480" w:lineRule="auto"/>
        <w:textAlignment w:val="auto"/>
        <w:rPr>
          <w:rFonts w:ascii="Times New Roman" w:hAnsi="Times New Roman" w:eastAsia="Times New Roman"/>
          <w:sz w:val="24"/>
        </w:rPr>
      </w:pPr>
      <w:r>
        <w:rPr>
          <w:rFonts w:ascii="Times New Roman" w:hAnsi="Times New Roman" w:eastAsia="Times New Roman"/>
          <w:sz w:val="24"/>
        </w:rPr>
        <w:t>1. Introduction</w:t>
      </w:r>
    </w:p>
    <w:p w14:paraId="497A8B46">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Implant treatment has been widely accepted as a predictable option for most clinical situations seen in routine clinical practice</w:t>
      </w:r>
      <w:r>
        <w:rPr>
          <w:rFonts w:hint="eastAsia" w:ascii="Times New Roman" w:hAnsi="Times New Roman" w:eastAsia="Times New Roman"/>
          <w:color w:val="080000"/>
          <w:sz w:val="24"/>
          <w:szCs w:val="24"/>
          <w:vertAlign w:val="superscript"/>
        </w:rPr>
        <w:t>[1]</w:t>
      </w:r>
      <w:r>
        <w:rPr>
          <w:rFonts w:hint="eastAsia" w:ascii="Times New Roman" w:hAnsi="Times New Roman" w:eastAsia="Times New Roman"/>
          <w:kern w:val="2"/>
          <w:sz w:val="24"/>
          <w:lang w:val="en-US" w:eastAsia="zh-CN"/>
        </w:rPr>
        <w:t>. Titanium (Ti) has already been widely used as implant materials due to its moderate mechanical characteristics and good biocompatibility</w:t>
      </w:r>
      <w:r>
        <w:rPr>
          <w:rFonts w:hint="eastAsia" w:ascii="Times New Roman" w:hAnsi="Times New Roman" w:eastAsia="Times New Roman"/>
          <w:color w:val="080000"/>
          <w:sz w:val="24"/>
          <w:szCs w:val="24"/>
          <w:vertAlign w:val="superscript"/>
        </w:rPr>
        <w:t>[2-4]</w:t>
      </w:r>
      <w:r>
        <w:rPr>
          <w:rFonts w:hint="eastAsia" w:ascii="Times New Roman" w:hAnsi="Times New Roman" w:eastAsia="Times New Roman"/>
          <w:kern w:val="2"/>
          <w:sz w:val="24"/>
          <w:lang w:val="en-US" w:eastAsia="zh-CN"/>
        </w:rPr>
        <w:t>. However, a significant mismatch between the elastic modulus of Ti implants and that of natural bone can lead to stress shielding, a notable issue impacting implant stability</w:t>
      </w:r>
      <w:r>
        <w:rPr>
          <w:rFonts w:hint="eastAsia" w:ascii="Times New Roman" w:hAnsi="Times New Roman" w:eastAsia="Times New Roman"/>
          <w:color w:val="080000"/>
          <w:sz w:val="24"/>
          <w:szCs w:val="24"/>
          <w:vertAlign w:val="superscript"/>
        </w:rPr>
        <w:t>[5]</w:t>
      </w:r>
      <w:r>
        <w:rPr>
          <w:rFonts w:hint="eastAsia" w:ascii="Times New Roman" w:hAnsi="Times New Roman" w:eastAsia="Times New Roman"/>
          <w:kern w:val="2"/>
          <w:sz w:val="24"/>
          <w:lang w:val="en-US" w:eastAsia="zh-CN"/>
        </w:rPr>
        <w:t>. And the lower strength of Ti compared to other biomaterials such as Co-Cr alloys and stainless steel</w:t>
      </w:r>
      <w:r>
        <w:rPr>
          <w:rFonts w:hint="eastAsia" w:ascii="Times New Roman" w:hAnsi="Times New Roman" w:eastAsia="Times New Roman"/>
          <w:color w:val="080000"/>
          <w:sz w:val="24"/>
          <w:szCs w:val="24"/>
          <w:vertAlign w:val="superscript"/>
        </w:rPr>
        <w:t>[6]</w:t>
      </w:r>
      <w:r>
        <w:rPr>
          <w:rFonts w:hint="eastAsia" w:ascii="Times New Roman" w:hAnsi="Times New Roman" w:eastAsia="Times New Roman"/>
          <w:kern w:val="2"/>
          <w:sz w:val="24"/>
          <w:lang w:val="en-US" w:eastAsia="zh-CN"/>
        </w:rPr>
        <w:t>, has been linked to an increased risk of implant fractures in patients with narrow diameter implants (NDIs)</w:t>
      </w:r>
      <w:r>
        <w:rPr>
          <w:rFonts w:hint="eastAsia" w:ascii="Times New Roman" w:hAnsi="Times New Roman" w:eastAsia="Times New Roman"/>
          <w:color w:val="080000"/>
          <w:sz w:val="24"/>
          <w:szCs w:val="24"/>
          <w:vertAlign w:val="superscript"/>
        </w:rPr>
        <w:t>[2]</w:t>
      </w:r>
      <w:r>
        <w:rPr>
          <w:rFonts w:hint="eastAsia" w:ascii="Times New Roman" w:hAnsi="Times New Roman" w:eastAsia="Times New Roman"/>
          <w:kern w:val="2"/>
          <w:sz w:val="24"/>
          <w:lang w:val="en-US" w:eastAsia="zh-CN"/>
        </w:rPr>
        <w:t>. Meanwhile, titanium lacks of bone-inducing capabilities, which can possibly result in suboptimal osseointegration, particularly in cases with low bone density or osteoporosis</w:t>
      </w:r>
      <w:r>
        <w:rPr>
          <w:rFonts w:hint="eastAsia" w:ascii="Times New Roman" w:hAnsi="Times New Roman" w:eastAsia="Times New Roman"/>
          <w:color w:val="080000"/>
          <w:sz w:val="24"/>
          <w:szCs w:val="24"/>
          <w:vertAlign w:val="superscript"/>
        </w:rPr>
        <w:t>[7]</w:t>
      </w:r>
      <w:r>
        <w:rPr>
          <w:rFonts w:hint="eastAsia" w:ascii="Times New Roman" w:hAnsi="Times New Roman" w:eastAsia="Times New Roman"/>
          <w:kern w:val="2"/>
          <w:sz w:val="24"/>
          <w:lang w:val="en-US" w:eastAsia="zh-CN"/>
        </w:rPr>
        <w:t>, leading to concerns about the prolonged treatment duration necessary for successful implant integration.</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More importantly,</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Ti lacks intrinsic antimicrobial properties, raising the risk of post-implantation infections. Previous reports indicate that the incidence rate of peri-implantitis has reached as high as 51%</w:t>
      </w:r>
      <w:r>
        <w:rPr>
          <w:rFonts w:hint="eastAsia" w:ascii="Times New Roman" w:hAnsi="Times New Roman" w:eastAsia="Times New Roman"/>
          <w:color w:val="080000"/>
          <w:sz w:val="24"/>
          <w:szCs w:val="24"/>
          <w:vertAlign w:val="superscript"/>
        </w:rPr>
        <w:t>[8]</w:t>
      </w:r>
      <w:r>
        <w:rPr>
          <w:rFonts w:hint="eastAsia" w:ascii="Times New Roman" w:hAnsi="Times New Roman" w:eastAsia="Times New Roman"/>
          <w:kern w:val="2"/>
          <w:sz w:val="24"/>
          <w:lang w:val="en-US" w:eastAsia="zh-CN"/>
        </w:rPr>
        <w:t>. Recently, the surface modification methods of Ti, such as plasma spraying, deposition, and sol-gel processes, have been utilized to enhance its antibacterial activity. However, due to coating peeling and dissolution, the antibacterial effectiveness of these modifications may be disrupted during application. Therefore, it remains challenging to develop the next generation of dental implants with lasting antibacterial ability, high osseointegration capacity and suitable mechanical properties.</w:t>
      </w:r>
    </w:p>
    <w:p w14:paraId="7126006D">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Bulk metallic glasses (BMGs), due to their atomically disordered structure and lack of defects like grain boundaries and dislocations, combine the high strength of metals with the low elastic modulus of bioactive glasses</w:t>
      </w:r>
      <w:r>
        <w:rPr>
          <w:rFonts w:hint="eastAsia" w:ascii="Times New Roman" w:hAnsi="Times New Roman" w:eastAsia="Times New Roman"/>
          <w:color w:val="080000"/>
          <w:sz w:val="24"/>
          <w:szCs w:val="24"/>
          <w:vertAlign w:val="superscript"/>
        </w:rPr>
        <w:t>[9]</w:t>
      </w:r>
      <w:r>
        <w:rPr>
          <w:rFonts w:hint="eastAsia" w:ascii="Times New Roman" w:hAnsi="Times New Roman" w:eastAsia="Times New Roman"/>
          <w:kern w:val="2"/>
          <w:sz w:val="24"/>
          <w:lang w:val="en-US" w:eastAsia="zh-CN"/>
        </w:rPr>
        <w:t>. Among them, zirconium (Zr)-based bulk metallic glass (BMG) has emerged as the widely studied metallic biomaterials due to its good biocompatibility, corrosion resistance and adjustable mechanical properties</w:t>
      </w:r>
      <w:r>
        <w:rPr>
          <w:rFonts w:hint="eastAsia" w:ascii="Times New Roman" w:hAnsi="Times New Roman" w:eastAsia="Times New Roman"/>
          <w:color w:val="080000"/>
          <w:sz w:val="24"/>
          <w:szCs w:val="24"/>
          <w:vertAlign w:val="superscript"/>
        </w:rPr>
        <w:t>[10]</w:t>
      </w:r>
      <w:r>
        <w:rPr>
          <w:rFonts w:hint="eastAsia" w:ascii="Times New Roman" w:hAnsi="Times New Roman" w:eastAsia="Times New Roman"/>
          <w:kern w:val="2"/>
          <w:sz w:val="24"/>
          <w:lang w:val="en-US" w:eastAsia="zh-CN"/>
        </w:rPr>
        <w:t>. For example, Ida et al. reported that the Zr</w:t>
      </w:r>
      <w:r>
        <w:rPr>
          <w:rFonts w:hint="eastAsia" w:ascii="Times New Roman" w:hAnsi="Times New Roman" w:eastAsia="Times New Roman"/>
          <w:kern w:val="2"/>
          <w:sz w:val="24"/>
          <w:vertAlign w:val="subscript"/>
          <w:lang w:val="en-US" w:eastAsia="zh-CN"/>
        </w:rPr>
        <w:t>70</w:t>
      </w:r>
      <w:r>
        <w:rPr>
          <w:rFonts w:hint="eastAsia" w:ascii="Times New Roman" w:hAnsi="Times New Roman" w:eastAsia="Times New Roman"/>
          <w:kern w:val="2"/>
          <w:sz w:val="24"/>
          <w:lang w:val="en-US" w:eastAsia="zh-CN"/>
        </w:rPr>
        <w:t>Ni</w:t>
      </w:r>
      <w:r>
        <w:rPr>
          <w:rFonts w:hint="eastAsia" w:ascii="Times New Roman" w:hAnsi="Times New Roman" w:eastAsia="Times New Roman"/>
          <w:kern w:val="2"/>
          <w:sz w:val="24"/>
          <w:vertAlign w:val="subscript"/>
          <w:lang w:val="en-US" w:eastAsia="zh-CN"/>
        </w:rPr>
        <w:t>16</w:t>
      </w:r>
      <w:r>
        <w:rPr>
          <w:rFonts w:hint="eastAsia" w:ascii="Times New Roman" w:hAnsi="Times New Roman" w:eastAsia="Times New Roman"/>
          <w:kern w:val="2"/>
          <w:sz w:val="24"/>
          <w:lang w:val="en-US" w:eastAsia="zh-CN"/>
        </w:rPr>
        <w:t>Cu</w:t>
      </w:r>
      <w:r>
        <w:rPr>
          <w:rFonts w:hint="eastAsia" w:ascii="Times New Roman" w:hAnsi="Times New Roman" w:eastAsia="Times New Roman"/>
          <w:kern w:val="2"/>
          <w:sz w:val="24"/>
          <w:vertAlign w:val="subscript"/>
          <w:lang w:val="en-US" w:eastAsia="zh-CN"/>
        </w:rPr>
        <w:t>6</w:t>
      </w:r>
      <w:r>
        <w:rPr>
          <w:rFonts w:hint="eastAsia" w:ascii="Times New Roman" w:hAnsi="Times New Roman" w:eastAsia="Times New Roman"/>
          <w:kern w:val="2"/>
          <w:sz w:val="24"/>
          <w:lang w:val="en-US" w:eastAsia="zh-CN"/>
        </w:rPr>
        <w:t>Al</w:t>
      </w:r>
      <w:r>
        <w:rPr>
          <w:rFonts w:hint="eastAsia" w:ascii="Times New Roman" w:hAnsi="Times New Roman" w:eastAsia="Times New Roman"/>
          <w:kern w:val="2"/>
          <w:sz w:val="24"/>
          <w:vertAlign w:val="subscript"/>
          <w:lang w:val="en-US" w:eastAsia="zh-CN"/>
        </w:rPr>
        <w:t>8</w:t>
      </w:r>
      <w:r>
        <w:rPr>
          <w:rFonts w:hint="eastAsia" w:ascii="Times New Roman" w:hAnsi="Times New Roman" w:eastAsia="Times New Roman"/>
          <w:kern w:val="2"/>
          <w:sz w:val="24"/>
          <w:lang w:val="en-US" w:eastAsia="zh-CN"/>
        </w:rPr>
        <w:t xml:space="preserve"> BMG was conducive to adhesion, proliferation of rat bone marrow mesenchymal cells (BMSCs), and had shown better stability, bone integration rate, and bone integration area compared to Ti and Ti alloys</w:t>
      </w:r>
      <w:r>
        <w:rPr>
          <w:rFonts w:hint="eastAsia" w:ascii="Times New Roman" w:hAnsi="Times New Roman" w:eastAsia="Times New Roman"/>
          <w:color w:val="080000"/>
          <w:sz w:val="24"/>
          <w:szCs w:val="24"/>
          <w:vertAlign w:val="superscript"/>
        </w:rPr>
        <w:t>[11]</w:t>
      </w:r>
      <w:r>
        <w:rPr>
          <w:rFonts w:hint="eastAsia" w:ascii="Times New Roman" w:hAnsi="Times New Roman" w:eastAsia="Times New Roman"/>
          <w:kern w:val="2"/>
          <w:sz w:val="24"/>
          <w:lang w:val="en-US" w:eastAsia="zh-CN"/>
        </w:rPr>
        <w:t>. Furthermore, nickel (Ni)-free Zr</w:t>
      </w:r>
      <w:r>
        <w:rPr>
          <w:rFonts w:hint="eastAsia" w:ascii="Times New Roman" w:hAnsi="Times New Roman" w:eastAsia="Times New Roman"/>
          <w:kern w:val="2"/>
          <w:sz w:val="24"/>
          <w:vertAlign w:val="subscript"/>
          <w:lang w:val="en-US" w:eastAsia="zh-CN"/>
        </w:rPr>
        <w:t>50+x</w:t>
      </w:r>
      <w:r>
        <w:rPr>
          <w:rFonts w:hint="eastAsia" w:ascii="Times New Roman" w:hAnsi="Times New Roman" w:eastAsia="Times New Roman"/>
          <w:kern w:val="2"/>
          <w:sz w:val="24"/>
          <w:lang w:val="en-US" w:eastAsia="zh-CN"/>
        </w:rPr>
        <w:t>Cu</w:t>
      </w:r>
      <w:r>
        <w:rPr>
          <w:rFonts w:hint="eastAsia" w:ascii="Times New Roman" w:hAnsi="Times New Roman" w:eastAsia="Times New Roman"/>
          <w:kern w:val="2"/>
          <w:sz w:val="24"/>
          <w:vertAlign w:val="subscript"/>
          <w:lang w:val="en-US" w:eastAsia="zh-CN"/>
        </w:rPr>
        <w:t>35-x</w:t>
      </w:r>
      <w:r>
        <w:rPr>
          <w:rFonts w:hint="eastAsia" w:ascii="Times New Roman" w:hAnsi="Times New Roman" w:eastAsia="Times New Roman"/>
          <w:kern w:val="2"/>
          <w:sz w:val="24"/>
          <w:lang w:val="en-US" w:eastAsia="zh-CN"/>
        </w:rPr>
        <w:t>Al</w:t>
      </w:r>
      <w:r>
        <w:rPr>
          <w:rFonts w:hint="eastAsia" w:ascii="Times New Roman" w:hAnsi="Times New Roman" w:eastAsia="Times New Roman"/>
          <w:kern w:val="2"/>
          <w:sz w:val="24"/>
          <w:vertAlign w:val="subscript"/>
          <w:lang w:val="en-US" w:eastAsia="zh-CN"/>
        </w:rPr>
        <w:t>7</w:t>
      </w:r>
      <w:r>
        <w:rPr>
          <w:rFonts w:hint="eastAsia" w:ascii="Times New Roman" w:hAnsi="Times New Roman" w:eastAsia="Times New Roman"/>
          <w:kern w:val="2"/>
          <w:sz w:val="24"/>
          <w:lang w:val="en-US" w:eastAsia="zh-CN"/>
        </w:rPr>
        <w:t>Nb</w:t>
      </w:r>
      <w:r>
        <w:rPr>
          <w:rFonts w:hint="eastAsia" w:ascii="Times New Roman" w:hAnsi="Times New Roman" w:eastAsia="Times New Roman"/>
          <w:kern w:val="2"/>
          <w:sz w:val="24"/>
          <w:vertAlign w:val="subscript"/>
          <w:lang w:val="en-US" w:eastAsia="zh-CN"/>
        </w:rPr>
        <w:t>5</w:t>
      </w:r>
      <w:r>
        <w:rPr>
          <w:rFonts w:hint="eastAsia" w:ascii="Times New Roman" w:hAnsi="Times New Roman" w:eastAsia="Times New Roman"/>
          <w:kern w:val="2"/>
          <w:sz w:val="24"/>
          <w:lang w:val="en-US" w:eastAsia="zh-CN"/>
        </w:rPr>
        <w:t>Pd</w:t>
      </w:r>
      <w:r>
        <w:rPr>
          <w:rFonts w:hint="eastAsia" w:ascii="Times New Roman" w:hAnsi="Times New Roman" w:eastAsia="Times New Roman"/>
          <w:kern w:val="2"/>
          <w:sz w:val="24"/>
          <w:vertAlign w:val="subscript"/>
          <w:lang w:val="en-US" w:eastAsia="zh-CN"/>
        </w:rPr>
        <w:t>3</w:t>
      </w:r>
      <w:r>
        <w:rPr>
          <w:rFonts w:hint="eastAsia" w:ascii="Times New Roman" w:hAnsi="Times New Roman" w:eastAsia="Times New Roman"/>
          <w:kern w:val="2"/>
          <w:sz w:val="24"/>
          <w:lang w:val="en-US" w:eastAsia="zh-CN"/>
        </w:rPr>
        <w:t xml:space="preserve"> (x=0, 5) BMG had been designed and fabricated, and the results demonstrated that the Zr-Cu-Al-Nb-Pd BMGs had good </w:t>
      </w:r>
      <w:r>
        <w:rPr>
          <w:rFonts w:hint="eastAsia" w:ascii="Times New Roman" w:hAnsi="Times New Roman" w:eastAsia="Times New Roman"/>
          <w:i/>
          <w:iCs/>
          <w:kern w:val="2"/>
          <w:sz w:val="24"/>
          <w:lang w:val="en-US" w:eastAsia="zh-CN"/>
        </w:rPr>
        <w:t>in vitro</w:t>
      </w:r>
      <w:r>
        <w:rPr>
          <w:rFonts w:hint="eastAsia" w:ascii="Times New Roman" w:hAnsi="Times New Roman" w:eastAsia="Times New Roman"/>
          <w:kern w:val="2"/>
          <w:sz w:val="24"/>
          <w:lang w:val="en-US" w:eastAsia="zh-CN"/>
        </w:rPr>
        <w:t xml:space="preserve"> biosafe and high corrosion resistance in simulated body fluid environments</w:t>
      </w:r>
      <w:r>
        <w:rPr>
          <w:rFonts w:hint="eastAsia" w:ascii="Times New Roman" w:hAnsi="Times New Roman" w:eastAsia="Times New Roman"/>
          <w:color w:val="080000"/>
          <w:sz w:val="24"/>
          <w:szCs w:val="24"/>
          <w:vertAlign w:val="superscript"/>
        </w:rPr>
        <w:t>[12]</w:t>
      </w:r>
      <w:r>
        <w:rPr>
          <w:rFonts w:hint="eastAsia" w:ascii="Times New Roman" w:hAnsi="Times New Roman" w:eastAsia="Times New Roman"/>
          <w:kern w:val="2"/>
          <w:sz w:val="24"/>
          <w:lang w:val="en-US" w:eastAsia="zh-CN"/>
        </w:rPr>
        <w:t>. Further, Zr-based BMG</w:t>
      </w:r>
      <w:r>
        <w:rPr>
          <w:rFonts w:ascii="Times New Roman" w:hAnsi="Times New Roman" w:eastAsia="Times New Roman"/>
          <w:kern w:val="2"/>
          <w:sz w:val="24"/>
          <w:lang w:val="en-US" w:eastAsia="zh-CN"/>
        </w:rPr>
        <w:t>s</w:t>
      </w:r>
      <w:r>
        <w:rPr>
          <w:rFonts w:hint="eastAsia" w:ascii="Times New Roman" w:hAnsi="Times New Roman" w:eastAsia="Times New Roman"/>
          <w:kern w:val="2"/>
          <w:sz w:val="24"/>
          <w:lang w:val="en-US" w:eastAsia="zh-CN"/>
        </w:rPr>
        <w:t xml:space="preserve"> possess the unique capability to tailor their properties by adjusting their elemental composition</w:t>
      </w:r>
      <w:r>
        <w:rPr>
          <w:rFonts w:hint="eastAsia" w:ascii="Times New Roman" w:hAnsi="Times New Roman" w:eastAsia="Times New Roman"/>
          <w:color w:val="080000"/>
          <w:sz w:val="24"/>
          <w:szCs w:val="24"/>
          <w:vertAlign w:val="superscript"/>
        </w:rPr>
        <w:t>[13]</w:t>
      </w:r>
      <w:r>
        <w:rPr>
          <w:rFonts w:hint="eastAsia" w:ascii="Times New Roman" w:hAnsi="Times New Roman" w:eastAsia="Times New Roman"/>
          <w:kern w:val="2"/>
          <w:sz w:val="24"/>
          <w:lang w:val="en-US" w:eastAsia="zh-CN"/>
        </w:rPr>
        <w:t>, yet, the presence of elements like Ni, Be in Zr-based BMGs may cause allergic reaction or other adverse effect</w:t>
      </w:r>
      <w:r>
        <w:rPr>
          <w:rFonts w:hint="eastAsia" w:ascii="Times New Roman" w:hAnsi="Times New Roman" w:eastAsia="Times New Roman"/>
          <w:color w:val="080000"/>
          <w:sz w:val="24"/>
          <w:szCs w:val="24"/>
          <w:vertAlign w:val="superscript"/>
        </w:rPr>
        <w:t>[11, 14-16]</w:t>
      </w:r>
      <w:r>
        <w:rPr>
          <w:rFonts w:hint="eastAsia" w:ascii="Times New Roman" w:hAnsi="Times New Roman" w:eastAsia="Times New Roman"/>
          <w:kern w:val="2"/>
          <w:sz w:val="24"/>
          <w:lang w:val="en-US" w:eastAsia="zh-CN"/>
        </w:rPr>
        <w:t xml:space="preserve">. Hence, the current challenge lies in identifying Zr-based BMGs compositions with biocompatible elements that possess good amorphous processability, matched mechanical properties and high </w:t>
      </w:r>
      <w:r>
        <w:rPr>
          <w:rFonts w:ascii="Times New Roman" w:hAnsi="Times New Roman" w:eastAsia="Times New Roman"/>
          <w:kern w:val="2"/>
          <w:sz w:val="24"/>
          <w:lang w:val="en-US" w:eastAsia="zh-CN"/>
        </w:rPr>
        <w:t>osseointegrated</w:t>
      </w:r>
      <w:r>
        <w:rPr>
          <w:rFonts w:hint="eastAsia" w:ascii="Times New Roman" w:hAnsi="Times New Roman" w:eastAsia="Times New Roman"/>
          <w:kern w:val="2"/>
          <w:sz w:val="24"/>
          <w:lang w:val="en-US" w:eastAsia="zh-CN"/>
        </w:rPr>
        <w:t xml:space="preserve"> capacity required for dental implants. Recent studies on the antibacterial properties of Zr-based BMGs have shown promising developments. Du et al. found that Zr-based BMG samples displayed notable antibacterial activity against both </w:t>
      </w:r>
      <w:r>
        <w:rPr>
          <w:rFonts w:hint="eastAsia" w:ascii="Times New Roman" w:hAnsi="Times New Roman" w:eastAsia="Times New Roman"/>
          <w:i/>
          <w:kern w:val="2"/>
          <w:sz w:val="24"/>
          <w:lang w:val="en-US" w:eastAsia="zh-CN"/>
        </w:rPr>
        <w:t>Escherichia coli</w:t>
      </w:r>
      <w:r>
        <w:rPr>
          <w:rFonts w:hint="eastAsia" w:ascii="Times New Roman" w:hAnsi="Times New Roman" w:eastAsia="Times New Roman"/>
          <w:kern w:val="2"/>
          <w:sz w:val="24"/>
          <w:lang w:val="en-US" w:eastAsia="zh-CN"/>
        </w:rPr>
        <w:t xml:space="preserve"> and </w:t>
      </w:r>
      <w:r>
        <w:rPr>
          <w:rFonts w:hint="eastAsia" w:ascii="Times New Roman" w:hAnsi="Times New Roman" w:eastAsia="Times New Roman"/>
          <w:i/>
          <w:kern w:val="2"/>
          <w:sz w:val="24"/>
          <w:lang w:val="en-US" w:eastAsia="zh-CN"/>
        </w:rPr>
        <w:t>Staphylococcus aureus</w:t>
      </w:r>
      <w:r>
        <w:rPr>
          <w:rFonts w:hint="eastAsia" w:ascii="Times New Roman" w:hAnsi="Times New Roman" w:eastAsia="Times New Roman"/>
          <w:kern w:val="2"/>
          <w:sz w:val="24"/>
          <w:lang w:val="en-US" w:eastAsia="zh-CN"/>
        </w:rPr>
        <w:t xml:space="preserve"> via laser-induced periodic surface structures (LIPSS)</w:t>
      </w:r>
      <w:r>
        <w:rPr>
          <w:rFonts w:hint="eastAsia" w:ascii="Times New Roman" w:hAnsi="Times New Roman" w:eastAsia="Times New Roman"/>
          <w:color w:val="080000"/>
          <w:sz w:val="24"/>
          <w:szCs w:val="24"/>
          <w:vertAlign w:val="superscript"/>
        </w:rPr>
        <w:t>[17]</w:t>
      </w:r>
      <w:r>
        <w:rPr>
          <w:rFonts w:hint="eastAsia" w:ascii="Times New Roman" w:hAnsi="Times New Roman" w:eastAsia="Times New Roman"/>
          <w:kern w:val="2"/>
          <w:sz w:val="24"/>
          <w:lang w:val="en-US" w:eastAsia="zh-CN"/>
        </w:rPr>
        <w:t>. However, there is currently a lack of antibacterial experiments targeting oral pathogens, and continuous monitoring of the antibacterial properties of Zr-based BMG is lacking.</w:t>
      </w:r>
    </w:p>
    <w:p w14:paraId="4B4FFA6E">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Silver (Ag) is currently the most potent metal element with antibacterial properties</w:t>
      </w:r>
      <w:r>
        <w:rPr>
          <w:rFonts w:hint="eastAsia" w:ascii="Times New Roman" w:hAnsi="Times New Roman" w:eastAsia="Times New Roman"/>
          <w:color w:val="080000"/>
          <w:sz w:val="24"/>
          <w:szCs w:val="24"/>
          <w:vertAlign w:val="superscript"/>
        </w:rPr>
        <w:t>[18]</w:t>
      </w:r>
      <w:r>
        <w:rPr>
          <w:rFonts w:hint="eastAsia" w:ascii="Times New Roman" w:hAnsi="Times New Roman" w:eastAsia="Times New Roman"/>
          <w:kern w:val="2"/>
          <w:sz w:val="24"/>
          <w:lang w:val="en-US" w:eastAsia="zh-CN"/>
        </w:rPr>
        <w:t xml:space="preserve"> for widely biomedical applications. Liu et al. reported that titanium implants coated with Ag nanoparticles displayed considerable antibacterial effectiveness against common oral pathogens, such as </w:t>
      </w:r>
      <w:r>
        <w:rPr>
          <w:rFonts w:ascii="Times New Roman" w:hAnsi="Times New Roman" w:eastAsia="Times New Roman"/>
          <w:i/>
          <w:kern w:val="2"/>
          <w:sz w:val="24"/>
          <w:lang w:val="en-US" w:eastAsia="zh-CN"/>
        </w:rPr>
        <w:t>Streptococcus mutans</w:t>
      </w:r>
      <w:r>
        <w:rPr>
          <w:rFonts w:hint="default" w:ascii="Times New Roman" w:hAnsi="Times New Roman" w:eastAsia="Times New Roman"/>
          <w:color w:val="080000"/>
          <w:sz w:val="24"/>
          <w:szCs w:val="24"/>
          <w:vertAlign w:val="superscript"/>
        </w:rPr>
        <w:t>[19]</w:t>
      </w:r>
      <w:r>
        <w:rPr>
          <w:rFonts w:hint="eastAsia" w:ascii="Times New Roman" w:hAnsi="Times New Roman" w:eastAsia="Times New Roman"/>
          <w:kern w:val="2"/>
          <w:sz w:val="24"/>
          <w:lang w:val="en-US" w:eastAsia="zh-CN"/>
        </w:rPr>
        <w:t>. Moreover, some researchers have proposed enhancing the antibacterial performance of titanium alloys by incorporating antibacterial elements such as Cu and Ag. Shirai demonstrated the antibacterial activity of Ti-Cu alloy containing 1 wt% Cu</w:t>
      </w:r>
      <w:r>
        <w:rPr>
          <w:rFonts w:hint="eastAsia" w:ascii="Times New Roman" w:hAnsi="Times New Roman" w:eastAsia="Times New Roman"/>
          <w:color w:val="080000"/>
          <w:sz w:val="24"/>
          <w:szCs w:val="24"/>
          <w:vertAlign w:val="superscript"/>
        </w:rPr>
        <w:t>[20]</w:t>
      </w:r>
      <w:r>
        <w:rPr>
          <w:rFonts w:hint="eastAsia" w:ascii="Times New Roman" w:hAnsi="Times New Roman" w:eastAsia="Times New Roman"/>
          <w:kern w:val="2"/>
          <w:sz w:val="24"/>
          <w:lang w:val="en-US" w:eastAsia="zh-CN"/>
        </w:rPr>
        <w:t>, and Zhang proved that the precipitation of the Ti</w:t>
      </w:r>
      <w:r>
        <w:rPr>
          <w:rFonts w:hint="eastAsia"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lang w:val="en-US" w:eastAsia="zh-CN"/>
        </w:rPr>
        <w:t>Ag phase in Ti-Ag alloy was the main reason for its antibacterial performance</w:t>
      </w:r>
      <w:r>
        <w:rPr>
          <w:rFonts w:hint="eastAsia" w:ascii="Times New Roman" w:hAnsi="Times New Roman" w:eastAsia="Times New Roman"/>
          <w:color w:val="080000"/>
          <w:sz w:val="24"/>
          <w:szCs w:val="24"/>
          <w:vertAlign w:val="superscript"/>
        </w:rPr>
        <w:t>[21]</w:t>
      </w:r>
      <w:r>
        <w:rPr>
          <w:rFonts w:hint="eastAsia" w:ascii="Times New Roman" w:hAnsi="Times New Roman" w:eastAsia="Times New Roman"/>
          <w:kern w:val="2"/>
          <w:sz w:val="24"/>
          <w:lang w:val="en-US" w:eastAsia="zh-CN"/>
        </w:rPr>
        <w:t xml:space="preserve">. </w:t>
      </w:r>
    </w:p>
    <w:p w14:paraId="74D0CF8F">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Yang et al. investigated the impact of Ag substitution for Ti in Zr</w:t>
      </w:r>
      <w:r>
        <w:rPr>
          <w:rFonts w:hint="eastAsia" w:ascii="Times New Roman" w:hAnsi="Times New Roman" w:eastAsia="Times New Roman"/>
          <w:kern w:val="2"/>
          <w:sz w:val="24"/>
          <w:vertAlign w:val="subscript"/>
          <w:lang w:val="en-US" w:eastAsia="zh-CN"/>
        </w:rPr>
        <w:t>56</w:t>
      </w:r>
      <w:r>
        <w:rPr>
          <w:rFonts w:hint="eastAsia" w:ascii="Times New Roman" w:hAnsi="Times New Roman" w:eastAsia="Times New Roman"/>
          <w:kern w:val="2"/>
          <w:sz w:val="24"/>
          <w:lang w:val="en-US" w:eastAsia="zh-CN"/>
        </w:rPr>
        <w:t>Cu</w:t>
      </w:r>
      <w:r>
        <w:rPr>
          <w:rFonts w:hint="eastAsia" w:ascii="Times New Roman" w:hAnsi="Times New Roman" w:eastAsia="Times New Roman"/>
          <w:kern w:val="2"/>
          <w:sz w:val="24"/>
          <w:vertAlign w:val="subscript"/>
          <w:lang w:val="en-US" w:eastAsia="zh-CN"/>
        </w:rPr>
        <w:t>24</w:t>
      </w:r>
      <w:r>
        <w:rPr>
          <w:rFonts w:hint="eastAsia" w:ascii="Times New Roman" w:hAnsi="Times New Roman" w:eastAsia="Times New Roman"/>
          <w:kern w:val="2"/>
          <w:sz w:val="24"/>
          <w:lang w:val="en-US" w:eastAsia="zh-CN"/>
        </w:rPr>
        <w:t>Al</w:t>
      </w:r>
      <w:r>
        <w:rPr>
          <w:rFonts w:hint="eastAsia" w:ascii="Times New Roman" w:hAnsi="Times New Roman" w:eastAsia="Times New Roman"/>
          <w:kern w:val="2"/>
          <w:sz w:val="24"/>
          <w:vertAlign w:val="subscript"/>
          <w:lang w:val="en-US" w:eastAsia="zh-CN"/>
        </w:rPr>
        <w:t>9</w:t>
      </w:r>
      <w:r>
        <w:rPr>
          <w:rFonts w:hint="eastAsia" w:ascii="Times New Roman" w:hAnsi="Times New Roman" w:eastAsia="Times New Roman"/>
          <w:kern w:val="2"/>
          <w:sz w:val="24"/>
          <w:lang w:val="en-US" w:eastAsia="zh-CN"/>
        </w:rPr>
        <w:t>Ni</w:t>
      </w:r>
      <w:r>
        <w:rPr>
          <w:rFonts w:hint="eastAsia" w:ascii="Times New Roman" w:hAnsi="Times New Roman" w:eastAsia="Times New Roman"/>
          <w:kern w:val="2"/>
          <w:sz w:val="24"/>
          <w:vertAlign w:val="subscript"/>
          <w:lang w:val="en-US" w:eastAsia="zh-CN"/>
        </w:rPr>
        <w:t>7</w:t>
      </w:r>
      <w:r>
        <w:rPr>
          <w:rFonts w:hint="eastAsia" w:ascii="Times New Roman" w:hAnsi="Times New Roman" w:eastAsia="Times New Roman"/>
          <w:kern w:val="2"/>
          <w:sz w:val="24"/>
          <w:lang w:val="en-US" w:eastAsia="zh-CN"/>
        </w:rPr>
        <w:t>Ti</w:t>
      </w:r>
      <w:r>
        <w:rPr>
          <w:rFonts w:hint="eastAsia" w:ascii="Times New Roman" w:hAnsi="Times New Roman" w:eastAsia="Times New Roman"/>
          <w:kern w:val="2"/>
          <w:sz w:val="24"/>
          <w:vertAlign w:val="subscript"/>
          <w:lang w:val="en-US" w:eastAsia="zh-CN"/>
        </w:rPr>
        <w:t>4-x</w:t>
      </w:r>
      <w:r>
        <w:rPr>
          <w:rFonts w:hint="eastAsia" w:ascii="Times New Roman" w:hAnsi="Times New Roman" w:eastAsia="Times New Roman"/>
          <w:kern w:val="2"/>
          <w:sz w:val="24"/>
          <w:lang w:val="en-US" w:eastAsia="zh-CN"/>
        </w:rPr>
        <w:t>Ag</w:t>
      </w:r>
      <w:r>
        <w:rPr>
          <w:rFonts w:hint="eastAsia" w:ascii="Times New Roman" w:hAnsi="Times New Roman" w:eastAsia="Times New Roman"/>
          <w:kern w:val="2"/>
          <w:sz w:val="24"/>
          <w:vertAlign w:val="subscript"/>
          <w:lang w:val="en-US" w:eastAsia="zh-CN"/>
        </w:rPr>
        <w:t>x</w:t>
      </w:r>
      <w:r>
        <w:rPr>
          <w:rFonts w:hint="eastAsia" w:ascii="Times New Roman" w:hAnsi="Times New Roman" w:eastAsia="Times New Roman"/>
          <w:kern w:val="2"/>
          <w:sz w:val="24"/>
          <w:lang w:val="en-US" w:eastAsia="zh-CN"/>
        </w:rPr>
        <w:t xml:space="preserve"> (x = 0, 1, 2, 3, and 4 at. %) BMGs on their glass-forming ability, thermal stability, and mechanical properties. They found that the alloys with x=2 exhibited the highest ultimate fracture strength and plastic strain</w:t>
      </w:r>
      <w:r>
        <w:rPr>
          <w:rFonts w:hint="eastAsia" w:ascii="Times New Roman" w:hAnsi="Times New Roman" w:eastAsia="Times New Roman"/>
          <w:color w:val="080000"/>
          <w:sz w:val="24"/>
          <w:szCs w:val="24"/>
          <w:vertAlign w:val="superscript"/>
        </w:rPr>
        <w:t>[22]</w:t>
      </w:r>
      <w:r>
        <w:rPr>
          <w:rFonts w:hint="eastAsia" w:ascii="Times New Roman" w:hAnsi="Times New Roman" w:eastAsia="Times New Roman"/>
          <w:kern w:val="2"/>
          <w:sz w:val="24"/>
          <w:lang w:val="en-US" w:eastAsia="zh-CN"/>
        </w:rPr>
        <w:t>. Meanwhile, previous studies had shown that Zr-Ti-Cu-Al BMGs had low elastic modulus and excellent corrosion resistance, making them highly promising for biomedical implants and medical devices</w:t>
      </w:r>
      <w:r>
        <w:rPr>
          <w:rFonts w:hint="eastAsia" w:ascii="Times New Roman" w:hAnsi="Times New Roman" w:eastAsia="Times New Roman"/>
          <w:color w:val="080000"/>
          <w:sz w:val="24"/>
          <w:szCs w:val="24"/>
          <w:vertAlign w:val="superscript"/>
        </w:rPr>
        <w:t>[23-25]</w:t>
      </w:r>
      <w:r>
        <w:rPr>
          <w:rFonts w:hint="eastAsia" w:ascii="Times New Roman" w:hAnsi="Times New Roman" w:eastAsia="Times New Roman"/>
          <w:kern w:val="2"/>
          <w:sz w:val="24"/>
          <w:lang w:val="en-US" w:eastAsia="zh-CN"/>
        </w:rPr>
        <w:t>. Based on the above research, it is possible that introducing a portion of Ag into Zr-Ti-Cu-Al system may lead to the development of a promising new material for dental implant applications. M</w:t>
      </w:r>
      <w:r>
        <w:rPr>
          <w:rFonts w:ascii="Times New Roman" w:hAnsi="Times New Roman" w:eastAsia="Times New Roman"/>
          <w:kern w:val="2"/>
          <w:sz w:val="24"/>
          <w:lang w:val="en-US" w:eastAsia="zh-CN"/>
        </w:rPr>
        <w:t>oreover</w:t>
      </w:r>
      <w:r>
        <w:rPr>
          <w:rFonts w:hint="eastAsia" w:ascii="Times New Roman" w:hAnsi="Times New Roman" w:eastAsia="Times New Roman"/>
          <w:kern w:val="2"/>
          <w:sz w:val="24"/>
          <w:lang w:val="en-US" w:eastAsia="zh-CN"/>
        </w:rPr>
        <w:t>, it remains unknown whether the blending Ag can also contribute to lasting antibacterial effects while keeping the appropriately mechanical properties.</w:t>
      </w:r>
    </w:p>
    <w:p w14:paraId="330651E7">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Here, we had developed a novel amorphous alloy system </w:t>
      </w:r>
      <w:r>
        <w:rPr>
          <w:rFonts w:ascii="Times New Roman" w:hAnsi="Times New Roman" w:eastAsia="Times New Roman"/>
          <w:kern w:val="2"/>
          <w:sz w:val="24"/>
          <w:lang w:val="en-US" w:eastAsia="zh-CN"/>
        </w:rPr>
        <w:t>Zr</w:t>
      </w:r>
      <w:r>
        <w:rPr>
          <w:rFonts w:ascii="Times New Roman" w:hAnsi="Times New Roman" w:eastAsia="Times New Roman"/>
          <w:kern w:val="2"/>
          <w:sz w:val="24"/>
          <w:vertAlign w:val="subscript"/>
          <w:lang w:val="en-US" w:eastAsia="zh-CN"/>
        </w:rPr>
        <w:t>61</w:t>
      </w:r>
      <w:r>
        <w:rPr>
          <w:rFonts w:ascii="Times New Roman" w:hAnsi="Times New Roman" w:eastAsia="Times New Roman"/>
          <w:kern w:val="2"/>
          <w:sz w:val="24"/>
          <w:lang w:val="en-US" w:eastAsia="zh-CN"/>
        </w:rPr>
        <w:t>Cu</w:t>
      </w:r>
      <w:r>
        <w:rPr>
          <w:rFonts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vertAlign w:val="subscript"/>
          <w:lang w:val="en-US" w:eastAsia="zh-CN"/>
        </w:rPr>
        <w:t>3</w:t>
      </w:r>
      <w:r>
        <w:rPr>
          <w:rFonts w:ascii="Times New Roman" w:hAnsi="Times New Roman" w:eastAsia="Times New Roman"/>
          <w:kern w:val="2"/>
          <w:sz w:val="24"/>
          <w:lang w:val="en-US" w:eastAsia="zh-CN"/>
        </w:rPr>
        <w:t>Al</w:t>
      </w:r>
      <w:r>
        <w:rPr>
          <w:rFonts w:ascii="Times New Roman" w:hAnsi="Times New Roman" w:eastAsia="Times New Roman"/>
          <w:kern w:val="2"/>
          <w:sz w:val="24"/>
          <w:vertAlign w:val="subscript"/>
          <w:lang w:val="en-US" w:eastAsia="zh-CN"/>
        </w:rPr>
        <w:t>1</w:t>
      </w:r>
      <w:r>
        <w:rPr>
          <w:rFonts w:hint="eastAsia"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Ti</w:t>
      </w:r>
      <w:r>
        <w:rPr>
          <w:rFonts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Ag</w:t>
      </w:r>
      <w:r>
        <w:rPr>
          <w:rFonts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vertAlign w:val="subscript"/>
          <w:lang w:val="en-US" w:eastAsia="zh-CN"/>
        </w:rPr>
        <w:t xml:space="preserve"> </w:t>
      </w:r>
      <w:r>
        <w:rPr>
          <w:rFonts w:hint="eastAsia" w:ascii="Times New Roman" w:hAnsi="Times New Roman" w:eastAsia="Times New Roman"/>
          <w:kern w:val="2"/>
          <w:sz w:val="24"/>
          <w:lang w:val="en-US" w:eastAsia="zh-CN"/>
        </w:rPr>
        <w:t>(at.%) (Zr-BMG)</w:t>
      </w:r>
      <w:r>
        <w:rPr>
          <w:rFonts w:hint="eastAsia" w:ascii="Times New Roman" w:hAnsi="Times New Roman" w:eastAsia="Times New Roman"/>
          <w:kern w:val="2"/>
          <w:sz w:val="24"/>
          <w:vertAlign w:val="subscript"/>
          <w:lang w:val="en-US" w:eastAsia="zh-CN"/>
        </w:rPr>
        <w:t xml:space="preserve"> </w:t>
      </w:r>
      <w:r>
        <w:rPr>
          <w:rFonts w:hint="eastAsia" w:ascii="Times New Roman" w:hAnsi="Times New Roman" w:eastAsia="Times New Roman"/>
          <w:kern w:val="2"/>
          <w:sz w:val="24"/>
          <w:lang w:val="en-US" w:eastAsia="zh-CN"/>
        </w:rPr>
        <w:t>and evaluated its physicochemical properties, biocompatibility, antibacterial activity, osteogenic potential, and angiogenic capabilities, aiming to explore its potential as a material for oral implant applications. This formulation intenti</w:t>
      </w:r>
      <w:r>
        <w:rPr>
          <w:rFonts w:ascii="Times New Roman" w:hAnsi="Times New Roman" w:eastAsia="Times New Roman"/>
          <w:kern w:val="2"/>
          <w:sz w:val="24"/>
          <w:lang w:val="en-US" w:eastAsia="zh-CN"/>
        </w:rPr>
        <w:t>onally</w:t>
      </w:r>
      <w:r>
        <w:rPr>
          <w:rFonts w:hint="eastAsia" w:ascii="Times New Roman" w:hAnsi="Times New Roman" w:eastAsia="Times New Roman"/>
          <w:kern w:val="2"/>
          <w:sz w:val="24"/>
          <w:lang w:val="en-US" w:eastAsia="zh-CN"/>
        </w:rPr>
        <w:t xml:space="preserve"> excluded elements (such as Ni, Be, Fe) that were considered unsuitable for use in oral implant systems. In ensuring both excellent amorphous forming ability and system stability, Ag had been incorporated to endow the material with antimicrobial properties. Concurrently, experiments had been meticulously designed in alignment with the specific requirements of dental implants to validate the performance of this new material.</w:t>
      </w:r>
    </w:p>
    <w:p w14:paraId="516CA9F6">
      <w:pPr>
        <w:keepNext w:val="0"/>
        <w:keepLines w:val="0"/>
        <w:pageBreakBefore w:val="0"/>
        <w:widowControl w:val="0"/>
        <w:numPr>
          <w:ilvl w:val="0"/>
          <w:numId w:val="1"/>
        </w:numPr>
        <w:kinsoku/>
        <w:wordWrap/>
        <w:overflowPunct/>
        <w:topLinePunct w:val="0"/>
        <w:autoSpaceDE/>
        <w:autoSpaceDN/>
        <w:bidi w:val="0"/>
        <w:adjustRightInd/>
        <w:snapToGrid/>
        <w:spacing w:line="480" w:lineRule="auto"/>
        <w:ind w:left="0" w:leftChars="0" w:firstLine="0" w:firstLineChars="0"/>
        <w:jc w:val="both"/>
        <w:textAlignment w:val="auto"/>
        <w:rPr>
          <w:rFonts w:hint="eastAsia" w:ascii="Times New Roman" w:hAnsi="Times New Roman" w:eastAsia="Times New Roman"/>
          <w:b/>
          <w:bCs w:val="0"/>
          <w:sz w:val="24"/>
          <w:lang w:val="en-US" w:eastAsia="zh-CN"/>
        </w:rPr>
      </w:pPr>
      <w:r>
        <w:rPr>
          <w:rFonts w:hint="eastAsia" w:eastAsia="Times New Roman"/>
          <w:b/>
          <w:bCs w:val="0"/>
          <w:sz w:val="24"/>
          <w:lang w:val="en-US" w:eastAsia="zh-CN"/>
        </w:rPr>
        <w:t>Material and methods</w:t>
      </w:r>
    </w:p>
    <w:p w14:paraId="353D033F">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b/>
          <w:bCs/>
          <w:i w:val="0"/>
          <w:iCs w:val="0"/>
          <w:kern w:val="2"/>
          <w:sz w:val="24"/>
          <w:szCs w:val="24"/>
          <w:lang w:val="en-US" w:eastAsia="zh-CN"/>
        </w:rPr>
      </w:pPr>
      <w:r>
        <w:rPr>
          <w:rFonts w:hint="eastAsia" w:eastAsia="Times New Roman"/>
          <w:b/>
          <w:bCs/>
          <w:kern w:val="2"/>
          <w:sz w:val="24"/>
          <w:szCs w:val="24"/>
          <w:lang w:val="en-US" w:eastAsia="zh-CN"/>
        </w:rPr>
        <w:t>2</w:t>
      </w:r>
      <w:r>
        <w:rPr>
          <w:rFonts w:hint="eastAsia" w:ascii="Times New Roman" w:hAnsi="Times New Roman" w:eastAsia="Times New Roman"/>
          <w:b/>
          <w:bCs/>
          <w:kern w:val="2"/>
          <w:sz w:val="24"/>
          <w:szCs w:val="24"/>
          <w:lang w:val="en-US" w:eastAsia="zh-CN"/>
        </w:rPr>
        <w:t xml:space="preserve">.1 </w:t>
      </w:r>
      <w:r>
        <w:rPr>
          <w:rFonts w:hint="eastAsia" w:ascii="Times New Roman" w:hAnsi="Times New Roman" w:eastAsia="Times New Roman"/>
          <w:b/>
          <w:bCs/>
          <w:i w:val="0"/>
          <w:iCs w:val="0"/>
          <w:kern w:val="2"/>
          <w:sz w:val="24"/>
          <w:szCs w:val="24"/>
          <w:lang w:val="en-US" w:eastAsia="zh-CN"/>
        </w:rPr>
        <w:t>Materials preparation and characterization</w:t>
      </w:r>
    </w:p>
    <w:p w14:paraId="3A3E45A3">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i/>
          <w:iCs/>
          <w:kern w:val="2"/>
          <w:sz w:val="24"/>
          <w:lang w:val="en-US" w:eastAsia="zh-CN"/>
        </w:rPr>
      </w:pPr>
      <w:r>
        <w:rPr>
          <w:rFonts w:ascii="Times New Roman" w:hAnsi="Times New Roman" w:eastAsia="Times New Roman"/>
          <w:kern w:val="2"/>
          <w:sz w:val="24"/>
          <w:lang w:val="en-US" w:eastAsia="zh-CN"/>
        </w:rPr>
        <w:t>Zr</w:t>
      </w:r>
      <w:r>
        <w:rPr>
          <w:rFonts w:ascii="Times New Roman" w:hAnsi="Times New Roman" w:eastAsia="Times New Roman"/>
          <w:kern w:val="2"/>
          <w:sz w:val="24"/>
          <w:vertAlign w:val="subscript"/>
          <w:lang w:val="en-US" w:eastAsia="zh-CN"/>
        </w:rPr>
        <w:t>61</w:t>
      </w:r>
      <w:r>
        <w:rPr>
          <w:rFonts w:ascii="Times New Roman" w:hAnsi="Times New Roman" w:eastAsia="Times New Roman"/>
          <w:kern w:val="2"/>
          <w:sz w:val="24"/>
          <w:lang w:val="en-US" w:eastAsia="zh-CN"/>
        </w:rPr>
        <w:t>Cu</w:t>
      </w:r>
      <w:r>
        <w:rPr>
          <w:rFonts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vertAlign w:val="subscript"/>
          <w:lang w:val="en-US" w:eastAsia="zh-CN"/>
        </w:rPr>
        <w:t>3</w:t>
      </w:r>
      <w:r>
        <w:rPr>
          <w:rFonts w:ascii="Times New Roman" w:hAnsi="Times New Roman" w:eastAsia="Times New Roman"/>
          <w:kern w:val="2"/>
          <w:sz w:val="24"/>
          <w:lang w:val="en-US" w:eastAsia="zh-CN"/>
        </w:rPr>
        <w:t>Al</w:t>
      </w:r>
      <w:r>
        <w:rPr>
          <w:rFonts w:ascii="Times New Roman" w:hAnsi="Times New Roman" w:eastAsia="Times New Roman"/>
          <w:kern w:val="2"/>
          <w:sz w:val="24"/>
          <w:vertAlign w:val="subscript"/>
          <w:lang w:val="en-US" w:eastAsia="zh-CN"/>
        </w:rPr>
        <w:t>1</w:t>
      </w:r>
      <w:r>
        <w:rPr>
          <w:rFonts w:hint="eastAsia"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Ti</w:t>
      </w:r>
      <w:r>
        <w:rPr>
          <w:rFonts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Ag</w:t>
      </w:r>
      <w:r>
        <w:rPr>
          <w:rFonts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vertAlign w:val="subscript"/>
          <w:lang w:val="en-US" w:eastAsia="zh-CN"/>
        </w:rPr>
        <w:t xml:space="preserve"> </w:t>
      </w:r>
      <w:r>
        <w:rPr>
          <w:rFonts w:hint="eastAsia" w:ascii="Times New Roman" w:hAnsi="Times New Roman" w:eastAsia="Times New Roman"/>
          <w:kern w:val="2"/>
          <w:sz w:val="24"/>
          <w:lang w:val="en-US" w:eastAsia="zh-CN"/>
        </w:rPr>
        <w:t>was prepared by arc-melting (Institute of Physics CAS, China) of pure elements with a minimum 99.95% purity in an argon gas protective atmosphere, forming cylindrical samples with a diameter of 5mm and rectangular samples with a width of 16mm. Grade IV Ti was used for comparison substrate and all metals were purchased from Beijing Jiaming Platinum Industry Nonferrous Metals Co., Ltd.</w:t>
      </w:r>
    </w:p>
    <w:p w14:paraId="647E5D92">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The phase composition of the sample was verified using an X-ray diffraction (XRD, D8 Advance, Bruker, Germany) instrument and a transmission electron microscope (TEM, JEM 2100PLUS, JEOL, Japan). Then they were tested using a differential scanning calorimetry (DSC, DSC 404 F3, NETZSCH, Germany) instrument. Chemical compositions of material surfaces of the samples </w:t>
      </w:r>
      <w:r>
        <w:rPr>
          <w:rFonts w:ascii="Times New Roman" w:hAnsi="Times New Roman" w:eastAsia="Times New Roman"/>
          <w:kern w:val="2"/>
          <w:sz w:val="24"/>
          <w:lang w:val="en-US" w:eastAsia="zh-CN"/>
        </w:rPr>
        <w:t>were</w:t>
      </w:r>
      <w:r>
        <w:rPr>
          <w:rFonts w:hint="eastAsia" w:ascii="Times New Roman" w:hAnsi="Times New Roman" w:eastAsia="Times New Roman"/>
          <w:kern w:val="2"/>
          <w:sz w:val="24"/>
          <w:lang w:val="en-US" w:eastAsia="zh-CN"/>
        </w:rPr>
        <w:t xml:space="preserve"> analyzed using scanning electron microscopy (SEM, S-4800, HITACHI, Japan) and energy dispersive X-ray spectroscopy (EDS, S-4800, HITACHI, Japan). The surface microstructure </w:t>
      </w:r>
      <w:r>
        <w:rPr>
          <w:rFonts w:ascii="Times New Roman" w:hAnsi="Times New Roman" w:eastAsia="Times New Roman"/>
          <w:kern w:val="2"/>
          <w:sz w:val="24"/>
          <w:lang w:val="en-US" w:eastAsia="zh-CN"/>
        </w:rPr>
        <w:t>was</w:t>
      </w:r>
      <w:r>
        <w:rPr>
          <w:rFonts w:hint="eastAsia" w:ascii="Times New Roman" w:hAnsi="Times New Roman" w:eastAsia="Times New Roman"/>
          <w:kern w:val="2"/>
          <w:sz w:val="24"/>
          <w:lang w:val="en-US" w:eastAsia="zh-CN"/>
        </w:rPr>
        <w:t xml:space="preserve"> analyzed by X-ray photoelectron spectroscopy (XPS, ESCALAB 250X, ThermoFisher Scientific, USA). Monochromated Al K</w:t>
      </w:r>
      <w:r>
        <w:rPr>
          <w:rFonts w:ascii="Times New Roman" w:hAnsi="Times New Roman" w:eastAsia="Times New Roman" w:cs="Times New Roman"/>
          <w:kern w:val="2"/>
          <w:sz w:val="24"/>
          <w:lang w:val="en-US" w:eastAsia="zh-CN"/>
        </w:rPr>
        <w:t xml:space="preserve">α </w:t>
      </w:r>
      <w:r>
        <w:rPr>
          <w:rFonts w:hint="eastAsia" w:ascii="Times New Roman" w:hAnsi="Times New Roman" w:eastAsia="Times New Roman"/>
          <w:kern w:val="2"/>
          <w:sz w:val="24"/>
          <w:lang w:val="en-US" w:eastAsia="zh-CN"/>
        </w:rPr>
        <w:t>X-ray source of 1486.6 eV was used. The narrow spectra were further deconvoluted with Thermo Advantage software.</w:t>
      </w:r>
    </w:p>
    <w:p w14:paraId="1DC168DF">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Material density was measured by micromeritics (AccuPyc II 1345, USA). </w:t>
      </w:r>
      <w:r>
        <w:rPr>
          <w:rFonts w:ascii="Times New Roman" w:hAnsi="Times New Roman" w:eastAsia="Times New Roman"/>
          <w:kern w:val="2"/>
          <w:sz w:val="24"/>
          <w:lang w:val="en-US" w:eastAsia="zh-CN"/>
        </w:rPr>
        <w:t>Compression test was carried out using</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 xml:space="preserve">a </w:t>
      </w:r>
      <w:r>
        <w:rPr>
          <w:rFonts w:hint="eastAsia" w:ascii="Times New Roman" w:hAnsi="Times New Roman" w:eastAsia="Times New Roman"/>
          <w:kern w:val="2"/>
          <w:sz w:val="24"/>
          <w:lang w:val="en-US" w:eastAsia="zh-CN"/>
        </w:rPr>
        <w:t>u</w:t>
      </w:r>
      <w:r>
        <w:rPr>
          <w:rFonts w:ascii="Times New Roman" w:hAnsi="Times New Roman" w:eastAsia="Times New Roman"/>
          <w:kern w:val="2"/>
          <w:sz w:val="24"/>
          <w:lang w:val="en-US" w:eastAsia="zh-CN"/>
        </w:rPr>
        <w:t xml:space="preserve">niversal </w:t>
      </w:r>
      <w:r>
        <w:rPr>
          <w:rFonts w:hint="eastAsia" w:ascii="Times New Roman" w:hAnsi="Times New Roman" w:eastAsia="Times New Roman"/>
          <w:kern w:val="2"/>
          <w:sz w:val="24"/>
          <w:lang w:val="en-US" w:eastAsia="zh-CN"/>
        </w:rPr>
        <w:t>t</w:t>
      </w:r>
      <w:r>
        <w:rPr>
          <w:rFonts w:ascii="Times New Roman" w:hAnsi="Times New Roman" w:eastAsia="Times New Roman"/>
          <w:kern w:val="2"/>
          <w:sz w:val="24"/>
          <w:lang w:val="en-US" w:eastAsia="zh-CN"/>
        </w:rPr>
        <w:t xml:space="preserve">esting </w:t>
      </w:r>
      <w:r>
        <w:rPr>
          <w:rFonts w:hint="eastAsia" w:ascii="Times New Roman" w:hAnsi="Times New Roman" w:eastAsia="Times New Roman"/>
          <w:kern w:val="2"/>
          <w:sz w:val="24"/>
          <w:lang w:val="en-US" w:eastAsia="zh-CN"/>
        </w:rPr>
        <w:t>m</w:t>
      </w:r>
      <w:r>
        <w:rPr>
          <w:rFonts w:ascii="Times New Roman" w:hAnsi="Times New Roman" w:eastAsia="Times New Roman"/>
          <w:kern w:val="2"/>
          <w:sz w:val="24"/>
          <w:lang w:val="en-US" w:eastAsia="zh-CN"/>
        </w:rPr>
        <w:t>achine</w:t>
      </w:r>
      <w:r>
        <w:rPr>
          <w:rFonts w:hint="eastAsia" w:ascii="Times New Roman" w:hAnsi="Times New Roman" w:eastAsia="Times New Roman"/>
          <w:kern w:val="2"/>
          <w:sz w:val="24"/>
          <w:lang w:val="en-US" w:eastAsia="zh-CN"/>
        </w:rPr>
        <w:t xml:space="preserve"> (Instron 5967, USA)</w:t>
      </w:r>
      <w:r>
        <w:rPr>
          <w:rFonts w:ascii="Times New Roman" w:hAnsi="Times New Roman" w:eastAsia="Times New Roman"/>
          <w:kern w:val="2"/>
          <w:sz w:val="24"/>
          <w:lang w:val="en-US" w:eastAsia="zh-CN"/>
        </w:rPr>
        <w:t xml:space="preserve"> with a strain rate of </w:t>
      </w:r>
      <w:r>
        <w:rPr>
          <w:rFonts w:hint="eastAsia" w:ascii="Times New Roman" w:hAnsi="Times New Roman" w:eastAsia="Times New Roman"/>
          <w:kern w:val="2"/>
          <w:sz w:val="24"/>
          <w:lang w:val="en-US" w:eastAsia="zh-CN"/>
        </w:rPr>
        <w:t>1</w:t>
      </w:r>
      <w:r>
        <w:rPr>
          <w:rFonts w:ascii="Times New Roman" w:hAnsi="Times New Roman" w:eastAsia="Times New Roman" w:cs="Times New Roman"/>
          <w:kern w:val="2"/>
          <w:sz w:val="24"/>
          <w:lang w:val="en-US" w:eastAsia="zh-CN"/>
        </w:rPr>
        <w:t>×</w:t>
      </w:r>
      <w:r>
        <w:rPr>
          <w:rFonts w:ascii="Times New Roman" w:hAnsi="Times New Roman" w:eastAsia="Times New Roman"/>
          <w:kern w:val="2"/>
          <w:sz w:val="24"/>
          <w:lang w:val="en-US" w:eastAsia="zh-CN"/>
        </w:rPr>
        <w:t>10</w:t>
      </w:r>
      <w:r>
        <w:rPr>
          <w:rFonts w:hint="eastAsia" w:ascii="Times New Roman" w:hAnsi="Times New Roman" w:eastAsia="Times New Roman"/>
          <w:kern w:val="2"/>
          <w:sz w:val="24"/>
          <w:vertAlign w:val="superscript"/>
          <w:lang w:val="en-US" w:eastAsia="zh-CN"/>
        </w:rPr>
        <w:t>-3</w:t>
      </w:r>
      <w:r>
        <w:rPr>
          <w:rFonts w:ascii="Times New Roman" w:hAnsi="Times New Roman" w:eastAsia="Times New Roman"/>
          <w:kern w:val="2"/>
          <w:sz w:val="24"/>
          <w:lang w:val="en-US" w:eastAsia="zh-CN"/>
        </w:rPr>
        <w:t xml:space="preserve"> s</w:t>
      </w:r>
      <w:r>
        <w:rPr>
          <w:rFonts w:hint="eastAsia" w:ascii="Times New Roman" w:hAnsi="Times New Roman" w:eastAsia="Times New Roman"/>
          <w:kern w:val="2"/>
          <w:sz w:val="24"/>
          <w:vertAlign w:val="superscript"/>
          <w:lang w:val="en-US" w:eastAsia="zh-CN"/>
        </w:rPr>
        <w:t>-</w:t>
      </w:r>
      <w:r>
        <w:rPr>
          <w:rFonts w:ascii="Times New Roman" w:hAnsi="Times New Roman" w:eastAsia="Times New Roman"/>
          <w:kern w:val="2"/>
          <w:sz w:val="24"/>
          <w:vertAlign w:val="superscript"/>
          <w:lang w:val="en-US" w:eastAsia="zh-CN"/>
        </w:rPr>
        <w:t>1</w:t>
      </w:r>
      <w:r>
        <w:rPr>
          <w:rFonts w:ascii="Times New Roman" w:hAnsi="Times New Roman" w:eastAsia="Times New Roman"/>
          <w:kern w:val="2"/>
          <w:sz w:val="24"/>
          <w:lang w:val="en-US" w:eastAsia="zh-CN"/>
        </w:rPr>
        <w:t xml:space="preserve"> at room</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temperature.</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 xml:space="preserve">Ti and Zr-BMG samples </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Ø5</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mm</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were cut and tested for mechanical properties using nanoindentation with a triangular diamond indenter</w:t>
      </w:r>
      <w:r>
        <w:rPr>
          <w:rFonts w:hint="eastAsia" w:ascii="Times New Roman" w:hAnsi="Times New Roman" w:eastAsia="Times New Roman"/>
          <w:kern w:val="2"/>
          <w:sz w:val="24"/>
          <w:lang w:val="en-US" w:eastAsia="zh-CN"/>
        </w:rPr>
        <w:t xml:space="preserve"> (TI 950, Hysitron, USA). </w:t>
      </w:r>
      <w:r>
        <w:rPr>
          <w:rFonts w:ascii="Times New Roman" w:hAnsi="Times New Roman" w:eastAsia="Times New Roman"/>
          <w:kern w:val="2"/>
          <w:sz w:val="24"/>
          <w:lang w:val="en-US" w:eastAsia="zh-CN"/>
        </w:rPr>
        <w:t>Ti and Zr-BMG samples were uniformly polished to a 5000</w:t>
      </w:r>
      <w:r>
        <w:rPr>
          <w:rFonts w:hint="eastAsia" w:ascii="Times New Roman" w:hAnsi="Times New Roman" w:eastAsia="Times New Roman"/>
          <w:kern w:val="2"/>
          <w:sz w:val="24"/>
          <w:lang w:val="en-US" w:eastAsia="zh-CN"/>
        </w:rPr>
        <w:t xml:space="preserve"> grit</w:t>
      </w:r>
      <w:r>
        <w:rPr>
          <w:rFonts w:ascii="Times New Roman" w:hAnsi="Times New Roman" w:eastAsia="Times New Roman"/>
          <w:kern w:val="2"/>
          <w:sz w:val="24"/>
          <w:lang w:val="en-US" w:eastAsia="zh-CN"/>
        </w:rPr>
        <w:t xml:space="preserve"> and their wettability was characterized using static contact angle measurements with a surface contact angle meter </w:t>
      </w:r>
      <w:r>
        <w:rPr>
          <w:rFonts w:hint="eastAsia" w:ascii="Times New Roman" w:hAnsi="Times New Roman" w:eastAsia="Times New Roman"/>
          <w:kern w:val="2"/>
          <w:sz w:val="24"/>
          <w:lang w:val="en-US" w:eastAsia="zh-CN"/>
        </w:rPr>
        <w:t>(DSA 100E, KRÜSS, Germany)</w:t>
      </w:r>
      <w:r>
        <w:rPr>
          <w:rFonts w:ascii="Times New Roman" w:hAnsi="Times New Roman" w:eastAsia="Times New Roman"/>
          <w:kern w:val="2"/>
          <w:sz w:val="24"/>
          <w:lang w:val="en-US" w:eastAsia="zh-CN"/>
        </w:rPr>
        <w:t>. Tests were conducted at 20</w:t>
      </w:r>
      <w:r>
        <w:rPr>
          <w:rFonts w:hint="default" w:ascii="Times New Roman" w:hAnsi="Times New Roman" w:eastAsia="Times New Roman"/>
          <w:kern w:val="2"/>
          <w:sz w:val="24"/>
          <w:lang w:val="en-US" w:eastAsia="zh-CN"/>
        </w:rPr>
        <w:t xml:space="preserve"> </w:t>
      </w:r>
      <w:r>
        <w:rPr>
          <w:rFonts w:hint="default" w:ascii="Times New Roman" w:hAnsi="Times New Roman" w:eastAsia="Times New Roman" w:cs="Times New Roman"/>
          <w:kern w:val="2"/>
          <w:sz w:val="24"/>
          <w:szCs w:val="24"/>
          <w:lang w:val="en-US" w:eastAsia="zh-CN"/>
        </w:rPr>
        <w:t>℃</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 xml:space="preserve">using </w:t>
      </w:r>
      <w:r>
        <w:rPr>
          <w:rFonts w:hint="eastAsia" w:ascii="Times New Roman" w:hAnsi="Times New Roman" w:eastAsia="Times New Roman"/>
          <w:kern w:val="2"/>
          <w:sz w:val="24"/>
          <w:lang w:val="en-US" w:eastAsia="zh-CN"/>
        </w:rPr>
        <w:t xml:space="preserve">stimulated body fluid (SBF, Beyotime, China) </w:t>
      </w:r>
      <w:r>
        <w:rPr>
          <w:rFonts w:ascii="Times New Roman" w:hAnsi="Times New Roman" w:eastAsia="Times New Roman"/>
          <w:kern w:val="2"/>
          <w:sz w:val="24"/>
          <w:lang w:val="en-US" w:eastAsia="zh-CN"/>
        </w:rPr>
        <w:t>as the reference fluid.</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For the above experiments, three parallel samples were set for each group.</w:t>
      </w:r>
    </w:p>
    <w:p w14:paraId="4C7A3053">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The bio-corrosion behaviors of the Zr-BMG and Ti were analyzed in an electrochemical workstation (Versa STAT 3F, </w:t>
      </w:r>
      <w:r>
        <w:rPr>
          <w:rFonts w:hint="eastAsia" w:ascii="Times New Roman" w:hAnsi="Times New Roman" w:eastAsia="Times New Roman" w:cs="Times New Roman"/>
          <w:kern w:val="2"/>
          <w:sz w:val="24"/>
          <w:szCs w:val="32"/>
          <w:lang w:val="en-US" w:eastAsia="zh-CN"/>
        </w:rPr>
        <w:t>Princeton, USA</w:t>
      </w:r>
      <w:r>
        <w:rPr>
          <w:rFonts w:hint="eastAsia" w:ascii="Times New Roman" w:hAnsi="Times New Roman" w:eastAsia="Times New Roman"/>
          <w:kern w:val="2"/>
          <w:sz w:val="24"/>
          <w:lang w:val="en-US" w:eastAsia="zh-CN"/>
        </w:rPr>
        <w:t xml:space="preserve">) in the SBF at </w:t>
      </w:r>
      <w:r>
        <w:rPr>
          <w:rFonts w:ascii="Times New Roman" w:hAnsi="Times New Roman" w:eastAsia="Times New Roman"/>
          <w:kern w:val="2"/>
          <w:sz w:val="24"/>
          <w:lang w:val="en-US" w:eastAsia="zh-CN"/>
        </w:rPr>
        <w:t>37</w:t>
      </w:r>
      <w:r>
        <w:rPr>
          <w:rFonts w:hint="eastAsia" w:ascii="Times New Roman" w:hAnsi="Times New Roman" w:eastAsia="Times New Roman"/>
          <w:kern w:val="2"/>
          <w:sz w:val="24"/>
          <w:lang w:val="en-US" w:eastAsia="zh-CN"/>
        </w:rPr>
        <w:t xml:space="preserve"> </w:t>
      </w:r>
      <w:r>
        <w:rPr>
          <w:rFonts w:hint="default" w:ascii="Times New Roman" w:hAnsi="Times New Roman" w:eastAsia="Times New Roman" w:cs="Times New Roman"/>
          <w:kern w:val="2"/>
          <w:sz w:val="24"/>
          <w:szCs w:val="24"/>
          <w:lang w:val="en-US" w:eastAsia="zh-CN"/>
        </w:rPr>
        <w:t>℃</w:t>
      </w:r>
      <w:r>
        <w:rPr>
          <w:rFonts w:hint="eastAsia" w:ascii="Times New Roman" w:hAnsi="Times New Roman" w:eastAsia="Times New Roman"/>
          <w:kern w:val="2"/>
          <w:sz w:val="24"/>
          <w:lang w:val="en-US" w:eastAsia="zh-CN"/>
        </w:rPr>
        <w:t xml:space="preserve">. After cleaning and air drying, samples were then immersed in </w:t>
      </w:r>
      <w:r>
        <w:rPr>
          <w:rFonts w:ascii="Times New Roman" w:hAnsi="Times New Roman" w:eastAsia="Times New Roman"/>
          <w:kern w:val="2"/>
          <w:sz w:val="24"/>
          <w:lang w:val="en-US" w:eastAsia="zh-CN"/>
        </w:rPr>
        <w:t>200</w:t>
      </w:r>
      <w:r>
        <w:rPr>
          <w:rFonts w:hint="eastAsia" w:ascii="Times New Roman" w:hAnsi="Times New Roman" w:eastAsia="Times New Roman"/>
          <w:kern w:val="2"/>
          <w:sz w:val="24"/>
          <w:lang w:val="en-US" w:eastAsia="zh-CN"/>
        </w:rPr>
        <w:t xml:space="preserve"> </w:t>
      </w:r>
      <w:r>
        <w:rPr>
          <w:rFonts w:hint="default" w:ascii="Times New Roman" w:hAnsi="Times New Roman" w:eastAsia="Times New Roman" w:cs="Times New Roman"/>
          <w:kern w:val="2"/>
          <w:sz w:val="24"/>
          <w:lang w:val="en-US" w:eastAsia="zh-CN"/>
        </w:rPr>
        <w:t>μ</w:t>
      </w:r>
      <w:r>
        <w:rPr>
          <w:rFonts w:hint="eastAsia" w:ascii="Times New Roman" w:hAnsi="Times New Roman" w:eastAsia="Times New Roman"/>
          <w:kern w:val="2"/>
          <w:sz w:val="24"/>
          <w:lang w:val="en-US" w:eastAsia="zh-CN"/>
        </w:rPr>
        <w:t>L</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 xml:space="preserve">SBF for varying durations: 1 day, 1 week, 2 weeks, 4 weeks, 8 weeks, and 12 weeks. A blank SBF control was also maintained. The ion concentrations in the SBF were analyzed using inductively coupled plasma mass spectrometry (ICP-MS, </w:t>
      </w:r>
      <w:r>
        <w:rPr>
          <w:rFonts w:hint="eastAsia" w:ascii="Times New Roman" w:hAnsi="Times New Roman" w:eastAsia="Times New Roman" w:cs="Times New Roman"/>
          <w:kern w:val="2"/>
          <w:sz w:val="24"/>
          <w:szCs w:val="32"/>
          <w:lang w:val="en-US" w:eastAsia="zh-CN"/>
        </w:rPr>
        <w:t>PerkinElmer</w:t>
      </w:r>
      <w:r>
        <w:rPr>
          <w:rFonts w:hint="eastAsia" w:ascii="Times New Roman" w:hAnsi="Times New Roman" w:eastAsia="Times New Roman"/>
          <w:kern w:val="2"/>
          <w:sz w:val="24"/>
          <w:lang w:val="en-US" w:eastAsia="zh-CN"/>
        </w:rPr>
        <w:t xml:space="preserve">, USA). </w:t>
      </w:r>
      <w:r>
        <w:rPr>
          <w:rFonts w:ascii="Times New Roman" w:hAnsi="Times New Roman" w:eastAsia="Times New Roman"/>
          <w:kern w:val="2"/>
          <w:sz w:val="24"/>
          <w:lang w:val="en-US" w:eastAsia="zh-CN"/>
        </w:rPr>
        <w:t>For the above experiments, three parallel samples were set for each group.</w:t>
      </w:r>
    </w:p>
    <w:p w14:paraId="28555025">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textAlignment w:val="auto"/>
        <w:rPr>
          <w:rFonts w:hint="eastAsia" w:ascii="Times New Roman" w:hAnsi="Times New Roman" w:eastAsia="Times New Roman"/>
          <w:b/>
          <w:bCs w:val="0"/>
          <w:sz w:val="24"/>
          <w:lang w:val="en-US" w:eastAsia="zh-CN"/>
        </w:rPr>
      </w:pPr>
      <w:r>
        <w:rPr>
          <w:rFonts w:hint="eastAsia" w:eastAsia="Times New Roman"/>
          <w:b/>
          <w:bCs w:val="0"/>
          <w:sz w:val="24"/>
          <w:lang w:val="en-US" w:eastAsia="zh-CN"/>
        </w:rPr>
        <w:t>2</w:t>
      </w:r>
      <w:r>
        <w:rPr>
          <w:rFonts w:hint="eastAsia" w:ascii="Times New Roman" w:hAnsi="Times New Roman" w:eastAsia="Times New Roman"/>
          <w:b/>
          <w:bCs w:val="0"/>
          <w:sz w:val="24"/>
          <w:lang w:val="en-US" w:eastAsia="zh-CN"/>
        </w:rPr>
        <w:t>.2 Biocompatibility measurements</w:t>
      </w:r>
    </w:p>
    <w:p w14:paraId="4AB3A577">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i/>
          <w:iCs/>
          <w:kern w:val="2"/>
          <w:sz w:val="24"/>
          <w:lang w:val="en-US" w:eastAsia="zh-CN"/>
        </w:rPr>
      </w:pPr>
      <w:r>
        <w:rPr>
          <w:rFonts w:hint="eastAsia" w:ascii="Times New Roman" w:hAnsi="Times New Roman" w:eastAsia="Times New Roman"/>
          <w:kern w:val="2"/>
          <w:sz w:val="24"/>
          <w:lang w:val="en-US" w:eastAsia="zh-CN"/>
        </w:rPr>
        <w:t>Approved by the Medical Ethical Commission of Peking University School and Hospital of Stomatology (PKUSSIRB-202169161), human jawbone marrow mesenchymal stem cells (hJBMMSCs) were extracted from non-smoking patients aged 18-45 undergoing orthognathic surgery and cultured as described in our previous research</w:t>
      </w:r>
      <w:r>
        <w:rPr>
          <w:rFonts w:hint="eastAsia" w:ascii="Times New Roman" w:hAnsi="Times New Roman" w:eastAsia="Times New Roman"/>
          <w:color w:val="080000"/>
          <w:sz w:val="24"/>
          <w:szCs w:val="24"/>
          <w:vertAlign w:val="superscript"/>
        </w:rPr>
        <w:t>[45]</w:t>
      </w:r>
      <w:r>
        <w:rPr>
          <w:rFonts w:hint="eastAsia" w:ascii="Times New Roman" w:hAnsi="Times New Roman" w:eastAsia="Times New Roman"/>
          <w:kern w:val="2"/>
          <w:sz w:val="24"/>
          <w:lang w:val="en-US" w:eastAsia="zh-CN"/>
        </w:rPr>
        <w:t>.</w:t>
      </w:r>
      <w:r>
        <w:rPr>
          <w:rFonts w:hint="eastAsia" w:ascii="Times New Roman" w:hAnsi="Times New Roman" w:eastAsia="Times New Roman"/>
          <w:i/>
          <w:iCs/>
          <w:kern w:val="2"/>
          <w:sz w:val="24"/>
          <w:lang w:val="en-US" w:eastAsia="zh-CN"/>
        </w:rPr>
        <w:t xml:space="preserve"> </w:t>
      </w:r>
    </w:p>
    <w:p w14:paraId="660616A8">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The cell counting kit-8 (CCK-8, Dojindo Laboratories, Japan) were used to assess cell viability according to manufacturer’s instruction. Optical density (OD) values were then measured at 450 nm using an Infinite F50 microplate reader (Elx808, BioTek, USA). The cytotoxicity of Zr-BMG and Ti samples on hJBMMSCs was assessed using a LIVE/DEAD cell kit (KeyGen Biotech, China) following manufacturer</w:t>
      </w:r>
      <w:r>
        <w:rPr>
          <w:rFonts w:ascii="Times New Roman" w:hAnsi="Times New Roman" w:eastAsia="Times New Roman"/>
          <w:kern w:val="2"/>
          <w:sz w:val="24"/>
          <w:lang w:val="en-US" w:eastAsia="zh-CN"/>
        </w:rPr>
        <w:t>’</w:t>
      </w:r>
      <w:r>
        <w:rPr>
          <w:rFonts w:hint="eastAsia" w:ascii="Times New Roman" w:hAnsi="Times New Roman" w:eastAsia="Times New Roman"/>
          <w:kern w:val="2"/>
          <w:sz w:val="24"/>
          <w:lang w:val="en-US" w:eastAsia="zh-CN"/>
        </w:rPr>
        <w:t>s instruction. Samples were photographed under a fluorescence microscope (TCS-SP8 STED 3X, Leica, Germany).</w:t>
      </w:r>
    </w:p>
    <w:p w14:paraId="57F615E0">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hJBMMSCs were cultured on material samples in 96-well plates for 1, 4, and 24 h. Adherent cells were fixed with 4% paraformaldehyde (PFA, Solarbio, China) for 15 min at room temperature and then stained with DAPI (Sigma, USA). Immunofluorescent images were acquired using a laser scanning confocal microscope (Eclipse Ti2, Nikon, Japan). Cell counts were conducted in 5 randomly selected fields and analyzed using Image J software (National Institutes of Health, USA).</w:t>
      </w:r>
    </w:p>
    <w:p w14:paraId="2F4AA2EB">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After incubation on the surface of material samples for 24 h, cells were fixed in 4% PFA. Subsequently, they were exposed to a solution of 0.1% Triton-X100 (Sigma) for 10 min at room temperature. Staining was performed using TRITC Phalloidin (Yeasen, China) to visualize F-actin and DAPI (Sigma) for nuclear staining. Samples were examined under a fluorescence microscope (TCS-SP8 STED 3X, Leica, Germany) using a Z-axis layer. Three random fields per material were imaged across three replicates.</w:t>
      </w:r>
    </w:p>
    <w:p w14:paraId="6BCCF344">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After incubation on the surface of material samples for 24 h, cells were fixed in 2.5% glutaraldehyde solution (Solarbio) overnight. After graded dehydration and drying, the specimens were gold sputter-coated for 35 seconds before examination under a scanning electron microscope (SEM, JSM-7900F, JEOL, Japan). </w:t>
      </w:r>
    </w:p>
    <w:p w14:paraId="5B998CD0">
      <w:pPr>
        <w:keepNext w:val="0"/>
        <w:keepLines w:val="0"/>
        <w:pageBreakBefore w:val="0"/>
        <w:widowControl/>
        <w:kinsoku/>
        <w:wordWrap/>
        <w:overflowPunct/>
        <w:topLinePunct w:val="0"/>
        <w:autoSpaceDE/>
        <w:autoSpaceDN/>
        <w:bidi w:val="0"/>
        <w:adjustRightInd/>
        <w:snapToGrid/>
        <w:spacing w:line="480" w:lineRule="auto"/>
        <w:textAlignment w:val="auto"/>
        <w:rPr>
          <w:rFonts w:ascii="Times New Roman" w:hAnsi="Times New Roman" w:eastAsia="Times New Roman"/>
          <w:b/>
          <w:bCs/>
          <w:sz w:val="24"/>
          <w:szCs w:val="24"/>
        </w:rPr>
      </w:pPr>
      <w:r>
        <w:rPr>
          <w:rFonts w:hint="eastAsia" w:eastAsia="Times New Roman"/>
          <w:b/>
          <w:bCs w:val="0"/>
          <w:sz w:val="24"/>
          <w:szCs w:val="24"/>
          <w:lang w:val="en-US" w:eastAsia="zh-CN"/>
        </w:rPr>
        <w:t>2</w:t>
      </w:r>
      <w:r>
        <w:rPr>
          <w:rFonts w:hint="eastAsia" w:ascii="Times New Roman" w:hAnsi="Times New Roman" w:eastAsia="Times New Roman"/>
          <w:b/>
          <w:bCs w:val="0"/>
          <w:sz w:val="24"/>
          <w:szCs w:val="24"/>
          <w:lang w:val="en-US" w:eastAsia="zh-CN"/>
        </w:rPr>
        <w:t xml:space="preserve">.3 </w:t>
      </w:r>
      <w:r>
        <w:rPr>
          <w:rFonts w:ascii="Times New Roman" w:hAnsi="Times New Roman" w:eastAsia="Times New Roman"/>
          <w:b/>
          <w:bCs/>
          <w:sz w:val="24"/>
          <w:szCs w:val="24"/>
        </w:rPr>
        <w:t xml:space="preserve">Antibacterial </w:t>
      </w:r>
      <w:r>
        <w:rPr>
          <w:rFonts w:hint="eastAsia" w:ascii="Times New Roman" w:hAnsi="Times New Roman" w:eastAsia="Times New Roman"/>
          <w:b/>
          <w:bCs/>
          <w:sz w:val="24"/>
          <w:szCs w:val="24"/>
          <w:lang w:val="en-US" w:eastAsia="zh-CN"/>
        </w:rPr>
        <w:t>e</w:t>
      </w:r>
      <w:r>
        <w:rPr>
          <w:rFonts w:ascii="Times New Roman" w:hAnsi="Times New Roman" w:eastAsia="Times New Roman"/>
          <w:b/>
          <w:bCs/>
          <w:sz w:val="24"/>
          <w:szCs w:val="24"/>
        </w:rPr>
        <w:t>valuation</w:t>
      </w:r>
    </w:p>
    <w:p w14:paraId="6781DD35">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ascii="Times New Roman" w:hAnsi="Times New Roman" w:eastAsia="Times New Roman"/>
          <w:kern w:val="2"/>
          <w:sz w:val="24"/>
          <w:lang w:val="en-US" w:eastAsia="zh-CN"/>
        </w:rPr>
        <w:t xml:space="preserve">In a sterile environment, </w:t>
      </w:r>
      <w:r>
        <w:rPr>
          <w:rFonts w:ascii="Times New Roman" w:hAnsi="Times New Roman" w:eastAsia="Times New Roman"/>
          <w:i/>
          <w:iCs/>
          <w:kern w:val="2"/>
          <w:sz w:val="24"/>
          <w:lang w:val="en-US" w:eastAsia="zh-CN"/>
        </w:rPr>
        <w:t>Streptococcus mutans</w:t>
      </w:r>
      <w:r>
        <w:rPr>
          <w:rFonts w:ascii="Times New Roman" w:hAnsi="Times New Roman" w:eastAsia="Times New Roman"/>
          <w:kern w:val="2"/>
          <w:sz w:val="24"/>
          <w:lang w:val="en-US" w:eastAsia="zh-CN"/>
        </w:rPr>
        <w:t xml:space="preserve"> (</w:t>
      </w:r>
      <w:r>
        <w:rPr>
          <w:rFonts w:ascii="Times New Roman" w:hAnsi="Times New Roman" w:eastAsia="Times New Roman"/>
          <w:i/>
          <w:kern w:val="2"/>
          <w:sz w:val="24"/>
          <w:lang w:val="en-US" w:eastAsia="zh-CN"/>
        </w:rPr>
        <w:t>S.</w:t>
      </w:r>
      <w:r>
        <w:rPr>
          <w:rFonts w:hint="eastAsia" w:ascii="Times New Roman" w:hAnsi="Times New Roman" w:eastAsia="Times New Roman"/>
          <w:i/>
          <w:kern w:val="2"/>
          <w:sz w:val="24"/>
          <w:lang w:val="en-US" w:eastAsia="zh-CN"/>
        </w:rPr>
        <w:t xml:space="preserve"> </w:t>
      </w:r>
      <w:r>
        <w:rPr>
          <w:rFonts w:ascii="Times New Roman" w:hAnsi="Times New Roman" w:eastAsia="Times New Roman"/>
          <w:i/>
          <w:kern w:val="2"/>
          <w:sz w:val="24"/>
          <w:lang w:val="en-US" w:eastAsia="zh-CN"/>
        </w:rPr>
        <w:t>mutans</w:t>
      </w:r>
      <w:r>
        <w:rPr>
          <w:rFonts w:ascii="Times New Roman" w:hAnsi="Times New Roman" w:eastAsia="Times New Roman"/>
          <w:kern w:val="2"/>
          <w:sz w:val="24"/>
          <w:lang w:val="en-US" w:eastAsia="zh-CN"/>
        </w:rPr>
        <w:t xml:space="preserve">, UA159) </w:t>
      </w:r>
      <w:r>
        <w:rPr>
          <w:rFonts w:hint="eastAsia" w:ascii="Times New Roman" w:hAnsi="Times New Roman" w:eastAsia="Times New Roman"/>
          <w:kern w:val="2"/>
          <w:sz w:val="24"/>
          <w:lang w:val="en-US" w:eastAsia="zh-CN"/>
        </w:rPr>
        <w:t>was</w:t>
      </w:r>
      <w:r>
        <w:rPr>
          <w:rFonts w:ascii="Times New Roman" w:hAnsi="Times New Roman" w:eastAsia="Times New Roman"/>
          <w:kern w:val="2"/>
          <w:sz w:val="24"/>
          <w:lang w:val="en-US" w:eastAsia="zh-CN"/>
        </w:rPr>
        <w:t xml:space="preserve"> streak-plated on</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Mannitol Salt Agar</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MSA</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solid medium and cultured at 37</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 with 5% CO</w:t>
      </w:r>
      <w:r>
        <w:rPr>
          <w:rFonts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 xml:space="preserve"> for 48 h, while</w:t>
      </w:r>
      <w:r>
        <w:rPr>
          <w:rFonts w:ascii="Times New Roman" w:hAnsi="Times New Roman" w:eastAsia="Times New Roman"/>
          <w:i/>
          <w:iCs/>
          <w:kern w:val="2"/>
          <w:sz w:val="24"/>
          <w:lang w:val="en-US" w:eastAsia="zh-CN"/>
        </w:rPr>
        <w:t xml:space="preserve"> Porphyromonas gingivalis</w:t>
      </w:r>
      <w:r>
        <w:rPr>
          <w:rFonts w:ascii="Times New Roman" w:hAnsi="Times New Roman" w:eastAsia="Times New Roman"/>
          <w:kern w:val="2"/>
          <w:sz w:val="24"/>
          <w:lang w:val="en-US" w:eastAsia="zh-CN"/>
        </w:rPr>
        <w:t xml:space="preserve"> (</w:t>
      </w:r>
      <w:r>
        <w:rPr>
          <w:rFonts w:ascii="Times New Roman" w:hAnsi="Times New Roman" w:eastAsia="Times New Roman"/>
          <w:i/>
          <w:kern w:val="2"/>
          <w:sz w:val="24"/>
          <w:lang w:val="en-US" w:eastAsia="zh-CN"/>
        </w:rPr>
        <w:t>P. gingivalis</w:t>
      </w:r>
      <w:r>
        <w:rPr>
          <w:rFonts w:ascii="Times New Roman" w:hAnsi="Times New Roman" w:eastAsia="Times New Roman"/>
          <w:kern w:val="2"/>
          <w:sz w:val="24"/>
          <w:lang w:val="en-US" w:eastAsia="zh-CN"/>
        </w:rPr>
        <w:t>, ATCC 33</w:t>
      </w:r>
      <w:r>
        <w:rPr>
          <w:rFonts w:hint="eastAsia" w:ascii="Times New Roman" w:hAnsi="Times New Roman" w:eastAsia="Times New Roman"/>
          <w:kern w:val="2"/>
          <w:sz w:val="24"/>
          <w:lang w:val="en-US" w:eastAsia="zh-CN"/>
        </w:rPr>
        <w:t>2</w:t>
      </w:r>
      <w:r>
        <w:rPr>
          <w:rFonts w:ascii="Times New Roman" w:hAnsi="Times New Roman" w:eastAsia="Times New Roman"/>
          <w:kern w:val="2"/>
          <w:sz w:val="24"/>
          <w:lang w:val="en-US" w:eastAsia="zh-CN"/>
        </w:rPr>
        <w:t xml:space="preserve">77) </w:t>
      </w:r>
      <w:r>
        <w:rPr>
          <w:rFonts w:hint="eastAsia" w:ascii="Times New Roman" w:hAnsi="Times New Roman" w:eastAsia="Times New Roman"/>
          <w:kern w:val="2"/>
          <w:sz w:val="24"/>
          <w:lang w:val="en-US" w:eastAsia="zh-CN"/>
        </w:rPr>
        <w:t>was</w:t>
      </w:r>
      <w:r>
        <w:rPr>
          <w:rFonts w:ascii="Times New Roman" w:hAnsi="Times New Roman" w:eastAsia="Times New Roman"/>
          <w:kern w:val="2"/>
          <w:sz w:val="24"/>
          <w:lang w:val="en-US" w:eastAsia="zh-CN"/>
        </w:rPr>
        <w:t xml:space="preserve"> streak-plated on Tryptic Soy Agar</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TSA</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solid medium and incubated in an anaerobic environment (80% N</w:t>
      </w:r>
      <w:r>
        <w:rPr>
          <w:rFonts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 10% CO</w:t>
      </w:r>
      <w:r>
        <w:rPr>
          <w:rFonts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 10% H</w:t>
      </w:r>
      <w:r>
        <w:rPr>
          <w:rFonts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 at 37</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 for the same duration. 10</w:t>
      </w:r>
      <w:r>
        <w:rPr>
          <w:rFonts w:ascii="Times New Roman" w:hAnsi="Times New Roman" w:eastAsia="Times New Roman"/>
          <w:kern w:val="2"/>
          <w:sz w:val="24"/>
          <w:vertAlign w:val="superscript"/>
          <w:lang w:val="en-US" w:eastAsia="zh-CN"/>
        </w:rPr>
        <w:t>7</w:t>
      </w:r>
      <w:r>
        <w:rPr>
          <w:rFonts w:ascii="Times New Roman" w:hAnsi="Times New Roman" w:eastAsia="Times New Roman"/>
          <w:kern w:val="2"/>
          <w:sz w:val="24"/>
          <w:lang w:val="en-US" w:eastAsia="zh-CN"/>
        </w:rPr>
        <w:t xml:space="preserve"> CFU/ml </w:t>
      </w:r>
      <w:r>
        <w:rPr>
          <w:rFonts w:hint="eastAsia" w:ascii="Times New Roman" w:hAnsi="Times New Roman" w:eastAsia="Times New Roman"/>
          <w:kern w:val="2"/>
          <w:sz w:val="24"/>
          <w:lang w:val="en-US" w:eastAsia="zh-CN"/>
        </w:rPr>
        <w:t>bacterial</w:t>
      </w:r>
      <w:r>
        <w:rPr>
          <w:rFonts w:ascii="Times New Roman" w:hAnsi="Times New Roman" w:eastAsia="Times New Roman"/>
          <w:kern w:val="2"/>
          <w:sz w:val="24"/>
          <w:lang w:val="en-US" w:eastAsia="zh-CN"/>
        </w:rPr>
        <w:t xml:space="preserve"> suspensions were used for following experiments. </w:t>
      </w:r>
    </w:p>
    <w:p w14:paraId="065AAD4D">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After sterilization, the materials were placed in a 96-well plate and exposed to </w:t>
      </w:r>
      <w:r>
        <w:rPr>
          <w:rFonts w:hint="eastAsia" w:ascii="Times New Roman" w:hAnsi="Times New Roman" w:eastAsia="Times New Roman"/>
          <w:i/>
          <w:iCs/>
          <w:kern w:val="2"/>
          <w:sz w:val="24"/>
          <w:lang w:val="en-US" w:eastAsia="zh-CN"/>
        </w:rPr>
        <w:t>S. mutans</w:t>
      </w:r>
      <w:r>
        <w:rPr>
          <w:rFonts w:hint="eastAsia" w:ascii="Times New Roman" w:hAnsi="Times New Roman" w:eastAsia="Times New Roman"/>
          <w:kern w:val="2"/>
          <w:sz w:val="24"/>
          <w:lang w:val="en-US" w:eastAsia="zh-CN"/>
        </w:rPr>
        <w:t xml:space="preserve"> and </w:t>
      </w:r>
      <w:r>
        <w:rPr>
          <w:rFonts w:hint="eastAsia" w:ascii="Times New Roman" w:hAnsi="Times New Roman" w:eastAsia="Times New Roman"/>
          <w:i/>
          <w:iCs/>
          <w:kern w:val="2"/>
          <w:sz w:val="24"/>
          <w:lang w:val="en-US" w:eastAsia="zh-CN"/>
        </w:rPr>
        <w:t>P. gingivalis</w:t>
      </w:r>
      <w:r>
        <w:rPr>
          <w:rFonts w:hint="eastAsia" w:ascii="Times New Roman" w:hAnsi="Times New Roman" w:eastAsia="Times New Roman"/>
          <w:kern w:val="2"/>
          <w:sz w:val="24"/>
          <w:lang w:val="en-US" w:eastAsia="zh-CN"/>
        </w:rPr>
        <w:t xml:space="preserve"> suspensions for 24 h. Dual staining with SYTO 9 and Propidium iodide (15 min, dark) allowed examination under a laser confocal microscope (TCS-SP8 STED 3X) to differentiate live and dead bacteria using 488 nm and 560 nm excitation wavelengths.</w:t>
      </w:r>
    </w:p>
    <w:p w14:paraId="0A6553A1">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Sterilized materials were placed in a 96-well plate and inoculated with 100 µL bacterial suspensions of </w:t>
      </w:r>
      <w:r>
        <w:rPr>
          <w:rFonts w:hint="eastAsia" w:ascii="Times New Roman" w:hAnsi="Times New Roman" w:eastAsia="Times New Roman"/>
          <w:i/>
          <w:iCs/>
          <w:kern w:val="2"/>
          <w:sz w:val="24"/>
          <w:lang w:val="en-US" w:eastAsia="zh-CN"/>
        </w:rPr>
        <w:t>S.mutans</w:t>
      </w:r>
      <w:r>
        <w:rPr>
          <w:rFonts w:hint="eastAsia" w:ascii="Times New Roman" w:hAnsi="Times New Roman" w:eastAsia="Times New Roman"/>
          <w:kern w:val="2"/>
          <w:sz w:val="24"/>
          <w:lang w:val="en-US" w:eastAsia="zh-CN"/>
        </w:rPr>
        <w:t xml:space="preserve"> and </w:t>
      </w:r>
      <w:r>
        <w:rPr>
          <w:rFonts w:hint="eastAsia" w:ascii="Times New Roman" w:hAnsi="Times New Roman" w:eastAsia="Times New Roman"/>
          <w:i/>
          <w:iCs/>
          <w:kern w:val="2"/>
          <w:sz w:val="24"/>
          <w:lang w:val="en-US" w:eastAsia="zh-CN"/>
        </w:rPr>
        <w:t>P.gingivalis</w:t>
      </w:r>
      <w:r>
        <w:rPr>
          <w:rFonts w:hint="eastAsia" w:ascii="Times New Roman" w:hAnsi="Times New Roman" w:eastAsia="Times New Roman"/>
          <w:kern w:val="2"/>
          <w:sz w:val="24"/>
          <w:lang w:val="en-US" w:eastAsia="zh-CN"/>
        </w:rPr>
        <w:t>. The xenon tetrafluoride tetramethylammonium (XTT, KeyGEN) assay was used to assess the viability of bacterial according to manufacturer</w:t>
      </w:r>
      <w:r>
        <w:rPr>
          <w:rFonts w:ascii="Times New Roman" w:hAnsi="Times New Roman" w:eastAsia="Times New Roman"/>
          <w:kern w:val="2"/>
          <w:sz w:val="24"/>
          <w:lang w:val="en-US" w:eastAsia="zh-CN"/>
        </w:rPr>
        <w:t>’</w:t>
      </w:r>
      <w:r>
        <w:rPr>
          <w:rFonts w:hint="eastAsia" w:ascii="Times New Roman" w:hAnsi="Times New Roman" w:eastAsia="Times New Roman"/>
          <w:kern w:val="2"/>
          <w:sz w:val="24"/>
          <w:lang w:val="en-US" w:eastAsia="zh-CN"/>
        </w:rPr>
        <w:t>s instruction.</w:t>
      </w:r>
    </w:p>
    <w:p w14:paraId="2A54138E">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Inoculated materials with bacterial suspensions of </w:t>
      </w:r>
      <w:r>
        <w:rPr>
          <w:rFonts w:hint="eastAsia" w:ascii="Times New Roman" w:hAnsi="Times New Roman" w:eastAsia="Times New Roman"/>
          <w:i/>
          <w:iCs/>
          <w:kern w:val="2"/>
          <w:sz w:val="24"/>
          <w:lang w:val="en-US" w:eastAsia="zh-CN"/>
        </w:rPr>
        <w:t xml:space="preserve">S.mutans </w:t>
      </w:r>
      <w:r>
        <w:rPr>
          <w:rFonts w:hint="eastAsia" w:ascii="Times New Roman" w:hAnsi="Times New Roman" w:eastAsia="Times New Roman"/>
          <w:kern w:val="2"/>
          <w:sz w:val="24"/>
          <w:lang w:val="en-US" w:eastAsia="zh-CN"/>
        </w:rPr>
        <w:t xml:space="preserve">and </w:t>
      </w:r>
      <w:r>
        <w:rPr>
          <w:rFonts w:hint="eastAsia" w:ascii="Times New Roman" w:hAnsi="Times New Roman" w:eastAsia="Times New Roman"/>
          <w:i/>
          <w:iCs/>
          <w:kern w:val="2"/>
          <w:sz w:val="24"/>
          <w:lang w:val="en-US" w:eastAsia="zh-CN"/>
        </w:rPr>
        <w:t>P.gingivalis</w:t>
      </w:r>
      <w:r>
        <w:rPr>
          <w:rFonts w:hint="eastAsia" w:ascii="Times New Roman" w:hAnsi="Times New Roman" w:eastAsia="Times New Roman"/>
          <w:kern w:val="2"/>
          <w:sz w:val="24"/>
          <w:lang w:val="en-US" w:eastAsia="zh-CN"/>
        </w:rPr>
        <w:t xml:space="preserve"> at 10</w:t>
      </w:r>
      <w:r>
        <w:rPr>
          <w:rFonts w:hint="eastAsia" w:ascii="Times New Roman" w:hAnsi="Times New Roman" w:eastAsia="Times New Roman"/>
          <w:kern w:val="2"/>
          <w:sz w:val="24"/>
          <w:vertAlign w:val="superscript"/>
          <w:lang w:val="en-US" w:eastAsia="zh-CN"/>
        </w:rPr>
        <w:t>7</w:t>
      </w:r>
      <w:r>
        <w:rPr>
          <w:rFonts w:hint="eastAsia" w:ascii="Times New Roman" w:hAnsi="Times New Roman" w:eastAsia="Times New Roman"/>
          <w:kern w:val="2"/>
          <w:sz w:val="24"/>
          <w:lang w:val="en-US" w:eastAsia="zh-CN"/>
        </w:rPr>
        <w:t xml:space="preserve"> CFU/mL and culturing for 24 h. After washing and detaching the bacteria, the solution was serially diluted and plated on MSA (for </w:t>
      </w:r>
      <w:r>
        <w:rPr>
          <w:rFonts w:hint="eastAsia" w:ascii="Times New Roman" w:hAnsi="Times New Roman" w:eastAsia="Times New Roman"/>
          <w:i/>
          <w:iCs/>
          <w:kern w:val="2"/>
          <w:sz w:val="24"/>
          <w:lang w:val="en-US" w:eastAsia="zh-CN"/>
        </w:rPr>
        <w:t>S.mutans</w:t>
      </w:r>
      <w:r>
        <w:rPr>
          <w:rFonts w:hint="eastAsia" w:ascii="Times New Roman" w:hAnsi="Times New Roman" w:eastAsia="Times New Roman"/>
          <w:kern w:val="2"/>
          <w:sz w:val="24"/>
          <w:lang w:val="en-US" w:eastAsia="zh-CN"/>
        </w:rPr>
        <w:t xml:space="preserve">) and TSA (for </w:t>
      </w:r>
      <w:r>
        <w:rPr>
          <w:rFonts w:hint="eastAsia" w:ascii="Times New Roman" w:hAnsi="Times New Roman" w:eastAsia="Times New Roman"/>
          <w:i/>
          <w:iCs/>
          <w:kern w:val="2"/>
          <w:sz w:val="24"/>
          <w:lang w:val="en-US" w:eastAsia="zh-CN"/>
        </w:rPr>
        <w:t>P.gingivalis</w:t>
      </w:r>
      <w:r>
        <w:rPr>
          <w:rFonts w:hint="eastAsia" w:ascii="Times New Roman" w:hAnsi="Times New Roman" w:eastAsia="Times New Roman"/>
          <w:kern w:val="2"/>
          <w:sz w:val="24"/>
          <w:lang w:val="en-US" w:eastAsia="zh-CN"/>
        </w:rPr>
        <w:t xml:space="preserve">) plates. Plates were incubated under appropriate conditions for 48-72 h. The antibacterial rate was calculated by counting colony-forming units, using the formula: </w:t>
      </w:r>
    </w:p>
    <w:p w14:paraId="23950296">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ascii="Times New Roman" w:hAnsi="Times New Roman" w:eastAsia="Times New Roman"/>
          <w:kern w:val="2"/>
          <w:sz w:val="24"/>
          <w:lang w:val="en-US" w:eastAsia="zh-CN"/>
        </w:rPr>
        <w:t>Anti-bacterial rate (%) = (CFU</w:t>
      </w:r>
      <w:r>
        <w:rPr>
          <w:rFonts w:ascii="Times New Roman" w:hAnsi="Times New Roman" w:eastAsia="Times New Roman"/>
          <w:kern w:val="2"/>
          <w:sz w:val="24"/>
          <w:vertAlign w:val="subscript"/>
          <w:lang w:val="en-US" w:eastAsia="zh-CN"/>
        </w:rPr>
        <w:t>Ti</w:t>
      </w:r>
      <w:r>
        <w:rPr>
          <w:rFonts w:ascii="Times New Roman" w:hAnsi="Times New Roman" w:eastAsia="Times New Roman"/>
          <w:kern w:val="2"/>
          <w:sz w:val="24"/>
          <w:lang w:val="en-US" w:eastAsia="zh-CN"/>
        </w:rPr>
        <w:t>-CFU</w:t>
      </w:r>
      <w:r>
        <w:rPr>
          <w:rFonts w:ascii="Times New Roman" w:hAnsi="Times New Roman" w:eastAsia="Times New Roman"/>
          <w:kern w:val="2"/>
          <w:sz w:val="24"/>
          <w:vertAlign w:val="subscript"/>
          <w:lang w:val="en-US" w:eastAsia="zh-CN"/>
        </w:rPr>
        <w:t>Zr-BMG</w:t>
      </w:r>
      <w:r>
        <w:rPr>
          <w:rFonts w:ascii="Times New Roman" w:hAnsi="Times New Roman" w:eastAsia="Times New Roman"/>
          <w:kern w:val="2"/>
          <w:sz w:val="24"/>
          <w:lang w:val="en-US" w:eastAsia="zh-CN"/>
        </w:rPr>
        <w:t>)/CFU</w:t>
      </w:r>
      <w:r>
        <w:rPr>
          <w:rFonts w:ascii="Times New Roman" w:hAnsi="Times New Roman" w:eastAsia="Times New Roman"/>
          <w:kern w:val="2"/>
          <w:sz w:val="24"/>
          <w:vertAlign w:val="subscript"/>
          <w:lang w:val="en-US" w:eastAsia="zh-CN"/>
        </w:rPr>
        <w:t>Ti</w:t>
      </w:r>
      <w:r>
        <w:rPr>
          <w:rFonts w:ascii="Times New Roman" w:hAnsi="Times New Roman" w:eastAsia="Times New Roman"/>
          <w:kern w:val="2"/>
          <w:sz w:val="24"/>
          <w:lang w:val="en-US" w:eastAsia="zh-CN"/>
        </w:rPr>
        <w:t xml:space="preserve"> × 100%</w:t>
      </w:r>
    </w:p>
    <w:p w14:paraId="403BAEA7">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Materials were processed as before, with bacterial culture in a medium containing 1% sucrose (Solarbio) for 24 h, followed by fixation with 99% methanol, staining with 0.1% crystal violet, and dissolution of the stained biofilm in 95% ethanol for absorbance measurement at 570 nm by microplate reader (Elx808, BioTek); For assessing the material's sustained anti-biofilm efficacy, first soaked the material in PBS for varying durations (2, 4, 6, 8, 12 weeks), then co-cultured with bacteria for 24 h as previously described. The formula for calculating the material's biofilm clearance rate was: </w:t>
      </w:r>
    </w:p>
    <w:p w14:paraId="7F1C6245">
      <w:pPr>
        <w:keepNext w:val="0"/>
        <w:keepLines w:val="0"/>
        <w:pageBreakBefore w:val="0"/>
        <w:widowControl w:val="0"/>
        <w:kinsoku/>
        <w:wordWrap/>
        <w:overflowPunct/>
        <w:topLinePunct w:val="0"/>
        <w:autoSpaceDE/>
        <w:autoSpaceDN/>
        <w:bidi w:val="0"/>
        <w:adjustRightInd/>
        <w:snapToGrid/>
        <w:spacing w:line="480" w:lineRule="auto"/>
        <w:ind w:left="720"/>
        <w:jc w:val="both"/>
        <w:textAlignment w:val="auto"/>
        <w:rPr>
          <w:rFonts w:ascii="Times New Roman" w:hAnsi="Times New Roman" w:eastAsia="Times New Roman" w:cs="Times New Roman"/>
          <w:bCs/>
          <w:kern w:val="2"/>
          <w:sz w:val="24"/>
          <w:lang w:val="en-US" w:eastAsia="zh-CN"/>
        </w:rPr>
      </w:pPr>
      <w:r>
        <w:rPr>
          <w:rFonts w:ascii="Times New Roman" w:hAnsi="Times New Roman" w:eastAsia="Times New Roman" w:cs="Times New Roman"/>
          <w:bCs/>
          <w:kern w:val="2"/>
          <w:sz w:val="24"/>
          <w:lang w:val="en-US" w:eastAsia="zh-CN"/>
        </w:rPr>
        <w:t>Anti-biofilm rate (%) = (OD</w:t>
      </w:r>
      <w:r>
        <w:rPr>
          <w:rFonts w:ascii="Times New Roman" w:hAnsi="Times New Roman" w:eastAsia="Times New Roman" w:cs="Times New Roman"/>
          <w:bCs/>
          <w:kern w:val="2"/>
          <w:sz w:val="24"/>
          <w:vertAlign w:val="subscript"/>
          <w:lang w:val="en-US" w:eastAsia="zh-CN"/>
        </w:rPr>
        <w:t>570</w:t>
      </w:r>
      <w:r>
        <w:rPr>
          <w:rFonts w:ascii="Times New Roman" w:hAnsi="Times New Roman" w:eastAsia="Times New Roman" w:cs="Times New Roman"/>
          <w:bCs/>
          <w:kern w:val="2"/>
          <w:sz w:val="24"/>
          <w:lang w:val="en-US" w:eastAsia="zh-CN"/>
        </w:rPr>
        <w:t>Ti-OD</w:t>
      </w:r>
      <w:r>
        <w:rPr>
          <w:rFonts w:ascii="Times New Roman" w:hAnsi="Times New Roman" w:eastAsia="Times New Roman" w:cs="Times New Roman"/>
          <w:bCs/>
          <w:kern w:val="2"/>
          <w:sz w:val="24"/>
          <w:vertAlign w:val="subscript"/>
          <w:lang w:val="en-US" w:eastAsia="zh-CN"/>
        </w:rPr>
        <w:t>570</w:t>
      </w:r>
      <w:r>
        <w:rPr>
          <w:rFonts w:ascii="Times New Roman" w:hAnsi="Times New Roman" w:eastAsia="Times New Roman" w:cs="Times New Roman"/>
          <w:bCs/>
          <w:kern w:val="2"/>
          <w:sz w:val="24"/>
          <w:lang w:val="en-US" w:eastAsia="zh-CN"/>
        </w:rPr>
        <w:t>Zr-BMG)/OD</w:t>
      </w:r>
      <w:r>
        <w:rPr>
          <w:rFonts w:ascii="Times New Roman" w:hAnsi="Times New Roman" w:eastAsia="Times New Roman" w:cs="Times New Roman"/>
          <w:bCs/>
          <w:kern w:val="2"/>
          <w:sz w:val="24"/>
          <w:vertAlign w:val="subscript"/>
          <w:lang w:val="en-US" w:eastAsia="zh-CN"/>
        </w:rPr>
        <w:t>570</w:t>
      </w:r>
      <w:r>
        <w:rPr>
          <w:rFonts w:ascii="Times New Roman" w:hAnsi="Times New Roman" w:eastAsia="Times New Roman" w:cs="Times New Roman"/>
          <w:bCs/>
          <w:kern w:val="2"/>
          <w:sz w:val="24"/>
          <w:lang w:val="en-US" w:eastAsia="zh-CN"/>
        </w:rPr>
        <w:t>Ti × 100%</w:t>
      </w:r>
    </w:p>
    <w:p w14:paraId="524A1DB5">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After 24 h co-culture with </w:t>
      </w:r>
      <w:r>
        <w:rPr>
          <w:rFonts w:hint="eastAsia" w:ascii="Times New Roman" w:hAnsi="Times New Roman" w:eastAsia="Times New Roman"/>
          <w:i/>
          <w:iCs/>
          <w:kern w:val="2"/>
          <w:sz w:val="24"/>
          <w:lang w:val="en-US" w:eastAsia="zh-CN"/>
        </w:rPr>
        <w:t>S. mutans</w:t>
      </w:r>
      <w:r>
        <w:rPr>
          <w:rFonts w:hint="eastAsia" w:ascii="Times New Roman" w:hAnsi="Times New Roman" w:eastAsia="Times New Roman"/>
          <w:kern w:val="2"/>
          <w:sz w:val="24"/>
          <w:lang w:val="en-US" w:eastAsia="zh-CN"/>
        </w:rPr>
        <w:t xml:space="preserve"> and </w:t>
      </w:r>
      <w:r>
        <w:rPr>
          <w:rFonts w:hint="eastAsia" w:ascii="Times New Roman" w:hAnsi="Times New Roman" w:eastAsia="Times New Roman"/>
          <w:i/>
          <w:iCs/>
          <w:kern w:val="2"/>
          <w:sz w:val="24"/>
          <w:lang w:val="en-US" w:eastAsia="zh-CN"/>
        </w:rPr>
        <w:t>P. gingivalis</w:t>
      </w:r>
      <w:r>
        <w:rPr>
          <w:rFonts w:hint="eastAsia" w:ascii="Times New Roman" w:hAnsi="Times New Roman" w:eastAsia="Times New Roman"/>
          <w:kern w:val="2"/>
          <w:sz w:val="24"/>
          <w:lang w:val="en-US" w:eastAsia="zh-CN"/>
        </w:rPr>
        <w:t>, the materials were washed, fixed in 2.5% glutaraldehyde at 4</w:t>
      </w:r>
      <w:r>
        <w:rPr>
          <w:rFonts w:hint="default" w:ascii="Times New Roman" w:hAnsi="Times New Roman" w:eastAsia="Times New Roman" w:cs="Times New Roman"/>
          <w:kern w:val="2"/>
          <w:sz w:val="24"/>
          <w:lang w:val="en-US" w:eastAsia="zh-CN"/>
        </w:rPr>
        <w:t>℃</w:t>
      </w:r>
      <w:r>
        <w:rPr>
          <w:rFonts w:hint="eastAsia" w:ascii="Times New Roman" w:hAnsi="Times New Roman" w:eastAsia="Times New Roman"/>
          <w:kern w:val="2"/>
          <w:sz w:val="24"/>
          <w:lang w:val="en-US" w:eastAsia="zh-CN"/>
        </w:rPr>
        <w:t xml:space="preserve"> overnight, dehydrated with ethanol, air-dried, affixed to the SEM stage, gold-coated, and examined under SEM (JSM-7900F) at 10 kV to observe bacterial morphology and distribution. </w:t>
      </w:r>
    </w:p>
    <w:p w14:paraId="2EE273B8">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After 24 h of co-culture, the material was washed, incubated with 2',7'-Dichlorodihydrofluorescein diacetate (DCFH-DA, Beyotime) for 30 min in the dark, and observed under a laser confocal microscope (TCS-SP8 STED 3X) at 488 nm. The collected culture medium was also incubated with DCFH-DA (1:500 final concentration), transferred to a microplate, and fluorescence intensity at 522 nm was measured using a microplate reader.</w:t>
      </w:r>
    </w:p>
    <w:p w14:paraId="623625EC">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b/>
          <w:bCs/>
          <w:kern w:val="2"/>
          <w:sz w:val="24"/>
          <w:lang w:val="en-US" w:eastAsia="zh-CN"/>
        </w:rPr>
      </w:pPr>
      <w:r>
        <w:rPr>
          <w:rFonts w:ascii="Times New Roman" w:hAnsi="Times New Roman" w:eastAsia="Times New Roman"/>
          <w:kern w:val="2"/>
          <w:sz w:val="24"/>
          <w:lang w:val="en-US" w:eastAsia="zh-CN"/>
        </w:rPr>
        <w:t>After co-culturing the material with bacteria for 24 h,</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the original culture medium</w:t>
      </w:r>
      <w:r>
        <w:rPr>
          <w:rFonts w:hint="eastAsia" w:ascii="Times New Roman" w:hAnsi="Times New Roman" w:eastAsia="Times New Roman"/>
          <w:kern w:val="2"/>
          <w:sz w:val="24"/>
          <w:lang w:val="en-US" w:eastAsia="zh-CN"/>
        </w:rPr>
        <w:t xml:space="preserve"> was collected</w:t>
      </w:r>
      <w:r>
        <w:rPr>
          <w:rFonts w:ascii="Times New Roman" w:hAnsi="Times New Roman" w:eastAsia="Times New Roman"/>
          <w:kern w:val="2"/>
          <w:sz w:val="24"/>
          <w:lang w:val="en-US" w:eastAsia="zh-CN"/>
        </w:rPr>
        <w:t xml:space="preserve"> in a sterile centrifuge tube and centrifuge at 5000 rpm for 10 min. </w:t>
      </w:r>
      <w:r>
        <w:rPr>
          <w:rFonts w:hint="eastAsia" w:ascii="Times New Roman" w:hAnsi="Times New Roman" w:eastAsia="Times New Roman"/>
          <w:kern w:val="2"/>
          <w:sz w:val="24"/>
          <w:lang w:val="en-US" w:eastAsia="zh-CN"/>
        </w:rPr>
        <w:t>T</w:t>
      </w:r>
      <w:r>
        <w:rPr>
          <w:rFonts w:ascii="Times New Roman" w:hAnsi="Times New Roman" w:eastAsia="Times New Roman"/>
          <w:kern w:val="2"/>
          <w:sz w:val="24"/>
          <w:lang w:val="en-US" w:eastAsia="zh-CN"/>
        </w:rPr>
        <w:t>he protein content released by the bacteria</w:t>
      </w:r>
      <w:r>
        <w:rPr>
          <w:rFonts w:hint="eastAsia" w:ascii="Times New Roman" w:hAnsi="Times New Roman" w:eastAsia="Times New Roman"/>
          <w:kern w:val="2"/>
          <w:sz w:val="24"/>
          <w:lang w:val="en-US" w:eastAsia="zh-CN"/>
        </w:rPr>
        <w:t xml:space="preserve"> in the </w:t>
      </w:r>
      <w:r>
        <w:rPr>
          <w:rFonts w:ascii="Times New Roman" w:hAnsi="Times New Roman" w:eastAsia="Times New Roman"/>
          <w:kern w:val="2"/>
          <w:sz w:val="24"/>
          <w:lang w:val="en-US" w:eastAsia="zh-CN"/>
        </w:rPr>
        <w:t>supernatant</w:t>
      </w:r>
      <w:r>
        <w:rPr>
          <w:rFonts w:hint="eastAsia" w:ascii="Times New Roman" w:hAnsi="Times New Roman" w:eastAsia="Times New Roman"/>
          <w:kern w:val="2"/>
          <w:sz w:val="24"/>
          <w:lang w:val="en-US" w:eastAsia="zh-CN"/>
        </w:rPr>
        <w:t xml:space="preserve"> was tested with a bicinchoninic acid (BCA, Beyotime) assay kit and m</w:t>
      </w:r>
      <w:r>
        <w:rPr>
          <w:rFonts w:ascii="Times New Roman" w:hAnsi="Times New Roman" w:eastAsia="Times New Roman"/>
          <w:kern w:val="2"/>
          <w:sz w:val="24"/>
          <w:lang w:val="en-US" w:eastAsia="zh-CN"/>
        </w:rPr>
        <w:t>easure</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at 562 nm</w:t>
      </w:r>
      <w:r>
        <w:rPr>
          <w:rFonts w:hint="eastAsia" w:ascii="Times New Roman" w:hAnsi="Times New Roman" w:eastAsia="Times New Roman"/>
          <w:kern w:val="2"/>
          <w:sz w:val="24"/>
          <w:lang w:val="en-US" w:eastAsia="zh-CN"/>
        </w:rPr>
        <w:t>.</w:t>
      </w:r>
    </w:p>
    <w:p w14:paraId="05C890CD">
      <w:pPr>
        <w:keepNext w:val="0"/>
        <w:keepLines w:val="0"/>
        <w:pageBreakBefore w:val="0"/>
        <w:widowControl/>
        <w:kinsoku/>
        <w:wordWrap/>
        <w:overflowPunct/>
        <w:topLinePunct w:val="0"/>
        <w:autoSpaceDE/>
        <w:autoSpaceDN/>
        <w:bidi w:val="0"/>
        <w:adjustRightInd/>
        <w:snapToGrid/>
        <w:spacing w:line="480" w:lineRule="auto"/>
        <w:textAlignment w:val="auto"/>
        <w:rPr>
          <w:rFonts w:ascii="Times New Roman" w:hAnsi="Times New Roman" w:eastAsia="Times New Roman"/>
          <w:b/>
          <w:bCs/>
          <w:sz w:val="24"/>
          <w:szCs w:val="24"/>
        </w:rPr>
      </w:pPr>
      <w:r>
        <w:rPr>
          <w:rFonts w:hint="eastAsia" w:eastAsia="Times New Roman"/>
          <w:b/>
          <w:bCs w:val="0"/>
          <w:sz w:val="24"/>
          <w:szCs w:val="24"/>
          <w:lang w:val="en-US" w:eastAsia="zh-CN"/>
        </w:rPr>
        <w:t>2</w:t>
      </w:r>
      <w:r>
        <w:rPr>
          <w:rFonts w:hint="eastAsia" w:ascii="Times New Roman" w:hAnsi="Times New Roman" w:eastAsia="Times New Roman"/>
          <w:b/>
          <w:bCs w:val="0"/>
          <w:sz w:val="24"/>
          <w:szCs w:val="24"/>
          <w:lang w:val="en-US" w:eastAsia="zh-CN"/>
        </w:rPr>
        <w:t xml:space="preserve">.4 </w:t>
      </w:r>
      <w:r>
        <w:rPr>
          <w:rFonts w:hint="eastAsia" w:ascii="Times New Roman" w:hAnsi="Times New Roman" w:eastAsia="Times New Roman"/>
          <w:b/>
          <w:bCs/>
          <w:i/>
          <w:iCs/>
          <w:sz w:val="24"/>
          <w:szCs w:val="24"/>
        </w:rPr>
        <w:t>In vitro</w:t>
      </w:r>
      <w:r>
        <w:rPr>
          <w:rFonts w:hint="eastAsia" w:ascii="Times New Roman" w:hAnsi="Times New Roman" w:eastAsia="Times New Roman"/>
          <w:b/>
          <w:bCs/>
          <w:sz w:val="24"/>
          <w:szCs w:val="24"/>
        </w:rPr>
        <w:t xml:space="preserve"> cell angiogenesis and osteogenic measurements</w:t>
      </w:r>
    </w:p>
    <w:p w14:paraId="6F48DB21">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To investigate </w:t>
      </w:r>
      <w:r>
        <w:rPr>
          <w:rFonts w:hint="eastAsia" w:ascii="Times New Roman" w:hAnsi="Times New Roman" w:eastAsia="Times New Roman"/>
          <w:i/>
          <w:iCs/>
          <w:kern w:val="2"/>
          <w:sz w:val="24"/>
          <w:lang w:val="en-US" w:eastAsia="zh-CN"/>
        </w:rPr>
        <w:t>in vitro</w:t>
      </w:r>
      <w:r>
        <w:rPr>
          <w:rFonts w:hint="eastAsia" w:ascii="Times New Roman" w:hAnsi="Times New Roman" w:eastAsia="Times New Roman"/>
          <w:kern w:val="2"/>
          <w:sz w:val="24"/>
          <w:lang w:val="en-US" w:eastAsia="zh-CN"/>
        </w:rPr>
        <w:t xml:space="preserve"> angiogenesis, HUVECs (Cellverse Bioscience Technology Co., Ltd., China) were cultured in ECM complete culture medium with 5% FBS, 1% endothelial cell growth factor, 100 U/mL penicillin, and 100 U/mL streptomycin. Extracts were prepared following ISO 10993-12-2021: autoclaved materials were soaked in ECM medium at 200 mg/mL for 72 h at 37 </w:t>
      </w:r>
      <w:r>
        <w:rPr>
          <w:rFonts w:hint="default" w:ascii="Times New Roman" w:hAnsi="Times New Roman" w:eastAsia="Times New Roman" w:cs="Times New Roman"/>
          <w:kern w:val="2"/>
          <w:sz w:val="24"/>
          <w:lang w:val="en-US" w:eastAsia="zh-CN"/>
        </w:rPr>
        <w:t>℃</w:t>
      </w:r>
      <w:r>
        <w:rPr>
          <w:rFonts w:hint="eastAsia" w:ascii="Times New Roman" w:hAnsi="Times New Roman" w:eastAsia="Times New Roman"/>
          <w:kern w:val="2"/>
          <w:sz w:val="24"/>
          <w:lang w:val="en-US" w:eastAsia="zh-CN"/>
        </w:rPr>
        <w:t xml:space="preserve">, filtered through a 0.22 µm membrane, and stored at 4 </w:t>
      </w:r>
      <w:r>
        <w:rPr>
          <w:rFonts w:hint="default" w:ascii="Times New Roman" w:hAnsi="Times New Roman" w:eastAsia="Times New Roman" w:cs="Times New Roman"/>
          <w:kern w:val="2"/>
          <w:sz w:val="24"/>
          <w:lang w:val="en-US" w:eastAsia="zh-CN"/>
        </w:rPr>
        <w:t>℃</w:t>
      </w:r>
      <w:r>
        <w:rPr>
          <w:rFonts w:hint="eastAsia" w:ascii="Times New Roman" w:hAnsi="Times New Roman" w:eastAsia="Times New Roman"/>
          <w:kern w:val="2"/>
          <w:sz w:val="24"/>
          <w:lang w:val="en-US" w:eastAsia="zh-CN"/>
        </w:rPr>
        <w:t>.</w:t>
      </w:r>
    </w:p>
    <w:p w14:paraId="260935D8">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HUVECs were pretreated with material extracts for 24 h and then seeded on growth factor-depleted Matrigel (BD Bioscience) in 48-well plates. Tube formation assays were conducted using optical microscopy (Olympus, Japan) at 2 h, 4 h, 8 h and 12 h. At 2 h, cells had not yet formed tubular structures, whereas at 12 h, tubular structures began to break down (</w:t>
      </w:r>
      <w:r>
        <w:rPr>
          <w:rFonts w:hint="eastAsia" w:ascii="Times New Roman" w:hAnsi="Times New Roman" w:eastAsia="Times New Roman"/>
          <w:b/>
          <w:bCs/>
          <w:kern w:val="2"/>
          <w:sz w:val="24"/>
          <w:lang w:val="en-US" w:eastAsia="zh-CN"/>
        </w:rPr>
        <w:t>Figure S</w:t>
      </w:r>
      <w:r>
        <w:rPr>
          <w:rFonts w:hint="eastAsia" w:eastAsia="Times New Roman"/>
          <w:b/>
          <w:bCs/>
          <w:kern w:val="2"/>
          <w:sz w:val="24"/>
          <w:lang w:val="en-US" w:eastAsia="zh-CN"/>
        </w:rPr>
        <w:t>1</w:t>
      </w:r>
      <w:r>
        <w:rPr>
          <w:rFonts w:hint="eastAsia" w:ascii="Times New Roman" w:hAnsi="Times New Roman" w:eastAsia="Times New Roman"/>
          <w:kern w:val="2"/>
          <w:sz w:val="24"/>
          <w:lang w:val="en-US" w:eastAsia="zh-CN"/>
        </w:rPr>
        <w:t>). Subsequently, the images of 4 h and 8 h were chosen for quantitative analysis using Image J software.</w:t>
      </w:r>
    </w:p>
    <w:p w14:paraId="687F22F8">
      <w:pPr>
        <w:keepNext w:val="0"/>
        <w:keepLines w:val="0"/>
        <w:pageBreakBefore w:val="0"/>
        <w:widowControl/>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HUVECs (1×10</w:t>
      </w:r>
      <w:r>
        <w:rPr>
          <w:rFonts w:hint="eastAsia" w:ascii="Times New Roman" w:hAnsi="Times New Roman" w:eastAsia="Times New Roman"/>
          <w:kern w:val="2"/>
          <w:sz w:val="24"/>
          <w:vertAlign w:val="superscript"/>
          <w:lang w:val="en-US" w:eastAsia="zh-CN"/>
        </w:rPr>
        <w:t>5</w:t>
      </w:r>
      <w:r>
        <w:rPr>
          <w:rFonts w:hint="eastAsia" w:ascii="Times New Roman" w:hAnsi="Times New Roman" w:eastAsia="Times New Roman"/>
          <w:kern w:val="2"/>
          <w:sz w:val="24"/>
          <w:lang w:val="en-US" w:eastAsia="zh-CN"/>
        </w:rPr>
        <w:t xml:space="preserve"> cells/well) were seeded in 12-well plates and cultured in extracts with serum until 100% confluency. Linear scratches were made, rinsed with PBS, and images captured at 0 h and 12 h post-cultivation in serum-free extracts to assess wound healing via optical microscopy (Olympus, Japan) and Image J software.</w:t>
      </w:r>
    </w:p>
    <w:p w14:paraId="15F31196">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For osteogenic induction, hJBMMSCs were treated with osteogenic medium containing 50 </w:t>
      </w:r>
      <w:r>
        <w:rPr>
          <w:rFonts w:hint="default" w:ascii="Times New Roman" w:hAnsi="Times New Roman" w:eastAsia="Times New Roman"/>
          <w:kern w:val="2"/>
          <w:sz w:val="24"/>
          <w:lang w:val="en-US" w:eastAsia="zh-CN"/>
        </w:rPr>
        <w:t>μ</w:t>
      </w:r>
      <w:r>
        <w:rPr>
          <w:rFonts w:hint="eastAsia" w:ascii="Times New Roman" w:hAnsi="Times New Roman" w:eastAsia="Times New Roman"/>
          <w:kern w:val="2"/>
          <w:sz w:val="24"/>
          <w:lang w:val="en-US" w:eastAsia="zh-CN"/>
        </w:rPr>
        <w:t xml:space="preserve">g/ml ascorbic acid (Sigma), 2 mM </w:t>
      </w:r>
      <w:r>
        <w:rPr>
          <w:rFonts w:hint="default" w:ascii="Times New Roman" w:hAnsi="Times New Roman" w:eastAsia="Times New Roman"/>
          <w:kern w:val="2"/>
          <w:sz w:val="24"/>
          <w:lang w:val="en-US" w:eastAsia="zh-CN"/>
        </w:rPr>
        <w:t>β</w:t>
      </w:r>
      <w:r>
        <w:rPr>
          <w:rFonts w:hint="eastAsia" w:ascii="Times New Roman" w:hAnsi="Times New Roman" w:eastAsia="Times New Roman"/>
          <w:kern w:val="2"/>
          <w:sz w:val="24"/>
          <w:lang w:val="en-US" w:eastAsia="zh-CN"/>
        </w:rPr>
        <w:t xml:space="preserve">-glycerophosphate (Sigma), and 100 nM dexamethasone (Sigma) </w:t>
      </w:r>
      <w:r>
        <w:rPr>
          <w:rFonts w:ascii="Times New Roman" w:hAnsi="Times New Roman" w:eastAsia="Times New Roman"/>
          <w:kern w:val="2"/>
          <w:sz w:val="24"/>
          <w:lang w:val="en-US" w:eastAsia="zh-CN"/>
        </w:rPr>
        <w:t>u</w:t>
      </w:r>
      <w:r>
        <w:rPr>
          <w:rFonts w:hint="eastAsia" w:ascii="Times New Roman" w:hAnsi="Times New Roman" w:eastAsia="Times New Roman"/>
          <w:kern w:val="2"/>
          <w:sz w:val="24"/>
          <w:lang w:val="en-US" w:eastAsia="zh-CN"/>
        </w:rPr>
        <w:t>ntil the cell confluence reached 70-80%.</w:t>
      </w:r>
    </w:p>
    <w:p w14:paraId="711EA677">
      <w:pPr>
        <w:keepNext w:val="0"/>
        <w:keepLines w:val="0"/>
        <w:pageBreakBefore w:val="0"/>
        <w:widowControl/>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hJBMMSCs were cultured with material samples for 7 days under osteogenic induction, fixed with 4% PFA, and stained with BCIP/NBT solution (Beyotime) to assess ALP activity. For ARS staining, cells were fixed after 21 days, stained with alizarin red S (Cyagen), destained with 10% cetylpyridinium chloride (Sigma), and the calcium concentration was measured using a spectrophotometer (BioTek) at 562 nm.</w:t>
      </w:r>
    </w:p>
    <w:p w14:paraId="54BCE477">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After fixation with 4% PFA and permeabilization with 0.3% Triton X-100, cells were blocked with 5% BSA (Solarbio). HUVECs were immunostained at day 3 with anti-VEGF primary antibody (1:200, Abclonal) overnight at 4 </w:t>
      </w:r>
      <w:r>
        <w:rPr>
          <w:rFonts w:hint="default" w:ascii="Times New Roman" w:hAnsi="Times New Roman" w:eastAsia="Times New Roman" w:cs="Times New Roman"/>
          <w:kern w:val="2"/>
          <w:sz w:val="24"/>
          <w:lang w:val="en-US" w:eastAsia="zh-CN"/>
        </w:rPr>
        <w:t>℃</w:t>
      </w:r>
      <w:r>
        <w:rPr>
          <w:rFonts w:hint="eastAsia" w:ascii="Times New Roman" w:hAnsi="Times New Roman" w:eastAsia="Times New Roman"/>
          <w:kern w:val="2"/>
          <w:sz w:val="24"/>
          <w:lang w:val="en-US" w:eastAsia="zh-CN"/>
        </w:rPr>
        <w:t xml:space="preserve">, followed by TRITC fluorescent secondary antibody (1:400, Bioss) for 1 h at room temperature; hJBMMSCs at 7 days post-osteogenic induction were stained with anti-BGLAP primary antibody (1:200, Abclonal) overnight at 4 </w:t>
      </w:r>
      <w:r>
        <w:rPr>
          <w:rFonts w:hint="default" w:ascii="Times New Roman" w:hAnsi="Times New Roman" w:eastAsia="Times New Roman" w:cs="Times New Roman"/>
          <w:kern w:val="2"/>
          <w:sz w:val="24"/>
          <w:lang w:val="en-US" w:eastAsia="zh-CN"/>
        </w:rPr>
        <w:t>℃</w:t>
      </w:r>
      <w:r>
        <w:rPr>
          <w:rFonts w:hint="eastAsia" w:ascii="Times New Roman" w:hAnsi="Times New Roman" w:eastAsia="Times New Roman"/>
          <w:kern w:val="2"/>
          <w:sz w:val="24"/>
          <w:lang w:val="en-US" w:eastAsia="zh-CN"/>
        </w:rPr>
        <w:t>, followed by FITC fluorescent secondary antibody (1:400, Bioss) for 1 h at room temperature.</w:t>
      </w:r>
    </w:p>
    <w:p w14:paraId="01DEB038">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HUVECs nurtured for 3 days and hJBMMSCs after 7-days osteogenic induction were collected for qRT-PCR. Total RNA was extracted from the samples using Trizol (Invitrogen, USA) and cDNA was synthesized from 1 </w:t>
      </w:r>
      <w:r>
        <w:rPr>
          <w:rFonts w:hint="default" w:ascii="Times New Roman" w:hAnsi="Times New Roman" w:eastAsia="Times New Roman"/>
          <w:kern w:val="2"/>
          <w:sz w:val="24"/>
          <w:lang w:val="en-US" w:eastAsia="zh-CN"/>
        </w:rPr>
        <w:t>μ</w:t>
      </w:r>
      <w:r>
        <w:rPr>
          <w:rFonts w:hint="eastAsia" w:ascii="Times New Roman" w:hAnsi="Times New Roman" w:eastAsia="Times New Roman"/>
          <w:kern w:val="2"/>
          <w:sz w:val="24"/>
          <w:lang w:val="en-US" w:eastAsia="zh-CN"/>
        </w:rPr>
        <w:t xml:space="preserve">g of total RNA using reverse transcriptase (Superscript II Preamplification System; Invitrogen). All the reactions were performed in triplicate and were normalized to the reference gene (glyceraldehyde 3-phosphate dehydrogenase, GAPDH). The specific primer sets used for this analysis were listed in </w:t>
      </w:r>
      <w:r>
        <w:rPr>
          <w:rFonts w:hint="eastAsia" w:ascii="Times New Roman" w:hAnsi="Times New Roman" w:eastAsia="Times New Roman"/>
          <w:b/>
          <w:bCs/>
          <w:kern w:val="2"/>
          <w:sz w:val="24"/>
          <w:lang w:val="en-US" w:eastAsia="zh-CN"/>
        </w:rPr>
        <w:t>Table S2</w:t>
      </w:r>
      <w:r>
        <w:rPr>
          <w:rFonts w:hint="eastAsia" w:ascii="Times New Roman" w:hAnsi="Times New Roman" w:eastAsia="Times New Roman"/>
          <w:kern w:val="2"/>
          <w:sz w:val="24"/>
          <w:lang w:val="en-US" w:eastAsia="zh-CN"/>
        </w:rPr>
        <w:t>.</w:t>
      </w:r>
    </w:p>
    <w:p w14:paraId="6D729156">
      <w:pPr>
        <w:keepNext w:val="0"/>
        <w:keepLines w:val="0"/>
        <w:pageBreakBefore w:val="0"/>
        <w:widowControl/>
        <w:kinsoku/>
        <w:wordWrap/>
        <w:overflowPunct/>
        <w:topLinePunct w:val="0"/>
        <w:autoSpaceDE/>
        <w:autoSpaceDN/>
        <w:bidi w:val="0"/>
        <w:adjustRightInd/>
        <w:snapToGrid/>
        <w:spacing w:line="480" w:lineRule="auto"/>
        <w:jc w:val="both"/>
        <w:textAlignment w:val="auto"/>
        <w:rPr>
          <w:rFonts w:ascii="Times New Roman" w:hAnsi="Times New Roman" w:eastAsia="Times New Roman"/>
          <w:b/>
          <w:bCs/>
          <w:sz w:val="24"/>
          <w:szCs w:val="24"/>
        </w:rPr>
      </w:pPr>
      <w:r>
        <w:rPr>
          <w:rFonts w:hint="eastAsia" w:eastAsia="Times New Roman"/>
          <w:b/>
          <w:bCs w:val="0"/>
          <w:sz w:val="24"/>
          <w:szCs w:val="24"/>
          <w:lang w:val="en-US" w:eastAsia="zh-CN"/>
        </w:rPr>
        <w:t>2.</w:t>
      </w:r>
      <w:r>
        <w:rPr>
          <w:rFonts w:hint="eastAsia" w:ascii="Times New Roman" w:hAnsi="Times New Roman" w:eastAsia="Times New Roman"/>
          <w:b/>
          <w:bCs w:val="0"/>
          <w:sz w:val="24"/>
          <w:szCs w:val="24"/>
          <w:lang w:val="en-US" w:eastAsia="zh-CN"/>
        </w:rPr>
        <w:t xml:space="preserve">5 </w:t>
      </w:r>
      <w:r>
        <w:rPr>
          <w:rFonts w:hint="eastAsia" w:ascii="Times New Roman" w:hAnsi="Times New Roman" w:eastAsia="Times New Roman"/>
          <w:b/>
          <w:bCs w:val="0"/>
          <w:i/>
          <w:iCs/>
          <w:sz w:val="24"/>
          <w:szCs w:val="24"/>
          <w:lang w:val="en-US" w:eastAsia="zh-CN"/>
        </w:rPr>
        <w:t>In vivo</w:t>
      </w:r>
      <w:r>
        <w:rPr>
          <w:rFonts w:hint="eastAsia" w:ascii="Times New Roman" w:hAnsi="Times New Roman" w:eastAsia="Times New Roman"/>
          <w:b/>
          <w:bCs w:val="0"/>
          <w:sz w:val="24"/>
          <w:szCs w:val="24"/>
          <w:lang w:val="en-US" w:eastAsia="zh-CN"/>
        </w:rPr>
        <w:t xml:space="preserve"> measurements</w:t>
      </w:r>
    </w:p>
    <w:p w14:paraId="5D20ECA0">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ascii="Times New Roman" w:hAnsi="Times New Roman" w:eastAsia="Times New Roman"/>
          <w:kern w:val="2"/>
          <w:sz w:val="24"/>
          <w:lang w:val="en-US" w:eastAsia="zh-CN"/>
        </w:rPr>
        <w:t>The animal experiments conducted in this study received approval from Peking University's Ethics Review Board</w:t>
      </w:r>
      <w:r>
        <w:rPr>
          <w:rFonts w:hint="eastAsia" w:ascii="Times New Roman" w:hAnsi="Times New Roman" w:eastAsia="Times New Roman"/>
          <w:kern w:val="2"/>
          <w:sz w:val="24"/>
          <w:lang w:val="en-US" w:eastAsia="zh-CN"/>
        </w:rPr>
        <w:t xml:space="preserve"> (PUIRB-LA2023268)</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All methods are reported in accordance with ARRIVE guidelines for animal experiments</w:t>
      </w:r>
      <w:r>
        <w:rPr>
          <w:rFonts w:hint="eastAsia" w:ascii="Times New Roman" w:hAnsi="Times New Roman" w:eastAsia="Times New Roman"/>
          <w:color w:val="080000"/>
          <w:sz w:val="24"/>
          <w:szCs w:val="24"/>
          <w:vertAlign w:val="superscript"/>
        </w:rPr>
        <w:t>[46]</w:t>
      </w:r>
      <w:r>
        <w:rPr>
          <w:rFonts w:hint="eastAsia" w:ascii="Times New Roman" w:hAnsi="Times New Roman" w:eastAsia="Times New Roman"/>
          <w:kern w:val="2"/>
          <w:sz w:val="24"/>
          <w:lang w:val="en-US" w:eastAsia="zh-CN"/>
        </w:rPr>
        <w:t xml:space="preserve">. </w:t>
      </w:r>
    </w:p>
    <w:p w14:paraId="2CA1ACD6">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Male Sprague-Dawley rats (8 weeks old, 200-250 g, 6 rats in each group, Charles River, Beijing, China) were randomly assigned to Ti and Zr-BMG groups. Under pentobarbital-induced anesthesia, a medial parapatellar arthrotomy was performed to create a bone tunnel in the intercondylar fossa of the right femur, where a 12 mm long, 1.5 mm diameter cylindrical implant was inserted (</w:t>
      </w:r>
      <w:r>
        <w:rPr>
          <w:rFonts w:hint="eastAsia" w:ascii="Times New Roman" w:hAnsi="Times New Roman" w:eastAsia="Times New Roman"/>
          <w:b/>
          <w:bCs/>
          <w:kern w:val="2"/>
          <w:sz w:val="24"/>
          <w:lang w:val="en-US" w:eastAsia="zh-CN"/>
        </w:rPr>
        <w:t>Figure S</w:t>
      </w:r>
      <w:r>
        <w:rPr>
          <w:rFonts w:hint="eastAsia" w:eastAsia="Times New Roman"/>
          <w:b/>
          <w:bCs/>
          <w:kern w:val="2"/>
          <w:sz w:val="24"/>
          <w:lang w:val="en-US" w:eastAsia="zh-CN"/>
        </w:rPr>
        <w:t>2</w:t>
      </w:r>
      <w:r>
        <w:rPr>
          <w:rFonts w:hint="eastAsia" w:ascii="Times New Roman" w:hAnsi="Times New Roman" w:eastAsia="Times New Roman"/>
          <w:kern w:val="2"/>
          <w:sz w:val="24"/>
          <w:lang w:val="en-US" w:eastAsia="zh-CN"/>
        </w:rPr>
        <w:t>). After 8 weeks, rats were euthanized, blood was collected for biochemical tests, and femurs with implants along with liver, kidney, and spleen were fixed in 4% PFA for further processing.</w:t>
      </w:r>
    </w:p>
    <w:p w14:paraId="356B65FA">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Femurs with implanted samples underwent graded dehydration, embedding in light-curing epoxy resin, and preparation of thin sections using an grinding machine (Exakt, Germany). These sections were stained with Stevenel</w:t>
      </w:r>
      <w:r>
        <w:rPr>
          <w:rFonts w:hint="default" w:ascii="Times New Roman" w:hAnsi="Times New Roman" w:eastAsia="Times New Roman"/>
          <w:kern w:val="2"/>
          <w:sz w:val="24"/>
          <w:lang w:val="en-US" w:eastAsia="zh-CN"/>
        </w:rPr>
        <w:t>’</w:t>
      </w:r>
      <w:r>
        <w:rPr>
          <w:rFonts w:hint="eastAsia" w:ascii="Times New Roman" w:hAnsi="Times New Roman" w:eastAsia="Times New Roman"/>
          <w:kern w:val="2"/>
          <w:sz w:val="24"/>
          <w:lang w:val="en-US" w:eastAsia="zh-CN"/>
        </w:rPr>
        <w:t>s blue and Van Gieson</w:t>
      </w:r>
      <w:r>
        <w:rPr>
          <w:rFonts w:hint="default" w:ascii="Times New Roman" w:hAnsi="Times New Roman" w:eastAsia="Times New Roman"/>
          <w:kern w:val="2"/>
          <w:sz w:val="24"/>
          <w:lang w:val="en-US" w:eastAsia="zh-CN"/>
        </w:rPr>
        <w:t>’</w:t>
      </w:r>
      <w:r>
        <w:rPr>
          <w:rFonts w:hint="eastAsia" w:ascii="Times New Roman" w:hAnsi="Times New Roman" w:eastAsia="Times New Roman"/>
          <w:kern w:val="2"/>
          <w:sz w:val="24"/>
          <w:lang w:val="en-US" w:eastAsia="zh-CN"/>
        </w:rPr>
        <w:t>s picrofuchsin stain, followed by analysis using a light microscope (Leica, Germany).</w:t>
      </w:r>
    </w:p>
    <w:p w14:paraId="6A2F409D">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highlight w:val="yellow"/>
          <w:lang w:val="en-US" w:eastAsia="zh-CN"/>
        </w:rPr>
      </w:pPr>
      <w:r>
        <w:rPr>
          <w:rFonts w:hint="eastAsia" w:ascii="Times New Roman" w:hAnsi="Times New Roman" w:eastAsia="Times New Roman"/>
          <w:kern w:val="2"/>
          <w:sz w:val="24"/>
          <w:lang w:val="en-US" w:eastAsia="zh-CN"/>
        </w:rPr>
        <w:t>B</w:t>
      </w:r>
      <w:r>
        <w:rPr>
          <w:rFonts w:ascii="Times New Roman" w:hAnsi="Times New Roman" w:eastAsia="Times New Roman"/>
          <w:kern w:val="2"/>
          <w:sz w:val="24"/>
          <w:lang w:val="en-US" w:eastAsia="zh-CN"/>
        </w:rPr>
        <w:t>lood sample was then drawn from each rat and subjected to analysis using a Clinical Analyzer</w:t>
      </w:r>
      <w:r>
        <w:rPr>
          <w:rFonts w:hint="eastAsia" w:ascii="Times New Roman" w:hAnsi="Times New Roman" w:eastAsia="Times New Roman"/>
          <w:kern w:val="2"/>
          <w:sz w:val="24"/>
          <w:lang w:val="en-US" w:eastAsia="zh-CN"/>
        </w:rPr>
        <w:t xml:space="preserve"> (BK-280, Biobase, Shandong, China). </w:t>
      </w:r>
      <w:r>
        <w:rPr>
          <w:rFonts w:ascii="Times New Roman" w:hAnsi="Times New Roman" w:eastAsia="Times New Roman"/>
          <w:kern w:val="2"/>
          <w:sz w:val="24"/>
          <w:lang w:val="en-US" w:eastAsia="zh-CN"/>
        </w:rPr>
        <w:t>Liver</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kidney</w:t>
      </w:r>
      <w:r>
        <w:rPr>
          <w:rFonts w:hint="eastAsia" w:ascii="Times New Roman" w:hAnsi="Times New Roman" w:eastAsia="Times New Roman"/>
          <w:kern w:val="2"/>
          <w:sz w:val="24"/>
          <w:lang w:val="en-US" w:eastAsia="zh-CN"/>
        </w:rPr>
        <w:t xml:space="preserve"> and spleen</w:t>
      </w:r>
      <w:r>
        <w:rPr>
          <w:rFonts w:ascii="Times New Roman" w:hAnsi="Times New Roman" w:eastAsia="Times New Roman"/>
          <w:kern w:val="2"/>
          <w:sz w:val="24"/>
          <w:lang w:val="en-US" w:eastAsia="zh-CN"/>
        </w:rPr>
        <w:t xml:space="preserve"> tissues from rats underwent H&amp;E staining after deparaffinization and rehydration.</w:t>
      </w:r>
      <w:r>
        <w:rPr>
          <w:rFonts w:hint="eastAsia" w:ascii="Times New Roman" w:hAnsi="Times New Roman" w:eastAsia="Times New Roman"/>
          <w:kern w:val="2"/>
          <w:sz w:val="24"/>
          <w:lang w:val="en-US" w:eastAsia="zh-CN"/>
        </w:rPr>
        <w:t xml:space="preserve"> T</w:t>
      </w:r>
      <w:r>
        <w:rPr>
          <w:rFonts w:ascii="Times New Roman" w:hAnsi="Times New Roman" w:eastAsia="Times New Roman"/>
          <w:kern w:val="2"/>
          <w:sz w:val="24"/>
          <w:lang w:val="en-US" w:eastAsia="zh-CN"/>
        </w:rPr>
        <w:t>he sections were examined using a light microscope (BX53, Olympus).</w:t>
      </w:r>
    </w:p>
    <w:p w14:paraId="05D6E1B9">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kern w:val="2"/>
          <w:sz w:val="24"/>
          <w:szCs w:val="24"/>
          <w:lang w:val="en-US" w:eastAsia="zh-CN"/>
        </w:rPr>
      </w:pPr>
      <w:r>
        <w:rPr>
          <w:rFonts w:hint="eastAsia" w:eastAsia="Times New Roman"/>
          <w:b/>
          <w:bCs/>
          <w:kern w:val="2"/>
          <w:sz w:val="24"/>
          <w:szCs w:val="24"/>
          <w:lang w:val="en-US" w:eastAsia="zh-CN"/>
        </w:rPr>
        <w:t>2.</w:t>
      </w:r>
      <w:r>
        <w:rPr>
          <w:rFonts w:hint="eastAsia" w:ascii="Times New Roman" w:hAnsi="Times New Roman" w:eastAsia="Times New Roman"/>
          <w:b/>
          <w:bCs/>
          <w:kern w:val="2"/>
          <w:sz w:val="24"/>
          <w:szCs w:val="24"/>
          <w:lang w:val="en-US" w:eastAsia="zh-CN"/>
        </w:rPr>
        <w:t>6 Statistical analysis</w:t>
      </w:r>
    </w:p>
    <w:p w14:paraId="22D68A52">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ascii="Times New Roman" w:hAnsi="Times New Roman" w:eastAsia="Times New Roman"/>
          <w:kern w:val="2"/>
          <w:sz w:val="24"/>
          <w:lang w:val="en-US" w:eastAsia="zh-CN"/>
        </w:rPr>
        <w:t>The analysis of statistical data was executed using Graph Prism 8.0.1. The presentation of data encompassed mean values along with their corresponding standard deviations (SD). The Shapiro-Wilk test was employed to verify the normal distribution of the original dataset, and for the evaluation of significance relied on both the two-tailed independent Student's t test</w:t>
      </w:r>
      <w:r>
        <w:rPr>
          <w:rFonts w:hint="eastAsia" w:ascii="Times New Roman" w:hAnsi="Times New Roman" w:eastAsia="Times New Roman"/>
          <w:kern w:val="2"/>
          <w:sz w:val="24"/>
          <w:lang w:val="en-US" w:eastAsia="zh-CN"/>
        </w:rPr>
        <w:t>. D</w:t>
      </w:r>
      <w:r>
        <w:rPr>
          <w:rFonts w:ascii="Times New Roman" w:hAnsi="Times New Roman" w:eastAsia="Times New Roman"/>
          <w:kern w:val="2"/>
          <w:sz w:val="24"/>
          <w:lang w:val="en-US" w:eastAsia="zh-CN"/>
        </w:rPr>
        <w:t>ifferences were considered statistically significant at</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 for </w:t>
      </w:r>
      <w:r>
        <w:rPr>
          <w:rFonts w:hint="eastAsia" w:ascii="Times New Roman" w:hAnsi="Times New Roman" w:eastAsia="Times New Roman"/>
          <w:i/>
          <w:iCs/>
          <w:kern w:val="2"/>
          <w:sz w:val="24"/>
          <w:lang w:val="en-US" w:eastAsia="zh-CN"/>
        </w:rPr>
        <w:t>P</w:t>
      </w:r>
      <w:r>
        <w:rPr>
          <w:rFonts w:ascii="Times New Roman" w:hAnsi="Times New Roman" w:eastAsia="Times New Roman"/>
          <w:kern w:val="2"/>
          <w:sz w:val="24"/>
          <w:lang w:val="en-US" w:eastAsia="zh-CN"/>
        </w:rPr>
        <w:t xml:space="preserve"> &lt; 0.05, ** for </w:t>
      </w:r>
      <w:r>
        <w:rPr>
          <w:rFonts w:hint="eastAsia" w:ascii="Times New Roman" w:hAnsi="Times New Roman" w:eastAsia="Times New Roman"/>
          <w:i/>
          <w:iCs/>
          <w:kern w:val="2"/>
          <w:sz w:val="24"/>
          <w:lang w:val="en-US" w:eastAsia="zh-CN"/>
        </w:rPr>
        <w:t>P</w:t>
      </w:r>
      <w:r>
        <w:rPr>
          <w:rFonts w:ascii="Times New Roman" w:hAnsi="Times New Roman" w:eastAsia="Times New Roman"/>
          <w:kern w:val="2"/>
          <w:sz w:val="24"/>
          <w:lang w:val="en-US" w:eastAsia="zh-CN"/>
        </w:rPr>
        <w:t xml:space="preserve"> &lt; 0.01, and *** for </w:t>
      </w:r>
      <w:r>
        <w:rPr>
          <w:rFonts w:hint="eastAsia" w:ascii="Times New Roman" w:hAnsi="Times New Roman" w:eastAsia="Times New Roman"/>
          <w:i/>
          <w:iCs/>
          <w:kern w:val="2"/>
          <w:sz w:val="24"/>
          <w:lang w:val="en-US" w:eastAsia="zh-CN"/>
        </w:rPr>
        <w:t>P</w:t>
      </w:r>
      <w:r>
        <w:rPr>
          <w:rFonts w:ascii="Times New Roman" w:hAnsi="Times New Roman" w:eastAsia="Times New Roman"/>
          <w:kern w:val="2"/>
          <w:sz w:val="24"/>
          <w:lang w:val="en-US" w:eastAsia="zh-CN"/>
        </w:rPr>
        <w:t xml:space="preserve"> &lt; 0.001.</w:t>
      </w:r>
    </w:p>
    <w:p w14:paraId="4F53DEEE">
      <w:pPr>
        <w:pStyle w:val="34"/>
        <w:keepNext w:val="0"/>
        <w:keepLines w:val="0"/>
        <w:pageBreakBefore w:val="0"/>
        <w:numPr>
          <w:ilvl w:val="0"/>
          <w:numId w:val="1"/>
        </w:numPr>
        <w:kinsoku/>
        <w:wordWrap/>
        <w:overflowPunct/>
        <w:topLinePunct w:val="0"/>
        <w:autoSpaceDE/>
        <w:autoSpaceDN/>
        <w:bidi w:val="0"/>
        <w:adjustRightInd/>
        <w:snapToGrid/>
        <w:spacing w:line="480" w:lineRule="auto"/>
        <w:textAlignment w:val="auto"/>
        <w:rPr>
          <w:rFonts w:hint="eastAsia" w:ascii="Times New Roman" w:hAnsi="Times New Roman" w:eastAsia="Times New Roman"/>
          <w:sz w:val="24"/>
        </w:rPr>
      </w:pPr>
      <w:r>
        <w:rPr>
          <w:rFonts w:hint="eastAsia" w:ascii="Times New Roman" w:hAnsi="Times New Roman" w:eastAsia="Times New Roman"/>
          <w:sz w:val="24"/>
        </w:rPr>
        <w:t>Results</w:t>
      </w:r>
    </w:p>
    <w:p w14:paraId="096D499D">
      <w:pPr>
        <w:pStyle w:val="34"/>
        <w:keepNext w:val="0"/>
        <w:keepLines w:val="0"/>
        <w:pageBreakBefore w:val="0"/>
        <w:numPr>
          <w:ilvl w:val="0"/>
          <w:numId w:val="0"/>
        </w:numPr>
        <w:kinsoku/>
        <w:wordWrap/>
        <w:overflowPunct/>
        <w:topLinePunct w:val="0"/>
        <w:autoSpaceDE/>
        <w:autoSpaceDN/>
        <w:bidi w:val="0"/>
        <w:adjustRightInd/>
        <w:snapToGrid/>
        <w:spacing w:line="480" w:lineRule="auto"/>
        <w:textAlignment w:val="auto"/>
        <w:rPr>
          <w:rFonts w:ascii="Times New Roman" w:hAnsi="Times New Roman" w:eastAsia="Times New Roman"/>
          <w:b/>
          <w:sz w:val="24"/>
          <w:lang w:val="en-US"/>
        </w:rPr>
      </w:pPr>
      <w:r>
        <w:rPr>
          <w:rFonts w:hint="eastAsia" w:eastAsia="宋体"/>
          <w:sz w:val="24"/>
          <w:lang w:val="en-US" w:eastAsia="zh-CN"/>
        </w:rPr>
        <w:t>3</w:t>
      </w:r>
      <w:r>
        <w:rPr>
          <w:rFonts w:ascii="Times New Roman" w:hAnsi="Times New Roman" w:eastAsia="Times New Roman"/>
          <w:sz w:val="24"/>
        </w:rPr>
        <w:t xml:space="preserve">.1 </w:t>
      </w:r>
      <w:r>
        <w:rPr>
          <w:rFonts w:hint="eastAsia" w:ascii="Times New Roman" w:hAnsi="Times New Roman" w:eastAsia="Times New Roman"/>
          <w:sz w:val="24"/>
        </w:rPr>
        <w:t>Structural properties, thermal parameters and surface chemical compositions</w:t>
      </w:r>
    </w:p>
    <w:p w14:paraId="450CD82C">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ascii="Times New Roman" w:hAnsi="Times New Roman" w:eastAsia="Times New Roman"/>
          <w:kern w:val="2"/>
          <w:sz w:val="24"/>
          <w:lang w:val="en-US" w:eastAsia="zh-CN"/>
        </w:rPr>
        <w:t>The new amorphous alloy,</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Zr</w:t>
      </w:r>
      <w:r>
        <w:rPr>
          <w:rFonts w:ascii="Times New Roman" w:hAnsi="Times New Roman" w:eastAsia="Times New Roman"/>
          <w:kern w:val="2"/>
          <w:sz w:val="24"/>
          <w:vertAlign w:val="subscript"/>
          <w:lang w:val="en-US" w:eastAsia="zh-CN"/>
        </w:rPr>
        <w:t>61</w:t>
      </w:r>
      <w:r>
        <w:rPr>
          <w:rFonts w:ascii="Times New Roman" w:hAnsi="Times New Roman" w:eastAsia="Times New Roman"/>
          <w:kern w:val="2"/>
          <w:sz w:val="24"/>
          <w:lang w:val="en-US" w:eastAsia="zh-CN"/>
        </w:rPr>
        <w:t>Cu</w:t>
      </w:r>
      <w:r>
        <w:rPr>
          <w:rFonts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vertAlign w:val="subscript"/>
          <w:lang w:val="en-US" w:eastAsia="zh-CN"/>
        </w:rPr>
        <w:t>3</w:t>
      </w:r>
      <w:r>
        <w:rPr>
          <w:rFonts w:ascii="Times New Roman" w:hAnsi="Times New Roman" w:eastAsia="Times New Roman"/>
          <w:kern w:val="2"/>
          <w:sz w:val="24"/>
          <w:lang w:val="en-US" w:eastAsia="zh-CN"/>
        </w:rPr>
        <w:t>Al</w:t>
      </w:r>
      <w:r>
        <w:rPr>
          <w:rFonts w:ascii="Times New Roman" w:hAnsi="Times New Roman" w:eastAsia="Times New Roman"/>
          <w:kern w:val="2"/>
          <w:sz w:val="24"/>
          <w:vertAlign w:val="subscript"/>
          <w:lang w:val="en-US" w:eastAsia="zh-CN"/>
        </w:rPr>
        <w:t>1</w:t>
      </w:r>
      <w:r>
        <w:rPr>
          <w:rFonts w:hint="eastAsia"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Ti</w:t>
      </w:r>
      <w:r>
        <w:rPr>
          <w:rFonts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Ag</w:t>
      </w:r>
      <w:r>
        <w:rPr>
          <w:rFonts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vertAlign w:val="subscript"/>
          <w:lang w:val="en-US" w:eastAsia="zh-CN"/>
        </w:rPr>
        <w:t xml:space="preserve"> </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at.%</w:t>
      </w:r>
      <w:r>
        <w:rPr>
          <w:rFonts w:hint="eastAsia" w:ascii="Times New Roman" w:hAnsi="Times New Roman" w:eastAsia="Times New Roman"/>
          <w:kern w:val="2"/>
          <w:sz w:val="24"/>
          <w:lang w:val="en-US" w:eastAsia="zh-CN"/>
        </w:rPr>
        <w:t xml:space="preserve">) (Zr-BMG), </w:t>
      </w:r>
      <w:r>
        <w:rPr>
          <w:rFonts w:ascii="Times New Roman" w:hAnsi="Times New Roman" w:eastAsia="Times New Roman"/>
          <w:kern w:val="2"/>
          <w:sz w:val="24"/>
          <w:lang w:val="en-US" w:eastAsia="zh-CN"/>
        </w:rPr>
        <w:t>demonstrate</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its critical molding dimensions in</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b w:val="0"/>
          <w:bCs w:val="0"/>
          <w:kern w:val="2"/>
          <w:sz w:val="24"/>
          <w:lang w:val="en-US" w:eastAsia="zh-CN"/>
        </w:rPr>
        <w:t>Supplementary Materials (</w:t>
      </w:r>
      <w:r>
        <w:rPr>
          <w:rFonts w:hint="eastAsia" w:ascii="Times New Roman" w:hAnsi="Times New Roman" w:eastAsia="Times New Roman"/>
          <w:b/>
          <w:bCs/>
          <w:kern w:val="2"/>
          <w:sz w:val="24"/>
          <w:lang w:val="en-US" w:eastAsia="zh-CN"/>
        </w:rPr>
        <w:t>Figure S</w:t>
      </w:r>
      <w:r>
        <w:rPr>
          <w:rFonts w:hint="eastAsia" w:eastAsia="Times New Roman"/>
          <w:b/>
          <w:bCs/>
          <w:kern w:val="2"/>
          <w:sz w:val="24"/>
          <w:lang w:val="en-US" w:eastAsia="zh-CN"/>
        </w:rPr>
        <w:t>3</w:t>
      </w:r>
      <w:r>
        <w:rPr>
          <w:rFonts w:hint="eastAsia" w:ascii="Times New Roman" w:hAnsi="Times New Roman" w:eastAsia="Times New Roman"/>
          <w:b w:val="0"/>
          <w:bCs w:val="0"/>
          <w:kern w:val="2"/>
          <w:sz w:val="24"/>
          <w:lang w:val="en-US" w:eastAsia="zh-CN"/>
        </w:rPr>
        <w:t>)</w:t>
      </w:r>
      <w:r>
        <w:rPr>
          <w:rFonts w:hint="eastAsia" w:ascii="Times New Roman" w:hAnsi="Times New Roman" w:eastAsia="Times New Roman"/>
          <w:kern w:val="2"/>
          <w:sz w:val="24"/>
          <w:lang w:val="en-US" w:eastAsia="zh-CN"/>
        </w:rPr>
        <w:t xml:space="preserve">: a 5 mm diameter cylinder (i) and 16 mm wide rectangles (ii). </w:t>
      </w:r>
      <w:r>
        <w:rPr>
          <w:rFonts w:hint="eastAsia" w:ascii="Times New Roman" w:hAnsi="Times New Roman" w:eastAsia="Times New Roman"/>
          <w:b/>
          <w:bCs/>
          <w:kern w:val="2"/>
          <w:sz w:val="24"/>
          <w:lang w:val="en-US" w:eastAsia="zh-CN"/>
        </w:rPr>
        <w:t xml:space="preserve">Figure 1A </w:t>
      </w:r>
      <w:r>
        <w:rPr>
          <w:rFonts w:hint="eastAsia" w:ascii="Times New Roman" w:hAnsi="Times New Roman" w:eastAsia="Times New Roman"/>
          <w:kern w:val="2"/>
          <w:sz w:val="24"/>
          <w:lang w:val="en-US" w:eastAsia="zh-CN"/>
        </w:rPr>
        <w:t>displayed the DSC curve of the</w:t>
      </w:r>
      <w:r>
        <w:rPr>
          <w:rFonts w:ascii="Times New Roman" w:hAnsi="Times New Roman" w:eastAsia="Times New Roman"/>
          <w:kern w:val="2"/>
          <w:sz w:val="24"/>
          <w:lang w:val="en-US" w:eastAsia="zh-CN"/>
        </w:rPr>
        <w:t xml:space="preserve"> novel Zr-BMG,</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indicating a glass transition temperature</w:t>
      </w:r>
      <w:r>
        <w:rPr>
          <w:rFonts w:hint="eastAsia" w:ascii="Times New Roman" w:hAnsi="Times New Roman" w:eastAsia="Times New Roman"/>
          <w:kern w:val="2"/>
          <w:sz w:val="24"/>
          <w:lang w:val="en-US" w:eastAsia="zh-CN"/>
        </w:rPr>
        <w:t xml:space="preserve"> (T</w:t>
      </w:r>
      <w:r>
        <w:rPr>
          <w:rFonts w:hint="eastAsia" w:ascii="Times New Roman" w:hAnsi="Times New Roman" w:eastAsia="Times New Roman"/>
          <w:kern w:val="2"/>
          <w:sz w:val="24"/>
          <w:vertAlign w:val="subscript"/>
          <w:lang w:val="en-US" w:eastAsia="zh-CN"/>
        </w:rPr>
        <w:t>g</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of</w:t>
      </w:r>
      <w:r>
        <w:rPr>
          <w:rFonts w:hint="eastAsia" w:ascii="Times New Roman" w:hAnsi="Times New Roman" w:eastAsia="Times New Roman"/>
          <w:kern w:val="2"/>
          <w:sz w:val="24"/>
          <w:lang w:val="en-US" w:eastAsia="zh-CN"/>
        </w:rPr>
        <w:t xml:space="preserve"> 662.01 K </w:t>
      </w:r>
      <w:r>
        <w:rPr>
          <w:rFonts w:ascii="Times New Roman" w:hAnsi="Times New Roman" w:eastAsia="Times New Roman"/>
          <w:kern w:val="2"/>
          <w:sz w:val="24"/>
          <w:lang w:val="en-US" w:eastAsia="zh-CN"/>
        </w:rPr>
        <w:t>and a crystallization temperature (T</w:t>
      </w:r>
      <w:r>
        <w:rPr>
          <w:rFonts w:ascii="Times New Roman" w:hAnsi="Times New Roman" w:eastAsia="Times New Roman"/>
          <w:kern w:val="2"/>
          <w:sz w:val="24"/>
          <w:vertAlign w:val="subscript"/>
          <w:lang w:val="en-US" w:eastAsia="zh-CN"/>
        </w:rPr>
        <w:t>x</w:t>
      </w:r>
      <w:r>
        <w:rPr>
          <w:rFonts w:ascii="Times New Roman" w:hAnsi="Times New Roman" w:eastAsia="Times New Roman"/>
          <w:kern w:val="2"/>
          <w:sz w:val="24"/>
          <w:lang w:val="en-US" w:eastAsia="zh-CN"/>
        </w:rPr>
        <w:t>) of</w:t>
      </w:r>
      <w:r>
        <w:rPr>
          <w:rFonts w:hint="eastAsia" w:ascii="Times New Roman" w:hAnsi="Times New Roman" w:eastAsia="Times New Roman"/>
          <w:kern w:val="2"/>
          <w:sz w:val="24"/>
          <w:lang w:val="en-US" w:eastAsia="zh-CN"/>
        </w:rPr>
        <w:t xml:space="preserve"> 720.30 K</w:t>
      </w:r>
      <w:r>
        <w:rPr>
          <w:rFonts w:ascii="Times New Roman" w:hAnsi="Times New Roman" w:eastAsia="Times New Roman"/>
          <w:kern w:val="2"/>
          <w:sz w:val="24"/>
          <w:lang w:val="en-US" w:eastAsia="zh-CN"/>
        </w:rPr>
        <w:t xml:space="preserve">, resulting in a supercooled liquid range (∆T) of </w:t>
      </w:r>
      <w:r>
        <w:rPr>
          <w:rFonts w:hint="eastAsia" w:ascii="Times New Roman" w:hAnsi="Times New Roman" w:eastAsia="Times New Roman"/>
          <w:kern w:val="2"/>
          <w:sz w:val="24"/>
          <w:lang w:val="en-US" w:eastAsia="zh-CN"/>
        </w:rPr>
        <w:t xml:space="preserve">58.29 K. </w:t>
      </w:r>
      <w:r>
        <w:rPr>
          <w:rFonts w:ascii="Times New Roman" w:hAnsi="Times New Roman" w:eastAsia="Times New Roman"/>
          <w:kern w:val="2"/>
          <w:sz w:val="24"/>
          <w:lang w:val="en-US" w:eastAsia="zh-CN"/>
        </w:rPr>
        <w:t>The results demonstrate</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the system's superior glass-forming ability and thermal stability</w:t>
      </w:r>
      <w:r>
        <w:rPr>
          <w:rFonts w:hint="eastAsia" w:ascii="Times New Roman" w:hAnsi="Times New Roman" w:eastAsia="Times New Roman"/>
          <w:color w:val="080000"/>
          <w:sz w:val="24"/>
          <w:szCs w:val="24"/>
          <w:vertAlign w:val="superscript"/>
        </w:rPr>
        <w:t>[9]</w:t>
      </w:r>
      <w:r>
        <w:rPr>
          <w:rFonts w:ascii="Times New Roman" w:hAnsi="Times New Roman" w:eastAsia="Times New Roman"/>
          <w:kern w:val="2"/>
          <w:sz w:val="24"/>
          <w:lang w:val="en-US" w:eastAsia="zh-CN"/>
        </w:rPr>
        <w:t>.</w:t>
      </w:r>
      <w:r>
        <w:rPr>
          <w:rFonts w:hint="eastAsia" w:ascii="Times New Roman" w:hAnsi="Times New Roman" w:eastAsia="Times New Roman"/>
          <w:kern w:val="2"/>
          <w:sz w:val="24"/>
          <w:lang w:val="en-US" w:eastAsia="zh-CN"/>
        </w:rPr>
        <w:t xml:space="preserve"> </w:t>
      </w:r>
    </w:p>
    <w:p w14:paraId="3F42928E">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cs="Times New Roman"/>
          <w:kern w:val="2"/>
          <w:sz w:val="24"/>
          <w:lang w:val="en-US" w:eastAsia="zh-CN"/>
        </w:rPr>
      </w:pPr>
      <w:r>
        <w:rPr>
          <w:rFonts w:ascii="Times New Roman" w:hAnsi="Times New Roman" w:eastAsia="Times New Roman"/>
          <w:kern w:val="2"/>
          <w:sz w:val="24"/>
          <w:lang w:val="en-US" w:eastAsia="zh-CN"/>
        </w:rPr>
        <w:t xml:space="preserve">The XRD diagram shown in </w:t>
      </w:r>
      <w:r>
        <w:rPr>
          <w:rFonts w:ascii="Times New Roman" w:hAnsi="Times New Roman" w:eastAsia="Times New Roman"/>
          <w:b/>
          <w:bCs/>
          <w:kern w:val="2"/>
          <w:sz w:val="24"/>
          <w:lang w:val="en-US" w:eastAsia="zh-CN"/>
        </w:rPr>
        <w:t xml:space="preserve">Figure </w:t>
      </w:r>
      <w:r>
        <w:rPr>
          <w:rFonts w:hint="eastAsia" w:ascii="Times New Roman" w:hAnsi="Times New Roman" w:eastAsia="Times New Roman"/>
          <w:b/>
          <w:bCs/>
          <w:kern w:val="2"/>
          <w:sz w:val="24"/>
          <w:lang w:val="en-US" w:eastAsia="zh-CN"/>
        </w:rPr>
        <w:t>1B</w:t>
      </w:r>
      <w:r>
        <w:rPr>
          <w:rFonts w:ascii="Times New Roman" w:hAnsi="Times New Roman" w:eastAsia="Times New Roman"/>
          <w:kern w:val="2"/>
          <w:sz w:val="24"/>
          <w:lang w:val="en-US" w:eastAsia="zh-CN"/>
        </w:rPr>
        <w:t xml:space="preserve"> display</w:t>
      </w:r>
      <w:r>
        <w:rPr>
          <w:rFonts w:hint="eastAsia" w:ascii="Times New Roman" w:hAnsi="Times New Roman" w:eastAsia="Times New Roman"/>
          <w:kern w:val="2"/>
          <w:sz w:val="24"/>
          <w:lang w:val="en-US" w:eastAsia="zh-CN"/>
        </w:rPr>
        <w:t>ed</w:t>
      </w:r>
      <w:r>
        <w:rPr>
          <w:rFonts w:ascii="Times New Roman" w:hAnsi="Times New Roman" w:eastAsia="Times New Roman"/>
          <w:kern w:val="2"/>
          <w:sz w:val="24"/>
          <w:lang w:val="en-US" w:eastAsia="zh-CN"/>
        </w:rPr>
        <w:t xml:space="preserve"> a characteristic wide scattering peak, indicating the amorphous</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 xml:space="preserve">nature of the </w:t>
      </w:r>
      <w:r>
        <w:rPr>
          <w:rFonts w:hint="eastAsia" w:ascii="Times New Roman" w:hAnsi="Times New Roman" w:eastAsia="Times New Roman"/>
          <w:kern w:val="2"/>
          <w:sz w:val="24"/>
          <w:lang w:val="en-US" w:eastAsia="zh-CN"/>
        </w:rPr>
        <w:t>Zr-BMG</w:t>
      </w:r>
      <w:r>
        <w:rPr>
          <w:rFonts w:ascii="Times New Roman" w:hAnsi="Times New Roman" w:eastAsia="Times New Roman"/>
          <w:kern w:val="2"/>
          <w:sz w:val="24"/>
          <w:lang w:val="en-US" w:eastAsia="zh-CN"/>
        </w:rPr>
        <w:t xml:space="preserve"> material.</w:t>
      </w:r>
      <w:r>
        <w:rPr>
          <w:rFonts w:hint="eastAsia" w:ascii="Times New Roman" w:hAnsi="Times New Roman" w:eastAsia="Times New Roman"/>
          <w:kern w:val="2"/>
          <w:sz w:val="24"/>
          <w:lang w:val="en-US" w:eastAsia="zh-CN"/>
        </w:rPr>
        <w:t xml:space="preserve"> </w:t>
      </w:r>
      <w:r>
        <w:rPr>
          <w:rFonts w:ascii="Times New Roman" w:hAnsi="Times New Roman" w:eastAsia="Times New Roman" w:cs="Times New Roman"/>
          <w:kern w:val="2"/>
          <w:sz w:val="24"/>
          <w:lang w:val="en-US" w:eastAsia="zh-CN"/>
        </w:rPr>
        <w:t xml:space="preserve">Microstructural homogeneity was carefully scrutinized by </w:t>
      </w:r>
      <w:r>
        <w:rPr>
          <w:rFonts w:hint="eastAsia" w:ascii="Times New Roman" w:hAnsi="Times New Roman" w:eastAsia="Times New Roman" w:cs="Times New Roman"/>
          <w:kern w:val="2"/>
          <w:sz w:val="24"/>
          <w:lang w:val="en-US" w:eastAsia="zh-CN"/>
        </w:rPr>
        <w:t>transmission electron microscope (</w:t>
      </w:r>
      <w:r>
        <w:rPr>
          <w:rFonts w:ascii="Times New Roman" w:hAnsi="Times New Roman" w:eastAsia="Times New Roman" w:cs="Times New Roman"/>
          <w:kern w:val="2"/>
          <w:sz w:val="24"/>
          <w:lang w:val="en-US" w:eastAsia="zh-CN"/>
        </w:rPr>
        <w:t>TEM</w:t>
      </w:r>
      <w:r>
        <w:rPr>
          <w:rFonts w:hint="eastAsia" w:ascii="Times New Roman" w:hAnsi="Times New Roman" w:eastAsia="Times New Roman" w:cs="Times New Roman"/>
          <w:kern w:val="2"/>
          <w:sz w:val="24"/>
          <w:lang w:val="en-US" w:eastAsia="zh-CN"/>
        </w:rPr>
        <w:t>)</w:t>
      </w:r>
      <w:r>
        <w:rPr>
          <w:rFonts w:ascii="Times New Roman" w:hAnsi="Times New Roman" w:eastAsia="Times New Roman" w:cs="Times New Roman"/>
          <w:kern w:val="2"/>
          <w:sz w:val="24"/>
          <w:lang w:val="en-US" w:eastAsia="zh-CN"/>
        </w:rPr>
        <w:t xml:space="preserve"> and two diffuse halos featuring the short-range order of BMGs confirmed the amorphous state of the alloys</w:t>
      </w:r>
      <w:r>
        <w:rPr>
          <w:rFonts w:hint="eastAsia" w:ascii="Times New Roman" w:hAnsi="Times New Roman" w:eastAsia="Times New Roman" w:cs="Times New Roman"/>
          <w:kern w:val="2"/>
          <w:sz w:val="24"/>
          <w:lang w:val="en-US" w:eastAsia="zh-CN"/>
        </w:rPr>
        <w:t xml:space="preserve"> (</w:t>
      </w:r>
      <w:r>
        <w:rPr>
          <w:rFonts w:hint="eastAsia" w:ascii="Times New Roman" w:hAnsi="Times New Roman" w:eastAsia="Times New Roman" w:cs="Times New Roman"/>
          <w:b/>
          <w:bCs/>
          <w:kern w:val="2"/>
          <w:sz w:val="24"/>
          <w:lang w:val="en-US" w:eastAsia="zh-CN"/>
        </w:rPr>
        <w:t>Figure 1C</w:t>
      </w:r>
      <w:r>
        <w:rPr>
          <w:rFonts w:hint="eastAsia" w:ascii="Times New Roman" w:hAnsi="Times New Roman" w:eastAsia="Times New Roman" w:cs="Times New Roman"/>
          <w:kern w:val="2"/>
          <w:sz w:val="24"/>
          <w:lang w:val="en-US" w:eastAsia="zh-CN"/>
        </w:rPr>
        <w:t xml:space="preserve">). </w:t>
      </w:r>
    </w:p>
    <w:p w14:paraId="27E16BFD">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cs="Times New Roman"/>
          <w:kern w:val="2"/>
          <w:sz w:val="24"/>
          <w:lang w:val="en-US" w:eastAsia="zh-CN"/>
        </w:rPr>
      </w:pPr>
      <w:r>
        <w:rPr>
          <w:rFonts w:hint="eastAsia" w:ascii="Times New Roman" w:hAnsi="Times New Roman" w:eastAsia="Times New Roman" w:cs="Times New Roman"/>
          <w:kern w:val="2"/>
          <w:sz w:val="24"/>
          <w:lang w:val="en-US" w:eastAsia="zh-CN"/>
        </w:rPr>
        <w:t>S</w:t>
      </w:r>
      <w:r>
        <w:rPr>
          <w:rFonts w:ascii="Times New Roman" w:hAnsi="Times New Roman" w:eastAsia="Times New Roman" w:cs="Times New Roman"/>
          <w:kern w:val="2"/>
          <w:sz w:val="24"/>
          <w:lang w:val="en-US" w:eastAsia="zh-CN"/>
        </w:rPr>
        <w:t xml:space="preserve">canning </w:t>
      </w:r>
      <w:r>
        <w:rPr>
          <w:rFonts w:hint="eastAsia" w:ascii="Times New Roman" w:hAnsi="Times New Roman" w:eastAsia="Times New Roman" w:cs="Times New Roman"/>
          <w:kern w:val="2"/>
          <w:sz w:val="24"/>
          <w:lang w:val="en-US" w:eastAsia="zh-CN"/>
        </w:rPr>
        <w:t>e</w:t>
      </w:r>
      <w:r>
        <w:rPr>
          <w:rFonts w:ascii="Times New Roman" w:hAnsi="Times New Roman" w:eastAsia="Times New Roman" w:cs="Times New Roman"/>
          <w:kern w:val="2"/>
          <w:sz w:val="24"/>
          <w:lang w:val="en-US" w:eastAsia="zh-CN"/>
        </w:rPr>
        <w:t xml:space="preserve">lectron </w:t>
      </w:r>
      <w:r>
        <w:rPr>
          <w:rFonts w:hint="eastAsia" w:ascii="Times New Roman" w:hAnsi="Times New Roman" w:eastAsia="Times New Roman" w:cs="Times New Roman"/>
          <w:kern w:val="2"/>
          <w:sz w:val="24"/>
          <w:lang w:val="en-US" w:eastAsia="zh-CN"/>
        </w:rPr>
        <w:t>m</w:t>
      </w:r>
      <w:r>
        <w:rPr>
          <w:rFonts w:ascii="Times New Roman" w:hAnsi="Times New Roman" w:eastAsia="Times New Roman" w:cs="Times New Roman"/>
          <w:kern w:val="2"/>
          <w:sz w:val="24"/>
          <w:lang w:val="en-US" w:eastAsia="zh-CN"/>
        </w:rPr>
        <w:t>icroscope</w:t>
      </w:r>
      <w:r>
        <w:rPr>
          <w:rFonts w:hint="eastAsia" w:ascii="Times New Roman" w:hAnsi="Times New Roman" w:eastAsia="Times New Roman" w:cs="Times New Roman"/>
          <w:kern w:val="2"/>
          <w:sz w:val="24"/>
          <w:lang w:val="en-US" w:eastAsia="zh-CN"/>
        </w:rPr>
        <w:t xml:space="preserve"> (SEM) and e</w:t>
      </w:r>
      <w:r>
        <w:rPr>
          <w:rFonts w:ascii="Times New Roman" w:hAnsi="Times New Roman" w:eastAsia="Times New Roman" w:cs="Times New Roman"/>
          <w:kern w:val="2"/>
          <w:sz w:val="24"/>
          <w:lang w:val="en-US" w:eastAsia="zh-CN"/>
        </w:rPr>
        <w:t xml:space="preserve">nergy </w:t>
      </w:r>
      <w:r>
        <w:rPr>
          <w:rFonts w:hint="eastAsia" w:ascii="Times New Roman" w:hAnsi="Times New Roman" w:eastAsia="Times New Roman" w:cs="Times New Roman"/>
          <w:kern w:val="2"/>
          <w:sz w:val="24"/>
          <w:lang w:val="en-US" w:eastAsia="zh-CN"/>
        </w:rPr>
        <w:t>d</w:t>
      </w:r>
      <w:r>
        <w:rPr>
          <w:rFonts w:ascii="Times New Roman" w:hAnsi="Times New Roman" w:eastAsia="Times New Roman" w:cs="Times New Roman"/>
          <w:kern w:val="2"/>
          <w:sz w:val="24"/>
          <w:lang w:val="en-US" w:eastAsia="zh-CN"/>
        </w:rPr>
        <w:t xml:space="preserve">ispersive </w:t>
      </w:r>
      <w:r>
        <w:rPr>
          <w:rFonts w:hint="eastAsia" w:ascii="Times New Roman" w:hAnsi="Times New Roman" w:eastAsia="Times New Roman" w:cs="Times New Roman"/>
          <w:kern w:val="2"/>
          <w:sz w:val="24"/>
          <w:lang w:val="en-US" w:eastAsia="zh-CN"/>
        </w:rPr>
        <w:t>X</w:t>
      </w:r>
      <w:r>
        <w:rPr>
          <w:rFonts w:ascii="Times New Roman" w:hAnsi="Times New Roman" w:eastAsia="Times New Roman" w:cs="Times New Roman"/>
          <w:kern w:val="2"/>
          <w:sz w:val="24"/>
          <w:lang w:val="en-US" w:eastAsia="zh-CN"/>
        </w:rPr>
        <w:t xml:space="preserve">-ray </w:t>
      </w:r>
      <w:r>
        <w:rPr>
          <w:rFonts w:hint="eastAsia" w:ascii="Times New Roman" w:hAnsi="Times New Roman" w:eastAsia="Times New Roman" w:cs="Times New Roman"/>
          <w:kern w:val="2"/>
          <w:sz w:val="24"/>
          <w:lang w:val="en-US" w:eastAsia="zh-CN"/>
        </w:rPr>
        <w:t>s</w:t>
      </w:r>
      <w:r>
        <w:rPr>
          <w:rFonts w:ascii="Times New Roman" w:hAnsi="Times New Roman" w:eastAsia="Times New Roman" w:cs="Times New Roman"/>
          <w:kern w:val="2"/>
          <w:sz w:val="24"/>
          <w:lang w:val="en-US" w:eastAsia="zh-CN"/>
        </w:rPr>
        <w:t>pectroscopy</w:t>
      </w:r>
      <w:r>
        <w:rPr>
          <w:rFonts w:hint="eastAsia" w:ascii="Times New Roman" w:hAnsi="Times New Roman" w:eastAsia="Times New Roman" w:cs="Times New Roman"/>
          <w:kern w:val="2"/>
          <w:sz w:val="24"/>
          <w:lang w:val="en-US" w:eastAsia="zh-CN"/>
        </w:rPr>
        <w:t xml:space="preserve"> (EDS) </w:t>
      </w:r>
      <w:r>
        <w:rPr>
          <w:rFonts w:ascii="Times New Roman" w:hAnsi="Times New Roman" w:eastAsia="Times New Roman" w:cs="Times New Roman"/>
          <w:kern w:val="2"/>
          <w:sz w:val="24"/>
          <w:lang w:val="en-US" w:eastAsia="zh-CN"/>
        </w:rPr>
        <w:t xml:space="preserve">identified the presence of Zr, Cu, Al, </w:t>
      </w:r>
      <w:r>
        <w:rPr>
          <w:rFonts w:hint="eastAsia" w:ascii="Times New Roman" w:hAnsi="Times New Roman" w:eastAsia="Times New Roman" w:cs="Times New Roman"/>
          <w:kern w:val="2"/>
          <w:sz w:val="24"/>
          <w:lang w:val="en-US" w:eastAsia="zh-CN"/>
        </w:rPr>
        <w:t>Ti</w:t>
      </w:r>
      <w:r>
        <w:rPr>
          <w:rFonts w:ascii="Times New Roman" w:hAnsi="Times New Roman" w:eastAsia="Times New Roman" w:cs="Times New Roman"/>
          <w:kern w:val="2"/>
          <w:sz w:val="24"/>
          <w:lang w:val="en-US" w:eastAsia="zh-CN"/>
        </w:rPr>
        <w:t>,</w:t>
      </w:r>
      <w:r>
        <w:rPr>
          <w:rFonts w:hint="eastAsia" w:ascii="Times New Roman" w:hAnsi="Times New Roman" w:eastAsia="Times New Roman" w:cs="Times New Roman"/>
          <w:kern w:val="2"/>
          <w:sz w:val="24"/>
          <w:lang w:val="en-US" w:eastAsia="zh-CN"/>
        </w:rPr>
        <w:t xml:space="preserve"> Ag,</w:t>
      </w:r>
      <w:r>
        <w:rPr>
          <w:rFonts w:ascii="Times New Roman" w:hAnsi="Times New Roman" w:eastAsia="Times New Roman" w:cs="Times New Roman"/>
          <w:kern w:val="2"/>
          <w:sz w:val="24"/>
          <w:lang w:val="en-US" w:eastAsia="zh-CN"/>
        </w:rPr>
        <w:t xml:space="preserve"> O in </w:t>
      </w:r>
      <w:r>
        <w:rPr>
          <w:rFonts w:hint="eastAsia" w:ascii="Times New Roman" w:hAnsi="Times New Roman" w:eastAsia="Times New Roman" w:cs="Times New Roman"/>
          <w:kern w:val="2"/>
          <w:sz w:val="24"/>
          <w:lang w:val="en-US" w:eastAsia="zh-CN"/>
        </w:rPr>
        <w:t xml:space="preserve">bulk metallic glasses </w:t>
      </w:r>
      <w:r>
        <w:rPr>
          <w:rFonts w:ascii="Times New Roman" w:hAnsi="Times New Roman" w:eastAsia="Times New Roman" w:cs="Times New Roman"/>
          <w:kern w:val="2"/>
          <w:sz w:val="24"/>
          <w:lang w:val="en-US" w:eastAsia="zh-CN"/>
        </w:rPr>
        <w:t>(</w:t>
      </w:r>
      <w:r>
        <w:rPr>
          <w:rFonts w:hint="eastAsia" w:ascii="Times New Roman" w:hAnsi="Times New Roman" w:eastAsia="Times New Roman" w:cs="Times New Roman"/>
          <w:b/>
          <w:bCs/>
          <w:kern w:val="2"/>
          <w:sz w:val="24"/>
          <w:lang w:val="en-US" w:eastAsia="zh-CN"/>
        </w:rPr>
        <w:t>Figure S</w:t>
      </w:r>
      <w:r>
        <w:rPr>
          <w:rFonts w:hint="eastAsia" w:eastAsia="Times New Roman" w:cs="Times New Roman"/>
          <w:b/>
          <w:bCs/>
          <w:kern w:val="2"/>
          <w:sz w:val="24"/>
          <w:lang w:val="en-US" w:eastAsia="zh-CN"/>
        </w:rPr>
        <w:t>4</w:t>
      </w:r>
      <w:r>
        <w:rPr>
          <w:rFonts w:ascii="Times New Roman" w:hAnsi="Times New Roman" w:eastAsia="Times New Roman" w:cs="Times New Roman"/>
          <w:kern w:val="2"/>
          <w:sz w:val="24"/>
          <w:lang w:val="en-US" w:eastAsia="zh-CN"/>
        </w:rPr>
        <w:t>), confirming our elemental composition.</w:t>
      </w:r>
      <w:r>
        <w:rPr>
          <w:rFonts w:hint="eastAsia" w:ascii="Times New Roman" w:hAnsi="Times New Roman" w:eastAsia="Times New Roman" w:cs="Times New Roman"/>
          <w:kern w:val="2"/>
          <w:sz w:val="24"/>
          <w:lang w:val="en-US" w:eastAsia="zh-CN"/>
        </w:rPr>
        <w:t xml:space="preserve"> X-ray photoelectron spectroscopy (XPS) image (</w:t>
      </w:r>
      <w:r>
        <w:rPr>
          <w:rFonts w:hint="eastAsia" w:ascii="Times New Roman" w:hAnsi="Times New Roman" w:eastAsia="Times New Roman" w:cs="Times New Roman"/>
          <w:b/>
          <w:bCs/>
          <w:kern w:val="2"/>
          <w:sz w:val="24"/>
          <w:lang w:val="en-US" w:eastAsia="zh-CN"/>
        </w:rPr>
        <w:t>Figure 1D</w:t>
      </w:r>
      <w:r>
        <w:rPr>
          <w:rFonts w:hint="eastAsia" w:ascii="Times New Roman" w:hAnsi="Times New Roman" w:eastAsia="Times New Roman" w:cs="Times New Roman"/>
          <w:kern w:val="2"/>
          <w:sz w:val="24"/>
          <w:lang w:val="en-US" w:eastAsia="zh-CN"/>
        </w:rPr>
        <w:t>) and fine peak analysis of zirconium elements revealed that zirconium in the sample primarily existed in the Zr</w:t>
      </w:r>
      <w:r>
        <w:rPr>
          <w:rFonts w:hint="eastAsia" w:ascii="Times New Roman" w:hAnsi="Times New Roman" w:eastAsia="Times New Roman" w:cs="Times New Roman"/>
          <w:kern w:val="2"/>
          <w:sz w:val="24"/>
          <w:vertAlign w:val="superscript"/>
          <w:lang w:val="en-US" w:eastAsia="zh-CN"/>
        </w:rPr>
        <w:t>4+</w:t>
      </w:r>
      <w:r>
        <w:rPr>
          <w:rFonts w:hint="eastAsia" w:ascii="Times New Roman" w:hAnsi="Times New Roman" w:eastAsia="Times New Roman" w:cs="Times New Roman"/>
          <w:kern w:val="2"/>
          <w:sz w:val="24"/>
          <w:lang w:val="en-US" w:eastAsia="zh-CN"/>
        </w:rPr>
        <w:t xml:space="preserve"> state (182.15/184.53 eV), indicating that the tetravalent zirconium originates from zirconium oxide. Similarly, aluminum, titanium and silver were also enriched in oxide forms, detected as Al</w:t>
      </w:r>
      <w:r>
        <w:rPr>
          <w:rFonts w:hint="eastAsia" w:ascii="Times New Roman" w:hAnsi="Times New Roman" w:eastAsia="Times New Roman" w:cs="Times New Roman"/>
          <w:kern w:val="2"/>
          <w:sz w:val="24"/>
          <w:vertAlign w:val="superscript"/>
          <w:lang w:val="en-US" w:eastAsia="zh-CN"/>
        </w:rPr>
        <w:t>3+,</w:t>
      </w:r>
      <w:r>
        <w:rPr>
          <w:rFonts w:hint="eastAsia" w:ascii="Times New Roman" w:hAnsi="Times New Roman" w:eastAsia="Times New Roman" w:cs="Times New Roman"/>
          <w:kern w:val="2"/>
          <w:sz w:val="24"/>
          <w:lang w:val="en-US" w:eastAsia="zh-CN"/>
        </w:rPr>
        <w:t xml:space="preserve"> Ti</w:t>
      </w:r>
      <w:r>
        <w:rPr>
          <w:rFonts w:hint="eastAsia" w:ascii="Times New Roman" w:hAnsi="Times New Roman" w:eastAsia="Times New Roman" w:cs="Times New Roman"/>
          <w:kern w:val="2"/>
          <w:sz w:val="24"/>
          <w:vertAlign w:val="superscript"/>
          <w:lang w:val="en-US" w:eastAsia="zh-CN"/>
        </w:rPr>
        <w:t>4+</w:t>
      </w:r>
      <w:r>
        <w:rPr>
          <w:rFonts w:hint="eastAsia" w:ascii="Times New Roman" w:hAnsi="Times New Roman" w:eastAsia="Times New Roman" w:cs="Times New Roman"/>
          <w:kern w:val="2"/>
          <w:sz w:val="24"/>
          <w:lang w:val="en-US" w:eastAsia="zh-CN"/>
        </w:rPr>
        <w:t xml:space="preserve"> and Ag</w:t>
      </w:r>
      <w:r>
        <w:rPr>
          <w:rFonts w:hint="eastAsia" w:ascii="Times New Roman" w:hAnsi="Times New Roman" w:eastAsia="Times New Roman" w:cs="Times New Roman"/>
          <w:kern w:val="2"/>
          <w:sz w:val="24"/>
          <w:vertAlign w:val="superscript"/>
          <w:lang w:val="en-US" w:eastAsia="zh-CN"/>
        </w:rPr>
        <w:t>+</w:t>
      </w:r>
      <w:r>
        <w:rPr>
          <w:rFonts w:hint="eastAsia" w:ascii="Times New Roman" w:hAnsi="Times New Roman" w:eastAsia="Times New Roman" w:cs="Times New Roman"/>
          <w:kern w:val="2"/>
          <w:sz w:val="24"/>
          <w:lang w:val="en-US" w:eastAsia="zh-CN"/>
        </w:rPr>
        <w:t>, respectively. In contrast, Cu mainly existed in the zero-valent form. The detailed information of XPS peak analysis could be found in Supplementary Materials (</w:t>
      </w:r>
      <w:r>
        <w:rPr>
          <w:rFonts w:hint="eastAsia" w:ascii="Times New Roman" w:hAnsi="Times New Roman" w:eastAsia="Times New Roman" w:cs="Times New Roman"/>
          <w:b/>
          <w:bCs/>
          <w:kern w:val="2"/>
          <w:sz w:val="24"/>
          <w:lang w:val="en-US" w:eastAsia="zh-CN"/>
        </w:rPr>
        <w:t>Table S1</w:t>
      </w:r>
      <w:r>
        <w:rPr>
          <w:rFonts w:hint="eastAsia" w:ascii="Times New Roman" w:hAnsi="Times New Roman" w:eastAsia="Times New Roman" w:cs="Times New Roman"/>
          <w:kern w:val="2"/>
          <w:sz w:val="24"/>
          <w:lang w:val="en-US" w:eastAsia="zh-CN"/>
        </w:rPr>
        <w:t>). Based on the XPS results, it could be inferred that the predominant Zr element in Zr-BMG primarily existed on the material surface in the form of oxides, indicating the formation of an oxide layer on its surface. Additionally, Cu primarily existed on the material surface in the form of metallic Cu</w:t>
      </w:r>
      <w:r>
        <w:rPr>
          <w:rFonts w:hint="eastAsia" w:ascii="Times New Roman" w:hAnsi="Times New Roman" w:eastAsia="Times New Roman" w:cs="Times New Roman"/>
          <w:kern w:val="2"/>
          <w:sz w:val="24"/>
          <w:vertAlign w:val="superscript"/>
          <w:lang w:val="en-US" w:eastAsia="zh-CN"/>
        </w:rPr>
        <w:t>0</w:t>
      </w:r>
      <w:r>
        <w:rPr>
          <w:rFonts w:hint="eastAsia" w:ascii="Times New Roman" w:hAnsi="Times New Roman" w:eastAsia="Times New Roman" w:cs="Times New Roman"/>
          <w:kern w:val="2"/>
          <w:sz w:val="24"/>
          <w:lang w:val="en-US" w:eastAsia="zh-CN"/>
        </w:rPr>
        <w:t>.</w:t>
      </w:r>
    </w:p>
    <w:p w14:paraId="4A3E7530">
      <w:pPr>
        <w:widowControl w:val="0"/>
        <w:spacing w:line="360" w:lineRule="auto"/>
        <w:jc w:val="both"/>
        <w:rPr>
          <w:rFonts w:ascii="Times New Roman" w:hAnsi="Times New Roman" w:eastAsia="Times New Roman"/>
          <w:sz w:val="24"/>
        </w:rPr>
      </w:pPr>
      <w:r>
        <w:rPr>
          <w:rFonts w:ascii="Times New Roman" w:hAnsi="Times New Roman" w:eastAsia="Times New Roman"/>
          <w:sz w:val="24"/>
        </w:rPr>
        <w:drawing>
          <wp:inline distT="0" distB="0" distL="114300" distR="114300">
            <wp:extent cx="5760720" cy="5217795"/>
            <wp:effectExtent l="0" t="0" r="508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760720" cy="5217795"/>
                    </a:xfrm>
                    <a:prstGeom prst="rect">
                      <a:avLst/>
                    </a:prstGeom>
                    <a:noFill/>
                    <a:ln>
                      <a:noFill/>
                    </a:ln>
                  </pic:spPr>
                </pic:pic>
              </a:graphicData>
            </a:graphic>
          </wp:inline>
        </w:drawing>
      </w:r>
    </w:p>
    <w:p w14:paraId="3739975E">
      <w:pPr>
        <w:pStyle w:val="38"/>
        <w:keepNext w:val="0"/>
        <w:keepLines w:val="0"/>
        <w:pageBreakBefore w:val="0"/>
        <w:widowControl/>
        <w:kinsoku/>
        <w:wordWrap/>
        <w:overflowPunct/>
        <w:topLinePunct w:val="0"/>
        <w:autoSpaceDE/>
        <w:autoSpaceDN/>
        <w:bidi w:val="0"/>
        <w:adjustRightInd/>
        <w:snapToGrid/>
        <w:spacing w:line="480" w:lineRule="auto"/>
        <w:textAlignment w:val="auto"/>
        <w:rPr>
          <w:rFonts w:hint="eastAsia" w:ascii="Times New Roman" w:hAnsi="Times New Roman" w:eastAsia="Times New Roman"/>
          <w:sz w:val="24"/>
          <w:lang w:val="en-US" w:eastAsia="zh-CN"/>
        </w:rPr>
      </w:pPr>
      <w:r>
        <w:rPr>
          <w:rFonts w:ascii="Times New Roman" w:hAnsi="Times New Roman" w:eastAsia="Times New Roman"/>
          <w:b/>
          <w:sz w:val="24"/>
        </w:rPr>
        <w:t>Figure 1.</w:t>
      </w:r>
      <w:r>
        <w:rPr>
          <w:rFonts w:ascii="Times New Roman" w:hAnsi="Times New Roman" w:eastAsia="Times New Roman"/>
          <w:sz w:val="24"/>
        </w:rPr>
        <w:t xml:space="preserve"> </w:t>
      </w:r>
      <w:r>
        <w:rPr>
          <w:rFonts w:hint="eastAsia" w:ascii="Times New Roman" w:hAnsi="Times New Roman" w:eastAsia="Times New Roman"/>
          <w:sz w:val="24"/>
        </w:rPr>
        <w:t xml:space="preserve"> Structural properties, thermal parameters and surface chemical compositions</w:t>
      </w:r>
      <w:r>
        <w:rPr>
          <w:rFonts w:hint="eastAsia" w:ascii="Times New Roman" w:hAnsi="Times New Roman" w:eastAsia="Times New Roman"/>
          <w:sz w:val="24"/>
          <w:lang w:val="en-US" w:eastAsia="zh-CN"/>
        </w:rPr>
        <w:t>.</w:t>
      </w:r>
    </w:p>
    <w:p w14:paraId="4EE92637">
      <w:pPr>
        <w:pStyle w:val="38"/>
        <w:keepNext w:val="0"/>
        <w:keepLines w:val="0"/>
        <w:pageBreakBefore w:val="0"/>
        <w:widowControl/>
        <w:kinsoku/>
        <w:wordWrap/>
        <w:overflowPunct/>
        <w:topLinePunct w:val="0"/>
        <w:autoSpaceDE/>
        <w:autoSpaceDN/>
        <w:bidi w:val="0"/>
        <w:adjustRightInd/>
        <w:snapToGrid/>
        <w:spacing w:line="480" w:lineRule="auto"/>
        <w:textAlignment w:val="auto"/>
        <w:rPr>
          <w:rFonts w:hint="eastAsia" w:ascii="Times New Roman" w:hAnsi="Times New Roman" w:eastAsia="Times New Roman"/>
          <w:sz w:val="24"/>
        </w:rPr>
      </w:pPr>
      <w:r>
        <w:rPr>
          <w:rFonts w:hint="eastAsia" w:ascii="Times New Roman" w:hAnsi="Times New Roman" w:eastAsia="Times New Roman"/>
          <w:sz w:val="24"/>
          <w:lang w:val="en-US" w:eastAsia="zh-CN"/>
        </w:rPr>
        <w:t>A)</w:t>
      </w:r>
      <w:r>
        <w:rPr>
          <w:rFonts w:hint="eastAsia" w:ascii="Times New Roman" w:hAnsi="Times New Roman" w:eastAsia="Times New Roman"/>
          <w:sz w:val="24"/>
        </w:rPr>
        <w:t xml:space="preserve"> Representative differential scanning calorimetry (DSC) data of Zr-BMG, showing their transition temperature (Tg) and crystallization temperature (Tx).</w:t>
      </w:r>
      <w:r>
        <w:rPr>
          <w:rFonts w:hint="eastAsia" w:ascii="Times New Roman" w:hAnsi="Times New Roman" w:eastAsia="Times New Roman"/>
          <w:sz w:val="24"/>
          <w:lang w:val="en-US" w:eastAsia="zh-CN"/>
        </w:rPr>
        <w:t xml:space="preserve"> B)</w:t>
      </w:r>
      <w:r>
        <w:rPr>
          <w:rFonts w:hint="eastAsia" w:ascii="Times New Roman" w:hAnsi="Times New Roman" w:eastAsia="Times New Roman"/>
          <w:sz w:val="24"/>
        </w:rPr>
        <w:t xml:space="preserve"> Representative  X-ray diffraction (XRD) curve illustrated a distinctive "bread-loaf" peak, characteristic of the non-crystalline or amorphous structure inherent to the Zr-BMG material.</w:t>
      </w:r>
      <w:r>
        <w:rPr>
          <w:rFonts w:hint="eastAsia" w:ascii="Times New Roman" w:hAnsi="Times New Roman" w:eastAsia="Times New Roman"/>
          <w:sz w:val="24"/>
          <w:lang w:val="en-US" w:eastAsia="zh-CN"/>
        </w:rPr>
        <w:t xml:space="preserve"> C)</w:t>
      </w:r>
      <w:r>
        <w:rPr>
          <w:rFonts w:hint="eastAsia" w:ascii="Times New Roman" w:hAnsi="Times New Roman" w:eastAsia="Times New Roman"/>
          <w:sz w:val="24"/>
        </w:rPr>
        <w:t xml:space="preserve"> Representative</w:t>
      </w:r>
      <w:r>
        <w:rPr>
          <w:rFonts w:hint="eastAsia" w:ascii="Times New Roman" w:hAnsi="Times New Roman" w:eastAsia="Times New Roman"/>
          <w:sz w:val="24"/>
          <w:lang w:val="en-US" w:eastAsia="zh-CN"/>
        </w:rPr>
        <w:t xml:space="preserve"> </w:t>
      </w:r>
      <w:r>
        <w:rPr>
          <w:rFonts w:hint="eastAsia" w:ascii="Times New Roman" w:hAnsi="Times New Roman" w:eastAsia="Times New Roman"/>
          <w:sz w:val="24"/>
        </w:rPr>
        <w:t>transmission electron microscopy (TEM) image showed microstructural homogeneity and the amorphous ring.</w:t>
      </w:r>
      <w:r>
        <w:rPr>
          <w:rFonts w:hint="eastAsia" w:ascii="Times New Roman" w:hAnsi="Times New Roman" w:eastAsia="Times New Roman"/>
          <w:sz w:val="24"/>
          <w:lang w:val="en-US" w:eastAsia="zh-CN"/>
        </w:rPr>
        <w:t xml:space="preserve"> D)</w:t>
      </w:r>
      <w:r>
        <w:rPr>
          <w:rFonts w:hint="eastAsia" w:ascii="Times New Roman" w:hAnsi="Times New Roman" w:eastAsia="Times New Roman"/>
          <w:sz w:val="24"/>
        </w:rPr>
        <w:t xml:space="preserve"> Representative X-ray photoelectron spectroscopy (XPS) curve presented both the survey spectrum and elemental sub-spectra, affirming the compositional consistency of the Zr-BMG sample with the intended elements. Zirconium in the sample primarily existed in the Zr</w:t>
      </w:r>
      <w:r>
        <w:rPr>
          <w:rFonts w:hint="eastAsia" w:ascii="Times New Roman" w:hAnsi="Times New Roman" w:eastAsia="Times New Roman"/>
          <w:sz w:val="24"/>
          <w:vertAlign w:val="superscript"/>
        </w:rPr>
        <w:t>4+</w:t>
      </w:r>
      <w:r>
        <w:rPr>
          <w:rFonts w:hint="eastAsia" w:ascii="Times New Roman" w:hAnsi="Times New Roman" w:eastAsia="Times New Roman"/>
          <w:sz w:val="24"/>
        </w:rPr>
        <w:t xml:space="preserve"> state,while aluminum, titanium and silver were also enriched in oxide forms, detected as Al</w:t>
      </w:r>
      <w:r>
        <w:rPr>
          <w:rFonts w:hint="eastAsia" w:ascii="Times New Roman" w:hAnsi="Times New Roman" w:eastAsia="Times New Roman"/>
          <w:sz w:val="24"/>
          <w:vertAlign w:val="superscript"/>
        </w:rPr>
        <w:t>3+</w:t>
      </w:r>
      <w:r>
        <w:rPr>
          <w:rFonts w:hint="eastAsia" w:ascii="Times New Roman" w:hAnsi="Times New Roman" w:eastAsia="Times New Roman"/>
          <w:sz w:val="24"/>
        </w:rPr>
        <w:t>, Ti</w:t>
      </w:r>
      <w:r>
        <w:rPr>
          <w:rFonts w:hint="eastAsia" w:ascii="Times New Roman" w:hAnsi="Times New Roman" w:eastAsia="Times New Roman"/>
          <w:sz w:val="24"/>
          <w:vertAlign w:val="superscript"/>
        </w:rPr>
        <w:t>4+</w:t>
      </w:r>
      <w:r>
        <w:rPr>
          <w:rFonts w:hint="eastAsia" w:ascii="Times New Roman" w:hAnsi="Times New Roman" w:eastAsia="Times New Roman"/>
          <w:sz w:val="24"/>
        </w:rPr>
        <w:t xml:space="preserve"> and Ag</w:t>
      </w:r>
      <w:r>
        <w:rPr>
          <w:rFonts w:hint="eastAsia" w:ascii="Times New Roman" w:hAnsi="Times New Roman" w:eastAsia="Times New Roman"/>
          <w:sz w:val="24"/>
          <w:vertAlign w:val="superscript"/>
        </w:rPr>
        <w:t>+</w:t>
      </w:r>
      <w:r>
        <w:rPr>
          <w:rFonts w:hint="eastAsia" w:ascii="Times New Roman" w:hAnsi="Times New Roman" w:eastAsia="Times New Roman"/>
          <w:sz w:val="24"/>
        </w:rPr>
        <w:t>, respectively. In contrast, copper mainly existed in the zero-valent form.</w:t>
      </w:r>
    </w:p>
    <w:p w14:paraId="37B70EB1">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b/>
          <w:bCs/>
          <w:kern w:val="2"/>
          <w:sz w:val="24"/>
          <w:szCs w:val="28"/>
          <w:lang w:val="en-US" w:eastAsia="zh-CN"/>
        </w:rPr>
      </w:pPr>
      <w:r>
        <w:rPr>
          <w:rFonts w:hint="eastAsia" w:eastAsia="Times New Roman"/>
          <w:b/>
          <w:bCs/>
          <w:kern w:val="2"/>
          <w:sz w:val="24"/>
          <w:szCs w:val="28"/>
          <w:lang w:val="en-US" w:eastAsia="zh-CN"/>
        </w:rPr>
        <w:t>3</w:t>
      </w:r>
      <w:r>
        <w:rPr>
          <w:rFonts w:hint="eastAsia" w:ascii="Times New Roman" w:hAnsi="Times New Roman" w:eastAsia="Times New Roman"/>
          <w:b/>
          <w:bCs/>
          <w:kern w:val="2"/>
          <w:sz w:val="24"/>
          <w:szCs w:val="28"/>
          <w:lang w:val="en-US" w:eastAsia="zh-CN"/>
        </w:rPr>
        <w:t>.2 The mechanical properties, hydrophilic characterization and corrosion resistance</w:t>
      </w:r>
    </w:p>
    <w:p w14:paraId="3AFF79A5">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ascii="Times New Roman" w:hAnsi="Times New Roman" w:eastAsia="Times New Roman"/>
          <w:kern w:val="2"/>
          <w:sz w:val="24"/>
          <w:lang w:val="en-US" w:eastAsia="zh-CN"/>
        </w:rPr>
        <w:t>Compressive stress-strain curves</w:t>
      </w:r>
      <w:r>
        <w:rPr>
          <w:rFonts w:hint="eastAsia" w:ascii="Times New Roman" w:hAnsi="Times New Roman" w:eastAsia="Times New Roman"/>
          <w:kern w:val="2"/>
          <w:sz w:val="24"/>
          <w:lang w:val="en-US" w:eastAsia="zh-CN"/>
        </w:rPr>
        <w:t xml:space="preserve"> and load-displacement curves of all samples</w:t>
      </w:r>
      <w:r>
        <w:rPr>
          <w:rFonts w:ascii="Times New Roman" w:hAnsi="Times New Roman" w:eastAsia="Times New Roman"/>
          <w:kern w:val="2"/>
          <w:sz w:val="24"/>
          <w:lang w:val="en-US" w:eastAsia="zh-CN"/>
        </w:rPr>
        <w:t xml:space="preserve"> were shown in</w:t>
      </w:r>
      <w:r>
        <w:rPr>
          <w:rFonts w:hint="eastAsia" w:ascii="Times New Roman" w:hAnsi="Times New Roman" w:eastAsia="Times New Roman"/>
          <w:kern w:val="2"/>
          <w:sz w:val="24"/>
          <w:lang w:val="en-US" w:eastAsia="zh-CN"/>
        </w:rPr>
        <w:t xml:space="preserve"> </w:t>
      </w:r>
      <w:r>
        <w:rPr>
          <w:rFonts w:ascii="Times New Roman" w:hAnsi="Times New Roman" w:eastAsia="Times New Roman"/>
          <w:b/>
          <w:bCs/>
          <w:kern w:val="2"/>
          <w:sz w:val="24"/>
          <w:lang w:val="en-US" w:eastAsia="zh-CN"/>
        </w:rPr>
        <w:t xml:space="preserve">Figure </w:t>
      </w:r>
      <w:r>
        <w:rPr>
          <w:rFonts w:hint="eastAsia" w:ascii="Times New Roman" w:hAnsi="Times New Roman" w:eastAsia="Times New Roman"/>
          <w:b/>
          <w:bCs/>
          <w:kern w:val="2"/>
          <w:sz w:val="24"/>
          <w:lang w:val="en-US" w:eastAsia="zh-CN"/>
        </w:rPr>
        <w:t>2</w:t>
      </w:r>
      <w:r>
        <w:rPr>
          <w:rFonts w:ascii="Times New Roman" w:hAnsi="Times New Roman" w:eastAsia="Times New Roman"/>
          <w:b/>
          <w:bCs/>
          <w:kern w:val="2"/>
          <w:sz w:val="24"/>
          <w:lang w:val="en-US" w:eastAsia="zh-CN"/>
        </w:rPr>
        <w:t>A</w:t>
      </w:r>
      <w:r>
        <w:rPr>
          <w:rFonts w:hint="eastAsia" w:ascii="Times New Roman" w:hAnsi="Times New Roman" w:eastAsia="Times New Roman"/>
          <w:b/>
          <w:bCs/>
          <w:kern w:val="2"/>
          <w:sz w:val="24"/>
          <w:lang w:val="en-US" w:eastAsia="zh-CN"/>
        </w:rPr>
        <w:t>, B</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The compressive strength of </w:t>
      </w:r>
      <w:r>
        <w:rPr>
          <w:rFonts w:hint="eastAsia" w:ascii="Times New Roman" w:hAnsi="Times New Roman" w:eastAsia="Times New Roman"/>
          <w:kern w:val="2"/>
          <w:sz w:val="24"/>
          <w:lang w:val="en-US" w:eastAsia="zh-CN"/>
        </w:rPr>
        <w:t>Zr-BMG</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1603.67±98.80 MPa</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was</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about 3 times</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 xml:space="preserve">that of </w:t>
      </w:r>
      <w:r>
        <w:rPr>
          <w:rFonts w:ascii="Times New Roman" w:hAnsi="Times New Roman" w:eastAsia="Times New Roman"/>
          <w:kern w:val="2"/>
          <w:sz w:val="24"/>
          <w:lang w:val="en-US" w:eastAsia="zh-CN"/>
        </w:rPr>
        <w:t>Ti (</w:t>
      </w:r>
      <w:r>
        <w:rPr>
          <w:rFonts w:hint="eastAsia" w:ascii="Times New Roman" w:hAnsi="Times New Roman" w:eastAsia="Times New Roman"/>
          <w:kern w:val="2"/>
          <w:sz w:val="24"/>
          <w:lang w:val="en-US" w:eastAsia="zh-CN"/>
        </w:rPr>
        <w:t xml:space="preserve">550.33±37.00 </w:t>
      </w:r>
      <w:r>
        <w:rPr>
          <w:rFonts w:ascii="Times New Roman" w:hAnsi="Times New Roman" w:eastAsia="Times New Roman"/>
          <w:kern w:val="2"/>
          <w:sz w:val="24"/>
          <w:lang w:val="en-US" w:eastAsia="zh-CN"/>
        </w:rPr>
        <w:t>MPa) (</w:t>
      </w:r>
      <w:r>
        <w:rPr>
          <w:rFonts w:ascii="Times New Roman" w:hAnsi="Times New Roman" w:eastAsia="Times New Roman"/>
          <w:b/>
          <w:bCs/>
          <w:kern w:val="2"/>
          <w:sz w:val="24"/>
          <w:lang w:val="en-US" w:eastAsia="zh-CN"/>
        </w:rPr>
        <w:t>Table 1</w:t>
      </w:r>
      <w:r>
        <w:rPr>
          <w:rFonts w:ascii="Times New Roman" w:hAnsi="Times New Roman" w:eastAsia="Times New Roman"/>
          <w:kern w:val="2"/>
          <w:sz w:val="24"/>
          <w:lang w:val="en-US" w:eastAsia="zh-CN"/>
        </w:rPr>
        <w:t>). The</w:t>
      </w:r>
      <w:r>
        <w:rPr>
          <w:rFonts w:hint="eastAsia" w:ascii="Times New Roman" w:hAnsi="Times New Roman" w:eastAsia="Times New Roman"/>
          <w:kern w:val="2"/>
          <w:sz w:val="24"/>
          <w:lang w:val="en-US" w:eastAsia="zh-CN"/>
        </w:rPr>
        <w:t xml:space="preserve"> reduced</w:t>
      </w:r>
      <w:r>
        <w:rPr>
          <w:rFonts w:ascii="Times New Roman" w:hAnsi="Times New Roman" w:eastAsia="Times New Roman"/>
          <w:kern w:val="2"/>
          <w:sz w:val="24"/>
          <w:lang w:val="en-US" w:eastAsia="zh-CN"/>
        </w:rPr>
        <w:t xml:space="preserve"> Young’s modulus of </w:t>
      </w:r>
      <w:r>
        <w:rPr>
          <w:rFonts w:hint="eastAsia" w:ascii="Times New Roman" w:hAnsi="Times New Roman" w:eastAsia="Times New Roman"/>
          <w:kern w:val="2"/>
          <w:sz w:val="24"/>
          <w:lang w:val="en-US" w:eastAsia="zh-CN"/>
        </w:rPr>
        <w:t>Zr-BMG</w:t>
      </w:r>
      <w:r>
        <w:rPr>
          <w:rFonts w:ascii="Times New Roman" w:hAnsi="Times New Roman" w:eastAsia="Times New Roman"/>
          <w:kern w:val="2"/>
          <w:sz w:val="24"/>
          <w:lang w:val="en-US" w:eastAsia="zh-CN"/>
        </w:rPr>
        <w:t xml:space="preserve"> was </w:t>
      </w:r>
      <w:r>
        <w:rPr>
          <w:rFonts w:hint="eastAsia" w:ascii="Times New Roman" w:hAnsi="Times New Roman" w:eastAsia="Times New Roman"/>
          <w:kern w:val="2"/>
          <w:sz w:val="24"/>
          <w:lang w:val="en-US" w:eastAsia="zh-CN"/>
        </w:rPr>
        <w:t>94.20±7.16</w:t>
      </w:r>
      <w:r>
        <w:rPr>
          <w:rFonts w:ascii="Times New Roman" w:hAnsi="Times New Roman" w:eastAsia="Times New Roman"/>
          <w:kern w:val="2"/>
          <w:sz w:val="24"/>
          <w:lang w:val="en-US" w:eastAsia="zh-CN"/>
        </w:rPr>
        <w:t xml:space="preserve"> GPa</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(Table 1)</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which </w:t>
      </w:r>
      <w:r>
        <w:rPr>
          <w:rFonts w:hint="eastAsia" w:ascii="Times New Roman" w:hAnsi="Times New Roman" w:eastAsia="Times New Roman"/>
          <w:kern w:val="2"/>
          <w:sz w:val="24"/>
          <w:lang w:val="en-US" w:eastAsia="zh-CN"/>
        </w:rPr>
        <w:t>was</w:t>
      </w:r>
      <w:r>
        <w:rPr>
          <w:rFonts w:ascii="Times New Roman" w:hAnsi="Times New Roman" w:eastAsia="Times New Roman"/>
          <w:kern w:val="2"/>
          <w:sz w:val="24"/>
          <w:lang w:val="en-US" w:eastAsia="zh-CN"/>
        </w:rPr>
        <w:t xml:space="preserve"> closer to the reported cortical bone modulus (30 GPa) than Ti.</w:t>
      </w:r>
      <w:r>
        <w:rPr>
          <w:rFonts w:hint="eastAsia" w:ascii="Times New Roman" w:hAnsi="Times New Roman" w:eastAsia="Times New Roman"/>
          <w:kern w:val="2"/>
          <w:sz w:val="24"/>
          <w:lang w:val="en-US" w:eastAsia="zh-CN"/>
        </w:rPr>
        <w:t xml:space="preserve"> Meanwhile, the microhardness of Zr-BMG was 5.30 GPa, which was greater than that of Ti (4.02 GPa). The mass density of the Zr-BMG, measured by the Archimedean technique with an accuracy of 0.1%, was approximately 6.27 g/cm³ (Table 1). Calculations revealed that the Zr-BMG exhibited a specific strength of 237.64 MPa cm³/g, which was higher than that of Ti (115.13 MPa cm³/g).</w:t>
      </w:r>
    </w:p>
    <w:p w14:paraId="0BAD1CE9">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b/>
          <w:bCs/>
          <w:kern w:val="2"/>
          <w:sz w:val="24"/>
          <w:lang w:val="en-US" w:eastAsia="zh-CN"/>
        </w:rPr>
        <w:t>Figure 2C</w:t>
      </w:r>
      <w:r>
        <w:rPr>
          <w:rFonts w:ascii="Times New Roman" w:hAnsi="Times New Roman" w:eastAsia="Times New Roman"/>
          <w:kern w:val="2"/>
          <w:sz w:val="24"/>
          <w:lang w:val="en-US" w:eastAsia="zh-CN"/>
        </w:rPr>
        <w:t xml:space="preserve"> display</w:t>
      </w:r>
      <w:r>
        <w:rPr>
          <w:rFonts w:hint="eastAsia" w:ascii="Times New Roman" w:hAnsi="Times New Roman" w:eastAsia="Times New Roman"/>
          <w:kern w:val="2"/>
          <w:sz w:val="24"/>
          <w:lang w:val="en-US" w:eastAsia="zh-CN"/>
        </w:rPr>
        <w:t>ed</w:t>
      </w:r>
      <w:r>
        <w:rPr>
          <w:rFonts w:ascii="Times New Roman" w:hAnsi="Times New Roman" w:eastAsia="Times New Roman"/>
          <w:kern w:val="2"/>
          <w:sz w:val="24"/>
          <w:lang w:val="en-US" w:eastAsia="zh-CN"/>
        </w:rPr>
        <w:t xml:space="preserve"> the polarization curves of Ti and Zr-BMG,</w:t>
      </w:r>
      <w:r>
        <w:rPr>
          <w:rFonts w:hint="eastAsia" w:ascii="Times New Roman" w:hAnsi="Times New Roman" w:eastAsia="Times New Roman"/>
          <w:kern w:val="2"/>
          <w:sz w:val="24"/>
          <w:lang w:val="en-US" w:eastAsia="zh-CN"/>
        </w:rPr>
        <w:t xml:space="preserve"> the pitting corrosion potential of Zr-BMG was -0.06V </w:t>
      </w:r>
      <w:r>
        <w:rPr>
          <w:rFonts w:ascii="Times New Roman" w:hAnsi="Times New Roman" w:eastAsia="Times New Roman"/>
          <w:kern w:val="2"/>
          <w:sz w:val="24"/>
          <w:lang w:val="en-US" w:eastAsia="zh-CN"/>
        </w:rPr>
        <w:t>versus saturated calomel electrode (V</w:t>
      </w:r>
      <w:r>
        <w:rPr>
          <w:rFonts w:ascii="Times New Roman" w:hAnsi="Times New Roman" w:eastAsia="Times New Roman"/>
          <w:kern w:val="2"/>
          <w:sz w:val="24"/>
          <w:vertAlign w:val="subscript"/>
          <w:lang w:val="en-US" w:eastAsia="zh-CN"/>
        </w:rPr>
        <w:t>SCE</w:t>
      </w:r>
      <w:r>
        <w:rPr>
          <w:rFonts w:ascii="Times New Roman" w:hAnsi="Times New Roman" w:eastAsia="Times New Roman"/>
          <w:kern w:val="2"/>
          <w:sz w:val="24"/>
          <w:lang w:val="en-US" w:eastAsia="zh-CN"/>
        </w:rPr>
        <w:t>)</w:t>
      </w:r>
      <w:r>
        <w:rPr>
          <w:rFonts w:hint="eastAsia" w:ascii="Times New Roman" w:hAnsi="Times New Roman" w:eastAsia="Times New Roman"/>
          <w:kern w:val="2"/>
          <w:sz w:val="24"/>
          <w:lang w:val="en-US" w:eastAsia="zh-CN"/>
        </w:rPr>
        <w:t xml:space="preserve">, the curve also </w:t>
      </w:r>
      <w:r>
        <w:rPr>
          <w:rFonts w:ascii="Times New Roman" w:hAnsi="Times New Roman" w:eastAsia="Times New Roman"/>
          <w:kern w:val="2"/>
          <w:sz w:val="24"/>
          <w:lang w:val="en-US" w:eastAsia="zh-CN"/>
        </w:rPr>
        <w:t>clearly illustrat</w:t>
      </w:r>
      <w:r>
        <w:rPr>
          <w:rFonts w:hint="eastAsia" w:ascii="Times New Roman" w:hAnsi="Times New Roman" w:eastAsia="Times New Roman"/>
          <w:kern w:val="2"/>
          <w:sz w:val="24"/>
          <w:lang w:val="en-US" w:eastAsia="zh-CN"/>
        </w:rPr>
        <w:t>ed</w:t>
      </w:r>
      <w:r>
        <w:rPr>
          <w:rFonts w:ascii="Times New Roman" w:hAnsi="Times New Roman" w:eastAsia="Times New Roman"/>
          <w:kern w:val="2"/>
          <w:sz w:val="24"/>
          <w:lang w:val="en-US" w:eastAsia="zh-CN"/>
        </w:rPr>
        <w:t xml:space="preserve"> the formation of a passive region for Zr-BMG, with a width of approximately 0.03V versus</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V</w:t>
      </w:r>
      <w:r>
        <w:rPr>
          <w:rFonts w:ascii="Times New Roman" w:hAnsi="Times New Roman" w:eastAsia="Times New Roman"/>
          <w:kern w:val="2"/>
          <w:sz w:val="24"/>
          <w:vertAlign w:val="subscript"/>
          <w:lang w:val="en-US" w:eastAsia="zh-CN"/>
        </w:rPr>
        <w:t>SCE</w:t>
      </w:r>
      <w:r>
        <w:rPr>
          <w:rFonts w:ascii="Times New Roman" w:hAnsi="Times New Roman" w:eastAsia="Times New Roman"/>
          <w:kern w:val="2"/>
          <w:sz w:val="24"/>
          <w:lang w:val="en-US" w:eastAsia="zh-CN"/>
        </w:rPr>
        <w:t xml:space="preserve">, indicating the development of a passive film on the material's surface. </w:t>
      </w:r>
      <w:r>
        <w:rPr>
          <w:rFonts w:ascii="Times New Roman" w:hAnsi="Times New Roman" w:eastAsia="Times New Roman"/>
          <w:b/>
          <w:bCs/>
          <w:kern w:val="2"/>
          <w:sz w:val="24"/>
          <w:lang w:val="en-US" w:eastAsia="zh-CN"/>
        </w:rPr>
        <w:t xml:space="preserve">Table </w:t>
      </w:r>
      <w:r>
        <w:rPr>
          <w:rFonts w:hint="eastAsia" w:ascii="Times New Roman" w:hAnsi="Times New Roman" w:eastAsia="Times New Roman"/>
          <w:b/>
          <w:bCs/>
          <w:kern w:val="2"/>
          <w:sz w:val="24"/>
          <w:lang w:val="en-US" w:eastAsia="zh-CN"/>
        </w:rPr>
        <w:t>2</w:t>
      </w:r>
      <w:r>
        <w:rPr>
          <w:rFonts w:ascii="Times New Roman" w:hAnsi="Times New Roman" w:eastAsia="Times New Roman"/>
          <w:kern w:val="2"/>
          <w:sz w:val="24"/>
          <w:lang w:val="en-US" w:eastAsia="zh-CN"/>
        </w:rPr>
        <w:t xml:space="preserve"> summarize</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essential electrochemical parameters obtained from the potentiodynamic polarization curves,</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Zr-BMG exhibi</w:t>
      </w:r>
      <w:r>
        <w:rPr>
          <w:rFonts w:hint="eastAsia" w:ascii="Times New Roman" w:hAnsi="Times New Roman" w:eastAsia="Times New Roman"/>
          <w:kern w:val="2"/>
          <w:sz w:val="24"/>
          <w:lang w:val="en-US" w:eastAsia="zh-CN"/>
        </w:rPr>
        <w:t>ted</w:t>
      </w:r>
      <w:r>
        <w:rPr>
          <w:rFonts w:ascii="Times New Roman" w:hAnsi="Times New Roman" w:eastAsia="Times New Roman"/>
          <w:kern w:val="2"/>
          <w:sz w:val="24"/>
          <w:lang w:val="en-US" w:eastAsia="zh-CN"/>
        </w:rPr>
        <w:t xml:space="preserve"> a higher self-corrosion potential and lower self-corrosion current density compared to Ti. Consequently, in </w:t>
      </w:r>
      <w:r>
        <w:rPr>
          <w:rFonts w:hint="eastAsia" w:ascii="Times New Roman" w:hAnsi="Times New Roman" w:eastAsia="Times New Roman"/>
          <w:kern w:val="2"/>
          <w:sz w:val="24"/>
          <w:lang w:val="en-US" w:eastAsia="zh-CN"/>
        </w:rPr>
        <w:t>SBF</w:t>
      </w:r>
      <w:r>
        <w:rPr>
          <w:rFonts w:ascii="Times New Roman" w:hAnsi="Times New Roman" w:eastAsia="Times New Roman"/>
          <w:kern w:val="2"/>
          <w:sz w:val="24"/>
          <w:lang w:val="en-US" w:eastAsia="zh-CN"/>
        </w:rPr>
        <w:t xml:space="preserve"> environment, Zr-BMG demonstrate</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superior corrosion resistance to Ti, with the formation of a protective passive film on its surface.</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 xml:space="preserve">Considering the XPS results, the main component of the formed passive film </w:t>
      </w:r>
      <w:r>
        <w:rPr>
          <w:rFonts w:hint="eastAsia" w:ascii="Times New Roman" w:hAnsi="Times New Roman" w:eastAsia="Times New Roman"/>
          <w:kern w:val="2"/>
          <w:sz w:val="24"/>
          <w:lang w:val="en-US" w:eastAsia="zh-CN"/>
        </w:rPr>
        <w:t>wa</w:t>
      </w:r>
      <w:r>
        <w:rPr>
          <w:rFonts w:ascii="Times New Roman" w:hAnsi="Times New Roman" w:eastAsia="Times New Roman"/>
          <w:kern w:val="2"/>
          <w:sz w:val="24"/>
          <w:lang w:val="en-US" w:eastAsia="zh-CN"/>
        </w:rPr>
        <w:t>s ZrO</w:t>
      </w:r>
      <w:r>
        <w:rPr>
          <w:rFonts w:ascii="Times New Roman" w:hAnsi="Times New Roman" w:eastAsia="Times New Roman"/>
          <w:kern w:val="2"/>
          <w:sz w:val="24"/>
          <w:vertAlign w:val="subscript"/>
          <w:lang w:val="en-US" w:eastAsia="zh-CN"/>
        </w:rPr>
        <w:t>2</w:t>
      </w:r>
      <w:r>
        <w:rPr>
          <w:rFonts w:ascii="Times New Roman" w:hAnsi="Times New Roman" w:eastAsia="Times New Roman"/>
          <w:kern w:val="2"/>
          <w:sz w:val="24"/>
          <w:lang w:val="en-US" w:eastAsia="zh-CN"/>
        </w:rPr>
        <w:t>.</w:t>
      </w:r>
    </w:p>
    <w:p w14:paraId="18444084">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The cumulative ionic concentrations released by the Zr-BMG in the SBF solution over time were depicted in </w:t>
      </w:r>
      <w:r>
        <w:rPr>
          <w:rFonts w:hint="eastAsia" w:ascii="Times New Roman" w:hAnsi="Times New Roman" w:eastAsia="Times New Roman"/>
          <w:b/>
          <w:bCs/>
          <w:kern w:val="2"/>
          <w:sz w:val="24"/>
          <w:lang w:val="en-US" w:eastAsia="zh-CN"/>
        </w:rPr>
        <w:t>Figure 2D</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During the initial two weeks, the concentrations of all metal ions released increased rapidly with prolonged immersion time. However, from week 2 to 12, the rate of increase in metal ion release concentrations notably decreased, gradually reaching a stable level. This slow and sustained metal ion release from Zr-BMG avoid</w:t>
      </w:r>
      <w:r>
        <w:rPr>
          <w:rFonts w:hint="eastAsia" w:ascii="Times New Roman" w:hAnsi="Times New Roman" w:eastAsia="Times New Roman"/>
          <w:kern w:val="2"/>
          <w:sz w:val="24"/>
          <w:lang w:val="en-US" w:eastAsia="zh-CN"/>
        </w:rPr>
        <w:t>ed</w:t>
      </w:r>
      <w:r>
        <w:rPr>
          <w:rFonts w:ascii="Times New Roman" w:hAnsi="Times New Roman" w:eastAsia="Times New Roman"/>
          <w:kern w:val="2"/>
          <w:sz w:val="24"/>
          <w:lang w:val="en-US" w:eastAsia="zh-CN"/>
        </w:rPr>
        <w:t xml:space="preserve"> the adverse effects associated with rapid increases in metal ion concentrations over a short period.</w:t>
      </w:r>
    </w:p>
    <w:p w14:paraId="42688561">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The surface contact angle results with SBF for the two </w:t>
      </w:r>
      <w:r>
        <w:rPr>
          <w:rFonts w:ascii="Times New Roman" w:hAnsi="Times New Roman" w:eastAsia="Times New Roman"/>
          <w:kern w:val="2"/>
          <w:sz w:val="24"/>
          <w:lang w:val="en-US" w:eastAsia="zh-CN"/>
        </w:rPr>
        <w:t>materials showed</w:t>
      </w:r>
      <w:r>
        <w:rPr>
          <w:rFonts w:hint="eastAsia" w:ascii="Times New Roman" w:hAnsi="Times New Roman" w:eastAsia="Times New Roman"/>
          <w:kern w:val="2"/>
          <w:sz w:val="24"/>
          <w:lang w:val="en-US" w:eastAsia="zh-CN"/>
        </w:rPr>
        <w:t xml:space="preserve"> no significant differences (</w:t>
      </w:r>
      <w:r>
        <w:rPr>
          <w:rFonts w:hint="eastAsia" w:ascii="Times New Roman" w:hAnsi="Times New Roman" w:eastAsia="Times New Roman"/>
          <w:b/>
          <w:bCs/>
          <w:kern w:val="2"/>
          <w:sz w:val="24"/>
          <w:lang w:val="en-US" w:eastAsia="zh-CN"/>
        </w:rPr>
        <w:t>Figure S</w:t>
      </w:r>
      <w:r>
        <w:rPr>
          <w:rFonts w:hint="eastAsia" w:eastAsia="Times New Roman"/>
          <w:b/>
          <w:bCs/>
          <w:kern w:val="2"/>
          <w:sz w:val="24"/>
          <w:lang w:val="en-US" w:eastAsia="zh-CN"/>
        </w:rPr>
        <w:t>5</w:t>
      </w:r>
      <w:r>
        <w:rPr>
          <w:rFonts w:hint="eastAsia" w:ascii="Times New Roman" w:hAnsi="Times New Roman" w:eastAsia="Times New Roman"/>
          <w:kern w:val="2"/>
          <w:sz w:val="24"/>
          <w:lang w:val="en-US" w:eastAsia="zh-CN"/>
        </w:rPr>
        <w:t>).</w:t>
      </w:r>
    </w:p>
    <w:p w14:paraId="4B9DF077">
      <w:pPr>
        <w:widowControl w:val="0"/>
        <w:spacing w:line="360" w:lineRule="auto"/>
        <w:jc w:val="both"/>
        <w:rPr>
          <w:rFonts w:ascii="Times New Roman" w:hAnsi="Times New Roman" w:eastAsia="Times New Roman"/>
          <w:sz w:val="24"/>
        </w:rPr>
      </w:pPr>
      <w:r>
        <w:rPr>
          <w:rFonts w:ascii="Times New Roman" w:hAnsi="Times New Roman" w:eastAsia="Times New Roman"/>
          <w:sz w:val="24"/>
        </w:rPr>
        <w:drawing>
          <wp:inline distT="0" distB="0" distL="114300" distR="114300">
            <wp:extent cx="5755005" cy="4700905"/>
            <wp:effectExtent l="0" t="0" r="10795" b="1079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5755005" cy="4700905"/>
                    </a:xfrm>
                    <a:prstGeom prst="rect">
                      <a:avLst/>
                    </a:prstGeom>
                    <a:noFill/>
                    <a:ln>
                      <a:noFill/>
                    </a:ln>
                  </pic:spPr>
                </pic:pic>
              </a:graphicData>
            </a:graphic>
          </wp:inline>
        </w:drawing>
      </w:r>
    </w:p>
    <w:p w14:paraId="7D8E3EC9">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eastAsia="zh-CN"/>
        </w:rPr>
      </w:pPr>
      <w:r>
        <w:rPr>
          <w:rFonts w:hint="eastAsia" w:ascii="Times New Roman" w:hAnsi="Times New Roman" w:eastAsia="Times New Roman"/>
          <w:b/>
          <w:bCs/>
          <w:sz w:val="24"/>
          <w:lang w:val="en-US" w:eastAsia="zh-CN"/>
        </w:rPr>
        <w:t>Figure 2.</w:t>
      </w:r>
      <w:r>
        <w:rPr>
          <w:rFonts w:hint="eastAsia" w:ascii="Times New Roman" w:hAnsi="Times New Roman" w:eastAsia="Times New Roman"/>
          <w:sz w:val="24"/>
          <w:lang w:val="en-US" w:eastAsia="zh-CN"/>
        </w:rPr>
        <w:t xml:space="preserve"> Mechanical properties and electrochemical results. A) Compression stress-strain curves showed that the mechanical strength of Zr-BMG significantly surpassed Ti. B) Load-displacement curves of two samples at indentation load of 10 mN, showing that the reduced Young’s modulus of Zr-BMG was closer to the reported cortical bone modulus than Ti.  C) Potentiodynamic-polarization curves and corrosion parameters of two samples in simulated body fluid (SBF), indicating a slower corrosion rate of Zr-BMG compared to Ti. D) The release of different metal ions in SBF at 37℃. The release of various metal ions from Zr-BMG stabilized after 2 weeks in the SBF environment.</w:t>
      </w:r>
    </w:p>
    <w:p w14:paraId="1A6DF294">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b/>
          <w:bCs/>
          <w:kern w:val="2"/>
          <w:sz w:val="24"/>
          <w:szCs w:val="28"/>
          <w:lang w:val="en-US" w:eastAsia="zh-CN"/>
        </w:rPr>
      </w:pPr>
      <w:r>
        <w:rPr>
          <w:rFonts w:hint="eastAsia" w:eastAsia="Times New Roman"/>
          <w:b/>
          <w:bCs/>
          <w:kern w:val="2"/>
          <w:sz w:val="24"/>
          <w:szCs w:val="28"/>
          <w:lang w:val="en-US" w:eastAsia="zh-CN"/>
        </w:rPr>
        <w:t>3</w:t>
      </w:r>
      <w:r>
        <w:rPr>
          <w:rFonts w:hint="eastAsia" w:ascii="Times New Roman" w:hAnsi="Times New Roman" w:eastAsia="Times New Roman"/>
          <w:b/>
          <w:bCs/>
          <w:kern w:val="2"/>
          <w:sz w:val="24"/>
          <w:szCs w:val="28"/>
          <w:lang w:val="en-US" w:eastAsia="zh-CN"/>
        </w:rPr>
        <w:t xml:space="preserve">.3 </w:t>
      </w:r>
      <w:r>
        <w:rPr>
          <w:rFonts w:hint="eastAsia" w:ascii="Times New Roman" w:hAnsi="Times New Roman" w:eastAsia="Times New Roman"/>
          <w:b/>
          <w:bCs/>
          <w:i/>
          <w:iCs/>
          <w:kern w:val="2"/>
          <w:sz w:val="24"/>
          <w:szCs w:val="28"/>
          <w:lang w:val="en-US" w:eastAsia="zh-CN"/>
        </w:rPr>
        <w:t>In vitro</w:t>
      </w:r>
      <w:r>
        <w:rPr>
          <w:rFonts w:hint="eastAsia" w:ascii="Times New Roman" w:hAnsi="Times New Roman" w:eastAsia="Times New Roman"/>
          <w:b/>
          <w:bCs/>
          <w:kern w:val="2"/>
          <w:sz w:val="24"/>
          <w:szCs w:val="28"/>
          <w:lang w:val="en-US" w:eastAsia="zh-CN"/>
        </w:rPr>
        <w:t xml:space="preserve"> measurements</w:t>
      </w:r>
    </w:p>
    <w:p w14:paraId="269836AB">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i w:val="0"/>
          <w:iCs w:val="0"/>
          <w:kern w:val="2"/>
          <w:sz w:val="24"/>
          <w:lang w:val="en-US" w:eastAsia="zh-CN"/>
        </w:rPr>
      </w:pPr>
      <w:r>
        <w:rPr>
          <w:rFonts w:hint="eastAsia" w:eastAsia="Times New Roman"/>
          <w:i w:val="0"/>
          <w:iCs w:val="0"/>
          <w:kern w:val="2"/>
          <w:sz w:val="24"/>
          <w:lang w:val="en-US" w:eastAsia="zh-CN"/>
        </w:rPr>
        <w:t>3</w:t>
      </w:r>
      <w:r>
        <w:rPr>
          <w:rFonts w:hint="eastAsia" w:ascii="Times New Roman" w:hAnsi="Times New Roman" w:eastAsia="Times New Roman"/>
          <w:i w:val="0"/>
          <w:iCs w:val="0"/>
          <w:kern w:val="2"/>
          <w:sz w:val="24"/>
          <w:lang w:val="en-US" w:eastAsia="zh-CN"/>
        </w:rPr>
        <w:t>.3.1 Biocompatibility</w:t>
      </w:r>
    </w:p>
    <w:p w14:paraId="5BDEE9F1">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ascii="Times New Roman" w:hAnsi="Times New Roman" w:eastAsia="Times New Roman"/>
          <w:kern w:val="2"/>
          <w:sz w:val="24"/>
          <w:lang w:val="en-US" w:eastAsia="zh-CN"/>
        </w:rPr>
        <w:t>Cell adhesion and spreading on biomaterial surfaces are crucial, as cells are highly sensitive to the physical and chemical properties of materials.</w:t>
      </w:r>
      <w:r>
        <w:rPr>
          <w:rFonts w:hint="eastAsia" w:ascii="Times New Roman" w:hAnsi="Times New Roman" w:eastAsia="Times New Roman"/>
          <w:kern w:val="2"/>
          <w:sz w:val="24"/>
          <w:lang w:val="en-US" w:eastAsia="zh-CN"/>
        </w:rPr>
        <w:t xml:space="preserve"> </w:t>
      </w:r>
      <w:r>
        <w:rPr>
          <w:rFonts w:ascii="Times New Roman" w:hAnsi="Times New Roman" w:eastAsia="Times New Roman"/>
          <w:b/>
          <w:bCs/>
          <w:kern w:val="2"/>
          <w:sz w:val="24"/>
          <w:lang w:val="en-US" w:eastAsia="zh-CN"/>
        </w:rPr>
        <w:t xml:space="preserve">Figure </w:t>
      </w:r>
      <w:r>
        <w:rPr>
          <w:rFonts w:hint="eastAsia" w:ascii="Times New Roman" w:hAnsi="Times New Roman" w:eastAsia="Times New Roman"/>
          <w:b/>
          <w:bCs/>
          <w:kern w:val="2"/>
          <w:sz w:val="24"/>
          <w:lang w:val="en-US" w:eastAsia="zh-CN"/>
        </w:rPr>
        <w:t>3</w:t>
      </w:r>
      <w:r>
        <w:rPr>
          <w:rFonts w:ascii="Times New Roman" w:hAnsi="Times New Roman" w:eastAsia="Times New Roman"/>
          <w:b/>
          <w:bCs/>
          <w:kern w:val="2"/>
          <w:sz w:val="24"/>
          <w:lang w:val="en-US" w:eastAsia="zh-CN"/>
        </w:rPr>
        <w:t>A</w:t>
      </w:r>
      <w:r>
        <w:rPr>
          <w:rFonts w:ascii="Times New Roman" w:hAnsi="Times New Roman" w:eastAsia="Times New Roman"/>
          <w:kern w:val="2"/>
          <w:sz w:val="24"/>
          <w:lang w:val="en-US" w:eastAsia="zh-CN"/>
        </w:rPr>
        <w:t xml:space="preserve"> demonstrate</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the CCK-8 assay results, revealing similar cell proliferation rates on Zr-BMG and Ti surfaces at intervals of 1, 3, 5, and 7 days. </w:t>
      </w:r>
      <w:r>
        <w:rPr>
          <w:rFonts w:hint="eastAsia" w:ascii="Times New Roman" w:hAnsi="Times New Roman" w:eastAsia="Times New Roman"/>
          <w:b/>
          <w:bCs/>
          <w:kern w:val="2"/>
          <w:sz w:val="24"/>
          <w:lang w:val="en-US" w:eastAsia="zh-CN"/>
        </w:rPr>
        <w:t>Figure 3B</w:t>
      </w:r>
      <w:r>
        <w:rPr>
          <w:rFonts w:hint="eastAsia" w:ascii="Times New Roman" w:hAnsi="Times New Roman" w:eastAsia="Times New Roman"/>
          <w:kern w:val="2"/>
          <w:sz w:val="24"/>
          <w:lang w:val="en-US" w:eastAsia="zh-CN"/>
        </w:rPr>
        <w:t xml:space="preserve"> presented </w:t>
      </w:r>
      <w:r>
        <w:rPr>
          <w:rFonts w:ascii="Times New Roman" w:hAnsi="Times New Roman" w:eastAsia="Times New Roman"/>
          <w:kern w:val="2"/>
          <w:sz w:val="24"/>
          <w:lang w:val="en-US" w:eastAsia="zh-CN"/>
        </w:rPr>
        <w:t>the results of cell viability of hJBMMSCs culturing on Zr-BMG or Ti for 24</w:t>
      </w:r>
      <w:r>
        <w:rPr>
          <w:rFonts w:hint="eastAsia" w:ascii="Times New Roman" w:hAnsi="Times New Roman" w:eastAsia="Times New Roman"/>
          <w:kern w:val="2"/>
          <w:sz w:val="24"/>
          <w:lang w:val="en-US" w:eastAsia="zh-CN"/>
        </w:rPr>
        <w:t xml:space="preserve"> h</w:t>
      </w:r>
      <w:r>
        <w:rPr>
          <w:rFonts w:ascii="Times New Roman" w:hAnsi="Times New Roman" w:eastAsia="Times New Roman"/>
          <w:kern w:val="2"/>
          <w:sz w:val="24"/>
          <w:lang w:val="en-US" w:eastAsia="zh-CN"/>
        </w:rPr>
        <w:t>,</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indicating no acute cytotoxicity. This suggest</w:t>
      </w:r>
      <w:r>
        <w:rPr>
          <w:rFonts w:hint="eastAsia" w:ascii="Times New Roman" w:hAnsi="Times New Roman" w:eastAsia="Times New Roman"/>
          <w:kern w:val="2"/>
          <w:sz w:val="24"/>
          <w:lang w:val="en-US" w:eastAsia="zh-CN"/>
        </w:rPr>
        <w:t>ed</w:t>
      </w:r>
      <w:r>
        <w:rPr>
          <w:rFonts w:ascii="Times New Roman" w:hAnsi="Times New Roman" w:eastAsia="Times New Roman"/>
          <w:kern w:val="2"/>
          <w:sz w:val="24"/>
          <w:lang w:val="en-US" w:eastAsia="zh-CN"/>
        </w:rPr>
        <w:t xml:space="preserve"> that both materials ha</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a comparable effect on the proliferation of hJBMMSCs in this experimental context. As depicted in </w:t>
      </w:r>
      <w:r>
        <w:rPr>
          <w:rFonts w:ascii="Times New Roman" w:hAnsi="Times New Roman" w:eastAsia="Times New Roman"/>
          <w:b/>
          <w:bCs/>
          <w:kern w:val="2"/>
          <w:sz w:val="24"/>
          <w:lang w:val="en-US" w:eastAsia="zh-CN"/>
        </w:rPr>
        <w:t>Fig</w:t>
      </w:r>
      <w:r>
        <w:rPr>
          <w:rFonts w:hint="eastAsia" w:ascii="Times New Roman" w:hAnsi="Times New Roman" w:eastAsia="Times New Roman"/>
          <w:b/>
          <w:bCs/>
          <w:kern w:val="2"/>
          <w:sz w:val="24"/>
          <w:lang w:val="en-US" w:eastAsia="zh-CN"/>
        </w:rPr>
        <w:t>ure</w:t>
      </w:r>
      <w:r>
        <w:rPr>
          <w:rFonts w:ascii="Times New Roman" w:hAnsi="Times New Roman" w:eastAsia="Times New Roman"/>
          <w:b/>
          <w:bCs/>
          <w:kern w:val="2"/>
          <w:sz w:val="24"/>
          <w:lang w:val="en-US" w:eastAsia="zh-CN"/>
        </w:rPr>
        <w:t xml:space="preserve"> </w:t>
      </w:r>
      <w:r>
        <w:rPr>
          <w:rFonts w:hint="eastAsia" w:ascii="Times New Roman" w:hAnsi="Times New Roman" w:eastAsia="Times New Roman"/>
          <w:b/>
          <w:bCs/>
          <w:kern w:val="2"/>
          <w:sz w:val="24"/>
          <w:lang w:val="en-US" w:eastAsia="zh-CN"/>
        </w:rPr>
        <w:t>3</w:t>
      </w:r>
      <w:r>
        <w:rPr>
          <w:rFonts w:ascii="Times New Roman" w:hAnsi="Times New Roman" w:eastAsia="Times New Roman"/>
          <w:b/>
          <w:bCs/>
          <w:kern w:val="2"/>
          <w:sz w:val="24"/>
          <w:lang w:val="en-US" w:eastAsia="zh-CN"/>
        </w:rPr>
        <w:t>C</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hJBMMSCs</w:t>
      </w:r>
      <w:r>
        <w:rPr>
          <w:rFonts w:ascii="Times New Roman" w:hAnsi="Times New Roman" w:eastAsia="Times New Roman"/>
          <w:kern w:val="2"/>
          <w:sz w:val="24"/>
          <w:lang w:val="en-US" w:eastAsia="zh-CN"/>
        </w:rPr>
        <w:t xml:space="preserve"> were evenly distributed on the surfaces of all groups. Statistical analysis confirmed no significant difference between the two </w:t>
      </w:r>
      <w:r>
        <w:rPr>
          <w:rFonts w:hint="eastAsia" w:ascii="Times New Roman" w:hAnsi="Times New Roman" w:eastAsia="Times New Roman"/>
          <w:kern w:val="2"/>
          <w:sz w:val="24"/>
          <w:lang w:val="en-US" w:eastAsia="zh-CN"/>
        </w:rPr>
        <w:t>group</w:t>
      </w:r>
      <w:r>
        <w:rPr>
          <w:rFonts w:ascii="Times New Roman" w:hAnsi="Times New Roman" w:eastAsia="Times New Roman"/>
          <w:kern w:val="2"/>
          <w:sz w:val="24"/>
          <w:lang w:val="en-US" w:eastAsia="zh-CN"/>
        </w:rPr>
        <w:t>s</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b/>
          <w:bCs/>
          <w:kern w:val="2"/>
          <w:sz w:val="24"/>
          <w:lang w:val="en-US" w:eastAsia="zh-CN"/>
        </w:rPr>
        <w:t>Figure 3D</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Cellular cytoskeleton staining (</w:t>
      </w:r>
      <w:r>
        <w:rPr>
          <w:rFonts w:ascii="Times New Roman" w:hAnsi="Times New Roman" w:eastAsia="Times New Roman"/>
          <w:b/>
          <w:bCs/>
          <w:kern w:val="2"/>
          <w:sz w:val="24"/>
          <w:lang w:val="en-US" w:eastAsia="zh-CN"/>
        </w:rPr>
        <w:t xml:space="preserve">Figure </w:t>
      </w:r>
      <w:r>
        <w:rPr>
          <w:rFonts w:hint="eastAsia" w:ascii="Times New Roman" w:hAnsi="Times New Roman" w:eastAsia="Times New Roman"/>
          <w:b/>
          <w:bCs/>
          <w:kern w:val="2"/>
          <w:sz w:val="24"/>
          <w:lang w:val="en-US" w:eastAsia="zh-CN"/>
        </w:rPr>
        <w:t>3E</w:t>
      </w:r>
      <w:r>
        <w:rPr>
          <w:rFonts w:ascii="Times New Roman" w:hAnsi="Times New Roman" w:eastAsia="Times New Roman"/>
          <w:kern w:val="2"/>
          <w:sz w:val="24"/>
          <w:lang w:val="en-US" w:eastAsia="zh-CN"/>
        </w:rPr>
        <w:t xml:space="preserve">) revealed similar morphologies of </w:t>
      </w:r>
      <w:r>
        <w:rPr>
          <w:rFonts w:hint="eastAsia" w:ascii="Times New Roman" w:hAnsi="Times New Roman" w:eastAsia="Times New Roman"/>
          <w:kern w:val="2"/>
          <w:sz w:val="24"/>
          <w:lang w:val="en-US" w:eastAsia="zh-CN"/>
        </w:rPr>
        <w:t>cells</w:t>
      </w:r>
      <w:r>
        <w:rPr>
          <w:rFonts w:ascii="Times New Roman" w:hAnsi="Times New Roman" w:eastAsia="Times New Roman"/>
          <w:kern w:val="2"/>
          <w:sz w:val="24"/>
          <w:lang w:val="en-US" w:eastAsia="zh-CN"/>
        </w:rPr>
        <w:t xml:space="preserve"> adhered to both Zr-BMG and Ti surfaces. Scanning electron microscopy (SEM) images (</w:t>
      </w:r>
      <w:r>
        <w:rPr>
          <w:rFonts w:ascii="Times New Roman" w:hAnsi="Times New Roman" w:eastAsia="Times New Roman"/>
          <w:b/>
          <w:bCs/>
          <w:kern w:val="2"/>
          <w:sz w:val="24"/>
          <w:lang w:val="en-US" w:eastAsia="zh-CN"/>
        </w:rPr>
        <w:t xml:space="preserve">Figure </w:t>
      </w:r>
      <w:r>
        <w:rPr>
          <w:rFonts w:hint="eastAsia" w:ascii="Times New Roman" w:hAnsi="Times New Roman" w:eastAsia="Times New Roman"/>
          <w:b/>
          <w:bCs/>
          <w:kern w:val="2"/>
          <w:sz w:val="24"/>
          <w:lang w:val="en-US" w:eastAsia="zh-CN"/>
        </w:rPr>
        <w:t>3F</w:t>
      </w:r>
      <w:r>
        <w:rPr>
          <w:rFonts w:ascii="Times New Roman" w:hAnsi="Times New Roman" w:eastAsia="Times New Roman"/>
          <w:kern w:val="2"/>
          <w:sz w:val="24"/>
          <w:lang w:val="en-US" w:eastAsia="zh-CN"/>
        </w:rPr>
        <w:t xml:space="preserve">) demonstrated comparable attachment and growth morphologies of </w:t>
      </w:r>
      <w:r>
        <w:rPr>
          <w:rFonts w:hint="eastAsia" w:ascii="Times New Roman" w:hAnsi="Times New Roman" w:eastAsia="Times New Roman"/>
          <w:kern w:val="2"/>
          <w:sz w:val="24"/>
          <w:lang w:val="en-US" w:eastAsia="zh-CN"/>
        </w:rPr>
        <w:t>cells</w:t>
      </w:r>
      <w:r>
        <w:rPr>
          <w:rFonts w:ascii="Times New Roman" w:hAnsi="Times New Roman" w:eastAsia="Times New Roman"/>
          <w:kern w:val="2"/>
          <w:sz w:val="24"/>
          <w:lang w:val="en-US" w:eastAsia="zh-CN"/>
        </w:rPr>
        <w:t xml:space="preserve"> on both materials.</w:t>
      </w:r>
    </w:p>
    <w:p w14:paraId="7CE20462">
      <w:pPr>
        <w:widowControl w:val="0"/>
        <w:spacing w:line="360" w:lineRule="auto"/>
        <w:jc w:val="both"/>
        <w:rPr>
          <w:rFonts w:ascii="Times New Roman" w:hAnsi="Times New Roman" w:eastAsia="Times New Roman"/>
          <w:sz w:val="24"/>
        </w:rPr>
      </w:pPr>
      <w:r>
        <w:rPr>
          <w:rFonts w:ascii="Times New Roman" w:hAnsi="Times New Roman" w:eastAsia="Times New Roman"/>
          <w:sz w:val="24"/>
        </w:rPr>
        <w:drawing>
          <wp:inline distT="0" distB="0" distL="114300" distR="114300">
            <wp:extent cx="5756910" cy="6233160"/>
            <wp:effectExtent l="0" t="0" r="8890" b="254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5756910" cy="6233160"/>
                    </a:xfrm>
                    <a:prstGeom prst="rect">
                      <a:avLst/>
                    </a:prstGeom>
                    <a:noFill/>
                    <a:ln>
                      <a:noFill/>
                    </a:ln>
                  </pic:spPr>
                </pic:pic>
              </a:graphicData>
            </a:graphic>
          </wp:inline>
        </w:drawing>
      </w:r>
    </w:p>
    <w:p w14:paraId="715F8799">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sz w:val="24"/>
          <w:lang w:val="en-US" w:eastAsia="zh-CN"/>
        </w:rPr>
      </w:pPr>
      <w:r>
        <w:rPr>
          <w:rFonts w:hint="eastAsia" w:ascii="Times New Roman" w:hAnsi="Times New Roman" w:eastAsia="Times New Roman"/>
          <w:b/>
          <w:bCs/>
          <w:sz w:val="24"/>
          <w:lang w:val="en-US" w:eastAsia="zh-CN"/>
        </w:rPr>
        <w:t>Figure 3</w:t>
      </w:r>
      <w:r>
        <w:rPr>
          <w:rFonts w:hint="eastAsia" w:ascii="Times New Roman" w:hAnsi="Times New Roman" w:eastAsia="Times New Roman"/>
          <w:sz w:val="24"/>
          <w:lang w:val="en-US" w:eastAsia="zh-CN"/>
        </w:rPr>
        <w:t xml:space="preserve"> Cell viability,cell adhesion and cell morphology features. A) The CCK-8 assay results, revealing similar cell proliferation rates on Zr-BMG and Ti surfaces at intervals of 1, 3, 5, and 7 days. B) Fluorescent staining images presenting the results of cell  viability after 1, 4, and 24 hours of cell culture,  indicating minimal cytotoxicity differences between Zr-BMG and Ti. C) Representative cell adhesion figures and cell number counts at 1 h, 4 h, and 24 h. D) Statistical analysis of the cell number confirmed no significant difference between the two materials. E) Phalloidin staining of hJBMMSCs F-actin at 24 h. F) Scanning electron microscopy (SEM) images of hJBMMSCs cell morphology on material surface at 24 h. Data were presented as mean ± SD. ns: </w:t>
      </w:r>
      <w:r>
        <w:rPr>
          <w:rFonts w:hint="eastAsia" w:ascii="Times New Roman" w:hAnsi="Times New Roman" w:eastAsia="Times New Roman"/>
          <w:i/>
          <w:iCs/>
          <w:sz w:val="24"/>
          <w:lang w:val="en-US" w:eastAsia="zh-CN"/>
        </w:rPr>
        <w:t>P</w:t>
      </w:r>
      <w:r>
        <w:rPr>
          <w:rFonts w:hint="eastAsia" w:ascii="Times New Roman" w:hAnsi="Times New Roman" w:eastAsia="Times New Roman"/>
          <w:sz w:val="24"/>
          <w:lang w:val="en-US" w:eastAsia="zh-CN"/>
        </w:rPr>
        <w:t>&gt;0.05.</w:t>
      </w:r>
    </w:p>
    <w:p w14:paraId="05CE84D3">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b/>
          <w:bCs/>
          <w:i w:val="0"/>
          <w:iCs w:val="0"/>
          <w:kern w:val="2"/>
          <w:sz w:val="24"/>
          <w:lang w:val="en-US" w:eastAsia="zh-CN"/>
        </w:rPr>
      </w:pPr>
      <w:r>
        <w:rPr>
          <w:rFonts w:hint="eastAsia" w:eastAsia="Times New Roman"/>
          <w:i w:val="0"/>
          <w:iCs w:val="0"/>
          <w:kern w:val="2"/>
          <w:sz w:val="24"/>
          <w:lang w:val="en-US" w:eastAsia="zh-CN"/>
        </w:rPr>
        <w:t>3</w:t>
      </w:r>
      <w:r>
        <w:rPr>
          <w:rFonts w:hint="eastAsia" w:ascii="Times New Roman" w:hAnsi="Times New Roman" w:eastAsia="Times New Roman"/>
          <w:i w:val="0"/>
          <w:iCs w:val="0"/>
          <w:kern w:val="2"/>
          <w:sz w:val="24"/>
          <w:lang w:val="en-US" w:eastAsia="zh-CN"/>
        </w:rPr>
        <w:t>.3.2 Antibacterial properties assessment</w:t>
      </w:r>
    </w:p>
    <w:p w14:paraId="72DB6244">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ascii="Times New Roman" w:hAnsi="Times New Roman" w:eastAsia="Times New Roman"/>
          <w:kern w:val="2"/>
          <w:sz w:val="24"/>
          <w:lang w:val="en-US" w:eastAsia="zh-CN"/>
        </w:rPr>
        <w:t>Implant-related infections (IRIs) are common post-implantation complications</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often due to bacterial adhesion and subsequent biofilm formation on material surfaces</w:t>
      </w:r>
      <w:r>
        <w:rPr>
          <w:rFonts w:hint="eastAsia" w:ascii="Times New Roman" w:hAnsi="Times New Roman" w:eastAsia="Times New Roman"/>
          <w:color w:val="080000"/>
          <w:sz w:val="24"/>
          <w:szCs w:val="24"/>
          <w:vertAlign w:val="superscript"/>
        </w:rPr>
        <w:t>[19]</w:t>
      </w:r>
      <w:r>
        <w:rPr>
          <w:rFonts w:ascii="Times New Roman" w:hAnsi="Times New Roman" w:eastAsia="Times New Roman"/>
          <w:kern w:val="2"/>
          <w:sz w:val="24"/>
          <w:lang w:val="en-US" w:eastAsia="zh-CN"/>
        </w:rPr>
        <w:t xml:space="preserve">. In this study, we selected two common oral pathogens, </w:t>
      </w:r>
      <w:r>
        <w:rPr>
          <w:rFonts w:ascii="Times New Roman" w:hAnsi="Times New Roman" w:eastAsia="Times New Roman"/>
          <w:i/>
          <w:iCs/>
          <w:kern w:val="2"/>
          <w:sz w:val="24"/>
          <w:lang w:val="en-US" w:eastAsia="zh-CN"/>
        </w:rPr>
        <w:t>Porphyromonas gingivalis</w:t>
      </w:r>
      <w:r>
        <w:rPr>
          <w:rFonts w:ascii="Times New Roman" w:hAnsi="Times New Roman" w:eastAsia="Times New Roman"/>
          <w:kern w:val="2"/>
          <w:sz w:val="24"/>
          <w:lang w:val="en-US" w:eastAsia="zh-CN"/>
        </w:rPr>
        <w:t xml:space="preserve"> (</w:t>
      </w:r>
      <w:r>
        <w:rPr>
          <w:rFonts w:hint="eastAsia" w:ascii="Times New Roman" w:hAnsi="Times New Roman" w:eastAsia="Times New Roman"/>
          <w:i/>
          <w:iCs/>
          <w:kern w:val="2"/>
          <w:sz w:val="24"/>
          <w:lang w:val="en-US" w:eastAsia="zh-CN"/>
        </w:rPr>
        <w:t>P.gingivalis</w:t>
      </w:r>
      <w:r>
        <w:rPr>
          <w:rFonts w:ascii="Times New Roman" w:hAnsi="Times New Roman" w:eastAsia="Times New Roman"/>
          <w:kern w:val="2"/>
          <w:sz w:val="24"/>
          <w:lang w:val="en-US" w:eastAsia="zh-CN"/>
        </w:rPr>
        <w:t xml:space="preserve">) and </w:t>
      </w:r>
      <w:r>
        <w:rPr>
          <w:rFonts w:ascii="Times New Roman" w:hAnsi="Times New Roman" w:eastAsia="Times New Roman"/>
          <w:i/>
          <w:iCs/>
          <w:kern w:val="2"/>
          <w:sz w:val="24"/>
          <w:lang w:val="en-US" w:eastAsia="zh-CN"/>
        </w:rPr>
        <w:t>Streptococcus mutans</w:t>
      </w:r>
      <w:r>
        <w:rPr>
          <w:rFonts w:ascii="Times New Roman" w:hAnsi="Times New Roman" w:eastAsia="Times New Roman"/>
          <w:kern w:val="2"/>
          <w:sz w:val="24"/>
          <w:lang w:val="en-US" w:eastAsia="zh-CN"/>
        </w:rPr>
        <w:t xml:space="preserve"> (</w:t>
      </w:r>
      <w:r>
        <w:rPr>
          <w:rFonts w:hint="eastAsia" w:ascii="Times New Roman" w:hAnsi="Times New Roman" w:eastAsia="Times New Roman"/>
          <w:i/>
          <w:iCs/>
          <w:kern w:val="2"/>
          <w:sz w:val="24"/>
          <w:lang w:val="en-US" w:eastAsia="zh-CN"/>
        </w:rPr>
        <w:t>S.mutans</w:t>
      </w:r>
      <w:r>
        <w:rPr>
          <w:rFonts w:ascii="Times New Roman" w:hAnsi="Times New Roman" w:eastAsia="Times New Roman"/>
          <w:kern w:val="2"/>
          <w:sz w:val="24"/>
          <w:lang w:val="en-US" w:eastAsia="zh-CN"/>
        </w:rPr>
        <w:t>), to evaluate the antibacterial performance of the developed biomaterials after co-culturing with the materials.</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b/>
          <w:bCs/>
          <w:kern w:val="2"/>
          <w:sz w:val="24"/>
          <w:lang w:val="en-US" w:eastAsia="zh-CN"/>
        </w:rPr>
        <w:t>Figure 4A</w:t>
      </w:r>
      <w:r>
        <w:rPr>
          <w:rFonts w:hint="eastAsia" w:ascii="Times New Roman" w:hAnsi="Times New Roman" w:eastAsia="Times New Roman"/>
          <w:kern w:val="2"/>
          <w:sz w:val="24"/>
          <w:lang w:val="en-US" w:eastAsia="zh-CN"/>
        </w:rPr>
        <w:t xml:space="preserve"> displayed live/dead staining of bacteria on Ti and Zr-BMG samples. </w:t>
      </w:r>
      <w:r>
        <w:rPr>
          <w:rFonts w:ascii="Times New Roman" w:hAnsi="Times New Roman" w:eastAsia="Times New Roman"/>
          <w:kern w:val="2"/>
          <w:sz w:val="24"/>
          <w:lang w:val="en-US" w:eastAsia="zh-CN"/>
        </w:rPr>
        <w:t>In contrast to the widespread presence of living bacteria on Ti surface, less bacteria were found adhered to the Zr-BMG surface, among which largely were dead colonies.</w:t>
      </w:r>
      <w:r>
        <w:rPr>
          <w:rFonts w:hint="eastAsia" w:ascii="Times New Roman" w:hAnsi="Times New Roman" w:eastAsia="Times New Roman"/>
          <w:kern w:val="2"/>
          <w:sz w:val="24"/>
          <w:lang w:val="en-US" w:eastAsia="zh-CN"/>
        </w:rPr>
        <w:t xml:space="preserve"> The result of XTT assay demonstrated the bacterial </w:t>
      </w:r>
      <w:r>
        <w:rPr>
          <w:rFonts w:ascii="Times New Roman" w:hAnsi="Times New Roman" w:eastAsia="Times New Roman"/>
          <w:kern w:val="2"/>
          <w:sz w:val="24"/>
          <w:lang w:val="en-US" w:eastAsia="zh-CN"/>
        </w:rPr>
        <w:t>proliferation</w:t>
      </w:r>
      <w:r>
        <w:rPr>
          <w:rFonts w:hint="eastAsia" w:ascii="Times New Roman" w:hAnsi="Times New Roman" w:eastAsia="Times New Roman"/>
          <w:kern w:val="2"/>
          <w:sz w:val="24"/>
          <w:lang w:val="en-US" w:eastAsia="zh-CN"/>
        </w:rPr>
        <w:t xml:space="preserve"> on Zr-BMG surface </w:t>
      </w:r>
      <w:r>
        <w:rPr>
          <w:rFonts w:ascii="Times New Roman" w:hAnsi="Times New Roman" w:eastAsia="Times New Roman"/>
          <w:kern w:val="2"/>
          <w:sz w:val="24"/>
          <w:lang w:val="en-US" w:eastAsia="zh-CN"/>
        </w:rPr>
        <w:t>were</w:t>
      </w:r>
      <w:r>
        <w:rPr>
          <w:rFonts w:hint="eastAsia" w:ascii="Times New Roman" w:hAnsi="Times New Roman" w:eastAsia="Times New Roman"/>
          <w:kern w:val="2"/>
          <w:sz w:val="24"/>
          <w:lang w:val="en-US" w:eastAsia="zh-CN"/>
        </w:rPr>
        <w:t xml:space="preserve"> significantly </w:t>
      </w:r>
      <w:r>
        <w:rPr>
          <w:rFonts w:ascii="Times New Roman" w:hAnsi="Times New Roman" w:eastAsia="Times New Roman"/>
          <w:kern w:val="2"/>
          <w:sz w:val="24"/>
          <w:lang w:val="en-US" w:eastAsia="zh-CN"/>
        </w:rPr>
        <w:t>inhibited</w:t>
      </w:r>
      <w:r>
        <w:rPr>
          <w:rFonts w:hint="eastAsia" w:ascii="Times New Roman" w:hAnsi="Times New Roman" w:eastAsia="Times New Roman"/>
          <w:kern w:val="2"/>
          <w:sz w:val="24"/>
          <w:lang w:val="en-US" w:eastAsia="zh-CN"/>
        </w:rPr>
        <w:t xml:space="preserve">, indicating its superior ability to </w:t>
      </w:r>
      <w:r>
        <w:rPr>
          <w:rFonts w:ascii="Times New Roman" w:hAnsi="Times New Roman" w:eastAsia="Times New Roman"/>
          <w:kern w:val="2"/>
          <w:sz w:val="24"/>
          <w:lang w:val="en-US" w:eastAsia="zh-CN"/>
        </w:rPr>
        <w:t>suppress bacterial activity</w:t>
      </w:r>
      <w:r>
        <w:rPr>
          <w:rFonts w:hint="eastAsia" w:ascii="Times New Roman" w:hAnsi="Times New Roman" w:eastAsia="Times New Roman"/>
          <w:kern w:val="2"/>
          <w:sz w:val="24"/>
          <w:lang w:val="en-US" w:eastAsia="zh-CN"/>
        </w:rPr>
        <w:t xml:space="preserve"> of </w:t>
      </w:r>
      <w:r>
        <w:rPr>
          <w:rFonts w:hint="eastAsia" w:ascii="Times New Roman" w:hAnsi="Times New Roman" w:eastAsia="Times New Roman"/>
          <w:i/>
          <w:iCs/>
          <w:kern w:val="2"/>
          <w:sz w:val="24"/>
          <w:lang w:val="en-US" w:eastAsia="zh-CN"/>
        </w:rPr>
        <w:t>P.gingivalis</w:t>
      </w:r>
      <w:r>
        <w:rPr>
          <w:rFonts w:hint="eastAsia" w:ascii="Times New Roman" w:hAnsi="Times New Roman" w:eastAsia="Times New Roman"/>
          <w:kern w:val="2"/>
          <w:sz w:val="24"/>
          <w:lang w:val="en-US" w:eastAsia="zh-CN"/>
        </w:rPr>
        <w:t xml:space="preserve"> and </w:t>
      </w:r>
      <w:r>
        <w:rPr>
          <w:rFonts w:hint="eastAsia" w:ascii="Times New Roman" w:hAnsi="Times New Roman" w:eastAsia="Times New Roman"/>
          <w:i/>
          <w:iCs/>
          <w:kern w:val="2"/>
          <w:sz w:val="24"/>
          <w:lang w:val="en-US" w:eastAsia="zh-CN"/>
        </w:rPr>
        <w:t>S.mutans</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b/>
          <w:bCs/>
          <w:kern w:val="2"/>
          <w:sz w:val="24"/>
          <w:lang w:val="en-US" w:eastAsia="zh-CN"/>
        </w:rPr>
        <w:t>Figure 4B</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b/>
          <w:bCs/>
          <w:kern w:val="2"/>
          <w:sz w:val="24"/>
          <w:lang w:val="en-US" w:eastAsia="zh-CN"/>
        </w:rPr>
        <w:t>Figure 4C</w:t>
      </w:r>
      <w:r>
        <w:rPr>
          <w:rFonts w:hint="eastAsia" w:ascii="Times New Roman" w:hAnsi="Times New Roman" w:eastAsia="Times New Roman"/>
          <w:kern w:val="2"/>
          <w:sz w:val="24"/>
          <w:lang w:val="en-US" w:eastAsia="zh-CN"/>
        </w:rPr>
        <w:t xml:space="preserve"> demonstrated that bacterial biofilms on Zr-BMG surface were significantly inhibited. </w:t>
      </w:r>
      <w:r>
        <w:rPr>
          <w:rFonts w:ascii="Times New Roman" w:hAnsi="Times New Roman" w:eastAsia="Times New Roman"/>
          <w:kern w:val="2"/>
          <w:sz w:val="24"/>
          <w:lang w:val="en-US" w:eastAsia="zh-CN"/>
        </w:rPr>
        <w:t xml:space="preserve">To further assess the anti-bacterial effect of Zr-BMG on </w:t>
      </w:r>
      <w:r>
        <w:rPr>
          <w:rFonts w:hint="eastAsia" w:ascii="Times New Roman" w:hAnsi="Times New Roman" w:eastAsia="Times New Roman"/>
          <w:i/>
          <w:kern w:val="2"/>
          <w:sz w:val="24"/>
          <w:lang w:val="en-US" w:eastAsia="zh-CN"/>
        </w:rPr>
        <w:t>S.mutans</w:t>
      </w:r>
      <w:r>
        <w:rPr>
          <w:rFonts w:ascii="Times New Roman" w:hAnsi="Times New Roman" w:eastAsia="Times New Roman"/>
          <w:kern w:val="2"/>
          <w:sz w:val="24"/>
          <w:lang w:val="en-US" w:eastAsia="zh-CN"/>
        </w:rPr>
        <w:t xml:space="preserve"> and </w:t>
      </w:r>
      <w:r>
        <w:rPr>
          <w:rFonts w:hint="eastAsia" w:ascii="Times New Roman" w:hAnsi="Times New Roman" w:eastAsia="Times New Roman"/>
          <w:i/>
          <w:kern w:val="2"/>
          <w:sz w:val="24"/>
          <w:lang w:val="en-US" w:eastAsia="zh-CN"/>
        </w:rPr>
        <w:t>P.gingivalis</w:t>
      </w:r>
      <w:r>
        <w:rPr>
          <w:rFonts w:ascii="Times New Roman" w:hAnsi="Times New Roman" w:eastAsia="Times New Roman"/>
          <w:kern w:val="2"/>
          <w:sz w:val="24"/>
          <w:lang w:val="en-US" w:eastAsia="zh-CN"/>
        </w:rPr>
        <w:t>, adhered bacteria were ultrasonically removed from the material surface and counted for colony formation</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b/>
          <w:bCs/>
          <w:kern w:val="2"/>
          <w:sz w:val="24"/>
          <w:lang w:val="en-US" w:eastAsia="zh-CN"/>
        </w:rPr>
        <w:t>Figure 4D</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 xml:space="preserve">The results depicted in Figure 4E demonstrated a significant decrease in colony numbers for the Zr-BMG group, with approximately 52% of </w:t>
      </w:r>
      <w:r>
        <w:rPr>
          <w:rFonts w:hint="eastAsia" w:ascii="Times New Roman" w:hAnsi="Times New Roman" w:eastAsia="Times New Roman"/>
          <w:i/>
          <w:iCs/>
          <w:kern w:val="2"/>
          <w:sz w:val="24"/>
          <w:lang w:val="en-US" w:eastAsia="zh-CN"/>
        </w:rPr>
        <w:t>S. mutans</w:t>
      </w:r>
      <w:r>
        <w:rPr>
          <w:rFonts w:hint="eastAsia" w:ascii="Times New Roman" w:hAnsi="Times New Roman" w:eastAsia="Times New Roman"/>
          <w:kern w:val="2"/>
          <w:sz w:val="24"/>
          <w:lang w:val="en-US" w:eastAsia="zh-CN"/>
        </w:rPr>
        <w:t xml:space="preserve"> and 76% of </w:t>
      </w:r>
      <w:r>
        <w:rPr>
          <w:rFonts w:hint="eastAsia" w:ascii="Times New Roman" w:hAnsi="Times New Roman" w:eastAsia="Times New Roman"/>
          <w:i/>
          <w:iCs/>
          <w:kern w:val="2"/>
          <w:sz w:val="24"/>
          <w:lang w:val="en-US" w:eastAsia="zh-CN"/>
        </w:rPr>
        <w:t>P. gingivalis</w:t>
      </w:r>
      <w:r>
        <w:rPr>
          <w:rFonts w:hint="eastAsia" w:ascii="Times New Roman" w:hAnsi="Times New Roman" w:eastAsia="Times New Roman"/>
          <w:kern w:val="2"/>
          <w:sz w:val="24"/>
          <w:lang w:val="en-US" w:eastAsia="zh-CN"/>
        </w:rPr>
        <w:t xml:space="preserve"> strains being eliminated compared to the Ti control, as shown in </w:t>
      </w:r>
      <w:r>
        <w:rPr>
          <w:rFonts w:hint="eastAsia" w:ascii="Times New Roman" w:hAnsi="Times New Roman" w:eastAsia="Times New Roman"/>
          <w:b/>
          <w:bCs/>
          <w:kern w:val="2"/>
          <w:sz w:val="24"/>
          <w:lang w:val="en-US" w:eastAsia="zh-CN"/>
        </w:rPr>
        <w:t>Figure 4F</w:t>
      </w:r>
      <w:r>
        <w:rPr>
          <w:rFonts w:hint="eastAsia" w:ascii="Times New Roman" w:hAnsi="Times New Roman" w:eastAsia="Times New Roman"/>
          <w:kern w:val="2"/>
          <w:sz w:val="24"/>
          <w:lang w:val="en-US" w:eastAsia="zh-CN"/>
        </w:rPr>
        <w:t>. This indicated superior antibacterial effectiveness of the Zr-BMG material.</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 xml:space="preserve">Using crystal violet staining for quantification, we assessed </w:t>
      </w:r>
      <w:r>
        <w:rPr>
          <w:rFonts w:ascii="Times New Roman" w:hAnsi="Times New Roman" w:eastAsia="Times New Roman"/>
          <w:kern w:val="2"/>
          <w:sz w:val="24"/>
          <w:lang w:val="en-US" w:eastAsia="zh-CN"/>
        </w:rPr>
        <w:t>the long-term anti-</w:t>
      </w:r>
      <w:r>
        <w:rPr>
          <w:rFonts w:hint="eastAsia" w:ascii="Times New Roman" w:hAnsi="Times New Roman" w:eastAsia="Times New Roman"/>
          <w:kern w:val="2"/>
          <w:sz w:val="24"/>
          <w:lang w:val="en-US" w:eastAsia="zh-CN"/>
        </w:rPr>
        <w:t xml:space="preserve">bacterial biofilm formation on Zr-BMG surfaces. </w:t>
      </w:r>
      <w:r>
        <w:rPr>
          <w:rFonts w:hint="eastAsia" w:ascii="Times New Roman" w:hAnsi="Times New Roman" w:eastAsia="Times New Roman"/>
          <w:b/>
          <w:bCs/>
          <w:kern w:val="2"/>
          <w:sz w:val="24"/>
          <w:lang w:val="en-US" w:eastAsia="zh-CN"/>
        </w:rPr>
        <w:t>Figure 4G</w:t>
      </w:r>
      <w:r>
        <w:rPr>
          <w:rFonts w:hint="eastAsia" w:ascii="Times New Roman" w:hAnsi="Times New Roman" w:eastAsia="Times New Roman"/>
          <w:kern w:val="2"/>
          <w:sz w:val="24"/>
          <w:lang w:val="en-US" w:eastAsia="zh-CN"/>
        </w:rPr>
        <w:t xml:space="preserve"> illustrated an initial rapid decline in Zr-BMG's biofilm </w:t>
      </w:r>
      <w:r>
        <w:rPr>
          <w:rFonts w:ascii="Times New Roman" w:hAnsi="Times New Roman" w:eastAsia="Times New Roman"/>
          <w:kern w:val="2"/>
          <w:sz w:val="24"/>
          <w:lang w:val="en-US" w:eastAsia="zh-CN"/>
        </w:rPr>
        <w:t xml:space="preserve">inhibition </w:t>
      </w:r>
      <w:r>
        <w:rPr>
          <w:rFonts w:hint="eastAsia" w:ascii="Times New Roman" w:hAnsi="Times New Roman" w:eastAsia="Times New Roman"/>
          <w:kern w:val="2"/>
          <w:sz w:val="24"/>
          <w:lang w:val="en-US" w:eastAsia="zh-CN"/>
        </w:rPr>
        <w:t xml:space="preserve">efficacy, stabilizing from week 2 to 4, maintaining consistent bactericidal activity. Even after 3 months, Zr-BMG retained a biofilm </w:t>
      </w:r>
      <w:r>
        <w:rPr>
          <w:rFonts w:ascii="Times New Roman" w:hAnsi="Times New Roman" w:eastAsia="Times New Roman"/>
          <w:kern w:val="2"/>
          <w:sz w:val="24"/>
          <w:lang w:val="en-US" w:eastAsia="zh-CN"/>
        </w:rPr>
        <w:t xml:space="preserve">inhibition </w:t>
      </w:r>
      <w:r>
        <w:rPr>
          <w:rFonts w:hint="eastAsia" w:ascii="Times New Roman" w:hAnsi="Times New Roman" w:eastAsia="Times New Roman"/>
          <w:kern w:val="2"/>
          <w:sz w:val="24"/>
          <w:lang w:val="en-US" w:eastAsia="zh-CN"/>
        </w:rPr>
        <w:t xml:space="preserve">rate of 36.42% for </w:t>
      </w:r>
      <w:r>
        <w:rPr>
          <w:rFonts w:hint="eastAsia" w:ascii="Times New Roman" w:hAnsi="Times New Roman" w:eastAsia="Times New Roman"/>
          <w:i/>
          <w:iCs/>
          <w:kern w:val="2"/>
          <w:sz w:val="24"/>
          <w:lang w:val="en-US" w:eastAsia="zh-CN"/>
        </w:rPr>
        <w:t>S.mutans.</w:t>
      </w:r>
      <w:r>
        <w:rPr>
          <w:rFonts w:hint="eastAsia" w:ascii="Times New Roman" w:hAnsi="Times New Roman" w:eastAsia="Times New Roman"/>
          <w:kern w:val="2"/>
          <w:sz w:val="24"/>
          <w:lang w:val="en-US" w:eastAsia="zh-CN"/>
        </w:rPr>
        <w:t xml:space="preserve"> and 44.00% for </w:t>
      </w:r>
      <w:r>
        <w:rPr>
          <w:rFonts w:hint="eastAsia" w:ascii="Times New Roman" w:hAnsi="Times New Roman" w:eastAsia="Times New Roman"/>
          <w:i/>
          <w:iCs/>
          <w:kern w:val="2"/>
          <w:sz w:val="24"/>
          <w:lang w:val="en-US" w:eastAsia="zh-CN"/>
        </w:rPr>
        <w:t>P.gingivalis</w:t>
      </w:r>
      <w:r>
        <w:rPr>
          <w:rFonts w:hint="eastAsia" w:ascii="Times New Roman" w:hAnsi="Times New Roman" w:eastAsia="Times New Roman"/>
          <w:kern w:val="2"/>
          <w:sz w:val="24"/>
          <w:lang w:val="en-US" w:eastAsia="zh-CN"/>
        </w:rPr>
        <w:t>.</w:t>
      </w:r>
    </w:p>
    <w:p w14:paraId="47877F2B">
      <w:pPr>
        <w:widowControl w:val="0"/>
        <w:spacing w:line="360" w:lineRule="auto"/>
        <w:jc w:val="both"/>
        <w:rPr>
          <w:rFonts w:ascii="Times New Roman" w:hAnsi="Times New Roman" w:eastAsia="Times New Roman"/>
          <w:sz w:val="24"/>
        </w:rPr>
      </w:pPr>
      <w:r>
        <w:rPr>
          <w:rFonts w:ascii="Times New Roman" w:hAnsi="Times New Roman" w:eastAsia="Times New Roman"/>
          <w:sz w:val="24"/>
        </w:rPr>
        <w:drawing>
          <wp:inline distT="0" distB="0" distL="114300" distR="114300">
            <wp:extent cx="5757545" cy="8197215"/>
            <wp:effectExtent l="0" t="0" r="8255" b="698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9"/>
                    <a:stretch>
                      <a:fillRect/>
                    </a:stretch>
                  </pic:blipFill>
                  <pic:spPr>
                    <a:xfrm>
                      <a:off x="0" y="0"/>
                      <a:ext cx="5757545" cy="8197215"/>
                    </a:xfrm>
                    <a:prstGeom prst="rect">
                      <a:avLst/>
                    </a:prstGeom>
                    <a:noFill/>
                    <a:ln>
                      <a:noFill/>
                    </a:ln>
                  </pic:spPr>
                </pic:pic>
              </a:graphicData>
            </a:graphic>
          </wp:inline>
        </w:drawing>
      </w:r>
    </w:p>
    <w:p w14:paraId="56CB5D13">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eastAsia="zh-CN"/>
        </w:rPr>
      </w:pPr>
      <w:r>
        <w:rPr>
          <w:rFonts w:hint="eastAsia" w:ascii="Times New Roman" w:hAnsi="Times New Roman" w:eastAsia="Times New Roman"/>
          <w:b/>
          <w:bCs/>
          <w:sz w:val="24"/>
          <w:lang w:val="en-US" w:eastAsia="zh-CN"/>
        </w:rPr>
        <w:t>Figure 4</w:t>
      </w:r>
      <w:r>
        <w:rPr>
          <w:rFonts w:hint="eastAsia" w:ascii="Times New Roman" w:hAnsi="Times New Roman" w:eastAsia="Times New Roman"/>
          <w:sz w:val="24"/>
          <w:lang w:val="en-US" w:eastAsia="zh-CN"/>
        </w:rPr>
        <w:t xml:space="preserve"> Antibacterial properties of the materials A) The live/dead staining images of </w:t>
      </w:r>
      <w:r>
        <w:rPr>
          <w:rFonts w:hint="eastAsia" w:ascii="Times New Roman" w:hAnsi="Times New Roman" w:eastAsia="Times New Roman"/>
          <w:i/>
          <w:iCs/>
          <w:sz w:val="24"/>
          <w:lang w:val="en-US" w:eastAsia="zh-CN"/>
        </w:rPr>
        <w:t>S.mutans</w:t>
      </w:r>
      <w:r>
        <w:rPr>
          <w:rFonts w:hint="eastAsia" w:ascii="Times New Roman" w:hAnsi="Times New Roman" w:eastAsia="Times New Roman"/>
          <w:sz w:val="24"/>
          <w:lang w:val="en-US" w:eastAsia="zh-CN"/>
        </w:rPr>
        <w:t xml:space="preserve"> and </w:t>
      </w:r>
      <w:r>
        <w:rPr>
          <w:rFonts w:hint="eastAsia" w:ascii="Times New Roman" w:hAnsi="Times New Roman" w:eastAsia="Times New Roman"/>
          <w:i/>
          <w:iCs/>
          <w:sz w:val="24"/>
          <w:lang w:val="en-US" w:eastAsia="zh-CN"/>
        </w:rPr>
        <w:t>P.gingivalis</w:t>
      </w:r>
      <w:r>
        <w:rPr>
          <w:rFonts w:hint="eastAsia" w:ascii="Times New Roman" w:hAnsi="Times New Roman" w:eastAsia="Times New Roman"/>
          <w:sz w:val="24"/>
          <w:lang w:val="en-US" w:eastAsia="zh-CN"/>
        </w:rPr>
        <w:t xml:space="preserve"> seeded on the surfaces of the two materials. Ti surfaces had lots of live bacteria, but Zr-BMG surfaces had fewer, mostly dead ones. B) XTT assay of the bacterial activity on the surfaces of the two materials. The bacterial proliferation on Zr-BMG surface was significantly lower than Ti. C) The result of  crystal violet staining. The bacterial biofilm formation on Zr-BMG surface was significantly inhibited. D) The images of the dilution plate after co-culturing bacteria with the two materials (black colonies for </w:t>
      </w:r>
      <w:r>
        <w:rPr>
          <w:rFonts w:hint="eastAsia" w:ascii="Times New Roman" w:hAnsi="Times New Roman" w:eastAsia="Times New Roman"/>
          <w:i/>
          <w:iCs/>
          <w:sz w:val="24"/>
          <w:lang w:val="en-US" w:eastAsia="zh-CN"/>
        </w:rPr>
        <w:t>P.gingivalis</w:t>
      </w:r>
      <w:r>
        <w:rPr>
          <w:rFonts w:hint="eastAsia" w:ascii="Times New Roman" w:hAnsi="Times New Roman" w:eastAsia="Times New Roman"/>
          <w:sz w:val="24"/>
          <w:lang w:val="en-US" w:eastAsia="zh-CN"/>
        </w:rPr>
        <w:t xml:space="preserve"> and yellow-white colonies for </w:t>
      </w:r>
      <w:r>
        <w:rPr>
          <w:rFonts w:hint="eastAsia" w:ascii="Times New Roman" w:hAnsi="Times New Roman" w:eastAsia="Times New Roman"/>
          <w:i/>
          <w:iCs/>
          <w:sz w:val="24"/>
          <w:lang w:val="en-US" w:eastAsia="zh-CN"/>
        </w:rPr>
        <w:t>S.mutans</w:t>
      </w:r>
      <w:r>
        <w:rPr>
          <w:rFonts w:hint="eastAsia" w:ascii="Times New Roman" w:hAnsi="Times New Roman" w:eastAsia="Times New Roman"/>
          <w:sz w:val="24"/>
          <w:lang w:val="en-US" w:eastAsia="zh-CN"/>
        </w:rPr>
        <w:t xml:space="preserve"> ). E) Quantitative analysis of  colonies. Compared to Ti, the quantity of both live bacteria adhering to Zr-BMG was significantly reduced. F) The bactericidal rate of Zr-BMG against </w:t>
      </w:r>
      <w:r>
        <w:rPr>
          <w:rFonts w:hint="eastAsia" w:ascii="Times New Roman" w:hAnsi="Times New Roman" w:eastAsia="Times New Roman"/>
          <w:i/>
          <w:iCs/>
          <w:sz w:val="24"/>
          <w:lang w:val="en-US" w:eastAsia="zh-CN"/>
        </w:rPr>
        <w:t>P.gingivalis</w:t>
      </w:r>
      <w:r>
        <w:rPr>
          <w:rFonts w:hint="eastAsia" w:ascii="Times New Roman" w:hAnsi="Times New Roman" w:eastAsia="Times New Roman"/>
          <w:sz w:val="24"/>
          <w:lang w:val="en-US" w:eastAsia="zh-CN"/>
        </w:rPr>
        <w:t xml:space="preserve"> was (75.56±4.74)%, and for </w:t>
      </w:r>
      <w:r>
        <w:rPr>
          <w:rFonts w:hint="eastAsia" w:ascii="Times New Roman" w:hAnsi="Times New Roman" w:eastAsia="Times New Roman"/>
          <w:i/>
          <w:iCs/>
          <w:sz w:val="24"/>
          <w:lang w:val="en-US" w:eastAsia="zh-CN"/>
        </w:rPr>
        <w:t>S.mutans</w:t>
      </w:r>
      <w:r>
        <w:rPr>
          <w:rFonts w:hint="eastAsia" w:ascii="Times New Roman" w:hAnsi="Times New Roman" w:eastAsia="Times New Roman"/>
          <w:sz w:val="24"/>
          <w:lang w:val="en-US" w:eastAsia="zh-CN"/>
        </w:rPr>
        <w:t xml:space="preserve">, the bactericidal rate was (51.96±5.13)%, indicating that Zr-BMG had a stronger killing ability against </w:t>
      </w:r>
      <w:r>
        <w:rPr>
          <w:rFonts w:hint="eastAsia" w:ascii="Times New Roman" w:hAnsi="Times New Roman" w:eastAsia="Times New Roman"/>
          <w:i/>
          <w:iCs/>
          <w:sz w:val="24"/>
          <w:lang w:val="en-US" w:eastAsia="zh-CN"/>
        </w:rPr>
        <w:t>P.gingivalis</w:t>
      </w:r>
      <w:r>
        <w:rPr>
          <w:rFonts w:hint="eastAsia" w:ascii="Times New Roman" w:hAnsi="Times New Roman" w:eastAsia="Times New Roman"/>
          <w:sz w:val="24"/>
          <w:lang w:val="en-US" w:eastAsia="zh-CN"/>
        </w:rPr>
        <w:t>. G) The removal efficiency of Zr-BMG on bacterial biofilm initially decreased rapidly, gradually stabilizing from the 2nd to 4th week. Data were presented as mean ± SD. *</w:t>
      </w:r>
      <w:r>
        <w:rPr>
          <w:rFonts w:hint="eastAsia" w:ascii="Times New Roman" w:hAnsi="Times New Roman" w:eastAsia="Times New Roman"/>
          <w:i/>
          <w:iCs/>
          <w:sz w:val="24"/>
          <w:lang w:val="en-US" w:eastAsia="zh-CN"/>
        </w:rPr>
        <w:t xml:space="preserve">P </w:t>
      </w:r>
      <w:r>
        <w:rPr>
          <w:rFonts w:hint="eastAsia" w:ascii="Times New Roman" w:hAnsi="Times New Roman" w:eastAsia="Times New Roman"/>
          <w:sz w:val="24"/>
          <w:lang w:val="en-US" w:eastAsia="zh-CN"/>
        </w:rPr>
        <w:t>&lt; 0.05 and ***</w:t>
      </w:r>
      <w:r>
        <w:rPr>
          <w:rFonts w:hint="eastAsia" w:ascii="Times New Roman" w:hAnsi="Times New Roman" w:eastAsia="Times New Roman"/>
          <w:i/>
          <w:iCs/>
          <w:sz w:val="24"/>
          <w:lang w:val="en-US" w:eastAsia="zh-CN"/>
        </w:rPr>
        <w:t xml:space="preserve">P </w:t>
      </w:r>
      <w:r>
        <w:rPr>
          <w:rFonts w:hint="eastAsia" w:ascii="Times New Roman" w:hAnsi="Times New Roman" w:eastAsia="Times New Roman"/>
          <w:sz w:val="24"/>
          <w:lang w:val="en-US" w:eastAsia="zh-CN"/>
        </w:rPr>
        <w:t>&lt; 0.001.</w:t>
      </w:r>
    </w:p>
    <w:p w14:paraId="46245520">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i w:val="0"/>
          <w:iCs w:val="0"/>
          <w:kern w:val="2"/>
          <w:sz w:val="24"/>
          <w:lang w:val="en-US" w:eastAsia="zh-CN"/>
        </w:rPr>
      </w:pPr>
      <w:r>
        <w:rPr>
          <w:rFonts w:hint="eastAsia" w:eastAsia="Times New Roman"/>
          <w:i w:val="0"/>
          <w:iCs w:val="0"/>
          <w:kern w:val="2"/>
          <w:sz w:val="24"/>
          <w:lang w:val="en-US" w:eastAsia="zh-CN"/>
        </w:rPr>
        <w:t>3</w:t>
      </w:r>
      <w:r>
        <w:rPr>
          <w:rFonts w:hint="eastAsia" w:ascii="Times New Roman" w:hAnsi="Times New Roman" w:eastAsia="Times New Roman"/>
          <w:i w:val="0"/>
          <w:iCs w:val="0"/>
          <w:kern w:val="2"/>
          <w:sz w:val="24"/>
          <w:lang w:val="en-US" w:eastAsia="zh-CN"/>
        </w:rPr>
        <w:t xml:space="preserve">.3.3 </w:t>
      </w:r>
      <w:r>
        <w:rPr>
          <w:rFonts w:ascii="Times New Roman" w:hAnsi="Times New Roman" w:eastAsia="Times New Roman"/>
          <w:i w:val="0"/>
          <w:iCs w:val="0"/>
          <w:kern w:val="2"/>
          <w:sz w:val="24"/>
          <w:lang w:val="en-US" w:eastAsia="zh-CN"/>
        </w:rPr>
        <w:t>Antibacterial</w:t>
      </w:r>
      <w:r>
        <w:rPr>
          <w:rFonts w:hint="eastAsia" w:ascii="Times New Roman" w:hAnsi="Times New Roman" w:eastAsia="Times New Roman"/>
          <w:i w:val="0"/>
          <w:iCs w:val="0"/>
          <w:kern w:val="2"/>
          <w:sz w:val="24"/>
          <w:lang w:val="en-US" w:eastAsia="zh-CN"/>
        </w:rPr>
        <w:t xml:space="preserve"> mechanism</w:t>
      </w:r>
    </w:p>
    <w:p w14:paraId="22A6398B">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This study utilized scanning electron microscopy (SEM) to observe bacterial morphology and distribution on materials. </w:t>
      </w:r>
      <w:r>
        <w:rPr>
          <w:rFonts w:hint="eastAsia" w:ascii="Times New Roman" w:hAnsi="Times New Roman" w:eastAsia="Times New Roman"/>
          <w:b/>
          <w:bCs/>
          <w:kern w:val="2"/>
          <w:sz w:val="24"/>
          <w:lang w:val="en-US" w:eastAsia="zh-CN"/>
        </w:rPr>
        <w:t>Figure 5A</w:t>
      </w:r>
      <w:r>
        <w:rPr>
          <w:rFonts w:hint="eastAsia" w:ascii="Times New Roman" w:hAnsi="Times New Roman" w:eastAsia="Times New Roman"/>
          <w:kern w:val="2"/>
          <w:sz w:val="24"/>
          <w:lang w:val="en-US" w:eastAsia="zh-CN"/>
        </w:rPr>
        <w:t xml:space="preserve"> showed bacteria inoculated on Ti exhibited spherical shapes with smooth surfaces. In contrast, those on Zr-BMG displayed extensive cell wall ruptures and membrane disruptions, with observable twisted and completely detached membrane structures.</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 xml:space="preserve">Concurrently, this study measured the bacterial protein release on different materials. </w:t>
      </w:r>
      <w:r>
        <w:rPr>
          <w:rFonts w:hint="eastAsia" w:ascii="Times New Roman" w:hAnsi="Times New Roman" w:eastAsia="Times New Roman"/>
          <w:b/>
          <w:bCs/>
          <w:kern w:val="2"/>
          <w:sz w:val="24"/>
          <w:lang w:val="en-US" w:eastAsia="zh-CN"/>
        </w:rPr>
        <w:t>Figure 5B</w:t>
      </w:r>
      <w:r>
        <w:rPr>
          <w:rFonts w:hint="eastAsia" w:ascii="Times New Roman" w:hAnsi="Times New Roman" w:eastAsia="Times New Roman"/>
          <w:kern w:val="2"/>
          <w:sz w:val="24"/>
          <w:lang w:val="en-US" w:eastAsia="zh-CN"/>
        </w:rPr>
        <w:t xml:space="preserve"> illustrated that bacteria inoculated on Zr-BMG exhibited a slightly higher protein release compared to those on other materials, yet the difference was not statistically significant (</w:t>
      </w:r>
      <w:r>
        <w:rPr>
          <w:rFonts w:hint="eastAsia" w:ascii="Times New Roman" w:hAnsi="Times New Roman" w:eastAsia="Times New Roman"/>
          <w:i/>
          <w:iCs/>
          <w:kern w:val="2"/>
          <w:sz w:val="24"/>
          <w:lang w:val="en-US" w:eastAsia="zh-CN"/>
        </w:rPr>
        <w:t xml:space="preserve">P </w:t>
      </w:r>
      <w:r>
        <w:rPr>
          <w:rFonts w:hint="eastAsia" w:ascii="Times New Roman" w:hAnsi="Times New Roman" w:eastAsia="Times New Roman"/>
          <w:kern w:val="2"/>
          <w:sz w:val="24"/>
          <w:lang w:val="en-US" w:eastAsia="zh-CN"/>
        </w:rPr>
        <w:t>&gt; 0.05). ROS are integral to cellular physiological processes, with excessive ROS leading to oxidative stress and cell death</w:t>
      </w:r>
      <w:r>
        <w:rPr>
          <w:rFonts w:hint="eastAsia" w:ascii="Times New Roman" w:hAnsi="Times New Roman" w:eastAsia="Times New Roman"/>
          <w:color w:val="080000"/>
          <w:sz w:val="24"/>
          <w:szCs w:val="24"/>
          <w:vertAlign w:val="superscript"/>
        </w:rPr>
        <w:t>[26, 27]</w:t>
      </w:r>
      <w:r>
        <w:rPr>
          <w:rFonts w:hint="eastAsia" w:ascii="Times New Roman" w:hAnsi="Times New Roman" w:eastAsia="Times New Roman"/>
          <w:kern w:val="2"/>
          <w:sz w:val="24"/>
          <w:lang w:val="en-US" w:eastAsia="zh-CN"/>
        </w:rPr>
        <w:t xml:space="preserve">.  As depicted in </w:t>
      </w:r>
      <w:r>
        <w:rPr>
          <w:rFonts w:hint="eastAsia" w:ascii="Times New Roman" w:hAnsi="Times New Roman" w:eastAsia="Times New Roman"/>
          <w:b/>
          <w:bCs/>
          <w:kern w:val="2"/>
          <w:sz w:val="24"/>
          <w:lang w:val="en-US" w:eastAsia="zh-CN"/>
        </w:rPr>
        <w:t>Figure 5C</w:t>
      </w:r>
      <w:r>
        <w:rPr>
          <w:rFonts w:hint="eastAsia" w:ascii="Times New Roman" w:hAnsi="Times New Roman" w:eastAsia="Times New Roman"/>
          <w:kern w:val="2"/>
          <w:sz w:val="24"/>
          <w:lang w:val="en-US" w:eastAsia="zh-CN"/>
        </w:rPr>
        <w:t>, higher ROS production</w:t>
      </w:r>
      <w:r>
        <w:rPr>
          <w:rFonts w:ascii="Times New Roman" w:hAnsi="Times New Roman" w:eastAsia="Times New Roman"/>
          <w:kern w:val="2"/>
          <w:sz w:val="24"/>
          <w:lang w:val="en-US" w:eastAsia="zh-CN"/>
        </w:rPr>
        <w:t xml:space="preserve"> was observed on bacteria adhered on</w:t>
      </w:r>
      <w:r>
        <w:rPr>
          <w:rFonts w:hint="eastAsia" w:ascii="Times New Roman" w:hAnsi="Times New Roman" w:eastAsia="Times New Roman"/>
          <w:kern w:val="2"/>
          <w:sz w:val="24"/>
          <w:lang w:val="en-US" w:eastAsia="zh-CN"/>
        </w:rPr>
        <w:t xml:space="preserve"> Zr-BMG</w:t>
      </w:r>
      <w:r>
        <w:rPr>
          <w:rFonts w:ascii="Times New Roman" w:hAnsi="Times New Roman" w:eastAsia="Times New Roman"/>
          <w:kern w:val="2"/>
          <w:sz w:val="24"/>
          <w:lang w:val="en-US" w:eastAsia="zh-CN"/>
        </w:rPr>
        <w:t xml:space="preserve"> surface</w:t>
      </w:r>
      <w:r>
        <w:rPr>
          <w:rFonts w:hint="eastAsia" w:ascii="Times New Roman" w:hAnsi="Times New Roman" w:eastAsia="Times New Roman"/>
          <w:kern w:val="2"/>
          <w:sz w:val="24"/>
          <w:lang w:val="en-US" w:eastAsia="zh-CN"/>
        </w:rPr>
        <w:t>.</w:t>
      </w:r>
      <w:r>
        <w:rPr>
          <w:rFonts w:ascii="Times New Roman" w:hAnsi="Times New Roman" w:eastAsia="Times New Roman"/>
          <w:kern w:val="2"/>
          <w:sz w:val="24"/>
          <w:lang w:val="en-US" w:eastAsia="zh-CN"/>
        </w:rPr>
        <w:t xml:space="preserve"> In the meantime, significant ROS signals were detected in the bacterial suspension in the Zr-BMG group</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b/>
          <w:bCs/>
          <w:kern w:val="2"/>
          <w:sz w:val="24"/>
          <w:lang w:val="en-US" w:eastAsia="zh-CN"/>
        </w:rPr>
        <w:t>Figure 5D</w:t>
      </w:r>
      <w:r>
        <w:rPr>
          <w:rFonts w:hint="eastAsia" w:ascii="Times New Roman" w:hAnsi="Times New Roman" w:eastAsia="Times New Roman"/>
          <w:kern w:val="2"/>
          <w:sz w:val="24"/>
          <w:lang w:val="en-US" w:eastAsia="zh-CN"/>
        </w:rPr>
        <w:t>). Therefore, we speculated that the antibacterial mechanism of this material might include both contact sterilization and ion sterilization (</w:t>
      </w:r>
      <w:r>
        <w:rPr>
          <w:rFonts w:hint="eastAsia" w:ascii="Times New Roman" w:hAnsi="Times New Roman" w:eastAsia="Times New Roman"/>
          <w:b/>
          <w:bCs/>
          <w:kern w:val="2"/>
          <w:sz w:val="24"/>
          <w:lang w:val="en-US" w:eastAsia="zh-CN"/>
        </w:rPr>
        <w:t>Figure 5E</w:t>
      </w:r>
      <w:r>
        <w:rPr>
          <w:rFonts w:hint="eastAsia" w:ascii="Times New Roman" w:hAnsi="Times New Roman" w:eastAsia="Times New Roman"/>
          <w:kern w:val="2"/>
          <w:sz w:val="24"/>
          <w:lang w:val="en-US" w:eastAsia="zh-CN"/>
        </w:rPr>
        <w:t>). When bacteria came into contact with the material, the Cu on the surface could kill the bacteria by disrupting structures such as the bacterial cell membrane. Simultaneously, the material could release copper and silver ions in the SBF solution, inducing substantial ROS production in bacteria, elevating intracellular ROS levels, causing oxidative stress damage, and leading to bacterial cell death.</w:t>
      </w:r>
    </w:p>
    <w:p w14:paraId="000F4EEF">
      <w:pPr>
        <w:widowControl w:val="0"/>
        <w:spacing w:line="360" w:lineRule="auto"/>
        <w:jc w:val="both"/>
        <w:rPr>
          <w:rFonts w:ascii="Times New Roman" w:hAnsi="Times New Roman" w:eastAsia="Times New Roman"/>
          <w:sz w:val="24"/>
        </w:rPr>
      </w:pPr>
      <w:r>
        <w:rPr>
          <w:rFonts w:ascii="Times New Roman" w:hAnsi="Times New Roman" w:eastAsia="Times New Roman"/>
          <w:sz w:val="24"/>
        </w:rPr>
        <w:drawing>
          <wp:inline distT="0" distB="0" distL="114300" distR="114300">
            <wp:extent cx="5757545" cy="8087995"/>
            <wp:effectExtent l="0" t="0" r="8255" b="190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0"/>
                    <a:stretch>
                      <a:fillRect/>
                    </a:stretch>
                  </pic:blipFill>
                  <pic:spPr>
                    <a:xfrm>
                      <a:off x="0" y="0"/>
                      <a:ext cx="5757545" cy="8087995"/>
                    </a:xfrm>
                    <a:prstGeom prst="rect">
                      <a:avLst/>
                    </a:prstGeom>
                    <a:noFill/>
                    <a:ln>
                      <a:noFill/>
                    </a:ln>
                  </pic:spPr>
                </pic:pic>
              </a:graphicData>
            </a:graphic>
          </wp:inline>
        </w:drawing>
      </w:r>
    </w:p>
    <w:p w14:paraId="19142724">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eastAsia="zh-CN"/>
        </w:rPr>
      </w:pPr>
      <w:r>
        <w:rPr>
          <w:rFonts w:hint="eastAsia" w:ascii="Times New Roman" w:hAnsi="Times New Roman" w:eastAsia="Times New Roman"/>
          <w:b/>
          <w:bCs/>
          <w:sz w:val="24"/>
          <w:lang w:val="en-US" w:eastAsia="zh-CN"/>
        </w:rPr>
        <w:t>Figure 5</w:t>
      </w:r>
      <w:r>
        <w:rPr>
          <w:rFonts w:hint="eastAsia" w:ascii="Times New Roman" w:hAnsi="Times New Roman" w:eastAsia="Times New Roman"/>
          <w:sz w:val="24"/>
          <w:lang w:val="en-US" w:eastAsia="zh-CN"/>
        </w:rPr>
        <w:t xml:space="preserve"> Antibacterial mechanism A) Representative scanning electron microscope (SEM) images of </w:t>
      </w:r>
      <w:r>
        <w:rPr>
          <w:rFonts w:hint="eastAsia" w:ascii="Times New Roman" w:hAnsi="Times New Roman" w:eastAsia="Times New Roman"/>
          <w:i/>
          <w:iCs/>
          <w:sz w:val="24"/>
          <w:lang w:val="en-US" w:eastAsia="zh-CN"/>
        </w:rPr>
        <w:t>S.mutans</w:t>
      </w:r>
      <w:r>
        <w:rPr>
          <w:rFonts w:hint="eastAsia" w:ascii="Times New Roman" w:hAnsi="Times New Roman" w:eastAsia="Times New Roman"/>
          <w:sz w:val="24"/>
          <w:lang w:val="en-US" w:eastAsia="zh-CN"/>
        </w:rPr>
        <w:t xml:space="preserve"> and </w:t>
      </w:r>
      <w:r>
        <w:rPr>
          <w:rFonts w:hint="eastAsia" w:ascii="Times New Roman" w:hAnsi="Times New Roman" w:eastAsia="Times New Roman"/>
          <w:i/>
          <w:iCs/>
          <w:sz w:val="24"/>
          <w:lang w:val="en-US" w:eastAsia="zh-CN"/>
        </w:rPr>
        <w:t>P.gingivalis</w:t>
      </w:r>
      <w:r>
        <w:rPr>
          <w:rFonts w:hint="eastAsia" w:ascii="Times New Roman" w:hAnsi="Times New Roman" w:eastAsia="Times New Roman"/>
          <w:sz w:val="24"/>
          <w:lang w:val="en-US" w:eastAsia="zh-CN"/>
        </w:rPr>
        <w:t xml:space="preserve"> inoculated on the surfaces of the two materials. The bacterial cells inoculated on the surface of Zr-BMG exhibited a large number of cell wall ruptures, membrane fractures, and blurred or unclear cytoplasm with overflow. B) The bacterial protein release levels after inoculation with </w:t>
      </w:r>
      <w:r>
        <w:rPr>
          <w:rFonts w:hint="eastAsia" w:ascii="Times New Roman" w:hAnsi="Times New Roman" w:eastAsia="Times New Roman"/>
          <w:i/>
          <w:iCs/>
          <w:sz w:val="24"/>
          <w:lang w:val="en-US" w:eastAsia="zh-CN"/>
        </w:rPr>
        <w:t>S.mutans</w:t>
      </w:r>
      <w:r>
        <w:rPr>
          <w:rFonts w:hint="eastAsia" w:ascii="Times New Roman" w:hAnsi="Times New Roman" w:eastAsia="Times New Roman"/>
          <w:sz w:val="24"/>
          <w:lang w:val="en-US" w:eastAsia="zh-CN"/>
        </w:rPr>
        <w:t xml:space="preserve"> and </w:t>
      </w:r>
      <w:r>
        <w:rPr>
          <w:rFonts w:hint="eastAsia" w:ascii="Times New Roman" w:hAnsi="Times New Roman" w:eastAsia="Times New Roman"/>
          <w:i/>
          <w:iCs/>
          <w:sz w:val="24"/>
          <w:lang w:val="en-US" w:eastAsia="zh-CN"/>
        </w:rPr>
        <w:t>P.gingivalis</w:t>
      </w:r>
      <w:r>
        <w:rPr>
          <w:rFonts w:hint="eastAsia" w:ascii="Times New Roman" w:hAnsi="Times New Roman" w:eastAsia="Times New Roman"/>
          <w:sz w:val="24"/>
          <w:lang w:val="en-US" w:eastAsia="zh-CN"/>
        </w:rPr>
        <w:t xml:space="preserve"> on two materials. The bacterial protein release levels on Zr-BMG were slightly higher, but there was no significant difference between the two. C) Images of the bacterial reactive oxygen species (ROS) staining on the material surface after inoculation with </w:t>
      </w:r>
      <w:r>
        <w:rPr>
          <w:rFonts w:hint="eastAsia" w:ascii="Times New Roman" w:hAnsi="Times New Roman" w:eastAsia="Times New Roman"/>
          <w:i/>
          <w:iCs/>
          <w:sz w:val="24"/>
          <w:lang w:val="en-US" w:eastAsia="zh-CN"/>
        </w:rPr>
        <w:t>S.mutans</w:t>
      </w:r>
      <w:r>
        <w:rPr>
          <w:rFonts w:hint="eastAsia" w:ascii="Times New Roman" w:hAnsi="Times New Roman" w:eastAsia="Times New Roman"/>
          <w:sz w:val="24"/>
          <w:lang w:val="en-US" w:eastAsia="zh-CN"/>
        </w:rPr>
        <w:t xml:space="preserve"> and </w:t>
      </w:r>
      <w:r>
        <w:rPr>
          <w:rFonts w:hint="eastAsia" w:ascii="Times New Roman" w:hAnsi="Times New Roman" w:eastAsia="Times New Roman"/>
          <w:i/>
          <w:iCs/>
          <w:sz w:val="24"/>
          <w:lang w:val="en-US" w:eastAsia="zh-CN"/>
        </w:rPr>
        <w:t>P.gingivalis</w:t>
      </w:r>
      <w:r>
        <w:rPr>
          <w:rFonts w:hint="eastAsia" w:ascii="Times New Roman" w:hAnsi="Times New Roman" w:eastAsia="Times New Roman"/>
          <w:sz w:val="24"/>
          <w:lang w:val="en-US" w:eastAsia="zh-CN"/>
        </w:rPr>
        <w:t xml:space="preserve">.D) Fluorescence intensity of free-released ROS. The Zr-BMG induced substantial ROS production in bacteria, elevating extracellular ROS levels. E) Schematic diagram of the antibacterial mechanism of Zr-BMG. Data were presented as mean ± SD. ns: </w:t>
      </w:r>
      <w:r>
        <w:rPr>
          <w:rFonts w:hint="eastAsia" w:ascii="Times New Roman" w:hAnsi="Times New Roman" w:eastAsia="Times New Roman"/>
          <w:i/>
          <w:iCs/>
          <w:sz w:val="24"/>
          <w:lang w:val="en-US" w:eastAsia="zh-CN"/>
        </w:rPr>
        <w:t>P</w:t>
      </w:r>
      <w:r>
        <w:rPr>
          <w:rFonts w:hint="eastAsia" w:ascii="Times New Roman" w:hAnsi="Times New Roman" w:eastAsia="Times New Roman"/>
          <w:sz w:val="24"/>
          <w:lang w:val="en-US" w:eastAsia="zh-CN"/>
        </w:rPr>
        <w:t xml:space="preserve"> &gt; 0.05 and **</w:t>
      </w:r>
      <w:r>
        <w:rPr>
          <w:rFonts w:hint="eastAsia" w:ascii="Times New Roman" w:hAnsi="Times New Roman" w:eastAsia="Times New Roman"/>
          <w:i/>
          <w:iCs/>
          <w:sz w:val="24"/>
          <w:lang w:val="en-US" w:eastAsia="zh-CN"/>
        </w:rPr>
        <w:t>P</w:t>
      </w:r>
      <w:r>
        <w:rPr>
          <w:rFonts w:hint="eastAsia" w:ascii="Times New Roman" w:hAnsi="Times New Roman" w:eastAsia="Times New Roman"/>
          <w:sz w:val="24"/>
          <w:lang w:val="en-US" w:eastAsia="zh-CN"/>
        </w:rPr>
        <w:t xml:space="preserve"> &lt; 0.01.</w:t>
      </w:r>
    </w:p>
    <w:p w14:paraId="720F2099">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i w:val="0"/>
          <w:iCs w:val="0"/>
          <w:kern w:val="2"/>
          <w:sz w:val="24"/>
          <w:lang w:val="en-US" w:eastAsia="zh-CN"/>
        </w:rPr>
      </w:pPr>
      <w:r>
        <w:rPr>
          <w:rFonts w:hint="eastAsia" w:eastAsia="Times New Roman"/>
          <w:i w:val="0"/>
          <w:iCs w:val="0"/>
          <w:kern w:val="2"/>
          <w:sz w:val="24"/>
          <w:lang w:val="en-US" w:eastAsia="zh-CN"/>
        </w:rPr>
        <w:t>3</w:t>
      </w:r>
      <w:r>
        <w:rPr>
          <w:rFonts w:hint="eastAsia" w:ascii="Times New Roman" w:hAnsi="Times New Roman" w:eastAsia="Times New Roman"/>
          <w:i w:val="0"/>
          <w:iCs w:val="0"/>
          <w:kern w:val="2"/>
          <w:sz w:val="24"/>
          <w:lang w:val="en-US" w:eastAsia="zh-CN"/>
        </w:rPr>
        <w:t>.3.4 Angiogenesis and osteogenesis ability</w:t>
      </w:r>
    </w:p>
    <w:p w14:paraId="6BD5842F">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cs="Times New Roman"/>
          <w:kern w:val="2"/>
          <w:sz w:val="24"/>
          <w:lang w:val="en-US" w:eastAsia="zh-CN"/>
        </w:rPr>
      </w:pPr>
      <w:r>
        <w:rPr>
          <w:rFonts w:hint="eastAsia" w:ascii="Times New Roman" w:hAnsi="Times New Roman" w:eastAsia="Times New Roman"/>
          <w:kern w:val="2"/>
          <w:sz w:val="24"/>
          <w:lang w:val="en-US" w:eastAsia="zh-CN"/>
        </w:rPr>
        <w:t>Angiogenesis is a critical process during bone integration, where new blood vessels provide oxygen and nutrients to surrounding cells to promote their proliferation and differentiation. HUVECs cultured in material extracts underwent scratch assays (</w:t>
      </w:r>
      <w:r>
        <w:rPr>
          <w:rFonts w:hint="eastAsia" w:ascii="Times New Roman" w:hAnsi="Times New Roman" w:eastAsia="Times New Roman"/>
          <w:b/>
          <w:bCs/>
          <w:kern w:val="2"/>
          <w:sz w:val="24"/>
          <w:lang w:val="en-US" w:eastAsia="zh-CN"/>
        </w:rPr>
        <w:t>Figure 6A</w:t>
      </w:r>
      <w:r>
        <w:rPr>
          <w:rFonts w:hint="eastAsia" w:ascii="Times New Roman" w:hAnsi="Times New Roman" w:eastAsia="Times New Roman"/>
          <w:kern w:val="2"/>
          <w:sz w:val="24"/>
          <w:lang w:val="en-US" w:eastAsia="zh-CN"/>
        </w:rPr>
        <w:t>), and quantitative analysis (</w:t>
      </w:r>
      <w:r>
        <w:rPr>
          <w:rFonts w:hint="eastAsia" w:ascii="Times New Roman" w:hAnsi="Times New Roman" w:eastAsia="Times New Roman"/>
          <w:b/>
          <w:bCs/>
          <w:kern w:val="2"/>
          <w:sz w:val="24"/>
          <w:lang w:val="en-US" w:eastAsia="zh-CN"/>
        </w:rPr>
        <w:t>Figure S</w:t>
      </w:r>
      <w:r>
        <w:rPr>
          <w:rFonts w:hint="eastAsia" w:eastAsia="Times New Roman"/>
          <w:b/>
          <w:bCs/>
          <w:kern w:val="2"/>
          <w:sz w:val="24"/>
          <w:lang w:val="en-US" w:eastAsia="zh-CN"/>
        </w:rPr>
        <w:t>6</w:t>
      </w:r>
      <w:r>
        <w:rPr>
          <w:rFonts w:hint="eastAsia" w:ascii="Times New Roman" w:hAnsi="Times New Roman" w:eastAsia="Times New Roman"/>
          <w:kern w:val="2"/>
          <w:sz w:val="24"/>
          <w:lang w:val="en-US" w:eastAsia="zh-CN"/>
        </w:rPr>
        <w:t>) demonstrated that Zr-BMG outperformed Ti in promoting wound healing. Moreover, we</w:t>
      </w:r>
      <w:r>
        <w:rPr>
          <w:rFonts w:ascii="Times New Roman" w:hAnsi="Times New Roman" w:eastAsia="Times New Roman"/>
          <w:kern w:val="2"/>
          <w:sz w:val="24"/>
          <w:lang w:val="en-US" w:eastAsia="zh-CN"/>
        </w:rPr>
        <w:t xml:space="preserve"> closely examined tube formation in HUVECs at 4 and 8-hour intervals through microscopic observation. </w:t>
      </w:r>
      <w:r>
        <w:rPr>
          <w:rFonts w:ascii="Times New Roman" w:hAnsi="Times New Roman" w:eastAsia="Times New Roman"/>
          <w:b/>
          <w:bCs/>
          <w:kern w:val="2"/>
          <w:sz w:val="24"/>
          <w:lang w:val="en-US" w:eastAsia="zh-CN"/>
        </w:rPr>
        <w:t xml:space="preserve">Figure </w:t>
      </w:r>
      <w:r>
        <w:rPr>
          <w:rFonts w:hint="eastAsia" w:ascii="Times New Roman" w:hAnsi="Times New Roman" w:eastAsia="Times New Roman"/>
          <w:b/>
          <w:bCs/>
          <w:kern w:val="2"/>
          <w:sz w:val="24"/>
          <w:lang w:val="en-US" w:eastAsia="zh-CN"/>
        </w:rPr>
        <w:t>6B</w:t>
      </w:r>
      <w:r>
        <w:rPr>
          <w:rFonts w:ascii="Times New Roman" w:hAnsi="Times New Roman" w:eastAsia="Times New Roman"/>
          <w:kern w:val="2"/>
          <w:sz w:val="24"/>
          <w:lang w:val="en-US" w:eastAsia="zh-CN"/>
        </w:rPr>
        <w:t xml:space="preserve"> show</w:t>
      </w:r>
      <w:r>
        <w:rPr>
          <w:rFonts w:hint="eastAsia" w:ascii="Times New Roman" w:hAnsi="Times New Roman" w:eastAsia="Times New Roman"/>
          <w:kern w:val="2"/>
          <w:sz w:val="24"/>
          <w:lang w:val="en-US" w:eastAsia="zh-CN"/>
        </w:rPr>
        <w:t>ed</w:t>
      </w:r>
      <w:r>
        <w:rPr>
          <w:rFonts w:ascii="Times New Roman" w:hAnsi="Times New Roman" w:eastAsia="Times New Roman"/>
          <w:kern w:val="2"/>
          <w:sz w:val="24"/>
          <w:lang w:val="en-US" w:eastAsia="zh-CN"/>
        </w:rPr>
        <w:t xml:space="preserve"> that Zr-BMG led to denser and more widely distributed microvascular networks with fewer isolated cells compared to Ti. Statistical analysis in </w:t>
      </w:r>
      <w:r>
        <w:rPr>
          <w:rFonts w:ascii="Times New Roman" w:hAnsi="Times New Roman" w:eastAsia="Times New Roman"/>
          <w:b/>
          <w:bCs/>
          <w:kern w:val="2"/>
          <w:sz w:val="24"/>
          <w:lang w:val="en-US" w:eastAsia="zh-CN"/>
        </w:rPr>
        <w:t xml:space="preserve">Figure </w:t>
      </w:r>
      <w:r>
        <w:rPr>
          <w:rFonts w:hint="eastAsia" w:ascii="Times New Roman" w:hAnsi="Times New Roman" w:eastAsia="Times New Roman"/>
          <w:b/>
          <w:bCs/>
          <w:kern w:val="2"/>
          <w:sz w:val="24"/>
          <w:lang w:val="en-US" w:eastAsia="zh-CN"/>
        </w:rPr>
        <w:t>6C</w:t>
      </w:r>
      <w:r>
        <w:rPr>
          <w:rFonts w:ascii="Times New Roman" w:hAnsi="Times New Roman" w:eastAsia="Times New Roman"/>
          <w:kern w:val="2"/>
          <w:sz w:val="24"/>
          <w:lang w:val="en-US" w:eastAsia="zh-CN"/>
        </w:rPr>
        <w:t xml:space="preserve"> reveal</w:t>
      </w:r>
      <w:r>
        <w:rPr>
          <w:rFonts w:hint="eastAsia" w:ascii="Times New Roman" w:hAnsi="Times New Roman" w:eastAsia="Times New Roman"/>
          <w:kern w:val="2"/>
          <w:sz w:val="24"/>
          <w:lang w:val="en-US" w:eastAsia="zh-CN"/>
        </w:rPr>
        <w:t>ed</w:t>
      </w:r>
      <w:r>
        <w:rPr>
          <w:rFonts w:ascii="Times New Roman" w:hAnsi="Times New Roman" w:eastAsia="Times New Roman"/>
          <w:kern w:val="2"/>
          <w:sz w:val="24"/>
          <w:lang w:val="en-US" w:eastAsia="zh-CN"/>
        </w:rPr>
        <w:t xml:space="preserve"> that Zr-BMG significantly enhance</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angiogenesis, as evidenced by total tubular length</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i/>
          <w:iCs/>
          <w:kern w:val="2"/>
          <w:sz w:val="24"/>
          <w:lang w:val="en-US" w:eastAsia="zh-CN"/>
        </w:rPr>
        <w:t xml:space="preserve">P </w:t>
      </w:r>
      <w:r>
        <w:rPr>
          <w:rFonts w:hint="eastAsia" w:ascii="Times New Roman" w:hAnsi="Times New Roman" w:eastAsia="Times New Roman"/>
          <w:kern w:val="2"/>
          <w:sz w:val="24"/>
          <w:lang w:val="en-US" w:eastAsia="zh-CN"/>
        </w:rPr>
        <w:t xml:space="preserve">&lt; 0.01) and </w:t>
      </w:r>
      <w:r>
        <w:rPr>
          <w:rFonts w:ascii="Times New Roman" w:hAnsi="Times New Roman" w:eastAsia="Times New Roman"/>
          <w:kern w:val="2"/>
          <w:sz w:val="24"/>
          <w:lang w:val="en-US" w:eastAsia="zh-CN"/>
        </w:rPr>
        <w:t>network count</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i/>
          <w:iCs/>
          <w:kern w:val="2"/>
          <w:sz w:val="24"/>
          <w:lang w:val="en-US" w:eastAsia="zh-CN"/>
        </w:rPr>
        <w:t xml:space="preserve">P </w:t>
      </w:r>
      <w:r>
        <w:rPr>
          <w:rFonts w:hint="eastAsia" w:ascii="Times New Roman" w:hAnsi="Times New Roman" w:eastAsia="Times New Roman"/>
          <w:kern w:val="2"/>
          <w:sz w:val="24"/>
          <w:lang w:val="en-US" w:eastAsia="zh-CN"/>
        </w:rPr>
        <w:t>&lt; 0.</w:t>
      </w:r>
      <w:r>
        <w:rPr>
          <w:rFonts w:ascii="Times New Roman" w:hAnsi="Times New Roman" w:eastAsia="Times New Roman"/>
          <w:kern w:val="2"/>
          <w:sz w:val="24"/>
          <w:lang w:val="en-US" w:eastAsia="zh-CN"/>
        </w:rPr>
        <w:t>0</w:t>
      </w:r>
      <w:r>
        <w:rPr>
          <w:rFonts w:hint="eastAsia" w:ascii="Times New Roman" w:hAnsi="Times New Roman" w:eastAsia="Times New Roman"/>
          <w:kern w:val="2"/>
          <w:sz w:val="24"/>
          <w:lang w:val="en-US" w:eastAsia="zh-CN"/>
        </w:rPr>
        <w:t>5)</w:t>
      </w:r>
      <w:r>
        <w:rPr>
          <w:rFonts w:ascii="Times New Roman" w:hAnsi="Times New Roman" w:eastAsia="Times New Roman"/>
          <w:kern w:val="2"/>
          <w:sz w:val="24"/>
          <w:lang w:val="en-US" w:eastAsia="zh-CN"/>
        </w:rPr>
        <w:t>.</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cs="Times New Roman"/>
          <w:kern w:val="2"/>
          <w:sz w:val="24"/>
          <w:lang w:val="en-US" w:eastAsia="zh-CN"/>
        </w:rPr>
        <w:t xml:space="preserve">qRT-PCR analysis demonstrated a significant upregulation of angiogenesis-related markers, including </w:t>
      </w:r>
      <w:r>
        <w:rPr>
          <w:rFonts w:hint="eastAsia" w:ascii="Times New Roman" w:hAnsi="Times New Roman" w:eastAsia="Times New Roman" w:cs="Times New Roman"/>
          <w:i/>
          <w:iCs/>
          <w:kern w:val="2"/>
          <w:sz w:val="24"/>
          <w:lang w:val="en-US" w:eastAsia="zh-CN"/>
        </w:rPr>
        <w:t>VEGF</w:t>
      </w:r>
      <w:r>
        <w:rPr>
          <w:rFonts w:hint="eastAsia" w:ascii="Times New Roman" w:hAnsi="Times New Roman" w:eastAsia="Times New Roman" w:cs="Times New Roman"/>
          <w:kern w:val="2"/>
          <w:sz w:val="24"/>
          <w:lang w:val="en-US" w:eastAsia="zh-CN"/>
        </w:rPr>
        <w:t xml:space="preserve">, </w:t>
      </w:r>
      <w:r>
        <w:rPr>
          <w:rFonts w:hint="eastAsia" w:ascii="Times New Roman" w:hAnsi="Times New Roman" w:eastAsia="Times New Roman" w:cs="Times New Roman"/>
          <w:i/>
          <w:iCs/>
          <w:kern w:val="2"/>
          <w:sz w:val="24"/>
          <w:lang w:val="en-US" w:eastAsia="zh-CN"/>
        </w:rPr>
        <w:t>ANG2</w:t>
      </w:r>
      <w:r>
        <w:rPr>
          <w:rFonts w:hint="eastAsia" w:ascii="Times New Roman" w:hAnsi="Times New Roman" w:eastAsia="Times New Roman" w:cs="Times New Roman"/>
          <w:kern w:val="2"/>
          <w:sz w:val="24"/>
          <w:lang w:val="en-US" w:eastAsia="zh-CN"/>
        </w:rPr>
        <w:t xml:space="preserve">, and </w:t>
      </w:r>
      <w:r>
        <w:rPr>
          <w:rFonts w:hint="eastAsia" w:ascii="Times New Roman" w:hAnsi="Times New Roman" w:eastAsia="Times New Roman" w:cs="Times New Roman"/>
          <w:i/>
          <w:iCs/>
          <w:kern w:val="2"/>
          <w:sz w:val="24"/>
          <w:lang w:val="en-US" w:eastAsia="zh-CN"/>
        </w:rPr>
        <w:t>APLN</w:t>
      </w:r>
      <w:r>
        <w:rPr>
          <w:rFonts w:hint="eastAsia" w:ascii="Times New Roman" w:hAnsi="Times New Roman" w:eastAsia="Times New Roman" w:cs="Times New Roman"/>
          <w:kern w:val="2"/>
          <w:sz w:val="24"/>
          <w:lang w:val="en-US" w:eastAsia="zh-CN"/>
        </w:rPr>
        <w:t>, in Zr-BMG after 3 days of co-culturing (</w:t>
      </w:r>
      <w:r>
        <w:rPr>
          <w:rFonts w:hint="eastAsia" w:ascii="Times New Roman" w:hAnsi="Times New Roman" w:eastAsia="Times New Roman" w:cs="Times New Roman"/>
          <w:b/>
          <w:bCs/>
          <w:kern w:val="2"/>
          <w:sz w:val="24"/>
          <w:lang w:val="en-US" w:eastAsia="zh-CN"/>
        </w:rPr>
        <w:t>Figure 6D</w:t>
      </w:r>
      <w:r>
        <w:rPr>
          <w:rFonts w:hint="eastAsia" w:ascii="Times New Roman" w:hAnsi="Times New Roman" w:eastAsia="Times New Roman" w:cs="Times New Roman"/>
          <w:kern w:val="2"/>
          <w:sz w:val="24"/>
          <w:lang w:val="en-US" w:eastAsia="zh-CN"/>
        </w:rPr>
        <w:t xml:space="preserve">). Immunofluorescent staining further confirmed the elevated protein expression of </w:t>
      </w:r>
      <w:r>
        <w:rPr>
          <w:rFonts w:hint="eastAsia" w:ascii="Times New Roman" w:hAnsi="Times New Roman" w:eastAsia="Times New Roman" w:cs="Times New Roman"/>
          <w:i/>
          <w:iCs/>
          <w:kern w:val="2"/>
          <w:sz w:val="24"/>
          <w:lang w:val="en-US" w:eastAsia="zh-CN"/>
        </w:rPr>
        <w:t>VEGF</w:t>
      </w:r>
      <w:r>
        <w:rPr>
          <w:rFonts w:hint="eastAsia" w:ascii="Times New Roman" w:hAnsi="Times New Roman" w:eastAsia="Times New Roman" w:cs="Times New Roman"/>
          <w:kern w:val="2"/>
          <w:sz w:val="24"/>
          <w:lang w:val="en-US" w:eastAsia="zh-CN"/>
        </w:rPr>
        <w:t xml:space="preserve"> in Zr-BMG compared to Ti (</w:t>
      </w:r>
      <w:r>
        <w:rPr>
          <w:rFonts w:hint="eastAsia" w:ascii="Times New Roman" w:hAnsi="Times New Roman" w:eastAsia="Times New Roman" w:cs="Times New Roman"/>
          <w:b/>
          <w:bCs/>
          <w:kern w:val="2"/>
          <w:sz w:val="24"/>
          <w:lang w:val="en-US" w:eastAsia="zh-CN"/>
        </w:rPr>
        <w:t>Figure 6E</w:t>
      </w:r>
      <w:r>
        <w:rPr>
          <w:rFonts w:hint="eastAsia" w:ascii="Times New Roman" w:hAnsi="Times New Roman" w:eastAsia="Times New Roman" w:cs="Times New Roman"/>
          <w:kern w:val="2"/>
          <w:sz w:val="24"/>
          <w:lang w:val="en-US" w:eastAsia="zh-CN"/>
        </w:rPr>
        <w:t xml:space="preserve">). </w:t>
      </w:r>
    </w:p>
    <w:p w14:paraId="360F06AC">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ascii="Times New Roman" w:hAnsi="Times New Roman" w:eastAsia="Times New Roman" w:cs="Times New Roman"/>
          <w:kern w:val="2"/>
          <w:sz w:val="24"/>
          <w:lang w:val="en-US" w:eastAsia="zh-CN"/>
        </w:rPr>
        <w:t xml:space="preserve">This study </w:t>
      </w:r>
      <w:r>
        <w:rPr>
          <w:rFonts w:hint="eastAsia" w:ascii="Times New Roman" w:hAnsi="Times New Roman" w:eastAsia="Times New Roman" w:cs="Times New Roman"/>
          <w:kern w:val="2"/>
          <w:sz w:val="24"/>
          <w:lang w:val="en-US" w:eastAsia="zh-CN"/>
        </w:rPr>
        <w:t>explored</w:t>
      </w:r>
      <w:r>
        <w:rPr>
          <w:rFonts w:ascii="Times New Roman" w:hAnsi="Times New Roman" w:eastAsia="Times New Roman" w:cs="Times New Roman"/>
          <w:kern w:val="2"/>
          <w:sz w:val="24"/>
          <w:lang w:val="en-US" w:eastAsia="zh-CN"/>
        </w:rPr>
        <w:t xml:space="preserve"> the osteogenesis capabilities of Zr-BMG by employing a jawbone-specific </w:t>
      </w:r>
      <w:r>
        <w:rPr>
          <w:rFonts w:ascii="Times New Roman" w:hAnsi="Times New Roman" w:eastAsia="Times New Roman" w:cs="Times New Roman"/>
          <w:i/>
          <w:iCs/>
          <w:kern w:val="2"/>
          <w:sz w:val="24"/>
          <w:lang w:val="en-US" w:eastAsia="zh-CN"/>
        </w:rPr>
        <w:t>in vitro</w:t>
      </w:r>
      <w:r>
        <w:rPr>
          <w:rFonts w:ascii="Times New Roman" w:hAnsi="Times New Roman" w:eastAsia="Times New Roman" w:cs="Times New Roman"/>
          <w:kern w:val="2"/>
          <w:sz w:val="24"/>
          <w:lang w:val="en-US" w:eastAsia="zh-CN"/>
        </w:rPr>
        <w:t xml:space="preserve"> model, utilizing hJBMMSCs, thereby capturing the unique </w:t>
      </w:r>
      <w:r>
        <w:rPr>
          <w:rFonts w:hint="eastAsia" w:ascii="Times New Roman" w:hAnsi="Times New Roman" w:eastAsia="Times New Roman" w:cs="Times New Roman"/>
          <w:kern w:val="2"/>
          <w:sz w:val="24"/>
          <w:lang w:val="en-US" w:eastAsia="zh-CN"/>
        </w:rPr>
        <w:t>osteoge</w:t>
      </w:r>
      <w:r>
        <w:rPr>
          <w:rFonts w:ascii="Times New Roman" w:hAnsi="Times New Roman" w:eastAsia="Times New Roman" w:cs="Times New Roman"/>
          <w:kern w:val="2"/>
          <w:sz w:val="24"/>
          <w:lang w:val="en-US" w:eastAsia="zh-CN"/>
        </w:rPr>
        <w:t>nic feature of the jaw bo</w:t>
      </w:r>
      <w:r>
        <w:rPr>
          <w:rFonts w:hint="eastAsia" w:ascii="Times New Roman" w:hAnsi="Times New Roman" w:eastAsia="Times New Roman" w:cs="Times New Roman"/>
          <w:kern w:val="2"/>
          <w:sz w:val="24"/>
          <w:lang w:val="en-US" w:eastAsia="zh-CN"/>
        </w:rPr>
        <w:t>ne</w:t>
      </w:r>
      <w:r>
        <w:rPr>
          <w:rFonts w:hint="eastAsia" w:ascii="Times New Roman" w:hAnsi="Times New Roman" w:eastAsia="Times New Roman"/>
          <w:color w:val="080000"/>
          <w:sz w:val="24"/>
          <w:szCs w:val="24"/>
          <w:vertAlign w:val="superscript"/>
        </w:rPr>
        <w:t>[28]</w:t>
      </w:r>
      <w:r>
        <w:rPr>
          <w:rFonts w:hint="eastAsia" w:ascii="Times New Roman" w:hAnsi="Times New Roman" w:eastAsia="Times New Roman" w:cs="Times New Roman"/>
          <w:kern w:val="2"/>
          <w:sz w:val="24"/>
          <w:lang w:val="en-US" w:eastAsia="zh-CN"/>
        </w:rPr>
        <w:t xml:space="preserve"> </w:t>
      </w:r>
      <w:r>
        <w:rPr>
          <w:rFonts w:ascii="Times New Roman" w:hAnsi="Times New Roman" w:eastAsia="Times New Roman" w:cs="Times New Roman"/>
          <w:kern w:val="2"/>
          <w:sz w:val="24"/>
          <w:lang w:val="en-US" w:eastAsia="zh-CN"/>
        </w:rPr>
        <w:t>to evaluate the potential of Zr-BMG as a dental implant material.</w:t>
      </w:r>
      <w:r>
        <w:rPr>
          <w:rFonts w:hint="eastAsia" w:ascii="Times New Roman" w:hAnsi="Times New Roman" w:eastAsia="Times New Roman" w:cs="Times New Roman"/>
          <w:kern w:val="2"/>
          <w:sz w:val="24"/>
          <w:lang w:val="en-US" w:eastAsia="zh-CN"/>
        </w:rPr>
        <w:t xml:space="preserve"> </w:t>
      </w:r>
      <w:r>
        <w:rPr>
          <w:rFonts w:hint="eastAsia" w:ascii="Times New Roman" w:hAnsi="Times New Roman" w:eastAsia="Times New Roman" w:cs="Times New Roman"/>
          <w:kern w:val="2"/>
          <w:sz w:val="24"/>
          <w:szCs w:val="32"/>
          <w:lang w:val="en-US" w:eastAsia="zh-CN"/>
        </w:rPr>
        <w:t>hJ</w:t>
      </w:r>
      <w:r>
        <w:rPr>
          <w:rFonts w:ascii="Times New Roman" w:hAnsi="Times New Roman" w:eastAsia="Times New Roman" w:cs="Times New Roman"/>
          <w:kern w:val="2"/>
          <w:sz w:val="24"/>
          <w:szCs w:val="32"/>
          <w:lang w:val="en-US" w:eastAsia="zh-CN"/>
        </w:rPr>
        <w:t>B</w:t>
      </w:r>
      <w:r>
        <w:rPr>
          <w:rFonts w:hint="eastAsia" w:ascii="Times New Roman" w:hAnsi="Times New Roman" w:eastAsia="Times New Roman" w:cs="Times New Roman"/>
          <w:kern w:val="2"/>
          <w:sz w:val="24"/>
          <w:szCs w:val="32"/>
          <w:lang w:val="en-US" w:eastAsia="zh-CN"/>
        </w:rPr>
        <w:t>M</w:t>
      </w:r>
      <w:r>
        <w:rPr>
          <w:rFonts w:ascii="Times New Roman" w:hAnsi="Times New Roman" w:eastAsia="Times New Roman" w:cs="Times New Roman"/>
          <w:kern w:val="2"/>
          <w:sz w:val="24"/>
          <w:szCs w:val="32"/>
          <w:lang w:val="en-US" w:eastAsia="zh-CN"/>
        </w:rPr>
        <w:t>MSCs were directly cultured on materials’ surface to evaluate their osteogenic potential.</w:t>
      </w:r>
      <w:r>
        <w:rPr>
          <w:rFonts w:hint="eastAsia" w:ascii="Times New Roman" w:hAnsi="Times New Roman" w:eastAsia="Times New Roman" w:cs="Times New Roman"/>
          <w:kern w:val="2"/>
          <w:sz w:val="24"/>
          <w:szCs w:val="32"/>
          <w:lang w:val="en-US" w:eastAsia="zh-CN"/>
        </w:rPr>
        <w:t xml:space="preserve"> ALP is an early marker of osteogenic differentiation in hJ</w:t>
      </w:r>
      <w:r>
        <w:rPr>
          <w:rFonts w:ascii="Times New Roman" w:hAnsi="Times New Roman" w:eastAsia="Times New Roman" w:cs="Times New Roman"/>
          <w:kern w:val="2"/>
          <w:sz w:val="24"/>
          <w:szCs w:val="32"/>
          <w:lang w:val="en-US" w:eastAsia="zh-CN"/>
        </w:rPr>
        <w:t>B</w:t>
      </w:r>
      <w:r>
        <w:rPr>
          <w:rFonts w:hint="eastAsia" w:ascii="Times New Roman" w:hAnsi="Times New Roman" w:eastAsia="Times New Roman" w:cs="Times New Roman"/>
          <w:kern w:val="2"/>
          <w:sz w:val="24"/>
          <w:szCs w:val="32"/>
          <w:lang w:val="en-US" w:eastAsia="zh-CN"/>
        </w:rPr>
        <w:t>M</w:t>
      </w:r>
      <w:r>
        <w:rPr>
          <w:rFonts w:ascii="Times New Roman" w:hAnsi="Times New Roman" w:eastAsia="Times New Roman" w:cs="Times New Roman"/>
          <w:kern w:val="2"/>
          <w:sz w:val="24"/>
          <w:szCs w:val="32"/>
          <w:lang w:val="en-US" w:eastAsia="zh-CN"/>
        </w:rPr>
        <w:t>MSCs</w:t>
      </w:r>
      <w:r>
        <w:rPr>
          <w:rFonts w:hint="eastAsia" w:ascii="Times New Roman" w:hAnsi="Times New Roman" w:eastAsia="Times New Roman"/>
          <w:color w:val="080000"/>
          <w:sz w:val="24"/>
          <w:szCs w:val="24"/>
          <w:vertAlign w:val="superscript"/>
        </w:rPr>
        <w:t>[29]</w:t>
      </w:r>
      <w:r>
        <w:rPr>
          <w:rFonts w:hint="eastAsia" w:ascii="Times New Roman" w:hAnsi="Times New Roman" w:eastAsia="Times New Roman" w:cs="Times New Roman"/>
          <w:kern w:val="2"/>
          <w:sz w:val="24"/>
          <w:szCs w:val="32"/>
          <w:lang w:val="en-US" w:eastAsia="zh-CN"/>
        </w:rPr>
        <w:t xml:space="preserve">. Mineralized nodules are considered as indicators of the mature and late-stage </w:t>
      </w:r>
      <w:r>
        <w:rPr>
          <w:rFonts w:ascii="Times New Roman" w:hAnsi="Times New Roman" w:eastAsia="Times New Roman" w:cs="Times New Roman"/>
          <w:kern w:val="2"/>
          <w:sz w:val="24"/>
          <w:szCs w:val="32"/>
          <w:lang w:val="en-US" w:eastAsia="zh-CN"/>
        </w:rPr>
        <w:t>osteogenesis</w:t>
      </w:r>
      <w:r>
        <w:rPr>
          <w:rFonts w:hint="eastAsia" w:ascii="Times New Roman" w:hAnsi="Times New Roman" w:eastAsia="Times New Roman"/>
          <w:color w:val="080000"/>
          <w:sz w:val="24"/>
          <w:szCs w:val="24"/>
          <w:vertAlign w:val="superscript"/>
        </w:rPr>
        <w:t>[29]</w:t>
      </w:r>
      <w:r>
        <w:rPr>
          <w:rFonts w:hint="eastAsia" w:ascii="Times New Roman" w:hAnsi="Times New Roman" w:eastAsia="Times New Roman" w:cs="Times New Roman"/>
          <w:kern w:val="2"/>
          <w:sz w:val="24"/>
          <w:szCs w:val="32"/>
          <w:lang w:val="en-US" w:eastAsia="zh-CN"/>
        </w:rPr>
        <w:t>.</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b/>
          <w:bCs/>
          <w:kern w:val="2"/>
          <w:sz w:val="24"/>
          <w:lang w:val="en-US" w:eastAsia="zh-CN"/>
        </w:rPr>
        <w:t>Figure 6F</w:t>
      </w:r>
      <w:r>
        <w:rPr>
          <w:rFonts w:hint="eastAsia" w:ascii="Times New Roman" w:hAnsi="Times New Roman" w:eastAsia="Times New Roman"/>
          <w:kern w:val="2"/>
          <w:sz w:val="24"/>
          <w:lang w:val="en-US" w:eastAsia="zh-CN"/>
        </w:rPr>
        <w:t xml:space="preserve"> showed a significant increase in ALP activity in hJBMMSCs on Zr-BMG compared to Ti, as revealed by statistical analysis (</w:t>
      </w:r>
      <w:r>
        <w:rPr>
          <w:rFonts w:hint="eastAsia" w:ascii="Times New Roman" w:hAnsi="Times New Roman" w:eastAsia="Times New Roman"/>
          <w:i/>
          <w:iCs/>
          <w:kern w:val="2"/>
          <w:sz w:val="24"/>
          <w:lang w:val="en-US" w:eastAsia="zh-CN"/>
        </w:rPr>
        <w:t xml:space="preserve">P </w:t>
      </w:r>
      <w:r>
        <w:rPr>
          <w:rFonts w:hint="eastAsia" w:ascii="Times New Roman" w:hAnsi="Times New Roman" w:eastAsia="Times New Roman"/>
          <w:kern w:val="2"/>
          <w:sz w:val="24"/>
          <w:lang w:val="en-US" w:eastAsia="zh-CN"/>
        </w:rPr>
        <w:t>&lt; 0.001) (</w:t>
      </w:r>
      <w:r>
        <w:rPr>
          <w:rFonts w:hint="eastAsia" w:ascii="Times New Roman" w:hAnsi="Times New Roman" w:eastAsia="Times New Roman"/>
          <w:b/>
          <w:bCs/>
          <w:kern w:val="2"/>
          <w:sz w:val="24"/>
          <w:lang w:val="en-US" w:eastAsia="zh-CN"/>
        </w:rPr>
        <w:t>Figure 6H</w:t>
      </w:r>
      <w:r>
        <w:rPr>
          <w:rFonts w:hint="eastAsia" w:ascii="Times New Roman" w:hAnsi="Times New Roman" w:eastAsia="Times New Roman"/>
          <w:kern w:val="2"/>
          <w:sz w:val="24"/>
          <w:lang w:val="en-US" w:eastAsia="zh-CN"/>
        </w:rPr>
        <w:t xml:space="preserve">). Subsequently, the same cell types were induced for osteogenic differentiation for a period of 14 days and then stained with alizarin red S. The results, displayed in </w:t>
      </w:r>
      <w:r>
        <w:rPr>
          <w:rFonts w:hint="eastAsia" w:ascii="Times New Roman" w:hAnsi="Times New Roman" w:eastAsia="Times New Roman"/>
          <w:b/>
          <w:bCs/>
          <w:kern w:val="2"/>
          <w:sz w:val="24"/>
          <w:lang w:val="en-US" w:eastAsia="zh-CN"/>
        </w:rPr>
        <w:t>Figure 6G</w:t>
      </w:r>
      <w:r>
        <w:rPr>
          <w:rFonts w:hint="eastAsia" w:ascii="Times New Roman" w:hAnsi="Times New Roman" w:eastAsia="Times New Roman"/>
          <w:kern w:val="2"/>
          <w:sz w:val="24"/>
          <w:lang w:val="en-US" w:eastAsia="zh-CN"/>
        </w:rPr>
        <w:t>, showed that cells on Zr-BMG developed considerably larger cal</w:t>
      </w:r>
      <w:r>
        <w:rPr>
          <w:rFonts w:ascii="Times New Roman" w:hAnsi="Times New Roman" w:eastAsia="Times New Roman"/>
          <w:kern w:val="2"/>
          <w:sz w:val="24"/>
          <w:lang w:val="en-US" w:eastAsia="zh-CN"/>
        </w:rPr>
        <w:t xml:space="preserve">cium </w:t>
      </w:r>
      <w:r>
        <w:rPr>
          <w:rFonts w:hint="eastAsia" w:ascii="Times New Roman" w:hAnsi="Times New Roman" w:eastAsia="Times New Roman"/>
          <w:kern w:val="2"/>
          <w:sz w:val="24"/>
          <w:lang w:val="en-US" w:eastAsia="zh-CN"/>
        </w:rPr>
        <w:t xml:space="preserve">nodules with more intense staining than those on the Ti substrate. A further quantitative analysis (Figure 6H) of the staining confirmed that Zr-BMG significantly enhanced the extracellular matrix mineralization capabilities of hJBMMSCs post-osteogenic differentiation, demonstrating its superior osteoinductive potential. After 3 days of osteogenic induction of cells on Ti and Zr-BMG, the expression levels of bone-related mRNAs </w:t>
      </w:r>
      <w:r>
        <w:rPr>
          <w:rFonts w:ascii="Times New Roman" w:hAnsi="Times New Roman" w:eastAsia="Times New Roman"/>
          <w:kern w:val="2"/>
          <w:sz w:val="24"/>
          <w:lang w:val="en-US" w:eastAsia="zh-CN"/>
        </w:rPr>
        <w:t>were</w:t>
      </w:r>
      <w:r>
        <w:rPr>
          <w:rFonts w:hint="eastAsia" w:ascii="Times New Roman" w:hAnsi="Times New Roman" w:eastAsia="Times New Roman"/>
          <w:kern w:val="2"/>
          <w:sz w:val="24"/>
          <w:lang w:val="en-US" w:eastAsia="zh-CN"/>
        </w:rPr>
        <w:t xml:space="preserve"> presented in </w:t>
      </w:r>
      <w:r>
        <w:rPr>
          <w:rFonts w:hint="eastAsia" w:ascii="Times New Roman" w:hAnsi="Times New Roman" w:eastAsia="Times New Roman"/>
          <w:b/>
          <w:bCs/>
          <w:kern w:val="2"/>
          <w:sz w:val="24"/>
          <w:lang w:val="en-US" w:eastAsia="zh-CN"/>
        </w:rPr>
        <w:t>Figure 6I</w:t>
      </w:r>
      <w:r>
        <w:rPr>
          <w:rFonts w:hint="eastAsia" w:ascii="Times New Roman" w:hAnsi="Times New Roman" w:eastAsia="Times New Roman"/>
          <w:kern w:val="2"/>
          <w:sz w:val="24"/>
          <w:lang w:val="en-US" w:eastAsia="zh-CN"/>
        </w:rPr>
        <w:t xml:space="preserve">. In this study, we assessed the expression of osteogenesis-associated factors, </w:t>
      </w:r>
      <w:r>
        <w:rPr>
          <w:rFonts w:hint="eastAsia" w:ascii="Times New Roman" w:hAnsi="Times New Roman" w:eastAsia="Times New Roman"/>
          <w:i/>
          <w:iCs/>
          <w:kern w:val="2"/>
          <w:sz w:val="24"/>
          <w:lang w:val="en-US" w:eastAsia="zh-CN"/>
        </w:rPr>
        <w:t>RUNX2</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i/>
          <w:iCs/>
          <w:kern w:val="2"/>
          <w:sz w:val="24"/>
          <w:lang w:val="en-US" w:eastAsia="zh-CN"/>
        </w:rPr>
        <w:t>COL-1A</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i/>
          <w:iCs/>
          <w:kern w:val="2"/>
          <w:sz w:val="24"/>
          <w:lang w:val="en-US" w:eastAsia="zh-CN"/>
        </w:rPr>
        <w:t>BGLAP</w:t>
      </w:r>
      <w:r>
        <w:rPr>
          <w:rFonts w:hint="eastAsia" w:ascii="Times New Roman" w:hAnsi="Times New Roman" w:eastAsia="Times New Roman"/>
          <w:kern w:val="2"/>
          <w:sz w:val="24"/>
          <w:lang w:val="en-US" w:eastAsia="zh-CN"/>
        </w:rPr>
        <w:t xml:space="preserve">, and </w:t>
      </w:r>
      <w:r>
        <w:rPr>
          <w:rFonts w:hint="eastAsia" w:ascii="Times New Roman" w:hAnsi="Times New Roman" w:eastAsia="Times New Roman"/>
          <w:i/>
          <w:iCs/>
          <w:kern w:val="2"/>
          <w:sz w:val="24"/>
          <w:lang w:val="en-US" w:eastAsia="zh-CN"/>
        </w:rPr>
        <w:t>SPP1</w:t>
      </w:r>
      <w:r>
        <w:rPr>
          <w:rFonts w:hint="eastAsia" w:ascii="Times New Roman" w:hAnsi="Times New Roman" w:eastAsia="Times New Roman"/>
          <w:kern w:val="2"/>
          <w:sz w:val="24"/>
          <w:lang w:val="en-US" w:eastAsia="zh-CN"/>
        </w:rPr>
        <w:t>. Our analysis revealed a significant upregulation of these factors in cells cultured on the surface of Zr-BMG, with statistically significant differences between the two groups (</w:t>
      </w:r>
      <w:r>
        <w:rPr>
          <w:rFonts w:hint="eastAsia" w:ascii="Times New Roman" w:hAnsi="Times New Roman" w:eastAsia="Times New Roman"/>
          <w:i/>
          <w:iCs/>
          <w:kern w:val="2"/>
          <w:sz w:val="24"/>
          <w:lang w:val="en-US" w:eastAsia="zh-CN"/>
        </w:rPr>
        <w:t xml:space="preserve">P </w:t>
      </w:r>
      <w:r>
        <w:rPr>
          <w:rFonts w:hint="eastAsia" w:ascii="Times New Roman" w:hAnsi="Times New Roman" w:eastAsia="Times New Roman"/>
          <w:kern w:val="2"/>
          <w:sz w:val="24"/>
          <w:lang w:val="en-US" w:eastAsia="zh-CN"/>
        </w:rPr>
        <w:t xml:space="preserve">&lt; 0.05). Immunofluorescence analysis in </w:t>
      </w:r>
      <w:r>
        <w:rPr>
          <w:rFonts w:hint="eastAsia" w:ascii="Times New Roman" w:hAnsi="Times New Roman" w:eastAsia="Times New Roman"/>
          <w:b/>
          <w:bCs/>
          <w:kern w:val="2"/>
          <w:sz w:val="24"/>
          <w:lang w:val="en-US" w:eastAsia="zh-CN"/>
        </w:rPr>
        <w:t>Figure 6J</w:t>
      </w:r>
      <w:r>
        <w:rPr>
          <w:rFonts w:hint="eastAsia" w:ascii="Times New Roman" w:hAnsi="Times New Roman" w:eastAsia="Times New Roman"/>
          <w:kern w:val="2"/>
          <w:sz w:val="24"/>
          <w:lang w:val="en-US" w:eastAsia="zh-CN"/>
        </w:rPr>
        <w:t xml:space="preserve"> revealed that, when compared to Ti, the expression of OCN in hJBMMSCs cultured on Zr-BMG was higher.</w:t>
      </w:r>
    </w:p>
    <w:p w14:paraId="6E3CE8EF">
      <w:pPr>
        <w:keepNext w:val="0"/>
        <w:keepLines w:val="0"/>
        <w:widowControl/>
        <w:suppressLineNumbers w:val="0"/>
        <w:spacing w:before="0" w:beforeAutospacing="0" w:after="0" w:afterAutospacing="0"/>
        <w:ind w:left="0" w:leftChars="0" w:right="0" w:rightChars="0"/>
        <w:jc w:val="both"/>
        <w:rPr>
          <w:rFonts w:hint="default" w:ascii="Times New Roman" w:hAnsi="Times New Roman" w:eastAsia="Times New Roman" w:cs="Times New Roman"/>
          <w:b w:val="0"/>
          <w:bCs w:val="0"/>
          <w:kern w:val="0"/>
          <w:sz w:val="24"/>
          <w:szCs w:val="32"/>
          <w:lang w:val="en-US" w:eastAsia="zh-CN" w:bidi="ar"/>
        </w:rPr>
      </w:pPr>
      <w:r>
        <w:rPr>
          <w:rFonts w:ascii="Times New Roman" w:hAnsi="Times New Roman" w:eastAsia="Times New Roman"/>
          <w:sz w:val="24"/>
        </w:rPr>
        <w:drawing>
          <wp:inline distT="0" distB="0" distL="114300" distR="114300">
            <wp:extent cx="5757545" cy="7456805"/>
            <wp:effectExtent l="0" t="0" r="8255" b="1079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1"/>
                    <a:stretch>
                      <a:fillRect/>
                    </a:stretch>
                  </pic:blipFill>
                  <pic:spPr>
                    <a:xfrm>
                      <a:off x="0" y="0"/>
                      <a:ext cx="5757545" cy="7456805"/>
                    </a:xfrm>
                    <a:prstGeom prst="rect">
                      <a:avLst/>
                    </a:prstGeom>
                    <a:noFill/>
                    <a:ln>
                      <a:noFill/>
                    </a:ln>
                  </pic:spPr>
                </pic:pic>
              </a:graphicData>
            </a:graphic>
          </wp:inline>
        </w:drawing>
      </w:r>
    </w:p>
    <w:p w14:paraId="25C6F516">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eastAsia="zh-CN"/>
        </w:rPr>
      </w:pPr>
      <w:r>
        <w:rPr>
          <w:rFonts w:hint="eastAsia" w:ascii="Times New Roman" w:hAnsi="Times New Roman" w:eastAsia="Times New Roman"/>
          <w:b/>
          <w:bCs/>
          <w:sz w:val="24"/>
          <w:lang w:val="en-US" w:eastAsia="zh-CN"/>
        </w:rPr>
        <w:t>Figure 6</w:t>
      </w:r>
      <w:r>
        <w:rPr>
          <w:rFonts w:hint="eastAsia" w:ascii="Times New Roman" w:hAnsi="Times New Roman" w:eastAsia="Times New Roman"/>
          <w:sz w:val="24"/>
          <w:lang w:val="en-US" w:eastAsia="zh-CN"/>
        </w:rPr>
        <w:t xml:space="preserve"> The angiogenesis and osteogenic reaction of different materials A) Scratch assay of HUVECs cultured in material</w:t>
      </w:r>
      <w:r>
        <w:rPr>
          <w:rFonts w:hint="default" w:ascii="Times New Roman" w:hAnsi="Times New Roman" w:eastAsia="Times New Roman"/>
          <w:sz w:val="24"/>
          <w:lang w:val="en-US" w:eastAsia="zh-CN"/>
        </w:rPr>
        <w:t>’</w:t>
      </w:r>
      <w:r>
        <w:rPr>
          <w:rFonts w:hint="eastAsia" w:ascii="Times New Roman" w:hAnsi="Times New Roman" w:eastAsia="Times New Roman"/>
          <w:sz w:val="24"/>
          <w:lang w:val="en-US" w:eastAsia="zh-CN"/>
        </w:rPr>
        <w:t>s extract. Scratch experiment images showed that compared to Ti, HUVECs treated with Zr-BMG extract exhibit a faster migration speed. B) Representative images of tube formation assay at 4 h and 8 h. C) Quantitative measurement of the tube formation assay, indicating that Zr-BMG could efficiently promote vasculature development. D) qRT-PCR of angiogenesis marker,</w:t>
      </w:r>
      <w:r>
        <w:rPr>
          <w:rFonts w:hint="eastAsia" w:ascii="Times New Roman" w:hAnsi="Times New Roman" w:eastAsia="Times New Roman"/>
          <w:i/>
          <w:iCs/>
          <w:sz w:val="24"/>
          <w:lang w:val="en-US" w:eastAsia="zh-CN"/>
        </w:rPr>
        <w:t xml:space="preserve"> VEGF</w:t>
      </w:r>
      <w:r>
        <w:rPr>
          <w:rFonts w:hint="eastAsia" w:ascii="Times New Roman" w:hAnsi="Times New Roman" w:eastAsia="Times New Roman"/>
          <w:sz w:val="24"/>
          <w:lang w:val="en-US" w:eastAsia="zh-CN"/>
        </w:rPr>
        <w:t xml:space="preserve">, </w:t>
      </w:r>
      <w:r>
        <w:rPr>
          <w:rFonts w:hint="eastAsia" w:ascii="Times New Roman" w:hAnsi="Times New Roman" w:eastAsia="Times New Roman"/>
          <w:i/>
          <w:iCs/>
          <w:sz w:val="24"/>
          <w:lang w:val="en-US" w:eastAsia="zh-CN"/>
        </w:rPr>
        <w:t>ANG2</w:t>
      </w:r>
      <w:r>
        <w:rPr>
          <w:rFonts w:hint="eastAsia" w:ascii="Times New Roman" w:hAnsi="Times New Roman" w:eastAsia="Times New Roman"/>
          <w:sz w:val="24"/>
          <w:lang w:val="en-US" w:eastAsia="zh-CN"/>
        </w:rPr>
        <w:t xml:space="preserve"> and </w:t>
      </w:r>
      <w:r>
        <w:rPr>
          <w:rFonts w:hint="eastAsia" w:ascii="Times New Roman" w:hAnsi="Times New Roman" w:eastAsia="Times New Roman"/>
          <w:i/>
          <w:iCs/>
          <w:sz w:val="24"/>
          <w:lang w:val="en-US" w:eastAsia="zh-CN"/>
        </w:rPr>
        <w:t>APLN</w:t>
      </w:r>
      <w:r>
        <w:rPr>
          <w:rFonts w:hint="eastAsia" w:ascii="Times New Roman" w:hAnsi="Times New Roman" w:eastAsia="Times New Roman"/>
          <w:sz w:val="24"/>
          <w:lang w:val="en-US" w:eastAsia="zh-CN"/>
        </w:rPr>
        <w:t xml:space="preserve">. E) Immunofluorescent staining of VEGF, confirming that Zr-BMG up-regulated the protein level of VEGF in comparison with Ti. F) The alkaline phosphatase (ALP) staining images of hJBMMSCs after osteogenic induction on the material surface. G) The alizarin red S (ARS)  staining images of hJBMMSCs seeded on the material surfaces after osteogenic induction. H) Quantitative measurement of ALP activity and dissolved ARS OD value measured at 562 nm. Zr-BMG exhibited enhanced ALP activity and better calcium nodules formation. I) qRT-PCR of osteognic markers. Zr-BMG significantly increased the expression of </w:t>
      </w:r>
      <w:r>
        <w:rPr>
          <w:rFonts w:hint="eastAsia" w:ascii="Times New Roman" w:hAnsi="Times New Roman" w:eastAsia="Times New Roman"/>
          <w:i/>
          <w:iCs/>
          <w:sz w:val="24"/>
          <w:lang w:val="en-US" w:eastAsia="zh-CN"/>
        </w:rPr>
        <w:t>RUNX2</w:t>
      </w:r>
      <w:r>
        <w:rPr>
          <w:rFonts w:hint="eastAsia" w:ascii="Times New Roman" w:hAnsi="Times New Roman" w:eastAsia="Times New Roman"/>
          <w:sz w:val="24"/>
          <w:lang w:val="en-US" w:eastAsia="zh-CN"/>
        </w:rPr>
        <w:t xml:space="preserve">, </w:t>
      </w:r>
      <w:r>
        <w:rPr>
          <w:rFonts w:hint="eastAsia" w:ascii="Times New Roman" w:hAnsi="Times New Roman" w:eastAsia="Times New Roman"/>
          <w:i/>
          <w:iCs/>
          <w:sz w:val="24"/>
          <w:lang w:val="en-US" w:eastAsia="zh-CN"/>
        </w:rPr>
        <w:t>COL-IA</w:t>
      </w:r>
      <w:r>
        <w:rPr>
          <w:rFonts w:hint="eastAsia" w:ascii="Times New Roman" w:hAnsi="Times New Roman" w:eastAsia="Times New Roman"/>
          <w:sz w:val="24"/>
          <w:lang w:val="en-US" w:eastAsia="zh-CN"/>
        </w:rPr>
        <w:t xml:space="preserve">, </w:t>
      </w:r>
      <w:r>
        <w:rPr>
          <w:rFonts w:hint="eastAsia" w:ascii="Times New Roman" w:hAnsi="Times New Roman" w:eastAsia="Times New Roman"/>
          <w:i/>
          <w:iCs/>
          <w:sz w:val="24"/>
          <w:lang w:val="en-US" w:eastAsia="zh-CN"/>
        </w:rPr>
        <w:t>BGLAP</w:t>
      </w:r>
      <w:r>
        <w:rPr>
          <w:rFonts w:hint="eastAsia" w:ascii="Times New Roman" w:hAnsi="Times New Roman" w:eastAsia="Times New Roman"/>
          <w:sz w:val="24"/>
          <w:lang w:val="en-US" w:eastAsia="zh-CN"/>
        </w:rPr>
        <w:t xml:space="preserve"> and </w:t>
      </w:r>
      <w:r>
        <w:rPr>
          <w:rFonts w:hint="eastAsia" w:ascii="Times New Roman" w:hAnsi="Times New Roman" w:eastAsia="Times New Roman"/>
          <w:i/>
          <w:iCs/>
          <w:sz w:val="24"/>
          <w:lang w:val="en-US" w:eastAsia="zh-CN"/>
        </w:rPr>
        <w:t>SPP1</w:t>
      </w:r>
      <w:r>
        <w:rPr>
          <w:rFonts w:hint="eastAsia" w:ascii="Times New Roman" w:hAnsi="Times New Roman" w:eastAsia="Times New Roman"/>
          <w:sz w:val="24"/>
          <w:lang w:val="en-US" w:eastAsia="zh-CN"/>
        </w:rPr>
        <w:t>. J) Immunofluorescent staining of BGLAP confirming that Zr-BMG up-regulated the protein level of BGLAP in comparison with Ti. Data were presented as mean ± SD. *</w:t>
      </w:r>
      <w:r>
        <w:rPr>
          <w:rFonts w:hint="eastAsia" w:ascii="Times New Roman" w:hAnsi="Times New Roman" w:eastAsia="Times New Roman"/>
          <w:i/>
          <w:iCs/>
          <w:sz w:val="24"/>
          <w:lang w:val="en-US" w:eastAsia="zh-CN"/>
        </w:rPr>
        <w:t>P</w:t>
      </w:r>
      <w:r>
        <w:rPr>
          <w:rFonts w:hint="eastAsia" w:ascii="Times New Roman" w:hAnsi="Times New Roman" w:eastAsia="Times New Roman"/>
          <w:sz w:val="24"/>
          <w:lang w:val="en-US" w:eastAsia="zh-CN"/>
        </w:rPr>
        <w:t xml:space="preserve"> &lt; 0.05, **</w:t>
      </w:r>
      <w:r>
        <w:rPr>
          <w:rFonts w:hint="eastAsia" w:ascii="Times New Roman" w:hAnsi="Times New Roman" w:eastAsia="Times New Roman"/>
          <w:i/>
          <w:iCs/>
          <w:sz w:val="24"/>
          <w:lang w:val="en-US" w:eastAsia="zh-CN"/>
        </w:rPr>
        <w:t>P</w:t>
      </w:r>
      <w:r>
        <w:rPr>
          <w:rFonts w:hint="eastAsia" w:ascii="Times New Roman" w:hAnsi="Times New Roman" w:eastAsia="Times New Roman"/>
          <w:sz w:val="24"/>
          <w:lang w:val="en-US" w:eastAsia="zh-CN"/>
        </w:rPr>
        <w:t xml:space="preserve"> &lt; 0.01 and ***</w:t>
      </w:r>
      <w:r>
        <w:rPr>
          <w:rFonts w:hint="eastAsia" w:ascii="Times New Roman" w:hAnsi="Times New Roman" w:eastAsia="Times New Roman"/>
          <w:i/>
          <w:iCs/>
          <w:sz w:val="24"/>
          <w:lang w:val="en-US" w:eastAsia="zh-CN"/>
        </w:rPr>
        <w:t>P</w:t>
      </w:r>
      <w:r>
        <w:rPr>
          <w:rFonts w:hint="eastAsia" w:ascii="Times New Roman" w:hAnsi="Times New Roman" w:eastAsia="Times New Roman"/>
          <w:sz w:val="24"/>
          <w:lang w:val="en-US" w:eastAsia="zh-CN"/>
        </w:rPr>
        <w:t xml:space="preserve"> &lt; 0.001.</w:t>
      </w:r>
    </w:p>
    <w:p w14:paraId="6AF59BEB">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b/>
          <w:bCs/>
          <w:kern w:val="2"/>
          <w:sz w:val="24"/>
          <w:szCs w:val="24"/>
          <w:lang w:val="en-US" w:eastAsia="zh-CN"/>
        </w:rPr>
      </w:pPr>
      <w:r>
        <w:rPr>
          <w:rFonts w:hint="eastAsia" w:eastAsia="Times New Roman"/>
          <w:b/>
          <w:bCs/>
          <w:kern w:val="2"/>
          <w:sz w:val="24"/>
          <w:szCs w:val="24"/>
          <w:lang w:val="en-US" w:eastAsia="zh-CN"/>
        </w:rPr>
        <w:t>3.</w:t>
      </w:r>
      <w:r>
        <w:rPr>
          <w:rFonts w:hint="eastAsia" w:ascii="Times New Roman" w:hAnsi="Times New Roman" w:eastAsia="Times New Roman"/>
          <w:b/>
          <w:bCs/>
          <w:kern w:val="2"/>
          <w:sz w:val="24"/>
          <w:szCs w:val="24"/>
          <w:lang w:val="en-US" w:eastAsia="zh-CN"/>
        </w:rPr>
        <w:t xml:space="preserve">4 </w:t>
      </w:r>
      <w:r>
        <w:rPr>
          <w:rFonts w:hint="eastAsia" w:ascii="Times New Roman" w:hAnsi="Times New Roman" w:eastAsia="Times New Roman"/>
          <w:b/>
          <w:bCs/>
          <w:i/>
          <w:iCs/>
          <w:kern w:val="2"/>
          <w:sz w:val="24"/>
          <w:szCs w:val="24"/>
          <w:lang w:val="en-US" w:eastAsia="zh-CN"/>
        </w:rPr>
        <w:t>In vivo</w:t>
      </w:r>
      <w:r>
        <w:rPr>
          <w:rFonts w:hint="eastAsia" w:ascii="Times New Roman" w:hAnsi="Times New Roman" w:eastAsia="Times New Roman"/>
          <w:b/>
          <w:bCs/>
          <w:kern w:val="2"/>
          <w:sz w:val="24"/>
          <w:szCs w:val="24"/>
          <w:lang w:val="en-US" w:eastAsia="zh-CN"/>
        </w:rPr>
        <w:t xml:space="preserve"> measurements</w:t>
      </w:r>
    </w:p>
    <w:p w14:paraId="719D3AA3">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Establishing direct contact between bone and implant without the presence of fibrous tissue is crucial for successful osseointegration</w:t>
      </w:r>
      <w:r>
        <w:rPr>
          <w:rFonts w:hint="eastAsia" w:ascii="Times New Roman" w:hAnsi="Times New Roman" w:eastAsia="Times New Roman"/>
          <w:color w:val="080000"/>
          <w:sz w:val="24"/>
          <w:szCs w:val="24"/>
          <w:vertAlign w:val="superscript"/>
        </w:rPr>
        <w:t>[30]</w:t>
      </w:r>
      <w:r>
        <w:rPr>
          <w:rFonts w:hint="eastAsia" w:ascii="Times New Roman" w:hAnsi="Times New Roman" w:eastAsia="Times New Roman"/>
          <w:kern w:val="2"/>
          <w:sz w:val="24"/>
          <w:lang w:val="en-US" w:eastAsia="zh-CN"/>
        </w:rPr>
        <w:t xml:space="preserve">. To further analyze the osteogenic effects of Zr-BMG on cancellous bone, an alcian blue-acid </w:t>
      </w:r>
      <w:bookmarkStart w:id="0" w:name="OLE_LINK1"/>
      <w:r>
        <w:rPr>
          <w:rFonts w:hint="eastAsia" w:ascii="Times New Roman" w:hAnsi="Times New Roman" w:eastAsia="Times New Roman"/>
          <w:kern w:val="2"/>
          <w:sz w:val="24"/>
          <w:lang w:val="en-US" w:eastAsia="zh-CN"/>
        </w:rPr>
        <w:t>fuchsin</w:t>
      </w:r>
      <w:bookmarkEnd w:id="0"/>
      <w:r>
        <w:rPr>
          <w:rFonts w:hint="eastAsia" w:ascii="Times New Roman" w:hAnsi="Times New Roman" w:eastAsia="Times New Roman"/>
          <w:kern w:val="2"/>
          <w:sz w:val="24"/>
          <w:lang w:val="en-US" w:eastAsia="zh-CN"/>
        </w:rPr>
        <w:t xml:space="preserve"> stain was performed to assess the osseointegration of Ti and Zr-BMG implants after 8 weeks (</w:t>
      </w:r>
      <w:r>
        <w:rPr>
          <w:rFonts w:hint="eastAsia" w:ascii="Times New Roman" w:hAnsi="Times New Roman" w:eastAsia="Times New Roman"/>
          <w:b/>
          <w:bCs/>
          <w:kern w:val="2"/>
          <w:sz w:val="24"/>
          <w:lang w:val="en-US" w:eastAsia="zh-CN"/>
        </w:rPr>
        <w:t>Figure 7A</w:t>
      </w:r>
      <w:r>
        <w:rPr>
          <w:rFonts w:hint="eastAsia" w:ascii="Times New Roman" w:hAnsi="Times New Roman" w:eastAsia="Times New Roman"/>
          <w:kern w:val="2"/>
          <w:sz w:val="24"/>
          <w:lang w:val="en-US" w:eastAsia="zh-CN"/>
        </w:rPr>
        <w:t xml:space="preserve">). As shown in </w:t>
      </w:r>
      <w:r>
        <w:rPr>
          <w:rFonts w:hint="eastAsia" w:ascii="Times New Roman" w:hAnsi="Times New Roman" w:eastAsia="Times New Roman"/>
          <w:b/>
          <w:bCs/>
          <w:kern w:val="2"/>
          <w:sz w:val="24"/>
          <w:lang w:val="en-US" w:eastAsia="zh-CN"/>
        </w:rPr>
        <w:t>Figure 7B</w:t>
      </w:r>
      <w:r>
        <w:rPr>
          <w:rFonts w:hint="eastAsia" w:ascii="Times New Roman" w:hAnsi="Times New Roman" w:eastAsia="Times New Roman"/>
          <w:kern w:val="2"/>
          <w:sz w:val="24"/>
          <w:lang w:val="en-US" w:eastAsia="zh-CN"/>
        </w:rPr>
        <w:t xml:space="preserve">, osteoid tissue appeared blue-green and newly mineralized bone appeared deep red. </w:t>
      </w:r>
      <w:r>
        <w:rPr>
          <w:rFonts w:ascii="Times New Roman" w:hAnsi="Times New Roman" w:eastAsia="Times New Roman"/>
          <w:kern w:val="2"/>
          <w:sz w:val="24"/>
          <w:lang w:val="en-US" w:eastAsia="zh-CN"/>
        </w:rPr>
        <w:t xml:space="preserve">More </w:t>
      </w:r>
      <w:r>
        <w:rPr>
          <w:rFonts w:hint="eastAsia" w:ascii="Times New Roman" w:hAnsi="Times New Roman" w:eastAsia="Times New Roman"/>
          <w:kern w:val="2"/>
          <w:sz w:val="24"/>
          <w:lang w:val="en-US" w:eastAsia="zh-CN"/>
        </w:rPr>
        <w:t>bone-like tissue</w:t>
      </w:r>
      <w:r>
        <w:rPr>
          <w:rFonts w:ascii="Times New Roman" w:hAnsi="Times New Roman" w:eastAsia="Times New Roman"/>
          <w:kern w:val="2"/>
          <w:sz w:val="24"/>
          <w:lang w:val="en-US" w:eastAsia="zh-CN"/>
        </w:rPr>
        <w:t>s were formed</w:t>
      </w:r>
      <w:r>
        <w:rPr>
          <w:rFonts w:hint="eastAsia" w:ascii="Times New Roman" w:hAnsi="Times New Roman" w:eastAsia="Times New Roman"/>
          <w:kern w:val="2"/>
          <w:sz w:val="24"/>
          <w:lang w:val="en-US" w:eastAsia="zh-CN"/>
        </w:rPr>
        <w:t xml:space="preserve"> </w:t>
      </w:r>
      <w:r>
        <w:rPr>
          <w:rFonts w:ascii="Times New Roman" w:hAnsi="Times New Roman" w:eastAsia="Times New Roman"/>
          <w:kern w:val="2"/>
          <w:sz w:val="24"/>
          <w:lang w:val="en-US" w:eastAsia="zh-CN"/>
        </w:rPr>
        <w:t>in direct contact with the Zr-BMG, in comparison with Ti control</w:t>
      </w:r>
      <w:r>
        <w:rPr>
          <w:rFonts w:hint="eastAsia" w:ascii="Times New Roman" w:hAnsi="Times New Roman" w:eastAsia="Times New Roman"/>
          <w:kern w:val="2"/>
          <w:sz w:val="24"/>
          <w:lang w:val="en-US" w:eastAsia="zh-CN"/>
        </w:rPr>
        <w:t xml:space="preserve"> at 8 weeks post-implantation surgery. Histological analysis of hard tissue sections </w:t>
      </w:r>
      <w:r>
        <w:rPr>
          <w:rFonts w:ascii="Times New Roman" w:hAnsi="Times New Roman" w:eastAsia="Times New Roman"/>
          <w:kern w:val="2"/>
          <w:sz w:val="24"/>
          <w:lang w:val="en-US" w:eastAsia="zh-CN"/>
        </w:rPr>
        <w:t>supported</w:t>
      </w:r>
      <w:r>
        <w:rPr>
          <w:rFonts w:hint="eastAsia" w:ascii="Times New Roman" w:hAnsi="Times New Roman" w:eastAsia="Times New Roman"/>
          <w:kern w:val="2"/>
          <w:sz w:val="24"/>
          <w:lang w:val="en-US" w:eastAsia="zh-CN"/>
        </w:rPr>
        <w:t xml:space="preserve"> a significantly larger bone-implant contact area (</w:t>
      </w:r>
      <w:r>
        <w:rPr>
          <w:rFonts w:hint="eastAsia" w:ascii="Times New Roman" w:hAnsi="Times New Roman" w:eastAsia="Times New Roman"/>
          <w:i/>
          <w:iCs/>
          <w:kern w:val="2"/>
          <w:sz w:val="24"/>
          <w:lang w:val="en-US" w:eastAsia="zh-CN"/>
        </w:rPr>
        <w:t xml:space="preserve">P </w:t>
      </w:r>
      <w:r>
        <w:rPr>
          <w:rFonts w:hint="eastAsia" w:ascii="Times New Roman" w:hAnsi="Times New Roman" w:eastAsia="Times New Roman"/>
          <w:kern w:val="2"/>
          <w:sz w:val="24"/>
          <w:lang w:val="en-US" w:eastAsia="zh-CN"/>
        </w:rPr>
        <w:t>&lt; 0.05) and length (</w:t>
      </w:r>
      <w:r>
        <w:rPr>
          <w:rFonts w:hint="eastAsia" w:ascii="Times New Roman" w:hAnsi="Times New Roman" w:eastAsia="Times New Roman"/>
          <w:i/>
          <w:iCs/>
          <w:kern w:val="2"/>
          <w:sz w:val="24"/>
          <w:lang w:val="en-US" w:eastAsia="zh-CN"/>
        </w:rPr>
        <w:t xml:space="preserve">P </w:t>
      </w:r>
      <w:r>
        <w:rPr>
          <w:rFonts w:hint="eastAsia" w:ascii="Times New Roman" w:hAnsi="Times New Roman" w:eastAsia="Times New Roman"/>
          <w:kern w:val="2"/>
          <w:sz w:val="24"/>
          <w:lang w:val="en-US" w:eastAsia="zh-CN"/>
        </w:rPr>
        <w:t>&lt; 0.01) around Zr-BMG implants than Ti at 8 weeks post-surgery (</w:t>
      </w:r>
      <w:r>
        <w:rPr>
          <w:rFonts w:hint="eastAsia" w:ascii="Times New Roman" w:hAnsi="Times New Roman" w:eastAsia="Times New Roman"/>
          <w:b/>
          <w:bCs/>
          <w:kern w:val="2"/>
          <w:sz w:val="24"/>
          <w:lang w:val="en-US" w:eastAsia="zh-CN"/>
        </w:rPr>
        <w:t>Figure 7C</w:t>
      </w:r>
      <w:r>
        <w:rPr>
          <w:rFonts w:hint="eastAsia" w:ascii="Times New Roman" w:hAnsi="Times New Roman" w:eastAsia="Times New Roman"/>
          <w:kern w:val="2"/>
          <w:sz w:val="24"/>
          <w:lang w:val="en-US" w:eastAsia="zh-CN"/>
        </w:rPr>
        <w:t xml:space="preserve">), indicating </w:t>
      </w:r>
      <w:r>
        <w:rPr>
          <w:rFonts w:ascii="Times New Roman" w:hAnsi="Times New Roman" w:eastAsia="Times New Roman"/>
          <w:kern w:val="2"/>
          <w:sz w:val="24"/>
          <w:lang w:val="en-US" w:eastAsia="zh-CN"/>
        </w:rPr>
        <w:t>a</w:t>
      </w:r>
      <w:r>
        <w:rPr>
          <w:rFonts w:hint="eastAsia" w:ascii="Times New Roman" w:hAnsi="Times New Roman" w:eastAsia="Times New Roman"/>
          <w:kern w:val="2"/>
          <w:sz w:val="24"/>
          <w:lang w:val="en-US" w:eastAsia="zh-CN"/>
        </w:rPr>
        <w:t xml:space="preserve"> superior os</w:t>
      </w:r>
      <w:r>
        <w:rPr>
          <w:rFonts w:ascii="Times New Roman" w:hAnsi="Times New Roman" w:eastAsia="Times New Roman"/>
          <w:kern w:val="2"/>
          <w:sz w:val="24"/>
          <w:lang w:val="en-US" w:eastAsia="zh-CN"/>
        </w:rPr>
        <w:t>se</w:t>
      </w:r>
      <w:r>
        <w:rPr>
          <w:rFonts w:hint="eastAsia" w:ascii="Times New Roman" w:hAnsi="Times New Roman" w:eastAsia="Times New Roman"/>
          <w:kern w:val="2"/>
          <w:sz w:val="24"/>
          <w:lang w:val="en-US" w:eastAsia="zh-CN"/>
        </w:rPr>
        <w:t xml:space="preserve">ointegration </w:t>
      </w:r>
      <w:r>
        <w:rPr>
          <w:rFonts w:ascii="Times New Roman" w:hAnsi="Times New Roman" w:eastAsia="Times New Roman"/>
          <w:kern w:val="2"/>
          <w:sz w:val="24"/>
          <w:lang w:val="en-US" w:eastAsia="zh-CN"/>
        </w:rPr>
        <w:t>ability of</w:t>
      </w:r>
      <w:r>
        <w:rPr>
          <w:rFonts w:hint="eastAsia" w:ascii="Times New Roman" w:hAnsi="Times New Roman" w:eastAsia="Times New Roman"/>
          <w:kern w:val="2"/>
          <w:sz w:val="24"/>
          <w:lang w:val="en-US" w:eastAsia="zh-CN"/>
        </w:rPr>
        <w:t xml:space="preserve"> Zr-BMG compared to Ti.</w:t>
      </w:r>
      <w:r>
        <w:rPr>
          <w:rFonts w:hint="eastAsia" w:eastAsia="Times New Roman"/>
          <w:kern w:val="2"/>
          <w:sz w:val="24"/>
          <w:lang w:val="en-US" w:eastAsia="zh-CN"/>
        </w:rPr>
        <w:t xml:space="preserve"> </w:t>
      </w:r>
      <w:r>
        <w:rPr>
          <w:rFonts w:hint="eastAsia" w:ascii="Times New Roman" w:hAnsi="Times New Roman" w:eastAsia="Times New Roman"/>
          <w:kern w:val="2"/>
          <w:sz w:val="24"/>
          <w:lang w:val="en-US" w:eastAsia="zh-CN"/>
        </w:rPr>
        <w:t>Although Zr-BMG contained complex metallic elements, researchers had not observed significant pathological changes in the liver, kidneys or spleens (</w:t>
      </w:r>
      <w:r>
        <w:rPr>
          <w:rFonts w:hint="eastAsia" w:ascii="Times New Roman" w:hAnsi="Times New Roman" w:eastAsia="Times New Roman"/>
          <w:b/>
          <w:bCs/>
          <w:kern w:val="2"/>
          <w:sz w:val="24"/>
          <w:lang w:val="en-US" w:eastAsia="zh-CN"/>
        </w:rPr>
        <w:t>Figure 7D</w:t>
      </w:r>
      <w:r>
        <w:rPr>
          <w:rFonts w:hint="eastAsia" w:ascii="Times New Roman" w:hAnsi="Times New Roman" w:eastAsia="Times New Roman"/>
          <w:kern w:val="2"/>
          <w:sz w:val="24"/>
          <w:lang w:val="en-US" w:eastAsia="zh-CN"/>
        </w:rPr>
        <w:t>). Similarly, no signs of pathological features were observed in serum tests of rats implanted with Ti and Zr-BMG after 8 weeks (</w:t>
      </w:r>
      <w:r>
        <w:rPr>
          <w:rFonts w:hint="eastAsia" w:ascii="Times New Roman" w:hAnsi="Times New Roman" w:eastAsia="Times New Roman"/>
          <w:b/>
          <w:bCs/>
          <w:kern w:val="2"/>
          <w:sz w:val="24"/>
          <w:lang w:val="en-US" w:eastAsia="zh-CN"/>
        </w:rPr>
        <w:t>Figure 7E, F</w:t>
      </w:r>
      <w:r>
        <w:rPr>
          <w:rFonts w:hint="eastAsia" w:ascii="Times New Roman" w:hAnsi="Times New Roman" w:eastAsia="Times New Roman"/>
          <w:kern w:val="2"/>
          <w:sz w:val="24"/>
          <w:lang w:val="en-US" w:eastAsia="zh-CN"/>
        </w:rPr>
        <w:t>).</w:t>
      </w:r>
    </w:p>
    <w:p w14:paraId="672DFE59">
      <w:pPr>
        <w:widowControl w:val="0"/>
        <w:spacing w:line="360" w:lineRule="auto"/>
        <w:jc w:val="both"/>
        <w:rPr>
          <w:rFonts w:ascii="Times New Roman" w:hAnsi="Times New Roman" w:eastAsia="Times New Roman"/>
          <w:sz w:val="24"/>
        </w:rPr>
      </w:pPr>
      <w:r>
        <w:rPr>
          <w:rFonts w:ascii="Times New Roman" w:hAnsi="Times New Roman" w:eastAsia="Times New Roman"/>
          <w:sz w:val="24"/>
        </w:rPr>
        <w:drawing>
          <wp:inline distT="0" distB="0" distL="114300" distR="114300">
            <wp:extent cx="5760085" cy="8874125"/>
            <wp:effectExtent l="0" t="0" r="5715" b="317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2"/>
                    <a:stretch>
                      <a:fillRect/>
                    </a:stretch>
                  </pic:blipFill>
                  <pic:spPr>
                    <a:xfrm>
                      <a:off x="0" y="0"/>
                      <a:ext cx="5760085" cy="8874125"/>
                    </a:xfrm>
                    <a:prstGeom prst="rect">
                      <a:avLst/>
                    </a:prstGeom>
                    <a:noFill/>
                    <a:ln>
                      <a:noFill/>
                    </a:ln>
                  </pic:spPr>
                </pic:pic>
              </a:graphicData>
            </a:graphic>
          </wp:inline>
        </w:drawing>
      </w:r>
    </w:p>
    <w:p w14:paraId="2603DCAB">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lang w:val="en-US" w:eastAsia="zh-CN"/>
        </w:rPr>
      </w:pPr>
      <w:r>
        <w:rPr>
          <w:rFonts w:hint="eastAsia" w:ascii="Times New Roman" w:hAnsi="Times New Roman" w:eastAsia="Times New Roman"/>
          <w:b/>
          <w:bCs/>
          <w:sz w:val="24"/>
          <w:lang w:val="en-US" w:eastAsia="zh-CN"/>
        </w:rPr>
        <w:t>Figure 7</w:t>
      </w:r>
      <w:r>
        <w:rPr>
          <w:rFonts w:hint="eastAsia" w:ascii="Times New Roman" w:hAnsi="Times New Roman" w:eastAsia="Times New Roman"/>
          <w:sz w:val="24"/>
          <w:lang w:val="en-US" w:eastAsia="zh-CN"/>
        </w:rPr>
        <w:t xml:space="preserve">. </w:t>
      </w:r>
      <w:r>
        <w:rPr>
          <w:rFonts w:hint="eastAsia" w:ascii="Times New Roman" w:hAnsi="Times New Roman" w:eastAsia="Times New Roman"/>
          <w:i/>
          <w:iCs/>
          <w:sz w:val="24"/>
          <w:lang w:val="en-US" w:eastAsia="zh-CN"/>
        </w:rPr>
        <w:t>In vivo</w:t>
      </w:r>
      <w:r>
        <w:rPr>
          <w:rFonts w:hint="eastAsia" w:ascii="Times New Roman" w:hAnsi="Times New Roman" w:eastAsia="Times New Roman"/>
          <w:sz w:val="24"/>
          <w:lang w:val="en-US" w:eastAsia="zh-CN"/>
        </w:rPr>
        <w:t xml:space="preserve"> osteogenic potential of materials A) The flow chart of in-vivo measurement. B) Representative images of Stevenel’s blue and Van Gieson’s picrofuchsin staining showing new bone formation around implants. Zr-BMG implants were able to induce more bone formation that was in direct close contact to implant surfaces. C) Quantitative measurement of bone area percentage around implants and relative bone-implant-contact length. Zr-BMG implants achieved better osseointegration thanTi. D) H&amp;E staining of liver, kidney and spleens sections, showing no obvious pathological change. E) Biochemical parameters in animals with the implanted Ti and Zr-BMG. Data were presented as mean ± SD. ns: </w:t>
      </w:r>
      <w:r>
        <w:rPr>
          <w:rFonts w:hint="eastAsia" w:ascii="Times New Roman" w:hAnsi="Times New Roman" w:eastAsia="Times New Roman"/>
          <w:i/>
          <w:iCs/>
          <w:sz w:val="24"/>
          <w:lang w:val="en-US" w:eastAsia="zh-CN"/>
        </w:rPr>
        <w:t>P</w:t>
      </w:r>
      <w:r>
        <w:rPr>
          <w:rFonts w:hint="eastAsia" w:ascii="Times New Roman" w:hAnsi="Times New Roman" w:eastAsia="Times New Roman"/>
          <w:sz w:val="24"/>
          <w:lang w:val="en-US" w:eastAsia="zh-CN"/>
        </w:rPr>
        <w:t xml:space="preserve"> &gt; 0.05,  *</w:t>
      </w:r>
      <w:r>
        <w:rPr>
          <w:rFonts w:hint="eastAsia" w:ascii="Times New Roman" w:hAnsi="Times New Roman" w:eastAsia="Times New Roman"/>
          <w:i/>
          <w:iCs/>
          <w:sz w:val="24"/>
          <w:lang w:val="en-US" w:eastAsia="zh-CN"/>
        </w:rPr>
        <w:t>P</w:t>
      </w:r>
      <w:r>
        <w:rPr>
          <w:rFonts w:hint="eastAsia" w:ascii="Times New Roman" w:hAnsi="Times New Roman" w:eastAsia="Times New Roman"/>
          <w:sz w:val="24"/>
          <w:lang w:val="en-US" w:eastAsia="zh-CN"/>
        </w:rPr>
        <w:t xml:space="preserve"> &lt; 0.05 and  **</w:t>
      </w:r>
      <w:r>
        <w:rPr>
          <w:rFonts w:hint="eastAsia" w:ascii="Times New Roman" w:hAnsi="Times New Roman" w:eastAsia="Times New Roman"/>
          <w:i/>
          <w:iCs/>
          <w:sz w:val="24"/>
          <w:lang w:val="en-US" w:eastAsia="zh-CN"/>
        </w:rPr>
        <w:t>P</w:t>
      </w:r>
      <w:r>
        <w:rPr>
          <w:rFonts w:hint="eastAsia" w:ascii="Times New Roman" w:hAnsi="Times New Roman" w:eastAsia="Times New Roman"/>
          <w:sz w:val="24"/>
          <w:lang w:val="en-US" w:eastAsia="zh-CN"/>
        </w:rPr>
        <w:t xml:space="preserve"> &lt; 0.01.</w:t>
      </w:r>
    </w:p>
    <w:p w14:paraId="27584BF2">
      <w:pPr>
        <w:keepNext w:val="0"/>
        <w:keepLines w:val="0"/>
        <w:pageBreakBefore w:val="0"/>
        <w:numPr>
          <w:ilvl w:val="0"/>
          <w:numId w:val="1"/>
        </w:numPr>
        <w:kinsoku/>
        <w:wordWrap/>
        <w:overflowPunct/>
        <w:topLinePunct w:val="0"/>
        <w:autoSpaceDE/>
        <w:autoSpaceDN/>
        <w:bidi w:val="0"/>
        <w:adjustRightInd/>
        <w:snapToGrid/>
        <w:spacing w:line="480" w:lineRule="auto"/>
        <w:ind w:left="0" w:leftChars="0" w:firstLine="0" w:firstLineChars="0"/>
        <w:textAlignment w:val="auto"/>
        <w:rPr>
          <w:rFonts w:hint="eastAsia" w:ascii="Times New Roman" w:hAnsi="Times New Roman" w:eastAsia="Times New Roman" w:cs="Times New Roman"/>
          <w:b/>
          <w:sz w:val="24"/>
          <w:szCs w:val="24"/>
          <w:lang w:val="en-US" w:eastAsia="ja-JP" w:bidi="ar-SA"/>
        </w:rPr>
      </w:pPr>
      <w:r>
        <w:rPr>
          <w:rFonts w:hint="eastAsia" w:ascii="Times New Roman" w:hAnsi="Times New Roman" w:eastAsia="Times New Roman" w:cs="Times New Roman"/>
          <w:b/>
          <w:sz w:val="24"/>
          <w:szCs w:val="24"/>
          <w:lang w:val="en-US" w:eastAsia="zh-CN" w:bidi="ar-SA"/>
        </w:rPr>
        <w:t>Discussion</w:t>
      </w:r>
    </w:p>
    <w:p w14:paraId="5C539652">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ascii="Times New Roman" w:hAnsi="Times New Roman" w:eastAsia="Times New Roman"/>
          <w:kern w:val="2"/>
          <w:sz w:val="24"/>
          <w:lang w:val="en-US" w:eastAsia="zh-CN"/>
        </w:rPr>
        <w:t xml:space="preserve">The addition of Ag </w:t>
      </w:r>
      <w:r>
        <w:rPr>
          <w:rFonts w:hint="eastAsia" w:ascii="Times New Roman" w:hAnsi="Times New Roman" w:eastAsia="Times New Roman"/>
          <w:kern w:val="2"/>
          <w:sz w:val="24"/>
          <w:lang w:val="en-US" w:eastAsia="zh-CN"/>
        </w:rPr>
        <w:t>enhanced</w:t>
      </w:r>
      <w:r>
        <w:rPr>
          <w:rFonts w:ascii="Times New Roman" w:hAnsi="Times New Roman" w:eastAsia="Times New Roman"/>
          <w:kern w:val="2"/>
          <w:sz w:val="24"/>
          <w:lang w:val="en-US" w:eastAsia="zh-CN"/>
        </w:rPr>
        <w:t xml:space="preserve"> the alloy's glass-forming ability</w:t>
      </w:r>
      <w:r>
        <w:rPr>
          <w:rFonts w:hint="eastAsia" w:ascii="Times New Roman" w:hAnsi="Times New Roman" w:eastAsia="Times New Roman"/>
          <w:kern w:val="2"/>
          <w:sz w:val="24"/>
          <w:lang w:val="en-US" w:eastAsia="zh-CN"/>
        </w:rPr>
        <w:t xml:space="preserve"> (GFA)</w:t>
      </w:r>
      <w:r>
        <w:rPr>
          <w:rFonts w:ascii="Times New Roman" w:hAnsi="Times New Roman" w:eastAsia="Times New Roman"/>
          <w:kern w:val="2"/>
          <w:sz w:val="24"/>
          <w:lang w:val="en-US" w:eastAsia="zh-CN"/>
        </w:rPr>
        <w:t>, meeting the criteria outlined by Takeuchi and Inoue</w:t>
      </w:r>
      <w:r>
        <w:rPr>
          <w:rFonts w:hint="eastAsia" w:ascii="Times New Roman" w:hAnsi="Times New Roman" w:eastAsia="Times New Roman"/>
          <w:color w:val="080000"/>
          <w:sz w:val="24"/>
          <w:szCs w:val="24"/>
          <w:vertAlign w:val="superscript"/>
        </w:rPr>
        <w:t>[9]</w:t>
      </w:r>
      <w:r>
        <w:rPr>
          <w:rFonts w:ascii="Times New Roman" w:hAnsi="Times New Roman" w:eastAsia="Times New Roman"/>
          <w:kern w:val="2"/>
          <w:sz w:val="24"/>
          <w:lang w:val="en-US" w:eastAsia="zh-CN"/>
        </w:rPr>
        <w:t>, which include</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three or more elements, atomic size mismatch exceeding 12%, and negative mixing enthalpy between constituent elements. In the Zr-Ti-Cu-Al-Ag system, Ag exhibit</w:t>
      </w:r>
      <w:r>
        <w:rPr>
          <w:rFonts w:hint="eastAsia" w:ascii="Times New Roman" w:hAnsi="Times New Roman" w:eastAsia="Times New Roman"/>
          <w:kern w:val="2"/>
          <w:sz w:val="24"/>
          <w:lang w:val="en-US" w:eastAsia="zh-CN"/>
        </w:rPr>
        <w:t>ed</w:t>
      </w:r>
      <w:r>
        <w:rPr>
          <w:rFonts w:ascii="Times New Roman" w:hAnsi="Times New Roman" w:eastAsia="Times New Roman"/>
          <w:kern w:val="2"/>
          <w:sz w:val="24"/>
          <w:lang w:val="en-US" w:eastAsia="zh-CN"/>
        </w:rPr>
        <w:t xml:space="preserve"> negative mixing enthalpies with Zr, Ti, and Al</w:t>
      </w:r>
      <w:r>
        <w:rPr>
          <w:rFonts w:hint="eastAsia" w:ascii="Times New Roman" w:hAnsi="Times New Roman" w:eastAsia="Times New Roman"/>
          <w:kern w:val="2"/>
          <w:sz w:val="24"/>
          <w:lang w:val="en-US" w:eastAsia="zh-CN"/>
        </w:rPr>
        <w:t xml:space="preserve"> (</w:t>
      </w:r>
      <w:r>
        <w:rPr>
          <w:rFonts w:hint="eastAsia" w:ascii="Times New Roman" w:hAnsi="Times New Roman" w:eastAsia="Times New Roman"/>
          <w:b/>
          <w:bCs/>
          <w:kern w:val="2"/>
          <w:sz w:val="24"/>
          <w:lang w:val="en-US" w:eastAsia="zh-CN"/>
        </w:rPr>
        <w:t>Table S2</w:t>
      </w:r>
      <w:r>
        <w:rPr>
          <w:rFonts w:hint="eastAsia" w:ascii="Times New Roman" w:hAnsi="Times New Roman" w:eastAsia="Times New Roman"/>
          <w:kern w:val="2"/>
          <w:sz w:val="24"/>
          <w:lang w:val="en-US" w:eastAsia="zh-CN"/>
        </w:rPr>
        <w:t>)</w:t>
      </w:r>
      <w:r>
        <w:rPr>
          <w:rFonts w:hint="eastAsia" w:ascii="Times New Roman" w:hAnsi="Times New Roman" w:eastAsia="Times New Roman"/>
          <w:color w:val="080000"/>
          <w:sz w:val="24"/>
          <w:szCs w:val="24"/>
          <w:vertAlign w:val="superscript"/>
        </w:rPr>
        <w:t>[31]</w:t>
      </w:r>
      <w:r>
        <w:rPr>
          <w:rFonts w:ascii="Times New Roman" w:hAnsi="Times New Roman" w:eastAsia="Times New Roman"/>
          <w:kern w:val="2"/>
          <w:sz w:val="24"/>
          <w:lang w:val="en-US" w:eastAsia="zh-CN"/>
        </w:rPr>
        <w:t xml:space="preserve">, fostering chemical short-range ordering in the liquid state, enhancing local packing efficiency, and suppressing long-range atomic diffusion for improved glass-forming ability. From an atomic scale perspective, </w:t>
      </w:r>
      <w:r>
        <w:rPr>
          <w:rFonts w:hint="eastAsia" w:ascii="Times New Roman" w:hAnsi="Times New Roman" w:eastAsia="Times New Roman"/>
          <w:kern w:val="2"/>
          <w:sz w:val="24"/>
          <w:lang w:val="en-US" w:eastAsia="zh-CN"/>
        </w:rPr>
        <w:t>Ag was incorporated into the Zr-Ti-Cu-Al alloy due to its chemical similarity to Cu but with a different atomic size (R</w:t>
      </w:r>
      <w:r>
        <w:rPr>
          <w:rFonts w:hint="eastAsia" w:ascii="Times New Roman" w:hAnsi="Times New Roman" w:eastAsia="Times New Roman"/>
          <w:kern w:val="2"/>
          <w:sz w:val="24"/>
          <w:vertAlign w:val="subscript"/>
          <w:lang w:val="en-US" w:eastAsia="zh-CN"/>
        </w:rPr>
        <w:t>Ag/Cu</w:t>
      </w:r>
      <w:r>
        <w:rPr>
          <w:rFonts w:hint="eastAsia" w:ascii="Times New Roman" w:hAnsi="Times New Roman" w:eastAsia="Times New Roman"/>
          <w:kern w:val="2"/>
          <w:sz w:val="24"/>
          <w:lang w:val="en-US" w:eastAsia="zh-CN"/>
        </w:rPr>
        <w:t xml:space="preserve"> = 0.810), which was expected to enhance the dense atomic packing in the glass, thereby promoting GFA</w:t>
      </w:r>
      <w:r>
        <w:rPr>
          <w:rFonts w:hint="eastAsia" w:ascii="Times New Roman" w:hAnsi="Times New Roman" w:eastAsia="Times New Roman"/>
          <w:color w:val="080000"/>
          <w:sz w:val="24"/>
          <w:szCs w:val="24"/>
          <w:vertAlign w:val="superscript"/>
        </w:rPr>
        <w:t>[32]</w:t>
      </w:r>
      <w:r>
        <w:rPr>
          <w:rFonts w:hint="eastAsia" w:ascii="Times New Roman" w:hAnsi="Times New Roman" w:eastAsia="Times New Roman"/>
          <w:kern w:val="2"/>
          <w:sz w:val="24"/>
          <w:lang w:val="en-US" w:eastAsia="zh-CN"/>
        </w:rPr>
        <w:t xml:space="preserve">. </w:t>
      </w:r>
    </w:p>
    <w:p w14:paraId="1AA0396F">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ascii="Times New Roman" w:hAnsi="Times New Roman" w:eastAsia="Times New Roman"/>
          <w:kern w:val="2"/>
          <w:sz w:val="24"/>
          <w:lang w:val="en-US" w:eastAsia="zh-CN"/>
        </w:rPr>
        <w:t xml:space="preserve">The compressive strength of the Zr-BMG </w:t>
      </w:r>
      <w:r>
        <w:rPr>
          <w:rFonts w:hint="eastAsia" w:ascii="Times New Roman" w:hAnsi="Times New Roman" w:eastAsia="Times New Roman"/>
          <w:kern w:val="2"/>
          <w:sz w:val="24"/>
          <w:lang w:val="en-US" w:eastAsia="zh-CN"/>
        </w:rPr>
        <w:t>was</w:t>
      </w:r>
      <w:r>
        <w:rPr>
          <w:rFonts w:ascii="Times New Roman" w:hAnsi="Times New Roman" w:eastAsia="Times New Roman"/>
          <w:kern w:val="2"/>
          <w:sz w:val="24"/>
          <w:lang w:val="en-US" w:eastAsia="zh-CN"/>
        </w:rPr>
        <w:t xml:space="preserve"> 1603.67 MPa, with an elastic modulus of 94.20 GPa, consistent with most reported Zr-</w:t>
      </w:r>
      <w:r>
        <w:rPr>
          <w:rFonts w:hint="eastAsia" w:ascii="Times New Roman" w:hAnsi="Times New Roman" w:eastAsia="Times New Roman"/>
          <w:kern w:val="2"/>
          <w:sz w:val="24"/>
          <w:lang w:val="en-US" w:eastAsia="zh-CN"/>
        </w:rPr>
        <w:t>Cu-Al</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metallic glasses (strength ranging from 1600-2000 MPa and modulus from 80-100 GPa)</w:t>
      </w:r>
      <w:r>
        <w:rPr>
          <w:rFonts w:hint="eastAsia" w:ascii="Times New Roman" w:hAnsi="Times New Roman" w:eastAsia="Times New Roman"/>
          <w:color w:val="080000"/>
          <w:sz w:val="24"/>
          <w:szCs w:val="24"/>
          <w:vertAlign w:val="superscript"/>
        </w:rPr>
        <w:t>[12, 33]</w:t>
      </w:r>
      <w:r>
        <w:rPr>
          <w:rFonts w:ascii="Times New Roman" w:hAnsi="Times New Roman" w:eastAsia="Times New Roman"/>
          <w:kern w:val="2"/>
          <w:sz w:val="24"/>
          <w:lang w:val="en-US" w:eastAsia="zh-CN"/>
        </w:rPr>
        <w:t>.</w:t>
      </w:r>
      <w:r>
        <w:rPr>
          <w:rFonts w:hint="eastAsia" w:ascii="Times New Roman" w:hAnsi="Times New Roman" w:eastAsia="Times New Roman"/>
          <w:kern w:val="2"/>
          <w:sz w:val="24"/>
          <w:lang w:val="en-US" w:eastAsia="zh-CN"/>
        </w:rPr>
        <w:t xml:space="preserve"> Studies had indicated a linear relationship between strength and elastic modulus</w:t>
      </w:r>
      <w:r>
        <w:rPr>
          <w:rFonts w:hint="eastAsia" w:ascii="Times New Roman" w:hAnsi="Times New Roman" w:eastAsia="Times New Roman"/>
          <w:color w:val="080000"/>
          <w:sz w:val="24"/>
          <w:szCs w:val="24"/>
          <w:vertAlign w:val="superscript"/>
        </w:rPr>
        <w:t>[12, 34]</w:t>
      </w:r>
      <w:r>
        <w:rPr>
          <w:rFonts w:hint="eastAsia" w:ascii="Times New Roman" w:hAnsi="Times New Roman" w:eastAsia="Times New Roman"/>
          <w:kern w:val="2"/>
          <w:sz w:val="24"/>
          <w:lang w:val="en-US" w:eastAsia="zh-CN"/>
        </w:rPr>
        <w:t xml:space="preserve">. Despite the development of new </w:t>
      </w:r>
      <w:r>
        <w:rPr>
          <w:rFonts w:ascii="Times New Roman" w:hAnsi="Times New Roman" w:eastAsia="Times New Roman" w:cs="Times New Roman"/>
          <w:kern w:val="2"/>
          <w:sz w:val="24"/>
          <w:lang w:val="en-US" w:eastAsia="zh-CN"/>
        </w:rPr>
        <w:t>β</w:t>
      </w:r>
      <w:r>
        <w:rPr>
          <w:rFonts w:hint="eastAsia" w:ascii="Times New Roman" w:hAnsi="Times New Roman" w:eastAsia="Times New Roman"/>
          <w:kern w:val="2"/>
          <w:sz w:val="24"/>
          <w:lang w:val="en-US" w:eastAsia="zh-CN"/>
        </w:rPr>
        <w:t>-Ti alloys with an elastic modulus as low as 60 GPa</w:t>
      </w:r>
      <w:r>
        <w:rPr>
          <w:rFonts w:hint="eastAsia" w:ascii="Times New Roman" w:hAnsi="Times New Roman" w:eastAsia="Times New Roman"/>
          <w:color w:val="080000"/>
          <w:sz w:val="24"/>
          <w:szCs w:val="24"/>
          <w:vertAlign w:val="superscript"/>
        </w:rPr>
        <w:t>[35]</w:t>
      </w:r>
      <w:r>
        <w:rPr>
          <w:rFonts w:hint="eastAsia" w:ascii="Times New Roman" w:hAnsi="Times New Roman" w:eastAsia="Times New Roman"/>
          <w:kern w:val="2"/>
          <w:sz w:val="24"/>
          <w:lang w:val="en-US" w:eastAsia="zh-CN"/>
        </w:rPr>
        <w:t>, both their strength and hardness decreased. The Zr-BMG exhibited balanced strength and elastic modulus, making it suitable for implants. Meanwhile, the Zr-BMG demonstrated elevated microhardness compared to Ti, implying enhanced resistance to wear and a possible decrease in osteolysis triggered by wear debris, commonly referred to as particle-induced disease</w:t>
      </w:r>
      <w:r>
        <w:rPr>
          <w:rFonts w:hint="eastAsia" w:ascii="Times New Roman" w:hAnsi="Times New Roman" w:eastAsia="Times New Roman"/>
          <w:color w:val="080000"/>
          <w:sz w:val="24"/>
          <w:szCs w:val="24"/>
          <w:vertAlign w:val="superscript"/>
        </w:rPr>
        <w:t>[36]</w:t>
      </w:r>
      <w:r>
        <w:rPr>
          <w:rFonts w:hint="eastAsia" w:ascii="Times New Roman" w:hAnsi="Times New Roman" w:eastAsia="Times New Roman"/>
          <w:kern w:val="2"/>
          <w:sz w:val="24"/>
          <w:lang w:val="en-US" w:eastAsia="zh-CN"/>
        </w:rPr>
        <w:t>. Additionally, Zr-BMG exhibited higher specific strength than Ti, thus allowing it to achieve the same strength with a smaller cross-sectional area as Ti</w:t>
      </w:r>
      <w:r>
        <w:rPr>
          <w:rFonts w:hint="eastAsia" w:ascii="Times New Roman" w:hAnsi="Times New Roman" w:eastAsia="Times New Roman"/>
          <w:color w:val="080000"/>
          <w:sz w:val="24"/>
          <w:szCs w:val="24"/>
          <w:vertAlign w:val="superscript"/>
        </w:rPr>
        <w:t>[37]</w:t>
      </w:r>
      <w:r>
        <w:rPr>
          <w:rFonts w:hint="eastAsia" w:ascii="Times New Roman" w:hAnsi="Times New Roman" w:eastAsia="Times New Roman"/>
          <w:kern w:val="2"/>
          <w:sz w:val="24"/>
          <w:lang w:val="en-US" w:eastAsia="zh-CN"/>
        </w:rPr>
        <w:t>, thereby reducing the diameter of the implant itself.</w:t>
      </w:r>
    </w:p>
    <w:p w14:paraId="53DAD8D0">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In general, the corrosion resistance is determined by the nature and characteristics of the passivation film on the alloy surface</w:t>
      </w:r>
      <w:r>
        <w:rPr>
          <w:rFonts w:hint="eastAsia" w:ascii="Times New Roman" w:hAnsi="Times New Roman" w:eastAsia="Times New Roman"/>
          <w:color w:val="080000"/>
          <w:sz w:val="24"/>
          <w:szCs w:val="24"/>
          <w:vertAlign w:val="superscript"/>
        </w:rPr>
        <w:t>[38]</w:t>
      </w:r>
      <w:r>
        <w:rPr>
          <w:rFonts w:hint="eastAsia" w:ascii="Times New Roman" w:hAnsi="Times New Roman" w:eastAsia="Times New Roman"/>
          <w:kern w:val="2"/>
          <w:sz w:val="24"/>
          <w:lang w:val="en-US" w:eastAsia="zh-CN"/>
        </w:rPr>
        <w:t>. Analysis of the XPS results revealed that the excellent corrosion resistance of Zr-BMG was attributed to the formation of a highly protective surface film enriched with Zr</w:t>
      </w:r>
      <w:r>
        <w:rPr>
          <w:rFonts w:hint="eastAsia" w:ascii="Times New Roman" w:hAnsi="Times New Roman" w:eastAsia="Times New Roman"/>
          <w:kern w:val="2"/>
          <w:sz w:val="24"/>
          <w:vertAlign w:val="superscript"/>
          <w:lang w:val="en-US" w:eastAsia="zh-CN"/>
        </w:rPr>
        <w:t>4+</w:t>
      </w:r>
      <w:r>
        <w:rPr>
          <w:rFonts w:hint="eastAsia" w:ascii="Times New Roman" w:hAnsi="Times New Roman" w:eastAsia="Times New Roman"/>
          <w:kern w:val="2"/>
          <w:sz w:val="24"/>
          <w:lang w:val="en-US" w:eastAsia="zh-CN"/>
        </w:rPr>
        <w:t>, which was consistent with the findings of Hua et al</w:t>
      </w:r>
      <w:r>
        <w:rPr>
          <w:rFonts w:hint="eastAsia" w:ascii="Times New Roman" w:hAnsi="Times New Roman" w:eastAsia="Times New Roman"/>
          <w:color w:val="080000"/>
          <w:sz w:val="24"/>
          <w:szCs w:val="24"/>
          <w:vertAlign w:val="superscript"/>
        </w:rPr>
        <w:t>[39]</w:t>
      </w:r>
      <w:r>
        <w:rPr>
          <w:rFonts w:hint="eastAsia" w:ascii="Times New Roman" w:hAnsi="Times New Roman" w:eastAsia="Times New Roman"/>
          <w:kern w:val="2"/>
          <w:sz w:val="24"/>
          <w:lang w:val="en-US" w:eastAsia="zh-CN"/>
        </w:rPr>
        <w:t>.</w:t>
      </w:r>
    </w:p>
    <w:p w14:paraId="535A2322">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Bone integration and vascularization are closely intertwined processes, crucial for successful implantation</w:t>
      </w:r>
      <w:r>
        <w:rPr>
          <w:rFonts w:hint="eastAsia" w:ascii="Times New Roman" w:hAnsi="Times New Roman" w:eastAsia="Times New Roman"/>
          <w:color w:val="080000"/>
          <w:sz w:val="24"/>
          <w:szCs w:val="24"/>
          <w:vertAlign w:val="superscript"/>
        </w:rPr>
        <w:t>[40]</w:t>
      </w:r>
      <w:r>
        <w:rPr>
          <w:rFonts w:hint="eastAsia" w:ascii="Times New Roman" w:hAnsi="Times New Roman" w:eastAsia="Times New Roman"/>
          <w:kern w:val="2"/>
          <w:sz w:val="24"/>
          <w:lang w:val="en-US" w:eastAsia="zh-CN"/>
        </w:rPr>
        <w:t>. ICP analysis showed that Zr-BMG could release Cu</w:t>
      </w:r>
      <w:r>
        <w:rPr>
          <w:rFonts w:hint="eastAsia" w:ascii="Times New Roman" w:hAnsi="Times New Roman" w:eastAsia="Times New Roman"/>
          <w:kern w:val="2"/>
          <w:sz w:val="24"/>
          <w:vertAlign w:val="superscript"/>
          <w:lang w:val="en-US" w:eastAsia="zh-CN"/>
        </w:rPr>
        <w:t>2+</w:t>
      </w:r>
      <w:r>
        <w:rPr>
          <w:rFonts w:hint="eastAsia" w:ascii="Times New Roman" w:hAnsi="Times New Roman" w:eastAsia="Times New Roman"/>
          <w:kern w:val="2"/>
          <w:sz w:val="24"/>
          <w:lang w:val="en-US" w:eastAsia="zh-CN"/>
        </w:rPr>
        <w:t xml:space="preserve"> in stimulated body fluid, and its concentration could reach 98.70 pbb. It had been reported that Cu was a key element that affected blood vessel growth and could stimulate blood vessel production at the molecular level</w:t>
      </w:r>
      <w:r>
        <w:rPr>
          <w:rFonts w:hint="eastAsia" w:ascii="Times New Roman" w:hAnsi="Times New Roman" w:eastAsia="Times New Roman"/>
          <w:color w:val="080000"/>
          <w:sz w:val="24"/>
          <w:szCs w:val="24"/>
          <w:vertAlign w:val="superscript"/>
        </w:rPr>
        <w:t>[23]</w:t>
      </w:r>
      <w:r>
        <w:rPr>
          <w:rFonts w:hint="eastAsia" w:ascii="Times New Roman" w:hAnsi="Times New Roman" w:eastAsia="Times New Roman"/>
          <w:kern w:val="2"/>
          <w:sz w:val="24"/>
          <w:lang w:val="en-US" w:eastAsia="zh-CN"/>
        </w:rPr>
        <w:t xml:space="preserve">. Li et al. had demonstrated that the Zr-Ti-Cu-Al BMG significantly enhanced the expression of </w:t>
      </w:r>
      <w:r>
        <w:rPr>
          <w:rFonts w:hint="eastAsia" w:ascii="Times New Roman" w:hAnsi="Times New Roman" w:eastAsia="Times New Roman"/>
          <w:i/>
          <w:iCs/>
          <w:kern w:val="2"/>
          <w:sz w:val="24"/>
          <w:lang w:val="en-US" w:eastAsia="zh-CN"/>
        </w:rPr>
        <w:t>VEGF</w:t>
      </w:r>
      <w:r>
        <w:rPr>
          <w:rFonts w:hint="eastAsia" w:ascii="Times New Roman" w:hAnsi="Times New Roman" w:eastAsia="Times New Roman"/>
          <w:kern w:val="2"/>
          <w:sz w:val="24"/>
          <w:lang w:val="en-US" w:eastAsia="zh-CN"/>
        </w:rPr>
        <w:t>, thus contributing to the regulation of vasculogenesis</w:t>
      </w:r>
      <w:r>
        <w:rPr>
          <w:rFonts w:hint="eastAsia" w:ascii="Times New Roman" w:hAnsi="Times New Roman" w:eastAsia="Times New Roman"/>
          <w:color w:val="080000"/>
          <w:sz w:val="24"/>
          <w:szCs w:val="24"/>
          <w:vertAlign w:val="superscript"/>
        </w:rPr>
        <w:t>[24]</w:t>
      </w:r>
      <w:r>
        <w:rPr>
          <w:rFonts w:hint="eastAsia" w:ascii="Times New Roman" w:hAnsi="Times New Roman" w:eastAsia="Times New Roman"/>
          <w:kern w:val="2"/>
          <w:sz w:val="24"/>
          <w:lang w:val="en-US" w:eastAsia="zh-CN"/>
        </w:rPr>
        <w:t xml:space="preserve">. Another study had found that HUVECs cultured on Zr-Ti-Cu-Al BMG showed higher proliferation, evidenced by significantly higher optical density values starting from day 7, and enhanced differentiation with higher gene expression levels of </w:t>
      </w:r>
      <w:r>
        <w:rPr>
          <w:rFonts w:hint="eastAsia" w:ascii="Times New Roman" w:hAnsi="Times New Roman" w:eastAsia="Times New Roman"/>
          <w:i/>
          <w:iCs/>
          <w:kern w:val="2"/>
          <w:sz w:val="24"/>
          <w:lang w:val="en-US" w:eastAsia="zh-CN"/>
        </w:rPr>
        <w:t>VEGF</w:t>
      </w:r>
      <w:r>
        <w:rPr>
          <w:rFonts w:hint="eastAsia" w:ascii="Times New Roman" w:hAnsi="Times New Roman" w:eastAsia="Times New Roman"/>
          <w:kern w:val="2"/>
          <w:sz w:val="24"/>
          <w:lang w:val="en-US" w:eastAsia="zh-CN"/>
        </w:rPr>
        <w:t xml:space="preserve"> compared to those cultured on Ti at day 7. These findings aligned with our </w:t>
      </w:r>
      <w:r>
        <w:rPr>
          <w:rFonts w:hint="eastAsia" w:ascii="Times New Roman" w:hAnsi="Times New Roman" w:eastAsia="Times New Roman"/>
          <w:i/>
          <w:iCs/>
          <w:kern w:val="2"/>
          <w:sz w:val="24"/>
          <w:lang w:val="en-US" w:eastAsia="zh-CN"/>
        </w:rPr>
        <w:t>in vitro</w:t>
      </w:r>
      <w:r>
        <w:rPr>
          <w:rFonts w:hint="eastAsia" w:ascii="Times New Roman" w:hAnsi="Times New Roman" w:eastAsia="Times New Roman"/>
          <w:kern w:val="2"/>
          <w:sz w:val="24"/>
          <w:lang w:val="en-US" w:eastAsia="zh-CN"/>
        </w:rPr>
        <w:t xml:space="preserve"> experiments using HUVECs</w:t>
      </w:r>
      <w:r>
        <w:rPr>
          <w:rFonts w:hint="eastAsia" w:ascii="Times New Roman" w:hAnsi="Times New Roman" w:eastAsia="Times New Roman"/>
          <w:color w:val="080000"/>
          <w:sz w:val="24"/>
          <w:szCs w:val="24"/>
          <w:vertAlign w:val="superscript"/>
        </w:rPr>
        <w:t>[41]</w:t>
      </w:r>
      <w:r>
        <w:rPr>
          <w:rFonts w:hint="eastAsia" w:ascii="Times New Roman" w:hAnsi="Times New Roman" w:eastAsia="Times New Roman"/>
          <w:kern w:val="2"/>
          <w:sz w:val="24"/>
          <w:lang w:val="en-US" w:eastAsia="zh-CN"/>
        </w:rPr>
        <w:t>. Therefore, we reasonably speculated that the Cu</w:t>
      </w:r>
      <w:r>
        <w:rPr>
          <w:rFonts w:hint="eastAsia" w:ascii="Times New Roman" w:hAnsi="Times New Roman" w:eastAsia="Times New Roman"/>
          <w:kern w:val="2"/>
          <w:sz w:val="24"/>
          <w:vertAlign w:val="superscript"/>
          <w:lang w:val="en-US" w:eastAsia="zh-CN"/>
        </w:rPr>
        <w:t>2+</w:t>
      </w:r>
      <w:r>
        <w:rPr>
          <w:rFonts w:hint="eastAsia" w:ascii="Times New Roman" w:hAnsi="Times New Roman" w:eastAsia="Times New Roman"/>
          <w:kern w:val="2"/>
          <w:sz w:val="24"/>
          <w:lang w:val="en-US" w:eastAsia="zh-CN"/>
        </w:rPr>
        <w:t xml:space="preserve"> had</w:t>
      </w:r>
      <w:r>
        <w:rPr>
          <w:rFonts w:ascii="Times New Roman" w:hAnsi="Times New Roman" w:eastAsia="Times New Roman"/>
          <w:kern w:val="2"/>
          <w:sz w:val="24"/>
          <w:lang w:val="en-US" w:eastAsia="zh-CN"/>
        </w:rPr>
        <w:t xml:space="preserve"> contributed to promote angiogenesis. </w:t>
      </w:r>
      <w:r>
        <w:rPr>
          <w:rFonts w:hint="eastAsia" w:ascii="Times New Roman" w:hAnsi="Times New Roman" w:eastAsia="Times New Roman"/>
          <w:kern w:val="2"/>
          <w:sz w:val="24"/>
          <w:lang w:val="en-US" w:eastAsia="zh-CN"/>
        </w:rPr>
        <w:t xml:space="preserve"> </w:t>
      </w:r>
    </w:p>
    <w:p w14:paraId="743B7081">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In our study, we not only confirmed the bactericidal efficacy of Zr-BMG against two common oral pathogens, </w:t>
      </w:r>
      <w:r>
        <w:rPr>
          <w:rFonts w:hint="eastAsia" w:ascii="Times New Roman" w:hAnsi="Times New Roman" w:eastAsia="Times New Roman"/>
          <w:i/>
          <w:iCs/>
          <w:kern w:val="2"/>
          <w:sz w:val="24"/>
          <w:lang w:val="en-US" w:eastAsia="zh-CN"/>
        </w:rPr>
        <w:t>P.gingivalis</w:t>
      </w:r>
      <w:r>
        <w:rPr>
          <w:rFonts w:hint="eastAsia" w:ascii="Times New Roman" w:hAnsi="Times New Roman" w:eastAsia="Times New Roman"/>
          <w:kern w:val="2"/>
          <w:sz w:val="24"/>
          <w:lang w:val="en-US" w:eastAsia="zh-CN"/>
        </w:rPr>
        <w:t xml:space="preserve"> and </w:t>
      </w:r>
      <w:r>
        <w:rPr>
          <w:rFonts w:hint="eastAsia" w:ascii="Times New Roman" w:hAnsi="Times New Roman" w:eastAsia="Times New Roman"/>
          <w:i/>
          <w:iCs/>
          <w:kern w:val="2"/>
          <w:sz w:val="24"/>
          <w:lang w:val="en-US" w:eastAsia="zh-CN"/>
        </w:rPr>
        <w:t>S.mutans</w:t>
      </w:r>
      <w:r>
        <w:rPr>
          <w:rFonts w:hint="eastAsia" w:ascii="Times New Roman" w:hAnsi="Times New Roman" w:eastAsia="Times New Roman"/>
          <w:kern w:val="2"/>
          <w:sz w:val="24"/>
          <w:lang w:val="en-US" w:eastAsia="zh-CN"/>
        </w:rPr>
        <w:t>, but also demonstrated its capability to effectively disrupt bacterial biofilm formation over the long term. We conducted preliminary explorations into the mechanisms underlying its antibacterial properties. Two main views on the antibacterial mechanism of Cu- and Ag-containing alloys exist: (1) Contact sterilization, where bacterial functions are disrupted upon contact with metal particles, leading to metabolic disturbances and cell death. (2) Metal ion sterilization. Metal ions dissolve upon contact, producing reactive oxygen species (ROS) that damage DNA, cell membranes, and proteins, thereby impacting antibacterial properties</w:t>
      </w:r>
      <w:r>
        <w:rPr>
          <w:rFonts w:hint="eastAsia" w:ascii="Times New Roman" w:hAnsi="Times New Roman" w:eastAsia="Times New Roman"/>
          <w:color w:val="080000"/>
          <w:sz w:val="24"/>
          <w:szCs w:val="24"/>
          <w:vertAlign w:val="superscript"/>
        </w:rPr>
        <w:t>[21, 26, 27, 42-44]</w:t>
      </w:r>
      <w:r>
        <w:rPr>
          <w:rFonts w:hint="eastAsia" w:ascii="Times New Roman" w:hAnsi="Times New Roman" w:eastAsia="Times New Roman"/>
          <w:kern w:val="2"/>
          <w:sz w:val="24"/>
          <w:lang w:val="en-US" w:eastAsia="zh-CN"/>
        </w:rPr>
        <w:t>. As shown in Figure 6E, we observed the morphology of bacteria in direct contact with the material using scanning electron microscopy. After 24 h of contact, bacteria on the surface of Zr-BMG displayed extensive cell wall ruptures and membrane disruptions, with observable twisted and completely detached membrane structures. Moreover, significant ROS signals were detected in the bacterial suspension in the Zr-BMG group. This might be related to the metal ions released by Zr-BMG. The dissolution of Ag ions led to the production of reactive oxygen species (ROS), thereby influencing antibacterial properties. Similarly, the dissolution of Cu ions resulted in the loss of cell membrane potential and cytoplasm release, leading to cell membrane rupture and Cu ion-induced ROS generation, ultimately damaging bacterial structure. Additionally, ICP-MS experiments demonstrated that the release of Cu ions and Ag ions from Zr-BMG in simulated body fluid was stable, persisting for at least 12 weeks, significantly longer than the previously reported 42 days</w:t>
      </w:r>
      <w:r>
        <w:rPr>
          <w:rFonts w:hint="eastAsia" w:ascii="Times New Roman" w:hAnsi="Times New Roman" w:eastAsia="Times New Roman"/>
          <w:color w:val="080000"/>
          <w:sz w:val="24"/>
          <w:szCs w:val="24"/>
          <w:vertAlign w:val="superscript"/>
        </w:rPr>
        <w:t>[44]</w:t>
      </w:r>
      <w:r>
        <w:rPr>
          <w:rFonts w:hint="eastAsia" w:ascii="Times New Roman" w:hAnsi="Times New Roman" w:eastAsia="Times New Roman"/>
          <w:kern w:val="2"/>
          <w:sz w:val="24"/>
          <w:lang w:val="en-US" w:eastAsia="zh-CN"/>
        </w:rPr>
        <w:t>. This indicated that Zr-BMG could exert a sustained and stable antibacterial effect.</w:t>
      </w:r>
    </w:p>
    <w:p w14:paraId="3660A5A5">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hint="eastAsia" w:ascii="Times New Roman" w:hAnsi="Times New Roman" w:eastAsia="Times New Roman"/>
          <w:kern w:val="2"/>
          <w:sz w:val="24"/>
          <w:lang w:val="en-US" w:eastAsia="zh-CN"/>
        </w:rPr>
      </w:pPr>
      <w:r>
        <w:rPr>
          <w:rFonts w:ascii="Times New Roman" w:hAnsi="Times New Roman" w:eastAsia="Times New Roman"/>
          <w:kern w:val="2"/>
          <w:sz w:val="24"/>
          <w:lang w:val="en-US" w:eastAsia="zh-CN"/>
        </w:rPr>
        <w:t>The present study introduce</w:t>
      </w:r>
      <w:r>
        <w:rPr>
          <w:rFonts w:hint="eastAsia" w:ascii="Times New Roman" w:hAnsi="Times New Roman" w:eastAsia="Times New Roman"/>
          <w:kern w:val="2"/>
          <w:sz w:val="24"/>
          <w:lang w:val="en-US" w:eastAsia="zh-CN"/>
        </w:rPr>
        <w:t>d</w:t>
      </w:r>
      <w:r>
        <w:rPr>
          <w:rFonts w:ascii="Times New Roman" w:hAnsi="Times New Roman" w:eastAsia="Times New Roman"/>
          <w:kern w:val="2"/>
          <w:sz w:val="24"/>
          <w:lang w:val="en-US" w:eastAsia="zh-CN"/>
        </w:rPr>
        <w:t xml:space="preserve"> a novel </w:t>
      </w:r>
      <w:r>
        <w:rPr>
          <w:rFonts w:hint="eastAsia" w:ascii="Times New Roman" w:hAnsi="Times New Roman" w:eastAsia="Times New Roman"/>
          <w:kern w:val="2"/>
          <w:sz w:val="24"/>
          <w:lang w:val="en-US" w:eastAsia="zh-CN"/>
        </w:rPr>
        <w:t>alloy</w:t>
      </w:r>
      <w:r>
        <w:rPr>
          <w:rFonts w:ascii="Times New Roman" w:hAnsi="Times New Roman" w:eastAsia="Times New Roman"/>
          <w:kern w:val="2"/>
          <w:sz w:val="24"/>
          <w:lang w:val="en-US" w:eastAsia="zh-CN"/>
        </w:rPr>
        <w:t xml:space="preserve">, </w:t>
      </w:r>
      <w:r>
        <w:rPr>
          <w:rFonts w:hint="eastAsia" w:ascii="Times New Roman" w:hAnsi="Times New Roman" w:eastAsia="Times New Roman"/>
          <w:kern w:val="2"/>
          <w:sz w:val="24"/>
          <w:lang w:val="en-US" w:eastAsia="zh-CN"/>
        </w:rPr>
        <w:t>Zr</w:t>
      </w:r>
      <w:r>
        <w:rPr>
          <w:rFonts w:hint="eastAsia" w:ascii="Times New Roman" w:hAnsi="Times New Roman" w:eastAsia="Times New Roman"/>
          <w:kern w:val="2"/>
          <w:sz w:val="24"/>
          <w:vertAlign w:val="subscript"/>
          <w:lang w:val="en-US" w:eastAsia="zh-CN"/>
        </w:rPr>
        <w:t>61</w:t>
      </w:r>
      <w:r>
        <w:rPr>
          <w:rFonts w:hint="eastAsia" w:ascii="Times New Roman" w:hAnsi="Times New Roman" w:eastAsia="Times New Roman"/>
          <w:kern w:val="2"/>
          <w:sz w:val="24"/>
          <w:lang w:val="en-US" w:eastAsia="zh-CN"/>
        </w:rPr>
        <w:t>Cu</w:t>
      </w:r>
      <w:r>
        <w:rPr>
          <w:rFonts w:hint="eastAsia" w:ascii="Times New Roman" w:hAnsi="Times New Roman" w:eastAsia="Times New Roman"/>
          <w:kern w:val="2"/>
          <w:sz w:val="24"/>
          <w:vertAlign w:val="subscript"/>
          <w:lang w:val="en-US" w:eastAsia="zh-CN"/>
        </w:rPr>
        <w:t>23</w:t>
      </w:r>
      <w:r>
        <w:rPr>
          <w:rFonts w:hint="eastAsia" w:ascii="Times New Roman" w:hAnsi="Times New Roman" w:eastAsia="Times New Roman"/>
          <w:kern w:val="2"/>
          <w:sz w:val="24"/>
          <w:lang w:val="en-US" w:eastAsia="zh-CN"/>
        </w:rPr>
        <w:t>Al</w:t>
      </w:r>
      <w:r>
        <w:rPr>
          <w:rFonts w:hint="eastAsia" w:ascii="Times New Roman" w:hAnsi="Times New Roman" w:eastAsia="Times New Roman"/>
          <w:kern w:val="2"/>
          <w:sz w:val="24"/>
          <w:vertAlign w:val="subscript"/>
          <w:lang w:val="en-US" w:eastAsia="zh-CN"/>
        </w:rPr>
        <w:t>12</w:t>
      </w:r>
      <w:r>
        <w:rPr>
          <w:rFonts w:hint="eastAsia" w:ascii="Times New Roman" w:hAnsi="Times New Roman" w:eastAsia="Times New Roman"/>
          <w:kern w:val="2"/>
          <w:sz w:val="24"/>
          <w:lang w:val="en-US" w:eastAsia="zh-CN"/>
        </w:rPr>
        <w:t>Ti</w:t>
      </w:r>
      <w:r>
        <w:rPr>
          <w:rFonts w:hint="eastAsia"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lang w:val="en-US" w:eastAsia="zh-CN"/>
        </w:rPr>
        <w:t>Ag</w:t>
      </w:r>
      <w:r>
        <w:rPr>
          <w:rFonts w:hint="eastAsia"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lang w:val="en-US" w:eastAsia="zh-CN"/>
        </w:rPr>
        <w:t xml:space="preserve"> (at.%), which had</w:t>
      </w:r>
      <w:r>
        <w:rPr>
          <w:rFonts w:ascii="Times New Roman" w:hAnsi="Times New Roman" w:eastAsia="Times New Roman"/>
          <w:kern w:val="2"/>
          <w:sz w:val="24"/>
          <w:lang w:val="en-US" w:eastAsia="zh-CN"/>
        </w:rPr>
        <w:t xml:space="preserve"> promising potential for clinical application as a dental implant material.</w:t>
      </w:r>
      <w:r>
        <w:rPr>
          <w:rFonts w:hint="eastAsia" w:ascii="Times New Roman" w:hAnsi="Times New Roman" w:eastAsia="Times New Roman"/>
          <w:kern w:val="2"/>
          <w:sz w:val="24"/>
          <w:lang w:val="en-US" w:eastAsia="zh-CN"/>
        </w:rPr>
        <w:t xml:space="preserve"> However, this study had several limitations. Firstly, the lack of ductility in Zr-BMG severely limited its machinability using conventional processing methods. In the future, we would explore methods for processing metallic glasses such as additive manufacturing. Secondly, there was still a lack of material science mechanism studies regarding the advantages of the developed Zr-BMG. Future studies would include control groups of Zr-based BMG with different elemental compositions to explore these mechanisms, potentially guiding the development of future materials.</w:t>
      </w:r>
      <w:r>
        <w:rPr>
          <w:rFonts w:hint="eastAsia" w:ascii="Times New Roman" w:hAnsi="Times New Roman" w:eastAsia="Times New Roman"/>
          <w:kern w:val="2"/>
          <w:sz w:val="24"/>
          <w:szCs w:val="21"/>
          <w:lang w:val="en-US" w:eastAsia="zh-CN"/>
        </w:rPr>
        <w:t xml:space="preserve"> </w:t>
      </w:r>
      <w:r>
        <w:rPr>
          <w:rFonts w:hint="eastAsia" w:ascii="Times New Roman" w:hAnsi="Times New Roman" w:eastAsia="Times New Roman"/>
          <w:kern w:val="2"/>
          <w:sz w:val="24"/>
          <w:lang w:val="en-US" w:eastAsia="zh-CN"/>
        </w:rPr>
        <w:t>Thirdly, we were unable to confirm the intracellular signaling of this study result. To verify the biological mechanism, experiments such as next-generation sequencing or proteomics analysis were required.</w:t>
      </w:r>
    </w:p>
    <w:p w14:paraId="3DEEAFA9">
      <w:pPr>
        <w:keepNext w:val="0"/>
        <w:keepLines w:val="0"/>
        <w:pageBreakBefore w:val="0"/>
        <w:widowControl w:val="0"/>
        <w:numPr>
          <w:ilvl w:val="0"/>
          <w:numId w:val="1"/>
        </w:numPr>
        <w:kinsoku/>
        <w:wordWrap/>
        <w:overflowPunct/>
        <w:topLinePunct w:val="0"/>
        <w:autoSpaceDE/>
        <w:autoSpaceDN/>
        <w:bidi w:val="0"/>
        <w:adjustRightInd/>
        <w:snapToGrid/>
        <w:spacing w:line="480" w:lineRule="auto"/>
        <w:ind w:left="0" w:leftChars="0" w:firstLine="0" w:firstLineChars="0"/>
        <w:jc w:val="both"/>
        <w:textAlignment w:val="auto"/>
        <w:rPr>
          <w:rFonts w:hint="default" w:ascii="Times New Roman" w:hAnsi="Times New Roman" w:eastAsia="Times New Roman"/>
          <w:b/>
          <w:bCs w:val="0"/>
          <w:kern w:val="2"/>
          <w:sz w:val="24"/>
          <w:lang w:val="en-US" w:eastAsia="zh-CN"/>
        </w:rPr>
      </w:pPr>
      <w:r>
        <w:rPr>
          <w:rFonts w:hint="eastAsia" w:ascii="Times New Roman" w:hAnsi="Times New Roman" w:eastAsia="Times New Roman" w:cs="Times New Roman"/>
          <w:b/>
          <w:bCs w:val="0"/>
          <w:sz w:val="24"/>
          <w:szCs w:val="24"/>
          <w:lang w:val="en-US" w:eastAsia="zh-CN" w:bidi="ar-SA"/>
        </w:rPr>
        <w:t>Conclusions</w:t>
      </w:r>
    </w:p>
    <w:p w14:paraId="40C399EC">
      <w:pPr>
        <w:keepNext w:val="0"/>
        <w:keepLines w:val="0"/>
        <w:pageBreakBefore w:val="0"/>
        <w:widowControl w:val="0"/>
        <w:kinsoku/>
        <w:wordWrap/>
        <w:overflowPunct/>
        <w:topLinePunct w:val="0"/>
        <w:autoSpaceDE/>
        <w:autoSpaceDN/>
        <w:bidi w:val="0"/>
        <w:adjustRightInd/>
        <w:snapToGrid/>
        <w:spacing w:line="480" w:lineRule="auto"/>
        <w:ind w:firstLine="480" w:firstLineChars="200"/>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This study presented a novel amorphous alloy, Zr</w:t>
      </w:r>
      <w:r>
        <w:rPr>
          <w:rFonts w:hint="eastAsia" w:ascii="Times New Roman" w:hAnsi="Times New Roman" w:eastAsia="Times New Roman"/>
          <w:kern w:val="2"/>
          <w:sz w:val="24"/>
          <w:vertAlign w:val="subscript"/>
          <w:lang w:val="en-US" w:eastAsia="zh-CN"/>
        </w:rPr>
        <w:t>61</w:t>
      </w:r>
      <w:r>
        <w:rPr>
          <w:rFonts w:hint="eastAsia" w:ascii="Times New Roman" w:hAnsi="Times New Roman" w:eastAsia="Times New Roman"/>
          <w:kern w:val="2"/>
          <w:sz w:val="24"/>
          <w:lang w:val="en-US" w:eastAsia="zh-CN"/>
        </w:rPr>
        <w:t>Cu</w:t>
      </w:r>
      <w:r>
        <w:rPr>
          <w:rFonts w:hint="eastAsia" w:ascii="Times New Roman" w:hAnsi="Times New Roman" w:eastAsia="Times New Roman"/>
          <w:kern w:val="2"/>
          <w:sz w:val="24"/>
          <w:vertAlign w:val="subscript"/>
          <w:lang w:val="en-US" w:eastAsia="zh-CN"/>
        </w:rPr>
        <w:t>23</w:t>
      </w:r>
      <w:r>
        <w:rPr>
          <w:rFonts w:hint="eastAsia" w:ascii="Times New Roman" w:hAnsi="Times New Roman" w:eastAsia="Times New Roman"/>
          <w:kern w:val="2"/>
          <w:sz w:val="24"/>
          <w:lang w:val="en-US" w:eastAsia="zh-CN"/>
        </w:rPr>
        <w:t>Al</w:t>
      </w:r>
      <w:r>
        <w:rPr>
          <w:rFonts w:hint="eastAsia" w:ascii="Times New Roman" w:hAnsi="Times New Roman" w:eastAsia="Times New Roman"/>
          <w:kern w:val="2"/>
          <w:sz w:val="24"/>
          <w:vertAlign w:val="subscript"/>
          <w:lang w:val="en-US" w:eastAsia="zh-CN"/>
        </w:rPr>
        <w:t>12</w:t>
      </w:r>
      <w:r>
        <w:rPr>
          <w:rFonts w:hint="eastAsia" w:ascii="Times New Roman" w:hAnsi="Times New Roman" w:eastAsia="Times New Roman"/>
          <w:kern w:val="2"/>
          <w:sz w:val="24"/>
          <w:lang w:val="en-US" w:eastAsia="zh-CN"/>
        </w:rPr>
        <w:t>Ti</w:t>
      </w:r>
      <w:r>
        <w:rPr>
          <w:rFonts w:hint="eastAsia"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lang w:val="en-US" w:eastAsia="zh-CN"/>
        </w:rPr>
        <w:t>Ag</w:t>
      </w:r>
      <w:r>
        <w:rPr>
          <w:rFonts w:hint="eastAsia" w:ascii="Times New Roman" w:hAnsi="Times New Roman" w:eastAsia="Times New Roman"/>
          <w:kern w:val="2"/>
          <w:sz w:val="24"/>
          <w:vertAlign w:val="subscript"/>
          <w:lang w:val="en-US" w:eastAsia="zh-CN"/>
        </w:rPr>
        <w:t>2</w:t>
      </w:r>
      <w:r>
        <w:rPr>
          <w:rFonts w:hint="eastAsia" w:ascii="Times New Roman" w:hAnsi="Times New Roman" w:eastAsia="Times New Roman"/>
          <w:kern w:val="2"/>
          <w:sz w:val="24"/>
          <w:lang w:val="en-US" w:eastAsia="zh-CN"/>
        </w:rPr>
        <w:t xml:space="preserve"> (at.%) (Zr-BMG), which offered superior mechanical properties, strong antibacterial effects, and improved osseointegration capabilities for dental implants, making it a favorable alternative to conventional Ti alloy.</w:t>
      </w:r>
    </w:p>
    <w:p w14:paraId="757921F8">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kern w:val="2"/>
          <w:sz w:val="24"/>
          <w:lang w:val="en-US" w:eastAsia="zh-CN"/>
        </w:rPr>
      </w:pPr>
    </w:p>
    <w:p w14:paraId="4C595EDB">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cs="Times New Roman"/>
          <w:b/>
          <w:bCs/>
          <w:color w:val="000000"/>
          <w:kern w:val="2"/>
          <w:sz w:val="24"/>
          <w:szCs w:val="24"/>
          <w:lang w:val="en-US" w:eastAsia="zh-CN"/>
        </w:rPr>
      </w:pPr>
      <w:r>
        <w:rPr>
          <w:rFonts w:hint="eastAsia" w:ascii="Times New Roman" w:hAnsi="Times New Roman" w:eastAsia="Times New Roman" w:cs="Times New Roman"/>
          <w:b/>
          <w:bCs/>
          <w:color w:val="000000"/>
          <w:kern w:val="2"/>
          <w:sz w:val="24"/>
          <w:szCs w:val="24"/>
          <w:lang w:val="en-US" w:eastAsia="zh-CN"/>
        </w:rPr>
        <w:t>A</w:t>
      </w:r>
      <w:r>
        <w:rPr>
          <w:rFonts w:ascii="Times New Roman" w:hAnsi="Times New Roman" w:eastAsia="Times New Roman" w:cs="Times New Roman"/>
          <w:b/>
          <w:bCs/>
          <w:color w:val="000000"/>
          <w:kern w:val="2"/>
          <w:sz w:val="24"/>
          <w:szCs w:val="24"/>
          <w:lang w:val="en-US" w:eastAsia="zh-CN"/>
        </w:rPr>
        <w:t>cknowledgements</w:t>
      </w:r>
    </w:p>
    <w:p w14:paraId="53EA2037">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default" w:ascii="Times New Roman" w:hAnsi="Times New Roman" w:eastAsia="宋体"/>
          <w:sz w:val="24"/>
          <w:lang w:val="en-US" w:eastAsia="zh-CN"/>
        </w:rPr>
      </w:pPr>
      <w:r>
        <w:rPr>
          <w:rFonts w:hint="eastAsia" w:ascii="Times New Roman" w:hAnsi="Times New Roman" w:eastAsia="Times New Roman"/>
          <w:kern w:val="2"/>
          <w:sz w:val="24"/>
          <w:lang w:val="en-US" w:eastAsia="zh-CN"/>
        </w:rPr>
        <w:t xml:space="preserve">This project was supported by the </w:t>
      </w:r>
      <w:r>
        <w:rPr>
          <w:rFonts w:hint="eastAsia" w:ascii="Times New Roman" w:hAnsi="Times New Roman" w:eastAsia="Times New Roman"/>
          <w:sz w:val="24"/>
        </w:rPr>
        <w:t>Youth Fund of the National Natural Science Foundation of China (82201125)</w:t>
      </w:r>
      <w:r>
        <w:rPr>
          <w:rFonts w:hint="eastAsia" w:eastAsia="宋体"/>
          <w:sz w:val="24"/>
          <w:lang w:val="en-US" w:eastAsia="zh-CN"/>
        </w:rPr>
        <w:t>, National Natural Science Foundation of China (62488201, 52192602) and National Key Research and Development Program of China (Grant No. 2018YFA0703603).</w:t>
      </w:r>
    </w:p>
    <w:p w14:paraId="5C207572">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sz w:val="24"/>
          <w:szCs w:val="24"/>
        </w:rPr>
      </w:pPr>
    </w:p>
    <w:p w14:paraId="0196E03E">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b/>
          <w:bCs/>
          <w:kern w:val="2"/>
          <w:sz w:val="24"/>
          <w:szCs w:val="24"/>
          <w:lang w:val="en-US" w:eastAsia="zh-CN"/>
        </w:rPr>
      </w:pPr>
      <w:r>
        <w:rPr>
          <w:rFonts w:ascii="Times New Roman" w:hAnsi="Times New Roman" w:eastAsia="Times New Roman"/>
          <w:b/>
          <w:bCs/>
          <w:kern w:val="2"/>
          <w:sz w:val="24"/>
          <w:szCs w:val="24"/>
          <w:lang w:val="en-US" w:eastAsia="zh-CN"/>
        </w:rPr>
        <w:t xml:space="preserve">Conflicts of interests </w:t>
      </w:r>
    </w:p>
    <w:p w14:paraId="1DD959D6">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kern w:val="2"/>
          <w:sz w:val="24"/>
          <w:lang w:val="en-US" w:eastAsia="zh-CN"/>
        </w:rPr>
      </w:pPr>
      <w:r>
        <w:rPr>
          <w:rFonts w:ascii="Times New Roman" w:hAnsi="Times New Roman" w:eastAsia="Times New Roman"/>
          <w:kern w:val="2"/>
          <w:sz w:val="24"/>
          <w:lang w:val="en-US" w:eastAsia="zh-CN"/>
        </w:rPr>
        <w:t>The authors declare that they have no competing interests.</w:t>
      </w:r>
    </w:p>
    <w:p w14:paraId="66491ACB">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kern w:val="2"/>
          <w:sz w:val="24"/>
          <w:lang w:val="en-US" w:eastAsia="zh-CN"/>
        </w:rPr>
      </w:pPr>
    </w:p>
    <w:p w14:paraId="358D331D">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default" w:ascii="Times New Roman" w:hAnsi="Times New Roman" w:eastAsia="Times New Roman"/>
          <w:b/>
          <w:bCs/>
          <w:kern w:val="2"/>
          <w:sz w:val="24"/>
          <w:lang w:val="en-US" w:eastAsia="zh-CN"/>
        </w:rPr>
      </w:pPr>
      <w:r>
        <w:rPr>
          <w:rFonts w:hint="eastAsia" w:ascii="Times New Roman" w:hAnsi="Times New Roman" w:eastAsia="Times New Roman"/>
          <w:b/>
          <w:bCs/>
          <w:kern w:val="2"/>
          <w:sz w:val="24"/>
          <w:lang w:val="en-US" w:eastAsia="zh-CN"/>
        </w:rPr>
        <w:t>Author contributions</w:t>
      </w:r>
    </w:p>
    <w:p w14:paraId="4EECC275">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 xml:space="preserve">Feifei Wang, Yunshu Wu, and Fu Zheng contributed equally to this work. The authors thank Yuhao Zeng for his kind assistance in </w:t>
      </w:r>
      <w:r>
        <w:rPr>
          <w:rFonts w:hint="eastAsia" w:ascii="Times New Roman" w:hAnsi="Times New Roman" w:eastAsia="Times New Roman"/>
          <w:i/>
          <w:iCs/>
          <w:kern w:val="2"/>
          <w:sz w:val="24"/>
          <w:lang w:val="en-US" w:eastAsia="zh-CN"/>
        </w:rPr>
        <w:t>in vivo</w:t>
      </w:r>
      <w:r>
        <w:rPr>
          <w:rFonts w:hint="eastAsia" w:ascii="Times New Roman" w:hAnsi="Times New Roman" w:eastAsia="Times New Roman"/>
          <w:kern w:val="2"/>
          <w:sz w:val="24"/>
          <w:lang w:val="en-US" w:eastAsia="zh-CN"/>
        </w:rPr>
        <w:t xml:space="preserve"> implantation surgery, Zifan Zhao for his support in materials preparation and Yao Huang for acquisition of TEM images. Xu Zhang, Baoan Sun and Yuchun Sun supervised this work, they are listed as co-corresponding authors.</w:t>
      </w:r>
    </w:p>
    <w:p w14:paraId="4084D131">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hint="eastAsia" w:ascii="Times New Roman" w:hAnsi="Times New Roman" w:eastAsia="Times New Roman"/>
          <w:kern w:val="2"/>
          <w:sz w:val="24"/>
          <w:lang w:val="en-US" w:eastAsia="zh-CN"/>
        </w:rPr>
      </w:pPr>
    </w:p>
    <w:p w14:paraId="26083E0B">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cs="Times New Roman"/>
          <w:b/>
          <w:bCs/>
          <w:kern w:val="2"/>
          <w:sz w:val="24"/>
          <w:szCs w:val="24"/>
          <w:lang w:val="en-US" w:eastAsia="zh-CN"/>
        </w:rPr>
      </w:pPr>
      <w:r>
        <w:rPr>
          <w:rFonts w:ascii="Times New Roman" w:hAnsi="Times New Roman" w:eastAsia="Times New Roman" w:cs="Times New Roman"/>
          <w:b/>
          <w:bCs/>
          <w:kern w:val="2"/>
          <w:sz w:val="24"/>
          <w:szCs w:val="24"/>
          <w:lang w:val="en-US" w:eastAsia="zh-CN"/>
        </w:rPr>
        <w:t xml:space="preserve">Data availability statement </w:t>
      </w:r>
    </w:p>
    <w:p w14:paraId="01D84869">
      <w:pPr>
        <w:keepNext w:val="0"/>
        <w:keepLines w:val="0"/>
        <w:pageBreakBefore w:val="0"/>
        <w:widowControl w:val="0"/>
        <w:kinsoku/>
        <w:wordWrap/>
        <w:overflowPunct/>
        <w:topLinePunct w:val="0"/>
        <w:autoSpaceDE/>
        <w:autoSpaceDN/>
        <w:bidi w:val="0"/>
        <w:adjustRightInd/>
        <w:snapToGrid/>
        <w:spacing w:line="480" w:lineRule="auto"/>
        <w:jc w:val="both"/>
        <w:textAlignment w:val="auto"/>
        <w:rPr>
          <w:rFonts w:ascii="Times New Roman" w:hAnsi="Times New Roman" w:eastAsia="Times New Roman"/>
          <w:kern w:val="2"/>
          <w:sz w:val="24"/>
          <w:lang w:val="en-US" w:eastAsia="zh-CN"/>
        </w:rPr>
      </w:pPr>
      <w:r>
        <w:rPr>
          <w:rFonts w:hint="eastAsia" w:ascii="Times New Roman" w:hAnsi="Times New Roman" w:eastAsia="Times New Roman"/>
          <w:kern w:val="2"/>
          <w:sz w:val="24"/>
          <w:lang w:val="en-US" w:eastAsia="zh-CN"/>
        </w:rPr>
        <w:t>The data that support the findings of this study are available from the corresponding author upon reasonable request.</w:t>
      </w:r>
    </w:p>
    <w:p w14:paraId="4007FE69">
      <w:pPr>
        <w:spacing w:beforeLines="0" w:afterLines="0"/>
        <w:jc w:val="left"/>
        <w:rPr>
          <w:rFonts w:hint="default" w:ascii="Times New Roman" w:hAnsi="Times New Roman" w:eastAsia="Times New Roman"/>
          <w:sz w:val="24"/>
          <w:szCs w:val="24"/>
        </w:rPr>
      </w:pPr>
    </w:p>
    <w:p w14:paraId="675D6B4D">
      <w:pPr>
        <w:pStyle w:val="39"/>
        <w:keepNext w:val="0"/>
        <w:keepLines w:val="0"/>
        <w:pageBreakBefore w:val="0"/>
        <w:widowControl/>
        <w:kinsoku/>
        <w:wordWrap/>
        <w:overflowPunct/>
        <w:topLinePunct w:val="0"/>
        <w:autoSpaceDE/>
        <w:autoSpaceDN/>
        <w:bidi w:val="0"/>
        <w:adjustRightInd/>
        <w:snapToGrid/>
        <w:spacing w:line="480" w:lineRule="auto"/>
        <w:jc w:val="both"/>
        <w:textAlignment w:val="auto"/>
        <w:rPr>
          <w:rFonts w:hint="default" w:ascii="Times New Roman" w:hAnsi="Times New Roman" w:eastAsia="Times New Roman"/>
          <w:sz w:val="24"/>
          <w:szCs w:val="24"/>
        </w:rPr>
      </w:pPr>
      <w:r>
        <w:rPr>
          <w:rFonts w:ascii="Times New Roman" w:hAnsi="Times New Roman" w:eastAsia="Times New Roman"/>
          <w:b/>
          <w:bCs/>
          <w:sz w:val="24"/>
        </w:rPr>
        <w:t>References</w:t>
      </w:r>
    </w:p>
    <w:p w14:paraId="3B44501C">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 xml:space="preserve"> [1]</w:t>
      </w:r>
      <w:r>
        <w:rPr>
          <w:rFonts w:hint="default" w:ascii="Times New Roman" w:hAnsi="Times New Roman" w:eastAsia="Times New Roman"/>
          <w:color w:val="000000"/>
          <w:sz w:val="24"/>
          <w:szCs w:val="24"/>
        </w:rPr>
        <w:tab/>
      </w:r>
      <w:bookmarkStart w:id="1" w:name="_nebC7644FFF_08EA_48DB_917D_94A108D1B640"/>
      <w:r>
        <w:rPr>
          <w:rFonts w:hint="default" w:ascii="Times New Roman" w:hAnsi="Times New Roman" w:eastAsia="Times New Roman"/>
          <w:color w:val="000000"/>
          <w:sz w:val="24"/>
          <w:szCs w:val="24"/>
        </w:rPr>
        <w:t>Shi J Y, Xu F Y, Zhuang L F, et al. Long-term outcomes of narrow diameter implants in posterior jaws: A retrospective study with at least 8-year follow-up[J]. Clin Oral Implants Res, 2018,29(1):76-81.</w:t>
      </w:r>
      <w:bookmarkEnd w:id="1"/>
    </w:p>
    <w:p w14:paraId="245C2AA7">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 xml:space="preserve"> [2]</w:t>
      </w:r>
      <w:r>
        <w:rPr>
          <w:rFonts w:hint="default" w:ascii="Times New Roman" w:hAnsi="Times New Roman" w:eastAsia="Times New Roman"/>
          <w:color w:val="000000"/>
          <w:sz w:val="24"/>
          <w:szCs w:val="24"/>
        </w:rPr>
        <w:tab/>
      </w:r>
      <w:bookmarkStart w:id="2" w:name="_nebB0688093_4512_4632_AA61_AFA5EC6E0BDC"/>
      <w:r>
        <w:rPr>
          <w:rFonts w:hint="default" w:ascii="Times New Roman" w:hAnsi="Times New Roman" w:eastAsia="Times New Roman"/>
          <w:color w:val="000000"/>
          <w:sz w:val="24"/>
          <w:szCs w:val="24"/>
        </w:rPr>
        <w:t>Rutkowski J L, Iyer S. Occlusion and Dental Implants</w:t>
      </w:r>
      <w:r>
        <w:rPr>
          <w:rFonts w:hint="eastAsia" w:ascii="Times New Roman" w:hAnsi="Times New Roman" w:eastAsia="Times New Roman"/>
          <w:color w:val="000000"/>
          <w:sz w:val="24"/>
          <w:szCs w:val="24"/>
        </w:rPr>
        <w:t>—</w:t>
      </w:r>
      <w:r>
        <w:rPr>
          <w:rFonts w:hint="default" w:ascii="Times New Roman" w:hAnsi="Times New Roman" w:eastAsia="Times New Roman"/>
          <w:color w:val="000000"/>
          <w:sz w:val="24"/>
          <w:szCs w:val="24"/>
        </w:rPr>
        <w:t>Where Are We?[J]. Journal of Oral Implantology, 2023,49(3):229-232.</w:t>
      </w:r>
      <w:bookmarkEnd w:id="2"/>
    </w:p>
    <w:p w14:paraId="520E931C">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 xml:space="preserve"> [3]</w:t>
      </w:r>
      <w:r>
        <w:rPr>
          <w:rFonts w:hint="default" w:ascii="Times New Roman" w:hAnsi="Times New Roman" w:eastAsia="Times New Roman"/>
          <w:color w:val="000000"/>
          <w:sz w:val="24"/>
          <w:szCs w:val="24"/>
        </w:rPr>
        <w:tab/>
      </w:r>
      <w:bookmarkStart w:id="3" w:name="_nebA43BDFCA_EF51_48C5_B1DF_3A393D5CADBE"/>
      <w:r>
        <w:rPr>
          <w:rFonts w:hint="default" w:ascii="Times New Roman" w:hAnsi="Times New Roman" w:eastAsia="Times New Roman"/>
          <w:color w:val="000000"/>
          <w:sz w:val="24"/>
          <w:szCs w:val="24"/>
        </w:rPr>
        <w:t>Wang S, Zhao X, Hsu Y, et al. Surface modification of titanium implants with Mg-containing coatings to promote  osseointegration[J]. Acta Biomater, 2023,169:19-44.</w:t>
      </w:r>
      <w:bookmarkEnd w:id="3"/>
    </w:p>
    <w:p w14:paraId="7F125FB7">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 xml:space="preserve"> [4]</w:t>
      </w:r>
      <w:r>
        <w:rPr>
          <w:rFonts w:hint="default" w:ascii="Times New Roman" w:hAnsi="Times New Roman" w:eastAsia="Times New Roman"/>
          <w:color w:val="000000"/>
          <w:sz w:val="24"/>
          <w:szCs w:val="24"/>
        </w:rPr>
        <w:tab/>
      </w:r>
      <w:bookmarkStart w:id="4" w:name="_neb16369B28_902C_4FEC_B518_EB7F2A9366F5"/>
      <w:r>
        <w:rPr>
          <w:rFonts w:hint="default" w:ascii="Times New Roman" w:hAnsi="Times New Roman" w:eastAsia="Times New Roman"/>
          <w:color w:val="000000"/>
          <w:sz w:val="24"/>
          <w:szCs w:val="24"/>
        </w:rPr>
        <w:t>Jiang P, Zhang Y, Hu R, et al. Advanced surface engineering of titanium materials for biomedical applications:  From static modification to dynamic responsive regulation[J]. Bioact Mater, 2023,27:15-57.</w:t>
      </w:r>
      <w:bookmarkEnd w:id="4"/>
    </w:p>
    <w:p w14:paraId="7B45429D">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 xml:space="preserve"> [5]</w:t>
      </w:r>
      <w:r>
        <w:rPr>
          <w:rFonts w:hint="default" w:ascii="Times New Roman" w:hAnsi="Times New Roman" w:eastAsia="Times New Roman"/>
          <w:color w:val="000000"/>
          <w:sz w:val="24"/>
          <w:szCs w:val="24"/>
        </w:rPr>
        <w:tab/>
      </w:r>
      <w:bookmarkStart w:id="5" w:name="_nebFF3B7F9E_E23B_41EB_9603_B8D06A3C6757"/>
      <w:r>
        <w:rPr>
          <w:rFonts w:hint="default" w:ascii="Times New Roman" w:hAnsi="Times New Roman" w:eastAsia="Times New Roman"/>
          <w:color w:val="000000"/>
          <w:sz w:val="24"/>
          <w:szCs w:val="24"/>
        </w:rPr>
        <w:t>Raffa M L, Nguyen V H, Hernigou P, et al. Stress shielding at the bone-implant interface: Influence of surface roughness  and of the bone-implant contact ratio[J]. J Orthop Res, 2021,39(6):1174-1183.</w:t>
      </w:r>
      <w:bookmarkEnd w:id="5"/>
    </w:p>
    <w:p w14:paraId="4A23D1AE">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 xml:space="preserve"> [6]</w:t>
      </w:r>
      <w:r>
        <w:rPr>
          <w:rFonts w:hint="default" w:ascii="Times New Roman" w:hAnsi="Times New Roman" w:eastAsia="Times New Roman"/>
          <w:color w:val="000000"/>
          <w:sz w:val="24"/>
          <w:szCs w:val="24"/>
        </w:rPr>
        <w:tab/>
      </w:r>
      <w:bookmarkStart w:id="6" w:name="_neb94B97622_16BE_48DB_BA8F_E5CCB2DE28FA"/>
      <w:r>
        <w:rPr>
          <w:rFonts w:hint="default" w:ascii="Times New Roman" w:hAnsi="Times New Roman" w:eastAsia="Times New Roman"/>
          <w:color w:val="000000"/>
          <w:sz w:val="24"/>
          <w:szCs w:val="24"/>
        </w:rPr>
        <w:t>Chrcanovic B R, Kisch J, Albrektsson T, et al. Factors influencing the fracture of dental implants[J]. Clinical Implant Dentistry and Related Research, 2018,20(1):58-67.</w:t>
      </w:r>
      <w:bookmarkEnd w:id="6"/>
    </w:p>
    <w:p w14:paraId="163B1658">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 xml:space="preserve"> [7]</w:t>
      </w:r>
      <w:r>
        <w:rPr>
          <w:rFonts w:hint="default" w:ascii="Times New Roman" w:hAnsi="Times New Roman" w:eastAsia="Times New Roman"/>
          <w:color w:val="000000"/>
          <w:sz w:val="24"/>
          <w:szCs w:val="24"/>
        </w:rPr>
        <w:tab/>
      </w:r>
      <w:bookmarkStart w:id="7" w:name="_neb68CD86C0_7728_4EB7_8BC5_BDD04EE323B7"/>
      <w:r>
        <w:rPr>
          <w:rFonts w:hint="default" w:ascii="Times New Roman" w:hAnsi="Times New Roman" w:eastAsia="Times New Roman"/>
          <w:color w:val="000000"/>
          <w:sz w:val="24"/>
          <w:szCs w:val="24"/>
        </w:rPr>
        <w:t>Lee U, Yun S, Lee H, et al. Osseointegration of 3D-printed titanium implants with surface and structure modifications[J]. Dental Materials, 2022,38(10):1648-1660.</w:t>
      </w:r>
      <w:bookmarkEnd w:id="7"/>
    </w:p>
    <w:p w14:paraId="0E56BBEE">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 xml:space="preserve"> [8]</w:t>
      </w:r>
      <w:r>
        <w:rPr>
          <w:rFonts w:hint="default" w:ascii="Times New Roman" w:hAnsi="Times New Roman" w:eastAsia="Times New Roman"/>
          <w:color w:val="000000"/>
          <w:sz w:val="24"/>
          <w:szCs w:val="24"/>
        </w:rPr>
        <w:tab/>
      </w:r>
      <w:bookmarkStart w:id="8" w:name="_neb37B11EDD_76DC_44E1_A926_6BA8EB29E534"/>
      <w:r>
        <w:rPr>
          <w:rFonts w:hint="default" w:ascii="Times New Roman" w:hAnsi="Times New Roman" w:eastAsia="Times New Roman"/>
          <w:color w:val="000000"/>
          <w:sz w:val="24"/>
          <w:szCs w:val="24"/>
        </w:rPr>
        <w:t>Chouirfa H, Bouloussa H, Migonney V, et al. Review of titanium surface modification techniques and coatings for antibacterial  applications[J]. Acta Biomater, 2019,83:37-54.</w:t>
      </w:r>
      <w:bookmarkEnd w:id="8"/>
    </w:p>
    <w:p w14:paraId="3A84A259">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 xml:space="preserve"> [9]</w:t>
      </w:r>
      <w:r>
        <w:rPr>
          <w:rFonts w:hint="default" w:ascii="Times New Roman" w:hAnsi="Times New Roman" w:eastAsia="Times New Roman"/>
          <w:color w:val="000000"/>
          <w:sz w:val="24"/>
          <w:szCs w:val="24"/>
        </w:rPr>
        <w:tab/>
      </w:r>
      <w:bookmarkStart w:id="9" w:name="_neb17CF58CD_339C_46D1_AA43_1DF233395A9D"/>
      <w:r>
        <w:rPr>
          <w:rFonts w:hint="default" w:ascii="Times New Roman" w:hAnsi="Times New Roman" w:eastAsia="Times New Roman"/>
          <w:color w:val="000000"/>
          <w:sz w:val="24"/>
          <w:szCs w:val="24"/>
        </w:rPr>
        <w:t>Inoue A. Stabilization of metallic supercooled liquid and bulk amorphous alloys[J]. Acta Materialia, 2000,48(1):279-306.</w:t>
      </w:r>
      <w:bookmarkEnd w:id="9"/>
    </w:p>
    <w:p w14:paraId="55E30C62">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[10]</w:t>
      </w:r>
      <w:r>
        <w:rPr>
          <w:rFonts w:hint="default" w:ascii="Times New Roman" w:hAnsi="Times New Roman" w:eastAsia="Times New Roman"/>
          <w:color w:val="000000"/>
          <w:sz w:val="24"/>
          <w:szCs w:val="24"/>
        </w:rPr>
        <w:tab/>
      </w:r>
      <w:bookmarkStart w:id="10" w:name="_neb188E99DE_FADB_4C43_9BC5_7B5EEB8DFE5D"/>
      <w:r>
        <w:rPr>
          <w:rFonts w:hint="default" w:ascii="Times New Roman" w:hAnsi="Times New Roman" w:eastAsia="Times New Roman"/>
          <w:color w:val="000000"/>
          <w:sz w:val="24"/>
          <w:szCs w:val="24"/>
        </w:rPr>
        <w:t>Biały M, Hasiak M, Łaszcz A. Review on Biocompatibility and Prospect Biomedical Applications of Novel  Functional Metallic Glasses[J]. J Funct Biomater, 2022,13(4).</w:t>
      </w:r>
      <w:bookmarkEnd w:id="10"/>
    </w:p>
    <w:p w14:paraId="7A2EC953">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[11]</w:t>
      </w:r>
      <w:r>
        <w:rPr>
          <w:rFonts w:hint="default" w:ascii="Times New Roman" w:hAnsi="Times New Roman" w:eastAsia="Times New Roman"/>
          <w:color w:val="000000"/>
          <w:sz w:val="24"/>
          <w:szCs w:val="24"/>
        </w:rPr>
        <w:tab/>
      </w:r>
      <w:bookmarkStart w:id="11" w:name="_nebA0BDB637_83C3_415D_AC1C_833928714641"/>
      <w:r>
        <w:rPr>
          <w:rFonts w:hint="default" w:ascii="Times New Roman" w:hAnsi="Times New Roman" w:eastAsia="Times New Roman"/>
          <w:color w:val="000000"/>
          <w:sz w:val="24"/>
          <w:szCs w:val="24"/>
        </w:rPr>
        <w:t>Ida H, Seiryu M, Takeshita N, et al. Biosafety, stability, and osteogenic activity of novel implants made of  Zr(70)Ni(16)Cu(6)Al(8) bulk metallic glass for biomedical application[J]. Acta Biomater, 2018,74:505-517.</w:t>
      </w:r>
      <w:bookmarkEnd w:id="11"/>
    </w:p>
    <w:p w14:paraId="7753C95F">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[12]</w:t>
      </w:r>
      <w:r>
        <w:rPr>
          <w:rFonts w:hint="default" w:ascii="Times New Roman" w:hAnsi="Times New Roman" w:eastAsia="Times New Roman"/>
          <w:color w:val="000000"/>
          <w:sz w:val="24"/>
          <w:szCs w:val="24"/>
        </w:rPr>
        <w:tab/>
      </w:r>
      <w:bookmarkStart w:id="12" w:name="_neb24E27986_900D_4A79_A4EC_3A4B94CC1875"/>
      <w:r>
        <w:rPr>
          <w:rFonts w:hint="default" w:ascii="Times New Roman" w:hAnsi="Times New Roman" w:eastAsia="Times New Roman"/>
          <w:color w:val="000000"/>
          <w:sz w:val="24"/>
          <w:szCs w:val="24"/>
        </w:rPr>
        <w:t>Huang L, Yokoyama Y, Wu W, et al. Ni-free Zr-Cu-Al-Nb-Pd bulk metallic glasses with different Zr/Cu ratios for biomedical applications[J]. J Biomed Mater Res B Appl Biomater, 2012,100(6):1472-1482.</w:t>
      </w:r>
      <w:bookmarkEnd w:id="12"/>
    </w:p>
    <w:p w14:paraId="602F68BA">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[13]</w:t>
      </w:r>
      <w:r>
        <w:rPr>
          <w:rFonts w:hint="default" w:ascii="Times New Roman" w:hAnsi="Times New Roman" w:eastAsia="Times New Roman"/>
          <w:color w:val="000000"/>
          <w:sz w:val="24"/>
          <w:szCs w:val="24"/>
        </w:rPr>
        <w:tab/>
      </w:r>
      <w:bookmarkStart w:id="13" w:name="_neb1B49FF08_56F6_47A4_B981_187D390BF6A4"/>
      <w:r>
        <w:rPr>
          <w:rFonts w:hint="default" w:ascii="Times New Roman" w:hAnsi="Times New Roman" w:eastAsia="Times New Roman"/>
          <w:color w:val="000000"/>
          <w:sz w:val="24"/>
          <w:szCs w:val="24"/>
        </w:rPr>
        <w:t>Deng B, Wang Z, Choi C H, et al. Kinetically Controlled Synthesis of Metallic Glass Nanoparticles with Expanded  Composition Space[J]. Adv Mater, 2024,36(15):e2309956.</w:t>
      </w:r>
      <w:bookmarkEnd w:id="13"/>
    </w:p>
    <w:p w14:paraId="27F2564A">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[14]</w:t>
      </w:r>
      <w:r>
        <w:rPr>
          <w:rFonts w:hint="default" w:ascii="Times New Roman" w:hAnsi="Times New Roman" w:eastAsia="Times New Roman"/>
          <w:color w:val="000000"/>
          <w:sz w:val="24"/>
          <w:szCs w:val="24"/>
        </w:rPr>
        <w:tab/>
      </w:r>
      <w:bookmarkStart w:id="14" w:name="_nebDFEA6D1F_1B00_4795_AB9B_4AB850CA63D9"/>
      <w:r>
        <w:rPr>
          <w:rFonts w:hint="default" w:ascii="Times New Roman" w:hAnsi="Times New Roman" w:eastAsia="Times New Roman"/>
          <w:color w:val="000000"/>
          <w:sz w:val="24"/>
          <w:szCs w:val="24"/>
        </w:rPr>
        <w:t>Sawyer V, Tao X, Dong H, et al. Improving the Tribological Properties and Biocompatibility of Zr-Based Bulk  Metallic Glass for Potential Biomedical Applications[J]. Materials (Basel), 2020,13(8).</w:t>
      </w:r>
      <w:bookmarkEnd w:id="14"/>
    </w:p>
    <w:p w14:paraId="72ACA324">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[15]</w:t>
      </w:r>
      <w:r>
        <w:rPr>
          <w:rFonts w:hint="default" w:ascii="Times New Roman" w:hAnsi="Times New Roman" w:eastAsia="Times New Roman"/>
          <w:color w:val="000000"/>
          <w:sz w:val="24"/>
          <w:szCs w:val="24"/>
        </w:rPr>
        <w:tab/>
      </w:r>
      <w:bookmarkStart w:id="15" w:name="_neb44A2AB7A_607F_4FB8_855F_D28BCD5F205C"/>
      <w:r>
        <w:rPr>
          <w:rFonts w:hint="default" w:ascii="Times New Roman" w:hAnsi="Times New Roman" w:eastAsia="Times New Roman"/>
          <w:color w:val="000000"/>
          <w:sz w:val="24"/>
          <w:szCs w:val="24"/>
        </w:rPr>
        <w:t>Hasiak M, Sobieszczańska B, Łaszcz A, et al. Production, Mechanical Properties and Biomedical Characterization of ZrTi-Based Bulk Metallic Glasses in Comparison with 316L Stainless Steel and Ti6Al4V Alloy[J]. Materials, 2022,15(1):252.</w:t>
      </w:r>
      <w:bookmarkEnd w:id="15"/>
    </w:p>
    <w:p w14:paraId="7CC3A36D">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[16]</w:t>
      </w:r>
      <w:r>
        <w:rPr>
          <w:rFonts w:hint="default" w:ascii="Times New Roman" w:hAnsi="Times New Roman" w:eastAsia="Times New Roman"/>
          <w:color w:val="000000"/>
          <w:sz w:val="24"/>
          <w:szCs w:val="24"/>
        </w:rPr>
        <w:tab/>
      </w:r>
      <w:bookmarkStart w:id="16" w:name="_neb42CD392F_71BD_4AFB_AA79_E4DD135BE1B3"/>
      <w:r>
        <w:rPr>
          <w:rFonts w:hint="default" w:ascii="Times New Roman" w:hAnsi="Times New Roman" w:eastAsia="Times New Roman"/>
          <w:color w:val="000000"/>
          <w:sz w:val="24"/>
          <w:szCs w:val="24"/>
        </w:rPr>
        <w:t>Sasaki S, Seiryu M, Ida H, et al. Mechanical properties and biocompatibility of a novel miniscrew made of Zr70Ni16Cu6Al8 bulk metallic glass for orthodontic anchorage[J]. Scientific reports, 2023,13(1):3038.</w:t>
      </w:r>
      <w:bookmarkEnd w:id="16"/>
    </w:p>
    <w:p w14:paraId="4A79318D">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[17]</w:t>
      </w:r>
      <w:r>
        <w:rPr>
          <w:rFonts w:hint="default" w:ascii="Times New Roman" w:hAnsi="Times New Roman" w:eastAsia="Times New Roman"/>
          <w:color w:val="000000"/>
          <w:sz w:val="24"/>
          <w:szCs w:val="24"/>
        </w:rPr>
        <w:tab/>
      </w:r>
      <w:bookmarkStart w:id="17" w:name="_neb029B1000_CCBA_43D2_A05D_2B4887AC1620"/>
      <w:r>
        <w:rPr>
          <w:rFonts w:hint="default" w:ascii="Times New Roman" w:hAnsi="Times New Roman" w:eastAsia="Times New Roman"/>
          <w:color w:val="000000"/>
          <w:sz w:val="24"/>
          <w:szCs w:val="24"/>
        </w:rPr>
        <w:t>Du C, Wang C, Zhang T, et al. Antibacterial Performance of Zr-BMG, Stainless Steel, and Titanium Alloy with Laser-Induced Periodic Surface Structures[J]. ACS Applied Bio Materials, 2022,5(1):272-284.</w:t>
      </w:r>
      <w:bookmarkEnd w:id="17"/>
    </w:p>
    <w:p w14:paraId="72281AE2">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[18]</w:t>
      </w:r>
      <w:r>
        <w:rPr>
          <w:rFonts w:hint="default" w:ascii="Times New Roman" w:hAnsi="Times New Roman" w:eastAsia="Times New Roman"/>
          <w:color w:val="000000"/>
          <w:sz w:val="24"/>
          <w:szCs w:val="24"/>
        </w:rPr>
        <w:tab/>
      </w:r>
      <w:bookmarkStart w:id="18" w:name="_nebED473A3E_E7C5_4BC4_A89A_B90CD435F2CF"/>
      <w:r>
        <w:rPr>
          <w:rFonts w:hint="default" w:ascii="Times New Roman" w:hAnsi="Times New Roman" w:eastAsia="Times New Roman"/>
          <w:color w:val="000000"/>
          <w:sz w:val="24"/>
          <w:szCs w:val="24"/>
        </w:rPr>
        <w:t>Mo F, Zhou Q, He Y. Nano-Ag: Environmental applications and perspectives[J]. Sci Total Environ, 2022,829:154644.</w:t>
      </w:r>
      <w:bookmarkEnd w:id="18"/>
    </w:p>
    <w:p w14:paraId="7CDCBE3E">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[19]</w:t>
      </w:r>
      <w:r>
        <w:rPr>
          <w:rFonts w:hint="default" w:ascii="Times New Roman" w:hAnsi="Times New Roman" w:eastAsia="Times New Roman"/>
          <w:color w:val="000000"/>
          <w:sz w:val="24"/>
          <w:szCs w:val="24"/>
        </w:rPr>
        <w:tab/>
      </w:r>
      <w:bookmarkStart w:id="19" w:name="_nebE81B11CD_49AA_4DF6_8018_CB05F3E8D782"/>
      <w:r>
        <w:rPr>
          <w:rFonts w:hint="default" w:ascii="Times New Roman" w:hAnsi="Times New Roman" w:eastAsia="Times New Roman"/>
          <w:color w:val="000000"/>
          <w:sz w:val="24"/>
          <w:szCs w:val="24"/>
        </w:rPr>
        <w:t>Sotorra-Figuerola D, Lafuente-Ibanez D M I, Parra-Perez C, et al. Histopathological analysis of biopsies of "peri-implant inflammatory lesions."  Everything is not what it seems[J]. Clin Implant Dent Relat Res, 2020,22(3):366-372.</w:t>
      </w:r>
      <w:bookmarkEnd w:id="19"/>
    </w:p>
    <w:p w14:paraId="22CF4621">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[20]</w:t>
      </w:r>
      <w:r>
        <w:rPr>
          <w:rFonts w:hint="default" w:ascii="Times New Roman" w:hAnsi="Times New Roman" w:eastAsia="Times New Roman"/>
          <w:color w:val="000000"/>
          <w:sz w:val="24"/>
          <w:szCs w:val="24"/>
        </w:rPr>
        <w:tab/>
      </w:r>
      <w:bookmarkStart w:id="20" w:name="_neb90F81E90_665F_4302_8C85_177B181588FA"/>
      <w:r>
        <w:rPr>
          <w:rFonts w:hint="default" w:ascii="Times New Roman" w:hAnsi="Times New Roman" w:eastAsia="Times New Roman"/>
          <w:color w:val="000000"/>
          <w:sz w:val="24"/>
          <w:szCs w:val="24"/>
        </w:rPr>
        <w:t>Shirai T, Tsuchiya H, Shimizu T, et al. Prevention of pin tract infection with titanium-copper alloys[J]. Journal of biomedical materials research. Part B, Applied biomaterials, 2009,91B(1):373-380.</w:t>
      </w:r>
      <w:bookmarkEnd w:id="20"/>
    </w:p>
    <w:p w14:paraId="4FE98FBB">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[21]</w:t>
      </w:r>
      <w:r>
        <w:rPr>
          <w:rFonts w:hint="default" w:ascii="Times New Roman" w:hAnsi="Times New Roman" w:eastAsia="Times New Roman"/>
          <w:color w:val="000000"/>
          <w:sz w:val="24"/>
          <w:szCs w:val="24"/>
        </w:rPr>
        <w:tab/>
      </w:r>
      <w:bookmarkStart w:id="21" w:name="_nebFE55C97B_C734_42AD_AC27_96781E8E27BB"/>
      <w:r>
        <w:rPr>
          <w:rFonts w:hint="default" w:ascii="Times New Roman" w:hAnsi="Times New Roman" w:eastAsia="Times New Roman"/>
          <w:color w:val="000000"/>
          <w:sz w:val="24"/>
          <w:szCs w:val="24"/>
        </w:rPr>
        <w:t>Shi A, Zhu C, Fu S, et al. What controls the antibacterial activity of Ti-Ag alloy, Ag ion or Ti(2)Ag  particles?[J]. Mater Sci Eng C Mater Biol Appl, 2020,109:110548.</w:t>
      </w:r>
      <w:bookmarkEnd w:id="21"/>
    </w:p>
    <w:p w14:paraId="40E8BD38">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[22]</w:t>
      </w:r>
      <w:r>
        <w:rPr>
          <w:rFonts w:hint="default" w:ascii="Times New Roman" w:hAnsi="Times New Roman" w:eastAsia="Times New Roman"/>
          <w:color w:val="000000"/>
          <w:sz w:val="24"/>
          <w:szCs w:val="24"/>
        </w:rPr>
        <w:tab/>
      </w:r>
      <w:bookmarkStart w:id="22" w:name="_nebB0F48CF5_AB4D_4B85_A9D6_DAF8DCE3197D"/>
      <w:r>
        <w:rPr>
          <w:rFonts w:hint="default" w:ascii="Times New Roman" w:hAnsi="Times New Roman" w:eastAsia="Times New Roman"/>
          <w:color w:val="000000"/>
          <w:sz w:val="24"/>
          <w:szCs w:val="24"/>
        </w:rPr>
        <w:t>Yang Y J, Cheng B Y, Lv J W, et al. Effect of Ag substitution for Ti on glass-forming ability, thermal stability and mechanical properties of Zr-based bulk metallic glasses[J]. Materials science &amp; engineering. A, Structural materials : properties, microstructure and processing, 2019,746:229-238.</w:t>
      </w:r>
      <w:bookmarkEnd w:id="22"/>
    </w:p>
    <w:p w14:paraId="73FAAACA">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[23]</w:t>
      </w:r>
      <w:r>
        <w:rPr>
          <w:rFonts w:hint="default" w:ascii="Times New Roman" w:hAnsi="Times New Roman" w:eastAsia="Times New Roman"/>
          <w:color w:val="000000"/>
          <w:sz w:val="24"/>
          <w:szCs w:val="24"/>
        </w:rPr>
        <w:tab/>
      </w:r>
      <w:bookmarkStart w:id="23" w:name="_nebE86B3639_2754_42E2_952F_0B8D5988FF2B"/>
      <w:r>
        <w:rPr>
          <w:rFonts w:hint="default" w:ascii="Times New Roman" w:hAnsi="Times New Roman" w:eastAsia="Times New Roman"/>
          <w:color w:val="000000"/>
          <w:sz w:val="24"/>
          <w:szCs w:val="24"/>
        </w:rPr>
        <w:t>Sun K, Fu R, Liu X W, et al. Osteogenesis and angiogenesis of a bulk metallic glass for biomedical implants[J]. Bioactive Materials, 2022,8:253-266.</w:t>
      </w:r>
      <w:bookmarkEnd w:id="23"/>
    </w:p>
    <w:p w14:paraId="19F52392">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[24]</w:t>
      </w:r>
      <w:r>
        <w:rPr>
          <w:rFonts w:hint="default" w:ascii="Times New Roman" w:hAnsi="Times New Roman" w:eastAsia="Times New Roman"/>
          <w:color w:val="000000"/>
          <w:sz w:val="24"/>
          <w:szCs w:val="24"/>
        </w:rPr>
        <w:tab/>
      </w:r>
      <w:bookmarkStart w:id="24" w:name="_neb48F87926_2CE8_4E31_BCD4_3BD35160A0F2"/>
      <w:r>
        <w:rPr>
          <w:rFonts w:hint="default" w:ascii="Times New Roman" w:hAnsi="Times New Roman" w:eastAsia="Times New Roman"/>
          <w:color w:val="000000"/>
          <w:sz w:val="24"/>
          <w:szCs w:val="24"/>
        </w:rPr>
        <w:t>Li J, Shi L, Zhu Z, et al. Zr61Ti2Cu25Al12 metallic glass for potential use in dental implants: Biocompatibility assessment by in vitro cellular responses[J]. Materials Science and Engineering: C, 2013,33(4):2113-2121.</w:t>
      </w:r>
      <w:bookmarkEnd w:id="24"/>
    </w:p>
    <w:p w14:paraId="501C05B9">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[25]</w:t>
      </w:r>
      <w:r>
        <w:rPr>
          <w:rFonts w:hint="default" w:ascii="Times New Roman" w:hAnsi="Times New Roman" w:eastAsia="Times New Roman"/>
          <w:color w:val="000000"/>
          <w:sz w:val="24"/>
          <w:szCs w:val="24"/>
        </w:rPr>
        <w:tab/>
      </w:r>
      <w:bookmarkStart w:id="25" w:name="_neb0159B852_AA50_4A5D_965A_B074DD6DA8FE"/>
      <w:r>
        <w:rPr>
          <w:rFonts w:hint="default" w:ascii="Times New Roman" w:hAnsi="Times New Roman" w:eastAsia="Times New Roman"/>
          <w:color w:val="000000"/>
          <w:sz w:val="24"/>
          <w:szCs w:val="24"/>
        </w:rPr>
        <w:t>He Q, Shang J K, Ma E, et al. Crack-resistance curve of a Zr</w:t>
      </w:r>
      <w:r>
        <w:rPr>
          <w:rFonts w:hint="eastAsia" w:ascii="Times New Roman" w:hAnsi="Times New Roman" w:eastAsia="Times New Roman"/>
          <w:color w:val="000000"/>
          <w:sz w:val="24"/>
          <w:szCs w:val="24"/>
        </w:rPr>
        <w:t>–</w:t>
      </w:r>
      <w:r>
        <w:rPr>
          <w:rFonts w:hint="default" w:ascii="Times New Roman" w:hAnsi="Times New Roman" w:eastAsia="Times New Roman"/>
          <w:color w:val="000000"/>
          <w:sz w:val="24"/>
          <w:szCs w:val="24"/>
        </w:rPr>
        <w:t>Ti</w:t>
      </w:r>
      <w:r>
        <w:rPr>
          <w:rFonts w:hint="eastAsia" w:ascii="Times New Roman" w:hAnsi="Times New Roman" w:eastAsia="Times New Roman"/>
          <w:color w:val="000000"/>
          <w:sz w:val="24"/>
          <w:szCs w:val="24"/>
        </w:rPr>
        <w:t>–</w:t>
      </w:r>
      <w:r>
        <w:rPr>
          <w:rFonts w:hint="default" w:ascii="Times New Roman" w:hAnsi="Times New Roman" w:eastAsia="Times New Roman"/>
          <w:color w:val="000000"/>
          <w:sz w:val="24"/>
          <w:szCs w:val="24"/>
        </w:rPr>
        <w:t>Cu</w:t>
      </w:r>
      <w:r>
        <w:rPr>
          <w:rFonts w:hint="eastAsia" w:ascii="Times New Roman" w:hAnsi="Times New Roman" w:eastAsia="Times New Roman"/>
          <w:color w:val="000000"/>
          <w:sz w:val="24"/>
          <w:szCs w:val="24"/>
        </w:rPr>
        <w:t>–</w:t>
      </w:r>
      <w:r>
        <w:rPr>
          <w:rFonts w:hint="default" w:ascii="Times New Roman" w:hAnsi="Times New Roman" w:eastAsia="Times New Roman"/>
          <w:color w:val="000000"/>
          <w:sz w:val="24"/>
          <w:szCs w:val="24"/>
        </w:rPr>
        <w:t>Al bulk metallic glass with extraordinary fracture toughness[J]. Acta Materialia, 2012,60(12):4940-4949.</w:t>
      </w:r>
      <w:bookmarkEnd w:id="25"/>
    </w:p>
    <w:p w14:paraId="10BB169A">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[26]</w:t>
      </w:r>
      <w:r>
        <w:rPr>
          <w:rFonts w:hint="default" w:ascii="Times New Roman" w:hAnsi="Times New Roman" w:eastAsia="Times New Roman"/>
          <w:color w:val="000000"/>
          <w:sz w:val="24"/>
          <w:szCs w:val="24"/>
        </w:rPr>
        <w:tab/>
      </w:r>
      <w:bookmarkStart w:id="26" w:name="_neb4F4438F0_787C_4776_8FCD_EBDCBB72B87A"/>
      <w:r>
        <w:rPr>
          <w:rFonts w:hint="default" w:ascii="Times New Roman" w:hAnsi="Times New Roman" w:eastAsia="Times New Roman"/>
          <w:color w:val="000000"/>
          <w:sz w:val="24"/>
          <w:szCs w:val="24"/>
        </w:rPr>
        <w:t>Huang Q, Ouyang Z, Tan Y, et al. Activating macrophages for enhanced osteogenic and bactericidal performance by Cu  ion release from micro/nano-topographical coating on a titanium substrate[J]. Acta Biomater, 2019,100:415-426.</w:t>
      </w:r>
      <w:bookmarkEnd w:id="26"/>
    </w:p>
    <w:p w14:paraId="010A1238">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[27]</w:t>
      </w:r>
      <w:r>
        <w:rPr>
          <w:rFonts w:hint="default" w:ascii="Times New Roman" w:hAnsi="Times New Roman" w:eastAsia="Times New Roman"/>
          <w:color w:val="000000"/>
          <w:sz w:val="24"/>
          <w:szCs w:val="24"/>
        </w:rPr>
        <w:tab/>
      </w:r>
      <w:bookmarkStart w:id="27" w:name="_neb9FEC6D73_188E_4CB4_B2F0_04D67486E7D2"/>
      <w:r>
        <w:rPr>
          <w:rFonts w:hint="default" w:ascii="Times New Roman" w:hAnsi="Times New Roman" w:eastAsia="Times New Roman"/>
          <w:color w:val="000000"/>
          <w:sz w:val="24"/>
          <w:szCs w:val="24"/>
        </w:rPr>
        <w:t>Shimabukuro M. Antibacterial Property and Biocompatibility of Silver, Copper, and Zinc in  Titanium Dioxide Layers Incorporated by One-Step Micro-Arc Oxidation: A Review[J]. Antibiotics (Basel), 2020,9(10).</w:t>
      </w:r>
      <w:bookmarkEnd w:id="27"/>
    </w:p>
    <w:p w14:paraId="50B5835F">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[28]</w:t>
      </w:r>
      <w:r>
        <w:rPr>
          <w:rFonts w:hint="default" w:ascii="Times New Roman" w:hAnsi="Times New Roman" w:eastAsia="Times New Roman"/>
          <w:color w:val="000000"/>
          <w:sz w:val="24"/>
          <w:szCs w:val="24"/>
        </w:rPr>
        <w:tab/>
      </w:r>
      <w:bookmarkStart w:id="28" w:name="_neb9022A47E_1146_4CEF_88D8_86F021BF315E"/>
      <w:r>
        <w:rPr>
          <w:rFonts w:hint="default" w:ascii="Times New Roman" w:hAnsi="Times New Roman" w:eastAsia="Times New Roman"/>
          <w:color w:val="000000"/>
          <w:sz w:val="24"/>
          <w:szCs w:val="24"/>
        </w:rPr>
        <w:t>Amengual-Peñafiel L, Córdova L A, Constanza J M, et al. Osteoimmunology drives dental implant osseointegration: A new paradigm for  implant dentistry[J]. Jpn Dent Sci Rev, 2021,57:12-19.</w:t>
      </w:r>
      <w:bookmarkEnd w:id="28"/>
    </w:p>
    <w:p w14:paraId="4F536E4C">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[29]</w:t>
      </w:r>
      <w:r>
        <w:rPr>
          <w:rFonts w:hint="default" w:ascii="Times New Roman" w:hAnsi="Times New Roman" w:eastAsia="Times New Roman"/>
          <w:color w:val="000000"/>
          <w:sz w:val="24"/>
          <w:szCs w:val="24"/>
        </w:rPr>
        <w:tab/>
      </w:r>
      <w:bookmarkStart w:id="29" w:name="_neb0B7ED11E_501A_4223_A608_C4E5EEAD7C55"/>
      <w:r>
        <w:rPr>
          <w:rFonts w:hint="default" w:ascii="Times New Roman" w:hAnsi="Times New Roman" w:eastAsia="Times New Roman"/>
          <w:color w:val="000000"/>
          <w:sz w:val="24"/>
          <w:szCs w:val="24"/>
        </w:rPr>
        <w:t>Brighton C T, Fisher J J, Levine S E, et al. The biochemical pathway mediating the proliferative response of bone cells to a  mechanical stimulus[J]. J Bone Joint Surg Am, 1996,78(9):1337-1347.</w:t>
      </w:r>
      <w:bookmarkEnd w:id="29"/>
    </w:p>
    <w:p w14:paraId="15B1B698">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[30]</w:t>
      </w:r>
      <w:r>
        <w:rPr>
          <w:rFonts w:hint="default" w:ascii="Times New Roman" w:hAnsi="Times New Roman" w:eastAsia="Times New Roman"/>
          <w:color w:val="000000"/>
          <w:sz w:val="24"/>
          <w:szCs w:val="24"/>
        </w:rPr>
        <w:tab/>
      </w:r>
      <w:bookmarkStart w:id="30" w:name="_nebFFB88A4A_B7B5_4BF5_A89E_9978E271E238"/>
      <w:r>
        <w:rPr>
          <w:rFonts w:hint="default" w:ascii="Times New Roman" w:hAnsi="Times New Roman" w:eastAsia="Times New Roman"/>
          <w:color w:val="000000"/>
          <w:sz w:val="24"/>
          <w:szCs w:val="24"/>
        </w:rPr>
        <w:t>Scarano A, Orsini T, Di Carlo F, et al. Graphene-Doped Poly (Methyl-Methacrylate) (Pmma) Implants: A Micro-CT and  Histomorphometrical Study in Rabbits[J]. Int J Mol Sci, 2021,22(3).</w:t>
      </w:r>
      <w:bookmarkEnd w:id="30"/>
    </w:p>
    <w:p w14:paraId="26B06F72">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[31]</w:t>
      </w:r>
      <w:r>
        <w:rPr>
          <w:rFonts w:hint="default" w:ascii="Times New Roman" w:hAnsi="Times New Roman" w:eastAsia="Times New Roman"/>
          <w:color w:val="000000"/>
          <w:sz w:val="24"/>
          <w:szCs w:val="24"/>
        </w:rPr>
        <w:tab/>
      </w:r>
      <w:bookmarkStart w:id="31" w:name="_neb71C497EB_26DB_4ECA_8CF3_95FE685ADF22"/>
      <w:r>
        <w:rPr>
          <w:rFonts w:hint="default" w:ascii="Times New Roman" w:hAnsi="Times New Roman" w:eastAsia="Times New Roman"/>
          <w:color w:val="000000"/>
          <w:sz w:val="24"/>
          <w:szCs w:val="24"/>
        </w:rPr>
        <w:t>Inoue A T A A. Classification of Bulk Metallic Glasses by Atomic Size Difference,Heat of Mixing and Period of Constituent Elements and Its Application to Characterization of the Main Alloying Element[J]. Materials Transactions, 2005,46(12):2817-2829.</w:t>
      </w:r>
      <w:bookmarkEnd w:id="31"/>
    </w:p>
    <w:p w14:paraId="44B6EAB9">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[32]</w:t>
      </w:r>
      <w:r>
        <w:rPr>
          <w:rFonts w:hint="default" w:ascii="Times New Roman" w:hAnsi="Times New Roman" w:eastAsia="Times New Roman"/>
          <w:color w:val="000000"/>
          <w:sz w:val="24"/>
          <w:szCs w:val="24"/>
        </w:rPr>
        <w:tab/>
      </w:r>
      <w:bookmarkStart w:id="32" w:name="_neb747B801B_0554_4A8A_A2A0_4F1A691FDB9B"/>
      <w:r>
        <w:rPr>
          <w:rFonts w:hint="default" w:ascii="Times New Roman" w:hAnsi="Times New Roman" w:eastAsia="Times New Roman"/>
          <w:color w:val="000000"/>
          <w:sz w:val="24"/>
          <w:szCs w:val="24"/>
        </w:rPr>
        <w:t>He Q, Cheng Y, Ma E, et al. Locating bulk metallic glasses with high fracture toughness: Chemical effects and composition optimization[J]. Acta Materialia, 2011,59(1):202-215.</w:t>
      </w:r>
      <w:bookmarkEnd w:id="32"/>
    </w:p>
    <w:p w14:paraId="2F24F900">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[33]</w:t>
      </w:r>
      <w:r>
        <w:rPr>
          <w:rFonts w:hint="default" w:ascii="Times New Roman" w:hAnsi="Times New Roman" w:eastAsia="Times New Roman"/>
          <w:color w:val="000000"/>
          <w:sz w:val="24"/>
          <w:szCs w:val="24"/>
        </w:rPr>
        <w:tab/>
      </w:r>
      <w:bookmarkStart w:id="33" w:name="_nebBECB4922_CF20_4A63_96FE_C20B5A7B22CB"/>
      <w:r>
        <w:rPr>
          <w:rFonts w:hint="default" w:ascii="Times New Roman" w:hAnsi="Times New Roman" w:eastAsia="Times New Roman"/>
          <w:color w:val="000000"/>
          <w:sz w:val="24"/>
          <w:szCs w:val="24"/>
        </w:rPr>
        <w:t>Jiang Q K, Wang X D, Nie X P, et al. Zr</w:t>
      </w:r>
      <w:r>
        <w:rPr>
          <w:rFonts w:hint="eastAsia" w:ascii="Times New Roman" w:hAnsi="Times New Roman" w:eastAsia="Times New Roman"/>
          <w:color w:val="000000"/>
          <w:sz w:val="24"/>
          <w:szCs w:val="24"/>
        </w:rPr>
        <w:t>–</w:t>
      </w:r>
      <w:r>
        <w:rPr>
          <w:rFonts w:hint="default" w:ascii="Times New Roman" w:hAnsi="Times New Roman" w:eastAsia="Times New Roman"/>
          <w:color w:val="000000"/>
          <w:sz w:val="24"/>
          <w:szCs w:val="24"/>
        </w:rPr>
        <w:t>(Cu,Ag)</w:t>
      </w:r>
      <w:r>
        <w:rPr>
          <w:rFonts w:hint="eastAsia" w:ascii="Times New Roman" w:hAnsi="Times New Roman" w:eastAsia="Times New Roman"/>
          <w:color w:val="000000"/>
          <w:sz w:val="24"/>
          <w:szCs w:val="24"/>
        </w:rPr>
        <w:t>–</w:t>
      </w:r>
      <w:r>
        <w:rPr>
          <w:rFonts w:hint="default" w:ascii="Times New Roman" w:hAnsi="Times New Roman" w:eastAsia="Times New Roman"/>
          <w:color w:val="000000"/>
          <w:sz w:val="24"/>
          <w:szCs w:val="24"/>
        </w:rPr>
        <w:t>Al bulk metallic glasses[J]. Acta Materialia, 2008,56(8):1785-1796.</w:t>
      </w:r>
      <w:bookmarkEnd w:id="33"/>
    </w:p>
    <w:p w14:paraId="202BDE98">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[34]</w:t>
      </w:r>
      <w:r>
        <w:rPr>
          <w:rFonts w:hint="default" w:ascii="Times New Roman" w:hAnsi="Times New Roman" w:eastAsia="Times New Roman"/>
          <w:color w:val="000000"/>
          <w:sz w:val="24"/>
          <w:szCs w:val="24"/>
        </w:rPr>
        <w:tab/>
      </w:r>
      <w:bookmarkStart w:id="34" w:name="_neb954B39D4_4087_4E40_8233_A83C34FCF079"/>
      <w:r>
        <w:rPr>
          <w:rFonts w:hint="default" w:ascii="Times New Roman" w:hAnsi="Times New Roman" w:eastAsia="Times New Roman"/>
          <w:color w:val="000000"/>
          <w:sz w:val="24"/>
          <w:szCs w:val="24"/>
        </w:rPr>
        <w:t>Wada T, Qin F, Wang X, et al. Formation and bioactivation of Zr-Al-Co bulk metallic glasses[J]. Journal of Materials Research, 2009,24(9):2941-2948.</w:t>
      </w:r>
      <w:bookmarkEnd w:id="34"/>
    </w:p>
    <w:p w14:paraId="0C7FA37B">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[35]</w:t>
      </w:r>
      <w:r>
        <w:rPr>
          <w:rFonts w:hint="default" w:ascii="Times New Roman" w:hAnsi="Times New Roman" w:eastAsia="Times New Roman"/>
          <w:color w:val="000000"/>
          <w:sz w:val="24"/>
          <w:szCs w:val="24"/>
        </w:rPr>
        <w:tab/>
      </w:r>
      <w:bookmarkStart w:id="35" w:name="_neb70F532DB_766F_4BAF_A6DB_D95857B4F161"/>
      <w:r>
        <w:rPr>
          <w:rFonts w:hint="default" w:ascii="Times New Roman" w:hAnsi="Times New Roman" w:eastAsia="Times New Roman"/>
          <w:color w:val="000000"/>
          <w:sz w:val="24"/>
          <w:szCs w:val="24"/>
        </w:rPr>
        <w:t>Baltatu I, Sandu A V, Vlad M D, et al. Mechanical Characterization and In Vitro Assay of Biocompatible Titanium Alloys[J]. Micromachines (Basel), 2022,13(3).</w:t>
      </w:r>
      <w:bookmarkEnd w:id="35"/>
    </w:p>
    <w:p w14:paraId="103D60B0">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[36]</w:t>
      </w:r>
      <w:r>
        <w:rPr>
          <w:rFonts w:hint="default" w:ascii="Times New Roman" w:hAnsi="Times New Roman" w:eastAsia="Times New Roman"/>
          <w:color w:val="000000"/>
          <w:sz w:val="24"/>
          <w:szCs w:val="24"/>
        </w:rPr>
        <w:tab/>
      </w:r>
      <w:bookmarkStart w:id="36" w:name="_nebDDD5FB88_8196_4770_B101_8BD7E913FFB1"/>
      <w:r>
        <w:rPr>
          <w:rFonts w:hint="default" w:ascii="Times New Roman" w:hAnsi="Times New Roman" w:eastAsia="Times New Roman"/>
          <w:color w:val="000000"/>
          <w:sz w:val="24"/>
          <w:szCs w:val="24"/>
        </w:rPr>
        <w:t>Tao H, Li X, Chu M, et al. CB2 regulates oxidative stress and osteoclastogenesis through NOX1-dependent  signaling pathway in titanium particle-induced osteolysis[J]. Cell Death Discov, 2023,9(1):461.</w:t>
      </w:r>
      <w:bookmarkEnd w:id="36"/>
    </w:p>
    <w:p w14:paraId="06A74A85">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[37]</w:t>
      </w:r>
      <w:r>
        <w:rPr>
          <w:rFonts w:hint="default" w:ascii="Times New Roman" w:hAnsi="Times New Roman" w:eastAsia="Times New Roman"/>
          <w:color w:val="000000"/>
          <w:sz w:val="24"/>
          <w:szCs w:val="24"/>
        </w:rPr>
        <w:tab/>
      </w:r>
      <w:bookmarkStart w:id="37" w:name="_neb59A925ED_ABB7_4E7C_B580_D25D1691F0AE"/>
      <w:r>
        <w:rPr>
          <w:rFonts w:hint="default" w:ascii="Times New Roman" w:hAnsi="Times New Roman" w:eastAsia="Times New Roman"/>
          <w:color w:val="000000"/>
          <w:sz w:val="24"/>
          <w:szCs w:val="24"/>
        </w:rPr>
        <w:t>Feng R, Gao M C, Zhang C, et al. Phase stability and transformation in a light-weight high-entropy alloy[J]. Acta Materialia, 2018,146:280-293.</w:t>
      </w:r>
      <w:bookmarkEnd w:id="37"/>
    </w:p>
    <w:p w14:paraId="599DD3C7">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[38]</w:t>
      </w:r>
      <w:r>
        <w:rPr>
          <w:rFonts w:hint="default" w:ascii="Times New Roman" w:hAnsi="Times New Roman" w:eastAsia="Times New Roman"/>
          <w:color w:val="000000"/>
          <w:sz w:val="24"/>
          <w:szCs w:val="24"/>
        </w:rPr>
        <w:tab/>
      </w:r>
      <w:bookmarkStart w:id="38" w:name="_neb0A690363_01AF_4FDF_AAD5_060EC3398785"/>
      <w:r>
        <w:rPr>
          <w:rFonts w:hint="default" w:ascii="Times New Roman" w:hAnsi="Times New Roman" w:eastAsia="Times New Roman"/>
          <w:color w:val="000000"/>
          <w:sz w:val="24"/>
          <w:szCs w:val="24"/>
        </w:rPr>
        <w:t>Maicas-Esteve H, Taji I, Wilms M, et al. Corrosion and Microstructural Investigation on Additively Manufactured 316L  Stainless Steel: Experimental and Statistical Approach[J]. Materials (Basel), 2022,15(4).</w:t>
      </w:r>
      <w:bookmarkEnd w:id="38"/>
    </w:p>
    <w:p w14:paraId="1594BDDB">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[39]</w:t>
      </w:r>
      <w:r>
        <w:rPr>
          <w:rFonts w:hint="default" w:ascii="Times New Roman" w:hAnsi="Times New Roman" w:eastAsia="Times New Roman"/>
          <w:color w:val="000000"/>
          <w:sz w:val="24"/>
          <w:szCs w:val="24"/>
        </w:rPr>
        <w:tab/>
      </w:r>
      <w:bookmarkStart w:id="39" w:name="_neb55949A56_BD95_4D82_AA5B_2EF7F88966F3"/>
      <w:r>
        <w:rPr>
          <w:rFonts w:hint="default" w:ascii="Times New Roman" w:hAnsi="Times New Roman" w:eastAsia="Times New Roman"/>
          <w:color w:val="000000"/>
          <w:sz w:val="24"/>
          <w:szCs w:val="24"/>
        </w:rPr>
        <w:t>Hua N, Zhang T. Glass-forming ability, crystallization kinetics, mechanical property, and corrosion behavior of Zr</w:t>
      </w:r>
      <w:r>
        <w:rPr>
          <w:rFonts w:hint="eastAsia" w:ascii="Times New Roman" w:hAnsi="Times New Roman" w:eastAsia="Times New Roman"/>
          <w:color w:val="000000"/>
          <w:sz w:val="24"/>
          <w:szCs w:val="24"/>
        </w:rPr>
        <w:t>–</w:t>
      </w:r>
      <w:r>
        <w:rPr>
          <w:rFonts w:hint="default" w:ascii="Times New Roman" w:hAnsi="Times New Roman" w:eastAsia="Times New Roman"/>
          <w:color w:val="000000"/>
          <w:sz w:val="24"/>
          <w:szCs w:val="24"/>
        </w:rPr>
        <w:t>Al</w:t>
      </w:r>
      <w:r>
        <w:rPr>
          <w:rFonts w:hint="eastAsia" w:ascii="Times New Roman" w:hAnsi="Times New Roman" w:eastAsia="Times New Roman"/>
          <w:color w:val="000000"/>
          <w:sz w:val="24"/>
          <w:szCs w:val="24"/>
        </w:rPr>
        <w:t>–</w:t>
      </w:r>
      <w:r>
        <w:rPr>
          <w:rFonts w:hint="default" w:ascii="Times New Roman" w:hAnsi="Times New Roman" w:eastAsia="Times New Roman"/>
          <w:color w:val="000000"/>
          <w:sz w:val="24"/>
          <w:szCs w:val="24"/>
        </w:rPr>
        <w:t>Ni</w:t>
      </w:r>
      <w:r>
        <w:rPr>
          <w:rFonts w:hint="eastAsia" w:ascii="Times New Roman" w:hAnsi="Times New Roman" w:eastAsia="Times New Roman"/>
          <w:color w:val="000000"/>
          <w:sz w:val="24"/>
          <w:szCs w:val="24"/>
        </w:rPr>
        <w:t>–</w:t>
      </w:r>
      <w:r>
        <w:rPr>
          <w:rFonts w:hint="default" w:ascii="Times New Roman" w:hAnsi="Times New Roman" w:eastAsia="Times New Roman"/>
          <w:color w:val="000000"/>
          <w:sz w:val="24"/>
          <w:szCs w:val="24"/>
        </w:rPr>
        <w:t>Ag glassy alloys[J]. Journal of alloys and compounds, 2014,602:339-345.</w:t>
      </w:r>
      <w:bookmarkEnd w:id="39"/>
    </w:p>
    <w:p w14:paraId="79382881">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[40]</w:t>
      </w:r>
      <w:r>
        <w:rPr>
          <w:rFonts w:hint="default" w:ascii="Times New Roman" w:hAnsi="Times New Roman" w:eastAsia="Times New Roman"/>
          <w:color w:val="000000"/>
          <w:sz w:val="24"/>
          <w:szCs w:val="24"/>
        </w:rPr>
        <w:tab/>
      </w:r>
      <w:bookmarkStart w:id="40" w:name="_neb023919C7_642C_4BA4_8177_4F9A59D7CE2E"/>
      <w:r>
        <w:rPr>
          <w:rFonts w:hint="default" w:ascii="Times New Roman" w:hAnsi="Times New Roman" w:eastAsia="Times New Roman"/>
          <w:color w:val="000000"/>
          <w:sz w:val="24"/>
          <w:szCs w:val="24"/>
        </w:rPr>
        <w:t>Feher B. An advanced prediction model for postoperative complications and early implant[J]. Clinical Oral Implants Res, 2020,31:928-935.</w:t>
      </w:r>
      <w:bookmarkEnd w:id="40"/>
    </w:p>
    <w:p w14:paraId="1E662A86">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[41]</w:t>
      </w:r>
      <w:r>
        <w:rPr>
          <w:rFonts w:hint="default" w:ascii="Times New Roman" w:hAnsi="Times New Roman" w:eastAsia="Times New Roman"/>
          <w:color w:val="000000"/>
          <w:sz w:val="24"/>
          <w:szCs w:val="24"/>
        </w:rPr>
        <w:tab/>
      </w:r>
      <w:bookmarkStart w:id="41" w:name="_nebC2C59778_4E1A_4BD2_9F2E_4F466CD2A8AB"/>
      <w:r>
        <w:rPr>
          <w:rFonts w:hint="default" w:ascii="Times New Roman" w:hAnsi="Times New Roman" w:eastAsia="Times New Roman"/>
          <w:color w:val="000000"/>
          <w:sz w:val="24"/>
          <w:szCs w:val="24"/>
        </w:rPr>
        <w:t>Li J, Ai H. The responses of endothelial cells to Zr</w:t>
      </w:r>
      <w:r>
        <w:rPr>
          <w:rFonts w:hint="default" w:ascii="Times New Roman" w:hAnsi="Times New Roman" w:eastAsia="Times New Roman"/>
          <w:color w:val="000000"/>
          <w:sz w:val="24"/>
          <w:szCs w:val="24"/>
          <w:vertAlign w:val="subscript"/>
        </w:rPr>
        <w:t>61</w:t>
      </w:r>
      <w:r>
        <w:rPr>
          <w:rFonts w:hint="default" w:ascii="Times New Roman" w:hAnsi="Times New Roman" w:eastAsia="Times New Roman"/>
          <w:color w:val="000000"/>
          <w:sz w:val="24"/>
          <w:szCs w:val="24"/>
        </w:rPr>
        <w:t>Ti</w:t>
      </w:r>
      <w:r>
        <w:rPr>
          <w:rFonts w:hint="default" w:ascii="Times New Roman" w:hAnsi="Times New Roman" w:eastAsia="Times New Roman"/>
          <w:color w:val="000000"/>
          <w:sz w:val="24"/>
          <w:szCs w:val="24"/>
          <w:vertAlign w:val="subscript"/>
        </w:rPr>
        <w:t>2</w:t>
      </w:r>
      <w:r>
        <w:rPr>
          <w:rFonts w:hint="default" w:ascii="Times New Roman" w:hAnsi="Times New Roman" w:eastAsia="Times New Roman"/>
          <w:color w:val="000000"/>
          <w:sz w:val="24"/>
          <w:szCs w:val="24"/>
        </w:rPr>
        <w:t>Cu</w:t>
      </w:r>
      <w:r>
        <w:rPr>
          <w:rFonts w:hint="default" w:ascii="Times New Roman" w:hAnsi="Times New Roman" w:eastAsia="Times New Roman"/>
          <w:color w:val="000000"/>
          <w:sz w:val="24"/>
          <w:szCs w:val="24"/>
          <w:vertAlign w:val="subscript"/>
        </w:rPr>
        <w:t>25</w:t>
      </w:r>
      <w:r>
        <w:rPr>
          <w:rFonts w:hint="default" w:ascii="Times New Roman" w:hAnsi="Times New Roman" w:eastAsia="Times New Roman"/>
          <w:color w:val="000000"/>
          <w:sz w:val="24"/>
          <w:szCs w:val="24"/>
        </w:rPr>
        <w:t>Al</w:t>
      </w:r>
      <w:r>
        <w:rPr>
          <w:rFonts w:hint="default" w:ascii="Times New Roman" w:hAnsi="Times New Roman" w:eastAsia="Times New Roman"/>
          <w:color w:val="000000"/>
          <w:sz w:val="24"/>
          <w:szCs w:val="24"/>
          <w:vertAlign w:val="subscript"/>
        </w:rPr>
        <w:t>12</w:t>
      </w:r>
      <w:r>
        <w:rPr>
          <w:rFonts w:hint="default" w:ascii="Times New Roman" w:hAnsi="Times New Roman" w:eastAsia="Times New Roman"/>
          <w:color w:val="000000"/>
          <w:sz w:val="24"/>
          <w:szCs w:val="24"/>
        </w:rPr>
        <w:t xml:space="preserve"> metallic glass in vitro and in vivo[J]. Materials science &amp; engineering. C, Materials for biological applications, 2014,40:189-196.</w:t>
      </w:r>
      <w:bookmarkEnd w:id="41"/>
    </w:p>
    <w:p w14:paraId="1285541D">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[42]</w:t>
      </w:r>
      <w:r>
        <w:rPr>
          <w:rFonts w:hint="default" w:ascii="Times New Roman" w:hAnsi="Times New Roman" w:eastAsia="Times New Roman"/>
          <w:color w:val="000000"/>
          <w:sz w:val="24"/>
          <w:szCs w:val="24"/>
        </w:rPr>
        <w:tab/>
      </w:r>
      <w:bookmarkStart w:id="42" w:name="_neb5B92ACCE_4592_49DE_8B34_12C07B5A2412"/>
      <w:r>
        <w:rPr>
          <w:rFonts w:hint="default" w:ascii="Times New Roman" w:hAnsi="Times New Roman" w:eastAsia="Times New Roman"/>
          <w:color w:val="000000"/>
          <w:sz w:val="24"/>
          <w:szCs w:val="24"/>
        </w:rPr>
        <w:t>Mitra D, Kang E T, Neoh K G. Antimicrobial Copper-Based Materials and Coatings: Potential Multifaceted  Biomedical Applications[J]. ACS Appl Mater Interfaces, 2020,12(19):21159-21182.</w:t>
      </w:r>
      <w:bookmarkEnd w:id="42"/>
    </w:p>
    <w:p w14:paraId="2D240D65">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[43]</w:t>
      </w:r>
      <w:r>
        <w:rPr>
          <w:rFonts w:hint="default" w:ascii="Times New Roman" w:hAnsi="Times New Roman" w:eastAsia="Times New Roman"/>
          <w:color w:val="000000"/>
          <w:sz w:val="24"/>
          <w:szCs w:val="24"/>
        </w:rPr>
        <w:tab/>
      </w:r>
      <w:bookmarkStart w:id="43" w:name="_neb5C335C8F_EBD7_4424_8A44_06E61CD29F12"/>
      <w:r>
        <w:rPr>
          <w:rFonts w:hint="default" w:ascii="Times New Roman" w:hAnsi="Times New Roman" w:eastAsia="Times New Roman"/>
          <w:color w:val="000000"/>
          <w:sz w:val="24"/>
          <w:szCs w:val="24"/>
        </w:rPr>
        <w:t>Yin I X, Zhang J, Zhao I S, et al. The Antibacterial Mechanism of Silver Nanoparticles and Its Application in  Dentistry[J]. Int J Nanomedicine, 2020,15:2555-2562.</w:t>
      </w:r>
      <w:bookmarkEnd w:id="43"/>
    </w:p>
    <w:p w14:paraId="6D392501">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[44]</w:t>
      </w:r>
      <w:r>
        <w:rPr>
          <w:rFonts w:hint="default" w:ascii="Times New Roman" w:hAnsi="Times New Roman" w:eastAsia="Times New Roman"/>
          <w:color w:val="000000"/>
          <w:sz w:val="24"/>
          <w:szCs w:val="24"/>
        </w:rPr>
        <w:tab/>
      </w:r>
      <w:bookmarkStart w:id="44" w:name="_nebA37A689C_41B3_4CF5_81F8_88C955A62B85"/>
      <w:r>
        <w:rPr>
          <w:rFonts w:hint="default" w:ascii="Times New Roman" w:hAnsi="Times New Roman" w:eastAsia="Times New Roman"/>
          <w:color w:val="000000"/>
          <w:sz w:val="24"/>
          <w:szCs w:val="24"/>
        </w:rPr>
        <w:t>Zhuang Y, Ren L, Zhang S, et al. Antibacterial effect of a copper-containing titanium alloy against implant-associated infection induced by methicillin-resistant Staphylococcus aureus[J]. Acta biomaterialia, 2021,119:472-484.</w:t>
      </w:r>
      <w:bookmarkEnd w:id="44"/>
    </w:p>
    <w:p w14:paraId="1C3BEDD9">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sz w:val="24"/>
          <w:szCs w:val="24"/>
        </w:rPr>
      </w:pPr>
      <w:r>
        <w:rPr>
          <w:rFonts w:hint="default" w:ascii="Times New Roman" w:hAnsi="Times New Roman" w:eastAsia="Times New Roman"/>
          <w:color w:val="000000"/>
          <w:sz w:val="24"/>
          <w:szCs w:val="24"/>
        </w:rPr>
        <w:t>[45]</w:t>
      </w:r>
      <w:r>
        <w:rPr>
          <w:rFonts w:hint="default" w:ascii="Times New Roman" w:hAnsi="Times New Roman" w:eastAsia="Times New Roman"/>
          <w:color w:val="000000"/>
          <w:sz w:val="24"/>
          <w:szCs w:val="24"/>
        </w:rPr>
        <w:tab/>
      </w:r>
      <w:bookmarkStart w:id="45" w:name="_neb861FC467_F650_455C_8374_4FDC01328F51"/>
      <w:r>
        <w:rPr>
          <w:rFonts w:hint="default" w:ascii="Times New Roman" w:hAnsi="Times New Roman" w:eastAsia="Times New Roman"/>
          <w:color w:val="000000"/>
          <w:sz w:val="24"/>
          <w:szCs w:val="24"/>
        </w:rPr>
        <w:t>Wu T, Zheng F, Tang H Y, et al. Low-intensity pulsed ultrasound reduces alveolar bone resorption during  orthodontic treatment via Lamin A/C-Yes-associated protein axis in stem cells[J]. World J Stem Cells, 2024,16(3):267-286.</w:t>
      </w:r>
      <w:bookmarkEnd w:id="45"/>
    </w:p>
    <w:p w14:paraId="5AEA7378">
      <w:pPr>
        <w:keepNext w:val="0"/>
        <w:keepLines w:val="0"/>
        <w:pageBreakBefore w:val="0"/>
        <w:widowControl/>
        <w:kinsoku/>
        <w:wordWrap/>
        <w:overflowPunct/>
        <w:topLinePunct w:val="0"/>
        <w:autoSpaceDE/>
        <w:autoSpaceDN/>
        <w:bidi w:val="0"/>
        <w:adjustRightInd/>
        <w:snapToGrid/>
        <w:spacing w:beforeLines="0" w:afterLines="0" w:line="480" w:lineRule="auto"/>
        <w:ind w:left="700" w:hanging="700"/>
        <w:jc w:val="both"/>
        <w:textAlignment w:val="auto"/>
        <w:rPr>
          <w:rFonts w:hint="default" w:ascii="Times New Roman" w:hAnsi="Times New Roman" w:eastAsia="Times New Roman"/>
          <w:color w:val="000000"/>
          <w:sz w:val="24"/>
          <w:szCs w:val="24"/>
        </w:rPr>
      </w:pPr>
      <w:r>
        <w:rPr>
          <w:rFonts w:hint="default" w:ascii="Times New Roman" w:hAnsi="Times New Roman" w:eastAsia="Times New Roman"/>
          <w:color w:val="000000"/>
          <w:sz w:val="24"/>
          <w:szCs w:val="24"/>
        </w:rPr>
        <w:t>[46]</w:t>
      </w:r>
      <w:r>
        <w:rPr>
          <w:rFonts w:hint="default" w:ascii="Times New Roman" w:hAnsi="Times New Roman" w:eastAsia="Times New Roman"/>
          <w:color w:val="000000"/>
          <w:sz w:val="24"/>
          <w:szCs w:val="24"/>
        </w:rPr>
        <w:tab/>
      </w:r>
      <w:bookmarkStart w:id="46" w:name="_neb86B3DC37_6B59_4D94_9552_C282B923F104"/>
      <w:r>
        <w:rPr>
          <w:rFonts w:hint="default" w:ascii="Times New Roman" w:hAnsi="Times New Roman" w:eastAsia="Times New Roman"/>
          <w:color w:val="000000"/>
          <w:sz w:val="24"/>
          <w:szCs w:val="24"/>
        </w:rPr>
        <w:t>Percie D S N, Ahluwalia A, Alam S, et al. Reporting animal research: Explanation and elaboration for the ARRIVE guidelines  2.0[J]. PLoS Biol, 2020,18(7):e3000411.</w:t>
      </w:r>
      <w:bookmarkEnd w:id="46"/>
    </w:p>
    <w:p w14:paraId="7E3B4BE3">
      <w:pPr>
        <w:rPr>
          <w:rFonts w:hint="default" w:ascii="Times New Roman" w:hAnsi="Times New Roman" w:eastAsia="Times New Roman"/>
          <w:color w:val="000000"/>
          <w:sz w:val="24"/>
          <w:szCs w:val="24"/>
        </w:rPr>
      </w:pPr>
      <w:r>
        <w:rPr>
          <w:rFonts w:hint="default" w:ascii="Times New Roman" w:hAnsi="Times New Roman" w:eastAsia="Times New Roman"/>
          <w:color w:val="000000"/>
          <w:sz w:val="24"/>
          <w:szCs w:val="24"/>
        </w:rPr>
        <w:br w:type="page"/>
      </w:r>
    </w:p>
    <w:tbl>
      <w:tblPr>
        <w:tblStyle w:val="10"/>
        <w:tblpPr w:leftFromText="180" w:rightFromText="180" w:vertAnchor="page" w:horzAnchor="page" w:tblpXSpec="center" w:tblpY="1963"/>
        <w:tblOverlap w:val="never"/>
        <w:tblW w:w="569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26"/>
        <w:gridCol w:w="1542"/>
        <w:gridCol w:w="1895"/>
        <w:gridCol w:w="2269"/>
        <w:gridCol w:w="1981"/>
        <w:gridCol w:w="1571"/>
      </w:tblGrid>
      <w:tr w14:paraId="0B17FC55">
        <w:trPr>
          <w:trHeight w:val="366" w:hRule="atLeast"/>
          <w:jc w:val="center"/>
        </w:trPr>
        <w:tc>
          <w:tcPr>
            <w:tcW w:w="626" w:type="pct"/>
            <w:tcBorders>
              <w:top w:val="single" w:color="auto" w:sz="4" w:space="0"/>
              <w:bottom w:val="single" w:color="auto" w:sz="4" w:space="0"/>
            </w:tcBorders>
            <w:vAlign w:val="center"/>
          </w:tcPr>
          <w:p w14:paraId="75172FBF">
            <w:pPr>
              <w:keepNext w:val="0"/>
              <w:keepLines w:val="0"/>
              <w:widowControl/>
              <w:suppressLineNumbers w:val="0"/>
              <w:spacing w:before="0" w:beforeAutospacing="1" w:after="0" w:afterAutospacing="1"/>
              <w:ind w:left="0" w:leftChars="0" w:right="0" w:rightChars="0"/>
              <w:jc w:val="both"/>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Materials</w:t>
            </w:r>
          </w:p>
        </w:tc>
        <w:tc>
          <w:tcPr>
            <w:tcW w:w="728" w:type="pct"/>
            <w:tcBorders>
              <w:top w:val="single" w:color="auto" w:sz="4" w:space="0"/>
              <w:bottom w:val="single" w:color="auto" w:sz="4" w:space="0"/>
            </w:tcBorders>
            <w:vAlign w:val="center"/>
          </w:tcPr>
          <w:p w14:paraId="2D900FB2">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Density</w:t>
            </w:r>
          </w:p>
          <w:p w14:paraId="2C5F0168">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(g/cm</w:t>
            </w:r>
            <w:r>
              <w:rPr>
                <w:rFonts w:hint="default" w:ascii="Times New Roman" w:hAnsi="Times New Roman" w:eastAsia="Times New Roman" w:cs="Times New Roman"/>
                <w:b/>
                <w:bCs/>
                <w:color w:val="000000"/>
                <w:kern w:val="0"/>
                <w:sz w:val="24"/>
                <w:szCs w:val="24"/>
                <w:vertAlign w:val="superscript"/>
                <w:lang w:val="en-US" w:eastAsia="zh-CN" w:bidi="ar"/>
              </w:rPr>
              <w:t>3</w:t>
            </w:r>
            <w:r>
              <w:rPr>
                <w:rFonts w:hint="default" w:ascii="Times New Roman" w:hAnsi="Times New Roman" w:eastAsia="Times New Roman" w:cs="Times New Roman"/>
                <w:b/>
                <w:bCs/>
                <w:color w:val="000000"/>
                <w:kern w:val="0"/>
                <w:sz w:val="24"/>
                <w:szCs w:val="24"/>
                <w:lang w:val="en-US" w:eastAsia="zh-CN" w:bidi="ar"/>
              </w:rPr>
              <w:t>)</w:t>
            </w:r>
          </w:p>
        </w:tc>
        <w:tc>
          <w:tcPr>
            <w:tcW w:w="895" w:type="pct"/>
            <w:tcBorders>
              <w:top w:val="single" w:color="auto" w:sz="4" w:space="0"/>
              <w:bottom w:val="single" w:color="auto" w:sz="4" w:space="0"/>
            </w:tcBorders>
            <w:vAlign w:val="center"/>
          </w:tcPr>
          <w:p w14:paraId="7A5D830B">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Compressive</w:t>
            </w:r>
            <w:r>
              <w:rPr>
                <w:rFonts w:hint="eastAsia" w:ascii="Times New Roman" w:hAnsi="Times New Roman" w:eastAsia="Times New Roman" w:cs="Times New Roman"/>
                <w:b/>
                <w:bCs/>
                <w:color w:val="000000"/>
                <w:kern w:val="0"/>
                <w:sz w:val="24"/>
                <w:szCs w:val="24"/>
                <w:lang w:val="en-US" w:eastAsia="zh-CN" w:bidi="ar"/>
              </w:rPr>
              <w:t xml:space="preserve"> </w:t>
            </w:r>
            <w:r>
              <w:rPr>
                <w:rFonts w:hint="default" w:ascii="Times New Roman" w:hAnsi="Times New Roman" w:eastAsia="Times New Roman" w:cs="Times New Roman"/>
                <w:b/>
                <w:bCs/>
                <w:color w:val="000000"/>
                <w:kern w:val="0"/>
                <w:sz w:val="24"/>
                <w:szCs w:val="24"/>
                <w:lang w:val="en-US" w:eastAsia="zh-CN" w:bidi="ar"/>
              </w:rPr>
              <w:t>st</w:t>
            </w:r>
            <w:r>
              <w:rPr>
                <w:rFonts w:hint="eastAsia" w:ascii="Times New Roman" w:hAnsi="Times New Roman" w:eastAsia="Times New Roman" w:cs="Times New Roman"/>
                <w:b/>
                <w:bCs/>
                <w:color w:val="000000"/>
                <w:kern w:val="0"/>
                <w:sz w:val="24"/>
                <w:szCs w:val="24"/>
                <w:lang w:val="en-US" w:eastAsia="zh-CN" w:bidi="ar"/>
              </w:rPr>
              <w:t>rength</w:t>
            </w:r>
            <w:r>
              <w:rPr>
                <w:rFonts w:hint="default" w:ascii="Times New Roman" w:hAnsi="Times New Roman" w:eastAsia="Times New Roman" w:cs="Times New Roman"/>
                <w:b/>
                <w:bCs/>
                <w:color w:val="000000"/>
                <w:kern w:val="0"/>
                <w:sz w:val="24"/>
                <w:szCs w:val="24"/>
                <w:lang w:val="en-US" w:eastAsia="zh-CN" w:bidi="ar"/>
              </w:rPr>
              <w:t> </w:t>
            </w:r>
          </w:p>
          <w:p w14:paraId="168F8B40">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(MPa)</w:t>
            </w:r>
          </w:p>
        </w:tc>
        <w:tc>
          <w:tcPr>
            <w:tcW w:w="1071" w:type="pct"/>
            <w:tcBorders>
              <w:top w:val="single" w:color="auto" w:sz="4" w:space="0"/>
              <w:bottom w:val="single" w:color="auto" w:sz="4" w:space="0"/>
            </w:tcBorders>
            <w:vAlign w:val="center"/>
          </w:tcPr>
          <w:p w14:paraId="3245FE77">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eastAsia" w:ascii="Times New Roman" w:hAnsi="Times New Roman" w:eastAsia="Times New Roman" w:cs="Times New Roman"/>
                <w:b/>
                <w:bCs/>
                <w:color w:val="000000"/>
                <w:kern w:val="0"/>
                <w:sz w:val="24"/>
                <w:szCs w:val="24"/>
                <w:lang w:val="en-US" w:eastAsia="zh-CN" w:bidi="ar"/>
              </w:rPr>
              <w:t>Reduced y</w:t>
            </w:r>
            <w:r>
              <w:rPr>
                <w:rFonts w:hint="default" w:ascii="Times New Roman" w:hAnsi="Times New Roman" w:eastAsia="Times New Roman" w:cs="Times New Roman"/>
                <w:b/>
                <w:bCs/>
                <w:color w:val="000000"/>
                <w:kern w:val="0"/>
                <w:sz w:val="24"/>
                <w:szCs w:val="24"/>
                <w:lang w:val="en-US" w:eastAsia="zh-CN" w:bidi="ar"/>
              </w:rPr>
              <w:t>oung’s</w:t>
            </w:r>
            <w:r>
              <w:rPr>
                <w:rFonts w:hint="eastAsia" w:ascii="Times New Roman" w:hAnsi="Times New Roman" w:eastAsia="Times New Roman" w:cs="Times New Roman"/>
                <w:b/>
                <w:bCs/>
                <w:color w:val="000000"/>
                <w:kern w:val="0"/>
                <w:sz w:val="24"/>
                <w:szCs w:val="24"/>
                <w:lang w:val="en-US" w:eastAsia="zh-CN" w:bidi="ar"/>
              </w:rPr>
              <w:t xml:space="preserve"> </w:t>
            </w:r>
            <w:r>
              <w:rPr>
                <w:rFonts w:hint="default" w:ascii="Times New Roman" w:hAnsi="Times New Roman" w:eastAsia="Times New Roman" w:cs="Times New Roman"/>
                <w:b/>
                <w:bCs/>
                <w:color w:val="000000"/>
                <w:kern w:val="0"/>
                <w:sz w:val="24"/>
                <w:szCs w:val="24"/>
                <w:lang w:val="en-US" w:eastAsia="zh-CN" w:bidi="ar"/>
              </w:rPr>
              <w:t>modulus </w:t>
            </w:r>
          </w:p>
          <w:p w14:paraId="2F28F144">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(GPa)</w:t>
            </w:r>
          </w:p>
        </w:tc>
        <w:tc>
          <w:tcPr>
            <w:tcW w:w="935" w:type="pct"/>
            <w:tcBorders>
              <w:top w:val="single" w:color="auto" w:sz="4" w:space="0"/>
              <w:bottom w:val="single" w:color="auto" w:sz="4" w:space="0"/>
            </w:tcBorders>
            <w:vAlign w:val="center"/>
          </w:tcPr>
          <w:p w14:paraId="4EBE2D46">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eastAsia" w:ascii="Times New Roman" w:hAnsi="Times New Roman" w:eastAsia="Times New Roman" w:cs="Times New Roman"/>
                <w:b/>
                <w:bCs/>
                <w:color w:val="000000"/>
                <w:kern w:val="0"/>
                <w:sz w:val="24"/>
                <w:szCs w:val="24"/>
                <w:lang w:val="en-US" w:eastAsia="zh-CN" w:bidi="ar"/>
              </w:rPr>
            </w:pPr>
            <w:r>
              <w:rPr>
                <w:rFonts w:hint="eastAsia" w:ascii="Times New Roman" w:hAnsi="Times New Roman" w:eastAsia="Times New Roman" w:cs="Times New Roman"/>
                <w:b/>
                <w:bCs/>
                <w:color w:val="000000"/>
                <w:kern w:val="0"/>
                <w:sz w:val="24"/>
                <w:szCs w:val="24"/>
                <w:lang w:val="en-US" w:eastAsia="zh-CN" w:bidi="ar"/>
              </w:rPr>
              <w:t>Micro</w:t>
            </w:r>
            <w:r>
              <w:rPr>
                <w:rFonts w:hint="default" w:ascii="Times New Roman" w:hAnsi="Times New Roman" w:eastAsia="Times New Roman" w:cs="Times New Roman"/>
                <w:b/>
                <w:bCs/>
                <w:color w:val="000000"/>
                <w:kern w:val="0"/>
                <w:sz w:val="24"/>
                <w:szCs w:val="24"/>
                <w:lang w:val="en-US" w:eastAsia="zh-CN" w:bidi="ar"/>
              </w:rPr>
              <w:t>hardnes</w:t>
            </w:r>
            <w:r>
              <w:rPr>
                <w:rFonts w:hint="eastAsia" w:ascii="Times New Roman" w:hAnsi="Times New Roman" w:eastAsia="Times New Roman" w:cs="Times New Roman"/>
                <w:b/>
                <w:bCs/>
                <w:color w:val="000000"/>
                <w:kern w:val="0"/>
                <w:sz w:val="24"/>
                <w:szCs w:val="24"/>
                <w:lang w:val="en-US" w:eastAsia="zh-CN" w:bidi="ar"/>
              </w:rPr>
              <w:t>s</w:t>
            </w:r>
          </w:p>
          <w:p w14:paraId="6AC5CD1A">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(GPa)</w:t>
            </w:r>
          </w:p>
        </w:tc>
        <w:tc>
          <w:tcPr>
            <w:tcW w:w="742" w:type="pct"/>
            <w:tcBorders>
              <w:top w:val="single" w:color="auto" w:sz="4" w:space="0"/>
              <w:bottom w:val="single" w:color="auto" w:sz="4" w:space="0"/>
            </w:tcBorders>
            <w:vAlign w:val="center"/>
          </w:tcPr>
          <w:p w14:paraId="47E0909C">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eastAsia" w:ascii="Times New Roman" w:hAnsi="Times New Roman" w:eastAsia="Times New Roman" w:cs="Times New Roman"/>
                <w:b/>
                <w:bCs/>
                <w:color w:val="000000"/>
                <w:kern w:val="0"/>
                <w:sz w:val="24"/>
                <w:szCs w:val="24"/>
                <w:lang w:val="en-US" w:eastAsia="zh-CN" w:bidi="ar"/>
              </w:rPr>
            </w:pPr>
            <w:r>
              <w:rPr>
                <w:rFonts w:hint="eastAsia" w:ascii="Times New Roman" w:hAnsi="Times New Roman" w:eastAsia="Times New Roman" w:cs="Times New Roman"/>
                <w:b/>
                <w:bCs/>
                <w:color w:val="000000"/>
                <w:kern w:val="0"/>
                <w:sz w:val="24"/>
                <w:szCs w:val="24"/>
                <w:lang w:val="en-US" w:eastAsia="zh-CN" w:bidi="ar"/>
              </w:rPr>
              <w:t xml:space="preserve">Contact Angle </w:t>
            </w:r>
          </w:p>
          <w:p w14:paraId="7D0B2988">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eastAsia" w:ascii="Times New Roman" w:hAnsi="Times New Roman" w:eastAsia="Times New Roman" w:cs="Times New Roman"/>
                <w:b/>
                <w:bCs/>
                <w:color w:val="000000"/>
                <w:kern w:val="0"/>
                <w:sz w:val="24"/>
                <w:szCs w:val="24"/>
                <w:lang w:val="en-US" w:eastAsia="zh-CN" w:bidi="ar"/>
              </w:rPr>
              <w:t>(°)</w:t>
            </w:r>
          </w:p>
        </w:tc>
      </w:tr>
      <w:tr w14:paraId="03F003A4">
        <w:trPr>
          <w:jc w:val="center"/>
        </w:trPr>
        <w:tc>
          <w:tcPr>
            <w:tcW w:w="626" w:type="pct"/>
            <w:tcBorders>
              <w:top w:val="single" w:color="auto" w:sz="4" w:space="0"/>
            </w:tcBorders>
            <w:vAlign w:val="center"/>
          </w:tcPr>
          <w:p w14:paraId="46AB7397">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Ti</w:t>
            </w:r>
          </w:p>
        </w:tc>
        <w:tc>
          <w:tcPr>
            <w:tcW w:w="728" w:type="pct"/>
            <w:tcBorders>
              <w:top w:val="single" w:color="auto" w:sz="4" w:space="0"/>
            </w:tcBorders>
            <w:vAlign w:val="center"/>
          </w:tcPr>
          <w:p w14:paraId="42C07654">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default" w:ascii="Times New Roman" w:hAnsi="Times New Roman" w:eastAsia="Times New Roman" w:cs="Times New Roman"/>
                <w:color w:val="000000"/>
                <w:kern w:val="0"/>
                <w:sz w:val="24"/>
                <w:szCs w:val="24"/>
                <w:lang w:val="en-US" w:eastAsia="zh-CN" w:bidi="ar"/>
              </w:rPr>
              <w:t>4.78</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0.02</w:t>
            </w:r>
          </w:p>
        </w:tc>
        <w:tc>
          <w:tcPr>
            <w:tcW w:w="895" w:type="pct"/>
            <w:tcBorders>
              <w:top w:val="single" w:color="auto" w:sz="4" w:space="0"/>
            </w:tcBorders>
            <w:vAlign w:val="center"/>
          </w:tcPr>
          <w:p w14:paraId="75E17830">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default" w:ascii="Times New Roman" w:hAnsi="Times New Roman" w:eastAsia="Times New Roman" w:cs="Times New Roman"/>
                <w:color w:val="000000"/>
                <w:kern w:val="0"/>
                <w:sz w:val="24"/>
                <w:szCs w:val="24"/>
                <w:lang w:val="en-US" w:eastAsia="zh-CN" w:bidi="ar"/>
              </w:rPr>
              <w:t>550.33</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37.00</w:t>
            </w:r>
          </w:p>
        </w:tc>
        <w:tc>
          <w:tcPr>
            <w:tcW w:w="1071" w:type="pct"/>
            <w:tcBorders>
              <w:top w:val="single" w:color="auto" w:sz="4" w:space="0"/>
            </w:tcBorders>
            <w:vAlign w:val="center"/>
          </w:tcPr>
          <w:p w14:paraId="679AB08D">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eastAsia" w:ascii="Times New Roman" w:hAnsi="Times New Roman" w:eastAsia="Times New Roman" w:cs="Times New Roman"/>
                <w:color w:val="000000"/>
                <w:kern w:val="0"/>
                <w:sz w:val="24"/>
                <w:szCs w:val="24"/>
                <w:lang w:val="en-US" w:eastAsia="zh-CN" w:bidi="ar"/>
              </w:rPr>
              <w:t xml:space="preserve">120.45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17.13</w:t>
            </w:r>
          </w:p>
        </w:tc>
        <w:tc>
          <w:tcPr>
            <w:tcW w:w="935" w:type="pct"/>
            <w:tcBorders>
              <w:top w:val="single" w:color="auto" w:sz="4" w:space="0"/>
            </w:tcBorders>
            <w:vAlign w:val="center"/>
          </w:tcPr>
          <w:p w14:paraId="0F702929">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default" w:ascii="Times New Roman" w:hAnsi="Times New Roman" w:eastAsia="Times New Roman" w:cs="Times New Roman"/>
                <w:color w:val="000000"/>
                <w:kern w:val="0"/>
                <w:sz w:val="24"/>
                <w:szCs w:val="24"/>
                <w:lang w:val="en-US" w:eastAsia="zh-CN" w:bidi="ar"/>
              </w:rPr>
              <w:t>4.</w:t>
            </w:r>
            <w:r>
              <w:rPr>
                <w:rFonts w:hint="eastAsia" w:ascii="Times New Roman" w:hAnsi="Times New Roman" w:eastAsia="Times New Roman" w:cs="Times New Roman"/>
                <w:color w:val="000000"/>
                <w:kern w:val="0"/>
                <w:sz w:val="24"/>
                <w:szCs w:val="24"/>
                <w:lang w:val="en-US" w:eastAsia="zh-CN" w:bidi="ar"/>
              </w:rPr>
              <w:t xml:space="preserve">02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0.</w:t>
            </w:r>
            <w:r>
              <w:rPr>
                <w:rFonts w:hint="eastAsia" w:ascii="Times New Roman" w:hAnsi="Times New Roman" w:eastAsia="Times New Roman" w:cs="Times New Roman"/>
                <w:color w:val="000000"/>
                <w:kern w:val="0"/>
                <w:sz w:val="24"/>
                <w:szCs w:val="24"/>
                <w:lang w:val="en-US" w:eastAsia="zh-CN" w:bidi="ar"/>
              </w:rPr>
              <w:t>91</w:t>
            </w:r>
          </w:p>
        </w:tc>
        <w:tc>
          <w:tcPr>
            <w:tcW w:w="742" w:type="pct"/>
            <w:tcBorders>
              <w:top w:val="single" w:color="auto" w:sz="4" w:space="0"/>
            </w:tcBorders>
            <w:vAlign w:val="center"/>
          </w:tcPr>
          <w:p w14:paraId="3D64A874">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default" w:ascii="Times New Roman" w:hAnsi="Times New Roman" w:eastAsia="Times New Roman" w:cs="Times New Roman"/>
                <w:color w:val="000000"/>
                <w:kern w:val="0"/>
                <w:sz w:val="24"/>
                <w:szCs w:val="24"/>
                <w:lang w:val="en-US" w:eastAsia="zh-CN" w:bidi="ar"/>
              </w:rPr>
              <w:t>53.63</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2.17</w:t>
            </w:r>
          </w:p>
        </w:tc>
      </w:tr>
      <w:tr w14:paraId="4A86DC70">
        <w:trPr>
          <w:jc w:val="center"/>
        </w:trPr>
        <w:tc>
          <w:tcPr>
            <w:tcW w:w="626" w:type="pct"/>
            <w:tcBorders>
              <w:bottom w:val="single" w:color="auto" w:sz="4" w:space="0"/>
            </w:tcBorders>
            <w:vAlign w:val="center"/>
          </w:tcPr>
          <w:p w14:paraId="0DDF4C9E">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Zr-BMG</w:t>
            </w:r>
          </w:p>
        </w:tc>
        <w:tc>
          <w:tcPr>
            <w:tcW w:w="728" w:type="pct"/>
            <w:tcBorders>
              <w:bottom w:val="single" w:color="auto" w:sz="4" w:space="0"/>
            </w:tcBorders>
            <w:vAlign w:val="center"/>
          </w:tcPr>
          <w:p w14:paraId="5556BCA6">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default" w:ascii="Times New Roman" w:hAnsi="Times New Roman" w:eastAsia="Times New Roman" w:cs="Times New Roman"/>
                <w:color w:val="000000"/>
                <w:kern w:val="0"/>
                <w:sz w:val="24"/>
                <w:szCs w:val="24"/>
                <w:lang w:val="en-US" w:eastAsia="zh-CN" w:bidi="ar"/>
              </w:rPr>
              <w:t>6.27</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0.01</w:t>
            </w:r>
          </w:p>
        </w:tc>
        <w:tc>
          <w:tcPr>
            <w:tcW w:w="895" w:type="pct"/>
            <w:tcBorders>
              <w:bottom w:val="single" w:color="auto" w:sz="4" w:space="0"/>
            </w:tcBorders>
            <w:vAlign w:val="center"/>
          </w:tcPr>
          <w:p w14:paraId="6B49118E">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eastAsia" w:ascii="Times New Roman" w:hAnsi="Times New Roman" w:eastAsia="Times New Roman" w:cs="Times New Roman"/>
                <w:color w:val="000000"/>
                <w:kern w:val="0"/>
                <w:sz w:val="24"/>
                <w:szCs w:val="24"/>
                <w:lang w:val="en-US" w:eastAsia="zh-CN" w:bidi="ar"/>
              </w:rPr>
              <w:t xml:space="preserve">1603.67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98.80</w:t>
            </w:r>
          </w:p>
        </w:tc>
        <w:tc>
          <w:tcPr>
            <w:tcW w:w="1071" w:type="pct"/>
            <w:tcBorders>
              <w:bottom w:val="single" w:color="auto" w:sz="4" w:space="0"/>
            </w:tcBorders>
            <w:vAlign w:val="center"/>
          </w:tcPr>
          <w:p w14:paraId="5F2C3A8D">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default" w:ascii="Times New Roman" w:hAnsi="Times New Roman" w:eastAsia="Times New Roman" w:cs="Times New Roman"/>
                <w:color w:val="000000"/>
                <w:kern w:val="0"/>
                <w:sz w:val="24"/>
                <w:szCs w:val="24"/>
                <w:lang w:val="en-US" w:eastAsia="zh-CN" w:bidi="ar"/>
              </w:rPr>
              <w:t>94.20</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7.16</w:t>
            </w:r>
          </w:p>
        </w:tc>
        <w:tc>
          <w:tcPr>
            <w:tcW w:w="935" w:type="pct"/>
            <w:tcBorders>
              <w:bottom w:val="single" w:color="auto" w:sz="4" w:space="0"/>
            </w:tcBorders>
            <w:vAlign w:val="center"/>
          </w:tcPr>
          <w:p w14:paraId="687CF986">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default" w:ascii="Times New Roman" w:hAnsi="Times New Roman" w:eastAsia="Times New Roman" w:cs="Times New Roman"/>
                <w:color w:val="000000"/>
                <w:kern w:val="0"/>
                <w:sz w:val="24"/>
                <w:szCs w:val="24"/>
                <w:lang w:val="en-US" w:eastAsia="zh-CN" w:bidi="ar"/>
              </w:rPr>
              <w:t>5.30</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1.27</w:t>
            </w:r>
          </w:p>
        </w:tc>
        <w:tc>
          <w:tcPr>
            <w:tcW w:w="742" w:type="pct"/>
            <w:tcBorders>
              <w:bottom w:val="single" w:color="auto" w:sz="4" w:space="0"/>
            </w:tcBorders>
            <w:vAlign w:val="center"/>
          </w:tcPr>
          <w:p w14:paraId="32430673">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default" w:ascii="Times New Roman" w:hAnsi="Times New Roman" w:eastAsia="Times New Roman" w:cs="Times New Roman"/>
                <w:color w:val="000000"/>
                <w:kern w:val="0"/>
                <w:sz w:val="24"/>
                <w:szCs w:val="24"/>
                <w:lang w:val="en-US" w:eastAsia="zh-CN" w:bidi="ar"/>
              </w:rPr>
              <w:t>54.14</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 xml:space="preserve"> </w:t>
            </w:r>
            <w:r>
              <w:rPr>
                <w:rFonts w:hint="default" w:ascii="Times New Roman" w:hAnsi="Times New Roman" w:eastAsia="Times New Roman" w:cs="Times New Roman"/>
                <w:color w:val="000000"/>
                <w:kern w:val="0"/>
                <w:sz w:val="24"/>
                <w:szCs w:val="24"/>
                <w:lang w:val="en-US" w:eastAsia="zh-CN" w:bidi="ar"/>
              </w:rPr>
              <w:t>4.61</w:t>
            </w:r>
          </w:p>
        </w:tc>
      </w:tr>
    </w:tbl>
    <w:p w14:paraId="2602347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leftChars="0" w:right="0" w:rightChars="0"/>
        <w:jc w:val="both"/>
        <w:textAlignment w:val="auto"/>
        <w:rPr>
          <w:rFonts w:hint="default" w:ascii="Times New Roman" w:hAnsi="Times New Roman" w:eastAsia="Times New Roman" w:cs="Times New Roman"/>
          <w:kern w:val="0"/>
          <w:sz w:val="24"/>
          <w:szCs w:val="24"/>
          <w:lang w:val="en-US" w:eastAsia="zh-CN" w:bidi="ar"/>
        </w:rPr>
      </w:pPr>
      <w:r>
        <w:rPr>
          <w:rFonts w:hint="default" w:ascii="Times New Roman" w:hAnsi="Times New Roman" w:eastAsia="Times New Roman" w:cs="Times New Roman"/>
          <w:b/>
          <w:bCs/>
          <w:kern w:val="0"/>
          <w:sz w:val="24"/>
          <w:szCs w:val="24"/>
          <w:lang w:val="en-US" w:eastAsia="zh-CN" w:bidi="ar"/>
        </w:rPr>
        <w:t>Table 1.</w:t>
      </w:r>
      <w:r>
        <w:rPr>
          <w:rFonts w:hint="default" w:ascii="Times New Roman" w:hAnsi="Times New Roman" w:eastAsia="Times New Roman" w:cs="Times New Roman"/>
          <w:kern w:val="0"/>
          <w:sz w:val="24"/>
          <w:szCs w:val="24"/>
          <w:lang w:val="en-US" w:eastAsia="zh-CN" w:bidi="ar"/>
        </w:rPr>
        <w:t xml:space="preserve"> Density, compressive </w:t>
      </w:r>
      <w:r>
        <w:rPr>
          <w:rFonts w:hint="eastAsia" w:ascii="Times New Roman" w:hAnsi="Times New Roman" w:eastAsia="Times New Roman" w:cs="Times New Roman"/>
          <w:kern w:val="0"/>
          <w:sz w:val="24"/>
          <w:szCs w:val="24"/>
          <w:lang w:val="en-US" w:eastAsia="zh-CN" w:bidi="ar"/>
        </w:rPr>
        <w:t>strength</w:t>
      </w:r>
      <w:r>
        <w:rPr>
          <w:rFonts w:hint="default" w:ascii="Times New Roman" w:hAnsi="Times New Roman" w:eastAsia="Times New Roman" w:cs="Times New Roman"/>
          <w:kern w:val="0"/>
          <w:sz w:val="24"/>
          <w:szCs w:val="24"/>
          <w:lang w:val="en-US" w:eastAsia="zh-CN" w:bidi="ar"/>
        </w:rPr>
        <w:t>,</w:t>
      </w:r>
      <w:r>
        <w:rPr>
          <w:rFonts w:hint="eastAsia" w:ascii="Times New Roman" w:hAnsi="Times New Roman" w:eastAsia="Times New Roman" w:cs="Times New Roman"/>
          <w:kern w:val="0"/>
          <w:sz w:val="24"/>
          <w:szCs w:val="24"/>
          <w:lang w:val="en-US" w:eastAsia="zh-CN" w:bidi="ar"/>
        </w:rPr>
        <w:t xml:space="preserve"> reduced</w:t>
      </w:r>
      <w:r>
        <w:rPr>
          <w:rFonts w:hint="default" w:ascii="Times New Roman" w:hAnsi="Times New Roman" w:eastAsia="Times New Roman" w:cs="Times New Roman"/>
          <w:kern w:val="0"/>
          <w:sz w:val="24"/>
          <w:szCs w:val="24"/>
          <w:lang w:val="en-US" w:eastAsia="zh-CN" w:bidi="ar"/>
        </w:rPr>
        <w:t xml:space="preserve"> young’s modulus and </w:t>
      </w:r>
      <w:r>
        <w:rPr>
          <w:rFonts w:hint="eastAsia" w:ascii="Times New Roman" w:hAnsi="Times New Roman" w:eastAsia="Times New Roman" w:cs="Times New Roman"/>
          <w:kern w:val="0"/>
          <w:sz w:val="24"/>
          <w:szCs w:val="24"/>
          <w:lang w:val="en-US" w:eastAsia="zh-CN" w:bidi="ar"/>
        </w:rPr>
        <w:t xml:space="preserve">contact angle. Data were presented as mean ± SD. </w:t>
      </w:r>
    </w:p>
    <w:tbl>
      <w:tblPr>
        <w:tblStyle w:val="10"/>
        <w:tblpPr w:leftFromText="180" w:rightFromText="180" w:vertAnchor="page" w:horzAnchor="page" w:tblpX="725" w:tblpY="4843"/>
        <w:tblOverlap w:val="never"/>
        <w:tblW w:w="5710"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15"/>
        <w:gridCol w:w="2140"/>
        <w:gridCol w:w="1763"/>
        <w:gridCol w:w="2002"/>
        <w:gridCol w:w="3388"/>
      </w:tblGrid>
      <w:tr w14:paraId="660BA112">
        <w:trPr>
          <w:trHeight w:val="1357" w:hRule="atLeast"/>
          <w:jc w:val="center"/>
        </w:trPr>
        <w:tc>
          <w:tcPr>
            <w:tcW w:w="619" w:type="pct"/>
            <w:tcBorders>
              <w:top w:val="single" w:color="auto" w:sz="4" w:space="0"/>
              <w:bottom w:val="single" w:color="auto" w:sz="4" w:space="0"/>
            </w:tcBorders>
            <w:vAlign w:val="center"/>
          </w:tcPr>
          <w:p w14:paraId="3C63C26D">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Materials</w:t>
            </w:r>
          </w:p>
        </w:tc>
        <w:tc>
          <w:tcPr>
            <w:tcW w:w="1008" w:type="pct"/>
            <w:tcBorders>
              <w:top w:val="single" w:color="auto" w:sz="4" w:space="0"/>
              <w:bottom w:val="single" w:color="auto" w:sz="4" w:space="0"/>
            </w:tcBorders>
            <w:vAlign w:val="center"/>
          </w:tcPr>
          <w:p w14:paraId="4ACB4B32">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both"/>
              <w:textAlignment w:val="auto"/>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E</w:t>
            </w:r>
            <w:r>
              <w:rPr>
                <w:rFonts w:hint="default" w:ascii="Times New Roman" w:hAnsi="Times New Roman" w:eastAsia="Times New Roman" w:cs="Times New Roman"/>
                <w:b/>
                <w:bCs/>
                <w:color w:val="000000"/>
                <w:kern w:val="0"/>
                <w:sz w:val="24"/>
                <w:szCs w:val="24"/>
                <w:vertAlign w:val="subscript"/>
                <w:lang w:val="en-US" w:eastAsia="zh-CN" w:bidi="ar"/>
              </w:rPr>
              <w:t>corr</w:t>
            </w:r>
            <w:r>
              <w:rPr>
                <w:rFonts w:hint="eastAsia" w:ascii="Times New Roman" w:hAnsi="Times New Roman" w:eastAsia="Times New Roman" w:cs="Times New Roman"/>
                <w:b/>
                <w:bCs/>
                <w:color w:val="000000"/>
                <w:kern w:val="0"/>
                <w:sz w:val="24"/>
                <w:szCs w:val="24"/>
                <w:vertAlign w:val="subscript"/>
                <w:lang w:val="en-US" w:eastAsia="zh-CN" w:bidi="ar"/>
              </w:rPr>
              <w:t xml:space="preserve"> </w:t>
            </w:r>
            <w:r>
              <w:rPr>
                <w:rFonts w:hint="eastAsia" w:ascii="Times New Roman" w:hAnsi="Times New Roman" w:eastAsia="Times New Roman" w:cs="Times New Roman"/>
                <w:b/>
                <w:bCs/>
                <w:color w:val="000000"/>
                <w:kern w:val="0"/>
                <w:sz w:val="24"/>
                <w:szCs w:val="24"/>
                <w:vertAlign w:val="baseline"/>
                <w:lang w:val="en-US" w:eastAsia="zh-CN" w:bidi="ar"/>
              </w:rPr>
              <w:t xml:space="preserve">(V VS SCE) </w:t>
            </w:r>
          </w:p>
        </w:tc>
        <w:tc>
          <w:tcPr>
            <w:tcW w:w="830" w:type="pct"/>
            <w:tcBorders>
              <w:top w:val="single" w:color="auto" w:sz="4" w:space="0"/>
              <w:bottom w:val="single" w:color="auto" w:sz="4" w:space="0"/>
            </w:tcBorders>
            <w:vAlign w:val="center"/>
          </w:tcPr>
          <w:p w14:paraId="21022C99">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both"/>
              <w:textAlignment w:val="auto"/>
              <w:rPr>
                <w:rFonts w:hint="default" w:ascii="Times New Roman" w:hAnsi="Times New Roman" w:eastAsia="Times New Roman" w:cs="Times New Roman"/>
                <w:b/>
                <w:bCs/>
                <w:color w:val="000000"/>
                <w:kern w:val="0"/>
                <w:sz w:val="24"/>
                <w:szCs w:val="24"/>
                <w:vertAlign w:val="subscript"/>
                <w:lang w:val="en-US" w:eastAsia="zh-CN" w:bidi="ar"/>
              </w:rPr>
            </w:pPr>
            <w:r>
              <w:rPr>
                <w:rFonts w:hint="eastAsia" w:ascii="Times New Roman" w:hAnsi="Times New Roman" w:eastAsia="Times New Roman" w:cs="Times New Roman"/>
                <w:b/>
                <w:bCs/>
                <w:color w:val="000000"/>
                <w:kern w:val="0"/>
                <w:sz w:val="24"/>
                <w:szCs w:val="24"/>
                <w:lang w:val="en-US" w:eastAsia="zh-CN" w:bidi="ar"/>
              </w:rPr>
              <w:t>I</w:t>
            </w:r>
            <w:r>
              <w:rPr>
                <w:rFonts w:hint="eastAsia" w:ascii="Times New Roman" w:hAnsi="Times New Roman" w:eastAsia="Times New Roman" w:cs="Times New Roman"/>
                <w:b/>
                <w:bCs/>
                <w:color w:val="000000"/>
                <w:kern w:val="0"/>
                <w:sz w:val="24"/>
                <w:szCs w:val="24"/>
                <w:vertAlign w:val="subscript"/>
                <w:lang w:val="en-US" w:eastAsia="zh-CN" w:bidi="ar"/>
              </w:rPr>
              <w:t xml:space="preserve">corr </w:t>
            </w:r>
            <w:r>
              <w:rPr>
                <w:rFonts w:hint="eastAsia" w:ascii="Times New Roman" w:hAnsi="Times New Roman" w:eastAsia="Times New Roman" w:cs="Times New Roman"/>
                <w:b/>
                <w:bCs/>
                <w:color w:val="000000"/>
                <w:kern w:val="0"/>
                <w:sz w:val="24"/>
                <w:szCs w:val="24"/>
                <w:vertAlign w:val="baseline"/>
                <w:lang w:val="en-US" w:eastAsia="zh-CN" w:bidi="ar"/>
              </w:rPr>
              <w:t>(A/cm</w:t>
            </w:r>
            <w:r>
              <w:rPr>
                <w:rFonts w:hint="eastAsia" w:ascii="Times New Roman" w:hAnsi="Times New Roman" w:eastAsia="Times New Roman" w:cs="Times New Roman"/>
                <w:b/>
                <w:bCs/>
                <w:color w:val="000000"/>
                <w:kern w:val="0"/>
                <w:sz w:val="24"/>
                <w:szCs w:val="24"/>
                <w:vertAlign w:val="superscript"/>
                <w:lang w:val="en-US" w:eastAsia="zh-CN" w:bidi="ar"/>
              </w:rPr>
              <w:t>2</w:t>
            </w:r>
            <w:r>
              <w:rPr>
                <w:rFonts w:hint="eastAsia" w:ascii="Times New Roman" w:hAnsi="Times New Roman" w:eastAsia="Times New Roman" w:cs="Times New Roman"/>
                <w:b/>
                <w:bCs/>
                <w:color w:val="000000"/>
                <w:kern w:val="0"/>
                <w:sz w:val="24"/>
                <w:szCs w:val="24"/>
                <w:vertAlign w:val="baseline"/>
                <w:lang w:val="en-US" w:eastAsia="zh-CN" w:bidi="ar"/>
              </w:rPr>
              <w:t>)</w:t>
            </w:r>
          </w:p>
        </w:tc>
        <w:tc>
          <w:tcPr>
            <w:tcW w:w="943" w:type="pct"/>
            <w:tcBorders>
              <w:top w:val="single" w:color="auto" w:sz="4" w:space="0"/>
              <w:bottom w:val="single" w:color="auto" w:sz="4" w:space="0"/>
            </w:tcBorders>
            <w:vAlign w:val="center"/>
          </w:tcPr>
          <w:p w14:paraId="6EE330AD">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eastAsia" w:ascii="Times New Roman" w:hAnsi="Times New Roman" w:eastAsia="Times New Roman" w:cs="Times New Roman"/>
                <w:b/>
                <w:bCs/>
                <w:color w:val="000000"/>
                <w:kern w:val="0"/>
                <w:sz w:val="24"/>
                <w:szCs w:val="24"/>
                <w:lang w:val="en-US" w:eastAsia="zh-CN" w:bidi="ar"/>
              </w:rPr>
            </w:pPr>
            <w:r>
              <w:rPr>
                <w:rFonts w:hint="eastAsia" w:ascii="Times New Roman" w:hAnsi="Times New Roman" w:eastAsia="Times New Roman" w:cs="Times New Roman"/>
                <w:b/>
                <w:bCs/>
                <w:color w:val="000000"/>
                <w:kern w:val="0"/>
                <w:sz w:val="24"/>
                <w:szCs w:val="24"/>
                <w:lang w:val="en-US" w:eastAsia="zh-CN" w:bidi="ar"/>
              </w:rPr>
              <w:t>Passive region</w:t>
            </w:r>
          </w:p>
          <w:p w14:paraId="3259013C">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(V</w:t>
            </w:r>
            <w:r>
              <w:rPr>
                <w:rFonts w:hint="eastAsia" w:ascii="Times New Roman" w:hAnsi="Times New Roman" w:eastAsia="Times New Roman" w:cs="Times New Roman"/>
                <w:b/>
                <w:bCs/>
                <w:color w:val="000000"/>
                <w:kern w:val="0"/>
                <w:sz w:val="24"/>
                <w:szCs w:val="24"/>
                <w:lang w:val="en-US" w:eastAsia="zh-CN" w:bidi="ar"/>
              </w:rPr>
              <w:t xml:space="preserve"> vs SCE</w:t>
            </w:r>
            <w:r>
              <w:rPr>
                <w:rFonts w:hint="default" w:ascii="Times New Roman" w:hAnsi="Times New Roman" w:eastAsia="Times New Roman" w:cs="Times New Roman"/>
                <w:b/>
                <w:bCs/>
                <w:color w:val="000000"/>
                <w:kern w:val="0"/>
                <w:sz w:val="24"/>
                <w:szCs w:val="24"/>
                <w:lang w:val="en-US" w:eastAsia="zh-CN" w:bidi="ar"/>
              </w:rPr>
              <w:t>)</w:t>
            </w:r>
          </w:p>
        </w:tc>
        <w:tc>
          <w:tcPr>
            <w:tcW w:w="1596" w:type="pct"/>
            <w:tcBorders>
              <w:top w:val="single" w:color="auto" w:sz="4" w:space="0"/>
              <w:bottom w:val="single" w:color="auto" w:sz="4" w:space="0"/>
            </w:tcBorders>
            <w:vAlign w:val="center"/>
          </w:tcPr>
          <w:p w14:paraId="6C3E7936">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eastAsia" w:ascii="Times New Roman" w:hAnsi="Times New Roman" w:eastAsia="Times New Roman" w:cs="Times New Roman"/>
                <w:b/>
                <w:bCs/>
                <w:color w:val="000000"/>
                <w:kern w:val="0"/>
                <w:sz w:val="24"/>
                <w:szCs w:val="24"/>
                <w:lang w:val="en-US" w:eastAsia="zh-CN" w:bidi="ar"/>
              </w:rPr>
            </w:pPr>
            <w:r>
              <w:rPr>
                <w:rFonts w:hint="eastAsia" w:ascii="Times New Roman" w:hAnsi="Times New Roman" w:eastAsia="Times New Roman" w:cs="Times New Roman"/>
                <w:b/>
                <w:bCs/>
                <w:color w:val="000000"/>
                <w:kern w:val="0"/>
                <w:sz w:val="24"/>
                <w:szCs w:val="24"/>
                <w:lang w:val="en-US" w:eastAsia="zh-CN" w:bidi="ar"/>
              </w:rPr>
              <w:t xml:space="preserve">Pitting corrosion potential </w:t>
            </w:r>
          </w:p>
          <w:p w14:paraId="0172FC96">
            <w:pPr>
              <w:keepNext w:val="0"/>
              <w:keepLines w:val="0"/>
              <w:pageBreakBefore w:val="0"/>
              <w:widowControl/>
              <w:suppressLineNumbers w:val="0"/>
              <w:kinsoku/>
              <w:wordWrap/>
              <w:overflowPunct/>
              <w:topLinePunct w:val="0"/>
              <w:autoSpaceDE/>
              <w:autoSpaceDN/>
              <w:bidi w:val="0"/>
              <w:adjustRightInd/>
              <w:snapToGrid/>
              <w:spacing w:before="0" w:beforeAutospacing="1" w:after="0" w:afterAutospacing="1" w:line="240" w:lineRule="atLeast"/>
              <w:ind w:left="0" w:leftChars="0" w:right="0" w:rightChars="0"/>
              <w:jc w:val="center"/>
              <w:textAlignment w:val="auto"/>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(V</w:t>
            </w:r>
            <w:r>
              <w:rPr>
                <w:rFonts w:hint="eastAsia" w:ascii="Times New Roman" w:hAnsi="Times New Roman" w:eastAsia="Times New Roman" w:cs="Times New Roman"/>
                <w:b/>
                <w:bCs/>
                <w:color w:val="000000"/>
                <w:kern w:val="0"/>
                <w:sz w:val="24"/>
                <w:szCs w:val="24"/>
                <w:lang w:val="en-US" w:eastAsia="zh-CN" w:bidi="ar"/>
              </w:rPr>
              <w:t xml:space="preserve"> vs SCE</w:t>
            </w:r>
            <w:r>
              <w:rPr>
                <w:rFonts w:hint="default" w:ascii="Times New Roman" w:hAnsi="Times New Roman" w:eastAsia="Times New Roman" w:cs="Times New Roman"/>
                <w:b/>
                <w:bCs/>
                <w:color w:val="000000"/>
                <w:kern w:val="0"/>
                <w:sz w:val="24"/>
                <w:szCs w:val="24"/>
                <w:lang w:val="en-US" w:eastAsia="zh-CN" w:bidi="ar"/>
              </w:rPr>
              <w:t>)</w:t>
            </w:r>
          </w:p>
        </w:tc>
      </w:tr>
      <w:tr w14:paraId="14078DFE">
        <w:trPr>
          <w:jc w:val="center"/>
        </w:trPr>
        <w:tc>
          <w:tcPr>
            <w:tcW w:w="619" w:type="pct"/>
            <w:tcBorders>
              <w:top w:val="single" w:color="auto" w:sz="4" w:space="0"/>
            </w:tcBorders>
            <w:vAlign w:val="center"/>
          </w:tcPr>
          <w:p w14:paraId="2B33881F">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b/>
                <w:bCs/>
                <w:color w:val="000000"/>
                <w:kern w:val="0"/>
                <w:sz w:val="24"/>
                <w:szCs w:val="24"/>
                <w:lang w:val="en-US" w:eastAsia="zh-CN" w:bidi="ar"/>
              </w:rPr>
            </w:pPr>
            <w:r>
              <w:rPr>
                <w:rFonts w:hint="default" w:ascii="Times New Roman" w:hAnsi="Times New Roman" w:eastAsia="Times New Roman" w:cs="Times New Roman"/>
                <w:b/>
                <w:bCs/>
                <w:color w:val="000000"/>
                <w:kern w:val="0"/>
                <w:sz w:val="24"/>
                <w:szCs w:val="24"/>
                <w:lang w:val="en-US" w:eastAsia="zh-CN" w:bidi="ar"/>
              </w:rPr>
              <w:t>Ti</w:t>
            </w:r>
          </w:p>
        </w:tc>
        <w:tc>
          <w:tcPr>
            <w:tcW w:w="1008" w:type="pct"/>
            <w:tcBorders>
              <w:top w:val="single" w:color="auto" w:sz="4" w:space="0"/>
            </w:tcBorders>
            <w:vAlign w:val="center"/>
          </w:tcPr>
          <w:p w14:paraId="2B8616FB">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eastAsia" w:ascii="Times New Roman" w:hAnsi="Times New Roman" w:eastAsia="Times New Roman" w:cs="Times New Roman"/>
                <w:color w:val="000000"/>
                <w:kern w:val="0"/>
                <w:sz w:val="24"/>
                <w:szCs w:val="24"/>
                <w:lang w:val="en-US" w:eastAsia="zh-CN" w:bidi="ar"/>
              </w:rPr>
              <w:t>-0.45</w:t>
            </w:r>
          </w:p>
        </w:tc>
        <w:tc>
          <w:tcPr>
            <w:tcW w:w="830" w:type="pct"/>
            <w:tcBorders>
              <w:top w:val="single" w:color="auto" w:sz="4" w:space="0"/>
            </w:tcBorders>
            <w:vAlign w:val="center"/>
          </w:tcPr>
          <w:p w14:paraId="6BFB9B73">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eastAsia" w:ascii="Times New Roman" w:hAnsi="Times New Roman" w:eastAsia="Times New Roman" w:cs="Times New Roman"/>
                <w:color w:val="000000"/>
                <w:kern w:val="0"/>
                <w:sz w:val="24"/>
                <w:szCs w:val="24"/>
                <w:lang w:val="en-US" w:eastAsia="zh-CN" w:bidi="ar"/>
              </w:rPr>
              <w:t>8.53</w:t>
            </w:r>
            <w:r>
              <w:rPr>
                <w:rFonts w:hint="default" w:ascii="Times New Roman" w:hAnsi="Times New Roman" w:eastAsia="Times New Roman" w:cs="Arial"/>
                <w:color w:val="000000"/>
                <w:kern w:val="0"/>
                <w:sz w:val="24"/>
                <w:szCs w:val="24"/>
                <w:lang w:val="en-US" w:eastAsia="zh-CN" w:bidi="ar"/>
              </w:rPr>
              <w:t>×</w:t>
            </w:r>
            <w:r>
              <w:rPr>
                <w:rFonts w:hint="eastAsia" w:ascii="Times New Roman" w:hAnsi="Times New Roman" w:eastAsia="Times New Roman" w:cs="Times New Roman"/>
                <w:color w:val="000000"/>
                <w:kern w:val="0"/>
                <w:sz w:val="24"/>
                <w:szCs w:val="24"/>
                <w:lang w:val="en-US" w:eastAsia="zh-CN" w:bidi="ar"/>
              </w:rPr>
              <w:t>10</w:t>
            </w:r>
            <w:r>
              <w:rPr>
                <w:rFonts w:hint="eastAsia" w:ascii="Times New Roman" w:hAnsi="Times New Roman" w:eastAsia="Times New Roman" w:cs="Times New Roman"/>
                <w:color w:val="000000"/>
                <w:kern w:val="0"/>
                <w:sz w:val="24"/>
                <w:szCs w:val="24"/>
                <w:vertAlign w:val="superscript"/>
                <w:lang w:val="en-US" w:eastAsia="zh-CN" w:bidi="ar"/>
              </w:rPr>
              <w:t>-8</w:t>
            </w:r>
          </w:p>
        </w:tc>
        <w:tc>
          <w:tcPr>
            <w:tcW w:w="943" w:type="pct"/>
            <w:tcBorders>
              <w:top w:val="single" w:color="auto" w:sz="4" w:space="0"/>
            </w:tcBorders>
            <w:vAlign w:val="center"/>
          </w:tcPr>
          <w:p w14:paraId="4BB22B45">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eastAsia" w:ascii="Times New Roman" w:hAnsi="Times New Roman" w:eastAsia="Times New Roman" w:cs="Times New Roman"/>
                <w:color w:val="000000"/>
                <w:kern w:val="0"/>
                <w:sz w:val="24"/>
                <w:szCs w:val="24"/>
                <w:lang w:val="en-US" w:eastAsia="zh-CN" w:bidi="ar"/>
              </w:rPr>
              <w:t>-</w:t>
            </w:r>
          </w:p>
        </w:tc>
        <w:tc>
          <w:tcPr>
            <w:tcW w:w="1596" w:type="pct"/>
            <w:tcBorders>
              <w:top w:val="single" w:color="auto" w:sz="4" w:space="0"/>
            </w:tcBorders>
            <w:vAlign w:val="center"/>
          </w:tcPr>
          <w:p w14:paraId="17CED3C4">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lang w:val="en-US" w:eastAsia="zh-CN" w:bidi="ar"/>
              </w:rPr>
            </w:pPr>
            <w:r>
              <w:rPr>
                <w:rFonts w:hint="eastAsia" w:ascii="Times New Roman" w:hAnsi="Times New Roman" w:eastAsia="Times New Roman" w:cs="Times New Roman"/>
                <w:color w:val="000000"/>
                <w:kern w:val="0"/>
                <w:sz w:val="24"/>
                <w:szCs w:val="24"/>
                <w:lang w:val="en-US" w:eastAsia="zh-CN" w:bidi="ar"/>
              </w:rPr>
              <w:t>-</w:t>
            </w:r>
          </w:p>
        </w:tc>
      </w:tr>
      <w:tr w14:paraId="0F6F657B">
        <w:trPr>
          <w:jc w:val="center"/>
        </w:trPr>
        <w:tc>
          <w:tcPr>
            <w:tcW w:w="619" w:type="pct"/>
            <w:tcBorders>
              <w:bottom w:val="single" w:color="auto" w:sz="4" w:space="0"/>
            </w:tcBorders>
            <w:vAlign w:val="center"/>
          </w:tcPr>
          <w:p w14:paraId="7D83AB41">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b/>
                <w:bCs/>
                <w:color w:val="000000"/>
                <w:kern w:val="0"/>
                <w:sz w:val="24"/>
                <w:szCs w:val="24"/>
                <w:highlight w:val="none"/>
                <w:lang w:val="en-US" w:eastAsia="zh-CN" w:bidi="ar"/>
              </w:rPr>
            </w:pPr>
            <w:r>
              <w:rPr>
                <w:rFonts w:hint="default" w:ascii="Times New Roman" w:hAnsi="Times New Roman" w:eastAsia="Times New Roman" w:cs="Times New Roman"/>
                <w:b/>
                <w:bCs/>
                <w:color w:val="000000"/>
                <w:kern w:val="0"/>
                <w:sz w:val="24"/>
                <w:szCs w:val="24"/>
                <w:highlight w:val="none"/>
                <w:lang w:val="en-US" w:eastAsia="zh-CN" w:bidi="ar"/>
              </w:rPr>
              <w:t>Zr-BMG</w:t>
            </w:r>
          </w:p>
        </w:tc>
        <w:tc>
          <w:tcPr>
            <w:tcW w:w="1008" w:type="pct"/>
            <w:tcBorders>
              <w:bottom w:val="single" w:color="auto" w:sz="4" w:space="0"/>
            </w:tcBorders>
            <w:vAlign w:val="center"/>
          </w:tcPr>
          <w:p w14:paraId="266C9058">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highlight w:val="none"/>
                <w:lang w:val="en-US" w:eastAsia="zh-CN" w:bidi="ar"/>
              </w:rPr>
            </w:pPr>
            <w:r>
              <w:rPr>
                <w:rFonts w:hint="eastAsia" w:ascii="Times New Roman" w:hAnsi="Times New Roman" w:eastAsia="Times New Roman" w:cs="Times New Roman"/>
                <w:color w:val="000000"/>
                <w:kern w:val="0"/>
                <w:sz w:val="24"/>
                <w:szCs w:val="24"/>
                <w:highlight w:val="none"/>
                <w:lang w:val="en-US" w:eastAsia="zh-CN" w:bidi="ar"/>
              </w:rPr>
              <w:t>-0.30</w:t>
            </w:r>
          </w:p>
        </w:tc>
        <w:tc>
          <w:tcPr>
            <w:tcW w:w="830" w:type="pct"/>
            <w:tcBorders>
              <w:bottom w:val="single" w:color="auto" w:sz="4" w:space="0"/>
            </w:tcBorders>
            <w:vAlign w:val="center"/>
          </w:tcPr>
          <w:p w14:paraId="6B3D2F31">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highlight w:val="none"/>
                <w:lang w:val="en-US" w:eastAsia="zh-CN" w:bidi="ar"/>
              </w:rPr>
            </w:pPr>
            <w:r>
              <w:rPr>
                <w:rFonts w:hint="eastAsia" w:ascii="Times New Roman" w:hAnsi="Times New Roman" w:eastAsia="Times New Roman" w:cs="Times New Roman"/>
                <w:color w:val="000000"/>
                <w:kern w:val="0"/>
                <w:sz w:val="24"/>
                <w:szCs w:val="24"/>
                <w:highlight w:val="none"/>
                <w:lang w:val="en-US" w:eastAsia="zh-CN" w:bidi="ar"/>
              </w:rPr>
              <w:t>1.09</w:t>
            </w:r>
            <w:r>
              <w:rPr>
                <w:rFonts w:hint="default" w:ascii="Times New Roman" w:hAnsi="Times New Roman" w:eastAsia="Times New Roman" w:cs="Arial"/>
                <w:color w:val="000000"/>
                <w:kern w:val="0"/>
                <w:sz w:val="24"/>
                <w:szCs w:val="24"/>
                <w:highlight w:val="none"/>
                <w:lang w:val="en-US" w:eastAsia="zh-CN" w:bidi="ar"/>
              </w:rPr>
              <w:t>×</w:t>
            </w:r>
            <w:r>
              <w:rPr>
                <w:rFonts w:hint="eastAsia" w:ascii="Times New Roman" w:hAnsi="Times New Roman" w:eastAsia="Times New Roman" w:cs="Times New Roman"/>
                <w:color w:val="000000"/>
                <w:kern w:val="0"/>
                <w:sz w:val="24"/>
                <w:szCs w:val="24"/>
                <w:highlight w:val="none"/>
                <w:lang w:val="en-US" w:eastAsia="zh-CN" w:bidi="ar"/>
              </w:rPr>
              <w:t>10</w:t>
            </w:r>
            <w:r>
              <w:rPr>
                <w:rFonts w:hint="eastAsia" w:ascii="Times New Roman" w:hAnsi="Times New Roman" w:eastAsia="Times New Roman" w:cs="Times New Roman"/>
                <w:color w:val="000000"/>
                <w:kern w:val="0"/>
                <w:sz w:val="24"/>
                <w:szCs w:val="24"/>
                <w:highlight w:val="none"/>
                <w:vertAlign w:val="superscript"/>
                <w:lang w:val="en-US" w:eastAsia="zh-CN" w:bidi="ar"/>
              </w:rPr>
              <w:t>-7</w:t>
            </w:r>
          </w:p>
        </w:tc>
        <w:tc>
          <w:tcPr>
            <w:tcW w:w="943" w:type="pct"/>
            <w:tcBorders>
              <w:bottom w:val="single" w:color="auto" w:sz="4" w:space="0"/>
            </w:tcBorders>
            <w:vAlign w:val="center"/>
          </w:tcPr>
          <w:p w14:paraId="25BB7B2D">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highlight w:val="none"/>
                <w:lang w:val="en-US" w:eastAsia="zh-CN" w:bidi="ar"/>
              </w:rPr>
            </w:pPr>
            <w:r>
              <w:rPr>
                <w:rFonts w:hint="eastAsia" w:ascii="Times New Roman" w:hAnsi="Times New Roman" w:eastAsia="Times New Roman" w:cs="Times New Roman"/>
                <w:color w:val="000000"/>
                <w:kern w:val="0"/>
                <w:sz w:val="24"/>
                <w:szCs w:val="24"/>
                <w:highlight w:val="none"/>
                <w:lang w:val="en-US" w:eastAsia="zh-CN" w:bidi="ar"/>
              </w:rPr>
              <w:t>0.03</w:t>
            </w:r>
          </w:p>
        </w:tc>
        <w:tc>
          <w:tcPr>
            <w:tcW w:w="1596" w:type="pct"/>
            <w:tcBorders>
              <w:bottom w:val="single" w:color="auto" w:sz="4" w:space="0"/>
            </w:tcBorders>
            <w:vAlign w:val="center"/>
          </w:tcPr>
          <w:p w14:paraId="46DB6A83">
            <w:pPr>
              <w:keepNext w:val="0"/>
              <w:keepLines w:val="0"/>
              <w:widowControl/>
              <w:suppressLineNumbers w:val="0"/>
              <w:spacing w:before="0" w:beforeAutospacing="1" w:after="0" w:afterAutospacing="1"/>
              <w:ind w:left="0" w:leftChars="0" w:right="0" w:rightChars="0"/>
              <w:jc w:val="center"/>
              <w:rPr>
                <w:rFonts w:hint="default" w:ascii="Times New Roman" w:hAnsi="Times New Roman" w:eastAsia="Times New Roman" w:cs="Times New Roman"/>
                <w:color w:val="000000"/>
                <w:kern w:val="0"/>
                <w:sz w:val="24"/>
                <w:szCs w:val="24"/>
                <w:highlight w:val="none"/>
                <w:lang w:val="en-US" w:eastAsia="zh-CN" w:bidi="ar"/>
              </w:rPr>
            </w:pPr>
            <w:r>
              <w:rPr>
                <w:rFonts w:hint="eastAsia" w:ascii="Times New Roman" w:hAnsi="Times New Roman" w:eastAsia="Times New Roman" w:cs="Times New Roman"/>
                <w:color w:val="000000"/>
                <w:kern w:val="0"/>
                <w:sz w:val="24"/>
                <w:szCs w:val="24"/>
                <w:highlight w:val="none"/>
                <w:lang w:val="en-US" w:eastAsia="zh-CN" w:bidi="ar"/>
              </w:rPr>
              <w:t>-0.06</w:t>
            </w:r>
          </w:p>
        </w:tc>
      </w:tr>
    </w:tbl>
    <w:p w14:paraId="7F93530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leftChars="0" w:right="0" w:rightChars="0"/>
        <w:jc w:val="both"/>
        <w:textAlignment w:val="auto"/>
        <w:rPr>
          <w:rFonts w:hint="default" w:ascii="Times New Roman" w:hAnsi="Times New Roman" w:eastAsia="Times New Roman" w:cs="Times New Roman"/>
          <w:i w:val="0"/>
          <w:iCs w:val="0"/>
          <w:kern w:val="0"/>
          <w:sz w:val="24"/>
          <w:szCs w:val="24"/>
          <w:highlight w:val="none"/>
          <w:lang w:val="en-US" w:eastAsia="zh-CN" w:bidi="ar"/>
        </w:rPr>
      </w:pPr>
      <w:r>
        <w:rPr>
          <w:rFonts w:hint="default" w:ascii="Times New Roman" w:hAnsi="Times New Roman" w:eastAsia="Times New Roman" w:cs="Times New Roman"/>
          <w:b/>
          <w:bCs/>
          <w:kern w:val="0"/>
          <w:sz w:val="24"/>
          <w:szCs w:val="24"/>
          <w:highlight w:val="none"/>
          <w:lang w:val="en-US" w:eastAsia="zh-CN" w:bidi="ar"/>
        </w:rPr>
        <w:t xml:space="preserve">Table </w:t>
      </w:r>
      <w:r>
        <w:rPr>
          <w:rFonts w:hint="eastAsia" w:ascii="Times New Roman" w:hAnsi="Times New Roman" w:eastAsia="Times New Roman" w:cs="Times New Roman"/>
          <w:b/>
          <w:bCs/>
          <w:kern w:val="0"/>
          <w:sz w:val="24"/>
          <w:szCs w:val="24"/>
          <w:highlight w:val="none"/>
          <w:lang w:val="en-US" w:eastAsia="zh-CN" w:bidi="ar"/>
        </w:rPr>
        <w:t>2</w:t>
      </w:r>
      <w:r>
        <w:rPr>
          <w:rFonts w:hint="default" w:ascii="Times New Roman" w:hAnsi="Times New Roman" w:eastAsia="Times New Roman" w:cs="Times New Roman"/>
          <w:b/>
          <w:bCs/>
          <w:kern w:val="0"/>
          <w:sz w:val="24"/>
          <w:szCs w:val="24"/>
          <w:highlight w:val="none"/>
          <w:lang w:val="en-US" w:eastAsia="zh-CN" w:bidi="ar"/>
        </w:rPr>
        <w:t>.</w:t>
      </w:r>
      <w:r>
        <w:rPr>
          <w:rFonts w:hint="eastAsia" w:ascii="Times New Roman" w:hAnsi="Times New Roman" w:eastAsia="Times New Roman" w:cs="Times New Roman"/>
          <w:b/>
          <w:bCs/>
          <w:kern w:val="0"/>
          <w:sz w:val="24"/>
          <w:szCs w:val="24"/>
          <w:highlight w:val="none"/>
          <w:lang w:val="en-US" w:eastAsia="zh-CN" w:bidi="ar"/>
        </w:rPr>
        <w:t xml:space="preserve"> </w:t>
      </w:r>
      <w:r>
        <w:rPr>
          <w:rFonts w:hint="eastAsia" w:ascii="Times New Roman" w:hAnsi="Times New Roman" w:eastAsia="Times New Roman" w:cs="Times New Roman"/>
          <w:i w:val="0"/>
          <w:iCs w:val="0"/>
          <w:kern w:val="0"/>
          <w:sz w:val="24"/>
          <w:szCs w:val="24"/>
          <w:highlight w:val="none"/>
          <w:lang w:val="en-US" w:eastAsia="zh-CN" w:bidi="ar"/>
        </w:rPr>
        <w:t>C</w:t>
      </w:r>
      <w:r>
        <w:rPr>
          <w:rFonts w:hint="default" w:ascii="Times New Roman" w:hAnsi="Times New Roman" w:eastAsia="Times New Roman" w:cs="Times New Roman"/>
          <w:i w:val="0"/>
          <w:iCs w:val="0"/>
          <w:kern w:val="0"/>
          <w:sz w:val="24"/>
          <w:szCs w:val="24"/>
          <w:highlight w:val="none"/>
          <w:lang w:val="en-US" w:eastAsia="zh-CN" w:bidi="ar"/>
        </w:rPr>
        <w:t>orrosion potential (E</w:t>
      </w:r>
      <w:r>
        <w:rPr>
          <w:rFonts w:hint="default" w:ascii="Times New Roman" w:hAnsi="Times New Roman" w:eastAsia="Times New Roman" w:cs="Times New Roman"/>
          <w:i w:val="0"/>
          <w:iCs w:val="0"/>
          <w:kern w:val="0"/>
          <w:sz w:val="24"/>
          <w:szCs w:val="24"/>
          <w:highlight w:val="none"/>
          <w:vertAlign w:val="subscript"/>
          <w:lang w:val="en-US" w:eastAsia="zh-CN" w:bidi="ar"/>
        </w:rPr>
        <w:t>corr</w:t>
      </w:r>
      <w:r>
        <w:rPr>
          <w:rFonts w:hint="default" w:ascii="Times New Roman" w:hAnsi="Times New Roman" w:eastAsia="Times New Roman" w:cs="Times New Roman"/>
          <w:i w:val="0"/>
          <w:iCs w:val="0"/>
          <w:kern w:val="0"/>
          <w:sz w:val="24"/>
          <w:szCs w:val="24"/>
          <w:highlight w:val="none"/>
          <w:lang w:val="en-US" w:eastAsia="zh-CN" w:bidi="ar"/>
        </w:rPr>
        <w:t>), corrosion current density (I</w:t>
      </w:r>
      <w:r>
        <w:rPr>
          <w:rFonts w:hint="default" w:ascii="Times New Roman" w:hAnsi="Times New Roman" w:eastAsia="Times New Roman" w:cs="Times New Roman"/>
          <w:i w:val="0"/>
          <w:iCs w:val="0"/>
          <w:kern w:val="0"/>
          <w:sz w:val="24"/>
          <w:szCs w:val="24"/>
          <w:highlight w:val="none"/>
          <w:vertAlign w:val="subscript"/>
          <w:lang w:val="en-US" w:eastAsia="zh-CN" w:bidi="ar"/>
        </w:rPr>
        <w:t>corr</w:t>
      </w:r>
      <w:r>
        <w:rPr>
          <w:rFonts w:hint="default" w:ascii="Times New Roman" w:hAnsi="Times New Roman" w:eastAsia="Times New Roman" w:cs="Times New Roman"/>
          <w:i w:val="0"/>
          <w:iCs w:val="0"/>
          <w:kern w:val="0"/>
          <w:sz w:val="24"/>
          <w:szCs w:val="24"/>
          <w:highlight w:val="none"/>
          <w:lang w:val="en-US" w:eastAsia="zh-CN" w:bidi="ar"/>
        </w:rPr>
        <w:t xml:space="preserve">), and </w:t>
      </w:r>
      <w:r>
        <w:rPr>
          <w:rFonts w:hint="eastAsia" w:ascii="Times New Roman" w:hAnsi="Times New Roman" w:eastAsia="Times New Roman" w:cs="Times New Roman"/>
          <w:i w:val="0"/>
          <w:iCs w:val="0"/>
          <w:kern w:val="0"/>
          <w:sz w:val="24"/>
          <w:szCs w:val="24"/>
          <w:highlight w:val="none"/>
          <w:lang w:val="en-US" w:eastAsia="zh-CN" w:bidi="ar"/>
        </w:rPr>
        <w:t>passive region of materials.</w:t>
      </w:r>
    </w:p>
    <w:p w14:paraId="27FD1961">
      <w:pPr>
        <w:spacing w:line="360" w:lineRule="auto"/>
        <w:jc w:val="both"/>
        <w:rPr>
          <w:rFonts w:ascii="Times New Roman" w:hAnsi="Times New Roman" w:eastAsia="Times New Roman"/>
          <w:sz w:val="24"/>
          <w:lang w:val="en-US"/>
        </w:rPr>
      </w:pPr>
      <w:bookmarkStart w:id="47" w:name="_GoBack"/>
      <w:bookmarkEnd w:id="47"/>
    </w:p>
    <w:sectPr>
      <w:headerReference r:id="rId3" w:type="default"/>
      <w:footerReference r:id="rId4" w:type="default"/>
      <w:type w:val="continuous"/>
      <w:pgSz w:w="11906" w:h="16838"/>
      <w:pgMar w:top="1417" w:right="1417" w:bottom="1134" w:left="1417" w:header="708" w:footer="708"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MS Mincho">
    <w:altName w:val="Hiragino Sans"/>
    <w:panose1 w:val="02020609040205080304"/>
    <w:charset w:val="80"/>
    <w:family w:val="modern"/>
    <w:pitch w:val="default"/>
    <w:sig w:usb0="00000000" w:usb1="00000000" w:usb2="08000012" w:usb3="00000000" w:csb0="0002009F" w:csb1="00000000"/>
  </w:font>
  <w:font w:name="Tahoma">
    <w:panose1 w:val="020B0604030504040204"/>
    <w:charset w:val="00"/>
    <w:family w:val="swiss"/>
    <w:pitch w:val="default"/>
    <w:sig w:usb0="E1002AFF" w:usb1="C000605B" w:usb2="00000029" w:usb3="00000000" w:csb0="200101FF" w:csb1="20280000"/>
  </w:font>
  <w:font w:name="Times">
    <w:altName w:val="Times New Roman"/>
    <w:panose1 w:val="02020603050405020304"/>
    <w:charset w:val="00"/>
    <w:family w:val="roman"/>
    <w:pitch w:val="default"/>
    <w:sig w:usb0="00000000" w:usb1="00000000" w:usb2="00000009" w:usb3="00000000" w:csb0="000001FF" w:csb1="00000000"/>
  </w:font>
  <w:font w:name="汉仪书宋二KW">
    <w:panose1 w:val="00020600040101010101"/>
    <w:charset w:val="86"/>
    <w:family w:val="auto"/>
    <w:pitch w:val="default"/>
    <w:sig w:usb0="A00002BF" w:usb1="18EF7CFA" w:usb2="00000016" w:usb3="00000000" w:csb0="00040000" w:csb1="00000000"/>
  </w:font>
  <w:font w:name="宋体-简">
    <w:panose1 w:val="02010800040101010101"/>
    <w:charset w:val="86"/>
    <w:family w:val="auto"/>
    <w:pitch w:val="default"/>
    <w:sig w:usb0="00000001" w:usb1="080F0000" w:usb2="00000000" w:usb3="00000000" w:csb0="00040000" w:csb1="00000000"/>
  </w:font>
  <w:font w:name="Hiragino Sans">
    <w:panose1 w:val="020B0300000000000000"/>
    <w:charset w:val="80"/>
    <w:family w:val="auto"/>
    <w:pitch w:val="default"/>
    <w:sig w:usb0="E00002FF" w:usb1="7AE7FFFF" w:usb2="00000012" w:usb3="00000000" w:csb0="0002000D" w:csb1="0000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703F43">
    <w:pPr>
      <w:pStyle w:val="4"/>
      <w:jc w:val="center"/>
    </w:pPr>
    <w:r>
      <w:fldChar w:fldCharType="begin"/>
    </w:r>
    <w:r>
      <w:instrText xml:space="preserve">PAGE   \* MERGEFORMAT</w:instrText>
    </w:r>
    <w:r>
      <w:fldChar w:fldCharType="separate"/>
    </w:r>
    <w:r>
      <w:t>2</w:t>
    </w:r>
    <w:r>
      <w:fldChar w:fldCharType="end"/>
    </w:r>
  </w:p>
  <w:p w14:paraId="507657ED">
    <w:pPr>
      <w:pStyle w:val="4"/>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6B2C5B">
    <w:pPr>
      <w:pStyle w:val="5"/>
      <w:tabs>
        <w:tab w:val="left" w:pos="5003"/>
      </w:tabs>
      <w:jc w:val="right"/>
      <w:rPr>
        <w:lang w:val="en-US"/>
      </w:rPr>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4B33F0A"/>
    <w:multiLevelType w:val="singleLevel"/>
    <w:tmpl w:val="F4B33F0A"/>
    <w:lvl w:ilvl="0" w:tentative="0">
      <w:start w:val="2"/>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removePersonalInformation/>
  <w:bordersDoNotSurroundHeader w:val="0"/>
  <w:bordersDoNotSurroundFooter w:val="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nforcement="0"/>
  <w:defaultTabStop w:val="708"/>
  <w:hyphenationZone w:val="425"/>
  <w:displayHorizontalDrawingGridEvery w:val="1"/>
  <w:displayVerticalDrawingGridEvery w:val="1"/>
  <w:noPunctuationKerning w:val="1"/>
  <w:characterSpacingControl w:val="doNotCompress"/>
  <w:compat>
    <w:doNotExpandShiftReturn/>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FlYzM1OTg0NGNjZDc4NWU2ZTE5MGRjOGYxYTEzNzAifQ=="/>
    <w:docVar w:name="NE.Ref{01737A21-98E0-4564-A00C-9F275D418DAA}" w:val=" ADDIN NE.Ref.{01737A21-98E0-4564-A00C-9F275D418DAA}&lt;Citation&gt;&lt;Group&gt;&lt;References&gt;&lt;Item&gt;&lt;ID&gt;422&lt;/ID&gt;&lt;UID&gt;{48F87926-2CE8-4E31-BCD4-3BD35160A0F2}&lt;/UID&gt;&lt;Title&gt;Zr61Ti2Cu25Al12 metallic glass for potential use in dental implants: Biocompatibility assessment by in vitro cellular responses&lt;/Title&gt;&lt;Template&gt;Journal Article&lt;/Template&gt;&lt;Star&gt;0&lt;/Star&gt;&lt;Tag&gt;0&lt;/Tag&gt;&lt;Author&gt;Li, Jing; Shi, Ling-ling; Zhu, Zhen-dong; He, Qiang; Ai, Hong-jun; Xu, Jian&lt;/Author&gt;&lt;Year&gt;2013&lt;/Year&gt;&lt;Details&gt;&lt;_accessed&gt;65400037&lt;/_accessed&gt;&lt;_alternate_title&gt;Materials Science and Engineering: C&lt;/_alternate_title&gt;&lt;_created&gt;65293205&lt;/_created&gt;&lt;_date&gt;59433120&lt;/_date&gt;&lt;_date_display&gt;2013&lt;/_date_display&gt;&lt;_db_updated&gt;ScienceDirect&lt;/_db_updated&gt;&lt;_doi&gt;https://doi.org/10.1016/j.msec.2013.01.033&lt;/_doi&gt;&lt;_impact_factor&gt;   7.900&lt;/_impact_factor&gt;&lt;_isbn&gt;0928-4931&lt;/_isbn&gt;&lt;_issue&gt;4&lt;/_issue&gt;&lt;_journal&gt;Materials Science and Engineering: C&lt;/_journal&gt;&lt;_keywords&gt;Cytotoxicity; Biocompatibility; Osteoblast; Metallic glass; Zirconium&lt;/_keywords&gt;&lt;_modified&gt;65293205&lt;/_modified&gt;&lt;_pages&gt;2113-2121&lt;/_pages&gt;&lt;_url&gt;https://www.sciencedirect.com/science/article/pii/S0928493113000465&lt;/_url&gt;&lt;_volume&gt;33&lt;/_volume&gt;&lt;/Details&gt;&lt;Extra&gt;&lt;DBUID&gt;{46426FB1-226B-4AC1-9419-A495A286C43E}&lt;/DBUID&gt;&lt;/Extra&gt;&lt;/Item&gt;&lt;/References&gt;&lt;/Group&gt;&lt;/Citation&gt;_x000a_"/>
    <w:docVar w:name="NE.Ref{186098DD-261E-4DA7-BB64-25AA917F9961}" w:val=" ADDIN NE.Ref.{186098DD-261E-4DA7-BB64-25AA917F9961}&lt;Citation&gt;&lt;Group&gt;&lt;References&gt;&lt;Item&gt;&lt;ID&gt;390&lt;/ID&gt;&lt;UID&gt;{B0688093-4512-4632-AA61-AFA5EC6E0BDC}&lt;/UID&gt;&lt;Title&gt;Occlusion and Dental Implants—Where Are We?&lt;/Title&gt;&lt;Template&gt;Journal Article&lt;/Template&gt;&lt;Star&gt;0&lt;/Star&gt;&lt;Tag&gt;0&lt;/Tag&gt;&lt;Author&gt;Rutkowski, James L; Iyer, Shankar&lt;/Author&gt;&lt;Year&gt;2023&lt;/Year&gt;&lt;Details&gt;&lt;_accessed&gt;65330738&lt;/_accessed&gt;&lt;_alternate_title&gt;Journal of Oral Implantology&lt;/_alternate_title&gt;&lt;_collection_scope&gt;SCIE&lt;/_collection_scope&gt;&lt;_created&gt;65192849&lt;/_created&gt;&lt;_date&gt;2023-06-14&lt;/_date&gt;&lt;_date_display&gt;2023_x000d__x000a_2023/06/14&lt;/_date_display&gt;&lt;_doi&gt;10.1563/AAID-JOI-D-4903.Editorial&lt;/_doi&gt;&lt;_impact_factor&gt;   1.600&lt;/_impact_factor&gt;&lt;_isbn&gt;0160-6972&lt;/_isbn&gt;&lt;_issue&gt;3&lt;/_issue&gt;&lt;_journal&gt;Journal of Oral Implantology&lt;/_journal&gt;&lt;_modified&gt;65192849&lt;/_modified&gt;&lt;_pages&gt;229-232&lt;/_pages&gt;&lt;_social_category&gt;牙科与口腔外科(4)&lt;/_social_category&gt;&lt;_url&gt;https://doi.org/10.1563/AAID-JOI-D-4903.Editorial&lt;/_url&gt;&lt;_volume&gt;49&lt;/_volume&gt;&lt;/Details&gt;&lt;Extra&gt;&lt;DBUID&gt;{46426FB1-226B-4AC1-9419-A495A286C43E}&lt;/DBUID&gt;&lt;/Extra&gt;&lt;/Item&gt;&lt;/References&gt;&lt;/Group&gt;&lt;/Citation&gt;_x000a_"/>
    <w:docVar w:name="NE.Ref{1A5AD4B8-D5AF-4D8F-ACF2-CEFFA0054AF9}" w:val=" ADDIN NE.Ref.{1A5AD4B8-D5AF-4D8F-ACF2-CEFFA0054AF9}&lt;Citation&gt;&lt;Group&gt;&lt;References&gt;&lt;Item&gt;&lt;ID&gt;390&lt;/ID&gt;&lt;UID&gt;{B0688093-4512-4632-AA61-AFA5EC6E0BDC}&lt;/UID&gt;&lt;Title&gt;Occlusion and Dental Implants—Where Are We?&lt;/Title&gt;&lt;Template&gt;Journal Article&lt;/Template&gt;&lt;Star&gt;0&lt;/Star&gt;&lt;Tag&gt;0&lt;/Tag&gt;&lt;Author&gt;Rutkowski, James L; Iyer, Shankar&lt;/Author&gt;&lt;Year&gt;2023&lt;/Year&gt;&lt;Details&gt;&lt;_accessed&gt;65330738&lt;/_accessed&gt;&lt;_alternate_title&gt;Journal of Oral Implantology&lt;/_alternate_title&gt;&lt;_collection_scope&gt;SCIE&lt;/_collection_scope&gt;&lt;_created&gt;65192849&lt;/_created&gt;&lt;_date&gt;2023-06-14&lt;/_date&gt;&lt;_date_display&gt;2023_x000d__x000a_2023/06/14&lt;/_date_display&gt;&lt;_doi&gt;10.1563/AAID-JOI-D-4903.Editorial&lt;/_doi&gt;&lt;_impact_factor&gt;   1.600&lt;/_impact_factor&gt;&lt;_isbn&gt;0160-6972&lt;/_isbn&gt;&lt;_issue&gt;3&lt;/_issue&gt;&lt;_journal&gt;Journal of Oral Implantology&lt;/_journal&gt;&lt;_modified&gt;65192849&lt;/_modified&gt;&lt;_pages&gt;229-232&lt;/_pages&gt;&lt;_social_category&gt;牙科与口腔外科(4)&lt;/_social_category&gt;&lt;_url&gt;https://doi.org/10.1563/AAID-JOI-D-4903.Editorial&lt;/_url&gt;&lt;_volume&gt;49&lt;/_volume&gt;&lt;/Details&gt;&lt;Extra&gt;&lt;DBUID&gt;{46426FB1-226B-4AC1-9419-A495A286C43E}&lt;/DBUID&gt;&lt;/Extra&gt;&lt;/Item&gt;&lt;/References&gt;&lt;/Group&gt;&lt;Group&gt;&lt;References&gt;&lt;Item&gt;&lt;ID&gt;504&lt;/ID&gt;&lt;UID&gt;{A43BDFCA-EF51-48C5-B1DF-3A393D5CADBE}&lt;/UID&gt;&lt;Title&gt;Surface modification of titanium implants with Mg-containing coatings to promote  osseointegration&lt;/Title&gt;&lt;Template&gt;Journal Article&lt;/Template&gt;&lt;Star&gt;0&lt;/Star&gt;&lt;Tag&gt;0&lt;/Tag&gt;&lt;Author&gt;Wang, S; Zhao, X; Hsu, Y; He, Y; Wang, F; Yang, F; Yan, F; Xia, D; Liu, Y&lt;/Author&gt;&lt;Year&gt;2023&lt;/Year&gt;&lt;Details&gt;&lt;_accession_num&gt;37517617&lt;/_accession_num&gt;&lt;_author_adr&gt;Department of Prosthodontics, Shanghai Key Laboratory of Stomatology, Shanghai  Ninth People&amp;apos;s Hospital, Shanghai Jiao Tong School of Medicine, College of  Stomatology, Shanghai Jiao Tong University, National Center for Stomatology,  National Clinical Research Center for Oral Diseases, Shanghai Research Institute  of Stomatology, China.; Department of Prosthodontics, Peking University School and Hospital of  Stomatology, Beijing 100081, China; National Center of Stomatology, National  Engineering Laboratory for Digital and Material Technology of Stomatology,  National Clinical Research Center for Oral Diseases, Beijing Key Laboratory of  Digital Stomatology, NMPA Key Laboratory for Dental Materials, Research Center of  Engineering and Technology for Computerized Dentistry Ministry of Health, Beijing  100081, China.; Department of Prosthodontics, Peking University School and Hospital of  Stomatology, Beijing 100081, China; National Center of Stomatology, National  Engineering Laboratory for Digital and Material Technology of Stomatology,  National Clinical Research Center for Oral Diseases, Beijing Key Laboratory of  Digital Stomatology, NMPA Key Laboratory for Dental Materials, Research Center of  Engineering and Technology for Computerized Dentistry Ministry of Health, Beijing  100081, China.; Department of Prosthodontics, Peking University School and Hospital of  Stomatology, Beijing 100081, China; National Center of Stomatology, National  Engineering Laboratory for Digital and Material Technology of Stomatology,  National Clinical Research Center for Oral Diseases, Beijing Key Laboratory of  Digital Stomatology, NMPA Key Laboratory for Dental Materials, Research Center of  Engineering and Technology for Computerized Dentistry Ministry of Health, Beijing  100081, China.; Department of Prosthodontics, Peking University School and Hospital of  Stomatology, Beijing 100081, China; National Center of Stomatology, National  Engineering Laboratory for Digital and Material Technology of Stomatology,  National Clinical Research Center for Oral Diseases, Beijing Key Laboratory of  Digital Stomatology, NMPA Key Laboratory for Dental Materials, Research Center of  Engineering and Technology for Computerized Dentistry Ministry of Health, Beijing  100081, China.; Department of Prosthodontics, Peking University School and Hospital of  Stomatology, Beijing 100081, China; National Center of Stomatology, National  Engineering Laboratory for Digital and Material Technology of Stomatology,  National Clinical Research Center for Oral Diseases, Beijing Key Laboratory of  Digital Stomatology, NMPA Key Laboratory for Dental Materials, Research Center of  Engineering and Technology for Computerized Dentistry Ministry of Health, Beijing  100081, China.; Department of Prosthodontics, Peking University School and Hospital of  Stomatology, Beijing 100081, China; National Center of Stomatology, National  Engineering Laboratory for Digital and Material Technology of Stomatology,  National Clinical Research Center for Oral Diseases, Beijing Key Laboratory of  Digital Stomatology, NMPA Key Laboratory for Dental Materials, Research Center of  Engineering and Technology for Computerized Dentistry Ministry of Health, Beijing  100081, China.; National Center of Stomatology, National Engineering Laboratory for Digital and  Material Technology of Stomatology, National Clinical Research Center for Oral  Diseases, Beijing Key Laboratory of Digital Stomatology, NMPA Key Laboratory for  Dental Materials, Research Center of Engineering and Technology for Computerized  Dentistry Ministry of Health, Beijing 100081, China; Department of Dental  Materials, Peking University School and Hospital of Stomatology, Beijing 100081,  China. Electronic address: dandanxia@pku.edu.cn.; Department of Prosthodontics, Peking University School and Hospital of  Stomatology, Beijing 100081, China; National Center of Stomatology, National  Engineering Laboratory for Digital and Material Technology of Stomatology,  National Clinical Research Center for Oral Diseases, Beijing Key Laboratory of  Digital Stomatology, NMPA Key Laboratory for Dental Materials, Research Center of  Engineering and Technology for Computerized Dentistry Ministry of Health, Beijing  100081, China. Electronic address: liuyunsong@hsc.pku.edu.cn.&lt;/_author_adr&gt;&lt;_collection_scope&gt;SCIE;EI&lt;/_collection_scope&gt;&lt;_created&gt;65369428&lt;/_created&gt;&lt;_date&gt;2023-10-01&lt;/_date&gt;&lt;_date_display&gt;2023 Oct 1&lt;/_date_display&gt;&lt;_doi&gt;10.1016/j.actbio.2023.07.048&lt;/_doi&gt;&lt;_impact_factor&gt;   9.700&lt;/_impact_factor&gt;&lt;_isbn&gt;1878-7568 (Electronic); 1742-7061 (Linking)&lt;/_isbn&gt;&lt;_journal&gt;Acta Biomater&lt;/_journal&gt;&lt;_keywords&gt;Dental implants; Magnesium; Osseointegration; Surface modification; Titanium&lt;/_keywords&gt;&lt;_language&gt;eng&lt;/_language&gt;&lt;_modified&gt;65369428&lt;/_modified&gt;&lt;_ori_publication&gt;Copyright © 2023 Acta Materialia Inc. Published by Elsevier Ltd. All rights _x000d__x000a_      reserved.&lt;/_ori_publication&gt;&lt;_pages&gt;19-44&lt;/_pages&gt;&lt;_social_category&gt;工程：生物医学(1) &amp;amp; 材料科学：生物材料(1)&lt;/_social_category&gt;&lt;_subject_headings&gt;Coated Materials, Biocompatible/pharmacology/chemistry; Ions/pharmacology; Magnesium/pharmacology; *Osseointegration; *Osteogenesis; Surface Properties; Titanium/pharmacology/chemistry&lt;/_subject_headings&gt;&lt;_tertiary_title&gt;Acta biomaterialia&lt;/_tertiary_title&gt;&lt;_type_work&gt;Journal Article; Research Support, Non-U.S. Gov&amp;apos;t; Review; Systematic Review&lt;/_type_work&gt;&lt;_url&gt;http://www.ncbi.nlm.nih.gov/entrez/query.fcgi?cmd=Retrieve&amp;amp;db=pubmed&amp;amp;dopt=Abstract&amp;amp;list_uids=37517617&amp;amp;query_hl=1&lt;/_url&gt;&lt;_volume&gt;169&lt;/_volume&gt;&lt;/Details&gt;&lt;Extra&gt;&lt;DBUID&gt;{46426FB1-226B-4AC1-9419-A495A286C43E}&lt;/DBUID&gt;&lt;/Extra&gt;&lt;/Item&gt;&lt;/References&gt;&lt;/Group&gt;&lt;Group&gt;&lt;References&gt;&lt;Item&gt;&lt;ID&gt;505&lt;/ID&gt;&lt;UID&gt;{16369B28-902C-4FEC-B518-EB7F2A9366F5}&lt;/UID&gt;&lt;Title&gt;Advanced surface engineering of titanium materials for biomedical applications:  From static modification to dynamic responsive regulation&lt;/Title&gt;&lt;Template&gt;Journal Article&lt;/Template&gt;&lt;Star&gt;0&lt;/Star&gt;&lt;Tag&gt;0&lt;/Tag&gt;&lt;Author&gt;Jiang, P; Zhang, Y; Hu, R; Shi, B; Zhang, L; Huang, Q; Yang, Y; Tang, P; Lin, C&lt;/Author&gt;&lt;Year&gt;2023&lt;/Year&gt;&lt;Details&gt;&lt;_accession_num&gt;37035422&lt;/_accession_num&gt;&lt;_author_adr&gt;South China Advanced Institute for Soft Matter Science and Technology, School of  Emergent Soft Matter, Guangdong Provincial Key Laboratory of Functional and  Intelligent Hybrid Materials and Devices, South China University of Technology,  Guangzhou, 510640, China.; State Key Lab of Physical Chemistry of Solid Surfaces, Department of Chemistry,  College of Chemistry and Chemical Engineering, Xiamen University, Xiamen, 361005,  China.; State Key Lab of Physical Chemistry of Solid Surfaces, Department of Chemistry,  College of Chemistry and Chemical Engineering, Xiamen University, Xiamen, 361005,  China.; State Key Lab of Physical Chemistry of Solid Surfaces, Department of Chemistry,  College of Chemistry and Chemical Engineering, Xiamen University, Xiamen, 361005,  China.; Department of Orthopaedics, General Hospital of Chinese PLA, Beijing, 100853,  China.; Department of Orthopaedics, General Hospital of Chinese PLA, Beijing, 100853,  China.; Research Institute for Biomimetics and Soft Matter, Fujian Provincial Key  Laboratory for Soft Functional Materials Research, College of Physical Science  and Technology, Xiamen University, Xiamen, 361005, China.; Research Institute for Biomimetics and Soft Matter, Fujian Provincial Key  Laboratory for Soft Functional Materials Research, College of Physical Science  and Technology, Xiamen University, Xiamen, 361005, China.; Department of Orthopaedics, General Hospital of Chinese PLA, Beijing, 100853,  China.; State Key Lab of Physical Chemistry of Solid Surfaces, Department of Chemistry,  College of Chemistry and Chemical Engineering, Xiamen University, Xiamen, 361005,  China.&lt;/_author_adr&gt;&lt;_collection_scope&gt;SCIE&lt;/_collection_scope&gt;&lt;_created&gt;65369431&lt;/_created&gt;&lt;_date&gt;2023-09-01&lt;/_date&gt;&lt;_date_display&gt;2023 Sep&lt;/_date_display&gt;&lt;_doi&gt;10.1016/j.bioactmat.2023.03.006&lt;/_doi&gt;&lt;_impact_factor&gt;  18.900&lt;/_impact_factor&gt;&lt;_isbn&gt;2452-199X (Electronic); 2452-199X (Linking)&lt;/_isbn&gt;&lt;_journal&gt;Bioact Mater&lt;/_journal&gt;&lt;_keywords&gt;Bioactivity; Dynamic responsive regulation; Orthopedic implants; Static modification; Titanium materials&lt;/_keywords&gt;&lt;_language&gt;eng&lt;/_language&gt;&lt;_modified&gt;65369431&lt;/_modified&gt;&lt;_ori_publication&gt;© 2023 The Authors.&lt;/_ori_publication&gt;&lt;_pages&gt;15-57&lt;/_pages&gt;&lt;_social_category&gt;工程：生物医学(1) &amp;amp; 材料科学：生物材料(1)&lt;/_social_category&gt;&lt;_tertiary_title&gt;Bioactive materials&lt;/_tertiary_title&gt;&lt;_type_work&gt;Journal Article; Review&lt;/_type_work&gt;&lt;_url&gt;http://www.ncbi.nlm.nih.gov/entrez/query.fcgi?cmd=Retrieve&amp;amp;db=pubmed&amp;amp;dopt=Abstract&amp;amp;list_uids=37035422&amp;amp;query_hl=1&lt;/_url&gt;&lt;_volume&gt;27&lt;/_volume&gt;&lt;/Details&gt;&lt;Extra&gt;&lt;DBUID&gt;{46426FB1-226B-4AC1-9419-A495A286C43E}&lt;/DBUID&gt;&lt;/Extra&gt;&lt;/Item&gt;&lt;/References&gt;&lt;/Group&gt;&lt;/Citation&gt;_x000a_"/>
    <w:docVar w:name="NE.Ref{1BD853BC-E578-443C-A794-D1A411FE839B}" w:val=" ADDIN NE.Ref.{1BD853BC-E578-443C-A794-D1A411FE839B}&lt;Citation&gt;&lt;Group&gt;&lt;References&gt;&lt;Item&gt;&lt;ID&gt;12&lt;/ID&gt;&lt;UID&gt;{24E27986-900D-4A79-A4EC-3A4B94CC1875}&lt;/UID&gt;&lt;Title&gt;Ni-free Zr-Cu-Al-Nb-Pd bulk metallic glasses with different Zr/Cu ratios for biomedical applications&lt;/Title&gt;&lt;Template&gt;Journal Article&lt;/Template&gt;&lt;Star&gt;0&lt;/Star&gt;&lt;Tag&gt;0&lt;/Tag&gt;&lt;Author&gt;Huang, L; Yokoyama, Y; Wu, W; Liaw, P K; Pang, S; Inoue, A; Zhang, T; He, W&lt;/Author&gt;&lt;Year&gt;2012&lt;/Year&gt;&lt;Details&gt;&lt;_accessed&gt;65309425&lt;/_accessed&gt;&lt;_accession_num&gt;22689253&lt;/_accession_num&gt;&lt;_author_adr&gt;Key Laboratory of Aerospace Materials and Performance (Ministry of Education), School of Materials Science and Engineering, Beihang University, Beijing 100191,  China.&lt;/_author_adr&gt;&lt;_collection_scope&gt;SCIE;EI&lt;/_collection_scope&gt;&lt;_created&gt;64290924&lt;/_created&gt;&lt;_date&gt;59212800&lt;/_date&gt;&lt;_date_display&gt;2012 Aug&lt;/_date_display&gt;&lt;_db_updated&gt;PubMed&lt;/_db_updated&gt;&lt;_doi&gt;10.1002/jbm.b.32715&lt;/_doi&gt;&lt;_impact_factor&gt;   3.400&lt;/_impact_factor&gt;&lt;_isbn&gt;1552-4981 (Electronic); 1552-4973 (Linking)&lt;/_isbn&gt;&lt;_issue&gt;6&lt;/_issue&gt;&lt;_journal&gt;J Biomed Mater Res B Appl Biomater&lt;/_journal&gt;&lt;_language&gt;eng&lt;/_language&gt;&lt;_modified&gt;65250316&lt;/_modified&gt;&lt;_ori_publication&gt;Copyright (c) 2012 Wiley Periodicals, Inc.&lt;/_ori_publication&gt;&lt;_pages&gt;1472-82&lt;/_pages&gt;&lt;_social_category&gt;工程技术(3)&lt;/_social_category&gt;&lt;_subject_headings&gt;Aluminum/*chemistry; Animals; Cell Adhesion; Copper/*chemistry; Corrosion; Glass/*chemistry; Lead/*chemistry; *Materials Testing; Mice; NIH 3T3 Cells; Silicates/*chemistry; Wettability; Zirconium/*chemistry&lt;/_subject_headings&gt;&lt;_tertiary_title&gt;Journal of biomedical materials research. Part B, Applied biomaterials&lt;/_tertiary_title&gt;&lt;_type_work&gt;Journal Article; Research Support, Non-U.S. Gov&amp;apos;t; Research Support, U.S. Gov&amp;apos;t, Non-P.H.S.&lt;/_type_work&gt;&lt;_url&gt;http://www.ncbi.nlm.nih.gov/entrez/query.fcgi?cmd=Retrieve&amp;amp;db=pubmed&amp;amp;dopt=Abstract&amp;amp;list_uids=22689253&amp;amp;query_hl=1&lt;/_url&gt;&lt;_volume&gt;100&lt;/_volume&gt;&lt;/Details&gt;&lt;Extra&gt;&lt;DBUID&gt;{46426FB1-226B-4AC1-9419-A495A286C43E}&lt;/DBUID&gt;&lt;/Extra&gt;&lt;/Item&gt;&lt;/References&gt;&lt;/Group&gt;&lt;/Citation&gt;_x000a_"/>
    <w:docVar w:name="NE.Ref{1C180FCB-A2AD-4A28-BD58-02007777B5EE}" w:val=" ADDIN NE.Ref.{1C180FCB-A2AD-4A28-BD58-02007777B5EE}&lt;Citation&gt;&lt;Group&gt;&lt;References&gt;&lt;Item&gt;&lt;ID&gt;443&lt;/ID&gt;&lt;UID&gt;{90F81E90-665F-4302-8C85-177B181588FA}&lt;/UID&gt;&lt;Title&gt;Prevention of pin tract infection with titanium-copper alloys&lt;/Title&gt;&lt;Template&gt;Journal Article&lt;/Template&gt;&lt;Star&gt;0&lt;/Star&gt;&lt;Tag&gt;0&lt;/Tag&gt;&lt;Author&gt;Shirai, Toshiharu; Tsuchiya, Hiroyuki; Shimizu, Tohru; Ohtani, Kaori; Zen, Yo; Tomita, Katsuro&lt;/Author&gt;&lt;Year&gt;2009&lt;/Year&gt;&lt;Details&gt;&lt;_accessed&gt;65299372&lt;/_accessed&gt;&lt;_created&gt;65299371&lt;/_created&gt;&lt;_date&gt;57329280&lt;/_date&gt;&lt;_date_display&gt;2009&lt;/_date_display&gt;&lt;_db_updated&gt;PKU Search&lt;/_db_updated&gt;&lt;_doi&gt;10.1002/jbm.b.31412&lt;/_doi&gt;&lt;_impact_factor&gt;   3.400&lt;/_impact_factor&gt;&lt;_isbn&gt;1552-4973;1552-4981;&lt;/_isbn&gt;&lt;_issue&gt;1&lt;/_issue&gt;&lt;_journal&gt;Journal of biomedical materials research. Part B, Applied biomaterials&lt;/_journal&gt;&lt;_keywords&gt;Alloy; Alloys - chemistry; Animals; Anti-Infective Agents - chemistry; antibacterial; Antimicrobial; Bacterial Infections - prevention &amp;amp; control; Biocompatibility; Biocompatible Materials - chemistry; Biomaterial; Copper; Copper - chemistry; Cricetinae; Cricetulus; cytotoxicity; equipment and supplies; Escherichia coli; External Fixators - adverse effects; External Fixators - microbiology; Female; Fibroblasts - cytology; Fibroblasts - physiology; Implant Infection; Materials science; Materials Testing; Microbiology; pin tract infection; Rabbits; Stainless Steel - chemistry; Staphylococcus aureus; Surgery; technology, industry, and agriculture; Titanium; Titanium - chemistry; titanium-copper alloy&lt;/_keywords&gt;&lt;_modified&gt;65299372&lt;/_modified&gt;&lt;_number&gt;1&lt;/_number&gt;&lt;_ori_publication&gt;Wiley Subscription Services, Inc., A Wiley Company&lt;/_ori_publication&gt;&lt;_pages&gt;373-380&lt;/_pages&gt;&lt;_place_published&gt;Hoboken&lt;/_place_published&gt;&lt;_url&gt;http://pku.summon.serialssolutions.com/2.0.0/link/0/eLvHCXMwpV1Lb9QwELbK7gF6KG8IL-UAHJC29Tqx46gHVKos1e4WIbEIwcXyU1raJtFuo6o3fgK_kV-CJy9oBZUQJ0fK5ODxzPibzAuhiGzj0SWbQJyHEZpxxVSiEiYjkBuqLNMGR7GE4uQvh3z-nkwyOt1Au11pTNMuov__BopSm2_Qd6nWbZif7HxVJ9vK-58xDBweek-LxgM0nO8tZlnvfnngXqfbU0pgrlrUVutd-vzC_TQEVkNTJBhlJZcr-yccuomuV3kpz8_k8fFFiFvfUZOb_7WdW2irhabhXiNLt9GGze-gzd8aFt5Fr7uOT0UeFi4sl3l4CmVWYZfTlYfwYzeEyrV8WZ38-PZdF2VpVyHE98_X99Biki32D0btCIaR9uwiI0edMzwea5NirZyJmbOR1inVPGUeyhHMU2q8JmulPFbXDpuxSiObGu-IKBzdR4O8yO1DFDJsYkoTi5PExFhzOdZOk9SjE8wNcS5Azzu-i7JptCGalspEeHYIJWp2BOhlfSY9jVwdQW5aQsWnd2_FwXy6H09mVPAA7XaH1tN6Ngvjb_BSWGldqpnCMrYmwYxI70cb7jTsgxgWoLA7Z-H1DYIoMrdFtRZJFGNoqMP_TsKhp5q3nEmAHjQi8mtHKeDvyL950cvM1dt9VUvJVTRi-uawfnj0L8SP0Y06MFbnJT5Bg9NVZZ-ia-VR9axVHFizbPYB1o-LrF4_e7PwE_CzI-o&lt;/_url&gt;&lt;_volume&gt;91B&lt;/_volume&gt;&lt;/Details&gt;&lt;Extra&gt;&lt;DBUID&gt;{46426FB1-226B-4AC1-9419-A495A286C43E}&lt;/DBUID&gt;&lt;/Extra&gt;&lt;/Item&gt;&lt;/References&gt;&lt;/Group&gt;&lt;/Citation&gt;_x000a_"/>
    <w:docVar w:name="NE.Ref{1EF02B5E-ABD1-4AF0-9B16-F87EF3F8667D}" w:val=" ADDIN NE.Ref.{1EF02B5E-ABD1-4AF0-9B16-F87EF3F8667D}&lt;Citation&gt;&lt;Group&gt;&lt;References&gt;&lt;Item&gt;&lt;ID&gt;137&lt;/ID&gt;&lt;UID&gt;{94B97622-16BE-48DB-BA8F-E5CCB2DE28FA}&lt;/UID&gt;&lt;Title&gt;Factors influencing the fracture of dental implants&lt;/Title&gt;&lt;Template&gt;Journal Article&lt;/Template&gt;&lt;Star&gt;0&lt;/Star&gt;&lt;Tag&gt;0&lt;/Tag&gt;&lt;Author&gt;Chrcanovic, Bruno Ramos; Kisch, Jenö; Albrektsson, Tomas; Wennerberg, Ann&lt;/Author&gt;&lt;Year&gt;2018&lt;/Year&gt;&lt;Details&gt;&lt;_accessed&gt;65330756&lt;/_accessed&gt;&lt;_alternate_title&gt;CLINICAL IMPLANT DENTISTRY AND RELATED RESEARCH&lt;/_alternate_title&gt;&lt;_author_adr&gt;Malmo Univ, Fac Odontol, Dept Prosthodont, Carl Gustafs Vag 34, SE-21421 Malmo, Sweden; Ctr Dent Specialist Care, Clin Prosthodont, Malmo, Sweden; Gothenburg Univ, Dept Biomat, Gothenburg, Sweden; Gothenburg Univ, Sahlgrenska Acad, Dept Prosthodont, Gothenburg, Sweden&lt;/_author_adr&gt;&lt;_cited_count&gt;26&lt;/_cited_count&gt;&lt;_collection_scope&gt;SCIE&lt;/_collection_scope&gt;&lt;_created&gt;64447897&lt;/_created&gt;&lt;_date&gt;2018-01-01&lt;/_date&gt;&lt;_date_display&gt;2018&lt;/_date_display&gt;&lt;_db_updated&gt;CrossRef&lt;/_db_updated&gt;&lt;_doi&gt;10.1111/cid.12572&lt;/_doi&gt;&lt;_impact_factor&gt;   3.600&lt;/_impact_factor&gt;&lt;_isbn&gt;1523-0899&lt;/_isbn&gt;&lt;_issue&gt;1&lt;/_issue&gt;&lt;_journal&gt;Clinical Implant Dentistry and Related Research&lt;/_journal&gt;&lt;_keywords&gt;higher grades of Ti; implant fracture; logistic models; multivariate analysis; risk factors&lt;/_keywords&gt;&lt;_modified&gt;65330756&lt;/_modified&gt;&lt;_pages&gt;58-67&lt;/_pages&gt;&lt;_social_category&gt;医学(2)&lt;/_social_category&gt;&lt;_tertiary_title&gt;Clin Implant Dent Rel Res&lt;/_tertiary_title&gt;&lt;_url&gt;https://onlinelibrary.wiley.com/doi/10.1111/cid.12572_x000d__x000a_https://onlinelibrary.wiley.com/doi/pdf/10.1111/cid.12572&lt;/_url&gt;&lt;_volume&gt;20&lt;/_volume&gt;&lt;/Details&gt;&lt;Extra&gt;&lt;DBUID&gt;{46426FB1-226B-4AC1-9419-A495A286C43E}&lt;/DBUID&gt;&lt;/Extra&gt;&lt;/Item&gt;&lt;/References&gt;&lt;/Group&gt;&lt;/Citation&gt;_x000a_"/>
    <w:docVar w:name="NE.Ref{211117D9-BB9C-454F-8AB9-76729941C846}" w:val=" ADDIN NE.Ref.{211117D9-BB9C-454F-8AB9-76729941C846}&lt;Citation&gt;&lt;Group&gt;&lt;References&gt;&lt;Item&gt;&lt;ID&gt;503&lt;/ID&gt;&lt;UID&gt;{1B49FF08-56F6-47A4-B981-187D390BF6A4}&lt;/UID&gt;&lt;Title&gt;Kinetically Controlled Synthesis of Metallic Glass Nanoparticles with Expanded  Composition Space&lt;/Title&gt;&lt;Template&gt;Journal Article&lt;/Template&gt;&lt;Star&gt;0&lt;/Star&gt;&lt;Tag&gt;0&lt;/Tag&gt;&lt;Author&gt;Deng, B; Wang, Z; Choi, C H; Li, G; Yuan, Z; Chen, J; Luong, D X; Eddy, L; Shin, B; Lathem, A; Chen, W; Cheng, Y; Xu, S; Liu, Q; Han, Y; Yakobson, B I; Zhao, Y; Tour, J M&lt;/Author&gt;&lt;Year&gt;2024&lt;/Year&gt;&lt;Details&gt;&lt;_accessed&gt;65415422&lt;/_accessed&gt;&lt;_accession_num&gt;38305742&lt;/_accession_num&gt;&lt;_author_adr&gt;Department of Chemistry, Rice University, Houston, TX, 77005, USA.; School of Environment, Tsinghua University, Beijing, 100084, China.; Department of Chemistry, Rice University, Houston, TX, 77005, USA.; Department of Materials Science and NanoEngineering, Rice University, Houston,  TX, 77005, USA.; Department of Chemistry, Rice University, Houston, TX, 77005, USA.; Department of Chemistry, Rice University, Houston, TX, 77005, USA.; Department of Chemistry, Rice University, Houston, TX, 77005, USA.; Department of Chemistry, Rice University, Houston, TX, 77005, USA.; Applied Physics Program, Rice University, Houston, TX, 77005, USA.; Department of Chemistry, Rice University, Houston, TX, 77005, USA.; Applied Physics Program, Rice University, Houston, TX, 77005, USA.; Department of Materials Science and NanoEngineering, Rice University, Houston,  TX, 77005, USA.; Department of Chemistry, Rice University, Houston, TX, 77005, USA.; Applied Physics Program, Rice University, Houston, TX, 77005, USA.; Department of Chemistry, Rice University, Houston, TX, 77005, USA.; Department of Chemistry, Rice University, Houston, TX, 77005, USA.; Department of Chemistry, Rice University, Houston, TX, 77005, USA.; Department of Chemistry, Rice University, Houston, TX, 77005, USA.; Department of Materials Science and NanoEngineering, Rice University, Houston,  TX, 77005, USA.; Department of Chemistry, Rice University, Houston, TX, 77005, USA.; Department of Materials Science and NanoEngineering, Rice University, Houston,  TX, 77005, USA.; Smalley-Curl Institute, Rice University, Houston, TX, 77005, USA.; Department of Science and Mathematics, Corban University, 5000 Deer Park Drive  SE, Salem, OR, 97317, USA.; Department of Chemistry, Rice University, Houston, TX, 77005, USA.; Department of Materials Science and NanoEngineering, Rice University, Houston,  TX, 77005, USA.; Smalley-Curl Institute, Rice University, Houston, TX, 77005, USA.; NanoCarbon Center and the Rice Advanced Materials Institute, Rice University,  Houston, TX, 77005, USA.&lt;/_author_adr&gt;&lt;_collection_scope&gt;SCIE;EI&lt;/_collection_scope&gt;&lt;_created&gt;65369423&lt;/_created&gt;&lt;_date&gt;2024-04-01&lt;/_date&gt;&lt;_date_display&gt;2024 Apr&lt;/_date_display&gt;&lt;_doi&gt;10.1002/adma.202309956&lt;/_doi&gt;&lt;_impact_factor&gt;  29.400&lt;/_impact_factor&gt;&lt;_isbn&gt;1521-4095 (Electronic); 0935-9648 (Linking)&lt;/_isbn&gt;&lt;_issue&gt;15&lt;/_issue&gt;&lt;_journal&gt;Adv Mater&lt;/_journal&gt;&lt;_keywords&gt;composition space; flash carbothermic reaction; high entropy; metallic glass; nanoparticles&lt;/_keywords&gt;&lt;_language&gt;eng&lt;/_language&gt;&lt;_modified&gt;65415422&lt;/_modified&gt;&lt;_ori_publication&gt;© 2024 Wiley‐VCH GmbH.&lt;/_ori_publication&gt;&lt;_pages&gt;e2309956&lt;/_pages&gt;&lt;_social_category&gt;化学：综合(1) &amp;amp; 物理化学(1) &amp;amp; 材料科学：综合(1) &amp;amp; 纳米科技(1) &amp;amp; 物理：应用(1) &amp;amp; 物理：凝聚态物理(1)&lt;/_social_category&gt;&lt;_tertiary_title&gt;Advanced materials (Deerfield Beach, Fla.)&lt;/_tertiary_title&gt;&lt;_type_work&gt;Journal Article&lt;/_type_work&gt;&lt;_url&gt;http://www.ncbi.nlm.nih.gov/entrez/query.fcgi?cmd=Retrieve&amp;amp;db=pubmed&amp;amp;dopt=Abstract&amp;amp;list_uids=38305742&amp;amp;query_hl=1&lt;/_url&gt;&lt;_volume&gt;36&lt;/_volume&gt;&lt;/Details&gt;&lt;Extra&gt;&lt;DBUID&gt;{46426FB1-226B-4AC1-9419-A495A286C43E}&lt;/DBUID&gt;&lt;/Extra&gt;&lt;/Item&gt;&lt;/References&gt;&lt;/Group&gt;&lt;/Citation&gt;_x000a_"/>
    <w:docVar w:name="NE.Ref{2F6D2C40-9EFB-491A-A874-128077260B50}" w:val=" ADDIN NE.Ref.{2F6D2C40-9EFB-491A-A874-128077260B50}&lt;Citation&gt;&lt;Group&gt;&lt;References&gt;&lt;Item&gt;&lt;ID&gt;508&lt;/ID&gt;&lt;UID&gt;{B0F48CF5-AB4D-4B85-A9D6-DAF8DCE3197D}&lt;/UID&gt;&lt;Title&gt;Effect of Ag substitution for Ti on glass-forming ability, thermal stability and mechanical properties of Zr-based bulk metallic glasses&lt;/Title&gt;&lt;Template&gt;Journal Article&lt;/Template&gt;&lt;Star&gt;0&lt;/Star&gt;&lt;Tag&gt;0&lt;/Tag&gt;&lt;Author&gt;Yang, Y J; Cheng, B Y; Lv, J W; Li, B; Ma, M Z; Zhang, X Y; Li, G; Liu, R P&lt;/Author&gt;&lt;Year&gt;2019&lt;/Year&gt;&lt;Details&gt;&lt;_accessed&gt;65399649&lt;/_accessed&gt;&lt;_created&gt;65399649&lt;/_created&gt;&lt;_date&gt;62588160&lt;/_date&gt;&lt;_date_display&gt;2019&lt;/_date_display&gt;&lt;_db_updated&gt;PKU Search&lt;/_db_updated&gt;&lt;_doi&gt;10.1016/j.msea.2018.12.123&lt;/_doi&gt;&lt;_impact_factor&gt;   6.400&lt;/_impact_factor&gt;&lt;_isbn&gt;0921-5093&lt;/_isbn&gt;&lt;_journal&gt;Materials science &amp;amp; engineering. A, Structural materials : properties, microstructure and processing&lt;/_journal&gt;&lt;_keywords&gt;Amorphous alloys; Amorphous materials; Bulk metallic glasses; Fracture strength; Glass; Glass formation; Glass-forming ability; Mechanical properties; Metallic glasses; Plastic deformation; Silver; Substitutes; Thermal stability; Titanium; Zirconium base alloys&lt;/_keywords&gt;&lt;_modified&gt;65399649&lt;/_modified&gt;&lt;_number&gt;1&lt;/_number&gt;&lt;_ori_publication&gt;Elsevier B.V&lt;/_ori_publication&gt;&lt;_pages&gt;229-238&lt;/_pages&gt;&lt;_place_published&gt;Lausanne&lt;/_place_published&gt;&lt;_social_category&gt;材料科学：综合(2) &amp;amp; 冶金工程(1) &amp;amp; 纳米科技(2)&lt;/_social_category&gt;&lt;_url&gt;https://go.exlibris.link/tt83N7wc&lt;/_url&gt;&lt;_volume&gt;746&lt;/_volume&gt;&lt;/Details&gt;&lt;Extra&gt;&lt;DBUID&gt;{46426FB1-226B-4AC1-9419-A495A286C43E}&lt;/DBUID&gt;&lt;/Extra&gt;&lt;/Item&gt;&lt;/References&gt;&lt;/Group&gt;&lt;/Citation&gt;_x000a_"/>
    <w:docVar w:name="NE.Ref{3251BCDA-B886-4684-8D70-85EADF3CBE4E}" w:val=" ADDIN NE.Ref.{3251BCDA-B886-4684-8D70-85EADF3CBE4E}&lt;Citation&gt;&lt;Group&gt;&lt;References&gt;&lt;Item&gt;&lt;ID&gt;450&lt;/ID&gt;&lt;UID&gt;{A37A689C-41B3-4CF5-81F8-88C955A62B85}&lt;/UID&gt;&lt;Title&gt;Antibacterial effect of a copper-containing titanium alloy against implant-associated infection induced by methicillin-resistant Staphylococcus aureus&lt;/Title&gt;&lt;Template&gt;Journal Article&lt;/Template&gt;&lt;Star&gt;0&lt;/Star&gt;&lt;Tag&gt;0&lt;/Tag&gt;&lt;Author&gt;Zhuang, Yifu; Ren, Ling; Zhang, Shuyuan; Wei, Xiang; Yang, Ke; Dai, Kerong&lt;/Author&gt;&lt;Year&gt;2021&lt;/Year&gt;&lt;Details&gt;&lt;_accessed&gt;65316694&lt;/_accessed&gt;&lt;_collection_scope&gt;SCIE;EI&lt;/_collection_scope&gt;&lt;_created&gt;65308975&lt;/_created&gt;&lt;_date&gt;63640800&lt;/_date&gt;&lt;_date_display&gt;2021&lt;/_date_display&gt;&lt;_db_updated&gt;PKU Search&lt;/_db_updated&gt;&lt;_doi&gt;10.1016/j.actbio.2020.10.026&lt;/_doi&gt;&lt;_impact_factor&gt;   9.700&lt;/_impact_factor&gt;&lt;_isbn&gt;1742-7061&lt;/_isbn&gt;&lt;_journal&gt;Acta biomaterialia&lt;/_journal&gt;&lt;_keywords&gt;Alloys - pharmacology; Animals; Anti-Bacterial Agents - pharmacology; Antibacterial activity; Antibacterial effect; Antibiotic resistance; Antibiotics; Biocompatibility; Biofilms; biomedical engineering; Copper; Copper - pharmacology; Crystal violet; Drug resistance; engineering and technology; Femur; Implant; Implant-associated infection; In vivo; In vivo methods and tests; Infections; medical engineering; Methicillin; Methicillin-Resistant Staphylococcus aureus; Microbiology; Microorganisms; MRSA; nano-technology; nanoscience &amp;amp; nanotechnology; Orthopedics; Polymerase chain reaction; Rats; Reverse transcription; Scanning electron microscopy; Staining; Staphylococcus aureus; Staphylococcus infections; Surgical implants; Titanium; Titanium alloy; Titanium alloys; Titanium base alloys; Transplants &amp;amp; implants; Virulence&lt;/_keywords&gt;&lt;_modified&gt;65308976&lt;/_modified&gt;&lt;_number&gt;1&lt;/_number&gt;&lt;_ori_publication&gt;Elsevier Ltd&lt;/_ori_publication&gt;&lt;_pages&gt;472-484&lt;/_pages&gt;&lt;_place_published&gt;England&lt;/_place_published&gt;&lt;_social_category&gt;工程：生物医学(1) &amp;amp; 材料科学：生物材料(1)&lt;/_social_category&gt;&lt;_url&gt;https://go.exlibris.link/7hSHJCR5&lt;/_url&gt;&lt;_volume&gt;119&lt;/_volume&gt;&lt;/Details&gt;&lt;Extra&gt;&lt;DBUID&gt;{46426FB1-226B-4AC1-9419-A495A286C43E}&lt;/DBUID&gt;&lt;/Extra&gt;&lt;/Item&gt;&lt;/References&gt;&lt;/Group&gt;&lt;/Citation&gt;_x000a_"/>
    <w:docVar w:name="NE.Ref{3868D2BF-1BE3-4461-A13D-9A57CB8F1187}" w:val=" ADDIN NE.Ref.{3868D2BF-1BE3-4461-A13D-9A57CB8F1187}&lt;Citation&gt;&lt;Group&gt;&lt;References&gt;&lt;Item&gt;&lt;ID&gt;161&lt;/ID&gt;&lt;UID&gt;{17CF58CD-339C-46D1-AA43-1DF233395A9D}&lt;/UID&gt;&lt;Title&gt;Stabilization of metallic supercooled liquid and bulk amorphous alloys&lt;/Title&gt;&lt;Template&gt;Journal Article&lt;/Template&gt;&lt;Star&gt;0&lt;/Star&gt;&lt;Tag&gt;0&lt;/Tag&gt;&lt;Author&gt;Inoue, Akihisa&lt;/Author&gt;&lt;Year&gt;2000&lt;/Year&gt;&lt;Details&gt;&lt;_accessed&gt;65293504&lt;/_accessed&gt;&lt;_alternate_title&gt;Acta Materialia&lt;/_alternate_title&gt;&lt;_collection_scope&gt;SCIE;EI&lt;/_collection_scope&gt;&lt;_created&gt;64616544&lt;/_created&gt;&lt;_date&gt;52594560&lt;/_date&gt;&lt;_date_display&gt;2000&lt;/_date_display&gt;&lt;_db_updated&gt;ScienceDirect&lt;/_db_updated&gt;&lt;_doi&gt;https://doi.org/10.1016/S1359-6454(99)00300-6&lt;/_doi&gt;&lt;_impact_factor&gt;   9.400&lt;/_impact_factor&gt;&lt;_isbn&gt;1359-6454&lt;/_isbn&gt;&lt;_issue&gt;1&lt;/_issue&gt;&lt;_journal&gt;Acta Materialia&lt;/_journal&gt;&lt;_keywords&gt;Supercooled liquids; Amorphous materials; Metallic glasses; Stability; Microstructure&lt;/_keywords&gt;&lt;_modified&gt;65250300&lt;/_modified&gt;&lt;_pages&gt;279-306&lt;/_pages&gt;&lt;_social_category&gt;材料科学(1)&lt;/_social_category&gt;&lt;_url&gt;https://www.sciencedirect.com/science/article/pii/S1359645499003006&lt;/_url&gt;&lt;_volume&gt;48&lt;/_volume&gt;&lt;/Details&gt;&lt;Extra&gt;&lt;DBUID&gt;{46426FB1-226B-4AC1-9419-A495A286C43E}&lt;/DBUID&gt;&lt;/Extra&gt;&lt;/Item&gt;&lt;/References&gt;&lt;/Group&gt;&lt;/Citation&gt;_x000a_"/>
    <w:docVar w:name="NE.Ref{3ACC02BD-EF35-48B6-AF5F-C81286C91A2E}" w:val=" ADDIN NE.Ref.{3ACC02BD-EF35-48B6-AF5F-C81286C91A2E}&lt;Citation&gt;&lt;Group&gt;&lt;References&gt;&lt;Item&gt;&lt;ID&gt;252&lt;/ID&gt;&lt;UID&gt;{E81B11CD-49AA-4DF6-8018-CB05F3E8D782}&lt;/UID&gt;&lt;Title&gt;Histopathological analysis of biopsies of &amp;quot;peri-implant inflammatory lesions.&amp;quot;  Everything is not what it seems&lt;/Title&gt;&lt;Template&gt;Journal Article&lt;/Template&gt;&lt;Star&gt;0&lt;/Star&gt;&lt;Tag&gt;0&lt;/Tag&gt;&lt;Author&gt;Sotorra-Figuerola, D; Lafuente-Ibanez, De Mendoza I; Parra-Perez, C; Aguirre-Urizar, J M&lt;/Author&gt;&lt;Year&gt;2020&lt;/Year&gt;&lt;Details&gt;&lt;_accessed&gt;64798426&lt;/_accessed&gt;&lt;_accession_num&gt;32378812&lt;/_accession_num&gt;&lt;_author_adr&gt;Oral Pathology Master Programme, Oral and Maxillofacial Pathology Unit, Dental  Clinic Service, Department of Stomatology II, University of the Basque Country  (UPV/EHU), Leioa, Spain.; Oral Pathology Master Programme, Oral and Maxillofacial Pathology Unit, Dental  Clinic Service, Department of Stomatology II, University of the Basque Country  (UPV/EHU), Leioa, Spain.; Oral Pathology Master Programme, Oral and Maxillofacial Pathology Unit, Dental  Clinic Service, Department of Stomatology II, University of the Basque Country  (UPV/EHU), Leioa, Spain.; Oral Pathology Master Programme, Oral and Maxillofacial Pathology Unit, Dental  Clinic Service, Department of Stomatology II, University of the Basque Country  (UPV/EHU), Leioa, Spain.&lt;/_author_adr&gt;&lt;_collection_scope&gt;SCIE&lt;/_collection_scope&gt;&lt;_created&gt;64763448&lt;/_created&gt;&lt;_date&gt;63332640&lt;/_date&gt;&lt;_date_display&gt;2020 Jun&lt;/_date_display&gt;&lt;_db_updated&gt;PubMed&lt;/_db_updated&gt;&lt;_doi&gt;10.1111/cid.12905&lt;/_doi&gt;&lt;_impact_factor&gt;   3.600&lt;/_impact_factor&gt;&lt;_isbn&gt;1708-8208 (Electronic); 1523-0899 (Linking)&lt;/_isbn&gt;&lt;_issue&gt;3&lt;/_issue&gt;&lt;_journal&gt;Clin Implant Dent Relat Res&lt;/_journal&gt;&lt;_keywords&gt;actinomicosis; histological analysis; peri-implant lesions; peri-implantitis; peripheral giant cell granuloma; pyogenic granuloma; squamous cell carcinoma&lt;/_keywords&gt;&lt;_language&gt;eng&lt;/_language&gt;&lt;_modified&gt;65242881&lt;/_modified&gt;&lt;_ori_publication&gt;(c) 2020 Wiley Periodicals LLC.&lt;/_ori_publication&gt;&lt;_pages&gt;366-372&lt;/_pages&gt;&lt;_social_category&gt;医学(2)&lt;/_social_category&gt;&lt;_subject_headings&gt;Biopsy; *Dental Implants; Female; Humans; Male; Mandible; Middle Aged; *Peri-Implantitis; Retrospective Studies&lt;/_subject_headings&gt;&lt;_tertiary_title&gt;Clinical implant dentistry and related research&lt;/_tertiary_title&gt;&lt;_type_work&gt;Journal Article&lt;/_type_work&gt;&lt;_url&gt;http://www.ncbi.nlm.nih.gov/entrez/query.fcgi?cmd=Retrieve&amp;amp;db=pubmed&amp;amp;dopt=Abstract&amp;amp;list_uids=32378812&amp;amp;query_hl=1&lt;/_url&gt;&lt;_volume&gt;22&lt;/_volume&gt;&lt;/Details&gt;&lt;Extra&gt;&lt;DBUID&gt;{46426FB1-226B-4AC1-9419-A495A286C43E}&lt;/DBUID&gt;&lt;/Extra&gt;&lt;/Item&gt;&lt;/References&gt;&lt;/Group&gt;&lt;/Citation&gt;_x000a_"/>
    <w:docVar w:name="NE.Ref{3B66BAF2-F9DE-416B-BF24-F46CFFB50001}" w:val=" ADDIN NE.Ref.{3B66BAF2-F9DE-416B-BF24-F46CFFB50001}&lt;Citation&gt;&lt;Group&gt;&lt;References&gt;&lt;Item&gt;&lt;ID&gt;327&lt;/ID&gt;&lt;UID&gt;{023919C7-642C-4BA4-8177-4F9A59D7CE2E}&lt;/UID&gt;&lt;Title&gt;An advanced prediction model for postoperative complications and early implant&lt;/Title&gt;&lt;Template&gt;Journal Article&lt;/Template&gt;&lt;Star&gt;0&lt;/Star&gt;&lt;Tag&gt;0&lt;/Tag&gt;&lt;Author&gt;Feher, Balazs&lt;/Author&gt;&lt;Year&gt;2020&lt;/Year&gt;&lt;Details&gt;&lt;_accessed&gt;65299327&lt;/_accessed&gt;&lt;_created&gt;64844070&lt;/_created&gt;&lt;_journal&gt;Clinical Oral Implants Res&lt;/_journal&gt;&lt;_modified&gt;64844071&lt;/_modified&gt;&lt;_pages&gt;928–935&lt;/_pages&gt;&lt;_volume&gt;31&lt;/_volume&gt;&lt;/Details&gt;&lt;Extra&gt;&lt;DBUID&gt;{46426FB1-226B-4AC1-9419-A495A286C43E}&lt;/DBUID&gt;&lt;/Extra&gt;&lt;/Item&gt;&lt;/References&gt;&lt;/Group&gt;&lt;/Citation&gt;_x000a_"/>
    <w:docVar w:name="NE.Ref{3B9CB362-AFD5-46DF-9479-460BA74784E9}" w:val=" ADDIN NE.Ref.{3B9CB362-AFD5-46DF-9479-460BA74784E9}&lt;Citation&gt;&lt;Group&gt;&lt;References&gt;&lt;Item&gt;&lt;ID&gt;161&lt;/ID&gt;&lt;UID&gt;{17CF58CD-339C-46D1-AA43-1DF233395A9D}&lt;/UID&gt;&lt;Title&gt;Stabilization of metallic supercooled liquid and bulk amorphous alloys&lt;/Title&gt;&lt;Template&gt;Journal Article&lt;/Template&gt;&lt;Star&gt;0&lt;/Star&gt;&lt;Tag&gt;0&lt;/Tag&gt;&lt;Author&gt;Inoue, Akihisa&lt;/Author&gt;&lt;Year&gt;2000&lt;/Year&gt;&lt;Details&gt;&lt;_accessed&gt;65293504&lt;/_accessed&gt;&lt;_alternate_title&gt;Acta Materialia&lt;/_alternate_title&gt;&lt;_collection_scope&gt;SCIE;EI&lt;/_collection_scope&gt;&lt;_created&gt;64616544&lt;/_created&gt;&lt;_date&gt;52594560&lt;/_date&gt;&lt;_date_display&gt;2000&lt;/_date_display&gt;&lt;_db_updated&gt;ScienceDirect&lt;/_db_updated&gt;&lt;_doi&gt;https://doi.org/10.1016/S1359-6454(99)00300-6&lt;/_doi&gt;&lt;_impact_factor&gt;   9.400&lt;/_impact_factor&gt;&lt;_isbn&gt;1359-6454&lt;/_isbn&gt;&lt;_issue&gt;1&lt;/_issue&gt;&lt;_journal&gt;Acta Materialia&lt;/_journal&gt;&lt;_keywords&gt;Supercooled liquids; Amorphous materials; Metallic glasses; Stability; Microstructure&lt;/_keywords&gt;&lt;_modified&gt;65250300&lt;/_modified&gt;&lt;_pages&gt;279-306&lt;/_pages&gt;&lt;_social_category&gt;材料科学(1)&lt;/_social_category&gt;&lt;_url&gt;https://www.sciencedirect.com/science/article/pii/S1359645499003006&lt;/_url&gt;&lt;_volume&gt;48&lt;/_volume&gt;&lt;/Details&gt;&lt;Extra&gt;&lt;DBUID&gt;{46426FB1-226B-4AC1-9419-A495A286C43E}&lt;/DBUID&gt;&lt;/Extra&gt;&lt;/Item&gt;&lt;/References&gt;&lt;/Group&gt;&lt;/Citation&gt;_x000a_"/>
    <w:docVar w:name="NE.Ref{3DEBA1B3-602E-4EE5-B645-D300B8422B06}" w:val=" ADDIN NE.Ref.{3DEBA1B3-602E-4EE5-B645-D300B8422B06}&lt;Citation&gt;&lt;Group&gt;&lt;References&gt;&lt;Item&gt;&lt;ID&gt;230&lt;/ID&gt;&lt;UID&gt;{70F532DB-766F-4BAF-A6DB-D95857B4F161}&lt;/UID&gt;&lt;Title&gt;Mechanical Characterization and In Vitro Assay of Biocompatible Titanium Alloys&lt;/Title&gt;&lt;Template&gt;Journal Article&lt;/Template&gt;&lt;Star&gt;0&lt;/Star&gt;&lt;Tag&gt;0&lt;/Tag&gt;&lt;Author&gt;Baltatu, I; Sandu, A V; Vlad, M D; Spataru, M C; Vizureanu, P; Baltatu, M S&lt;/Author&gt;&lt;Year&gt;2022&lt;/Year&gt;&lt;Details&gt;&lt;_accession_num&gt;35334722&lt;/_accession_num&gt;&lt;_author_adr&gt;Faculty of Materials Science and Engineering, &amp;quot;Gheorghe Asachi&amp;quot; Technical  University of Iasi, 41 &amp;quot;D. Mangeron&amp;quot; Street, 700050 Iasi, Romania.; Faculty of Materials Science and Engineering, &amp;quot;Gheorghe Asachi&amp;quot; Technical  University of Iasi, 41 &amp;quot;D. Mangeron&amp;quot; Street, 700050 Iasi, Romania.; Romanian Inventors Forum, Str. Sf. P. Movila 3, 700089 Iasi, Romania.; Biomedical Sciences Department, Faculty of Medical Bioengineering, &amp;quot;Grigore T.  Popa&amp;quot; University of Medicine and Pharmacy from Iasi, 9-13 Kogalniceanu Street,  700454 Iasi, Romania.; TRANSCEND Research Centre, Regional Institute of Oncology, Str. G-ral Henri  Mathias Berthelot 2-4, 700483 Iasi, Romania.; Public Health Departament, Faculty of Veterinary Medicine, &amp;quot;Ion Ionescu de la  Brad&amp;quot; University of Life Sciences, 3 Mihail Sadoveanu Alley, 700490 Iasi,  Romania.; Faculty of Materials Science and Engineering, &amp;quot;Gheorghe Asachi&amp;quot; Technical  University of Iasi, 41 &amp;quot;D. Mangeron&amp;quot; Street, 700050 Iasi, Romania.; Technical Sciences Academy of Romania, Dacia Blvd 26, 030167 Bucharest, Romania.; Faculty of Materials Science and Engineering, &amp;quot;Gheorghe Asachi&amp;quot; Technical  University of Iasi, 41 &amp;quot;D. Mangeron&amp;quot; Street, 700050 Iasi, Romania.&lt;/_author_adr&gt;&lt;_collection_scope&gt;SCIE;EI&lt;/_collection_scope&gt;&lt;_created&gt;64763255&lt;/_created&gt;&lt;_date&gt;2022-03-10&lt;/_date&gt;&lt;_date_display&gt;2022 Mar 10&lt;/_date_display&gt;&lt;_db_updated&gt;PubMed&lt;/_db_updated&gt;&lt;_doi&gt;10.3390/mi13030430&lt;/_doi&gt;&lt;_impact_factor&gt;   3.400&lt;/_impact_factor&gt;&lt;_isbn&gt;2072-666X (Print); 2072-666X (Electronic); 2072-666X (Linking)&lt;/_isbn&gt;&lt;_issue&gt;3&lt;/_issue&gt;&lt;_journal&gt;Micromachines (Basel)&lt;/_journal&gt;&lt;_keywords&gt;Ti-Mo-Zr-Ta system; in vitro assay; mechanical properties; titanium alloys&lt;/_keywords&gt;&lt;_language&gt;eng&lt;/_language&gt;&lt;_modified&gt;65250305&lt;/_modified&gt;&lt;_social_category&gt;工程技术(3)&lt;/_social_category&gt;&lt;_tertiary_title&gt;Micromachines&lt;/_tertiary_title&gt;&lt;_type_work&gt;Journal Article&lt;/_type_work&gt;&lt;_url&gt;http://www.ncbi.nlm.nih.gov/entrez/query.fcgi?cmd=Retrieve&amp;amp;db=pubmed&amp;amp;dopt=Abstract&amp;amp;list_uids=35334722&amp;amp;query_hl=1&lt;/_url&gt;&lt;_volume&gt;13&lt;/_volume&gt;&lt;/Details&gt;&lt;Extra&gt;&lt;DBUID&gt;{46426FB1-226B-4AC1-9419-A495A286C43E}&lt;/DBUID&gt;&lt;/Extra&gt;&lt;/Item&gt;&lt;/References&gt;&lt;/Group&gt;&lt;/Citation&gt;_x000a_"/>
    <w:docVar w:name="NE.Ref{3EFAF3E9-A948-403E-90BA-A91C00D8759A}" w:val=" ADDIN NE.Ref.{3EFAF3E9-A948-403E-90BA-A91C00D8759A}&lt;Citation&gt;&lt;Group&gt;&lt;References&gt;&lt;Item&gt;&lt;ID&gt;431&lt;/ID&gt;&lt;UID&gt;{4F4438F0-787C-4776-8FCD-EBDCBB72B87A}&lt;/UID&gt;&lt;Title&gt;Activating macrophages for enhanced osteogenic and bactericidal performance by Cu  ion release from micro/nano-topographical coating on a titanium substrate&lt;/Title&gt;&lt;Template&gt;Journal Article&lt;/Template&gt;&lt;Star&gt;0&lt;/Star&gt;&lt;Tag&gt;0&lt;/Tag&gt;&lt;Author&gt;Huang, Q; Ouyang, Z; Tan, Y; Wu, H; Liu, Y&lt;/Author&gt;&lt;Year&gt;2019&lt;/Year&gt;&lt;Details&gt;&lt;_accessed&gt;65310430&lt;/_accessed&gt;&lt;_accession_num&gt;31553923&lt;/_accession_num&gt;&lt;_author_adr&gt;State Key Laboratory of Powder Metallurgy, Central South University, Changsha  410083, PR China.; Department of Orthopedics, The Second Xiangya Hospital, Central South University,  Changsha 410083, PR China.; State Key Laboratory of Powder Metallurgy, Central South University, Changsha  410083, PR China.; State Key Laboratory of Powder Metallurgy, Central South University, Changsha  410083, PR China.; State Key Laboratory of Powder Metallurgy, Central South University, Changsha  410083, PR China. Electronic address: yonliu@csu.edu.cn.&lt;/_author_adr&gt;&lt;_collection_scope&gt;SCIE;EI&lt;/_collection_scope&gt;&lt;_created&gt;65298936&lt;/_created&gt;&lt;_date&gt;2019-12-01&lt;/_date&gt;&lt;_date_display&gt;2019 Dec&lt;/_date_display&gt;&lt;_doi&gt;10.1016/j.actbio.2019.09.030&lt;/_doi&gt;&lt;_impact_factor&gt;   9.700&lt;/_impact_factor&gt;&lt;_isbn&gt;1878-7568 (Electronic); 1742-7061 (Linking)&lt;/_isbn&gt;&lt;_journal&gt;Acta Biomater&lt;/_journal&gt;&lt;_keywords&gt;Bacteria; Copper; Implant; Inflammation; Macrophage; Osteogenesis&lt;/_keywords&gt;&lt;_language&gt;eng&lt;/_language&gt;&lt;_modified&gt;65299348&lt;/_modified&gt;&lt;_ori_publication&gt;Copyright © 2019 Acta Materialia Inc. Published by Elsevier Ltd. All rights _x000d__x000a_      reserved.&lt;/_ori_publication&gt;&lt;_pages&gt;415-426&lt;/_pages&gt;&lt;_social_category&gt;工程：生物医学(1) &amp;amp; 材料科学：生物材料(1)&lt;/_social_category&gt;&lt;_subject_headings&gt;Animals; Anti-Bacterial Agents/*pharmacology; Cell Polarity/drug effects; Cellular Microenvironment/drug effects; Coated Materials, Biocompatible/*pharmacology; Copper/*pharmacology; Culture Media, Conditioned/pharmacology; Inflammation/pathology; Ions; Macrophage Activation/*drug effects; Mice; Microbial Sensitivity Tests; Nanoparticles/*chemistry; Osteoblasts/cytology/drug effects; Osteogenesis/*drug effects; RAW 264.7 Cells; Rats, Sprague-Dawley; Staphylococcus aureus/drug effects; Titanium/*pharmacology&lt;/_subject_headings&gt;&lt;_tertiary_title&gt;Acta biomaterialia&lt;/_tertiary_title&gt;&lt;_type_work&gt;Journal Article; Research Support, Non-U.S. Gov&amp;apos;t&lt;/_type_work&gt;&lt;_url&gt;http://www.ncbi.nlm.nih.gov/entrez/query.fcgi?cmd=Retrieve&amp;amp;db=pubmed&amp;amp;dopt=Abstract&amp;amp;list_uids=31553923&amp;amp;query_hl=1&lt;/_url&gt;&lt;_volume&gt;100&lt;/_volume&gt;&lt;/Details&gt;&lt;Extra&gt;&lt;DBUID&gt;{46426FB1-226B-4AC1-9419-A495A286C43E}&lt;/DBUID&gt;&lt;/Extra&gt;&lt;/Item&gt;&lt;/References&gt;&lt;/Group&gt;&lt;Group&gt;&lt;References&gt;&lt;Item&gt;&lt;ID&gt;453&lt;/ID&gt;&lt;UID&gt;{5B92ACCE-4592-49DE-8B34-12C07B5A2412}&lt;/UID&gt;&lt;Title&gt;Antimicrobial Copper-Based Materials and Coatings: Potential Multifaceted  Biomedical Applications&lt;/Title&gt;&lt;Template&gt;Journal Article&lt;/Template&gt;&lt;Star&gt;0&lt;/Star&gt;&lt;Tag&gt;0&lt;/Tag&gt;&lt;Author&gt;Mitra, D; Kang, E T; Neoh, K G&lt;/Author&gt;&lt;Year&gt;2020&lt;/Year&gt;&lt;Details&gt;&lt;_accessed&gt;65309000&lt;/_accessed&gt;&lt;_accession_num&gt;31880421&lt;/_accession_num&gt;&lt;_author_adr&gt;Department of Chemical and Biomolecular Engineering, National University of  Singapore, Kent Ridge, Singapore 117576.; Department of Chemical and Biomolecular Engineering, National University of  Singapore, Kent Ridge, Singapore 117576.; Department of Chemical and Biomolecular Engineering, National University of  Singapore, Kent Ridge, Singapore 117576.&lt;/_author_adr&gt;&lt;_collection_scope&gt;SCIE;EI&lt;/_collection_scope&gt;&lt;_created&gt;65308999&lt;/_created&gt;&lt;_date&gt;63305280&lt;/_date&gt;&lt;_date_display&gt;2020 May 13&lt;/_date_display&gt;&lt;_db_updated&gt;PubMed&lt;/_db_updated&gt;&lt;_doi&gt;10.1021/acsami.9b17815&lt;/_doi&gt;&lt;_impact_factor&gt;   9.500&lt;/_impact_factor&gt;&lt;_isbn&gt;1944-8252 (Electronic); 1944-8244 (Linking)&lt;/_isbn&gt;&lt;_issue&gt;19&lt;/_issue&gt;&lt;_journal&gt;ACS Appl Mater Interfaces&lt;/_journal&gt;&lt;_keywords&gt;antimicrobial coatings; antimicrobial mechanisms; contact killing; copper; hospital-acquired infection&lt;/_keywords&gt;&lt;_language&gt;eng&lt;/_language&gt;&lt;_modified&gt;65309000&lt;/_modified&gt;&lt;_pages&gt;21159-21182&lt;/_pages&gt;&lt;_social_category&gt;材料科学：综合(2) &amp;amp; 纳米科技(2)&lt;/_social_category&gt;&lt;_subject_headings&gt;Alloys/chemistry/pharmacology; Animals; Anti-Bacterial Agents/chemistry/*pharmacology; Bacteria/drug effects; Coated Materials, Biocompatible/chemistry/*pharmacology; Copper/chemistry/*pharmacology; Humans; Metal Nanoparticles/chemistry; Surface Properties&lt;/_subject_headings&gt;&lt;_tertiary_title&gt;ACS applied materials &amp;amp; interfaces&lt;/_tertiary_title&gt;&lt;_type_work&gt;Journal Article; Review&lt;/_type_work&gt;&lt;_url&gt;http://www.ncbi.nlm.nih.gov/entrez/query.fcgi?cmd=Retrieve&amp;amp;db=pubmed&amp;amp;dopt=Abstract&amp;amp;list_uids=31880421&amp;amp;query_hl=1&lt;/_url&gt;&lt;_volume&gt;12&lt;/_volume&gt;&lt;/Details&gt;&lt;Extra&gt;&lt;DBUID&gt;{46426FB1-226B-4AC1-9419-A495A286C43E}&lt;/DBUID&gt;&lt;/Extra&gt;&lt;/Item&gt;&lt;/References&gt;&lt;/Group&gt;&lt;Group&gt;&lt;References&gt;&lt;Item&gt;&lt;ID&gt;410&lt;/ID&gt;&lt;UID&gt;{5C335C8F-EBD7-4424-8A44-06E61CD29F12}&lt;/UID&gt;&lt;Title&gt;The Antibacterial Mechanism of Silver Nanoparticles and Its Application in  Dentistry&lt;/Title&gt;&lt;Template&gt;Journal Article&lt;/Template&gt;&lt;Star&gt;0&lt;/Star&gt;&lt;Tag&gt;0&lt;/Tag&gt;&lt;Author&gt;Yin, I X; Zhang, J; Zhao, I S; Mei, M L; Li, Q; Chu, C H&lt;/Author&gt;&lt;Year&gt;2020&lt;/Year&gt;&lt;Details&gt;&lt;_accessed&gt;65309300&lt;/_accessed&gt;&lt;_accession_num&gt;32368040&lt;/_accession_num&gt;&lt;_author_adr&gt;School of Dentistry, Shenzhen University Health Science Center, Shenzhen,  People&amp;apos;s Republic of China.; Faculty of Dentistry, The University of Hong Kong, Hong Kong.; College of Stomatology, Anhui Medical University, Hefei, People&amp;apos;s Republic of  China.; School of Dentistry, Shenzhen University Health Science Center, Shenzhen,  People&amp;apos;s Republic of China.; Faculty of Dentistry, University of Otago, Otago, New Zealand.; College of Stomatology, Anhui Medical University, Hefei, People&amp;apos;s Republic of  China.; Faculty of Dentistry, The University of Hong Kong, Hong Kong.&lt;/_author_adr&gt;&lt;_collection_scope&gt;SCIE&lt;/_collection_scope&gt;&lt;_created&gt;65242993&lt;/_created&gt;&lt;_date&gt;2020-01-20&lt;/_date&gt;&lt;_date_display&gt;2020&lt;/_date_display&gt;&lt;_doi&gt;10.2147/IJN.S246764&lt;/_doi&gt;&lt;_impact_factor&gt;   8.000&lt;/_impact_factor&gt;&lt;_isbn&gt;1178-2013 (Electronic); 1176-9114 (Print); 1176-9114 (Linking)&lt;/_isbn&gt;&lt;_journal&gt;Int J Nanomedicine&lt;/_journal&gt;&lt;_keywords&gt;antibacterial; dentistry; nanoparticles; nanotechnology; silver&lt;/_keywords&gt;&lt;_language&gt;eng&lt;/_language&gt;&lt;_modified&gt;65290389&lt;/_modified&gt;&lt;_ori_publication&gt;© 2020 Yin et al.&lt;/_ori_publication&gt;&lt;_pages&gt;2555-2562&lt;/_pages&gt;&lt;_social_category&gt;纳米科技(3) &amp;amp; 药学(2)&lt;/_social_category&gt;&lt;_subject_headings&gt;Anti-Bacterial Agents/*pharmacology; *Dentistry; Humans; Metal Nanoparticles/adverse effects/*chemistry; Nanotechnology; Silver/adverse effects/*pharmacology&lt;/_subject_headings&gt;&lt;_tertiary_title&gt;International journal of nanomedicine&lt;/_tertiary_title&gt;&lt;_type_work&gt;Journal Article; Review&lt;/_type_work&gt;&lt;_url&gt;http://www.ncbi.nlm.nih.gov/entrez/query.fcgi?cmd=Retrieve&amp;amp;db=pubmed&amp;amp;dopt=Abstract&amp;amp;list_uids=32368040&amp;amp;query_hl=1&lt;/_url&gt;&lt;_volume&gt;15&lt;/_volume&gt;&lt;/Details&gt;&lt;Extra&gt;&lt;DBUID&gt;{46426FB1-226B-4AC1-9419-A495A286C43E}&lt;/DBUID&gt;&lt;/Extra&gt;&lt;/Item&gt;&lt;/References&gt;&lt;/Group&gt;&lt;Group&gt;&lt;References&gt;&lt;Item&gt;&lt;ID&gt;432&lt;/ID&gt;&lt;UID&gt;{9FEC6D73-188E-4CB4-B2F0-04D67486E7D2}&lt;/UID&gt;&lt;Title&gt;Antibacterial Property and Biocompatibility of Silver, Copper, and Zinc in  Titanium Dioxide Layers Incorporated by One-Step Micro-Arc Oxidation: A Review&lt;/Title&gt;&lt;Template&gt;Journal Article&lt;/Template&gt;&lt;Star&gt;0&lt;/Star&gt;&lt;Tag&gt;0&lt;/Tag&gt;&lt;Author&gt;Shimabukuro, M&lt;/Author&gt;&lt;Year&gt;2020&lt;/Year&gt;&lt;Details&gt;&lt;_accessed&gt;65316691&lt;/_accessed&gt;&lt;_accession_num&gt;33092058&lt;/_accession_num&gt;&lt;_author_adr&gt;Department of Biomaterials, Faculty of Dental Science, Kyushu University, 3-1-1  Maidashi, Higashi-ku, Fukuoka 812-8582, Japan.&lt;/_author_adr&gt;&lt;_collection_scope&gt;SCIE&lt;/_collection_scope&gt;&lt;_created&gt;65298937&lt;/_created&gt;&lt;_date&gt;2020-10-20&lt;/_date&gt;&lt;_date_display&gt;2020 Oct 20&lt;/_date_display&gt;&lt;_doi&gt;10.3390/antibiotics9100716&lt;/_doi&gt;&lt;_impact_factor&gt;   4.800&lt;/_impact_factor&gt;&lt;_isbn&gt;2079-6382 (Print); 2079-6382 (Electronic); 2079-6382 (Linking)&lt;/_isbn&gt;&lt;_issue&gt;10&lt;/_issue&gt;&lt;_journal&gt;Antibiotics (Basel)&lt;/_journal&gt;&lt;_keywords&gt;antibacterial properties; biofilm; coating; copper; implant; infection; micro-arc oxidation; silver; titanium; zinc&lt;/_keywords&gt;&lt;_language&gt;eng&lt;/_language&gt;&lt;_modified&gt;65316691&lt;/_modified&gt;&lt;_social_category&gt;传染病学(3) &amp;amp; 药学(2)&lt;/_social_category&gt;&lt;_tertiary_title&gt;Antibiotics (Basel, Switzerland)&lt;/_tertiary_title&gt;&lt;_type_work&gt;Journal Article; Review&lt;/_type_work&gt;&lt;_url&gt;http://www.ncbi.nlm.nih.gov/entrez/query.fcgi?cmd=Retrieve&amp;amp;db=pubmed&amp;amp;dopt=Abstract&amp;amp;list_uids=33092058&amp;amp;query_hl=1&lt;/_url&gt;&lt;_volume&gt;9&lt;/_volume&gt;&lt;/Details&gt;&lt;Extra&gt;&lt;DBUID&gt;{46426FB1-226B-4AC1-9419-A495A286C43E}&lt;/DBUID&gt;&lt;/Extra&gt;&lt;/Item&gt;&lt;/References&gt;&lt;/Group&gt;&lt;Group&gt;&lt;References&gt;&lt;Item&gt;&lt;ID&gt;442&lt;/ID&gt;&lt;UID&gt;{FE55C97B-C734-42AD-AC27-96781E8E27BB}&lt;/UID&gt;&lt;Title&gt;What controls the antibacterial activity of Ti-Ag alloy, Ag ion or Ti(2)Ag  particles?&lt;/Title&gt;&lt;Template&gt;Journal Article&lt;/Template&gt;&lt;Star&gt;0&lt;/Star&gt;&lt;Tag&gt;0&lt;/Tag&gt;&lt;Author&gt;Shi, A; Zhu, C; Fu, S; Wang, R; Qin, G; Chen, D; Zhang, E&lt;/Author&gt;&lt;Year&gt;2020&lt;/Year&gt;&lt;Details&gt;&lt;_accessed&gt;65316701&lt;/_accessed&gt;&lt;_accession_num&gt;32228943&lt;/_accession_num&gt;&lt;_author_adr&gt;Key Lab. for Anisotropy and Texture of Materials, Education Ministry of China,  School of Materials Science and Engineering, Northeastern University, Shenyang  110819, China; Research Center for Metallic Wires, Northeastern University,  Shenyang 110819, China.; Key Lab. for Anisotropy and Texture of Materials, Education Ministry of China,  School of Materials Science and Engineering, Northeastern University, Shenyang  110819, China; Research Center for Metallic Wires, Northeastern University,  Shenyang 110819, China.; Key Lab. for Anisotropy and Texture of Materials, Education Ministry of China,  School of Materials Science and Engineering, Northeastern University, Shenyang  110819, China; Research Center for Metallic Wires, Northeastern University,  Shenyang 110819, China.; Laboratory of Bone Tissue Engineering, Beijing Laboratory of Biomedical  Materials, Beijing Research Institute of Orthopaedics and Traumatology, Beijing  Jishuitan Hospital, Beijing 100035, China.; Key Lab. for Anisotropy and Texture of Materials, Education Ministry of China,  School of Materials Science and Engineering, Northeastern University, Shenyang  110819, China; Research Center for Metallic Wires, Northeastern University,  Shenyang 110819, China.; Laboratory of Bone Tissue Engineering, Beijing Laboratory of Biomedical  Materials, Beijing Research Institute of Orthopaedics and Traumatology, Beijing  Jishuitan Hospital, Beijing 100035, China. Electronic address:  chendafu@jsthospital.org.; Key Lab. for Anisotropy and Texture of Materials, Education Ministry of China,  School of Materials Science and Engineering, Northeastern University, Shenyang  110819, China; Research Center for Metallic Wires, Northeastern University,  Shenyang 110819, China. Electronic address: zhangel@atm.neu.edu.cn.&lt;/_author_adr&gt;&lt;_created&gt;65299371&lt;/_created&gt;&lt;_date&gt;2020-04-01&lt;/_date&gt;&lt;_date_display&gt;2020 Apr&lt;/_date_display&gt;&lt;_doi&gt;10.1016/j.msec.2019.110548&lt;/_doi&gt;&lt;_impact_factor&gt;   7.900&lt;/_impact_factor&gt;&lt;_isbn&gt;1873-0191 (Electronic); 0928-4931 (Linking)&lt;/_isbn&gt;&lt;_journal&gt;Mater Sci Eng C Mater Biol Appl&lt;/_journal&gt;&lt;_keywords&gt;Antibacterial mechanism; Antibacterial property; Antibacterial titanium; Cytotoxicity; Surface acid etching; Ti-Ag alloy&lt;/_keywords&gt;&lt;_language&gt;eng&lt;/_language&gt;&lt;_modified&gt;65309299&lt;/_modified&gt;&lt;_ori_publication&gt;Copyright © 2019. Published by Elsevier B.V.&lt;/_ori_publication&gt;&lt;_pages&gt;110548&lt;/_pages&gt;&lt;_subject_headings&gt;*Alloys/chemistry/pharmacology; Animals; *Biocompatible Materials/chemistry/metabolism; Cell Line; *Materials Testing; Mice; *Silver/chemistry/pharmacology; Staphylococcus aureus/*growth &amp;amp; development; *Titanium/chemistry/pharmacology&lt;/_subject_headings&gt;&lt;_tertiary_title&gt;Materials science &amp;amp; engineering. C, Materials for biological applications&lt;/_tertiary_title&gt;&lt;_type_work&gt;Journal Article&lt;/_type_work&gt;&lt;_url&gt;http://www.ncbi.nlm.nih.gov/entrez/query.fcgi?cmd=Retrieve&amp;amp;db=pubmed&amp;amp;dopt=Abstract&amp;amp;list_uids=32228943&amp;amp;query_hl=1&lt;/_url&gt;&lt;_volume&gt;109&lt;/_volume&gt;&lt;/Details&gt;&lt;Extra&gt;&lt;DBUID&gt;{46426FB1-226B-4AC1-9419-A495A286C43E}&lt;/DBUID&gt;&lt;/Extra&gt;&lt;/Item&gt;&lt;/References&gt;&lt;/Group&gt;&lt;Group&gt;&lt;References&gt;&lt;Item&gt;&lt;ID&gt;450&lt;/ID&gt;&lt;UID&gt;{A37A689C-41B3-4CF5-81F8-88C955A62B85}&lt;/UID&gt;&lt;Title&gt;Antibacterial effect of a copper-containing titanium alloy against implant-associated infection induced by methicillin-resistant Staphylococcus aureus&lt;/Title&gt;&lt;Template&gt;Journal Article&lt;/Template&gt;&lt;Star&gt;0&lt;/Star&gt;&lt;Tag&gt;0&lt;/Tag&gt;&lt;Author&gt;Zhuang, Yifu; Ren, Ling; Zhang, Shuyuan; Wei, Xiang; Yang, Ke; Dai, Kerong&lt;/Author&gt;&lt;Year&gt;2021&lt;/Year&gt;&lt;Details&gt;&lt;_accessed&gt;65316694&lt;/_accessed&gt;&lt;_collection_scope&gt;SCIE;EI&lt;/_collection_scope&gt;&lt;_created&gt;65308975&lt;/_created&gt;&lt;_date&gt;63640800&lt;/_date&gt;&lt;_date_display&gt;2021&lt;/_date_display&gt;&lt;_db_updated&gt;PKU Search&lt;/_db_updated&gt;&lt;_doi&gt;10.1016/j.actbio.2020.10.026&lt;/_doi&gt;&lt;_impact_factor&gt;   9.700&lt;/_impact_factor&gt;&lt;_isbn&gt;1742-7061&lt;/_isbn&gt;&lt;_journal&gt;Acta biomaterialia&lt;/_journal&gt;&lt;_keywords&gt;Alloys - pharmacology; Animals; Anti-Bacterial Agents - pharmacology; Antibacterial activity; Antibacterial effect; Antibiotic resistance; Antibiotics; Biocompatibility; Biofilms; biomedical engineering; Copper; Copper - pharmacology; Crystal violet; Drug resistance; engineering and technology; Femur; Implant; Implant-associated infection; In vivo; In vivo methods and tests; Infections; medical engineering; Methicillin; Methicillin-Resistant Staphylococcus aureus; Microbiology; Microorganisms; MRSA; nano-technology; nanoscience &amp;amp; nanotechnology; Orthopedics; Polymerase chain reaction; Rats; Reverse transcription; Scanning electron microscopy; Staining; Staphylococcus aureus; Staphylococcus infections; Surgical implants; Titanium; Titanium alloy; Titanium alloys; Titanium base alloys; Transplants &amp;amp; implants; Virulence&lt;/_keywords&gt;&lt;_modified&gt;65308976&lt;/_modified&gt;&lt;_number&gt;1&lt;/_number&gt;&lt;_ori_publication&gt;Elsevier Ltd&lt;/_ori_publication&gt;&lt;_pages&gt;472-484&lt;/_pages&gt;&lt;_place_published&gt;England&lt;/_place_published&gt;&lt;_social_category&gt;工程：生物医学(1) &amp;amp; 材料科学：生物材料(1)&lt;/_social_category&gt;&lt;_url&gt;https://go.exlibris.link/7hSHJCR5&lt;/_url&gt;&lt;_volume&gt;119&lt;/_volume&gt;&lt;/Details&gt;&lt;Extra&gt;&lt;DBUID&gt;{46426FB1-226B-4AC1-9419-A495A286C43E}&lt;/DBUID&gt;&lt;/Extra&gt;&lt;/Item&gt;&lt;/References&gt;&lt;/Group&gt;&lt;/Citation&gt;_x000a_"/>
    <w:docVar w:name="NE.Ref{4B7E1E2D-11AD-4AEB-8D3D-6CDE0ACE9738}" w:val=" ADDIN NE.Ref.{4B7E1E2D-11AD-4AEB-8D3D-6CDE0ACE9738}&lt;Citation&gt;&lt;Group&gt;&lt;References&gt;&lt;Item&gt;&lt;ID&gt;435&lt;/ID&gt;&lt;UID&gt;{954B39D4-4087-4E40-8233-A83C34FCF079}&lt;/UID&gt;&lt;Title&gt;Formation and bioactivation of Zr-Al-Co bulk metallic glasses&lt;/Title&gt;&lt;Template&gt;Journal Article&lt;/Template&gt;&lt;Star&gt;0&lt;/Star&gt;&lt;Tag&gt;0&lt;/Tag&gt;&lt;Author&gt;Wada, Takeshi; Qin, Fengxiang; Wang, Xinmin; Yoshimura, Masahiro; Inoue, Akihisa; Sugiyama, Naota; Ito, Rieko; Matsushita, Nobuhiro&lt;/Author&gt;&lt;Year&gt;2009&lt;/Year&gt;&lt;Details&gt;&lt;_accessed&gt;65309422&lt;/_accessed&gt;&lt;_alternate_title&gt;Journal of Materials Research&lt;/_alternate_title&gt;&lt;_collection_scope&gt;SCIE;EI&lt;/_collection_scope&gt;&lt;_created&gt;65299298&lt;/_created&gt;&lt;_date&gt;2009-01-01&lt;/_date&gt;&lt;_date_display&gt;2009&lt;/_date_display&gt;&lt;_doi&gt;10.1557/jmr.2009.0348&lt;/_doi&gt;&lt;_impact_factor&gt;   2.700&lt;/_impact_factor&gt;&lt;_isbn&gt;2044-5326&lt;/_isbn&gt;&lt;_issue&gt;9&lt;/_issue&gt;&lt;_journal&gt;Journal of Materials Research&lt;/_journal&gt;&lt;_modified&gt;65309422&lt;/_modified&gt;&lt;_number&gt;Wada2009&lt;/_number&gt;&lt;_pages&gt;2941-2948&lt;/_pages&gt;&lt;_social_category&gt;材料科学：综合(4)&lt;/_social_category&gt;&lt;_url&gt;https://doi.org/10.1557/jmr.2009.0348&lt;/_url&gt;&lt;_volume&gt;24&lt;/_volume&gt;&lt;/Details&gt;&lt;Extra&gt;&lt;DBUID&gt;{46426FB1-226B-4AC1-9419-A495A286C43E}&lt;/DBUID&gt;&lt;/Extra&gt;&lt;/Item&gt;&lt;/References&gt;&lt;/Group&gt;&lt;Group&gt;&lt;References&gt;&lt;Item&gt;&lt;ID&gt;12&lt;/ID&gt;&lt;UID&gt;{24E27986-900D-4A79-A4EC-3A4B94CC1875}&lt;/UID&gt;&lt;Title&gt;Ni-free Zr-Cu-Al-Nb-Pd bulk metallic glasses with different Zr/Cu ratios for biomedical applications&lt;/Title&gt;&lt;Template&gt;Journal Article&lt;/Template&gt;&lt;Star&gt;0&lt;/Star&gt;&lt;Tag&gt;0&lt;/Tag&gt;&lt;Author&gt;Huang, L; Yokoyama, Y; Wu, W; Liaw, P K; Pang, S; Inoue, A; Zhang, T; He, W&lt;/Author&gt;&lt;Year&gt;2012&lt;/Year&gt;&lt;Details&gt;&lt;_accessed&gt;65309425&lt;/_accessed&gt;&lt;_accession_num&gt;22689253&lt;/_accession_num&gt;&lt;_author_adr&gt;Key Laboratory of Aerospace Materials and Performance (Ministry of Education), School of Materials Science and Engineering, Beihang University, Beijing 100191,  China.&lt;/_author_adr&gt;&lt;_collection_scope&gt;SCIE;EI&lt;/_collection_scope&gt;&lt;_created&gt;64290924&lt;/_created&gt;&lt;_date&gt;59212800&lt;/_date&gt;&lt;_date_display&gt;2012 Aug&lt;/_date_display&gt;&lt;_db_updated&gt;PubMed&lt;/_db_updated&gt;&lt;_doi&gt;10.1002/jbm.b.32715&lt;/_doi&gt;&lt;_impact_factor&gt;   3.400&lt;/_impact_factor&gt;&lt;_isbn&gt;1552-4981 (Electronic); 1552-4973 (Linking)&lt;/_isbn&gt;&lt;_issue&gt;6&lt;/_issue&gt;&lt;_journal&gt;J Biomed Mater Res B Appl Biomater&lt;/_journal&gt;&lt;_language&gt;eng&lt;/_language&gt;&lt;_modified&gt;65250316&lt;/_modified&gt;&lt;_ori_publication&gt;Copyright (c) 2012 Wiley Periodicals, Inc.&lt;/_ori_publication&gt;&lt;_pages&gt;1472-82&lt;/_pages&gt;&lt;_social_category&gt;工程技术(3)&lt;/_social_category&gt;&lt;_subject_headings&gt;Aluminum/*chemistry; Animals; Cell Adhesion; Copper/*chemistry; Corrosion; Glass/*chemistry; Lead/*chemistry; *Materials Testing; Mice; NIH 3T3 Cells; Silicates/*chemistry; Wettability; Zirconium/*chemistry&lt;/_subject_headings&gt;&lt;_tertiary_title&gt;Journal of biomedical materials research. Part B, Applied biomaterials&lt;/_tertiary_title&gt;&lt;_type_work&gt;Journal Article; Research Support, Non-U.S. Gov&amp;apos;t; Research Support, U.S. Gov&amp;apos;t, Non-P.H.S.&lt;/_type_work&gt;&lt;_url&gt;http://www.ncbi.nlm.nih.gov/entrez/query.fcgi?cmd=Retrieve&amp;amp;db=pubmed&amp;amp;dopt=Abstract&amp;amp;list_uids=22689253&amp;amp;query_hl=1&lt;/_url&gt;&lt;_volume&gt;100&lt;/_volume&gt;&lt;/Details&gt;&lt;Extra&gt;&lt;DBUID&gt;{46426FB1-226B-4AC1-9419-A495A286C43E}&lt;/DBUID&gt;&lt;/Extra&gt;&lt;/Item&gt;&lt;/References&gt;&lt;/Group&gt;&lt;/Citation&gt;_x000a_"/>
    <w:docVar w:name="NE.Ref{5288890E-F567-4747-8C7A-550FCFA74F99}" w:val=" ADDIN NE.Ref.{5288890E-F567-4747-8C7A-550FCFA74F99}&lt;Citation&gt;&lt;Group&gt;&lt;References&gt;&lt;Item&gt;&lt;ID&gt;460&lt;/ID&gt;&lt;UID&gt;{029B1000-CCBA-43D2-A05D-2B4887AC1620}&lt;/UID&gt;&lt;Title&gt;Antibacterial Performance of Zr-BMG, Stainless Steel, and Titanium Alloy with Laser-Induced Periodic Surface Structures&lt;/Title&gt;&lt;Template&gt;Journal Article&lt;/Template&gt;&lt;Star&gt;0&lt;/Star&gt;&lt;Tag&gt;0&lt;/Tag&gt;&lt;Author&gt;Du, Cezhi; Wang, Chengyong; Zhang, Tao; Zheng, Lijuan&lt;/Author&gt;&lt;Year&gt;2022&lt;/Year&gt;&lt;Details&gt;&lt;_accessed&gt;65399612&lt;/_accessed&gt;&lt;_alternate_title&gt;ACS Appl. Bio Mater.ACS Applied Bio Materials&lt;/_alternate_title&gt;&lt;_collection_scope&gt;EI;ESCI&lt;/_collection_scope&gt;&lt;_created&gt;65310471&lt;/_created&gt;&lt;_date&gt;2022-01-17&lt;/_date&gt;&lt;_date_display&gt;2022_x000d__x000a_2022/01/17&lt;/_date_display&gt;&lt;_doi&gt;10.1021/acsabm.1c01075&lt;/_doi&gt;&lt;_impact_factor&gt;   4.700&lt;/_impact_factor&gt;&lt;_issue&gt;1&lt;/_issue&gt;&lt;_journal&gt;ACS Applied Bio Materials&lt;/_journal&gt;&lt;_modified&gt;65316696&lt;/_modified&gt;&lt;_ori_publication&gt;American Chemical Society&lt;/_ori_publication&gt;&lt;_pages&gt;272-284&lt;/_pages&gt;&lt;_url&gt;https://doi.org/10.1021/acsabm.1c01075&lt;/_url&gt;&lt;_volume&gt;5&lt;/_volume&gt;&lt;/Details&gt;&lt;Extra&gt;&lt;DBUID&gt;{46426FB1-226B-4AC1-9419-A495A286C43E}&lt;/DBUID&gt;&lt;/Extra&gt;&lt;/Item&gt;&lt;/References&gt;&lt;/Group&gt;&lt;/Citation&gt;_x000a_"/>
    <w:docVar w:name="NE.Ref{52AFD14C-A638-4641-A490-8214C7F4AAB3}" w:val=" ADDIN NE.Ref.{52AFD14C-A638-4641-A490-8214C7F4AAB3}&lt;Citation&gt;&lt;Group&gt;&lt;References&gt;&lt;Item&gt;&lt;ID&gt;285&lt;/ID&gt;&lt;UID&gt;{ED473A3E-E7C5-4BC4-A89A-B90CD435F2CF}&lt;/UID&gt;&lt;Title&gt;Nano-Ag: Environmental applications and perspectives&lt;/Title&gt;&lt;Template&gt;Journal Article&lt;/Template&gt;&lt;Star&gt;0&lt;/Star&gt;&lt;Tag&gt;0&lt;/Tag&gt;&lt;Author&gt;Mo, F; Zhou, Q; He, Y&lt;/Author&gt;&lt;Year&gt;2022&lt;/Year&gt;&lt;Details&gt;&lt;_accessed&gt;65290385&lt;/_accessed&gt;&lt;_accession_num&gt;35307428&lt;/_accession_num&gt;&lt;_author_adr&gt;Key Laboratory of Pollution Processes and Environmental Criteria, Ministry of  Education, Tianjin Key Laboratory of Environmental Remediation and Pollution  Control, College of Environmental Science and Engineering, Nankai University,  Tianjin 300350, China.; Key Laboratory of Pollution Processes and Environmental Criteria, Ministry of  Education, Tianjin Key Laboratory of Environmental Remediation and Pollution  Control, College of Environmental Science and Engineering, Nankai University,  Tianjin 300350, China. Electronic address: zhouqx@nankai.edu.cn.; Key Laboratory of Pollution Processes and Environmental Criteria, Ministry of  Education, Tianjin Key Laboratory of Environmental Remediation and Pollution  Control, College of Environmental Science and Engineering, Nankai University,  Tianjin 300350, China.&lt;/_author_adr&gt;&lt;_collection_scope&gt;SCIE;EI&lt;/_collection_scope&gt;&lt;_created&gt;64765101&lt;/_created&gt;&lt;_date&gt;2022-07-10&lt;/_date&gt;&lt;_date_display&gt;2022 Jul 10&lt;/_date_display&gt;&lt;_db_updated&gt;PubMed&lt;/_db_updated&gt;&lt;_doi&gt;10.1016/j.scitotenv.2022.154644&lt;/_doi&gt;&lt;_impact_factor&gt;   9.800&lt;/_impact_factor&gt;&lt;_isbn&gt;1879-1026 (Electronic); 0048-9697 (Linking)&lt;/_isbn&gt;&lt;_journal&gt;Sci Total Environ&lt;/_journal&gt;&lt;_keywords&gt;(Photo)(electro)catalytic reaction; Environmental application; Localized surface plasmon resonance (LSPR); Reactive oxygen species (ROS); Silver nanoparticles (AgNPs)&lt;/_keywords&gt;&lt;_language&gt;eng&lt;/_language&gt;&lt;_modified&gt;65254279&lt;/_modified&gt;&lt;_ori_publication&gt;Copyright (c) 2022 Elsevier B.V. All rights reserved.&lt;/_ori_publication&gt;&lt;_pages&gt;154644&lt;/_pages&gt;&lt;_social_category&gt;环境科学与生态学(2)&lt;/_social_category&gt;&lt;_subject_headings&gt;Anti-Bacterial Agents; *Metal Nanoparticles; *Nanostructures; Reactive Oxygen Species; Silver; Surface Plasmon Resonance&lt;/_subject_headings&gt;&lt;_tertiary_title&gt;The Science of the total environment&lt;/_tertiary_title&gt;&lt;_type_work&gt;Journal Article; Review&lt;/_type_work&gt;&lt;_url&gt;http://www.ncbi.nlm.nih.gov/entrez/query.fcgi?cmd=Retrieve&amp;amp;db=pubmed&amp;amp;dopt=Abstract&amp;amp;list_uids=35307428&amp;amp;query_hl=1&lt;/_url&gt;&lt;_volume&gt;829&lt;/_volume&gt;&lt;/Details&gt;&lt;Extra&gt;&lt;DBUID&gt;{46426FB1-226B-4AC1-9419-A495A286C43E}&lt;/DBUID&gt;&lt;/Extra&gt;&lt;/Item&gt;&lt;/References&gt;&lt;/Group&gt;&lt;/Citation&gt;_x000a_"/>
    <w:docVar w:name="NE.Ref{5F0AD9B6-51F0-44B3-9E57-EEC0587559CB}" w:val=" ADDIN NE.Ref.{5F0AD9B6-51F0-44B3-9E57-EEC0587559CB}&lt;Citation&gt;&lt;Group&gt;&lt;References&gt;&lt;Item&gt;&lt;ID&gt;190&lt;/ID&gt;&lt;UID&gt;{0A690363-01AF-4FDF-AAD5-060EC3398785}&lt;/UID&gt;&lt;Title&gt;Corrosion and Microstructural Investigation on Additively Manufactured 316L  Stainless Steel: Experimental and Statistical Approach&lt;/Title&gt;&lt;Template&gt;Journal Article&lt;/Template&gt;&lt;Star&gt;0&lt;/Star&gt;&lt;Tag&gt;0&lt;/Tag&gt;&lt;Author&gt;Maicas-Esteve, H; Taji, I; Wilms, M; Gonzalez-Garcia, Y; Johnsen, R&lt;/Author&gt;&lt;Year&gt;2022&lt;/Year&gt;&lt;Details&gt;&lt;_accessed&gt;64760438&lt;/_accessed&gt;&lt;_accession_num&gt;35208144&lt;/_accession_num&gt;&lt;_author_adr&gt;Department of Mechanical and Industrial Engineering (MTP), Faculty of Engineering  (IV), Norwegian University of Science and Technology (NTNU), Richard  Birkelandsvei 2B, 7034 Trondheim, Norway.; Department of Mechanical and Industrial Engineering (MTP), Faculty of Engineering  (IV), Norwegian University of Science and Technology (NTNU), Richard  Birkelandsvei 2B, 7034 Trondheim, Norway.; Shell Technology Centre Amsterdam (STCA), Grasweg 31, 1031 HW Amsterdam, The  Netherlands.; Materials Science and Engineering Department, 3mE Faculty, Technical University  of Delft, Mekelweg 2, 2628 CD Delft, The Netherlands.; Department of Mechanical and Industrial Engineering (MTP), Faculty of Engineering  (IV), Norwegian University of Science and Technology (NTNU), Richard  Birkelandsvei 2B, 7034 Trondheim, Norway.&lt;/_author_adr&gt;&lt;_collection_scope&gt;SCIE;EI&lt;/_collection_scope&gt;&lt;_created&gt;64760437&lt;/_created&gt;&lt;_date&gt;2022-02-21&lt;/_date&gt;&lt;_date_display&gt;2022 Feb 21&lt;/_date_display&gt;&lt;_db_updated&gt;PubMed&lt;/_db_updated&gt;&lt;_doi&gt;10.3390/ma15041605&lt;/_doi&gt;&lt;_impact_factor&gt;   3.400&lt;/_impact_factor&gt;&lt;_isbn&gt;1996-1944 (Print); 1996-1944 (Electronic); 1996-1944 (Linking)&lt;/_isbn&gt;&lt;_issue&gt;4&lt;/_issue&gt;&lt;_journal&gt;Materials (Basel)&lt;/_journal&gt;&lt;_keywords&gt;316L SS; additive manufacturing; pitting corrosion; processing parameters; selective laser melting&lt;/_keywords&gt;&lt;_language&gt;eng&lt;/_language&gt;&lt;_modified&gt;65369424&lt;/_modified&gt;&lt;_social_category&gt;材料科学(3)&lt;/_social_category&gt;&lt;_tertiary_title&gt;Materials (Basel, Switzerland)&lt;/_tertiary_title&gt;&lt;_type_work&gt;Journal Article&lt;/_type_work&gt;&lt;_url&gt;http://www.ncbi.nlm.nih.gov/entrez/query.fcgi?cmd=Retrieve&amp;amp;db=pubmed&amp;amp;dopt=Abstract&amp;amp;list_uids=35208144&amp;amp;query_hl=1&lt;/_url&gt;&lt;_volume&gt;15&lt;/_volume&gt;&lt;/Details&gt;&lt;Extra&gt;&lt;DBUID&gt;{46426FB1-226B-4AC1-9419-A495A286C43E}&lt;/DBUID&gt;&lt;/Extra&gt;&lt;/Item&gt;&lt;/References&gt;&lt;/Group&gt;&lt;/Citation&gt;_x000a_"/>
    <w:docVar w:name="NE.Ref{66844688-292C-4F36-937A-E136D5DDAA92}" w:val=" ADDIN NE.Ref.{66844688-292C-4F36-937A-E136D5DDAA92}&lt;Citation&gt;&lt;Group&gt;&lt;References&gt;&lt;Item&gt;&lt;ID&gt;448&lt;/ID&gt;&lt;UID&gt;{0B7ED11E-501A-4223-A608-C4E5EEAD7C55}&lt;/UID&gt;&lt;Title&gt;The biochemical pathway mediating the proliferative response of bone cells to a  mechanical stimulus&lt;/Title&gt;&lt;Template&gt;Journal Article&lt;/Template&gt;&lt;Star&gt;0&lt;/Star&gt;&lt;Tag&gt;0&lt;/Tag&gt;&lt;Author&gt;Brighton, C T; Fisher, JR Jr; Levine, S E; Corsetti, J R; Reilly, T; Landsman, A S; Williams, J L; Thibault, L E&lt;/Author&gt;&lt;Year&gt;1996&lt;/Year&gt;&lt;Details&gt;&lt;_accessed&gt;65307576&lt;/_accessed&gt;&lt;_accession_num&gt;8816648&lt;/_accession_num&gt;&lt;_author_adr&gt;Department of Orthopaedic Surgery, University of Pennsylvania School of Medicine,  Philadelphia 19104, USA.&lt;/_author_adr&gt;&lt;_collection_scope&gt;SCIE&lt;/_collection_scope&gt;&lt;_created&gt;65307575&lt;/_created&gt;&lt;_date&gt;50842080&lt;/_date&gt;&lt;_date_display&gt;1996 Sep&lt;/_date_display&gt;&lt;_db_updated&gt;PubMed&lt;/_db_updated&gt;&lt;_doi&gt;10.2106/00004623-199609000-00007&lt;/_doi&gt;&lt;_impact_factor&gt;   5.300&lt;/_impact_factor&gt;&lt;_isbn&gt;0021-9355 (Print); 0021-9355 (Linking)&lt;/_isbn&gt;&lt;_issue&gt;9&lt;/_issue&gt;&lt;_journal&gt;J Bone Joint Surg Am&lt;/_journal&gt;&lt;_language&gt;eng&lt;/_language&gt;&lt;_modified&gt;65307576&lt;/_modified&gt;&lt;_pages&gt;1337-47&lt;/_pages&gt;&lt;_social_category&gt;骨科(1) &amp;amp; 外科(1)&lt;/_social_category&gt;&lt;_subject_headings&gt;Animals; Bone and Bones/cytology/drug effects/*metabolism/physiology; Calcium/analysis/metabolism; Calmodulin/analysis/antagonists &amp;amp; inhibitors/biosynthesis; Cell Division/drug effects; Culture Techniques; Cyclooxygenase Inhibitors/administration &amp;amp; dosage/pharmacology; Cytoskeleton/drug effects/metabolism; Cytosol/drug effects/metabolism; DNA/analysis/biosynthesis; Dinoprostone/analysis/antagonists &amp;amp; inhibitors/biosynthesis; Fluorescent Dyes; Fura-2/analogs &amp;amp; derivatives; Hydrostatic Pressure; Indomethacin/administration &amp;amp; dosage/pharmacology; Inositol Phosphates/antagonists &amp;amp; inhibitors; Neomycin/pharmacology; Protein Synthesis Inhibitors/pharmacology; Rats; Signal Transduction/drug effects; Skull; Stress, Mechanical; Sulfonamides/administration &amp;amp; dosage/pharmacology; Thymidine/metabolism; Time Factors; Tritium&lt;/_subject_headings&gt;&lt;_tertiary_title&gt;The Journal of bone and joint surgery. American volume&lt;/_tertiary_title&gt;&lt;_type_work&gt;Comparative Study; Journal Article; Research Support, U.S. Gov&amp;apos;t, P.H.S.&lt;/_type_work&gt;&lt;_url&gt;http://www.ncbi.nlm.nih.gov/entrez/query.fcgi?cmd=Retrieve&amp;amp;db=pubmed&amp;amp;dopt=Abstract&amp;amp;list_uids=8816648&amp;amp;query_hl=1&lt;/_url&gt;&lt;_volume&gt;78&lt;/_volume&gt;&lt;/Details&gt;&lt;Extra&gt;&lt;DBUID&gt;{46426FB1-226B-4AC1-9419-A495A286C43E}&lt;/DBUID&gt;&lt;/Extra&gt;&lt;/Item&gt;&lt;/References&gt;&lt;/Group&gt;&lt;/Citation&gt;_x000a_"/>
    <w:docVar w:name="NE.Ref{6AA28F66-F078-4A1C-ADD7-27479F73756B}" w:val=" ADDIN NE.Ref.{6AA28F66-F078-4A1C-ADD7-27479F73756B}&lt;Citation&gt;&lt;Group&gt;&lt;References&gt;&lt;Item&gt;&lt;ID&gt;167&lt;/ID&gt;&lt;UID&gt;{71C497EB-26DB-4ECA-8CF3-95FE685ADF22}&lt;/UID&gt;&lt;Title&gt;Classification of Bulk Metallic Glasses by Atomic Size Difference,Heat of Mixing and Period of Constituent Elements and Its Application to Characterization of the Main Alloying Element&lt;/Title&gt;&lt;Template&gt;Journal Article&lt;/Template&gt;&lt;Star&gt;0&lt;/Star&gt;&lt;Tag&gt;0&lt;/Tag&gt;&lt;Author&gt;Inoue, Akira Takeuchi And Akihisa&lt;/Author&gt;&lt;Year&gt;2005&lt;/Year&gt;&lt;Details&gt;&lt;_accessed&gt;64630915&lt;/_accessed&gt;&lt;_collection_scope&gt;SCIE;EI&lt;/_collection_scope&gt;&lt;_created&gt;64616571&lt;/_created&gt;&lt;_impact_factor&gt;   1.200&lt;/_impact_factor&gt;&lt;_issue&gt;12&lt;/_issue&gt;&lt;_journal&gt;Materials Transactions&lt;/_journal&gt;&lt;_modified&gt;65299175&lt;/_modified&gt;&lt;_pages&gt;2817-2829&lt;/_pages&gt;&lt;_social_category&gt;材料科学(4)&lt;/_social_category&gt;&lt;_volume&gt;46&lt;/_volume&gt;&lt;/Details&gt;&lt;Extra&gt;&lt;DBUID&gt;{46426FB1-226B-4AC1-9419-A495A286C43E}&lt;/DBUID&gt;&lt;/Extra&gt;&lt;/Item&gt;&lt;/References&gt;&lt;/Group&gt;&lt;/Citation&gt;_x000a_"/>
    <w:docVar w:name="NE.Ref{7B70B24E-51EE-44A1-B0D5-1D413E15A9FF}" w:val=" ADDIN NE.Ref.{7B70B24E-51EE-44A1-B0D5-1D413E15A9FF}&lt;Citation&gt;&lt;Group&gt;&lt;References&gt;&lt;Item&gt;&lt;ID&gt;335&lt;/ID&gt;&lt;UID&gt;{A0BDB637-83C3-415D-AC1C-833928714641}&lt;/UID&gt;&lt;Title&gt;Biosafety, stability, and osteogenic activity of novel implants made of  Zr(70)Ni(16)Cu(6)Al(8) bulk metallic glass for biomedical application&lt;/Title&gt;&lt;Template&gt;Journal Article&lt;/Template&gt;&lt;Star&gt;0&lt;/Star&gt;&lt;Tag&gt;0&lt;/Tag&gt;&lt;Author&gt;Ida, H; Seiryu, M; Takeshita, N; Iwasaki, M; Yokoyama, Y; Tsutsumi, Y; Ikeda, E; Sasaki, S; Miyashita, S; Sasaki, S; Fukunaga, T; Deguchi, T; Takano-Yamamoto, T&lt;/Author&gt;&lt;Year&gt;2018&lt;/Year&gt;&lt;Details&gt;&lt;_accessed&gt;65314973&lt;/_accessed&gt;&lt;_accession_num&gt;29772348&lt;/_accession_num&gt;&lt;_author_adr&gt;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Cooperative Research and Development Center for Advanced Materials, IMR, Tohoku  University, Sendai, Miyagi, Japan.; Institute of Biomaterials and Bioengineering, Tokyo Medical and Dental  University, Chiyoda, Tokyo, Japan; Department of Materials Engineering, The  University of Tokyo, Bunkyo, Tokyo,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The Ohio State University, College of  Dentistry, Division of Orthodontics, Columbus, OH, USA.; Division of Orthodontics and Dentofacial Orthopedics, Tohoku University Graduate  School of Dentistry, Sendai, Miyagi, Japan. Electronic address:  t-yamamo@m.tohoku.ac.jp.&lt;/_author_adr&gt;&lt;_collection_scope&gt;SCIE;EI&lt;/_collection_scope&gt;&lt;_created&gt;64844133&lt;/_created&gt;&lt;_date&gt;62323200&lt;/_date&gt;&lt;_date_display&gt;2018 Jul 1&lt;/_date_display&gt;&lt;_db_updated&gt;PubMed&lt;/_db_updated&gt;&lt;_doi&gt;10.1016/j.actbio.2018.05.020&lt;/_doi&gt;&lt;_impact_factor&gt;   9.700&lt;/_impact_factor&gt;&lt;_isbn&gt;1878-7568 (Electronic); 1742-7061 (Linking)&lt;/_isbn&gt;&lt;_journal&gt;Acta Biomater&lt;/_journal&gt;&lt;_keywords&gt;Biocompatibility; Biosafety; Bulk metallic glass; Implants; Osteogenic activity&lt;/_keywords&gt;&lt;_language&gt;eng&lt;/_language&gt;&lt;_modified&gt;65250106&lt;/_modified&gt;&lt;_ori_publication&gt;Copyright (c) 2018 Acta Materialia Inc. Published by Elsevier Ltd. All rights _x000d__x000a_      reserved.&lt;/_ori_publication&gt;&lt;_pages&gt;505-517&lt;/_pages&gt;&lt;_social_category&gt;工程：生物医学(1) &amp;amp; 材料科学：生物材料(1)&lt;/_social_category&gt;&lt;_subject_headings&gt;Aluminum/chemistry; Animals; Copper/chemistry; Gene Expression Regulation; Glass/*chemistry; *Implants, Experimental; Male; *Materials Testing; Nickel/chemistry; Osteoblasts/cytology/*metabolism; Osteoclasts/cytology/*metabolism; *Osteogenesis; Rats; Rats, Inbred F344; Rats, Wistar; Zirconium/chemistry&lt;/_subject_headings&gt;&lt;_tertiary_title&gt;Acta biomaterialia&lt;/_tertiary_title&gt;&lt;_type_work&gt;Journal Article; Research Support, Non-U.S. Gov&amp;apos;t&lt;/_type_work&gt;&lt;_url&gt;http://www.ncbi.nlm.nih.gov/entrez/query.fcgi?cmd=Retrieve&amp;amp;db=pubmed&amp;amp;dopt=Abstract&amp;amp;list_uids=29772348&amp;amp;query_hl=1&lt;/_url&gt;&lt;_volume&gt;74&lt;/_volume&gt;&lt;/Details&gt;&lt;Extra&gt;&lt;DBUID&gt;{46426FB1-226B-4AC1-9419-A495A286C43E}&lt;/DBUID&gt;&lt;/Extra&gt;&lt;/Item&gt;&lt;/References&gt;&lt;/Group&gt;&lt;/Citation&gt;_x000a_"/>
    <w:docVar w:name="NE.Ref{7D2BE887-40FF-4B4B-9425-EA65B7DCE32F}" w:val=" ADDIN NE.Ref.{7D2BE887-40FF-4B4B-9425-EA65B7DCE32F}&lt;Citation&gt;&lt;Group&gt;&lt;References&gt;&lt;Item&gt;&lt;ID&gt;424&lt;/ID&gt;&lt;UID&gt;{747B801B-0554-4A8A-A2A0-4F1A691FDB9B}&lt;/UID&gt;&lt;Title&gt;Locating bulk metallic glasses with high fracture toughness: Chemical effects and composition optimization&lt;/Title&gt;&lt;Template&gt;Journal Article&lt;/Template&gt;&lt;Star&gt;0&lt;/Star&gt;&lt;Tag&gt;0&lt;/Tag&gt;&lt;Author&gt;He, Qiang; Cheng, Yong-Qiang; Ma, Evan; Xu, Jian&lt;/Author&gt;&lt;Year&gt;2011&lt;/Year&gt;&lt;Details&gt;&lt;_accessed&gt;65420458&lt;/_accessed&gt;&lt;_alternate_title&gt;Acta Materialia&lt;/_alternate_title&gt;&lt;_collection_scope&gt;SCIE;EI&lt;/_collection_scope&gt;&lt;_created&gt;65293207&lt;/_created&gt;&lt;_date&gt;2011-01-01&lt;/_date&gt;&lt;_date_display&gt;2011&lt;/_date_display&gt;&lt;_doi&gt;https://doi.org/10.1016/j.actamat.2010.09.025&lt;/_doi&gt;&lt;_impact_factor&gt;   9.400&lt;/_impact_factor&gt;&lt;_isbn&gt;1359-6454&lt;/_isbn&gt;&lt;_issue&gt;1&lt;/_issue&gt;&lt;_journal&gt;Acta Materialia&lt;/_journal&gt;&lt;_keywords&gt;Metallic glasses; Fracture toughness; Elastic moduli; Nonlinear-elastic fracture; Zirconium&lt;/_keywords&gt;&lt;_modified&gt;65293495&lt;/_modified&gt;&lt;_pages&gt;202-215&lt;/_pages&gt;&lt;_social_category&gt;材料科学：综合(1) &amp;amp; 冶金工程(1)&lt;/_social_category&gt;&lt;_url&gt;https://www.sciencedirect.com/science/article/pii/S1359645410005902&lt;/_url&gt;&lt;_volume&gt;59&lt;/_volume&gt;&lt;/Details&gt;&lt;Extra&gt;&lt;DBUID&gt;{46426FB1-226B-4AC1-9419-A495A286C43E}&lt;/DBUID&gt;&lt;/Extra&gt;&lt;/Item&gt;&lt;/References&gt;&lt;/Group&gt;&lt;/Citation&gt;_x000a_"/>
    <w:docVar w:name="NE.Ref{85DEEB4A-3F47-4C34-9621-8C7E86D12BAD}" w:val=" ADDIN NE.Ref.{85DEEB4A-3F47-4C34-9621-8C7E86D12BAD}&lt;Citation&gt;&lt;Group&gt;&lt;References&gt;&lt;Item&gt;&lt;ID&gt;457&lt;/ID&gt;&lt;UID&gt;{C2C59778-4E1A-4BD2-9F2E-4F466CD2A8AB}&lt;/UID&gt;&lt;Title&gt;The responses of endothelial cells to Zr61Ti2Cu25Al12 metallic glass in vitro and in vivo&lt;/Title&gt;&lt;Template&gt;Journal Article&lt;/Template&gt;&lt;Star&gt;0&lt;/Star&gt;&lt;Tag&gt;0&lt;/Tag&gt;&lt;Author&gt;Li, Jing; Ai, Hong-Jun&lt;/Author&gt;&lt;Year&gt;2014&lt;/Year&gt;&lt;Details&gt;&lt;_accessed&gt;65313361&lt;/_accessed&gt;&lt;_created&gt;65310411&lt;/_created&gt;&lt;_date&gt;59958720&lt;/_date&gt;&lt;_date_display&gt;2014&lt;/_date_display&gt;&lt;_db_updated&gt;PKU Search&lt;/_db_updated&gt;&lt;_doi&gt;10.1016/j.msec.2014.03.051&lt;/_doi&gt;&lt;_impact_factor&gt;   7.900&lt;/_impact_factor&gt;&lt;_isbn&gt;1873-0191&lt;/_isbn&gt;&lt;_journal&gt;Materials science &amp;amp; engineering. C, Materials for biological applications&lt;/_journal&gt;&lt;_keywords&gt;Aluminum - chemistry; Animals; Cell Differentiation - drug effects; Cell Proliferation - drug effects; Copper - chemistry; Cricetinae; Dental Alloys - chemistry; Dental Alloys - toxicity; Dental Implants; Glass - chemistry; Human Umbilical Vein Endothelial Cells; Humans; Male; Mouth Mucosa - metabolism; RNA, Messenger - metabolism; Titanium - chemistry; Transcriptome; Vascular Endothelial Growth Factor A - genetics; Vascular Endothelial Growth Factor A - metabolism; von Willebrand Factor - genetics; von Willebrand Factor - metabolism; Zirconium - chemistry&lt;/_keywords&gt;&lt;_marked_fields&gt;title;SUB|41|2 SUB|45|1 SUB|48|2 SUB|52|2 _x000d__x000a_&lt;/_marked_fields&gt;&lt;_modified&gt;65313361&lt;/_modified&gt;&lt;_number&gt;1&lt;/_number&gt;&lt;_pages&gt;189-196&lt;/_pages&gt;&lt;_place_published&gt;Netherlands&lt;/_place_published&gt;&lt;_url&gt;http://pku.summon.serialssolutions.com/2.0.0/link/0/eLvHCXMwtV1Lj9MwELa6ywUOCHZ5LC-Zy16qVI3jJM6BQymt0KoLHLIS6iVyEnsVaJMqTSpxpBL80P4SxnaSlkVIywGpssau41b2J8-MM_4GIYcMhtaNPcEF19pLYmkTwpOhy-IUFL1nS-kFIg2Yupw8v2SzT2Q6cS96vTZx077tvy48tMHSq4u0_7D43aDQADJAAEoAAZS3hkFp4mANvazIU3XpaqFOytWpvWZ4mJc66AE-Xr-V7DDrZDKuO7EV3NGi69p9qTJS84UiztZmuTpN2WRVWTQkT1DZFIf28CWvzCz02_tFCopiT5I46I_NlaK2nw4vzbot-_AFfBdcpCMULlqlrOBscnMX-bV1UeeHJx027aJiQVGZ3Zn5KvjLpPdqt2_D9tTsv7bJR9Soctsky_1DS5gDiy-D5VooFkubap7bhvj2N0ruDx-j6dVsFoWTz-G5ImNfpllSvRG5Va-P0B3CwIVV3KLv3nbq39b8-abigftPmqtaJqrw5k-CCaDSpPGsFH_3cbStEz5A9xsnBY8MnB6inshP0Oko51Wx_IbPsQ4b1u9jTtC9A0bLU5QB3nCHN1xIfIA3rPGGqwLPy932J95tv4cZlNtxDcVu-2O0gCYQcYsirFGEsxxrFGFAkalsikfoajoJx--tJpuHVRDCbMuNPWqD8evRxJGJpzIvpzZVBjhPpATPgfspJz5xnCRVLJcBS7h0FT9jENBAus5jdJwXuXiKsPRlImzpcOZ6FDoFQUp8ISQf-mAw8-EZ8tpJjVaGtCVaLbM04swHczkg4FbyOGWxI1mcUNehroS_x9gZet0uQQTbrJoVnouiXkdg5gaMUurD4E_M2nRDK1ZAnzLy7BZPP0d399B-gY6rshYv0dHqa_1Kw-gXcMagIQ&lt;/_url&gt;&lt;_volume&gt;40&lt;/_volume&gt;&lt;/Details&gt;&lt;Extra&gt;&lt;DBUID&gt;{46426FB1-226B-4AC1-9419-A495A286C43E}&lt;/DBUID&gt;&lt;/Extra&gt;&lt;/Item&gt;&lt;/References&gt;&lt;/Group&gt;&lt;/Citation&gt;_x000a_"/>
    <w:docVar w:name="NE.Ref{88FA951C-9AC7-4773-8158-6C6A2CA8E71A}" w:val=" ADDIN NE.Ref.{88FA951C-9AC7-4773-8158-6C6A2CA8E71A}&lt;Citation&gt;&lt;Group&gt;&lt;References&gt;&lt;Item&gt;&lt;ID&gt;156&lt;/ID&gt;&lt;UID&gt;{C7644FFF-08EA-48DB-917D-94A108D1B640}&lt;/UID&gt;&lt;Title&gt;Long-term outcomes of narrow diameter implants in posterior jaws: A retrospective study with at least 8-year follow-up&lt;/Title&gt;&lt;Template&gt;Journal Article&lt;/Template&gt;&lt;Star&gt;0&lt;/Star&gt;&lt;Tag&gt;0&lt;/Tag&gt;&lt;Author&gt;Shi, J Y; Xu, F Y; Zhuang, L F; Gu, Y X; Qiao, S C; Lai, H C&lt;/Author&gt;&lt;Year&gt;2018&lt;/Year&gt;&lt;Details&gt;&lt;_accessed&gt;65330741&lt;/_accessed&gt;&lt;_accession_num&gt;28845539&lt;/_accession_num&gt;&lt;_author_adr&gt;Department of Dental Implantation, Shanghai Key Laboratory Stomatology, Shanghai  Ninth People&amp;apos;s Hospital, Shanghai Jiaotong University, School of Medicine, Shanghai, China.; Department of Dental Implantation, Shanghai Key Laboratory Stomatology, Shanghai  Ninth People&amp;apos;s Hospital, Shanghai Jiaotong University, School of Medicine, Shanghai, China.; Department of Dental Implantation, Shanghai Key Laboratory Stomatology, Shanghai  Ninth People&amp;apos;s Hospital, Shanghai Jiaotong University, School of Medicine, Shanghai, China.; Department of Dental Implantation, Shanghai Key Laboratory Stomatology, Shanghai  Ninth People&amp;apos;s Hospital, Shanghai Jiaotong University, School of Medicine, Shanghai, China.; Department of Dental Implantation, Shanghai Key Laboratory Stomatology, Shanghai  Ninth People&amp;apos;s Hospital, Shanghai Jiaotong University, School of Medicine, Shanghai, China.; Department of Dental Implantation, Shanghai Key Laboratory Stomatology, Shanghai  Ninth People&amp;apos;s Hospital, Shanghai Jiaotong University, School of Medicine, Shanghai, China.&lt;/_author_adr&gt;&lt;_collection_scope&gt;SCIE&lt;/_collection_scope&gt;&lt;_created&gt;64616533&lt;/_created&gt;&lt;_date&gt;62062560&lt;/_date&gt;&lt;_date_display&gt;2018 Jan&lt;/_date_display&gt;&lt;_db_updated&gt;PubMed&lt;/_db_updated&gt;&lt;_doi&gt;10.1111/clr.13046&lt;/_doi&gt;&lt;_impact_factor&gt;   4.300&lt;/_impact_factor&gt;&lt;_isbn&gt;1600-0501 (Electronic); 0905-7161 (Linking)&lt;/_isbn&gt;&lt;_issue&gt;1&lt;/_issue&gt;&lt;_journal&gt;Clin Oral Implants Res&lt;/_journal&gt;&lt;_keywords&gt;hardware complication; implant survival; marginal bone loss; narrow diameter implant; patient satisfaction&lt;/_keywords&gt;&lt;_language&gt;eng&lt;/_language&gt;&lt;_modified&gt;65241665&lt;/_modified&gt;&lt;_ori_publication&gt;(c) 2017 John Wiley &amp;amp; Sons A/S. Published by John Wiley &amp;amp; Sons Ltd.&lt;/_ori_publication&gt;&lt;_pages&gt;76-81&lt;/_pages&gt;&lt;_social_category&gt;工程技术(1)&lt;/_social_category&gt;&lt;_subject_headings&gt;Adult; Alveolar Bone Loss/etiology; *Dental Prosthesis Design; *Dental Prosthesis, Implant-Supported/adverse effects; Dental Restoration Failure/statistics &amp;amp; numerical data; Esthetics, Dental; Female; Follow-Up Studies; Humans; Male; *Patient Satisfaction; Retrospective Studies; Survival Analysis&lt;/_subject_headings&gt;&lt;_tertiary_title&gt;Clinical oral implants research&lt;/_tertiary_title&gt;&lt;_type_work&gt;Journal Article&lt;/_type_work&gt;&lt;_url&gt;http://www.ncbi.nlm.nih.gov/entrez/query.fcgi?cmd=Retrieve&amp;amp;db=pubmed&amp;amp;dopt=Abstract&amp;amp;list_uids=28845539&amp;amp;query_hl=1&lt;/_url&gt;&lt;_volume&gt;29&lt;/_volume&gt;&lt;/Details&gt;&lt;Extra&gt;&lt;DBUID&gt;{46426FB1-226B-4AC1-9419-A495A286C43E}&lt;/DBUID&gt;&lt;/Extra&gt;&lt;/Item&gt;&lt;/References&gt;&lt;/Group&gt;&lt;/Citation&gt;_x000a_"/>
    <w:docVar w:name="NE.Ref{90D3D5F3-C801-4E4C-AEEF-C76D50EC25B2}" w:val=" ADDIN NE.Ref.{90D3D5F3-C801-4E4C-AEEF-C76D50EC25B2}&lt;Citation&gt;&lt;Group&gt;&lt;References&gt;&lt;Item&gt;&lt;ID&gt;445&lt;/ID&gt;&lt;UID&gt;{55949A56-BD95-4D82-AA5B-2EF7F88966F3}&lt;/UID&gt;&lt;Title&gt;Glass-forming ability, crystallization kinetics, mechanical property, and corrosion behavior of Zr–Al–Ni–Ag glassy alloys&lt;/Title&gt;&lt;Template&gt;Journal Article&lt;/Template&gt;&lt;Star&gt;0&lt;/Star&gt;&lt;Tag&gt;0&lt;/Tag&gt;&lt;Author&gt;Hua, Nengbin; Zhang, Tao&lt;/Author&gt;&lt;Year&gt;2014&lt;/Year&gt;&lt;Details&gt;&lt;_accessed&gt;65420471&lt;/_accessed&gt;&lt;_collection_scope&gt;SCIE;EI&lt;/_collection_scope&gt;&lt;_created&gt;65307467&lt;/_created&gt;&lt;_date&gt;59958720&lt;/_date&gt;&lt;_date_display&gt;2014&lt;/_date_display&gt;&lt;_db_updated&gt;PKU Search&lt;/_db_updated&gt;&lt;_doi&gt;10.1016/j.jallcom.2014.03.015&lt;/_doi&gt;&lt;_impact_factor&gt;   6.200&lt;/_impact_factor&gt;&lt;_isbn&gt;0925-8388&lt;/_isbn&gt;&lt;_journal&gt;Journal of alloys and compounds&lt;/_journal&gt;&lt;_keywords&gt;Alloy; Alloys; Applied sciences; Bulk metallic glasses; Composite material; Compressive strength; Condensed matter: structure, mechanical and thermal properties; Corrosion; Corrosion prevention; Corrosion resistance; Cross-disciplinary physics: materials science; rheology; Crystallization; Crystallization kinetics; Equations of state, phase equilibria, and phase transitions; Exact sciences and technology; Glass formation; Glass transitions; Growth from solid phases (including multiphase diffusion and recrystallization); Materials science; Mechanical property; Metallurgy; Metals. Metallurgy; Methods of crystal growth; physics of crystal growth; Nickel; Nucleation; Physics; Plasticity; Silver; Specific phase transitions; Specific strength; Zirconium; Zirconium base alloys; Zr-based alloys&lt;/_keywords&gt;&lt;_modified&gt;65307468&lt;/_modified&gt;&lt;_number&gt;1&lt;/_number&gt;&lt;_ori_publication&gt;Elsevier B.V&lt;/_ori_publication&gt;&lt;_pages&gt;339-345&lt;/_pages&gt;&lt;_place_published&gt;Kidlington&lt;/_place_published&gt;&lt;_social_category&gt;物理化学(2) &amp;amp; 材料科学：综合(2) &amp;amp; 冶金工程(2)&lt;/_social_category&gt;&lt;_url&gt;http://pku.summon.serialssolutions.com/2.0.0/link/0/eLvHCXMwnV1Lb9QwEB6VSryEeCwglkdl7k2VtePXsZQuCAHiAJdeLMexUduQXe12D3uC_8A_5Jcwk8cC5SW4RHnYiTIz8XyOZ74BEHwvz86NCXmQxitlZZW49-iCgpBhEjR-jynEls_06JV5-YZPD-WLLciH1JjzK_ptZNaJr2sK9UDfVbQMpW2SuZCa7Hz69MlmJEZw0lbMs1xmRhjzLYPn13f5nW-6RJWs_DHRbF6b-yUKL3VVL34awFuvNL3x7y9wE673CJTtdyZzC7ZiM4LLB0PhtxFc_Y6jcAQX2xjRsLwNH58R0s4I5eIV1hF8r3dZWKwRYtZ1n9HJTrEzkT_vsg-R8orJDNicfvovqLlvKoZTXpQANR5oAtgssaPFl0-f92vcvD6mvfesxfZrRsEB6-UdeDc9fHvwPOvrN2ShMPwsE1zHClWQfCisCcZyL3ippQrWB8QhvirjpJwENCIif8LT2CZ6qTSR2CQp7sJ2M2viPWATHvNgBM72QiqSlqUtSqtsKqTPyxTlGPYGzbl5R9Phhvi1E9fL25G8XS4cynsMZtCv67FGhyEcqutvXeVgD5tnUadSK5WM0ikEKWw0SVdVQj-EGLEsAldj2PnBeDadEeEhSs_1GB4P1uRQ5bRy45s4Wy0drR0ronZTf2ijtLZSoNXf__93ewBX6Ih-XnP5ELbPFqv4CC7MT1c77af1FWO0KXE&lt;/_url&gt;&lt;_volume&gt;602&lt;/_volume&gt;&lt;/Details&gt;&lt;Extra&gt;&lt;DBUID&gt;{46426FB1-226B-4AC1-9419-A495A286C43E}&lt;/DBUID&gt;&lt;/Extra&gt;&lt;/Item&gt;&lt;/References&gt;&lt;/Group&gt;&lt;/Citation&gt;_x000a_"/>
    <w:docVar w:name="NE.Ref{9221D0BF-3136-4C21-8BC6-8257771D5F3F}" w:val=" ADDIN NE.Ref.{9221D0BF-3136-4C21-8BC6-8257771D5F3F}&lt;Citation&gt;&lt;Group&gt;&lt;References&gt;&lt;Item&gt;&lt;ID&gt;380&lt;/ID&gt;&lt;UID&gt;{68CD86C0-7728-4EB7-8BC5-BDD04EE323B7}&lt;/UID&gt;&lt;Title&gt;Osseointegration of 3D-printed titanium implants with surface and structure modifications&lt;/Title&gt;&lt;Template&gt;Journal Article&lt;/Template&gt;&lt;Star&gt;0&lt;/Star&gt;&lt;Tag&gt;0&lt;/Tag&gt;&lt;Author&gt;Lee, Ui-Lyong; Yun, Seokhwan; Lee, Ho; Cao, Hua-Lian; Woo, Su-Heon; Jeong, Yong-Hoon; Jung, Tae-Gon; Kim, Chul Min; Choung, Pill-Hoon&lt;/Author&gt;&lt;Year&gt;2022&lt;/Year&gt;&lt;Details&gt;&lt;_accessed&gt;65330739&lt;/_accessed&gt;&lt;_alternate_title&gt;Dental Materials&lt;/_alternate_title&gt;&lt;_collection_scope&gt;SCIE;EI&lt;/_collection_scope&gt;&lt;_created&gt;65174000&lt;/_created&gt;&lt;_date&gt;64166400&lt;/_date&gt;&lt;_date_display&gt;2022&lt;/_date_display&gt;&lt;_db_updated&gt;ScienceDirect&lt;/_db_updated&gt;&lt;_doi&gt;https://doi.org/10.1016/j.dental.2022.08.003&lt;/_doi&gt;&lt;_impact_factor&gt;   5.000&lt;/_impact_factor&gt;&lt;_isbn&gt;0109-5641&lt;/_isbn&gt;&lt;_issue&gt;10&lt;/_issue&gt;&lt;_journal&gt;Dental Materials&lt;/_journal&gt;&lt;_keywords&gt;Dental implant(s); Alveolar stem cell(s); 3D printing; Titanium; Mesh structure; Microarc Oxidation; Pull-out test&lt;/_keywords&gt;&lt;_modified&gt;65174001&lt;/_modified&gt;&lt;_pages&gt;1648-1660&lt;/_pages&gt;&lt;_social_category&gt;牙科与口腔外科(1) &amp;amp; 材料科学：生物材料(1)&lt;/_social_category&gt;&lt;_url&gt;https://www.sciencedirect.com/science/article/pii/S0109564122002433&lt;/_url&gt;&lt;_volume&gt;38&lt;/_volume&gt;&lt;/Details&gt;&lt;Extra&gt;&lt;DBUID&gt;{46426FB1-226B-4AC1-9419-A495A286C43E}&lt;/DBUID&gt;&lt;/Extra&gt;&lt;/Item&gt;&lt;/References&gt;&lt;/Group&gt;&lt;/Citation&gt;_x000a_"/>
    <w:docVar w:name="NE.Ref{9BB38E09-F75E-4ADD-A122-6D3BEE3C8B7B}" w:val=" ADDIN NE.Ref.{9BB38E09-F75E-4ADD-A122-6D3BEE3C8B7B}&lt;Citation&gt;&lt;Group&gt;&lt;References&gt;&lt;Item&gt;&lt;ID&gt;506&lt;/ID&gt;&lt;UID&gt;{9022A47E-1146-4CEF-88D8-86F021BF315E}&lt;/UID&gt;&lt;Title&gt;Osteoimmunology drives dental implant osseointegration: A new paradigm for  implant dentistry&lt;/Title&gt;&lt;Template&gt;Journal Article&lt;/Template&gt;&lt;Star&gt;0&lt;/Star&gt;&lt;Tag&gt;0&lt;/Tag&gt;&lt;Author&gt;Amengual-Peñafiel, L; Córdova, L A; Constanza, Jara-Sepúlveda M; Brañes-Aroca, M; Marchesani-Carrasco, F; Cartes-Velásquez, R&lt;/Author&gt;&lt;Year&gt;2021&lt;/Year&gt;&lt;Details&gt;&lt;_accession_num&gt;33737990&lt;/_accession_num&gt;&lt;_author_adr&gt;Dental Implantology Unit, Hospital Leonardo Guzmán, Antofagasta, Chile.; Department of Oral and Maxillofacial Surgery, Faculty of Dentistry, University of  Chile, Chile.; Department of Oral and Maxillofacial Surgery, Clínica Las Condes, Santiago,  Chile.; Department of Oral and Maxillofacial Surgery, Complejo Hospitalario San José.  Craneofacial Translational Research Laboratory, Faculty of Dentistry, University  of Chile, Santiago, Chile.; Private Practice, Antofagasta, Chile.; Faculty of Sciences, University of Chile, Santiago, Chile.; Clínica Marchesani, Concepción, Chile.; Fundación Kimntrum, Concepción, Chile.&lt;/_author_adr&gt;&lt;_collection_scope&gt;SCIE&lt;/_collection_scope&gt;&lt;_created&gt;65369442&lt;/_created&gt;&lt;_date&gt;2021-11-01&lt;/_date&gt;&lt;_date_display&gt;2021 Nov&lt;/_date_display&gt;&lt;_doi&gt;10.1016/j.jdsr.2021.01.001&lt;/_doi&gt;&lt;_impact_factor&gt;   6.600&lt;/_impact_factor&gt;&lt;_isbn&gt;1882-7616 (Print); 2213-6851 (Electronic); 1882-7616 (Linking)&lt;/_isbn&gt;&lt;_journal&gt;Jpn Dent Sci Rev&lt;/_journal&gt;&lt;_keywords&gt;Bone loss; Dental implant; Immunomodulation; Osseointegration; Osteoimmunology&lt;/_keywords&gt;&lt;_language&gt;eng&lt;/_language&gt;&lt;_modified&gt;65369442&lt;/_modified&gt;&lt;_ori_publication&gt;© 2021 The Authors.&lt;/_ori_publication&gt;&lt;_pages&gt;12-19&lt;/_pages&gt;&lt;_social_category&gt;牙科与口腔外科(1)&lt;/_social_category&gt;&lt;_tertiary_title&gt;The Japanese dental science review&lt;/_tertiary_title&gt;&lt;_type_work&gt;Journal Article; Review&lt;/_type_work&gt;&lt;_url&gt;http://www.ncbi.nlm.nih.gov/entrez/query.fcgi?cmd=Retrieve&amp;amp;db=pubmed&amp;amp;dopt=Abstract&amp;amp;list_uids=33737990&amp;amp;query_hl=1&lt;/_url&gt;&lt;_volume&gt;57&lt;/_volume&gt;&lt;/Details&gt;&lt;Extra&gt;&lt;DBUID&gt;{46426FB1-226B-4AC1-9419-A495A286C43E}&lt;/DBUID&gt;&lt;/Extra&gt;&lt;/Item&gt;&lt;/References&gt;&lt;/Group&gt;&lt;/Citation&gt;_x000a_"/>
    <w:docVar w:name="NE.Ref{9F848E70-8874-406B-BE04-1872D49DC4DA}" w:val=" ADDIN NE.Ref.{9F848E70-8874-406B-BE04-1872D49DC4DA}&lt;Citation&gt;&lt;Group&gt;&lt;References&gt;&lt;Item&gt;&lt;ID&gt;510&lt;/ID&gt;&lt;UID&gt;{59A925ED-ABB7-4E7C-B580-D25D1691F0AE}&lt;/UID&gt;&lt;Title&gt;Phase stability and transformation in a light-weight high-entropy alloy&lt;/Title&gt;&lt;Template&gt;Journal Article&lt;/Template&gt;&lt;Star&gt;0&lt;/Star&gt;&lt;Tag&gt;0&lt;/Tag&gt;&lt;Author&gt;Feng, Rui; Gao, Michael C; Zhang, Chuan; Guo, Wei; Poplawsky, Jonathan D; Zhang, Fan; Hawk, Jeffrey A; Neuefeind, Joerg C; Ren, Yang; Liaw, Peter K&lt;/Author&gt;&lt;Year&gt;2018&lt;/Year&gt;&lt;Details&gt;&lt;_alternate_title&gt;Acta Materialia&lt;/_alternate_title&gt;&lt;_collection_scope&gt;SCIE;EI&lt;/_collection_scope&gt;&lt;_created&gt;65403994&lt;/_created&gt;&lt;_date&gt;2018-01-01&lt;/_date&gt;&lt;_date_display&gt;2018&lt;/_date_display&gt;&lt;_doi&gt;https://doi.org/10.1016/j.actamat.2017.12.061&lt;/_doi&gt;&lt;_impact_factor&gt;   9.400&lt;/_impact_factor&gt;&lt;_isbn&gt;1359-6454&lt;/_isbn&gt;&lt;_journal&gt;Acta Materialia&lt;/_journal&gt;&lt;_keywords&gt;High-entropy alloys; Phase stability; Phase transformation; Precipitation&lt;/_keywords&gt;&lt;_modified&gt;65403994&lt;/_modified&gt;&lt;_pages&gt;280-293&lt;/_pages&gt;&lt;_social_category&gt;材料科学：综合(1) &amp;amp; 冶金工程(1)&lt;/_social_category&gt;&lt;_url&gt;https://www.sciencedirect.com/science/article/pii/S135964541830017X&lt;/_url&gt;&lt;_volume&gt;146&lt;/_volume&gt;&lt;/Details&gt;&lt;Extra&gt;&lt;DBUID&gt;{46426FB1-226B-4AC1-9419-A495A286C43E}&lt;/DBUID&gt;&lt;/Extra&gt;&lt;/Item&gt;&lt;/References&gt;&lt;/Group&gt;&lt;/Citation&gt;_x000a_"/>
    <w:docVar w:name="NE.Ref{A11A41C1-9A14-4D14-AD3B-099989E085F4}" w:val=" ADDIN NE.Ref.{A11A41C1-9A14-4D14-AD3B-099989E085F4}&lt;Citation&gt;&lt;Group&gt;&lt;References&gt;&lt;Item&gt;&lt;ID&gt;448&lt;/ID&gt;&lt;UID&gt;{0B7ED11E-501A-4223-A608-C4E5EEAD7C55}&lt;/UID&gt;&lt;Title&gt;The biochemical pathway mediating the proliferative response of bone cells to a  mechanical stimulus&lt;/Title&gt;&lt;Template&gt;Journal Article&lt;/Template&gt;&lt;Star&gt;0&lt;/Star&gt;&lt;Tag&gt;0&lt;/Tag&gt;&lt;Author&gt;Brighton, C T; Fisher, JR Jr; Levine, S E; Corsetti, J R; Reilly, T; Landsman, A S; Williams, J L; Thibault, L E&lt;/Author&gt;&lt;Year&gt;1996&lt;/Year&gt;&lt;Details&gt;&lt;_accessed&gt;65307576&lt;/_accessed&gt;&lt;_accession_num&gt;8816648&lt;/_accession_num&gt;&lt;_author_adr&gt;Department of Orthopaedic Surgery, University of Pennsylvania School of Medicine,  Philadelphia 19104, USA.&lt;/_author_adr&gt;&lt;_collection_scope&gt;SCIE&lt;/_collection_scope&gt;&lt;_created&gt;65307575&lt;/_created&gt;&lt;_date&gt;50842080&lt;/_date&gt;&lt;_date_display&gt;1996 Sep&lt;/_date_display&gt;&lt;_db_updated&gt;PubMed&lt;/_db_updated&gt;&lt;_doi&gt;10.2106/00004623-199609000-00007&lt;/_doi&gt;&lt;_impact_factor&gt;   5.300&lt;/_impact_factor&gt;&lt;_isbn&gt;0021-9355 (Print); 0021-9355 (Linking)&lt;/_isbn&gt;&lt;_issue&gt;9&lt;/_issue&gt;&lt;_journal&gt;J Bone Joint Surg Am&lt;/_journal&gt;&lt;_language&gt;eng&lt;/_language&gt;&lt;_modified&gt;65307576&lt;/_modified&gt;&lt;_pages&gt;1337-47&lt;/_pages&gt;&lt;_social_category&gt;骨科(1) &amp;amp; 外科(1)&lt;/_social_category&gt;&lt;_subject_headings&gt;Animals; Bone and Bones/cytology/drug effects/*metabolism/physiology; Calcium/analysis/metabolism; Calmodulin/analysis/antagonists &amp;amp; inhibitors/biosynthesis; Cell Division/drug effects; Culture Techniques; Cyclooxygenase Inhibitors/administration &amp;amp; dosage/pharmacology; Cytoskeleton/drug effects/metabolism; Cytosol/drug effects/metabolism; DNA/analysis/biosynthesis; Dinoprostone/analysis/antagonists &amp;amp; inhibitors/biosynthesis; Fluorescent Dyes; Fura-2/analogs &amp;amp; derivatives; Hydrostatic Pressure; Indomethacin/administration &amp;amp; dosage/pharmacology; Inositol Phosphates/antagonists &amp;amp; inhibitors; Neomycin/pharmacology; Protein Synthesis Inhibitors/pharmacology; Rats; Signal Transduction/drug effects; Skull; Stress, Mechanical; Sulfonamides/administration &amp;amp; dosage/pharmacology; Thymidine/metabolism; Time Factors; Tritium&lt;/_subject_headings&gt;&lt;_tertiary_title&gt;The Journal of bone and joint surgery. American volume&lt;/_tertiary_title&gt;&lt;_type_work&gt;Comparative Study; Journal Article; Research Support, U.S. Gov&amp;apos;t, P.H.S.&lt;/_type_work&gt;&lt;_url&gt;http://www.ncbi.nlm.nih.gov/entrez/query.fcgi?cmd=Retrieve&amp;amp;db=pubmed&amp;amp;dopt=Abstract&amp;amp;list_uids=8816648&amp;amp;query_hl=1&lt;/_url&gt;&lt;_volume&gt;78&lt;/_volume&gt;&lt;/Details&gt;&lt;Extra&gt;&lt;DBUID&gt;{46426FB1-226B-4AC1-9419-A495A286C43E}&lt;/DBUID&gt;&lt;/Extra&gt;&lt;/Item&gt;&lt;/References&gt;&lt;/Group&gt;&lt;/Citation&gt;_x000a_"/>
    <w:docVar w:name="NE.Ref{A2EDE81D-DDA9-43E6-A36E-577618967484}" w:val=" ADDIN NE.Ref.{A2EDE81D-DDA9-43E6-A36E-577618967484}&lt;Citation&gt;&lt;Group&gt;&lt;References&gt;&lt;Item&gt;&lt;ID&gt;446&lt;/ID&gt;&lt;UID&gt;{BECB4922-CF20-4A63-96FE-C20B5A7B22CB}&lt;/UID&gt;&lt;Title&gt;Zr–(Cu,Ag)–Al bulk metallic glasses&lt;/Title&gt;&lt;Template&gt;Journal Article&lt;/Template&gt;&lt;Star&gt;0&lt;/Star&gt;&lt;Tag&gt;0&lt;/Tag&gt;&lt;Author&gt;Jiang, Q K; Wang, X D; Nie, X P; Zhang, G Q; Ma, H; Fecht, H J; Bendnarcik, J; Franz, H; Liu, Y G; Cao, Q P; Jiang, J Z&lt;/Author&gt;&lt;Year&gt;2008&lt;/Year&gt;&lt;Details&gt;&lt;_accessed&gt;65309373&lt;/_accessed&gt;&lt;_alternate_title&gt;Acta Materialia&lt;/_alternate_title&gt;&lt;_collection_scope&gt;SCIE;EI&lt;/_collection_scope&gt;&lt;_created&gt;65307483&lt;/_created&gt;&lt;_date&gt;2008-01-01&lt;/_date&gt;&lt;_date_display&gt;2008&lt;/_date_display&gt;&lt;_doi&gt;https://doi.org/10.1016/j.actamat.2007.12.030&lt;/_doi&gt;&lt;_impact_factor&gt;   9.400&lt;/_impact_factor&gt;&lt;_isbn&gt;1359-6454&lt;/_isbn&gt;&lt;_issue&gt;8&lt;/_issue&gt;&lt;_journal&gt;Acta Materialia&lt;/_journal&gt;&lt;_keywords&gt;Glass-forming ability; Bulk metallic glass; Thermodynamics; Structure&lt;/_keywords&gt;&lt;_modified&gt;65309373&lt;/_modified&gt;&lt;_pages&gt;1785-1796&lt;/_pages&gt;&lt;_social_category&gt;材料科学：综合(1) &amp;amp; 冶金工程(1)&lt;/_social_category&gt;&lt;_url&gt;https://www.sciencedirect.com/science/article/pii/S1359645407008609&lt;/_url&gt;&lt;_volume&gt;56&lt;/_volume&gt;&lt;/Details&gt;&lt;Extra&gt;&lt;DBUID&gt;{46426FB1-226B-4AC1-9419-A495A286C43E}&lt;/DBUID&gt;&lt;/Extra&gt;&lt;/Item&gt;&lt;/References&gt;&lt;/Group&gt;&lt;Group&gt;&lt;References&gt;&lt;Item&gt;&lt;ID&gt;12&lt;/ID&gt;&lt;UID&gt;{24E27986-900D-4A79-A4EC-3A4B94CC1875}&lt;/UID&gt;&lt;Title&gt;Ni-free Zr-Cu-Al-Nb-Pd bulk metallic glasses with different Zr/Cu ratios for biomedical applications&lt;/Title&gt;&lt;Template&gt;Journal Article&lt;/Template&gt;&lt;Star&gt;0&lt;/Star&gt;&lt;Tag&gt;0&lt;/Tag&gt;&lt;Author&gt;Huang, L; Yokoyama, Y; Wu, W; Liaw, P K; Pang, S; Inoue, A; Zhang, T; He, W&lt;/Author&gt;&lt;Year&gt;2012&lt;/Year&gt;&lt;Details&gt;&lt;_accessed&gt;65309425&lt;/_accessed&gt;&lt;_accession_num&gt;22689253&lt;/_accession_num&gt;&lt;_author_adr&gt;Key Laboratory of Aerospace Materials and Performance (Ministry of Education), School of Materials Science and Engineering, Beihang University, Beijing 100191,  China.&lt;/_author_adr&gt;&lt;_collection_scope&gt;SCIE;EI&lt;/_collection_scope&gt;&lt;_created&gt;64290924&lt;/_created&gt;&lt;_date&gt;59212800&lt;/_date&gt;&lt;_date_display&gt;2012 Aug&lt;/_date_display&gt;&lt;_db_updated&gt;PubMed&lt;/_db_updated&gt;&lt;_doi&gt;10.1002/jbm.b.32715&lt;/_doi&gt;&lt;_impact_factor&gt;   3.400&lt;/_impact_factor&gt;&lt;_isbn&gt;1552-4981 (Electronic); 1552-4973 (Linking)&lt;/_isbn&gt;&lt;_issue&gt;6&lt;/_issue&gt;&lt;_journal&gt;J Biomed Mater Res B Appl Biomater&lt;/_journal&gt;&lt;_language&gt;eng&lt;/_language&gt;&lt;_modified&gt;65250316&lt;/_modified&gt;&lt;_ori_publication&gt;Copyright (c) 2012 Wiley Periodicals, Inc.&lt;/_ori_publication&gt;&lt;_pages&gt;1472-82&lt;/_pages&gt;&lt;_social_category&gt;工程技术(3)&lt;/_social_category&gt;&lt;_subject_headings&gt;Aluminum/*chemistry; Animals; Cell Adhesion; Copper/*chemistry; Corrosion; Glass/*chemistry; Lead/*chemistry; *Materials Testing; Mice; NIH 3T3 Cells; Silicates/*chemistry; Wettability; Zirconium/*chemistry&lt;/_subject_headings&gt;&lt;_tertiary_title&gt;Journal of biomedical materials research. Part B, Applied biomaterials&lt;/_tertiary_title&gt;&lt;_type_work&gt;Journal Article; Research Support, Non-U.S. Gov&amp;apos;t; Research Support, U.S. Gov&amp;apos;t, Non-P.H.S.&lt;/_type_work&gt;&lt;_url&gt;http://www.ncbi.nlm.nih.gov/entrez/query.fcgi?cmd=Retrieve&amp;amp;db=pubmed&amp;amp;dopt=Abstract&amp;amp;list_uids=22689253&amp;amp;query_hl=1&lt;/_url&gt;&lt;_volume&gt;100&lt;/_volume&gt;&lt;/Details&gt;&lt;Extra&gt;&lt;DBUID&gt;{46426FB1-226B-4AC1-9419-A495A286C43E}&lt;/DBUID&gt;&lt;/Extra&gt;&lt;/Item&gt;&lt;/References&gt;&lt;/Group&gt;&lt;/Citation&gt;_x000a_"/>
    <w:docVar w:name="NE.Ref{A580ADDD-8698-4DBA-8A1E-44761703375A}" w:val=" ADDIN NE.Ref.{A580ADDD-8698-4DBA-8A1E-44761703375A}&lt;Citation&gt;&lt;Group&gt;&lt;References&gt;&lt;Item&gt;&lt;ID&gt;18&lt;/ID&gt;&lt;UID&gt;{E86B3639-2754-42E2-952F-0B8D5988FF2B}&lt;/UID&gt;&lt;Title&gt;Osteogenesis and angiogenesis of a bulk metallic glass for biomedical implants&lt;/Title&gt;&lt;Template&gt;Journal Article&lt;/Template&gt;&lt;Star&gt;0&lt;/Star&gt;&lt;Tag&gt;0&lt;/Tag&gt;&lt;Author&gt;Sun, K; Fu, R; Liu, X W; Xu, L M; Wang, G; Chen, S Y; Zhai, Q J; Pauly, S&lt;/Author&gt;&lt;Year&gt;2022&lt;/Year&gt;&lt;Details&gt;&lt;_accessed&gt;65420486&lt;/_accessed&gt;&lt;_collection_scope&gt;SCIE&lt;/_collection_scope&gt;&lt;_created&gt;64293787&lt;/_created&gt;&lt;_db_updated&gt;CrossRef&lt;/_db_updated&gt;&lt;_doi&gt;10.1016/j.bioactmat.2021.06.018&lt;/_doi&gt;&lt;_impact_factor&gt;  18.900&lt;/_impact_factor&gt;&lt;_isbn&gt;2452199X&lt;/_isbn&gt;&lt;_journal&gt;Bioactive Materials&lt;/_journal&gt;&lt;_modified&gt;65173638&lt;/_modified&gt;&lt;_pages&gt;253-266&lt;/_pages&gt;&lt;_social_category&gt;材料科学(1)&lt;/_social_category&gt;&lt;_tertiary_title&gt;Bioactive Materials&lt;/_tertiary_title&gt;&lt;_url&gt;https://linkinghub.elsevier.com/retrieve/pii/S2452199X21003042_x000d__x000a_https://api.elsevier.com/content/article/PII:S2452199X21003042?httpAccept=text/xml&lt;/_url&gt;&lt;_volume&gt;8&lt;/_volume&gt;&lt;/Details&gt;&lt;Extra&gt;&lt;DBUID&gt;{46426FB1-226B-4AC1-9419-A495A286C43E}&lt;/DBUID&gt;&lt;/Extra&gt;&lt;/Item&gt;&lt;/References&gt;&lt;/Group&gt;&lt;Group&gt;&lt;References&gt;&lt;Item&gt;&lt;ID&gt;422&lt;/ID&gt;&lt;UID&gt;{48F87926-2CE8-4E31-BCD4-3BD35160A0F2}&lt;/UID&gt;&lt;Title&gt;Zr61Ti2Cu25Al12 metallic glass for potential use in dental implants: Biocompatibility assessment by in vitro cellular responses&lt;/Title&gt;&lt;Template&gt;Journal Article&lt;/Template&gt;&lt;Star&gt;0&lt;/Star&gt;&lt;Tag&gt;0&lt;/Tag&gt;&lt;Author&gt;Li, Jing; Shi, Ling-ling; Zhu, Zhen-dong; He, Qiang; Ai, Hong-jun; Xu, Jian&lt;/Author&gt;&lt;Year&gt;2013&lt;/Year&gt;&lt;Details&gt;&lt;_accessed&gt;65400037&lt;/_accessed&gt;&lt;_alternate_title&gt;Materials Science and Engineering: C&lt;/_alternate_title&gt;&lt;_created&gt;65293205&lt;/_created&gt;&lt;_date&gt;59433120&lt;/_date&gt;&lt;_date_display&gt;2013&lt;/_date_display&gt;&lt;_db_updated&gt;ScienceDirect&lt;/_db_updated&gt;&lt;_doi&gt;https://doi.org/10.1016/j.msec.2013.01.033&lt;/_doi&gt;&lt;_impact_factor&gt;   7.900&lt;/_impact_factor&gt;&lt;_isbn&gt;0928-4931&lt;/_isbn&gt;&lt;_issue&gt;4&lt;/_issue&gt;&lt;_journal&gt;Materials Science and Engineering: C&lt;/_journal&gt;&lt;_keywords&gt;Cytotoxicity; Biocompatibility; Osteoblast; Metallic glass; Zirconium&lt;/_keywords&gt;&lt;_modified&gt;65293205&lt;/_modified&gt;&lt;_pages&gt;2113-2121&lt;/_pages&gt;&lt;_url&gt;https://www.sciencedirect.com/science/article/pii/S0928493113000465&lt;/_url&gt;&lt;_volume&gt;33&lt;/_volume&gt;&lt;/Details&gt;&lt;Extra&gt;&lt;DBUID&gt;{46426FB1-226B-4AC1-9419-A495A286C43E}&lt;/DBUID&gt;&lt;/Extra&gt;&lt;/Item&gt;&lt;/References&gt;&lt;/Group&gt;&lt;Group&gt;&lt;References&gt;&lt;Item&gt;&lt;ID&gt;423&lt;/ID&gt;&lt;UID&gt;{0159B852-AA50-4A5D-965A-B074DD6DA8FE}&lt;/UID&gt;&lt;Title&gt;Crack-resistance curve of a Zr–Ti–Cu–Al bulk metallic glass with extraordinary fracture toughness&lt;/Title&gt;&lt;Template&gt;Journal Article&lt;/Template&gt;&lt;Star&gt;0&lt;/Star&gt;&lt;Tag&gt;0&lt;/Tag&gt;&lt;Author&gt;He, Qiang; Shang, Jian Ku; Ma, Evan; Xu, Jian&lt;/Author&gt;&lt;Year&gt;2012&lt;/Year&gt;&lt;Details&gt;&lt;_accessed&gt;65293222&lt;/_accessed&gt;&lt;_alternate_title&gt;Acta Materialia&lt;/_alternate_title&gt;&lt;_collection_scope&gt;SCIE;EI&lt;/_collection_scope&gt;&lt;_created&gt;65293206&lt;/_created&gt;&lt;_date&gt;2012-01-01&lt;/_date&gt;&lt;_date_display&gt;2012&lt;/_date_display&gt;&lt;_doi&gt;https://doi.org/10.1016/j.actamat.2012.05.028&lt;/_doi&gt;&lt;_impact_factor&gt;   9.400&lt;/_impact_factor&gt;&lt;_isbn&gt;1359-6454&lt;/_isbn&gt;&lt;_issue&gt;12&lt;/_issue&gt;&lt;_journal&gt;Acta Materialia&lt;/_journal&gt;&lt;_keywords&gt;Metallic glasses; Fracture toughness; -curve; Crack growth; Zirconium alloys&lt;/_keywords&gt;&lt;_modified&gt;65293222&lt;/_modified&gt;&lt;_pages&gt;4940-4949&lt;/_pages&gt;&lt;_social_category&gt;材料科学：综合(1) &amp;amp; 冶金工程(1)&lt;/_social_category&gt;&lt;_url&gt;https://www.sciencedirect.com/science/article/pii/S1359645412003485&lt;/_url&gt;&lt;_volume&gt;60&lt;/_volume&gt;&lt;/Details&gt;&lt;Extra&gt;&lt;DBUID&gt;{46426FB1-226B-4AC1-9419-A495A286C43E}&lt;/DBUID&gt;&lt;/Extra&gt;&lt;/Item&gt;&lt;/References&gt;&lt;/Group&gt;&lt;/Citation&gt;_x000a_"/>
    <w:docVar w:name="NE.Ref{B1911C7F-B054-4FE9-8F70-B5DD23C96774}" w:val=" ADDIN NE.Ref.{B1911C7F-B054-4FE9-8F70-B5DD23C96774}&lt;Citation&gt;&lt;Group&gt;&lt;References&gt;&lt;Item&gt;&lt;ID&gt;267&lt;/ID&gt;&lt;UID&gt;{FFB88A4A-B7B5-4BF5-A89E-9978E271E238}&lt;/UID&gt;&lt;Title&gt;Graphene-Doped Poly (Methyl-Methacrylate) (Pmma) Implants: A Micro-CT and  Histomorphometrical Study in Rabbits&lt;/Title&gt;&lt;Template&gt;Journal Article&lt;/Template&gt;&lt;Star&gt;0&lt;/Star&gt;&lt;Tag&gt;0&lt;/Tag&gt;&lt;Author&gt;Scarano, A; Orsini, T; Di Carlo, F; Valbonetti, L; Lorusso, F&lt;/Author&gt;&lt;Year&gt;2021&lt;/Year&gt;&lt;Details&gt;&lt;_accession_num&gt;33535482&lt;/_accession_num&gt;&lt;_author_adr&gt;Department of Innovative Technologies in Medicine &amp;amp; Dentistry, University of  Chieti-Pescara, Via dei Vestini 31, 66100 Chieti, Italy.; Department of Medical, Oral and Biotechnological Sciences, University of  Chieti-Pescara, Via dei Vestini 31, 66100 Chieti, Italy.; CNR-National Research Council, Institute of Biochemistry and Cell Biology, 00015  Monterotondo Scalo (RM), Italy.; Department of Innovative Technologies in Medicine &amp;amp; Dentistry, University of  Chieti-Pescara, Via dei Vestini 31, 66100 Chieti, Italy.; DVM, Unit of Basic and Applied Biosciences, Faculty of Veterinary Medicine,  University of Teramo, 64100 Teramo, Italy.; Department of Innovative Technologies in Medicine &amp;amp; Dentistry, University of  Chieti-Pescara, Via dei Vestini 31, 66100 Chieti, Italy.&lt;/_author_adr&gt;&lt;_collection_scope&gt;SCIE&lt;/_collection_scope&gt;&lt;_created&gt;64763489&lt;/_created&gt;&lt;_date&gt;2021-02-01&lt;/_date&gt;&lt;_date_display&gt;2021 Feb 1&lt;/_date_display&gt;&lt;_db_updated&gt;PubMed&lt;/_db_updated&gt;&lt;_doi&gt;10.3390/ijms22031441&lt;/_doi&gt;&lt;_impact_factor&gt;   5.600&lt;/_impact_factor&gt;&lt;_isbn&gt;1422-0067 (Electronic); 1422-0067 (Linking)&lt;/_isbn&gt;&lt;_issue&gt;3&lt;/_issue&gt;&lt;_journal&gt;Int J Mol Sci&lt;/_journal&gt;&lt;_keywords&gt;PMMA; graphene; graphene-doped PMMA; micro-CT; osseointegration&lt;/_keywords&gt;&lt;_language&gt;eng&lt;/_language&gt;&lt;_modified&gt;65299089&lt;/_modified&gt;&lt;_social_category&gt;生化与分子生物学(3) &amp;amp; 化学：综合(3)&lt;/_social_category&gt;&lt;_subject_headings&gt;Animals; Biocompatible Materials; *Dental Implants; Graphite/*chemistry; Implants, Experimental; Male; Microscopy, Atomic Force; Microscopy, Electron, Scanning; Osseointegration; Polymers; Polymethyl Methacrylate/*chemistry; Prosthesis Design; Rabbits; Surface Properties; Titanium/*chemistry; X-Ray Microtomography&lt;/_subject_headings&gt;&lt;_tertiary_title&gt;International journal of molecular sciences&lt;/_tertiary_title&gt;&lt;_type_work&gt;Journal Article&lt;/_type_work&gt;&lt;_url&gt;http://www.ncbi.nlm.nih.gov/entrez/query.fcgi?cmd=Retrieve&amp;amp;db=pubmed&amp;amp;dopt=Abstract&amp;amp;list_uids=33535482&amp;amp;query_hl=1&lt;/_url&gt;&lt;_volume&gt;22&lt;/_volume&gt;&lt;/Details&gt;&lt;Extra&gt;&lt;DBUID&gt;{46426FB1-226B-4AC1-9419-A495A286C43E}&lt;/DBUID&gt;&lt;/Extra&gt;&lt;/Item&gt;&lt;/References&gt;&lt;/Group&gt;&lt;/Citation&gt;_x000a_"/>
    <w:docVar w:name="NE.Ref{B3D2D4B0-37A0-443B-AE41-55C8DF0A6FCA}" w:val=" ADDIN NE.Ref.{B3D2D4B0-37A0-443B-AE41-55C8DF0A6FCA}&lt;Citation&gt;&lt;Group&gt;&lt;References&gt;&lt;Item&gt;&lt;ID&gt;428&lt;/ID&gt;&lt;UID&gt;{FF3B7F9E-E23B-41EB-9603-B8D06A3C6757}&lt;/UID&gt;&lt;Title&gt;Stress shielding at the bone-implant interface: Influence of surface roughness  and of the bone-implant contact ratio&lt;/Title&gt;&lt;Template&gt;Journal Article&lt;/Template&gt;&lt;Star&gt;0&lt;/Star&gt;&lt;Tag&gt;0&lt;/Tag&gt;&lt;Author&gt;Raffa, M L; Nguyen, V H; Hernigou, P; Flouzat-Lachaniette, C H; Haiat, G&lt;/Author&gt;&lt;Year&gt;2021&lt;/Year&gt;&lt;Details&gt;&lt;_accessed&gt;65309298&lt;/_accessed&gt;&lt;_accession_num&gt;32852064&lt;/_accession_num&gt;&lt;_author_adr&gt;Univ Paris Est Creteil, CNRS, MSME, Créteil, F-94010, France.; SUPMECA, EA 7393 QUARTZ Laboratory, Saint-Ouen 93407, France.; Univ Paris Est Creteil, CNRS, MSME, Créteil, F-94010, France.; Univ Gustave Eiffel, MSME, Marne-la-Vallée, F-77454, France.; Service de Chirurgie Orthopédique et Traumatologique, Hôpital Henri Mondor  AP-HP, CHU Paris 12, Université Paris-Est, Créteil, France.; INSERM U955, IMRB Université Paris-Est, Créteil, France.; Service de Chirurgie Orthopédique et Traumatologique, Hôpital Henri Mondor  AP-HP, CHU Paris 12, Université Paris-Est, Créteil, France.; INSERM U955, IMRB Université Paris-Est, Créteil, France.; CNRS, Laboratoire Modélisation et Simulation Multi Echelle, MSME UMR 8208,  Créteil, F-94010, France.&lt;/_author_adr&gt;&lt;_collection_scope&gt;SCIE&lt;/_collection_scope&gt;&lt;_created&gt;65297754&lt;/_created&gt;&lt;_date&gt;2021-06-01&lt;/_date&gt;&lt;_date_display&gt;2021 Jun&lt;/_date_display&gt;&lt;_doi&gt;10.1002/jor.24840&lt;/_doi&gt;&lt;_impact_factor&gt;   2.800&lt;/_impact_factor&gt;&lt;_isbn&gt;1554-527X (Electronic); 0736-0266 (Linking)&lt;/_isbn&gt;&lt;_issue&gt;6&lt;/_issue&gt;&lt;_journal&gt;J Orthop Res&lt;/_journal&gt;&lt;_keywords&gt;bone-implant interface; finite element modeling; osseointegration; stress-shielding; surface roughness&lt;/_keywords&gt;&lt;_language&gt;eng&lt;/_language&gt;&lt;_modified&gt;65309298&lt;/_modified&gt;&lt;_ori_publication&gt;© 2020 Orthopaedic Research Society. Published by Wiley Periodicals LLC.&lt;/_ori_publication&gt;&lt;_pages&gt;1174-1183&lt;/_pages&gt;&lt;_social_category&gt;骨科(3)&lt;/_social_category&gt;&lt;_subject_headings&gt;*Bone-Implant Interface; Finite Element Analysis; Humans; Osseointegration; *Stress, Mechanical&lt;/_subject_headings&gt;&lt;_tertiary_title&gt;Journal of orthopaedic research : official publication of the Orthopaedic _x000d__x000a_      Research Society&lt;/_tertiary_title&gt;&lt;_type_work&gt;Journal Article; Research Support, Non-U.S. Gov&amp;apos;t&lt;/_type_work&gt;&lt;_url&gt;http://www.ncbi.nlm.nih.gov/entrez/query.fcgi?cmd=Retrieve&amp;amp;db=pubmed&amp;amp;dopt=Abstract&amp;amp;list_uids=32852064&amp;amp;query_hl=1&lt;/_url&gt;&lt;_volume&gt;39&lt;/_volume&gt;&lt;/Details&gt;&lt;Extra&gt;&lt;DBUID&gt;{46426FB1-226B-4AC1-9419-A495A286C43E}&lt;/DBUID&gt;&lt;/Extra&gt;&lt;/Item&gt;&lt;/References&gt;&lt;/Group&gt;&lt;/Citation&gt;_x000a_"/>
    <w:docVar w:name="NE.Ref{B84E6850-BB5E-4B4B-BE60-4DA08A12F3FA}" w:val=" ADDIN NE.Ref.{B84E6850-BB5E-4B4B-BE60-4DA08A12F3FA}&lt;Citation&gt;&lt;Group&gt;&lt;References&gt;&lt;Item&gt;&lt;ID&gt;161&lt;/ID&gt;&lt;UID&gt;{17CF58CD-339C-46D1-AA43-1DF233395A9D}&lt;/UID&gt;&lt;Title&gt;Stabilization of metallic supercooled liquid and bulk amorphous alloys&lt;/Title&gt;&lt;Template&gt;Journal Article&lt;/Template&gt;&lt;Star&gt;0&lt;/Star&gt;&lt;Tag&gt;0&lt;/Tag&gt;&lt;Author&gt;Inoue, Akihisa&lt;/Author&gt;&lt;Year&gt;2000&lt;/Year&gt;&lt;Details&gt;&lt;_accessed&gt;65293504&lt;/_accessed&gt;&lt;_alternate_title&gt;Acta Materialia&lt;/_alternate_title&gt;&lt;_collection_scope&gt;SCIE;EI&lt;/_collection_scope&gt;&lt;_created&gt;64616544&lt;/_created&gt;&lt;_date&gt;52594560&lt;/_date&gt;&lt;_date_display&gt;2000&lt;/_date_display&gt;&lt;_db_updated&gt;ScienceDirect&lt;/_db_updated&gt;&lt;_doi&gt;https://doi.org/10.1016/S1359-6454(99)00300-6&lt;/_doi&gt;&lt;_impact_factor&gt;   9.400&lt;/_impact_factor&gt;&lt;_isbn&gt;1359-6454&lt;/_isbn&gt;&lt;_issue&gt;1&lt;/_issue&gt;&lt;_journal&gt;Acta Materialia&lt;/_journal&gt;&lt;_keywords&gt;Supercooled liquids; Amorphous materials; Metallic glasses; Stability; Microstructure&lt;/_keywords&gt;&lt;_modified&gt;65250300&lt;/_modified&gt;&lt;_pages&gt;279-306&lt;/_pages&gt;&lt;_social_category&gt;材料科学(1)&lt;/_social_category&gt;&lt;_url&gt;https://www.sciencedirect.com/science/article/pii/S1359645499003006&lt;/_url&gt;&lt;_volume&gt;48&lt;/_volume&gt;&lt;/Details&gt;&lt;Extra&gt;&lt;DBUID&gt;{46426FB1-226B-4AC1-9419-A495A286C43E}&lt;/DBUID&gt;&lt;/Extra&gt;&lt;/Item&gt;&lt;/References&gt;&lt;/Group&gt;&lt;/Citation&gt;_x000a_"/>
    <w:docVar w:name="NE.Ref{BF9CC39D-B7AA-480E-B602-4390960F3780}" w:val=" ADDIN NE.Ref.{BF9CC39D-B7AA-480E-B602-4390960F3780}&lt;Citation&gt;&lt;Group&gt;&lt;References&gt;&lt;Item&gt;&lt;ID&gt;335&lt;/ID&gt;&lt;UID&gt;{A0BDB637-83C3-415D-AC1C-833928714641}&lt;/UID&gt;&lt;Title&gt;Biosafety, stability, and osteogenic activity of novel implants made of  Zr(70)Ni(16)Cu(6)Al(8) bulk metallic glass for biomedical application&lt;/Title&gt;&lt;Template&gt;Journal Article&lt;/Template&gt;&lt;Star&gt;0&lt;/Star&gt;&lt;Tag&gt;0&lt;/Tag&gt;&lt;Author&gt;Ida, H; Seiryu, M; Takeshita, N; Iwasaki, M; Yokoyama, Y; Tsutsumi, Y; Ikeda, E; Sasaki, S; Miyashita, S; Sasaki, S; Fukunaga, T; Deguchi, T; Takano-Yamamoto, T&lt;/Author&gt;&lt;Year&gt;2018&lt;/Year&gt;&lt;Details&gt;&lt;_accessed&gt;65314973&lt;/_accessed&gt;&lt;_accession_num&gt;29772348&lt;/_accession_num&gt;&lt;_author_adr&gt;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Cooperative Research and Development Center for Advanced Materials, IMR, Tohoku  University, Sendai, Miyagi, Japan.; Institute of Biomaterials and Bioengineering, Tokyo Medical and Dental  University, Chiyoda, Tokyo, Japan; Department of Materials Engineering, The  University of Tokyo, Bunkyo, Tokyo,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Division of Orthodontics and Dentofacial Orthopedics, Tohoku University Graduate  School of Dentistry, Sendai, Miyagi, Japan; The Ohio State University, College of  Dentistry, Division of Orthodontics, Columbus, OH, USA.; Division of Orthodontics and Dentofacial Orthopedics, Tohoku University Graduate  School of Dentistry, Sendai, Miyagi, Japan. Electronic address:  t-yamamo@m.tohoku.ac.jp.&lt;/_author_adr&gt;&lt;_collection_scope&gt;SCIE;EI&lt;/_collection_scope&gt;&lt;_created&gt;64844133&lt;/_created&gt;&lt;_date&gt;62323200&lt;/_date&gt;&lt;_date_display&gt;2018 Jul 1&lt;/_date_display&gt;&lt;_db_updated&gt;PubMed&lt;/_db_updated&gt;&lt;_doi&gt;10.1016/j.actbio.2018.05.020&lt;/_doi&gt;&lt;_impact_factor&gt;   9.700&lt;/_impact_factor&gt;&lt;_isbn&gt;1878-7568 (Electronic); 1742-7061 (Linking)&lt;/_isbn&gt;&lt;_journal&gt;Acta Biomater&lt;/_journal&gt;&lt;_keywords&gt;Biocompatibility; Biosafety; Bulk metallic glass; Implants; Osteogenic activity&lt;/_keywords&gt;&lt;_language&gt;eng&lt;/_language&gt;&lt;_modified&gt;65250106&lt;/_modified&gt;&lt;_ori_publication&gt;Copyright (c) 2018 Acta Materialia Inc. Published by Elsevier Ltd. All rights _x000d__x000a_      reserved.&lt;/_ori_publication&gt;&lt;_pages&gt;505-517&lt;/_pages&gt;&lt;_social_category&gt;工程：生物医学(1) &amp;amp; 材料科学：生物材料(1)&lt;/_social_category&gt;&lt;_subject_headings&gt;Aluminum/chemistry; Animals; Copper/chemistry; Gene Expression Regulation; Glass/*chemistry; *Implants, Experimental; Male; *Materials Testing; Nickel/chemistry; Osteoblasts/cytology/*metabolism; Osteoclasts/cytology/*metabolism; *Osteogenesis; Rats; Rats, Inbred F344; Rats, Wistar; Zirconium/chemistry&lt;/_subject_headings&gt;&lt;_tertiary_title&gt;Acta biomaterialia&lt;/_tertiary_title&gt;&lt;_type_work&gt;Journal Article; Research Support, Non-U.S. Gov&amp;apos;t&lt;/_type_work&gt;&lt;_url&gt;http://www.ncbi.nlm.nih.gov/entrez/query.fcgi?cmd=Retrieve&amp;amp;db=pubmed&amp;amp;dopt=Abstract&amp;amp;list_uids=29772348&amp;amp;query_hl=1&lt;/_url&gt;&lt;_volume&gt;74&lt;/_volume&gt;&lt;/Details&gt;&lt;Extra&gt;&lt;DBUID&gt;{46426FB1-226B-4AC1-9419-A495A286C43E}&lt;/DBUID&gt;&lt;/Extra&gt;&lt;/Item&gt;&lt;/References&gt;&lt;/Group&gt;&lt;Group&gt;&lt;References&gt;&lt;Item&gt;&lt;ID&gt;336&lt;/ID&gt;&lt;UID&gt;{DFEA6D1F-1B00-4795-AB9B-4AB850CA63D9}&lt;/UID&gt;&lt;Title&gt;Improving the Tribological Properties and Biocompatibility of Zr-Based Bulk  Metallic Glass for Potential Biomedical Applications&lt;/Title&gt;&lt;Template&gt;Journal Article&lt;/Template&gt;&lt;Star&gt;0&lt;/Star&gt;&lt;Tag&gt;0&lt;/Tag&gt;&lt;Author&gt;Sawyer, V; Tao, X; Dong, H; Dashtbozorg, B; Li, X; Sammons, R; Dong, H S&lt;/Author&gt;&lt;Year&gt;2020&lt;/Year&gt;&lt;Details&gt;&lt;_accessed&gt;65297812&lt;/_accessed&gt;&lt;_accession_num&gt;32331294&lt;/_accession_num&gt;&lt;_author_adr&gt;School of Dentistry, University of Birmingham, Birmingham B5 7EG, UK.; School of Metallurgy and Materials, University of Birmingham, Birmingham B15 2TT,  UK.; Royal Orthopaedic Hospital, Birmingham B31 2AP, UK.; School of Metallurgy and Materials, University of Birmingham, Birmingham B15 2TT,  UK.; School of Metallurgy and Materials, University of Birmingham, Birmingham B15 2TT,  UK.; School of Dentistry, University of Birmingham, Birmingham B5 7EG, UK.; School of Metallurgy and Materials, University of Birmingham, Birmingham B15 2TT,  UK.&lt;/_author_adr&gt;&lt;_collection_scope&gt;SCIE;EI&lt;/_collection_scope&gt;&lt;_created&gt;64844136&lt;/_created&gt;&lt;_date&gt;63275040&lt;/_date&gt;&lt;_date_display&gt;2020 Apr 22&lt;/_date_display&gt;&lt;_db_updated&gt;PubMed&lt;/_db_updated&gt;&lt;_doi&gt;10.3390/ma13081960&lt;/_doi&gt;&lt;_impact_factor&gt;   3.400&lt;/_impact_factor&gt;&lt;_isbn&gt;1996-1944 (Print); 1996-1944 (Electronic); 1996-1944 (Linking)&lt;/_isbn&gt;&lt;_issue&gt;8&lt;/_issue&gt;&lt;_journal&gt;Materials (Basel)&lt;/_journal&gt;&lt;_keywords&gt;biocompatibility; bulk metallic glass; ceramic conversion treatment; orthopaedic application; wear&lt;/_keywords&gt;&lt;_language&gt;eng&lt;/_language&gt;&lt;_modified&gt;65250303&lt;/_modified&gt;&lt;_social_category&gt;物理化学(3) &amp;amp; 材料科学：综合(3) &amp;amp; 冶金工程(3) &amp;amp; 物理：应用(3) &amp;amp; 物理：凝聚态物理(3)&lt;/_social_category&gt;&lt;_tertiary_title&gt;Materials (Basel, Switzerland)&lt;/_tertiary_title&gt;&lt;_type_work&gt;Journal Article&lt;/_type_work&gt;&lt;_url&gt;http://www.ncbi.nlm.nih.gov/entrez/query.fcgi?cmd=Retrieve&amp;amp;db=pubmed&amp;amp;dopt=Abstract&amp;amp;list_uids=32331294&amp;amp;query_hl=1&lt;/_url&gt;&lt;_volume&gt;13&lt;/_volume&gt;&lt;/Details&gt;&lt;Extra&gt;&lt;DBUID&gt;{46426FB1-226B-4AC1-9419-A495A286C43E}&lt;/DBUID&gt;&lt;/Extra&gt;&lt;/Item&gt;&lt;/References&gt;&lt;/Group&gt;&lt;Group&gt;&lt;References&gt;&lt;Item&gt;&lt;ID&gt;13&lt;/ID&gt;&lt;UID&gt;{44A2AB7A-607F-4FB8-855F-D28BCD5F205C}&lt;/UID&gt;&lt;Title&gt;Production, Mechanical Properties and Biomedical Characterization of ZrTi-Based Bulk Metallic Glasses in Comparison with 316L Stainless Steel and Ti6Al4V Alloy&lt;/Title&gt;&lt;Template&gt;Journal Article&lt;/Template&gt;&lt;Star&gt;0&lt;/Star&gt;&lt;Tag&gt;0&lt;/Tag&gt;&lt;Author&gt;Hasiak, Mariusz; Sobieszczańska, Beata; Łaszcz, Amadeusz; Biały, Michał; Chęcmanowski, Jacek; Zatoński, Tomasz; Bożemska, Edyta; Wawrzyńska, Magdalena&lt;/Author&gt;&lt;Year&gt;2022&lt;/Year&gt;&lt;Details&gt;&lt;_accessed&gt;65253150&lt;/_accessed&gt;&lt;_collection_scope&gt;SCIE;EI&lt;/_collection_scope&gt;&lt;_created&gt;64290924&lt;/_created&gt;&lt;_date&gt;64162080&lt;/_date&gt;&lt;_db_updated&gt;CrossRef&lt;/_db_updated&gt;&lt;_doi&gt;10.3390/ma15010252&lt;/_doi&gt;&lt;_impact_factor&gt;   3.400&lt;/_impact_factor&gt;&lt;_isbn&gt;1996-1944&lt;/_isbn&gt;&lt;_issue&gt;1&lt;/_issue&gt;&lt;_journal&gt;Materials&lt;/_journal&gt;&lt;_modified&gt;65250105&lt;/_modified&gt;&lt;_pages&gt;252&lt;/_pages&gt;&lt;_social_category&gt;材料科学(3)&lt;/_social_category&gt;&lt;_tertiary_title&gt;Materials&lt;/_tertiary_title&gt;&lt;_url&gt;https://www.mdpi.com/1996-1944/15/1/252_x000d__x000a_https://www.mdpi.com/1996-1944/15/1/252/pdf&lt;/_url&gt;&lt;_volume&gt;15&lt;/_volume&gt;&lt;/Details&gt;&lt;Extra&gt;&lt;DBUID&gt;{46426FB1-226B-4AC1-9419-A495A286C43E}&lt;/DBUID&gt;&lt;/Extra&gt;&lt;/Item&gt;&lt;/References&gt;&lt;/Group&gt;&lt;Group&gt;&lt;References&gt;&lt;Item&gt;&lt;ID&gt;334&lt;/ID&gt;&lt;UID&gt;{42CD392F-71BD-4AFB-AA79-E4DD135BE1B3}&lt;/UID&gt;&lt;Title&gt;Mechanical properties and biocompatibility of a novel miniscrew made of Zr70Ni16Cu6Al8 bulk metallic glass for orthodontic anchorage&lt;/Title&gt;&lt;Template&gt;Journal Article&lt;/Template&gt;&lt;Star&gt;0&lt;/Star&gt;&lt;Tag&gt;0&lt;/Tag&gt;&lt;Author&gt;Sasaki, Shutaro; Seiryu, Masahiro; Ida, Hiroto; Miyashita, Shunro; Takeshita, Nobuo; Irie, Daiki; Yokoyama, Yoshihiko; Takano-Yamamoto, Teruko&lt;/Author&gt;&lt;Year&gt;2023&lt;/Year&gt;&lt;Details&gt;&lt;_accessed&gt;65314970&lt;/_accessed&gt;&lt;_collection_scope&gt;SCIE&lt;/_collection_scope&gt;&lt;_created&gt;64844131&lt;/_created&gt;&lt;_date&gt;64692000&lt;/_date&gt;&lt;_date_display&gt;2023&lt;/_date_display&gt;&lt;_db_updated&gt;PKU Search&lt;/_db_updated&gt;&lt;_doi&gt;10.1038/s41598-023-30102-3&lt;/_doi&gt;&lt;_impact_factor&gt;   4.600&lt;/_impact_factor&gt;&lt;_issue&gt;1&lt;/_issue&gt;&lt;_journal&gt;Scientific reports&lt;/_journal&gt;&lt;_keywords&gt;Alveolar bone; Biocompatibility; Biomedical materials; Bone growth; Implants; Mechanical properties; Orthodontics; Osteogenesis&lt;/_keywords&gt;&lt;_modified&gt;65174041&lt;/_modified&gt;&lt;_number&gt;1&lt;/_number&gt;&lt;_ori_publication&gt;Nature Publishing Group&lt;/_ori_publication&gt;&lt;_pages&gt;3038-3038&lt;/_pages&gt;&lt;_place_published&gt;London&lt;/_place_published&gt;&lt;_social_category&gt;综合性期刊(3)&lt;/_social_category&gt;&lt;_url&gt;https://go.exlibris.link/gC7cJzqj&lt;/_url&gt;&lt;_volume&gt;13&lt;/_volume&gt;&lt;/Details&gt;&lt;Extra&gt;&lt;DBUID&gt;{46426FB1-226B-4AC1-9419-A495A286C43E}&lt;/DBUID&gt;&lt;/Extra&gt;&lt;/Item&gt;&lt;/References&gt;&lt;/Group&gt;&lt;/Citation&gt;_x000a_"/>
    <w:docVar w:name="NE.Ref{C0E98521-D8DC-43D3-B5E2-7C395EEFF989}" w:val=" ADDIN NE.Ref.{C0E98521-D8DC-43D3-B5E2-7C395EEFF989}&lt;Citation&gt;&lt;Group&gt;&lt;References&gt;&lt;Item&gt;&lt;ID&gt;456&lt;/ID&gt;&lt;UID&gt;{DDD5FB88-8196-4770-B101-8BD7E913FFB1}&lt;/UID&gt;&lt;Title&gt;CB2 regulates oxidative stress and osteoclastogenesis through NOX1-dependent  signaling pathway in titanium particle-induced osteolysis&lt;/Title&gt;&lt;Template&gt;Journal Article&lt;/Template&gt;&lt;Star&gt;0&lt;/Star&gt;&lt;Tag&gt;0&lt;/Tag&gt;&lt;Author&gt;Tao, H; Li, X; Chu, M; Wang, Q; Li, P; Han, Q; Chen, K; Zhu, P; Hao, Y; Yang, X; Geng, D; Gu, Y&lt;/Author&gt;&lt;Year&gt;2023&lt;/Year&gt;&lt;Details&gt;&lt;_accession_num&gt;38104087&lt;/_accession_num&gt;&lt;_author_adr&gt;Department of Orthopedics, The First Affiliated Hospital of Soochow University,  No. 188 Shizi Street, Suzhou, Jiangsu, China.; Anesthesiology department, Suzhou Municipal Hospital, Nanjing Medical University  Affiliated Suzhou Hospital, 242, Guangji Road, Suzhou, Jiangsu, China.; Department of Orthopedics, The First Affiliated Hospital of Soochow University,  No. 188 Shizi Street, Suzhou, Jiangsu, China.; Department of Orthopedics, Changshu Hospital Affiliated to Soochow University,  First People&amp;apos;s Hospital of Changshu City, the First Affiliated Hospital of  Soochow University, Suzhou, Jiangsu, China.; Department of Central Laboratory, Nanjing Medical University Affiliated Suzhou  Hospital, Gusu School, Suzhou, Jiangsu, China.; Orthopedics and Sports Medicine Center, Suzhou Municipal Hospital, Nanjing  Medical University Affiliated Suzhou Hospital, 242, Guangji Road, Suzhou,  Jiangsu, China.; Department of Orthopedics, The First Affiliated Hospital of Soochow University,  No. 188 Shizi Street, Suzhou, Jiangsu, China.; Department of Orthopedics, The First Affiliated Hospital of Soochow University,  No. 188 Shizi Street, Suzhou, Jiangsu, China.; Orthopedics and Sports Medicine Center, Suzhou Municipal Hospital, Nanjing  Medical University Affiliated Suzhou Hospital, 242, Guangji Road, Suzhou,  Jiangsu, China.; Orthopedics and Sports Medicine Center, Suzhou Municipal Hospital, Nanjing  Medical University Affiliated Suzhou Hospital, 242, Guangji Road, Suzhou,  Jiangsu, China. xingyangsz@126.com.; Department of Orthopedics, The First Affiliated Hospital of Soochow University,  No. 188 Shizi Street, Suzhou, Jiangsu, China. szgengdc@suda.edu.cn.; Department of Orthopedics, Changshu Hospital Affiliated to Soochow University,  First People&amp;apos;s Hospital of Changshu City, the First Affiliated Hospital of  Soochow University, Suzhou, Jiangsu, China. edwingguye@126.com.&lt;/_author_adr&gt;&lt;_collection_scope&gt;SCIE&lt;/_collection_scope&gt;&lt;_created&gt;65310355&lt;/_created&gt;&lt;_date&gt;2023-12-16&lt;/_date&gt;&lt;_date_display&gt;2023 Dec 16&lt;/_date_display&gt;&lt;_doi&gt;10.1038/s41420-023-01761-y&lt;/_doi&gt;&lt;_impact_factor&gt;   7.000&lt;/_impact_factor&gt;&lt;_isbn&gt;2058-7716 (Print); 2058-7716 (Electronic); 2058-7716 (Linking)&lt;/_isbn&gt;&lt;_issue&gt;1&lt;/_issue&gt;&lt;_journal&gt;Cell Death Discov&lt;/_journal&gt;&lt;_language&gt;eng&lt;/_language&gt;&lt;_modified&gt;65310355&lt;/_modified&gt;&lt;_ori_publication&gt;© 2023. The Author(s).&lt;/_ori_publication&gt;&lt;_pages&gt;461&lt;/_pages&gt;&lt;_social_category&gt;细胞生物学(2)&lt;/_social_category&gt;&lt;_tertiary_title&gt;Cell death discovery&lt;/_tertiary_title&gt;&lt;_type_work&gt;Journal Article&lt;/_type_work&gt;&lt;_url&gt;http://www.ncbi.nlm.nih.gov/entrez/query.fcgi?cmd=Retrieve&amp;amp;db=pubmed&amp;amp;dopt=Abstract&amp;amp;list_uids=38104087&amp;amp;query_hl=1&lt;/_url&gt;&lt;_volume&gt;9&lt;/_volume&gt;&lt;/Details&gt;&lt;Extra&gt;&lt;DBUID&gt;{46426FB1-226B-4AC1-9419-A495A286C43E}&lt;/DBUID&gt;&lt;/Extra&gt;&lt;/Item&gt;&lt;/References&gt;&lt;/Group&gt;&lt;/Citation&gt;_x000a_"/>
    <w:docVar w:name="NE.Ref{C3377D35-6E6B-4CC8-835F-60544BC9FF24}" w:val=" ADDIN NE.Ref.{C3377D35-6E6B-4CC8-835F-60544BC9FF24}&lt;Citation&gt;&lt;Group&gt;&lt;References&gt;&lt;Item&gt;&lt;ID&gt;491&lt;/ID&gt;&lt;UID&gt;{86B3DC37-6B59-4D94-9552-C282B923F104}&lt;/UID&gt;&lt;Title&gt;Reporting animal research: Explanation and elaboration for the ARRIVE guidelines  2.0&lt;/Title&gt;&lt;Template&gt;Journal Article&lt;/Template&gt;&lt;Star&gt;0&lt;/Star&gt;&lt;Tag&gt;0&lt;/Tag&gt;&lt;Author&gt;Percie, Du Sert N; Ahluwalia, A; Alam, S; Avey, M T; Baker, M; Browne, W J; Clark, A; Cuthill, I C; Dirnagl, U; Emerson, M; Garner, P; Holgate, S T; Howells, D W; Hurst, V; Karp, N A; Lazic, S E; Lidster, K; MacCallum, C J; Macleod, M; Pearl, E J; Petersen, O H; Rawle, F; Reynolds, P; Rooney, K; Sena, E S; Silberberg, S D; Steckler, T; Würbel, H&lt;/Author&gt;&lt;Year&gt;2020&lt;/Year&gt;&lt;Details&gt;&lt;_accession_num&gt;32663221&lt;/_accession_num&gt;&lt;_author_adr&gt;NC3Rs, London, United Kingdom.; The William Harvey Research Institute, London, United Kingdom.; Barts Cardiovascular CTU, Queen Mary University of London, London, United  Kingdom.; Taylor &amp;amp; Francis Group, London, United Kingdom.; Health Science Practice, ICF, Durham, North Carolina, United States of America.; Nature, San Francisco, California, United States of America.; School of Education, University of Bristol, Bristol, United Kingdom.; PLOS ONE, Cambridge, United Kingdom.; School of Biological Sciences, University of Bristol, Bristol, United Kingdom.; QUEST Center for Transforming Biomedical Research, Berlin Institute of Health &amp;amp;  Department of Experimental Neurology, Charite Universitätsmedizin Berlin, Berlin,  Germany.; National Heart and Lung Institute, Imperial College London, London, United  Kingdom.; Centre for Evidence Synthesis in Global Health, Clinical Sciences Department,  Liverpool School of Tropical Medicine, Liverpool, United Kingdom.; Clinical and Experimental Sciences, University of Southampton, Southampton,  United Kingdom.; Tasmanian School of Medicine, University of Tasmania, Hobart, Australia.; NC3Rs, London, United Kingdom.; Data Sciences &amp;amp; Quantitative Biology, Discovery Sciences, R&amp;amp;D, AstraZeneca,  Cambridge, United Kingdom.; Prioris.ai Inc, Ottawa, Canada.; NC3Rs, London, United Kingdom.; Hindawi Ltd, London, United Kingdom.; Centre for Clinical Brain Sciences, University of Edinburgh, Edinburgh, United  Kingdom.; NC3Rs, London, United Kingdom.; Academia Europaea Knowledge Hub, Cardiff University, Cardiff, United Kingdom.; Medical Research Council, London, United Kingdom.; Statistics in Anesthesiology Research (STAR) Core, Department of Anesthesiology,  College of Medicine, University of Florida, Gainesville, Florida, United States  of America.; Discipline of Exercise and Sport Science, Faculty of Medicine and Health,  University of Sydney, Sydney, Australia.; Centre for Clinical Brain Sciences, University of Edinburgh, Edinburgh, United  Kingdom.; National Institute of Neurological Disorders and Stroke, Bethesda, Maryland,  United States of America.; Janssen Pharmaceutica NV, Beerse, Belgium.; Veterinary Public Health Institute, Vetsuisse Faculty, University of Bern, Bern,  Switzerland.&lt;/_author_adr&gt;&lt;_collection_scope&gt;SCIE&lt;/_collection_scope&gt;&lt;_created&gt;65360804&lt;/_created&gt;&lt;_date&gt;2020-07-01&lt;/_date&gt;&lt;_date_display&gt;2020 Jul&lt;/_date_display&gt;&lt;_doi&gt;10.1371/journal.pbio.3000411&lt;/_doi&gt;&lt;_impact_factor&gt;   9.800&lt;/_impact_factor&gt;&lt;_isbn&gt;1545-7885 (Electronic); 1544-9173 (Print); 1544-9173 (Linking)&lt;/_isbn&gt;&lt;_issue&gt;7&lt;/_issue&gt;&lt;_journal&gt;PLoS Biol&lt;/_journal&gt;&lt;_language&gt;eng&lt;/_language&gt;&lt;_modified&gt;65360804&lt;/_modified&gt;&lt;_pages&gt;e3000411&lt;/_pages&gt;&lt;_social_category&gt;生化与分子生物学(1) &amp;amp; 生物学(1)&lt;/_social_category&gt;&lt;_subject_headings&gt;*Animal Experimentation/ethics; Animal Husbandry; Animals; Confidence Intervals; *Guidelines as Topic; Housing, Animal; Outcome Assessment, Health Care; Publications; Random Allocation; Reproducibility of Results; *Research Report; Sample Size&lt;/_subject_headings&gt;&lt;_tertiary_title&gt;PLoS biology&lt;/_tertiary_title&gt;&lt;_type_work&gt;Journal Article; Research Support, Non-U.S. Gov&amp;apos;t&lt;/_type_work&gt;&lt;_url&gt;http://www.ncbi.nlm.nih.gov/entrez/query.fcgi?cmd=Retrieve&amp;amp;db=pubmed&amp;amp;dopt=Abstract&amp;amp;list_uids=32663221&amp;amp;query_hl=1&lt;/_url&gt;&lt;_volume&gt;18&lt;/_volume&gt;&lt;/Details&gt;&lt;Extra&gt;&lt;DBUID&gt;{46426FB1-226B-4AC1-9419-A495A286C43E}&lt;/DBUID&gt;&lt;/Extra&gt;&lt;/Item&gt;&lt;/References&gt;&lt;/Group&gt;&lt;/Citation&gt;_x000a_"/>
    <w:docVar w:name="NE.Ref{C7E1F07C-9AF8-4785-95F5-6C599B3D7DB7}" w:val=" ADDIN NE.Ref.{C7E1F07C-9AF8-4785-95F5-6C599B3D7DB7}&lt;Citation&gt;&lt;Group&gt;&lt;References&gt;&lt;Item&gt;&lt;ID&gt;412&lt;/ID&gt;&lt;UID&gt;{37B11EDD-76DC-44E1-A926-6BA8EB29E534}&lt;/UID&gt;&lt;Title&gt;Review of titanium surface modification techniques and coatings for antibacterial  applications&lt;/Title&gt;&lt;Template&gt;Journal Article&lt;/Template&gt;&lt;Star&gt;0&lt;/Star&gt;&lt;Tag&gt;0&lt;/Tag&gt;&lt;Author&gt;Chouirfa, H; Bouloussa, H; Migonney, V; Falentin-Daudré, C&lt;/Author&gt;&lt;Year&gt;2019&lt;/Year&gt;&lt;Details&gt;&lt;_accession_num&gt;30541702&lt;/_accession_num&gt;&lt;_author_adr&gt;LBPS/CSPBAT, UMR CNRS 7244, Institut Galilée, Université Paris 13, Sorbonne Paris  Cité, 99 Avenue JB Clément, 93340 Villetaneuse, France.; Division of Neurosurgery, University of Alberta, Edmonton, Canada.; LBPS/CSPBAT, UMR CNRS 7244, Institut Galilée, Université Paris 13, Sorbonne Paris  Cité, 99 Avenue JB Clément, 93340 Villetaneuse, France.; LBPS/CSPBAT, UMR CNRS 7244, Institut Galilée, Université Paris 13, Sorbonne Paris  Cité, 99 Avenue JB Clément, 93340 Villetaneuse, France.&lt;/_author_adr&gt;&lt;_collection_scope&gt;SCIE;EI&lt;/_collection_scope&gt;&lt;_created&gt;65243031&lt;/_created&gt;&lt;_date&gt;2019-01-01&lt;/_date&gt;&lt;_date_display&gt;2019 Jan 1&lt;/_date_display&gt;&lt;_doi&gt;10.1016/j.actbio.2018.10.036&lt;/_doi&gt;&lt;_impact_factor&gt;   9.700&lt;/_impact_factor&gt;&lt;_isbn&gt;1878-7568 (Electronic); 1742-7061 (Linking)&lt;/_isbn&gt;&lt;_journal&gt;Acta Biomater&lt;/_journal&gt;&lt;_keywords&gt;Antibacterial; Coating; Grafting; Surface modification; Titanium&lt;/_keywords&gt;&lt;_language&gt;eng&lt;/_language&gt;&lt;_modified&gt;65243031&lt;/_modified&gt;&lt;_ori_publication&gt;Copyright © 2018 Acta Materialia Inc. Published by Elsevier Ltd. All rights _x000d__x000a_      reserved.&lt;/_ori_publication&gt;&lt;_pages&gt;37-54&lt;/_pages&gt;&lt;_social_category&gt;工程：生物医学(1) &amp;amp; 材料科学：生物材料(1)&lt;/_social_category&gt;&lt;_subject_headings&gt;Animals; *Anti-Bacterial Agents/chemistry/therapeutic use; *Bacterial Physiological Phenomena; Biofilms/*growth &amp;amp; development; *Coated Materials, Biocompatible/chemistry/therapeutic use; Humans; Prostheses and Implants/*microbiology; Surface Properties; *Titanium/chemistry/therapeutic use&lt;/_subject_headings&gt;&lt;_tertiary_title&gt;Acta biomaterialia&lt;/_tertiary_title&gt;&lt;_type_work&gt;Journal Article; Review&lt;/_type_work&gt;&lt;_url&gt;http://www.ncbi.nlm.nih.gov/entrez/query.fcgi?cmd=Retrieve&amp;amp;db=pubmed&amp;amp;dopt=Abstract&amp;amp;list_uids=30541702&amp;amp;query_hl=1&lt;/_url&gt;&lt;_volume&gt;83&lt;/_volume&gt;&lt;/Details&gt;&lt;Extra&gt;&lt;DBUID&gt;{46426FB1-226B-4AC1-9419-A495A286C43E}&lt;/DBUID&gt;&lt;/Extra&gt;&lt;/Item&gt;&lt;/References&gt;&lt;/Group&gt;&lt;/Citation&gt;_x000a_"/>
    <w:docVar w:name="NE.Ref{CE3ED99C-E3D9-4960-A2B8-AF9513CD33DA}" w:val=" ADDIN NE.Ref.{CE3ED99C-E3D9-4960-A2B8-AF9513CD33DA}&lt;Citation&gt;&lt;Group&gt;&lt;References&gt;&lt;Item&gt;&lt;ID&gt;431&lt;/ID&gt;&lt;UID&gt;{4F4438F0-787C-4776-8FCD-EBDCBB72B87A}&lt;/UID&gt;&lt;Title&gt;Activating macrophages for enhanced osteogenic and bactericidal performance by Cu  ion release from micro/nano-topographical coating on a titanium substrate&lt;/Title&gt;&lt;Template&gt;Journal Article&lt;/Template&gt;&lt;Star&gt;0&lt;/Star&gt;&lt;Tag&gt;0&lt;/Tag&gt;&lt;Author&gt;Huang, Q; Ouyang, Z; Tan, Y; Wu, H; Liu, Y&lt;/Author&gt;&lt;Year&gt;2019&lt;/Year&gt;&lt;Details&gt;&lt;_accessed&gt;65310430&lt;/_accessed&gt;&lt;_accession_num&gt;31553923&lt;/_accession_num&gt;&lt;_author_adr&gt;State Key Laboratory of Powder Metallurgy, Central South University, Changsha  410083, PR China.; Department of Orthopedics, The Second Xiangya Hospital, Central South University,  Changsha 410083, PR China.; State Key Laboratory of Powder Metallurgy, Central South University, Changsha  410083, PR China.; State Key Laboratory of Powder Metallurgy, Central South University, Changsha  410083, PR China.; State Key Laboratory of Powder Metallurgy, Central South University, Changsha  410083, PR China. Electronic address: yonliu@csu.edu.cn.&lt;/_author_adr&gt;&lt;_collection_scope&gt;SCIE;EI&lt;/_collection_scope&gt;&lt;_created&gt;65298936&lt;/_created&gt;&lt;_date&gt;2019-12-01&lt;/_date&gt;&lt;_date_display&gt;2019 Dec&lt;/_date_display&gt;&lt;_doi&gt;10.1016/j.actbio.2019.09.030&lt;/_doi&gt;&lt;_impact_factor&gt;   9.700&lt;/_impact_factor&gt;&lt;_isbn&gt;1878-7568 (Electronic); 1742-7061 (Linking)&lt;/_isbn&gt;&lt;_journal&gt;Acta Biomater&lt;/_journal&gt;&lt;_keywords&gt;Bacteria; Copper; Implant; Inflammation; Macrophage; Osteogenesis&lt;/_keywords&gt;&lt;_language&gt;eng&lt;/_language&gt;&lt;_modified&gt;65299348&lt;/_modified&gt;&lt;_ori_publication&gt;Copyright © 2019 Acta Materialia Inc. Published by Elsevier Ltd. All rights _x000d__x000a_      reserved.&lt;/_ori_publication&gt;&lt;_pages&gt;415-426&lt;/_pages&gt;&lt;_social_category&gt;工程：生物医学(1) &amp;amp; 材料科学：生物材料(1)&lt;/_social_category&gt;&lt;_subject_headings&gt;Animals; Anti-Bacterial Agents/*pharmacology; Cell Polarity/drug effects; Cellular Microenvironment/drug effects; Coated Materials, Biocompatible/*pharmacology; Copper/*pharmacology; Culture Media, Conditioned/pharmacology; Inflammation/pathology; Ions; Macrophage Activation/*drug effects; Mice; Microbial Sensitivity Tests; Nanoparticles/*chemistry; Osteoblasts/cytology/drug effects; Osteogenesis/*drug effects; RAW 264.7 Cells; Rats, Sprague-Dawley; Staphylococcus aureus/drug effects; Titanium/*pharmacology&lt;/_subject_headings&gt;&lt;_tertiary_title&gt;Acta biomaterialia&lt;/_tertiary_title&gt;&lt;_type_work&gt;Journal Article; Research Support, Non-U.S. Gov&amp;apos;t&lt;/_type_work&gt;&lt;_url&gt;http://www.ncbi.nlm.nih.gov/entrez/query.fcgi?cmd=Retrieve&amp;amp;db=pubmed&amp;amp;dopt=Abstract&amp;amp;list_uids=31553923&amp;amp;query_hl=1&lt;/_url&gt;&lt;_volume&gt;100&lt;/_volume&gt;&lt;/Details&gt;&lt;Extra&gt;&lt;DBUID&gt;{46426FB1-226B-4AC1-9419-A495A286C43E}&lt;/DBUID&gt;&lt;/Extra&gt;&lt;/Item&gt;&lt;/References&gt;&lt;/Group&gt;&lt;Group&gt;&lt;References&gt;&lt;Item&gt;&lt;ID&gt;432&lt;/ID&gt;&lt;UID&gt;{9FEC6D73-188E-4CB4-B2F0-04D67486E7D2}&lt;/UID&gt;&lt;Title&gt;Antibacterial Property and Biocompatibility of Silver, Copper, and Zinc in  Titanium Dioxide Layers Incorporated by One-Step Micro-Arc Oxidation: A Review&lt;/Title&gt;&lt;Template&gt;Journal Article&lt;/Template&gt;&lt;Star&gt;0&lt;/Star&gt;&lt;Tag&gt;0&lt;/Tag&gt;&lt;Author&gt;Shimabukuro, M&lt;/Author&gt;&lt;Year&gt;2020&lt;/Year&gt;&lt;Details&gt;&lt;_accessed&gt;65316691&lt;/_accessed&gt;&lt;_accession_num&gt;33092058&lt;/_accession_num&gt;&lt;_author_adr&gt;Department of Biomaterials, Faculty of Dental Science, Kyushu University, 3-1-1  Maidashi, Higashi-ku, Fukuoka 812-8582, Japan.&lt;/_author_adr&gt;&lt;_collection_scope&gt;SCIE&lt;/_collection_scope&gt;&lt;_created&gt;65298937&lt;/_created&gt;&lt;_date&gt;2020-10-20&lt;/_date&gt;&lt;_date_display&gt;2020 Oct 20&lt;/_date_display&gt;&lt;_doi&gt;10.3390/antibiotics9100716&lt;/_doi&gt;&lt;_impact_factor&gt;   4.800&lt;/_impact_factor&gt;&lt;_isbn&gt;2079-6382 (Print); 2079-6382 (Electronic); 2079-6382 (Linking)&lt;/_isbn&gt;&lt;_issue&gt;10&lt;/_issue&gt;&lt;_journal&gt;Antibiotics (Basel)&lt;/_journal&gt;&lt;_keywords&gt;antibacterial properties; biofilm; coating; copper; implant; infection; micro-arc oxidation; silver; titanium; zinc&lt;/_keywords&gt;&lt;_language&gt;eng&lt;/_language&gt;&lt;_modified&gt;65316691&lt;/_modified&gt;&lt;_social_category&gt;传染病学(3) &amp;amp; 药学(2)&lt;/_social_category&gt;&lt;_tertiary_title&gt;Antibiotics (Basel, Switzerland)&lt;/_tertiary_title&gt;&lt;_type_work&gt;Journal Article; Review&lt;/_type_work&gt;&lt;_url&gt;http://www.ncbi.nlm.nih.gov/entrez/query.fcgi?cmd=Retrieve&amp;amp;db=pubmed&amp;amp;dopt=Abstract&amp;amp;list_uids=33092058&amp;amp;query_hl=1&lt;/_url&gt;&lt;_volume&gt;9&lt;/_volume&gt;&lt;/Details&gt;&lt;Extra&gt;&lt;DBUID&gt;{46426FB1-226B-4AC1-9419-A495A286C43E}&lt;/DBUID&gt;&lt;/Extra&gt;&lt;/Item&gt;&lt;/References&gt;&lt;/Group&gt;&lt;/Citation&gt;_x000a_"/>
    <w:docVar w:name="NE.Ref{D3D9EC6D-E5BC-468C-A5B8-11E21D3D106B}" w:val=" ADDIN NE.Ref.{D3D9EC6D-E5BC-468C-A5B8-11E21D3D106B}&lt;Citation&gt;&lt;Group&gt;&lt;References&gt;&lt;Item&gt;&lt;ID&gt;252&lt;/ID&gt;&lt;UID&gt;{E81B11CD-49AA-4DF6-8018-CB05F3E8D782}&lt;/UID&gt;&lt;Title&gt;Histopathological analysis of biopsies of &amp;quot;peri-implant inflammatory lesions.&amp;quot;  Everything is not what it seems&lt;/Title&gt;&lt;Template&gt;Journal Article&lt;/Template&gt;&lt;Star&gt;0&lt;/Star&gt;&lt;Tag&gt;0&lt;/Tag&gt;&lt;Author&gt;Sotorra-Figuerola, D; Lafuente-Ibanez, De Mendoza I; Parra-Perez, C; Aguirre-Urizar, J M&lt;/Author&gt;&lt;Year&gt;2020&lt;/Year&gt;&lt;Details&gt;&lt;_accessed&gt;64798426&lt;/_accessed&gt;&lt;_accession_num&gt;32378812&lt;/_accession_num&gt;&lt;_author_adr&gt;Oral Pathology Master Programme, Oral and Maxillofacial Pathology Unit, Dental  Clinic Service, Department of Stomatology II, University of the Basque Country  (UPV/EHU), Leioa, Spain.; Oral Pathology Master Programme, Oral and Maxillofacial Pathology Unit, Dental  Clinic Service, Department of Stomatology II, University of the Basque Country  (UPV/EHU), Leioa, Spain.; Oral Pathology Master Programme, Oral and Maxillofacial Pathology Unit, Dental  Clinic Service, Department of Stomatology II, University of the Basque Country  (UPV/EHU), Leioa, Spain.; Oral Pathology Master Programme, Oral and Maxillofacial Pathology Unit, Dental  Clinic Service, Department of Stomatology II, University of the Basque Country  (UPV/EHU), Leioa, Spain.&lt;/_author_adr&gt;&lt;_collection_scope&gt;SCIE&lt;/_collection_scope&gt;&lt;_created&gt;64763448&lt;/_created&gt;&lt;_date&gt;63332640&lt;/_date&gt;&lt;_date_display&gt;2020 Jun&lt;/_date_display&gt;&lt;_db_updated&gt;PubMed&lt;/_db_updated&gt;&lt;_doi&gt;10.1111/cid.12905&lt;/_doi&gt;&lt;_impact_factor&gt;   3.600&lt;/_impact_factor&gt;&lt;_isbn&gt;1708-8208 (Electronic); 1523-0899 (Linking)&lt;/_isbn&gt;&lt;_issue&gt;3&lt;/_issue&gt;&lt;_journal&gt;Clin Implant Dent Relat Res&lt;/_journal&gt;&lt;_keywords&gt;actinomicosis; histological analysis; peri-implant lesions; peri-implantitis; peripheral giant cell granuloma; pyogenic granuloma; squamous cell carcinoma&lt;/_keywords&gt;&lt;_language&gt;eng&lt;/_language&gt;&lt;_modified&gt;65242881&lt;/_modified&gt;&lt;_ori_publication&gt;(c) 2020 Wiley Periodicals LLC.&lt;/_ori_publication&gt;&lt;_pages&gt;366-372&lt;/_pages&gt;&lt;_social_category&gt;医学(2)&lt;/_social_category&gt;&lt;_subject_headings&gt;Biopsy; *Dental Implants; Female; Humans; Male; Mandible; Middle Aged; *Peri-Implantitis; Retrospective Studies&lt;/_subject_headings&gt;&lt;_tertiary_title&gt;Clinical implant dentistry and related research&lt;/_tertiary_title&gt;&lt;_type_work&gt;Journal Article&lt;/_type_work&gt;&lt;_url&gt;http://www.ncbi.nlm.nih.gov/entrez/query.fcgi?cmd=Retrieve&amp;amp;db=pubmed&amp;amp;dopt=Abstract&amp;amp;list_uids=32378812&amp;amp;query_hl=1&lt;/_url&gt;&lt;_volume&gt;22&lt;/_volume&gt;&lt;/Details&gt;&lt;Extra&gt;&lt;DBUID&gt;{46426FB1-226B-4AC1-9419-A495A286C43E}&lt;/DBUID&gt;&lt;/Extra&gt;&lt;/Item&gt;&lt;/References&gt;&lt;/Group&gt;&lt;/Citation&gt;_x000a_"/>
    <w:docVar w:name="NE.Ref{E40FB53B-740F-4521-97E3-ADEAE429B216}" w:val=" ADDIN NE.Ref.{E40FB53B-740F-4521-97E3-ADEAE429B216}&lt;Citation&gt;&lt;Group&gt;&lt;References&gt;&lt;Item&gt;&lt;ID&gt;507&lt;/ID&gt;&lt;UID&gt;{188E99DE-FADB-4C43-9BC5-7B5EEB8DFE5D}&lt;/UID&gt;&lt;Title&gt;Review on Biocompatibility and Prospect Biomedical Applications of Novel  Functional Metallic Glasses&lt;/Title&gt;&lt;Template&gt;Journal Article&lt;/Template&gt;&lt;Star&gt;0&lt;/Star&gt;&lt;Tag&gt;0&lt;/Tag&gt;&lt;Author&gt;Biały, M; Hasiak, M; Łaszcz, A&lt;/Author&gt;&lt;Year&gt;2022&lt;/Year&gt;&lt;Details&gt;&lt;_accession_num&gt;36412886&lt;/_accession_num&gt;&lt;_author_adr&gt;Department of Mechanics, Materials and Biomedical Engineering, Wrocław University  of Science and Technology, Smoluchowskiego 25, 50-370 Wroclaw, Poland.; Department of Mechanics, Materials and Biomedical Engineering, Wrocław University  of Science and Technology, Smoluchowskiego 25, 50-370 Wroclaw, Poland.; Department of Mechanics, Materials and Biomedical Engineering, Wrocław University  of Science and Technology, Smoluchowskiego 25, 50-370 Wroclaw, Poland.&lt;/_author_adr&gt;&lt;_collection_scope&gt;SCIE&lt;/_collection_scope&gt;&lt;_created&gt;65370902&lt;/_created&gt;&lt;_date&gt;2022-11-16&lt;/_date&gt;&lt;_date_display&gt;2022 Nov 16&lt;/_date_display&gt;&lt;_doi&gt;10.3390/jfb13040245&lt;/_doi&gt;&lt;_impact_factor&gt;   4.800&lt;/_impact_factor&gt;&lt;_isbn&gt;2079-4983 (Print); 2079-4983 (Electronic); 2079-4983 (Linking)&lt;/_isbn&gt;&lt;_issue&gt;4&lt;/_issue&gt;&lt;_journal&gt;J Funct Biomater&lt;/_journal&gt;&lt;_keywords&gt;Ti-based; Zr-based; biocompatibility; biomedical; bulk metallic glass; corrosion resistance; in vitro; in vivo; mechanical properties; metallic glass&lt;/_keywords&gt;&lt;_language&gt;eng&lt;/_language&gt;&lt;_modified&gt;65370902&lt;/_modified&gt;&lt;_social_category&gt;工程：生物医学(3) &amp;amp; 材料科学：生物材料(3)&lt;/_social_category&gt;&lt;_tertiary_title&gt;Journal of functional biomaterials&lt;/_tertiary_title&gt;&lt;_type_work&gt;Journal Article; Review&lt;/_type_work&gt;&lt;_url&gt;http://www.ncbi.nlm.nih.gov/entrez/query.fcgi?cmd=Retrieve&amp;amp;db=pubmed&amp;amp;dopt=Abstract&amp;amp;list_uids=36412886&amp;amp;query_hl=1&lt;/_url&gt;&lt;_volume&gt;13&lt;/_volume&gt;&lt;/Details&gt;&lt;Extra&gt;&lt;DBUID&gt;{46426FB1-226B-4AC1-9419-A495A286C43E}&lt;/DBUID&gt;&lt;/Extra&gt;&lt;/Item&gt;&lt;/References&gt;&lt;/Group&gt;&lt;/Citation&gt;_x000a_"/>
    <w:docVar w:name="NE.Ref{F1D77294-FFF8-4C67-9372-E853E23C9711}" w:val=" ADDIN NE.Ref.{F1D77294-FFF8-4C67-9372-E853E23C9711}&lt;Citation&gt;&lt;Group&gt;&lt;References&gt;&lt;Item&gt;&lt;ID&gt;442&lt;/ID&gt;&lt;UID&gt;{FE55C97B-C734-42AD-AC27-96781E8E27BB}&lt;/UID&gt;&lt;Title&gt;What controls the antibacterial activity of Ti-Ag alloy, Ag ion or Ti(2)Ag  particles?&lt;/Title&gt;&lt;Template&gt;Journal Article&lt;/Template&gt;&lt;Star&gt;0&lt;/Star&gt;&lt;Tag&gt;0&lt;/Tag&gt;&lt;Author&gt;Shi, A; Zhu, C; Fu, S; Wang, R; Qin, G; Chen, D; Zhang, E&lt;/Author&gt;&lt;Year&gt;2020&lt;/Year&gt;&lt;Details&gt;&lt;_accessed&gt;65316701&lt;/_accessed&gt;&lt;_accession_num&gt;32228943&lt;/_accession_num&gt;&lt;_author_adr&gt;Key Lab. for Anisotropy and Texture of Materials, Education Ministry of China,  School of Materials Science and Engineering, Northeastern University, Shenyang  110819, China; Research Center for Metallic Wires, Northeastern University,  Shenyang 110819, China.; Key Lab. for Anisotropy and Texture of Materials, Education Ministry of China,  School of Materials Science and Engineering, Northeastern University, Shenyang  110819, China; Research Center for Metallic Wires, Northeastern University,  Shenyang 110819, China.; Key Lab. for Anisotropy and Texture of Materials, Education Ministry of China,  School of Materials Science and Engineering, Northeastern University, Shenyang  110819, China; Research Center for Metallic Wires, Northeastern University,  Shenyang 110819, China.; Laboratory of Bone Tissue Engineering, Beijing Laboratory of Biomedical  Materials, Beijing Research Institute of Orthopaedics and Traumatology, Beijing  Jishuitan Hospital, Beijing 100035, China.; Key Lab. for Anisotropy and Texture of Materials, Education Ministry of China,  School of Materials Science and Engineering, Northeastern University, Shenyang  110819, China; Research Center for Metallic Wires, Northeastern University,  Shenyang 110819, China.; Laboratory of Bone Tissue Engineering, Beijing Laboratory of Biomedical  Materials, Beijing Research Institute of Orthopaedics and Traumatology, Beijing  Jishuitan Hospital, Beijing 100035, China. Electronic address:  chendafu@jsthospital.org.; Key Lab. for Anisotropy and Texture of Materials, Education Ministry of China,  School of Materials Science and Engineering, Northeastern University, Shenyang  110819, China; Research Center for Metallic Wires, Northeastern University,  Shenyang 110819, China. Electronic address: zhangel@atm.neu.edu.cn.&lt;/_author_adr&gt;&lt;_created&gt;65299371&lt;/_created&gt;&lt;_date&gt;2020-04-01&lt;/_date&gt;&lt;_date_display&gt;2020 Apr&lt;/_date_display&gt;&lt;_doi&gt;10.1016/j.msec.2019.110548&lt;/_doi&gt;&lt;_impact_factor&gt;   7.900&lt;/_impact_factor&gt;&lt;_isbn&gt;1873-0191 (Electronic); 0928-4931 (Linking)&lt;/_isbn&gt;&lt;_journal&gt;Mater Sci Eng C Mater Biol Appl&lt;/_journal&gt;&lt;_keywords&gt;Antibacterial mechanism; Antibacterial property; Antibacterial titanium; Cytotoxicity; Surface acid etching; Ti-Ag alloy&lt;/_keywords&gt;&lt;_language&gt;eng&lt;/_language&gt;&lt;_modified&gt;65309299&lt;/_modified&gt;&lt;_ori_publication&gt;Copyright © 2019. Published by Elsevier B.V.&lt;/_ori_publication&gt;&lt;_pages&gt;110548&lt;/_pages&gt;&lt;_subject_headings&gt;*Alloys/chemistry/pharmacology; Animals; *Biocompatible Materials/chemistry/metabolism; Cell Line; *Materials Testing; Mice; *Silver/chemistry/pharmacology; Staphylococcus aureus/*growth &amp;amp; development; *Titanium/chemistry/pharmacology&lt;/_subject_headings&gt;&lt;_tertiary_title&gt;Materials science &amp;amp; engineering. C, Materials for biological applications&lt;/_tertiary_title&gt;&lt;_type_work&gt;Journal Article&lt;/_type_work&gt;&lt;_url&gt;http://www.ncbi.nlm.nih.gov/entrez/query.fcgi?cmd=Retrieve&amp;amp;db=pubmed&amp;amp;dopt=Abstract&amp;amp;list_uids=32228943&amp;amp;query_hl=1&lt;/_url&gt;&lt;_volume&gt;109&lt;/_volume&gt;&lt;/Details&gt;&lt;Extra&gt;&lt;DBUID&gt;{46426FB1-226B-4AC1-9419-A495A286C43E}&lt;/DBUID&gt;&lt;/Extra&gt;&lt;/Item&gt;&lt;/References&gt;&lt;/Group&gt;&lt;/Citation&gt;_x000a_"/>
    <w:docVar w:name="NE.Ref{F44EB3D1-E191-49CC-8E2B-50C838692221}" w:val=" ADDIN NE.Ref.{F44EB3D1-E191-49CC-8E2B-50C838692221}&lt;Citation&gt;&lt;Group&gt;&lt;References&gt;&lt;Item&gt;&lt;ID&gt;18&lt;/ID&gt;&lt;UID&gt;{E86B3639-2754-42E2-952F-0B8D5988FF2B}&lt;/UID&gt;&lt;Title&gt;Osteogenesis and angiogenesis of a bulk metallic glass for biomedical implants&lt;/Title&gt;&lt;Template&gt;Journal Article&lt;/Template&gt;&lt;Star&gt;0&lt;/Star&gt;&lt;Tag&gt;0&lt;/Tag&gt;&lt;Author&gt;Sun, K; Fu, R; Liu, X W; Xu, L M; Wang, G; Chen, S Y; Zhai, Q J; Pauly, S&lt;/Author&gt;&lt;Year&gt;2022&lt;/Year&gt;&lt;Details&gt;&lt;_accessed&gt;65420486&lt;/_accessed&gt;&lt;_collection_scope&gt;SCIE&lt;/_collection_scope&gt;&lt;_created&gt;64293787&lt;/_created&gt;&lt;_db_updated&gt;CrossRef&lt;/_db_updated&gt;&lt;_doi&gt;10.1016/j.bioactmat.2021.06.018&lt;/_doi&gt;&lt;_impact_factor&gt;  18.900&lt;/_impact_factor&gt;&lt;_isbn&gt;2452199X&lt;/_isbn&gt;&lt;_journal&gt;Bioactive Materials&lt;/_journal&gt;&lt;_modified&gt;65173638&lt;/_modified&gt;&lt;_pages&gt;253-266&lt;/_pages&gt;&lt;_social_category&gt;材料科学(1)&lt;/_social_category&gt;&lt;_tertiary_title&gt;Bioactive Materials&lt;/_tertiary_title&gt;&lt;_url&gt;https://linkinghub.elsevier.com/retrieve/pii/S2452199X21003042_x000d__x000a_https://api.elsevier.com/content/article/PII:S2452199X21003042?httpAccept=text/xml&lt;/_url&gt;&lt;_volume&gt;8&lt;/_volume&gt;&lt;/Details&gt;&lt;Extra&gt;&lt;DBUID&gt;{46426FB1-226B-4AC1-9419-A495A286C43E}&lt;/DBUID&gt;&lt;/Extra&gt;&lt;/Item&gt;&lt;/References&gt;&lt;/Group&gt;&lt;/Citation&gt;_x000a_"/>
    <w:docVar w:name="NE.Ref{F54C8AF5-41BD-4A67-8D43-22540779D240}" w:val=" ADDIN NE.Ref.{F54C8AF5-41BD-4A67-8D43-22540779D240}&lt;Citation&gt;&lt;Group&gt;&lt;References&gt;&lt;Item&gt;&lt;ID&gt;490&lt;/ID&gt;&lt;UID&gt;{861FC467-F650-455C-8374-4FDC01328F51}&lt;/UID&gt;&lt;Title&gt;Low-intensity pulsed ultrasound reduces alveolar bone resorption during  orthodontic treatment via Lamin A/C-Yes-associated protein axis in stem cells&lt;/Title&gt;&lt;Template&gt;Journal Article&lt;/Template&gt;&lt;Star&gt;0&lt;/Star&gt;&lt;Tag&gt;0&lt;/Tag&gt;&lt;Author&gt;Wu, T; Zheng, F; Tang, H Y; Li, H Z; Cui, X Y; Ding, S; Liu, D; Li, C Y; Jiang, J H; Yang, R L&lt;/Author&gt;&lt;Year&gt;2024&lt;/Year&gt;&lt;Details&gt;&lt;_accession_num&gt;38577236&lt;/_accession_num&gt;&lt;_author_adr&gt;Department of Orthodontics, Peking University School and Hospital of Stomatology,  National Engineering Laboratory for Digital and Material Technology of  Stomatology, Beijing Key Laboratory of Digital Stomatology, Beijing 100081,  China.; Department of Orthodontics, Peking University School and Hospital of Stomatology,  National Engineering Laboratory for Digital and Material Technology of  Stomatology, Beijing Key Laboratory of Digital Stomatology, Beijing 100081,  China.; Department of Orthodontics, Peking University School and Hospital of Stomatology,  National Engineering Laboratory for Digital and Material Technology of  Stomatology, Beijing Key Laboratory of Digital Stomatology, Beijing 100081,  China.; Department of Orthodontics, Peking University School and Hospital of Stomatology,  National Engineering Laboratory for Digital and Material Technology of  Stomatology, Beijing Key Laboratory of Digital Stomatology, Beijing 100081,  China.; Department of Orthodontics, Peking University School and Hospital of Stomatology,  National Engineering Laboratory for Digital and Material Technology of  Stomatology, Beijing Key Laboratory of Digital Stomatology, Beijing 100081,  China.; Department of Orthodontics, Peking University School and Hospital of Stomatology,  National Engineering Laboratory for Digital and Material Technology of  Stomatology, Beijing Key Laboratory of Digital Stomatology, Beijing 100081,  China.; Department of Orthodontics, Peking University School and Hospital of Stomatology,  National Engineering Laboratory for Digital and Material Technology of  Stomatology, Beijing Key Laboratory of Digital Stomatology, Beijing 100081,  China.; Department of Central Laboratory, Peking University School and Hospital of  Stomatology, National Clinical Research Center for Oral Diseases &amp;amp; National  Engineering Laboratory for Digital and Material Technology of Stomatology,  Beijing Key Laboratory of Digital Stomatology, Beijing 100081, China.; Department of Orthodontics, Peking University School and Hospital of Stomatology,  National Engineering Laboratory for Digital and Material Technology of  Stomatology, Beijing Key Laboratory of Digital Stomatology, Beijing 100081,  China.; Department of Orthodontics, Peking University School and Hospital of Stomatology,  National Engineering Laboratory for Digital and Material Technology of  Stomatology, Beijing Key Laboratory of Digital Stomatology, Beijing 100081,  China. ruiliyangabc@163.com.&lt;/_author_adr&gt;&lt;_collection_scope&gt;SCIE&lt;/_collection_scope&gt;&lt;_created&gt;65359345&lt;/_created&gt;&lt;_date&gt;2024-03-26&lt;/_date&gt;&lt;_date_display&gt;2024 Mar 26&lt;/_date_display&gt;&lt;_doi&gt;10.4252/wjsc.v16.i3.267&lt;/_doi&gt;&lt;_impact_factor&gt;   4.100&lt;/_impact_factor&gt;&lt;_isbn&gt;1948-0210 (Print); 1948-0210 (Electronic); 1948-0210 (Linking)&lt;/_isbn&gt;&lt;_issue&gt;3&lt;/_issue&gt;&lt;_journal&gt;World J Stem Cells&lt;/_journal&gt;&lt;_keywords&gt;Bone marrow mesenchymal stem cells; Bone resorption; Cytoskeleton-Lamin A/C-Yes-associated protein axis; Low-intensity pulsed ultrasound; Orthodontic tooth movement; Osteogenesis&lt;/_keywords&gt;&lt;_language&gt;eng&lt;/_language&gt;&lt;_modified&gt;65359345&lt;/_modified&gt;&lt;_ori_publication&gt;©The Author(s) 2024. Published by Baishideng Publishing Group Inc. All rights _x000d__x000a_      reserved.&lt;/_ori_publication&gt;&lt;_pages&gt;267-286&lt;/_pages&gt;&lt;_social_category&gt;细胞与组织工程(3) &amp;amp; 细胞生物学(3)&lt;/_social_category&gt;&lt;_tertiary_title&gt;World journal of stem cells&lt;/_tertiary_title&gt;&lt;_type_work&gt;Journal Article&lt;/_type_work&gt;&lt;_url&gt;http://www.ncbi.nlm.nih.gov/entrez/query.fcgi?cmd=Retrieve&amp;amp;db=pubmed&amp;amp;dopt=Abstract&amp;amp;list_uids=38577236&amp;amp;query_hl=1&lt;/_url&gt;&lt;_volume&gt;16&lt;/_volume&gt;&lt;/Details&gt;&lt;Extra&gt;&lt;DBUID&gt;{46426FB1-226B-4AC1-9419-A495A286C43E}&lt;/DBUID&gt;&lt;/Extra&gt;&lt;/Item&gt;&lt;/References&gt;&lt;/Group&gt;&lt;/Citation&gt;_x000a_"/>
    <w:docVar w:name="ne_stylename" w:val="中华人民共和国国家标准_GBT_7714-2005"/>
  </w:docVars>
  <w:rsids>
    <w:rsidRoot w:val="00172A27"/>
    <w:rsid w:val="000003BB"/>
    <w:rsid w:val="0000374D"/>
    <w:rsid w:val="00004A23"/>
    <w:rsid w:val="00006A0A"/>
    <w:rsid w:val="0000703E"/>
    <w:rsid w:val="000112FC"/>
    <w:rsid w:val="000118B0"/>
    <w:rsid w:val="00011F40"/>
    <w:rsid w:val="0001454A"/>
    <w:rsid w:val="0001683C"/>
    <w:rsid w:val="000172E7"/>
    <w:rsid w:val="000214A8"/>
    <w:rsid w:val="00023F64"/>
    <w:rsid w:val="00027FB5"/>
    <w:rsid w:val="000314D2"/>
    <w:rsid w:val="0003318F"/>
    <w:rsid w:val="0004094E"/>
    <w:rsid w:val="00040B7B"/>
    <w:rsid w:val="00041C1B"/>
    <w:rsid w:val="000437F7"/>
    <w:rsid w:val="00050985"/>
    <w:rsid w:val="0005501E"/>
    <w:rsid w:val="00055883"/>
    <w:rsid w:val="0006044D"/>
    <w:rsid w:val="00060D37"/>
    <w:rsid w:val="00062324"/>
    <w:rsid w:val="00063C0E"/>
    <w:rsid w:val="00072EA7"/>
    <w:rsid w:val="00076EAD"/>
    <w:rsid w:val="0008287E"/>
    <w:rsid w:val="00083031"/>
    <w:rsid w:val="0008740B"/>
    <w:rsid w:val="000904D3"/>
    <w:rsid w:val="0009309C"/>
    <w:rsid w:val="00093F1B"/>
    <w:rsid w:val="000A1F4B"/>
    <w:rsid w:val="000A21A9"/>
    <w:rsid w:val="000A3E93"/>
    <w:rsid w:val="000A472C"/>
    <w:rsid w:val="000A5773"/>
    <w:rsid w:val="000A682F"/>
    <w:rsid w:val="000B05A0"/>
    <w:rsid w:val="000B33EE"/>
    <w:rsid w:val="000B4293"/>
    <w:rsid w:val="000C259E"/>
    <w:rsid w:val="000C3E0C"/>
    <w:rsid w:val="000C6252"/>
    <w:rsid w:val="000C6F8A"/>
    <w:rsid w:val="000D2D4B"/>
    <w:rsid w:val="000D45F4"/>
    <w:rsid w:val="000D5AB4"/>
    <w:rsid w:val="000D66DB"/>
    <w:rsid w:val="000D7EBA"/>
    <w:rsid w:val="000E788B"/>
    <w:rsid w:val="000E7A5B"/>
    <w:rsid w:val="000E7BBA"/>
    <w:rsid w:val="000F512F"/>
    <w:rsid w:val="001013F4"/>
    <w:rsid w:val="001054D4"/>
    <w:rsid w:val="0010686C"/>
    <w:rsid w:val="00107C5F"/>
    <w:rsid w:val="00107CCC"/>
    <w:rsid w:val="00110011"/>
    <w:rsid w:val="001105BD"/>
    <w:rsid w:val="00116C82"/>
    <w:rsid w:val="00120BE6"/>
    <w:rsid w:val="00120E85"/>
    <w:rsid w:val="00123ADA"/>
    <w:rsid w:val="00125573"/>
    <w:rsid w:val="0012642A"/>
    <w:rsid w:val="00126D17"/>
    <w:rsid w:val="001305BF"/>
    <w:rsid w:val="00131D58"/>
    <w:rsid w:val="001370B1"/>
    <w:rsid w:val="001377CA"/>
    <w:rsid w:val="00140B94"/>
    <w:rsid w:val="001450FB"/>
    <w:rsid w:val="0014658A"/>
    <w:rsid w:val="00147DB8"/>
    <w:rsid w:val="00151683"/>
    <w:rsid w:val="0015392F"/>
    <w:rsid w:val="0015563E"/>
    <w:rsid w:val="00155F66"/>
    <w:rsid w:val="0016390D"/>
    <w:rsid w:val="00164057"/>
    <w:rsid w:val="00165B37"/>
    <w:rsid w:val="00170369"/>
    <w:rsid w:val="00173757"/>
    <w:rsid w:val="00174176"/>
    <w:rsid w:val="00181D92"/>
    <w:rsid w:val="001823B6"/>
    <w:rsid w:val="001848EB"/>
    <w:rsid w:val="00187DB9"/>
    <w:rsid w:val="0019077D"/>
    <w:rsid w:val="0019194D"/>
    <w:rsid w:val="0019723B"/>
    <w:rsid w:val="001A4240"/>
    <w:rsid w:val="001A6821"/>
    <w:rsid w:val="001A734D"/>
    <w:rsid w:val="001B4224"/>
    <w:rsid w:val="001B7472"/>
    <w:rsid w:val="001C10AC"/>
    <w:rsid w:val="001C55FB"/>
    <w:rsid w:val="001D12BC"/>
    <w:rsid w:val="001D561D"/>
    <w:rsid w:val="001E18CC"/>
    <w:rsid w:val="001E3D2D"/>
    <w:rsid w:val="001E4605"/>
    <w:rsid w:val="001E5F4E"/>
    <w:rsid w:val="001F2689"/>
    <w:rsid w:val="001F2AB7"/>
    <w:rsid w:val="001F3C9B"/>
    <w:rsid w:val="001F3E77"/>
    <w:rsid w:val="001F4BD1"/>
    <w:rsid w:val="001F5110"/>
    <w:rsid w:val="001F5702"/>
    <w:rsid w:val="001F65A2"/>
    <w:rsid w:val="002002FC"/>
    <w:rsid w:val="00201F71"/>
    <w:rsid w:val="00203934"/>
    <w:rsid w:val="0020446B"/>
    <w:rsid w:val="00204BA7"/>
    <w:rsid w:val="002072AB"/>
    <w:rsid w:val="00210140"/>
    <w:rsid w:val="00211942"/>
    <w:rsid w:val="00214D95"/>
    <w:rsid w:val="00215531"/>
    <w:rsid w:val="002162B2"/>
    <w:rsid w:val="00216F54"/>
    <w:rsid w:val="00220933"/>
    <w:rsid w:val="00220C72"/>
    <w:rsid w:val="0022540C"/>
    <w:rsid w:val="00226AA4"/>
    <w:rsid w:val="00233C8A"/>
    <w:rsid w:val="00236036"/>
    <w:rsid w:val="00240D90"/>
    <w:rsid w:val="00253CB1"/>
    <w:rsid w:val="002543F9"/>
    <w:rsid w:val="00257ADD"/>
    <w:rsid w:val="00263723"/>
    <w:rsid w:val="00263CF8"/>
    <w:rsid w:val="00265635"/>
    <w:rsid w:val="00266389"/>
    <w:rsid w:val="002675F7"/>
    <w:rsid w:val="002725A5"/>
    <w:rsid w:val="0027314F"/>
    <w:rsid w:val="0028289F"/>
    <w:rsid w:val="00284157"/>
    <w:rsid w:val="00285631"/>
    <w:rsid w:val="00290D94"/>
    <w:rsid w:val="0029203C"/>
    <w:rsid w:val="00294873"/>
    <w:rsid w:val="002A4A81"/>
    <w:rsid w:val="002A73A2"/>
    <w:rsid w:val="002A7CE8"/>
    <w:rsid w:val="002B0671"/>
    <w:rsid w:val="002B262F"/>
    <w:rsid w:val="002B3553"/>
    <w:rsid w:val="002B5E06"/>
    <w:rsid w:val="002C0CFF"/>
    <w:rsid w:val="002D09B9"/>
    <w:rsid w:val="002D16A0"/>
    <w:rsid w:val="002D2930"/>
    <w:rsid w:val="002D2DFF"/>
    <w:rsid w:val="002D3D6D"/>
    <w:rsid w:val="002D5BF8"/>
    <w:rsid w:val="002D7ECC"/>
    <w:rsid w:val="002E1B8F"/>
    <w:rsid w:val="002E2DEF"/>
    <w:rsid w:val="002E4E3E"/>
    <w:rsid w:val="002E76B2"/>
    <w:rsid w:val="002E79A2"/>
    <w:rsid w:val="002F4F4B"/>
    <w:rsid w:val="002F55FD"/>
    <w:rsid w:val="002F594C"/>
    <w:rsid w:val="00301984"/>
    <w:rsid w:val="00301B0B"/>
    <w:rsid w:val="00301E84"/>
    <w:rsid w:val="00302E7A"/>
    <w:rsid w:val="00303D1B"/>
    <w:rsid w:val="003046B7"/>
    <w:rsid w:val="00317A57"/>
    <w:rsid w:val="00320A99"/>
    <w:rsid w:val="0032144B"/>
    <w:rsid w:val="00321E38"/>
    <w:rsid w:val="00322D5B"/>
    <w:rsid w:val="00325AC2"/>
    <w:rsid w:val="00326A1C"/>
    <w:rsid w:val="00327FDC"/>
    <w:rsid w:val="003360E3"/>
    <w:rsid w:val="003371D5"/>
    <w:rsid w:val="003376CD"/>
    <w:rsid w:val="003452C3"/>
    <w:rsid w:val="003501A7"/>
    <w:rsid w:val="0035048A"/>
    <w:rsid w:val="0036263B"/>
    <w:rsid w:val="00363B62"/>
    <w:rsid w:val="003645B0"/>
    <w:rsid w:val="00364B2C"/>
    <w:rsid w:val="003664F1"/>
    <w:rsid w:val="00367E3F"/>
    <w:rsid w:val="00377EA5"/>
    <w:rsid w:val="00377F77"/>
    <w:rsid w:val="00383073"/>
    <w:rsid w:val="0038438F"/>
    <w:rsid w:val="00387C67"/>
    <w:rsid w:val="00387D98"/>
    <w:rsid w:val="00390B0F"/>
    <w:rsid w:val="00390B38"/>
    <w:rsid w:val="00390B6B"/>
    <w:rsid w:val="00391CFE"/>
    <w:rsid w:val="0039353B"/>
    <w:rsid w:val="00394F9E"/>
    <w:rsid w:val="00395426"/>
    <w:rsid w:val="00395B91"/>
    <w:rsid w:val="00396615"/>
    <w:rsid w:val="0039700D"/>
    <w:rsid w:val="00397089"/>
    <w:rsid w:val="003978A8"/>
    <w:rsid w:val="003A0F30"/>
    <w:rsid w:val="003A4C44"/>
    <w:rsid w:val="003A5AD0"/>
    <w:rsid w:val="003A6CE3"/>
    <w:rsid w:val="003A7899"/>
    <w:rsid w:val="003B15EE"/>
    <w:rsid w:val="003B517D"/>
    <w:rsid w:val="003B60EC"/>
    <w:rsid w:val="003C00ED"/>
    <w:rsid w:val="003C1C0A"/>
    <w:rsid w:val="003C35DF"/>
    <w:rsid w:val="003C4A68"/>
    <w:rsid w:val="003C554F"/>
    <w:rsid w:val="003C61DD"/>
    <w:rsid w:val="003D63E7"/>
    <w:rsid w:val="003E05F1"/>
    <w:rsid w:val="003E113B"/>
    <w:rsid w:val="003E5092"/>
    <w:rsid w:val="003E715D"/>
    <w:rsid w:val="003F103E"/>
    <w:rsid w:val="003F2E48"/>
    <w:rsid w:val="003F440C"/>
    <w:rsid w:val="003F525A"/>
    <w:rsid w:val="003F7BE6"/>
    <w:rsid w:val="004006A9"/>
    <w:rsid w:val="00404548"/>
    <w:rsid w:val="004052AE"/>
    <w:rsid w:val="004118A5"/>
    <w:rsid w:val="00413672"/>
    <w:rsid w:val="00414041"/>
    <w:rsid w:val="00414465"/>
    <w:rsid w:val="00414729"/>
    <w:rsid w:val="00414C80"/>
    <w:rsid w:val="00414F4B"/>
    <w:rsid w:val="00415EF9"/>
    <w:rsid w:val="00416629"/>
    <w:rsid w:val="00417DA1"/>
    <w:rsid w:val="00423478"/>
    <w:rsid w:val="00425B76"/>
    <w:rsid w:val="004260A2"/>
    <w:rsid w:val="00426FC6"/>
    <w:rsid w:val="004273BC"/>
    <w:rsid w:val="00427C5F"/>
    <w:rsid w:val="00441EAC"/>
    <w:rsid w:val="004507E5"/>
    <w:rsid w:val="004519AD"/>
    <w:rsid w:val="0045459A"/>
    <w:rsid w:val="004545DB"/>
    <w:rsid w:val="0045786A"/>
    <w:rsid w:val="00460F76"/>
    <w:rsid w:val="00462F12"/>
    <w:rsid w:val="00463050"/>
    <w:rsid w:val="0046340F"/>
    <w:rsid w:val="00466168"/>
    <w:rsid w:val="0046778B"/>
    <w:rsid w:val="004714D4"/>
    <w:rsid w:val="00475712"/>
    <w:rsid w:val="00480CCE"/>
    <w:rsid w:val="00482FAA"/>
    <w:rsid w:val="00487211"/>
    <w:rsid w:val="0049075F"/>
    <w:rsid w:val="00492DA8"/>
    <w:rsid w:val="004A0888"/>
    <w:rsid w:val="004A43B6"/>
    <w:rsid w:val="004A70EE"/>
    <w:rsid w:val="004A774E"/>
    <w:rsid w:val="004A7D3E"/>
    <w:rsid w:val="004A7FF9"/>
    <w:rsid w:val="004B379D"/>
    <w:rsid w:val="004B5F0C"/>
    <w:rsid w:val="004B6031"/>
    <w:rsid w:val="004C046E"/>
    <w:rsid w:val="004C1609"/>
    <w:rsid w:val="004C216B"/>
    <w:rsid w:val="004C5DD3"/>
    <w:rsid w:val="004D30F9"/>
    <w:rsid w:val="004D4A32"/>
    <w:rsid w:val="004D64AB"/>
    <w:rsid w:val="004E7CE8"/>
    <w:rsid w:val="004F271D"/>
    <w:rsid w:val="004F5114"/>
    <w:rsid w:val="004F756C"/>
    <w:rsid w:val="005001FA"/>
    <w:rsid w:val="005019AF"/>
    <w:rsid w:val="0050488D"/>
    <w:rsid w:val="00504D12"/>
    <w:rsid w:val="0050527A"/>
    <w:rsid w:val="0050535A"/>
    <w:rsid w:val="005106F5"/>
    <w:rsid w:val="00511192"/>
    <w:rsid w:val="005118AD"/>
    <w:rsid w:val="00512353"/>
    <w:rsid w:val="005220C2"/>
    <w:rsid w:val="00522E88"/>
    <w:rsid w:val="00523369"/>
    <w:rsid w:val="0052398F"/>
    <w:rsid w:val="00532960"/>
    <w:rsid w:val="00545A73"/>
    <w:rsid w:val="00546DEB"/>
    <w:rsid w:val="00546F0F"/>
    <w:rsid w:val="005477E7"/>
    <w:rsid w:val="00550159"/>
    <w:rsid w:val="00551897"/>
    <w:rsid w:val="00551FFD"/>
    <w:rsid w:val="00552A0F"/>
    <w:rsid w:val="005551ED"/>
    <w:rsid w:val="00556419"/>
    <w:rsid w:val="005572B4"/>
    <w:rsid w:val="005572DD"/>
    <w:rsid w:val="00560564"/>
    <w:rsid w:val="00562E2B"/>
    <w:rsid w:val="00564668"/>
    <w:rsid w:val="00570353"/>
    <w:rsid w:val="005715F5"/>
    <w:rsid w:val="0057171E"/>
    <w:rsid w:val="00571EEC"/>
    <w:rsid w:val="00572666"/>
    <w:rsid w:val="0057267E"/>
    <w:rsid w:val="005726BD"/>
    <w:rsid w:val="00574A5A"/>
    <w:rsid w:val="005753B8"/>
    <w:rsid w:val="00583ED5"/>
    <w:rsid w:val="00587437"/>
    <w:rsid w:val="00592678"/>
    <w:rsid w:val="00594644"/>
    <w:rsid w:val="0059526F"/>
    <w:rsid w:val="00596F36"/>
    <w:rsid w:val="005A1741"/>
    <w:rsid w:val="005A235F"/>
    <w:rsid w:val="005A751F"/>
    <w:rsid w:val="005A7719"/>
    <w:rsid w:val="005A77C2"/>
    <w:rsid w:val="005B291B"/>
    <w:rsid w:val="005B76C5"/>
    <w:rsid w:val="005B7AF0"/>
    <w:rsid w:val="005B7B8A"/>
    <w:rsid w:val="005C09C6"/>
    <w:rsid w:val="005C458D"/>
    <w:rsid w:val="005C491E"/>
    <w:rsid w:val="005C5E0A"/>
    <w:rsid w:val="005C6C0C"/>
    <w:rsid w:val="005D2276"/>
    <w:rsid w:val="005D25FD"/>
    <w:rsid w:val="005D2808"/>
    <w:rsid w:val="005E0858"/>
    <w:rsid w:val="005E2794"/>
    <w:rsid w:val="005E3CBF"/>
    <w:rsid w:val="005E6F9D"/>
    <w:rsid w:val="005E7B5A"/>
    <w:rsid w:val="005F01FC"/>
    <w:rsid w:val="005F0C89"/>
    <w:rsid w:val="005F3701"/>
    <w:rsid w:val="005F41DF"/>
    <w:rsid w:val="005F4521"/>
    <w:rsid w:val="005F5478"/>
    <w:rsid w:val="006006FC"/>
    <w:rsid w:val="006045BA"/>
    <w:rsid w:val="0060583A"/>
    <w:rsid w:val="00611649"/>
    <w:rsid w:val="00611A0E"/>
    <w:rsid w:val="00614154"/>
    <w:rsid w:val="00614BD3"/>
    <w:rsid w:val="00623A77"/>
    <w:rsid w:val="006256F5"/>
    <w:rsid w:val="0063097B"/>
    <w:rsid w:val="006364B8"/>
    <w:rsid w:val="00636A64"/>
    <w:rsid w:val="00636B93"/>
    <w:rsid w:val="00640550"/>
    <w:rsid w:val="0064326A"/>
    <w:rsid w:val="00644D5D"/>
    <w:rsid w:val="0064695B"/>
    <w:rsid w:val="00646DC7"/>
    <w:rsid w:val="006511FB"/>
    <w:rsid w:val="00651A9D"/>
    <w:rsid w:val="00654C93"/>
    <w:rsid w:val="00656092"/>
    <w:rsid w:val="0065741C"/>
    <w:rsid w:val="00660B85"/>
    <w:rsid w:val="006622E0"/>
    <w:rsid w:val="00662DCE"/>
    <w:rsid w:val="00664F6D"/>
    <w:rsid w:val="006650B8"/>
    <w:rsid w:val="00666329"/>
    <w:rsid w:val="006672EE"/>
    <w:rsid w:val="0067011F"/>
    <w:rsid w:val="0067015E"/>
    <w:rsid w:val="00680453"/>
    <w:rsid w:val="00682526"/>
    <w:rsid w:val="00683555"/>
    <w:rsid w:val="00686F1D"/>
    <w:rsid w:val="00692F7A"/>
    <w:rsid w:val="00695E06"/>
    <w:rsid w:val="00696315"/>
    <w:rsid w:val="006A0D51"/>
    <w:rsid w:val="006A1C05"/>
    <w:rsid w:val="006A225B"/>
    <w:rsid w:val="006A30D2"/>
    <w:rsid w:val="006A5A6A"/>
    <w:rsid w:val="006A5FE3"/>
    <w:rsid w:val="006B23B2"/>
    <w:rsid w:val="006B4845"/>
    <w:rsid w:val="006B635C"/>
    <w:rsid w:val="006C1708"/>
    <w:rsid w:val="006C1C29"/>
    <w:rsid w:val="006C3782"/>
    <w:rsid w:val="006C3CDE"/>
    <w:rsid w:val="006C4745"/>
    <w:rsid w:val="006D0EE8"/>
    <w:rsid w:val="006D3162"/>
    <w:rsid w:val="006D37E7"/>
    <w:rsid w:val="006D5146"/>
    <w:rsid w:val="006D59D6"/>
    <w:rsid w:val="006D5C04"/>
    <w:rsid w:val="006D7508"/>
    <w:rsid w:val="006E0F2F"/>
    <w:rsid w:val="006E19D7"/>
    <w:rsid w:val="006E71B9"/>
    <w:rsid w:val="006F39B2"/>
    <w:rsid w:val="006F5384"/>
    <w:rsid w:val="006F6604"/>
    <w:rsid w:val="006F6896"/>
    <w:rsid w:val="006F71D8"/>
    <w:rsid w:val="006F7D1A"/>
    <w:rsid w:val="00702F6F"/>
    <w:rsid w:val="0070346C"/>
    <w:rsid w:val="007051A0"/>
    <w:rsid w:val="00706496"/>
    <w:rsid w:val="00711A12"/>
    <w:rsid w:val="00711F11"/>
    <w:rsid w:val="007154C4"/>
    <w:rsid w:val="00715DB9"/>
    <w:rsid w:val="007174BE"/>
    <w:rsid w:val="007218A0"/>
    <w:rsid w:val="007238AF"/>
    <w:rsid w:val="00726908"/>
    <w:rsid w:val="007270C7"/>
    <w:rsid w:val="00730F3A"/>
    <w:rsid w:val="00735F34"/>
    <w:rsid w:val="00736944"/>
    <w:rsid w:val="00741200"/>
    <w:rsid w:val="00741333"/>
    <w:rsid w:val="00742FF2"/>
    <w:rsid w:val="00744D6A"/>
    <w:rsid w:val="00746138"/>
    <w:rsid w:val="0074620A"/>
    <w:rsid w:val="00751D50"/>
    <w:rsid w:val="007527D5"/>
    <w:rsid w:val="00752F3C"/>
    <w:rsid w:val="007561FC"/>
    <w:rsid w:val="00761D34"/>
    <w:rsid w:val="00762D2D"/>
    <w:rsid w:val="00764622"/>
    <w:rsid w:val="00764CAD"/>
    <w:rsid w:val="00770FA1"/>
    <w:rsid w:val="00773884"/>
    <w:rsid w:val="00774813"/>
    <w:rsid w:val="0078052A"/>
    <w:rsid w:val="007812FB"/>
    <w:rsid w:val="00784032"/>
    <w:rsid w:val="00786E79"/>
    <w:rsid w:val="00787925"/>
    <w:rsid w:val="00790E31"/>
    <w:rsid w:val="00791578"/>
    <w:rsid w:val="00793B87"/>
    <w:rsid w:val="0079566E"/>
    <w:rsid w:val="00796509"/>
    <w:rsid w:val="0079691E"/>
    <w:rsid w:val="00797723"/>
    <w:rsid w:val="007B1EEE"/>
    <w:rsid w:val="007B249B"/>
    <w:rsid w:val="007B6D4D"/>
    <w:rsid w:val="007B6FAF"/>
    <w:rsid w:val="007B7A09"/>
    <w:rsid w:val="007C0F7A"/>
    <w:rsid w:val="007D24A9"/>
    <w:rsid w:val="007D27FA"/>
    <w:rsid w:val="007D30B5"/>
    <w:rsid w:val="007D6218"/>
    <w:rsid w:val="007D6699"/>
    <w:rsid w:val="007D7E30"/>
    <w:rsid w:val="007E0A75"/>
    <w:rsid w:val="007E6419"/>
    <w:rsid w:val="007F6815"/>
    <w:rsid w:val="007F6BA8"/>
    <w:rsid w:val="0080681B"/>
    <w:rsid w:val="0080738C"/>
    <w:rsid w:val="00810B77"/>
    <w:rsid w:val="00817436"/>
    <w:rsid w:val="00822217"/>
    <w:rsid w:val="0082542D"/>
    <w:rsid w:val="00827834"/>
    <w:rsid w:val="00832835"/>
    <w:rsid w:val="00835110"/>
    <w:rsid w:val="008351FC"/>
    <w:rsid w:val="00841F50"/>
    <w:rsid w:val="00843A0E"/>
    <w:rsid w:val="00845DFE"/>
    <w:rsid w:val="00846E17"/>
    <w:rsid w:val="0085200A"/>
    <w:rsid w:val="00854283"/>
    <w:rsid w:val="008573E3"/>
    <w:rsid w:val="00861E81"/>
    <w:rsid w:val="008645FF"/>
    <w:rsid w:val="00866D42"/>
    <w:rsid w:val="0087030E"/>
    <w:rsid w:val="00870AAC"/>
    <w:rsid w:val="008734F7"/>
    <w:rsid w:val="00874E9F"/>
    <w:rsid w:val="00877842"/>
    <w:rsid w:val="008806F8"/>
    <w:rsid w:val="008808E2"/>
    <w:rsid w:val="00881456"/>
    <w:rsid w:val="00881ACB"/>
    <w:rsid w:val="00885FC9"/>
    <w:rsid w:val="00891328"/>
    <w:rsid w:val="00891A47"/>
    <w:rsid w:val="00892809"/>
    <w:rsid w:val="0089370F"/>
    <w:rsid w:val="008939AF"/>
    <w:rsid w:val="00893FED"/>
    <w:rsid w:val="0089449A"/>
    <w:rsid w:val="00895E48"/>
    <w:rsid w:val="00896687"/>
    <w:rsid w:val="008971F4"/>
    <w:rsid w:val="008A0E7D"/>
    <w:rsid w:val="008A3023"/>
    <w:rsid w:val="008A403F"/>
    <w:rsid w:val="008A6815"/>
    <w:rsid w:val="008B1031"/>
    <w:rsid w:val="008B2303"/>
    <w:rsid w:val="008B34A0"/>
    <w:rsid w:val="008B5740"/>
    <w:rsid w:val="008C0B84"/>
    <w:rsid w:val="008C41DA"/>
    <w:rsid w:val="008C553A"/>
    <w:rsid w:val="008C588E"/>
    <w:rsid w:val="008C6D5F"/>
    <w:rsid w:val="008C7226"/>
    <w:rsid w:val="008D7B80"/>
    <w:rsid w:val="008E243B"/>
    <w:rsid w:val="008E4184"/>
    <w:rsid w:val="008E549F"/>
    <w:rsid w:val="008E6301"/>
    <w:rsid w:val="008F10BC"/>
    <w:rsid w:val="008F2052"/>
    <w:rsid w:val="008F26ED"/>
    <w:rsid w:val="008F2A38"/>
    <w:rsid w:val="008F3012"/>
    <w:rsid w:val="008F592B"/>
    <w:rsid w:val="00901D14"/>
    <w:rsid w:val="00903775"/>
    <w:rsid w:val="009109F7"/>
    <w:rsid w:val="00912137"/>
    <w:rsid w:val="00915BED"/>
    <w:rsid w:val="00916B64"/>
    <w:rsid w:val="0092145D"/>
    <w:rsid w:val="009245DE"/>
    <w:rsid w:val="00930762"/>
    <w:rsid w:val="00930C0C"/>
    <w:rsid w:val="00936B81"/>
    <w:rsid w:val="00944701"/>
    <w:rsid w:val="00950ED1"/>
    <w:rsid w:val="00952A7A"/>
    <w:rsid w:val="00953A02"/>
    <w:rsid w:val="0095444E"/>
    <w:rsid w:val="00955C67"/>
    <w:rsid w:val="00957B65"/>
    <w:rsid w:val="00960AFF"/>
    <w:rsid w:val="00963F62"/>
    <w:rsid w:val="00965EFC"/>
    <w:rsid w:val="0097161B"/>
    <w:rsid w:val="009762D2"/>
    <w:rsid w:val="009762F1"/>
    <w:rsid w:val="0097692D"/>
    <w:rsid w:val="009776D2"/>
    <w:rsid w:val="00977EA8"/>
    <w:rsid w:val="0098140D"/>
    <w:rsid w:val="00981CED"/>
    <w:rsid w:val="00987225"/>
    <w:rsid w:val="00990870"/>
    <w:rsid w:val="00990DCF"/>
    <w:rsid w:val="009920F5"/>
    <w:rsid w:val="00992B56"/>
    <w:rsid w:val="00992CDA"/>
    <w:rsid w:val="00993342"/>
    <w:rsid w:val="00996CE4"/>
    <w:rsid w:val="009A0FB3"/>
    <w:rsid w:val="009A3F36"/>
    <w:rsid w:val="009A48D8"/>
    <w:rsid w:val="009A6C59"/>
    <w:rsid w:val="009A7878"/>
    <w:rsid w:val="009B0888"/>
    <w:rsid w:val="009B33DF"/>
    <w:rsid w:val="009B4270"/>
    <w:rsid w:val="009B44CC"/>
    <w:rsid w:val="009B5651"/>
    <w:rsid w:val="009B62E4"/>
    <w:rsid w:val="009B706A"/>
    <w:rsid w:val="009C4319"/>
    <w:rsid w:val="009D109E"/>
    <w:rsid w:val="009D1CD9"/>
    <w:rsid w:val="009D1F28"/>
    <w:rsid w:val="009D28E5"/>
    <w:rsid w:val="009D4830"/>
    <w:rsid w:val="009D520D"/>
    <w:rsid w:val="009D797A"/>
    <w:rsid w:val="009E026A"/>
    <w:rsid w:val="009E3B56"/>
    <w:rsid w:val="009E49B5"/>
    <w:rsid w:val="009E551E"/>
    <w:rsid w:val="009E7066"/>
    <w:rsid w:val="009F1EF8"/>
    <w:rsid w:val="009F4604"/>
    <w:rsid w:val="009F4B78"/>
    <w:rsid w:val="009F606B"/>
    <w:rsid w:val="009F6E66"/>
    <w:rsid w:val="009F7888"/>
    <w:rsid w:val="00A02AC3"/>
    <w:rsid w:val="00A06840"/>
    <w:rsid w:val="00A06EAD"/>
    <w:rsid w:val="00A1293C"/>
    <w:rsid w:val="00A14F9B"/>
    <w:rsid w:val="00A167F1"/>
    <w:rsid w:val="00A2085F"/>
    <w:rsid w:val="00A20EC0"/>
    <w:rsid w:val="00A2150B"/>
    <w:rsid w:val="00A215D9"/>
    <w:rsid w:val="00A2292C"/>
    <w:rsid w:val="00A23FC3"/>
    <w:rsid w:val="00A25F1B"/>
    <w:rsid w:val="00A3288D"/>
    <w:rsid w:val="00A329DC"/>
    <w:rsid w:val="00A41135"/>
    <w:rsid w:val="00A41FEB"/>
    <w:rsid w:val="00A42FBA"/>
    <w:rsid w:val="00A44DA6"/>
    <w:rsid w:val="00A50921"/>
    <w:rsid w:val="00A5160D"/>
    <w:rsid w:val="00A56CA4"/>
    <w:rsid w:val="00A65F04"/>
    <w:rsid w:val="00A65F2E"/>
    <w:rsid w:val="00A7086D"/>
    <w:rsid w:val="00A71AD5"/>
    <w:rsid w:val="00A8073E"/>
    <w:rsid w:val="00A80883"/>
    <w:rsid w:val="00A81BED"/>
    <w:rsid w:val="00A82FC6"/>
    <w:rsid w:val="00A85A0D"/>
    <w:rsid w:val="00A92270"/>
    <w:rsid w:val="00AA10AE"/>
    <w:rsid w:val="00AA329F"/>
    <w:rsid w:val="00AA7B6A"/>
    <w:rsid w:val="00AB593E"/>
    <w:rsid w:val="00AB5D37"/>
    <w:rsid w:val="00AB683F"/>
    <w:rsid w:val="00AC4A2E"/>
    <w:rsid w:val="00AD1885"/>
    <w:rsid w:val="00AD50BA"/>
    <w:rsid w:val="00AE02E7"/>
    <w:rsid w:val="00AE0F75"/>
    <w:rsid w:val="00AE319E"/>
    <w:rsid w:val="00AE3B2C"/>
    <w:rsid w:val="00AE3B4E"/>
    <w:rsid w:val="00AE676F"/>
    <w:rsid w:val="00AE709C"/>
    <w:rsid w:val="00AE7DD9"/>
    <w:rsid w:val="00AF2B38"/>
    <w:rsid w:val="00B004C1"/>
    <w:rsid w:val="00B0168B"/>
    <w:rsid w:val="00B03458"/>
    <w:rsid w:val="00B04B8E"/>
    <w:rsid w:val="00B1072F"/>
    <w:rsid w:val="00B15820"/>
    <w:rsid w:val="00B215D8"/>
    <w:rsid w:val="00B2218A"/>
    <w:rsid w:val="00B246ED"/>
    <w:rsid w:val="00B26DD0"/>
    <w:rsid w:val="00B338C8"/>
    <w:rsid w:val="00B341CC"/>
    <w:rsid w:val="00B35321"/>
    <w:rsid w:val="00B35505"/>
    <w:rsid w:val="00B35CB3"/>
    <w:rsid w:val="00B35E0A"/>
    <w:rsid w:val="00B40124"/>
    <w:rsid w:val="00B40B86"/>
    <w:rsid w:val="00B42E03"/>
    <w:rsid w:val="00B443E2"/>
    <w:rsid w:val="00B46222"/>
    <w:rsid w:val="00B54092"/>
    <w:rsid w:val="00B5444C"/>
    <w:rsid w:val="00B5568B"/>
    <w:rsid w:val="00B557BF"/>
    <w:rsid w:val="00B55BD6"/>
    <w:rsid w:val="00B56147"/>
    <w:rsid w:val="00B5720A"/>
    <w:rsid w:val="00B604A0"/>
    <w:rsid w:val="00B60761"/>
    <w:rsid w:val="00B620A5"/>
    <w:rsid w:val="00B62BB1"/>
    <w:rsid w:val="00B63559"/>
    <w:rsid w:val="00B73979"/>
    <w:rsid w:val="00B751B0"/>
    <w:rsid w:val="00B762E0"/>
    <w:rsid w:val="00B86188"/>
    <w:rsid w:val="00B86C54"/>
    <w:rsid w:val="00B874C4"/>
    <w:rsid w:val="00B97AA2"/>
    <w:rsid w:val="00B97B8E"/>
    <w:rsid w:val="00BA00A8"/>
    <w:rsid w:val="00BA0378"/>
    <w:rsid w:val="00BA37A4"/>
    <w:rsid w:val="00BA4FB0"/>
    <w:rsid w:val="00BA6138"/>
    <w:rsid w:val="00BB1930"/>
    <w:rsid w:val="00BB3478"/>
    <w:rsid w:val="00BC2247"/>
    <w:rsid w:val="00BC5572"/>
    <w:rsid w:val="00BD497C"/>
    <w:rsid w:val="00BD57EE"/>
    <w:rsid w:val="00BE4E8A"/>
    <w:rsid w:val="00BF2A79"/>
    <w:rsid w:val="00BF375F"/>
    <w:rsid w:val="00C02372"/>
    <w:rsid w:val="00C044C3"/>
    <w:rsid w:val="00C10453"/>
    <w:rsid w:val="00C12E60"/>
    <w:rsid w:val="00C13BCA"/>
    <w:rsid w:val="00C141B9"/>
    <w:rsid w:val="00C158CF"/>
    <w:rsid w:val="00C16518"/>
    <w:rsid w:val="00C1787D"/>
    <w:rsid w:val="00C20F14"/>
    <w:rsid w:val="00C22B7C"/>
    <w:rsid w:val="00C23B8E"/>
    <w:rsid w:val="00C3184D"/>
    <w:rsid w:val="00C331FD"/>
    <w:rsid w:val="00C34DCB"/>
    <w:rsid w:val="00C36D0C"/>
    <w:rsid w:val="00C3708D"/>
    <w:rsid w:val="00C4138A"/>
    <w:rsid w:val="00C440B4"/>
    <w:rsid w:val="00C446F9"/>
    <w:rsid w:val="00C462CB"/>
    <w:rsid w:val="00C46F39"/>
    <w:rsid w:val="00C47AFE"/>
    <w:rsid w:val="00C5067F"/>
    <w:rsid w:val="00C515C3"/>
    <w:rsid w:val="00C51AA2"/>
    <w:rsid w:val="00C52E43"/>
    <w:rsid w:val="00C56CD4"/>
    <w:rsid w:val="00C609C3"/>
    <w:rsid w:val="00C60E16"/>
    <w:rsid w:val="00C65E4E"/>
    <w:rsid w:val="00C66610"/>
    <w:rsid w:val="00C66648"/>
    <w:rsid w:val="00C66FEF"/>
    <w:rsid w:val="00C70CB4"/>
    <w:rsid w:val="00C727A7"/>
    <w:rsid w:val="00C728D5"/>
    <w:rsid w:val="00C72CF7"/>
    <w:rsid w:val="00C75119"/>
    <w:rsid w:val="00C76DD6"/>
    <w:rsid w:val="00C90B62"/>
    <w:rsid w:val="00C91C08"/>
    <w:rsid w:val="00C959F3"/>
    <w:rsid w:val="00C97F0E"/>
    <w:rsid w:val="00CA06AC"/>
    <w:rsid w:val="00CA1D9E"/>
    <w:rsid w:val="00CA242A"/>
    <w:rsid w:val="00CA27BD"/>
    <w:rsid w:val="00CA2AB6"/>
    <w:rsid w:val="00CA36DE"/>
    <w:rsid w:val="00CA4BCC"/>
    <w:rsid w:val="00CA5313"/>
    <w:rsid w:val="00CB01D6"/>
    <w:rsid w:val="00CB311E"/>
    <w:rsid w:val="00CB71E1"/>
    <w:rsid w:val="00CC0ED3"/>
    <w:rsid w:val="00CC1894"/>
    <w:rsid w:val="00CC2EE2"/>
    <w:rsid w:val="00CC3D03"/>
    <w:rsid w:val="00CC45DB"/>
    <w:rsid w:val="00CC5651"/>
    <w:rsid w:val="00CC73FF"/>
    <w:rsid w:val="00CD141E"/>
    <w:rsid w:val="00CD45DA"/>
    <w:rsid w:val="00CE2EA4"/>
    <w:rsid w:val="00CE5714"/>
    <w:rsid w:val="00CE6138"/>
    <w:rsid w:val="00CE6F59"/>
    <w:rsid w:val="00CE7AAB"/>
    <w:rsid w:val="00CF2673"/>
    <w:rsid w:val="00CF2DA1"/>
    <w:rsid w:val="00CF43B1"/>
    <w:rsid w:val="00D0614B"/>
    <w:rsid w:val="00D06AD1"/>
    <w:rsid w:val="00D17549"/>
    <w:rsid w:val="00D24D97"/>
    <w:rsid w:val="00D275F5"/>
    <w:rsid w:val="00D376F1"/>
    <w:rsid w:val="00D43CA8"/>
    <w:rsid w:val="00D4523D"/>
    <w:rsid w:val="00D4593F"/>
    <w:rsid w:val="00D45BD4"/>
    <w:rsid w:val="00D4775B"/>
    <w:rsid w:val="00D47AB8"/>
    <w:rsid w:val="00D55D94"/>
    <w:rsid w:val="00D56566"/>
    <w:rsid w:val="00D647A4"/>
    <w:rsid w:val="00D6487A"/>
    <w:rsid w:val="00D648BB"/>
    <w:rsid w:val="00D64E04"/>
    <w:rsid w:val="00D65A5E"/>
    <w:rsid w:val="00D669D1"/>
    <w:rsid w:val="00D7049A"/>
    <w:rsid w:val="00D704F6"/>
    <w:rsid w:val="00D722B1"/>
    <w:rsid w:val="00D74A82"/>
    <w:rsid w:val="00D753F6"/>
    <w:rsid w:val="00D7737D"/>
    <w:rsid w:val="00D80897"/>
    <w:rsid w:val="00D81375"/>
    <w:rsid w:val="00D8540E"/>
    <w:rsid w:val="00D85C4D"/>
    <w:rsid w:val="00D8730B"/>
    <w:rsid w:val="00D9072A"/>
    <w:rsid w:val="00D94852"/>
    <w:rsid w:val="00DA039C"/>
    <w:rsid w:val="00DA10B4"/>
    <w:rsid w:val="00DA6EBE"/>
    <w:rsid w:val="00DB27CC"/>
    <w:rsid w:val="00DB2A54"/>
    <w:rsid w:val="00DB4EF9"/>
    <w:rsid w:val="00DC29FE"/>
    <w:rsid w:val="00DC430C"/>
    <w:rsid w:val="00DC60FB"/>
    <w:rsid w:val="00DC7319"/>
    <w:rsid w:val="00DC742E"/>
    <w:rsid w:val="00DD38DC"/>
    <w:rsid w:val="00DD63FF"/>
    <w:rsid w:val="00DF1BBF"/>
    <w:rsid w:val="00DF3145"/>
    <w:rsid w:val="00DF4B0E"/>
    <w:rsid w:val="00E01E4B"/>
    <w:rsid w:val="00E062B0"/>
    <w:rsid w:val="00E0711E"/>
    <w:rsid w:val="00E0770C"/>
    <w:rsid w:val="00E14DFA"/>
    <w:rsid w:val="00E17EA5"/>
    <w:rsid w:val="00E229DB"/>
    <w:rsid w:val="00E2571A"/>
    <w:rsid w:val="00E26EDC"/>
    <w:rsid w:val="00E2713C"/>
    <w:rsid w:val="00E30B42"/>
    <w:rsid w:val="00E342D7"/>
    <w:rsid w:val="00E34D1F"/>
    <w:rsid w:val="00E35C26"/>
    <w:rsid w:val="00E410EA"/>
    <w:rsid w:val="00E41D5C"/>
    <w:rsid w:val="00E437F7"/>
    <w:rsid w:val="00E529F9"/>
    <w:rsid w:val="00E55017"/>
    <w:rsid w:val="00E55416"/>
    <w:rsid w:val="00E557D1"/>
    <w:rsid w:val="00E56282"/>
    <w:rsid w:val="00E616BF"/>
    <w:rsid w:val="00E658AA"/>
    <w:rsid w:val="00E6656A"/>
    <w:rsid w:val="00E70D30"/>
    <w:rsid w:val="00E716BA"/>
    <w:rsid w:val="00E75977"/>
    <w:rsid w:val="00E76431"/>
    <w:rsid w:val="00E7686D"/>
    <w:rsid w:val="00E813BA"/>
    <w:rsid w:val="00E8590C"/>
    <w:rsid w:val="00E85F76"/>
    <w:rsid w:val="00E93590"/>
    <w:rsid w:val="00E94506"/>
    <w:rsid w:val="00E95A7B"/>
    <w:rsid w:val="00E969E9"/>
    <w:rsid w:val="00EA01A0"/>
    <w:rsid w:val="00EA155A"/>
    <w:rsid w:val="00EA24D4"/>
    <w:rsid w:val="00EA2851"/>
    <w:rsid w:val="00EA3515"/>
    <w:rsid w:val="00EA55FE"/>
    <w:rsid w:val="00EB0B4F"/>
    <w:rsid w:val="00EB1B59"/>
    <w:rsid w:val="00EB4384"/>
    <w:rsid w:val="00EB6065"/>
    <w:rsid w:val="00EC0826"/>
    <w:rsid w:val="00EC4E99"/>
    <w:rsid w:val="00EC7E23"/>
    <w:rsid w:val="00ED3A21"/>
    <w:rsid w:val="00ED54F9"/>
    <w:rsid w:val="00ED6982"/>
    <w:rsid w:val="00EE0218"/>
    <w:rsid w:val="00EE0E54"/>
    <w:rsid w:val="00EE1033"/>
    <w:rsid w:val="00EE114E"/>
    <w:rsid w:val="00EF24BB"/>
    <w:rsid w:val="00EF2B90"/>
    <w:rsid w:val="00EF32F6"/>
    <w:rsid w:val="00EF4114"/>
    <w:rsid w:val="00EF448F"/>
    <w:rsid w:val="00EF4634"/>
    <w:rsid w:val="00EF472E"/>
    <w:rsid w:val="00EF4A5A"/>
    <w:rsid w:val="00EF4EC4"/>
    <w:rsid w:val="00EF66A9"/>
    <w:rsid w:val="00EF74D8"/>
    <w:rsid w:val="00F01898"/>
    <w:rsid w:val="00F05EE0"/>
    <w:rsid w:val="00F06985"/>
    <w:rsid w:val="00F07DE8"/>
    <w:rsid w:val="00F156B3"/>
    <w:rsid w:val="00F15FD8"/>
    <w:rsid w:val="00F21A1A"/>
    <w:rsid w:val="00F22813"/>
    <w:rsid w:val="00F22FC8"/>
    <w:rsid w:val="00F27F36"/>
    <w:rsid w:val="00F32B8C"/>
    <w:rsid w:val="00F33383"/>
    <w:rsid w:val="00F33D5B"/>
    <w:rsid w:val="00F4030B"/>
    <w:rsid w:val="00F42F65"/>
    <w:rsid w:val="00F444F5"/>
    <w:rsid w:val="00F4602E"/>
    <w:rsid w:val="00F46BCF"/>
    <w:rsid w:val="00F515AF"/>
    <w:rsid w:val="00F53E05"/>
    <w:rsid w:val="00F5550A"/>
    <w:rsid w:val="00F55A56"/>
    <w:rsid w:val="00F56088"/>
    <w:rsid w:val="00F6031D"/>
    <w:rsid w:val="00F61303"/>
    <w:rsid w:val="00F65606"/>
    <w:rsid w:val="00F66614"/>
    <w:rsid w:val="00F67764"/>
    <w:rsid w:val="00F71232"/>
    <w:rsid w:val="00F74722"/>
    <w:rsid w:val="00F75F45"/>
    <w:rsid w:val="00F82957"/>
    <w:rsid w:val="00F83BD2"/>
    <w:rsid w:val="00F857CA"/>
    <w:rsid w:val="00F92C2B"/>
    <w:rsid w:val="00F94241"/>
    <w:rsid w:val="00F945CD"/>
    <w:rsid w:val="00F95ECF"/>
    <w:rsid w:val="00F9792C"/>
    <w:rsid w:val="00F97AAA"/>
    <w:rsid w:val="00FA4AD8"/>
    <w:rsid w:val="00FB3597"/>
    <w:rsid w:val="00FB53CA"/>
    <w:rsid w:val="00FC3750"/>
    <w:rsid w:val="00FC487C"/>
    <w:rsid w:val="00FC51A5"/>
    <w:rsid w:val="00FD0B36"/>
    <w:rsid w:val="00FD168A"/>
    <w:rsid w:val="00FD3643"/>
    <w:rsid w:val="00FD553C"/>
    <w:rsid w:val="00FD6F5E"/>
    <w:rsid w:val="00FE087D"/>
    <w:rsid w:val="00FE133D"/>
    <w:rsid w:val="00FE2090"/>
    <w:rsid w:val="00FE359D"/>
    <w:rsid w:val="00FE47EA"/>
    <w:rsid w:val="00FE4D5F"/>
    <w:rsid w:val="00FE7BC4"/>
    <w:rsid w:val="00FF29D4"/>
    <w:rsid w:val="00FF388D"/>
    <w:rsid w:val="032449C8"/>
    <w:rsid w:val="0BD45B6F"/>
    <w:rsid w:val="0EC91B29"/>
    <w:rsid w:val="1A476310"/>
    <w:rsid w:val="3DC47494"/>
    <w:rsid w:val="514C560A"/>
    <w:rsid w:val="564013EA"/>
    <w:rsid w:val="669651AE"/>
    <w:rsid w:val="67DF63E9"/>
    <w:rsid w:val="69680D4D"/>
    <w:rsid w:val="6F9349C7"/>
    <w:rsid w:val="7CFE75C5"/>
    <w:rsid w:val="CE4B753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name="footnote text"/>
    <w:lsdException w:qFormat="1"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MS Mincho" w:cs="Times New Roman"/>
      <w:sz w:val="24"/>
      <w:szCs w:val="24"/>
      <w:lang w:val="de-DE" w:eastAsia="ja-JP" w:bidi="ar-SA"/>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50"/>
    <w:semiHidden/>
    <w:unhideWhenUsed/>
    <w:qFormat/>
    <w:uiPriority w:val="99"/>
    <w:rPr>
      <w:sz w:val="20"/>
      <w:szCs w:val="20"/>
      <w:lang w:val="zh-CN"/>
    </w:rPr>
  </w:style>
  <w:style w:type="paragraph" w:styleId="3">
    <w:name w:val="Balloon Text"/>
    <w:basedOn w:val="1"/>
    <w:semiHidden/>
    <w:qFormat/>
    <w:uiPriority w:val="0"/>
    <w:rPr>
      <w:rFonts w:ascii="Tahoma" w:hAnsi="Tahoma" w:cs="Tahoma"/>
      <w:sz w:val="16"/>
      <w:szCs w:val="16"/>
    </w:rPr>
  </w:style>
  <w:style w:type="paragraph" w:styleId="4">
    <w:name w:val="footer"/>
    <w:basedOn w:val="1"/>
    <w:link w:val="52"/>
    <w:qFormat/>
    <w:uiPriority w:val="99"/>
    <w:pPr>
      <w:tabs>
        <w:tab w:val="center" w:pos="4536"/>
        <w:tab w:val="right" w:pos="9072"/>
      </w:tabs>
    </w:pPr>
  </w:style>
  <w:style w:type="paragraph" w:styleId="5">
    <w:name w:val="header"/>
    <w:basedOn w:val="1"/>
    <w:link w:val="49"/>
    <w:qFormat/>
    <w:uiPriority w:val="0"/>
    <w:pPr>
      <w:tabs>
        <w:tab w:val="center" w:pos="4536"/>
        <w:tab w:val="right" w:pos="9072"/>
      </w:tabs>
    </w:pPr>
    <w:rPr>
      <w:lang w:val="zh-CN"/>
    </w:rPr>
  </w:style>
  <w:style w:type="paragraph" w:styleId="6">
    <w:name w:val="footnote text"/>
    <w:basedOn w:val="1"/>
    <w:semiHidden/>
    <w:qFormat/>
    <w:uiPriority w:val="0"/>
    <w:pPr>
      <w:keepLines/>
      <w:widowControl w:val="0"/>
      <w:jc w:val="both"/>
    </w:pPr>
    <w:rPr>
      <w:rFonts w:eastAsia="Times New Roman"/>
      <w:sz w:val="20"/>
      <w:szCs w:val="20"/>
      <w:lang w:val="en-GB" w:eastAsia="ro-RO"/>
    </w:rPr>
  </w:style>
  <w:style w:type="paragraph" w:styleId="7">
    <w:name w:val="Normal (Web)"/>
    <w:basedOn w:val="1"/>
    <w:qFormat/>
    <w:uiPriority w:val="0"/>
    <w:pPr>
      <w:spacing w:before="0" w:beforeAutospacing="1" w:after="0" w:afterAutospacing="1"/>
      <w:ind w:left="0" w:right="0"/>
      <w:jc w:val="left"/>
    </w:pPr>
    <w:rPr>
      <w:kern w:val="0"/>
      <w:sz w:val="24"/>
      <w:lang w:val="en-US" w:eastAsia="zh-CN" w:bidi="ar"/>
    </w:rPr>
  </w:style>
  <w:style w:type="paragraph" w:styleId="8">
    <w:name w:val="annotation subject"/>
    <w:basedOn w:val="2"/>
    <w:next w:val="2"/>
    <w:link w:val="51"/>
    <w:semiHidden/>
    <w:unhideWhenUsed/>
    <w:qFormat/>
    <w:uiPriority w:val="99"/>
    <w:rPr>
      <w:b/>
      <w:bCs/>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semiHidden/>
    <w:unhideWhenUsed/>
    <w:qFormat/>
    <w:uiPriority w:val="99"/>
    <w:rPr>
      <w:color w:val="0000FF"/>
      <w:u w:val="single"/>
    </w:rPr>
  </w:style>
  <w:style w:type="character" w:styleId="13">
    <w:name w:val="annotation reference"/>
    <w:semiHidden/>
    <w:unhideWhenUsed/>
    <w:qFormat/>
    <w:uiPriority w:val="99"/>
    <w:rPr>
      <w:sz w:val="16"/>
      <w:szCs w:val="16"/>
    </w:rPr>
  </w:style>
  <w:style w:type="paragraph" w:customStyle="1" w:styleId="14">
    <w:name w:val="History"/>
    <w:basedOn w:val="1"/>
    <w:qFormat/>
    <w:uiPriority w:val="0"/>
    <w:pPr>
      <w:spacing w:before="230" w:after="460" w:line="180" w:lineRule="exact"/>
      <w:jc w:val="right"/>
    </w:pPr>
    <w:rPr>
      <w:rFonts w:ascii="Arial" w:hAnsi="Arial"/>
      <w:sz w:val="14"/>
      <w:szCs w:val="16"/>
    </w:rPr>
  </w:style>
  <w:style w:type="paragraph" w:customStyle="1" w:styleId="15">
    <w:name w:val="References"/>
    <w:basedOn w:val="1"/>
    <w:qFormat/>
    <w:uiPriority w:val="0"/>
    <w:pPr>
      <w:spacing w:line="200" w:lineRule="exact"/>
      <w:ind w:left="425" w:hanging="425"/>
      <w:jc w:val="both"/>
    </w:pPr>
    <w:rPr>
      <w:sz w:val="15"/>
      <w:szCs w:val="14"/>
      <w:lang w:val="en-GB"/>
    </w:rPr>
  </w:style>
  <w:style w:type="paragraph" w:customStyle="1" w:styleId="16">
    <w:name w:val="HExperimental_Section"/>
    <w:basedOn w:val="1"/>
    <w:qFormat/>
    <w:uiPriority w:val="0"/>
    <w:pPr>
      <w:spacing w:before="460" w:after="230" w:line="230" w:lineRule="atLeast"/>
    </w:pPr>
    <w:rPr>
      <w:i/>
      <w:szCs w:val="20"/>
    </w:rPr>
  </w:style>
  <w:style w:type="paragraph" w:customStyle="1" w:styleId="17">
    <w:name w:val="ExperimentalSection"/>
    <w:basedOn w:val="1"/>
    <w:qFormat/>
    <w:uiPriority w:val="0"/>
    <w:pPr>
      <w:spacing w:after="240" w:line="200" w:lineRule="exact"/>
      <w:ind w:firstLine="170"/>
      <w:jc w:val="both"/>
    </w:pPr>
    <w:rPr>
      <w:sz w:val="16"/>
      <w:szCs w:val="14"/>
      <w:lang w:val="en-GB"/>
    </w:rPr>
  </w:style>
  <w:style w:type="paragraph" w:customStyle="1" w:styleId="18">
    <w:name w:val="FNB"/>
    <w:basedOn w:val="1"/>
    <w:link w:val="19"/>
    <w:qFormat/>
    <w:uiPriority w:val="0"/>
    <w:pPr>
      <w:widowControl w:val="0"/>
      <w:spacing w:after="40" w:line="160" w:lineRule="exact"/>
      <w:ind w:left="567" w:right="4434" w:hanging="567"/>
      <w:jc w:val="both"/>
    </w:pPr>
    <w:rPr>
      <w:rFonts w:ascii="Times" w:hAnsi="Times"/>
      <w:sz w:val="14"/>
      <w:szCs w:val="3276"/>
      <w:lang w:val="en-GB" w:eastAsia="de-DE"/>
    </w:rPr>
  </w:style>
  <w:style w:type="character" w:customStyle="1" w:styleId="19">
    <w:name w:val="FNB Char"/>
    <w:link w:val="18"/>
    <w:qFormat/>
    <w:uiPriority w:val="0"/>
    <w:rPr>
      <w:rFonts w:ascii="Times" w:hAnsi="Times"/>
      <w:sz w:val="14"/>
      <w:szCs w:val="3276"/>
      <w:lang w:val="en-GB" w:eastAsia="de-DE" w:bidi="ar-SA"/>
    </w:rPr>
  </w:style>
  <w:style w:type="paragraph" w:customStyle="1" w:styleId="20">
    <w:name w:val="Ack"/>
    <w:basedOn w:val="1"/>
    <w:qFormat/>
    <w:uiPriority w:val="0"/>
  </w:style>
  <w:style w:type="paragraph" w:customStyle="1" w:styleId="21">
    <w:name w:val="TableCaption"/>
    <w:basedOn w:val="1"/>
    <w:qFormat/>
    <w:uiPriority w:val="0"/>
    <w:pPr>
      <w:spacing w:after="120" w:line="190" w:lineRule="exact"/>
      <w:jc w:val="both"/>
    </w:pPr>
    <w:rPr>
      <w:rFonts w:ascii="Arial" w:hAnsi="Arial"/>
      <w:sz w:val="16"/>
      <w:szCs w:val="14"/>
      <w:lang w:val="en-GB"/>
    </w:rPr>
  </w:style>
  <w:style w:type="paragraph" w:customStyle="1" w:styleId="22">
    <w:name w:val="TableHead"/>
    <w:basedOn w:val="21"/>
    <w:qFormat/>
    <w:uiPriority w:val="0"/>
    <w:pPr>
      <w:pBdr>
        <w:top w:val="single" w:color="FFFFFF" w:sz="4" w:space="4"/>
        <w:left w:val="single" w:color="FFFFFF" w:sz="4" w:space="4"/>
        <w:bottom w:val="single" w:color="FFFFFF" w:sz="4" w:space="4"/>
        <w:right w:val="single" w:color="FFFFFF" w:sz="4" w:space="4"/>
      </w:pBdr>
      <w:spacing w:after="0"/>
    </w:pPr>
  </w:style>
  <w:style w:type="paragraph" w:customStyle="1" w:styleId="23">
    <w:name w:val="TableBody"/>
    <w:basedOn w:val="22"/>
    <w:qFormat/>
    <w:uiPriority w:val="0"/>
  </w:style>
  <w:style w:type="paragraph" w:customStyle="1" w:styleId="24">
    <w:name w:val="TableFoot"/>
    <w:basedOn w:val="23"/>
    <w:qFormat/>
    <w:uiPriority w:val="0"/>
    <w:pPr>
      <w:spacing w:before="60" w:after="60"/>
    </w:pPr>
  </w:style>
  <w:style w:type="paragraph" w:customStyle="1" w:styleId="25">
    <w:name w:val="SchemeCaption"/>
    <w:basedOn w:val="1"/>
    <w:qFormat/>
    <w:uiPriority w:val="0"/>
    <w:pPr>
      <w:spacing w:before="230" w:after="460" w:line="190" w:lineRule="exact"/>
      <w:jc w:val="both"/>
    </w:pPr>
    <w:rPr>
      <w:rFonts w:ascii="Arial" w:hAnsi="Arial"/>
      <w:sz w:val="16"/>
      <w:szCs w:val="14"/>
      <w:lang w:val="en-GB"/>
    </w:rPr>
  </w:style>
  <w:style w:type="paragraph" w:customStyle="1" w:styleId="26">
    <w:name w:val="STOE"/>
    <w:basedOn w:val="1"/>
    <w:link w:val="27"/>
    <w:qFormat/>
    <w:uiPriority w:val="0"/>
    <w:pPr>
      <w:widowControl w:val="0"/>
      <w:spacing w:line="236" w:lineRule="exact"/>
      <w:ind w:right="4434"/>
      <w:jc w:val="both"/>
    </w:pPr>
    <w:rPr>
      <w:rFonts w:ascii="Times" w:hAnsi="Times"/>
      <w:sz w:val="18"/>
      <w:szCs w:val="3276"/>
      <w:lang w:val="en-GB" w:eastAsia="de-DE"/>
    </w:rPr>
  </w:style>
  <w:style w:type="character" w:customStyle="1" w:styleId="27">
    <w:name w:val="STOE Char1"/>
    <w:link w:val="26"/>
    <w:qFormat/>
    <w:uiPriority w:val="0"/>
    <w:rPr>
      <w:rFonts w:ascii="Times" w:hAnsi="Times"/>
      <w:sz w:val="18"/>
      <w:szCs w:val="3276"/>
      <w:lang w:val="en-GB" w:eastAsia="de-DE" w:bidi="ar-SA"/>
    </w:rPr>
  </w:style>
  <w:style w:type="paragraph" w:customStyle="1" w:styleId="28">
    <w:name w:val="Title1"/>
    <w:basedOn w:val="1"/>
    <w:qFormat/>
    <w:uiPriority w:val="0"/>
    <w:rPr>
      <w:b/>
      <w:lang w:val="en-US"/>
    </w:rPr>
  </w:style>
  <w:style w:type="paragraph" w:customStyle="1" w:styleId="29">
    <w:name w:val="Authors Full"/>
    <w:basedOn w:val="1"/>
    <w:qFormat/>
    <w:uiPriority w:val="0"/>
    <w:rPr>
      <w:i/>
      <w:lang w:val="en-US"/>
    </w:rPr>
  </w:style>
  <w:style w:type="paragraph" w:customStyle="1" w:styleId="30">
    <w:name w:val="dedication"/>
    <w:basedOn w:val="1"/>
    <w:qFormat/>
    <w:uiPriority w:val="0"/>
    <w:rPr>
      <w:i/>
      <w:lang w:val="en-US"/>
    </w:rPr>
  </w:style>
  <w:style w:type="paragraph" w:customStyle="1" w:styleId="31">
    <w:name w:val="Addresses"/>
    <w:basedOn w:val="1"/>
    <w:qFormat/>
    <w:uiPriority w:val="0"/>
    <w:rPr>
      <w:lang w:val="en-US"/>
    </w:rPr>
  </w:style>
  <w:style w:type="paragraph" w:customStyle="1" w:styleId="32">
    <w:name w:val="Acknowledgements"/>
    <w:basedOn w:val="1"/>
    <w:qFormat/>
    <w:uiPriority w:val="0"/>
    <w:rPr>
      <w:lang w:val="en-US"/>
    </w:rPr>
  </w:style>
  <w:style w:type="paragraph" w:customStyle="1" w:styleId="33">
    <w:name w:val="Abstract"/>
    <w:basedOn w:val="1"/>
    <w:autoRedefine/>
    <w:qFormat/>
    <w:uiPriority w:val="0"/>
    <w:pPr>
      <w:spacing w:line="480" w:lineRule="auto"/>
    </w:pPr>
    <w:rPr>
      <w:lang w:val="en-US"/>
    </w:rPr>
  </w:style>
  <w:style w:type="paragraph" w:customStyle="1" w:styleId="34">
    <w:name w:val="Head 1"/>
    <w:basedOn w:val="1"/>
    <w:autoRedefine/>
    <w:qFormat/>
    <w:uiPriority w:val="0"/>
    <w:pPr>
      <w:spacing w:line="360" w:lineRule="auto"/>
    </w:pPr>
    <w:rPr>
      <w:b/>
      <w:lang w:val="en-US"/>
    </w:rPr>
  </w:style>
  <w:style w:type="paragraph" w:customStyle="1" w:styleId="35">
    <w:name w:val="Head 2"/>
    <w:basedOn w:val="1"/>
    <w:autoRedefine/>
    <w:qFormat/>
    <w:uiPriority w:val="0"/>
    <w:pPr>
      <w:spacing w:line="360" w:lineRule="auto"/>
    </w:pPr>
    <w:rPr>
      <w:i/>
      <w:lang w:val="en-US"/>
    </w:rPr>
  </w:style>
  <w:style w:type="paragraph" w:customStyle="1" w:styleId="36">
    <w:name w:val="dates"/>
    <w:basedOn w:val="1"/>
    <w:qFormat/>
    <w:uiPriority w:val="0"/>
    <w:pPr>
      <w:jc w:val="right"/>
    </w:pPr>
    <w:rPr>
      <w:lang w:val="en-US"/>
    </w:rPr>
  </w:style>
  <w:style w:type="paragraph" w:customStyle="1" w:styleId="37">
    <w:name w:val="Literature"/>
    <w:basedOn w:val="1"/>
    <w:qFormat/>
    <w:uiPriority w:val="0"/>
    <w:pPr>
      <w:spacing w:line="480" w:lineRule="auto"/>
    </w:pPr>
  </w:style>
  <w:style w:type="paragraph" w:customStyle="1" w:styleId="38">
    <w:name w:val="Legend"/>
    <w:basedOn w:val="1"/>
    <w:qFormat/>
    <w:uiPriority w:val="0"/>
    <w:rPr>
      <w:lang w:val="en-US"/>
    </w:rPr>
  </w:style>
  <w:style w:type="paragraph" w:customStyle="1" w:styleId="39">
    <w:name w:val="Main Text"/>
    <w:basedOn w:val="1"/>
    <w:link w:val="43"/>
    <w:qFormat/>
    <w:uiPriority w:val="0"/>
    <w:pPr>
      <w:spacing w:line="480" w:lineRule="auto"/>
    </w:pPr>
    <w:rPr>
      <w:lang w:val="en-US"/>
    </w:rPr>
  </w:style>
  <w:style w:type="paragraph" w:customStyle="1" w:styleId="40">
    <w:name w:val="Table of contents"/>
    <w:basedOn w:val="1"/>
    <w:autoRedefine/>
    <w:qFormat/>
    <w:uiPriority w:val="0"/>
    <w:rPr>
      <w:lang w:val="en-US"/>
    </w:rPr>
  </w:style>
  <w:style w:type="paragraph" w:customStyle="1" w:styleId="41">
    <w:name w:val="Experimental Text"/>
    <w:basedOn w:val="1"/>
    <w:link w:val="42"/>
    <w:qFormat/>
    <w:uiPriority w:val="0"/>
    <w:pPr>
      <w:spacing w:line="480" w:lineRule="auto"/>
    </w:pPr>
    <w:rPr>
      <w:lang w:val="en-US"/>
    </w:rPr>
  </w:style>
  <w:style w:type="character" w:customStyle="1" w:styleId="42">
    <w:name w:val="Experimental Text Char"/>
    <w:link w:val="41"/>
    <w:qFormat/>
    <w:uiPriority w:val="0"/>
    <w:rPr>
      <w:rFonts w:eastAsia="MS Mincho"/>
      <w:sz w:val="24"/>
      <w:szCs w:val="24"/>
      <w:lang w:val="en-US" w:eastAsia="ja-JP" w:bidi="ar-SA"/>
    </w:rPr>
  </w:style>
  <w:style w:type="character" w:customStyle="1" w:styleId="43">
    <w:name w:val="Main Text Char"/>
    <w:link w:val="39"/>
    <w:qFormat/>
    <w:uiPriority w:val="0"/>
    <w:rPr>
      <w:rFonts w:eastAsia="MS Mincho"/>
      <w:sz w:val="24"/>
      <w:szCs w:val="24"/>
      <w:lang w:val="en-US" w:eastAsia="ja-JP" w:bidi="ar-SA"/>
    </w:rPr>
  </w:style>
  <w:style w:type="paragraph" w:customStyle="1" w:styleId="44">
    <w:name w:val="Title2"/>
    <w:basedOn w:val="1"/>
    <w:qFormat/>
    <w:uiPriority w:val="0"/>
    <w:rPr>
      <w:b/>
      <w:lang w:val="en-US"/>
    </w:rPr>
  </w:style>
  <w:style w:type="paragraph" w:customStyle="1" w:styleId="45">
    <w:name w:val="Dedication"/>
    <w:basedOn w:val="1"/>
    <w:autoRedefine/>
    <w:qFormat/>
    <w:uiPriority w:val="0"/>
    <w:rPr>
      <w:lang w:val="en-US"/>
    </w:rPr>
  </w:style>
  <w:style w:type="paragraph" w:customStyle="1" w:styleId="46">
    <w:name w:val="Main text"/>
    <w:basedOn w:val="1"/>
    <w:link w:val="47"/>
    <w:autoRedefine/>
    <w:qFormat/>
    <w:uiPriority w:val="0"/>
    <w:pPr>
      <w:spacing w:line="480" w:lineRule="auto"/>
    </w:pPr>
    <w:rPr>
      <w:lang w:val="en-US"/>
    </w:rPr>
  </w:style>
  <w:style w:type="character" w:customStyle="1" w:styleId="47">
    <w:name w:val="Main text Char"/>
    <w:link w:val="46"/>
    <w:qFormat/>
    <w:uiPriority w:val="0"/>
    <w:rPr>
      <w:sz w:val="24"/>
      <w:szCs w:val="24"/>
      <w:lang w:val="en-US" w:eastAsia="ja-JP"/>
    </w:rPr>
  </w:style>
  <w:style w:type="paragraph" w:customStyle="1" w:styleId="48">
    <w:name w:val="Biography"/>
    <w:basedOn w:val="1"/>
    <w:autoRedefine/>
    <w:qFormat/>
    <w:uiPriority w:val="0"/>
    <w:rPr>
      <w:i/>
      <w:lang w:val="en-US"/>
    </w:rPr>
  </w:style>
  <w:style w:type="character" w:customStyle="1" w:styleId="49">
    <w:name w:val="Header Char"/>
    <w:link w:val="5"/>
    <w:qFormat/>
    <w:uiPriority w:val="0"/>
    <w:rPr>
      <w:sz w:val="24"/>
      <w:szCs w:val="24"/>
      <w:lang w:eastAsia="ja-JP"/>
    </w:rPr>
  </w:style>
  <w:style w:type="character" w:customStyle="1" w:styleId="50">
    <w:name w:val="Comment Text Char"/>
    <w:link w:val="2"/>
    <w:semiHidden/>
    <w:qFormat/>
    <w:uiPriority w:val="99"/>
    <w:rPr>
      <w:lang w:eastAsia="ja-JP"/>
    </w:rPr>
  </w:style>
  <w:style w:type="character" w:customStyle="1" w:styleId="51">
    <w:name w:val="Comment Subject Char"/>
    <w:link w:val="8"/>
    <w:semiHidden/>
    <w:qFormat/>
    <w:uiPriority w:val="99"/>
    <w:rPr>
      <w:b/>
      <w:bCs/>
      <w:lang w:eastAsia="ja-JP"/>
    </w:rPr>
  </w:style>
  <w:style w:type="character" w:customStyle="1" w:styleId="52">
    <w:name w:val="Footer Char"/>
    <w:link w:val="4"/>
    <w:qFormat/>
    <w:uiPriority w:val="99"/>
    <w:rPr>
      <w:sz w:val="24"/>
      <w:szCs w:val="24"/>
      <w:lang w:eastAsia="ja-JP"/>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37</Pages>
  <Words>8325</Words>
  <Characters>49495</Characters>
  <Lines>49</Lines>
  <Paragraphs>13</Paragraphs>
  <TotalTime>2</TotalTime>
  <ScaleCrop>false</ScaleCrop>
  <LinksUpToDate>false</LinksUpToDate>
  <CharactersWithSpaces>57878</CharactersWithSpaces>
  <Application>WPS Office_6.11.0.8885_F1E327BC-269C-435d-A152-05C5408002CA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2021-09-02T21:03:00Z</dcterms:created>
  <dcterms:modified xsi:type="dcterms:W3CDTF">2024-10-10T18:46:13Z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0x01010070446C3525B3CB46BD92ABA5C2617223</vt:lpwstr>
  </property>
  <property fmtid="{D5CDD505-2E9C-101B-9397-08002B2CF9AE}" pid="3" name="KSOProductBuildVer">
    <vt:lpwstr>2052-6.11.0.8885</vt:lpwstr>
  </property>
  <property fmtid="{D5CDD505-2E9C-101B-9397-08002B2CF9AE}" pid="4" name="ICV">
    <vt:lpwstr>AAFDDBA44BDD4AF3A9A1BA857F90574E_13</vt:lpwstr>
  </property>
</Properties>
</file>