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8B" w:rsidRDefault="00D40F89">
      <w:r>
        <w:rPr>
          <w:noProof/>
        </w:rPr>
        <w:drawing>
          <wp:inline distT="0" distB="0" distL="0" distR="0" wp14:anchorId="7DE99A45">
            <wp:extent cx="2468880" cy="255460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255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0F89" w:rsidRDefault="00D40F89">
      <w:r w:rsidRPr="00D40F89">
        <w:t>Figure 3: GLS score of -14 at presentation.</w:t>
      </w:r>
    </w:p>
    <w:sectPr w:rsidR="00D4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D8"/>
    <w:rsid w:val="001E44D8"/>
    <w:rsid w:val="005D6A8B"/>
    <w:rsid w:val="00D4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5D9D5"/>
  <w15:chartTrackingRefBased/>
  <w15:docId w15:val="{2DCA620E-7B3E-40CA-A0BF-8B35DD5A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Zayed Military Hospital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Humariya Heena</dc:creator>
  <cp:keywords/>
  <dc:description/>
  <cp:lastModifiedBy>Humariya Heena</cp:lastModifiedBy>
  <cp:revision>2</cp:revision>
  <dcterms:created xsi:type="dcterms:W3CDTF">2024-10-02T04:24:00Z</dcterms:created>
  <dcterms:modified xsi:type="dcterms:W3CDTF">2024-10-02T04:24:00Z</dcterms:modified>
</cp:coreProperties>
</file>