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F19" w:rsidRDefault="00792F19" w:rsidP="00792F19">
      <w:pPr>
        <w:spacing w:before="240" w:after="240" w:line="480" w:lineRule="auto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</w:p>
    <w:p w:rsidR="00792F19" w:rsidRDefault="00792F19" w:rsidP="00792F19">
      <w:pPr>
        <w:spacing w:before="240" w:after="240" w:line="480" w:lineRule="auto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  <w:bookmarkStart w:id="0" w:name="_GoBack"/>
      <w:r>
        <w:rPr>
          <w:rFonts w:asciiTheme="majorBidi" w:eastAsia="Times New Roman" w:hAnsiTheme="majorBidi" w:cstheme="majorBidi"/>
          <w:bCs/>
          <w:noProof/>
          <w:sz w:val="24"/>
          <w:szCs w:val="24"/>
        </w:rPr>
        <w:drawing>
          <wp:inline distT="0" distB="0" distL="0" distR="0">
            <wp:extent cx="5486400" cy="302196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021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792F19" w:rsidRDefault="00792F19" w:rsidP="00792F19">
      <w:pPr>
        <w:spacing w:before="240" w:after="240" w:line="480" w:lineRule="auto"/>
        <w:jc w:val="both"/>
        <w:rPr>
          <w:rFonts w:asciiTheme="majorBidi" w:eastAsia="Times New Roman" w:hAnsiTheme="majorBidi" w:cstheme="majorBidi"/>
          <w:bCs/>
          <w:sz w:val="24"/>
          <w:szCs w:val="24"/>
        </w:rPr>
      </w:pPr>
      <w:r w:rsidRPr="00E33142">
        <w:rPr>
          <w:rFonts w:asciiTheme="majorBidi" w:eastAsia="Times New Roman" w:hAnsiTheme="majorBidi" w:cstheme="majorBidi"/>
          <w:bCs/>
          <w:sz w:val="24"/>
          <w:szCs w:val="24"/>
        </w:rPr>
        <w:t>Figure 2: Thyroglobulin levels fall sharply following an early peak in 2022. Despite a slight increase at one point, levels continue to fall and stabilize near the end of the observation period in 2024.</w:t>
      </w:r>
    </w:p>
    <w:p w:rsidR="004E28CA" w:rsidRDefault="00792F19"/>
    <w:sectPr w:rsidR="004E28C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F19"/>
    <w:rsid w:val="00493495"/>
    <w:rsid w:val="00792F19"/>
    <w:rsid w:val="00C9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92F19"/>
    <w:pPr>
      <w:spacing w:after="0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2F1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F19"/>
    <w:rPr>
      <w:rFonts w:ascii="Tahoma" w:eastAsia="Arial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92F19"/>
    <w:pPr>
      <w:spacing w:after="0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2F1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2F19"/>
    <w:rPr>
      <w:rFonts w:ascii="Tahoma" w:eastAsia="Arial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2024-10-13T10:22:00Z</dcterms:created>
  <dcterms:modified xsi:type="dcterms:W3CDTF">2024-10-13T10:23:00Z</dcterms:modified>
</cp:coreProperties>
</file>