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75C344" w14:textId="3E6280DB" w:rsidR="00C94AA5" w:rsidRDefault="00774584" w:rsidP="006F623F">
      <w:pPr>
        <w:pStyle w:val="a3"/>
        <w:jc w:val="both"/>
      </w:pPr>
      <w:r>
        <w:t>Projected changes of the Northern Annular Mode linked to</w:t>
      </w:r>
      <w:r w:rsidR="00443738">
        <w:t xml:space="preserve"> seasonality of the </w:t>
      </w:r>
      <w:r w:rsidR="00FC543E">
        <w:t>ENSO teleconnection</w:t>
      </w:r>
    </w:p>
    <w:p w14:paraId="2AD55E45" w14:textId="77777777" w:rsidR="00774584" w:rsidRDefault="00774584" w:rsidP="006F623F">
      <w:pPr>
        <w:pStyle w:val="Authors"/>
        <w:jc w:val="both"/>
      </w:pPr>
    </w:p>
    <w:p w14:paraId="32E6B0CF" w14:textId="119A92B6" w:rsidR="00C94AA5" w:rsidRPr="00C94AA5" w:rsidRDefault="00774584" w:rsidP="006F623F">
      <w:pPr>
        <w:pStyle w:val="Authors"/>
        <w:jc w:val="both"/>
        <w:rPr>
          <w:lang w:eastAsia="ja-JP"/>
        </w:rPr>
      </w:pPr>
      <w:r>
        <w:t>T. Kawamura</w:t>
      </w:r>
      <w:r w:rsidR="00545B6C" w:rsidRPr="00545B6C">
        <w:rPr>
          <w:vertAlign w:val="superscript"/>
        </w:rPr>
        <w:t>1</w:t>
      </w:r>
      <w:r w:rsidR="00C94AA5">
        <w:t>,</w:t>
      </w:r>
      <w:r w:rsidR="00545B6C">
        <w:t xml:space="preserve"> </w:t>
      </w:r>
      <w:r>
        <w:t>Y</w:t>
      </w:r>
      <w:r w:rsidR="00C94AA5">
        <w:t xml:space="preserve">. </w:t>
      </w:r>
      <w:r>
        <w:t>Kosaka</w:t>
      </w:r>
      <w:r>
        <w:rPr>
          <w:vertAlign w:val="superscript"/>
        </w:rPr>
        <w:t>1</w:t>
      </w:r>
      <w:r w:rsidR="008C37E1">
        <w:t>, S. Okajima</w:t>
      </w:r>
      <w:r w:rsidR="008C37E1">
        <w:rPr>
          <w:vertAlign w:val="superscript"/>
        </w:rPr>
        <w:t>1</w:t>
      </w:r>
      <w:r w:rsidR="008C37E1">
        <w:t>, and H. Nakamura</w:t>
      </w:r>
      <w:r w:rsidR="008C37E1">
        <w:rPr>
          <w:vertAlign w:val="superscript"/>
        </w:rPr>
        <w:t>1</w:t>
      </w:r>
      <w:r w:rsidR="006F662E">
        <w:t xml:space="preserve"> </w:t>
      </w:r>
    </w:p>
    <w:p w14:paraId="70FC651E" w14:textId="45AC2EC8" w:rsidR="00C94AA5" w:rsidRDefault="008A6077" w:rsidP="006F623F">
      <w:pPr>
        <w:pStyle w:val="Affiliation"/>
        <w:jc w:val="both"/>
      </w:pPr>
      <w:r w:rsidRPr="00B43FDE">
        <w:rPr>
          <w:vertAlign w:val="superscript"/>
        </w:rPr>
        <w:t>1</w:t>
      </w:r>
      <w:r w:rsidR="00774584">
        <w:t>Research Center for Advanced Science and Technology, the University of Tokyo, Japan</w:t>
      </w:r>
    </w:p>
    <w:p w14:paraId="71BEF224" w14:textId="77777777" w:rsidR="00774584" w:rsidRDefault="00774584" w:rsidP="006F623F">
      <w:pPr>
        <w:pStyle w:val="Affiliation"/>
        <w:jc w:val="both"/>
      </w:pPr>
    </w:p>
    <w:p w14:paraId="5614852F" w14:textId="2EC5778D" w:rsidR="00DE3F91" w:rsidRDefault="008A6077" w:rsidP="006F623F">
      <w:pPr>
        <w:pStyle w:val="Affiliation"/>
        <w:jc w:val="both"/>
      </w:pPr>
      <w:r>
        <w:t>Correspond</w:t>
      </w:r>
      <w:r w:rsidR="00DE3F91">
        <w:t>ing</w:t>
      </w:r>
      <w:r>
        <w:t xml:space="preserve"> </w:t>
      </w:r>
      <w:r w:rsidR="006F662E">
        <w:t>author:</w:t>
      </w:r>
      <w:r>
        <w:t xml:space="preserve"> </w:t>
      </w:r>
      <w:r w:rsidR="00774584">
        <w:t>Takashi Kawamura</w:t>
      </w:r>
      <w:r w:rsidR="00DE3F91">
        <w:t xml:space="preserve"> (</w:t>
      </w:r>
      <w:hyperlink r:id="rId8" w:history="1">
        <w:r w:rsidR="00774584" w:rsidRPr="00DD6BB0">
          <w:rPr>
            <w:rStyle w:val="a7"/>
          </w:rPr>
          <w:t>tkawamura@atmos.rcast.u-tokyo.ac.jp)</w:t>
        </w:r>
      </w:hyperlink>
      <w:r w:rsidR="00DE3F91">
        <w:t xml:space="preserve"> </w:t>
      </w:r>
    </w:p>
    <w:p w14:paraId="39FD263A" w14:textId="77777777" w:rsidR="00774584" w:rsidRDefault="00774584" w:rsidP="006F623F">
      <w:pPr>
        <w:pStyle w:val="Affiliation"/>
        <w:jc w:val="both"/>
      </w:pPr>
    </w:p>
    <w:p w14:paraId="54BD8FF6" w14:textId="77777777" w:rsidR="00774584" w:rsidRDefault="00774584" w:rsidP="006F623F">
      <w:pPr>
        <w:pStyle w:val="Note"/>
        <w:jc w:val="both"/>
      </w:pPr>
    </w:p>
    <w:p w14:paraId="52EAA876" w14:textId="0F4D9CB3" w:rsidR="00C94AA5" w:rsidRDefault="00C94AA5" w:rsidP="006F623F">
      <w:pPr>
        <w:pStyle w:val="Heading-Main"/>
        <w:jc w:val="both"/>
        <w:rPr>
          <w:lang w:eastAsia="ja-JP"/>
        </w:rPr>
      </w:pPr>
      <w:r>
        <w:t>Key Points:</w:t>
      </w:r>
    </w:p>
    <w:p w14:paraId="55903D54" w14:textId="02D01D33" w:rsidR="00E86BB5" w:rsidRDefault="00E86BB5" w:rsidP="006F623F">
      <w:pPr>
        <w:pStyle w:val="KeyPoints"/>
        <w:numPr>
          <w:ilvl w:val="0"/>
          <w:numId w:val="9"/>
        </w:numPr>
        <w:jc w:val="both"/>
      </w:pPr>
      <w:r>
        <w:t>The proportion of the Northern Annular Mode variance driven by variability of sea surface conditions increases in the warmer climate.</w:t>
      </w:r>
    </w:p>
    <w:p w14:paraId="43274442" w14:textId="248EF308" w:rsidR="00E86BB5" w:rsidRDefault="00E86BB5" w:rsidP="006F623F">
      <w:pPr>
        <w:pStyle w:val="KeyPoints"/>
        <w:numPr>
          <w:ilvl w:val="0"/>
          <w:numId w:val="9"/>
        </w:numPr>
        <w:jc w:val="both"/>
      </w:pPr>
      <w:r>
        <w:t>This</w:t>
      </w:r>
      <w:r w:rsidR="002C76E7">
        <w:t xml:space="preserve"> </w:t>
      </w:r>
      <w:r w:rsidR="00B20056">
        <w:t>change</w:t>
      </w:r>
      <w:r>
        <w:t xml:space="preserve"> is tied to early</w:t>
      </w:r>
      <w:r w:rsidR="00C313F6">
        <w:t>-</w:t>
      </w:r>
      <w:r>
        <w:t>winter emergence of the Aleutian-Icelandic Low seesaw which is limited to late winter in the present climate.</w:t>
      </w:r>
    </w:p>
    <w:p w14:paraId="23DEF75C" w14:textId="32DB100B" w:rsidR="00E86BB5" w:rsidRDefault="00E86BB5" w:rsidP="006F623F">
      <w:pPr>
        <w:pStyle w:val="KeyPoints"/>
        <w:numPr>
          <w:ilvl w:val="0"/>
          <w:numId w:val="9"/>
        </w:numPr>
        <w:jc w:val="both"/>
      </w:pPr>
      <w:r>
        <w:t>Teleconnection from</w:t>
      </w:r>
      <w:r w:rsidR="00B20056">
        <w:t xml:space="preserve"> the</w:t>
      </w:r>
      <w:r>
        <w:t xml:space="preserve"> El Niño-Southern Oscillation contributes to the earlier winter emergence of the seesaw in the warmer climate.</w:t>
      </w:r>
    </w:p>
    <w:p w14:paraId="5C03B4CB" w14:textId="77777777" w:rsidR="00B719C8" w:rsidRDefault="00B719C8" w:rsidP="006F623F">
      <w:pPr>
        <w:jc w:val="both"/>
        <w:rPr>
          <w:color w:val="00B0F0"/>
        </w:rPr>
      </w:pPr>
      <w:r>
        <w:br w:type="page"/>
      </w:r>
    </w:p>
    <w:p w14:paraId="2659CCE1" w14:textId="77777777" w:rsidR="002F3B11" w:rsidRDefault="008A6077" w:rsidP="006F623F">
      <w:pPr>
        <w:pStyle w:val="Heading-Main"/>
        <w:jc w:val="both"/>
      </w:pPr>
      <w:r w:rsidRPr="00987EE5">
        <w:lastRenderedPageBreak/>
        <w:t>Abstract</w:t>
      </w:r>
    </w:p>
    <w:p w14:paraId="4087B5EE" w14:textId="13F1A992" w:rsidR="00644920" w:rsidRPr="00A86C70" w:rsidRDefault="00A86C70" w:rsidP="006F623F">
      <w:pPr>
        <w:pStyle w:val="Abstract"/>
        <w:jc w:val="both"/>
        <w:rPr>
          <w:lang w:eastAsia="ja-JP"/>
        </w:rPr>
      </w:pPr>
      <w:r>
        <w:t xml:space="preserve">The Northern Annular Mode (NAM) is the dominant pattern of atmospheric circulation variability in the wintertime Northern Hemisphere </w:t>
      </w:r>
      <w:proofErr w:type="spellStart"/>
      <w:r>
        <w:t>extratropics</w:t>
      </w:r>
      <w:proofErr w:type="spellEnd"/>
      <w:r>
        <w:t xml:space="preserve">. This study utilizes </w:t>
      </w:r>
      <w:r w:rsidR="0098274B">
        <w:t>a</w:t>
      </w:r>
      <w:r>
        <w:t xml:space="preserve"> large ensemble atmospheric simulation dataset to </w:t>
      </w:r>
      <w:r w:rsidR="0098274B">
        <w:t>examine</w:t>
      </w:r>
      <w:r>
        <w:t xml:space="preserve"> the seasonality of </w:t>
      </w:r>
      <w:r w:rsidR="00620CD4">
        <w:t xml:space="preserve">the </w:t>
      </w:r>
      <w:r>
        <w:t>NAM</w:t>
      </w:r>
      <w:r w:rsidR="00D35EC6">
        <w:t xml:space="preserve"> variability</w:t>
      </w:r>
      <w:r>
        <w:t xml:space="preserve"> and its modulations</w:t>
      </w:r>
      <w:r w:rsidR="00620CD4">
        <w:t xml:space="preserve"> </w:t>
      </w:r>
      <w:r w:rsidR="00EB28AF">
        <w:t>under</w:t>
      </w:r>
      <w:r>
        <w:t xml:space="preserve"> global warming. </w:t>
      </w:r>
      <w:r w:rsidR="009229D1">
        <w:t>We show</w:t>
      </w:r>
      <w:r>
        <w:t xml:space="preserve"> </w:t>
      </w:r>
      <w:r w:rsidR="00A64C31">
        <w:t xml:space="preserve">an enhancement of the Aleutian Low anomaly associated with </w:t>
      </w:r>
      <w:r w:rsidR="00A64C31">
        <w:rPr>
          <w:lang w:eastAsia="ja-JP"/>
        </w:rPr>
        <w:t xml:space="preserve">the NAM in a warmer climate. </w:t>
      </w:r>
      <w:r>
        <w:t xml:space="preserve">This </w:t>
      </w:r>
      <w:r w:rsidR="009229D1">
        <w:t xml:space="preserve">enhancement </w:t>
      </w:r>
      <w:r>
        <w:t xml:space="preserve">is </w:t>
      </w:r>
      <w:r w:rsidR="009229D1">
        <w:t>related to</w:t>
      </w:r>
      <w:r>
        <w:t xml:space="preserve"> the emergence of the Aleutian-Icelandic Low seesaw (AIS) from early winter,</w:t>
      </w:r>
      <w:r w:rsidR="0098274B">
        <w:t xml:space="preserve"> which is in contrast</w:t>
      </w:r>
      <w:r>
        <w:t xml:space="preserve"> prominent only in late winter in </w:t>
      </w:r>
      <w:r w:rsidR="0098274B">
        <w:t>the</w:t>
      </w:r>
      <w:r>
        <w:t xml:space="preserve"> historical climate. </w:t>
      </w:r>
      <w:r w:rsidR="0098274B">
        <w:t>The</w:t>
      </w:r>
      <w:r w:rsidR="001226FD">
        <w:t xml:space="preserve"> large ensemble </w:t>
      </w:r>
      <w:r w:rsidR="009229D1">
        <w:t>reveals</w:t>
      </w:r>
      <w:r w:rsidR="0098274B">
        <w:t xml:space="preserve"> a significant increase in the fraction of </w:t>
      </w:r>
      <w:r w:rsidR="009229D1">
        <w:t xml:space="preserve">the </w:t>
      </w:r>
      <w:r w:rsidR="0098274B">
        <w:t>NAM variance explained by sea surface temperature and sea ice variability</w:t>
      </w:r>
      <w:r w:rsidR="006C2FA1">
        <w:t>, suggesting a higher potential predictability</w:t>
      </w:r>
      <w:r w:rsidR="0098274B">
        <w:t xml:space="preserve">. </w:t>
      </w:r>
      <w:r w:rsidR="00644920">
        <w:rPr>
          <w:lang w:eastAsia="ja-JP"/>
        </w:rPr>
        <w:t xml:space="preserve">In particular, </w:t>
      </w:r>
      <w:r w:rsidR="00E80737">
        <w:rPr>
          <w:lang w:eastAsia="ja-JP"/>
        </w:rPr>
        <w:t xml:space="preserve">the </w:t>
      </w:r>
      <w:r w:rsidR="009229D1">
        <w:rPr>
          <w:lang w:eastAsia="ja-JP"/>
        </w:rPr>
        <w:t xml:space="preserve">eastward extension of </w:t>
      </w:r>
      <w:r w:rsidR="00644920">
        <w:rPr>
          <w:lang w:eastAsia="ja-JP"/>
        </w:rPr>
        <w:t>the El Niño-Southern Oscillation (ENSO) teleconnection under global warming</w:t>
      </w:r>
      <w:r w:rsidR="009229D1">
        <w:rPr>
          <w:lang w:eastAsia="ja-JP"/>
        </w:rPr>
        <w:t xml:space="preserve"> contributes</w:t>
      </w:r>
      <w:r w:rsidR="00644920">
        <w:rPr>
          <w:lang w:eastAsia="ja-JP"/>
        </w:rPr>
        <w:t xml:space="preserve"> to the AIS formation even in early winter and a higher NAM-ENSO correlation.</w:t>
      </w:r>
    </w:p>
    <w:p w14:paraId="7F2DB822" w14:textId="77777777" w:rsidR="00ED61D5" w:rsidRDefault="00ED61D5" w:rsidP="006F623F">
      <w:pPr>
        <w:pStyle w:val="Abstract"/>
        <w:jc w:val="both"/>
        <w:rPr>
          <w:lang w:eastAsia="ja-JP"/>
        </w:rPr>
      </w:pPr>
    </w:p>
    <w:p w14:paraId="69A5DBFD" w14:textId="5331CD54" w:rsidR="00FC3EAC" w:rsidRPr="00FC3EAC" w:rsidRDefault="00FC3EAC" w:rsidP="006F623F">
      <w:pPr>
        <w:pStyle w:val="Abstract"/>
        <w:jc w:val="both"/>
        <w:rPr>
          <w:b/>
        </w:rPr>
      </w:pPr>
      <w:r w:rsidRPr="00FC3EAC">
        <w:rPr>
          <w:b/>
        </w:rPr>
        <w:t>Plain Language Summary</w:t>
      </w:r>
    </w:p>
    <w:p w14:paraId="2C7744FA" w14:textId="393FC65E" w:rsidR="00E80737" w:rsidRDefault="00293B85" w:rsidP="006F623F">
      <w:pPr>
        <w:pStyle w:val="Abstract"/>
        <w:jc w:val="both"/>
        <w:rPr>
          <w:lang w:eastAsia="ja-JP"/>
        </w:rPr>
      </w:pPr>
      <w:r>
        <w:rPr>
          <w:lang w:eastAsia="ja-JP"/>
        </w:rPr>
        <w:t>Anomalous weather in the wintertime Northe</w:t>
      </w:r>
      <w:r w:rsidR="00986C52">
        <w:rPr>
          <w:lang w:eastAsia="ja-JP"/>
        </w:rPr>
        <w:t>r</w:t>
      </w:r>
      <w:r>
        <w:rPr>
          <w:lang w:eastAsia="ja-JP"/>
        </w:rPr>
        <w:t>n Hemisphere</w:t>
      </w:r>
      <w:r w:rsidR="00E80737">
        <w:rPr>
          <w:lang w:eastAsia="ja-JP"/>
        </w:rPr>
        <w:t xml:space="preserve"> </w:t>
      </w:r>
      <w:proofErr w:type="spellStart"/>
      <w:r w:rsidR="00E80737">
        <w:rPr>
          <w:lang w:eastAsia="ja-JP"/>
        </w:rPr>
        <w:t>extratropics</w:t>
      </w:r>
      <w:proofErr w:type="spellEnd"/>
      <w:r>
        <w:rPr>
          <w:lang w:eastAsia="ja-JP"/>
        </w:rPr>
        <w:t xml:space="preserve"> is </w:t>
      </w:r>
      <w:r w:rsidR="00285E9D">
        <w:rPr>
          <w:lang w:eastAsia="ja-JP"/>
        </w:rPr>
        <w:t>linked</w:t>
      </w:r>
      <w:r>
        <w:rPr>
          <w:lang w:eastAsia="ja-JP"/>
        </w:rPr>
        <w:t xml:space="preserve"> to the Northern Annular Mode (NAM). It manifests as the seesaw-like air pressure anomalies between the Arctic region and the midlatitude ocean basins. </w:t>
      </w:r>
      <w:r w:rsidR="00E80737">
        <w:rPr>
          <w:lang w:eastAsia="ja-JP"/>
        </w:rPr>
        <w:t xml:space="preserve">Despite </w:t>
      </w:r>
      <w:r w:rsidR="00285E9D">
        <w:rPr>
          <w:lang w:eastAsia="ja-JP"/>
        </w:rPr>
        <w:t>its</w:t>
      </w:r>
      <w:r w:rsidR="00E80737">
        <w:rPr>
          <w:lang w:eastAsia="ja-JP"/>
        </w:rPr>
        <w:t xml:space="preserve"> importance for climate risk assessment in a warming world, </w:t>
      </w:r>
      <w:r w:rsidR="00285E9D">
        <w:rPr>
          <w:lang w:eastAsia="ja-JP"/>
        </w:rPr>
        <w:t xml:space="preserve">future changes in the year-to-year </w:t>
      </w:r>
      <w:r w:rsidR="00E80737">
        <w:rPr>
          <w:lang w:eastAsia="ja-JP"/>
        </w:rPr>
        <w:t>NAM variability ha</w:t>
      </w:r>
      <w:r w:rsidR="00285E9D">
        <w:rPr>
          <w:lang w:eastAsia="ja-JP"/>
        </w:rPr>
        <w:t>ve</w:t>
      </w:r>
      <w:r w:rsidR="00E80737">
        <w:rPr>
          <w:lang w:eastAsia="ja-JP"/>
        </w:rPr>
        <w:t xml:space="preserve"> not been sufficiently investigated. Based on a large ensemble atmospheric simulation dataset of </w:t>
      </w:r>
      <w:r w:rsidR="00BA4DD3">
        <w:rPr>
          <w:lang w:eastAsia="ja-JP"/>
        </w:rPr>
        <w:t>over</w:t>
      </w:r>
      <w:r w:rsidR="00E80737">
        <w:rPr>
          <w:lang w:eastAsia="ja-JP"/>
        </w:rPr>
        <w:t xml:space="preserve"> 10,000 model years, we show that the NAM</w:t>
      </w:r>
      <w:r w:rsidR="00285E9D">
        <w:rPr>
          <w:lang w:eastAsia="ja-JP"/>
        </w:rPr>
        <w:t xml:space="preserve"> in a </w:t>
      </w:r>
      <w:proofErr w:type="gramStart"/>
      <w:r w:rsidR="00285E9D">
        <w:rPr>
          <w:lang w:eastAsia="ja-JP"/>
        </w:rPr>
        <w:t>warmer climate</w:t>
      </w:r>
      <w:r w:rsidR="00E80737">
        <w:rPr>
          <w:lang w:eastAsia="ja-JP"/>
        </w:rPr>
        <w:t xml:space="preserve"> correlate</w:t>
      </w:r>
      <w:r w:rsidR="00285E9D">
        <w:rPr>
          <w:lang w:eastAsia="ja-JP"/>
        </w:rPr>
        <w:t>s</w:t>
      </w:r>
      <w:proofErr w:type="gramEnd"/>
      <w:r w:rsidR="00E80737">
        <w:rPr>
          <w:lang w:eastAsia="ja-JP"/>
        </w:rPr>
        <w:t xml:space="preserve"> more </w:t>
      </w:r>
      <w:r w:rsidR="00A72361">
        <w:rPr>
          <w:lang w:eastAsia="ja-JP"/>
        </w:rPr>
        <w:t>tightly</w:t>
      </w:r>
      <w:r w:rsidR="00E80737">
        <w:rPr>
          <w:lang w:eastAsia="ja-JP"/>
        </w:rPr>
        <w:t xml:space="preserve"> with </w:t>
      </w:r>
      <w:r w:rsidR="00E360F2">
        <w:rPr>
          <w:lang w:eastAsia="ja-JP"/>
        </w:rPr>
        <w:t xml:space="preserve">the </w:t>
      </w:r>
      <w:r w:rsidR="00E80737">
        <w:rPr>
          <w:lang w:eastAsia="ja-JP"/>
        </w:rPr>
        <w:t>El Niño-Southern Oscillation</w:t>
      </w:r>
      <w:r w:rsidR="00B70B09">
        <w:rPr>
          <w:lang w:eastAsia="ja-JP"/>
        </w:rPr>
        <w:t>, a dominant climate mode over the tropical Pacific</w:t>
      </w:r>
      <w:r w:rsidR="00E80737">
        <w:rPr>
          <w:lang w:eastAsia="ja-JP"/>
        </w:rPr>
        <w:t xml:space="preserve">. Our finding suggests a higher potential predictability of the NAM </w:t>
      </w:r>
      <w:r w:rsidR="002A1C8B">
        <w:rPr>
          <w:lang w:eastAsia="ja-JP"/>
        </w:rPr>
        <w:t>under global warming</w:t>
      </w:r>
      <w:r w:rsidR="00E80737">
        <w:rPr>
          <w:lang w:eastAsia="ja-JP"/>
        </w:rPr>
        <w:t>.</w:t>
      </w:r>
    </w:p>
    <w:p w14:paraId="49DF7272" w14:textId="77777777" w:rsidR="00ED61D5" w:rsidRDefault="00ED61D5" w:rsidP="006F623F">
      <w:pPr>
        <w:pStyle w:val="Abstract"/>
        <w:jc w:val="both"/>
      </w:pPr>
    </w:p>
    <w:p w14:paraId="16752E20" w14:textId="77777777" w:rsidR="002F3B11" w:rsidRDefault="002F3B11" w:rsidP="006F623F">
      <w:pPr>
        <w:pStyle w:val="Heading-Main"/>
        <w:jc w:val="both"/>
      </w:pPr>
      <w:r>
        <w:t>1 Introduction</w:t>
      </w:r>
    </w:p>
    <w:p w14:paraId="4D32869E" w14:textId="34ACFC15" w:rsidR="003E0678" w:rsidRDefault="00CB18B5" w:rsidP="006F623F">
      <w:pPr>
        <w:pStyle w:val="Heading-Main"/>
        <w:jc w:val="both"/>
        <w:rPr>
          <w:b w:val="0"/>
          <w:bCs w:val="0"/>
          <w:kern w:val="0"/>
          <w:lang w:eastAsia="ja-JP"/>
        </w:rPr>
      </w:pPr>
      <w:r w:rsidRPr="00CB18B5">
        <w:rPr>
          <w:b w:val="0"/>
          <w:bCs w:val="0"/>
          <w:kern w:val="0"/>
        </w:rPr>
        <w:t>The Northern Annular Mode (NAM)</w:t>
      </w:r>
      <w:r w:rsidR="006F623F">
        <w:rPr>
          <w:b w:val="0"/>
          <w:bCs w:val="0"/>
          <w:kern w:val="0"/>
        </w:rPr>
        <w:t>, also known as the Arctic Oscillation,</w:t>
      </w:r>
      <w:r w:rsidRPr="00CB18B5">
        <w:rPr>
          <w:b w:val="0"/>
          <w:bCs w:val="0"/>
          <w:kern w:val="0"/>
        </w:rPr>
        <w:t xml:space="preserve"> is the most dominant </w:t>
      </w:r>
      <w:r w:rsidR="006F623F">
        <w:rPr>
          <w:b w:val="0"/>
          <w:bCs w:val="0"/>
          <w:kern w:val="0"/>
        </w:rPr>
        <w:t xml:space="preserve">pattern of </w:t>
      </w:r>
      <w:r w:rsidRPr="00CB18B5">
        <w:rPr>
          <w:b w:val="0"/>
          <w:bCs w:val="0"/>
          <w:kern w:val="0"/>
        </w:rPr>
        <w:t xml:space="preserve">atmospheric circulation </w:t>
      </w:r>
      <w:r w:rsidR="006F623F">
        <w:rPr>
          <w:b w:val="0"/>
          <w:bCs w:val="0"/>
          <w:kern w:val="0"/>
        </w:rPr>
        <w:t>variability</w:t>
      </w:r>
      <w:r w:rsidRPr="00CB18B5">
        <w:rPr>
          <w:b w:val="0"/>
          <w:bCs w:val="0"/>
          <w:kern w:val="0"/>
        </w:rPr>
        <w:t xml:space="preserve"> </w:t>
      </w:r>
      <w:r w:rsidR="006F623F">
        <w:rPr>
          <w:b w:val="0"/>
          <w:bCs w:val="0"/>
          <w:kern w:val="0"/>
        </w:rPr>
        <w:t>in the wintertime</w:t>
      </w:r>
      <w:r w:rsidRPr="00CB18B5">
        <w:rPr>
          <w:b w:val="0"/>
          <w:bCs w:val="0"/>
          <w:kern w:val="0"/>
        </w:rPr>
        <w:t xml:space="preserve"> Northern Hemisphere</w:t>
      </w:r>
      <w:r w:rsidR="006F623F">
        <w:rPr>
          <w:b w:val="0"/>
          <w:bCs w:val="0"/>
          <w:kern w:val="0"/>
        </w:rPr>
        <w:t xml:space="preserve"> </w:t>
      </w:r>
      <w:proofErr w:type="spellStart"/>
      <w:r w:rsidR="006F623F">
        <w:rPr>
          <w:b w:val="0"/>
          <w:bCs w:val="0"/>
          <w:kern w:val="0"/>
        </w:rPr>
        <w:t>extratropics</w:t>
      </w:r>
      <w:proofErr w:type="spellEnd"/>
      <w:r w:rsidR="00E40093">
        <w:rPr>
          <w:b w:val="0"/>
          <w:bCs w:val="0"/>
          <w:kern w:val="0"/>
        </w:rPr>
        <w:t xml:space="preserve"> </w:t>
      </w:r>
      <w:r w:rsidR="0087787D">
        <w:rPr>
          <w:b w:val="0"/>
          <w:bCs w:val="0"/>
          <w:kern w:val="0"/>
        </w:rPr>
        <w:fldChar w:fldCharType="begin"/>
      </w:r>
      <w:r w:rsidR="006F3581">
        <w:rPr>
          <w:b w:val="0"/>
          <w:bCs w:val="0"/>
          <w:kern w:val="0"/>
        </w:rPr>
        <w:instrText xml:space="preserve"> ADDIN ZOTERO_ITEM CSL_CITATION {"citationID":"VFKxMg5D","properties":{"formattedCitation":"(Thompson &amp; Wallace, 1998)","plainCitation":"(Thompson &amp; Wallace, 1998)","noteIndex":0},"citationItems":[{"id":3,"uris":["http://zotero.org/users/14197466/items/ZS2H5ED4"],"itemData":{"id":3,"type":"article-journal","abstract":"The leading empirical orthogonal functionof the variablein the analysisis SLP(p), expresseidn termsof the wintertimesea-levelpressurefield is more strongly coupledto equivalenht eightof the 1000-hPasurface(Z•000a) boveseasurfaceair temperaturefluctuationsovertheEurasiancontinent level usingthe approximaterelationZ•000= 8(/9-1000) where than the North Atlantic Oscillation (NAO). It resembles the Z•000is expresseidn metersandp in hPa.","container-title":"Geophysical Research Letters","DOI":"10.1029/98GL00950","ISSN":"0094-8276, 1944-8007","issue":"9","journalAbbreviation":"Geophysical Research Letters","language":"en","license":"http://onlinelibrary.wiley.com/termsAndConditions#vor","page":"1297-1300","source":"DOI.org (Crossref)","title":"The Arctic oscillation signature in the wintertime geopotential height and temperature fields","volume":"25","author":[{"family":"Thompson","given":"David W. J."},{"family":"Wallace","given":"John M."}],"issued":{"date-parts":[["1998",5]]}}}],"schema":"https://github.com/citation-style-language/schema/raw/master/csl-citation.json"} </w:instrText>
      </w:r>
      <w:r w:rsidR="0087787D">
        <w:rPr>
          <w:b w:val="0"/>
          <w:bCs w:val="0"/>
          <w:kern w:val="0"/>
        </w:rPr>
        <w:fldChar w:fldCharType="separate"/>
      </w:r>
      <w:r w:rsidR="006F3581">
        <w:rPr>
          <w:b w:val="0"/>
          <w:bCs w:val="0"/>
          <w:noProof/>
          <w:kern w:val="0"/>
        </w:rPr>
        <w:t>(Thompson &amp; Wallace, 1998)</w:t>
      </w:r>
      <w:r w:rsidR="0087787D">
        <w:rPr>
          <w:b w:val="0"/>
          <w:bCs w:val="0"/>
          <w:kern w:val="0"/>
        </w:rPr>
        <w:fldChar w:fldCharType="end"/>
      </w:r>
      <w:r w:rsidR="0087787D">
        <w:rPr>
          <w:b w:val="0"/>
          <w:bCs w:val="0"/>
          <w:kern w:val="0"/>
        </w:rPr>
        <w:t>.</w:t>
      </w:r>
      <w:r w:rsidRPr="00CB18B5">
        <w:rPr>
          <w:b w:val="0"/>
          <w:bCs w:val="0"/>
          <w:kern w:val="0"/>
        </w:rPr>
        <w:t xml:space="preserve"> </w:t>
      </w:r>
      <w:r w:rsidR="006F623F">
        <w:rPr>
          <w:b w:val="0"/>
          <w:bCs w:val="0"/>
          <w:kern w:val="0"/>
        </w:rPr>
        <w:t xml:space="preserve">The </w:t>
      </w:r>
      <w:r w:rsidRPr="00CB18B5">
        <w:rPr>
          <w:b w:val="0"/>
          <w:bCs w:val="0"/>
          <w:kern w:val="0"/>
        </w:rPr>
        <w:t xml:space="preserve">NAM </w:t>
      </w:r>
      <w:r w:rsidR="00B5245D">
        <w:rPr>
          <w:b w:val="0"/>
          <w:bCs w:val="0"/>
          <w:kern w:val="0"/>
        </w:rPr>
        <w:t>features</w:t>
      </w:r>
      <w:r w:rsidRPr="00CB18B5">
        <w:rPr>
          <w:b w:val="0"/>
          <w:bCs w:val="0"/>
          <w:kern w:val="0"/>
        </w:rPr>
        <w:t xml:space="preserve"> </w:t>
      </w:r>
      <w:r w:rsidR="006F623F">
        <w:rPr>
          <w:b w:val="0"/>
          <w:bCs w:val="0"/>
          <w:kern w:val="0"/>
        </w:rPr>
        <w:t>the same-signed sea-level pressure (SLP) anomalies around the climatological Aleutian Low (AL) and Azores High, and the opposite-signed SLP anomaly around the</w:t>
      </w:r>
      <w:r w:rsidR="003D1DED">
        <w:rPr>
          <w:b w:val="0"/>
          <w:bCs w:val="0"/>
          <w:kern w:val="0"/>
        </w:rPr>
        <w:t xml:space="preserve"> climatological</w:t>
      </w:r>
      <w:r w:rsidR="006F623F">
        <w:rPr>
          <w:b w:val="0"/>
          <w:bCs w:val="0"/>
          <w:kern w:val="0"/>
        </w:rPr>
        <w:t xml:space="preserve"> Icelandic Low</w:t>
      </w:r>
      <w:r w:rsidR="003B4B45">
        <w:rPr>
          <w:b w:val="0"/>
          <w:bCs w:val="0"/>
          <w:kern w:val="0"/>
        </w:rPr>
        <w:t xml:space="preserve"> (IL)</w:t>
      </w:r>
      <w:r w:rsidR="006F623F">
        <w:rPr>
          <w:b w:val="0"/>
          <w:bCs w:val="0"/>
          <w:kern w:val="0"/>
        </w:rPr>
        <w:t>. The</w:t>
      </w:r>
      <w:r w:rsidR="008B6548">
        <w:rPr>
          <w:b w:val="0"/>
          <w:bCs w:val="0"/>
          <w:kern w:val="0"/>
        </w:rPr>
        <w:t xml:space="preserve"> </w:t>
      </w:r>
      <w:r w:rsidR="006F623F">
        <w:rPr>
          <w:b w:val="0"/>
          <w:bCs w:val="0"/>
          <w:kern w:val="0"/>
        </w:rPr>
        <w:t xml:space="preserve">two </w:t>
      </w:r>
      <w:r w:rsidR="008B6548">
        <w:rPr>
          <w:b w:val="0"/>
          <w:bCs w:val="0"/>
          <w:kern w:val="0"/>
        </w:rPr>
        <w:t xml:space="preserve">Atlantic </w:t>
      </w:r>
      <w:r w:rsidR="006F623F">
        <w:rPr>
          <w:b w:val="0"/>
          <w:bCs w:val="0"/>
          <w:kern w:val="0"/>
        </w:rPr>
        <w:t>lobes constitute the North Atlantic Oscillation (NAO)</w:t>
      </w:r>
      <w:r w:rsidR="003B4B45">
        <w:rPr>
          <w:b w:val="0"/>
          <w:bCs w:val="0"/>
          <w:kern w:val="0"/>
        </w:rPr>
        <w:t>, the dominant mode of variability in the North Atlantic</w:t>
      </w:r>
      <w:r w:rsidR="006F623F">
        <w:rPr>
          <w:b w:val="0"/>
          <w:bCs w:val="0"/>
          <w:kern w:val="0"/>
        </w:rPr>
        <w:t>. The NAM is also related to the strength of the polar vortex and represents a mode of varia</w:t>
      </w:r>
      <w:r w:rsidR="003B4B45">
        <w:rPr>
          <w:b w:val="0"/>
          <w:bCs w:val="0"/>
          <w:kern w:val="0"/>
        </w:rPr>
        <w:t>b</w:t>
      </w:r>
      <w:r w:rsidR="006F623F">
        <w:rPr>
          <w:b w:val="0"/>
          <w:bCs w:val="0"/>
          <w:kern w:val="0"/>
        </w:rPr>
        <w:t>ility extending f</w:t>
      </w:r>
      <w:r w:rsidR="003B4B45">
        <w:rPr>
          <w:b w:val="0"/>
          <w:bCs w:val="0"/>
          <w:kern w:val="0"/>
        </w:rPr>
        <w:t>r</w:t>
      </w:r>
      <w:r w:rsidR="006F623F">
        <w:rPr>
          <w:b w:val="0"/>
          <w:bCs w:val="0"/>
          <w:kern w:val="0"/>
        </w:rPr>
        <w:t>om the troposphere to the stratosphere</w:t>
      </w:r>
      <w:r w:rsidR="00326716">
        <w:rPr>
          <w:b w:val="0"/>
          <w:bCs w:val="0"/>
          <w:kern w:val="0"/>
        </w:rPr>
        <w:t xml:space="preserve"> </w:t>
      </w:r>
      <w:r w:rsidR="00326716">
        <w:rPr>
          <w:b w:val="0"/>
          <w:bCs w:val="0"/>
          <w:kern w:val="0"/>
        </w:rPr>
        <w:fldChar w:fldCharType="begin"/>
      </w:r>
      <w:r w:rsidR="006F3581">
        <w:rPr>
          <w:b w:val="0"/>
          <w:bCs w:val="0"/>
          <w:kern w:val="0"/>
        </w:rPr>
        <w:instrText xml:space="preserve"> ADDIN ZOTERO_ITEM CSL_CITATION {"citationID":"xPyZqq6K","properties":{"formattedCitation":"(Baldwin &amp; Dunkerton, 1999; Kidston et al., 2015; Thompson &amp; Wallace, 2000)","plainCitation":"(Baldwin &amp; Dunkerton, 1999; Kidston et al., 2015; Thompson &amp; Wallace, 2000)","noteIndex":0},"citationItems":[{"id":207,"uris":["http://zotero.org/users/14197466/items/AGBJHY4R"],"itemData":{"id":207,"type":"article-journal","abstract":"Geopotential anomalies ranging from the Earth's surface to the middle stratosphere in the northern hemisphere are dominated by a mode of variability known as the Arctic Oscillation (AO). The AO is represented herein by the leading mode (the first empirical orthogonal function) of low-frequency variability of wintertime geopotential between 1000 and 10 hPa. In the middle stratosphere the signature of the AO is a nearly zonally symmetric pattern representing a strong or weak polar vortex. At 1000 hPa the AO is similar to the North Atlantic Oscillation, but with more zonal symmetry, especially at high latitudes. In zonal-mean zonal wind the AO is seen as a north-south dipole centered on 40°–45°N; in zonal-mean temperature it is seen as a deep warm or cold polar anomaly from the upper troposphere to </w:instrText>
      </w:r>
      <w:r w:rsidR="006F3581">
        <w:rPr>
          <w:rFonts w:ascii="Cambria Math" w:hAnsi="Cambria Math" w:cs="Cambria Math"/>
          <w:b w:val="0"/>
          <w:bCs w:val="0"/>
          <w:kern w:val="0"/>
        </w:rPr>
        <w:instrText>∼</w:instrText>
      </w:r>
      <w:r w:rsidR="006F3581">
        <w:rPr>
          <w:b w:val="0"/>
          <w:bCs w:val="0"/>
          <w:kern w:val="0"/>
        </w:rPr>
        <w:instrText xml:space="preserve">10 hPa. The association of the AO pattern in the troposphere with modulation of the strength of the stratospheric polar vortex provides perhaps the best measure of coupling between the stratosphere and the troposphere. By examining separately time series of AO signatures at tropospheric and stratospheric levels, it is shown that AO anomalies typically appear first in the stratosphere and propagate downward. The midwinter correlation between the 90-day low-pass-filtered 10-hPa anomaly and the 1000-hPa anomaly exceeds 0.65 when the surface anomaly time series is lagged by about three weeks. The tropospheric signature of the AO anomaly is characterized by substantial changes to the storm tracks and strength of the midtropospheric flow, especially over the North Atlantic and Europe. The implications of large stratospheric anomalies as precursors to changes in tropospheric weather patterns are discussed.","container-title":"Journal of Geophysical Research: Atmospheres","DOI":"10.1029/1999JD900445","ISSN":"2156-2202","issue":"D24","language":"en","license":"Copyright 1999 by the American Geophysical Union.","note":"_eprint: https://onlinelibrary.wiley.com/doi/pdf/10.1029/1999JD900445","page":"30937-30946","source":"Wiley Online Library","title":"Propagation of the Arctic Oscillation from the stratosphere to the troposphere","volume":"104","author":[{"family":"Baldwin","given":"Mark P."},{"family":"Dunkerton","given":"Timothy J."}],"issued":{"date-parts":[["1999"]]}}},{"id":99,"uris":["http://zotero.org/users/14197466/items/9TYHU2RZ"],"itemData":{"id":99,"type":"article-journal","abstract":"The atmospheric layer that lies above Earth's weather systems can exert a strong downward influence. A review of this influence on storm tracks and surface weather suggests that the dynamical links between the layers hold across timescales.","container-title":"Nature Geoscience","DOI":"10.1038/ngeo2424","ISSN":"1752-0908","issue":"6","journalAbbreviation":"Nature Geosci","language":"en","license":"2015 Springer Nature Limited","note":"publisher: Nature Publishing Group","page":"433-440","source":"www.nature.com","title":"Stratospheric influence on tropospheric jet streams, storm tracks and surface weather","volume":"8","author":[{"family":"Kidston","given":"Joseph"},{"family":"Scaife","given":"Adam A."},{"family":"Hardiman","given":"Steven C."},{"family":"Mitchell","given":"Daniel M."},{"family":"Butchart","given":"Neal"},{"family":"Baldwin","given":"Mark P."},{"family":"Gray","given":"Lesley J."}],"issued":{"date-parts":[["2015",6]]}}},{"id":224,"uris":["http://zotero.org/users/14197466/items/6KLQUKKW"],"itemData":{"id":224,"type":"article-journal","container-title":"Journal of climate","issue":"5","note":"publisher: American Meteorological Society","page":"1000–1016","source":"Google Scholar","title":"Annular modes in the extratropical circulation. Part I: Month-to-month variability","title-short":"Annular modes in the extratropical circulation. Part I","volume":"13","author":[{"family":"Thompson","given":"David W. J."},{"family":"Wallace","given":"John M."}],"issued":{"date-parts":[["2000"]]}}}],"schema":"https://github.com/citation-style-language/schema/raw/master/csl-citation.json"} </w:instrText>
      </w:r>
      <w:r w:rsidR="00326716">
        <w:rPr>
          <w:b w:val="0"/>
          <w:bCs w:val="0"/>
          <w:kern w:val="0"/>
        </w:rPr>
        <w:fldChar w:fldCharType="separate"/>
      </w:r>
      <w:r w:rsidR="006F3581">
        <w:rPr>
          <w:b w:val="0"/>
          <w:bCs w:val="0"/>
          <w:noProof/>
          <w:kern w:val="0"/>
        </w:rPr>
        <w:t>(Baldwin &amp; Dunkerton, 1999; Kidston et al., 2015; Thompson &amp; Wallace, 2000)</w:t>
      </w:r>
      <w:r w:rsidR="00326716">
        <w:rPr>
          <w:b w:val="0"/>
          <w:bCs w:val="0"/>
          <w:kern w:val="0"/>
        </w:rPr>
        <w:fldChar w:fldCharType="end"/>
      </w:r>
      <w:r w:rsidR="006F623F">
        <w:rPr>
          <w:b w:val="0"/>
          <w:bCs w:val="0"/>
          <w:kern w:val="0"/>
        </w:rPr>
        <w:t>.</w:t>
      </w:r>
      <w:r w:rsidR="00E40093">
        <w:rPr>
          <w:b w:val="0"/>
          <w:bCs w:val="0"/>
          <w:kern w:val="0"/>
        </w:rPr>
        <w:t xml:space="preserve"> </w:t>
      </w:r>
      <w:r w:rsidR="00E360F2">
        <w:rPr>
          <w:b w:val="0"/>
          <w:bCs w:val="0"/>
          <w:kern w:val="0"/>
        </w:rPr>
        <w:t>Given the broad NAM</w:t>
      </w:r>
      <w:r w:rsidR="003E0678" w:rsidRPr="003E0678">
        <w:rPr>
          <w:b w:val="0"/>
          <w:bCs w:val="0"/>
          <w:kern w:val="0"/>
        </w:rPr>
        <w:t xml:space="preserve"> influence</w:t>
      </w:r>
      <w:r w:rsidR="00E360F2">
        <w:rPr>
          <w:b w:val="0"/>
          <w:bCs w:val="0"/>
          <w:kern w:val="0"/>
        </w:rPr>
        <w:t xml:space="preserve"> on</w:t>
      </w:r>
      <w:r w:rsidR="003E0678" w:rsidRPr="003E0678">
        <w:rPr>
          <w:b w:val="0"/>
          <w:bCs w:val="0"/>
          <w:kern w:val="0"/>
        </w:rPr>
        <w:t xml:space="preserve"> the surface </w:t>
      </w:r>
      <w:r w:rsidR="003B4B45">
        <w:rPr>
          <w:b w:val="0"/>
          <w:bCs w:val="0"/>
          <w:kern w:val="0"/>
        </w:rPr>
        <w:t>climate</w:t>
      </w:r>
      <w:r w:rsidR="003E0678">
        <w:rPr>
          <w:b w:val="0"/>
          <w:bCs w:val="0"/>
          <w:kern w:val="0"/>
        </w:rPr>
        <w:t xml:space="preserve"> </w:t>
      </w:r>
      <w:r w:rsidR="00B9740C">
        <w:rPr>
          <w:b w:val="0"/>
          <w:bCs w:val="0"/>
          <w:kern w:val="0"/>
        </w:rPr>
        <w:fldChar w:fldCharType="begin"/>
      </w:r>
      <w:r w:rsidR="006F3581">
        <w:rPr>
          <w:b w:val="0"/>
          <w:bCs w:val="0"/>
          <w:kern w:val="0"/>
        </w:rPr>
        <w:instrText xml:space="preserve"> ADDIN ZOTERO_ITEM CSL_CITATION {"citationID":"qh0laQo4","properties":{"unsorted":true,"formattedCitation":"(Thompson &amp; Wallace, 1998; He et al., 2017; Thompson &amp; Wallace, 2000)","plainCitation":"(Thompson &amp; Wallace, 1998; He et al., 2017; Thompson &amp; Wallace, 2000)","noteIndex":0},"citationItems":[{"id":3,"uris":["http://zotero.org/users/14197466/items/ZS2H5ED4"],"itemData":{"id":3,"type":"article-journal","abstract":"The leading empirical orthogonal functionof the variablein the analysisis SLP(p), expresseidn termsof the wintertimesea-levelpressurefield is more strongly coupledto equivalenht eightof the 1000-hPasurface(Z•000a) boveseasurfaceair temperaturefluctuationsovertheEurasiancontinent level usingthe approximaterelationZ•000= 8(/9-1000) where than the North Atlantic Oscillation (NAO). It resembles the Z•000is expresseidn metersandp in hPa.","container-title":"Geophysical Research Letters","DOI":"10.1029/98GL00950","ISSN":"0094-8276, 1944-8007","issue":"9","journalAbbreviation":"Geophysical Research Letters","language":"en","license":"http://onlinelibrary.wiley.com/termsAndConditions#vor","page":"1297-1300","source":"DOI.org (Crossref)","title":"The Arctic oscillation signature in the wintertime geopotential height and temperature fields","volume":"25","author":[{"family":"Thompson","given":"David W. J."},{"family":"Wallace","given":"John M."}],"issued":{"date-parts":[["1998",5]]}}},{"id":98,"uris":["http://zotero.org/users/14197466/items/4SBHIHJY"],"itemData":{"id":98,"type":"article-journal","abstract":"The Arctic Oscillation (AO), which depicts a most dominant large-scale seesaw between the mid-latitudes and Arctic atmospheric mass, influences climate over Eurasia, North America, eastern Canada, North Africa, and the Middle East, especially during boreal winter. This review, with a special focus on the East Asian region, summarizes the climatic impact of AO. It begins with a description of the spatial structure of AO and the related climatic anomalies. The relationship of winter AO with the simultaneous East Asian winter climate (e.g. the East Asian winter monsoon (EAWM), cold surges/cold waves, and precipitation) and its instability are then followed. It is generally accepted that, through impacting the Siberian high, westerly wind, blocking frequency, Rossby wave activities etc., a positive phase of winter AO is associated with a weaker-than-normal EAWM, warmer conditions in East Asia, less frequency of cold surges/cold waves, increasing (decreasing) of winter precipitation in south (north) parts of East Asia; and vice versa. Notably, the pathways that the winter AO exerts impact are different. Besides, the AO-EAWM and the AO-cold surges/cold wave linkages have spatial and temporal variations. Subsequently, an overview of the inter-seasonal linkages between the East Asian summer monsoon with the preceding spring/winter AO is presented. There is a generally accepted knowledge that a positive spring AO is followed by significant positive summer precipitation anomalies in southern China and western Pacific as well as negative ones in the lower valley of Yangtze River and southern Japan. Finally, this review synthesizes the impact of winter/spring AO on the East Asian spring climate (e.g. dust storm, temperature, and precipitation) and discusses the potential predictive value of AO. The projection of AO and its impact on the East Asian climate in future has been barely explored. We conclude that, along with the long-term observation data, the linkage between AO and the East Asian climate on the sub-seasonal and decadal time scales, how tropical and extratropical forcing modulates the linkage and how the linkage evolves under future warming conditions should be more investigated. Notably, the change of AO during 1990–2013 winters could explain the Eurasian cooling but failed to explain the Arctic warming. In the future, the effect of Ural blocking on Arctic and Eurasian climate and their connection might be a hot topic.","container-title":"Earth-Science Reviews","DOI":"10.1016/j.earscirev.2016.10.014","ISSN":"0012-8252","journalAbbreviation":"Earth-Science Reviews","page":"48-62","source":"ScienceDirect","title":"Impact of Arctic Oscillation on the East Asian climate: A review","title-short":"Impact of Arctic Oscillation on the East Asian climate","volume":"164","author":[{"family":"He","given":"Shengping"},{"family":"Gao","given":"Yongqi"},{"family":"Li","given":"Fei"},{"family":"Wang","given":"Huijun"},{"family":"He","given":"Yanchun"}],"issued":{"date-parts":[["2017",1,1]]}}},{"id":224,"uris":["http://zotero.org/users/14197466/items/6KLQUKKW"],"itemData":{"id":224,"type":"article-journal","container-title":"Journal of climate","issue":"5","note":"publisher: American Meteorological Society","page":"1000–1016","source":"Google Scholar","title":"Annular modes in the extratropical circulation. Part I: Month-to-month variability","title-short":"Annular modes in the extratropical circulation. Part I","volume":"13","author":[{"family":"Thompson","given":"David W. J."},{"family":"Wallace","given":"John M."}],"issued":{"date-parts":[["2000"]]}}}],"schema":"https://github.com/citation-style-language/schema/raw/master/csl-citation.json"} </w:instrText>
      </w:r>
      <w:r w:rsidR="00B9740C">
        <w:rPr>
          <w:b w:val="0"/>
          <w:bCs w:val="0"/>
          <w:kern w:val="0"/>
        </w:rPr>
        <w:fldChar w:fldCharType="separate"/>
      </w:r>
      <w:r w:rsidR="006F3581">
        <w:rPr>
          <w:b w:val="0"/>
          <w:bCs w:val="0"/>
          <w:noProof/>
          <w:kern w:val="0"/>
        </w:rPr>
        <w:t>(Thompson &amp; Wallace, 1998; He et al., 2017; Thompson &amp; Wallace, 2000)</w:t>
      </w:r>
      <w:r w:rsidR="00B9740C">
        <w:rPr>
          <w:b w:val="0"/>
          <w:bCs w:val="0"/>
          <w:kern w:val="0"/>
        </w:rPr>
        <w:fldChar w:fldCharType="end"/>
      </w:r>
      <w:r w:rsidR="003E0678" w:rsidRPr="003E0678">
        <w:rPr>
          <w:b w:val="0"/>
          <w:bCs w:val="0"/>
          <w:kern w:val="0"/>
        </w:rPr>
        <w:t xml:space="preserve">, understanding its mechanisms is crucial for </w:t>
      </w:r>
      <w:r w:rsidR="008B6548">
        <w:rPr>
          <w:b w:val="0"/>
          <w:bCs w:val="0"/>
          <w:kern w:val="0"/>
        </w:rPr>
        <w:t>regional climate variability</w:t>
      </w:r>
      <w:r w:rsidR="00E360F2">
        <w:rPr>
          <w:b w:val="0"/>
          <w:bCs w:val="0"/>
          <w:kern w:val="0"/>
        </w:rPr>
        <w:t>,</w:t>
      </w:r>
      <w:r w:rsidR="008B6548">
        <w:rPr>
          <w:b w:val="0"/>
          <w:bCs w:val="0"/>
          <w:kern w:val="0"/>
        </w:rPr>
        <w:t xml:space="preserve"> extremes</w:t>
      </w:r>
      <w:r w:rsidR="00E360F2">
        <w:rPr>
          <w:b w:val="0"/>
          <w:bCs w:val="0"/>
          <w:kern w:val="0"/>
        </w:rPr>
        <w:t>,</w:t>
      </w:r>
      <w:r w:rsidR="008B6548">
        <w:rPr>
          <w:b w:val="0"/>
          <w:bCs w:val="0"/>
          <w:kern w:val="0"/>
        </w:rPr>
        <w:t xml:space="preserve"> and their seasonal forecasts</w:t>
      </w:r>
      <w:r w:rsidR="003E0678" w:rsidRPr="003E0678">
        <w:rPr>
          <w:b w:val="0"/>
          <w:bCs w:val="0"/>
          <w:kern w:val="0"/>
        </w:rPr>
        <w:t>.</w:t>
      </w:r>
    </w:p>
    <w:p w14:paraId="3811A625" w14:textId="6CFE0251" w:rsidR="00ED61D5" w:rsidRDefault="00ED61D5" w:rsidP="006F623F">
      <w:pPr>
        <w:pStyle w:val="Heading-Main"/>
        <w:jc w:val="both"/>
        <w:rPr>
          <w:b w:val="0"/>
          <w:bCs w:val="0"/>
          <w:kern w:val="0"/>
        </w:rPr>
      </w:pPr>
      <w:r w:rsidRPr="00ED61D5">
        <w:rPr>
          <w:b w:val="0"/>
          <w:bCs w:val="0"/>
          <w:kern w:val="0"/>
        </w:rPr>
        <w:t xml:space="preserve">Since </w:t>
      </w:r>
      <w:r w:rsidR="003B4B45">
        <w:rPr>
          <w:b w:val="0"/>
          <w:bCs w:val="0"/>
          <w:kern w:val="0"/>
        </w:rPr>
        <w:t>identified</w:t>
      </w:r>
      <w:r w:rsidRPr="00ED61D5">
        <w:rPr>
          <w:b w:val="0"/>
          <w:bCs w:val="0"/>
          <w:kern w:val="0"/>
        </w:rPr>
        <w:t xml:space="preserve"> b</w:t>
      </w:r>
      <w:r w:rsidR="007F2025">
        <w:rPr>
          <w:b w:val="0"/>
          <w:bCs w:val="0"/>
          <w:kern w:val="0"/>
        </w:rPr>
        <w:t xml:space="preserve">y </w:t>
      </w:r>
      <w:r w:rsidR="00986C52">
        <w:rPr>
          <w:b w:val="0"/>
          <w:bCs w:val="0"/>
          <w:kern w:val="0"/>
        </w:rPr>
        <w:fldChar w:fldCharType="begin"/>
      </w:r>
      <w:r w:rsidR="000B1705">
        <w:rPr>
          <w:b w:val="0"/>
          <w:bCs w:val="0"/>
          <w:kern w:val="0"/>
        </w:rPr>
        <w:instrText xml:space="preserve"> ADDIN ZOTERO_ITEM CSL_CITATION {"citationID":"nWWni55l","properties":{"formattedCitation":"(Thompson &amp; Wallace, 1998)","plainCitation":"(Thompson &amp; Wallace, 1998)","dontUpdate":true,"noteIndex":0},"citationItems":[{"id":3,"uris":["http://zotero.org/users/14197466/items/ZS2H5ED4"],"itemData":{"id":3,"type":"article-journal","abstract":"The leading empirical orthogonal functionof the variablein the analysisis SLP(p), expresseidn termsof the wintertimesea-levelpressurefield is more strongly coupledto equivalenht eightof the 1000-hPasurface(Z•000a) boveseasurfaceair temperaturefluctuationsovertheEurasiancontinent level usingthe approximaterelationZ•000= 8(/9-1000) where than the North Atlantic Oscillation (NAO). It resembles the Z•000is expresseidn metersandp in hPa.","container-title":"Geophysical Research Letters","DOI":"10.1029/98GL00950","ISSN":"0094-8276, 1944-8007","issue":"9","journalAbbreviation":"Geophysical Research Letters","language":"en","license":"http://onlinelibrary.wiley.com/termsAndConditions#vor","page":"1297-1300","source":"DOI.org (Crossref)","title":"The Arctic oscillation signature in the wintertime geopotential height and temperature fields","volume":"25","author":[{"family":"Thompson","given":"David W. J."},{"family":"Wallace","given":"John M."}],"issued":{"date-parts":[["1998",5]]}}}],"schema":"https://github.com/citation-style-language/schema/raw/master/csl-citation.json"} </w:instrText>
      </w:r>
      <w:r w:rsidR="00986C52">
        <w:rPr>
          <w:b w:val="0"/>
          <w:bCs w:val="0"/>
          <w:kern w:val="0"/>
        </w:rPr>
        <w:fldChar w:fldCharType="separate"/>
      </w:r>
      <w:r w:rsidR="00986C52">
        <w:rPr>
          <w:b w:val="0"/>
          <w:bCs w:val="0"/>
          <w:noProof/>
          <w:kern w:val="0"/>
        </w:rPr>
        <w:t>Thompson &amp; Wallace (1998)</w:t>
      </w:r>
      <w:r w:rsidR="00986C52">
        <w:rPr>
          <w:b w:val="0"/>
          <w:bCs w:val="0"/>
          <w:kern w:val="0"/>
        </w:rPr>
        <w:fldChar w:fldCharType="end"/>
      </w:r>
      <w:r w:rsidRPr="00ED61D5">
        <w:rPr>
          <w:b w:val="0"/>
          <w:bCs w:val="0"/>
          <w:kern w:val="0"/>
        </w:rPr>
        <w:t>, the physical nature of</w:t>
      </w:r>
      <w:r w:rsidR="00A72361">
        <w:rPr>
          <w:b w:val="0"/>
          <w:bCs w:val="0"/>
          <w:kern w:val="0"/>
        </w:rPr>
        <w:t xml:space="preserve"> the</w:t>
      </w:r>
      <w:r w:rsidRPr="00ED61D5">
        <w:rPr>
          <w:b w:val="0"/>
          <w:bCs w:val="0"/>
          <w:kern w:val="0"/>
        </w:rPr>
        <w:t xml:space="preserve"> NAM has been </w:t>
      </w:r>
      <w:r w:rsidR="008B6548">
        <w:rPr>
          <w:b w:val="0"/>
          <w:bCs w:val="0"/>
          <w:kern w:val="0"/>
        </w:rPr>
        <w:t>debated</w:t>
      </w:r>
      <w:r w:rsidRPr="00ED61D5">
        <w:rPr>
          <w:b w:val="0"/>
          <w:bCs w:val="0"/>
          <w:kern w:val="0"/>
        </w:rPr>
        <w:t xml:space="preserve">. The main issue is its relationship with the NAO. The </w:t>
      </w:r>
      <w:r w:rsidR="003A4740">
        <w:rPr>
          <w:b w:val="0"/>
          <w:bCs w:val="0"/>
          <w:kern w:val="0"/>
        </w:rPr>
        <w:t>NAM spatially</w:t>
      </w:r>
      <w:r w:rsidRPr="00ED61D5">
        <w:rPr>
          <w:b w:val="0"/>
          <w:bCs w:val="0"/>
          <w:kern w:val="0"/>
        </w:rPr>
        <w:t xml:space="preserve"> resembles the NAO in the North Atlantic sector, </w:t>
      </w:r>
      <w:r w:rsidR="003A4740">
        <w:rPr>
          <w:b w:val="0"/>
          <w:bCs w:val="0"/>
          <w:kern w:val="0"/>
        </w:rPr>
        <w:t>with</w:t>
      </w:r>
      <w:r w:rsidRPr="00ED61D5">
        <w:rPr>
          <w:b w:val="0"/>
          <w:bCs w:val="0"/>
          <w:kern w:val="0"/>
        </w:rPr>
        <w:t xml:space="preserve"> a high temporal correlation between their indices.</w:t>
      </w:r>
      <w:r w:rsidR="007F2025" w:rsidRPr="00ED61D5">
        <w:rPr>
          <w:b w:val="0"/>
          <w:bCs w:val="0"/>
          <w:kern w:val="0"/>
        </w:rPr>
        <w:t xml:space="preserve"> </w:t>
      </w:r>
      <w:r w:rsidR="007F2025">
        <w:rPr>
          <w:b w:val="0"/>
          <w:bCs w:val="0"/>
          <w:kern w:val="0"/>
        </w:rPr>
        <w:fldChar w:fldCharType="begin"/>
      </w:r>
      <w:r w:rsidR="002107E8">
        <w:rPr>
          <w:b w:val="0"/>
          <w:bCs w:val="0"/>
          <w:kern w:val="0"/>
        </w:rPr>
        <w:instrText xml:space="preserve"> ADDIN ZOTERO_ITEM CSL_CITATION {"citationID":"jBxoySZc","properties":{"formattedCitation":"(Wallace, 2000)","plainCitation":"(Wallace, 2000)","dontUpdate":true,"noteIndex":0},"citationItems":[{"id":94,"uris":["http://zotero.org/users/14197466/items/2VDWAZ9J"],"itemData":{"id":94,"type":"article-journal","abstract":"The North Atlantic Oscillation (NAO), as defined in the studies of Sir Gilbert Walker ca. 1930, and the zonal-index cycle, as elaborated by investigators at the Massachusetts Institute of Technology some twenty years later, are different interpretations of the same entity, whose time variations are well represented by the leading principal component of the northern hemisphere sea-level pressure field. The NAO paradigm envisions this phenomenon as involving a unique teleconnection pattern in the Atlantic sector that varies on interannual and longer time-scales in association with large-scale atmosphere-ocean interaction. In contrast, the zonal-index-cycle paradigm posits the existence of independent, fundamentally zonally symmetric (or ‘annular’) modes of variability in the northern and southern hemispheres, both of which fluctuate on intraseasonal as well as interannual time-scales. Spontaneous interactions between the zonally symmetric flow and the eddies are viewed as being largely responsible for the variability of the annular modes at the higher frequencies, and a variety of different mechanisms including, but by no means limited to, atmosphere-ocean interaction are viewed as potentially capable of forcing them at the lower frequencies. The NAO and ‘annular mode’ paradigms offer contradictory interpretations of the causal linkages that are responsible for the observed correlations between North Atlantic climate variability and variations in a diverse array of zonally averaged quantities. They suggest different research agendas and they evoke quite different images in the popular press. It is argued that the two paradigms cannot be equally valid and that it is in the interests of the community to come to a consensus as to which of them is more appropriate. Rules of evidence are proposed as a basis for making that decision.","container-title":"Quarterly Journal of the Royal Meteorological Society","DOI":"10.1002/qj.49712656402","ISSN":"1477-870X","issue":"564","language":"en","license":"Copyright © 2000 Royal Meteorological Society","note":"_eprint: https://onlinelibrary.wiley.com/doi/pdf/10.1002/qj.49712656402","page":"791-805","source":"Wiley Online Library","title":"North atlantic oscillatiodannular mode: Two paradigms—one phenomenon","title-short":"North atlantic oscillatiodannular mode","volume":"126","author":[{"family":"Wallace","given":"John M."}],"issued":{"date-parts":[["2000"]]}}}],"schema":"https://github.com/citation-style-language/schema/raw/master/csl-citation.json"} </w:instrText>
      </w:r>
      <w:r w:rsidR="007F2025">
        <w:rPr>
          <w:b w:val="0"/>
          <w:bCs w:val="0"/>
          <w:kern w:val="0"/>
        </w:rPr>
        <w:fldChar w:fldCharType="separate"/>
      </w:r>
      <w:r w:rsidR="007F2025">
        <w:rPr>
          <w:b w:val="0"/>
          <w:bCs w:val="0"/>
          <w:noProof/>
          <w:kern w:val="0"/>
        </w:rPr>
        <w:t>Wallace (2000)</w:t>
      </w:r>
      <w:r w:rsidR="007F2025">
        <w:rPr>
          <w:b w:val="0"/>
          <w:bCs w:val="0"/>
          <w:kern w:val="0"/>
        </w:rPr>
        <w:fldChar w:fldCharType="end"/>
      </w:r>
      <w:r w:rsidR="007F2025">
        <w:rPr>
          <w:b w:val="0"/>
          <w:bCs w:val="0"/>
          <w:kern w:val="0"/>
        </w:rPr>
        <w:t xml:space="preserve"> </w:t>
      </w:r>
      <w:r w:rsidRPr="00ED61D5">
        <w:rPr>
          <w:b w:val="0"/>
          <w:bCs w:val="0"/>
          <w:kern w:val="0"/>
        </w:rPr>
        <w:t xml:space="preserve">argued that the difference lies in whether one views the phenomenon locally (NAO) or </w:t>
      </w:r>
      <w:proofErr w:type="spellStart"/>
      <w:r w:rsidRPr="00ED61D5">
        <w:rPr>
          <w:b w:val="0"/>
          <w:bCs w:val="0"/>
          <w:kern w:val="0"/>
        </w:rPr>
        <w:t>hemispherically</w:t>
      </w:r>
      <w:proofErr w:type="spellEnd"/>
      <w:r w:rsidRPr="00ED61D5">
        <w:rPr>
          <w:b w:val="0"/>
          <w:bCs w:val="0"/>
          <w:kern w:val="0"/>
        </w:rPr>
        <w:t xml:space="preserve"> (NAM), as they are essentially the same. However, </w:t>
      </w:r>
      <w:r w:rsidR="008B6548">
        <w:rPr>
          <w:b w:val="0"/>
          <w:bCs w:val="0"/>
          <w:kern w:val="0"/>
        </w:rPr>
        <w:t>other studies que</w:t>
      </w:r>
      <w:r w:rsidR="00C313F6">
        <w:rPr>
          <w:b w:val="0"/>
          <w:bCs w:val="0"/>
          <w:kern w:val="0"/>
        </w:rPr>
        <w:t>s</w:t>
      </w:r>
      <w:r w:rsidR="008B6548">
        <w:rPr>
          <w:b w:val="0"/>
          <w:bCs w:val="0"/>
          <w:kern w:val="0"/>
        </w:rPr>
        <w:t>tioned statistical (</w:t>
      </w:r>
      <w:r w:rsidR="007F2025">
        <w:rPr>
          <w:b w:val="0"/>
          <w:bCs w:val="0"/>
          <w:kern w:val="0"/>
        </w:rPr>
        <w:fldChar w:fldCharType="begin"/>
      </w:r>
      <w:r w:rsidR="002107E8">
        <w:rPr>
          <w:b w:val="0"/>
          <w:bCs w:val="0"/>
          <w:kern w:val="0"/>
        </w:rPr>
        <w:instrText xml:space="preserve"> ADDIN ZOTERO_ITEM CSL_CITATION {"citationID":"nHli5ew2","properties":{"formattedCitation":"(Deser, 2000)","plainCitation":"(Deser, 2000)","dontUpdate":true,"noteIndex":0},"citationItems":[{"id":107,"uris":["http://zotero.org/users/14197466/items/VX3TJ9I3"],"itemData":{"id":107,"type":"article-journal","abstract":"The term “Arctic Oscillation” (AO) has recently been introduced to describe the leading structure of SLP variability over the Northern Hemisphere. A key feature of the AO is its zonally symmetric appearance, with a primary center of action over the Arctic and opposing anomalies in midlatitudes. Does the AO's annular appearance result from significant temporal correlations between SLP anomalies at distant longitudes? The results presented indicate that the temporal coherence between the Arctic and midlatitudes is strongest over the Atlantic sector, with weak correlations between the Atlantic and Pacific midlatitudes, both on intraseasonal and interannual time scales during the past 50 yrs. Hence, the “annular” character of the AO is more a reflection of the dominance of its Arctic center of action than any coordinated behavior of the Atlantic and Pacific centers of action in the SLP field. The AO is nearly indistinguishable from the leading structure of variability in the Atlantic sector (e.g., the North Atlantic Oscillation): their temporal correlation is 0.95 for monthly data.","container-title":"Geophysical Research Letters","DOI":"10.1029/1999GL010945","ISSN":"1944-8007","issue":"6","language":"en","license":"Copyright 2000 by the American Geophysical Union.","note":"_eprint: https://onlinelibrary.wiley.com/doi/pdf/10.1029/1999GL010945","page":"779-782","source":"Wiley Online Library","title":"On the teleconnectivity of the “Arctic Oscillation”","volume":"27","author":[{"family":"Deser","given":"Clara"}],"issued":{"date-parts":[["2000"]]}}}],"schema":"https://github.com/citation-style-language/schema/raw/master/csl-citation.json"} </w:instrText>
      </w:r>
      <w:r w:rsidR="007F2025">
        <w:rPr>
          <w:b w:val="0"/>
          <w:bCs w:val="0"/>
          <w:kern w:val="0"/>
        </w:rPr>
        <w:fldChar w:fldCharType="separate"/>
      </w:r>
      <w:r w:rsidR="007F2025">
        <w:rPr>
          <w:b w:val="0"/>
          <w:bCs w:val="0"/>
          <w:noProof/>
          <w:kern w:val="0"/>
        </w:rPr>
        <w:t>Deser 2000</w:t>
      </w:r>
      <w:r w:rsidR="007F2025">
        <w:rPr>
          <w:b w:val="0"/>
          <w:bCs w:val="0"/>
          <w:kern w:val="0"/>
        </w:rPr>
        <w:fldChar w:fldCharType="end"/>
      </w:r>
      <w:r w:rsidR="008B6548">
        <w:rPr>
          <w:b w:val="0"/>
          <w:bCs w:val="0"/>
          <w:kern w:val="0"/>
        </w:rPr>
        <w:t>) and physical (</w:t>
      </w:r>
      <w:r w:rsidR="007F2025">
        <w:rPr>
          <w:b w:val="0"/>
          <w:bCs w:val="0"/>
          <w:kern w:val="0"/>
        </w:rPr>
        <w:fldChar w:fldCharType="begin"/>
      </w:r>
      <w:r w:rsidR="00151826">
        <w:rPr>
          <w:b w:val="0"/>
          <w:bCs w:val="0"/>
          <w:kern w:val="0"/>
        </w:rPr>
        <w:instrText xml:space="preserve"> ADDIN ZOTERO_ITEM CSL_CITATION {"citationID":"IcDe0Ew7","properties":{"formattedCitation":"(Ambaum et al., 2001)","plainCitation":"(Ambaum et al., 2001)","dontUpdate":true,"noteIndex":0},"citationItems":[{"id":109,"uris":["http://zotero.org/users/14197466/items/6N4UDXUT"],"itemData":{"id":109,"type":"article-journal","abstract":"The definition and interpretation of the Arctic oscillation (AO) are examined and compared with those of the North Atlantic oscillation (NAO). It is shown that the NAO reflects the correlations between the surface pressure variability at its centers of action, whereas this is not the case for the AO. The NAO pattern can be identified in a physically consistent way in principal component analysis applied to various fields in the Euro-Atlantic region. A similar identification is found in the Pacific region for the Pacific–North American (PNA) pattern, but no such identification is found here for the AO. The AO does reflect the tendency for the zonal winds at 35° and 55°N to anticorrelate in both the Atlantic and Pacific regions associated with the NAO and PNA. Because climatological features in the two ocean basins are at different latitudes, the zonally symmetric nature of the AO does not mean that it represents a simple modulation of the circumpolar flow. An increase in the AO or NAO implies strong, separated tropospheric jets in the Atlantic but a weakened Pacific jet. The PNA has strong related variability in the Pacific jet exit, but elsewhere the zonal wind is similar to that related to the NAO. The NAO-related zonal winds link strongly through to the stratosphere in the Atlantic sector. The PNA-related winds do so in the Pacific, but to a lesser extent. The results suggest that the NAO paradigm may be more physically relevant and robust for Northern Hemisphere variability than is the AO paradigm. However, this does not disqualify many of the physical mechanisms associated with annular modes for explaining the existence of the NAO.","container-title":"Journal of Climate","DOI":"https://doi.org/10.1175/1520-0442(2001)014&lt;3495:AOONAO&gt;2.0.CO;2","ISSN":"1520-0442","issue":"16","language":"en","note":"section: Journal of Climate","page":"3495-3507","source":"journals.ametsoc.org","title":"Arctic Oscillation or North Atlantic Oscillation?","volume":"14","author":[{"family":"Ambaum","given":"Maarten H. P."},{"family":"Hoskins","given":"Brian J."},{"family":"Stephenson","given":"David B."}],"issued":{"date-parts":[["2001",8,15]]}}}],"schema":"https://github.com/citation-style-language/schema/raw/master/csl-citation.json"} </w:instrText>
      </w:r>
      <w:r w:rsidR="007F2025">
        <w:rPr>
          <w:b w:val="0"/>
          <w:bCs w:val="0"/>
          <w:kern w:val="0"/>
        </w:rPr>
        <w:fldChar w:fldCharType="separate"/>
      </w:r>
      <w:r w:rsidR="007F2025">
        <w:rPr>
          <w:b w:val="0"/>
          <w:bCs w:val="0"/>
          <w:noProof/>
          <w:kern w:val="0"/>
        </w:rPr>
        <w:t>Ambaum et al.</w:t>
      </w:r>
      <w:r w:rsidR="008B6548">
        <w:rPr>
          <w:b w:val="0"/>
          <w:bCs w:val="0"/>
          <w:noProof/>
          <w:kern w:val="0"/>
        </w:rPr>
        <w:t>,</w:t>
      </w:r>
      <w:r w:rsidR="007F2025">
        <w:rPr>
          <w:b w:val="0"/>
          <w:bCs w:val="0"/>
          <w:noProof/>
          <w:kern w:val="0"/>
        </w:rPr>
        <w:t xml:space="preserve"> 2001</w:t>
      </w:r>
      <w:r w:rsidR="007F2025">
        <w:rPr>
          <w:b w:val="0"/>
          <w:bCs w:val="0"/>
          <w:kern w:val="0"/>
        </w:rPr>
        <w:fldChar w:fldCharType="end"/>
      </w:r>
      <w:r w:rsidR="008B6548">
        <w:rPr>
          <w:b w:val="0"/>
          <w:bCs w:val="0"/>
          <w:kern w:val="0"/>
        </w:rPr>
        <w:t>)</w:t>
      </w:r>
      <w:r w:rsidRPr="00ED61D5">
        <w:rPr>
          <w:b w:val="0"/>
          <w:bCs w:val="0"/>
          <w:kern w:val="0"/>
        </w:rPr>
        <w:t xml:space="preserve"> </w:t>
      </w:r>
      <w:r w:rsidR="008B6548">
        <w:rPr>
          <w:b w:val="0"/>
          <w:bCs w:val="0"/>
          <w:kern w:val="0"/>
        </w:rPr>
        <w:t xml:space="preserve">linkages of the </w:t>
      </w:r>
      <w:r w:rsidR="003A4740">
        <w:rPr>
          <w:b w:val="0"/>
          <w:bCs w:val="0"/>
          <w:kern w:val="0"/>
        </w:rPr>
        <w:t>AL</w:t>
      </w:r>
      <w:r w:rsidR="00BB61BF">
        <w:rPr>
          <w:b w:val="0"/>
          <w:bCs w:val="0"/>
          <w:kern w:val="0"/>
        </w:rPr>
        <w:t xml:space="preserve"> </w:t>
      </w:r>
      <w:r w:rsidR="008B6548">
        <w:rPr>
          <w:b w:val="0"/>
          <w:bCs w:val="0"/>
          <w:kern w:val="0"/>
        </w:rPr>
        <w:t xml:space="preserve">center </w:t>
      </w:r>
      <w:r w:rsidR="003A4740">
        <w:rPr>
          <w:b w:val="0"/>
          <w:bCs w:val="0"/>
          <w:kern w:val="0"/>
        </w:rPr>
        <w:t xml:space="preserve">of action </w:t>
      </w:r>
      <w:r w:rsidR="008B6548">
        <w:rPr>
          <w:b w:val="0"/>
          <w:bCs w:val="0"/>
          <w:kern w:val="0"/>
        </w:rPr>
        <w:t xml:space="preserve">with the NAO. Among others, </w:t>
      </w:r>
      <w:r w:rsidR="009A6683">
        <w:rPr>
          <w:b w:val="0"/>
          <w:bCs w:val="0"/>
          <w:kern w:val="0"/>
        </w:rPr>
        <w:fldChar w:fldCharType="begin"/>
      </w:r>
      <w:r w:rsidR="006F3581">
        <w:rPr>
          <w:b w:val="0"/>
          <w:bCs w:val="0"/>
          <w:kern w:val="0"/>
        </w:rPr>
        <w:instrText xml:space="preserve"> ADDIN ZOTERO_ITEM CSL_CITATION {"citationID":"ItlQkRE8","properties":{"formattedCitation":"(Honda &amp; Nakamura, 2001)","plainCitation":"(Honda &amp; Nakamura, 2001)","dontUpdate":true,"noteIndex":0},"citationItems":[{"id":4,"uris":["http://zotero.org/users/14197466/items/CKJ3P7A3"],"itemData":{"id":4,"type":"article-journal","abstract":"Through analysis of observational data for the period of 1973–94, the late-winter formation of an interannual seesaw between the surface Aleutian and Icelandic lows (AL and IL, respectively) is shown to significantly impact the covariance structure of the leading mode of the interannual variability in the geopotential height field over the extratropical Northern Hemisphere. The tropospheric leading mode for early winter (November–January) is characterized by a polar–midlatitude dipole over the Euro–Atlantic sector with a high degree of the annularity, coupled with the anomalous lower-stratospheric polar vortex. Over the North Pacific, no significant anomalies are associated with this mode. After the formation of the AL–IL seesaw, however, the dipole no longer dominates in the upper-tropospheric variability. The dipole signature is masked in late winter (February–April) by the predominant combined signature of the so-called Pacific–North American pattern and a meridional dipole over the northwestern Atlantic as an upper-level manifestation of the seesaw. Though somewhat less pronounced, the leading mode of the near-surface variability is modified accordingly in late winter by the superposition of the distinct signature of the AL–IL seesaw. The annularity of the leading mode of the tropospheric variability is thus reduced in late winter, particularly at the upper levels. Nevertheless, because of the particular geographical alignment between the anomalous AL and IL, their seesaw changes the zonal wind coherently between the two ocean basins, yielding a strong projection on the meridional plane whose latitudinal profile is almost indistinguishable from the counterpart of the Arctic</w:instrText>
      </w:r>
      <w:r w:rsidR="006F3581">
        <w:rPr>
          <w:rFonts w:hint="eastAsia"/>
          <w:b w:val="0"/>
          <w:bCs w:val="0"/>
          <w:kern w:val="0"/>
        </w:rPr>
        <w:instrText>–</w:instrText>
      </w:r>
      <w:r w:rsidR="006F3581">
        <w:rPr>
          <w:b w:val="0"/>
          <w:bCs w:val="0"/>
          <w:kern w:val="0"/>
        </w:rPr>
        <w:instrText xml:space="preserve">midlatitude dipole. It is argued that what is called the Arctic oscillation in some recent literature, defined as the leading mode of the sea level pressure variability for the entire cold season, may be interpreted as a superposition of the AL–IL seesaw upon a dominant signal of the Arctic–midlatitude dipole. The corresponding leading mode for the upper troposphere primarily represents the variability associated with the seesaw. It is also argued that the late-winter tropospheric variability over the North Atlantic may not necessarily be associated with the Arctic–midlatitude dipole. The remote influence of the North Pacific variability accounts for as much as 30%–50% of the variance in the vicinity of the IL for the data period considered.","container-title":"Journal of Climate","DOI":"https://doi.org/10.1175/1520-0442(2001)014&lt;4512:ISBTAA&gt;2.0.CO;2","ISSN":"1520-0442","issue":"24","language":"en","note":"section: Journal of Climate","page":"4512-4529","source":"journals.ametsoc.org","title":"Interannual Seesaw between the Aleutian and Icelandic Lows. Part II: Its Significance in the Interannual Variability over the Wintertime Northern Hemisphere","title-short":"Interannual Seesaw between the Aleutian and Icelandic Lows. Part II","volume":"14","author":[{"family":"Honda","given":"Meiji"},{"family":"Nakamura","given":"Hisashi"}],"issued":{"date-parts":[["2001",12,15]]}}}],"schema":"https://github.com/citation-style-language/schema/raw/master/csl-citation.json"} </w:instrText>
      </w:r>
      <w:r w:rsidR="009A6683">
        <w:rPr>
          <w:b w:val="0"/>
          <w:bCs w:val="0"/>
          <w:kern w:val="0"/>
        </w:rPr>
        <w:fldChar w:fldCharType="separate"/>
      </w:r>
      <w:r w:rsidR="009A6683">
        <w:rPr>
          <w:b w:val="0"/>
          <w:bCs w:val="0"/>
          <w:noProof/>
          <w:kern w:val="0"/>
        </w:rPr>
        <w:t>Honda &amp; Nakamura (2001)</w:t>
      </w:r>
      <w:r w:rsidR="009A6683">
        <w:rPr>
          <w:b w:val="0"/>
          <w:bCs w:val="0"/>
          <w:kern w:val="0"/>
        </w:rPr>
        <w:fldChar w:fldCharType="end"/>
      </w:r>
      <w:r w:rsidR="009A6683" w:rsidRPr="00ED61D5">
        <w:rPr>
          <w:b w:val="0"/>
          <w:bCs w:val="0"/>
          <w:kern w:val="0"/>
        </w:rPr>
        <w:t xml:space="preserve"> </w:t>
      </w:r>
      <w:r w:rsidRPr="00ED61D5">
        <w:rPr>
          <w:b w:val="0"/>
          <w:bCs w:val="0"/>
          <w:kern w:val="0"/>
        </w:rPr>
        <w:t xml:space="preserve">discovered a prominent seesaw-like </w:t>
      </w:r>
      <w:r w:rsidR="00413E13">
        <w:rPr>
          <w:b w:val="0"/>
          <w:bCs w:val="0"/>
          <w:kern w:val="0"/>
        </w:rPr>
        <w:lastRenderedPageBreak/>
        <w:t>variability</w:t>
      </w:r>
      <w:r w:rsidRPr="00ED61D5">
        <w:rPr>
          <w:b w:val="0"/>
          <w:bCs w:val="0"/>
          <w:kern w:val="0"/>
        </w:rPr>
        <w:t xml:space="preserve">, </w:t>
      </w:r>
      <w:r w:rsidR="00413E13">
        <w:rPr>
          <w:b w:val="0"/>
          <w:bCs w:val="0"/>
          <w:kern w:val="0"/>
        </w:rPr>
        <w:t>named</w:t>
      </w:r>
      <w:r w:rsidRPr="00ED61D5">
        <w:rPr>
          <w:b w:val="0"/>
          <w:bCs w:val="0"/>
          <w:kern w:val="0"/>
        </w:rPr>
        <w:t xml:space="preserve"> the Aleutian-Icelandic low seesaw (AIS), between the AL and IL during late winter. They suggested that the </w:t>
      </w:r>
      <w:r w:rsidR="00A83EAA">
        <w:rPr>
          <w:b w:val="0"/>
          <w:bCs w:val="0"/>
          <w:kern w:val="0"/>
        </w:rPr>
        <w:t>spatial pattern of</w:t>
      </w:r>
      <w:r w:rsidRPr="00ED61D5">
        <w:rPr>
          <w:b w:val="0"/>
          <w:bCs w:val="0"/>
          <w:kern w:val="0"/>
        </w:rPr>
        <w:t xml:space="preserve"> </w:t>
      </w:r>
      <w:r w:rsidR="003A4740">
        <w:rPr>
          <w:b w:val="0"/>
          <w:bCs w:val="0"/>
          <w:kern w:val="0"/>
        </w:rPr>
        <w:t xml:space="preserve">the </w:t>
      </w:r>
      <w:r w:rsidRPr="00ED61D5">
        <w:rPr>
          <w:b w:val="0"/>
          <w:bCs w:val="0"/>
          <w:kern w:val="0"/>
        </w:rPr>
        <w:t xml:space="preserve">NAM is a result of the artificial mixing of the NAO and AIS through </w:t>
      </w:r>
      <w:r w:rsidR="003B4B45">
        <w:rPr>
          <w:b w:val="0"/>
          <w:bCs w:val="0"/>
          <w:kern w:val="0"/>
        </w:rPr>
        <w:t xml:space="preserve">the empirical </w:t>
      </w:r>
      <w:r w:rsidR="00BA227E">
        <w:rPr>
          <w:b w:val="0"/>
          <w:bCs w:val="0"/>
          <w:kern w:val="0"/>
        </w:rPr>
        <w:t>orthogonal function (</w:t>
      </w:r>
      <w:r w:rsidRPr="00ED61D5">
        <w:rPr>
          <w:b w:val="0"/>
          <w:bCs w:val="0"/>
          <w:kern w:val="0"/>
        </w:rPr>
        <w:t>EOF</w:t>
      </w:r>
      <w:r w:rsidR="00BA227E">
        <w:rPr>
          <w:b w:val="0"/>
          <w:bCs w:val="0"/>
          <w:kern w:val="0"/>
        </w:rPr>
        <w:t xml:space="preserve">) </w:t>
      </w:r>
      <w:r w:rsidRPr="00ED61D5">
        <w:rPr>
          <w:b w:val="0"/>
          <w:bCs w:val="0"/>
          <w:kern w:val="0"/>
        </w:rPr>
        <w:t>analysis.</w:t>
      </w:r>
    </w:p>
    <w:p w14:paraId="7379D0B5" w14:textId="5F3FC70C" w:rsidR="00C77237" w:rsidRDefault="003A4740" w:rsidP="006F623F">
      <w:pPr>
        <w:pStyle w:val="Heading-Main"/>
        <w:jc w:val="both"/>
        <w:rPr>
          <w:b w:val="0"/>
          <w:bCs w:val="0"/>
          <w:kern w:val="0"/>
          <w:lang w:eastAsia="ja-JP"/>
        </w:rPr>
      </w:pPr>
      <w:r>
        <w:rPr>
          <w:b w:val="0"/>
          <w:bCs w:val="0"/>
          <w:kern w:val="0"/>
          <w:lang w:eastAsia="ja-JP"/>
        </w:rPr>
        <w:t>Climate model simulations</w:t>
      </w:r>
      <w:r w:rsidR="005C162E">
        <w:rPr>
          <w:b w:val="0"/>
          <w:bCs w:val="0"/>
          <w:kern w:val="0"/>
          <w:lang w:eastAsia="ja-JP"/>
        </w:rPr>
        <w:t xml:space="preserve"> </w:t>
      </w:r>
      <w:r w:rsidR="00A20B31">
        <w:rPr>
          <w:b w:val="0"/>
          <w:bCs w:val="0"/>
          <w:kern w:val="0"/>
          <w:lang w:eastAsia="ja-JP"/>
        </w:rPr>
        <w:t>suggest</w:t>
      </w:r>
      <w:r w:rsidR="006C6A2D" w:rsidRPr="006C6A2D">
        <w:rPr>
          <w:b w:val="0"/>
          <w:bCs w:val="0"/>
          <w:kern w:val="0"/>
          <w:lang w:eastAsia="ja-JP"/>
        </w:rPr>
        <w:t xml:space="preserve"> that the </w:t>
      </w:r>
      <w:r w:rsidR="00A20B31">
        <w:rPr>
          <w:b w:val="0"/>
          <w:bCs w:val="0"/>
          <w:kern w:val="0"/>
          <w:lang w:eastAsia="ja-JP"/>
        </w:rPr>
        <w:t>NAM</w:t>
      </w:r>
      <w:r w:rsidR="006C6A2D" w:rsidRPr="006C6A2D">
        <w:rPr>
          <w:b w:val="0"/>
          <w:bCs w:val="0"/>
          <w:kern w:val="0"/>
          <w:lang w:eastAsia="ja-JP"/>
        </w:rPr>
        <w:t xml:space="preserve"> shifts towards a</w:t>
      </w:r>
      <w:r w:rsidR="00A20B31">
        <w:rPr>
          <w:b w:val="0"/>
          <w:bCs w:val="0"/>
          <w:kern w:val="0"/>
          <w:lang w:eastAsia="ja-JP"/>
        </w:rPr>
        <w:t xml:space="preserve"> more</w:t>
      </w:r>
      <w:r w:rsidR="006C6A2D" w:rsidRPr="006C6A2D">
        <w:rPr>
          <w:b w:val="0"/>
          <w:bCs w:val="0"/>
          <w:kern w:val="0"/>
          <w:lang w:eastAsia="ja-JP"/>
        </w:rPr>
        <w:t xml:space="preserve"> positive phase</w:t>
      </w:r>
      <w:r w:rsidR="00EE40BF">
        <w:rPr>
          <w:b w:val="0"/>
          <w:bCs w:val="0"/>
          <w:kern w:val="0"/>
          <w:lang w:eastAsia="ja-JP"/>
        </w:rPr>
        <w:t xml:space="preserve"> </w:t>
      </w:r>
      <w:r w:rsidR="006C6A2D" w:rsidRPr="006C6A2D">
        <w:rPr>
          <w:b w:val="0"/>
          <w:bCs w:val="0"/>
          <w:kern w:val="0"/>
          <w:lang w:eastAsia="ja-JP"/>
        </w:rPr>
        <w:t>with global warming</w:t>
      </w:r>
      <w:r w:rsidR="00972A0E">
        <w:rPr>
          <w:b w:val="0"/>
          <w:bCs w:val="0"/>
          <w:kern w:val="0"/>
          <w:lang w:eastAsia="ja-JP"/>
        </w:rPr>
        <w:t xml:space="preserve"> </w:t>
      </w:r>
      <w:r w:rsidR="00972A0E">
        <w:rPr>
          <w:b w:val="0"/>
          <w:bCs w:val="0"/>
          <w:kern w:val="0"/>
          <w:lang w:eastAsia="ja-JP"/>
        </w:rPr>
        <w:fldChar w:fldCharType="begin"/>
      </w:r>
      <w:r w:rsidR="00972A0E">
        <w:rPr>
          <w:b w:val="0"/>
          <w:bCs w:val="0"/>
          <w:kern w:val="0"/>
          <w:lang w:eastAsia="ja-JP"/>
        </w:rPr>
        <w:instrText xml:space="preserve"> ADDIN ZOTERO_ITEM CSL_CITATION {"citationID":"VKbuhOGi","properties":{"formattedCitation":"(Lee et al., 2021)","plainCitation":"(Lee et al., 2021)","noteIndex":0},"citationItems":[{"id":185,"uris":["http://zotero.org/users/14197466/items/P7EIBGQ2"],"itemData":{"id":185,"type":"chapter","container-title":"Climate Change 2021: The Physical Science Basis. Contribution of Working Group I to the Sixth Assessment Report of the Intergovernmental Panel on Climate Change","event-place":"Cambridge, United Kingdom and New York, NY, USA","note":"DOI: 10.1017/9781009157896.001","page":"553-672","publisher":"Cambridge University Press","publisher-place":"Cambridge, United Kingdom and New York, NY, USA","source":"IPCC","title":"Future global climate: scenario-based projections and near-term information","title-short":"Future global climate","author":[{"family":"Lee","given":"June-Yi"},{"family":"Marotzke","given":"Jochem"},{"family":"Bala","given":"Govindasamy"},{"family":"Cao","given":"Long"},{"family":"Corti","given":"Susanna"},{"family":"Dunne","given":"John P."},{"family":"Engelbrecht","given":"François"},{"family":"Fischer","given":"Erich"},{"family":"Fyfe","given":"John C."},{"family":"Jones","given":"Christopher"},{"family":"Maycock","given":"Amanda"},{"family":"Mutemi","given":"Joseph"},{"family":"Ndiaye","given":"Ousman"},{"family":"Panickal","given":"Swapna"},{"family":"Zhou","given":"Tianjun"}],"editor":[{"family":"Masson-Delmotte","given":"Valérie"},{"family":"Zhai","given":"Panmao"},{"family":"Pirani","given":"Anna"},{"family":"Connors","given":"Sarah L."},{"family":"Péan","given":"Clotilde"},{"family":"Berger","given":"Sophie"},{"family":"Caud","given":"Nada"},{"family":"Chen","given":"Yang"},{"family":"Goldfarb","given":"Leah"},{"family":"Gomis","given":"Melissa I."},{"family":"Huang","given":"Mengtian"},{"family":"Leitzell","given":"Katherine"},{"family":"Lonnoy","given":"Elisabeth"},{"family":"Matthews","given":"J. B. Robin"},{"family":"Maycock","given":"Thomas K."},{"family":"Waterfield","given":"Tim"},{"family":"Yelekçi","given":"Özge"},{"family":"Yu","given":"Rong"},{"family":"Zhou","given":"Botao"}],"issued":{"date-parts":[["2021"]]}}}],"schema":"https://github.com/citation-style-language/schema/raw/master/csl-citation.json"} </w:instrText>
      </w:r>
      <w:r w:rsidR="00972A0E">
        <w:rPr>
          <w:b w:val="0"/>
          <w:bCs w:val="0"/>
          <w:kern w:val="0"/>
          <w:lang w:eastAsia="ja-JP"/>
        </w:rPr>
        <w:fldChar w:fldCharType="separate"/>
      </w:r>
      <w:r w:rsidR="00972A0E">
        <w:rPr>
          <w:b w:val="0"/>
          <w:bCs w:val="0"/>
          <w:noProof/>
          <w:kern w:val="0"/>
          <w:lang w:eastAsia="ja-JP"/>
        </w:rPr>
        <w:t>(Lee et al., 2021)</w:t>
      </w:r>
      <w:r w:rsidR="00972A0E">
        <w:rPr>
          <w:b w:val="0"/>
          <w:bCs w:val="0"/>
          <w:kern w:val="0"/>
          <w:lang w:eastAsia="ja-JP"/>
        </w:rPr>
        <w:fldChar w:fldCharType="end"/>
      </w:r>
      <w:r w:rsidR="006C6A2D" w:rsidRPr="006C6A2D">
        <w:rPr>
          <w:b w:val="0"/>
          <w:bCs w:val="0"/>
          <w:kern w:val="0"/>
          <w:lang w:eastAsia="ja-JP"/>
        </w:rPr>
        <w:t>. However,</w:t>
      </w:r>
      <w:r w:rsidR="005E0D98">
        <w:rPr>
          <w:b w:val="0"/>
          <w:bCs w:val="0"/>
          <w:kern w:val="0"/>
          <w:lang w:eastAsia="ja-JP"/>
        </w:rPr>
        <w:t xml:space="preserve"> </w:t>
      </w:r>
      <w:r>
        <w:rPr>
          <w:b w:val="0"/>
          <w:bCs w:val="0"/>
          <w:kern w:val="0"/>
          <w:lang w:eastAsia="ja-JP"/>
        </w:rPr>
        <w:t>aside from the mean state changes</w:t>
      </w:r>
      <w:r w:rsidR="006C6A2D" w:rsidRPr="006C6A2D">
        <w:rPr>
          <w:b w:val="0"/>
          <w:bCs w:val="0"/>
          <w:kern w:val="0"/>
          <w:lang w:eastAsia="ja-JP"/>
        </w:rPr>
        <w:t xml:space="preserve"> of</w:t>
      </w:r>
      <w:r w:rsidR="00EF5E56">
        <w:rPr>
          <w:b w:val="0"/>
          <w:bCs w:val="0"/>
          <w:kern w:val="0"/>
          <w:lang w:eastAsia="ja-JP"/>
        </w:rPr>
        <w:t xml:space="preserve"> </w:t>
      </w:r>
      <w:r w:rsidR="005E0D98">
        <w:rPr>
          <w:b w:val="0"/>
          <w:bCs w:val="0"/>
          <w:kern w:val="0"/>
          <w:lang w:eastAsia="ja-JP"/>
        </w:rPr>
        <w:t xml:space="preserve">the </w:t>
      </w:r>
      <w:r w:rsidR="006C6A2D" w:rsidRPr="006C6A2D">
        <w:rPr>
          <w:b w:val="0"/>
          <w:bCs w:val="0"/>
          <w:kern w:val="0"/>
          <w:lang w:eastAsia="ja-JP"/>
        </w:rPr>
        <w:t>NAM</w:t>
      </w:r>
      <w:r>
        <w:rPr>
          <w:b w:val="0"/>
          <w:bCs w:val="0"/>
          <w:kern w:val="0"/>
          <w:lang w:eastAsia="ja-JP"/>
        </w:rPr>
        <w:t>,</w:t>
      </w:r>
      <w:r w:rsidR="006E711B">
        <w:rPr>
          <w:b w:val="0"/>
          <w:bCs w:val="0"/>
          <w:kern w:val="0"/>
          <w:lang w:eastAsia="ja-JP"/>
        </w:rPr>
        <w:t xml:space="preserve"> </w:t>
      </w:r>
      <w:r>
        <w:rPr>
          <w:b w:val="0"/>
          <w:bCs w:val="0"/>
          <w:kern w:val="0"/>
          <w:lang w:eastAsia="ja-JP"/>
        </w:rPr>
        <w:t>m</w:t>
      </w:r>
      <w:r w:rsidR="00284115">
        <w:rPr>
          <w:b w:val="0"/>
          <w:bCs w:val="0"/>
          <w:kern w:val="0"/>
          <w:lang w:eastAsia="ja-JP"/>
        </w:rPr>
        <w:t>odulations</w:t>
      </w:r>
      <w:r>
        <w:rPr>
          <w:b w:val="0"/>
          <w:bCs w:val="0"/>
          <w:kern w:val="0"/>
          <w:lang w:eastAsia="ja-JP"/>
        </w:rPr>
        <w:t xml:space="preserve"> </w:t>
      </w:r>
      <w:r w:rsidR="00284115">
        <w:rPr>
          <w:b w:val="0"/>
          <w:bCs w:val="0"/>
          <w:kern w:val="0"/>
          <w:lang w:eastAsia="ja-JP"/>
        </w:rPr>
        <w:t>of t</w:t>
      </w:r>
      <w:r w:rsidR="006C6A2D" w:rsidRPr="006C6A2D">
        <w:rPr>
          <w:b w:val="0"/>
          <w:bCs w:val="0"/>
          <w:kern w:val="0"/>
          <w:lang w:eastAsia="ja-JP"/>
        </w:rPr>
        <w:t>he statistical properties of NAM as</w:t>
      </w:r>
      <w:r w:rsidR="00284115">
        <w:rPr>
          <w:b w:val="0"/>
          <w:bCs w:val="0"/>
          <w:kern w:val="0"/>
          <w:lang w:eastAsia="ja-JP"/>
        </w:rPr>
        <w:t xml:space="preserve"> an</w:t>
      </w:r>
      <w:r w:rsidR="006C6A2D" w:rsidRPr="006C6A2D">
        <w:rPr>
          <w:b w:val="0"/>
          <w:bCs w:val="0"/>
          <w:kern w:val="0"/>
          <w:lang w:eastAsia="ja-JP"/>
        </w:rPr>
        <w:t xml:space="preserve"> interannual variability </w:t>
      </w:r>
      <w:r w:rsidR="006E711B">
        <w:rPr>
          <w:b w:val="0"/>
          <w:bCs w:val="0"/>
          <w:kern w:val="0"/>
          <w:lang w:eastAsia="ja-JP"/>
        </w:rPr>
        <w:t>remain to be elaborated further</w:t>
      </w:r>
      <w:r w:rsidR="006C6A2D" w:rsidRPr="006C6A2D">
        <w:rPr>
          <w:b w:val="0"/>
          <w:bCs w:val="0"/>
          <w:kern w:val="0"/>
          <w:lang w:eastAsia="ja-JP"/>
        </w:rPr>
        <w:t xml:space="preserve">. </w:t>
      </w:r>
      <w:proofErr w:type="gramStart"/>
      <w:r w:rsidR="006C6A2D" w:rsidRPr="006C6A2D">
        <w:rPr>
          <w:b w:val="0"/>
          <w:bCs w:val="0"/>
          <w:kern w:val="0"/>
          <w:lang w:eastAsia="ja-JP"/>
        </w:rPr>
        <w:t xml:space="preserve">In particular, </w:t>
      </w:r>
      <w:r w:rsidR="006E711B">
        <w:rPr>
          <w:b w:val="0"/>
          <w:bCs w:val="0"/>
          <w:kern w:val="0"/>
          <w:lang w:eastAsia="ja-JP"/>
        </w:rPr>
        <w:t>its</w:t>
      </w:r>
      <w:proofErr w:type="gramEnd"/>
      <w:r w:rsidR="006E711B">
        <w:rPr>
          <w:b w:val="0"/>
          <w:bCs w:val="0"/>
          <w:kern w:val="0"/>
          <w:lang w:eastAsia="ja-JP"/>
        </w:rPr>
        <w:t xml:space="preserve"> relationship with the</w:t>
      </w:r>
      <w:r w:rsidR="006C6A2D" w:rsidRPr="006C6A2D">
        <w:rPr>
          <w:b w:val="0"/>
          <w:bCs w:val="0"/>
          <w:kern w:val="0"/>
          <w:lang w:eastAsia="ja-JP"/>
        </w:rPr>
        <w:t xml:space="preserve"> </w:t>
      </w:r>
      <w:r w:rsidR="00284115">
        <w:rPr>
          <w:b w:val="0"/>
          <w:bCs w:val="0"/>
          <w:kern w:val="0"/>
          <w:lang w:eastAsia="ja-JP"/>
        </w:rPr>
        <w:t>AIS</w:t>
      </w:r>
      <w:r w:rsidR="005C162E">
        <w:rPr>
          <w:b w:val="0"/>
          <w:bCs w:val="0"/>
          <w:kern w:val="0"/>
          <w:lang w:eastAsia="ja-JP"/>
        </w:rPr>
        <w:t xml:space="preserve">, </w:t>
      </w:r>
      <w:r w:rsidR="006E711B">
        <w:rPr>
          <w:b w:val="0"/>
          <w:bCs w:val="0"/>
          <w:kern w:val="0"/>
          <w:lang w:eastAsia="ja-JP"/>
        </w:rPr>
        <w:t xml:space="preserve">which emerges in </w:t>
      </w:r>
      <w:r w:rsidR="005C162E">
        <w:rPr>
          <w:b w:val="0"/>
          <w:bCs w:val="0"/>
          <w:kern w:val="0"/>
          <w:lang w:eastAsia="ja-JP"/>
        </w:rPr>
        <w:t>late winter</w:t>
      </w:r>
      <w:r w:rsidR="006E711B">
        <w:rPr>
          <w:b w:val="0"/>
          <w:bCs w:val="0"/>
          <w:kern w:val="0"/>
          <w:lang w:eastAsia="ja-JP"/>
        </w:rPr>
        <w:t xml:space="preserve"> in the present climate</w:t>
      </w:r>
      <w:r w:rsidR="006C6A2D" w:rsidRPr="006C6A2D">
        <w:rPr>
          <w:b w:val="0"/>
          <w:bCs w:val="0"/>
          <w:kern w:val="0"/>
          <w:lang w:eastAsia="ja-JP"/>
        </w:rPr>
        <w:t xml:space="preserve">, as well as the spatial structure and amplitude of </w:t>
      </w:r>
      <w:r w:rsidR="005E0D98">
        <w:rPr>
          <w:b w:val="0"/>
          <w:bCs w:val="0"/>
          <w:kern w:val="0"/>
          <w:lang w:eastAsia="ja-JP"/>
        </w:rPr>
        <w:t xml:space="preserve">the </w:t>
      </w:r>
      <w:r w:rsidR="006C6A2D" w:rsidRPr="006C6A2D">
        <w:rPr>
          <w:b w:val="0"/>
          <w:bCs w:val="0"/>
          <w:kern w:val="0"/>
          <w:lang w:eastAsia="ja-JP"/>
        </w:rPr>
        <w:t xml:space="preserve">NAM itself, have not been thoroughly investigated. </w:t>
      </w:r>
      <w:r w:rsidR="005C162E">
        <w:rPr>
          <w:b w:val="0"/>
          <w:bCs w:val="0"/>
          <w:kern w:val="0"/>
          <w:lang w:eastAsia="ja-JP"/>
        </w:rPr>
        <w:t>I</w:t>
      </w:r>
      <w:r w:rsidR="006C6A2D" w:rsidRPr="006C6A2D">
        <w:rPr>
          <w:b w:val="0"/>
          <w:bCs w:val="0"/>
          <w:kern w:val="0"/>
          <w:lang w:eastAsia="ja-JP"/>
        </w:rPr>
        <w:t xml:space="preserve">n this study, we </w:t>
      </w:r>
      <w:r w:rsidR="00C313F6">
        <w:rPr>
          <w:b w:val="0"/>
          <w:bCs w:val="0"/>
          <w:kern w:val="0"/>
          <w:lang w:eastAsia="ja-JP"/>
        </w:rPr>
        <w:t>examine</w:t>
      </w:r>
      <w:r w:rsidR="00C77237">
        <w:rPr>
          <w:b w:val="0"/>
          <w:bCs w:val="0"/>
          <w:kern w:val="0"/>
          <w:lang w:eastAsia="ja-JP"/>
        </w:rPr>
        <w:t xml:space="preserve"> changes in these aspects under global warming using a large ensemble global atmospheric simulation dataset.</w:t>
      </w:r>
    </w:p>
    <w:p w14:paraId="7A8760A4" w14:textId="6A1B5E2E" w:rsidR="002F3B11" w:rsidRDefault="002F3B11" w:rsidP="006F623F">
      <w:pPr>
        <w:pStyle w:val="Heading-Main"/>
        <w:jc w:val="both"/>
      </w:pPr>
      <w:r>
        <w:t xml:space="preserve">2 </w:t>
      </w:r>
      <w:r w:rsidR="005C162E">
        <w:rPr>
          <w:lang w:eastAsia="ja-JP"/>
        </w:rPr>
        <w:t>Data</w:t>
      </w:r>
      <w:r>
        <w:rPr>
          <w:rFonts w:hint="eastAsia"/>
          <w:lang w:eastAsia="ja-JP"/>
        </w:rPr>
        <w:t xml:space="preserve"> </w:t>
      </w:r>
      <w:r>
        <w:t>and Methods</w:t>
      </w:r>
    </w:p>
    <w:p w14:paraId="5A16F0D8" w14:textId="2A9853C7" w:rsidR="002F3B11" w:rsidRPr="00695B15" w:rsidRDefault="002F3B11" w:rsidP="006F623F">
      <w:pPr>
        <w:pStyle w:val="Heading-Secondary"/>
        <w:ind w:left="0"/>
        <w:jc w:val="both"/>
        <w:rPr>
          <w:b/>
          <w:bCs w:val="0"/>
          <w:lang w:eastAsia="ja-JP"/>
        </w:rPr>
      </w:pPr>
      <w:r w:rsidRPr="00695B15">
        <w:rPr>
          <w:b/>
          <w:bCs w:val="0"/>
        </w:rPr>
        <w:t xml:space="preserve">2.1 </w:t>
      </w:r>
      <w:r w:rsidR="005C162E">
        <w:rPr>
          <w:b/>
          <w:bCs w:val="0"/>
          <w:lang w:eastAsia="ja-JP"/>
        </w:rPr>
        <w:t>Data</w:t>
      </w:r>
    </w:p>
    <w:p w14:paraId="54F357EB" w14:textId="6BE9F399" w:rsidR="00817969" w:rsidRDefault="005C162E" w:rsidP="006F623F">
      <w:pPr>
        <w:pStyle w:val="Heading-Secondary"/>
        <w:ind w:left="0"/>
        <w:jc w:val="both"/>
        <w:rPr>
          <w:lang w:eastAsia="ja-JP"/>
        </w:rPr>
      </w:pPr>
      <w:r>
        <w:rPr>
          <w:lang w:eastAsia="ja-JP"/>
        </w:rPr>
        <w:t xml:space="preserve">We use the database for </w:t>
      </w:r>
      <w:r w:rsidR="003E5233">
        <w:rPr>
          <w:lang w:eastAsia="ja-JP"/>
        </w:rPr>
        <w:t>Policy Decision</w:t>
      </w:r>
      <w:r w:rsidR="0097347B">
        <w:rPr>
          <w:lang w:eastAsia="ja-JP"/>
        </w:rPr>
        <w:t xml:space="preserve"> making</w:t>
      </w:r>
      <w:r w:rsidR="003E5233">
        <w:rPr>
          <w:lang w:eastAsia="ja-JP"/>
        </w:rPr>
        <w:t xml:space="preserve"> for Future climate change (d4PDF). </w:t>
      </w:r>
      <w:r w:rsidR="00695B15" w:rsidRPr="00695B15">
        <w:rPr>
          <w:lang w:eastAsia="ja-JP"/>
        </w:rPr>
        <w:t xml:space="preserve">d4PDF </w:t>
      </w:r>
      <w:r w:rsidR="008D3FD5">
        <w:rPr>
          <w:lang w:eastAsia="ja-JP"/>
        </w:rPr>
        <w:t xml:space="preserve">is </w:t>
      </w:r>
      <w:r w:rsidR="003E5233">
        <w:rPr>
          <w:lang w:eastAsia="ja-JP"/>
        </w:rPr>
        <w:t>a</w:t>
      </w:r>
      <w:r w:rsidR="008D3FD5">
        <w:rPr>
          <w:lang w:eastAsia="ja-JP"/>
        </w:rPr>
        <w:t xml:space="preserve"> </w:t>
      </w:r>
      <w:r w:rsidR="00627B5E">
        <w:rPr>
          <w:lang w:eastAsia="ja-JP"/>
        </w:rPr>
        <w:t xml:space="preserve">large </w:t>
      </w:r>
      <w:r w:rsidR="008D3FD5">
        <w:rPr>
          <w:lang w:eastAsia="ja-JP"/>
        </w:rPr>
        <w:t>ensemble of simulations by an atmospheric general circulation model</w:t>
      </w:r>
      <w:r w:rsidR="00C313F6">
        <w:rPr>
          <w:lang w:eastAsia="ja-JP"/>
        </w:rPr>
        <w:t xml:space="preserve"> (AGCM)</w:t>
      </w:r>
      <w:r w:rsidR="00A72361">
        <w:rPr>
          <w:lang w:eastAsia="ja-JP"/>
        </w:rPr>
        <w:t>, MRI-AGCM3.2,</w:t>
      </w:r>
      <w:r w:rsidR="008D3FD5">
        <w:rPr>
          <w:lang w:eastAsia="ja-JP"/>
        </w:rPr>
        <w:t xml:space="preserve"> with a 60 km horizontal resolution</w:t>
      </w:r>
      <w:r w:rsidR="00603F27">
        <w:rPr>
          <w:lang w:eastAsia="ja-JP"/>
        </w:rPr>
        <w:t xml:space="preserve"> </w:t>
      </w:r>
      <w:r w:rsidR="00603F27">
        <w:rPr>
          <w:lang w:eastAsia="ja-JP"/>
        </w:rPr>
        <w:fldChar w:fldCharType="begin"/>
      </w:r>
      <w:r w:rsidR="006F3581">
        <w:rPr>
          <w:lang w:eastAsia="ja-JP"/>
        </w:rPr>
        <w:instrText xml:space="preserve"> ADDIN ZOTERO_ITEM CSL_CITATION {"citationID":"Ot1KxByE","properties":{"formattedCitation":"(Mizuta et al., 2017)","plainCitation":"(Mizuta et al., 2017)","noteIndex":0},"citationItems":[{"id":142,"uris":["http://zotero.org/users/14197466/items/VH6TKCYE"],"itemData":{"id":142,"type":"article-journal","abstract":"An unprecedentedly large ensemble of climate simulations with a 60-km atmospheric general circulation model and dynamical downscaling with a 20-km regional climate model has been performed to obtain probabilistic future projections of low-frequency local-scale events. The climate of the latter half of the twentieth century, the climate 4 K warmer than the preindustrial climate, and the climate of the latter half of the twentieth century without historical trends associated with the anthropogenic effect are each simulated for more than 5,000 years. From large ensemble simulations, probabilistic future changes in extreme events are available directly without using any statistical models. The atmospheric models are highly skillful in representing localized extreme events, such as heavy precipitation and tropical cyclones. Moreover, mean climate changes in the models are consistent with those in phase 5 of the Coupled Model Intercomparison Project (CMIP5) ensembles. Therefore, the results enable the assessment of probabilistic change in localized severe events that have large uncertainty from internal variability. The simulation outputs are open to the public as a database called “Database for Policy Decision Making for Future Climate Change” (d4PDF), which is intended to be utilized for impact assessment studies and adaptation planning for global warming.","container-title":"Bulletin of the American Meteorological Society","DOI":"https://doi.org/10.1175/BAMS-D-16-0099.1","issue":"7","language":"en","note":"section: Bulletin of the American Meteorological Society","page":"1383–1398","source":"journals.ametsoc.org","title":"Over 5,000 Years of Ensemble Future Climate Simulations by 60-km Global and 20-km Regional Atmospheric Models","volume":"98","author":[{"family":"Mizuta","given":"Ryo"},{"family":"Murata","given":"Akihiko"},{"family":"Ishii","given":"Masayoshi"},{"family":"Shiogama","given":"Hideo"},{"family":"Hibino","given":"Kenshi"},{"family":"Mori","given":"Nobuhito"},{"family":"Arakawa","given":"Osamu"},{"family":"Imada","given":"Yukiko"},{"family":"Yoshida","given":"Kohei"},{"family":"Aoyagi","given":"Toshinori"},{"family":"Kawase","given":"Hiroaki"},{"family":"Mori","given":"Masato"},{"family":"Okada","given":"Yasuko"},{"family":"Shimura","given":"Tomoya"},{"family":"Nagatomo","given":"Toshiharu"},{"family":"Ikeda","given":"Mikiko"},{"family":"Endo","given":"Hirokazu"},{"family":"Nosaka","given":"Masaya"},{"family":"Arai","given":"Miki"},{"family":"Takahashi","given":"Chiharu"},{"family":"Tanaka","given":"Kenji"},{"family":"Takemi","given":"Tetsuya"},{"family":"Tachikawa","given":"Yasuto"},{"family":"Temur","given":"Khujanazarov"},{"family":"Kamae","given":"Youichi"},{"family":"Watanabe","given":"Masahiro"},{"family":"Sasaki","given":"Hidetaka"},{"family":"Kitoh","given":"Akio"},{"family":"Takayabu","given":"Izuru"},{"family":"Nakakita","given":"Eiichi"},{"family":"Kimoto","given":"Masahide"}],"issued":{"date-parts":[["2017",7,1]]}}}],"schema":"https://github.com/citation-style-language/schema/raw/master/csl-citation.json"} </w:instrText>
      </w:r>
      <w:r w:rsidR="00603F27">
        <w:rPr>
          <w:lang w:eastAsia="ja-JP"/>
        </w:rPr>
        <w:fldChar w:fldCharType="separate"/>
      </w:r>
      <w:r w:rsidR="00603F27">
        <w:rPr>
          <w:noProof/>
          <w:lang w:eastAsia="ja-JP"/>
        </w:rPr>
        <w:t>(Mizuta et al., 2017)</w:t>
      </w:r>
      <w:r w:rsidR="00603F27">
        <w:rPr>
          <w:lang w:eastAsia="ja-JP"/>
        </w:rPr>
        <w:fldChar w:fldCharType="end"/>
      </w:r>
      <w:r w:rsidR="008D3FD5">
        <w:rPr>
          <w:lang w:eastAsia="ja-JP"/>
        </w:rPr>
        <w:t xml:space="preserve">. </w:t>
      </w:r>
      <w:r w:rsidR="00AB434B">
        <w:rPr>
          <w:lang w:eastAsia="ja-JP"/>
        </w:rPr>
        <w:t>The historical experiment (</w:t>
      </w:r>
      <w:r w:rsidR="005E0D98">
        <w:rPr>
          <w:lang w:eastAsia="ja-JP"/>
        </w:rPr>
        <w:t>“</w:t>
      </w:r>
      <w:r w:rsidR="00AB434B">
        <w:rPr>
          <w:lang w:eastAsia="ja-JP"/>
        </w:rPr>
        <w:t>HIST</w:t>
      </w:r>
      <w:r w:rsidR="005E0D98">
        <w:rPr>
          <w:lang w:eastAsia="ja-JP"/>
        </w:rPr>
        <w:t>”</w:t>
      </w:r>
      <w:r w:rsidR="00AB434B">
        <w:rPr>
          <w:lang w:eastAsia="ja-JP"/>
        </w:rPr>
        <w:t>)</w:t>
      </w:r>
      <w:r w:rsidR="008D3FD5">
        <w:rPr>
          <w:lang w:eastAsia="ja-JP"/>
        </w:rPr>
        <w:t xml:space="preserve"> </w:t>
      </w:r>
      <w:r w:rsidR="00695B15" w:rsidRPr="00695B15">
        <w:rPr>
          <w:lang w:eastAsia="ja-JP"/>
        </w:rPr>
        <w:t xml:space="preserve">consists of 100-member ensemble </w:t>
      </w:r>
      <w:r w:rsidR="00AB434B">
        <w:rPr>
          <w:lang w:eastAsia="ja-JP"/>
        </w:rPr>
        <w:t>simulations</w:t>
      </w:r>
      <w:r w:rsidR="00695B15" w:rsidRPr="00695B15">
        <w:rPr>
          <w:lang w:eastAsia="ja-JP"/>
        </w:rPr>
        <w:t xml:space="preserve"> from 1951 to 2011, driven by observed sea surface temperatures</w:t>
      </w:r>
      <w:r w:rsidR="00AB434B">
        <w:rPr>
          <w:lang w:eastAsia="ja-JP"/>
        </w:rPr>
        <w:t xml:space="preserve"> (SST)</w:t>
      </w:r>
      <w:r w:rsidR="00695B15" w:rsidRPr="00695B15">
        <w:rPr>
          <w:lang w:eastAsia="ja-JP"/>
        </w:rPr>
        <w:t xml:space="preserve">, sea ice, and external forcing factors such as greenhouse gases. </w:t>
      </w:r>
      <w:r w:rsidR="00AB434B">
        <w:rPr>
          <w:lang w:eastAsia="ja-JP"/>
        </w:rPr>
        <w:t>d4PDF</w:t>
      </w:r>
      <w:r w:rsidR="00695B15" w:rsidRPr="00695B15">
        <w:rPr>
          <w:lang w:eastAsia="ja-JP"/>
        </w:rPr>
        <w:t xml:space="preserve"> also includes a 90-member ensemble of</w:t>
      </w:r>
      <w:r w:rsidR="00AB434B">
        <w:rPr>
          <w:lang w:eastAsia="ja-JP"/>
        </w:rPr>
        <w:t xml:space="preserve"> global</w:t>
      </w:r>
      <w:r w:rsidR="00695B15" w:rsidRPr="00695B15">
        <w:rPr>
          <w:lang w:eastAsia="ja-JP"/>
        </w:rPr>
        <w:t xml:space="preserve"> warming experiment (</w:t>
      </w:r>
      <w:r w:rsidR="005E0D98">
        <w:rPr>
          <w:lang w:eastAsia="ja-JP"/>
        </w:rPr>
        <w:t>“</w:t>
      </w:r>
      <w:r w:rsidR="00695B15" w:rsidRPr="00695B15">
        <w:rPr>
          <w:lang w:eastAsia="ja-JP"/>
        </w:rPr>
        <w:t>+4K</w:t>
      </w:r>
      <w:r w:rsidR="005E0D98">
        <w:rPr>
          <w:lang w:eastAsia="ja-JP"/>
        </w:rPr>
        <w:t>”</w:t>
      </w:r>
      <w:r w:rsidR="00695B15" w:rsidRPr="00695B15">
        <w:rPr>
          <w:lang w:eastAsia="ja-JP"/>
        </w:rPr>
        <w:t xml:space="preserve">), where the global mean </w:t>
      </w:r>
      <w:r w:rsidR="00D91D2B">
        <w:rPr>
          <w:lang w:eastAsia="ja-JP"/>
        </w:rPr>
        <w:t xml:space="preserve">surface </w:t>
      </w:r>
      <w:r w:rsidR="00695B15" w:rsidRPr="00695B15">
        <w:rPr>
          <w:lang w:eastAsia="ja-JP"/>
        </w:rPr>
        <w:t xml:space="preserve">temperature is increased </w:t>
      </w:r>
      <w:r w:rsidR="005E0D98">
        <w:rPr>
          <w:lang w:eastAsia="ja-JP"/>
        </w:rPr>
        <w:t xml:space="preserve">to the </w:t>
      </w:r>
      <w:r w:rsidR="00695B15" w:rsidRPr="00695B15">
        <w:rPr>
          <w:lang w:eastAsia="ja-JP"/>
        </w:rPr>
        <w:t>4</w:t>
      </w:r>
      <w:r w:rsidR="00695B15" w:rsidRPr="00695B15">
        <w:rPr>
          <w:rFonts w:hint="eastAsia"/>
          <w:lang w:eastAsia="ja-JP"/>
        </w:rPr>
        <w:t>℃</w:t>
      </w:r>
      <w:r w:rsidR="005E0D98">
        <w:rPr>
          <w:lang w:eastAsia="ja-JP"/>
        </w:rPr>
        <w:t xml:space="preserve"> global warming level</w:t>
      </w:r>
      <w:r w:rsidR="00695B15" w:rsidRPr="00695B15">
        <w:rPr>
          <w:lang w:eastAsia="ja-JP"/>
        </w:rPr>
        <w:t xml:space="preserve">. </w:t>
      </w:r>
      <w:r w:rsidR="00C313F6">
        <w:rPr>
          <w:lang w:eastAsia="ja-JP"/>
        </w:rPr>
        <w:t xml:space="preserve">The </w:t>
      </w:r>
      <w:r w:rsidR="00AB434B">
        <w:rPr>
          <w:lang w:eastAsia="ja-JP"/>
        </w:rPr>
        <w:t xml:space="preserve">SST imposed to +4K is derived by first removing the linear trend from the observations </w:t>
      </w:r>
      <w:r w:rsidR="004E7872">
        <w:rPr>
          <w:lang w:eastAsia="ja-JP"/>
        </w:rPr>
        <w:t>used for</w:t>
      </w:r>
      <w:r w:rsidR="00AB434B">
        <w:rPr>
          <w:lang w:eastAsia="ja-JP"/>
        </w:rPr>
        <w:t xml:space="preserve"> HIST, then adding climatological mean changes to match th</w:t>
      </w:r>
      <w:r w:rsidR="004E7872">
        <w:rPr>
          <w:lang w:eastAsia="ja-JP"/>
        </w:rPr>
        <w:t>e</w:t>
      </w:r>
      <w:r w:rsidR="00AB434B">
        <w:rPr>
          <w:lang w:eastAsia="ja-JP"/>
        </w:rPr>
        <w:t xml:space="preserve"> global warming level. The spatial patterns of mean SST changes are derived from six selected</w:t>
      </w:r>
      <w:r w:rsidR="004E00D0">
        <w:rPr>
          <w:lang w:eastAsia="ja-JP"/>
        </w:rPr>
        <w:t xml:space="preserve"> models</w:t>
      </w:r>
      <w:r w:rsidR="00064FF5">
        <w:rPr>
          <w:lang w:eastAsia="ja-JP"/>
        </w:rPr>
        <w:t xml:space="preserve"> </w:t>
      </w:r>
      <w:r w:rsidR="009F4FAE">
        <w:rPr>
          <w:lang w:eastAsia="ja-JP"/>
        </w:rPr>
        <w:t>(</w:t>
      </w:r>
      <w:r w:rsidR="00627B5E">
        <w:rPr>
          <w:lang w:eastAsia="ja-JP"/>
        </w:rPr>
        <w:t>Figure S1)</w:t>
      </w:r>
      <w:r w:rsidR="00C313F6">
        <w:rPr>
          <w:lang w:eastAsia="ja-JP"/>
        </w:rPr>
        <w:t xml:space="preserve"> of</w:t>
      </w:r>
      <w:r w:rsidR="00917887">
        <w:rPr>
          <w:lang w:eastAsia="ja-JP"/>
        </w:rPr>
        <w:t xml:space="preserve"> the Coupled Model Intercomparison Project</w:t>
      </w:r>
      <w:r w:rsidR="00672EF2">
        <w:rPr>
          <w:lang w:eastAsia="ja-JP"/>
        </w:rPr>
        <w:t xml:space="preserve"> Phase 5</w:t>
      </w:r>
      <w:r w:rsidR="00627B5E">
        <w:rPr>
          <w:lang w:eastAsia="ja-JP"/>
        </w:rPr>
        <w:t xml:space="preserve"> </w:t>
      </w:r>
      <w:r w:rsidR="00917887">
        <w:rPr>
          <w:lang w:eastAsia="ja-JP"/>
        </w:rPr>
        <w:t>(</w:t>
      </w:r>
      <w:r w:rsidR="00627B5E">
        <w:rPr>
          <w:lang w:eastAsia="ja-JP"/>
        </w:rPr>
        <w:t>CMIP5</w:t>
      </w:r>
      <w:r w:rsidR="00917887">
        <w:rPr>
          <w:lang w:eastAsia="ja-JP"/>
        </w:rPr>
        <w:t xml:space="preserve">; </w:t>
      </w:r>
      <w:r w:rsidR="00222F50">
        <w:rPr>
          <w:lang w:eastAsia="ja-JP"/>
        </w:rPr>
        <w:fldChar w:fldCharType="begin"/>
      </w:r>
      <w:r w:rsidR="006F3581">
        <w:rPr>
          <w:lang w:eastAsia="ja-JP"/>
        </w:rPr>
        <w:instrText xml:space="preserve"> ADDIN ZOTERO_ITEM CSL_CITATION {"citationID":"QqvwicPX","properties":{"formattedCitation":"(Taylor et al., 2012)","plainCitation":"(Taylor et al., 2012)","dontUpdate":true,"noteIndex":0},"citationItems":[{"id":191,"uris":["http://zotero.org/users/14197466/items/QBRFW3S6"],"itemData":{"id":191,"type":"article-journal","abstract":"The fifth phase of the Coupled Model Intercomparison Project (CMIP5) will produce a state-of-the- art multimodel dataset designed to advance our knowledge of climate variability and climate change. Researchers worldwide are analyzing the model output and will produce results likely to underlie the forthcoming Fifth Assessment Report by the Intergovernmental Panel on Climate Change. Unprecedented in scale and attracting interest from all major climate modeling groups, CMIP5 includes “long term” simulations of twentieth-century climate and projections for the twenty-first century and beyond. Conventional atmosphere–ocean global climate models and Earth system models of intermediate complexity are for the first time being joined by more recently developed Earth system models under an experiment design that allows both types of models to be compared to observations on an equal footing. Besides the longterm experiments, CMIP5 calls for an entirely new suite of “near term” simulations focusing on recent decades and the future to year 2035. These “decadal predictions” are initialized based on observations and will be used to explore the predictability of climate and to assess the forecast system's predictive skill. The CMIP5 experiment design also allows for participation of stand-alone atmospheric models and includes a variety of idealized experiments that will improve understanding of the range of model responses found in the more complex and realistic simulations. An exceptionally comprehensive set of model output is being collected and made freely available to researchers through an integrated but distributed data archive. For researchers unfamiliar with climate models, the limitations of the models and experiment design are described.","container-title":"Bulletin of the American Meteorological Society","DOI":"https://doi.org/10.1175/BAMS-D-11-00094.1","issue":"4","language":"en","note":"section: Bulletin of the American Meteorological Society","page":"485-498","source":"journals.ametsoc.org","title":"An Overview of CMIP5 and the Experiment Design","volume":"93","author":[{"family":"Taylor","given":"Karl E."},{"family":"Stouffer","given":"Ronald J."},{"family":"Meehl","given":"Gerald A."}],"issued":{"date-parts":[["2012",4,1]]}}}],"schema":"https://github.com/citation-style-language/schema/raw/master/csl-citation.json"} </w:instrText>
      </w:r>
      <w:r w:rsidR="00222F50">
        <w:rPr>
          <w:lang w:eastAsia="ja-JP"/>
        </w:rPr>
        <w:fldChar w:fldCharType="separate"/>
      </w:r>
      <w:r w:rsidR="00222F50">
        <w:rPr>
          <w:noProof/>
          <w:lang w:eastAsia="ja-JP"/>
        </w:rPr>
        <w:t>Taylor et al., 2012</w:t>
      </w:r>
      <w:r w:rsidR="00222F50">
        <w:rPr>
          <w:lang w:eastAsia="ja-JP"/>
        </w:rPr>
        <w:fldChar w:fldCharType="end"/>
      </w:r>
      <w:r w:rsidR="009F4FAE">
        <w:rPr>
          <w:lang w:eastAsia="ja-JP"/>
        </w:rPr>
        <w:t>)</w:t>
      </w:r>
      <w:r w:rsidR="00326E37">
        <w:rPr>
          <w:lang w:eastAsia="ja-JP"/>
        </w:rPr>
        <w:t>.</w:t>
      </w:r>
      <w:r w:rsidR="00AB434B">
        <w:rPr>
          <w:lang w:eastAsia="ja-JP"/>
        </w:rPr>
        <w:t xml:space="preserve"> The sea ice is also </w:t>
      </w:r>
      <w:r w:rsidR="00817969">
        <w:rPr>
          <w:lang w:eastAsia="ja-JP"/>
        </w:rPr>
        <w:t>adjusted accordingly. T</w:t>
      </w:r>
      <w:r w:rsidR="00695B15" w:rsidRPr="00695B15">
        <w:rPr>
          <w:lang w:eastAsia="ja-JP"/>
        </w:rPr>
        <w:t xml:space="preserve">he external forcing factors are based on the RCP8.5 scenario </w:t>
      </w:r>
      <w:r w:rsidR="00D83AFD">
        <w:rPr>
          <w:lang w:eastAsia="ja-JP"/>
        </w:rPr>
        <w:t>in</w:t>
      </w:r>
      <w:r w:rsidR="00695B15" w:rsidRPr="00695B15">
        <w:rPr>
          <w:lang w:eastAsia="ja-JP"/>
        </w:rPr>
        <w:t xml:space="preserve"> the year 2090</w:t>
      </w:r>
      <w:r w:rsidR="00C43186">
        <w:rPr>
          <w:lang w:eastAsia="ja-JP"/>
        </w:rPr>
        <w:t xml:space="preserve">. </w:t>
      </w:r>
      <w:r w:rsidR="00817969">
        <w:rPr>
          <w:lang w:eastAsia="ja-JP"/>
        </w:rPr>
        <w:t xml:space="preserve">For each of the six warming patterns, 15 ensemble simulations were conducted, comprising a 90-member ensemble of the +4K experiment. Note that interannual variability of SST is unchanged between </w:t>
      </w:r>
      <w:r w:rsidR="00C313F6">
        <w:rPr>
          <w:lang w:eastAsia="ja-JP"/>
        </w:rPr>
        <w:t>HIST and +4K</w:t>
      </w:r>
      <w:r w:rsidR="00817969">
        <w:rPr>
          <w:lang w:eastAsia="ja-JP"/>
        </w:rPr>
        <w:t>. All the data has been interpolated to 1.25-degree horizontal resolutions.</w:t>
      </w:r>
    </w:p>
    <w:p w14:paraId="6221AC2B" w14:textId="37D123C9" w:rsidR="00DF4972" w:rsidRDefault="00817969" w:rsidP="00817969">
      <w:pPr>
        <w:spacing w:before="100" w:beforeAutospacing="1" w:after="100" w:afterAutospacing="1"/>
        <w:jc w:val="both"/>
        <w:rPr>
          <w:rFonts w:ascii="TimesNewRomanPSMT" w:eastAsia="ＭＳ Ｐゴシック" w:hAnsi="TimesNewRomanPSMT" w:cs="ＭＳ Ｐゴシック" w:hint="eastAsia"/>
          <w:sz w:val="24"/>
          <w:szCs w:val="24"/>
          <w:lang w:eastAsia="ja-JP"/>
        </w:rPr>
      </w:pPr>
      <w:r w:rsidRPr="00817969">
        <w:rPr>
          <w:rFonts w:ascii="TimesNewRomanPSMT" w:eastAsia="ＭＳ Ｐゴシック" w:hAnsi="TimesNewRomanPSMT" w:cs="ＭＳ Ｐゴシック"/>
          <w:sz w:val="24"/>
          <w:szCs w:val="24"/>
          <w:lang w:eastAsia="ja-JP"/>
        </w:rPr>
        <w:t>In d4PDF, small perturbations within the range of observational errors have been added to the</w:t>
      </w:r>
      <w:r>
        <w:rPr>
          <w:rFonts w:ascii="TimesNewRomanPSMT" w:eastAsia="ＭＳ Ｐゴシック" w:hAnsi="TimesNewRomanPSMT" w:cs="ＭＳ Ｐゴシック"/>
          <w:sz w:val="24"/>
          <w:szCs w:val="24"/>
          <w:lang w:eastAsia="ja-JP"/>
        </w:rPr>
        <w:t xml:space="preserve"> </w:t>
      </w:r>
      <w:r w:rsidRPr="00817969">
        <w:rPr>
          <w:rFonts w:ascii="TimesNewRomanPSMT" w:eastAsia="ＭＳ Ｐゴシック" w:hAnsi="TimesNewRomanPSMT" w:cs="ＭＳ Ｐゴシック"/>
          <w:sz w:val="24"/>
          <w:szCs w:val="24"/>
          <w:lang w:eastAsia="ja-JP"/>
        </w:rPr>
        <w:t>prescribed SST, which differ among ensemble members. In this study, we disregard this influence</w:t>
      </w:r>
      <w:r>
        <w:rPr>
          <w:rFonts w:ascii="TimesNewRomanPSMT" w:eastAsia="ＭＳ Ｐゴシック" w:hAnsi="TimesNewRomanPSMT" w:cs="ＭＳ Ｐゴシック"/>
          <w:sz w:val="24"/>
          <w:szCs w:val="24"/>
          <w:lang w:eastAsia="ja-JP"/>
        </w:rPr>
        <w:t xml:space="preserve"> </w:t>
      </w:r>
      <w:r w:rsidRPr="00817969">
        <w:rPr>
          <w:rFonts w:ascii="TimesNewRomanPSMT" w:eastAsia="ＭＳ Ｐゴシック" w:hAnsi="TimesNewRomanPSMT" w:cs="ＭＳ Ｐゴシック"/>
          <w:sz w:val="24"/>
          <w:szCs w:val="24"/>
          <w:lang w:eastAsia="ja-JP"/>
        </w:rPr>
        <w:t xml:space="preserve">and evaluate </w:t>
      </w:r>
      <w:r w:rsidR="00DF4972">
        <w:rPr>
          <w:rFonts w:ascii="TimesNewRomanPSMT" w:eastAsia="ＭＳ Ｐゴシック" w:hAnsi="TimesNewRomanPSMT" w:cs="ＭＳ Ｐゴシック"/>
          <w:sz w:val="24"/>
          <w:szCs w:val="24"/>
          <w:lang w:eastAsia="ja-JP"/>
        </w:rPr>
        <w:t xml:space="preserve">the </w:t>
      </w:r>
      <w:r w:rsidRPr="00817969">
        <w:rPr>
          <w:rFonts w:ascii="TimesNewRomanPSMT" w:eastAsia="ＭＳ Ｐゴシック" w:hAnsi="TimesNewRomanPSMT" w:cs="ＭＳ Ｐゴシック"/>
          <w:sz w:val="24"/>
          <w:szCs w:val="24"/>
          <w:lang w:eastAsia="ja-JP"/>
        </w:rPr>
        <w:t>variability of the ensemble mean as the component driven by SST and sea ice variability.</w:t>
      </w:r>
    </w:p>
    <w:p w14:paraId="1134729C" w14:textId="2CB627BB" w:rsidR="00CF378A" w:rsidRDefault="00CF378A" w:rsidP="00817969">
      <w:pPr>
        <w:spacing w:before="100" w:beforeAutospacing="1" w:after="100" w:afterAutospacing="1"/>
        <w:jc w:val="both"/>
        <w:rPr>
          <w:rFonts w:ascii="TimesNewRomanPSMT" w:eastAsia="ＭＳ Ｐゴシック" w:hAnsi="TimesNewRomanPSMT" w:cs="ＭＳ Ｐゴシック" w:hint="eastAsia"/>
          <w:sz w:val="24"/>
          <w:szCs w:val="24"/>
          <w:lang w:eastAsia="ja-JP"/>
        </w:rPr>
      </w:pPr>
      <w:r>
        <w:rPr>
          <w:rFonts w:ascii="TimesNewRomanPSMT" w:eastAsia="ＭＳ Ｐゴシック" w:hAnsi="TimesNewRomanPSMT" w:cs="ＭＳ Ｐゴシック"/>
          <w:sz w:val="24"/>
          <w:szCs w:val="24"/>
          <w:lang w:eastAsia="ja-JP"/>
        </w:rPr>
        <w:t xml:space="preserve">As a reference, we use the </w:t>
      </w:r>
      <w:r w:rsidR="00C313F6">
        <w:rPr>
          <w:rFonts w:ascii="TimesNewRomanPSMT" w:eastAsia="ＭＳ Ｐゴシック" w:hAnsi="TimesNewRomanPSMT" w:cs="ＭＳ Ｐゴシック"/>
          <w:sz w:val="24"/>
          <w:szCs w:val="24"/>
          <w:lang w:eastAsia="ja-JP"/>
        </w:rPr>
        <w:t>ERA5 reanalysis data</w:t>
      </w:r>
      <w:r>
        <w:rPr>
          <w:rFonts w:ascii="TimesNewRomanPSMT" w:eastAsia="ＭＳ Ｐゴシック" w:hAnsi="TimesNewRomanPSMT" w:cs="ＭＳ Ｐゴシック"/>
          <w:sz w:val="24"/>
          <w:szCs w:val="24"/>
          <w:lang w:eastAsia="ja-JP"/>
        </w:rPr>
        <w:t xml:space="preserve"> (</w:t>
      </w:r>
      <w:r w:rsidR="00603F27">
        <w:rPr>
          <w:rFonts w:ascii="TimesNewRomanPSMT" w:eastAsia="ＭＳ Ｐゴシック" w:hAnsi="TimesNewRomanPSMT" w:cs="ＭＳ Ｐゴシック" w:hint="eastAsia"/>
          <w:sz w:val="24"/>
          <w:szCs w:val="24"/>
          <w:lang w:eastAsia="ja-JP"/>
        </w:rPr>
        <w:fldChar w:fldCharType="begin"/>
      </w:r>
      <w:r w:rsidR="002107E8">
        <w:rPr>
          <w:rFonts w:ascii="TimesNewRomanPSMT" w:eastAsia="ＭＳ Ｐゴシック" w:hAnsi="TimesNewRomanPSMT" w:cs="ＭＳ Ｐゴシック" w:hint="eastAsia"/>
          <w:sz w:val="24"/>
          <w:szCs w:val="24"/>
          <w:lang w:eastAsia="ja-JP"/>
        </w:rPr>
        <w:instrText xml:space="preserve"> ADDIN ZOTERO_ITEM CSL_CITATION {"citationID":"p2VNG1a1","properties":{"formattedCitation":"(Hersbach et al., 2020)","plainCitation":"(Hersbach et al., 2020)","dontUpdate":true,"noteIndex":0},"citationItems":[{"id":144,"uris":["http://zotero.org/users/14197466/items/FVMAHX7M"],"itemData":{"id":144,"type":"article-journal","abstract":"Within the Copernicus Climate Change Service (C3S), ECMWF is producing the ERA5 reanalysis which, once completed, will embody a detailed record of the global atmosphere, land surface and ocean waves from 1950 onwards. This new reanalysis replaces the ERA-Interim reanalysis (spanning 1979 onwards) which was started in 2006. ERA5 is based on the Integrated Forecasting System (IFS) Cy41r2 which was operational in 2016. ERA5 thus benefits from a decade of developments in model physics, core dynamics and data assimilation. In addition to a significantly enhanced horizontal resolution of 31 km, compared to 80 km for ERA-Interim, ERA5 has hourly output throughout, and an uncertainty estimate from an ensemble (3-hourly at half the horizontal resolution). This paper describes the general set-up of ERA5, as well as a basic evaluation of characteristics and performance, with a focus on the dataset from 1979 onwards which is currently publicly available. Re-forecasts from ERA5 analyses show a gain of up to one day in skill with respect to ERA-Interim. Comparison with radiosonde and PILOT data prior to assimilation shows an improved fit for temperature, wind and humidity in the troposphere, but not the stratosphere. A comparison with independent buoy data shows a much improved fit for ocean wave height. The uncertainty estimate reflects the evolution of the observing systems used in ERA5. The enhanced temporal and spatial resolution allows for a detailed evolution of weather systems. For precipitation, global-mean correlation with monthly-mean GPCP data is increased from 67% to 77%. In general, low-frequency variability is found to be well represented and from 10 hPa downwards general patterns of anomalies in temperature match those from the ERA-Interim, MERRA-2 and JRA-55 reanalyses.","container-title":"Quarterly Journal of the Royal Meteorological Society","DOI":"10.1002/qj.3803","ISSN":"1477-870X","issue":"730","language":"en","license":"© 2020 The Authors. Quarterly Journal of the Royal Meteorological Society published by John Wiley &amp; Sons Ltd on behalf of the Royal Meteorological Society.","note":"_eprint: https://onlinelibrary.wiley.com/doi/pdf/10.1002/qj.3803","page":"1999-2049","source":"Wiley Online Library","title":"The ERA5 global reanalysis","volume":"146","author":[{"family":"Hersbach","given":"Hans"},{"family":"Bell","given":"Bill"},{"family":"Berrisford","given":"Paul"},{"family":"Hirahara","given":"Shoji"},{"family":"Horányi","given":"András"},{"family":"Muñoz-Sabater","given":"Joaquín"},{"family":"Nicolas","given":"Julien"},{"family":"Peubey","given":"Carole"},{"family":"Radu","given":"Raluca"},{"family":"Schepers","given":"Dinand"},{"family":"Simmons","given":"Adrian"},{"family":"Soci","given":"Cornel"},{"family":"Abdalla","given":"Saleh"},{"family":"Abellan","given":"Xavier"},{"family":"Balsamo","given":"Gianpaolo"},{"family":"Bechtold","given":"Peter"},{"family":"Biavati","given":"Gionata"},{"family":"Bidlot","given":"Jean"},{"family":"Bonavita","given":"Massimo"},{"family":"De Chiara","given":"Giovanna"},{"family":"Dahlgren","given":"Per"},{"family":"Dee","given":"Dick"},{"family":"Diamantakis","given":"Michail"},{"family":"Dragani","given":"Rossana"},{"family":"Flemming","given":"Johannes"},{"family":"Forbes","given":"Richard"},{"family":"Fuentes","given":"Manuel"},{"family":"Geer","given":"Alan"},{"family":"Haimberger","given":"Leo"},{"family":"Healy","given":"Sean"},{"family":"Hogan","given":"Robin J."},{"family":"Hólm","given":"Elías"},{"family":"Janisková","given":"Marta"},{"family":"Keeley","given":"Sarah"},{"family":"Laloyaux","given":"Patrick"},{"family":"Lopez","given":"Philippe"},{"family":"Lupu","given":"Cristina"},{"family":"Radnoti","given":"Gabor"},{"family":"Rosnay","given":"Patricia","non-dropping-particle":"de"},{"family":"Rozum","given":"Iryna"},{"family":"Vamborg","given":"Freja"},{"family":"Villaume","given":"Sebastien"},{"family":"Thépaut","given":"Jean-Noël"}],"issued":{"date-parts":[["2020"]]}}}],"schema":"https://github.com/citation-style-language/schema/raw/master/csl-citation.json"} </w:instrText>
      </w:r>
      <w:r w:rsidR="00603F27">
        <w:rPr>
          <w:rFonts w:ascii="TimesNewRomanPSMT" w:eastAsia="ＭＳ Ｐゴシック" w:hAnsi="TimesNewRomanPSMT" w:cs="ＭＳ Ｐゴシック" w:hint="eastAsia"/>
          <w:sz w:val="24"/>
          <w:szCs w:val="24"/>
          <w:lang w:eastAsia="ja-JP"/>
        </w:rPr>
        <w:fldChar w:fldCharType="separate"/>
      </w:r>
      <w:r w:rsidR="00603F27">
        <w:rPr>
          <w:rFonts w:ascii="TimesNewRomanPSMT" w:eastAsia="ＭＳ Ｐゴシック" w:hAnsi="TimesNewRomanPSMT" w:cs="ＭＳ Ｐゴシック" w:hint="eastAsia"/>
          <w:noProof/>
          <w:sz w:val="24"/>
          <w:szCs w:val="24"/>
          <w:lang w:eastAsia="ja-JP"/>
        </w:rPr>
        <w:t>Hersbach et al., 2020)</w:t>
      </w:r>
      <w:r w:rsidR="00603F27">
        <w:rPr>
          <w:rFonts w:ascii="TimesNewRomanPSMT" w:eastAsia="ＭＳ Ｐゴシック" w:hAnsi="TimesNewRomanPSMT" w:cs="ＭＳ Ｐゴシック" w:hint="eastAsia"/>
          <w:sz w:val="24"/>
          <w:szCs w:val="24"/>
          <w:lang w:eastAsia="ja-JP"/>
        </w:rPr>
        <w:fldChar w:fldCharType="end"/>
      </w:r>
      <w:r>
        <w:rPr>
          <w:rFonts w:ascii="TimesNewRomanPSMT" w:eastAsia="ＭＳ Ｐゴシック" w:hAnsi="TimesNewRomanPSMT" w:cs="ＭＳ Ｐゴシック"/>
          <w:sz w:val="24"/>
          <w:szCs w:val="24"/>
          <w:lang w:eastAsia="ja-JP"/>
        </w:rPr>
        <w:t xml:space="preserve"> from 1940 to 2022 with a </w:t>
      </w:r>
      <w:r w:rsidR="00C313F6">
        <w:rPr>
          <w:rFonts w:ascii="TimesNewRomanPSMT" w:eastAsia="ＭＳ Ｐゴシック" w:hAnsi="TimesNewRomanPSMT" w:cs="ＭＳ Ｐゴシック"/>
          <w:sz w:val="24"/>
          <w:szCs w:val="24"/>
          <w:lang w:eastAsia="ja-JP"/>
        </w:rPr>
        <w:t xml:space="preserve">1-degree </w:t>
      </w:r>
      <w:r>
        <w:rPr>
          <w:rFonts w:ascii="TimesNewRomanPSMT" w:eastAsia="ＭＳ Ｐゴシック" w:hAnsi="TimesNewRomanPSMT" w:cs="ＭＳ Ｐゴシック"/>
          <w:sz w:val="24"/>
          <w:szCs w:val="24"/>
          <w:lang w:eastAsia="ja-JP"/>
        </w:rPr>
        <w:t>horizontal resolution. Monthly</w:t>
      </w:r>
      <w:r w:rsidR="00C313F6">
        <w:rPr>
          <w:rFonts w:ascii="TimesNewRomanPSMT" w:eastAsia="ＭＳ Ｐゴシック" w:hAnsi="TimesNewRomanPSMT" w:cs="ＭＳ Ｐゴシック"/>
          <w:sz w:val="24"/>
          <w:szCs w:val="24"/>
          <w:lang w:eastAsia="ja-JP"/>
        </w:rPr>
        <w:t xml:space="preserve"> </w:t>
      </w:r>
      <w:r>
        <w:rPr>
          <w:rFonts w:ascii="TimesNewRomanPSMT" w:eastAsia="ＭＳ Ｐゴシック" w:hAnsi="TimesNewRomanPSMT" w:cs="ＭＳ Ｐゴシック"/>
          <w:sz w:val="24"/>
          <w:szCs w:val="24"/>
          <w:lang w:eastAsia="ja-JP"/>
        </w:rPr>
        <w:t xml:space="preserve">SST data of COBE-SST2 </w:t>
      </w:r>
      <w:r w:rsidR="00AB52F2">
        <w:rPr>
          <w:rFonts w:ascii="TimesNewRomanPSMT" w:eastAsia="ＭＳ Ｐゴシック" w:hAnsi="TimesNewRomanPSMT" w:cs="ＭＳ Ｐゴシック" w:hint="eastAsia"/>
          <w:sz w:val="24"/>
          <w:szCs w:val="24"/>
          <w:lang w:eastAsia="ja-JP"/>
        </w:rPr>
        <w:fldChar w:fldCharType="begin"/>
      </w:r>
      <w:r w:rsidR="006F3581">
        <w:rPr>
          <w:rFonts w:ascii="TimesNewRomanPSMT" w:eastAsia="ＭＳ Ｐゴシック" w:hAnsi="TimesNewRomanPSMT" w:cs="ＭＳ Ｐゴシック" w:hint="eastAsia"/>
          <w:sz w:val="24"/>
          <w:szCs w:val="24"/>
          <w:lang w:eastAsia="ja-JP"/>
        </w:rPr>
        <w:instrText xml:space="preserve"> ADDIN ZOTERO_ITEM CSL_CITATION {"citationID":"c8ZVhxPZ","properties":{"formattedCitation":"(Hirahara et al., 2014)","plainCitation":"(Hirahara et al., 2014)","noteIndex":0},"citationItems":[{"id":148,"uris":["http://zotero.org/users/14197466/items/I7BRF6SW"],"itemData":{"id":148,"type":"article-journal","abstract":"A new sea surface temperature (SST) analysis on a centennial time scale is presented. In this analysis, a daily SST field is constructed as a sum of a trend, interannual variations, and daily changes, using in situ SST and sea ice concentration observations. All SST values are accompanied with theory-based analysis errors as a measure of reliability. An improved equation is introduced to represent the ice</w:instrText>
      </w:r>
      <w:r w:rsidR="006F3581">
        <w:rPr>
          <w:rFonts w:ascii="TimesNewRomanPSMT" w:eastAsia="ＭＳ Ｐゴシック" w:hAnsi="TimesNewRomanPSMT" w:cs="ＭＳ Ｐゴシック" w:hint="eastAsia"/>
          <w:sz w:val="24"/>
          <w:szCs w:val="24"/>
          <w:lang w:eastAsia="ja-JP"/>
        </w:rPr>
        <w:instrText>–</w:instrText>
      </w:r>
      <w:r w:rsidR="006F3581">
        <w:rPr>
          <w:rFonts w:ascii="TimesNewRomanPSMT" w:eastAsia="ＭＳ Ｐゴシック" w:hAnsi="TimesNewRomanPSMT" w:cs="ＭＳ Ｐゴシック" w:hint="eastAsia"/>
          <w:sz w:val="24"/>
          <w:szCs w:val="24"/>
          <w:lang w:eastAsia="ja-JP"/>
        </w:rPr>
        <w:instrText xml:space="preserve">SST relationship, which is used to produce SST data from observed sea ice concentrations. Prior to the analysis, biases of individual SST measurement types are estimated for a homogenized long-term time series of global mean SST. Because metadata necessary for the bias correction are unavailable for many historical observational reports, the biases are determined so as to ensure consistency among existing SST and nighttime air temperature observations. The global mean SSTs with bias-corrected observations are in agreement with those of a previously published study, which adopted a different approach. Satellite observations are newly introduced for the purpose of reconstruction of SST variability over data-sparse regions. Moreover, uncertainty in areal means of the present and previous SST analyses is investigated using the theoretical analysis errors and estimated sampling errors. The result confirms the advantages of the present analysis, and it is helpful in understanding the reliability of SST for a specific area and time period.","container-title":"Journal of Climate","DOI":"https://doi.org/10.1175/JCLI-D-12-00837.1","issue":"1","language":"en","note":"section: Journal of Climate","page":"57-75","source":"journals.ametsoc.org","title":"Centennial-Scale Sea Surface Temperature Analysis and Its Uncertainty","volume":"27","author":[{"family":"Hirahara","given":"Shoji"},{"family":"Ishii","given":"Masayoshi"},{"family":"Fukuda","given":"Yoshikazu"}],"issued":{"date-parts":[["2014",1,1]]}}}],"schema":"https://github.com/citation-style-language/schema/raw/master/csl-citation.json"} </w:instrText>
      </w:r>
      <w:r w:rsidR="00AB52F2">
        <w:rPr>
          <w:rFonts w:ascii="TimesNewRomanPSMT" w:eastAsia="ＭＳ Ｐゴシック" w:hAnsi="TimesNewRomanPSMT" w:cs="ＭＳ Ｐゴシック" w:hint="eastAsia"/>
          <w:sz w:val="24"/>
          <w:szCs w:val="24"/>
          <w:lang w:eastAsia="ja-JP"/>
        </w:rPr>
        <w:fldChar w:fldCharType="separate"/>
      </w:r>
      <w:r w:rsidR="00AB52F2">
        <w:rPr>
          <w:rFonts w:ascii="TimesNewRomanPSMT" w:eastAsia="ＭＳ Ｐゴシック" w:hAnsi="TimesNewRomanPSMT" w:cs="ＭＳ Ｐゴシック" w:hint="eastAsia"/>
          <w:noProof/>
          <w:sz w:val="24"/>
          <w:szCs w:val="24"/>
          <w:lang w:eastAsia="ja-JP"/>
        </w:rPr>
        <w:t>(Hirahara et al., 2014)</w:t>
      </w:r>
      <w:r w:rsidR="00AB52F2">
        <w:rPr>
          <w:rFonts w:ascii="TimesNewRomanPSMT" w:eastAsia="ＭＳ Ｐゴシック" w:hAnsi="TimesNewRomanPSMT" w:cs="ＭＳ Ｐゴシック" w:hint="eastAsia"/>
          <w:sz w:val="24"/>
          <w:szCs w:val="24"/>
          <w:lang w:eastAsia="ja-JP"/>
        </w:rPr>
        <w:fldChar w:fldCharType="end"/>
      </w:r>
      <w:r>
        <w:rPr>
          <w:rFonts w:ascii="TimesNewRomanPSMT" w:eastAsia="ＭＳ Ｐゴシック" w:hAnsi="TimesNewRomanPSMT" w:cs="ＭＳ Ｐゴシック"/>
          <w:sz w:val="24"/>
          <w:szCs w:val="24"/>
          <w:lang w:eastAsia="ja-JP"/>
        </w:rPr>
        <w:t>, which served as the lower boundary condition for d4PDF, is also used for the period 1951-2011 with a horizontal resolution of 1 degree.</w:t>
      </w:r>
    </w:p>
    <w:p w14:paraId="04D63F00" w14:textId="32B4E055" w:rsidR="00432956" w:rsidRPr="00432956" w:rsidRDefault="00432956" w:rsidP="006F623F">
      <w:pPr>
        <w:pStyle w:val="Heading-Secondary"/>
        <w:ind w:left="0"/>
        <w:jc w:val="both"/>
        <w:rPr>
          <w:b/>
          <w:bCs w:val="0"/>
          <w:lang w:eastAsia="ja-JP"/>
        </w:rPr>
      </w:pPr>
      <w:r>
        <w:rPr>
          <w:b/>
          <w:bCs w:val="0"/>
          <w:lang w:eastAsia="ja-JP"/>
        </w:rPr>
        <w:t>2.3 Analysis methods</w:t>
      </w:r>
    </w:p>
    <w:p w14:paraId="473C1C7C" w14:textId="24A72789" w:rsidR="00432956" w:rsidRDefault="00BC6464" w:rsidP="005F7CB2">
      <w:pPr>
        <w:pStyle w:val="Heading-Secondary"/>
        <w:ind w:left="0"/>
        <w:jc w:val="both"/>
        <w:rPr>
          <w:lang w:eastAsia="ja-JP"/>
        </w:rPr>
      </w:pPr>
      <w:r>
        <w:rPr>
          <w:lang w:eastAsia="ja-JP"/>
        </w:rPr>
        <w:t>M</w:t>
      </w:r>
      <w:r w:rsidR="00E77214">
        <w:rPr>
          <w:lang w:eastAsia="ja-JP"/>
        </w:rPr>
        <w:t xml:space="preserve">onthly climatology is calculated </w:t>
      </w:r>
      <w:r>
        <w:rPr>
          <w:lang w:eastAsia="ja-JP"/>
        </w:rPr>
        <w:t xml:space="preserve">over the entire period (of the ensemble mean) of each dataset/experiment, and anomalies are defined </w:t>
      </w:r>
      <w:r w:rsidR="00123EEC">
        <w:rPr>
          <w:lang w:eastAsia="ja-JP"/>
        </w:rPr>
        <w:t xml:space="preserve">as deviations from the monthly climatology. In the +4K experiment, anomalies are defined relative to the climatology of individual warming patterns. </w:t>
      </w:r>
      <w:r w:rsidR="00894AD9" w:rsidRPr="00432956">
        <w:rPr>
          <w:lang w:eastAsia="ja-JP"/>
        </w:rPr>
        <w:lastRenderedPageBreak/>
        <w:t>Following</w:t>
      </w:r>
      <w:r w:rsidR="00E0467D">
        <w:rPr>
          <w:lang w:eastAsia="ja-JP"/>
        </w:rPr>
        <w:t xml:space="preserve"> </w:t>
      </w:r>
      <w:r w:rsidR="00E0467D">
        <w:rPr>
          <w:lang w:eastAsia="ja-JP"/>
        </w:rPr>
        <w:fldChar w:fldCharType="begin"/>
      </w:r>
      <w:r w:rsidR="002107E8">
        <w:rPr>
          <w:lang w:eastAsia="ja-JP"/>
        </w:rPr>
        <w:instrText xml:space="preserve"> ADDIN ZOTERO_ITEM CSL_CITATION {"citationID":"Cukxl3oq","properties":{"formattedCitation":"(Thompson &amp; Wallace, 1998)","plainCitation":"(Thompson &amp; Wallace, 1998)","dontUpdate":true,"noteIndex":0},"citationItems":[{"id":3,"uris":["http://zotero.org/users/14197466/items/ZS2H5ED4"],"itemData":{"id":3,"type":"article-journal","abstract":"The leading empirical orthogonal functionof the variablein the analysisis SLP(p), expresseidn termsof the wintertimesea-levelpressurefield is more strongly coupledto equivalenht eightof the 1000-hPasurface(Z•000a) boveseasurfaceair temperaturefluctuationsovertheEurasiancontinent level usingthe approximaterelationZ•000= 8(/9-1000) where than the North Atlantic Oscillation (NAO). It resembles the Z•000is expresseidn metersandp in hPa.","container-title":"Geophysical Research Letters","DOI":"10.1029/98GL00950","ISSN":"0094-8276, 1944-8007","issue":"9","journalAbbreviation":"Geophysical Research Letters","language":"en","license":"http://onlinelibrary.wiley.com/termsAndConditions#vor","page":"1297-1300","source":"DOI.org (Crossref)","title":"The Arctic oscillation signature in the wintertime geopotential height and temperature fields","volume":"25","author":[{"family":"Thompson","given":"David W. J."},{"family":"Wallace","given":"John M."}],"issued":{"date-parts":[["1998",5]]}}}],"schema":"https://github.com/citation-style-language/schema/raw/master/csl-citation.json"} </w:instrText>
      </w:r>
      <w:r w:rsidR="00E0467D">
        <w:rPr>
          <w:lang w:eastAsia="ja-JP"/>
        </w:rPr>
        <w:fldChar w:fldCharType="separate"/>
      </w:r>
      <w:r w:rsidR="00E0467D">
        <w:rPr>
          <w:noProof/>
          <w:lang w:eastAsia="ja-JP"/>
        </w:rPr>
        <w:t>Thompson &amp; Wallace (1998)</w:t>
      </w:r>
      <w:r w:rsidR="00E0467D">
        <w:rPr>
          <w:lang w:eastAsia="ja-JP"/>
        </w:rPr>
        <w:fldChar w:fldCharType="end"/>
      </w:r>
      <w:r w:rsidR="00894AD9" w:rsidRPr="00432956">
        <w:rPr>
          <w:lang w:eastAsia="ja-JP"/>
        </w:rPr>
        <w:t xml:space="preserve">, an </w:t>
      </w:r>
      <w:r w:rsidR="00894AD9">
        <w:rPr>
          <w:lang w:eastAsia="ja-JP"/>
        </w:rPr>
        <w:t>EOF</w:t>
      </w:r>
      <w:r w:rsidR="00894AD9" w:rsidRPr="00432956">
        <w:rPr>
          <w:lang w:eastAsia="ja-JP"/>
        </w:rPr>
        <w:t xml:space="preserve"> analysis </w:t>
      </w:r>
      <w:r w:rsidR="00894AD9">
        <w:rPr>
          <w:lang w:eastAsia="ja-JP"/>
        </w:rPr>
        <w:t>i</w:t>
      </w:r>
      <w:r w:rsidR="00894AD9" w:rsidRPr="00432956">
        <w:rPr>
          <w:lang w:eastAsia="ja-JP"/>
        </w:rPr>
        <w:t xml:space="preserve">s performed </w:t>
      </w:r>
      <w:r w:rsidR="00E0467D">
        <w:rPr>
          <w:lang w:eastAsia="ja-JP"/>
        </w:rPr>
        <w:t>on</w:t>
      </w:r>
      <w:r w:rsidR="00894AD9" w:rsidRPr="00432956">
        <w:rPr>
          <w:lang w:eastAsia="ja-JP"/>
        </w:rPr>
        <w:t xml:space="preserve"> interannual variability of monthly sea-level pressure</w:t>
      </w:r>
      <w:r w:rsidR="003727FE">
        <w:rPr>
          <w:lang w:eastAsia="ja-JP"/>
        </w:rPr>
        <w:t xml:space="preserve"> (SLP)</w:t>
      </w:r>
      <w:r w:rsidR="00894AD9" w:rsidRPr="00432956">
        <w:rPr>
          <w:lang w:eastAsia="ja-JP"/>
        </w:rPr>
        <w:t xml:space="preserve"> in the Northern Hemisphere </w:t>
      </w:r>
      <w:proofErr w:type="spellStart"/>
      <w:r w:rsidR="00894AD9">
        <w:rPr>
          <w:lang w:eastAsia="ja-JP"/>
        </w:rPr>
        <w:t>extratropics</w:t>
      </w:r>
      <w:proofErr w:type="spellEnd"/>
      <w:r w:rsidR="00894AD9" w:rsidRPr="00432956">
        <w:rPr>
          <w:lang w:eastAsia="ja-JP"/>
        </w:rPr>
        <w:t xml:space="preserve"> (20-90°N). </w:t>
      </w:r>
      <w:r w:rsidR="003727FE">
        <w:rPr>
          <w:lang w:eastAsia="ja-JP"/>
        </w:rPr>
        <w:t>This EOF analysis is applied</w:t>
      </w:r>
      <w:r w:rsidR="00894AD9" w:rsidRPr="00432956">
        <w:rPr>
          <w:lang w:eastAsia="ja-JP"/>
        </w:rPr>
        <w:t xml:space="preserve"> separately </w:t>
      </w:r>
      <w:r w:rsidR="00C313F6">
        <w:rPr>
          <w:lang w:eastAsia="ja-JP"/>
        </w:rPr>
        <w:t>to</w:t>
      </w:r>
      <w:r w:rsidR="00894AD9" w:rsidRPr="00432956">
        <w:rPr>
          <w:lang w:eastAsia="ja-JP"/>
        </w:rPr>
        <w:t xml:space="preserve"> the December</w:t>
      </w:r>
      <w:r w:rsidR="00123EEC">
        <w:rPr>
          <w:lang w:eastAsia="ja-JP"/>
        </w:rPr>
        <w:t>-</w:t>
      </w:r>
      <w:r w:rsidR="00894AD9" w:rsidRPr="00432956">
        <w:rPr>
          <w:lang w:eastAsia="ja-JP"/>
        </w:rPr>
        <w:t xml:space="preserve">February (DJF) average and </w:t>
      </w:r>
      <w:r w:rsidR="00894AD9">
        <w:rPr>
          <w:lang w:eastAsia="ja-JP"/>
        </w:rPr>
        <w:t xml:space="preserve">each calendar month </w:t>
      </w:r>
      <w:r w:rsidR="003727FE">
        <w:rPr>
          <w:lang w:eastAsia="ja-JP"/>
        </w:rPr>
        <w:t xml:space="preserve">from </w:t>
      </w:r>
      <w:r w:rsidR="00894AD9" w:rsidRPr="00432956">
        <w:rPr>
          <w:lang w:eastAsia="ja-JP"/>
        </w:rPr>
        <w:t>November to March</w:t>
      </w:r>
      <w:r w:rsidR="00894AD9">
        <w:rPr>
          <w:lang w:eastAsia="ja-JP"/>
        </w:rPr>
        <w:t xml:space="preserve">. </w:t>
      </w:r>
      <w:r w:rsidR="00894AD9" w:rsidRPr="00432956">
        <w:rPr>
          <w:lang w:eastAsia="ja-JP"/>
        </w:rPr>
        <w:t>The NAM</w:t>
      </w:r>
      <w:r w:rsidR="00894AD9">
        <w:rPr>
          <w:lang w:eastAsia="ja-JP"/>
        </w:rPr>
        <w:t xml:space="preserve"> </w:t>
      </w:r>
      <w:r w:rsidR="00894AD9" w:rsidRPr="00432956">
        <w:rPr>
          <w:lang w:eastAsia="ja-JP"/>
        </w:rPr>
        <w:t xml:space="preserve">index </w:t>
      </w:r>
      <w:r w:rsidR="00894AD9">
        <w:rPr>
          <w:lang w:eastAsia="ja-JP"/>
        </w:rPr>
        <w:t>i</w:t>
      </w:r>
      <w:r w:rsidR="00894AD9" w:rsidRPr="00432956">
        <w:rPr>
          <w:lang w:eastAsia="ja-JP"/>
        </w:rPr>
        <w:t xml:space="preserve">s defined </w:t>
      </w:r>
      <w:r w:rsidR="003727FE">
        <w:rPr>
          <w:lang w:eastAsia="ja-JP"/>
        </w:rPr>
        <w:t>as</w:t>
      </w:r>
      <w:r w:rsidR="00894AD9" w:rsidRPr="00432956">
        <w:rPr>
          <w:lang w:eastAsia="ja-JP"/>
        </w:rPr>
        <w:t xml:space="preserve"> the standardized first principal component time series. For d4PDF</w:t>
      </w:r>
      <w:r w:rsidR="003727FE">
        <w:rPr>
          <w:lang w:eastAsia="ja-JP"/>
        </w:rPr>
        <w:t xml:space="preserve"> HIST (+4K)</w:t>
      </w:r>
      <w:r w:rsidR="00894AD9" w:rsidRPr="00432956">
        <w:rPr>
          <w:lang w:eastAsia="ja-JP"/>
        </w:rPr>
        <w:t>,</w:t>
      </w:r>
      <w:r w:rsidR="00123EEC">
        <w:rPr>
          <w:lang w:eastAsia="ja-JP"/>
        </w:rPr>
        <w:t xml:space="preserve"> unless noted otherwise,</w:t>
      </w:r>
      <w:r w:rsidR="00894AD9" w:rsidRPr="00432956">
        <w:rPr>
          <w:lang w:eastAsia="ja-JP"/>
        </w:rPr>
        <w:t xml:space="preserve"> the NAM index </w:t>
      </w:r>
      <w:r w:rsidR="003727FE">
        <w:rPr>
          <w:lang w:eastAsia="ja-JP"/>
        </w:rPr>
        <w:t>i</w:t>
      </w:r>
      <w:r w:rsidR="00894AD9" w:rsidRPr="00432956">
        <w:rPr>
          <w:lang w:eastAsia="ja-JP"/>
        </w:rPr>
        <w:t xml:space="preserve">s defined for the variability over 6,000 (5,400) years, combining all </w:t>
      </w:r>
      <w:r w:rsidR="003727FE">
        <w:rPr>
          <w:lang w:eastAsia="ja-JP"/>
        </w:rPr>
        <w:t xml:space="preserve">ensemble </w:t>
      </w:r>
      <w:r w:rsidR="00894AD9" w:rsidRPr="00432956">
        <w:rPr>
          <w:lang w:eastAsia="ja-JP"/>
        </w:rPr>
        <w:t>members.</w:t>
      </w:r>
      <w:r w:rsidR="005F7CB2">
        <w:rPr>
          <w:lang w:eastAsia="ja-JP"/>
        </w:rPr>
        <w:t xml:space="preserve"> </w:t>
      </w:r>
      <w:r w:rsidR="00432956">
        <w:rPr>
          <w:lang w:eastAsia="ja-JP"/>
        </w:rPr>
        <w:t xml:space="preserve">The statistical significance is </w:t>
      </w:r>
      <w:r w:rsidR="003727FE">
        <w:rPr>
          <w:lang w:eastAsia="ja-JP"/>
        </w:rPr>
        <w:t>tested</w:t>
      </w:r>
      <w:r w:rsidR="00432956">
        <w:rPr>
          <w:lang w:eastAsia="ja-JP"/>
        </w:rPr>
        <w:t xml:space="preserve"> using </w:t>
      </w:r>
      <w:r w:rsidR="00432956" w:rsidRPr="00BD7F88">
        <w:rPr>
          <w:i/>
          <w:iCs/>
          <w:lang w:eastAsia="ja-JP"/>
        </w:rPr>
        <w:t>t</w:t>
      </w:r>
      <w:r w:rsidR="00432956">
        <w:rPr>
          <w:lang w:eastAsia="ja-JP"/>
        </w:rPr>
        <w:t>-test</w:t>
      </w:r>
      <w:r w:rsidR="005F7CB2">
        <w:rPr>
          <w:lang w:eastAsia="ja-JP"/>
        </w:rPr>
        <w:t>, with</w:t>
      </w:r>
      <w:r w:rsidR="003727FE">
        <w:rPr>
          <w:lang w:eastAsia="ja-JP"/>
        </w:rPr>
        <w:t xml:space="preserve"> </w:t>
      </w:r>
      <w:r w:rsidR="005F7CB2">
        <w:rPr>
          <w:lang w:eastAsia="ja-JP"/>
        </w:rPr>
        <w:t>t</w:t>
      </w:r>
      <w:r w:rsidR="00432956">
        <w:rPr>
          <w:lang w:eastAsia="ja-JP"/>
        </w:rPr>
        <w:t>he effective degree of freedom</w:t>
      </w:r>
      <w:r w:rsidR="00C313F6">
        <w:rPr>
          <w:lang w:eastAsia="ja-JP"/>
        </w:rPr>
        <w:t xml:space="preserve"> </w:t>
      </w:r>
      <w:r w:rsidR="003727FE">
        <w:rPr>
          <w:lang w:eastAsia="ja-JP"/>
        </w:rPr>
        <w:t>estimated</w:t>
      </w:r>
      <w:r w:rsidR="00432956">
        <w:rPr>
          <w:lang w:eastAsia="ja-JP"/>
        </w:rPr>
        <w:t xml:space="preserve"> according to </w:t>
      </w:r>
      <w:r w:rsidR="001E5632">
        <w:rPr>
          <w:lang w:eastAsia="ja-JP"/>
        </w:rPr>
        <w:fldChar w:fldCharType="begin"/>
      </w:r>
      <w:r w:rsidR="006F3581">
        <w:rPr>
          <w:lang w:eastAsia="ja-JP"/>
        </w:rPr>
        <w:instrText xml:space="preserve"> ADDIN ZOTERO_ITEM CSL_CITATION {"citationID":"Dv9ANKDw","properties":{"formattedCitation":"(Bretherton et al., 1999)","plainCitation":"(Bretherton et al., 1999)","dontUpdate":true,"noteIndex":0},"citationItems":[{"id":159,"uris":["http://zotero.org/users/14197466/items/647YCAPR"],"itemData":{"id":159,"type":"article-journal","abstract":"The authors systematically investigate two easily computed measures of the effective number of spatial degrees of freedom (ESDOF), or number of independently varying spatial patterns, of a time-varying field of data. The first measure is based on matching the mean and variance of the time series of the spatially integrated squared anomaly of the field to a chi-squared distribution. The second measure, which is equivalent to the first for a long time sample of normally distributed field values, is based on the partitioning of variance between the EOFs. Although these measures were proposed almost 30 years ago, this paper aims to provide a comprehensive discussion of them that may help promote their more widespread use. The authors summarize the theoretical basis of the two measures and considerations when estimating them with a limited time sample or from nonnormally distributed data. It is shown that standard statistical significance tests for the difference or correlation between two realizations of a field (e.g., a forecast and an observation) are approximately valid if the number of degrees of freedom is chosen using an appropriate combination of the two ESDOF measures. Also described is a method involving ESDOF for deciding whether two time-varying fields are significantly correlated to each other. A discussion of the parallels between ESDOF and the effective sample size of an autocorrelated time series is given, and the authors review how an appropriate measure of effective sample size can be computed for assessing the significance of correlations between two time series.","container-title":"Journal of Climate","DOI":"https://doi.org/10.1175/1520-0442(1999)012&lt;1990:TENOSD&gt;2.0.CO;2","ISSN":"1520-0442","issue":"7","language":"en","note":"section: Journal of Climate","page":"1990-2009","source":"journals.ametsoc.org","title":"The Effective Number of Spatial Degrees of Freedom of a Time-Varying Field","volume":"12","author":[{"family":"Bretherton","given":"Christopher S."},{"family":"Widmann","given":"Martin"},{"family":"Dymnikov","given":"Valentin P."},{"family":"Wallace","given":"John M."},{"family":"Bladé","given":"Ileana"}],"issued":{"date-parts":[["1999",7,1]]}}}],"schema":"https://github.com/citation-style-language/schema/raw/master/csl-citation.json"} </w:instrText>
      </w:r>
      <w:r w:rsidR="001E5632">
        <w:rPr>
          <w:lang w:eastAsia="ja-JP"/>
        </w:rPr>
        <w:fldChar w:fldCharType="separate"/>
      </w:r>
      <w:r w:rsidR="001E5632">
        <w:rPr>
          <w:noProof/>
          <w:lang w:eastAsia="ja-JP"/>
        </w:rPr>
        <w:t>Bretherton et al. (1999)</w:t>
      </w:r>
      <w:r w:rsidR="001E5632">
        <w:rPr>
          <w:lang w:eastAsia="ja-JP"/>
        </w:rPr>
        <w:fldChar w:fldCharType="end"/>
      </w:r>
      <w:r w:rsidR="005F7CB2">
        <w:rPr>
          <w:lang w:eastAsia="ja-JP"/>
        </w:rPr>
        <w:t>.</w:t>
      </w:r>
    </w:p>
    <w:p w14:paraId="6888E72E" w14:textId="2F376351" w:rsidR="002F3B11" w:rsidRDefault="002F3B11" w:rsidP="006F623F">
      <w:pPr>
        <w:pStyle w:val="Heading-Main"/>
        <w:jc w:val="both"/>
      </w:pPr>
      <w:r>
        <w:t xml:space="preserve">3 </w:t>
      </w:r>
      <w:r w:rsidR="00653DB2">
        <w:t>Results</w:t>
      </w:r>
    </w:p>
    <w:p w14:paraId="64F34B1B" w14:textId="6BD663ED" w:rsidR="00653DB2" w:rsidRDefault="00653DB2" w:rsidP="006F623F">
      <w:pPr>
        <w:pStyle w:val="Heading-Main"/>
        <w:jc w:val="both"/>
      </w:pPr>
      <w:r>
        <w:t xml:space="preserve">3.1 Seasonality in the NAM and </w:t>
      </w:r>
      <w:r w:rsidR="00886A68">
        <w:t>its change</w:t>
      </w:r>
      <w:r>
        <w:t xml:space="preserve"> in a warmer climate</w:t>
      </w:r>
    </w:p>
    <w:p w14:paraId="685A0E3A" w14:textId="738F74B9" w:rsidR="00AD67E3" w:rsidRDefault="00AD67E3" w:rsidP="00AD67E3">
      <w:pPr>
        <w:pStyle w:val="Heading-Main"/>
        <w:jc w:val="center"/>
      </w:pPr>
      <w:r>
        <w:rPr>
          <w:noProof/>
        </w:rPr>
        <w:drawing>
          <wp:inline distT="0" distB="0" distL="0" distR="0" wp14:anchorId="617DD6AA" wp14:editId="142C28AE">
            <wp:extent cx="5025185" cy="4042160"/>
            <wp:effectExtent l="0" t="0" r="4445" b="0"/>
            <wp:docPr id="85704960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49607" name="図 857049607"/>
                    <pic:cNvPicPr/>
                  </pic:nvPicPr>
                  <pic:blipFill>
                    <a:blip r:embed="rId9"/>
                    <a:stretch>
                      <a:fillRect/>
                    </a:stretch>
                  </pic:blipFill>
                  <pic:spPr>
                    <a:xfrm>
                      <a:off x="0" y="0"/>
                      <a:ext cx="5031152" cy="4046959"/>
                    </a:xfrm>
                    <a:prstGeom prst="rect">
                      <a:avLst/>
                    </a:prstGeom>
                  </pic:spPr>
                </pic:pic>
              </a:graphicData>
            </a:graphic>
          </wp:inline>
        </w:drawing>
      </w:r>
    </w:p>
    <w:p w14:paraId="2D14133A" w14:textId="64D1838E" w:rsidR="00AD67E3" w:rsidRPr="00653DB2" w:rsidRDefault="00AD67E3" w:rsidP="00AD67E3">
      <w:pPr>
        <w:pStyle w:val="FigureorTableCaption"/>
        <w:jc w:val="both"/>
      </w:pPr>
      <w:r>
        <w:rPr>
          <w:b/>
        </w:rPr>
        <w:t>Figure</w:t>
      </w:r>
      <w:r w:rsidRPr="007443BB">
        <w:rPr>
          <w:b/>
        </w:rPr>
        <w:t xml:space="preserve"> 1</w:t>
      </w:r>
      <w:r>
        <w:t>. SLP anomalies (</w:t>
      </w:r>
      <w:proofErr w:type="spellStart"/>
      <w:r>
        <w:t>hPa</w:t>
      </w:r>
      <w:proofErr w:type="spellEnd"/>
      <w:r>
        <w:t>) regressed onto the NAM index for (a) DJF-mean, (b) December, (c) January, and (d) February based on ERA5 dataset. (e-h) and (</w:t>
      </w:r>
      <w:proofErr w:type="spellStart"/>
      <w:r>
        <w:t>i</w:t>
      </w:r>
      <w:proofErr w:type="spellEnd"/>
      <w:r>
        <w:t>-l) are the same as (a-d), but for d4PDF HIST and +4K, respectively. Dots indicate the statistical significance at the 95% level</w:t>
      </w:r>
      <w:r w:rsidR="00E60D9D">
        <w:t>.</w:t>
      </w:r>
    </w:p>
    <w:p w14:paraId="4F0EFDE9" w14:textId="77777777" w:rsidR="004E00D0" w:rsidRDefault="00EA3C71" w:rsidP="006F623F">
      <w:pPr>
        <w:pStyle w:val="Heading-Main"/>
        <w:jc w:val="both"/>
        <w:rPr>
          <w:b w:val="0"/>
          <w:bCs w:val="0"/>
        </w:rPr>
      </w:pPr>
      <w:r>
        <w:rPr>
          <w:b w:val="0"/>
          <w:bCs w:val="0"/>
        </w:rPr>
        <w:t>Fig</w:t>
      </w:r>
      <w:r w:rsidR="00E65FD4">
        <w:rPr>
          <w:b w:val="0"/>
          <w:bCs w:val="0"/>
        </w:rPr>
        <w:t>ure</w:t>
      </w:r>
      <w:r>
        <w:rPr>
          <w:b w:val="0"/>
          <w:bCs w:val="0"/>
        </w:rPr>
        <w:t xml:space="preserve"> 1</w:t>
      </w:r>
      <w:r w:rsidR="00653DB2" w:rsidRPr="00653DB2">
        <w:rPr>
          <w:b w:val="0"/>
          <w:bCs w:val="0"/>
        </w:rPr>
        <w:t xml:space="preserve"> </w:t>
      </w:r>
      <w:r w:rsidR="00E60D9D">
        <w:rPr>
          <w:b w:val="0"/>
          <w:bCs w:val="0"/>
        </w:rPr>
        <w:t>summ</w:t>
      </w:r>
      <w:r w:rsidR="009E6426">
        <w:rPr>
          <w:b w:val="0"/>
          <w:bCs w:val="0"/>
        </w:rPr>
        <w:t>a</w:t>
      </w:r>
      <w:r w:rsidR="00E60D9D">
        <w:rPr>
          <w:b w:val="0"/>
          <w:bCs w:val="0"/>
        </w:rPr>
        <w:t>rizes</w:t>
      </w:r>
      <w:r w:rsidR="00653DB2" w:rsidRPr="00653DB2">
        <w:rPr>
          <w:b w:val="0"/>
          <w:bCs w:val="0"/>
        </w:rPr>
        <w:t xml:space="preserve"> the SLP anomalies </w:t>
      </w:r>
      <w:r w:rsidR="00886A68">
        <w:rPr>
          <w:b w:val="0"/>
          <w:bCs w:val="0"/>
        </w:rPr>
        <w:t>associated with</w:t>
      </w:r>
      <w:r w:rsidR="00653DB2" w:rsidRPr="00653DB2">
        <w:rPr>
          <w:b w:val="0"/>
          <w:bCs w:val="0"/>
        </w:rPr>
        <w:t xml:space="preserve"> </w:t>
      </w:r>
      <w:r w:rsidR="00E60D9D">
        <w:rPr>
          <w:b w:val="0"/>
          <w:bCs w:val="0"/>
        </w:rPr>
        <w:t xml:space="preserve">the </w:t>
      </w:r>
      <w:r w:rsidR="00653DB2" w:rsidRPr="00653DB2">
        <w:rPr>
          <w:b w:val="0"/>
          <w:bCs w:val="0"/>
        </w:rPr>
        <w:t>NAM</w:t>
      </w:r>
      <w:r>
        <w:rPr>
          <w:b w:val="0"/>
          <w:bCs w:val="0"/>
        </w:rPr>
        <w:t>.</w:t>
      </w:r>
      <w:r w:rsidR="004E00D0">
        <w:rPr>
          <w:b w:val="0"/>
          <w:bCs w:val="0"/>
        </w:rPr>
        <w:t xml:space="preserve"> d4PDF reproduces the overall structure and magnitude of the NAM reasonably well (Figure 1a-h).</w:t>
      </w:r>
      <w:r w:rsidR="00CE3A95">
        <w:rPr>
          <w:b w:val="0"/>
          <w:bCs w:val="0"/>
        </w:rPr>
        <w:t xml:space="preserve"> </w:t>
      </w:r>
      <w:r w:rsidR="00653DB2" w:rsidRPr="00653DB2">
        <w:rPr>
          <w:b w:val="0"/>
          <w:bCs w:val="0"/>
        </w:rPr>
        <w:t xml:space="preserve">While d4PDF overestimates </w:t>
      </w:r>
      <w:r w:rsidR="004E352D">
        <w:rPr>
          <w:b w:val="0"/>
          <w:bCs w:val="0"/>
        </w:rPr>
        <w:t>the AL anomal</w:t>
      </w:r>
      <w:r w:rsidR="00E65FD4">
        <w:rPr>
          <w:b w:val="0"/>
          <w:bCs w:val="0"/>
        </w:rPr>
        <w:t>y</w:t>
      </w:r>
      <w:r w:rsidR="003878D3">
        <w:rPr>
          <w:b w:val="0"/>
          <w:bCs w:val="0"/>
        </w:rPr>
        <w:t>,</w:t>
      </w:r>
      <w:r w:rsidR="00263C9C">
        <w:rPr>
          <w:b w:val="0"/>
          <w:bCs w:val="0"/>
        </w:rPr>
        <w:t xml:space="preserve"> as </w:t>
      </w:r>
      <w:r w:rsidR="0048573D">
        <w:rPr>
          <w:b w:val="0"/>
          <w:bCs w:val="0"/>
        </w:rPr>
        <w:t xml:space="preserve">also found in </w:t>
      </w:r>
      <w:r w:rsidR="00D26F32">
        <w:rPr>
          <w:b w:val="0"/>
          <w:bCs w:val="0"/>
        </w:rPr>
        <w:t xml:space="preserve">a majority of </w:t>
      </w:r>
      <w:r w:rsidR="0048573D">
        <w:rPr>
          <w:b w:val="0"/>
          <w:bCs w:val="0"/>
        </w:rPr>
        <w:t xml:space="preserve">CMIP5 </w:t>
      </w:r>
      <w:r w:rsidR="00263C9C">
        <w:rPr>
          <w:b w:val="0"/>
          <w:bCs w:val="0"/>
        </w:rPr>
        <w:fldChar w:fldCharType="begin"/>
      </w:r>
      <w:r w:rsidR="00D26F32">
        <w:rPr>
          <w:b w:val="0"/>
          <w:bCs w:val="0"/>
        </w:rPr>
        <w:instrText xml:space="preserve"> ADDIN ZOTERO_ITEM CSL_CITATION {"citationID":"LGtT41xB","properties":{"formattedCitation":"(Gong et al., 2017; Zuo et al., 2013)","plainCitation":"(Gong et al., 2017; Zuo et al., 2013)","noteIndex":0},"citationItems":[{"id":90,"uris":["http://zotero.org/users/14197466/items/E3BT9M96"],"itemData":{"id":90,"type":"article-journal","abstract":"Distinct biases are found in the pattern and teleconnections of the Arctic Oscillation (AO) in 32 climate models that participate the Coupled Model Intercomparison Project Phase 5 (CMIP5). Compared with observations, the Pacific (Atlantic) center of AO is excessively strong (weak) in most of the 32 CMIP5 models, and the AO-related surface air temperature anomalies are generally weak over the Eurasian continent and North America. These biases are closely tied to the excessively strong linkage, which is marginal in observations, between AO and the North Pacific mode (NPM)—the leading variability of the North Pacific sea level pressure. It implies that the AO in CMIP5 models may be compounded with some regional mode over the North Pacific. Accordingly, a bias-correction method was proposed via correcting the AO index (AOI) to improve the diagnostic estimates of the AO teleconnections. The results suggest that the biases in the pattern and teleconnections of AO can be significantly reduced when the NPM variability is linearly removed from the AOI.","container-title":"Environmental Research Letters","DOI":"10.1088/1748-9326/12/1/014001","ISSN":"1748-9326","issue":"1","journalAbbreviation":"Environ. Res. Lett.","language":"en","note":"publisher: IOP Publishing","page":"014001","source":"Institute of Physics","title":"Biases of the wintertime Arctic Oscillation in CMIP5 models","volume":"12","author":[{"family":"Gong","given":"Hainan"},{"family":"Wang","given":"Lin"},{"family":"Chen","given":"Wen"},{"family":"Chen","given":"Xiaolong"},{"family":"Nath","given":"Debashis"}],"issued":{"date-parts":[["2017"]]}}},{"id":193,"uris":["http://zotero.org/users/14197466/items/9AVJUETX"],"itemData":{"id":193,"type":"article-journal","abstract":"The temporal variability and spatial pattern of the Arctic Oscillation (AO) simulated in the historical experiment of 26 coupled climate models participating in the Coupled Model Intercomparison Project Phase 5 (CMIP5) are evaluated. Spectral analysis of the monthly AO index indicates that 23 out of the 26 CMIP5 models exhibit no statistically significant spectral peak in the historical experiment, as seen in the observations. These models are able to reproduce the AO pattern in the sea level pressure anomaly field during boreal winter, but the intensity of the AO pattern tends to be overestimated in all the models. The zonal-mean zonal wind anomalies associated with the AO is dominated by a meridional dipole in the mid-high latitudes of the Northern Hemisphere during boreal winter, which is well reproduced by only a few models. Most models show significant biases in both strength and location of the dipole compared to the observation. In considering the temporal variability as well as spatial structures in both horizontal and vertical directions, the MPI-ESM-P model reproduces an AO pattern that resembles the observation the best.\nCitation\nZuo, J.-Q., W.-J. Li, and H.-L. Ren, 2013: Representation of the Arctic Oscillation in the CMIP5 models.Adv. Clim. Change Res.,4(4), doi: 10.3724/SP.J.1248.2013.242.","container-title":"Advances in Climate Change Research","DOI":"10.3724/SP.J.1248.2013.242","ISSN":"1674-9278","issue":"4","journalAbbreviation":"Advances in Climate Change Research","page":"242-249","source":"ScienceDirect","title":"Representation of the Arctic Oscillation in the CMIP5 Models","volume":"4","author":[{"family":"Zuo","given":"Jin-Qing"},{"family":"Li","given":"Wei-Jing"},{"family":"Ren","given":"Hong-Li"}],"issued":{"date-parts":[["2013",12,25]]}}}],"schema":"https://github.com/citation-style-language/schema/raw/master/csl-citation.json"} </w:instrText>
      </w:r>
      <w:r w:rsidR="00263C9C">
        <w:rPr>
          <w:b w:val="0"/>
          <w:bCs w:val="0"/>
        </w:rPr>
        <w:fldChar w:fldCharType="separate"/>
      </w:r>
      <w:r w:rsidR="00D26F32">
        <w:rPr>
          <w:b w:val="0"/>
          <w:bCs w:val="0"/>
          <w:noProof/>
        </w:rPr>
        <w:t>(Gong et al., 2017; Zuo et al., 2013)</w:t>
      </w:r>
      <w:r w:rsidR="00263C9C">
        <w:rPr>
          <w:b w:val="0"/>
          <w:bCs w:val="0"/>
        </w:rPr>
        <w:fldChar w:fldCharType="end"/>
      </w:r>
      <w:r w:rsidR="00D26F32">
        <w:rPr>
          <w:b w:val="0"/>
          <w:bCs w:val="0"/>
        </w:rPr>
        <w:t xml:space="preserve"> and CMIP6 </w:t>
      </w:r>
      <w:r w:rsidR="00D26F32">
        <w:rPr>
          <w:b w:val="0"/>
          <w:bCs w:val="0"/>
        </w:rPr>
        <w:fldChar w:fldCharType="begin"/>
      </w:r>
      <w:r w:rsidR="00132BCC">
        <w:rPr>
          <w:b w:val="0"/>
          <w:bCs w:val="0"/>
        </w:rPr>
        <w:instrText xml:space="preserve"> ADDIN ZOTERO_ITEM CSL_CITATION {"citationID":"deD5x9sF","properties":{"formattedCitation":"(Coburn &amp; Pryor, 2021)","plainCitation":"(Coburn &amp; Pryor, 2021)","noteIndex":0},"citationItems":[{"id":210,"uris":["http://zotero.org/users/14197466/items/LNNBAFD5"],"itemData":{"id":210,"type":"article-journal","abstract":"This work quantitatively evaluates the fidelity with which the northern annular mode (NAM), southern annular mode (SAM), Pacific–North American pattern (PNA), El Niño–Southern Oscillation (ENSO), Pacific decadal oscillation (PDO), Atlantic multidecadal oscillation (AMO), and the first-order mode interactions are represented in Earth system model (ESM) output from the CMIP6 archive. Several skill metrics are used as part of a differential credibility assessment (DCA) of both spatial and temporal characteristics of the modes across ESMs, ESM families, and specific ESM realizations relative to ERA5. The spatial patterns and probability distributions are generally well represented but skill scores that measure the degree to which the frequencies of maximum variance are captured are consistently lower for most ESMs and climate modes. Substantial variability in skill scores manifests across realizations from individual ESMs for the PNA and oceanic modes. Further, the ESMs consistently overestimate the strength of the NAM–PNA first-order interaction and underestimate the NAM–AMO connection. These results suggest that the choice of ESM and ESM realizations will continue to play a critical role in determining climate projections at the global and regional scale at least in the near term.","container-title":"Journal of Climate","DOI":"10.1175/JCLI-D-21-0359.1","issue":"20","journalAbbreviation":"J. Climate","language":"en","note":"section: Journal of Climate","page":"8145-8164","source":"journals.ametsoc.org","title":"Differential Credibility of Climate Modes in CMIP6","volume":"34","author":[{"family":"Coburn","given":"Jacob"},{"family":"Pryor","given":"S. C."}],"issued":{"date-parts":[["2021",10,1]]}}}],"schema":"https://github.com/citation-style-language/schema/raw/master/csl-citation.json"} </w:instrText>
      </w:r>
      <w:r w:rsidR="00D26F32">
        <w:rPr>
          <w:b w:val="0"/>
          <w:bCs w:val="0"/>
        </w:rPr>
        <w:fldChar w:fldCharType="separate"/>
      </w:r>
      <w:r w:rsidR="00D26F32">
        <w:rPr>
          <w:b w:val="0"/>
          <w:bCs w:val="0"/>
          <w:noProof/>
        </w:rPr>
        <w:t>(Coburn &amp; Pryor, 2021)</w:t>
      </w:r>
      <w:r w:rsidR="00D26F32">
        <w:rPr>
          <w:b w:val="0"/>
          <w:bCs w:val="0"/>
        </w:rPr>
        <w:fldChar w:fldCharType="end"/>
      </w:r>
      <w:r w:rsidR="00E60D9D">
        <w:rPr>
          <w:b w:val="0"/>
          <w:bCs w:val="0"/>
        </w:rPr>
        <w:t xml:space="preserve"> models</w:t>
      </w:r>
      <w:r w:rsidR="00886A68">
        <w:rPr>
          <w:b w:val="0"/>
          <w:bCs w:val="0"/>
        </w:rPr>
        <w:t>,</w:t>
      </w:r>
      <w:r w:rsidR="00653DB2" w:rsidRPr="00653DB2">
        <w:rPr>
          <w:b w:val="0"/>
          <w:bCs w:val="0"/>
        </w:rPr>
        <w:t xml:space="preserve"> it </w:t>
      </w:r>
      <w:r w:rsidR="002942BD">
        <w:rPr>
          <w:b w:val="0"/>
          <w:bCs w:val="0"/>
        </w:rPr>
        <w:t>successfully</w:t>
      </w:r>
      <w:r w:rsidR="00293073">
        <w:rPr>
          <w:b w:val="0"/>
          <w:bCs w:val="0"/>
        </w:rPr>
        <w:t xml:space="preserve"> captures</w:t>
      </w:r>
      <w:r w:rsidR="00653DB2" w:rsidRPr="00653DB2">
        <w:rPr>
          <w:b w:val="0"/>
          <w:bCs w:val="0"/>
        </w:rPr>
        <w:t xml:space="preserve"> the observed </w:t>
      </w:r>
      <w:r w:rsidR="003C31D4">
        <w:rPr>
          <w:b w:val="0"/>
          <w:bCs w:val="0"/>
        </w:rPr>
        <w:t xml:space="preserve">temporal </w:t>
      </w:r>
      <w:r w:rsidR="00010D6A">
        <w:rPr>
          <w:b w:val="0"/>
          <w:bCs w:val="0"/>
        </w:rPr>
        <w:lastRenderedPageBreak/>
        <w:t>correla</w:t>
      </w:r>
      <w:r w:rsidR="008C1B2D">
        <w:rPr>
          <w:b w:val="0"/>
          <w:bCs w:val="0"/>
        </w:rPr>
        <w:t>tions</w:t>
      </w:r>
      <w:r w:rsidR="00010D6A">
        <w:rPr>
          <w:b w:val="0"/>
          <w:bCs w:val="0"/>
        </w:rPr>
        <w:t xml:space="preserve"> among three centers of action, namely the AL and two Atlantic lobes (results not shown).</w:t>
      </w:r>
      <w:r w:rsidR="003C31D4">
        <w:rPr>
          <w:b w:val="0"/>
          <w:bCs w:val="0"/>
        </w:rPr>
        <w:t xml:space="preserve"> </w:t>
      </w:r>
    </w:p>
    <w:p w14:paraId="4A1D0229" w14:textId="05920D25" w:rsidR="00BD5581" w:rsidRDefault="007E2367" w:rsidP="006F623F">
      <w:pPr>
        <w:pStyle w:val="Heading-Main"/>
        <w:jc w:val="both"/>
        <w:rPr>
          <w:b w:val="0"/>
          <w:bCs w:val="0"/>
        </w:rPr>
      </w:pPr>
      <w:r>
        <w:rPr>
          <w:b w:val="0"/>
          <w:bCs w:val="0"/>
        </w:rPr>
        <w:t>In b</w:t>
      </w:r>
      <w:r w:rsidR="00412454">
        <w:rPr>
          <w:b w:val="0"/>
          <w:bCs w:val="0"/>
        </w:rPr>
        <w:t xml:space="preserve">oth ERA5 and d4PDF </w:t>
      </w:r>
      <w:r>
        <w:rPr>
          <w:b w:val="0"/>
          <w:bCs w:val="0"/>
        </w:rPr>
        <w:t xml:space="preserve">HIST, the NAM exhibits an </w:t>
      </w:r>
      <w:r w:rsidR="00BA3546">
        <w:rPr>
          <w:b w:val="0"/>
          <w:bCs w:val="0"/>
        </w:rPr>
        <w:t xml:space="preserve">enhancement of </w:t>
      </w:r>
      <w:r>
        <w:rPr>
          <w:b w:val="0"/>
          <w:bCs w:val="0"/>
        </w:rPr>
        <w:t xml:space="preserve">the AL </w:t>
      </w:r>
      <w:r w:rsidR="00BA3546">
        <w:rPr>
          <w:b w:val="0"/>
          <w:bCs w:val="0"/>
        </w:rPr>
        <w:t xml:space="preserve">anomaly </w:t>
      </w:r>
      <w:r>
        <w:rPr>
          <w:b w:val="0"/>
          <w:bCs w:val="0"/>
        </w:rPr>
        <w:t>from early to late winter. Indeed,</w:t>
      </w:r>
      <w:r w:rsidR="00412454">
        <w:rPr>
          <w:b w:val="0"/>
          <w:bCs w:val="0"/>
        </w:rPr>
        <w:t xml:space="preserve"> </w:t>
      </w:r>
      <w:r>
        <w:rPr>
          <w:b w:val="0"/>
          <w:bCs w:val="0"/>
        </w:rPr>
        <w:t xml:space="preserve">the ratio of </w:t>
      </w:r>
      <w:r w:rsidR="005B3DED">
        <w:rPr>
          <w:b w:val="0"/>
          <w:bCs w:val="0"/>
        </w:rPr>
        <w:t>squared SLP anomaly over</w:t>
      </w:r>
      <w:r>
        <w:rPr>
          <w:b w:val="0"/>
          <w:bCs w:val="0"/>
        </w:rPr>
        <w:t xml:space="preserve"> the AL</w:t>
      </w:r>
      <w:r w:rsidR="005B3DED">
        <w:rPr>
          <w:b w:val="0"/>
          <w:bCs w:val="0"/>
        </w:rPr>
        <w:t xml:space="preserve"> region</w:t>
      </w:r>
      <w:r>
        <w:rPr>
          <w:b w:val="0"/>
          <w:bCs w:val="0"/>
        </w:rPr>
        <w:t xml:space="preserve"> </w:t>
      </w:r>
      <w:r w:rsidRPr="00653DB2">
        <w:rPr>
          <w:b w:val="0"/>
          <w:bCs w:val="0"/>
        </w:rPr>
        <w:t>(40-5</w:t>
      </w:r>
      <w:r w:rsidR="00732C6B">
        <w:rPr>
          <w:b w:val="0"/>
          <w:bCs w:val="0"/>
        </w:rPr>
        <w:t>5</w:t>
      </w:r>
      <w:r w:rsidRPr="00653DB2">
        <w:rPr>
          <w:b w:val="0"/>
          <w:bCs w:val="0"/>
        </w:rPr>
        <w:t>°N, 180°-</w:t>
      </w:r>
      <w:r>
        <w:rPr>
          <w:b w:val="0"/>
          <w:bCs w:val="0"/>
        </w:rPr>
        <w:t>150</w:t>
      </w:r>
      <w:r w:rsidRPr="00653DB2">
        <w:rPr>
          <w:b w:val="0"/>
          <w:bCs w:val="0"/>
        </w:rPr>
        <w:t>°</w:t>
      </w:r>
      <w:r>
        <w:rPr>
          <w:b w:val="0"/>
          <w:bCs w:val="0"/>
        </w:rPr>
        <w:t>W</w:t>
      </w:r>
      <w:r w:rsidRPr="00653DB2">
        <w:rPr>
          <w:b w:val="0"/>
          <w:bCs w:val="0"/>
        </w:rPr>
        <w:t>)</w:t>
      </w:r>
      <w:r>
        <w:rPr>
          <w:b w:val="0"/>
          <w:bCs w:val="0"/>
        </w:rPr>
        <w:t xml:space="preserve"> to </w:t>
      </w:r>
      <w:r w:rsidR="005B3DED">
        <w:rPr>
          <w:b w:val="0"/>
          <w:bCs w:val="0"/>
        </w:rPr>
        <w:t xml:space="preserve">that of </w:t>
      </w:r>
      <w:r>
        <w:rPr>
          <w:b w:val="0"/>
          <w:bCs w:val="0"/>
        </w:rPr>
        <w:t xml:space="preserve">the North Atlantic sector </w:t>
      </w:r>
      <w:r w:rsidR="00412454" w:rsidRPr="00653DB2">
        <w:rPr>
          <w:b w:val="0"/>
          <w:bCs w:val="0"/>
        </w:rPr>
        <w:t>(</w:t>
      </w:r>
      <w:r w:rsidR="00412454">
        <w:rPr>
          <w:b w:val="0"/>
          <w:bCs w:val="0"/>
        </w:rPr>
        <w:t>2</w:t>
      </w:r>
      <w:r w:rsidR="00412454" w:rsidRPr="00653DB2">
        <w:rPr>
          <w:b w:val="0"/>
          <w:bCs w:val="0"/>
        </w:rPr>
        <w:t>0-</w:t>
      </w:r>
      <w:r w:rsidR="00412454">
        <w:rPr>
          <w:b w:val="0"/>
          <w:bCs w:val="0"/>
        </w:rPr>
        <w:t>9</w:t>
      </w:r>
      <w:r w:rsidR="00412454" w:rsidRPr="00653DB2">
        <w:rPr>
          <w:b w:val="0"/>
          <w:bCs w:val="0"/>
        </w:rPr>
        <w:t xml:space="preserve">0°N, </w:t>
      </w:r>
      <w:r w:rsidR="00412454">
        <w:rPr>
          <w:b w:val="0"/>
          <w:bCs w:val="0"/>
        </w:rPr>
        <w:t>9</w:t>
      </w:r>
      <w:r w:rsidR="00412454" w:rsidRPr="00653DB2">
        <w:rPr>
          <w:b w:val="0"/>
          <w:bCs w:val="0"/>
        </w:rPr>
        <w:t>0°</w:t>
      </w:r>
      <w:r w:rsidR="00412454">
        <w:rPr>
          <w:b w:val="0"/>
          <w:bCs w:val="0"/>
        </w:rPr>
        <w:t>W</w:t>
      </w:r>
      <w:r w:rsidR="00412454" w:rsidRPr="00653DB2">
        <w:rPr>
          <w:b w:val="0"/>
          <w:bCs w:val="0"/>
        </w:rPr>
        <w:t>-</w:t>
      </w:r>
      <w:r w:rsidR="00412454">
        <w:rPr>
          <w:b w:val="0"/>
          <w:bCs w:val="0"/>
        </w:rPr>
        <w:t>40</w:t>
      </w:r>
      <w:r w:rsidR="00412454" w:rsidRPr="00653DB2">
        <w:rPr>
          <w:b w:val="0"/>
          <w:bCs w:val="0"/>
        </w:rPr>
        <w:t>°</w:t>
      </w:r>
      <w:r w:rsidR="00412454">
        <w:rPr>
          <w:b w:val="0"/>
          <w:bCs w:val="0"/>
        </w:rPr>
        <w:t>E</w:t>
      </w:r>
      <w:r w:rsidR="00412454" w:rsidRPr="00653DB2">
        <w:rPr>
          <w:b w:val="0"/>
          <w:bCs w:val="0"/>
        </w:rPr>
        <w:t>)</w:t>
      </w:r>
      <w:r w:rsidR="005B3DED">
        <w:rPr>
          <w:b w:val="0"/>
          <w:bCs w:val="0"/>
        </w:rPr>
        <w:t xml:space="preserve"> </w:t>
      </w:r>
      <w:r w:rsidR="00412454">
        <w:rPr>
          <w:b w:val="0"/>
          <w:bCs w:val="0"/>
        </w:rPr>
        <w:t>increases</w:t>
      </w:r>
      <w:r>
        <w:rPr>
          <w:b w:val="0"/>
          <w:bCs w:val="0"/>
        </w:rPr>
        <w:t xml:space="preserve"> from December to February</w:t>
      </w:r>
      <w:r w:rsidR="00412454">
        <w:rPr>
          <w:b w:val="0"/>
          <w:bCs w:val="0"/>
        </w:rPr>
        <w:t xml:space="preserve"> (1.</w:t>
      </w:r>
      <w:r w:rsidR="00732C6B">
        <w:rPr>
          <w:b w:val="0"/>
          <w:bCs w:val="0"/>
        </w:rPr>
        <w:t>3</w:t>
      </w:r>
      <w:r w:rsidR="00412454">
        <w:rPr>
          <w:b w:val="0"/>
          <w:bCs w:val="0"/>
        </w:rPr>
        <w:t xml:space="preserve"> times for ERA5 and 2.</w:t>
      </w:r>
      <w:r w:rsidR="00732C6B">
        <w:rPr>
          <w:b w:val="0"/>
          <w:bCs w:val="0"/>
        </w:rPr>
        <w:t>3</w:t>
      </w:r>
      <w:r w:rsidR="00412454">
        <w:rPr>
          <w:b w:val="0"/>
          <w:bCs w:val="0"/>
        </w:rPr>
        <w:t xml:space="preserve"> times for d4PDF).</w:t>
      </w:r>
      <w:r w:rsidR="00412454">
        <w:rPr>
          <w:b w:val="0"/>
          <w:bCs w:val="0"/>
          <w:lang w:eastAsia="ja-JP"/>
        </w:rPr>
        <w:t xml:space="preserve"> </w:t>
      </w:r>
      <w:r w:rsidR="00ED662F">
        <w:rPr>
          <w:b w:val="0"/>
          <w:bCs w:val="0"/>
        </w:rPr>
        <w:t xml:space="preserve">This result is qualitatively </w:t>
      </w:r>
      <w:r w:rsidR="009F53B0">
        <w:rPr>
          <w:b w:val="0"/>
          <w:bCs w:val="0"/>
        </w:rPr>
        <w:t>unchanged against</w:t>
      </w:r>
      <w:r w:rsidR="00C166A3">
        <w:rPr>
          <w:b w:val="0"/>
          <w:bCs w:val="0"/>
        </w:rPr>
        <w:t xml:space="preserve"> slight</w:t>
      </w:r>
      <w:r w:rsidR="009F53B0">
        <w:rPr>
          <w:b w:val="0"/>
          <w:bCs w:val="0"/>
        </w:rPr>
        <w:t xml:space="preserve"> changes </w:t>
      </w:r>
      <w:r w:rsidR="003A32C3">
        <w:rPr>
          <w:b w:val="0"/>
          <w:bCs w:val="0"/>
        </w:rPr>
        <w:t>in</w:t>
      </w:r>
      <w:r w:rsidR="009F53B0">
        <w:rPr>
          <w:b w:val="0"/>
          <w:bCs w:val="0"/>
        </w:rPr>
        <w:t xml:space="preserve"> the </w:t>
      </w:r>
      <w:r w:rsidR="00412454">
        <w:rPr>
          <w:b w:val="0"/>
          <w:bCs w:val="0"/>
        </w:rPr>
        <w:t>AL and North Atlantic</w:t>
      </w:r>
      <w:r w:rsidR="009F53B0">
        <w:rPr>
          <w:b w:val="0"/>
          <w:bCs w:val="0"/>
        </w:rPr>
        <w:t xml:space="preserve"> domains</w:t>
      </w:r>
      <w:r w:rsidR="00BD5581">
        <w:rPr>
          <w:b w:val="0"/>
          <w:bCs w:val="0"/>
        </w:rPr>
        <w:t>.</w:t>
      </w:r>
    </w:p>
    <w:p w14:paraId="5DF3288F" w14:textId="2489B383" w:rsidR="00F56B06" w:rsidRDefault="00740C48" w:rsidP="006F623F">
      <w:pPr>
        <w:pStyle w:val="Heading-Main"/>
        <w:jc w:val="both"/>
        <w:rPr>
          <w:b w:val="0"/>
          <w:bCs w:val="0"/>
        </w:rPr>
      </w:pPr>
      <w:r>
        <w:rPr>
          <w:b w:val="0"/>
          <w:bCs w:val="0"/>
        </w:rPr>
        <w:t>In +4K</w:t>
      </w:r>
      <w:r w:rsidR="00653DB2" w:rsidRPr="00653DB2">
        <w:rPr>
          <w:b w:val="0"/>
          <w:bCs w:val="0"/>
        </w:rPr>
        <w:t xml:space="preserve">, the </w:t>
      </w:r>
      <w:r>
        <w:rPr>
          <w:b w:val="0"/>
          <w:bCs w:val="0"/>
        </w:rPr>
        <w:t>NAM</w:t>
      </w:r>
      <w:r w:rsidR="00653DB2" w:rsidRPr="00653DB2">
        <w:rPr>
          <w:b w:val="0"/>
          <w:bCs w:val="0"/>
        </w:rPr>
        <w:t xml:space="preserve"> structure becomes more Pacific-</w:t>
      </w:r>
      <w:r w:rsidR="00F56B06">
        <w:rPr>
          <w:b w:val="0"/>
          <w:bCs w:val="0"/>
        </w:rPr>
        <w:t>weight</w:t>
      </w:r>
      <w:r w:rsidR="00653DB2" w:rsidRPr="00653DB2">
        <w:rPr>
          <w:b w:val="0"/>
          <w:bCs w:val="0"/>
        </w:rPr>
        <w:t>ed</w:t>
      </w:r>
      <w:r w:rsidR="00640182">
        <w:rPr>
          <w:b w:val="0"/>
          <w:bCs w:val="0"/>
        </w:rPr>
        <w:t xml:space="preserve"> </w:t>
      </w:r>
      <w:r w:rsidR="00640182">
        <w:rPr>
          <w:b w:val="0"/>
          <w:bCs w:val="0"/>
        </w:rPr>
        <w:fldChar w:fldCharType="begin"/>
      </w:r>
      <w:r w:rsidR="00640182">
        <w:rPr>
          <w:b w:val="0"/>
          <w:bCs w:val="0"/>
        </w:rPr>
        <w:instrText xml:space="preserve"> ADDIN ZOTERO_ITEM CSL_CITATION {"citationID":"Rw4wGDEI","properties":{"formattedCitation":"(Hamouda et al., 2021)","plainCitation":"(Hamouda et al., 2021)","noteIndex":0},"citationItems":[{"id":43,"uris":["http://zotero.org/users/14197466/items/NHNZIYAC"],"itemData":{"id":43,"type":"article-journal","abstract":"The North Atlantic Oscillation and the Arctic Oscillation are modes of climate variability affecting temperature and precipitation in the mid-latitudes. Here we use reanalysis data and climate model simulations of historical and warm climates to show that the relationship between the two oscillations changes with climate warming. The two modes are currently highly correlated, as both are strongly influenced by the downward propagation of stratospheric polar vortex anomalies into the troposphere. When considering a very warm climate scenario, the hemispherically defined Arctic Oscillation pattern shifts to reflect variability of the North Pacific storm track, while the regionally defined North Atlantic Oscillation pattern remains stable. The stratosphere remains an important precursor for North Atlantic Oscillation, and surface Eurasian and Aleutian pressure anomalies precede stratospheric anomalies. Idealized general circulation model simulations suggest that these modifications are linked to the stronger warming of the Pacific compared with the slower warming of the Atlantic Ocean.","container-title":"Nature Climate Change","DOI":"10.1038/s41558-020-00966-8","ISSN":"1758-6798","issue":"2","journalAbbreviation":"Nat. Clim. Chang.","language":"en","license":"2021 The Author(s), under exclusive licence to Springer Nature Limited","note":"publisher: Nature Publishing Group","page":"137-142","source":"www.nature.com","title":"Decoupling of the Arctic Oscillation and North Atlantic Oscillation in a warmer climate","volume":"11","author":[{"family":"Hamouda","given":"Mostafa E."},{"family":"Pasquero","given":"Claudia"},{"family":"Tziperman","given":"Eli"}],"issued":{"date-parts":[["2021",2]]}}}],"schema":"https://github.com/citation-style-language/schema/raw/master/csl-citation.json"} </w:instrText>
      </w:r>
      <w:r w:rsidR="00640182">
        <w:rPr>
          <w:b w:val="0"/>
          <w:bCs w:val="0"/>
        </w:rPr>
        <w:fldChar w:fldCharType="separate"/>
      </w:r>
      <w:r w:rsidR="00640182">
        <w:rPr>
          <w:b w:val="0"/>
          <w:bCs w:val="0"/>
          <w:noProof/>
        </w:rPr>
        <w:t>(Hamouda et al., 2021)</w:t>
      </w:r>
      <w:r w:rsidR="00640182">
        <w:rPr>
          <w:b w:val="0"/>
          <w:bCs w:val="0"/>
        </w:rPr>
        <w:fldChar w:fldCharType="end"/>
      </w:r>
      <w:r w:rsidR="00653DB2" w:rsidRPr="00653DB2">
        <w:rPr>
          <w:b w:val="0"/>
          <w:bCs w:val="0"/>
        </w:rPr>
        <w:t xml:space="preserve">. </w:t>
      </w:r>
      <w:r w:rsidR="002770BA">
        <w:rPr>
          <w:b w:val="0"/>
          <w:bCs w:val="0"/>
        </w:rPr>
        <w:t>Indeed, w</w:t>
      </w:r>
      <w:r w:rsidR="00653DB2" w:rsidRPr="00653DB2">
        <w:rPr>
          <w:b w:val="0"/>
          <w:bCs w:val="0"/>
        </w:rPr>
        <w:t>hile the</w:t>
      </w:r>
      <w:r>
        <w:rPr>
          <w:b w:val="0"/>
          <w:bCs w:val="0"/>
        </w:rPr>
        <w:t xml:space="preserve"> SLP anomaly</w:t>
      </w:r>
      <w:r w:rsidR="00653DB2" w:rsidRPr="00653DB2">
        <w:rPr>
          <w:b w:val="0"/>
          <w:bCs w:val="0"/>
        </w:rPr>
        <w:t xml:space="preserve"> </w:t>
      </w:r>
      <w:r w:rsidR="00F56B06">
        <w:rPr>
          <w:b w:val="0"/>
          <w:bCs w:val="0"/>
        </w:rPr>
        <w:t>magnitudes</w:t>
      </w:r>
      <w:r w:rsidR="00653DB2" w:rsidRPr="00653DB2">
        <w:rPr>
          <w:b w:val="0"/>
          <w:bCs w:val="0"/>
        </w:rPr>
        <w:t xml:space="preserve"> </w:t>
      </w:r>
      <w:r w:rsidR="00F56B06">
        <w:rPr>
          <w:b w:val="0"/>
          <w:bCs w:val="0"/>
        </w:rPr>
        <w:t>at</w:t>
      </w:r>
      <w:r w:rsidR="00653DB2" w:rsidRPr="00653DB2">
        <w:rPr>
          <w:b w:val="0"/>
          <w:bCs w:val="0"/>
        </w:rPr>
        <w:t xml:space="preserve"> the Arctic and North Atlantic </w:t>
      </w:r>
      <w:r w:rsidR="00F56B06">
        <w:rPr>
          <w:b w:val="0"/>
          <w:bCs w:val="0"/>
        </w:rPr>
        <w:t xml:space="preserve">anomaly </w:t>
      </w:r>
      <w:r w:rsidR="00653DB2" w:rsidRPr="00653DB2">
        <w:rPr>
          <w:b w:val="0"/>
          <w:bCs w:val="0"/>
        </w:rPr>
        <w:t>center</w:t>
      </w:r>
      <w:r w:rsidR="00F56B06">
        <w:rPr>
          <w:b w:val="0"/>
          <w:bCs w:val="0"/>
        </w:rPr>
        <w:t>s</w:t>
      </w:r>
      <w:r w:rsidR="00653DB2" w:rsidRPr="00653DB2">
        <w:rPr>
          <w:b w:val="0"/>
          <w:bCs w:val="0"/>
        </w:rPr>
        <w:t xml:space="preserve"> </w:t>
      </w:r>
      <w:r w:rsidR="00BC4A1C">
        <w:rPr>
          <w:b w:val="0"/>
          <w:bCs w:val="0"/>
        </w:rPr>
        <w:t>do not change so much</w:t>
      </w:r>
      <w:r w:rsidR="00653DB2" w:rsidRPr="00653DB2">
        <w:rPr>
          <w:b w:val="0"/>
          <w:bCs w:val="0"/>
        </w:rPr>
        <w:t xml:space="preserve"> from the </w:t>
      </w:r>
      <w:r w:rsidR="00E65FD4">
        <w:rPr>
          <w:b w:val="0"/>
          <w:bCs w:val="0"/>
        </w:rPr>
        <w:t>HIST</w:t>
      </w:r>
      <w:r w:rsidR="00653DB2" w:rsidRPr="00653DB2">
        <w:rPr>
          <w:b w:val="0"/>
          <w:bCs w:val="0"/>
        </w:rPr>
        <w:t xml:space="preserve"> experiment, the </w:t>
      </w:r>
      <w:r w:rsidR="00E65FD4">
        <w:rPr>
          <w:b w:val="0"/>
          <w:bCs w:val="0"/>
        </w:rPr>
        <w:t>AL anomaly</w:t>
      </w:r>
      <w:r w:rsidR="00BA3546">
        <w:rPr>
          <w:b w:val="0"/>
          <w:bCs w:val="0"/>
        </w:rPr>
        <w:t xml:space="preserve"> of </w:t>
      </w:r>
      <w:r>
        <w:rPr>
          <w:b w:val="0"/>
          <w:bCs w:val="0"/>
        </w:rPr>
        <w:t xml:space="preserve">the </w:t>
      </w:r>
      <w:r w:rsidR="00BA3546">
        <w:rPr>
          <w:b w:val="0"/>
          <w:bCs w:val="0"/>
        </w:rPr>
        <w:t>NAM in +4K</w:t>
      </w:r>
      <w:r w:rsidR="00653DB2" w:rsidRPr="00653DB2">
        <w:rPr>
          <w:b w:val="0"/>
          <w:bCs w:val="0"/>
        </w:rPr>
        <w:t xml:space="preserve"> </w:t>
      </w:r>
      <w:r w:rsidR="00A157C3">
        <w:rPr>
          <w:b w:val="0"/>
          <w:bCs w:val="0"/>
        </w:rPr>
        <w:t>strengthens</w:t>
      </w:r>
      <w:r w:rsidR="00653DB2" w:rsidRPr="00653DB2">
        <w:rPr>
          <w:b w:val="0"/>
          <w:bCs w:val="0"/>
        </w:rPr>
        <w:t xml:space="preserve"> throughout winter</w:t>
      </w:r>
      <w:r w:rsidR="002770BA">
        <w:rPr>
          <w:b w:val="0"/>
          <w:bCs w:val="0"/>
        </w:rPr>
        <w:t xml:space="preserve"> (Figure</w:t>
      </w:r>
      <w:r w:rsidR="00BA3546">
        <w:rPr>
          <w:b w:val="0"/>
          <w:bCs w:val="0"/>
        </w:rPr>
        <w:t>s</w:t>
      </w:r>
      <w:r w:rsidR="002770BA">
        <w:rPr>
          <w:b w:val="0"/>
          <w:bCs w:val="0"/>
        </w:rPr>
        <w:t xml:space="preserve"> 1i-l)</w:t>
      </w:r>
      <w:r w:rsidR="00653DB2" w:rsidRPr="00653DB2">
        <w:rPr>
          <w:b w:val="0"/>
          <w:bCs w:val="0"/>
        </w:rPr>
        <w:t xml:space="preserve">. </w:t>
      </w:r>
      <w:r w:rsidR="00BA3546">
        <w:rPr>
          <w:b w:val="0"/>
          <w:bCs w:val="0"/>
        </w:rPr>
        <w:t>As in</w:t>
      </w:r>
      <w:r w:rsidR="00C166A3">
        <w:rPr>
          <w:b w:val="0"/>
          <w:bCs w:val="0"/>
        </w:rPr>
        <w:t xml:space="preserve"> H</w:t>
      </w:r>
      <w:r w:rsidR="00BA3546">
        <w:rPr>
          <w:b w:val="0"/>
          <w:bCs w:val="0"/>
        </w:rPr>
        <w:t>I</w:t>
      </w:r>
      <w:r w:rsidR="00C166A3">
        <w:rPr>
          <w:b w:val="0"/>
          <w:bCs w:val="0"/>
        </w:rPr>
        <w:t>ST, t</w:t>
      </w:r>
      <w:r w:rsidR="00653DB2" w:rsidRPr="00653DB2">
        <w:rPr>
          <w:b w:val="0"/>
          <w:bCs w:val="0"/>
        </w:rPr>
        <w:t xml:space="preserve">he </w:t>
      </w:r>
      <w:r w:rsidR="00BA3546">
        <w:rPr>
          <w:b w:val="0"/>
          <w:bCs w:val="0"/>
        </w:rPr>
        <w:t xml:space="preserve">intensified </w:t>
      </w:r>
      <w:r w:rsidR="00F56B06">
        <w:rPr>
          <w:b w:val="0"/>
          <w:bCs w:val="0"/>
        </w:rPr>
        <w:t xml:space="preserve">AL anomaly </w:t>
      </w:r>
      <w:r w:rsidR="00BA3546">
        <w:rPr>
          <w:b w:val="0"/>
          <w:bCs w:val="0"/>
        </w:rPr>
        <w:t>also undergoes intraseasonal strengthening</w:t>
      </w:r>
      <w:r w:rsidR="00F56B06">
        <w:rPr>
          <w:b w:val="0"/>
          <w:bCs w:val="0"/>
        </w:rPr>
        <w:t xml:space="preserve"> from December to February.</w:t>
      </w:r>
    </w:p>
    <w:p w14:paraId="7402137B" w14:textId="409E52E9" w:rsidR="00AD67E3" w:rsidRDefault="00C709E9" w:rsidP="00AD67E3">
      <w:pPr>
        <w:pStyle w:val="Heading-Main"/>
        <w:jc w:val="center"/>
        <w:rPr>
          <w:b w:val="0"/>
          <w:bCs w:val="0"/>
          <w:lang w:eastAsia="ja-JP"/>
        </w:rPr>
      </w:pPr>
      <w:r>
        <w:rPr>
          <w:b w:val="0"/>
          <w:bCs w:val="0"/>
          <w:noProof/>
          <w:lang w:eastAsia="ja-JP"/>
        </w:rPr>
        <w:drawing>
          <wp:inline distT="0" distB="0" distL="0" distR="0" wp14:anchorId="4341C6D1" wp14:editId="1B7A1749">
            <wp:extent cx="3699545" cy="2693237"/>
            <wp:effectExtent l="0" t="0" r="3810" b="5080"/>
            <wp:docPr id="1458668725" name="図 1"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68725" name="図 1" descr="グラフ, 折れ線グラフ&#10;&#10;自動的に生成された説明"/>
                    <pic:cNvPicPr/>
                  </pic:nvPicPr>
                  <pic:blipFill>
                    <a:blip r:embed="rId10"/>
                    <a:stretch>
                      <a:fillRect/>
                    </a:stretch>
                  </pic:blipFill>
                  <pic:spPr>
                    <a:xfrm>
                      <a:off x="0" y="0"/>
                      <a:ext cx="3699545" cy="2693237"/>
                    </a:xfrm>
                    <a:prstGeom prst="rect">
                      <a:avLst/>
                    </a:prstGeom>
                  </pic:spPr>
                </pic:pic>
              </a:graphicData>
            </a:graphic>
          </wp:inline>
        </w:drawing>
      </w:r>
    </w:p>
    <w:p w14:paraId="5E3DA968" w14:textId="442B692C" w:rsidR="00AD67E3" w:rsidRPr="00AD67E3" w:rsidRDefault="00AD67E3" w:rsidP="00AD67E3">
      <w:pPr>
        <w:pStyle w:val="FigureorTableCaption"/>
        <w:jc w:val="both"/>
      </w:pPr>
      <w:r w:rsidRPr="005930FE">
        <w:rPr>
          <w:b/>
          <w:bCs/>
        </w:rPr>
        <w:t>Figure 2</w:t>
      </w:r>
      <w:r>
        <w:t xml:space="preserve">. </w:t>
      </w:r>
      <w:r w:rsidR="00197611">
        <w:t>Temporal</w:t>
      </w:r>
      <w:r w:rsidRPr="00653DB2">
        <w:t xml:space="preserve"> correlation of </w:t>
      </w:r>
      <w:r>
        <w:t>SLP</w:t>
      </w:r>
      <w:r w:rsidRPr="00653DB2">
        <w:t xml:space="preserve"> anomalies</w:t>
      </w:r>
      <w:r>
        <w:t xml:space="preserve"> averaged</w:t>
      </w:r>
      <w:r w:rsidRPr="00653DB2">
        <w:t xml:space="preserve"> </w:t>
      </w:r>
      <w:r>
        <w:t>over</w:t>
      </w:r>
      <w:r w:rsidRPr="00653DB2">
        <w:t xml:space="preserve"> the </w:t>
      </w:r>
      <w:r>
        <w:t>AL</w:t>
      </w:r>
      <w:r w:rsidR="008D701E">
        <w:t xml:space="preserve"> </w:t>
      </w:r>
      <w:r w:rsidR="008D701E" w:rsidRPr="00653DB2">
        <w:t>(40-5</w:t>
      </w:r>
      <w:r w:rsidR="008D701E">
        <w:t>5</w:t>
      </w:r>
      <w:r w:rsidR="008D701E" w:rsidRPr="00653DB2">
        <w:t>°N, 180°-</w:t>
      </w:r>
      <w:r w:rsidR="008D701E">
        <w:t>150</w:t>
      </w:r>
      <w:r w:rsidR="008D701E" w:rsidRPr="00653DB2">
        <w:t>°</w:t>
      </w:r>
      <w:r w:rsidR="008D701E">
        <w:t>W</w:t>
      </w:r>
      <w:r w:rsidR="008D701E" w:rsidRPr="00653DB2">
        <w:t>)</w:t>
      </w:r>
      <w:r>
        <w:t xml:space="preserve"> </w:t>
      </w:r>
      <w:r w:rsidRPr="00653DB2">
        <w:t xml:space="preserve">and </w:t>
      </w:r>
      <w:r>
        <w:t>IL</w:t>
      </w:r>
      <w:r w:rsidR="008D701E">
        <w:t xml:space="preserve"> </w:t>
      </w:r>
      <w:r w:rsidR="008D701E" w:rsidRPr="00653DB2">
        <w:t xml:space="preserve">(60-70°N, </w:t>
      </w:r>
      <w:r w:rsidR="008D701E">
        <w:t>40</w:t>
      </w:r>
      <w:r w:rsidR="008D701E" w:rsidRPr="00653DB2">
        <w:t>-</w:t>
      </w:r>
      <w:r w:rsidR="008D701E">
        <w:t>10</w:t>
      </w:r>
      <w:r w:rsidR="008D701E" w:rsidRPr="00653DB2">
        <w:t>°</w:t>
      </w:r>
      <w:r w:rsidR="008D701E">
        <w:t>W</w:t>
      </w:r>
      <w:r w:rsidR="008D701E" w:rsidRPr="00653DB2">
        <w:t>)</w:t>
      </w:r>
      <w:r w:rsidRPr="00653DB2">
        <w:t xml:space="preserve"> </w:t>
      </w:r>
      <w:r>
        <w:t xml:space="preserve">regions </w:t>
      </w:r>
      <w:r w:rsidRPr="00653DB2">
        <w:t xml:space="preserve">for each calendar month. </w:t>
      </w:r>
      <w:r w:rsidR="00197611">
        <w:t>S</w:t>
      </w:r>
      <w:r w:rsidRPr="00653DB2">
        <w:t>hading represents the 5</w:t>
      </w:r>
      <w:r w:rsidR="00197611">
        <w:t>th</w:t>
      </w:r>
      <w:r w:rsidRPr="00653DB2">
        <w:t>-95</w:t>
      </w:r>
      <w:r w:rsidR="00197611">
        <w:t>th</w:t>
      </w:r>
      <w:r w:rsidRPr="00653DB2">
        <w:t xml:space="preserve"> percentile range</w:t>
      </w:r>
      <w:r>
        <w:t xml:space="preserve"> </w:t>
      </w:r>
      <w:r w:rsidRPr="00653DB2">
        <w:t>of d4PDF</w:t>
      </w:r>
      <w:r w:rsidR="005C267C">
        <w:t xml:space="preserve"> HIST (blue) and +4K (red)</w:t>
      </w:r>
      <w:r w:rsidR="0041404E">
        <w:t xml:space="preserve"> ensembles</w:t>
      </w:r>
      <w:r w:rsidRPr="00653DB2">
        <w:t xml:space="preserve">, with the median shown </w:t>
      </w:r>
      <w:r w:rsidR="00197611">
        <w:t>by a dashed</w:t>
      </w:r>
      <w:r w:rsidRPr="00653DB2">
        <w:t xml:space="preserve"> line.</w:t>
      </w:r>
      <w:r w:rsidR="005C267C">
        <w:t xml:space="preserve"> The </w:t>
      </w:r>
      <w:r w:rsidR="000B585C">
        <w:t>b</w:t>
      </w:r>
      <w:r w:rsidR="005C267C">
        <w:t>lack dashed</w:t>
      </w:r>
      <w:r w:rsidRPr="00653DB2">
        <w:t xml:space="preserve"> line represents</w:t>
      </w:r>
      <w:r>
        <w:t xml:space="preserve"> </w:t>
      </w:r>
      <w:r w:rsidR="0041404E">
        <w:t xml:space="preserve">the </w:t>
      </w:r>
      <w:r w:rsidR="005C267C">
        <w:t>correlation based on</w:t>
      </w:r>
      <w:r w:rsidRPr="00653DB2">
        <w:t xml:space="preserve"> ERA5.</w:t>
      </w:r>
      <w:r w:rsidR="005C267C">
        <w:t xml:space="preserve"> Solid lines represent the correlation between ensemble-averaged time series of HIST (blue) and +4K (red). Dots indicate the statistical significance at the 95% level.</w:t>
      </w:r>
    </w:p>
    <w:p w14:paraId="05742C34" w14:textId="5955646F" w:rsidR="001B08B9" w:rsidRDefault="00653DB2" w:rsidP="006F623F">
      <w:pPr>
        <w:pStyle w:val="Heading-Main"/>
        <w:jc w:val="both"/>
        <w:rPr>
          <w:b w:val="0"/>
          <w:bCs w:val="0"/>
        </w:rPr>
      </w:pPr>
      <w:r w:rsidRPr="00653DB2">
        <w:rPr>
          <w:b w:val="0"/>
          <w:bCs w:val="0"/>
        </w:rPr>
        <w:t>Th</w:t>
      </w:r>
      <w:r w:rsidR="00083540">
        <w:rPr>
          <w:b w:val="0"/>
          <w:bCs w:val="0"/>
        </w:rPr>
        <w:t>is</w:t>
      </w:r>
      <w:r w:rsidRPr="00653DB2">
        <w:rPr>
          <w:b w:val="0"/>
          <w:bCs w:val="0"/>
        </w:rPr>
        <w:t xml:space="preserve"> seasonality </w:t>
      </w:r>
      <w:r w:rsidR="00A31842">
        <w:rPr>
          <w:b w:val="0"/>
          <w:bCs w:val="0"/>
        </w:rPr>
        <w:t>of the NAM structure</w:t>
      </w:r>
      <w:r w:rsidR="00A31842" w:rsidRPr="00653DB2">
        <w:rPr>
          <w:b w:val="0"/>
          <w:bCs w:val="0"/>
        </w:rPr>
        <w:t xml:space="preserve"> </w:t>
      </w:r>
      <w:r w:rsidRPr="00653DB2">
        <w:rPr>
          <w:b w:val="0"/>
          <w:bCs w:val="0"/>
        </w:rPr>
        <w:t>and</w:t>
      </w:r>
      <w:r w:rsidR="00393F09">
        <w:rPr>
          <w:b w:val="0"/>
          <w:bCs w:val="0"/>
        </w:rPr>
        <w:t xml:space="preserve"> its</w:t>
      </w:r>
      <w:r w:rsidR="00083540">
        <w:rPr>
          <w:b w:val="0"/>
          <w:bCs w:val="0"/>
        </w:rPr>
        <w:t xml:space="preserve"> change</w:t>
      </w:r>
      <w:r w:rsidRPr="00653DB2">
        <w:rPr>
          <w:b w:val="0"/>
          <w:bCs w:val="0"/>
        </w:rPr>
        <w:t xml:space="preserve"> </w:t>
      </w:r>
      <w:r w:rsidR="00EB28AF">
        <w:rPr>
          <w:b w:val="0"/>
          <w:bCs w:val="0"/>
        </w:rPr>
        <w:t>under</w:t>
      </w:r>
      <w:r w:rsidRPr="00653DB2">
        <w:rPr>
          <w:b w:val="0"/>
          <w:bCs w:val="0"/>
        </w:rPr>
        <w:t xml:space="preserve"> global warming are </w:t>
      </w:r>
      <w:r w:rsidR="00083540">
        <w:rPr>
          <w:b w:val="0"/>
          <w:bCs w:val="0"/>
        </w:rPr>
        <w:t>linked to</w:t>
      </w:r>
      <w:r w:rsidRPr="00653DB2">
        <w:rPr>
          <w:b w:val="0"/>
          <w:bCs w:val="0"/>
        </w:rPr>
        <w:t xml:space="preserve"> the </w:t>
      </w:r>
      <w:r w:rsidR="00EC1FE1">
        <w:rPr>
          <w:b w:val="0"/>
          <w:bCs w:val="0"/>
        </w:rPr>
        <w:t>AIS</w:t>
      </w:r>
      <w:r w:rsidRPr="00653DB2">
        <w:rPr>
          <w:b w:val="0"/>
          <w:bCs w:val="0"/>
        </w:rPr>
        <w:t xml:space="preserve">. Figure 2 shows the </w:t>
      </w:r>
      <w:r w:rsidR="002824FE">
        <w:rPr>
          <w:b w:val="0"/>
          <w:bCs w:val="0"/>
        </w:rPr>
        <w:t>seasonality of the</w:t>
      </w:r>
      <w:r w:rsidRPr="00653DB2">
        <w:rPr>
          <w:b w:val="0"/>
          <w:bCs w:val="0"/>
        </w:rPr>
        <w:t xml:space="preserve"> </w:t>
      </w:r>
      <w:r w:rsidR="00EC1FE1">
        <w:rPr>
          <w:b w:val="0"/>
          <w:bCs w:val="0"/>
        </w:rPr>
        <w:t>SLP</w:t>
      </w:r>
      <w:r w:rsidRPr="00653DB2">
        <w:rPr>
          <w:b w:val="0"/>
          <w:bCs w:val="0"/>
        </w:rPr>
        <w:t xml:space="preserve"> anomal</w:t>
      </w:r>
      <w:r w:rsidR="002824FE">
        <w:rPr>
          <w:b w:val="0"/>
          <w:bCs w:val="0"/>
        </w:rPr>
        <w:t>y correlation between</w:t>
      </w:r>
      <w:r w:rsidRPr="00653DB2">
        <w:rPr>
          <w:b w:val="0"/>
          <w:bCs w:val="0"/>
        </w:rPr>
        <w:t xml:space="preserve"> the </w:t>
      </w:r>
      <w:r w:rsidR="00083540">
        <w:rPr>
          <w:b w:val="0"/>
          <w:bCs w:val="0"/>
        </w:rPr>
        <w:t>AL</w:t>
      </w:r>
      <w:r w:rsidRPr="00653DB2">
        <w:rPr>
          <w:b w:val="0"/>
          <w:bCs w:val="0"/>
        </w:rPr>
        <w:t xml:space="preserve"> and </w:t>
      </w:r>
      <w:r w:rsidR="00083540">
        <w:rPr>
          <w:b w:val="0"/>
          <w:bCs w:val="0"/>
        </w:rPr>
        <w:t>IL</w:t>
      </w:r>
      <w:r w:rsidRPr="00653DB2">
        <w:rPr>
          <w:b w:val="0"/>
          <w:bCs w:val="0"/>
        </w:rPr>
        <w:t xml:space="preserve"> </w:t>
      </w:r>
      <w:r w:rsidR="001B08B9">
        <w:rPr>
          <w:b w:val="0"/>
          <w:bCs w:val="0"/>
        </w:rPr>
        <w:t>regions</w:t>
      </w:r>
      <w:r w:rsidRPr="00653DB2">
        <w:rPr>
          <w:b w:val="0"/>
          <w:bCs w:val="0"/>
        </w:rPr>
        <w:t xml:space="preserve">. </w:t>
      </w:r>
      <w:r w:rsidR="00D20F51">
        <w:rPr>
          <w:b w:val="0"/>
          <w:bCs w:val="0"/>
        </w:rPr>
        <w:t xml:space="preserve">In ERA5, the correlation is insignificant in November and December, but negatively strengthens into late winter, </w:t>
      </w:r>
      <w:r w:rsidR="00907356">
        <w:rPr>
          <w:b w:val="0"/>
          <w:bCs w:val="0"/>
        </w:rPr>
        <w:t>becoming</w:t>
      </w:r>
      <w:r w:rsidR="00D20F51">
        <w:rPr>
          <w:b w:val="0"/>
          <w:bCs w:val="0"/>
        </w:rPr>
        <w:t xml:space="preserve"> marginally significant in January and February</w:t>
      </w:r>
      <w:r w:rsidR="001D7504">
        <w:rPr>
          <w:b w:val="0"/>
          <w:bCs w:val="0"/>
        </w:rPr>
        <w:t xml:space="preserve"> (black </w:t>
      </w:r>
      <w:r w:rsidR="00842BD6">
        <w:rPr>
          <w:b w:val="0"/>
          <w:bCs w:val="0"/>
        </w:rPr>
        <w:t>dashed</w:t>
      </w:r>
      <w:r w:rsidR="001D7504">
        <w:rPr>
          <w:b w:val="0"/>
          <w:bCs w:val="0"/>
        </w:rPr>
        <w:t xml:space="preserve"> line in Figure 2)</w:t>
      </w:r>
      <w:r w:rsidR="005129A2">
        <w:rPr>
          <w:b w:val="0"/>
          <w:bCs w:val="0"/>
        </w:rPr>
        <w:t xml:space="preserve">. This </w:t>
      </w:r>
      <w:r w:rsidR="00C32692">
        <w:rPr>
          <w:b w:val="0"/>
          <w:bCs w:val="0"/>
        </w:rPr>
        <w:t xml:space="preserve">late-winter </w:t>
      </w:r>
      <w:r w:rsidR="005129A2">
        <w:rPr>
          <w:b w:val="0"/>
          <w:bCs w:val="0"/>
        </w:rPr>
        <w:t>negative correlation represents</w:t>
      </w:r>
      <w:r w:rsidR="00D20F51">
        <w:rPr>
          <w:b w:val="0"/>
          <w:bCs w:val="0"/>
        </w:rPr>
        <w:t xml:space="preserve"> the AIS</w:t>
      </w:r>
      <w:r w:rsidR="0011730A">
        <w:rPr>
          <w:b w:val="0"/>
          <w:bCs w:val="0"/>
        </w:rPr>
        <w:t xml:space="preserve"> </w:t>
      </w:r>
      <w:r w:rsidR="00D80728">
        <w:rPr>
          <w:b w:val="0"/>
          <w:bCs w:val="0"/>
        </w:rPr>
        <w:t>(</w:t>
      </w:r>
      <w:r w:rsidR="0011730A">
        <w:rPr>
          <w:b w:val="0"/>
          <w:bCs w:val="0"/>
        </w:rPr>
        <w:fldChar w:fldCharType="begin"/>
      </w:r>
      <w:r w:rsidR="006F3581">
        <w:rPr>
          <w:b w:val="0"/>
          <w:bCs w:val="0"/>
        </w:rPr>
        <w:instrText xml:space="preserve"> ADDIN ZOTERO_ITEM CSL_CITATION {"citationID":"LROBaK1U","properties":{"formattedCitation":"(Honda &amp; Nakamura, 2001)","plainCitation":"(Honda &amp; Nakamura, 2001)","dontUpdate":true,"noteIndex":0},"citationItems":[{"id":4,"uris":["http://zotero.org/users/14197466/items/CKJ3P7A3"],"itemData":{"id":4,"type":"article-journal","abstract":"Through analysis of observational data for the period of 1973–94, the late-winter formation of an interannual seesaw between the surface Aleutian and Icelandic lows (AL and IL, respectively) is shown to significantly impact the covariance structure of the leading mode of the interannual variability in the geopotential height field over the extratropical Northern Hemisphere. The tropospheric leading mode for early winter (November–January) is characterized by a polar–midlatitude dipole over the Euro–Atlantic sector with a high degree of the annularity, coupled with the anomalous lower-stratospheric polar vortex. Over the North Pacific, no significant anomalies are associated with this mode. After the formation of the AL–IL seesaw, however, the dipole no longer dominates in the upper-tropospheric variability. The dipole signature is masked in late winter (February–April) by the predominant combined signature of the so-called Pacific–North American pattern and a meridional dipole over the northwestern Atlantic as an upper-level manifestation of the seesaw. Though somewhat less pronounced, the leading mode of the near-surface variability is modified accordingly in late winter by the superposition of the distinct signature of the AL–IL seesaw. The annularity of the leading mode of the tropospheric variability is thus reduced in late winter, particularly at the upper levels. Nevertheless, because of the particular geographical alignment between the anomalous AL and IL, their seesaw changes the zonal wind coherently between the two ocean basins, yielding a strong projection on the meridional plane whose latitudinal profile is almost indistinguishable from the counterpart of the Arctic</w:instrText>
      </w:r>
      <w:r w:rsidR="006F3581">
        <w:rPr>
          <w:rFonts w:hint="eastAsia"/>
          <w:b w:val="0"/>
          <w:bCs w:val="0"/>
        </w:rPr>
        <w:instrText>–</w:instrText>
      </w:r>
      <w:r w:rsidR="006F3581">
        <w:rPr>
          <w:b w:val="0"/>
          <w:bCs w:val="0"/>
        </w:rPr>
        <w:instrText xml:space="preserve">midlatitude dipole. It is argued that what is called the Arctic oscillation in some recent literature, defined as the leading mode of the sea level pressure variability for the entire cold season, may be interpreted as a superposition of the AL–IL seesaw upon a dominant signal of the Arctic–midlatitude dipole. The corresponding leading mode for the upper troposphere primarily represents the variability associated with the seesaw. It is also argued that the late-winter tropospheric variability over the North Atlantic may not necessarily be associated with the Arctic–midlatitude dipole. The remote influence of the North Pacific variability accounts for as much as 30%–50% of the variance in the vicinity of the IL for the data period considered.","container-title":"Journal of Climate","DOI":"https://doi.org/10.1175/1520-0442(2001)014&lt;4512:ISBTAA&gt;2.0.CO;2","ISSN":"1520-0442","issue":"24","language":"en","note":"section: Journal of Climate","page":"4512-4529","source":"journals.ametsoc.org","title":"Interannual Seesaw between the Aleutian and Icelandic Lows. Part II: Its Significance in the Interannual Variability over the Wintertime Northern Hemisphere","title-short":"Interannual Seesaw between the Aleutian and Icelandic Lows. Part II","volume":"14","author":[{"family":"Honda","given":"Meiji"},{"family":"Nakamura","given":"Hisashi"}],"issued":{"date-parts":[["2001",12,15]]}}}],"schema":"https://github.com/citation-style-language/schema/raw/master/csl-citation.json"} </w:instrText>
      </w:r>
      <w:r w:rsidR="0011730A">
        <w:rPr>
          <w:b w:val="0"/>
          <w:bCs w:val="0"/>
        </w:rPr>
        <w:fldChar w:fldCharType="separate"/>
      </w:r>
      <w:r w:rsidR="002107E8">
        <w:rPr>
          <w:b w:val="0"/>
          <w:bCs w:val="0"/>
          <w:noProof/>
        </w:rPr>
        <w:t>Honda &amp; Nakamura 200</w:t>
      </w:r>
      <w:r w:rsidR="00207965">
        <w:rPr>
          <w:b w:val="0"/>
          <w:bCs w:val="0"/>
          <w:noProof/>
        </w:rPr>
        <w:t>1)</w:t>
      </w:r>
      <w:r w:rsidR="0011730A">
        <w:rPr>
          <w:b w:val="0"/>
          <w:bCs w:val="0"/>
        </w:rPr>
        <w:fldChar w:fldCharType="end"/>
      </w:r>
      <w:r w:rsidR="00D20F51">
        <w:rPr>
          <w:b w:val="0"/>
          <w:bCs w:val="0"/>
        </w:rPr>
        <w:t xml:space="preserve">. Since the </w:t>
      </w:r>
      <w:r w:rsidR="00D20F51">
        <w:rPr>
          <w:b w:val="0"/>
          <w:bCs w:val="0"/>
        </w:rPr>
        <w:lastRenderedPageBreak/>
        <w:t>AIS combined with</w:t>
      </w:r>
      <w:r w:rsidR="00CB433A">
        <w:rPr>
          <w:b w:val="0"/>
          <w:bCs w:val="0"/>
        </w:rPr>
        <w:t xml:space="preserve"> the</w:t>
      </w:r>
      <w:r w:rsidR="00D20F51">
        <w:rPr>
          <w:b w:val="0"/>
          <w:bCs w:val="0"/>
        </w:rPr>
        <w:t xml:space="preserve"> NAO </w:t>
      </w:r>
      <w:r w:rsidR="00207965">
        <w:rPr>
          <w:b w:val="0"/>
          <w:bCs w:val="0"/>
        </w:rPr>
        <w:t>can represent</w:t>
      </w:r>
      <w:r w:rsidR="00D20F51">
        <w:rPr>
          <w:b w:val="0"/>
          <w:bCs w:val="0"/>
        </w:rPr>
        <w:t xml:space="preserve"> the NAM, the AIS seasonality </w:t>
      </w:r>
      <w:r w:rsidR="005F7838">
        <w:rPr>
          <w:b w:val="0"/>
          <w:bCs w:val="0"/>
        </w:rPr>
        <w:t>is consistent with</w:t>
      </w:r>
      <w:r w:rsidR="00D20F51">
        <w:rPr>
          <w:b w:val="0"/>
          <w:bCs w:val="0"/>
        </w:rPr>
        <w:t xml:space="preserve"> the structural seasonality of the NAM.</w:t>
      </w:r>
    </w:p>
    <w:p w14:paraId="20D030B7" w14:textId="17833A70" w:rsidR="00653DB2" w:rsidRDefault="00653DB2" w:rsidP="006F623F">
      <w:pPr>
        <w:pStyle w:val="Heading-Main"/>
        <w:jc w:val="both"/>
        <w:rPr>
          <w:b w:val="0"/>
          <w:bCs w:val="0"/>
        </w:rPr>
      </w:pPr>
      <w:r w:rsidRPr="00653DB2">
        <w:rPr>
          <w:b w:val="0"/>
          <w:bCs w:val="0"/>
        </w:rPr>
        <w:t xml:space="preserve">Except for March, </w:t>
      </w:r>
      <w:r w:rsidR="00EE6B5C">
        <w:rPr>
          <w:b w:val="0"/>
          <w:bCs w:val="0"/>
        </w:rPr>
        <w:t>d4PDF</w:t>
      </w:r>
      <w:r w:rsidRPr="00653DB2">
        <w:rPr>
          <w:b w:val="0"/>
          <w:bCs w:val="0"/>
        </w:rPr>
        <w:t xml:space="preserve"> </w:t>
      </w:r>
      <w:r w:rsidR="00393F09">
        <w:rPr>
          <w:b w:val="0"/>
          <w:bCs w:val="0"/>
        </w:rPr>
        <w:t>HIST</w:t>
      </w:r>
      <w:r w:rsidRPr="00653DB2">
        <w:rPr>
          <w:b w:val="0"/>
          <w:bCs w:val="0"/>
        </w:rPr>
        <w:t xml:space="preserve"> experiment capture</w:t>
      </w:r>
      <w:r w:rsidR="00EE6B5C">
        <w:rPr>
          <w:b w:val="0"/>
          <w:bCs w:val="0"/>
        </w:rPr>
        <w:t>s</w:t>
      </w:r>
      <w:r w:rsidRPr="00653DB2">
        <w:rPr>
          <w:b w:val="0"/>
          <w:bCs w:val="0"/>
        </w:rPr>
        <w:t xml:space="preserve"> the observed A</w:t>
      </w:r>
      <w:r w:rsidR="00393F09">
        <w:rPr>
          <w:b w:val="0"/>
          <w:bCs w:val="0"/>
        </w:rPr>
        <w:t>IS</w:t>
      </w:r>
      <w:r w:rsidRPr="00653DB2">
        <w:rPr>
          <w:b w:val="0"/>
          <w:bCs w:val="0"/>
        </w:rPr>
        <w:t xml:space="preserve"> within the </w:t>
      </w:r>
      <w:r w:rsidR="00EE6B5C">
        <w:rPr>
          <w:b w:val="0"/>
          <w:bCs w:val="0"/>
        </w:rPr>
        <w:t>ensemble</w:t>
      </w:r>
      <w:r w:rsidR="00BF2744">
        <w:rPr>
          <w:b w:val="0"/>
          <w:bCs w:val="0"/>
          <w:lang w:eastAsia="ja-JP"/>
        </w:rPr>
        <w:t xml:space="preserve"> spread</w:t>
      </w:r>
      <w:r w:rsidR="00207965">
        <w:rPr>
          <w:b w:val="0"/>
          <w:bCs w:val="0"/>
        </w:rPr>
        <w:t xml:space="preserve">, </w:t>
      </w:r>
      <w:r w:rsidR="00BF2744">
        <w:rPr>
          <w:b w:val="0"/>
          <w:bCs w:val="0"/>
        </w:rPr>
        <w:t>demonstrating the capability of d4PDF to reproduce the</w:t>
      </w:r>
      <w:r w:rsidR="00CB433A">
        <w:rPr>
          <w:b w:val="0"/>
          <w:bCs w:val="0"/>
        </w:rPr>
        <w:t xml:space="preserve"> NAM</w:t>
      </w:r>
      <w:r w:rsidR="00BF2744">
        <w:rPr>
          <w:b w:val="0"/>
          <w:bCs w:val="0"/>
        </w:rPr>
        <w:t xml:space="preserve"> seasonality</w:t>
      </w:r>
      <w:r w:rsidR="00EE6B5C">
        <w:rPr>
          <w:b w:val="0"/>
          <w:bCs w:val="0"/>
        </w:rPr>
        <w:t xml:space="preserve"> (</w:t>
      </w:r>
      <w:r w:rsidR="001D7504">
        <w:rPr>
          <w:b w:val="0"/>
          <w:bCs w:val="0"/>
        </w:rPr>
        <w:t xml:space="preserve">blue shading in </w:t>
      </w:r>
      <w:r w:rsidR="00EE6B5C">
        <w:rPr>
          <w:b w:val="0"/>
          <w:bCs w:val="0"/>
        </w:rPr>
        <w:t>Figure 2)</w:t>
      </w:r>
      <w:r w:rsidRPr="00653DB2">
        <w:rPr>
          <w:b w:val="0"/>
          <w:bCs w:val="0"/>
        </w:rPr>
        <w:t xml:space="preserve">. </w:t>
      </w:r>
      <w:r w:rsidR="00A25B33">
        <w:rPr>
          <w:b w:val="0"/>
          <w:bCs w:val="0"/>
        </w:rPr>
        <w:t xml:space="preserve">The intraseasonal change of the correlation is </w:t>
      </w:r>
      <w:r w:rsidR="007A6A6A">
        <w:rPr>
          <w:b w:val="0"/>
          <w:bCs w:val="0"/>
        </w:rPr>
        <w:t xml:space="preserve">more </w:t>
      </w:r>
      <w:r w:rsidR="00A25B33">
        <w:rPr>
          <w:b w:val="0"/>
          <w:bCs w:val="0"/>
        </w:rPr>
        <w:t>remarkable in the ensemble mean</w:t>
      </w:r>
      <w:r w:rsidR="007A6A6A">
        <w:rPr>
          <w:b w:val="0"/>
          <w:bCs w:val="0"/>
        </w:rPr>
        <w:t xml:space="preserve"> (blue solid line in Figure 2)</w:t>
      </w:r>
      <w:r w:rsidR="00A25B33">
        <w:rPr>
          <w:b w:val="0"/>
          <w:bCs w:val="0"/>
        </w:rPr>
        <w:t>, the component driven by</w:t>
      </w:r>
      <w:r w:rsidR="003E71B9">
        <w:rPr>
          <w:b w:val="0"/>
          <w:bCs w:val="0"/>
        </w:rPr>
        <w:t xml:space="preserve"> the</w:t>
      </w:r>
      <w:r w:rsidR="00A25B33">
        <w:rPr>
          <w:b w:val="0"/>
          <w:bCs w:val="0"/>
        </w:rPr>
        <w:t xml:space="preserve"> forcings</w:t>
      </w:r>
      <w:r w:rsidR="00207965">
        <w:rPr>
          <w:b w:val="0"/>
          <w:bCs w:val="0"/>
        </w:rPr>
        <w:t xml:space="preserve"> external</w:t>
      </w:r>
      <w:r w:rsidR="00A25B33">
        <w:rPr>
          <w:b w:val="0"/>
          <w:bCs w:val="0"/>
        </w:rPr>
        <w:t xml:space="preserve"> to the atmosphere, </w:t>
      </w:r>
      <w:r w:rsidR="00E940CE">
        <w:rPr>
          <w:b w:val="0"/>
          <w:bCs w:val="0"/>
        </w:rPr>
        <w:t>namely</w:t>
      </w:r>
      <w:r w:rsidR="00A25B33">
        <w:rPr>
          <w:b w:val="0"/>
          <w:bCs w:val="0"/>
        </w:rPr>
        <w:t xml:space="preserve"> SST and sea ice variability. In</w:t>
      </w:r>
      <w:r w:rsidR="00C02CE4">
        <w:rPr>
          <w:b w:val="0"/>
          <w:bCs w:val="0"/>
        </w:rPr>
        <w:t xml:space="preserve"> the</w:t>
      </w:r>
      <w:r w:rsidR="00E940CE">
        <w:rPr>
          <w:b w:val="0"/>
          <w:bCs w:val="0"/>
        </w:rPr>
        <w:t xml:space="preserve"> </w:t>
      </w:r>
      <w:r w:rsidR="00A25B33">
        <w:rPr>
          <w:b w:val="0"/>
          <w:bCs w:val="0"/>
        </w:rPr>
        <w:t>HIST ensemble mean, the AL</w:t>
      </w:r>
      <w:r w:rsidR="00E940CE">
        <w:rPr>
          <w:b w:val="0"/>
          <w:bCs w:val="0"/>
        </w:rPr>
        <w:t>-</w:t>
      </w:r>
      <w:r w:rsidR="00A25B33">
        <w:rPr>
          <w:b w:val="0"/>
          <w:bCs w:val="0"/>
        </w:rPr>
        <w:t>IL</w:t>
      </w:r>
      <w:r w:rsidR="00E940CE">
        <w:rPr>
          <w:b w:val="0"/>
          <w:bCs w:val="0"/>
        </w:rPr>
        <w:t xml:space="preserve"> correlation is</w:t>
      </w:r>
      <w:r w:rsidR="00A25B33">
        <w:rPr>
          <w:b w:val="0"/>
          <w:bCs w:val="0"/>
        </w:rPr>
        <w:t xml:space="preserve"> significant</w:t>
      </w:r>
      <w:r w:rsidR="00E940CE">
        <w:rPr>
          <w:b w:val="0"/>
          <w:bCs w:val="0"/>
        </w:rPr>
        <w:t>ly</w:t>
      </w:r>
      <w:r w:rsidR="00A25B33">
        <w:rPr>
          <w:b w:val="0"/>
          <w:bCs w:val="0"/>
        </w:rPr>
        <w:t xml:space="preserve"> positive in early winter (November and December</w:t>
      </w:r>
      <w:proofErr w:type="gramStart"/>
      <w:r w:rsidR="00A25B33">
        <w:rPr>
          <w:b w:val="0"/>
          <w:bCs w:val="0"/>
        </w:rPr>
        <w:t>), but</w:t>
      </w:r>
      <w:proofErr w:type="gramEnd"/>
      <w:r w:rsidR="00A25B33">
        <w:rPr>
          <w:b w:val="0"/>
          <w:bCs w:val="0"/>
        </w:rPr>
        <w:t xml:space="preserve"> turn</w:t>
      </w:r>
      <w:r w:rsidR="00E940CE">
        <w:rPr>
          <w:b w:val="0"/>
          <w:bCs w:val="0"/>
        </w:rPr>
        <w:t>s</w:t>
      </w:r>
      <w:r w:rsidR="00A25B33">
        <w:rPr>
          <w:b w:val="0"/>
          <w:bCs w:val="0"/>
        </w:rPr>
        <w:t xml:space="preserve"> significant</w:t>
      </w:r>
      <w:r w:rsidR="00E940CE">
        <w:rPr>
          <w:b w:val="0"/>
          <w:bCs w:val="0"/>
        </w:rPr>
        <w:t>ly</w:t>
      </w:r>
      <w:r w:rsidR="00A25B33">
        <w:rPr>
          <w:b w:val="0"/>
          <w:bCs w:val="0"/>
        </w:rPr>
        <w:t xml:space="preserve"> </w:t>
      </w:r>
      <w:r w:rsidR="00207965">
        <w:rPr>
          <w:b w:val="0"/>
          <w:bCs w:val="0"/>
        </w:rPr>
        <w:t>negative</w:t>
      </w:r>
      <w:r w:rsidR="00CB433A">
        <w:rPr>
          <w:b w:val="0"/>
          <w:bCs w:val="0"/>
        </w:rPr>
        <w:t xml:space="preserve"> </w:t>
      </w:r>
      <w:r w:rsidR="00A25B33">
        <w:rPr>
          <w:b w:val="0"/>
          <w:bCs w:val="0"/>
        </w:rPr>
        <w:t>in late winter (January and beyond).</w:t>
      </w:r>
    </w:p>
    <w:p w14:paraId="631B57F0" w14:textId="1185BA1A" w:rsidR="00063625" w:rsidRDefault="00E434E3" w:rsidP="006F623F">
      <w:pPr>
        <w:pStyle w:val="Heading-Main"/>
        <w:jc w:val="both"/>
        <w:rPr>
          <w:b w:val="0"/>
          <w:bCs w:val="0"/>
          <w:lang w:eastAsia="ja-JP"/>
        </w:rPr>
      </w:pPr>
      <w:r>
        <w:rPr>
          <w:b w:val="0"/>
          <w:bCs w:val="0"/>
        </w:rPr>
        <w:t xml:space="preserve">In </w:t>
      </w:r>
      <w:r w:rsidR="00B014D8">
        <w:rPr>
          <w:b w:val="0"/>
          <w:bCs w:val="0"/>
        </w:rPr>
        <w:t xml:space="preserve">the </w:t>
      </w:r>
      <w:r>
        <w:rPr>
          <w:b w:val="0"/>
          <w:bCs w:val="0"/>
        </w:rPr>
        <w:t>+4K ensemble mean, the AL-IL correlation is more negative than in HIST</w:t>
      </w:r>
      <w:r w:rsidR="00B00D01">
        <w:rPr>
          <w:b w:val="0"/>
          <w:bCs w:val="0"/>
        </w:rPr>
        <w:t xml:space="preserve"> throughout the cold season</w:t>
      </w:r>
      <w:r>
        <w:rPr>
          <w:b w:val="0"/>
          <w:bCs w:val="0"/>
        </w:rPr>
        <w:t>, with a negative correlation already in December (</w:t>
      </w:r>
      <w:r w:rsidR="001D7504">
        <w:rPr>
          <w:b w:val="0"/>
          <w:bCs w:val="0"/>
        </w:rPr>
        <w:t xml:space="preserve">red solid line in </w:t>
      </w:r>
      <w:r>
        <w:rPr>
          <w:b w:val="0"/>
          <w:bCs w:val="0"/>
        </w:rPr>
        <w:t xml:space="preserve">Figure 2). The stronger negative correlation is also found in the all-member variability in +4K compared </w:t>
      </w:r>
      <w:r w:rsidR="008D30E0">
        <w:rPr>
          <w:b w:val="0"/>
          <w:bCs w:val="0"/>
        </w:rPr>
        <w:t>to HIST</w:t>
      </w:r>
      <w:r w:rsidR="00063625">
        <w:rPr>
          <w:b w:val="0"/>
          <w:bCs w:val="0"/>
        </w:rPr>
        <w:t xml:space="preserve"> in each calendar month</w:t>
      </w:r>
      <w:r w:rsidR="001D7504">
        <w:rPr>
          <w:b w:val="0"/>
          <w:bCs w:val="0"/>
        </w:rPr>
        <w:t xml:space="preserve"> (red shading in Figure 2)</w:t>
      </w:r>
      <w:r w:rsidR="00063625">
        <w:rPr>
          <w:b w:val="0"/>
          <w:bCs w:val="0"/>
        </w:rPr>
        <w:t xml:space="preserve">. </w:t>
      </w:r>
      <w:r w:rsidR="0078428C">
        <w:rPr>
          <w:b w:val="0"/>
          <w:bCs w:val="0"/>
        </w:rPr>
        <w:t xml:space="preserve">The </w:t>
      </w:r>
      <w:r w:rsidR="0078428C">
        <w:rPr>
          <w:b w:val="0"/>
          <w:bCs w:val="0"/>
          <w:lang w:eastAsia="ja-JP"/>
        </w:rPr>
        <w:t xml:space="preserve">disappearance of </w:t>
      </w:r>
      <w:proofErr w:type="spellStart"/>
      <w:r w:rsidR="0078428C">
        <w:rPr>
          <w:b w:val="0"/>
          <w:bCs w:val="0"/>
          <w:lang w:eastAsia="ja-JP"/>
        </w:rPr>
        <w:t>subseasonal</w:t>
      </w:r>
      <w:proofErr w:type="spellEnd"/>
      <w:r w:rsidR="0078428C">
        <w:rPr>
          <w:b w:val="0"/>
          <w:bCs w:val="0"/>
          <w:lang w:eastAsia="ja-JP"/>
        </w:rPr>
        <w:t xml:space="preserve"> compensation and the strengthening of AL-IL correlation contribute to the structural changes of</w:t>
      </w:r>
      <w:r w:rsidR="00B014D8">
        <w:rPr>
          <w:b w:val="0"/>
          <w:bCs w:val="0"/>
          <w:lang w:eastAsia="ja-JP"/>
        </w:rPr>
        <w:t xml:space="preserve"> the</w:t>
      </w:r>
      <w:r w:rsidR="0078428C">
        <w:rPr>
          <w:b w:val="0"/>
          <w:bCs w:val="0"/>
          <w:lang w:eastAsia="ja-JP"/>
        </w:rPr>
        <w:t xml:space="preserve"> sea</w:t>
      </w:r>
      <w:r w:rsidR="00171EF1">
        <w:rPr>
          <w:b w:val="0"/>
          <w:bCs w:val="0"/>
          <w:lang w:eastAsia="ja-JP"/>
        </w:rPr>
        <w:t>s</w:t>
      </w:r>
      <w:r w:rsidR="0078428C">
        <w:rPr>
          <w:b w:val="0"/>
          <w:bCs w:val="0"/>
          <w:lang w:eastAsia="ja-JP"/>
        </w:rPr>
        <w:t>onal</w:t>
      </w:r>
      <w:r w:rsidR="000355E0">
        <w:rPr>
          <w:b w:val="0"/>
          <w:bCs w:val="0"/>
          <w:lang w:eastAsia="ja-JP"/>
        </w:rPr>
        <w:t>l</w:t>
      </w:r>
      <w:r w:rsidR="0078428C">
        <w:rPr>
          <w:b w:val="0"/>
          <w:bCs w:val="0"/>
          <w:lang w:eastAsia="ja-JP"/>
        </w:rPr>
        <w:t>y averaged NAM under global warming.</w:t>
      </w:r>
    </w:p>
    <w:p w14:paraId="5BD00DEA" w14:textId="7A6AF41B" w:rsidR="00653DB2" w:rsidRPr="00653DB2" w:rsidRDefault="00653DB2" w:rsidP="006F623F">
      <w:pPr>
        <w:pStyle w:val="Heading-Main"/>
        <w:jc w:val="both"/>
      </w:pPr>
      <w:r>
        <w:t>3.2 Externally forced component of the NAM</w:t>
      </w:r>
    </w:p>
    <w:p w14:paraId="65E04A80" w14:textId="394921E6" w:rsidR="00195C78" w:rsidRDefault="009C0CDC" w:rsidP="009C0CDC">
      <w:pPr>
        <w:pStyle w:val="Heading-Main"/>
        <w:jc w:val="both"/>
        <w:rPr>
          <w:b w:val="0"/>
          <w:bCs w:val="0"/>
          <w:lang w:eastAsia="ja-JP"/>
        </w:rPr>
      </w:pPr>
      <w:r>
        <w:rPr>
          <w:b w:val="0"/>
          <w:bCs w:val="0"/>
        </w:rPr>
        <w:t>N</w:t>
      </w:r>
      <w:r w:rsidR="005938CA">
        <w:rPr>
          <w:b w:val="0"/>
          <w:bCs w:val="0"/>
        </w:rPr>
        <w:t>ext</w:t>
      </w:r>
      <w:r>
        <w:rPr>
          <w:b w:val="0"/>
          <w:bCs w:val="0"/>
        </w:rPr>
        <w:t>, we</w:t>
      </w:r>
      <w:r w:rsidR="005938CA">
        <w:rPr>
          <w:b w:val="0"/>
          <w:bCs w:val="0"/>
        </w:rPr>
        <w:t xml:space="preserve"> </w:t>
      </w:r>
      <w:r w:rsidR="001B3F98">
        <w:rPr>
          <w:b w:val="0"/>
          <w:bCs w:val="0"/>
        </w:rPr>
        <w:t>evaluate</w:t>
      </w:r>
      <w:r w:rsidR="00DF4D75" w:rsidRPr="00DF4D75">
        <w:rPr>
          <w:b w:val="0"/>
          <w:bCs w:val="0"/>
        </w:rPr>
        <w:t xml:space="preserve"> the </w:t>
      </w:r>
      <w:r w:rsidR="00655BD2">
        <w:rPr>
          <w:b w:val="0"/>
          <w:bCs w:val="0"/>
        </w:rPr>
        <w:t>externally (sea surface-) driven</w:t>
      </w:r>
      <w:r w:rsidR="005938CA">
        <w:rPr>
          <w:b w:val="0"/>
          <w:bCs w:val="0"/>
        </w:rPr>
        <w:t xml:space="preserve"> component</w:t>
      </w:r>
      <w:r w:rsidR="00DF4D75" w:rsidRPr="00DF4D75">
        <w:rPr>
          <w:b w:val="0"/>
          <w:bCs w:val="0"/>
        </w:rPr>
        <w:t xml:space="preserve"> o</w:t>
      </w:r>
      <w:r w:rsidR="008A00CE">
        <w:rPr>
          <w:b w:val="0"/>
          <w:bCs w:val="0"/>
        </w:rPr>
        <w:t>f</w:t>
      </w:r>
      <w:r w:rsidR="00DF4D75" w:rsidRPr="00DF4D75">
        <w:rPr>
          <w:b w:val="0"/>
          <w:bCs w:val="0"/>
        </w:rPr>
        <w:t xml:space="preserve"> </w:t>
      </w:r>
      <w:r w:rsidR="001B3F98">
        <w:rPr>
          <w:b w:val="0"/>
          <w:bCs w:val="0"/>
        </w:rPr>
        <w:t xml:space="preserve">the </w:t>
      </w:r>
      <w:r w:rsidR="001D0A1D">
        <w:rPr>
          <w:b w:val="0"/>
          <w:bCs w:val="0"/>
        </w:rPr>
        <w:t>NAM</w:t>
      </w:r>
      <w:r w:rsidR="005C371B">
        <w:rPr>
          <w:b w:val="0"/>
          <w:bCs w:val="0"/>
        </w:rPr>
        <w:t xml:space="preserve"> </w:t>
      </w:r>
      <w:r w:rsidR="001B3F98">
        <w:rPr>
          <w:b w:val="0"/>
          <w:bCs w:val="0"/>
        </w:rPr>
        <w:t>as the</w:t>
      </w:r>
      <w:r w:rsidR="001D0A1D">
        <w:rPr>
          <w:b w:val="0"/>
          <w:bCs w:val="0"/>
        </w:rPr>
        <w:t xml:space="preserve"> d4PDF</w:t>
      </w:r>
      <w:r w:rsidR="001B3F98">
        <w:rPr>
          <w:b w:val="0"/>
          <w:bCs w:val="0"/>
        </w:rPr>
        <w:t xml:space="preserve"> ensemble mean</w:t>
      </w:r>
      <w:r w:rsidR="00DF4D75" w:rsidRPr="00DF4D75">
        <w:rPr>
          <w:b w:val="0"/>
          <w:bCs w:val="0"/>
        </w:rPr>
        <w:t>.</w:t>
      </w:r>
      <w:r w:rsidR="00601928">
        <w:rPr>
          <w:b w:val="0"/>
          <w:bCs w:val="0"/>
        </w:rPr>
        <w:t xml:space="preserve"> </w:t>
      </w:r>
      <w:r w:rsidR="004709DE">
        <w:rPr>
          <w:b w:val="0"/>
          <w:bCs w:val="0"/>
        </w:rPr>
        <w:t>The AL anomaly</w:t>
      </w:r>
      <w:r w:rsidR="00601928">
        <w:rPr>
          <w:b w:val="0"/>
          <w:bCs w:val="0"/>
        </w:rPr>
        <w:t xml:space="preserve"> </w:t>
      </w:r>
      <w:r w:rsidR="00CC4E82">
        <w:rPr>
          <w:b w:val="0"/>
          <w:bCs w:val="0"/>
        </w:rPr>
        <w:t>of</w:t>
      </w:r>
      <w:r w:rsidR="00601928">
        <w:rPr>
          <w:b w:val="0"/>
          <w:bCs w:val="0"/>
        </w:rPr>
        <w:t xml:space="preserve"> the externally driven NAM</w:t>
      </w:r>
      <w:r w:rsidR="004709DE">
        <w:rPr>
          <w:b w:val="0"/>
          <w:bCs w:val="0"/>
        </w:rPr>
        <w:t xml:space="preserve"> strengthens from December to February in both</w:t>
      </w:r>
      <w:r w:rsidR="00DF4D75" w:rsidRPr="00DF4D75">
        <w:rPr>
          <w:b w:val="0"/>
          <w:bCs w:val="0"/>
        </w:rPr>
        <w:t xml:space="preserve"> </w:t>
      </w:r>
      <w:r w:rsidR="00A8043D">
        <w:rPr>
          <w:b w:val="0"/>
          <w:bCs w:val="0"/>
        </w:rPr>
        <w:t xml:space="preserve">HIST </w:t>
      </w:r>
      <w:r w:rsidR="00DF4D75" w:rsidRPr="00DF4D75">
        <w:rPr>
          <w:b w:val="0"/>
          <w:bCs w:val="0"/>
        </w:rPr>
        <w:t>and</w:t>
      </w:r>
      <w:r w:rsidR="00A8043D">
        <w:rPr>
          <w:b w:val="0"/>
          <w:bCs w:val="0"/>
        </w:rPr>
        <w:t xml:space="preserve"> +4</w:t>
      </w:r>
      <w:r>
        <w:rPr>
          <w:b w:val="0"/>
          <w:bCs w:val="0"/>
        </w:rPr>
        <w:t>K</w:t>
      </w:r>
      <w:r w:rsidR="00601928">
        <w:rPr>
          <w:b w:val="0"/>
          <w:bCs w:val="0"/>
        </w:rPr>
        <w:t xml:space="preserve"> (Figure S2)</w:t>
      </w:r>
      <w:r w:rsidR="00DF4D75" w:rsidRPr="00DF4D75">
        <w:rPr>
          <w:b w:val="0"/>
          <w:bCs w:val="0"/>
        </w:rPr>
        <w:t xml:space="preserve">. </w:t>
      </w:r>
      <w:r w:rsidR="004F1298">
        <w:rPr>
          <w:b w:val="0"/>
          <w:bCs w:val="0"/>
        </w:rPr>
        <w:t xml:space="preserve">In December, the AL anomaly is almost missing in HIST but obvious in +4K. </w:t>
      </w:r>
      <w:r w:rsidR="00DF4D75" w:rsidRPr="00DF4D75">
        <w:rPr>
          <w:b w:val="0"/>
          <w:bCs w:val="0"/>
        </w:rPr>
        <w:t xml:space="preserve">This is consistent with the </w:t>
      </w:r>
      <w:r w:rsidR="00195C78">
        <w:rPr>
          <w:b w:val="0"/>
          <w:bCs w:val="0"/>
        </w:rPr>
        <w:t>AIS</w:t>
      </w:r>
      <w:r w:rsidR="00B12F6E">
        <w:rPr>
          <w:b w:val="0"/>
          <w:bCs w:val="0"/>
        </w:rPr>
        <w:t xml:space="preserve"> emergence</w:t>
      </w:r>
      <w:r w:rsidR="00195C78">
        <w:rPr>
          <w:b w:val="0"/>
          <w:bCs w:val="0"/>
        </w:rPr>
        <w:t xml:space="preserve"> </w:t>
      </w:r>
      <w:r w:rsidR="00FE27D3">
        <w:rPr>
          <w:b w:val="0"/>
          <w:bCs w:val="0"/>
        </w:rPr>
        <w:t>in</w:t>
      </w:r>
      <w:r w:rsidR="00195C78">
        <w:rPr>
          <w:b w:val="0"/>
          <w:bCs w:val="0"/>
        </w:rPr>
        <w:t xml:space="preserve"> early winter </w:t>
      </w:r>
      <w:r w:rsidR="005938CA">
        <w:rPr>
          <w:b w:val="0"/>
          <w:bCs w:val="0"/>
        </w:rPr>
        <w:t>in the warmer climate</w:t>
      </w:r>
      <w:r w:rsidR="00195C78">
        <w:rPr>
          <w:b w:val="0"/>
          <w:bCs w:val="0"/>
        </w:rPr>
        <w:t xml:space="preserve"> (Figure 2).</w:t>
      </w:r>
    </w:p>
    <w:p w14:paraId="63D6A17F" w14:textId="2C5D5A34" w:rsidR="00565788" w:rsidRPr="00B55B86" w:rsidRDefault="00B55B86" w:rsidP="00B55B86">
      <w:pPr>
        <w:pStyle w:val="FigureorTableCaption"/>
        <w:jc w:val="both"/>
        <w:rPr>
          <w:lang w:eastAsia="ja-JP"/>
        </w:rPr>
      </w:pPr>
      <w:r w:rsidRPr="007443BB">
        <w:rPr>
          <w:b/>
        </w:rPr>
        <w:t>Table 1.</w:t>
      </w:r>
      <w:r>
        <w:t xml:space="preserve"> Statistical properties of the NAM index</w:t>
      </w:r>
      <w:r w:rsidR="00976D16">
        <w:t>.</w:t>
      </w:r>
      <w:r>
        <w:t xml:space="preserve"> </w:t>
      </w:r>
      <w:r w:rsidR="00976D16">
        <w:t>T</w:t>
      </w:r>
      <w:r>
        <w:t xml:space="preserve">he ratio of the </w:t>
      </w:r>
      <w:r w:rsidR="00976D16">
        <w:t xml:space="preserve">externally forced </w:t>
      </w:r>
      <w:r>
        <w:t>variance</w:t>
      </w:r>
      <w:r w:rsidR="00976D16">
        <w:t xml:space="preserve"> to total variance</w:t>
      </w:r>
      <w:r>
        <w:t xml:space="preserve"> of the NAM index (evaluated following </w:t>
      </w:r>
      <w:r>
        <w:fldChar w:fldCharType="begin"/>
      </w:r>
      <w:r w:rsidR="000B1705">
        <w:instrText xml:space="preserve"> ADDIN ZOTERO_ITEM CSL_CITATION {"citationID":"kIslYQHd","properties":{"formattedCitation":"(Rowell et al., 1995)","plainCitation":"(Rowell et al., 1995)","dontUpdate":true,"noteIndex":0},"citationItems":[{"id":163,"uris":["http://zotero.org/users/14197466/items/N2S7FRA7"],"itemData":{"id":163,"type":"article-journal","abstract":"The nature and causes of seasonal (July to September (JAS)) rainfall variability over tropical north Africa are investigated using a combination of empirical and modelling approaches. Concentration is focused on three regions: the Sahel, Soudan and Guinea Coast. The variability of seasonal rainfall through the twentieth century is analysed for each region. The well known dipole of anomalies between the Sahel and Guinea Coast is evident, and new analysis reveals that this fluctuates primarily on time-scales of five years or less. Attention is then focussed on the causes of rainfall variability in each region, by examining the relationships with global sea-surface-temperature (SST) patterns; a partitioning of the data into low- and high-frequency components is found to be particularly useful. So as to attribute more convincingly the primary cause of seasonal rainfall variability to global SST forcing, a suite of general circulation model experiments are performed, aimed at simulating JAS rainfall anomalies for ten past years between 1949 and 1990. Each is forced by the observed SST patterns for the appropriate year. In almost every case, the model quite skilfully simulates the magnitude and pattern of JAS rainfall anomalies across tropical north Africa, thus strengthening the idea that global SST variations are indeed responsible for most of the variability of seasonal rainfall. The relative impact of two additional sources of variability is also investigated. First the role of internal atmospheric variability is quantified (using an ‘analysis of variance’ technique), and found to be small in all three regions. Second, and perhaps more controversially, the possible effects of land-surface-moisture feedback are explored. This is done by replacing the normal interactive soil-moisture scheme with a model-derived climatology; results suggest that in some years moisture evaporated from the land surface may play a key role, but that in general SST forcing still dominates. Finally, an assessment of the model's skill at sub-seasonal time-scales reveals that fluctuations of monthly rainfall about each year's seasonal mean (intraseasonal variations) are insensitive to SST forcing, in part due to a larger influence of internal atmospheric variations.","container-title":"Quarterly Journal of the Royal Meteorological Society","DOI":"10.1002/qj.49712152311","ISSN":"1477-870X","issue":"523","language":"en","license":"Copyright © 1995 Royal Meteorological Society","note":"_eprint: https://onlinelibrary.wiley.com/doi/pdf/10.1002/qj.49712152311","page":"669-704","source":"Wiley Online Library","title":"Variability of summer rainfall over tropical north Africa (1906–92): Observations and modelling","title-short":"Variability of summer rainfall over tropical north Africa (1906–92)","volume":"121","author":[{"family":"Rowell","given":"David P."},{"family":"Folland","given":"Chris K."},{"family":"Maskell","given":"Kathy"},{"family":"Ward","given":"M. Neil"}],"issued":{"date-parts":[["1995"]]}}}],"schema":"https://github.com/citation-style-language/schema/raw/master/csl-citation.json"} </w:instrText>
      </w:r>
      <w:r>
        <w:fldChar w:fldCharType="separate"/>
      </w:r>
      <w:r>
        <w:rPr>
          <w:noProof/>
        </w:rPr>
        <w:t>Rowell et al., (1995)</w:t>
      </w:r>
      <w:r>
        <w:fldChar w:fldCharType="end"/>
      </w:r>
      <w:r>
        <w:t>) and the correlation between the ensemble-averaged NAM and the Niño 3.4 in</w:t>
      </w:r>
      <w:r w:rsidR="00976D16">
        <w:t>dices</w:t>
      </w:r>
      <w:r w:rsidR="00650E38">
        <w:t xml:space="preserve">. Asterisks </w:t>
      </w:r>
      <w:r w:rsidR="00650E38">
        <w:rPr>
          <w:lang w:eastAsia="ja-JP"/>
        </w:rPr>
        <w:t xml:space="preserve">and daggers </w:t>
      </w:r>
      <w:r w:rsidR="00650E38">
        <w:t xml:space="preserve">indicate the </w:t>
      </w:r>
      <w:r w:rsidR="007D1B2B">
        <w:t xml:space="preserve">95% </w:t>
      </w:r>
      <w:r w:rsidR="00650E38">
        <w:t xml:space="preserve">statistical significance of the </w:t>
      </w:r>
      <w:r w:rsidR="00562399">
        <w:t>non-zero correlations</w:t>
      </w:r>
      <w:r w:rsidR="00650E38">
        <w:t xml:space="preserve"> and th</w:t>
      </w:r>
      <w:r w:rsidR="007D1B2B">
        <w:t>eir</w:t>
      </w:r>
      <w:r w:rsidR="00650E38">
        <w:t xml:space="preserve"> difference from </w:t>
      </w:r>
      <w:r w:rsidR="00255981">
        <w:t>th</w:t>
      </w:r>
      <w:r w:rsidR="007D1B2B">
        <w:t>ose</w:t>
      </w:r>
      <w:r w:rsidR="00255981">
        <w:t xml:space="preserve"> of HIST, respectively.</w:t>
      </w:r>
    </w:p>
    <w:tbl>
      <w:tblPr>
        <w:tblStyle w:val="af6"/>
        <w:tblW w:w="5005" w:type="pct"/>
        <w:tblLook w:val="04A0" w:firstRow="1" w:lastRow="0" w:firstColumn="1" w:lastColumn="0" w:noHBand="0" w:noVBand="1"/>
      </w:tblPr>
      <w:tblGrid>
        <w:gridCol w:w="2403"/>
        <w:gridCol w:w="871"/>
        <w:gridCol w:w="870"/>
        <w:gridCol w:w="870"/>
        <w:gridCol w:w="872"/>
        <w:gridCol w:w="870"/>
        <w:gridCol w:w="870"/>
        <w:gridCol w:w="870"/>
        <w:gridCol w:w="863"/>
      </w:tblGrid>
      <w:tr w:rsidR="00AD67E3" w:rsidRPr="00AD67E3" w14:paraId="09E7D428" w14:textId="77777777" w:rsidTr="00320BB8">
        <w:trPr>
          <w:trHeight w:val="20"/>
        </w:trPr>
        <w:tc>
          <w:tcPr>
            <w:tcW w:w="1283" w:type="pct"/>
            <w:vMerge w:val="restart"/>
            <w:hideMark/>
          </w:tcPr>
          <w:p w14:paraId="326EE9B0" w14:textId="77777777" w:rsidR="001752CB" w:rsidRPr="00AD67E3" w:rsidRDefault="001752CB" w:rsidP="00AD67E3">
            <w:pPr>
              <w:pStyle w:val="Heading-Main"/>
              <w:jc w:val="both"/>
              <w:rPr>
                <w:rFonts w:asciiTheme="minorHAnsi" w:hAnsiTheme="minorHAnsi" w:cstheme="minorHAnsi"/>
                <w:b w:val="0"/>
                <w:bCs w:val="0"/>
                <w:sz w:val="20"/>
                <w:szCs w:val="20"/>
                <w:lang w:eastAsia="ja-JP"/>
              </w:rPr>
            </w:pPr>
          </w:p>
        </w:tc>
        <w:tc>
          <w:tcPr>
            <w:tcW w:w="1861" w:type="pct"/>
            <w:gridSpan w:val="4"/>
            <w:vAlign w:val="center"/>
            <w:hideMark/>
          </w:tcPr>
          <w:p w14:paraId="6407E020" w14:textId="77777777" w:rsidR="00AD67E3" w:rsidRPr="00AD67E3" w:rsidRDefault="00AD67E3" w:rsidP="006629D5">
            <w:pPr>
              <w:pStyle w:val="Heading-Main"/>
              <w:jc w:val="both"/>
              <w:rPr>
                <w:rFonts w:asciiTheme="minorHAnsi" w:hAnsiTheme="minorHAnsi" w:cstheme="minorHAnsi"/>
                <w:b w:val="0"/>
                <w:bCs w:val="0"/>
                <w:sz w:val="20"/>
                <w:szCs w:val="20"/>
              </w:rPr>
            </w:pPr>
            <w:r w:rsidRPr="00AD67E3">
              <w:rPr>
                <w:rFonts w:asciiTheme="minorHAnsi" w:hAnsiTheme="minorHAnsi" w:cstheme="minorHAnsi"/>
                <w:b w:val="0"/>
                <w:bCs w:val="0"/>
                <w:sz w:val="20"/>
                <w:szCs w:val="20"/>
              </w:rPr>
              <w:t>Ratio of the ensemble-averaged NAM variance to the total variance</w:t>
            </w:r>
          </w:p>
        </w:tc>
        <w:tc>
          <w:tcPr>
            <w:tcW w:w="1857" w:type="pct"/>
            <w:gridSpan w:val="4"/>
            <w:vAlign w:val="center"/>
            <w:hideMark/>
          </w:tcPr>
          <w:p w14:paraId="1D2E07A4" w14:textId="77777777" w:rsidR="00AD67E3" w:rsidRPr="00AD67E3" w:rsidRDefault="00AD67E3" w:rsidP="006629D5">
            <w:pPr>
              <w:pStyle w:val="Heading-Main"/>
              <w:jc w:val="both"/>
              <w:rPr>
                <w:rFonts w:asciiTheme="minorHAnsi" w:hAnsiTheme="minorHAnsi" w:cstheme="minorHAnsi"/>
                <w:b w:val="0"/>
                <w:bCs w:val="0"/>
                <w:sz w:val="20"/>
                <w:szCs w:val="20"/>
              </w:rPr>
            </w:pPr>
            <w:r w:rsidRPr="00AD67E3">
              <w:rPr>
                <w:rFonts w:asciiTheme="minorHAnsi" w:hAnsiTheme="minorHAnsi" w:cstheme="minorHAnsi"/>
                <w:b w:val="0"/>
                <w:bCs w:val="0"/>
                <w:sz w:val="20"/>
                <w:szCs w:val="20"/>
              </w:rPr>
              <w:t>Correlation with the Niño 3.4 index</w:t>
            </w:r>
          </w:p>
        </w:tc>
      </w:tr>
      <w:tr w:rsidR="00AD67E3" w:rsidRPr="00AD67E3" w14:paraId="7D0978BF" w14:textId="77777777" w:rsidTr="00320BB8">
        <w:trPr>
          <w:trHeight w:val="20"/>
        </w:trPr>
        <w:tc>
          <w:tcPr>
            <w:tcW w:w="1283" w:type="pct"/>
            <w:vMerge/>
            <w:hideMark/>
          </w:tcPr>
          <w:p w14:paraId="1DC2B124" w14:textId="77777777" w:rsidR="00AD67E3" w:rsidRPr="00AD67E3" w:rsidRDefault="00AD67E3" w:rsidP="00AD67E3">
            <w:pPr>
              <w:pStyle w:val="Heading-Main"/>
              <w:jc w:val="both"/>
              <w:rPr>
                <w:rFonts w:asciiTheme="minorHAnsi" w:hAnsiTheme="minorHAnsi" w:cstheme="minorHAnsi"/>
                <w:b w:val="0"/>
                <w:bCs w:val="0"/>
                <w:sz w:val="20"/>
                <w:szCs w:val="20"/>
              </w:rPr>
            </w:pPr>
          </w:p>
        </w:tc>
        <w:tc>
          <w:tcPr>
            <w:tcW w:w="465" w:type="pct"/>
            <w:vAlign w:val="center"/>
            <w:hideMark/>
          </w:tcPr>
          <w:p w14:paraId="511264CE"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DJF</w:t>
            </w:r>
          </w:p>
        </w:tc>
        <w:tc>
          <w:tcPr>
            <w:tcW w:w="465" w:type="pct"/>
            <w:vAlign w:val="center"/>
            <w:hideMark/>
          </w:tcPr>
          <w:p w14:paraId="49B20B8D"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Dec</w:t>
            </w:r>
          </w:p>
        </w:tc>
        <w:tc>
          <w:tcPr>
            <w:tcW w:w="465" w:type="pct"/>
            <w:vAlign w:val="center"/>
            <w:hideMark/>
          </w:tcPr>
          <w:p w14:paraId="4E71FC75"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Jan</w:t>
            </w:r>
          </w:p>
        </w:tc>
        <w:tc>
          <w:tcPr>
            <w:tcW w:w="466" w:type="pct"/>
            <w:vAlign w:val="center"/>
            <w:hideMark/>
          </w:tcPr>
          <w:p w14:paraId="05EF055A"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Feb</w:t>
            </w:r>
          </w:p>
        </w:tc>
        <w:tc>
          <w:tcPr>
            <w:tcW w:w="465" w:type="pct"/>
            <w:vAlign w:val="center"/>
            <w:hideMark/>
          </w:tcPr>
          <w:p w14:paraId="3DACEFF0"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DJF</w:t>
            </w:r>
          </w:p>
        </w:tc>
        <w:tc>
          <w:tcPr>
            <w:tcW w:w="465" w:type="pct"/>
            <w:vAlign w:val="center"/>
            <w:hideMark/>
          </w:tcPr>
          <w:p w14:paraId="2E7DA467"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Dec</w:t>
            </w:r>
          </w:p>
        </w:tc>
        <w:tc>
          <w:tcPr>
            <w:tcW w:w="465" w:type="pct"/>
            <w:vAlign w:val="center"/>
            <w:hideMark/>
          </w:tcPr>
          <w:p w14:paraId="2518D192"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Jan</w:t>
            </w:r>
          </w:p>
        </w:tc>
        <w:tc>
          <w:tcPr>
            <w:tcW w:w="462" w:type="pct"/>
            <w:vAlign w:val="center"/>
            <w:hideMark/>
          </w:tcPr>
          <w:p w14:paraId="442C92D3"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Feb</w:t>
            </w:r>
          </w:p>
        </w:tc>
      </w:tr>
      <w:tr w:rsidR="00AD67E3" w:rsidRPr="00AD67E3" w14:paraId="1C33E4A5" w14:textId="77777777" w:rsidTr="00320BB8">
        <w:trPr>
          <w:trHeight w:val="20"/>
        </w:trPr>
        <w:tc>
          <w:tcPr>
            <w:tcW w:w="1283" w:type="pct"/>
            <w:vAlign w:val="center"/>
            <w:hideMark/>
          </w:tcPr>
          <w:p w14:paraId="6F6A3E41" w14:textId="77777777" w:rsidR="00AD67E3" w:rsidRPr="00AD67E3" w:rsidRDefault="00AD67E3" w:rsidP="006629D5">
            <w:pPr>
              <w:pStyle w:val="Heading-Main"/>
              <w:jc w:val="both"/>
              <w:rPr>
                <w:rFonts w:asciiTheme="minorHAnsi" w:hAnsiTheme="minorHAnsi" w:cstheme="minorHAnsi"/>
                <w:b w:val="0"/>
                <w:bCs w:val="0"/>
                <w:sz w:val="20"/>
                <w:szCs w:val="20"/>
              </w:rPr>
            </w:pPr>
            <w:r w:rsidRPr="00AD67E3">
              <w:rPr>
                <w:rFonts w:asciiTheme="minorHAnsi" w:hAnsiTheme="minorHAnsi" w:cstheme="minorHAnsi"/>
                <w:b w:val="0"/>
                <w:bCs w:val="0"/>
                <w:sz w:val="20"/>
                <w:szCs w:val="20"/>
              </w:rPr>
              <w:t>ERA5</w:t>
            </w:r>
          </w:p>
        </w:tc>
        <w:tc>
          <w:tcPr>
            <w:tcW w:w="465" w:type="pct"/>
            <w:vAlign w:val="center"/>
            <w:hideMark/>
          </w:tcPr>
          <w:p w14:paraId="59E34204"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w:t>
            </w:r>
          </w:p>
        </w:tc>
        <w:tc>
          <w:tcPr>
            <w:tcW w:w="465" w:type="pct"/>
            <w:vAlign w:val="center"/>
            <w:hideMark/>
          </w:tcPr>
          <w:p w14:paraId="7E687DC6"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w:t>
            </w:r>
          </w:p>
        </w:tc>
        <w:tc>
          <w:tcPr>
            <w:tcW w:w="465" w:type="pct"/>
            <w:vAlign w:val="center"/>
            <w:hideMark/>
          </w:tcPr>
          <w:p w14:paraId="09AE0B78"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w:t>
            </w:r>
          </w:p>
        </w:tc>
        <w:tc>
          <w:tcPr>
            <w:tcW w:w="466" w:type="pct"/>
            <w:vAlign w:val="center"/>
            <w:hideMark/>
          </w:tcPr>
          <w:p w14:paraId="74FABBB4"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w:t>
            </w:r>
          </w:p>
        </w:tc>
        <w:tc>
          <w:tcPr>
            <w:tcW w:w="465" w:type="pct"/>
            <w:vAlign w:val="center"/>
            <w:hideMark/>
          </w:tcPr>
          <w:p w14:paraId="51FFE2AC"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-0.06</w:t>
            </w:r>
          </w:p>
        </w:tc>
        <w:tc>
          <w:tcPr>
            <w:tcW w:w="465" w:type="pct"/>
            <w:vAlign w:val="center"/>
            <w:hideMark/>
          </w:tcPr>
          <w:p w14:paraId="60A7CB1B"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0.15</w:t>
            </w:r>
          </w:p>
        </w:tc>
        <w:tc>
          <w:tcPr>
            <w:tcW w:w="465" w:type="pct"/>
            <w:vAlign w:val="center"/>
            <w:hideMark/>
          </w:tcPr>
          <w:p w14:paraId="2027B6DC"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-0.12</w:t>
            </w:r>
          </w:p>
        </w:tc>
        <w:tc>
          <w:tcPr>
            <w:tcW w:w="462" w:type="pct"/>
            <w:vAlign w:val="center"/>
            <w:hideMark/>
          </w:tcPr>
          <w:p w14:paraId="2E9EC68D" w14:textId="77777777" w:rsidR="00AD67E3" w:rsidRPr="00AD67E3" w:rsidRDefault="00AD67E3"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-0.18</w:t>
            </w:r>
          </w:p>
        </w:tc>
      </w:tr>
      <w:tr w:rsidR="00320BB8" w:rsidRPr="00AD67E3" w14:paraId="34C634F2" w14:textId="77777777" w:rsidTr="00320BB8">
        <w:trPr>
          <w:trHeight w:val="20"/>
        </w:trPr>
        <w:tc>
          <w:tcPr>
            <w:tcW w:w="1283" w:type="pct"/>
            <w:vAlign w:val="center"/>
            <w:hideMark/>
          </w:tcPr>
          <w:p w14:paraId="165CF2E4" w14:textId="26D9FAFD" w:rsidR="00320BB8" w:rsidRPr="00AD67E3" w:rsidRDefault="00320BB8" w:rsidP="006629D5">
            <w:pPr>
              <w:pStyle w:val="Heading-Main"/>
              <w:jc w:val="both"/>
              <w:rPr>
                <w:rFonts w:asciiTheme="minorHAnsi" w:hAnsiTheme="minorHAnsi" w:cstheme="minorHAnsi"/>
                <w:b w:val="0"/>
                <w:bCs w:val="0"/>
                <w:sz w:val="20"/>
                <w:szCs w:val="20"/>
              </w:rPr>
            </w:pPr>
            <w:r w:rsidRPr="00AD67E3">
              <w:rPr>
                <w:rFonts w:asciiTheme="minorHAnsi" w:hAnsiTheme="minorHAnsi" w:cstheme="minorHAnsi"/>
                <w:b w:val="0"/>
                <w:bCs w:val="0"/>
                <w:sz w:val="20"/>
                <w:szCs w:val="20"/>
              </w:rPr>
              <w:t>d4PDF HIST</w:t>
            </w:r>
          </w:p>
        </w:tc>
        <w:tc>
          <w:tcPr>
            <w:tcW w:w="465" w:type="pct"/>
            <w:vAlign w:val="center"/>
            <w:hideMark/>
          </w:tcPr>
          <w:p w14:paraId="06DECCF4"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9.5%</w:t>
            </w:r>
          </w:p>
        </w:tc>
        <w:tc>
          <w:tcPr>
            <w:tcW w:w="465" w:type="pct"/>
            <w:vAlign w:val="center"/>
            <w:hideMark/>
          </w:tcPr>
          <w:p w14:paraId="2C6961FE"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3.8%</w:t>
            </w:r>
          </w:p>
        </w:tc>
        <w:tc>
          <w:tcPr>
            <w:tcW w:w="465" w:type="pct"/>
            <w:vAlign w:val="center"/>
            <w:hideMark/>
          </w:tcPr>
          <w:p w14:paraId="61E10D56"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4.8%</w:t>
            </w:r>
          </w:p>
        </w:tc>
        <w:tc>
          <w:tcPr>
            <w:tcW w:w="466" w:type="pct"/>
            <w:vAlign w:val="center"/>
            <w:hideMark/>
          </w:tcPr>
          <w:p w14:paraId="11C981B3"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10.2%</w:t>
            </w:r>
          </w:p>
        </w:tc>
        <w:tc>
          <w:tcPr>
            <w:tcW w:w="465" w:type="pct"/>
            <w:vAlign w:val="center"/>
            <w:hideMark/>
          </w:tcPr>
          <w:p w14:paraId="7A816141"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-0.18*</w:t>
            </w:r>
          </w:p>
        </w:tc>
        <w:tc>
          <w:tcPr>
            <w:tcW w:w="465" w:type="pct"/>
            <w:vAlign w:val="center"/>
            <w:hideMark/>
          </w:tcPr>
          <w:p w14:paraId="507CE16A"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0.06*</w:t>
            </w:r>
          </w:p>
        </w:tc>
        <w:tc>
          <w:tcPr>
            <w:tcW w:w="465" w:type="pct"/>
            <w:vAlign w:val="center"/>
            <w:hideMark/>
          </w:tcPr>
          <w:p w14:paraId="61E08170"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-0.09*</w:t>
            </w:r>
          </w:p>
        </w:tc>
        <w:tc>
          <w:tcPr>
            <w:tcW w:w="462" w:type="pct"/>
            <w:vAlign w:val="center"/>
            <w:hideMark/>
          </w:tcPr>
          <w:p w14:paraId="7CD28F09"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-0.24*</w:t>
            </w:r>
          </w:p>
        </w:tc>
      </w:tr>
      <w:tr w:rsidR="00320BB8" w:rsidRPr="00AD67E3" w14:paraId="74EB2A84" w14:textId="77777777" w:rsidTr="00320BB8">
        <w:trPr>
          <w:trHeight w:val="20"/>
        </w:trPr>
        <w:tc>
          <w:tcPr>
            <w:tcW w:w="1283" w:type="pct"/>
            <w:vAlign w:val="center"/>
            <w:hideMark/>
          </w:tcPr>
          <w:p w14:paraId="226DE9E9" w14:textId="6D1609F2" w:rsidR="00320BB8" w:rsidRPr="00AD67E3" w:rsidRDefault="00320BB8" w:rsidP="006629D5">
            <w:pPr>
              <w:pStyle w:val="Heading-Main"/>
              <w:jc w:val="both"/>
              <w:rPr>
                <w:rFonts w:asciiTheme="minorHAnsi" w:hAnsiTheme="minorHAnsi" w:cstheme="minorHAnsi"/>
                <w:b w:val="0"/>
                <w:bCs w:val="0"/>
                <w:sz w:val="20"/>
                <w:szCs w:val="20"/>
              </w:rPr>
            </w:pPr>
            <w:r w:rsidRPr="00AD67E3">
              <w:rPr>
                <w:rFonts w:asciiTheme="minorHAnsi" w:hAnsiTheme="minorHAnsi" w:cstheme="minorHAnsi"/>
                <w:b w:val="0"/>
                <w:bCs w:val="0"/>
                <w:sz w:val="20"/>
                <w:szCs w:val="20"/>
              </w:rPr>
              <w:t>d4PDF +4K</w:t>
            </w:r>
          </w:p>
        </w:tc>
        <w:tc>
          <w:tcPr>
            <w:tcW w:w="465" w:type="pct"/>
            <w:vAlign w:val="center"/>
            <w:hideMark/>
          </w:tcPr>
          <w:p w14:paraId="6DB35D45"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31.0%</w:t>
            </w:r>
          </w:p>
        </w:tc>
        <w:tc>
          <w:tcPr>
            <w:tcW w:w="465" w:type="pct"/>
            <w:vAlign w:val="center"/>
            <w:hideMark/>
          </w:tcPr>
          <w:p w14:paraId="150E00CD"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8.0%</w:t>
            </w:r>
          </w:p>
        </w:tc>
        <w:tc>
          <w:tcPr>
            <w:tcW w:w="465" w:type="pct"/>
            <w:vAlign w:val="center"/>
            <w:hideMark/>
          </w:tcPr>
          <w:p w14:paraId="55417F21"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17.3%</w:t>
            </w:r>
          </w:p>
        </w:tc>
        <w:tc>
          <w:tcPr>
            <w:tcW w:w="466" w:type="pct"/>
            <w:vAlign w:val="center"/>
            <w:hideMark/>
          </w:tcPr>
          <w:p w14:paraId="4CB6F9D7"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21.0%</w:t>
            </w:r>
          </w:p>
        </w:tc>
        <w:tc>
          <w:tcPr>
            <w:tcW w:w="465" w:type="pct"/>
            <w:vAlign w:val="center"/>
            <w:hideMark/>
          </w:tcPr>
          <w:p w14:paraId="229B99AE"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-0.50*</w:t>
            </w:r>
            <w:r w:rsidRPr="00AD67E3">
              <w:rPr>
                <w:rFonts w:asciiTheme="minorHAnsi" w:hAnsiTheme="minorHAnsi" w:cstheme="minorHAnsi"/>
                <w:b w:val="0"/>
                <w:bCs w:val="0"/>
                <w:sz w:val="20"/>
                <w:szCs w:val="20"/>
                <w:vertAlign w:val="superscript"/>
              </w:rPr>
              <w:t>†</w:t>
            </w:r>
          </w:p>
        </w:tc>
        <w:tc>
          <w:tcPr>
            <w:tcW w:w="465" w:type="pct"/>
            <w:vAlign w:val="center"/>
            <w:hideMark/>
          </w:tcPr>
          <w:p w14:paraId="46636341"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-0.21*</w:t>
            </w:r>
            <w:r w:rsidRPr="00AD67E3">
              <w:rPr>
                <w:rFonts w:asciiTheme="minorHAnsi" w:hAnsiTheme="minorHAnsi" w:cstheme="minorHAnsi"/>
                <w:b w:val="0"/>
                <w:bCs w:val="0"/>
                <w:sz w:val="20"/>
                <w:szCs w:val="20"/>
                <w:vertAlign w:val="superscript"/>
              </w:rPr>
              <w:t>†</w:t>
            </w:r>
          </w:p>
        </w:tc>
        <w:tc>
          <w:tcPr>
            <w:tcW w:w="465" w:type="pct"/>
            <w:vAlign w:val="center"/>
            <w:hideMark/>
          </w:tcPr>
          <w:p w14:paraId="6DE3938C"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-0.36*</w:t>
            </w:r>
            <w:r w:rsidRPr="00AD67E3">
              <w:rPr>
                <w:rFonts w:asciiTheme="minorHAnsi" w:hAnsiTheme="minorHAnsi" w:cstheme="minorHAnsi"/>
                <w:b w:val="0"/>
                <w:bCs w:val="0"/>
                <w:sz w:val="20"/>
                <w:szCs w:val="20"/>
                <w:vertAlign w:val="superscript"/>
              </w:rPr>
              <w:t>†</w:t>
            </w:r>
          </w:p>
        </w:tc>
        <w:tc>
          <w:tcPr>
            <w:tcW w:w="462" w:type="pct"/>
            <w:vAlign w:val="center"/>
            <w:hideMark/>
          </w:tcPr>
          <w:p w14:paraId="4EA04105" w14:textId="77777777" w:rsidR="00320BB8" w:rsidRPr="00AD67E3" w:rsidRDefault="00320BB8" w:rsidP="00564218">
            <w:pPr>
              <w:pStyle w:val="Heading-Main"/>
              <w:jc w:val="center"/>
              <w:rPr>
                <w:rFonts w:asciiTheme="minorHAnsi" w:hAnsiTheme="minorHAnsi" w:cstheme="minorHAnsi"/>
                <w:b w:val="0"/>
                <w:bCs w:val="0"/>
                <w:sz w:val="20"/>
                <w:szCs w:val="20"/>
              </w:rPr>
            </w:pPr>
            <w:r w:rsidRPr="00AD67E3">
              <w:rPr>
                <w:rFonts w:asciiTheme="minorHAnsi" w:hAnsiTheme="minorHAnsi" w:cstheme="minorHAnsi"/>
                <w:b w:val="0"/>
                <w:bCs w:val="0"/>
                <w:sz w:val="20"/>
                <w:szCs w:val="20"/>
              </w:rPr>
              <w:t>-0.41*</w:t>
            </w:r>
            <w:r w:rsidRPr="00AD67E3">
              <w:rPr>
                <w:rFonts w:asciiTheme="minorHAnsi" w:hAnsiTheme="minorHAnsi" w:cstheme="minorHAnsi"/>
                <w:b w:val="0"/>
                <w:bCs w:val="0"/>
                <w:sz w:val="20"/>
                <w:szCs w:val="20"/>
                <w:vertAlign w:val="superscript"/>
              </w:rPr>
              <w:t>†</w:t>
            </w:r>
          </w:p>
        </w:tc>
      </w:tr>
    </w:tbl>
    <w:p w14:paraId="63178118" w14:textId="458C4B53" w:rsidR="00C1177A" w:rsidRDefault="00195C78" w:rsidP="006F623F">
      <w:pPr>
        <w:pStyle w:val="Heading-Main"/>
        <w:jc w:val="both"/>
        <w:rPr>
          <w:b w:val="0"/>
          <w:bCs w:val="0"/>
        </w:rPr>
      </w:pPr>
      <w:r>
        <w:rPr>
          <w:b w:val="0"/>
          <w:bCs w:val="0"/>
        </w:rPr>
        <w:t>Under</w:t>
      </w:r>
      <w:r w:rsidR="00DF4D75" w:rsidRPr="00DF4D75">
        <w:rPr>
          <w:b w:val="0"/>
          <w:bCs w:val="0"/>
        </w:rPr>
        <w:t xml:space="preserve"> global warming, the </w:t>
      </w:r>
      <w:r w:rsidR="00192199">
        <w:rPr>
          <w:b w:val="0"/>
          <w:bCs w:val="0"/>
        </w:rPr>
        <w:t>ratio</w:t>
      </w:r>
      <w:r w:rsidR="00DF4D75" w:rsidRPr="00DF4D75">
        <w:rPr>
          <w:b w:val="0"/>
          <w:bCs w:val="0"/>
        </w:rPr>
        <w:t xml:space="preserve"> of </w:t>
      </w:r>
      <w:r w:rsidR="00192199">
        <w:rPr>
          <w:b w:val="0"/>
          <w:bCs w:val="0"/>
        </w:rPr>
        <w:t>SST/sea ice-driven variance to total variance</w:t>
      </w:r>
      <w:r w:rsidR="00DF4D75" w:rsidRPr="00DF4D75">
        <w:rPr>
          <w:rFonts w:hint="eastAsia"/>
          <w:b w:val="0"/>
          <w:bCs w:val="0"/>
          <w:lang w:eastAsia="ja-JP"/>
        </w:rPr>
        <w:t xml:space="preserve"> </w:t>
      </w:r>
      <w:r w:rsidR="005C371B">
        <w:rPr>
          <w:b w:val="0"/>
          <w:bCs w:val="0"/>
          <w:lang w:eastAsia="ja-JP"/>
        </w:rPr>
        <w:t xml:space="preserve">of </w:t>
      </w:r>
      <w:r w:rsidR="00003C1E">
        <w:rPr>
          <w:b w:val="0"/>
          <w:bCs w:val="0"/>
          <w:lang w:eastAsia="ja-JP"/>
        </w:rPr>
        <w:t xml:space="preserve">the </w:t>
      </w:r>
      <w:r w:rsidR="005C371B">
        <w:rPr>
          <w:b w:val="0"/>
          <w:bCs w:val="0"/>
          <w:lang w:eastAsia="ja-JP"/>
        </w:rPr>
        <w:t xml:space="preserve">NAM </w:t>
      </w:r>
      <w:r w:rsidR="00DF4D75" w:rsidRPr="00DF4D75">
        <w:rPr>
          <w:b w:val="0"/>
          <w:bCs w:val="0"/>
        </w:rPr>
        <w:t xml:space="preserve">increases. </w:t>
      </w:r>
      <w:r w:rsidR="00732B87">
        <w:rPr>
          <w:b w:val="0"/>
          <w:bCs w:val="0"/>
        </w:rPr>
        <w:t xml:space="preserve">In HIST, </w:t>
      </w:r>
      <w:r w:rsidR="00735BB3">
        <w:rPr>
          <w:b w:val="0"/>
          <w:bCs w:val="0"/>
        </w:rPr>
        <w:t>th</w:t>
      </w:r>
      <w:r w:rsidR="00003C1E">
        <w:rPr>
          <w:b w:val="0"/>
          <w:bCs w:val="0"/>
        </w:rPr>
        <w:t>is</w:t>
      </w:r>
      <w:r w:rsidR="00735BB3">
        <w:rPr>
          <w:b w:val="0"/>
          <w:bCs w:val="0"/>
        </w:rPr>
        <w:t xml:space="preserve"> ratio</w:t>
      </w:r>
      <w:r w:rsidR="00DF4D75" w:rsidRPr="00DF4D75">
        <w:rPr>
          <w:b w:val="0"/>
          <w:bCs w:val="0"/>
        </w:rPr>
        <w:t xml:space="preserve"> increase</w:t>
      </w:r>
      <w:r w:rsidR="00231A75">
        <w:rPr>
          <w:b w:val="0"/>
          <w:bCs w:val="0"/>
        </w:rPr>
        <w:t>s</w:t>
      </w:r>
      <w:r w:rsidR="00DF4D75" w:rsidRPr="00DF4D75">
        <w:rPr>
          <w:b w:val="0"/>
          <w:bCs w:val="0"/>
        </w:rPr>
        <w:t xml:space="preserve"> from early to late winter</w:t>
      </w:r>
      <w:r w:rsidR="00713634">
        <w:rPr>
          <w:b w:val="0"/>
          <w:bCs w:val="0"/>
        </w:rPr>
        <w:t xml:space="preserve"> (</w:t>
      </w:r>
      <w:r w:rsidR="00D53B85">
        <w:rPr>
          <w:b w:val="0"/>
          <w:bCs w:val="0"/>
        </w:rPr>
        <w:t xml:space="preserve">d4PDF </w:t>
      </w:r>
      <w:r w:rsidR="00713634">
        <w:rPr>
          <w:b w:val="0"/>
          <w:bCs w:val="0"/>
        </w:rPr>
        <w:t>HIST of Table 1)</w:t>
      </w:r>
      <w:r w:rsidR="00DF4D75" w:rsidRPr="00DF4D75">
        <w:rPr>
          <w:b w:val="0"/>
          <w:bCs w:val="0"/>
        </w:rPr>
        <w:t>, corresponding to the</w:t>
      </w:r>
      <w:r w:rsidR="005C371B">
        <w:rPr>
          <w:b w:val="0"/>
          <w:bCs w:val="0"/>
        </w:rPr>
        <w:t xml:space="preserve"> late</w:t>
      </w:r>
      <w:r w:rsidR="004709DE">
        <w:rPr>
          <w:b w:val="0"/>
          <w:bCs w:val="0"/>
        </w:rPr>
        <w:t xml:space="preserve"> </w:t>
      </w:r>
      <w:r w:rsidR="005C371B">
        <w:rPr>
          <w:b w:val="0"/>
          <w:bCs w:val="0"/>
        </w:rPr>
        <w:t>winter</w:t>
      </w:r>
      <w:r w:rsidR="00DF4D75" w:rsidRPr="00DF4D75">
        <w:rPr>
          <w:b w:val="0"/>
          <w:bCs w:val="0"/>
        </w:rPr>
        <w:t xml:space="preserve"> emergence of </w:t>
      </w:r>
      <w:r w:rsidR="00003C1E">
        <w:rPr>
          <w:b w:val="0"/>
          <w:bCs w:val="0"/>
        </w:rPr>
        <w:t xml:space="preserve">the </w:t>
      </w:r>
      <w:r w:rsidR="00231A75">
        <w:rPr>
          <w:b w:val="0"/>
          <w:bCs w:val="0"/>
        </w:rPr>
        <w:t>AIS</w:t>
      </w:r>
      <w:r w:rsidR="00DF4D75" w:rsidRPr="00DF4D75">
        <w:rPr>
          <w:b w:val="0"/>
          <w:bCs w:val="0"/>
        </w:rPr>
        <w:t xml:space="preserve">. In </w:t>
      </w:r>
      <w:r w:rsidR="00231A75">
        <w:rPr>
          <w:b w:val="0"/>
          <w:bCs w:val="0"/>
        </w:rPr>
        <w:t>+4K</w:t>
      </w:r>
      <w:r w:rsidR="00DF4D75" w:rsidRPr="00DF4D75">
        <w:rPr>
          <w:b w:val="0"/>
          <w:bCs w:val="0"/>
        </w:rPr>
        <w:t xml:space="preserve">, this </w:t>
      </w:r>
      <w:r w:rsidR="005B0C19">
        <w:rPr>
          <w:b w:val="0"/>
          <w:bCs w:val="0"/>
        </w:rPr>
        <w:t>ratio</w:t>
      </w:r>
      <w:r w:rsidR="00DF4D75" w:rsidRPr="00DF4D75">
        <w:rPr>
          <w:b w:val="0"/>
          <w:bCs w:val="0"/>
        </w:rPr>
        <w:t xml:space="preserve"> </w:t>
      </w:r>
      <w:r w:rsidR="00C27D8C">
        <w:rPr>
          <w:b w:val="0"/>
          <w:bCs w:val="0"/>
        </w:rPr>
        <w:t>more than doubles</w:t>
      </w:r>
      <w:r w:rsidR="00DF4D75" w:rsidRPr="00DF4D75">
        <w:rPr>
          <w:b w:val="0"/>
          <w:bCs w:val="0"/>
        </w:rPr>
        <w:t xml:space="preserve"> in each </w:t>
      </w:r>
      <w:r w:rsidR="00003C1E">
        <w:rPr>
          <w:b w:val="0"/>
          <w:bCs w:val="0"/>
        </w:rPr>
        <w:t xml:space="preserve">calendar </w:t>
      </w:r>
      <w:r w:rsidR="00DF4D75" w:rsidRPr="00DF4D75">
        <w:rPr>
          <w:b w:val="0"/>
          <w:bCs w:val="0"/>
        </w:rPr>
        <w:t>month</w:t>
      </w:r>
      <w:r w:rsidR="00713634">
        <w:rPr>
          <w:b w:val="0"/>
          <w:bCs w:val="0"/>
        </w:rPr>
        <w:t xml:space="preserve"> </w:t>
      </w:r>
      <w:r w:rsidR="00735BB3">
        <w:rPr>
          <w:b w:val="0"/>
          <w:bCs w:val="0"/>
        </w:rPr>
        <w:t xml:space="preserve">compared with HIST </w:t>
      </w:r>
      <w:r w:rsidR="00713634">
        <w:rPr>
          <w:b w:val="0"/>
          <w:bCs w:val="0"/>
        </w:rPr>
        <w:t>(</w:t>
      </w:r>
      <w:r w:rsidR="00D53B85">
        <w:rPr>
          <w:b w:val="0"/>
          <w:bCs w:val="0"/>
        </w:rPr>
        <w:t>d4PDF +4K</w:t>
      </w:r>
      <w:r w:rsidR="00713634">
        <w:rPr>
          <w:b w:val="0"/>
          <w:bCs w:val="0"/>
        </w:rPr>
        <w:t xml:space="preserve"> in </w:t>
      </w:r>
      <w:r w:rsidR="00735BB3">
        <w:rPr>
          <w:b w:val="0"/>
          <w:bCs w:val="0"/>
        </w:rPr>
        <w:t>T</w:t>
      </w:r>
      <w:r w:rsidR="00713634">
        <w:rPr>
          <w:b w:val="0"/>
          <w:bCs w:val="0"/>
        </w:rPr>
        <w:t>able 1)</w:t>
      </w:r>
      <w:r w:rsidR="00DF4D75" w:rsidRPr="00DF4D75">
        <w:rPr>
          <w:b w:val="0"/>
          <w:bCs w:val="0"/>
        </w:rPr>
        <w:t>. In the DJF mean,</w:t>
      </w:r>
      <w:r w:rsidR="00735BB3">
        <w:rPr>
          <w:b w:val="0"/>
          <w:bCs w:val="0"/>
        </w:rPr>
        <w:t xml:space="preserve"> the ratio </w:t>
      </w:r>
      <w:r w:rsidR="00735BB3">
        <w:rPr>
          <w:b w:val="0"/>
          <w:bCs w:val="0"/>
        </w:rPr>
        <w:lastRenderedPageBreak/>
        <w:t>increases more than threefold,</w:t>
      </w:r>
      <w:r w:rsidR="00DF4D75" w:rsidRPr="00DF4D75">
        <w:rPr>
          <w:b w:val="0"/>
          <w:bCs w:val="0"/>
        </w:rPr>
        <w:t xml:space="preserve"> </w:t>
      </w:r>
      <w:r w:rsidR="00C27D8C">
        <w:rPr>
          <w:b w:val="0"/>
          <w:bCs w:val="0"/>
        </w:rPr>
        <w:t>since</w:t>
      </w:r>
      <w:r w:rsidR="00DF4D75" w:rsidRPr="00DF4D75">
        <w:rPr>
          <w:b w:val="0"/>
          <w:bCs w:val="0"/>
        </w:rPr>
        <w:t xml:space="preserve"> the intraseasonal </w:t>
      </w:r>
      <w:r w:rsidR="00C27D8C">
        <w:rPr>
          <w:b w:val="0"/>
          <w:bCs w:val="0"/>
        </w:rPr>
        <w:t>compensation</w:t>
      </w:r>
      <w:r w:rsidR="00F553EC">
        <w:rPr>
          <w:b w:val="0"/>
          <w:bCs w:val="0"/>
        </w:rPr>
        <w:t xml:space="preserve"> of the AL-IL correlation</w:t>
      </w:r>
      <w:r w:rsidR="00C27D8C">
        <w:rPr>
          <w:b w:val="0"/>
          <w:bCs w:val="0"/>
        </w:rPr>
        <w:t xml:space="preserve"> in HIST disappears in +4K</w:t>
      </w:r>
      <w:r w:rsidR="00735BB3">
        <w:rPr>
          <w:b w:val="0"/>
          <w:bCs w:val="0"/>
        </w:rPr>
        <w:t xml:space="preserve"> (Figure 2).</w:t>
      </w:r>
      <w:r w:rsidR="00C27D8C">
        <w:rPr>
          <w:b w:val="0"/>
          <w:bCs w:val="0"/>
        </w:rPr>
        <w:t xml:space="preserve"> These results suggest that the potential predictability of </w:t>
      </w:r>
      <w:r w:rsidR="00003C1E">
        <w:rPr>
          <w:b w:val="0"/>
          <w:bCs w:val="0"/>
        </w:rPr>
        <w:t xml:space="preserve">the </w:t>
      </w:r>
      <w:r w:rsidR="00C27D8C">
        <w:rPr>
          <w:b w:val="0"/>
          <w:bCs w:val="0"/>
        </w:rPr>
        <w:t>NAM increases under global warming.</w:t>
      </w:r>
      <w:r w:rsidR="00003C1E">
        <w:rPr>
          <w:b w:val="0"/>
          <w:bCs w:val="0"/>
        </w:rPr>
        <w:t xml:space="preserve"> While the separate NAM definitions for HIST and +4K might raise a concern of mixing up differences in spatial patterns and temporal behaviors, our additional analyses with common spatial patterns confirm the robustness of the result (Table S1). </w:t>
      </w:r>
    </w:p>
    <w:p w14:paraId="140B7D12" w14:textId="03FFD10A" w:rsidR="00943008" w:rsidRDefault="000B2FD0" w:rsidP="000B2FD0">
      <w:pPr>
        <w:pStyle w:val="Heading-Main"/>
        <w:jc w:val="both"/>
        <w:rPr>
          <w:b w:val="0"/>
          <w:bCs w:val="0"/>
        </w:rPr>
      </w:pPr>
      <w:r>
        <w:rPr>
          <w:b w:val="0"/>
          <w:bCs w:val="0"/>
        </w:rPr>
        <w:t>We also estimate the required ensemble size for robust signal detection.</w:t>
      </w:r>
      <w:r w:rsidR="00943008">
        <w:rPr>
          <w:b w:val="0"/>
          <w:bCs w:val="0"/>
        </w:rPr>
        <w:t xml:space="preserve"> Following </w:t>
      </w:r>
      <w:r w:rsidR="007F5887">
        <w:rPr>
          <w:b w:val="0"/>
          <w:bCs w:val="0"/>
        </w:rPr>
        <w:fldChar w:fldCharType="begin"/>
      </w:r>
      <w:r w:rsidR="000B1705">
        <w:rPr>
          <w:b w:val="0"/>
          <w:bCs w:val="0"/>
        </w:rPr>
        <w:instrText xml:space="preserve"> ADDIN ZOTERO_ITEM CSL_CITATION {"citationID":"sbhP0QBN","properties":{"formattedCitation":"(Mori et al., 2014)","plainCitation":"(Mori et al., 2014)","dontUpdate":true,"noteIndex":0},"citationItems":[{"id":166,"uris":["http://zotero.org/users/14197466/items/LQZPCK2Q"],"itemData":{"id":166,"type":"article-journal","abstract":"Severe winters have occurred frequently in mid-latitude Eurasia during the past decade. Simulations with a 100-member ensemble of an atmospheric model detect an influence of declining Arctic sea-ice cover.","container-title":"Nature Geoscience","DOI":"10.1038/ngeo2277","ISSN":"1752-0908","issue":"12","journalAbbreviation":"Nature Geosci","language":"en","license":"2014 Springer Nature Limited","note":"publisher: Nature Publishing Group","page":"869-873","source":"www.nature.com","title":"Robust Arctic sea-ice influence on the frequent Eurasian cold winters in past decades","volume":"7","author":[{"family":"Mori","given":"Masato"},{"family":"Watanabe","given":"Masahiro"},{"family":"Shiogama","given":"Hideo"},{"family":"Inoue","given":"Jun"},{"family":"Kimoto","given":"Masahide"}],"issued":{"date-parts":[["2014",12]]}}}],"schema":"https://github.com/citation-style-language/schema/raw/master/csl-citation.json"} </w:instrText>
      </w:r>
      <w:r w:rsidR="007F5887">
        <w:rPr>
          <w:b w:val="0"/>
          <w:bCs w:val="0"/>
        </w:rPr>
        <w:fldChar w:fldCharType="separate"/>
      </w:r>
      <w:r w:rsidR="002107E8">
        <w:rPr>
          <w:b w:val="0"/>
          <w:bCs w:val="0"/>
          <w:noProof/>
        </w:rPr>
        <w:t xml:space="preserve">Mori et al. </w:t>
      </w:r>
      <w:r w:rsidR="003C68E1">
        <w:rPr>
          <w:b w:val="0"/>
          <w:bCs w:val="0"/>
          <w:noProof/>
        </w:rPr>
        <w:t>(</w:t>
      </w:r>
      <w:r w:rsidR="002107E8">
        <w:rPr>
          <w:b w:val="0"/>
          <w:bCs w:val="0"/>
          <w:noProof/>
        </w:rPr>
        <w:t>2014)</w:t>
      </w:r>
      <w:r w:rsidR="007F5887">
        <w:rPr>
          <w:b w:val="0"/>
          <w:bCs w:val="0"/>
        </w:rPr>
        <w:fldChar w:fldCharType="end"/>
      </w:r>
      <w:r w:rsidR="007F5887">
        <w:rPr>
          <w:b w:val="0"/>
          <w:bCs w:val="0"/>
        </w:rPr>
        <w:t xml:space="preserve">, </w:t>
      </w:r>
      <w:r w:rsidR="00943008">
        <w:rPr>
          <w:b w:val="0"/>
          <w:bCs w:val="0"/>
        </w:rPr>
        <w:t xml:space="preserve">we perform </w:t>
      </w:r>
      <w:r w:rsidR="00A86270">
        <w:rPr>
          <w:rFonts w:hint="eastAsia"/>
          <w:b w:val="0"/>
          <w:bCs w:val="0"/>
          <w:lang w:eastAsia="ja-JP"/>
        </w:rPr>
        <w:t xml:space="preserve">a </w:t>
      </w:r>
      <w:r w:rsidR="00943008">
        <w:rPr>
          <w:b w:val="0"/>
          <w:bCs w:val="0"/>
        </w:rPr>
        <w:t xml:space="preserve">bootstrap sampling </w:t>
      </w:r>
      <w:r w:rsidR="00714436">
        <w:rPr>
          <w:b w:val="0"/>
          <w:bCs w:val="0"/>
        </w:rPr>
        <w:t xml:space="preserve">from </w:t>
      </w:r>
      <w:r w:rsidR="00943008">
        <w:rPr>
          <w:b w:val="0"/>
          <w:bCs w:val="0"/>
        </w:rPr>
        <w:t>the</w:t>
      </w:r>
      <w:r w:rsidR="00714436">
        <w:rPr>
          <w:b w:val="0"/>
          <w:bCs w:val="0"/>
        </w:rPr>
        <w:t xml:space="preserve"> </w:t>
      </w:r>
      <w:r w:rsidR="00943008">
        <w:rPr>
          <w:b w:val="0"/>
          <w:bCs w:val="0"/>
        </w:rPr>
        <w:t>ensemble</w:t>
      </w:r>
      <w:r w:rsidR="00714436">
        <w:rPr>
          <w:b w:val="0"/>
          <w:bCs w:val="0"/>
        </w:rPr>
        <w:t xml:space="preserve">s of </w:t>
      </w:r>
      <w:r w:rsidR="00943008">
        <w:rPr>
          <w:b w:val="0"/>
          <w:bCs w:val="0"/>
        </w:rPr>
        <w:t xml:space="preserve">HIST and +4K </w:t>
      </w:r>
      <w:r w:rsidR="00714436">
        <w:rPr>
          <w:b w:val="0"/>
          <w:bCs w:val="0"/>
        </w:rPr>
        <w:t>and</w:t>
      </w:r>
      <w:r w:rsidR="00656C07">
        <w:rPr>
          <w:b w:val="0"/>
          <w:bCs w:val="0"/>
        </w:rPr>
        <w:t xml:space="preserve"> obtain</w:t>
      </w:r>
      <w:r w:rsidR="00943008">
        <w:rPr>
          <w:b w:val="0"/>
          <w:bCs w:val="0"/>
        </w:rPr>
        <w:t xml:space="preserve"> the NAM index</w:t>
      </w:r>
      <w:r w:rsidR="00714436">
        <w:rPr>
          <w:b w:val="0"/>
          <w:bCs w:val="0"/>
        </w:rPr>
        <w:t xml:space="preserve"> from</w:t>
      </w:r>
      <w:r w:rsidR="00943008">
        <w:rPr>
          <w:b w:val="0"/>
          <w:bCs w:val="0"/>
        </w:rPr>
        <w:t xml:space="preserve"> the subsampled members</w:t>
      </w:r>
      <w:r w:rsidR="00BF6986">
        <w:rPr>
          <w:b w:val="0"/>
          <w:bCs w:val="0"/>
        </w:rPr>
        <w:t xml:space="preserve"> for the DJF mean variability</w:t>
      </w:r>
      <w:r w:rsidR="00656C07">
        <w:rPr>
          <w:b w:val="0"/>
          <w:bCs w:val="0"/>
        </w:rPr>
        <w:t xml:space="preserve"> (Figure S3)</w:t>
      </w:r>
      <w:r w:rsidR="00943008">
        <w:rPr>
          <w:b w:val="0"/>
          <w:bCs w:val="0"/>
        </w:rPr>
        <w:t>. The 5</w:t>
      </w:r>
      <w:r w:rsidR="00656C07">
        <w:rPr>
          <w:b w:val="0"/>
          <w:bCs w:val="0"/>
        </w:rPr>
        <w:t>th</w:t>
      </w:r>
      <w:r w:rsidR="00943008">
        <w:rPr>
          <w:b w:val="0"/>
          <w:bCs w:val="0"/>
        </w:rPr>
        <w:t>-95</w:t>
      </w:r>
      <w:r w:rsidR="00656C07">
        <w:rPr>
          <w:b w:val="0"/>
          <w:bCs w:val="0"/>
        </w:rPr>
        <w:t>th</w:t>
      </w:r>
      <w:r w:rsidR="00943008">
        <w:rPr>
          <w:b w:val="0"/>
          <w:bCs w:val="0"/>
        </w:rPr>
        <w:t xml:space="preserve"> percentile </w:t>
      </w:r>
      <w:r w:rsidR="00E53C9F">
        <w:rPr>
          <w:b w:val="0"/>
          <w:bCs w:val="0"/>
        </w:rPr>
        <w:t>range is well separated with 10 or more members.</w:t>
      </w:r>
      <w:r w:rsidR="004D7FA5">
        <w:rPr>
          <w:b w:val="0"/>
          <w:bCs w:val="0"/>
          <w:lang w:eastAsia="ja-JP"/>
        </w:rPr>
        <w:t xml:space="preserve"> </w:t>
      </w:r>
      <w:r w:rsidR="002F6EA8">
        <w:rPr>
          <w:b w:val="0"/>
          <w:bCs w:val="0"/>
          <w:lang w:eastAsia="ja-JP"/>
        </w:rPr>
        <w:t>For individual calendar</w:t>
      </w:r>
      <w:r w:rsidR="004D7FA5">
        <w:rPr>
          <w:b w:val="0"/>
          <w:bCs w:val="0"/>
          <w:lang w:eastAsia="ja-JP"/>
        </w:rPr>
        <w:t xml:space="preserve"> months, 50 and 20 or more members are required for December and February, respectively (Figures not shown).</w:t>
      </w:r>
      <w:r w:rsidR="00E53C9F">
        <w:rPr>
          <w:b w:val="0"/>
          <w:bCs w:val="0"/>
        </w:rPr>
        <w:t xml:space="preserve"> It is noteworthy that ou</w:t>
      </w:r>
      <w:r w:rsidR="00A86270">
        <w:rPr>
          <w:rFonts w:hint="eastAsia"/>
          <w:b w:val="0"/>
          <w:bCs w:val="0"/>
          <w:lang w:eastAsia="ja-JP"/>
        </w:rPr>
        <w:t>r</w:t>
      </w:r>
      <w:r w:rsidR="00E53C9F">
        <w:rPr>
          <w:b w:val="0"/>
          <w:bCs w:val="0"/>
        </w:rPr>
        <w:t xml:space="preserve"> result is based on ensemble simulations of a single </w:t>
      </w:r>
      <w:r w:rsidR="00F553EC">
        <w:rPr>
          <w:b w:val="0"/>
          <w:bCs w:val="0"/>
        </w:rPr>
        <w:t>AGCM</w:t>
      </w:r>
      <w:r w:rsidR="002F6EA8">
        <w:rPr>
          <w:b w:val="0"/>
          <w:bCs w:val="0"/>
        </w:rPr>
        <w:t>, and thus the above members can be considered as the lower limits.</w:t>
      </w:r>
      <w:r w:rsidR="00E53C9F">
        <w:rPr>
          <w:b w:val="0"/>
          <w:bCs w:val="0"/>
        </w:rPr>
        <w:t xml:space="preserve"> The required ensemble size can be even larger when the analysis is based on multi-model ensemble simulations.</w:t>
      </w:r>
    </w:p>
    <w:p w14:paraId="2385B429" w14:textId="345B6BA4" w:rsidR="00DF4D75" w:rsidRDefault="00DF4D75" w:rsidP="006F623F">
      <w:pPr>
        <w:pStyle w:val="Heading-Main"/>
        <w:jc w:val="both"/>
      </w:pPr>
      <w:r>
        <w:t>3.3 ENSO teleconnection contributing</w:t>
      </w:r>
      <w:r w:rsidR="00C96A5C">
        <w:t xml:space="preserve"> to</w:t>
      </w:r>
      <w:r>
        <w:t xml:space="preserve"> the seasonality</w:t>
      </w:r>
    </w:p>
    <w:p w14:paraId="0C203A0E" w14:textId="5BB58484" w:rsidR="003E1476" w:rsidRDefault="003E1476" w:rsidP="006F623F">
      <w:pPr>
        <w:pStyle w:val="Heading-Main"/>
        <w:jc w:val="both"/>
        <w:rPr>
          <w:lang w:eastAsia="ja-JP"/>
        </w:rPr>
      </w:pPr>
      <w:r>
        <w:rPr>
          <w:noProof/>
          <w:lang w:eastAsia="ja-JP"/>
        </w:rPr>
        <w:drawing>
          <wp:inline distT="0" distB="0" distL="0" distR="0" wp14:anchorId="5DA9AF91" wp14:editId="2E61573B">
            <wp:extent cx="5943600" cy="2571115"/>
            <wp:effectExtent l="0" t="0" r="0" b="0"/>
            <wp:docPr id="372492933" name="図 1" descr="カレンダー&#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92933" name="図 1" descr="カレンダー&#10;&#10;自動的に生成された説明"/>
                    <pic:cNvPicPr/>
                  </pic:nvPicPr>
                  <pic:blipFill>
                    <a:blip r:embed="rId11"/>
                    <a:stretch>
                      <a:fillRect/>
                    </a:stretch>
                  </pic:blipFill>
                  <pic:spPr>
                    <a:xfrm>
                      <a:off x="0" y="0"/>
                      <a:ext cx="5943600" cy="2571115"/>
                    </a:xfrm>
                    <a:prstGeom prst="rect">
                      <a:avLst/>
                    </a:prstGeom>
                  </pic:spPr>
                </pic:pic>
              </a:graphicData>
            </a:graphic>
          </wp:inline>
        </w:drawing>
      </w:r>
    </w:p>
    <w:p w14:paraId="42A48B7B" w14:textId="7DC0FEA0" w:rsidR="003E1476" w:rsidRPr="00DF4D75" w:rsidRDefault="003E1476" w:rsidP="006F623F">
      <w:pPr>
        <w:pStyle w:val="Heading-Main"/>
        <w:jc w:val="both"/>
        <w:rPr>
          <w:lang w:eastAsia="ja-JP"/>
        </w:rPr>
      </w:pPr>
      <w:r w:rsidRPr="00162F9C">
        <w:t xml:space="preserve">Figure </w:t>
      </w:r>
      <w:r>
        <w:t>3</w:t>
      </w:r>
      <w:r w:rsidRPr="00162F9C">
        <w:t xml:space="preserve">. </w:t>
      </w:r>
      <w:r w:rsidRPr="00162F9C">
        <w:rPr>
          <w:b w:val="0"/>
        </w:rPr>
        <w:t xml:space="preserve">Same as Figure 1, but SST anomalies (°C) </w:t>
      </w:r>
      <w:r>
        <w:rPr>
          <w:b w:val="0"/>
        </w:rPr>
        <w:t xml:space="preserve">are </w:t>
      </w:r>
      <w:r w:rsidRPr="00162F9C">
        <w:rPr>
          <w:b w:val="0"/>
        </w:rPr>
        <w:t>regressed onto the NAM index.</w:t>
      </w:r>
    </w:p>
    <w:p w14:paraId="60A89154" w14:textId="1A544662" w:rsidR="00A4131C" w:rsidRDefault="000F41C7" w:rsidP="006F623F">
      <w:pPr>
        <w:pStyle w:val="Heading-Main"/>
        <w:jc w:val="both"/>
        <w:rPr>
          <w:b w:val="0"/>
          <w:bCs w:val="0"/>
          <w:lang w:eastAsia="ja-JP"/>
        </w:rPr>
      </w:pPr>
      <w:r>
        <w:rPr>
          <w:b w:val="0"/>
          <w:bCs w:val="0"/>
          <w:lang w:eastAsia="ja-JP"/>
        </w:rPr>
        <w:t>We investigate</w:t>
      </w:r>
      <w:r w:rsidR="00A4131C">
        <w:rPr>
          <w:rFonts w:hint="eastAsia"/>
          <w:b w:val="0"/>
          <w:bCs w:val="0"/>
          <w:lang w:eastAsia="ja-JP"/>
        </w:rPr>
        <w:t xml:space="preserve"> </w:t>
      </w:r>
      <w:r w:rsidR="00A4131C">
        <w:rPr>
          <w:b w:val="0"/>
          <w:bCs w:val="0"/>
          <w:lang w:eastAsia="ja-JP"/>
        </w:rPr>
        <w:t>the SST variability</w:t>
      </w:r>
      <w:r w:rsidR="00714436">
        <w:rPr>
          <w:b w:val="0"/>
          <w:bCs w:val="0"/>
          <w:lang w:eastAsia="ja-JP"/>
        </w:rPr>
        <w:t xml:space="preserve"> </w:t>
      </w:r>
      <w:r w:rsidR="00656C07">
        <w:rPr>
          <w:b w:val="0"/>
          <w:bCs w:val="0"/>
          <w:lang w:eastAsia="ja-JP"/>
        </w:rPr>
        <w:t>correlated with</w:t>
      </w:r>
      <w:r w:rsidR="00A4131C">
        <w:rPr>
          <w:b w:val="0"/>
          <w:bCs w:val="0"/>
          <w:lang w:eastAsia="ja-JP"/>
        </w:rPr>
        <w:t xml:space="preserve"> </w:t>
      </w:r>
      <w:r w:rsidR="003F1362">
        <w:rPr>
          <w:b w:val="0"/>
          <w:bCs w:val="0"/>
          <w:lang w:eastAsia="ja-JP"/>
        </w:rPr>
        <w:t xml:space="preserve">the </w:t>
      </w:r>
      <w:r w:rsidR="00A4131C">
        <w:rPr>
          <w:b w:val="0"/>
          <w:bCs w:val="0"/>
          <w:lang w:eastAsia="ja-JP"/>
        </w:rPr>
        <w:t xml:space="preserve">NAM (Figure </w:t>
      </w:r>
      <w:r w:rsidR="00714436">
        <w:rPr>
          <w:b w:val="0"/>
          <w:bCs w:val="0"/>
          <w:lang w:eastAsia="ja-JP"/>
        </w:rPr>
        <w:t>3</w:t>
      </w:r>
      <w:r w:rsidR="00A4131C">
        <w:rPr>
          <w:b w:val="0"/>
          <w:bCs w:val="0"/>
          <w:lang w:eastAsia="ja-JP"/>
        </w:rPr>
        <w:t xml:space="preserve">). </w:t>
      </w:r>
      <w:r w:rsidR="006D219E">
        <w:rPr>
          <w:b w:val="0"/>
          <w:bCs w:val="0"/>
          <w:lang w:eastAsia="ja-JP"/>
        </w:rPr>
        <w:t xml:space="preserve">In </w:t>
      </w:r>
      <w:r w:rsidR="00C44717">
        <w:rPr>
          <w:b w:val="0"/>
          <w:bCs w:val="0"/>
          <w:lang w:eastAsia="ja-JP"/>
        </w:rPr>
        <w:t>HIST</w:t>
      </w:r>
      <w:r w:rsidR="006D219E">
        <w:rPr>
          <w:b w:val="0"/>
          <w:bCs w:val="0"/>
          <w:lang w:eastAsia="ja-JP"/>
        </w:rPr>
        <w:t xml:space="preserve">, a distinct </w:t>
      </w:r>
      <w:r w:rsidR="00F14BAF">
        <w:rPr>
          <w:b w:val="0"/>
          <w:bCs w:val="0"/>
          <w:lang w:eastAsia="ja-JP"/>
        </w:rPr>
        <w:t xml:space="preserve">polarity </w:t>
      </w:r>
      <w:r w:rsidR="006D219E">
        <w:rPr>
          <w:b w:val="0"/>
          <w:bCs w:val="0"/>
          <w:lang w:eastAsia="ja-JP"/>
        </w:rPr>
        <w:t>change</w:t>
      </w:r>
      <w:r w:rsidR="00F14BAF">
        <w:rPr>
          <w:b w:val="0"/>
          <w:bCs w:val="0"/>
          <w:lang w:eastAsia="ja-JP"/>
        </w:rPr>
        <w:t xml:space="preserve"> in SST anomalies</w:t>
      </w:r>
      <w:r w:rsidR="006D219E">
        <w:rPr>
          <w:b w:val="0"/>
          <w:bCs w:val="0"/>
          <w:lang w:eastAsia="ja-JP"/>
        </w:rPr>
        <w:t xml:space="preserve"> is </w:t>
      </w:r>
      <w:r w:rsidR="00C44717">
        <w:rPr>
          <w:b w:val="0"/>
          <w:bCs w:val="0"/>
          <w:lang w:eastAsia="ja-JP"/>
        </w:rPr>
        <w:t>evident</w:t>
      </w:r>
      <w:r w:rsidR="006D219E">
        <w:rPr>
          <w:b w:val="0"/>
          <w:bCs w:val="0"/>
          <w:lang w:eastAsia="ja-JP"/>
        </w:rPr>
        <w:t xml:space="preserve"> over the equatorial Pacific from December to February</w:t>
      </w:r>
      <w:r w:rsidR="00F553EC">
        <w:rPr>
          <w:b w:val="0"/>
          <w:bCs w:val="0"/>
          <w:lang w:eastAsia="ja-JP"/>
        </w:rPr>
        <w:t xml:space="preserve"> (Figures 3f-h)</w:t>
      </w:r>
      <w:r w:rsidR="006D219E">
        <w:rPr>
          <w:b w:val="0"/>
          <w:bCs w:val="0"/>
          <w:lang w:eastAsia="ja-JP"/>
        </w:rPr>
        <w:t xml:space="preserve">, indicating that </w:t>
      </w:r>
      <w:r w:rsidR="00C44717">
        <w:rPr>
          <w:b w:val="0"/>
          <w:bCs w:val="0"/>
          <w:lang w:eastAsia="ja-JP"/>
        </w:rPr>
        <w:t xml:space="preserve">the positive </w:t>
      </w:r>
      <w:r w:rsidR="006D219E">
        <w:rPr>
          <w:b w:val="0"/>
          <w:bCs w:val="0"/>
          <w:lang w:eastAsia="ja-JP"/>
        </w:rPr>
        <w:t xml:space="preserve">NAM is associated with El Niño in December </w:t>
      </w:r>
      <w:r>
        <w:rPr>
          <w:b w:val="0"/>
          <w:bCs w:val="0"/>
          <w:lang w:eastAsia="ja-JP"/>
        </w:rPr>
        <w:t>but</w:t>
      </w:r>
      <w:r w:rsidR="006D219E">
        <w:rPr>
          <w:b w:val="0"/>
          <w:bCs w:val="0"/>
          <w:lang w:eastAsia="ja-JP"/>
        </w:rPr>
        <w:t xml:space="preserve"> with La Niña in February.</w:t>
      </w:r>
      <w:r w:rsidR="00F14BAF">
        <w:rPr>
          <w:b w:val="0"/>
          <w:bCs w:val="0"/>
          <w:lang w:eastAsia="ja-JP"/>
        </w:rPr>
        <w:t xml:space="preserve"> This intraseasonal reversal is also found based on the NAO </w:t>
      </w:r>
      <w:r w:rsidR="00F14BAF">
        <w:rPr>
          <w:b w:val="0"/>
          <w:bCs w:val="0"/>
          <w:lang w:eastAsia="ja-JP"/>
        </w:rPr>
        <w:fldChar w:fldCharType="begin"/>
      </w:r>
      <w:r w:rsidR="00F14BAF">
        <w:rPr>
          <w:b w:val="0"/>
          <w:bCs w:val="0"/>
          <w:lang w:eastAsia="ja-JP"/>
        </w:rPr>
        <w:instrText xml:space="preserve"> ADDIN ZOTERO_ITEM CSL_CITATION {"citationID":"dKBSLrRL","properties":{"formattedCitation":"(Moron &amp; Gouirand, 2003)","plainCitation":"(Moron &amp; Gouirand, 2003)","noteIndex":0},"citationItems":[{"id":29,"uris":["http://zotero.org/users/14197466/items/QHIM789L"],"itemData":{"id":29,"type":"article-journal","abstract":"The seasonal modulation of the relationship between the sea-level pressure anomalies (SLPAs) over the North Atlantic region (100°W–50°E; 20–70°N) and the sea surface temperature anomalies (SSTAs) in the tropical Pacific (120–290°E; 20°N–20°S) is investigated in the northern winter (October to March) from 1873 to 1996, using singular-value decomposition and composite analyses. Both methods show that the pattern of the North Atlantic SLPA associated with the tropical Pacific SSTA in November–December is different from that found in January–March. The surface covered by a significant SLPA is larger in November–December and February–March than in January. In November–December, the warm El Niño–southern oscillation (ENSO) events are associated with negative SLPAs extending from the Hudson Bay to Scandinavia and positive SLPAs over the Azores high. The cold ENSO events are associated with a positive SLPA between Greenland and western Europe. In January, and mainly in February–March, the warm ENSO events are associated with a positive SLPA north of 50°N and a negative SLPA extending from the southeastern USA toward western and central Europe. The cold ENSO events exhibit almost reversed SLPA patterns. The change between November–December and January–March is also observed at the hemispheric scale. In November–December, the SLPAs associated with the warm minus cold ENSO composite form a hemispheric north–south dipole pattern with positive (negative) anomalies south (north) of 40–45°N. In January–March, the SLPA pattern associated with the warm minus cold ENSO composite is close to the tropical Northern-Hemisphere pattern. Copyright © 2003 Royal Meteorological Society.","container-title":"International Journal of Climatology","DOI":"10.1002/joc.868","ISSN":"1097-0088","issue":"2","language":"en","license":"Copyright © 2003 Royal Meteorological Society","note":"_eprint: https://onlinelibrary.wiley.com/doi/pdf/10.1002/joc.868","page":"143-155","source":"Wiley Online Library","title":"Seasonal modulation of the El Niño–southern oscillation relationship with sea level pressure anomalies over the North Atlantic in October–March 1873–1996","volume":"23","author":[{"family":"Moron","given":"V."},{"family":"Gouirand","given":"I."}],"issued":{"date-parts":[["2003"]]}}}],"schema":"https://github.com/citation-style-language/schema/raw/master/csl-citation.json"} </w:instrText>
      </w:r>
      <w:r w:rsidR="00F14BAF">
        <w:rPr>
          <w:b w:val="0"/>
          <w:bCs w:val="0"/>
          <w:lang w:eastAsia="ja-JP"/>
        </w:rPr>
        <w:fldChar w:fldCharType="separate"/>
      </w:r>
      <w:r w:rsidR="00F14BAF">
        <w:rPr>
          <w:b w:val="0"/>
          <w:bCs w:val="0"/>
          <w:noProof/>
          <w:lang w:eastAsia="ja-JP"/>
        </w:rPr>
        <w:t>(Moron &amp; Gouirand, 2003)</w:t>
      </w:r>
      <w:r w:rsidR="00F14BAF">
        <w:rPr>
          <w:b w:val="0"/>
          <w:bCs w:val="0"/>
          <w:lang w:eastAsia="ja-JP"/>
        </w:rPr>
        <w:fldChar w:fldCharType="end"/>
      </w:r>
      <w:r w:rsidR="00F14BAF">
        <w:rPr>
          <w:b w:val="0"/>
          <w:bCs w:val="0"/>
          <w:lang w:eastAsia="ja-JP"/>
        </w:rPr>
        <w:t>.</w:t>
      </w:r>
      <w:r w:rsidR="006D219E">
        <w:rPr>
          <w:b w:val="0"/>
          <w:bCs w:val="0"/>
          <w:lang w:eastAsia="ja-JP"/>
        </w:rPr>
        <w:t xml:space="preserve"> </w:t>
      </w:r>
      <w:r w:rsidR="00C44717">
        <w:rPr>
          <w:b w:val="0"/>
          <w:bCs w:val="0"/>
          <w:lang w:eastAsia="ja-JP"/>
        </w:rPr>
        <w:t>I</w:t>
      </w:r>
      <w:r w:rsidR="004407F8">
        <w:rPr>
          <w:b w:val="0"/>
          <w:bCs w:val="0"/>
          <w:lang w:eastAsia="ja-JP"/>
        </w:rPr>
        <w:t xml:space="preserve">n the warmer climate, </w:t>
      </w:r>
      <w:r w:rsidR="00531C39">
        <w:rPr>
          <w:b w:val="0"/>
          <w:bCs w:val="0"/>
          <w:lang w:eastAsia="ja-JP"/>
        </w:rPr>
        <w:t>in</w:t>
      </w:r>
      <w:r w:rsidR="00C44717">
        <w:rPr>
          <w:b w:val="0"/>
          <w:bCs w:val="0"/>
          <w:lang w:eastAsia="ja-JP"/>
        </w:rPr>
        <w:t xml:space="preserve"> contrast, </w:t>
      </w:r>
      <w:r w:rsidR="004407F8">
        <w:rPr>
          <w:b w:val="0"/>
          <w:bCs w:val="0"/>
          <w:lang w:eastAsia="ja-JP"/>
        </w:rPr>
        <w:t xml:space="preserve">the polarity in December </w:t>
      </w:r>
      <w:r w:rsidR="00714436">
        <w:rPr>
          <w:b w:val="0"/>
          <w:bCs w:val="0"/>
          <w:lang w:eastAsia="ja-JP"/>
        </w:rPr>
        <w:t>changes</w:t>
      </w:r>
      <w:r w:rsidR="004407F8">
        <w:rPr>
          <w:b w:val="0"/>
          <w:bCs w:val="0"/>
          <w:lang w:eastAsia="ja-JP"/>
        </w:rPr>
        <w:t xml:space="preserve">, </w:t>
      </w:r>
      <w:r w:rsidR="00C44717">
        <w:rPr>
          <w:b w:val="0"/>
          <w:bCs w:val="0"/>
          <w:lang w:eastAsia="ja-JP"/>
        </w:rPr>
        <w:t xml:space="preserve">and the </w:t>
      </w:r>
      <w:r w:rsidR="00714436">
        <w:rPr>
          <w:b w:val="0"/>
          <w:bCs w:val="0"/>
          <w:lang w:eastAsia="ja-JP"/>
        </w:rPr>
        <w:t xml:space="preserve">positive NAM is consistently associated with </w:t>
      </w:r>
      <w:r w:rsidR="004407F8">
        <w:rPr>
          <w:b w:val="0"/>
          <w:bCs w:val="0"/>
          <w:lang w:eastAsia="ja-JP"/>
        </w:rPr>
        <w:t>La Niña</w:t>
      </w:r>
      <w:r w:rsidR="00C44717">
        <w:rPr>
          <w:b w:val="0"/>
          <w:bCs w:val="0"/>
          <w:lang w:eastAsia="ja-JP"/>
        </w:rPr>
        <w:t xml:space="preserve"> throughout winter</w:t>
      </w:r>
      <w:r w:rsidR="004407F8">
        <w:rPr>
          <w:b w:val="0"/>
          <w:bCs w:val="0"/>
          <w:lang w:eastAsia="ja-JP"/>
        </w:rPr>
        <w:t xml:space="preserve">. These results suggest that the El Niño-Southern Oscillation (ENSO) is an important </w:t>
      </w:r>
      <w:r w:rsidR="00C44717">
        <w:rPr>
          <w:b w:val="0"/>
          <w:bCs w:val="0"/>
          <w:lang w:eastAsia="ja-JP"/>
        </w:rPr>
        <w:t>driver</w:t>
      </w:r>
      <w:r w:rsidR="004407F8">
        <w:rPr>
          <w:b w:val="0"/>
          <w:bCs w:val="0"/>
          <w:lang w:eastAsia="ja-JP"/>
        </w:rPr>
        <w:t xml:space="preserve"> for the NAM regarding </w:t>
      </w:r>
      <w:r w:rsidR="00C44717">
        <w:rPr>
          <w:b w:val="0"/>
          <w:bCs w:val="0"/>
          <w:lang w:eastAsia="ja-JP"/>
        </w:rPr>
        <w:t>both</w:t>
      </w:r>
      <w:r w:rsidR="004407F8">
        <w:rPr>
          <w:b w:val="0"/>
          <w:bCs w:val="0"/>
          <w:lang w:eastAsia="ja-JP"/>
        </w:rPr>
        <w:t xml:space="preserve"> seasonality and </w:t>
      </w:r>
      <w:r w:rsidR="00C44717">
        <w:rPr>
          <w:b w:val="0"/>
          <w:bCs w:val="0"/>
          <w:lang w:eastAsia="ja-JP"/>
        </w:rPr>
        <w:t>changes</w:t>
      </w:r>
      <w:r w:rsidR="004407F8">
        <w:rPr>
          <w:b w:val="0"/>
          <w:bCs w:val="0"/>
          <w:lang w:eastAsia="ja-JP"/>
        </w:rPr>
        <w:t xml:space="preserve"> under global warming.</w:t>
      </w:r>
    </w:p>
    <w:p w14:paraId="04D2274F" w14:textId="6D35FAAC" w:rsidR="00DF4D75" w:rsidRDefault="00DF4D75" w:rsidP="006F623F">
      <w:pPr>
        <w:pStyle w:val="Heading-Main"/>
        <w:jc w:val="both"/>
        <w:rPr>
          <w:b w:val="0"/>
          <w:bCs w:val="0"/>
        </w:rPr>
      </w:pPr>
      <w:r w:rsidRPr="00DF4D75">
        <w:rPr>
          <w:b w:val="0"/>
          <w:bCs w:val="0"/>
        </w:rPr>
        <w:t xml:space="preserve">Table 1 </w:t>
      </w:r>
      <w:r w:rsidR="000F41C7">
        <w:rPr>
          <w:b w:val="0"/>
          <w:bCs w:val="0"/>
        </w:rPr>
        <w:t xml:space="preserve">also </w:t>
      </w:r>
      <w:r w:rsidRPr="00DF4D75">
        <w:rPr>
          <w:b w:val="0"/>
          <w:bCs w:val="0"/>
        </w:rPr>
        <w:t xml:space="preserve">shows the correlation </w:t>
      </w:r>
      <w:r w:rsidR="006653C5">
        <w:rPr>
          <w:b w:val="0"/>
          <w:bCs w:val="0"/>
        </w:rPr>
        <w:t>of</w:t>
      </w:r>
      <w:r w:rsidRPr="00DF4D75">
        <w:rPr>
          <w:b w:val="0"/>
          <w:bCs w:val="0"/>
        </w:rPr>
        <w:t xml:space="preserve"> the NAM index </w:t>
      </w:r>
      <w:r w:rsidR="006653C5">
        <w:rPr>
          <w:b w:val="0"/>
          <w:bCs w:val="0"/>
        </w:rPr>
        <w:t>with</w:t>
      </w:r>
      <w:r w:rsidRPr="00DF4D75">
        <w:rPr>
          <w:b w:val="0"/>
          <w:bCs w:val="0"/>
        </w:rPr>
        <w:t xml:space="preserve"> the Niño 3.4 index </w:t>
      </w:r>
      <w:r w:rsidR="000A408F">
        <w:rPr>
          <w:b w:val="0"/>
          <w:bCs w:val="0"/>
        </w:rPr>
        <w:t>(</w:t>
      </w:r>
      <w:r w:rsidRPr="00DF4D75">
        <w:rPr>
          <w:b w:val="0"/>
          <w:bCs w:val="0"/>
        </w:rPr>
        <w:t xml:space="preserve">the detrended </w:t>
      </w:r>
      <w:r w:rsidR="003136DA">
        <w:rPr>
          <w:b w:val="0"/>
          <w:bCs w:val="0"/>
        </w:rPr>
        <w:t>SST</w:t>
      </w:r>
      <w:r w:rsidR="00821E8F">
        <w:rPr>
          <w:b w:val="0"/>
          <w:bCs w:val="0"/>
        </w:rPr>
        <w:t xml:space="preserve"> anomalies</w:t>
      </w:r>
      <w:r w:rsidRPr="00DF4D75">
        <w:rPr>
          <w:b w:val="0"/>
          <w:bCs w:val="0"/>
        </w:rPr>
        <w:t xml:space="preserve"> </w:t>
      </w:r>
      <w:r w:rsidR="00821E8F">
        <w:rPr>
          <w:b w:val="0"/>
          <w:bCs w:val="0"/>
        </w:rPr>
        <w:t>over</w:t>
      </w:r>
      <w:r w:rsidRPr="00DF4D75">
        <w:rPr>
          <w:b w:val="0"/>
          <w:bCs w:val="0"/>
        </w:rPr>
        <w:t xml:space="preserve"> the Niño 3.4 region</w:t>
      </w:r>
      <w:r w:rsidR="000A408F">
        <w:rPr>
          <w:b w:val="0"/>
          <w:bCs w:val="0"/>
        </w:rPr>
        <w:t>,</w:t>
      </w:r>
      <w:r w:rsidR="000F41C7">
        <w:rPr>
          <w:b w:val="0"/>
          <w:bCs w:val="0"/>
        </w:rPr>
        <w:t xml:space="preserve"> common to HIST and +4K</w:t>
      </w:r>
      <w:r w:rsidRPr="00DF4D75">
        <w:rPr>
          <w:b w:val="0"/>
          <w:bCs w:val="0"/>
        </w:rPr>
        <w:t xml:space="preserve">). In </w:t>
      </w:r>
      <w:r w:rsidR="000A408F">
        <w:rPr>
          <w:b w:val="0"/>
          <w:bCs w:val="0"/>
        </w:rPr>
        <w:t>HIST</w:t>
      </w:r>
      <w:r w:rsidRPr="00DF4D75">
        <w:rPr>
          <w:b w:val="0"/>
          <w:bCs w:val="0"/>
        </w:rPr>
        <w:t>, the NAM-ENSO correlation</w:t>
      </w:r>
      <w:r w:rsidR="00821E8F">
        <w:rPr>
          <w:b w:val="0"/>
          <w:bCs w:val="0"/>
        </w:rPr>
        <w:t xml:space="preserve"> is</w:t>
      </w:r>
      <w:r w:rsidRPr="00DF4D75">
        <w:rPr>
          <w:b w:val="0"/>
          <w:bCs w:val="0"/>
        </w:rPr>
        <w:t xml:space="preserve"> </w:t>
      </w:r>
      <w:r w:rsidR="00821E8F">
        <w:rPr>
          <w:b w:val="0"/>
          <w:bCs w:val="0"/>
        </w:rPr>
        <w:t>positive and</w:t>
      </w:r>
      <w:r w:rsidRPr="00DF4D75">
        <w:rPr>
          <w:b w:val="0"/>
          <w:bCs w:val="0"/>
        </w:rPr>
        <w:t xml:space="preserve"> </w:t>
      </w:r>
      <w:r w:rsidR="008A5BC0">
        <w:rPr>
          <w:b w:val="0"/>
          <w:bCs w:val="0"/>
        </w:rPr>
        <w:t>marginally</w:t>
      </w:r>
      <w:r w:rsidRPr="00DF4D75">
        <w:rPr>
          <w:b w:val="0"/>
          <w:bCs w:val="0"/>
        </w:rPr>
        <w:t xml:space="preserve"> significant in Decembe</w:t>
      </w:r>
      <w:r w:rsidR="000F41C7">
        <w:rPr>
          <w:b w:val="0"/>
          <w:bCs w:val="0"/>
        </w:rPr>
        <w:t>r</w:t>
      </w:r>
      <w:r w:rsidR="00F14BAF">
        <w:rPr>
          <w:b w:val="0"/>
          <w:bCs w:val="0"/>
        </w:rPr>
        <w:t xml:space="preserve"> and then</w:t>
      </w:r>
      <w:r w:rsidRPr="00DF4D75">
        <w:rPr>
          <w:b w:val="0"/>
          <w:bCs w:val="0"/>
        </w:rPr>
        <w:t xml:space="preserve"> </w:t>
      </w:r>
      <w:r w:rsidR="00821E8F">
        <w:rPr>
          <w:b w:val="0"/>
          <w:bCs w:val="0"/>
        </w:rPr>
        <w:t>transitions</w:t>
      </w:r>
      <w:r w:rsidRPr="00DF4D75">
        <w:rPr>
          <w:b w:val="0"/>
          <w:bCs w:val="0"/>
        </w:rPr>
        <w:t xml:space="preserve"> </w:t>
      </w:r>
      <w:r w:rsidR="00821E8F">
        <w:rPr>
          <w:b w:val="0"/>
          <w:bCs w:val="0"/>
        </w:rPr>
        <w:t xml:space="preserve">to significant </w:t>
      </w:r>
      <w:r w:rsidRPr="00DF4D75">
        <w:rPr>
          <w:b w:val="0"/>
          <w:bCs w:val="0"/>
        </w:rPr>
        <w:t>negative values in January and February</w:t>
      </w:r>
      <w:r w:rsidR="001A0042">
        <w:rPr>
          <w:b w:val="0"/>
          <w:bCs w:val="0"/>
        </w:rPr>
        <w:t xml:space="preserve">, </w:t>
      </w:r>
      <w:r w:rsidR="000A408F">
        <w:rPr>
          <w:b w:val="0"/>
          <w:bCs w:val="0"/>
        </w:rPr>
        <w:t>consistent with</w:t>
      </w:r>
      <w:r w:rsidR="001A0042">
        <w:rPr>
          <w:b w:val="0"/>
          <w:bCs w:val="0"/>
          <w:lang w:eastAsia="ja-JP"/>
        </w:rPr>
        <w:t xml:space="preserve"> ERA5</w:t>
      </w:r>
      <w:r w:rsidRPr="00DF4D75">
        <w:rPr>
          <w:b w:val="0"/>
          <w:bCs w:val="0"/>
        </w:rPr>
        <w:t xml:space="preserve">. In </w:t>
      </w:r>
      <w:r w:rsidR="008A5BC0">
        <w:rPr>
          <w:b w:val="0"/>
          <w:bCs w:val="0"/>
        </w:rPr>
        <w:t>+4</w:t>
      </w:r>
      <w:r w:rsidR="000F41C7">
        <w:rPr>
          <w:b w:val="0"/>
          <w:bCs w:val="0"/>
        </w:rPr>
        <w:t>K</w:t>
      </w:r>
      <w:r w:rsidRPr="00DF4D75">
        <w:rPr>
          <w:b w:val="0"/>
          <w:bCs w:val="0"/>
        </w:rPr>
        <w:t xml:space="preserve">, the correlation </w:t>
      </w:r>
      <w:r w:rsidR="00821E8F">
        <w:rPr>
          <w:b w:val="0"/>
          <w:bCs w:val="0"/>
        </w:rPr>
        <w:t>becomes</w:t>
      </w:r>
      <w:r w:rsidRPr="00DF4D75">
        <w:rPr>
          <w:b w:val="0"/>
          <w:bCs w:val="0"/>
        </w:rPr>
        <w:t xml:space="preserve"> </w:t>
      </w:r>
      <w:r w:rsidR="00821E8F">
        <w:rPr>
          <w:b w:val="0"/>
          <w:bCs w:val="0"/>
        </w:rPr>
        <w:lastRenderedPageBreak/>
        <w:t>more</w:t>
      </w:r>
      <w:r w:rsidRPr="00DF4D75">
        <w:rPr>
          <w:b w:val="0"/>
          <w:bCs w:val="0"/>
        </w:rPr>
        <w:t xml:space="preserve"> negative</w:t>
      </w:r>
      <w:r w:rsidR="00821E8F">
        <w:rPr>
          <w:b w:val="0"/>
          <w:bCs w:val="0"/>
        </w:rPr>
        <w:t>, with a December value comparable to the HIST late</w:t>
      </w:r>
      <w:r w:rsidR="00F14BAF">
        <w:rPr>
          <w:b w:val="0"/>
          <w:bCs w:val="0"/>
        </w:rPr>
        <w:t>-</w:t>
      </w:r>
      <w:r w:rsidR="00821E8F">
        <w:rPr>
          <w:b w:val="0"/>
          <w:bCs w:val="0"/>
        </w:rPr>
        <w:t xml:space="preserve">winter </w:t>
      </w:r>
      <w:r w:rsidR="000F41C7">
        <w:rPr>
          <w:b w:val="0"/>
          <w:bCs w:val="0"/>
        </w:rPr>
        <w:t>values</w:t>
      </w:r>
      <w:r w:rsidR="00821E8F">
        <w:rPr>
          <w:b w:val="0"/>
          <w:bCs w:val="0"/>
        </w:rPr>
        <w:t>.</w:t>
      </w:r>
      <w:r w:rsidRPr="00DF4D75">
        <w:rPr>
          <w:b w:val="0"/>
          <w:bCs w:val="0"/>
        </w:rPr>
        <w:t xml:space="preserve"> </w:t>
      </w:r>
      <w:r w:rsidR="000A408F">
        <w:rPr>
          <w:b w:val="0"/>
          <w:bCs w:val="0"/>
        </w:rPr>
        <w:t>Again, t</w:t>
      </w:r>
      <w:r w:rsidRPr="00DF4D75">
        <w:rPr>
          <w:b w:val="0"/>
          <w:bCs w:val="0"/>
        </w:rPr>
        <w:t xml:space="preserve">hese results </w:t>
      </w:r>
      <w:r w:rsidR="005E3DA7">
        <w:rPr>
          <w:b w:val="0"/>
          <w:bCs w:val="0"/>
        </w:rPr>
        <w:t>are robust</w:t>
      </w:r>
      <w:r w:rsidRPr="00DF4D75">
        <w:rPr>
          <w:b w:val="0"/>
          <w:bCs w:val="0"/>
        </w:rPr>
        <w:t xml:space="preserve"> </w:t>
      </w:r>
      <w:r w:rsidR="000A408F">
        <w:rPr>
          <w:b w:val="0"/>
          <w:bCs w:val="0"/>
        </w:rPr>
        <w:t>against the different definitions of the NAM index</w:t>
      </w:r>
      <w:r w:rsidR="00C638CD">
        <w:rPr>
          <w:b w:val="0"/>
          <w:bCs w:val="0"/>
        </w:rPr>
        <w:t xml:space="preserve"> (Table S1)</w:t>
      </w:r>
      <w:r w:rsidRPr="00DF4D75">
        <w:rPr>
          <w:b w:val="0"/>
          <w:bCs w:val="0"/>
        </w:rPr>
        <w:t>.</w:t>
      </w:r>
    </w:p>
    <w:p w14:paraId="34361F24" w14:textId="507EDD10" w:rsidR="00564218" w:rsidRDefault="00564218" w:rsidP="006F623F">
      <w:pPr>
        <w:pStyle w:val="Heading-Main"/>
        <w:jc w:val="both"/>
        <w:rPr>
          <w:b w:val="0"/>
          <w:bCs w:val="0"/>
          <w:lang w:eastAsia="ja-JP"/>
        </w:rPr>
      </w:pPr>
      <w:r>
        <w:rPr>
          <w:rFonts w:hint="eastAsia"/>
          <w:b w:val="0"/>
          <w:bCs w:val="0"/>
          <w:noProof/>
          <w:lang w:eastAsia="ja-JP"/>
        </w:rPr>
        <w:drawing>
          <wp:inline distT="0" distB="0" distL="0" distR="0" wp14:anchorId="2DF38E1F" wp14:editId="212E55AD">
            <wp:extent cx="5943600" cy="2122805"/>
            <wp:effectExtent l="0" t="0" r="0" b="0"/>
            <wp:docPr id="1669339301" name="図 3" descr="ダイアグラム, カレンダー&#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39301" name="図 3" descr="ダイアグラム, カレンダー&#10;&#10;自動的に生成された説明"/>
                    <pic:cNvPicPr/>
                  </pic:nvPicPr>
                  <pic:blipFill>
                    <a:blip r:embed="rId12"/>
                    <a:stretch>
                      <a:fillRect/>
                    </a:stretch>
                  </pic:blipFill>
                  <pic:spPr>
                    <a:xfrm>
                      <a:off x="0" y="0"/>
                      <a:ext cx="5943600" cy="2122805"/>
                    </a:xfrm>
                    <a:prstGeom prst="rect">
                      <a:avLst/>
                    </a:prstGeom>
                  </pic:spPr>
                </pic:pic>
              </a:graphicData>
            </a:graphic>
          </wp:inline>
        </w:drawing>
      </w:r>
    </w:p>
    <w:p w14:paraId="4686C358" w14:textId="58BEE731" w:rsidR="00564218" w:rsidRPr="00564218" w:rsidRDefault="00564218" w:rsidP="00564218">
      <w:pPr>
        <w:pStyle w:val="FigureorTableCaption"/>
        <w:jc w:val="both"/>
        <w:rPr>
          <w:lang w:eastAsia="ja-JP"/>
        </w:rPr>
      </w:pPr>
      <w:r w:rsidRPr="009466F0">
        <w:rPr>
          <w:b/>
          <w:bCs/>
        </w:rPr>
        <w:t xml:space="preserve">Figure </w:t>
      </w:r>
      <w:r w:rsidR="003E1476">
        <w:rPr>
          <w:b/>
          <w:bCs/>
        </w:rPr>
        <w:t>4</w:t>
      </w:r>
      <w:r>
        <w:t>. Z250 anomalies (shading, m) regressed onto the normalized Niño 3.4 index for (a) DJF-mean, (b) December, (c) January, and (d) February based on</w:t>
      </w:r>
      <w:r w:rsidR="00084180">
        <w:t xml:space="preserve"> </w:t>
      </w:r>
      <w:r>
        <w:t>ERA</w:t>
      </w:r>
      <w:r w:rsidR="00084180">
        <w:t>5</w:t>
      </w:r>
      <w:r>
        <w:t>. (e-h) and (</w:t>
      </w:r>
      <w:proofErr w:type="spellStart"/>
      <w:r>
        <w:t>i</w:t>
      </w:r>
      <w:proofErr w:type="spellEnd"/>
      <w:r>
        <w:t>-l) are the same as (a-d), but for d4PDF HIST and +4K, respectively. Arrows indicate the associated wave activity flux (m</w:t>
      </w:r>
      <w:r>
        <w:rPr>
          <w:vertAlign w:val="superscript"/>
        </w:rPr>
        <w:t>2</w:t>
      </w:r>
      <w:r>
        <w:t xml:space="preserve"> s</w:t>
      </w:r>
      <w:r>
        <w:rPr>
          <w:vertAlign w:val="superscript"/>
        </w:rPr>
        <w:t>-2</w:t>
      </w:r>
      <w:r w:rsidR="00F14BAF">
        <w:t xml:space="preserve">; </w:t>
      </w:r>
      <w:r w:rsidR="00F14BAF">
        <w:fldChar w:fldCharType="begin"/>
      </w:r>
      <w:r w:rsidR="006F3581">
        <w:instrText xml:space="preserve"> ADDIN ZOTERO_ITEM CSL_CITATION {"citationID":"L6PHv8L9","properties":{"formattedCitation":"(Takaya &amp; Nakamura, 2001)","plainCitation":"(Takaya &amp; Nakamura, 2001)","dontUpdate":true,"noteIndex":0},"citationItems":[{"id":216,"uris":["http://zotero.org/users/14197466/items/WLKUYC3A"],"itemData":{"id":216,"type":"article-journal","abstract":"A new formulation of an approximate conservation relation of wave-activity pseudomomentum is derived, which is applicable for either stationary or migratory quasigeostrophic (QG) eddies on a zonally varying basic flow. The authors utilize a combination of a quantity A that is proportional to wave enstrophy and another quantity E that is proportional to wave energy. Both A and E are approximately related to the wave-activity pseudomomentum. It is shown for QG eddies on a slowly varying, unforced nonzonal flow that a particular linear combination of A and E, namely, M </w:instrText>
      </w:r>
      <w:r w:rsidR="006F3581">
        <w:rPr>
          <w:rFonts w:hint="eastAsia"/>
        </w:rPr>
        <w:instrText>≡</w:instrText>
      </w:r>
      <w:r w:rsidR="006F3581">
        <w:instrText xml:space="preserve"> (A + E)/2, is independent of the wave phase, even if unaveraged, in the limit of a small-amplitude plane wave. In the same limit, a flux of M is also free from an oscillatory component on a scale of one-half wavelength even without any averaging. It is shown that M is conserved under steady, unforced, and nondissipative conditions and the flux of M is parallel to the local three-dimensional group velocity in the WKB limit. The authors’ conservation relation based on a straightforward derivation is a generalization of that for stationary Rossby waves on a zonally uniform basic flow as derived by Plumb and others. A dynamical interpretation is presented for each term of such a phase-independent flux of the authors or Plumb. Terms that consist of eddy heat and momentum fluxes are shown to represent systematic upstream transport of the mean-flow westerly momentum by a propagating wave packet, whereas other terms proportional to eddy streamfunction anomalies are shown to represent an ageostrophic flux of geopotential in the direction of the local group velocity. In such a flux, these two dynamical processes acting most strongly on the node lines and ridge/trough lines of the eddy streamfunction field, respectively, are appropriately combined to eliminate its phase dependency. The authors also derive generalized three-dimensional transformed Eulerian-mean equations with the residual circulation and eddy forcing both expressed in phase-independent forms. The flux may not be particularly suited for evaluating the exact local budget of M, because of several assumptions imposed in the derivation. Nevertheless, these assumptions seem qualitatively valid in the assessment based on observed and simulated data. The wave-activity flux is a useful diagnostic tool for illustrating a“snapshot” of a propagating packet of stationary or migratory QG wave disturbances and thereby for inferring where the packet is emitted and absorbed, as verified in several applications to the data. It may also be useful for routine climate diagnoses in an operational center.","container-title":"Journal of the Atmospheric Sciences","DOI":"https://doi.org/10.1175/1520-0469(2001)058&lt;0608:AFOAPI&gt;2.0.CO;2","ISSN":"1520-0469","issue":"6","language":"en","note":"section: Journal of the Atmospheric Sciences","page":"608-627","source":"journals.ametsoc.org","title":"A Formulation of a Phase-Independent Wave-Activity Flux for Stationary and Migratory Quasigeostrophic Eddies on a Zonally Varying Basic Flow","volume":"58","author":[{"family":"Takaya","given":"Koutarou"},{"family":"Nakamura","given":"Hisashi"}],"issued":{"date-parts":[["2001",3,1]]}}}],"schema":"https://github.com/citation-style-language/schema/raw/master/csl-citation.json"} </w:instrText>
      </w:r>
      <w:r w:rsidR="00F14BAF">
        <w:fldChar w:fldCharType="separate"/>
      </w:r>
      <w:r w:rsidR="00F14BAF">
        <w:rPr>
          <w:noProof/>
        </w:rPr>
        <w:t>Takaya &amp; Nakamura, 2001</w:t>
      </w:r>
      <w:r w:rsidR="00F14BAF">
        <w:fldChar w:fldCharType="end"/>
      </w:r>
      <w:r>
        <w:t>). Solid lines indicate climatological zonal wind (5 m s</w:t>
      </w:r>
      <w:r>
        <w:rPr>
          <w:vertAlign w:val="superscript"/>
        </w:rPr>
        <w:t>-1</w:t>
      </w:r>
      <w:r>
        <w:t xml:space="preserve"> interval</w:t>
      </w:r>
      <w:r w:rsidR="00E01E8D">
        <w:t xml:space="preserve"> from</w:t>
      </w:r>
      <w:r>
        <w:t xml:space="preserve"> 20 m s</w:t>
      </w:r>
      <w:r>
        <w:rPr>
          <w:vertAlign w:val="superscript"/>
        </w:rPr>
        <w:t>-1</w:t>
      </w:r>
      <w:r>
        <w:t>). Dots indicate the statistical significance at the 95% level.</w:t>
      </w:r>
    </w:p>
    <w:p w14:paraId="5DCF02A7" w14:textId="0838F3D1" w:rsidR="00262AD0" w:rsidRDefault="00283BD9" w:rsidP="006F623F">
      <w:pPr>
        <w:pStyle w:val="Heading-Main"/>
        <w:jc w:val="both"/>
        <w:rPr>
          <w:b w:val="0"/>
          <w:bCs w:val="0"/>
        </w:rPr>
      </w:pPr>
      <w:r>
        <w:rPr>
          <w:b w:val="0"/>
          <w:bCs w:val="0"/>
        </w:rPr>
        <w:t xml:space="preserve">To understand </w:t>
      </w:r>
      <w:r w:rsidR="00DF4D75" w:rsidRPr="00DF4D75">
        <w:rPr>
          <w:b w:val="0"/>
          <w:bCs w:val="0"/>
        </w:rPr>
        <w:t xml:space="preserve">the seasonality of </w:t>
      </w:r>
      <w:r>
        <w:rPr>
          <w:b w:val="0"/>
          <w:bCs w:val="0"/>
        </w:rPr>
        <w:t xml:space="preserve">the </w:t>
      </w:r>
      <w:r w:rsidR="00DF4D75" w:rsidRPr="00DF4D75">
        <w:rPr>
          <w:b w:val="0"/>
          <w:bCs w:val="0"/>
        </w:rPr>
        <w:t xml:space="preserve">NAM-ENSO correlation and its changes </w:t>
      </w:r>
      <w:r w:rsidR="00EB28AF">
        <w:rPr>
          <w:b w:val="0"/>
          <w:bCs w:val="0"/>
        </w:rPr>
        <w:t>under</w:t>
      </w:r>
      <w:r w:rsidR="00DF4D75" w:rsidRPr="00DF4D75">
        <w:rPr>
          <w:b w:val="0"/>
          <w:bCs w:val="0"/>
        </w:rPr>
        <w:t xml:space="preserve"> global warming</w:t>
      </w:r>
      <w:r>
        <w:rPr>
          <w:b w:val="0"/>
          <w:bCs w:val="0"/>
        </w:rPr>
        <w:t xml:space="preserve">, we compare </w:t>
      </w:r>
      <w:r w:rsidR="00DF4D75" w:rsidRPr="00DF4D75">
        <w:rPr>
          <w:b w:val="0"/>
          <w:bCs w:val="0"/>
        </w:rPr>
        <w:t>the ensemble-averaged 250</w:t>
      </w:r>
      <w:r w:rsidR="00373E57">
        <w:rPr>
          <w:b w:val="0"/>
          <w:bCs w:val="0"/>
        </w:rPr>
        <w:t xml:space="preserve"> </w:t>
      </w:r>
      <w:proofErr w:type="spellStart"/>
      <w:r w:rsidR="00DF4D75" w:rsidRPr="00DF4D75">
        <w:rPr>
          <w:b w:val="0"/>
          <w:bCs w:val="0"/>
        </w:rPr>
        <w:t>hPa</w:t>
      </w:r>
      <w:proofErr w:type="spellEnd"/>
      <w:r w:rsidR="00DF4D75" w:rsidRPr="00DF4D75">
        <w:rPr>
          <w:b w:val="0"/>
          <w:bCs w:val="0"/>
        </w:rPr>
        <w:t xml:space="preserve"> geopotential height anomalies regressed onto the Niño 3.4 index</w:t>
      </w:r>
      <w:r w:rsidR="00412943">
        <w:rPr>
          <w:b w:val="0"/>
          <w:bCs w:val="0"/>
        </w:rPr>
        <w:t xml:space="preserve"> </w:t>
      </w:r>
      <w:r w:rsidR="00CF6DC4">
        <w:rPr>
          <w:b w:val="0"/>
          <w:bCs w:val="0"/>
        </w:rPr>
        <w:t>among</w:t>
      </w:r>
      <w:r w:rsidR="00412943">
        <w:rPr>
          <w:b w:val="0"/>
          <w:bCs w:val="0"/>
        </w:rPr>
        <w:t xml:space="preserve"> ERA5, HIST, and +4K (Figure </w:t>
      </w:r>
      <w:r w:rsidR="009E6426">
        <w:rPr>
          <w:b w:val="0"/>
          <w:bCs w:val="0"/>
        </w:rPr>
        <w:t>4</w:t>
      </w:r>
      <w:r w:rsidR="00412943">
        <w:rPr>
          <w:b w:val="0"/>
          <w:bCs w:val="0"/>
        </w:rPr>
        <w:t>)</w:t>
      </w:r>
      <w:r w:rsidR="00DF4D75" w:rsidRPr="00DF4D75">
        <w:rPr>
          <w:b w:val="0"/>
          <w:bCs w:val="0"/>
        </w:rPr>
        <w:t>.</w:t>
      </w:r>
      <w:r w:rsidR="007F2007">
        <w:rPr>
          <w:b w:val="0"/>
          <w:bCs w:val="0"/>
        </w:rPr>
        <w:t xml:space="preserve"> A </w:t>
      </w:r>
      <w:proofErr w:type="spellStart"/>
      <w:r w:rsidR="007F2007">
        <w:rPr>
          <w:b w:val="0"/>
          <w:bCs w:val="0"/>
        </w:rPr>
        <w:t>wave</w:t>
      </w:r>
      <w:r w:rsidR="000A408F">
        <w:rPr>
          <w:b w:val="0"/>
          <w:bCs w:val="0"/>
        </w:rPr>
        <w:t>train</w:t>
      </w:r>
      <w:proofErr w:type="spellEnd"/>
      <w:r w:rsidR="007F2007">
        <w:rPr>
          <w:b w:val="0"/>
          <w:bCs w:val="0"/>
        </w:rPr>
        <w:t xml:space="preserve"> pattern emanating</w:t>
      </w:r>
      <w:r w:rsidR="00DF4D75" w:rsidRPr="00DF4D75">
        <w:rPr>
          <w:b w:val="0"/>
          <w:bCs w:val="0"/>
        </w:rPr>
        <w:t xml:space="preserve"> from the </w:t>
      </w:r>
      <w:r w:rsidR="00D34AE6">
        <w:rPr>
          <w:b w:val="0"/>
          <w:bCs w:val="0"/>
        </w:rPr>
        <w:t xml:space="preserve">climatological </w:t>
      </w:r>
      <w:r w:rsidR="00DF4D75" w:rsidRPr="00DF4D75">
        <w:rPr>
          <w:b w:val="0"/>
          <w:bCs w:val="0"/>
        </w:rPr>
        <w:t>jet</w:t>
      </w:r>
      <w:r w:rsidR="009226B6">
        <w:rPr>
          <w:b w:val="0"/>
          <w:bCs w:val="0"/>
        </w:rPr>
        <w:t xml:space="preserve"> exit</w:t>
      </w:r>
      <w:r w:rsidR="00DF4D75" w:rsidRPr="00DF4D75">
        <w:rPr>
          <w:b w:val="0"/>
          <w:bCs w:val="0"/>
        </w:rPr>
        <w:t xml:space="preserve"> over the</w:t>
      </w:r>
      <w:r w:rsidR="001811E5">
        <w:rPr>
          <w:b w:val="0"/>
          <w:bCs w:val="0"/>
        </w:rPr>
        <w:t xml:space="preserve"> </w:t>
      </w:r>
      <w:r w:rsidR="00FE34CC">
        <w:rPr>
          <w:b w:val="0"/>
          <w:bCs w:val="0"/>
        </w:rPr>
        <w:t>North</w:t>
      </w:r>
      <w:r w:rsidR="001811E5">
        <w:rPr>
          <w:b w:val="0"/>
          <w:bCs w:val="0"/>
        </w:rPr>
        <w:t>eastern</w:t>
      </w:r>
      <w:r w:rsidR="00DF4D75" w:rsidRPr="00DF4D75">
        <w:rPr>
          <w:b w:val="0"/>
          <w:bCs w:val="0"/>
        </w:rPr>
        <w:t xml:space="preserve"> Pacific</w:t>
      </w:r>
      <w:r w:rsidR="007F2007">
        <w:rPr>
          <w:b w:val="0"/>
          <w:bCs w:val="0"/>
        </w:rPr>
        <w:t xml:space="preserve"> and extending</w:t>
      </w:r>
      <w:r w:rsidR="00DF4D75" w:rsidRPr="00DF4D75">
        <w:rPr>
          <w:b w:val="0"/>
          <w:bCs w:val="0"/>
        </w:rPr>
        <w:t xml:space="preserve"> </w:t>
      </w:r>
      <w:r w:rsidR="001811E5">
        <w:rPr>
          <w:b w:val="0"/>
          <w:bCs w:val="0"/>
        </w:rPr>
        <w:t xml:space="preserve">eastward </w:t>
      </w:r>
      <w:r w:rsidR="00DF4D75" w:rsidRPr="00DF4D75">
        <w:rPr>
          <w:b w:val="0"/>
          <w:bCs w:val="0"/>
        </w:rPr>
        <w:t>through North America into the North Atlantic</w:t>
      </w:r>
      <w:r w:rsidR="007F2007">
        <w:rPr>
          <w:b w:val="0"/>
          <w:bCs w:val="0"/>
        </w:rPr>
        <w:t xml:space="preserve"> is evident</w:t>
      </w:r>
      <w:r w:rsidR="001811E5">
        <w:rPr>
          <w:b w:val="0"/>
          <w:bCs w:val="0"/>
        </w:rPr>
        <w:t xml:space="preserve"> in HIST</w:t>
      </w:r>
      <w:r w:rsidR="00A65D96">
        <w:rPr>
          <w:b w:val="0"/>
          <w:bCs w:val="0"/>
        </w:rPr>
        <w:t>, reproducing the observation</w:t>
      </w:r>
      <w:r w:rsidR="000A408F">
        <w:rPr>
          <w:b w:val="0"/>
          <w:bCs w:val="0"/>
        </w:rPr>
        <w:t xml:space="preserve">al counterpart. </w:t>
      </w:r>
      <w:r w:rsidR="00DF4D75" w:rsidRPr="00DF4D75">
        <w:rPr>
          <w:b w:val="0"/>
          <w:bCs w:val="0"/>
        </w:rPr>
        <w:t>In December of</w:t>
      </w:r>
      <w:r w:rsidR="009226B6">
        <w:rPr>
          <w:b w:val="0"/>
          <w:bCs w:val="0"/>
        </w:rPr>
        <w:t xml:space="preserve"> HIST</w:t>
      </w:r>
      <w:r w:rsidR="00DF4D75" w:rsidRPr="00DF4D75">
        <w:rPr>
          <w:b w:val="0"/>
          <w:bCs w:val="0"/>
        </w:rPr>
        <w:t xml:space="preserve">, </w:t>
      </w:r>
      <w:r w:rsidR="007F2007">
        <w:rPr>
          <w:b w:val="0"/>
          <w:bCs w:val="0"/>
        </w:rPr>
        <w:t>its downstream exten</w:t>
      </w:r>
      <w:r w:rsidR="000A408F">
        <w:rPr>
          <w:b w:val="0"/>
          <w:bCs w:val="0"/>
        </w:rPr>
        <w:t>s</w:t>
      </w:r>
      <w:r w:rsidR="007F2007">
        <w:rPr>
          <w:b w:val="0"/>
          <w:bCs w:val="0"/>
        </w:rPr>
        <w:t>ion projects onto the</w:t>
      </w:r>
      <w:r w:rsidR="00DF4D75" w:rsidRPr="00DF4D75">
        <w:rPr>
          <w:b w:val="0"/>
          <w:bCs w:val="0"/>
        </w:rPr>
        <w:t xml:space="preserve"> positive</w:t>
      </w:r>
      <w:r w:rsidR="009226B6">
        <w:rPr>
          <w:b w:val="0"/>
          <w:bCs w:val="0"/>
        </w:rPr>
        <w:t xml:space="preserve"> NAO</w:t>
      </w:r>
      <w:r w:rsidR="00DF4D75" w:rsidRPr="00DF4D75">
        <w:rPr>
          <w:b w:val="0"/>
          <w:bCs w:val="0"/>
        </w:rPr>
        <w:t xml:space="preserve"> over the North Atlantic, </w:t>
      </w:r>
      <w:r w:rsidR="007F2007">
        <w:rPr>
          <w:b w:val="0"/>
          <w:bCs w:val="0"/>
        </w:rPr>
        <w:t>yielding the same-sign anomalies</w:t>
      </w:r>
      <w:r w:rsidR="00DF4D75" w:rsidRPr="00DF4D75">
        <w:rPr>
          <w:b w:val="0"/>
          <w:bCs w:val="0"/>
        </w:rPr>
        <w:t xml:space="preserve"> </w:t>
      </w:r>
      <w:r w:rsidR="000A408F">
        <w:rPr>
          <w:b w:val="0"/>
          <w:bCs w:val="0"/>
        </w:rPr>
        <w:t>between</w:t>
      </w:r>
      <w:r w:rsidR="009226B6">
        <w:rPr>
          <w:b w:val="0"/>
          <w:bCs w:val="0"/>
        </w:rPr>
        <w:t xml:space="preserve"> the AL</w:t>
      </w:r>
      <w:r w:rsidR="007F2007">
        <w:rPr>
          <w:b w:val="0"/>
          <w:bCs w:val="0"/>
        </w:rPr>
        <w:t xml:space="preserve"> </w:t>
      </w:r>
      <w:r w:rsidR="00DF4D75" w:rsidRPr="00DF4D75">
        <w:rPr>
          <w:b w:val="0"/>
          <w:bCs w:val="0"/>
        </w:rPr>
        <w:t xml:space="preserve">and </w:t>
      </w:r>
      <w:r w:rsidR="009226B6">
        <w:rPr>
          <w:b w:val="0"/>
          <w:bCs w:val="0"/>
        </w:rPr>
        <w:t>IL</w:t>
      </w:r>
      <w:r w:rsidR="00DF4D75" w:rsidRPr="00DF4D75">
        <w:rPr>
          <w:b w:val="0"/>
          <w:bCs w:val="0"/>
        </w:rPr>
        <w:t>. This is consistent with the</w:t>
      </w:r>
      <w:r w:rsidR="0055799A">
        <w:rPr>
          <w:b w:val="0"/>
          <w:bCs w:val="0"/>
        </w:rPr>
        <w:t xml:space="preserve"> </w:t>
      </w:r>
      <w:r w:rsidR="00DF4D75" w:rsidRPr="00DF4D75">
        <w:rPr>
          <w:b w:val="0"/>
          <w:bCs w:val="0"/>
        </w:rPr>
        <w:t xml:space="preserve">significant </w:t>
      </w:r>
      <w:r w:rsidR="001811E5">
        <w:rPr>
          <w:b w:val="0"/>
          <w:bCs w:val="0"/>
        </w:rPr>
        <w:t>in-phase relationship</w:t>
      </w:r>
      <w:r w:rsidR="00DF4D75" w:rsidRPr="00DF4D75">
        <w:rPr>
          <w:b w:val="0"/>
          <w:bCs w:val="0"/>
        </w:rPr>
        <w:t xml:space="preserve"> between</w:t>
      </w:r>
      <w:r w:rsidR="001811E5">
        <w:rPr>
          <w:b w:val="0"/>
          <w:bCs w:val="0"/>
        </w:rPr>
        <w:t xml:space="preserve"> the</w:t>
      </w:r>
      <w:r w:rsidR="00DF4D75" w:rsidRPr="00DF4D75">
        <w:rPr>
          <w:b w:val="0"/>
          <w:bCs w:val="0"/>
        </w:rPr>
        <w:t xml:space="preserve"> two lows in </w:t>
      </w:r>
      <w:r w:rsidR="0055799A">
        <w:rPr>
          <w:b w:val="0"/>
          <w:bCs w:val="0"/>
        </w:rPr>
        <w:t>December (</w:t>
      </w:r>
      <w:r w:rsidR="00C3046D">
        <w:rPr>
          <w:b w:val="0"/>
          <w:bCs w:val="0"/>
        </w:rPr>
        <w:t xml:space="preserve">blue solid line in </w:t>
      </w:r>
      <w:r w:rsidR="0055799A">
        <w:rPr>
          <w:b w:val="0"/>
          <w:bCs w:val="0"/>
        </w:rPr>
        <w:t xml:space="preserve">Figure 2) </w:t>
      </w:r>
      <w:r w:rsidR="00DF4D75" w:rsidRPr="00DF4D75">
        <w:rPr>
          <w:b w:val="0"/>
          <w:bCs w:val="0"/>
        </w:rPr>
        <w:t>and</w:t>
      </w:r>
      <w:r w:rsidR="009A1496">
        <w:rPr>
          <w:b w:val="0"/>
          <w:bCs w:val="0"/>
        </w:rPr>
        <w:t xml:space="preserve"> the marginally significant </w:t>
      </w:r>
      <w:r w:rsidR="000A408F">
        <w:rPr>
          <w:b w:val="0"/>
          <w:bCs w:val="0"/>
        </w:rPr>
        <w:t xml:space="preserve">positive </w:t>
      </w:r>
      <w:r w:rsidR="009A1496">
        <w:rPr>
          <w:b w:val="0"/>
          <w:bCs w:val="0"/>
        </w:rPr>
        <w:t>correlation</w:t>
      </w:r>
      <w:r w:rsidR="00DF4D75" w:rsidRPr="00DF4D75">
        <w:rPr>
          <w:b w:val="0"/>
          <w:bCs w:val="0"/>
        </w:rPr>
        <w:t xml:space="preserve"> between NAM and </w:t>
      </w:r>
      <w:r w:rsidR="007F2007">
        <w:rPr>
          <w:b w:val="0"/>
          <w:bCs w:val="0"/>
        </w:rPr>
        <w:t>ENSO</w:t>
      </w:r>
      <w:r w:rsidR="0055799A">
        <w:rPr>
          <w:b w:val="0"/>
          <w:bCs w:val="0"/>
        </w:rPr>
        <w:t xml:space="preserve"> (Table 1)</w:t>
      </w:r>
      <w:r w:rsidR="00DF4D75" w:rsidRPr="00DF4D75">
        <w:rPr>
          <w:b w:val="0"/>
          <w:bCs w:val="0"/>
        </w:rPr>
        <w:t xml:space="preserve">. </w:t>
      </w:r>
      <w:r w:rsidR="001811E5">
        <w:rPr>
          <w:b w:val="0"/>
          <w:bCs w:val="0"/>
        </w:rPr>
        <w:t>I</w:t>
      </w:r>
      <w:r w:rsidR="00DF4D75" w:rsidRPr="00DF4D75">
        <w:rPr>
          <w:b w:val="0"/>
          <w:bCs w:val="0"/>
        </w:rPr>
        <w:t xml:space="preserve">n February </w:t>
      </w:r>
      <w:r w:rsidR="007F2007">
        <w:rPr>
          <w:b w:val="0"/>
          <w:bCs w:val="0"/>
        </w:rPr>
        <w:t>of</w:t>
      </w:r>
      <w:r w:rsidR="00DF4D75" w:rsidRPr="00DF4D75">
        <w:rPr>
          <w:b w:val="0"/>
          <w:bCs w:val="0"/>
        </w:rPr>
        <w:t xml:space="preserve"> </w:t>
      </w:r>
      <w:r w:rsidR="009A1496">
        <w:rPr>
          <w:b w:val="0"/>
          <w:bCs w:val="0"/>
        </w:rPr>
        <w:t>HIST</w:t>
      </w:r>
      <w:r w:rsidR="00DF4D75" w:rsidRPr="00DF4D75">
        <w:rPr>
          <w:b w:val="0"/>
          <w:bCs w:val="0"/>
        </w:rPr>
        <w:t xml:space="preserve">, </w:t>
      </w:r>
      <w:r w:rsidR="001811E5">
        <w:rPr>
          <w:b w:val="0"/>
          <w:bCs w:val="0"/>
        </w:rPr>
        <w:t xml:space="preserve">by contrast, </w:t>
      </w:r>
      <w:r w:rsidR="007F2007">
        <w:rPr>
          <w:b w:val="0"/>
          <w:bCs w:val="0"/>
        </w:rPr>
        <w:t xml:space="preserve">a meridional pair of </w:t>
      </w:r>
      <w:r w:rsidR="00DF4D75" w:rsidRPr="00DF4D75">
        <w:rPr>
          <w:b w:val="0"/>
          <w:bCs w:val="0"/>
        </w:rPr>
        <w:t xml:space="preserve">positive </w:t>
      </w:r>
      <w:r w:rsidR="007F2007">
        <w:rPr>
          <w:b w:val="0"/>
          <w:bCs w:val="0"/>
        </w:rPr>
        <w:t xml:space="preserve">and negative </w:t>
      </w:r>
      <w:r w:rsidR="009A1496">
        <w:rPr>
          <w:b w:val="0"/>
          <w:bCs w:val="0"/>
        </w:rPr>
        <w:t>anoma</w:t>
      </w:r>
      <w:r w:rsidR="007F2007">
        <w:rPr>
          <w:b w:val="0"/>
          <w:bCs w:val="0"/>
        </w:rPr>
        <w:t>lies</w:t>
      </w:r>
      <w:r w:rsidR="00DF4D75" w:rsidRPr="00DF4D75">
        <w:rPr>
          <w:b w:val="0"/>
          <w:bCs w:val="0"/>
        </w:rPr>
        <w:t xml:space="preserve"> extending eastward</w:t>
      </w:r>
      <w:r w:rsidR="007F2007">
        <w:rPr>
          <w:b w:val="0"/>
          <w:bCs w:val="0"/>
        </w:rPr>
        <w:t xml:space="preserve"> from</w:t>
      </w:r>
      <w:r w:rsidR="00DF4D75" w:rsidRPr="00DF4D75">
        <w:rPr>
          <w:b w:val="0"/>
          <w:bCs w:val="0"/>
        </w:rPr>
        <w:t xml:space="preserve"> North America</w:t>
      </w:r>
      <w:r w:rsidR="001811E5">
        <w:rPr>
          <w:b w:val="0"/>
          <w:bCs w:val="0"/>
        </w:rPr>
        <w:t xml:space="preserve"> into the Atlantic</w:t>
      </w:r>
      <w:r w:rsidR="007F2007">
        <w:rPr>
          <w:b w:val="0"/>
          <w:bCs w:val="0"/>
        </w:rPr>
        <w:t xml:space="preserve"> projects onto the</w:t>
      </w:r>
      <w:r w:rsidR="00DF4D75" w:rsidRPr="00DF4D75">
        <w:rPr>
          <w:b w:val="0"/>
          <w:bCs w:val="0"/>
        </w:rPr>
        <w:t xml:space="preserve"> negative</w:t>
      </w:r>
      <w:r w:rsidR="009A1496">
        <w:rPr>
          <w:b w:val="0"/>
          <w:bCs w:val="0"/>
        </w:rPr>
        <w:t xml:space="preserve"> NAO</w:t>
      </w:r>
      <w:r w:rsidR="00A65D96">
        <w:rPr>
          <w:b w:val="0"/>
          <w:bCs w:val="0"/>
        </w:rPr>
        <w:t xml:space="preserve">, reflecting the </w:t>
      </w:r>
      <w:r w:rsidR="005E3FA5">
        <w:rPr>
          <w:b w:val="0"/>
          <w:bCs w:val="0"/>
        </w:rPr>
        <w:t>seasonality</w:t>
      </w:r>
      <w:r w:rsidR="00A65D96">
        <w:rPr>
          <w:b w:val="0"/>
          <w:bCs w:val="0"/>
        </w:rPr>
        <w:t xml:space="preserve"> of ENSO-NAO teleconnection</w:t>
      </w:r>
      <w:r w:rsidR="005E3FA5">
        <w:rPr>
          <w:b w:val="0"/>
          <w:bCs w:val="0"/>
        </w:rPr>
        <w:t xml:space="preserve"> </w:t>
      </w:r>
      <w:r w:rsidR="005E3FA5">
        <w:rPr>
          <w:b w:val="0"/>
          <w:bCs w:val="0"/>
        </w:rPr>
        <w:fldChar w:fldCharType="begin"/>
      </w:r>
      <w:r w:rsidR="00E36A47">
        <w:rPr>
          <w:b w:val="0"/>
          <w:bCs w:val="0"/>
        </w:rPr>
        <w:instrText xml:space="preserve"> ADDIN ZOTERO_ITEM CSL_CITATION {"citationID":"DQwcllHx","properties":{"formattedCitation":"(Abid et al., 2021; Geng et al., 2023)","plainCitation":"(Abid et al., 2021; Geng et al., 2023)","noteIndex":0},"citationItems":[{"id":65,"uris":["http://zotero.org/users/14197466/items/U42GF4QH"],"itemData":{"id":65,"type":"article-journal","abstract":"The present study focuses on the mechanism that controls the transition of the Euro-Atlantic circulation responses to El Niño–Southern Oscillation (ENSO) from early (December) to late winter (February) for the period 1981–2015. A positive phase of ENSO induces a precipitation dipole with increased precipitation in the western and reduced precipitation in the eastern tropical Indian Ocean; this occurs mainly during early winter (December) and less so in late winter (February). It is shown that these interbasin atmospheric teleconnections dominate the response in the Euro-Atlantic sector in early winter by modifying the subtropical South Asian jet (SAJET) and forcing a wavenumber-3 response that projects spatially onto the positive North Atlantic Oscillation (NAO) pattern. On the contrary, during late winter, the response in the Euro-Atlantic sector is dominated by the well-known ENSO wave train from the tropical Pacific region, involving extratropical anomalies that project spatially on the positive phase of the Pacific–North American (PNA) pattern and the negative phase of the NAO pattern. Numerical experiments with an atmospheric model (an AGCM) forced by an Indian Ocean heating dipole anomaly support the hypothesis that the Indian Ocean modulates the SAJET and enforces the Rossby wave propagation to the Euro-Atlantic region in early winter. These phenomena are also investigated using the ECMWF SEAS5 reforecast dataset. In SEAS5, the ENSO interbasin tropical teleconnections and the response of the Euro-Atlantic circulation anomalies and their change from early to late winter are realistically predicted, although the strength of the early winter signal originated from the Indian Ocean is underestimated.","container-title":"Journal of Climate","DOI":"10.1175/JCLI-D-20-0075.1","issue":"4","language":"en","note":"section: Journal of Climate","page":"1531-1548","source":"journals.ametsoc.org","title":"Separating the Indian and Pacific Ocean Impacts on the Euro-Atlantic Response to ENSO and Its Transition from Early to Late Winter","volume":"34","author":[{"family":"Abid","given":"Muhammad Adnan"},{"family":"Kucharski","given":"Fred"},{"family":"Molteni","given":"Franco"},{"family":"Kang","given":"In-Sik"},{"family":"Tompkins","given":"Adrian M."},{"family":"Almazroui","given":"Mansour"}],"issued":{"date-parts":[["2021",2,1]]}}},{"id":70,"uris":["http://zotero.org/users/14197466/items/4UXS33EL"],"itemData":{"id":70,"type":"article-journal","abstract":"El Niño-Southern Oscillation (ENSO) teleconnections exhibit a strong dependency on seasonally and intraseasonally varying mean states, leading to impactful short-term variations in regional climate. The North Atlantic Oscillation (NAO)-ENSO relation is a typical example, in that its phase relationship reverses systematically between the early and late winter. Here based on observations and an ensemble of atmosphere-only climate model simulations, we reveal that this NAO phase reversal occurs synchronously in early January, showing strong abruptness. We demonstrate that this abrupt NAO phase reversal is caused by the change in ENSO-induced Rossby wave-propagating direction from northeastward to southeastward over the northeastern North American region, which is largely governed by a climatological alteration of the local jet meridional shear. We also provide evidence that the North Atlantic intrinsic eddy–low-frequency flow feedback further amplifies the NAO responses. This ENSO-related abrupt NAO change offers an avenue for intraseasonal climate forecasting in the Euro-Atlantic region.","container-title":"npj Climate and Atmospheric Science","DOI":"10.1038/s41612-023-00414-2","ISSN":"2397-3722","issue":"1","journalAbbreviation":"npj Clim Atmos Sci","language":"en","license":"2023 The Author(s)","note":"publisher: Nature Publishing Group","page":"1-8","source":"www.nature.com","title":"ENSO-driven abrupt phase shift in North Atlantic oscillation in early January","volume":"6","author":[{"family":"Geng","given":"Xin"},{"family":"Zhao","given":"Jiuwei"},{"family":"Kug","given":"Jong-Seong"}],"issued":{"date-parts":[["2023",7,7]]}}}],"schema":"https://github.com/citation-style-language/schema/raw/master/csl-citation.json"} </w:instrText>
      </w:r>
      <w:r w:rsidR="005E3FA5">
        <w:rPr>
          <w:b w:val="0"/>
          <w:bCs w:val="0"/>
        </w:rPr>
        <w:fldChar w:fldCharType="separate"/>
      </w:r>
      <w:r w:rsidR="00C3046D">
        <w:rPr>
          <w:b w:val="0"/>
          <w:bCs w:val="0"/>
          <w:noProof/>
        </w:rPr>
        <w:t>(Abid et al., 2021; Geng et al., 2023)</w:t>
      </w:r>
      <w:r w:rsidR="005E3FA5">
        <w:rPr>
          <w:b w:val="0"/>
          <w:bCs w:val="0"/>
        </w:rPr>
        <w:fldChar w:fldCharType="end"/>
      </w:r>
      <w:r w:rsidR="00DF4D75" w:rsidRPr="00DF4D75">
        <w:rPr>
          <w:b w:val="0"/>
          <w:bCs w:val="0"/>
        </w:rPr>
        <w:t xml:space="preserve">. Consequently, the </w:t>
      </w:r>
      <w:r w:rsidR="009A1496">
        <w:rPr>
          <w:b w:val="0"/>
          <w:bCs w:val="0"/>
        </w:rPr>
        <w:t>AL and IL anomalies</w:t>
      </w:r>
      <w:r w:rsidR="00DF4D75" w:rsidRPr="00DF4D75">
        <w:rPr>
          <w:b w:val="0"/>
          <w:bCs w:val="0"/>
        </w:rPr>
        <w:t xml:space="preserve"> ha</w:t>
      </w:r>
      <w:r w:rsidR="009A1496">
        <w:rPr>
          <w:b w:val="0"/>
          <w:bCs w:val="0"/>
        </w:rPr>
        <w:t>ve</w:t>
      </w:r>
      <w:r w:rsidR="00DF4D75" w:rsidRPr="00DF4D75">
        <w:rPr>
          <w:b w:val="0"/>
          <w:bCs w:val="0"/>
        </w:rPr>
        <w:t xml:space="preserve"> the </w:t>
      </w:r>
      <w:r w:rsidR="0087204D">
        <w:rPr>
          <w:b w:val="0"/>
          <w:bCs w:val="0"/>
        </w:rPr>
        <w:t>opposite</w:t>
      </w:r>
      <w:r w:rsidR="00DF4D75" w:rsidRPr="00DF4D75">
        <w:rPr>
          <w:b w:val="0"/>
          <w:bCs w:val="0"/>
        </w:rPr>
        <w:t xml:space="preserve"> sign, and the</w:t>
      </w:r>
      <w:r w:rsidR="0087204D">
        <w:rPr>
          <w:b w:val="0"/>
          <w:bCs w:val="0"/>
        </w:rPr>
        <w:t xml:space="preserve"> NAM-ENSO</w:t>
      </w:r>
      <w:r w:rsidR="00DF4D75" w:rsidRPr="00DF4D75">
        <w:rPr>
          <w:b w:val="0"/>
          <w:bCs w:val="0"/>
        </w:rPr>
        <w:t xml:space="preserve"> correlation</w:t>
      </w:r>
      <w:r w:rsidR="0087204D">
        <w:rPr>
          <w:b w:val="0"/>
          <w:bCs w:val="0"/>
        </w:rPr>
        <w:t xml:space="preserve"> becomes</w:t>
      </w:r>
      <w:r w:rsidR="00DF4D75" w:rsidRPr="00DF4D75">
        <w:rPr>
          <w:b w:val="0"/>
          <w:bCs w:val="0"/>
        </w:rPr>
        <w:t xml:space="preserve"> negative. </w:t>
      </w:r>
    </w:p>
    <w:p w14:paraId="292F7B89" w14:textId="4C54615F" w:rsidR="00DF4D75" w:rsidRPr="00653DB2" w:rsidRDefault="00DF4D75" w:rsidP="006F623F">
      <w:pPr>
        <w:pStyle w:val="Heading-Main"/>
        <w:jc w:val="both"/>
        <w:rPr>
          <w:b w:val="0"/>
          <w:bCs w:val="0"/>
        </w:rPr>
      </w:pPr>
      <w:r w:rsidRPr="00DF4D75">
        <w:rPr>
          <w:b w:val="0"/>
          <w:bCs w:val="0"/>
        </w:rPr>
        <w:t xml:space="preserve">In </w:t>
      </w:r>
      <w:r w:rsidR="001012CC">
        <w:rPr>
          <w:b w:val="0"/>
          <w:bCs w:val="0"/>
        </w:rPr>
        <w:t>+4K</w:t>
      </w:r>
      <w:r w:rsidRPr="00DF4D75">
        <w:rPr>
          <w:b w:val="0"/>
          <w:bCs w:val="0"/>
        </w:rPr>
        <w:t>, the</w:t>
      </w:r>
      <w:r w:rsidR="00DB27EF">
        <w:rPr>
          <w:b w:val="0"/>
          <w:bCs w:val="0"/>
        </w:rPr>
        <w:t xml:space="preserve"> meridional pair of</w:t>
      </w:r>
      <w:r w:rsidRPr="00DF4D75">
        <w:rPr>
          <w:b w:val="0"/>
          <w:bCs w:val="0"/>
        </w:rPr>
        <w:t xml:space="preserve"> </w:t>
      </w:r>
      <w:r w:rsidR="001811E5">
        <w:rPr>
          <w:b w:val="0"/>
          <w:bCs w:val="0"/>
        </w:rPr>
        <w:t xml:space="preserve">the ENSO-related </w:t>
      </w:r>
      <w:r w:rsidR="001D3A0B">
        <w:rPr>
          <w:b w:val="0"/>
          <w:bCs w:val="0"/>
        </w:rPr>
        <w:t>December</w:t>
      </w:r>
      <w:r w:rsidR="001811E5">
        <w:rPr>
          <w:b w:val="0"/>
          <w:bCs w:val="0"/>
        </w:rPr>
        <w:t xml:space="preserve"> height</w:t>
      </w:r>
      <w:r w:rsidRPr="00DF4D75">
        <w:rPr>
          <w:b w:val="0"/>
          <w:bCs w:val="0"/>
        </w:rPr>
        <w:t xml:space="preserve"> </w:t>
      </w:r>
      <w:r w:rsidR="001012CC">
        <w:rPr>
          <w:b w:val="0"/>
          <w:bCs w:val="0"/>
        </w:rPr>
        <w:t>anomal</w:t>
      </w:r>
      <w:r w:rsidR="00DB27EF">
        <w:rPr>
          <w:b w:val="0"/>
          <w:bCs w:val="0"/>
        </w:rPr>
        <w:t>ies</w:t>
      </w:r>
      <w:r w:rsidRPr="00DF4D75">
        <w:rPr>
          <w:b w:val="0"/>
          <w:bCs w:val="0"/>
        </w:rPr>
        <w:t xml:space="preserve"> over North America </w:t>
      </w:r>
      <w:r w:rsidR="001811E5">
        <w:rPr>
          <w:b w:val="0"/>
          <w:bCs w:val="0"/>
        </w:rPr>
        <w:t>is stronger and elongated</w:t>
      </w:r>
      <w:r w:rsidRPr="00DF4D75">
        <w:rPr>
          <w:b w:val="0"/>
          <w:bCs w:val="0"/>
        </w:rPr>
        <w:t xml:space="preserve"> f</w:t>
      </w:r>
      <w:r w:rsidR="001811E5">
        <w:rPr>
          <w:b w:val="0"/>
          <w:bCs w:val="0"/>
        </w:rPr>
        <w:t>a</w:t>
      </w:r>
      <w:r w:rsidRPr="00DF4D75">
        <w:rPr>
          <w:b w:val="0"/>
          <w:bCs w:val="0"/>
        </w:rPr>
        <w:t xml:space="preserve">rther eastward </w:t>
      </w:r>
      <w:r w:rsidR="000548B8">
        <w:rPr>
          <w:b w:val="0"/>
          <w:bCs w:val="0"/>
        </w:rPr>
        <w:t>than its</w:t>
      </w:r>
      <w:r w:rsidRPr="00DF4D75">
        <w:rPr>
          <w:b w:val="0"/>
          <w:bCs w:val="0"/>
        </w:rPr>
        <w:t xml:space="preserve"> </w:t>
      </w:r>
      <w:r w:rsidR="00262AD0">
        <w:rPr>
          <w:b w:val="0"/>
          <w:bCs w:val="0"/>
        </w:rPr>
        <w:t>HIST</w:t>
      </w:r>
      <w:r w:rsidRPr="00DF4D75">
        <w:rPr>
          <w:b w:val="0"/>
          <w:bCs w:val="0"/>
        </w:rPr>
        <w:t xml:space="preserve"> </w:t>
      </w:r>
      <w:r w:rsidR="00DB27EF">
        <w:rPr>
          <w:b w:val="0"/>
          <w:bCs w:val="0"/>
        </w:rPr>
        <w:t>counterpart</w:t>
      </w:r>
      <w:r w:rsidRPr="00DF4D75">
        <w:rPr>
          <w:b w:val="0"/>
          <w:bCs w:val="0"/>
        </w:rPr>
        <w:t xml:space="preserve">, </w:t>
      </w:r>
      <w:r w:rsidR="000548B8">
        <w:rPr>
          <w:b w:val="0"/>
          <w:bCs w:val="0"/>
        </w:rPr>
        <w:t>resembling the mid-to-late-winter</w:t>
      </w:r>
      <w:r w:rsidR="002E22BF">
        <w:rPr>
          <w:b w:val="0"/>
          <w:bCs w:val="0"/>
        </w:rPr>
        <w:t xml:space="preserve"> pattern</w:t>
      </w:r>
      <w:r w:rsidR="00262AD0">
        <w:rPr>
          <w:b w:val="0"/>
          <w:bCs w:val="0"/>
        </w:rPr>
        <w:t xml:space="preserve"> </w:t>
      </w:r>
      <w:r w:rsidR="000A408F">
        <w:rPr>
          <w:b w:val="0"/>
          <w:bCs w:val="0"/>
        </w:rPr>
        <w:t>in HIST</w:t>
      </w:r>
      <w:r w:rsidR="000548B8">
        <w:rPr>
          <w:b w:val="0"/>
          <w:bCs w:val="0"/>
        </w:rPr>
        <w:t xml:space="preserve"> </w:t>
      </w:r>
      <w:r w:rsidR="001D3A0B">
        <w:rPr>
          <w:b w:val="0"/>
          <w:bCs w:val="0"/>
        </w:rPr>
        <w:t xml:space="preserve">over North America and the North Atlantic </w:t>
      </w:r>
      <w:r w:rsidR="000548B8">
        <w:rPr>
          <w:b w:val="0"/>
          <w:bCs w:val="0"/>
        </w:rPr>
        <w:t xml:space="preserve">(Figures </w:t>
      </w:r>
      <w:r w:rsidR="009E6426">
        <w:rPr>
          <w:b w:val="0"/>
          <w:bCs w:val="0"/>
        </w:rPr>
        <w:t>4</w:t>
      </w:r>
      <w:r w:rsidR="000548B8">
        <w:rPr>
          <w:b w:val="0"/>
          <w:bCs w:val="0"/>
        </w:rPr>
        <w:t xml:space="preserve">g and </w:t>
      </w:r>
      <w:r w:rsidR="009E6426">
        <w:rPr>
          <w:b w:val="0"/>
          <w:bCs w:val="0"/>
        </w:rPr>
        <w:t>4</w:t>
      </w:r>
      <w:r w:rsidR="000548B8">
        <w:rPr>
          <w:b w:val="0"/>
          <w:bCs w:val="0"/>
        </w:rPr>
        <w:t>j)</w:t>
      </w:r>
      <w:r w:rsidRPr="00DF4D75">
        <w:rPr>
          <w:b w:val="0"/>
          <w:bCs w:val="0"/>
        </w:rPr>
        <w:t xml:space="preserve">. </w:t>
      </w:r>
      <w:r w:rsidR="000A408F">
        <w:rPr>
          <w:b w:val="0"/>
          <w:bCs w:val="0"/>
        </w:rPr>
        <w:t>T</w:t>
      </w:r>
      <w:r w:rsidR="004505C7">
        <w:rPr>
          <w:b w:val="0"/>
          <w:bCs w:val="0"/>
        </w:rPr>
        <w:t>his</w:t>
      </w:r>
      <w:r w:rsidR="005E3FA5">
        <w:rPr>
          <w:b w:val="0"/>
          <w:bCs w:val="0"/>
        </w:rPr>
        <w:t xml:space="preserve"> negative NAO-like pattern </w:t>
      </w:r>
      <w:r w:rsidR="000A408F">
        <w:rPr>
          <w:b w:val="0"/>
          <w:bCs w:val="0"/>
        </w:rPr>
        <w:t>results in</w:t>
      </w:r>
      <w:r w:rsidR="005E3FA5">
        <w:rPr>
          <w:b w:val="0"/>
          <w:bCs w:val="0"/>
        </w:rPr>
        <w:t xml:space="preserve"> the AIS </w:t>
      </w:r>
      <w:r w:rsidR="000A408F">
        <w:rPr>
          <w:b w:val="0"/>
          <w:bCs w:val="0"/>
        </w:rPr>
        <w:t>appearance</w:t>
      </w:r>
      <w:r w:rsidR="005E3FA5">
        <w:rPr>
          <w:b w:val="0"/>
          <w:bCs w:val="0"/>
        </w:rPr>
        <w:t xml:space="preserve"> even in early winter. This also means a disappearance of the</w:t>
      </w:r>
      <w:r w:rsidR="004B7EEF">
        <w:rPr>
          <w:b w:val="0"/>
          <w:bCs w:val="0"/>
        </w:rPr>
        <w:t xml:space="preserve"> intraseasonal</w:t>
      </w:r>
      <w:r w:rsidR="005E3FA5">
        <w:rPr>
          <w:b w:val="0"/>
          <w:bCs w:val="0"/>
        </w:rPr>
        <w:t xml:space="preserve"> ENSO-NAO teleconnection reversal </w:t>
      </w:r>
      <w:r w:rsidR="00EB28AF">
        <w:rPr>
          <w:b w:val="0"/>
          <w:bCs w:val="0"/>
        </w:rPr>
        <w:t>under</w:t>
      </w:r>
      <w:r w:rsidR="005E3FA5">
        <w:rPr>
          <w:b w:val="0"/>
          <w:bCs w:val="0"/>
        </w:rPr>
        <w:t xml:space="preserve"> global warming</w:t>
      </w:r>
      <w:r w:rsidR="000A408F">
        <w:rPr>
          <w:b w:val="0"/>
          <w:bCs w:val="0"/>
        </w:rPr>
        <w:t>, which is consistent with</w:t>
      </w:r>
      <w:r w:rsidR="005E3FA5">
        <w:rPr>
          <w:b w:val="0"/>
          <w:bCs w:val="0"/>
        </w:rPr>
        <w:t xml:space="preserve"> </w:t>
      </w:r>
      <w:r w:rsidR="005E3FA5">
        <w:rPr>
          <w:b w:val="0"/>
          <w:bCs w:val="0"/>
        </w:rPr>
        <w:fldChar w:fldCharType="begin"/>
      </w:r>
      <w:r w:rsidR="000B1705">
        <w:rPr>
          <w:b w:val="0"/>
          <w:bCs w:val="0"/>
        </w:rPr>
        <w:instrText xml:space="preserve"> ADDIN ZOTERO_ITEM CSL_CITATION {"citationID":"J9PlRsOp","properties":{"formattedCitation":"(Geng et al., 2024)","plainCitation":"(Geng et al., 2024)","dontUpdate":true,"noteIndex":0},"citationItems":[{"id":8,"uris":["http://zotero.org/users/14197466/items/NPTURGVE"],"itemData":{"id":8,"type":"article-journal","abstract":"El Niño-Southern Oscillation (ENSO) teleconnection to the Euro-Atlantic exhibits strong subseasonal variations, as the North Atlantic Oscillation (NAO) response systematically reverses its phase from early to late winter. Based on two sets of atmospheric model simulations in CMIP6 forced by historical and projected SST, we report a future disappearance of this teleconnection reversal, with the positive early winter ENSO-NAO correlation turning negative and the negative late winter correlation becoming stronger. We suggest that this negative NAO tendency is associated with the strengthening and eastward shift of the ENSO atmospheric teleconnection towards the Euro-Atlantic due to parallel changes in the ENSO tropical convection. While the early winter NAO phase transition is further facilitated by the mean state change in the North Atlantic jet meridional shear, which shifts the ENSO-driven Rossby wave-propagating direction, an intensified stratospheric pathway is demonstrated to play an additional role in strengthening the late winter NAO response.","container-title":"npj Climate and Atmospheric Science","DOI":"10.1038/s41612-024-00627-z","ISSN":"2397-3722","issue":"1","journalAbbreviation":"npj Clim Atmos Sci","language":"en","license":"2024 The Author(s)","note":"publisher: Nature Publishing Group","page":"1-12","source":"www.nature.com","title":"Future changes in the wintertime ENSO-NAO teleconnection under greenhouse warming","volume":"7","author":[{"family":"Geng","given":"Xin"},{"family":"Kug","given":"Jong-Seong"},{"family":"Kosaka","given":"Yu"}],"issued":{"date-parts":[["2024",3,28]]}}}],"schema":"https://github.com/citation-style-language/schema/raw/master/csl-citation.json"} </w:instrText>
      </w:r>
      <w:r w:rsidR="005E3FA5">
        <w:rPr>
          <w:b w:val="0"/>
          <w:bCs w:val="0"/>
        </w:rPr>
        <w:fldChar w:fldCharType="separate"/>
      </w:r>
      <w:r w:rsidR="005E3FA5">
        <w:rPr>
          <w:b w:val="0"/>
          <w:bCs w:val="0"/>
          <w:noProof/>
        </w:rPr>
        <w:t xml:space="preserve">Geng et al. </w:t>
      </w:r>
      <w:r w:rsidR="000A408F">
        <w:rPr>
          <w:b w:val="0"/>
          <w:bCs w:val="0"/>
          <w:noProof/>
        </w:rPr>
        <w:t>(</w:t>
      </w:r>
      <w:r w:rsidR="005E3FA5">
        <w:rPr>
          <w:b w:val="0"/>
          <w:bCs w:val="0"/>
          <w:noProof/>
        </w:rPr>
        <w:t>2024)</w:t>
      </w:r>
      <w:r w:rsidR="005E3FA5">
        <w:rPr>
          <w:b w:val="0"/>
          <w:bCs w:val="0"/>
        </w:rPr>
        <w:fldChar w:fldCharType="end"/>
      </w:r>
      <w:r w:rsidR="005E3FA5">
        <w:rPr>
          <w:b w:val="0"/>
          <w:bCs w:val="0"/>
        </w:rPr>
        <w:t xml:space="preserve">. </w:t>
      </w:r>
      <w:r w:rsidR="004B7EEF">
        <w:rPr>
          <w:b w:val="0"/>
          <w:bCs w:val="0"/>
        </w:rPr>
        <w:t xml:space="preserve">Furthermore, the negative NAM-ENSO correlation in </w:t>
      </w:r>
      <w:r w:rsidR="004B7EEF">
        <w:rPr>
          <w:b w:val="0"/>
          <w:bCs w:val="0"/>
        </w:rPr>
        <w:lastRenderedPageBreak/>
        <w:t>mid- to late winter strengthens</w:t>
      </w:r>
      <w:r w:rsidR="00DB27EF">
        <w:rPr>
          <w:b w:val="0"/>
          <w:bCs w:val="0"/>
        </w:rPr>
        <w:t>. Consequently,</w:t>
      </w:r>
      <w:r w:rsidRPr="00DF4D75">
        <w:rPr>
          <w:b w:val="0"/>
          <w:bCs w:val="0"/>
        </w:rPr>
        <w:t xml:space="preserve"> </w:t>
      </w:r>
      <w:r w:rsidR="00DB27EF">
        <w:rPr>
          <w:b w:val="0"/>
          <w:bCs w:val="0"/>
        </w:rPr>
        <w:t xml:space="preserve">there is a significant </w:t>
      </w:r>
      <w:r w:rsidRPr="00DF4D75">
        <w:rPr>
          <w:b w:val="0"/>
          <w:bCs w:val="0"/>
        </w:rPr>
        <w:t xml:space="preserve">enhancement of </w:t>
      </w:r>
      <w:r w:rsidR="00DB27EF">
        <w:rPr>
          <w:b w:val="0"/>
          <w:bCs w:val="0"/>
        </w:rPr>
        <w:t xml:space="preserve">the </w:t>
      </w:r>
      <w:r w:rsidRPr="00DF4D75">
        <w:rPr>
          <w:b w:val="0"/>
          <w:bCs w:val="0"/>
        </w:rPr>
        <w:t xml:space="preserve">negative </w:t>
      </w:r>
      <w:r w:rsidR="00CC5056">
        <w:rPr>
          <w:b w:val="0"/>
          <w:bCs w:val="0"/>
        </w:rPr>
        <w:t>NAM-ENSO</w:t>
      </w:r>
      <w:r w:rsidR="004505C7">
        <w:rPr>
          <w:b w:val="0"/>
          <w:bCs w:val="0"/>
        </w:rPr>
        <w:t xml:space="preserve"> </w:t>
      </w:r>
      <w:r w:rsidRPr="00DF4D75">
        <w:rPr>
          <w:b w:val="0"/>
          <w:bCs w:val="0"/>
        </w:rPr>
        <w:t>correlation in the DJF average</w:t>
      </w:r>
      <w:r w:rsidR="00AC6631">
        <w:rPr>
          <w:b w:val="0"/>
          <w:bCs w:val="0"/>
        </w:rPr>
        <w:t xml:space="preserve"> (Table 1)</w:t>
      </w:r>
      <w:r w:rsidRPr="00DF4D75">
        <w:rPr>
          <w:b w:val="0"/>
          <w:bCs w:val="0"/>
        </w:rPr>
        <w:t>.</w:t>
      </w:r>
    </w:p>
    <w:p w14:paraId="6EB77176" w14:textId="66CA05AA" w:rsidR="002F3B11" w:rsidRDefault="002F3B11" w:rsidP="006F623F">
      <w:pPr>
        <w:pStyle w:val="Heading-Main"/>
        <w:jc w:val="both"/>
      </w:pPr>
      <w:r>
        <w:t xml:space="preserve">4 </w:t>
      </w:r>
      <w:r w:rsidR="00DF4D75">
        <w:t>Discussions</w:t>
      </w:r>
    </w:p>
    <w:p w14:paraId="78F9B292" w14:textId="784D8C7B" w:rsidR="00DF4D75" w:rsidRDefault="00DF4D75" w:rsidP="006F623F">
      <w:pPr>
        <w:pStyle w:val="Heading-Main"/>
        <w:jc w:val="both"/>
        <w:rPr>
          <w:b w:val="0"/>
          <w:bCs w:val="0"/>
          <w:lang w:eastAsia="ja-JP"/>
        </w:rPr>
      </w:pPr>
      <w:r w:rsidRPr="00DF4D75">
        <w:rPr>
          <w:b w:val="0"/>
          <w:bCs w:val="0"/>
        </w:rPr>
        <w:t xml:space="preserve">One of the </w:t>
      </w:r>
      <w:r w:rsidR="001D0B61">
        <w:rPr>
          <w:b w:val="0"/>
          <w:bCs w:val="0"/>
        </w:rPr>
        <w:t xml:space="preserve">possible </w:t>
      </w:r>
      <w:r w:rsidRPr="00DF4D75">
        <w:rPr>
          <w:b w:val="0"/>
          <w:bCs w:val="0"/>
        </w:rPr>
        <w:t>mechanisms for the strengthening of the NAM-ENSO correlation is the change in convective activity anomalies associated with</w:t>
      </w:r>
      <w:r w:rsidR="003F0094">
        <w:rPr>
          <w:b w:val="0"/>
          <w:bCs w:val="0"/>
        </w:rPr>
        <w:t xml:space="preserve"> </w:t>
      </w:r>
      <w:r w:rsidRPr="00DF4D75">
        <w:rPr>
          <w:b w:val="0"/>
          <w:bCs w:val="0"/>
        </w:rPr>
        <w:t>ENSO</w:t>
      </w:r>
      <w:r w:rsidR="00612416">
        <w:rPr>
          <w:b w:val="0"/>
          <w:bCs w:val="0"/>
        </w:rPr>
        <w:t xml:space="preserve"> under global warming</w:t>
      </w:r>
      <w:r w:rsidR="00E76EAE">
        <w:rPr>
          <w:b w:val="0"/>
          <w:bCs w:val="0"/>
        </w:rPr>
        <w:t xml:space="preserve"> </w:t>
      </w:r>
      <w:r w:rsidR="00E76EAE">
        <w:rPr>
          <w:b w:val="0"/>
          <w:bCs w:val="0"/>
        </w:rPr>
        <w:fldChar w:fldCharType="begin"/>
      </w:r>
      <w:r w:rsidR="00E76EAE">
        <w:rPr>
          <w:b w:val="0"/>
          <w:bCs w:val="0"/>
        </w:rPr>
        <w:instrText xml:space="preserve"> ADDIN ZOTERO_ITEM CSL_CITATION {"citationID":"DsYcpp4n","properties":{"formattedCitation":"(Power et al., 2013; Yeh et al., 2018)","plainCitation":"(Power et al., 2013; Yeh et al., 2018)","noteIndex":0},"citationItems":[{"id":196,"uris":["http://zotero.org/users/14197466/items/5P7BKT4V"],"itemData":{"id":196,"type":"article-journal","abstract":"The future of El Niño and its impact on precipitation in a warming world is clearer than previously appreciated.","container-title":"Nature","DOI":"10.1038/nature12580","ISSN":"1476-4687","issue":"7472","language":"en","license":"2013 Springer Nature Limited","note":"publisher: Nature Publishing Group","page":"541-545","source":"www.nature.com","title":"Robust twenty-first-century projections of El Niño and related precipitation variability","volume":"502","author":[{"family":"Power","given":"Scott"},{"family":"Delage","given":"François"},{"family":"Chung","given":"Christine"},{"family":"Kociuba","given":"Greg"},{"family":"Keay","given":"Kevin"}],"issued":{"date-parts":[["2013",10]]}}},{"id":35,"uris":["http://zotero.org/users/14197466/items/YZWGE95X"],"itemData":{"id":35,"type":"article-journal","abstract":"El Niño and Southern Oscillation (ENSO) is the most prominent year-to-year climate fluctuation on Earth, alternating between anomalously warm (El Niño) and cold (La Niña) sea surface temperature (SST) conditions in the tropical Pacific. ENSO exerts its impacts on remote regions of the globe through atmospheric teleconnections, affecting extreme weather events worldwide. However, these teleconnections are inherently nonlinear and sensitive to ENSO SST anomaly patterns and amplitudes. In addition, teleconnections are modulated by variability in the oceanic and atmopsheric mean state outside the tropics and by land and sea ice extent. The character of ENSO as well as the ocean mean state have changed since the 1990s, which might be due to either natural variability or anthropogenic forcing, or their combined influences. This has resulted in changes in ENSO atmospheric teleconnections in terms of precipitation and temperature in various parts of the globe. In addition, changes in ENSO teleconnection patterns have affected their predictability and the statistics of extreme events. However, the short observational record does not allow us to clearly distinguish which changes are robust and which are not. Climate models suggest that ENSO teleconnections will change because the mean atmospheric circulation will change due to anthropogenic forcing in the 21st century, which is independent of whether ENSO properties change or not. However, future ENSO teleconnection changes do not currently show strong intermodel agreement from region to region, highlighting the importance of identifying factors that affect uncertainty in future model projections.","container-title":"Reviews of Geophysics","DOI":"10.1002/2017RG000568","ISSN":"1944-9208","issue":"1","language":"en","license":"©2018. The Authors.","note":"_eprint: https://onlinelibrary.wiley.com/doi/pdf/10.1002/2017RG000568","page":"185-206","source":"Wiley Online Library","title":"ENSO Atmospheric Teleconnections and Their Response to Greenhouse Gas Forcing","volume":"56","author":[{"family":"Yeh","given":"Sang-Wook"},{"family":"Cai","given":"Wenju"},{"family":"Min","given":"Seung-Ki"},{"family":"McPhaden","given":"Michael J."},{"family":"Dommenget","given":"Dietmar"},{"family":"Dewitte","given":"Boris"},{"family":"Collins","given":"Matthew"},{"family":"Ashok","given":"Karumuri"},{"family":"An","given":"Soon-Il"},{"family":"Yim","given":"Bo-Young"},{"family":"Kug","given":"Jong-Seong"}],"issued":{"date-parts":[["2018"]]}}}],"schema":"https://github.com/citation-style-language/schema/raw/master/csl-citation.json"} </w:instrText>
      </w:r>
      <w:r w:rsidR="00E76EAE">
        <w:rPr>
          <w:b w:val="0"/>
          <w:bCs w:val="0"/>
        </w:rPr>
        <w:fldChar w:fldCharType="separate"/>
      </w:r>
      <w:r w:rsidR="00E76EAE">
        <w:rPr>
          <w:b w:val="0"/>
          <w:bCs w:val="0"/>
          <w:noProof/>
        </w:rPr>
        <w:t>(Power et al., 2013; Yeh et al., 2018)</w:t>
      </w:r>
      <w:r w:rsidR="00E76EAE">
        <w:rPr>
          <w:b w:val="0"/>
          <w:bCs w:val="0"/>
        </w:rPr>
        <w:fldChar w:fldCharType="end"/>
      </w:r>
      <w:r w:rsidRPr="00DF4D75">
        <w:rPr>
          <w:b w:val="0"/>
          <w:bCs w:val="0"/>
        </w:rPr>
        <w:t xml:space="preserve">. </w:t>
      </w:r>
      <w:r w:rsidR="00F35C53">
        <w:rPr>
          <w:b w:val="0"/>
          <w:bCs w:val="0"/>
        </w:rPr>
        <w:t>In +4K, t</w:t>
      </w:r>
      <w:r w:rsidRPr="00DF4D75">
        <w:rPr>
          <w:b w:val="0"/>
          <w:bCs w:val="0"/>
        </w:rPr>
        <w:t>he</w:t>
      </w:r>
      <w:r w:rsidR="00601821">
        <w:rPr>
          <w:b w:val="0"/>
          <w:bCs w:val="0"/>
        </w:rPr>
        <w:t xml:space="preserve"> ENSO</w:t>
      </w:r>
      <w:r w:rsidRPr="00DF4D75">
        <w:rPr>
          <w:b w:val="0"/>
          <w:bCs w:val="0"/>
        </w:rPr>
        <w:t xml:space="preserve"> convective anomalies are enhanced</w:t>
      </w:r>
      <w:r w:rsidR="00231461">
        <w:rPr>
          <w:b w:val="0"/>
          <w:bCs w:val="0"/>
        </w:rPr>
        <w:t xml:space="preserve"> in the tropical Pacific</w:t>
      </w:r>
      <w:r w:rsidR="00E76EAE">
        <w:rPr>
          <w:b w:val="0"/>
          <w:bCs w:val="0"/>
        </w:rPr>
        <w:t>,</w:t>
      </w:r>
      <w:r w:rsidRPr="00DF4D75">
        <w:rPr>
          <w:b w:val="0"/>
          <w:bCs w:val="0"/>
        </w:rPr>
        <w:t xml:space="preserve"> </w:t>
      </w:r>
      <w:r w:rsidR="00612416">
        <w:rPr>
          <w:b w:val="0"/>
          <w:bCs w:val="0"/>
        </w:rPr>
        <w:t>especially in its eastern portion</w:t>
      </w:r>
      <w:r w:rsidR="00F35C53">
        <w:rPr>
          <w:b w:val="0"/>
          <w:bCs w:val="0"/>
        </w:rPr>
        <w:t>, compared to HIST (Figure S4)</w:t>
      </w:r>
      <w:r w:rsidRPr="00DF4D75">
        <w:rPr>
          <w:b w:val="0"/>
          <w:bCs w:val="0"/>
        </w:rPr>
        <w:t>. Th</w:t>
      </w:r>
      <w:r w:rsidR="00601821">
        <w:rPr>
          <w:b w:val="0"/>
          <w:bCs w:val="0"/>
        </w:rPr>
        <w:t>e latter change</w:t>
      </w:r>
      <w:r w:rsidRPr="00DF4D75">
        <w:rPr>
          <w:b w:val="0"/>
          <w:bCs w:val="0"/>
        </w:rPr>
        <w:t xml:space="preserve"> </w:t>
      </w:r>
      <w:r w:rsidR="00695022">
        <w:rPr>
          <w:b w:val="0"/>
          <w:bCs w:val="0"/>
        </w:rPr>
        <w:t>acts to shift</w:t>
      </w:r>
      <w:r w:rsidRPr="00DF4D75">
        <w:rPr>
          <w:b w:val="0"/>
          <w:bCs w:val="0"/>
        </w:rPr>
        <w:t xml:space="preserve"> the</w:t>
      </w:r>
      <w:r w:rsidR="00231461">
        <w:rPr>
          <w:b w:val="0"/>
          <w:bCs w:val="0"/>
        </w:rPr>
        <w:t xml:space="preserve"> ENSO-forced</w:t>
      </w:r>
      <w:r w:rsidRPr="00DF4D75">
        <w:rPr>
          <w:b w:val="0"/>
          <w:bCs w:val="0"/>
        </w:rPr>
        <w:t xml:space="preserve"> Rossby </w:t>
      </w:r>
      <w:proofErr w:type="spellStart"/>
      <w:r w:rsidRPr="00DF4D75">
        <w:rPr>
          <w:b w:val="0"/>
          <w:bCs w:val="0"/>
        </w:rPr>
        <w:t>wavetrain</w:t>
      </w:r>
      <w:proofErr w:type="spellEnd"/>
      <w:r w:rsidRPr="00DF4D75">
        <w:rPr>
          <w:b w:val="0"/>
          <w:bCs w:val="0"/>
        </w:rPr>
        <w:t xml:space="preserve"> eastward and</w:t>
      </w:r>
      <w:r w:rsidR="00601821">
        <w:rPr>
          <w:b w:val="0"/>
          <w:bCs w:val="0"/>
        </w:rPr>
        <w:t xml:space="preserve"> better</w:t>
      </w:r>
      <w:r w:rsidRPr="00DF4D75">
        <w:rPr>
          <w:b w:val="0"/>
          <w:bCs w:val="0"/>
        </w:rPr>
        <w:t xml:space="preserve"> project onto</w:t>
      </w:r>
      <w:r w:rsidR="008344C1">
        <w:rPr>
          <w:b w:val="0"/>
          <w:bCs w:val="0"/>
        </w:rPr>
        <w:t xml:space="preserve"> the</w:t>
      </w:r>
      <w:r w:rsidRPr="00DF4D75">
        <w:rPr>
          <w:b w:val="0"/>
          <w:bCs w:val="0"/>
        </w:rPr>
        <w:t xml:space="preserve"> NA</w:t>
      </w:r>
      <w:r w:rsidR="00601821">
        <w:rPr>
          <w:b w:val="0"/>
          <w:bCs w:val="0"/>
        </w:rPr>
        <w:t>O in the opposite polarity with ENSO</w:t>
      </w:r>
      <w:r w:rsidRPr="00DF4D75">
        <w:rPr>
          <w:b w:val="0"/>
          <w:bCs w:val="0"/>
        </w:rPr>
        <w:t xml:space="preserve">. This interpretation is consistent with previous studies </w:t>
      </w:r>
      <w:r w:rsidR="00430DA8">
        <w:rPr>
          <w:b w:val="0"/>
          <w:bCs w:val="0"/>
        </w:rPr>
        <w:fldChar w:fldCharType="begin"/>
      </w:r>
      <w:r w:rsidR="006F3581">
        <w:rPr>
          <w:b w:val="0"/>
          <w:bCs w:val="0"/>
        </w:rPr>
        <w:instrText xml:space="preserve"> ADDIN ZOTERO_ITEM CSL_CITATION {"citationID":"Sv2AsvrF","properties":{"formattedCitation":"(Drouard &amp; Cassou, 2019; Kug et al., 2010)","plainCitation":"(Drouard &amp; Cassou, 2019; Kug et al., 2010)","noteIndex":0},"citationItems":[{"id":77,"uris":["http://zotero.org/users/14197466/items/DD99W95H"],"itemData":{"id":77,"type":"article-journal","abstract":"Considerable uncertainties remain about the expected changes of ENSO and associated teleconnectivity as the climate is warming. Two ensembles of pacemaker experiments using the CNRM-CM5 coupled model are designed in a perfect model framework to contrast ENSO-forced teleconnectivity between the preindustrial period versus a warmer background state (obtained from a long stabilized simulation under late-twenty-first-century RCP8.5 constant forcing). The most notable sensitivity to the mean background state is found over the North Atlantic, where the ENSO–NAO teleconnection is considerably reinforced in a warmer world. We attribute this change to (i) a stronger and eastward-extended mean upper-level jet over the North Pacific, (ii) an eastward-shifted ENSO teleconnection over the North Pacific, and (iii) an equatorward-shifted and reinforced mean jet over the North Atlantic. These altogether act as a more efficient waveguide, leading to a better penetration of synoptic storms coming from the Pacific into the Atlantic. This downstream penetration into the North Atlantic basin forces more systematically the NAO through wave breaking. The reinforcement in the teleconnection is asymmetrical with respect to the ENSO phase and is mainly sensitive to La Niña events. Even though the Pacific jet tends to retract westward and move northward during cold events, mean changes are such that both Pacific and Atlantic jets remain connected in a warmer climate by contrast to the preindustrial period, thus ensuring preferred anticyclonic wave breaking downstream over the North Atlantic leading ultimately to NAO+ events.","container-title":"Journal of Climate","DOI":"https://doi.org/10.1175/JCLI-D-18-0803.1","issue":"23","language":"en","note":"section: Journal of Climate","page":"8047-8068","source":"journals.ametsoc.org","title":"A Modeling- and Process-Oriented Study to Investigate the Projected Change of ENSO-Forced Wintertime Teleconnectivity in a Warmer World","volume":"32","author":[{"family":"Drouard","given":"Marie"},{"family":"Cassou","given":"Christophe"}],"issued":{"date-parts":[["2019",12,1]]}}},{"id":85,"uris":["http://zotero.org/users/14197466/items/6JHE8J9Y"],"itemData":{"id":85,"type":"article-journal","abstract":"The change in the teleconnections of both El Niño and La Niña over the North Pacific and American regions due to a future greenhouse warming has been analyzed herein by means of diagnostics of the Intergovernmental Panel on Climate Change-Fourth Assessment Report (IPCC-AR4) coupled general circulation models (CGCMs). Among the IPCC-AR4 CGCM simulations, the composites of the eight-member multimodel ensemble are analyzed. In most CGCMs, the tropical Pacific warming due to the increase of CO2 concentration in the atmosphere promotes the main convection centers in the equatorial Pacific associated with both El Niño and La Niña to the east. The eastward shift of the convection center causes a systematic eastward shift of not only El Niño but also La Niña teleconnection patterns over the North Pacific and America, which is demonstrated in the composite maps of 500 hPa circulation, surface temperature, and the precipitation against El Niño and La Niña, as observed in a comparison between the pre-industrial and CO2 doubling experiments. Thus, a systematic eastward migration of convection centers in the tropical Pacific associated with both El Niño and La Niña due to a future global warming commonly causes the eastward shift of the atmospheric teleconnection patterns over the Northern Hemisphere.","container-title":"Theoretical and Applied Climatology","DOI":"10.1007/s00704-009-0183-0","ISSN":"1434-4483","issue":"3","journalAbbreviation":"Theor Appl Climatol","language":"en","page":"275-282","source":"Springer Link","title":"Changes in El Niño and La Niña teleconnections over North Pacific–America in the global warming simulations","volume":"100","author":[{"family":"Kug","given":"Jong-Seong"},{"family":"An","given":"Soon-Il"},{"family":"Ham","given":"Yoo-Geun"},{"family":"Kang","given":"In-Sik"}],"issued":{"date-parts":[["2010",5,1]]}}}],"schema":"https://github.com/citation-style-language/schema/raw/master/csl-citation.json"} </w:instrText>
      </w:r>
      <w:r w:rsidR="00430DA8">
        <w:rPr>
          <w:b w:val="0"/>
          <w:bCs w:val="0"/>
        </w:rPr>
        <w:fldChar w:fldCharType="separate"/>
      </w:r>
      <w:r w:rsidR="00E76EAE">
        <w:rPr>
          <w:b w:val="0"/>
          <w:bCs w:val="0"/>
          <w:noProof/>
        </w:rPr>
        <w:t>(Drouard &amp; Cassou, 2019; Kug et al., 2010)</w:t>
      </w:r>
      <w:r w:rsidR="00430DA8">
        <w:rPr>
          <w:b w:val="0"/>
          <w:bCs w:val="0"/>
        </w:rPr>
        <w:fldChar w:fldCharType="end"/>
      </w:r>
      <w:r w:rsidRPr="00DF4D75">
        <w:rPr>
          <w:b w:val="0"/>
          <w:bCs w:val="0"/>
        </w:rPr>
        <w:t xml:space="preserve">. </w:t>
      </w:r>
      <w:r w:rsidR="00601821">
        <w:rPr>
          <w:b w:val="0"/>
          <w:bCs w:val="0"/>
        </w:rPr>
        <w:t>It should be noted that</w:t>
      </w:r>
      <w:r w:rsidRPr="00DF4D75">
        <w:rPr>
          <w:b w:val="0"/>
          <w:bCs w:val="0"/>
        </w:rPr>
        <w:t>, since the</w:t>
      </w:r>
      <w:r w:rsidR="00601821">
        <w:rPr>
          <w:b w:val="0"/>
          <w:bCs w:val="0"/>
        </w:rPr>
        <w:t xml:space="preserve"> structure and</w:t>
      </w:r>
      <w:r w:rsidRPr="00DF4D75">
        <w:rPr>
          <w:b w:val="0"/>
          <w:bCs w:val="0"/>
        </w:rPr>
        <w:t xml:space="preserve"> </w:t>
      </w:r>
      <w:r w:rsidR="00601821">
        <w:rPr>
          <w:b w:val="0"/>
          <w:bCs w:val="0"/>
        </w:rPr>
        <w:t>magnitude</w:t>
      </w:r>
      <w:r w:rsidRPr="00DF4D75">
        <w:rPr>
          <w:b w:val="0"/>
          <w:bCs w:val="0"/>
        </w:rPr>
        <w:t xml:space="preserve"> of ENSO</w:t>
      </w:r>
      <w:r w:rsidR="00E36A47">
        <w:rPr>
          <w:b w:val="0"/>
          <w:bCs w:val="0"/>
        </w:rPr>
        <w:t>’s</w:t>
      </w:r>
      <w:r w:rsidRPr="00DF4D75">
        <w:rPr>
          <w:b w:val="0"/>
          <w:bCs w:val="0"/>
        </w:rPr>
        <w:t xml:space="preserve"> </w:t>
      </w:r>
      <w:r w:rsidR="00601821">
        <w:rPr>
          <w:b w:val="0"/>
          <w:bCs w:val="0"/>
        </w:rPr>
        <w:t>SST anomalies are</w:t>
      </w:r>
      <w:r w:rsidRPr="00DF4D75">
        <w:rPr>
          <w:b w:val="0"/>
          <w:bCs w:val="0"/>
        </w:rPr>
        <w:t xml:space="preserve"> the same </w:t>
      </w:r>
      <w:r w:rsidR="00601821">
        <w:rPr>
          <w:b w:val="0"/>
          <w:bCs w:val="0"/>
        </w:rPr>
        <w:t>between the</w:t>
      </w:r>
      <w:r w:rsidRPr="00DF4D75">
        <w:rPr>
          <w:b w:val="0"/>
          <w:bCs w:val="0"/>
        </w:rPr>
        <w:t xml:space="preserve"> </w:t>
      </w:r>
      <w:r w:rsidR="008344C1">
        <w:rPr>
          <w:b w:val="0"/>
          <w:bCs w:val="0"/>
        </w:rPr>
        <w:t>HIST</w:t>
      </w:r>
      <w:r w:rsidRPr="00DF4D75">
        <w:rPr>
          <w:b w:val="0"/>
          <w:bCs w:val="0"/>
        </w:rPr>
        <w:t xml:space="preserve"> and </w:t>
      </w:r>
      <w:r w:rsidR="008344C1">
        <w:rPr>
          <w:b w:val="0"/>
          <w:bCs w:val="0"/>
        </w:rPr>
        <w:t>+4K</w:t>
      </w:r>
      <w:r w:rsidRPr="00DF4D75">
        <w:rPr>
          <w:b w:val="0"/>
          <w:bCs w:val="0"/>
        </w:rPr>
        <w:t xml:space="preserve"> experiments, the change in atmospheric response </w:t>
      </w:r>
      <w:r w:rsidR="00601821">
        <w:rPr>
          <w:b w:val="0"/>
          <w:bCs w:val="0"/>
        </w:rPr>
        <w:t xml:space="preserve">is attributable to the background changes </w:t>
      </w:r>
      <w:r w:rsidRPr="00DF4D75">
        <w:rPr>
          <w:b w:val="0"/>
          <w:bCs w:val="0"/>
        </w:rPr>
        <w:t>associated with global warming.</w:t>
      </w:r>
    </w:p>
    <w:p w14:paraId="6753F79F" w14:textId="621DC6D6" w:rsidR="00DF4D75" w:rsidRDefault="00E67C2C" w:rsidP="006F623F">
      <w:pPr>
        <w:pStyle w:val="Heading-Main"/>
        <w:jc w:val="both"/>
        <w:rPr>
          <w:b w:val="0"/>
          <w:bCs w:val="0"/>
        </w:rPr>
      </w:pPr>
      <w:r>
        <w:rPr>
          <w:b w:val="0"/>
          <w:bCs w:val="0"/>
        </w:rPr>
        <w:t>Besides</w:t>
      </w:r>
      <w:r w:rsidR="00DF4D75" w:rsidRPr="00DF4D75">
        <w:rPr>
          <w:b w:val="0"/>
          <w:bCs w:val="0"/>
        </w:rPr>
        <w:t xml:space="preserve">, </w:t>
      </w:r>
      <w:r w:rsidR="0057277C">
        <w:rPr>
          <w:b w:val="0"/>
          <w:bCs w:val="0"/>
        </w:rPr>
        <w:t xml:space="preserve">changes in the background </w:t>
      </w:r>
      <w:r w:rsidR="00231461">
        <w:rPr>
          <w:b w:val="0"/>
          <w:bCs w:val="0"/>
        </w:rPr>
        <w:t>jet stream due to</w:t>
      </w:r>
      <w:r w:rsidR="0057277C">
        <w:rPr>
          <w:b w:val="0"/>
          <w:bCs w:val="0"/>
        </w:rPr>
        <w:t xml:space="preserve"> global warming may </w:t>
      </w:r>
      <w:r w:rsidR="00A40AAF">
        <w:rPr>
          <w:b w:val="0"/>
          <w:bCs w:val="0"/>
        </w:rPr>
        <w:t>affect the teleconnection of ENSO</w:t>
      </w:r>
      <w:r w:rsidR="0057277C">
        <w:rPr>
          <w:b w:val="0"/>
          <w:bCs w:val="0"/>
        </w:rPr>
        <w:t xml:space="preserve">. </w:t>
      </w:r>
      <w:r w:rsidR="00F7475F">
        <w:rPr>
          <w:b w:val="0"/>
          <w:bCs w:val="0"/>
        </w:rPr>
        <w:t xml:space="preserve">Figure </w:t>
      </w:r>
      <w:r w:rsidR="00A40AAF">
        <w:rPr>
          <w:b w:val="0"/>
          <w:bCs w:val="0"/>
        </w:rPr>
        <w:t>4</w:t>
      </w:r>
      <w:r w:rsidR="00DF4D75" w:rsidRPr="00DF4D75">
        <w:rPr>
          <w:b w:val="0"/>
          <w:bCs w:val="0"/>
        </w:rPr>
        <w:t xml:space="preserve"> suggests </w:t>
      </w:r>
      <w:r w:rsidR="00A40AAF">
        <w:rPr>
          <w:b w:val="0"/>
          <w:bCs w:val="0"/>
        </w:rPr>
        <w:t>a Rossby wave</w:t>
      </w:r>
      <w:r w:rsidR="00F7475F">
        <w:rPr>
          <w:b w:val="0"/>
          <w:bCs w:val="0"/>
        </w:rPr>
        <w:t xml:space="preserve"> </w:t>
      </w:r>
      <w:r w:rsidR="00DF4D75" w:rsidRPr="00DF4D75">
        <w:rPr>
          <w:b w:val="0"/>
          <w:bCs w:val="0"/>
        </w:rPr>
        <w:t>propagation</w:t>
      </w:r>
      <w:r w:rsidR="00A40AAF">
        <w:rPr>
          <w:b w:val="0"/>
          <w:bCs w:val="0"/>
        </w:rPr>
        <w:t xml:space="preserve"> pathway</w:t>
      </w:r>
      <w:r w:rsidR="00DF4D75" w:rsidRPr="00DF4D75">
        <w:rPr>
          <w:b w:val="0"/>
          <w:bCs w:val="0"/>
        </w:rPr>
        <w:t xml:space="preserve"> </w:t>
      </w:r>
      <w:r w:rsidR="00413330">
        <w:rPr>
          <w:b w:val="0"/>
          <w:bCs w:val="0"/>
        </w:rPr>
        <w:t>from</w:t>
      </w:r>
      <w:r w:rsidR="00DF4D75" w:rsidRPr="00DF4D75">
        <w:rPr>
          <w:b w:val="0"/>
          <w:bCs w:val="0"/>
        </w:rPr>
        <w:t xml:space="preserve"> the Pacific</w:t>
      </w:r>
      <w:r w:rsidR="00F7475F">
        <w:rPr>
          <w:b w:val="0"/>
          <w:bCs w:val="0"/>
        </w:rPr>
        <w:t xml:space="preserve"> midlatitude</w:t>
      </w:r>
      <w:r w:rsidR="00654901">
        <w:rPr>
          <w:b w:val="0"/>
          <w:bCs w:val="0"/>
        </w:rPr>
        <w:t xml:space="preserve"> jet</w:t>
      </w:r>
      <w:r w:rsidR="00DF4D75" w:rsidRPr="00DF4D75">
        <w:rPr>
          <w:b w:val="0"/>
          <w:bCs w:val="0"/>
        </w:rPr>
        <w:t xml:space="preserve"> and </w:t>
      </w:r>
      <w:r w:rsidR="00654901">
        <w:rPr>
          <w:b w:val="0"/>
          <w:bCs w:val="0"/>
        </w:rPr>
        <w:t xml:space="preserve">another pathway </w:t>
      </w:r>
      <w:r w:rsidR="00DF4D75" w:rsidRPr="00DF4D75">
        <w:rPr>
          <w:b w:val="0"/>
          <w:bCs w:val="0"/>
        </w:rPr>
        <w:t>from</w:t>
      </w:r>
      <w:r w:rsidR="00654901">
        <w:rPr>
          <w:b w:val="0"/>
          <w:bCs w:val="0"/>
        </w:rPr>
        <w:t xml:space="preserve"> the subtropical </w:t>
      </w:r>
      <w:r w:rsidR="00A40AAF">
        <w:rPr>
          <w:b w:val="0"/>
          <w:bCs w:val="0"/>
        </w:rPr>
        <w:t>North</w:t>
      </w:r>
      <w:r w:rsidR="00654901">
        <w:rPr>
          <w:b w:val="0"/>
          <w:bCs w:val="0"/>
        </w:rPr>
        <w:t>eastern Pacific through</w:t>
      </w:r>
      <w:r w:rsidR="00DF4D75" w:rsidRPr="00DF4D75">
        <w:rPr>
          <w:b w:val="0"/>
          <w:bCs w:val="0"/>
        </w:rPr>
        <w:t xml:space="preserve"> </w:t>
      </w:r>
      <w:r>
        <w:rPr>
          <w:b w:val="0"/>
          <w:bCs w:val="0"/>
        </w:rPr>
        <w:t>Central</w:t>
      </w:r>
      <w:r w:rsidR="00DF4D75" w:rsidRPr="00DF4D75">
        <w:rPr>
          <w:b w:val="0"/>
          <w:bCs w:val="0"/>
        </w:rPr>
        <w:t xml:space="preserve"> America to the North Atlantic. </w:t>
      </w:r>
      <w:r w:rsidR="00654901">
        <w:rPr>
          <w:b w:val="0"/>
          <w:bCs w:val="0"/>
        </w:rPr>
        <w:t>The +4K experiment indicates that</w:t>
      </w:r>
      <w:r w:rsidR="00DF4D75" w:rsidRPr="00DF4D75">
        <w:rPr>
          <w:b w:val="0"/>
          <w:bCs w:val="0"/>
        </w:rPr>
        <w:t xml:space="preserve"> the westerly winds strengthen</w:t>
      </w:r>
      <w:r w:rsidR="0027247E">
        <w:rPr>
          <w:b w:val="0"/>
          <w:bCs w:val="0"/>
        </w:rPr>
        <w:t xml:space="preserve"> over the </w:t>
      </w:r>
      <w:r w:rsidR="00A40AAF">
        <w:rPr>
          <w:b w:val="0"/>
          <w:bCs w:val="0"/>
        </w:rPr>
        <w:t>North</w:t>
      </w:r>
      <w:r w:rsidR="0027247E">
        <w:rPr>
          <w:b w:val="0"/>
          <w:bCs w:val="0"/>
        </w:rPr>
        <w:t>east</w:t>
      </w:r>
      <w:r w:rsidR="00654901">
        <w:rPr>
          <w:b w:val="0"/>
          <w:bCs w:val="0"/>
        </w:rPr>
        <w:t>ern</w:t>
      </w:r>
      <w:r w:rsidR="0027247E">
        <w:rPr>
          <w:b w:val="0"/>
          <w:bCs w:val="0"/>
        </w:rPr>
        <w:t xml:space="preserve"> Pacific</w:t>
      </w:r>
      <w:r w:rsidR="00654901">
        <w:rPr>
          <w:b w:val="0"/>
          <w:bCs w:val="0"/>
        </w:rPr>
        <w:t xml:space="preserve"> and better</w:t>
      </w:r>
      <w:r w:rsidR="00DF4D75" w:rsidRPr="00DF4D75">
        <w:rPr>
          <w:b w:val="0"/>
          <w:bCs w:val="0"/>
        </w:rPr>
        <w:t xml:space="preserve"> connect the jets </w:t>
      </w:r>
      <w:r w:rsidR="00654901">
        <w:rPr>
          <w:b w:val="0"/>
          <w:bCs w:val="0"/>
        </w:rPr>
        <w:t>of</w:t>
      </w:r>
      <w:r w:rsidR="00DF4D75" w:rsidRPr="00DF4D75">
        <w:rPr>
          <w:b w:val="0"/>
          <w:bCs w:val="0"/>
        </w:rPr>
        <w:t xml:space="preserve"> the two ocean basins</w:t>
      </w:r>
      <w:r>
        <w:rPr>
          <w:b w:val="0"/>
          <w:bCs w:val="0"/>
        </w:rPr>
        <w:t xml:space="preserve"> (Figure S</w:t>
      </w:r>
      <w:r w:rsidR="00A40AAF">
        <w:rPr>
          <w:b w:val="0"/>
          <w:bCs w:val="0"/>
        </w:rPr>
        <w:t>5</w:t>
      </w:r>
      <w:r>
        <w:rPr>
          <w:b w:val="0"/>
          <w:bCs w:val="0"/>
        </w:rPr>
        <w:t>)</w:t>
      </w:r>
      <w:r w:rsidR="00FE3DB3">
        <w:rPr>
          <w:b w:val="0"/>
          <w:bCs w:val="0"/>
        </w:rPr>
        <w:t xml:space="preserve">. </w:t>
      </w:r>
      <w:r w:rsidR="00654901">
        <w:rPr>
          <w:b w:val="0"/>
          <w:bCs w:val="0"/>
        </w:rPr>
        <w:t>This implies an enhanced</w:t>
      </w:r>
      <w:r w:rsidR="00DF4D75" w:rsidRPr="00DF4D75">
        <w:rPr>
          <w:b w:val="0"/>
          <w:bCs w:val="0"/>
        </w:rPr>
        <w:t xml:space="preserve"> propagation of Rossby waves from the Pacific to the Atlanti</w:t>
      </w:r>
      <w:r w:rsidR="00365512">
        <w:rPr>
          <w:b w:val="0"/>
          <w:bCs w:val="0"/>
        </w:rPr>
        <w:t xml:space="preserve">c </w:t>
      </w:r>
      <w:r w:rsidR="00365512">
        <w:rPr>
          <w:b w:val="0"/>
          <w:bCs w:val="0"/>
        </w:rPr>
        <w:fldChar w:fldCharType="begin"/>
      </w:r>
      <w:r w:rsidR="006F3581">
        <w:rPr>
          <w:b w:val="0"/>
          <w:bCs w:val="0"/>
        </w:rPr>
        <w:instrText xml:space="preserve"> ADDIN ZOTERO_ITEM CSL_CITATION {"citationID":"CLsXYRuW","properties":{"formattedCitation":"(Drouard &amp; Cassou, 2019)","plainCitation":"(Drouard &amp; Cassou, 2019)","noteIndex":0},"citationItems":[{"id":77,"uris":["http://zotero.org/users/14197466/items/DD99W95H"],"itemData":{"id":77,"type":"article-journal","abstract":"Considerable uncertainties remain about the expected changes of ENSO and associated teleconnectivity as the climate is warming. Two ensembles of pacemaker experiments using the CNRM-CM5 coupled model are designed in a perfect model framework to contrast ENSO-forced teleconnectivity between the preindustrial period versus a warmer background state (obtained from a long stabilized simulation under late-twenty-first-century RCP8.5 constant forcing). The most notable sensitivity to the mean background state is found over the North Atlantic, where the ENSO–NAO teleconnection is considerably reinforced in a warmer world. We attribute this change to (i) a stronger and eastward-extended mean upper-level jet over the North Pacific, (ii) an eastward-shifted ENSO teleconnection over the North Pacific, and (iii) an equatorward-shifted and reinforced mean jet over the North Atlantic. These altogether act as a more efficient waveguide, leading to a better penetration of synoptic storms coming from the Pacific into the Atlantic. This downstream penetration into the North Atlantic basin forces more systematically the NAO through wave breaking. The reinforcement in the teleconnection is asymmetrical with respect to the ENSO phase and is mainly sensitive to La Niña events. Even though the Pacific jet tends to retract westward and move northward during cold events, mean changes are such that both Pacific and Atlantic jets remain connected in a warmer climate by contrast to the preindustrial period, thus ensuring preferred anticyclonic wave breaking downstream over the North Atlantic leading ultimately to NAO+ events.","container-title":"Journal of Climate","DOI":"https://doi.org/10.1175/JCLI-D-18-0803.1","issue":"23","language":"en","note":"section: Journal of Climate","page":"8047-8068","source":"journals.ametsoc.org","title":"A Modeling- and Process-Oriented Study to Investigate the Projected Change of ENSO-Forced Wintertime Teleconnectivity in a Warmer World","volume":"32","author":[{"family":"Drouard","given":"Marie"},{"family":"Cassou","given":"Christophe"}],"issued":{"date-parts":[["2019",12,1]]}}}],"schema":"https://github.com/citation-style-language/schema/raw/master/csl-citation.json"} </w:instrText>
      </w:r>
      <w:r w:rsidR="00365512">
        <w:rPr>
          <w:b w:val="0"/>
          <w:bCs w:val="0"/>
        </w:rPr>
        <w:fldChar w:fldCharType="separate"/>
      </w:r>
      <w:r w:rsidR="00365512">
        <w:rPr>
          <w:b w:val="0"/>
          <w:bCs w:val="0"/>
          <w:noProof/>
        </w:rPr>
        <w:t>(Drouard &amp; Cassou, 2019)</w:t>
      </w:r>
      <w:r w:rsidR="00365512">
        <w:rPr>
          <w:b w:val="0"/>
          <w:bCs w:val="0"/>
        </w:rPr>
        <w:fldChar w:fldCharType="end"/>
      </w:r>
      <w:r w:rsidR="00DF4D75" w:rsidRPr="00DF4D75">
        <w:rPr>
          <w:b w:val="0"/>
          <w:bCs w:val="0"/>
        </w:rPr>
        <w:t xml:space="preserve">. </w:t>
      </w:r>
      <w:r w:rsidR="00A40AAF">
        <w:rPr>
          <w:b w:val="0"/>
          <w:bCs w:val="0"/>
        </w:rPr>
        <w:t>A detailed</w:t>
      </w:r>
      <w:r w:rsidR="00DF4D75" w:rsidRPr="00DF4D75">
        <w:rPr>
          <w:b w:val="0"/>
          <w:bCs w:val="0"/>
        </w:rPr>
        <w:t xml:space="preserve"> investigation </w:t>
      </w:r>
      <w:r w:rsidR="00A40AAF">
        <w:rPr>
          <w:b w:val="0"/>
          <w:bCs w:val="0"/>
        </w:rPr>
        <w:t xml:space="preserve">to verify this hypothesis is left for future </w:t>
      </w:r>
      <w:r w:rsidR="00096F09">
        <w:rPr>
          <w:b w:val="0"/>
          <w:bCs w:val="0"/>
        </w:rPr>
        <w:t>work</w:t>
      </w:r>
      <w:r w:rsidR="00DF4D75" w:rsidRPr="00DF4D75">
        <w:rPr>
          <w:b w:val="0"/>
          <w:bCs w:val="0"/>
        </w:rPr>
        <w:t>.</w:t>
      </w:r>
    </w:p>
    <w:p w14:paraId="24457390" w14:textId="16DE8C46" w:rsidR="003005DC" w:rsidRDefault="004C715E" w:rsidP="006F623F">
      <w:pPr>
        <w:pStyle w:val="Heading-Main"/>
        <w:jc w:val="both"/>
        <w:rPr>
          <w:b w:val="0"/>
          <w:bCs w:val="0"/>
          <w:lang w:eastAsia="ja-JP"/>
        </w:rPr>
      </w:pPr>
      <w:r>
        <w:rPr>
          <w:b w:val="0"/>
          <w:bCs w:val="0"/>
          <w:lang w:eastAsia="ja-JP"/>
        </w:rPr>
        <w:t xml:space="preserve">The above hypotheses </w:t>
      </w:r>
      <w:r w:rsidR="00CD1C0C">
        <w:rPr>
          <w:b w:val="0"/>
          <w:bCs w:val="0"/>
          <w:lang w:eastAsia="ja-JP"/>
        </w:rPr>
        <w:t>depend on</w:t>
      </w:r>
      <w:r>
        <w:rPr>
          <w:b w:val="0"/>
          <w:bCs w:val="0"/>
          <w:lang w:eastAsia="ja-JP"/>
        </w:rPr>
        <w:t xml:space="preserve"> the spatial pattern of </w:t>
      </w:r>
      <w:r w:rsidR="00AA040E">
        <w:rPr>
          <w:b w:val="0"/>
          <w:bCs w:val="0"/>
          <w:lang w:eastAsia="ja-JP"/>
        </w:rPr>
        <w:t xml:space="preserve">SST </w:t>
      </w:r>
      <w:r w:rsidR="00DF4D75" w:rsidRPr="00DF4D75">
        <w:rPr>
          <w:b w:val="0"/>
          <w:bCs w:val="0"/>
          <w:lang w:eastAsia="ja-JP"/>
        </w:rPr>
        <w:t>warming. For each of the six</w:t>
      </w:r>
      <w:r w:rsidR="00AA040E">
        <w:rPr>
          <w:b w:val="0"/>
          <w:bCs w:val="0"/>
          <w:lang w:eastAsia="ja-JP"/>
        </w:rPr>
        <w:t xml:space="preserve"> </w:t>
      </w:r>
      <w:r w:rsidR="00DF4D75" w:rsidRPr="00DF4D75">
        <w:rPr>
          <w:b w:val="0"/>
          <w:bCs w:val="0"/>
          <w:lang w:eastAsia="ja-JP"/>
        </w:rPr>
        <w:t>warming patterns</w:t>
      </w:r>
      <w:r>
        <w:rPr>
          <w:b w:val="0"/>
          <w:bCs w:val="0"/>
          <w:lang w:eastAsia="ja-JP"/>
        </w:rPr>
        <w:t xml:space="preserve"> imposed to +4K</w:t>
      </w:r>
      <w:r w:rsidR="00DF4D75" w:rsidRPr="00DF4D75">
        <w:rPr>
          <w:b w:val="0"/>
          <w:bCs w:val="0"/>
          <w:lang w:eastAsia="ja-JP"/>
        </w:rPr>
        <w:t xml:space="preserve"> (Figure </w:t>
      </w:r>
      <w:r w:rsidR="00F7475F">
        <w:rPr>
          <w:b w:val="0"/>
          <w:bCs w:val="0"/>
          <w:lang w:eastAsia="ja-JP"/>
        </w:rPr>
        <w:t>S1</w:t>
      </w:r>
      <w:r w:rsidR="00DF4D75" w:rsidRPr="00DF4D75">
        <w:rPr>
          <w:rFonts w:hint="eastAsia"/>
          <w:b w:val="0"/>
          <w:bCs w:val="0"/>
          <w:lang w:eastAsia="ja-JP"/>
        </w:rPr>
        <w:t>)</w:t>
      </w:r>
      <w:r w:rsidR="00DF4D75" w:rsidRPr="00DF4D75">
        <w:rPr>
          <w:b w:val="0"/>
          <w:bCs w:val="0"/>
          <w:lang w:eastAsia="ja-JP"/>
        </w:rPr>
        <w:t xml:space="preserve">, we separately define the NAM index </w:t>
      </w:r>
      <w:r w:rsidR="000E56C0">
        <w:rPr>
          <w:b w:val="0"/>
          <w:bCs w:val="0"/>
          <w:lang w:eastAsia="ja-JP"/>
        </w:rPr>
        <w:t>by</w:t>
      </w:r>
      <w:r w:rsidR="00DF4D75" w:rsidRPr="00DF4D75">
        <w:rPr>
          <w:b w:val="0"/>
          <w:bCs w:val="0"/>
          <w:lang w:eastAsia="ja-JP"/>
        </w:rPr>
        <w:t xml:space="preserve"> the same procedure</w:t>
      </w:r>
      <w:r>
        <w:rPr>
          <w:b w:val="0"/>
          <w:bCs w:val="0"/>
          <w:lang w:eastAsia="ja-JP"/>
        </w:rPr>
        <w:t xml:space="preserve"> and </w:t>
      </w:r>
      <w:r w:rsidR="00CD1C0C">
        <w:rPr>
          <w:b w:val="0"/>
          <w:bCs w:val="0"/>
          <w:lang w:eastAsia="ja-JP"/>
        </w:rPr>
        <w:t>evaluate</w:t>
      </w:r>
      <w:r>
        <w:rPr>
          <w:b w:val="0"/>
          <w:bCs w:val="0"/>
          <w:lang w:eastAsia="ja-JP"/>
        </w:rPr>
        <w:t xml:space="preserve"> the NAM-ENSO correlation</w:t>
      </w:r>
      <w:r w:rsidR="00DF4D75" w:rsidRPr="00DF4D75">
        <w:rPr>
          <w:b w:val="0"/>
          <w:bCs w:val="0"/>
          <w:lang w:eastAsia="ja-JP"/>
        </w:rPr>
        <w:t xml:space="preserve">. </w:t>
      </w:r>
      <w:r w:rsidR="00E85A22">
        <w:rPr>
          <w:b w:val="0"/>
          <w:bCs w:val="0"/>
          <w:lang w:eastAsia="ja-JP"/>
        </w:rPr>
        <w:t xml:space="preserve">We focus on </w:t>
      </w:r>
      <w:r w:rsidR="00F7475F">
        <w:rPr>
          <w:b w:val="0"/>
          <w:bCs w:val="0"/>
          <w:lang w:eastAsia="ja-JP"/>
        </w:rPr>
        <w:t>the pattern of</w:t>
      </w:r>
      <w:r>
        <w:rPr>
          <w:b w:val="0"/>
          <w:bCs w:val="0"/>
          <w:lang w:eastAsia="ja-JP"/>
        </w:rPr>
        <w:t xml:space="preserve"> equatorial Pacific</w:t>
      </w:r>
      <w:r w:rsidR="00E85A22">
        <w:rPr>
          <w:b w:val="0"/>
          <w:bCs w:val="0"/>
          <w:lang w:eastAsia="ja-JP"/>
        </w:rPr>
        <w:t xml:space="preserve"> warming</w:t>
      </w:r>
      <w:r>
        <w:rPr>
          <w:b w:val="0"/>
          <w:bCs w:val="0"/>
          <w:lang w:eastAsia="ja-JP"/>
        </w:rPr>
        <w:t>, namely whether it</w:t>
      </w:r>
      <w:r w:rsidR="00E85A22">
        <w:rPr>
          <w:b w:val="0"/>
          <w:bCs w:val="0"/>
          <w:lang w:eastAsia="ja-JP"/>
        </w:rPr>
        <w:t xml:space="preserve"> is El Niño-like or not. </w:t>
      </w:r>
      <w:r w:rsidR="003375E4">
        <w:rPr>
          <w:b w:val="0"/>
          <w:bCs w:val="0"/>
          <w:lang w:eastAsia="ja-JP"/>
        </w:rPr>
        <w:t>Figure S</w:t>
      </w:r>
      <w:r w:rsidR="00CD1C0C">
        <w:rPr>
          <w:b w:val="0"/>
          <w:bCs w:val="0"/>
          <w:lang w:eastAsia="ja-JP"/>
        </w:rPr>
        <w:t>6</w:t>
      </w:r>
      <w:r w:rsidR="003375E4">
        <w:rPr>
          <w:b w:val="0"/>
          <w:bCs w:val="0"/>
          <w:lang w:eastAsia="ja-JP"/>
        </w:rPr>
        <w:t xml:space="preserve"> </w:t>
      </w:r>
      <w:r w:rsidR="00CD1C0C">
        <w:rPr>
          <w:b w:val="0"/>
          <w:bCs w:val="0"/>
          <w:lang w:eastAsia="ja-JP"/>
        </w:rPr>
        <w:t>examines the relationship</w:t>
      </w:r>
      <w:r w:rsidR="003375E4">
        <w:rPr>
          <w:b w:val="0"/>
          <w:bCs w:val="0"/>
          <w:lang w:eastAsia="ja-JP"/>
        </w:rPr>
        <w:t xml:space="preserve"> between</w:t>
      </w:r>
      <w:r w:rsidR="00DF4D75" w:rsidRPr="00DF4D75">
        <w:rPr>
          <w:b w:val="0"/>
          <w:bCs w:val="0"/>
          <w:lang w:eastAsia="ja-JP"/>
        </w:rPr>
        <w:t xml:space="preserve"> the climatological</w:t>
      </w:r>
      <w:r>
        <w:rPr>
          <w:b w:val="0"/>
          <w:bCs w:val="0"/>
          <w:lang w:eastAsia="ja-JP"/>
        </w:rPr>
        <w:t xml:space="preserve"> </w:t>
      </w:r>
      <w:r w:rsidR="00CD1C0C">
        <w:rPr>
          <w:b w:val="0"/>
          <w:bCs w:val="0"/>
          <w:lang w:eastAsia="ja-JP"/>
        </w:rPr>
        <w:t xml:space="preserve">equatorial Pacific </w:t>
      </w:r>
      <w:r>
        <w:rPr>
          <w:b w:val="0"/>
          <w:bCs w:val="0"/>
          <w:lang w:eastAsia="ja-JP"/>
        </w:rPr>
        <w:t>zonal</w:t>
      </w:r>
      <w:r w:rsidR="00DF4D75" w:rsidRPr="00DF4D75">
        <w:rPr>
          <w:b w:val="0"/>
          <w:bCs w:val="0"/>
          <w:lang w:eastAsia="ja-JP"/>
        </w:rPr>
        <w:t xml:space="preserve"> SST gradient</w:t>
      </w:r>
      <w:r w:rsidR="003375E4">
        <w:rPr>
          <w:b w:val="0"/>
          <w:bCs w:val="0"/>
          <w:lang w:eastAsia="ja-JP"/>
        </w:rPr>
        <w:t xml:space="preserve"> change and</w:t>
      </w:r>
      <w:r w:rsidR="00DF4D75" w:rsidRPr="00DF4D75">
        <w:rPr>
          <w:b w:val="0"/>
          <w:bCs w:val="0"/>
          <w:lang w:eastAsia="ja-JP"/>
        </w:rPr>
        <w:t xml:space="preserve"> the correlation </w:t>
      </w:r>
      <w:r>
        <w:rPr>
          <w:b w:val="0"/>
          <w:bCs w:val="0"/>
          <w:lang w:eastAsia="ja-JP"/>
        </w:rPr>
        <w:t>of</w:t>
      </w:r>
      <w:r w:rsidR="00DF4D75" w:rsidRPr="00DF4D75">
        <w:rPr>
          <w:b w:val="0"/>
          <w:bCs w:val="0"/>
          <w:lang w:eastAsia="ja-JP"/>
        </w:rPr>
        <w:t xml:space="preserve"> the ensemble-averaged NAM</w:t>
      </w:r>
      <w:r>
        <w:rPr>
          <w:b w:val="0"/>
          <w:bCs w:val="0"/>
          <w:lang w:eastAsia="ja-JP"/>
        </w:rPr>
        <w:t xml:space="preserve"> with ENSO</w:t>
      </w:r>
      <w:r w:rsidR="00365512">
        <w:rPr>
          <w:b w:val="0"/>
          <w:bCs w:val="0"/>
          <w:lang w:eastAsia="ja-JP"/>
        </w:rPr>
        <w:t xml:space="preserve"> in December</w:t>
      </w:r>
      <w:r w:rsidR="00DF4D75" w:rsidRPr="00DF4D75">
        <w:rPr>
          <w:b w:val="0"/>
          <w:bCs w:val="0"/>
          <w:lang w:eastAsia="ja-JP"/>
        </w:rPr>
        <w:t>. Although the sample size is small, a negative</w:t>
      </w:r>
      <w:r w:rsidR="000666C0">
        <w:rPr>
          <w:b w:val="0"/>
          <w:bCs w:val="0"/>
          <w:lang w:eastAsia="ja-JP"/>
        </w:rPr>
        <w:t xml:space="preserve"> inter-warming pattern</w:t>
      </w:r>
      <w:r w:rsidR="00DF4D75" w:rsidRPr="00DF4D75">
        <w:rPr>
          <w:b w:val="0"/>
          <w:bCs w:val="0"/>
          <w:lang w:eastAsia="ja-JP"/>
        </w:rPr>
        <w:t xml:space="preserve"> correlation is </w:t>
      </w:r>
      <w:r>
        <w:rPr>
          <w:b w:val="0"/>
          <w:bCs w:val="0"/>
          <w:lang w:eastAsia="ja-JP"/>
        </w:rPr>
        <w:t>clear</w:t>
      </w:r>
      <w:r w:rsidR="00DF4D75" w:rsidRPr="00DF4D75">
        <w:rPr>
          <w:b w:val="0"/>
          <w:bCs w:val="0"/>
          <w:lang w:eastAsia="ja-JP"/>
        </w:rPr>
        <w:t xml:space="preserve">, </w:t>
      </w:r>
      <w:r w:rsidR="000666C0">
        <w:rPr>
          <w:b w:val="0"/>
          <w:bCs w:val="0"/>
          <w:lang w:eastAsia="ja-JP"/>
        </w:rPr>
        <w:t>where the El Niño-like warming pattern tends to have a stronger NAM-ENSO correlation</w:t>
      </w:r>
      <w:r>
        <w:rPr>
          <w:b w:val="0"/>
          <w:bCs w:val="0"/>
          <w:lang w:eastAsia="ja-JP"/>
        </w:rPr>
        <w:t xml:space="preserve">. </w:t>
      </w:r>
      <w:r w:rsidR="005002C0">
        <w:rPr>
          <w:b w:val="0"/>
          <w:bCs w:val="0"/>
          <w:lang w:eastAsia="ja-JP"/>
        </w:rPr>
        <w:t>T</w:t>
      </w:r>
      <w:r>
        <w:rPr>
          <w:b w:val="0"/>
          <w:bCs w:val="0"/>
          <w:lang w:eastAsia="ja-JP"/>
        </w:rPr>
        <w:t>he El Niño-like background SST warming causes the eastward shift of the</w:t>
      </w:r>
      <w:r w:rsidR="000666C0">
        <w:rPr>
          <w:b w:val="0"/>
          <w:bCs w:val="0"/>
          <w:lang w:eastAsia="ja-JP"/>
        </w:rPr>
        <w:t xml:space="preserve"> ENSO</w:t>
      </w:r>
      <w:r>
        <w:rPr>
          <w:b w:val="0"/>
          <w:bCs w:val="0"/>
          <w:lang w:eastAsia="ja-JP"/>
        </w:rPr>
        <w:t xml:space="preserve"> convection anomalies </w:t>
      </w:r>
      <w:r w:rsidR="001E1CFF">
        <w:rPr>
          <w:b w:val="0"/>
          <w:bCs w:val="0"/>
          <w:lang w:eastAsia="ja-JP"/>
        </w:rPr>
        <w:fldChar w:fldCharType="begin"/>
      </w:r>
      <w:r w:rsidR="001E1CFF">
        <w:rPr>
          <w:b w:val="0"/>
          <w:bCs w:val="0"/>
          <w:lang w:eastAsia="ja-JP"/>
        </w:rPr>
        <w:instrText xml:space="preserve"> ADDIN ZOTERO_ITEM CSL_CITATION {"citationID":"tmJVvU6D","properties":{"formattedCitation":"(Bayr et al., 2014)","plainCitation":"(Bayr et al., 2014)","noteIndex":0},"citationItems":[{"id":187,"uris":["http://zotero.org/users/14197466/items/YHKY35WQ"],"itemData":{"id":187,"type":"article-journal","abstract":"This study investigates the global warming response of the Walker Circulation and the other zonal circulation cells (represented by the zonal stream function), in CMIP3 and CMIP5 climate models. The changes in the mean state are presented as well as the changes in the modes of variability. The mean zonal circulation weakens in the multi model ensembles nearly everywhere along the equator under both the RCP4.5 and SRES A1B scenarios. Over the Pacific the Walker Circulation also shows a significant eastward shift. These changes in the mean circulation are very similar to the leading mode of interannual variability in the tropical zonal circulation cells, which is dominated by El Niño Southern Oscillation variability. During an El Niño event the circulation weakens and the rising branch over the Maritime Continent shifts to the east in comparison to neutral conditions (vice versa for a La Niña event). Two-thirds of the global warming forced trend of the Walker Circulation can be explained by a long-term trend in this interannual variability pattern, i.e. a shift towards more El Niño-like conditions in the multi-model mean under global warming. Further, interannual variability in the zonal circulation exhibits an asymmetry between El Niño and La Niña events. El Niño anomalies are located more to the east compared with La Niña anomalies. Consistent with this asymmetry we find a shift to the east of the dominant mode of variability of zonal stream function under global warming. All these results vary among the individual models, but the multi model ensembles of CMIP3 and CMIP5 show in nearly all aspects very similar results, which underline the robustness of these results. The observed data (ERA Interim reanalysis) from 1979 to 2012 shows a westward shift and strengthening of the Walker Circulation. This is opposite to what the results in the CMIP models reveal. However, 75 % of the trend of the Walker Circulation can again be explained by a shift of the dominant mode of variability, but here towards more La Niña-like conditions. Thus in both climate change projections and observations the long-term trends of the Walker Circulation seem to follow to a large part the pre-existing dominant mode of internal variability.","container-title":"Climate Dynamics","DOI":"10.1007/s00382-014-2091-y","ISSN":"1432-0894","issue":"9","journalAbbreviation":"Clim Dyn","language":"en","page":"2747-2763","source":"Springer Link","title":"The eastward shift of the Walker Circulation in response to global warming and its relationship to ENSO variability","volume":"43","author":[{"family":"Bayr","given":"Tobias"},{"family":"Dommenget","given":"Dietmar"},{"family":"Martin","given":"Thomas"},{"family":"Power","given":"Scott B."}],"issued":{"date-parts":[["2014",11,1]]}}}],"schema":"https://github.com/citation-style-language/schema/raw/master/csl-citation.json"} </w:instrText>
      </w:r>
      <w:r w:rsidR="001E1CFF">
        <w:rPr>
          <w:b w:val="0"/>
          <w:bCs w:val="0"/>
          <w:lang w:eastAsia="ja-JP"/>
        </w:rPr>
        <w:fldChar w:fldCharType="separate"/>
      </w:r>
      <w:r w:rsidR="001E1CFF">
        <w:rPr>
          <w:b w:val="0"/>
          <w:bCs w:val="0"/>
          <w:noProof/>
          <w:lang w:eastAsia="ja-JP"/>
        </w:rPr>
        <w:t>(Bayr et al., 2014)</w:t>
      </w:r>
      <w:r w:rsidR="001E1CFF">
        <w:rPr>
          <w:b w:val="0"/>
          <w:bCs w:val="0"/>
          <w:lang w:eastAsia="ja-JP"/>
        </w:rPr>
        <w:fldChar w:fldCharType="end"/>
      </w:r>
      <w:r w:rsidR="001E1CFF">
        <w:rPr>
          <w:b w:val="0"/>
          <w:bCs w:val="0"/>
          <w:lang w:eastAsia="ja-JP"/>
        </w:rPr>
        <w:t>,</w:t>
      </w:r>
      <w:r w:rsidR="009F2BC9">
        <w:rPr>
          <w:b w:val="0"/>
          <w:bCs w:val="0"/>
          <w:lang w:eastAsia="ja-JP"/>
        </w:rPr>
        <w:t xml:space="preserve"> letting</w:t>
      </w:r>
      <w:r w:rsidR="001E1CFF">
        <w:rPr>
          <w:b w:val="0"/>
          <w:bCs w:val="0"/>
          <w:lang w:eastAsia="ja-JP"/>
        </w:rPr>
        <w:t xml:space="preserve"> the ENSO teleconnection reach f</w:t>
      </w:r>
      <w:r w:rsidR="001811E5">
        <w:rPr>
          <w:b w:val="0"/>
          <w:bCs w:val="0"/>
          <w:lang w:eastAsia="ja-JP"/>
        </w:rPr>
        <w:t>a</w:t>
      </w:r>
      <w:r w:rsidR="001E1CFF">
        <w:rPr>
          <w:b w:val="0"/>
          <w:bCs w:val="0"/>
          <w:lang w:eastAsia="ja-JP"/>
        </w:rPr>
        <w:t>rther eastward</w:t>
      </w:r>
      <w:r w:rsidR="003005DC">
        <w:rPr>
          <w:b w:val="0"/>
          <w:bCs w:val="0"/>
          <w:lang w:eastAsia="ja-JP"/>
        </w:rPr>
        <w:t>.</w:t>
      </w:r>
      <w:r>
        <w:rPr>
          <w:b w:val="0"/>
          <w:bCs w:val="0"/>
          <w:lang w:eastAsia="ja-JP"/>
        </w:rPr>
        <w:t xml:space="preserve"> </w:t>
      </w:r>
      <w:r w:rsidR="00F7475F">
        <w:rPr>
          <w:b w:val="0"/>
          <w:bCs w:val="0"/>
          <w:lang w:eastAsia="ja-JP"/>
        </w:rPr>
        <w:t>Besides</w:t>
      </w:r>
      <w:r w:rsidR="00FC09F7">
        <w:rPr>
          <w:b w:val="0"/>
          <w:bCs w:val="0"/>
          <w:lang w:eastAsia="ja-JP"/>
        </w:rPr>
        <w:t xml:space="preserve">, </w:t>
      </w:r>
      <w:r w:rsidR="00FD30C3">
        <w:rPr>
          <w:b w:val="0"/>
          <w:bCs w:val="0"/>
          <w:lang w:eastAsia="ja-JP"/>
        </w:rPr>
        <w:t>El Niño-like SST warming leads to deepening the</w:t>
      </w:r>
      <w:r w:rsidR="00E34210">
        <w:rPr>
          <w:b w:val="0"/>
          <w:bCs w:val="0"/>
          <w:lang w:eastAsia="ja-JP"/>
        </w:rPr>
        <w:t xml:space="preserve"> climatological</w:t>
      </w:r>
      <w:r w:rsidR="00FD30C3">
        <w:rPr>
          <w:b w:val="0"/>
          <w:bCs w:val="0"/>
          <w:lang w:eastAsia="ja-JP"/>
        </w:rPr>
        <w:t xml:space="preserve"> AL and acce</w:t>
      </w:r>
      <w:r w:rsidR="00E34210">
        <w:rPr>
          <w:b w:val="0"/>
          <w:bCs w:val="0"/>
          <w:lang w:eastAsia="ja-JP"/>
        </w:rPr>
        <w:t>ler</w:t>
      </w:r>
      <w:r w:rsidR="00FD30C3">
        <w:rPr>
          <w:b w:val="0"/>
          <w:bCs w:val="0"/>
          <w:lang w:eastAsia="ja-JP"/>
        </w:rPr>
        <w:t xml:space="preserve">ating the Pacific jet stream </w:t>
      </w:r>
      <w:r w:rsidR="00FD30C3">
        <w:rPr>
          <w:b w:val="0"/>
          <w:bCs w:val="0"/>
          <w:lang w:eastAsia="ja-JP"/>
        </w:rPr>
        <w:fldChar w:fldCharType="begin"/>
      </w:r>
      <w:r w:rsidR="006F3581">
        <w:rPr>
          <w:b w:val="0"/>
          <w:bCs w:val="0"/>
          <w:lang w:eastAsia="ja-JP"/>
        </w:rPr>
        <w:instrText xml:space="preserve"> ADDIN ZOTERO_ITEM CSL_CITATION {"citationID":"fXTS7hBN","properties":{"formattedCitation":"(Gan et al., 2017)","plainCitation":"(Gan et al., 2017)","noteIndex":0},"citationItems":[{"id":53,"uris":["http://zotero.org/users/14197466/items/3BGI29B2"],"itemData":{"id":53,"type":"article-journal","abstract":"Past and future changes in the Aleutian low are investigated by using observation-based sea level pressure (SLP) datasets and CMIP5 models. It is found that the Aleutian low intensity, measured by the North Pacific Index (NPI), has significantly strengthened during the twentieth century, with the observed centennial trend double the modeled counterpart for the multimodel average of historical simulations, suggesting compound signals of anthropogenic warming and natural variability. As climate warms under the strongest future warming scenario, the climatological-mean Aleutian low will continue to intensify and expand northward, as manifested in the significant decrease (</w:instrText>
      </w:r>
      <w:r w:rsidR="006F3581">
        <w:rPr>
          <w:rFonts w:hint="eastAsia"/>
          <w:b w:val="0"/>
          <w:bCs w:val="0"/>
          <w:lang w:eastAsia="ja-JP"/>
        </w:rPr>
        <w:instrText>−</w:instrText>
      </w:r>
      <w:r w:rsidR="006F3581">
        <w:rPr>
          <w:b w:val="0"/>
          <w:bCs w:val="0"/>
          <w:lang w:eastAsia="ja-JP"/>
        </w:rPr>
        <w:instrText xml:space="preserve">1.3 hPa) of the multimodel-averaged NPI, which is 1.6 times its unforced internal variability, and the increase in the central area of low pressure (SLP &lt; 999.0 hPa), which expands about 7 times that in the twentieth century. A suite of idealized experiments further demonstrates that the deepening of the Aleutian low can be driven by an El Niño–like warming of the tropical Pacific sea surface temperature (SST), with a reduction in the climatological-mean zonal SST gradient, which overshadows the dampening effect of a weakened wintertime land–ocean thermal contrast on the Aleutian low change in a warmer climate. While the projected deepening of Aleutian low on multimodel average is robust, individual model portrayals vary primarily in magnitude. Intermodel difference in surface warming amplitude over the Asian continent, which is found to explain about 31% of the variance of the NPI changes across models, has a greater contribution than that in the spatial pattern of tropical Pacific SST warming (which explains about 23%) to model uncertainty in the projection of Aleutian low intensity.","container-title":"Journal of Climate","DOI":"https://doi.org/10.1175/JCLI-D-15-0789.1","issue":"10","language":"en","note":"section: Journal of Climate","page":"3907-3925","source":"journals.ametsoc.org","title":"On the Response of the Aleutian Low to Greenhouse Warming","volume":"30","author":[{"family":"Gan","given":"Bolan"},{"family":"Wu","given":"Lixin"},{"family":"Jia","given":"Fan"},{"family":"Li","given":"Shujun"},{"family":"Cai","given":"Wenju"},{"family":"Nakamura","given":"Hisashi"},{"family":"Alexander","given":"Michael A."},{"family":"Miller","given":"Arthur J."}],"issued":{"date-parts":[["2017",5,15]]}}}],"schema":"https://github.com/citation-style-language/schema/raw/master/csl-citation.json"} </w:instrText>
      </w:r>
      <w:r w:rsidR="00FD30C3">
        <w:rPr>
          <w:b w:val="0"/>
          <w:bCs w:val="0"/>
          <w:lang w:eastAsia="ja-JP"/>
        </w:rPr>
        <w:fldChar w:fldCharType="separate"/>
      </w:r>
      <w:r w:rsidR="00FD30C3">
        <w:rPr>
          <w:b w:val="0"/>
          <w:bCs w:val="0"/>
          <w:noProof/>
          <w:lang w:eastAsia="ja-JP"/>
        </w:rPr>
        <w:t>(Gan et al., 2017)</w:t>
      </w:r>
      <w:r w:rsidR="00FD30C3">
        <w:rPr>
          <w:b w:val="0"/>
          <w:bCs w:val="0"/>
          <w:lang w:eastAsia="ja-JP"/>
        </w:rPr>
        <w:fldChar w:fldCharType="end"/>
      </w:r>
      <w:r w:rsidR="00365512" w:rsidRPr="00365512">
        <w:rPr>
          <w:b w:val="0"/>
          <w:bCs w:val="0"/>
          <w:color w:val="000000" w:themeColor="text1"/>
          <w:lang w:eastAsia="ja-JP"/>
        </w:rPr>
        <w:t>,</w:t>
      </w:r>
      <w:r w:rsidR="00FC09F7" w:rsidRPr="00365512">
        <w:rPr>
          <w:b w:val="0"/>
          <w:bCs w:val="0"/>
          <w:color w:val="000000" w:themeColor="text1"/>
          <w:lang w:eastAsia="ja-JP"/>
        </w:rPr>
        <w:t xml:space="preserve"> </w:t>
      </w:r>
      <w:r w:rsidR="000F6F0B">
        <w:rPr>
          <w:b w:val="0"/>
          <w:bCs w:val="0"/>
          <w:lang w:eastAsia="ja-JP"/>
        </w:rPr>
        <w:t xml:space="preserve">which </w:t>
      </w:r>
      <w:r w:rsidR="00F553EC">
        <w:rPr>
          <w:b w:val="0"/>
          <w:bCs w:val="0"/>
          <w:lang w:eastAsia="ja-JP"/>
        </w:rPr>
        <w:t>can</w:t>
      </w:r>
      <w:r w:rsidR="000F6F0B">
        <w:rPr>
          <w:b w:val="0"/>
          <w:bCs w:val="0"/>
          <w:lang w:eastAsia="ja-JP"/>
        </w:rPr>
        <w:t xml:space="preserve"> </w:t>
      </w:r>
      <w:r w:rsidR="00083E6C">
        <w:rPr>
          <w:b w:val="0"/>
          <w:bCs w:val="0"/>
          <w:lang w:eastAsia="ja-JP"/>
        </w:rPr>
        <w:t>enhance</w:t>
      </w:r>
      <w:r w:rsidR="000F6F0B">
        <w:rPr>
          <w:b w:val="0"/>
          <w:bCs w:val="0"/>
          <w:lang w:eastAsia="ja-JP"/>
        </w:rPr>
        <w:t xml:space="preserve"> the teleconnection toward the North Atlantic</w:t>
      </w:r>
      <w:r>
        <w:rPr>
          <w:b w:val="0"/>
          <w:bCs w:val="0"/>
          <w:lang w:eastAsia="ja-JP"/>
        </w:rPr>
        <w:t>.</w:t>
      </w:r>
    </w:p>
    <w:p w14:paraId="69D87446" w14:textId="626865D1" w:rsidR="002F3B11" w:rsidRDefault="002F3B11" w:rsidP="006F623F">
      <w:pPr>
        <w:pStyle w:val="Heading-Main"/>
        <w:jc w:val="both"/>
        <w:rPr>
          <w:lang w:eastAsia="ja-JP"/>
        </w:rPr>
      </w:pPr>
      <w:r>
        <w:t>5 Conclusions</w:t>
      </w:r>
    </w:p>
    <w:p w14:paraId="6BB13E9E" w14:textId="1C2A6D06" w:rsidR="001F32B8" w:rsidRDefault="00423AF4" w:rsidP="006F623F">
      <w:pPr>
        <w:pStyle w:val="Heading-Main"/>
        <w:jc w:val="both"/>
        <w:rPr>
          <w:b w:val="0"/>
          <w:bCs w:val="0"/>
          <w:lang w:eastAsia="ja-JP"/>
        </w:rPr>
      </w:pPr>
      <w:r>
        <w:rPr>
          <w:b w:val="0"/>
          <w:bCs w:val="0"/>
          <w:lang w:eastAsia="ja-JP"/>
        </w:rPr>
        <w:t>T</w:t>
      </w:r>
      <w:r w:rsidR="00F43C4E" w:rsidRPr="00F43C4E">
        <w:rPr>
          <w:b w:val="0"/>
          <w:bCs w:val="0"/>
          <w:lang w:eastAsia="ja-JP"/>
        </w:rPr>
        <w:t>his study investigate</w:t>
      </w:r>
      <w:r>
        <w:rPr>
          <w:b w:val="0"/>
          <w:bCs w:val="0"/>
          <w:lang w:eastAsia="ja-JP"/>
        </w:rPr>
        <w:t>s</w:t>
      </w:r>
      <w:r w:rsidR="00F43C4E" w:rsidRPr="00F43C4E">
        <w:rPr>
          <w:b w:val="0"/>
          <w:bCs w:val="0"/>
          <w:lang w:eastAsia="ja-JP"/>
        </w:rPr>
        <w:t xml:space="preserve"> the</w:t>
      </w:r>
      <w:r>
        <w:rPr>
          <w:b w:val="0"/>
          <w:bCs w:val="0"/>
          <w:lang w:eastAsia="ja-JP"/>
        </w:rPr>
        <w:t xml:space="preserve"> NAM</w:t>
      </w:r>
      <w:r w:rsidR="00F43C4E" w:rsidRPr="00F43C4E">
        <w:rPr>
          <w:b w:val="0"/>
          <w:bCs w:val="0"/>
          <w:lang w:eastAsia="ja-JP"/>
        </w:rPr>
        <w:t xml:space="preserve"> seasonality and its </w:t>
      </w:r>
      <w:r w:rsidR="00092709">
        <w:rPr>
          <w:b w:val="0"/>
          <w:bCs w:val="0"/>
          <w:lang w:eastAsia="ja-JP"/>
        </w:rPr>
        <w:t>modulations</w:t>
      </w:r>
      <w:r w:rsidR="00F43C4E" w:rsidRPr="00F43C4E">
        <w:rPr>
          <w:b w:val="0"/>
          <w:bCs w:val="0"/>
          <w:lang w:eastAsia="ja-JP"/>
        </w:rPr>
        <w:t xml:space="preserve"> </w:t>
      </w:r>
      <w:r w:rsidR="00EB28AF">
        <w:rPr>
          <w:b w:val="0"/>
          <w:bCs w:val="0"/>
          <w:lang w:eastAsia="ja-JP"/>
        </w:rPr>
        <w:t>under</w:t>
      </w:r>
      <w:r w:rsidR="00F43C4E" w:rsidRPr="00F43C4E">
        <w:rPr>
          <w:b w:val="0"/>
          <w:bCs w:val="0"/>
          <w:lang w:eastAsia="ja-JP"/>
        </w:rPr>
        <w:t xml:space="preserve"> global warming</w:t>
      </w:r>
      <w:r>
        <w:rPr>
          <w:b w:val="0"/>
          <w:bCs w:val="0"/>
          <w:lang w:eastAsia="ja-JP"/>
        </w:rPr>
        <w:t>,</w:t>
      </w:r>
      <w:r w:rsidR="00F43C4E" w:rsidRPr="00F43C4E">
        <w:rPr>
          <w:b w:val="0"/>
          <w:bCs w:val="0"/>
          <w:lang w:eastAsia="ja-JP"/>
        </w:rPr>
        <w:t xml:space="preserve"> using </w:t>
      </w:r>
      <w:r w:rsidR="00092709">
        <w:rPr>
          <w:b w:val="0"/>
          <w:bCs w:val="0"/>
          <w:lang w:eastAsia="ja-JP"/>
        </w:rPr>
        <w:t xml:space="preserve">a </w:t>
      </w:r>
      <w:r w:rsidR="00F43C4E" w:rsidRPr="00F43C4E">
        <w:rPr>
          <w:b w:val="0"/>
          <w:bCs w:val="0"/>
          <w:lang w:eastAsia="ja-JP"/>
        </w:rPr>
        <w:t xml:space="preserve">large ensemble </w:t>
      </w:r>
      <w:r>
        <w:rPr>
          <w:b w:val="0"/>
          <w:bCs w:val="0"/>
          <w:lang w:eastAsia="ja-JP"/>
        </w:rPr>
        <w:t>AGCM</w:t>
      </w:r>
      <w:r w:rsidR="000A029D">
        <w:rPr>
          <w:b w:val="0"/>
          <w:bCs w:val="0"/>
          <w:lang w:eastAsia="ja-JP"/>
        </w:rPr>
        <w:t xml:space="preserve"> </w:t>
      </w:r>
      <w:r w:rsidR="00F43C4E" w:rsidRPr="00F43C4E">
        <w:rPr>
          <w:b w:val="0"/>
          <w:bCs w:val="0"/>
          <w:lang w:eastAsia="ja-JP"/>
        </w:rPr>
        <w:t>simulation data</w:t>
      </w:r>
      <w:r w:rsidR="000A029D">
        <w:rPr>
          <w:b w:val="0"/>
          <w:bCs w:val="0"/>
          <w:lang w:eastAsia="ja-JP"/>
        </w:rPr>
        <w:t>set</w:t>
      </w:r>
      <w:r w:rsidR="00092709">
        <w:rPr>
          <w:b w:val="0"/>
          <w:bCs w:val="0"/>
          <w:lang w:eastAsia="ja-JP"/>
        </w:rPr>
        <w:t xml:space="preserve"> d4PDF</w:t>
      </w:r>
      <w:r w:rsidR="00F43C4E" w:rsidRPr="00F43C4E">
        <w:rPr>
          <w:b w:val="0"/>
          <w:bCs w:val="0"/>
          <w:lang w:eastAsia="ja-JP"/>
        </w:rPr>
        <w:t xml:space="preserve">. </w:t>
      </w:r>
      <w:r w:rsidR="000A029D">
        <w:rPr>
          <w:b w:val="0"/>
          <w:bCs w:val="0"/>
          <w:lang w:eastAsia="ja-JP"/>
        </w:rPr>
        <w:t>T</w:t>
      </w:r>
      <w:r w:rsidR="00FF1C2A">
        <w:rPr>
          <w:b w:val="0"/>
          <w:bCs w:val="0"/>
          <w:lang w:eastAsia="ja-JP"/>
        </w:rPr>
        <w:t>he HIST</w:t>
      </w:r>
      <w:r w:rsidR="00F43C4E" w:rsidRPr="00F43C4E">
        <w:rPr>
          <w:b w:val="0"/>
          <w:bCs w:val="0"/>
          <w:lang w:eastAsia="ja-JP"/>
        </w:rPr>
        <w:t xml:space="preserve"> experiment</w:t>
      </w:r>
      <w:r w:rsidR="000A029D">
        <w:rPr>
          <w:b w:val="0"/>
          <w:bCs w:val="0"/>
          <w:lang w:eastAsia="ja-JP"/>
        </w:rPr>
        <w:t xml:space="preserve"> confirms that </w:t>
      </w:r>
      <w:r w:rsidR="00F43C4E" w:rsidRPr="00F43C4E">
        <w:rPr>
          <w:b w:val="0"/>
          <w:bCs w:val="0"/>
          <w:lang w:eastAsia="ja-JP"/>
        </w:rPr>
        <w:t xml:space="preserve">the </w:t>
      </w:r>
      <w:r w:rsidR="00BB5CE9">
        <w:rPr>
          <w:b w:val="0"/>
          <w:bCs w:val="0"/>
          <w:lang w:eastAsia="ja-JP"/>
        </w:rPr>
        <w:t>AL anomaly</w:t>
      </w:r>
      <w:r w:rsidR="00F43C4E" w:rsidRPr="00F43C4E">
        <w:rPr>
          <w:b w:val="0"/>
          <w:bCs w:val="0"/>
          <w:lang w:eastAsia="ja-JP"/>
        </w:rPr>
        <w:t xml:space="preserve"> associated with NAM strengthens from earl</w:t>
      </w:r>
      <w:r w:rsidR="00BB5CE9">
        <w:rPr>
          <w:b w:val="0"/>
          <w:bCs w:val="0"/>
          <w:lang w:eastAsia="ja-JP"/>
        </w:rPr>
        <w:t>y</w:t>
      </w:r>
      <w:r w:rsidR="00F43C4E" w:rsidRPr="00F43C4E">
        <w:rPr>
          <w:b w:val="0"/>
          <w:bCs w:val="0"/>
          <w:lang w:eastAsia="ja-JP"/>
        </w:rPr>
        <w:t xml:space="preserve"> to late winter (Figure</w:t>
      </w:r>
      <w:r w:rsidR="00BA3546">
        <w:rPr>
          <w:b w:val="0"/>
          <w:bCs w:val="0"/>
          <w:lang w:eastAsia="ja-JP"/>
        </w:rPr>
        <w:t>s</w:t>
      </w:r>
      <w:r w:rsidR="00F43C4E" w:rsidRPr="00F43C4E">
        <w:rPr>
          <w:b w:val="0"/>
          <w:bCs w:val="0"/>
          <w:lang w:eastAsia="ja-JP"/>
        </w:rPr>
        <w:t xml:space="preserve"> 1e-h). </w:t>
      </w:r>
      <w:r w:rsidR="003D7EB1">
        <w:rPr>
          <w:b w:val="0"/>
          <w:bCs w:val="0"/>
          <w:lang w:eastAsia="ja-JP"/>
        </w:rPr>
        <w:t xml:space="preserve">We show an enhanced AL anomaly throughout winter in a warmer climate (Figures 1i-l). </w:t>
      </w:r>
      <w:r w:rsidR="000A029D">
        <w:rPr>
          <w:b w:val="0"/>
          <w:bCs w:val="0"/>
          <w:lang w:eastAsia="ja-JP"/>
        </w:rPr>
        <w:t>Th</w:t>
      </w:r>
      <w:r w:rsidR="00B57D2E">
        <w:rPr>
          <w:b w:val="0"/>
          <w:bCs w:val="0"/>
          <w:lang w:eastAsia="ja-JP"/>
        </w:rPr>
        <w:t>is</w:t>
      </w:r>
      <w:r w:rsidR="00E31BAD">
        <w:rPr>
          <w:b w:val="0"/>
          <w:bCs w:val="0"/>
          <w:lang w:eastAsia="ja-JP"/>
        </w:rPr>
        <w:t xml:space="preserve"> </w:t>
      </w:r>
      <w:r w:rsidR="00797607">
        <w:rPr>
          <w:b w:val="0"/>
          <w:bCs w:val="0"/>
          <w:lang w:eastAsia="ja-JP"/>
        </w:rPr>
        <w:t>change</w:t>
      </w:r>
      <w:r w:rsidR="005B0C12">
        <w:rPr>
          <w:b w:val="0"/>
          <w:bCs w:val="0"/>
          <w:lang w:eastAsia="ja-JP"/>
        </w:rPr>
        <w:t xml:space="preserve"> is</w:t>
      </w:r>
      <w:r w:rsidR="00F43C4E" w:rsidRPr="00F43C4E">
        <w:rPr>
          <w:b w:val="0"/>
          <w:bCs w:val="0"/>
          <w:lang w:eastAsia="ja-JP"/>
        </w:rPr>
        <w:t xml:space="preserve"> related to the </w:t>
      </w:r>
      <w:r w:rsidR="00F553EC">
        <w:rPr>
          <w:b w:val="0"/>
          <w:bCs w:val="0"/>
          <w:lang w:eastAsia="ja-JP"/>
        </w:rPr>
        <w:t xml:space="preserve">seasonally </w:t>
      </w:r>
      <w:r w:rsidR="00797607">
        <w:rPr>
          <w:b w:val="0"/>
          <w:bCs w:val="0"/>
          <w:lang w:eastAsia="ja-JP"/>
        </w:rPr>
        <w:t>earlier emergence</w:t>
      </w:r>
      <w:r w:rsidR="00B57D2E">
        <w:rPr>
          <w:b w:val="0"/>
          <w:bCs w:val="0"/>
          <w:lang w:eastAsia="ja-JP"/>
        </w:rPr>
        <w:t xml:space="preserve"> and strengthening</w:t>
      </w:r>
      <w:r w:rsidR="00F43C4E" w:rsidRPr="00F43C4E">
        <w:rPr>
          <w:b w:val="0"/>
          <w:bCs w:val="0"/>
          <w:lang w:eastAsia="ja-JP"/>
        </w:rPr>
        <w:t xml:space="preserve"> of the </w:t>
      </w:r>
      <w:r w:rsidR="00E31BAD">
        <w:rPr>
          <w:b w:val="0"/>
          <w:bCs w:val="0"/>
          <w:lang w:eastAsia="ja-JP"/>
        </w:rPr>
        <w:t>AIS</w:t>
      </w:r>
      <w:r w:rsidR="00F43C4E" w:rsidRPr="00F43C4E">
        <w:rPr>
          <w:b w:val="0"/>
          <w:bCs w:val="0"/>
          <w:lang w:eastAsia="ja-JP"/>
        </w:rPr>
        <w:t xml:space="preserve"> (Figure 2). </w:t>
      </w:r>
      <w:r w:rsidR="001F32B8">
        <w:rPr>
          <w:b w:val="0"/>
          <w:bCs w:val="0"/>
          <w:lang w:eastAsia="ja-JP"/>
        </w:rPr>
        <w:t xml:space="preserve">Our results </w:t>
      </w:r>
      <w:r w:rsidR="00277775">
        <w:rPr>
          <w:b w:val="0"/>
          <w:bCs w:val="0"/>
          <w:lang w:eastAsia="ja-JP"/>
        </w:rPr>
        <w:t>demonstrate</w:t>
      </w:r>
      <w:r w:rsidR="001F32B8">
        <w:rPr>
          <w:b w:val="0"/>
          <w:bCs w:val="0"/>
          <w:lang w:eastAsia="ja-JP"/>
        </w:rPr>
        <w:t xml:space="preserve"> that</w:t>
      </w:r>
      <w:r w:rsidR="0027212B">
        <w:rPr>
          <w:b w:val="0"/>
          <w:bCs w:val="0"/>
          <w:lang w:eastAsia="ja-JP"/>
        </w:rPr>
        <w:t xml:space="preserve"> </w:t>
      </w:r>
      <w:r w:rsidR="001F32B8">
        <w:rPr>
          <w:b w:val="0"/>
          <w:bCs w:val="0"/>
          <w:lang w:eastAsia="ja-JP"/>
        </w:rPr>
        <w:t>the ENSO teleconnection reaches farther eastward</w:t>
      </w:r>
      <w:r w:rsidR="0027212B">
        <w:rPr>
          <w:b w:val="0"/>
          <w:bCs w:val="0"/>
          <w:lang w:eastAsia="ja-JP"/>
        </w:rPr>
        <w:t xml:space="preserve"> with global warming</w:t>
      </w:r>
      <w:r w:rsidR="001F32B8">
        <w:rPr>
          <w:b w:val="0"/>
          <w:bCs w:val="0"/>
          <w:lang w:eastAsia="ja-JP"/>
        </w:rPr>
        <w:t xml:space="preserve"> and changes the </w:t>
      </w:r>
      <w:r w:rsidR="0027212B">
        <w:rPr>
          <w:b w:val="0"/>
          <w:bCs w:val="0"/>
          <w:lang w:eastAsia="ja-JP"/>
        </w:rPr>
        <w:t xml:space="preserve">AIS </w:t>
      </w:r>
      <w:r w:rsidR="001F32B8">
        <w:rPr>
          <w:b w:val="0"/>
          <w:bCs w:val="0"/>
          <w:lang w:eastAsia="ja-JP"/>
        </w:rPr>
        <w:t xml:space="preserve">seasonality and </w:t>
      </w:r>
      <w:r w:rsidR="0027212B">
        <w:rPr>
          <w:b w:val="0"/>
          <w:bCs w:val="0"/>
          <w:lang w:eastAsia="ja-JP"/>
        </w:rPr>
        <w:t xml:space="preserve">strength </w:t>
      </w:r>
      <w:r w:rsidR="001F32B8">
        <w:rPr>
          <w:b w:val="0"/>
          <w:bCs w:val="0"/>
          <w:lang w:eastAsia="ja-JP"/>
        </w:rPr>
        <w:t xml:space="preserve">(Figure </w:t>
      </w:r>
      <w:r w:rsidR="009E6426">
        <w:rPr>
          <w:b w:val="0"/>
          <w:bCs w:val="0"/>
          <w:lang w:eastAsia="ja-JP"/>
        </w:rPr>
        <w:t>4</w:t>
      </w:r>
      <w:r w:rsidR="001F32B8">
        <w:rPr>
          <w:b w:val="0"/>
          <w:bCs w:val="0"/>
          <w:lang w:eastAsia="ja-JP"/>
        </w:rPr>
        <w:t xml:space="preserve">, Table 1). The linkage between NAM and </w:t>
      </w:r>
      <w:r w:rsidR="001F32B8">
        <w:rPr>
          <w:b w:val="0"/>
          <w:bCs w:val="0"/>
          <w:lang w:eastAsia="ja-JP"/>
        </w:rPr>
        <w:lastRenderedPageBreak/>
        <w:t>ENSO strengthens, leading to the increas</w:t>
      </w:r>
      <w:r w:rsidR="0027212B">
        <w:rPr>
          <w:b w:val="0"/>
          <w:bCs w:val="0"/>
          <w:lang w:eastAsia="ja-JP"/>
        </w:rPr>
        <w:t>ed</w:t>
      </w:r>
      <w:r w:rsidR="001F32B8">
        <w:rPr>
          <w:b w:val="0"/>
          <w:bCs w:val="0"/>
          <w:lang w:eastAsia="ja-JP"/>
        </w:rPr>
        <w:t xml:space="preserve"> proportion of NAM variance driven by SST and sea ice variability (</w:t>
      </w:r>
      <w:r w:rsidR="007A09D3">
        <w:rPr>
          <w:b w:val="0"/>
          <w:bCs w:val="0"/>
          <w:lang w:eastAsia="ja-JP"/>
        </w:rPr>
        <w:t xml:space="preserve">Figure 3, </w:t>
      </w:r>
      <w:r w:rsidR="001F32B8">
        <w:rPr>
          <w:b w:val="0"/>
          <w:bCs w:val="0"/>
          <w:lang w:eastAsia="ja-JP"/>
        </w:rPr>
        <w:t>Table 1).</w:t>
      </w:r>
    </w:p>
    <w:p w14:paraId="57820E49" w14:textId="66980067" w:rsidR="00A84BB5" w:rsidRPr="00A84BB5" w:rsidRDefault="00A84BB5" w:rsidP="006F623F">
      <w:pPr>
        <w:pStyle w:val="Heading-Main"/>
        <w:jc w:val="both"/>
        <w:rPr>
          <w:b w:val="0"/>
          <w:bCs w:val="0"/>
          <w:lang w:eastAsia="ja-JP"/>
        </w:rPr>
      </w:pPr>
      <w:r>
        <w:rPr>
          <w:b w:val="0"/>
          <w:bCs w:val="0"/>
          <w:lang w:eastAsia="ja-JP"/>
        </w:rPr>
        <w:t xml:space="preserve">The modulation in the NAM under global warming is </w:t>
      </w:r>
      <w:proofErr w:type="gramStart"/>
      <w:r>
        <w:rPr>
          <w:b w:val="0"/>
          <w:bCs w:val="0"/>
          <w:lang w:eastAsia="ja-JP"/>
        </w:rPr>
        <w:t>similar to</w:t>
      </w:r>
      <w:proofErr w:type="gramEnd"/>
      <w:r>
        <w:rPr>
          <w:b w:val="0"/>
          <w:bCs w:val="0"/>
          <w:lang w:eastAsia="ja-JP"/>
        </w:rPr>
        <w:t xml:space="preserve"> the change from early to late winter. In the historical climate, the NAM seasonality is affected by a </w:t>
      </w:r>
      <w:proofErr w:type="gramStart"/>
      <w:r>
        <w:rPr>
          <w:b w:val="0"/>
          <w:bCs w:val="0"/>
          <w:lang w:eastAsia="ja-JP"/>
        </w:rPr>
        <w:t>contrasting  ENSO</w:t>
      </w:r>
      <w:proofErr w:type="gramEnd"/>
      <w:r>
        <w:rPr>
          <w:b w:val="0"/>
          <w:bCs w:val="0"/>
          <w:lang w:eastAsia="ja-JP"/>
        </w:rPr>
        <w:t>-NAO teleconnection between early and late winter. Global warming leads to a seasonally consistent ENSO-NAO correlation, altering the NAM more like the late winter situation in the present climate.</w:t>
      </w:r>
    </w:p>
    <w:p w14:paraId="16610EA7" w14:textId="4103D7AC" w:rsidR="003A34C6" w:rsidRDefault="00602E6A" w:rsidP="00F055F1">
      <w:pPr>
        <w:pStyle w:val="Heading-Main"/>
        <w:jc w:val="both"/>
        <w:rPr>
          <w:b w:val="0"/>
          <w:bCs w:val="0"/>
          <w:lang w:eastAsia="ja-JP"/>
        </w:rPr>
      </w:pPr>
      <w:r>
        <w:rPr>
          <w:b w:val="0"/>
          <w:bCs w:val="0"/>
          <w:lang w:eastAsia="ja-JP"/>
        </w:rPr>
        <w:t>It should be noted</w:t>
      </w:r>
      <w:r w:rsidR="00F43C4E" w:rsidRPr="00F43C4E">
        <w:rPr>
          <w:b w:val="0"/>
          <w:bCs w:val="0"/>
          <w:lang w:eastAsia="ja-JP"/>
        </w:rPr>
        <w:t xml:space="preserve"> that this study </w:t>
      </w:r>
      <w:r w:rsidR="003A34C6">
        <w:rPr>
          <w:b w:val="0"/>
          <w:bCs w:val="0"/>
          <w:lang w:eastAsia="ja-JP"/>
        </w:rPr>
        <w:t>benefits from the use of</w:t>
      </w:r>
      <w:r w:rsidR="00F43C4E" w:rsidRPr="00F43C4E">
        <w:rPr>
          <w:b w:val="0"/>
          <w:bCs w:val="0"/>
          <w:lang w:eastAsia="ja-JP"/>
        </w:rPr>
        <w:t xml:space="preserve"> a single </w:t>
      </w:r>
      <w:r w:rsidR="00423AF4">
        <w:rPr>
          <w:b w:val="0"/>
          <w:bCs w:val="0"/>
          <w:lang w:eastAsia="ja-JP"/>
        </w:rPr>
        <w:t>AGCM</w:t>
      </w:r>
      <w:r w:rsidR="003A34C6">
        <w:rPr>
          <w:b w:val="0"/>
          <w:bCs w:val="0"/>
          <w:lang w:eastAsia="ja-JP"/>
        </w:rPr>
        <w:t xml:space="preserve"> large ensemble</w:t>
      </w:r>
      <w:r w:rsidR="00F43C4E" w:rsidRPr="00F43C4E">
        <w:rPr>
          <w:b w:val="0"/>
          <w:bCs w:val="0"/>
          <w:lang w:eastAsia="ja-JP"/>
        </w:rPr>
        <w:t xml:space="preserve">. </w:t>
      </w:r>
      <w:r w:rsidR="003A34C6">
        <w:rPr>
          <w:b w:val="0"/>
          <w:bCs w:val="0"/>
          <w:lang w:eastAsia="ja-JP"/>
        </w:rPr>
        <w:t>First, the ensemble average represents the component driven by SST and sea ice variability. Evaluation of the influence of sea surface condition variability on total NAM variance is thus straightforward. Second</w:t>
      </w:r>
      <w:r w:rsidR="000C2C95">
        <w:rPr>
          <w:b w:val="0"/>
          <w:bCs w:val="0"/>
          <w:lang w:eastAsia="ja-JP"/>
        </w:rPr>
        <w:t>, since SST variability is common between HIST and +4K, any change in NAM variability is attributable to changes in the background condition. Yet, validation is necessary to determine whether these results</w:t>
      </w:r>
      <w:r w:rsidR="00746552">
        <w:rPr>
          <w:b w:val="0"/>
          <w:bCs w:val="0"/>
          <w:lang w:eastAsia="ja-JP"/>
        </w:rPr>
        <w:t xml:space="preserve"> are robust in other models. </w:t>
      </w:r>
      <w:proofErr w:type="gramStart"/>
      <w:r w:rsidR="000C2C95">
        <w:rPr>
          <w:b w:val="0"/>
          <w:bCs w:val="0"/>
          <w:lang w:eastAsia="ja-JP"/>
        </w:rPr>
        <w:t xml:space="preserve">In particular, </w:t>
      </w:r>
      <w:r w:rsidR="000D4C69">
        <w:rPr>
          <w:b w:val="0"/>
          <w:bCs w:val="0"/>
          <w:lang w:eastAsia="ja-JP"/>
        </w:rPr>
        <w:t>it</w:t>
      </w:r>
      <w:proofErr w:type="gramEnd"/>
      <w:r w:rsidR="000D4C69">
        <w:rPr>
          <w:b w:val="0"/>
          <w:bCs w:val="0"/>
          <w:lang w:eastAsia="ja-JP"/>
        </w:rPr>
        <w:t xml:space="preserve"> is worth investigating </w:t>
      </w:r>
      <w:r w:rsidR="000C2C95">
        <w:rPr>
          <w:b w:val="0"/>
          <w:bCs w:val="0"/>
          <w:lang w:eastAsia="ja-JP"/>
        </w:rPr>
        <w:t xml:space="preserve">whether the NAM changes identified in this study are </w:t>
      </w:r>
      <w:r w:rsidR="0068110D">
        <w:rPr>
          <w:b w:val="0"/>
          <w:bCs w:val="0"/>
          <w:lang w:eastAsia="ja-JP"/>
        </w:rPr>
        <w:t xml:space="preserve">common in other AGCMs and whether they are robust </w:t>
      </w:r>
      <w:r w:rsidR="000C2C95">
        <w:rPr>
          <w:b w:val="0"/>
          <w:bCs w:val="0"/>
          <w:lang w:eastAsia="ja-JP"/>
        </w:rPr>
        <w:t>against diverse changes in ENSO’s SST anomalies in coupled models.</w:t>
      </w:r>
    </w:p>
    <w:p w14:paraId="20286275" w14:textId="77777777" w:rsidR="003B198C" w:rsidRDefault="00995CAA" w:rsidP="006F623F">
      <w:pPr>
        <w:shd w:val="clear" w:color="auto" w:fill="FFFFFF"/>
        <w:spacing w:before="240"/>
        <w:jc w:val="both"/>
        <w:rPr>
          <w:rFonts w:eastAsia="Times New Roman"/>
          <w:b/>
          <w:bCs/>
          <w:color w:val="262626"/>
          <w:sz w:val="24"/>
          <w:szCs w:val="24"/>
        </w:rPr>
      </w:pPr>
      <w:r w:rsidRPr="00995CAA">
        <w:rPr>
          <w:rFonts w:eastAsia="Times New Roman"/>
          <w:b/>
          <w:bCs/>
          <w:color w:val="262626"/>
          <w:sz w:val="24"/>
          <w:szCs w:val="24"/>
        </w:rPr>
        <w:t>Acknowledgments</w:t>
      </w:r>
    </w:p>
    <w:p w14:paraId="6119FAA2" w14:textId="6B0D340A" w:rsidR="00995CAA" w:rsidRPr="003B198C" w:rsidRDefault="00D9358B" w:rsidP="003B198C">
      <w:pPr>
        <w:shd w:val="clear" w:color="auto" w:fill="FFFFFF"/>
        <w:spacing w:before="240"/>
        <w:jc w:val="both"/>
        <w:rPr>
          <w:rFonts w:eastAsia="Times New Roman"/>
          <w:b/>
          <w:bCs/>
          <w:color w:val="262626"/>
          <w:sz w:val="24"/>
          <w:szCs w:val="24"/>
        </w:rPr>
      </w:pPr>
      <w:r>
        <w:rPr>
          <w:rFonts w:eastAsia="Times New Roman"/>
          <w:sz w:val="24"/>
          <w:szCs w:val="24"/>
        </w:rPr>
        <w:t xml:space="preserve">The authors thank Mr. </w:t>
      </w:r>
      <w:proofErr w:type="spellStart"/>
      <w:r>
        <w:rPr>
          <w:rFonts w:eastAsia="Times New Roman"/>
          <w:sz w:val="24"/>
          <w:szCs w:val="24"/>
        </w:rPr>
        <w:t>Kento</w:t>
      </w:r>
      <w:proofErr w:type="spellEnd"/>
      <w:r>
        <w:rPr>
          <w:rFonts w:eastAsia="Times New Roman"/>
          <w:sz w:val="24"/>
          <w:szCs w:val="24"/>
        </w:rPr>
        <w:t xml:space="preserve"> Usui (The </w:t>
      </w:r>
      <w:proofErr w:type="spellStart"/>
      <w:r>
        <w:rPr>
          <w:rFonts w:eastAsia="Times New Roman"/>
          <w:sz w:val="24"/>
          <w:szCs w:val="24"/>
        </w:rPr>
        <w:t>Univerisity</w:t>
      </w:r>
      <w:proofErr w:type="spellEnd"/>
      <w:r>
        <w:rPr>
          <w:rFonts w:eastAsia="Times New Roman"/>
          <w:sz w:val="24"/>
          <w:szCs w:val="24"/>
        </w:rPr>
        <w:t xml:space="preserve"> of Tokyo) for his help in the initial stage of this study. </w:t>
      </w:r>
      <w:r w:rsidR="001427DB">
        <w:rPr>
          <w:rFonts w:eastAsia="Times New Roman"/>
          <w:sz w:val="24"/>
          <w:szCs w:val="24"/>
        </w:rPr>
        <w:t>This work is supported by the Japan Ministry of Education, Culture, Sports, Science, and Technology through the advanced studies of climate change projection (SENTAN: Grant Number JPMXD</w:t>
      </w:r>
      <w:r w:rsidR="001427DB" w:rsidRPr="001427DB">
        <w:rPr>
          <w:rFonts w:eastAsia="Times New Roman"/>
          <w:sz w:val="24"/>
          <w:szCs w:val="24"/>
        </w:rPr>
        <w:t>0722680395</w:t>
      </w:r>
      <w:r w:rsidR="001427DB">
        <w:rPr>
          <w:rFonts w:eastAsia="Times New Roman"/>
          <w:sz w:val="24"/>
          <w:szCs w:val="24"/>
        </w:rPr>
        <w:t xml:space="preserve">) program, the Arctic Challenge for Sustainability </w:t>
      </w:r>
      <w:r w:rsidR="001427DB" w:rsidRPr="001427DB">
        <w:rPr>
          <w:rFonts w:eastAsia="Times New Roman"/>
          <w:sz w:val="24"/>
          <w:szCs w:val="24"/>
        </w:rPr>
        <w:t>II (</w:t>
      </w:r>
      <w:proofErr w:type="spellStart"/>
      <w:r w:rsidR="001427DB" w:rsidRPr="001427DB">
        <w:rPr>
          <w:rFonts w:eastAsia="Times New Roman"/>
          <w:sz w:val="24"/>
          <w:szCs w:val="24"/>
        </w:rPr>
        <w:t>ArCS</w:t>
      </w:r>
      <w:proofErr w:type="spellEnd"/>
      <w:r w:rsidR="001427DB" w:rsidRPr="001427DB">
        <w:rPr>
          <w:rFonts w:eastAsia="Times New Roman"/>
          <w:sz w:val="24"/>
          <w:szCs w:val="24"/>
        </w:rPr>
        <w:t xml:space="preserve"> II: Grant Numbe</w:t>
      </w:r>
      <w:r w:rsidR="001427DB">
        <w:rPr>
          <w:rFonts w:eastAsia="Times New Roman"/>
          <w:sz w:val="24"/>
          <w:szCs w:val="24"/>
        </w:rPr>
        <w:t xml:space="preserve">r </w:t>
      </w:r>
      <w:r w:rsidR="001427DB" w:rsidRPr="001427DB">
        <w:rPr>
          <w:rFonts w:eastAsia="Times New Roman"/>
          <w:sz w:val="24"/>
          <w:szCs w:val="24"/>
        </w:rPr>
        <w:t>JPMXD1420318865</w:t>
      </w:r>
      <w:r w:rsidR="001427DB">
        <w:rPr>
          <w:rFonts w:eastAsia="Times New Roman"/>
          <w:sz w:val="24"/>
          <w:szCs w:val="24"/>
        </w:rPr>
        <w:t xml:space="preserve">) Program, by the Japan Society for the Promotion of Science through KAKENHI Grant Numbers </w:t>
      </w:r>
      <w:r w:rsidR="001427DB" w:rsidRPr="001427DB">
        <w:rPr>
          <w:rFonts w:eastAsia="Times New Roman"/>
          <w:sz w:val="24"/>
          <w:szCs w:val="24"/>
        </w:rPr>
        <w:t>JP19H05703, JP23K22570, JP23K25937, JP23K25946,</w:t>
      </w:r>
      <w:r w:rsidR="001427DB">
        <w:rPr>
          <w:rFonts w:eastAsia="Times New Roman"/>
          <w:sz w:val="24"/>
          <w:szCs w:val="24"/>
        </w:rPr>
        <w:t xml:space="preserve"> and </w:t>
      </w:r>
      <w:r w:rsidR="001427DB" w:rsidRPr="001427DB">
        <w:rPr>
          <w:rFonts w:eastAsia="Times New Roman"/>
          <w:sz w:val="24"/>
          <w:szCs w:val="24"/>
        </w:rPr>
        <w:t>JP24H02223, by the Environment Research and Technology Development Fund</w:t>
      </w:r>
      <w:r w:rsidR="001427DB">
        <w:rPr>
          <w:rFonts w:eastAsia="Times New Roman"/>
          <w:sz w:val="24"/>
          <w:szCs w:val="24"/>
        </w:rPr>
        <w:t xml:space="preserve"> </w:t>
      </w:r>
      <w:r w:rsidR="001427DB" w:rsidRPr="001427DB">
        <w:rPr>
          <w:rFonts w:eastAsia="Times New Roman"/>
          <w:sz w:val="24"/>
          <w:szCs w:val="24"/>
        </w:rPr>
        <w:t>(JPMEERF20242001) of the Environmental Restoration and Conservation Agency provided by</w:t>
      </w:r>
      <w:r w:rsidR="001427DB">
        <w:rPr>
          <w:rFonts w:eastAsia="Times New Roman"/>
          <w:sz w:val="24"/>
          <w:szCs w:val="24"/>
        </w:rPr>
        <w:t xml:space="preserve"> Ministry of the Environment of Japan</w:t>
      </w:r>
      <w:r w:rsidR="00D851BA">
        <w:rPr>
          <w:rFonts w:eastAsia="Times New Roman"/>
          <w:sz w:val="24"/>
          <w:szCs w:val="24"/>
        </w:rPr>
        <w:t>, and by</w:t>
      </w:r>
      <w:r w:rsidR="00D851BA" w:rsidRPr="00D851BA">
        <w:t xml:space="preserve"> </w:t>
      </w:r>
      <w:r w:rsidR="00D851BA" w:rsidRPr="00D851BA">
        <w:rPr>
          <w:rFonts w:eastAsia="Times New Roman"/>
          <w:sz w:val="24"/>
          <w:szCs w:val="24"/>
        </w:rPr>
        <w:t>International Graduate Program for Excellence in Earth-Space Science (IGPEES), a World-leading Innovative Graduate Study (WINGS) Program, the University of Tokyo</w:t>
      </w:r>
      <w:r w:rsidR="001427DB">
        <w:rPr>
          <w:rFonts w:eastAsia="Times New Roman"/>
          <w:sz w:val="24"/>
          <w:szCs w:val="24"/>
        </w:rPr>
        <w:t>.</w:t>
      </w:r>
      <w:r w:rsidR="00995CAA" w:rsidRPr="00995CAA">
        <w:rPr>
          <w:rFonts w:eastAsia="Times New Roman" w:hint="eastAsia"/>
          <w:sz w:val="24"/>
          <w:szCs w:val="24"/>
          <w:lang w:eastAsia="ja-JP"/>
        </w:rPr>
        <w:t> </w:t>
      </w:r>
    </w:p>
    <w:p w14:paraId="13CE6F10" w14:textId="42DCE096" w:rsidR="003B198C" w:rsidRDefault="003B198C" w:rsidP="003B198C">
      <w:pPr>
        <w:shd w:val="clear" w:color="auto" w:fill="FFFFFF"/>
        <w:spacing w:before="240"/>
        <w:jc w:val="both"/>
        <w:rPr>
          <w:rFonts w:eastAsia="Times New Roman"/>
          <w:b/>
          <w:bCs/>
          <w:color w:val="262626"/>
          <w:sz w:val="24"/>
          <w:szCs w:val="24"/>
        </w:rPr>
      </w:pPr>
      <w:r>
        <w:rPr>
          <w:rFonts w:eastAsia="Times New Roman"/>
          <w:b/>
          <w:bCs/>
          <w:color w:val="262626"/>
          <w:sz w:val="24"/>
          <w:szCs w:val="24"/>
        </w:rPr>
        <w:t xml:space="preserve">Data </w:t>
      </w:r>
      <w:proofErr w:type="spellStart"/>
      <w:r>
        <w:rPr>
          <w:rFonts w:eastAsia="Times New Roman"/>
          <w:b/>
          <w:bCs/>
          <w:color w:val="262626"/>
          <w:sz w:val="24"/>
          <w:szCs w:val="24"/>
        </w:rPr>
        <w:t>Availabitlity</w:t>
      </w:r>
      <w:proofErr w:type="spellEnd"/>
      <w:r>
        <w:rPr>
          <w:rFonts w:eastAsia="Times New Roman"/>
          <w:b/>
          <w:bCs/>
          <w:color w:val="262626"/>
          <w:sz w:val="24"/>
          <w:szCs w:val="24"/>
        </w:rPr>
        <w:t xml:space="preserve"> Statement</w:t>
      </w:r>
    </w:p>
    <w:p w14:paraId="60EE9568" w14:textId="687E1DEE" w:rsidR="00995CAA" w:rsidRPr="00085324" w:rsidRDefault="00132BCC" w:rsidP="00085324">
      <w:pPr>
        <w:shd w:val="clear" w:color="auto" w:fill="FFFFFF"/>
        <w:spacing w:before="240"/>
        <w:jc w:val="both"/>
        <w:rPr>
          <w:rFonts w:eastAsia="Times New Roman"/>
          <w:b/>
          <w:bCs/>
          <w:color w:val="262626"/>
          <w:sz w:val="24"/>
          <w:szCs w:val="24"/>
        </w:rPr>
      </w:pPr>
      <w:r w:rsidRPr="006F0F0C">
        <w:rPr>
          <w:rFonts w:eastAsiaTheme="minorEastAsia"/>
          <w:color w:val="262626"/>
          <w:sz w:val="24"/>
          <w:szCs w:val="24"/>
          <w:lang w:eastAsia="ja-JP"/>
        </w:rPr>
        <w:t xml:space="preserve">The </w:t>
      </w:r>
      <w:r>
        <w:rPr>
          <w:rFonts w:eastAsiaTheme="minorEastAsia" w:hint="eastAsia"/>
          <w:color w:val="262626"/>
          <w:sz w:val="24"/>
          <w:szCs w:val="24"/>
          <w:lang w:eastAsia="ja-JP"/>
        </w:rPr>
        <w:t>d</w:t>
      </w:r>
      <w:r w:rsidRPr="006F0F0C">
        <w:rPr>
          <w:rFonts w:eastAsiaTheme="minorEastAsia"/>
          <w:color w:val="262626"/>
          <w:sz w:val="24"/>
          <w:szCs w:val="24"/>
          <w:lang w:eastAsia="ja-JP"/>
        </w:rPr>
        <w:t>4PDF dataset</w:t>
      </w:r>
      <w:r w:rsidR="00153943">
        <w:rPr>
          <w:rFonts w:eastAsiaTheme="minorEastAsia"/>
          <w:color w:val="262626"/>
          <w:sz w:val="24"/>
          <w:szCs w:val="24"/>
          <w:lang w:eastAsia="ja-JP"/>
        </w:rPr>
        <w:t xml:space="preserve"> </w:t>
      </w:r>
      <w:r w:rsidR="00153943">
        <w:rPr>
          <w:rFonts w:eastAsiaTheme="minorEastAsia"/>
          <w:color w:val="262626"/>
          <w:sz w:val="24"/>
          <w:szCs w:val="24"/>
          <w:lang w:eastAsia="ja-JP"/>
        </w:rPr>
        <w:fldChar w:fldCharType="begin"/>
      </w:r>
      <w:r w:rsidR="006F3581">
        <w:rPr>
          <w:rFonts w:eastAsiaTheme="minorEastAsia"/>
          <w:color w:val="262626"/>
          <w:sz w:val="24"/>
          <w:szCs w:val="24"/>
          <w:lang w:eastAsia="ja-JP"/>
        </w:rPr>
        <w:instrText xml:space="preserve"> ADDIN ZOTERO_ITEM CSL_CITATION {"citationID":"oS2PRiyM","properties":{"formattedCitation":"(Mizuta et al., 2017)","plainCitation":"(Mizuta et al., 2017)","noteIndex":0},"citationItems":[{"id":142,"uris":["http://zotero.org/users/14197466/items/VH6TKCYE"],"itemData":{"id":142,"type":"article-journal","abstract":"An unprecedentedly large ensemble of climate simulations with a 60-km atmospheric general circulation model and dynamical downscaling with a 20-km regional climate model has been performed to obtain probabilistic future projections of low-frequency local-scale events. The climate of the latter half of the twentieth century, the climate 4 K warmer than the preindustrial climate, and the climate of the latter half of the twentieth century without historical trends associated with the anthropogenic effect are each simulated for more than 5,000 years. From large ensemble simulations, probabilistic future changes in extreme events are available directly without using any statistical models. The atmospheric models are highly skillful in representing localized extreme events, such as heavy precipitation and tropical cyclones. Moreover, mean climate changes in the models are consistent with those in phase 5 of the Coupled Model Intercomparison Project (CMIP5) ensembles. Therefore, the results enable the assessment of probabilistic change in localized severe events that have large uncertainty from internal variability. The simulation outputs are open to the public as a database called “Database for Policy Decision Making for Future Climate Change” (d4PDF), which is intended to be utilized for impact assessment studies and adaptation planning for global warming.","container-title":"Bulletin of the American Meteorological Society","DOI":"https://doi.org/10.1175/BAMS-D-16-0099.1","issue":"7","language":"en","note":"section: Bulletin of the American Meteorological Society","page":"1383–1398","source":"journals.ametsoc.org","title":"Over 5,000 Years of Ensemble Future Climate Simulations by 60-km Global and 20-km Regional Atmospheric Models","volume":"98","author":[{"family":"Mizuta","given":"Ryo"},{"family":"Murata","given":"Akihiko"},{"family":"Ishii","given":"Masayoshi"},{"family":"Shiogama","given":"Hideo"},{"family":"Hibino","given":"Kenshi"},{"family":"Mori","given":"Nobuhito"},{"family":"Arakawa","given":"Osamu"},{"family":"Imada","given":"Yukiko"},{"family":"Yoshida","given":"Kohei"},{"family":"Aoyagi","given":"Toshinori"},{"family":"Kawase","given":"Hiroaki"},{"family":"Mori","given":"Masato"},{"family":"Okada","given":"Yasuko"},{"family":"Shimura","given":"Tomoya"},{"family":"Nagatomo","given":"Toshiharu"},{"family":"Ikeda","given":"Mikiko"},{"family":"Endo","given":"Hirokazu"},{"family":"Nosaka","given":"Masaya"},{"family":"Arai","given":"Miki"},{"family":"Takahashi","given":"Chiharu"},{"family":"Tanaka","given":"Kenji"},{"family":"Takemi","given":"Tetsuya"},{"family":"Tachikawa","given":"Yasuto"},{"family":"Temur","given":"Khujanazarov"},{"family":"Kamae","given":"Youichi"},{"family":"Watanabe","given":"Masahiro"},{"family":"Sasaki","given":"Hidetaka"},{"family":"Kitoh","given":"Akio"},{"family":"Takayabu","given":"Izuru"},{"family":"Nakakita","given":"Eiichi"},{"family":"Kimoto","given":"Masahide"}],"issued":{"date-parts":[["2017",7,1]]}}}],"schema":"https://github.com/citation-style-language/schema/raw/master/csl-citation.json"} </w:instrText>
      </w:r>
      <w:r w:rsidR="00153943">
        <w:rPr>
          <w:rFonts w:eastAsiaTheme="minorEastAsia"/>
          <w:color w:val="262626"/>
          <w:sz w:val="24"/>
          <w:szCs w:val="24"/>
          <w:lang w:eastAsia="ja-JP"/>
        </w:rPr>
        <w:fldChar w:fldCharType="separate"/>
      </w:r>
      <w:r w:rsidR="00153943">
        <w:rPr>
          <w:rFonts w:eastAsiaTheme="minorEastAsia"/>
          <w:noProof/>
          <w:color w:val="262626"/>
          <w:sz w:val="24"/>
          <w:szCs w:val="24"/>
          <w:lang w:eastAsia="ja-JP"/>
        </w:rPr>
        <w:t>(Mizuta et al., 2017)</w:t>
      </w:r>
      <w:r w:rsidR="00153943">
        <w:rPr>
          <w:rFonts w:eastAsiaTheme="minorEastAsia"/>
          <w:color w:val="262626"/>
          <w:sz w:val="24"/>
          <w:szCs w:val="24"/>
          <w:lang w:eastAsia="ja-JP"/>
        </w:rPr>
        <w:fldChar w:fldCharType="end"/>
      </w:r>
      <w:r>
        <w:rPr>
          <w:rFonts w:eastAsiaTheme="minorEastAsia"/>
          <w:color w:val="262626"/>
          <w:sz w:val="24"/>
          <w:szCs w:val="24"/>
          <w:lang w:eastAsia="ja-JP"/>
        </w:rPr>
        <w:t xml:space="preserve"> </w:t>
      </w:r>
      <w:r w:rsidR="00AB1321">
        <w:rPr>
          <w:rFonts w:eastAsiaTheme="minorEastAsia"/>
          <w:color w:val="262626"/>
          <w:sz w:val="24"/>
          <w:szCs w:val="24"/>
          <w:lang w:eastAsia="ja-JP"/>
        </w:rPr>
        <w:t xml:space="preserve">used in this study </w:t>
      </w:r>
      <w:r w:rsidRPr="006F0F0C">
        <w:rPr>
          <w:rFonts w:eastAsiaTheme="minorEastAsia"/>
          <w:color w:val="262626"/>
          <w:sz w:val="24"/>
          <w:szCs w:val="24"/>
          <w:lang w:eastAsia="ja-JP"/>
        </w:rPr>
        <w:t>is available through the Data Integration and Analysis System Program (DIAS) repository (</w:t>
      </w:r>
      <w:r w:rsidR="00D7577B">
        <w:rPr>
          <w:rFonts w:eastAsiaTheme="minorEastAsia"/>
          <w:color w:val="262626"/>
          <w:sz w:val="24"/>
          <w:szCs w:val="24"/>
          <w:lang w:eastAsia="ja-JP"/>
        </w:rPr>
        <w:t xml:space="preserve">via </w:t>
      </w:r>
      <w:hyperlink r:id="rId13" w:history="1">
        <w:r w:rsidR="00D7577B" w:rsidRPr="00B472E4">
          <w:rPr>
            <w:rStyle w:val="a7"/>
            <w:rFonts w:eastAsiaTheme="minorEastAsia"/>
            <w:sz w:val="24"/>
            <w:szCs w:val="24"/>
            <w:lang w:eastAsia="ja-JP"/>
          </w:rPr>
          <w:t>https://diasjp.net/en/service/d4pdf-data-download/</w:t>
        </w:r>
      </w:hyperlink>
      <w:r w:rsidRPr="006F0F0C">
        <w:rPr>
          <w:rFonts w:eastAsiaTheme="minorEastAsia"/>
          <w:color w:val="262626"/>
          <w:sz w:val="24"/>
          <w:szCs w:val="24"/>
          <w:lang w:eastAsia="ja-JP"/>
        </w:rPr>
        <w:t>).</w:t>
      </w:r>
      <w:r>
        <w:rPr>
          <w:rFonts w:eastAsiaTheme="minorEastAsia"/>
          <w:color w:val="262626"/>
          <w:sz w:val="24"/>
          <w:szCs w:val="24"/>
          <w:lang w:eastAsia="ja-JP"/>
        </w:rPr>
        <w:t xml:space="preserve"> The ERA5 dataset</w:t>
      </w:r>
      <w:r w:rsidR="00153943">
        <w:rPr>
          <w:rFonts w:eastAsiaTheme="minorEastAsia"/>
          <w:color w:val="262626"/>
          <w:sz w:val="24"/>
          <w:szCs w:val="24"/>
          <w:lang w:eastAsia="ja-JP"/>
        </w:rPr>
        <w:t xml:space="preserve"> </w:t>
      </w:r>
      <w:r w:rsidR="00153943">
        <w:rPr>
          <w:rFonts w:eastAsiaTheme="minorEastAsia"/>
          <w:color w:val="262626"/>
          <w:sz w:val="24"/>
          <w:szCs w:val="24"/>
          <w:lang w:eastAsia="ja-JP"/>
        </w:rPr>
        <w:fldChar w:fldCharType="begin"/>
      </w:r>
      <w:r w:rsidR="00153943">
        <w:rPr>
          <w:rFonts w:eastAsiaTheme="minorEastAsia"/>
          <w:color w:val="262626"/>
          <w:sz w:val="24"/>
          <w:szCs w:val="24"/>
          <w:lang w:eastAsia="ja-JP"/>
        </w:rPr>
        <w:instrText xml:space="preserve"> ADDIN ZOTERO_ITEM CSL_CITATION {"citationID":"wI8aTJ0B","properties":{"formattedCitation":"(Hersbach et al., 2020)","plainCitation":"(Hersbach et al., 2020)","noteIndex":0},"citationItems":[{"id":144,"uris":["http://zotero.org/users/14197466/items/FVMAHX7M"],"itemData":{"id":144,"type":"article-journal","abstract":"Within the Copernicus Climate Change Service (C3S), ECMWF is producing the ERA5 reanalysis which, once completed, will embody a detailed record of the global atmosphere, land surface and ocean waves from 1950 onwards. This new reanalysis replaces the ERA-Interim reanalysis (spanning 1979 onwards) which was started in 2006. ERA5 is based on the Integrated Forecasting System (IFS) Cy41r2 which was operational in 2016. ERA5 thus benefits from a decade of developments in model physics, core dynamics and data assimilation. In addition to a significantly enhanced horizontal resolution of 31 km, compared to 80 km for ERA-Interim, ERA5 has hourly output throughout, and an uncertainty estimate from an ensemble (3-hourly at half the horizontal resolution). This paper describes the general set-up of ERA5, as well as a basic evaluation of characteristics and performance, with a focus on the dataset from 1979 onwards which is currently publicly available. Re-forecasts from ERA5 analyses show a gain of up to one day in skill with respect to ERA-Interim. Comparison with radiosonde and PILOT data prior to assimilation shows an improved fit for temperature, wind and humidity in the troposphere, but not the stratosphere. A comparison with independent buoy data shows a much improved fit for ocean wave height. The uncertainty estimate reflects the evolution of the observing systems used in ERA5. The enhanced temporal and spatial resolution allows for a detailed evolution of weather systems. For precipitation, global-mean correlation with monthly-mean GPCP data is increased from 67% to 77%. In general, low-frequency variability is found to be well represented and from 10 hPa downwards general patterns of anomalies in temperature match those from the ERA-Interim, MERRA-2 and JRA-55 reanalyses.","container-title":"Quarterly Journal of the Royal Meteorological Society","DOI":"10.1002/qj.3803","ISSN":"1477-870X","issue":"730","language":"en","license":"© 2020 The Authors. Quarterly Journal of the Royal Meteorological Society published by John Wiley &amp; Sons Ltd on behalf of the Royal Meteorological Society.","note":"_eprint: https://onlinelibrary.wiley.com/doi/pdf/10.1002/qj.3803","page":"1999-2049","source":"Wiley Online Library","title":"The ERA5 global reanalysis","volume":"146","author":[{"family":"Hersbach","given":"Hans"},{"family":"Bell","given":"Bill"},{"family":"Berrisford","given":"Paul"},{"family":"Hirahara","given":"Shoji"},{"family":"Horányi","given":"András"},{"family":"Muñoz-Sabater","given":"Joaquín"},{"family":"Nicolas","given":"Julien"},{"family":"Peubey","given":"Carole"},{"family":"Radu","given":"Raluca"},{"family":"Schepers","given":"Dinand"},{"family":"Simmons","given":"Adrian"},{"family":"Soci","given":"Cornel"},{"family":"Abdalla","given":"Saleh"},{"family":"Abellan","given":"Xavier"},{"family":"Balsamo","given":"Gianpaolo"},{"family":"Bechtold","given":"Peter"},{"family":"Biavati","given":"Gionata"},{"family":"Bidlot","given":"Jean"},{"family":"Bonavita","given":"Massimo"},{"family":"De Chiara","given":"Giovanna"},{"family":"Dahlgren","given":"Per"},{"family":"Dee","given":"Dick"},{"family":"Diamantakis","given":"Michail"},{"family":"Dragani","given":"Rossana"},{"family":"Flemming","given":"Johannes"},{"family":"Forbes","given":"Richard"},{"family":"Fuentes","given":"Manuel"},{"family":"Geer","given":"Alan"},{"family":"Haimberger","given":"Leo"},{"family":"Healy","given":"Sean"},{"family":"Hogan","given":"Robin J."},{"family":"Hólm","given":"Elías"},{"family":"Janisková","given":"Marta"},{"family":"Keeley","given":"Sarah"},{"family":"Laloyaux","given":"Patrick"},{"family":"Lopez","given":"Philippe"},{"family":"Lupu","given":"Cristina"},{"family":"Radnoti","given":"Gabor"},{"family":"Rosnay","given":"Patricia","non-dropping-particle":"de"},{"family":"Rozum","given":"Iryna"},{"family":"Vamborg","given":"Freja"},{"family":"Villaume","given":"Sebastien"},{"family":"Thépaut","given":"Jean-Noël"}],"issued":{"date-parts":[["2020"]]}}}],"schema":"https://github.com/citation-style-language/schema/raw/master/csl-citation.json"} </w:instrText>
      </w:r>
      <w:r w:rsidR="00153943">
        <w:rPr>
          <w:rFonts w:eastAsiaTheme="minorEastAsia"/>
          <w:color w:val="262626"/>
          <w:sz w:val="24"/>
          <w:szCs w:val="24"/>
          <w:lang w:eastAsia="ja-JP"/>
        </w:rPr>
        <w:fldChar w:fldCharType="separate"/>
      </w:r>
      <w:r w:rsidR="00153943">
        <w:rPr>
          <w:rFonts w:eastAsiaTheme="minorEastAsia"/>
          <w:noProof/>
          <w:color w:val="262626"/>
          <w:sz w:val="24"/>
          <w:szCs w:val="24"/>
          <w:lang w:eastAsia="ja-JP"/>
        </w:rPr>
        <w:t>(Hersbach et al., 2020)</w:t>
      </w:r>
      <w:r w:rsidR="00153943">
        <w:rPr>
          <w:rFonts w:eastAsiaTheme="minorEastAsia"/>
          <w:color w:val="262626"/>
          <w:sz w:val="24"/>
          <w:szCs w:val="24"/>
          <w:lang w:eastAsia="ja-JP"/>
        </w:rPr>
        <w:fldChar w:fldCharType="end"/>
      </w:r>
      <w:r>
        <w:rPr>
          <w:rFonts w:eastAsiaTheme="minorEastAsia"/>
          <w:color w:val="262626"/>
          <w:sz w:val="24"/>
          <w:szCs w:val="24"/>
          <w:lang w:eastAsia="ja-JP"/>
        </w:rPr>
        <w:t xml:space="preserve"> </w:t>
      </w:r>
      <w:r w:rsidR="00AB1321">
        <w:rPr>
          <w:rFonts w:eastAsiaTheme="minorEastAsia"/>
          <w:color w:val="262626"/>
          <w:sz w:val="24"/>
          <w:szCs w:val="24"/>
          <w:lang w:eastAsia="ja-JP"/>
        </w:rPr>
        <w:t xml:space="preserve">used in this study </w:t>
      </w:r>
      <w:r>
        <w:rPr>
          <w:rFonts w:eastAsiaTheme="minorEastAsia"/>
          <w:color w:val="262626"/>
          <w:sz w:val="24"/>
          <w:szCs w:val="24"/>
          <w:lang w:eastAsia="ja-JP"/>
        </w:rPr>
        <w:t xml:space="preserve">is available </w:t>
      </w:r>
      <w:r w:rsidR="00153943">
        <w:rPr>
          <w:rFonts w:eastAsiaTheme="minorEastAsia"/>
          <w:color w:val="262626"/>
          <w:sz w:val="24"/>
          <w:szCs w:val="24"/>
          <w:lang w:eastAsia="ja-JP"/>
        </w:rPr>
        <w:t>online (</w:t>
      </w:r>
      <w:r w:rsidR="00D7577B">
        <w:rPr>
          <w:rFonts w:eastAsiaTheme="minorEastAsia"/>
          <w:color w:val="262626"/>
          <w:sz w:val="24"/>
          <w:szCs w:val="24"/>
          <w:lang w:eastAsia="ja-JP"/>
        </w:rPr>
        <w:t xml:space="preserve">via </w:t>
      </w:r>
      <w:hyperlink r:id="rId14" w:history="1">
        <w:r w:rsidR="00D7577B" w:rsidRPr="00B472E4">
          <w:rPr>
            <w:rStyle w:val="a7"/>
            <w:rFonts w:eastAsiaTheme="minorEastAsia"/>
            <w:sz w:val="24"/>
            <w:szCs w:val="24"/>
            <w:lang w:eastAsia="ja-JP"/>
          </w:rPr>
          <w:t>https://doi.org/10.24381/cds.6860a573</w:t>
        </w:r>
      </w:hyperlink>
      <w:r w:rsidR="00153943">
        <w:rPr>
          <w:rFonts w:eastAsiaTheme="minorEastAsia"/>
          <w:color w:val="262626"/>
          <w:sz w:val="24"/>
          <w:szCs w:val="24"/>
          <w:lang w:eastAsia="ja-JP"/>
        </w:rPr>
        <w:t xml:space="preserve">). </w:t>
      </w:r>
      <w:r>
        <w:rPr>
          <w:rFonts w:eastAsiaTheme="minorEastAsia"/>
          <w:color w:val="262626"/>
          <w:sz w:val="24"/>
          <w:szCs w:val="24"/>
          <w:lang w:eastAsia="ja-JP"/>
        </w:rPr>
        <w:t>The COBE-SST2 dataset</w:t>
      </w:r>
      <w:r w:rsidR="00153943">
        <w:rPr>
          <w:rFonts w:eastAsiaTheme="minorEastAsia"/>
          <w:color w:val="262626"/>
          <w:sz w:val="24"/>
          <w:szCs w:val="24"/>
          <w:lang w:eastAsia="ja-JP"/>
        </w:rPr>
        <w:t xml:space="preserve"> </w:t>
      </w:r>
      <w:r w:rsidR="00153943">
        <w:rPr>
          <w:rFonts w:eastAsiaTheme="minorEastAsia"/>
          <w:color w:val="262626"/>
          <w:sz w:val="24"/>
          <w:szCs w:val="24"/>
          <w:lang w:eastAsia="ja-JP"/>
        </w:rPr>
        <w:fldChar w:fldCharType="begin"/>
      </w:r>
      <w:r w:rsidR="006F3581">
        <w:rPr>
          <w:rFonts w:eastAsiaTheme="minorEastAsia"/>
          <w:color w:val="262626"/>
          <w:sz w:val="24"/>
          <w:szCs w:val="24"/>
          <w:lang w:eastAsia="ja-JP"/>
        </w:rPr>
        <w:instrText xml:space="preserve"> ADDIN ZOTERO_ITEM CSL_CITATION {"citationID":"9e6pD7L0","properties":{"formattedCitation":"(Hirahara et al., 2014)","plainCitation":"(Hirahara et al., 2014)","noteIndex":0},"citationItems":[{"id":148,"uris":["http://zotero.org/users/14197466/items/I7BRF6SW"],"itemData":{"id":148,"type":"article-journal","abstract":"A new sea surface temperature (SST) analysis on a centennial time scale is presented. In this analysis, a daily SST field is constructed as a sum of a trend, interannual variations, and daily changes, using in situ SST and sea ice concentration observations. All SST values are accompanied with theory-based analysis errors as a measure of reliability. An improved equation is introduced to represent the ice–SST relationship, which is used to produce SST data from observed sea ice concentrations. Prior to the analysis, biases of individual SST measurement types are estimated for a homogenized long-term time series of global mean SST. Because metadata necessary for the bias correction are unavailable for many historical observational reports, the biases are determined so as to ensure consistency among existing SST and nighttime air temperature observations. The global mean SSTs with bias-corrected observations are in agreement with those of a previously published study, which adopted a different approach. Satellite observations are newly introduced for the purpose of reconstruction of SST variability over data-sparse regions. Moreover, uncertainty in areal means of the present and previous SST analyses is investigated using the theoretical analysis errors and estimated sampling errors. The result confirms the advantages of the present analysis, and it is helpful in understanding the reliability of SST for a specific area and time period.","container-title":"Journal of Climate","DOI":"https://doi.org/10.1175/JCLI-D-12-00837.1","issue":"1","language":"en","note":"section: Journal of Climate","page":"57-75","source":"journals.ametsoc.org","title":"Centennial-Scale Sea Surface Temperature Analysis and Its Uncertainty","volume":"27","author":[{"family":"Hirahara","given":"Shoji"},{"family":"Ishii","given":"Masayoshi"},{"family":"Fukuda","given":"Yoshikazu"}],"issued":{"date-parts":[["2014",1,1]]}}}],"schema":"https://github.com/citation-style-language/schema/raw/master/csl-citation.json"} </w:instrText>
      </w:r>
      <w:r w:rsidR="00153943">
        <w:rPr>
          <w:rFonts w:eastAsiaTheme="minorEastAsia"/>
          <w:color w:val="262626"/>
          <w:sz w:val="24"/>
          <w:szCs w:val="24"/>
          <w:lang w:eastAsia="ja-JP"/>
        </w:rPr>
        <w:fldChar w:fldCharType="separate"/>
      </w:r>
      <w:r w:rsidR="00153943">
        <w:rPr>
          <w:rFonts w:eastAsiaTheme="minorEastAsia"/>
          <w:noProof/>
          <w:color w:val="262626"/>
          <w:sz w:val="24"/>
          <w:szCs w:val="24"/>
          <w:lang w:eastAsia="ja-JP"/>
        </w:rPr>
        <w:t>(Hirahara et al., 2014)</w:t>
      </w:r>
      <w:r w:rsidR="00153943">
        <w:rPr>
          <w:rFonts w:eastAsiaTheme="minorEastAsia"/>
          <w:color w:val="262626"/>
          <w:sz w:val="24"/>
          <w:szCs w:val="24"/>
          <w:lang w:eastAsia="ja-JP"/>
        </w:rPr>
        <w:fldChar w:fldCharType="end"/>
      </w:r>
      <w:r>
        <w:rPr>
          <w:rFonts w:eastAsiaTheme="minorEastAsia"/>
          <w:color w:val="262626"/>
          <w:sz w:val="24"/>
          <w:szCs w:val="24"/>
          <w:lang w:eastAsia="ja-JP"/>
        </w:rPr>
        <w:t xml:space="preserve"> </w:t>
      </w:r>
      <w:r w:rsidR="00AB1321">
        <w:rPr>
          <w:rFonts w:eastAsiaTheme="minorEastAsia"/>
          <w:color w:val="262626"/>
          <w:sz w:val="24"/>
          <w:szCs w:val="24"/>
          <w:lang w:eastAsia="ja-JP"/>
        </w:rPr>
        <w:t xml:space="preserve">used in this study </w:t>
      </w:r>
      <w:r>
        <w:rPr>
          <w:rFonts w:eastAsiaTheme="minorEastAsia"/>
          <w:color w:val="262626"/>
          <w:sz w:val="24"/>
          <w:szCs w:val="24"/>
          <w:lang w:eastAsia="ja-JP"/>
        </w:rPr>
        <w:t>i</w:t>
      </w:r>
      <w:r w:rsidR="007500CE">
        <w:rPr>
          <w:rFonts w:eastAsiaTheme="minorEastAsia"/>
          <w:color w:val="262626"/>
          <w:sz w:val="24"/>
          <w:szCs w:val="24"/>
          <w:lang w:eastAsia="ja-JP"/>
        </w:rPr>
        <w:t>s avai</w:t>
      </w:r>
      <w:r w:rsidR="00DF44A5">
        <w:rPr>
          <w:rFonts w:eastAsiaTheme="minorEastAsia"/>
          <w:color w:val="262626"/>
          <w:sz w:val="24"/>
          <w:szCs w:val="24"/>
          <w:lang w:eastAsia="ja-JP"/>
        </w:rPr>
        <w:t>labl</w:t>
      </w:r>
      <w:r w:rsidR="007500CE">
        <w:rPr>
          <w:rFonts w:eastAsiaTheme="minorEastAsia"/>
          <w:color w:val="262626"/>
          <w:sz w:val="24"/>
          <w:szCs w:val="24"/>
          <w:lang w:eastAsia="ja-JP"/>
        </w:rPr>
        <w:t>e online (</w:t>
      </w:r>
      <w:r w:rsidR="00D7577B">
        <w:rPr>
          <w:rFonts w:eastAsiaTheme="minorEastAsia"/>
          <w:color w:val="262626"/>
          <w:sz w:val="24"/>
          <w:szCs w:val="24"/>
          <w:lang w:eastAsia="ja-JP"/>
        </w:rPr>
        <w:t xml:space="preserve">via </w:t>
      </w:r>
      <w:hyperlink r:id="rId15" w:history="1">
        <w:r w:rsidR="00D7577B" w:rsidRPr="00B472E4">
          <w:rPr>
            <w:rStyle w:val="a7"/>
            <w:rFonts w:eastAsiaTheme="minorEastAsia"/>
            <w:sz w:val="24"/>
            <w:szCs w:val="24"/>
            <w:lang w:eastAsia="ja-JP"/>
          </w:rPr>
          <w:t>https://psl.noaa.gov/data/gridded/data.cobe2.html</w:t>
        </w:r>
      </w:hyperlink>
      <w:r w:rsidR="007500CE">
        <w:rPr>
          <w:rFonts w:eastAsiaTheme="minorEastAsia"/>
          <w:color w:val="262626"/>
          <w:sz w:val="24"/>
          <w:szCs w:val="24"/>
          <w:lang w:eastAsia="ja-JP"/>
        </w:rPr>
        <w:t>).</w:t>
      </w:r>
    </w:p>
    <w:p w14:paraId="3BE6A8F9" w14:textId="77777777" w:rsidR="00995CAA" w:rsidRPr="00995CAA" w:rsidRDefault="00995CAA" w:rsidP="00085324">
      <w:pPr>
        <w:shd w:val="clear" w:color="auto" w:fill="FFFFFF"/>
        <w:spacing w:before="240"/>
        <w:jc w:val="both"/>
        <w:rPr>
          <w:rFonts w:eastAsia="Times New Roman"/>
          <w:sz w:val="24"/>
          <w:szCs w:val="24"/>
        </w:rPr>
      </w:pPr>
      <w:r w:rsidRPr="00995CAA">
        <w:rPr>
          <w:rFonts w:eastAsia="Times New Roman"/>
          <w:b/>
          <w:bCs/>
          <w:color w:val="262626"/>
          <w:sz w:val="24"/>
          <w:szCs w:val="24"/>
        </w:rPr>
        <w:t>References</w:t>
      </w:r>
    </w:p>
    <w:p w14:paraId="108505B4" w14:textId="77777777" w:rsidR="00E36A47" w:rsidRPr="00E36A47" w:rsidRDefault="0087787D" w:rsidP="00E36A47">
      <w:pPr>
        <w:autoSpaceDE w:val="0"/>
        <w:autoSpaceDN w:val="0"/>
        <w:adjustRightInd w:val="0"/>
        <w:rPr>
          <w:sz w:val="24"/>
        </w:rPr>
      </w:pPr>
      <w:r>
        <w:rPr>
          <w:rFonts w:eastAsia="Times New Roman"/>
          <w:sz w:val="24"/>
          <w:szCs w:val="24"/>
        </w:rPr>
        <w:fldChar w:fldCharType="begin"/>
      </w:r>
      <w:r w:rsidR="00E36A47">
        <w:rPr>
          <w:rFonts w:eastAsia="Times New Roman"/>
          <w:sz w:val="24"/>
          <w:szCs w:val="24"/>
        </w:rPr>
        <w:instrText xml:space="preserve"> ADDIN ZOTERO_BIBL {"uncited":[],"omitted":[],"custom":[]} CSL_BIBLIOGRAPHY </w:instrText>
      </w:r>
      <w:r>
        <w:rPr>
          <w:rFonts w:eastAsia="Times New Roman"/>
          <w:sz w:val="24"/>
          <w:szCs w:val="24"/>
        </w:rPr>
        <w:fldChar w:fldCharType="separate"/>
      </w:r>
      <w:r w:rsidR="00E36A47" w:rsidRPr="00E36A47">
        <w:rPr>
          <w:sz w:val="24"/>
        </w:rPr>
        <w:t xml:space="preserve">Abid, M. A., Kucharski, F., Molteni, F., Kang, I.-S., Tompkins, A. M., &amp; </w:t>
      </w:r>
      <w:proofErr w:type="spellStart"/>
      <w:r w:rsidR="00E36A47" w:rsidRPr="00E36A47">
        <w:rPr>
          <w:sz w:val="24"/>
        </w:rPr>
        <w:t>Almazroui</w:t>
      </w:r>
      <w:proofErr w:type="spellEnd"/>
      <w:r w:rsidR="00E36A47" w:rsidRPr="00E36A47">
        <w:rPr>
          <w:sz w:val="24"/>
        </w:rPr>
        <w:t xml:space="preserve">, M. (2021). Separating the Indian and Pacific Ocean Impacts on the Euro-Atlantic Response to ENSO and Its Transition from Early to Late Winter. </w:t>
      </w:r>
      <w:r w:rsidR="00E36A47" w:rsidRPr="00E36A47">
        <w:rPr>
          <w:i/>
          <w:iCs/>
          <w:sz w:val="24"/>
        </w:rPr>
        <w:t>Journal of Climate</w:t>
      </w:r>
      <w:r w:rsidR="00E36A47" w:rsidRPr="00E36A47">
        <w:rPr>
          <w:sz w:val="24"/>
        </w:rPr>
        <w:t xml:space="preserve">, </w:t>
      </w:r>
      <w:r w:rsidR="00E36A47" w:rsidRPr="00E36A47">
        <w:rPr>
          <w:i/>
          <w:iCs/>
          <w:sz w:val="24"/>
        </w:rPr>
        <w:t>34</w:t>
      </w:r>
      <w:r w:rsidR="00E36A47" w:rsidRPr="00E36A47">
        <w:rPr>
          <w:sz w:val="24"/>
        </w:rPr>
        <w:t>(4), 1531–1548. https://doi.org/10.1175/JCLI-D-20-0075.1</w:t>
      </w:r>
    </w:p>
    <w:p w14:paraId="5A38856F" w14:textId="77777777" w:rsidR="00E36A47" w:rsidRPr="00E36A47" w:rsidRDefault="00E36A47" w:rsidP="00E36A47">
      <w:pPr>
        <w:autoSpaceDE w:val="0"/>
        <w:autoSpaceDN w:val="0"/>
        <w:adjustRightInd w:val="0"/>
        <w:rPr>
          <w:sz w:val="24"/>
        </w:rPr>
      </w:pPr>
      <w:proofErr w:type="spellStart"/>
      <w:r w:rsidRPr="00E36A47">
        <w:rPr>
          <w:sz w:val="24"/>
        </w:rPr>
        <w:t>Ambaum</w:t>
      </w:r>
      <w:proofErr w:type="spellEnd"/>
      <w:r w:rsidRPr="00E36A47">
        <w:rPr>
          <w:sz w:val="24"/>
        </w:rPr>
        <w:t xml:space="preserve">, M. H. P., Hoskins, B. J., &amp; Stephenson, D. B. (2001). Arctic Oscillation or North Atlantic Oscillation? </w:t>
      </w:r>
      <w:r w:rsidRPr="00E36A47">
        <w:rPr>
          <w:i/>
          <w:iCs/>
          <w:sz w:val="24"/>
        </w:rPr>
        <w:t>Journal of Climate</w:t>
      </w:r>
      <w:r w:rsidRPr="00E36A47">
        <w:rPr>
          <w:sz w:val="24"/>
        </w:rPr>
        <w:t xml:space="preserve">, </w:t>
      </w:r>
      <w:r w:rsidRPr="00E36A47">
        <w:rPr>
          <w:i/>
          <w:iCs/>
          <w:sz w:val="24"/>
        </w:rPr>
        <w:t>14</w:t>
      </w:r>
      <w:r w:rsidRPr="00E36A47">
        <w:rPr>
          <w:sz w:val="24"/>
        </w:rPr>
        <w:t>(16), 3495–3507. https://doi.org/10.1175/1520-0442(2001)014&lt;</w:t>
      </w:r>
      <w:proofErr w:type="gramStart"/>
      <w:r w:rsidRPr="00E36A47">
        <w:rPr>
          <w:sz w:val="24"/>
        </w:rPr>
        <w:t>3495:AOONAO</w:t>
      </w:r>
      <w:proofErr w:type="gramEnd"/>
      <w:r w:rsidRPr="00E36A47">
        <w:rPr>
          <w:sz w:val="24"/>
        </w:rPr>
        <w:t>&gt;2.0.CO;2</w:t>
      </w:r>
    </w:p>
    <w:p w14:paraId="4563D242" w14:textId="77777777" w:rsidR="00E36A47" w:rsidRPr="00E36A47" w:rsidRDefault="00E36A47" w:rsidP="00E36A47">
      <w:pPr>
        <w:autoSpaceDE w:val="0"/>
        <w:autoSpaceDN w:val="0"/>
        <w:adjustRightInd w:val="0"/>
        <w:rPr>
          <w:sz w:val="24"/>
        </w:rPr>
      </w:pPr>
      <w:r w:rsidRPr="00E36A47">
        <w:rPr>
          <w:sz w:val="24"/>
        </w:rPr>
        <w:lastRenderedPageBreak/>
        <w:t xml:space="preserve">Baldwin, M. P., &amp; Dunkerton, T. J. (1999). Propagation of the Arctic Oscillation from the stratosphere to the troposphere. </w:t>
      </w:r>
      <w:r w:rsidRPr="00E36A47">
        <w:rPr>
          <w:i/>
          <w:iCs/>
          <w:sz w:val="24"/>
        </w:rPr>
        <w:t>Journal of Geophysical Research: Atmospheres</w:t>
      </w:r>
      <w:r w:rsidRPr="00E36A47">
        <w:rPr>
          <w:sz w:val="24"/>
        </w:rPr>
        <w:t xml:space="preserve">, </w:t>
      </w:r>
      <w:r w:rsidRPr="00E36A47">
        <w:rPr>
          <w:i/>
          <w:iCs/>
          <w:sz w:val="24"/>
        </w:rPr>
        <w:t>104</w:t>
      </w:r>
      <w:r w:rsidRPr="00E36A47">
        <w:rPr>
          <w:sz w:val="24"/>
        </w:rPr>
        <w:t>(D24), 30937–30946. https://doi.org/10.1029/1999JD900445</w:t>
      </w:r>
    </w:p>
    <w:p w14:paraId="21860D23" w14:textId="77777777" w:rsidR="00E36A47" w:rsidRPr="00E36A47" w:rsidRDefault="00E36A47" w:rsidP="00E36A47">
      <w:pPr>
        <w:autoSpaceDE w:val="0"/>
        <w:autoSpaceDN w:val="0"/>
        <w:adjustRightInd w:val="0"/>
        <w:rPr>
          <w:sz w:val="24"/>
        </w:rPr>
      </w:pPr>
      <w:proofErr w:type="spellStart"/>
      <w:r w:rsidRPr="00E36A47">
        <w:rPr>
          <w:sz w:val="24"/>
        </w:rPr>
        <w:t>Bayr</w:t>
      </w:r>
      <w:proofErr w:type="spellEnd"/>
      <w:r w:rsidRPr="00E36A47">
        <w:rPr>
          <w:sz w:val="24"/>
        </w:rPr>
        <w:t xml:space="preserve">, T., </w:t>
      </w:r>
      <w:proofErr w:type="spellStart"/>
      <w:r w:rsidRPr="00E36A47">
        <w:rPr>
          <w:sz w:val="24"/>
        </w:rPr>
        <w:t>Dommenget</w:t>
      </w:r>
      <w:proofErr w:type="spellEnd"/>
      <w:r w:rsidRPr="00E36A47">
        <w:rPr>
          <w:sz w:val="24"/>
        </w:rPr>
        <w:t xml:space="preserve">, D., Martin, T., &amp; Power, S. B. (2014). The eastward shift of the Walker Circulation in response to global warming and its relationship to ENSO variability. </w:t>
      </w:r>
      <w:r w:rsidRPr="00E36A47">
        <w:rPr>
          <w:i/>
          <w:iCs/>
          <w:sz w:val="24"/>
        </w:rPr>
        <w:t>Climate Dynamics</w:t>
      </w:r>
      <w:r w:rsidRPr="00E36A47">
        <w:rPr>
          <w:sz w:val="24"/>
        </w:rPr>
        <w:t xml:space="preserve">, </w:t>
      </w:r>
      <w:r w:rsidRPr="00E36A47">
        <w:rPr>
          <w:i/>
          <w:iCs/>
          <w:sz w:val="24"/>
        </w:rPr>
        <w:t>43</w:t>
      </w:r>
      <w:r w:rsidRPr="00E36A47">
        <w:rPr>
          <w:sz w:val="24"/>
        </w:rPr>
        <w:t>(9), 2747–2763. https://doi.org/10.1007/s00382-014-2091-y</w:t>
      </w:r>
    </w:p>
    <w:p w14:paraId="2EB2C56B" w14:textId="77777777" w:rsidR="00E36A47" w:rsidRPr="00E36A47" w:rsidRDefault="00E36A47" w:rsidP="00E36A47">
      <w:pPr>
        <w:autoSpaceDE w:val="0"/>
        <w:autoSpaceDN w:val="0"/>
        <w:adjustRightInd w:val="0"/>
        <w:rPr>
          <w:sz w:val="24"/>
        </w:rPr>
      </w:pPr>
      <w:r w:rsidRPr="00E36A47">
        <w:rPr>
          <w:sz w:val="24"/>
        </w:rPr>
        <w:t xml:space="preserve">Bretherton, C. S., Widmann, M., </w:t>
      </w:r>
      <w:proofErr w:type="spellStart"/>
      <w:r w:rsidRPr="00E36A47">
        <w:rPr>
          <w:sz w:val="24"/>
        </w:rPr>
        <w:t>Dymnikov</w:t>
      </w:r>
      <w:proofErr w:type="spellEnd"/>
      <w:r w:rsidRPr="00E36A47">
        <w:rPr>
          <w:sz w:val="24"/>
        </w:rPr>
        <w:t xml:space="preserve">, V. P., Wallace, J. M., &amp; </w:t>
      </w:r>
      <w:proofErr w:type="spellStart"/>
      <w:r w:rsidRPr="00E36A47">
        <w:rPr>
          <w:sz w:val="24"/>
        </w:rPr>
        <w:t>Bladé</w:t>
      </w:r>
      <w:proofErr w:type="spellEnd"/>
      <w:r w:rsidRPr="00E36A47">
        <w:rPr>
          <w:sz w:val="24"/>
        </w:rPr>
        <w:t xml:space="preserve">, I. (1999). The Effective Number of Spatial Degrees of Freedom of a Time-Varying Field. </w:t>
      </w:r>
      <w:r w:rsidRPr="00E36A47">
        <w:rPr>
          <w:i/>
          <w:iCs/>
          <w:sz w:val="24"/>
        </w:rPr>
        <w:t>Journal of Climate</w:t>
      </w:r>
      <w:r w:rsidRPr="00E36A47">
        <w:rPr>
          <w:sz w:val="24"/>
        </w:rPr>
        <w:t xml:space="preserve">, </w:t>
      </w:r>
      <w:r w:rsidRPr="00E36A47">
        <w:rPr>
          <w:i/>
          <w:iCs/>
          <w:sz w:val="24"/>
        </w:rPr>
        <w:t>12</w:t>
      </w:r>
      <w:r w:rsidRPr="00E36A47">
        <w:rPr>
          <w:sz w:val="24"/>
        </w:rPr>
        <w:t>(7), 1990–2009. https://doi.org/10.1175/1520-0442(1999)012&lt;</w:t>
      </w:r>
      <w:proofErr w:type="gramStart"/>
      <w:r w:rsidRPr="00E36A47">
        <w:rPr>
          <w:sz w:val="24"/>
        </w:rPr>
        <w:t>1990:TENOSD</w:t>
      </w:r>
      <w:proofErr w:type="gramEnd"/>
      <w:r w:rsidRPr="00E36A47">
        <w:rPr>
          <w:sz w:val="24"/>
        </w:rPr>
        <w:t>&gt;2.0.CO;2</w:t>
      </w:r>
    </w:p>
    <w:p w14:paraId="1B4C5B36" w14:textId="77777777" w:rsidR="00E36A47" w:rsidRPr="00E36A47" w:rsidRDefault="00E36A47" w:rsidP="00E36A47">
      <w:pPr>
        <w:autoSpaceDE w:val="0"/>
        <w:autoSpaceDN w:val="0"/>
        <w:adjustRightInd w:val="0"/>
        <w:rPr>
          <w:sz w:val="24"/>
        </w:rPr>
      </w:pPr>
      <w:r w:rsidRPr="00E36A47">
        <w:rPr>
          <w:sz w:val="24"/>
        </w:rPr>
        <w:t xml:space="preserve">Coburn, J., &amp; Pryor, S. C. (2021). Differential Credibility of Climate Modes in CMIP6. </w:t>
      </w:r>
      <w:r w:rsidRPr="00E36A47">
        <w:rPr>
          <w:i/>
          <w:iCs/>
          <w:sz w:val="24"/>
        </w:rPr>
        <w:t>Journal of Climate</w:t>
      </w:r>
      <w:r w:rsidRPr="00E36A47">
        <w:rPr>
          <w:sz w:val="24"/>
        </w:rPr>
        <w:t xml:space="preserve">, </w:t>
      </w:r>
      <w:r w:rsidRPr="00E36A47">
        <w:rPr>
          <w:i/>
          <w:iCs/>
          <w:sz w:val="24"/>
        </w:rPr>
        <w:t>34</w:t>
      </w:r>
      <w:r w:rsidRPr="00E36A47">
        <w:rPr>
          <w:sz w:val="24"/>
        </w:rPr>
        <w:t>(20), 8145–8164. https://doi.org/10.1175/JCLI-D-21-0359.1</w:t>
      </w:r>
    </w:p>
    <w:p w14:paraId="5B53E914" w14:textId="77777777" w:rsidR="00E36A47" w:rsidRPr="00E36A47" w:rsidRDefault="00E36A47" w:rsidP="00E36A47">
      <w:pPr>
        <w:autoSpaceDE w:val="0"/>
        <w:autoSpaceDN w:val="0"/>
        <w:adjustRightInd w:val="0"/>
        <w:rPr>
          <w:sz w:val="24"/>
        </w:rPr>
      </w:pPr>
      <w:proofErr w:type="spellStart"/>
      <w:r w:rsidRPr="00E36A47">
        <w:rPr>
          <w:sz w:val="24"/>
        </w:rPr>
        <w:t>Deser</w:t>
      </w:r>
      <w:proofErr w:type="spellEnd"/>
      <w:r w:rsidRPr="00E36A47">
        <w:rPr>
          <w:sz w:val="24"/>
        </w:rPr>
        <w:t xml:space="preserve">, C. (2000). On the </w:t>
      </w:r>
      <w:proofErr w:type="spellStart"/>
      <w:r w:rsidRPr="00E36A47">
        <w:rPr>
          <w:sz w:val="24"/>
        </w:rPr>
        <w:t>teleconnectivity</w:t>
      </w:r>
      <w:proofErr w:type="spellEnd"/>
      <w:r w:rsidRPr="00E36A47">
        <w:rPr>
          <w:sz w:val="24"/>
        </w:rPr>
        <w:t xml:space="preserve"> of the “Arctic Oscillation.” </w:t>
      </w:r>
      <w:r w:rsidRPr="00E36A47">
        <w:rPr>
          <w:i/>
          <w:iCs/>
          <w:sz w:val="24"/>
        </w:rPr>
        <w:t>Geophysical Research Letters</w:t>
      </w:r>
      <w:r w:rsidRPr="00E36A47">
        <w:rPr>
          <w:sz w:val="24"/>
        </w:rPr>
        <w:t xml:space="preserve">, </w:t>
      </w:r>
      <w:r w:rsidRPr="00E36A47">
        <w:rPr>
          <w:i/>
          <w:iCs/>
          <w:sz w:val="24"/>
        </w:rPr>
        <w:t>27</w:t>
      </w:r>
      <w:r w:rsidRPr="00E36A47">
        <w:rPr>
          <w:sz w:val="24"/>
        </w:rPr>
        <w:t>(6), 779–782. https://doi.org/10.1029/1999GL010945</w:t>
      </w:r>
    </w:p>
    <w:p w14:paraId="3D218287" w14:textId="77777777" w:rsidR="00E36A47" w:rsidRPr="00E36A47" w:rsidRDefault="00E36A47" w:rsidP="00E36A47">
      <w:pPr>
        <w:autoSpaceDE w:val="0"/>
        <w:autoSpaceDN w:val="0"/>
        <w:adjustRightInd w:val="0"/>
        <w:rPr>
          <w:sz w:val="24"/>
        </w:rPr>
      </w:pPr>
      <w:proofErr w:type="spellStart"/>
      <w:r w:rsidRPr="00E36A47">
        <w:rPr>
          <w:sz w:val="24"/>
        </w:rPr>
        <w:t>Drouard</w:t>
      </w:r>
      <w:proofErr w:type="spellEnd"/>
      <w:r w:rsidRPr="00E36A47">
        <w:rPr>
          <w:sz w:val="24"/>
        </w:rPr>
        <w:t xml:space="preserve">, M., &amp; </w:t>
      </w:r>
      <w:proofErr w:type="spellStart"/>
      <w:r w:rsidRPr="00E36A47">
        <w:rPr>
          <w:sz w:val="24"/>
        </w:rPr>
        <w:t>Cassou</w:t>
      </w:r>
      <w:proofErr w:type="spellEnd"/>
      <w:r w:rsidRPr="00E36A47">
        <w:rPr>
          <w:sz w:val="24"/>
        </w:rPr>
        <w:t xml:space="preserve">, C. (2019). A Modeling- and Process-Oriented Study to Investigate the Projected Change of ENSO-Forced Wintertime </w:t>
      </w:r>
      <w:proofErr w:type="spellStart"/>
      <w:r w:rsidRPr="00E36A47">
        <w:rPr>
          <w:sz w:val="24"/>
        </w:rPr>
        <w:t>Teleconnectivity</w:t>
      </w:r>
      <w:proofErr w:type="spellEnd"/>
      <w:r w:rsidRPr="00E36A47">
        <w:rPr>
          <w:sz w:val="24"/>
        </w:rPr>
        <w:t xml:space="preserve"> in a Warmer World. </w:t>
      </w:r>
      <w:r w:rsidRPr="00E36A47">
        <w:rPr>
          <w:i/>
          <w:iCs/>
          <w:sz w:val="24"/>
        </w:rPr>
        <w:t>Journal of Climate</w:t>
      </w:r>
      <w:r w:rsidRPr="00E36A47">
        <w:rPr>
          <w:sz w:val="24"/>
        </w:rPr>
        <w:t xml:space="preserve">, </w:t>
      </w:r>
      <w:r w:rsidRPr="00E36A47">
        <w:rPr>
          <w:i/>
          <w:iCs/>
          <w:sz w:val="24"/>
        </w:rPr>
        <w:t>32</w:t>
      </w:r>
      <w:r w:rsidRPr="00E36A47">
        <w:rPr>
          <w:sz w:val="24"/>
        </w:rPr>
        <w:t>(23), 8047–8068. https://doi.org/10.1175/JCLI-D-18-0803.1</w:t>
      </w:r>
    </w:p>
    <w:p w14:paraId="49993BDA" w14:textId="77777777" w:rsidR="00E36A47" w:rsidRPr="00E36A47" w:rsidRDefault="00E36A47" w:rsidP="00E36A47">
      <w:pPr>
        <w:autoSpaceDE w:val="0"/>
        <w:autoSpaceDN w:val="0"/>
        <w:adjustRightInd w:val="0"/>
        <w:rPr>
          <w:sz w:val="24"/>
        </w:rPr>
      </w:pPr>
      <w:r w:rsidRPr="00E36A47">
        <w:rPr>
          <w:sz w:val="24"/>
        </w:rPr>
        <w:t xml:space="preserve">Gan, B., Wu, L., Jia, F., Li, S., Cai, W., Nakamura, H., et al. (2017). On the Response of the Aleutian Low to Greenhouse Warming. </w:t>
      </w:r>
      <w:r w:rsidRPr="00E36A47">
        <w:rPr>
          <w:i/>
          <w:iCs/>
          <w:sz w:val="24"/>
        </w:rPr>
        <w:t>Journal of Climate</w:t>
      </w:r>
      <w:r w:rsidRPr="00E36A47">
        <w:rPr>
          <w:sz w:val="24"/>
        </w:rPr>
        <w:t xml:space="preserve">, </w:t>
      </w:r>
      <w:r w:rsidRPr="00E36A47">
        <w:rPr>
          <w:i/>
          <w:iCs/>
          <w:sz w:val="24"/>
        </w:rPr>
        <w:t>30</w:t>
      </w:r>
      <w:r w:rsidRPr="00E36A47">
        <w:rPr>
          <w:sz w:val="24"/>
        </w:rPr>
        <w:t>(10), 3907–3925. https://doi.org/10.1175/JCLI-D-15-0789.1</w:t>
      </w:r>
    </w:p>
    <w:p w14:paraId="1699E6A0" w14:textId="77777777" w:rsidR="00E36A47" w:rsidRPr="00E36A47" w:rsidRDefault="00E36A47" w:rsidP="00E36A47">
      <w:pPr>
        <w:autoSpaceDE w:val="0"/>
        <w:autoSpaceDN w:val="0"/>
        <w:adjustRightInd w:val="0"/>
        <w:rPr>
          <w:sz w:val="24"/>
        </w:rPr>
      </w:pPr>
      <w:r w:rsidRPr="00E36A47">
        <w:rPr>
          <w:sz w:val="24"/>
        </w:rPr>
        <w:t xml:space="preserve">Geng, X., Zhao, J., &amp; </w:t>
      </w:r>
      <w:proofErr w:type="spellStart"/>
      <w:r w:rsidRPr="00E36A47">
        <w:rPr>
          <w:sz w:val="24"/>
        </w:rPr>
        <w:t>Kug</w:t>
      </w:r>
      <w:proofErr w:type="spellEnd"/>
      <w:r w:rsidRPr="00E36A47">
        <w:rPr>
          <w:sz w:val="24"/>
        </w:rPr>
        <w:t xml:space="preserve">, J.-S. (2023). ENSO-driven abrupt phase shift in North Atlantic oscillation in early January. </w:t>
      </w:r>
      <w:proofErr w:type="spellStart"/>
      <w:r w:rsidRPr="00E36A47">
        <w:rPr>
          <w:i/>
          <w:iCs/>
          <w:sz w:val="24"/>
        </w:rPr>
        <w:t>Npj</w:t>
      </w:r>
      <w:proofErr w:type="spellEnd"/>
      <w:r w:rsidRPr="00E36A47">
        <w:rPr>
          <w:i/>
          <w:iCs/>
          <w:sz w:val="24"/>
        </w:rPr>
        <w:t xml:space="preserve"> Climate and Atmospheric Science</w:t>
      </w:r>
      <w:r w:rsidRPr="00E36A47">
        <w:rPr>
          <w:sz w:val="24"/>
        </w:rPr>
        <w:t xml:space="preserve">, </w:t>
      </w:r>
      <w:r w:rsidRPr="00E36A47">
        <w:rPr>
          <w:i/>
          <w:iCs/>
          <w:sz w:val="24"/>
        </w:rPr>
        <w:t>6</w:t>
      </w:r>
      <w:r w:rsidRPr="00E36A47">
        <w:rPr>
          <w:sz w:val="24"/>
        </w:rPr>
        <w:t>(1), 1–8. https://doi.org/10.1038/s41612-023-00414-2</w:t>
      </w:r>
    </w:p>
    <w:p w14:paraId="29314618" w14:textId="77777777" w:rsidR="00E36A47" w:rsidRPr="00E36A47" w:rsidRDefault="00E36A47" w:rsidP="00E36A47">
      <w:pPr>
        <w:autoSpaceDE w:val="0"/>
        <w:autoSpaceDN w:val="0"/>
        <w:adjustRightInd w:val="0"/>
        <w:rPr>
          <w:sz w:val="24"/>
        </w:rPr>
      </w:pPr>
      <w:r w:rsidRPr="00E36A47">
        <w:rPr>
          <w:sz w:val="24"/>
        </w:rPr>
        <w:t xml:space="preserve">Geng, X., </w:t>
      </w:r>
      <w:proofErr w:type="spellStart"/>
      <w:r w:rsidRPr="00E36A47">
        <w:rPr>
          <w:sz w:val="24"/>
        </w:rPr>
        <w:t>Kug</w:t>
      </w:r>
      <w:proofErr w:type="spellEnd"/>
      <w:r w:rsidRPr="00E36A47">
        <w:rPr>
          <w:sz w:val="24"/>
        </w:rPr>
        <w:t xml:space="preserve">, J.-S., &amp; Kosaka, Y. (2024). Future changes in the wintertime ENSO-NAO teleconnection under greenhouse warming. </w:t>
      </w:r>
      <w:proofErr w:type="spellStart"/>
      <w:r w:rsidRPr="00E36A47">
        <w:rPr>
          <w:i/>
          <w:iCs/>
          <w:sz w:val="24"/>
        </w:rPr>
        <w:t>Npj</w:t>
      </w:r>
      <w:proofErr w:type="spellEnd"/>
      <w:r w:rsidRPr="00E36A47">
        <w:rPr>
          <w:i/>
          <w:iCs/>
          <w:sz w:val="24"/>
        </w:rPr>
        <w:t xml:space="preserve"> Climate and Atmospheric Science</w:t>
      </w:r>
      <w:r w:rsidRPr="00E36A47">
        <w:rPr>
          <w:sz w:val="24"/>
        </w:rPr>
        <w:t xml:space="preserve">, </w:t>
      </w:r>
      <w:r w:rsidRPr="00E36A47">
        <w:rPr>
          <w:i/>
          <w:iCs/>
          <w:sz w:val="24"/>
        </w:rPr>
        <w:t>7</w:t>
      </w:r>
      <w:r w:rsidRPr="00E36A47">
        <w:rPr>
          <w:sz w:val="24"/>
        </w:rPr>
        <w:t>(1), 1–12. https://doi.org/10.1038/s41612-024-00627-z</w:t>
      </w:r>
    </w:p>
    <w:p w14:paraId="625AC282" w14:textId="77777777" w:rsidR="00E36A47" w:rsidRPr="00E36A47" w:rsidRDefault="00E36A47" w:rsidP="00E36A47">
      <w:pPr>
        <w:autoSpaceDE w:val="0"/>
        <w:autoSpaceDN w:val="0"/>
        <w:adjustRightInd w:val="0"/>
        <w:rPr>
          <w:sz w:val="24"/>
        </w:rPr>
      </w:pPr>
      <w:r w:rsidRPr="00E36A47">
        <w:rPr>
          <w:sz w:val="24"/>
        </w:rPr>
        <w:t xml:space="preserve">Gong, H., Wang, L., Chen, W., Chen, X., &amp; Nath, D. (2017). Biases of the wintertime Arctic Oscillation in CMIP5 models. </w:t>
      </w:r>
      <w:r w:rsidRPr="00E36A47">
        <w:rPr>
          <w:i/>
          <w:iCs/>
          <w:sz w:val="24"/>
        </w:rPr>
        <w:t>Environmental Research Letters</w:t>
      </w:r>
      <w:r w:rsidRPr="00E36A47">
        <w:rPr>
          <w:sz w:val="24"/>
        </w:rPr>
        <w:t xml:space="preserve">, </w:t>
      </w:r>
      <w:r w:rsidRPr="00E36A47">
        <w:rPr>
          <w:i/>
          <w:iCs/>
          <w:sz w:val="24"/>
        </w:rPr>
        <w:t>12</w:t>
      </w:r>
      <w:r w:rsidRPr="00E36A47">
        <w:rPr>
          <w:sz w:val="24"/>
        </w:rPr>
        <w:t>(1), 014001. https://doi.org/10.1088/1748-9326/12/1/014001</w:t>
      </w:r>
    </w:p>
    <w:p w14:paraId="4EE4F37B" w14:textId="77777777" w:rsidR="00E36A47" w:rsidRPr="00E36A47" w:rsidRDefault="00E36A47" w:rsidP="00E36A47">
      <w:pPr>
        <w:autoSpaceDE w:val="0"/>
        <w:autoSpaceDN w:val="0"/>
        <w:adjustRightInd w:val="0"/>
        <w:rPr>
          <w:sz w:val="24"/>
        </w:rPr>
      </w:pPr>
      <w:proofErr w:type="spellStart"/>
      <w:r w:rsidRPr="00E36A47">
        <w:rPr>
          <w:sz w:val="24"/>
        </w:rPr>
        <w:t>Hamouda</w:t>
      </w:r>
      <w:proofErr w:type="spellEnd"/>
      <w:r w:rsidRPr="00E36A47">
        <w:rPr>
          <w:sz w:val="24"/>
        </w:rPr>
        <w:t xml:space="preserve">, M. E., </w:t>
      </w:r>
      <w:proofErr w:type="spellStart"/>
      <w:r w:rsidRPr="00E36A47">
        <w:rPr>
          <w:sz w:val="24"/>
        </w:rPr>
        <w:t>Pasquero</w:t>
      </w:r>
      <w:proofErr w:type="spellEnd"/>
      <w:r w:rsidRPr="00E36A47">
        <w:rPr>
          <w:sz w:val="24"/>
        </w:rPr>
        <w:t xml:space="preserve">, C., &amp; </w:t>
      </w:r>
      <w:proofErr w:type="spellStart"/>
      <w:r w:rsidRPr="00E36A47">
        <w:rPr>
          <w:sz w:val="24"/>
        </w:rPr>
        <w:t>Tziperman</w:t>
      </w:r>
      <w:proofErr w:type="spellEnd"/>
      <w:r w:rsidRPr="00E36A47">
        <w:rPr>
          <w:sz w:val="24"/>
        </w:rPr>
        <w:t xml:space="preserve">, E. (2021). Decoupling of the Arctic Oscillation and North Atlantic Oscillation in a warmer climate. </w:t>
      </w:r>
      <w:r w:rsidRPr="00E36A47">
        <w:rPr>
          <w:i/>
          <w:iCs/>
          <w:sz w:val="24"/>
        </w:rPr>
        <w:t>Nature Climate Change</w:t>
      </w:r>
      <w:r w:rsidRPr="00E36A47">
        <w:rPr>
          <w:sz w:val="24"/>
        </w:rPr>
        <w:t xml:space="preserve">, </w:t>
      </w:r>
      <w:r w:rsidRPr="00E36A47">
        <w:rPr>
          <w:i/>
          <w:iCs/>
          <w:sz w:val="24"/>
        </w:rPr>
        <w:t>11</w:t>
      </w:r>
      <w:r w:rsidRPr="00E36A47">
        <w:rPr>
          <w:sz w:val="24"/>
        </w:rPr>
        <w:t>(2), 137–142. https://doi.org/10.1038/s41558-020-00966-8</w:t>
      </w:r>
    </w:p>
    <w:p w14:paraId="405D91FF" w14:textId="77777777" w:rsidR="00E36A47" w:rsidRPr="00E36A47" w:rsidRDefault="00E36A47" w:rsidP="00E36A47">
      <w:pPr>
        <w:autoSpaceDE w:val="0"/>
        <w:autoSpaceDN w:val="0"/>
        <w:adjustRightInd w:val="0"/>
        <w:rPr>
          <w:sz w:val="24"/>
        </w:rPr>
      </w:pPr>
      <w:r w:rsidRPr="00E36A47">
        <w:rPr>
          <w:sz w:val="24"/>
        </w:rPr>
        <w:t xml:space="preserve">He, S., Gao, Y., Li, F., Wang, H., &amp; He, Y. (2017). Impact of Arctic Oscillation on the East Asian climate: A review. </w:t>
      </w:r>
      <w:r w:rsidRPr="00E36A47">
        <w:rPr>
          <w:i/>
          <w:iCs/>
          <w:sz w:val="24"/>
        </w:rPr>
        <w:t>Earth-Science Reviews</w:t>
      </w:r>
      <w:r w:rsidRPr="00E36A47">
        <w:rPr>
          <w:sz w:val="24"/>
        </w:rPr>
        <w:t xml:space="preserve">, </w:t>
      </w:r>
      <w:r w:rsidRPr="00E36A47">
        <w:rPr>
          <w:i/>
          <w:iCs/>
          <w:sz w:val="24"/>
        </w:rPr>
        <w:t>164</w:t>
      </w:r>
      <w:r w:rsidRPr="00E36A47">
        <w:rPr>
          <w:sz w:val="24"/>
        </w:rPr>
        <w:t>, 48–62. https://doi.org/10.1016/j.earscirev.2016.10.014</w:t>
      </w:r>
    </w:p>
    <w:p w14:paraId="60B6B515" w14:textId="77777777" w:rsidR="00E36A47" w:rsidRPr="00E36A47" w:rsidRDefault="00E36A47" w:rsidP="00E36A47">
      <w:pPr>
        <w:autoSpaceDE w:val="0"/>
        <w:autoSpaceDN w:val="0"/>
        <w:adjustRightInd w:val="0"/>
        <w:rPr>
          <w:sz w:val="24"/>
        </w:rPr>
      </w:pPr>
      <w:proofErr w:type="spellStart"/>
      <w:r w:rsidRPr="00E36A47">
        <w:rPr>
          <w:sz w:val="24"/>
        </w:rPr>
        <w:t>Hersbach</w:t>
      </w:r>
      <w:proofErr w:type="spellEnd"/>
      <w:r w:rsidRPr="00E36A47">
        <w:rPr>
          <w:sz w:val="24"/>
        </w:rPr>
        <w:t xml:space="preserve">, H., Bell, B., </w:t>
      </w:r>
      <w:proofErr w:type="spellStart"/>
      <w:r w:rsidRPr="00E36A47">
        <w:rPr>
          <w:sz w:val="24"/>
        </w:rPr>
        <w:t>Berrisford</w:t>
      </w:r>
      <w:proofErr w:type="spellEnd"/>
      <w:r w:rsidRPr="00E36A47">
        <w:rPr>
          <w:sz w:val="24"/>
        </w:rPr>
        <w:t xml:space="preserve">, P., Hirahara, S., </w:t>
      </w:r>
      <w:proofErr w:type="spellStart"/>
      <w:r w:rsidRPr="00E36A47">
        <w:rPr>
          <w:sz w:val="24"/>
        </w:rPr>
        <w:t>Horányi</w:t>
      </w:r>
      <w:proofErr w:type="spellEnd"/>
      <w:r w:rsidRPr="00E36A47">
        <w:rPr>
          <w:sz w:val="24"/>
        </w:rPr>
        <w:t>, A., Muñoz-</w:t>
      </w:r>
      <w:proofErr w:type="spellStart"/>
      <w:r w:rsidRPr="00E36A47">
        <w:rPr>
          <w:sz w:val="24"/>
        </w:rPr>
        <w:t>Sabater</w:t>
      </w:r>
      <w:proofErr w:type="spellEnd"/>
      <w:r w:rsidRPr="00E36A47">
        <w:rPr>
          <w:sz w:val="24"/>
        </w:rPr>
        <w:t xml:space="preserve">, J., et al. (2020). The ERA5 global reanalysis. </w:t>
      </w:r>
      <w:r w:rsidRPr="00E36A47">
        <w:rPr>
          <w:i/>
          <w:iCs/>
          <w:sz w:val="24"/>
        </w:rPr>
        <w:t>Quarterly Journal of the Royal Meteorological Society</w:t>
      </w:r>
      <w:r w:rsidRPr="00E36A47">
        <w:rPr>
          <w:sz w:val="24"/>
        </w:rPr>
        <w:t xml:space="preserve">, </w:t>
      </w:r>
      <w:r w:rsidRPr="00E36A47">
        <w:rPr>
          <w:i/>
          <w:iCs/>
          <w:sz w:val="24"/>
        </w:rPr>
        <w:t>146</w:t>
      </w:r>
      <w:r w:rsidRPr="00E36A47">
        <w:rPr>
          <w:sz w:val="24"/>
        </w:rPr>
        <w:t>(730), 1999–2049. https://doi.org/10.1002/qj.3803</w:t>
      </w:r>
    </w:p>
    <w:p w14:paraId="5C4DD17A" w14:textId="77777777" w:rsidR="00E36A47" w:rsidRPr="00E36A47" w:rsidRDefault="00E36A47" w:rsidP="00E36A47">
      <w:pPr>
        <w:autoSpaceDE w:val="0"/>
        <w:autoSpaceDN w:val="0"/>
        <w:adjustRightInd w:val="0"/>
        <w:rPr>
          <w:sz w:val="24"/>
        </w:rPr>
      </w:pPr>
      <w:r w:rsidRPr="00E36A47">
        <w:rPr>
          <w:sz w:val="24"/>
        </w:rPr>
        <w:t xml:space="preserve">Hirahara, S., Ishii, M., &amp; Fukuda, Y. (2014). Centennial-Scale Sea Surface Temperature Analysis and Its Uncertainty. </w:t>
      </w:r>
      <w:r w:rsidRPr="00E36A47">
        <w:rPr>
          <w:i/>
          <w:iCs/>
          <w:sz w:val="24"/>
        </w:rPr>
        <w:t>Journal of Climate</w:t>
      </w:r>
      <w:r w:rsidRPr="00E36A47">
        <w:rPr>
          <w:sz w:val="24"/>
        </w:rPr>
        <w:t xml:space="preserve">, </w:t>
      </w:r>
      <w:r w:rsidRPr="00E36A47">
        <w:rPr>
          <w:i/>
          <w:iCs/>
          <w:sz w:val="24"/>
        </w:rPr>
        <w:t>27</w:t>
      </w:r>
      <w:r w:rsidRPr="00E36A47">
        <w:rPr>
          <w:sz w:val="24"/>
        </w:rPr>
        <w:t>(1), 57–75. https://doi.org/10.1175/JCLI-D-12-00837.1</w:t>
      </w:r>
    </w:p>
    <w:p w14:paraId="306A0FE9" w14:textId="77777777" w:rsidR="00E36A47" w:rsidRPr="00E36A47" w:rsidRDefault="00E36A47" w:rsidP="00E36A47">
      <w:pPr>
        <w:autoSpaceDE w:val="0"/>
        <w:autoSpaceDN w:val="0"/>
        <w:adjustRightInd w:val="0"/>
        <w:rPr>
          <w:sz w:val="24"/>
        </w:rPr>
      </w:pPr>
      <w:r w:rsidRPr="00E36A47">
        <w:rPr>
          <w:sz w:val="24"/>
        </w:rPr>
        <w:t xml:space="preserve">Honda, M., &amp; Nakamura, H. (2001). Interannual Seesaw between the Aleutian and Icelandic Lows. Part II: Its Significance in the Interannual Variability over the Wintertime Northern Hemisphere. </w:t>
      </w:r>
      <w:r w:rsidRPr="00E36A47">
        <w:rPr>
          <w:i/>
          <w:iCs/>
          <w:sz w:val="24"/>
        </w:rPr>
        <w:t>Journal of Climate</w:t>
      </w:r>
      <w:r w:rsidRPr="00E36A47">
        <w:rPr>
          <w:sz w:val="24"/>
        </w:rPr>
        <w:t xml:space="preserve">, </w:t>
      </w:r>
      <w:r w:rsidRPr="00E36A47">
        <w:rPr>
          <w:i/>
          <w:iCs/>
          <w:sz w:val="24"/>
        </w:rPr>
        <w:t>14</w:t>
      </w:r>
      <w:r w:rsidRPr="00E36A47">
        <w:rPr>
          <w:sz w:val="24"/>
        </w:rPr>
        <w:t>(24), 4512–4529. https://doi.org/10.1175/1520-0442(2001)014&lt;</w:t>
      </w:r>
      <w:proofErr w:type="gramStart"/>
      <w:r w:rsidRPr="00E36A47">
        <w:rPr>
          <w:sz w:val="24"/>
        </w:rPr>
        <w:t>4512:ISBTAA</w:t>
      </w:r>
      <w:proofErr w:type="gramEnd"/>
      <w:r w:rsidRPr="00E36A47">
        <w:rPr>
          <w:sz w:val="24"/>
        </w:rPr>
        <w:t>&gt;2.0.CO;2</w:t>
      </w:r>
    </w:p>
    <w:p w14:paraId="6FF12845" w14:textId="77777777" w:rsidR="00E36A47" w:rsidRPr="00E36A47" w:rsidRDefault="00E36A47" w:rsidP="00E36A47">
      <w:pPr>
        <w:autoSpaceDE w:val="0"/>
        <w:autoSpaceDN w:val="0"/>
        <w:adjustRightInd w:val="0"/>
        <w:rPr>
          <w:sz w:val="24"/>
        </w:rPr>
      </w:pPr>
      <w:r w:rsidRPr="00E36A47">
        <w:rPr>
          <w:sz w:val="24"/>
        </w:rPr>
        <w:lastRenderedPageBreak/>
        <w:t xml:space="preserve">Kidston, J., Scaife, A. A., Hardiman, S. C., Mitchell, D. M., Butchart, N., Baldwin, M. P., &amp; Gray, L. J. (2015). Stratospheric influence on tropospheric jet streams, storm tracks and surface weather. </w:t>
      </w:r>
      <w:r w:rsidRPr="00E36A47">
        <w:rPr>
          <w:i/>
          <w:iCs/>
          <w:sz w:val="24"/>
        </w:rPr>
        <w:t>Nature Geoscience</w:t>
      </w:r>
      <w:r w:rsidRPr="00E36A47">
        <w:rPr>
          <w:sz w:val="24"/>
        </w:rPr>
        <w:t xml:space="preserve">, </w:t>
      </w:r>
      <w:r w:rsidRPr="00E36A47">
        <w:rPr>
          <w:i/>
          <w:iCs/>
          <w:sz w:val="24"/>
        </w:rPr>
        <w:t>8</w:t>
      </w:r>
      <w:r w:rsidRPr="00E36A47">
        <w:rPr>
          <w:sz w:val="24"/>
        </w:rPr>
        <w:t>(6), 433–440. https://doi.org/10.1038/ngeo2424</w:t>
      </w:r>
    </w:p>
    <w:p w14:paraId="11A2DBFA" w14:textId="77777777" w:rsidR="00E36A47" w:rsidRPr="00E36A47" w:rsidRDefault="00E36A47" w:rsidP="00E36A47">
      <w:pPr>
        <w:autoSpaceDE w:val="0"/>
        <w:autoSpaceDN w:val="0"/>
        <w:adjustRightInd w:val="0"/>
        <w:rPr>
          <w:sz w:val="24"/>
        </w:rPr>
      </w:pPr>
      <w:proofErr w:type="spellStart"/>
      <w:r w:rsidRPr="00E36A47">
        <w:rPr>
          <w:sz w:val="24"/>
        </w:rPr>
        <w:t>Kug</w:t>
      </w:r>
      <w:proofErr w:type="spellEnd"/>
      <w:r w:rsidRPr="00E36A47">
        <w:rPr>
          <w:sz w:val="24"/>
        </w:rPr>
        <w:t xml:space="preserve">, J.-S., An, S.-I., Ham, Y.-G., &amp; Kang, I.-S. (2010). Changes in El Niño and La Niña teleconnections over North Pacific–America in the global warming simulations. </w:t>
      </w:r>
      <w:r w:rsidRPr="00E36A47">
        <w:rPr>
          <w:i/>
          <w:iCs/>
          <w:sz w:val="24"/>
        </w:rPr>
        <w:t>Theoretical and Applied Climatology</w:t>
      </w:r>
      <w:r w:rsidRPr="00E36A47">
        <w:rPr>
          <w:sz w:val="24"/>
        </w:rPr>
        <w:t xml:space="preserve">, </w:t>
      </w:r>
      <w:r w:rsidRPr="00E36A47">
        <w:rPr>
          <w:i/>
          <w:iCs/>
          <w:sz w:val="24"/>
        </w:rPr>
        <w:t>100</w:t>
      </w:r>
      <w:r w:rsidRPr="00E36A47">
        <w:rPr>
          <w:sz w:val="24"/>
        </w:rPr>
        <w:t>(3), 275–282. https://doi.org/10.1007/s00704-009-0183-0</w:t>
      </w:r>
    </w:p>
    <w:p w14:paraId="2FDDB181" w14:textId="77777777" w:rsidR="00E36A47" w:rsidRPr="00E36A47" w:rsidRDefault="00E36A47" w:rsidP="00E36A47">
      <w:pPr>
        <w:autoSpaceDE w:val="0"/>
        <w:autoSpaceDN w:val="0"/>
        <w:adjustRightInd w:val="0"/>
        <w:rPr>
          <w:sz w:val="24"/>
        </w:rPr>
      </w:pPr>
      <w:r w:rsidRPr="00E36A47">
        <w:rPr>
          <w:sz w:val="24"/>
        </w:rPr>
        <w:t xml:space="preserve">Lee, J.-Y., </w:t>
      </w:r>
      <w:proofErr w:type="spellStart"/>
      <w:r w:rsidRPr="00E36A47">
        <w:rPr>
          <w:sz w:val="24"/>
        </w:rPr>
        <w:t>Marotzke</w:t>
      </w:r>
      <w:proofErr w:type="spellEnd"/>
      <w:r w:rsidRPr="00E36A47">
        <w:rPr>
          <w:sz w:val="24"/>
        </w:rPr>
        <w:t xml:space="preserve">, J., Bala, G., Cao, L., Corti, S., Dunne, J. P., et al. (2021). Future global climate: scenario-based projections and near-term information. In V. Masson-Delmotte, P. Zhai, A. Pirani, S. L. Connors, C. </w:t>
      </w:r>
      <w:proofErr w:type="spellStart"/>
      <w:r w:rsidRPr="00E36A47">
        <w:rPr>
          <w:sz w:val="24"/>
        </w:rPr>
        <w:t>Péan</w:t>
      </w:r>
      <w:proofErr w:type="spellEnd"/>
      <w:r w:rsidRPr="00E36A47">
        <w:rPr>
          <w:sz w:val="24"/>
        </w:rPr>
        <w:t xml:space="preserve">, S. Berger, et al. (Eds.), </w:t>
      </w:r>
      <w:r w:rsidRPr="00E36A47">
        <w:rPr>
          <w:i/>
          <w:iCs/>
          <w:sz w:val="24"/>
        </w:rPr>
        <w:t>Climate Change 2021: The Physical Science Basis. Contribution of Working Group I to the Sixth Assessment Report of the Intergovernmental Panel on Climate Change</w:t>
      </w:r>
      <w:r w:rsidRPr="00E36A47">
        <w:rPr>
          <w:sz w:val="24"/>
        </w:rPr>
        <w:t xml:space="preserve"> (pp. 553–672). Cambridge, United Kingdom and New York, NY, USA: Cambridge University Press. https://doi.org/10.1017/9781009157896.001</w:t>
      </w:r>
    </w:p>
    <w:p w14:paraId="66EF77BB" w14:textId="77777777" w:rsidR="00E36A47" w:rsidRPr="00E36A47" w:rsidRDefault="00E36A47" w:rsidP="00E36A47">
      <w:pPr>
        <w:autoSpaceDE w:val="0"/>
        <w:autoSpaceDN w:val="0"/>
        <w:adjustRightInd w:val="0"/>
        <w:rPr>
          <w:sz w:val="24"/>
        </w:rPr>
      </w:pPr>
      <w:r w:rsidRPr="00E36A47">
        <w:rPr>
          <w:sz w:val="24"/>
        </w:rPr>
        <w:t xml:space="preserve">Mizuta, R., Murata, A., Ishii, M., </w:t>
      </w:r>
      <w:proofErr w:type="spellStart"/>
      <w:r w:rsidRPr="00E36A47">
        <w:rPr>
          <w:sz w:val="24"/>
        </w:rPr>
        <w:t>Shiogama</w:t>
      </w:r>
      <w:proofErr w:type="spellEnd"/>
      <w:r w:rsidRPr="00E36A47">
        <w:rPr>
          <w:sz w:val="24"/>
        </w:rPr>
        <w:t xml:space="preserve">, H., Hibino, K., Mori, N., et al. (2017). Over 5,000 Years of Ensemble Future Climate Simulations by 60-km Global and 20-km Regional Atmospheric Models. </w:t>
      </w:r>
      <w:r w:rsidRPr="00E36A47">
        <w:rPr>
          <w:i/>
          <w:iCs/>
          <w:sz w:val="24"/>
        </w:rPr>
        <w:t>Bulletin of the American Meteorological Society</w:t>
      </w:r>
      <w:r w:rsidRPr="00E36A47">
        <w:rPr>
          <w:sz w:val="24"/>
        </w:rPr>
        <w:t xml:space="preserve">, </w:t>
      </w:r>
      <w:r w:rsidRPr="00E36A47">
        <w:rPr>
          <w:i/>
          <w:iCs/>
          <w:sz w:val="24"/>
        </w:rPr>
        <w:t>98</w:t>
      </w:r>
      <w:r w:rsidRPr="00E36A47">
        <w:rPr>
          <w:sz w:val="24"/>
        </w:rPr>
        <w:t>(7), 1383–1398. https://doi.org/10.1175/BAMS-D-16-0099.1</w:t>
      </w:r>
    </w:p>
    <w:p w14:paraId="0BD120EC" w14:textId="77777777" w:rsidR="00E36A47" w:rsidRPr="00E36A47" w:rsidRDefault="00E36A47" w:rsidP="00E36A47">
      <w:pPr>
        <w:autoSpaceDE w:val="0"/>
        <w:autoSpaceDN w:val="0"/>
        <w:adjustRightInd w:val="0"/>
        <w:rPr>
          <w:sz w:val="24"/>
        </w:rPr>
      </w:pPr>
      <w:r w:rsidRPr="00E36A47">
        <w:rPr>
          <w:sz w:val="24"/>
        </w:rPr>
        <w:t xml:space="preserve">Mori, M., Watanabe, M., </w:t>
      </w:r>
      <w:proofErr w:type="spellStart"/>
      <w:r w:rsidRPr="00E36A47">
        <w:rPr>
          <w:sz w:val="24"/>
        </w:rPr>
        <w:t>Shiogama</w:t>
      </w:r>
      <w:proofErr w:type="spellEnd"/>
      <w:r w:rsidRPr="00E36A47">
        <w:rPr>
          <w:sz w:val="24"/>
        </w:rPr>
        <w:t xml:space="preserve">, H., Inoue, J., &amp; Kimoto, M. (2014). Robust Arctic sea-ice influence on the frequent Eurasian cold winters in past decades. </w:t>
      </w:r>
      <w:r w:rsidRPr="00E36A47">
        <w:rPr>
          <w:i/>
          <w:iCs/>
          <w:sz w:val="24"/>
        </w:rPr>
        <w:t>Nature Geoscience</w:t>
      </w:r>
      <w:r w:rsidRPr="00E36A47">
        <w:rPr>
          <w:sz w:val="24"/>
        </w:rPr>
        <w:t xml:space="preserve">, </w:t>
      </w:r>
      <w:r w:rsidRPr="00E36A47">
        <w:rPr>
          <w:i/>
          <w:iCs/>
          <w:sz w:val="24"/>
        </w:rPr>
        <w:t>7</w:t>
      </w:r>
      <w:r w:rsidRPr="00E36A47">
        <w:rPr>
          <w:sz w:val="24"/>
        </w:rPr>
        <w:t>(12), 869–873. https://doi.org/10.1038/ngeo2277</w:t>
      </w:r>
    </w:p>
    <w:p w14:paraId="70E8A4FF" w14:textId="77777777" w:rsidR="00E36A47" w:rsidRPr="00E36A47" w:rsidRDefault="00E36A47" w:rsidP="00E36A47">
      <w:pPr>
        <w:autoSpaceDE w:val="0"/>
        <w:autoSpaceDN w:val="0"/>
        <w:adjustRightInd w:val="0"/>
        <w:rPr>
          <w:sz w:val="24"/>
        </w:rPr>
      </w:pPr>
      <w:r w:rsidRPr="00E36A47">
        <w:rPr>
          <w:sz w:val="24"/>
        </w:rPr>
        <w:t xml:space="preserve">Moron, V., &amp; </w:t>
      </w:r>
      <w:proofErr w:type="spellStart"/>
      <w:r w:rsidRPr="00E36A47">
        <w:rPr>
          <w:sz w:val="24"/>
        </w:rPr>
        <w:t>Gouirand</w:t>
      </w:r>
      <w:proofErr w:type="spellEnd"/>
      <w:r w:rsidRPr="00E36A47">
        <w:rPr>
          <w:sz w:val="24"/>
        </w:rPr>
        <w:t xml:space="preserve">, I. (2003). Seasonal modulation of the El Niño–southern oscillation relationship with sea level pressure anomalies over the North Atlantic in October–March 1873–1996. </w:t>
      </w:r>
      <w:r w:rsidRPr="00E36A47">
        <w:rPr>
          <w:i/>
          <w:iCs/>
          <w:sz w:val="24"/>
        </w:rPr>
        <w:t>International Journal of Climatology</w:t>
      </w:r>
      <w:r w:rsidRPr="00E36A47">
        <w:rPr>
          <w:sz w:val="24"/>
        </w:rPr>
        <w:t xml:space="preserve">, </w:t>
      </w:r>
      <w:r w:rsidRPr="00E36A47">
        <w:rPr>
          <w:i/>
          <w:iCs/>
          <w:sz w:val="24"/>
        </w:rPr>
        <w:t>23</w:t>
      </w:r>
      <w:r w:rsidRPr="00E36A47">
        <w:rPr>
          <w:sz w:val="24"/>
        </w:rPr>
        <w:t>(2), 143–155. https://doi.org/10.1002/joc.868</w:t>
      </w:r>
    </w:p>
    <w:p w14:paraId="280EAB5F" w14:textId="77777777" w:rsidR="00E36A47" w:rsidRPr="00E36A47" w:rsidRDefault="00E36A47" w:rsidP="00E36A47">
      <w:pPr>
        <w:autoSpaceDE w:val="0"/>
        <w:autoSpaceDN w:val="0"/>
        <w:adjustRightInd w:val="0"/>
        <w:rPr>
          <w:sz w:val="24"/>
        </w:rPr>
      </w:pPr>
      <w:r w:rsidRPr="00E36A47">
        <w:rPr>
          <w:sz w:val="24"/>
        </w:rPr>
        <w:t xml:space="preserve">Power, S., Delage, F., Chung, C., </w:t>
      </w:r>
      <w:proofErr w:type="spellStart"/>
      <w:r w:rsidRPr="00E36A47">
        <w:rPr>
          <w:sz w:val="24"/>
        </w:rPr>
        <w:t>Kociuba</w:t>
      </w:r>
      <w:proofErr w:type="spellEnd"/>
      <w:r w:rsidRPr="00E36A47">
        <w:rPr>
          <w:sz w:val="24"/>
        </w:rPr>
        <w:t xml:space="preserve">, G., &amp; Keay, K. (2013). Robust twenty-first-century projections of El Niño and related precipitation variability. </w:t>
      </w:r>
      <w:r w:rsidRPr="00E36A47">
        <w:rPr>
          <w:i/>
          <w:iCs/>
          <w:sz w:val="24"/>
        </w:rPr>
        <w:t>Nature</w:t>
      </w:r>
      <w:r w:rsidRPr="00E36A47">
        <w:rPr>
          <w:sz w:val="24"/>
        </w:rPr>
        <w:t xml:space="preserve">, </w:t>
      </w:r>
      <w:r w:rsidRPr="00E36A47">
        <w:rPr>
          <w:i/>
          <w:iCs/>
          <w:sz w:val="24"/>
        </w:rPr>
        <w:t>502</w:t>
      </w:r>
      <w:r w:rsidRPr="00E36A47">
        <w:rPr>
          <w:sz w:val="24"/>
        </w:rPr>
        <w:t>(7472), 541–545. https://doi.org/10.1038/nature12580</w:t>
      </w:r>
    </w:p>
    <w:p w14:paraId="55D1222B" w14:textId="77777777" w:rsidR="00E36A47" w:rsidRPr="00E36A47" w:rsidRDefault="00E36A47" w:rsidP="00E36A47">
      <w:pPr>
        <w:autoSpaceDE w:val="0"/>
        <w:autoSpaceDN w:val="0"/>
        <w:adjustRightInd w:val="0"/>
        <w:rPr>
          <w:sz w:val="24"/>
        </w:rPr>
      </w:pPr>
      <w:r w:rsidRPr="00E36A47">
        <w:rPr>
          <w:sz w:val="24"/>
        </w:rPr>
        <w:t xml:space="preserve">Rowell, D. P., </w:t>
      </w:r>
      <w:proofErr w:type="spellStart"/>
      <w:r w:rsidRPr="00E36A47">
        <w:rPr>
          <w:sz w:val="24"/>
        </w:rPr>
        <w:t>Folland</w:t>
      </w:r>
      <w:proofErr w:type="spellEnd"/>
      <w:r w:rsidRPr="00E36A47">
        <w:rPr>
          <w:sz w:val="24"/>
        </w:rPr>
        <w:t xml:space="preserve">, C. K., Maskell, K., &amp; Ward, M. N. (1995). Variability of summer rainfall over tropical north Africa (1906–92): Observations and modelling. </w:t>
      </w:r>
      <w:r w:rsidRPr="00E36A47">
        <w:rPr>
          <w:i/>
          <w:iCs/>
          <w:sz w:val="24"/>
        </w:rPr>
        <w:t>Quarterly Journal of the Royal Meteorological Society</w:t>
      </w:r>
      <w:r w:rsidRPr="00E36A47">
        <w:rPr>
          <w:sz w:val="24"/>
        </w:rPr>
        <w:t xml:space="preserve">, </w:t>
      </w:r>
      <w:r w:rsidRPr="00E36A47">
        <w:rPr>
          <w:i/>
          <w:iCs/>
          <w:sz w:val="24"/>
        </w:rPr>
        <w:t>121</w:t>
      </w:r>
      <w:r w:rsidRPr="00E36A47">
        <w:rPr>
          <w:sz w:val="24"/>
        </w:rPr>
        <w:t>(523), 669–704. https://doi.org/10.1002/qj.49712152311</w:t>
      </w:r>
    </w:p>
    <w:p w14:paraId="5318B079" w14:textId="77777777" w:rsidR="00E36A47" w:rsidRPr="00E36A47" w:rsidRDefault="00E36A47" w:rsidP="00E36A47">
      <w:pPr>
        <w:autoSpaceDE w:val="0"/>
        <w:autoSpaceDN w:val="0"/>
        <w:adjustRightInd w:val="0"/>
        <w:rPr>
          <w:sz w:val="24"/>
        </w:rPr>
      </w:pPr>
      <w:r w:rsidRPr="00E36A47">
        <w:rPr>
          <w:sz w:val="24"/>
        </w:rPr>
        <w:t xml:space="preserve">Takaya, K., &amp; Nakamura, H. (2001). A Formulation of a Phase-Independent Wave-Activity Flux for Stationary and Migratory </w:t>
      </w:r>
      <w:proofErr w:type="spellStart"/>
      <w:r w:rsidRPr="00E36A47">
        <w:rPr>
          <w:sz w:val="24"/>
        </w:rPr>
        <w:t>Quasigeostrophic</w:t>
      </w:r>
      <w:proofErr w:type="spellEnd"/>
      <w:r w:rsidRPr="00E36A47">
        <w:rPr>
          <w:sz w:val="24"/>
        </w:rPr>
        <w:t xml:space="preserve"> Eddies on a Zonally Varying Basic Flow. </w:t>
      </w:r>
      <w:r w:rsidRPr="00E36A47">
        <w:rPr>
          <w:i/>
          <w:iCs/>
          <w:sz w:val="24"/>
        </w:rPr>
        <w:t>Journal of the Atmospheric Sciences</w:t>
      </w:r>
      <w:r w:rsidRPr="00E36A47">
        <w:rPr>
          <w:sz w:val="24"/>
        </w:rPr>
        <w:t xml:space="preserve">, </w:t>
      </w:r>
      <w:r w:rsidRPr="00E36A47">
        <w:rPr>
          <w:i/>
          <w:iCs/>
          <w:sz w:val="24"/>
        </w:rPr>
        <w:t>58</w:t>
      </w:r>
      <w:r w:rsidRPr="00E36A47">
        <w:rPr>
          <w:sz w:val="24"/>
        </w:rPr>
        <w:t>(6), 608–627. https://doi.org/10.1175/1520-0469(2001)058&lt;</w:t>
      </w:r>
      <w:proofErr w:type="gramStart"/>
      <w:r w:rsidRPr="00E36A47">
        <w:rPr>
          <w:sz w:val="24"/>
        </w:rPr>
        <w:t>0608:AFOAPI</w:t>
      </w:r>
      <w:proofErr w:type="gramEnd"/>
      <w:r w:rsidRPr="00E36A47">
        <w:rPr>
          <w:sz w:val="24"/>
        </w:rPr>
        <w:t>&gt;2.0.CO;2</w:t>
      </w:r>
    </w:p>
    <w:p w14:paraId="7536FE86" w14:textId="77777777" w:rsidR="00E36A47" w:rsidRPr="00E36A47" w:rsidRDefault="00E36A47" w:rsidP="00E36A47">
      <w:pPr>
        <w:autoSpaceDE w:val="0"/>
        <w:autoSpaceDN w:val="0"/>
        <w:adjustRightInd w:val="0"/>
        <w:rPr>
          <w:sz w:val="24"/>
        </w:rPr>
      </w:pPr>
      <w:r w:rsidRPr="00E36A47">
        <w:rPr>
          <w:sz w:val="24"/>
        </w:rPr>
        <w:t xml:space="preserve">Taylor, K. E., Stouffer, R. J., &amp; Meehl, G. A. (2012). An Overview of CMIP5 and the Experiment Design. </w:t>
      </w:r>
      <w:r w:rsidRPr="00E36A47">
        <w:rPr>
          <w:i/>
          <w:iCs/>
          <w:sz w:val="24"/>
        </w:rPr>
        <w:t>Bulletin of the American Meteorological Society</w:t>
      </w:r>
      <w:r w:rsidRPr="00E36A47">
        <w:rPr>
          <w:sz w:val="24"/>
        </w:rPr>
        <w:t xml:space="preserve">, </w:t>
      </w:r>
      <w:r w:rsidRPr="00E36A47">
        <w:rPr>
          <w:i/>
          <w:iCs/>
          <w:sz w:val="24"/>
        </w:rPr>
        <w:t>93</w:t>
      </w:r>
      <w:r w:rsidRPr="00E36A47">
        <w:rPr>
          <w:sz w:val="24"/>
        </w:rPr>
        <w:t>(4), 485–498. https://doi.org/10.1175/BAMS-D-11-00094.1</w:t>
      </w:r>
    </w:p>
    <w:p w14:paraId="59CF6273" w14:textId="77777777" w:rsidR="00E36A47" w:rsidRPr="00E36A47" w:rsidRDefault="00E36A47" w:rsidP="00E36A47">
      <w:pPr>
        <w:autoSpaceDE w:val="0"/>
        <w:autoSpaceDN w:val="0"/>
        <w:adjustRightInd w:val="0"/>
        <w:rPr>
          <w:sz w:val="24"/>
        </w:rPr>
      </w:pPr>
      <w:r w:rsidRPr="00E36A47">
        <w:rPr>
          <w:sz w:val="24"/>
        </w:rPr>
        <w:t xml:space="preserve">Thompson, D. W. J., &amp; Wallace, J. M. (1998). The Arctic oscillation signature in the wintertime geopotential height and temperature fields. </w:t>
      </w:r>
      <w:r w:rsidRPr="00E36A47">
        <w:rPr>
          <w:i/>
          <w:iCs/>
          <w:sz w:val="24"/>
        </w:rPr>
        <w:t>Geophysical Research Letters</w:t>
      </w:r>
      <w:r w:rsidRPr="00E36A47">
        <w:rPr>
          <w:sz w:val="24"/>
        </w:rPr>
        <w:t xml:space="preserve">, </w:t>
      </w:r>
      <w:r w:rsidRPr="00E36A47">
        <w:rPr>
          <w:i/>
          <w:iCs/>
          <w:sz w:val="24"/>
        </w:rPr>
        <w:t>25</w:t>
      </w:r>
      <w:r w:rsidRPr="00E36A47">
        <w:rPr>
          <w:sz w:val="24"/>
        </w:rPr>
        <w:t>(9), 1297–1300. https://doi.org/10.1029/98GL00950</w:t>
      </w:r>
    </w:p>
    <w:p w14:paraId="0400B4B7" w14:textId="77777777" w:rsidR="00E36A47" w:rsidRPr="00E36A47" w:rsidRDefault="00E36A47" w:rsidP="00E36A47">
      <w:pPr>
        <w:autoSpaceDE w:val="0"/>
        <w:autoSpaceDN w:val="0"/>
        <w:adjustRightInd w:val="0"/>
        <w:rPr>
          <w:sz w:val="24"/>
        </w:rPr>
      </w:pPr>
      <w:r w:rsidRPr="00E36A47">
        <w:rPr>
          <w:sz w:val="24"/>
        </w:rPr>
        <w:t xml:space="preserve">Thompson, D. W. J., &amp; Wallace, J. M. (2000). Annular modes in the extratropical circulation. Part I: Month-to-month variability. </w:t>
      </w:r>
      <w:r w:rsidRPr="00E36A47">
        <w:rPr>
          <w:i/>
          <w:iCs/>
          <w:sz w:val="24"/>
        </w:rPr>
        <w:t>Journal of Climate</w:t>
      </w:r>
      <w:r w:rsidRPr="00E36A47">
        <w:rPr>
          <w:sz w:val="24"/>
        </w:rPr>
        <w:t xml:space="preserve">, </w:t>
      </w:r>
      <w:r w:rsidRPr="00E36A47">
        <w:rPr>
          <w:i/>
          <w:iCs/>
          <w:sz w:val="24"/>
        </w:rPr>
        <w:t>13</w:t>
      </w:r>
      <w:r w:rsidRPr="00E36A47">
        <w:rPr>
          <w:sz w:val="24"/>
        </w:rPr>
        <w:t>(5), 1000–1016.</w:t>
      </w:r>
    </w:p>
    <w:p w14:paraId="2A218947" w14:textId="77777777" w:rsidR="00E36A47" w:rsidRPr="00E36A47" w:rsidRDefault="00E36A47" w:rsidP="00E36A47">
      <w:pPr>
        <w:autoSpaceDE w:val="0"/>
        <w:autoSpaceDN w:val="0"/>
        <w:adjustRightInd w:val="0"/>
        <w:rPr>
          <w:sz w:val="24"/>
        </w:rPr>
      </w:pPr>
      <w:r w:rsidRPr="00E36A47">
        <w:rPr>
          <w:sz w:val="24"/>
        </w:rPr>
        <w:t xml:space="preserve">Wallace, J. M. (2000). North </w:t>
      </w:r>
      <w:proofErr w:type="spellStart"/>
      <w:r w:rsidRPr="00E36A47">
        <w:rPr>
          <w:sz w:val="24"/>
        </w:rPr>
        <w:t>atlantic</w:t>
      </w:r>
      <w:proofErr w:type="spellEnd"/>
      <w:r w:rsidRPr="00E36A47">
        <w:rPr>
          <w:sz w:val="24"/>
        </w:rPr>
        <w:t xml:space="preserve"> </w:t>
      </w:r>
      <w:proofErr w:type="spellStart"/>
      <w:r w:rsidRPr="00E36A47">
        <w:rPr>
          <w:sz w:val="24"/>
        </w:rPr>
        <w:t>oscillatiodannular</w:t>
      </w:r>
      <w:proofErr w:type="spellEnd"/>
      <w:r w:rsidRPr="00E36A47">
        <w:rPr>
          <w:sz w:val="24"/>
        </w:rPr>
        <w:t xml:space="preserve"> mode: Two paradigms—one phenomenon. </w:t>
      </w:r>
      <w:r w:rsidRPr="00E36A47">
        <w:rPr>
          <w:i/>
          <w:iCs/>
          <w:sz w:val="24"/>
        </w:rPr>
        <w:t>Quarterly Journal of the Royal Meteorological Society</w:t>
      </w:r>
      <w:r w:rsidRPr="00E36A47">
        <w:rPr>
          <w:sz w:val="24"/>
        </w:rPr>
        <w:t xml:space="preserve">, </w:t>
      </w:r>
      <w:r w:rsidRPr="00E36A47">
        <w:rPr>
          <w:i/>
          <w:iCs/>
          <w:sz w:val="24"/>
        </w:rPr>
        <w:t>126</w:t>
      </w:r>
      <w:r w:rsidRPr="00E36A47">
        <w:rPr>
          <w:sz w:val="24"/>
        </w:rPr>
        <w:t>(564), 791–805. https://doi.org/10.1002/qj.49712656402</w:t>
      </w:r>
    </w:p>
    <w:p w14:paraId="639C367E" w14:textId="77777777" w:rsidR="00E36A47" w:rsidRPr="00E36A47" w:rsidRDefault="00E36A47" w:rsidP="00E36A47">
      <w:pPr>
        <w:autoSpaceDE w:val="0"/>
        <w:autoSpaceDN w:val="0"/>
        <w:adjustRightInd w:val="0"/>
        <w:rPr>
          <w:sz w:val="24"/>
        </w:rPr>
      </w:pPr>
      <w:r w:rsidRPr="00E36A47">
        <w:rPr>
          <w:sz w:val="24"/>
        </w:rPr>
        <w:t xml:space="preserve">Yeh, S.-W., Cai, W., Min, S.-K., </w:t>
      </w:r>
      <w:proofErr w:type="spellStart"/>
      <w:r w:rsidRPr="00E36A47">
        <w:rPr>
          <w:sz w:val="24"/>
        </w:rPr>
        <w:t>McPhaden</w:t>
      </w:r>
      <w:proofErr w:type="spellEnd"/>
      <w:r w:rsidRPr="00E36A47">
        <w:rPr>
          <w:sz w:val="24"/>
        </w:rPr>
        <w:t xml:space="preserve">, M. J., </w:t>
      </w:r>
      <w:proofErr w:type="spellStart"/>
      <w:r w:rsidRPr="00E36A47">
        <w:rPr>
          <w:sz w:val="24"/>
        </w:rPr>
        <w:t>Dommenget</w:t>
      </w:r>
      <w:proofErr w:type="spellEnd"/>
      <w:r w:rsidRPr="00E36A47">
        <w:rPr>
          <w:sz w:val="24"/>
        </w:rPr>
        <w:t xml:space="preserve">, D., </w:t>
      </w:r>
      <w:proofErr w:type="spellStart"/>
      <w:r w:rsidRPr="00E36A47">
        <w:rPr>
          <w:sz w:val="24"/>
        </w:rPr>
        <w:t>Dewitte</w:t>
      </w:r>
      <w:proofErr w:type="spellEnd"/>
      <w:r w:rsidRPr="00E36A47">
        <w:rPr>
          <w:sz w:val="24"/>
        </w:rPr>
        <w:t xml:space="preserve">, B., et al. (2018). ENSO Atmospheric Teleconnections and Their Response to Greenhouse Gas Forcing. </w:t>
      </w:r>
      <w:r w:rsidRPr="00E36A47">
        <w:rPr>
          <w:i/>
          <w:iCs/>
          <w:sz w:val="24"/>
        </w:rPr>
        <w:t>Reviews of Geophysics</w:t>
      </w:r>
      <w:r w:rsidRPr="00E36A47">
        <w:rPr>
          <w:sz w:val="24"/>
        </w:rPr>
        <w:t xml:space="preserve">, </w:t>
      </w:r>
      <w:r w:rsidRPr="00E36A47">
        <w:rPr>
          <w:i/>
          <w:iCs/>
          <w:sz w:val="24"/>
        </w:rPr>
        <w:t>56</w:t>
      </w:r>
      <w:r w:rsidRPr="00E36A47">
        <w:rPr>
          <w:sz w:val="24"/>
        </w:rPr>
        <w:t>(1), 185–206. https://doi.org/10.1002/2017RG000568</w:t>
      </w:r>
    </w:p>
    <w:p w14:paraId="7AE36779" w14:textId="77777777" w:rsidR="00E36A47" w:rsidRPr="00E36A47" w:rsidRDefault="00E36A47" w:rsidP="00E36A47">
      <w:pPr>
        <w:autoSpaceDE w:val="0"/>
        <w:autoSpaceDN w:val="0"/>
        <w:adjustRightInd w:val="0"/>
        <w:rPr>
          <w:sz w:val="24"/>
        </w:rPr>
      </w:pPr>
      <w:r w:rsidRPr="00E36A47">
        <w:rPr>
          <w:sz w:val="24"/>
        </w:rPr>
        <w:lastRenderedPageBreak/>
        <w:t xml:space="preserve">Zuo, J.-Q., Li, W.-J., &amp; Ren, H.-L. (2013). Representation of the Arctic Oscillation in the CMIP5 Models. </w:t>
      </w:r>
      <w:r w:rsidRPr="00E36A47">
        <w:rPr>
          <w:i/>
          <w:iCs/>
          <w:sz w:val="24"/>
        </w:rPr>
        <w:t>Advances in Climate Change Research</w:t>
      </w:r>
      <w:r w:rsidRPr="00E36A47">
        <w:rPr>
          <w:sz w:val="24"/>
        </w:rPr>
        <w:t xml:space="preserve">, </w:t>
      </w:r>
      <w:r w:rsidRPr="00E36A47">
        <w:rPr>
          <w:i/>
          <w:iCs/>
          <w:sz w:val="24"/>
        </w:rPr>
        <w:t>4</w:t>
      </w:r>
      <w:r w:rsidRPr="00E36A47">
        <w:rPr>
          <w:sz w:val="24"/>
        </w:rPr>
        <w:t>(4), 242–249. https://doi.org/10.3724/SP.J.1248.2013.242</w:t>
      </w:r>
    </w:p>
    <w:p w14:paraId="6163A3FD" w14:textId="75EBF120" w:rsidR="002A2481" w:rsidRPr="00A951AD" w:rsidRDefault="0087787D" w:rsidP="00A951AD">
      <w:pPr>
        <w:shd w:val="clear" w:color="auto" w:fill="FFFFFF"/>
        <w:jc w:val="both"/>
        <w:rPr>
          <w:rFonts w:eastAsia="Times New Roman" w:hint="eastAsia"/>
          <w:sz w:val="24"/>
          <w:szCs w:val="24"/>
          <w:lang w:eastAsia="ja-JP"/>
        </w:rPr>
      </w:pPr>
      <w:r>
        <w:rPr>
          <w:rFonts w:eastAsia="Times New Roman"/>
          <w:sz w:val="24"/>
          <w:szCs w:val="24"/>
        </w:rPr>
        <w:fldChar w:fldCharType="end"/>
      </w:r>
    </w:p>
    <w:sectPr w:rsidR="002A2481" w:rsidRPr="00A951AD" w:rsidSect="00B27094">
      <w:headerReference w:type="default" r:id="rId16"/>
      <w:footerReference w:type="default" r:id="rId17"/>
      <w:headerReference w:type="first" r:id="rId18"/>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8F52F2" w14:textId="77777777" w:rsidR="004E34E6" w:rsidRDefault="004E34E6" w:rsidP="000379AB">
      <w:r>
        <w:separator/>
      </w:r>
    </w:p>
  </w:endnote>
  <w:endnote w:type="continuationSeparator" w:id="0">
    <w:p w14:paraId="25A80319" w14:textId="77777777" w:rsidR="004E34E6" w:rsidRDefault="004E34E6"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ヒラギノ明朝 ProN W3">
    <w:panose1 w:val="02020300000000000000"/>
    <w:charset w:val="80"/>
    <w:family w:val="roman"/>
    <w:pitch w:val="variable"/>
    <w:sig w:usb0="E00002FF" w:usb1="7AC7FFFF" w:usb2="00000012" w:usb3="00000000" w:csb0="0002000D" w:csb1="00000000"/>
  </w:font>
  <w:font w:name="Calibri">
    <w:panose1 w:val="020F0502020204030204"/>
    <w:charset w:val="00"/>
    <w:family w:val="swiss"/>
    <w:pitch w:val="variable"/>
    <w:sig w:usb0="E4002EFF" w:usb1="C000247B" w:usb2="00000009" w:usb3="00000000" w:csb0="000001FF" w:csb1="00000000"/>
  </w:font>
  <w:font w:name="ヒラギノ角ゴシック W6">
    <w:panose1 w:val="020B0600000000000000"/>
    <w:charset w:val="80"/>
    <w:family w:val="swiss"/>
    <w:pitch w:val="variable"/>
    <w:sig w:usb0="E00002FF" w:usb1="7AC7FFFF" w:usb2="00000012" w:usb3="00000000" w:csb0="0002000D"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20B0604020202020204"/>
    <w:charset w:val="00"/>
    <w:family w:val="roman"/>
    <w:notTrueType/>
    <w:pitch w:val="default"/>
  </w:font>
  <w:font w:name="ＭＳ Ｐゴシック">
    <w:altName w:val="MS PGothic"/>
    <w:panose1 w:val="020B0600070205080204"/>
    <w:charset w:val="80"/>
    <w:family w:val="swiss"/>
    <w:pitch w:val="variable"/>
    <w:sig w:usb0="E00002FF" w:usb1="6AC7FDFB" w:usb2="08000012" w:usb3="00000000" w:csb0="0002009F" w:csb1="00000000"/>
  </w:font>
  <w:font w:name="Helvetica Neue Medium">
    <w:panose1 w:val="020B0604020202020204"/>
    <w:charset w:val="00"/>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ED28E" w14:textId="2FE9AD18" w:rsidR="00DD6745" w:rsidRDefault="00DD6745" w:rsidP="00B719C8">
    <w:pPr>
      <w:pStyle w:val="a8"/>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6EC8BD" w14:textId="77777777" w:rsidR="004E34E6" w:rsidRDefault="004E34E6" w:rsidP="000379AB">
      <w:r>
        <w:separator/>
      </w:r>
    </w:p>
  </w:footnote>
  <w:footnote w:type="continuationSeparator" w:id="0">
    <w:p w14:paraId="208837F6" w14:textId="77777777" w:rsidR="004E34E6" w:rsidRDefault="004E34E6"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15D8CC" w14:textId="2E2AE2C0" w:rsidR="00774584" w:rsidRPr="00774584" w:rsidRDefault="00DD6745" w:rsidP="00774584">
    <w:pPr>
      <w:pStyle w:val="a5"/>
      <w:jc w:val="center"/>
      <w:rPr>
        <w:i/>
      </w:rPr>
    </w:pPr>
    <w:r>
      <w:t xml:space="preserve">manuscript submitted to </w:t>
    </w:r>
    <w:r w:rsidR="00774584">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75CCC" w14:textId="2816AD77" w:rsidR="00DD6745" w:rsidRDefault="00DD6745"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A504341"/>
    <w:multiLevelType w:val="multilevel"/>
    <w:tmpl w:val="8DDE1840"/>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A8551E6"/>
    <w:multiLevelType w:val="multilevel"/>
    <w:tmpl w:val="73CCD012"/>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3"/>
  </w:num>
  <w:num w:numId="4" w16cid:durableId="983047291">
    <w:abstractNumId w:val="7"/>
  </w:num>
  <w:num w:numId="5" w16cid:durableId="1416437152">
    <w:abstractNumId w:val="8"/>
  </w:num>
  <w:num w:numId="6" w16cid:durableId="25494253">
    <w:abstractNumId w:val="10"/>
  </w:num>
  <w:num w:numId="7" w16cid:durableId="119541995">
    <w:abstractNumId w:val="11"/>
  </w:num>
  <w:num w:numId="8" w16cid:durableId="1958756824">
    <w:abstractNumId w:val="12"/>
  </w:num>
  <w:num w:numId="9" w16cid:durableId="928124450">
    <w:abstractNumId w:val="3"/>
  </w:num>
  <w:num w:numId="10" w16cid:durableId="1962152298">
    <w:abstractNumId w:val="9"/>
  </w:num>
  <w:num w:numId="11" w16cid:durableId="17976862">
    <w:abstractNumId w:val="4"/>
  </w:num>
  <w:num w:numId="12" w16cid:durableId="1237283164">
    <w:abstractNumId w:val="14"/>
  </w:num>
  <w:num w:numId="13" w16cid:durableId="439767255">
    <w:abstractNumId w:val="0"/>
  </w:num>
  <w:num w:numId="14" w16cid:durableId="1422919608">
    <w:abstractNumId w:val="5"/>
  </w:num>
  <w:num w:numId="15" w16cid:durableId="19776814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8"/>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084A"/>
    <w:rsid w:val="00003C1E"/>
    <w:rsid w:val="00010D6A"/>
    <w:rsid w:val="000169C7"/>
    <w:rsid w:val="000221A9"/>
    <w:rsid w:val="00025480"/>
    <w:rsid w:val="00031829"/>
    <w:rsid w:val="000355E0"/>
    <w:rsid w:val="000379AB"/>
    <w:rsid w:val="00043FAC"/>
    <w:rsid w:val="000548B8"/>
    <w:rsid w:val="00063625"/>
    <w:rsid w:val="00064FF5"/>
    <w:rsid w:val="000666C0"/>
    <w:rsid w:val="00071EF2"/>
    <w:rsid w:val="00072EA0"/>
    <w:rsid w:val="0007414F"/>
    <w:rsid w:val="00083540"/>
    <w:rsid w:val="00083E6C"/>
    <w:rsid w:val="00084180"/>
    <w:rsid w:val="00084505"/>
    <w:rsid w:val="00085324"/>
    <w:rsid w:val="000873EB"/>
    <w:rsid w:val="00092709"/>
    <w:rsid w:val="000928F4"/>
    <w:rsid w:val="00096F09"/>
    <w:rsid w:val="000A029D"/>
    <w:rsid w:val="000A408F"/>
    <w:rsid w:val="000B1705"/>
    <w:rsid w:val="000B2FD0"/>
    <w:rsid w:val="000B585C"/>
    <w:rsid w:val="000C2C95"/>
    <w:rsid w:val="000D4C69"/>
    <w:rsid w:val="000D5579"/>
    <w:rsid w:val="000E56C0"/>
    <w:rsid w:val="000F41C7"/>
    <w:rsid w:val="000F4EEC"/>
    <w:rsid w:val="000F6F0B"/>
    <w:rsid w:val="001012CC"/>
    <w:rsid w:val="00106231"/>
    <w:rsid w:val="0011730A"/>
    <w:rsid w:val="001226FD"/>
    <w:rsid w:val="00123EEC"/>
    <w:rsid w:val="00126ACB"/>
    <w:rsid w:val="00132BCC"/>
    <w:rsid w:val="00133B62"/>
    <w:rsid w:val="001427DB"/>
    <w:rsid w:val="00143752"/>
    <w:rsid w:val="00151826"/>
    <w:rsid w:val="00153943"/>
    <w:rsid w:val="00164FC1"/>
    <w:rsid w:val="00165E19"/>
    <w:rsid w:val="00171EF1"/>
    <w:rsid w:val="00174D23"/>
    <w:rsid w:val="001752CB"/>
    <w:rsid w:val="001811E5"/>
    <w:rsid w:val="00181A47"/>
    <w:rsid w:val="00192199"/>
    <w:rsid w:val="00195C78"/>
    <w:rsid w:val="00196F0B"/>
    <w:rsid w:val="00197611"/>
    <w:rsid w:val="001A0042"/>
    <w:rsid w:val="001B08B9"/>
    <w:rsid w:val="001B3F98"/>
    <w:rsid w:val="001B73DA"/>
    <w:rsid w:val="001C2352"/>
    <w:rsid w:val="001C2B0D"/>
    <w:rsid w:val="001D0A1D"/>
    <w:rsid w:val="001D0B61"/>
    <w:rsid w:val="001D3A0B"/>
    <w:rsid w:val="001D7504"/>
    <w:rsid w:val="001E1CFF"/>
    <w:rsid w:val="001E33EF"/>
    <w:rsid w:val="001E5632"/>
    <w:rsid w:val="001F32B8"/>
    <w:rsid w:val="001F7B04"/>
    <w:rsid w:val="00204327"/>
    <w:rsid w:val="00205265"/>
    <w:rsid w:val="00207965"/>
    <w:rsid w:val="002107E8"/>
    <w:rsid w:val="002112B8"/>
    <w:rsid w:val="0021318E"/>
    <w:rsid w:val="00216C99"/>
    <w:rsid w:val="0022119D"/>
    <w:rsid w:val="00222F50"/>
    <w:rsid w:val="00231461"/>
    <w:rsid w:val="00231A75"/>
    <w:rsid w:val="00240493"/>
    <w:rsid w:val="00245521"/>
    <w:rsid w:val="0025233A"/>
    <w:rsid w:val="00255981"/>
    <w:rsid w:val="00262AD0"/>
    <w:rsid w:val="00263C9C"/>
    <w:rsid w:val="0027212B"/>
    <w:rsid w:val="0027247E"/>
    <w:rsid w:val="0027337F"/>
    <w:rsid w:val="002770BA"/>
    <w:rsid w:val="00277775"/>
    <w:rsid w:val="002824FE"/>
    <w:rsid w:val="00283BD9"/>
    <w:rsid w:val="002840FE"/>
    <w:rsid w:val="00284115"/>
    <w:rsid w:val="00285E9D"/>
    <w:rsid w:val="002866DC"/>
    <w:rsid w:val="00293073"/>
    <w:rsid w:val="00293B85"/>
    <w:rsid w:val="002942BD"/>
    <w:rsid w:val="002A1C8B"/>
    <w:rsid w:val="002A2481"/>
    <w:rsid w:val="002A69BD"/>
    <w:rsid w:val="002B3055"/>
    <w:rsid w:val="002B6F74"/>
    <w:rsid w:val="002C262E"/>
    <w:rsid w:val="002C2C6C"/>
    <w:rsid w:val="002C3263"/>
    <w:rsid w:val="002C76E7"/>
    <w:rsid w:val="002D28F5"/>
    <w:rsid w:val="002E0799"/>
    <w:rsid w:val="002E109D"/>
    <w:rsid w:val="002E22BF"/>
    <w:rsid w:val="002E7898"/>
    <w:rsid w:val="002F2289"/>
    <w:rsid w:val="002F3B11"/>
    <w:rsid w:val="002F65E5"/>
    <w:rsid w:val="002F6EA8"/>
    <w:rsid w:val="003005DC"/>
    <w:rsid w:val="003136DA"/>
    <w:rsid w:val="003137C3"/>
    <w:rsid w:val="00320BB8"/>
    <w:rsid w:val="00321596"/>
    <w:rsid w:val="00326716"/>
    <w:rsid w:val="00326E37"/>
    <w:rsid w:val="00331214"/>
    <w:rsid w:val="0033672E"/>
    <w:rsid w:val="003375E4"/>
    <w:rsid w:val="003401CE"/>
    <w:rsid w:val="00344073"/>
    <w:rsid w:val="00354DEC"/>
    <w:rsid w:val="00355F1A"/>
    <w:rsid w:val="00365512"/>
    <w:rsid w:val="00366917"/>
    <w:rsid w:val="003727FE"/>
    <w:rsid w:val="00373E57"/>
    <w:rsid w:val="0037466A"/>
    <w:rsid w:val="0038244E"/>
    <w:rsid w:val="003878D3"/>
    <w:rsid w:val="00391EF4"/>
    <w:rsid w:val="00393252"/>
    <w:rsid w:val="00393F09"/>
    <w:rsid w:val="003A32C3"/>
    <w:rsid w:val="003A34C6"/>
    <w:rsid w:val="003A4740"/>
    <w:rsid w:val="003A6736"/>
    <w:rsid w:val="003B198C"/>
    <w:rsid w:val="003B4B45"/>
    <w:rsid w:val="003C31D4"/>
    <w:rsid w:val="003C52CB"/>
    <w:rsid w:val="003C68E1"/>
    <w:rsid w:val="003C6CCD"/>
    <w:rsid w:val="003D1DED"/>
    <w:rsid w:val="003D7EB1"/>
    <w:rsid w:val="003E0678"/>
    <w:rsid w:val="003E1476"/>
    <w:rsid w:val="003E5233"/>
    <w:rsid w:val="003E660A"/>
    <w:rsid w:val="003E71B9"/>
    <w:rsid w:val="003E7B88"/>
    <w:rsid w:val="003F0094"/>
    <w:rsid w:val="003F1362"/>
    <w:rsid w:val="003F199B"/>
    <w:rsid w:val="003F4FA9"/>
    <w:rsid w:val="00400425"/>
    <w:rsid w:val="004009A6"/>
    <w:rsid w:val="00410D12"/>
    <w:rsid w:val="00412454"/>
    <w:rsid w:val="00412943"/>
    <w:rsid w:val="00412E09"/>
    <w:rsid w:val="00413330"/>
    <w:rsid w:val="00413E13"/>
    <w:rsid w:val="0041404E"/>
    <w:rsid w:val="00423AF4"/>
    <w:rsid w:val="00430DA8"/>
    <w:rsid w:val="00432956"/>
    <w:rsid w:val="004407F8"/>
    <w:rsid w:val="00440A22"/>
    <w:rsid w:val="00443738"/>
    <w:rsid w:val="0044439F"/>
    <w:rsid w:val="004505C7"/>
    <w:rsid w:val="00452A4A"/>
    <w:rsid w:val="00466FB6"/>
    <w:rsid w:val="0046739F"/>
    <w:rsid w:val="004709DE"/>
    <w:rsid w:val="0047663E"/>
    <w:rsid w:val="00483FB6"/>
    <w:rsid w:val="0048573D"/>
    <w:rsid w:val="00487F90"/>
    <w:rsid w:val="00497F06"/>
    <w:rsid w:val="004A18A3"/>
    <w:rsid w:val="004A70D7"/>
    <w:rsid w:val="004B7EEF"/>
    <w:rsid w:val="004C715E"/>
    <w:rsid w:val="004D7FA5"/>
    <w:rsid w:val="004E00D0"/>
    <w:rsid w:val="004E34E6"/>
    <w:rsid w:val="004E352D"/>
    <w:rsid w:val="004E466D"/>
    <w:rsid w:val="004E7872"/>
    <w:rsid w:val="004F1298"/>
    <w:rsid w:val="004F5FFA"/>
    <w:rsid w:val="005002C0"/>
    <w:rsid w:val="00501434"/>
    <w:rsid w:val="005129A2"/>
    <w:rsid w:val="00514B45"/>
    <w:rsid w:val="005167EA"/>
    <w:rsid w:val="00522736"/>
    <w:rsid w:val="005272DF"/>
    <w:rsid w:val="00531C39"/>
    <w:rsid w:val="005358D5"/>
    <w:rsid w:val="00536D13"/>
    <w:rsid w:val="00545B6C"/>
    <w:rsid w:val="005464B3"/>
    <w:rsid w:val="0055799A"/>
    <w:rsid w:val="00562399"/>
    <w:rsid w:val="00562C9F"/>
    <w:rsid w:val="00562D64"/>
    <w:rsid w:val="00564218"/>
    <w:rsid w:val="00565788"/>
    <w:rsid w:val="00567B28"/>
    <w:rsid w:val="0057277C"/>
    <w:rsid w:val="00573771"/>
    <w:rsid w:val="0057441D"/>
    <w:rsid w:val="00575C0B"/>
    <w:rsid w:val="005930FE"/>
    <w:rsid w:val="005938CA"/>
    <w:rsid w:val="00597E0C"/>
    <w:rsid w:val="005A6F25"/>
    <w:rsid w:val="005B0C12"/>
    <w:rsid w:val="005B0C19"/>
    <w:rsid w:val="005B3DED"/>
    <w:rsid w:val="005B3EFC"/>
    <w:rsid w:val="005B6513"/>
    <w:rsid w:val="005C062E"/>
    <w:rsid w:val="005C162E"/>
    <w:rsid w:val="005C267C"/>
    <w:rsid w:val="005C371B"/>
    <w:rsid w:val="005E0D98"/>
    <w:rsid w:val="005E1969"/>
    <w:rsid w:val="005E3DA7"/>
    <w:rsid w:val="005E3FA5"/>
    <w:rsid w:val="005F3AE4"/>
    <w:rsid w:val="005F5674"/>
    <w:rsid w:val="005F7838"/>
    <w:rsid w:val="005F7CB2"/>
    <w:rsid w:val="00601821"/>
    <w:rsid w:val="00601928"/>
    <w:rsid w:val="00602E6A"/>
    <w:rsid w:val="00603F27"/>
    <w:rsid w:val="00612416"/>
    <w:rsid w:val="00620CD4"/>
    <w:rsid w:val="00623D0C"/>
    <w:rsid w:val="00627B5E"/>
    <w:rsid w:val="00635846"/>
    <w:rsid w:val="00640182"/>
    <w:rsid w:val="00643567"/>
    <w:rsid w:val="00644920"/>
    <w:rsid w:val="006458F5"/>
    <w:rsid w:val="00646A1C"/>
    <w:rsid w:val="00650E38"/>
    <w:rsid w:val="0065206E"/>
    <w:rsid w:val="00653DB2"/>
    <w:rsid w:val="00654901"/>
    <w:rsid w:val="00655BD2"/>
    <w:rsid w:val="00656C07"/>
    <w:rsid w:val="00662408"/>
    <w:rsid w:val="006629D5"/>
    <w:rsid w:val="006653C5"/>
    <w:rsid w:val="00667035"/>
    <w:rsid w:val="0067090C"/>
    <w:rsid w:val="00672EF2"/>
    <w:rsid w:val="0068110D"/>
    <w:rsid w:val="00683864"/>
    <w:rsid w:val="006839F1"/>
    <w:rsid w:val="006842EE"/>
    <w:rsid w:val="006922E5"/>
    <w:rsid w:val="00695022"/>
    <w:rsid w:val="00695AD6"/>
    <w:rsid w:val="00695B15"/>
    <w:rsid w:val="006A0762"/>
    <w:rsid w:val="006B31A9"/>
    <w:rsid w:val="006C1EA6"/>
    <w:rsid w:val="006C2FA1"/>
    <w:rsid w:val="006C3EEA"/>
    <w:rsid w:val="006C4619"/>
    <w:rsid w:val="006C6A2D"/>
    <w:rsid w:val="006D19B4"/>
    <w:rsid w:val="006D219E"/>
    <w:rsid w:val="006E2415"/>
    <w:rsid w:val="006E711B"/>
    <w:rsid w:val="006F0D4D"/>
    <w:rsid w:val="006F3581"/>
    <w:rsid w:val="006F623F"/>
    <w:rsid w:val="006F662E"/>
    <w:rsid w:val="00713634"/>
    <w:rsid w:val="00714436"/>
    <w:rsid w:val="007257E7"/>
    <w:rsid w:val="007275AB"/>
    <w:rsid w:val="00732B87"/>
    <w:rsid w:val="00732C6B"/>
    <w:rsid w:val="00735BB3"/>
    <w:rsid w:val="00737C2A"/>
    <w:rsid w:val="00740C48"/>
    <w:rsid w:val="0074230A"/>
    <w:rsid w:val="007427C9"/>
    <w:rsid w:val="00746552"/>
    <w:rsid w:val="007500CE"/>
    <w:rsid w:val="007509FA"/>
    <w:rsid w:val="00771468"/>
    <w:rsid w:val="00774584"/>
    <w:rsid w:val="007778ED"/>
    <w:rsid w:val="0078428C"/>
    <w:rsid w:val="00794C63"/>
    <w:rsid w:val="00795828"/>
    <w:rsid w:val="00796AAF"/>
    <w:rsid w:val="00796FB8"/>
    <w:rsid w:val="00797607"/>
    <w:rsid w:val="007A09D3"/>
    <w:rsid w:val="007A6A6A"/>
    <w:rsid w:val="007B0BFE"/>
    <w:rsid w:val="007B4B93"/>
    <w:rsid w:val="007B4D75"/>
    <w:rsid w:val="007D12D7"/>
    <w:rsid w:val="007D1B2B"/>
    <w:rsid w:val="007E048D"/>
    <w:rsid w:val="007E2367"/>
    <w:rsid w:val="007E349D"/>
    <w:rsid w:val="007E613E"/>
    <w:rsid w:val="007E7A2B"/>
    <w:rsid w:val="007F2007"/>
    <w:rsid w:val="007F2025"/>
    <w:rsid w:val="007F21CD"/>
    <w:rsid w:val="007F5887"/>
    <w:rsid w:val="0080027C"/>
    <w:rsid w:val="0080393A"/>
    <w:rsid w:val="00813315"/>
    <w:rsid w:val="00813DC6"/>
    <w:rsid w:val="00817969"/>
    <w:rsid w:val="00821E8F"/>
    <w:rsid w:val="008344C1"/>
    <w:rsid w:val="00842BD6"/>
    <w:rsid w:val="00844200"/>
    <w:rsid w:val="0084780A"/>
    <w:rsid w:val="00854374"/>
    <w:rsid w:val="00855B07"/>
    <w:rsid w:val="00863975"/>
    <w:rsid w:val="0086413B"/>
    <w:rsid w:val="0087204D"/>
    <w:rsid w:val="0087787D"/>
    <w:rsid w:val="00886A68"/>
    <w:rsid w:val="008924D0"/>
    <w:rsid w:val="00894AD9"/>
    <w:rsid w:val="00896825"/>
    <w:rsid w:val="008A00CE"/>
    <w:rsid w:val="008A1225"/>
    <w:rsid w:val="008A5BC0"/>
    <w:rsid w:val="008A5C13"/>
    <w:rsid w:val="008A6077"/>
    <w:rsid w:val="008B6548"/>
    <w:rsid w:val="008C1B2D"/>
    <w:rsid w:val="008C37E1"/>
    <w:rsid w:val="008C5F18"/>
    <w:rsid w:val="008D3087"/>
    <w:rsid w:val="008D30E0"/>
    <w:rsid w:val="008D3FD5"/>
    <w:rsid w:val="008D5566"/>
    <w:rsid w:val="008D701E"/>
    <w:rsid w:val="008E0471"/>
    <w:rsid w:val="008E58E5"/>
    <w:rsid w:val="008F6ADA"/>
    <w:rsid w:val="008F6E0E"/>
    <w:rsid w:val="008F7A09"/>
    <w:rsid w:val="00902A64"/>
    <w:rsid w:val="00907356"/>
    <w:rsid w:val="00911FC4"/>
    <w:rsid w:val="0091347F"/>
    <w:rsid w:val="00917887"/>
    <w:rsid w:val="009226B6"/>
    <w:rsid w:val="009229D1"/>
    <w:rsid w:val="00933C73"/>
    <w:rsid w:val="00943008"/>
    <w:rsid w:val="009466F0"/>
    <w:rsid w:val="00952731"/>
    <w:rsid w:val="0096359A"/>
    <w:rsid w:val="009700CD"/>
    <w:rsid w:val="0097213C"/>
    <w:rsid w:val="00972A0E"/>
    <w:rsid w:val="0097347B"/>
    <w:rsid w:val="00975D9D"/>
    <w:rsid w:val="00976D16"/>
    <w:rsid w:val="0098274B"/>
    <w:rsid w:val="00986C52"/>
    <w:rsid w:val="00995CAA"/>
    <w:rsid w:val="009A1496"/>
    <w:rsid w:val="009A6683"/>
    <w:rsid w:val="009B3A31"/>
    <w:rsid w:val="009B5955"/>
    <w:rsid w:val="009B68DA"/>
    <w:rsid w:val="009C0CDC"/>
    <w:rsid w:val="009C63D9"/>
    <w:rsid w:val="009D2DDC"/>
    <w:rsid w:val="009E52C7"/>
    <w:rsid w:val="009E6426"/>
    <w:rsid w:val="009F2BC9"/>
    <w:rsid w:val="009F4FAE"/>
    <w:rsid w:val="009F53B0"/>
    <w:rsid w:val="00A00CD8"/>
    <w:rsid w:val="00A1073D"/>
    <w:rsid w:val="00A1081C"/>
    <w:rsid w:val="00A157C3"/>
    <w:rsid w:val="00A20B31"/>
    <w:rsid w:val="00A25B33"/>
    <w:rsid w:val="00A31842"/>
    <w:rsid w:val="00A40AAF"/>
    <w:rsid w:val="00A4131C"/>
    <w:rsid w:val="00A44E37"/>
    <w:rsid w:val="00A609DF"/>
    <w:rsid w:val="00A64C31"/>
    <w:rsid w:val="00A65D96"/>
    <w:rsid w:val="00A72361"/>
    <w:rsid w:val="00A802D0"/>
    <w:rsid w:val="00A8043D"/>
    <w:rsid w:val="00A83EAA"/>
    <w:rsid w:val="00A84BB5"/>
    <w:rsid w:val="00A86270"/>
    <w:rsid w:val="00A86C70"/>
    <w:rsid w:val="00A951AD"/>
    <w:rsid w:val="00AA040E"/>
    <w:rsid w:val="00AA11F3"/>
    <w:rsid w:val="00AB1321"/>
    <w:rsid w:val="00AB166F"/>
    <w:rsid w:val="00AB3882"/>
    <w:rsid w:val="00AB434B"/>
    <w:rsid w:val="00AB46CF"/>
    <w:rsid w:val="00AB52F2"/>
    <w:rsid w:val="00AC1D64"/>
    <w:rsid w:val="00AC3AEE"/>
    <w:rsid w:val="00AC6631"/>
    <w:rsid w:val="00AD03B0"/>
    <w:rsid w:val="00AD67E3"/>
    <w:rsid w:val="00AF3185"/>
    <w:rsid w:val="00AF33DA"/>
    <w:rsid w:val="00B00D01"/>
    <w:rsid w:val="00B0134B"/>
    <w:rsid w:val="00B014D8"/>
    <w:rsid w:val="00B101F1"/>
    <w:rsid w:val="00B120F3"/>
    <w:rsid w:val="00B12F6E"/>
    <w:rsid w:val="00B20056"/>
    <w:rsid w:val="00B219AE"/>
    <w:rsid w:val="00B23775"/>
    <w:rsid w:val="00B27094"/>
    <w:rsid w:val="00B365BE"/>
    <w:rsid w:val="00B44814"/>
    <w:rsid w:val="00B5245D"/>
    <w:rsid w:val="00B52745"/>
    <w:rsid w:val="00B55B86"/>
    <w:rsid w:val="00B57D2E"/>
    <w:rsid w:val="00B70B09"/>
    <w:rsid w:val="00B719C8"/>
    <w:rsid w:val="00B74ECB"/>
    <w:rsid w:val="00B7531C"/>
    <w:rsid w:val="00B7749D"/>
    <w:rsid w:val="00B81C79"/>
    <w:rsid w:val="00B82556"/>
    <w:rsid w:val="00B828C4"/>
    <w:rsid w:val="00B83957"/>
    <w:rsid w:val="00B91372"/>
    <w:rsid w:val="00B9740C"/>
    <w:rsid w:val="00BA180C"/>
    <w:rsid w:val="00BA227E"/>
    <w:rsid w:val="00BA3546"/>
    <w:rsid w:val="00BA4DD3"/>
    <w:rsid w:val="00BB1CF1"/>
    <w:rsid w:val="00BB2C45"/>
    <w:rsid w:val="00BB390B"/>
    <w:rsid w:val="00BB5CE9"/>
    <w:rsid w:val="00BB61BF"/>
    <w:rsid w:val="00BC0EFA"/>
    <w:rsid w:val="00BC1B58"/>
    <w:rsid w:val="00BC4A1C"/>
    <w:rsid w:val="00BC6464"/>
    <w:rsid w:val="00BD22BB"/>
    <w:rsid w:val="00BD47BB"/>
    <w:rsid w:val="00BD5581"/>
    <w:rsid w:val="00BD611A"/>
    <w:rsid w:val="00BD7F88"/>
    <w:rsid w:val="00BF0028"/>
    <w:rsid w:val="00BF10A4"/>
    <w:rsid w:val="00BF2744"/>
    <w:rsid w:val="00BF28BD"/>
    <w:rsid w:val="00BF3E15"/>
    <w:rsid w:val="00BF6986"/>
    <w:rsid w:val="00C02CE4"/>
    <w:rsid w:val="00C1177A"/>
    <w:rsid w:val="00C159EA"/>
    <w:rsid w:val="00C166A3"/>
    <w:rsid w:val="00C2103D"/>
    <w:rsid w:val="00C214C5"/>
    <w:rsid w:val="00C27D8C"/>
    <w:rsid w:val="00C3046D"/>
    <w:rsid w:val="00C313F6"/>
    <w:rsid w:val="00C32692"/>
    <w:rsid w:val="00C3475A"/>
    <w:rsid w:val="00C409A4"/>
    <w:rsid w:val="00C43186"/>
    <w:rsid w:val="00C44717"/>
    <w:rsid w:val="00C4586D"/>
    <w:rsid w:val="00C45FCB"/>
    <w:rsid w:val="00C55776"/>
    <w:rsid w:val="00C638CD"/>
    <w:rsid w:val="00C709E9"/>
    <w:rsid w:val="00C7269B"/>
    <w:rsid w:val="00C74E06"/>
    <w:rsid w:val="00C77237"/>
    <w:rsid w:val="00C80066"/>
    <w:rsid w:val="00C81368"/>
    <w:rsid w:val="00C81692"/>
    <w:rsid w:val="00C94AA5"/>
    <w:rsid w:val="00C94CBB"/>
    <w:rsid w:val="00C96A5C"/>
    <w:rsid w:val="00CB1221"/>
    <w:rsid w:val="00CB18B5"/>
    <w:rsid w:val="00CB433A"/>
    <w:rsid w:val="00CB7BED"/>
    <w:rsid w:val="00CC4CBE"/>
    <w:rsid w:val="00CC4E82"/>
    <w:rsid w:val="00CC5056"/>
    <w:rsid w:val="00CC67CA"/>
    <w:rsid w:val="00CD1C0C"/>
    <w:rsid w:val="00CE3A95"/>
    <w:rsid w:val="00CF378A"/>
    <w:rsid w:val="00CF3DEE"/>
    <w:rsid w:val="00CF439B"/>
    <w:rsid w:val="00CF6DC4"/>
    <w:rsid w:val="00D1007F"/>
    <w:rsid w:val="00D16902"/>
    <w:rsid w:val="00D20F51"/>
    <w:rsid w:val="00D254DB"/>
    <w:rsid w:val="00D26CC8"/>
    <w:rsid w:val="00D26F32"/>
    <w:rsid w:val="00D34AE6"/>
    <w:rsid w:val="00D35EC6"/>
    <w:rsid w:val="00D50453"/>
    <w:rsid w:val="00D50A01"/>
    <w:rsid w:val="00D53B85"/>
    <w:rsid w:val="00D53E72"/>
    <w:rsid w:val="00D64D77"/>
    <w:rsid w:val="00D66602"/>
    <w:rsid w:val="00D73703"/>
    <w:rsid w:val="00D750D5"/>
    <w:rsid w:val="00D7577B"/>
    <w:rsid w:val="00D80728"/>
    <w:rsid w:val="00D810E5"/>
    <w:rsid w:val="00D83AFD"/>
    <w:rsid w:val="00D84249"/>
    <w:rsid w:val="00D851BA"/>
    <w:rsid w:val="00D91D2B"/>
    <w:rsid w:val="00D9358B"/>
    <w:rsid w:val="00D9365E"/>
    <w:rsid w:val="00D94839"/>
    <w:rsid w:val="00D9528F"/>
    <w:rsid w:val="00DA228D"/>
    <w:rsid w:val="00DB1C98"/>
    <w:rsid w:val="00DB27EF"/>
    <w:rsid w:val="00DD10B7"/>
    <w:rsid w:val="00DD6745"/>
    <w:rsid w:val="00DE3F91"/>
    <w:rsid w:val="00DF38B6"/>
    <w:rsid w:val="00DF44A5"/>
    <w:rsid w:val="00DF4972"/>
    <w:rsid w:val="00DF4D75"/>
    <w:rsid w:val="00E01E8D"/>
    <w:rsid w:val="00E0467D"/>
    <w:rsid w:val="00E12FE8"/>
    <w:rsid w:val="00E31404"/>
    <w:rsid w:val="00E31513"/>
    <w:rsid w:val="00E31BAD"/>
    <w:rsid w:val="00E34210"/>
    <w:rsid w:val="00E3549C"/>
    <w:rsid w:val="00E360F2"/>
    <w:rsid w:val="00E36A47"/>
    <w:rsid w:val="00E40093"/>
    <w:rsid w:val="00E434E3"/>
    <w:rsid w:val="00E44739"/>
    <w:rsid w:val="00E473D5"/>
    <w:rsid w:val="00E53C9F"/>
    <w:rsid w:val="00E54297"/>
    <w:rsid w:val="00E60D9D"/>
    <w:rsid w:val="00E62630"/>
    <w:rsid w:val="00E65FD4"/>
    <w:rsid w:val="00E664DF"/>
    <w:rsid w:val="00E67B96"/>
    <w:rsid w:val="00E67C2C"/>
    <w:rsid w:val="00E76EAE"/>
    <w:rsid w:val="00E77214"/>
    <w:rsid w:val="00E80737"/>
    <w:rsid w:val="00E85A22"/>
    <w:rsid w:val="00E86BB5"/>
    <w:rsid w:val="00E86C35"/>
    <w:rsid w:val="00E938D7"/>
    <w:rsid w:val="00E940CE"/>
    <w:rsid w:val="00EA0D78"/>
    <w:rsid w:val="00EA3C71"/>
    <w:rsid w:val="00EB001F"/>
    <w:rsid w:val="00EB28AF"/>
    <w:rsid w:val="00EB4E2C"/>
    <w:rsid w:val="00EC1FE1"/>
    <w:rsid w:val="00EC227F"/>
    <w:rsid w:val="00ED61D5"/>
    <w:rsid w:val="00ED662F"/>
    <w:rsid w:val="00EE40BF"/>
    <w:rsid w:val="00EE433D"/>
    <w:rsid w:val="00EE5CC8"/>
    <w:rsid w:val="00EE6B5C"/>
    <w:rsid w:val="00EF04CF"/>
    <w:rsid w:val="00EF36E8"/>
    <w:rsid w:val="00EF5E56"/>
    <w:rsid w:val="00F055F1"/>
    <w:rsid w:val="00F05648"/>
    <w:rsid w:val="00F06D32"/>
    <w:rsid w:val="00F115EA"/>
    <w:rsid w:val="00F13598"/>
    <w:rsid w:val="00F14BAF"/>
    <w:rsid w:val="00F21080"/>
    <w:rsid w:val="00F262CE"/>
    <w:rsid w:val="00F35C53"/>
    <w:rsid w:val="00F43C4E"/>
    <w:rsid w:val="00F45E57"/>
    <w:rsid w:val="00F51BAF"/>
    <w:rsid w:val="00F553EC"/>
    <w:rsid w:val="00F56B06"/>
    <w:rsid w:val="00F62675"/>
    <w:rsid w:val="00F64FD0"/>
    <w:rsid w:val="00F71CD1"/>
    <w:rsid w:val="00F7475F"/>
    <w:rsid w:val="00F83474"/>
    <w:rsid w:val="00F918B5"/>
    <w:rsid w:val="00F93BCF"/>
    <w:rsid w:val="00F96725"/>
    <w:rsid w:val="00FA2F3F"/>
    <w:rsid w:val="00FB30DB"/>
    <w:rsid w:val="00FB5B2F"/>
    <w:rsid w:val="00FC09F7"/>
    <w:rsid w:val="00FC3EAC"/>
    <w:rsid w:val="00FC49C6"/>
    <w:rsid w:val="00FC49F0"/>
    <w:rsid w:val="00FC543E"/>
    <w:rsid w:val="00FC6CE7"/>
    <w:rsid w:val="00FD30C3"/>
    <w:rsid w:val="00FD5127"/>
    <w:rsid w:val="00FE27D3"/>
    <w:rsid w:val="00FE34CC"/>
    <w:rsid w:val="00FE3DB3"/>
    <w:rsid w:val="00FE7CD7"/>
    <w:rsid w:val="00FF1C2A"/>
    <w:rsid w:val="00FF629E"/>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ヘッダー (文字)"/>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表題 (文字)"/>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Web">
    <w:name w:val="Normal (Web)"/>
    <w:basedOn w:val="a"/>
    <w:uiPriority w:val="99"/>
    <w:semiHidden/>
    <w:unhideWhenUsed/>
    <w:rsid w:val="002F3B11"/>
    <w:rPr>
      <w:sz w:val="24"/>
      <w:szCs w:val="24"/>
    </w:rPr>
  </w:style>
  <w:style w:type="paragraph" w:styleId="a8">
    <w:name w:val="footer"/>
    <w:basedOn w:val="a"/>
    <w:link w:val="a9"/>
    <w:uiPriority w:val="99"/>
    <w:unhideWhenUsed/>
    <w:rsid w:val="000379AB"/>
    <w:pPr>
      <w:tabs>
        <w:tab w:val="center" w:pos="4680"/>
        <w:tab w:val="right" w:pos="9360"/>
      </w:tabs>
    </w:pPr>
  </w:style>
  <w:style w:type="character" w:customStyle="1" w:styleId="a9">
    <w:name w:val="フッター (文字)"/>
    <w:basedOn w:val="a0"/>
    <w:link w:val="a8"/>
    <w:uiPriority w:val="99"/>
    <w:rsid w:val="000379AB"/>
    <w:rPr>
      <w:rFonts w:ascii="Times New Roman" w:eastAsia="Calibri" w:hAnsi="Times New Roman" w:cs="Times New Roman"/>
      <w:sz w:val="20"/>
      <w:szCs w:val="20"/>
    </w:rPr>
  </w:style>
  <w:style w:type="paragraph" w:styleId="aa">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ab">
    <w:name w:val="Unresolved Mention"/>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吹き出し (文字)"/>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character" w:styleId="af1">
    <w:name w:val="annotation reference"/>
    <w:basedOn w:val="a0"/>
    <w:uiPriority w:val="99"/>
    <w:semiHidden/>
    <w:unhideWhenUsed/>
    <w:rsid w:val="00064FF5"/>
    <w:rPr>
      <w:sz w:val="18"/>
      <w:szCs w:val="18"/>
    </w:rPr>
  </w:style>
  <w:style w:type="paragraph" w:styleId="af2">
    <w:name w:val="annotation text"/>
    <w:basedOn w:val="a"/>
    <w:link w:val="af3"/>
    <w:uiPriority w:val="99"/>
    <w:semiHidden/>
    <w:unhideWhenUsed/>
    <w:rsid w:val="00064FF5"/>
  </w:style>
  <w:style w:type="character" w:customStyle="1" w:styleId="af3">
    <w:name w:val="コメント文字列 (文字)"/>
    <w:basedOn w:val="a0"/>
    <w:link w:val="af2"/>
    <w:uiPriority w:val="99"/>
    <w:semiHidden/>
    <w:rsid w:val="00064FF5"/>
    <w:rPr>
      <w:rFonts w:ascii="Times New Roman" w:eastAsia="Calibri" w:hAnsi="Times New Roman" w:cs="Times New Roman"/>
      <w:sz w:val="20"/>
      <w:szCs w:val="20"/>
    </w:rPr>
  </w:style>
  <w:style w:type="paragraph" w:styleId="af4">
    <w:name w:val="annotation subject"/>
    <w:basedOn w:val="af2"/>
    <w:next w:val="af2"/>
    <w:link w:val="af5"/>
    <w:uiPriority w:val="99"/>
    <w:semiHidden/>
    <w:unhideWhenUsed/>
    <w:rsid w:val="00064FF5"/>
    <w:rPr>
      <w:b/>
      <w:bCs/>
    </w:rPr>
  </w:style>
  <w:style w:type="character" w:customStyle="1" w:styleId="af5">
    <w:name w:val="コメント内容 (文字)"/>
    <w:basedOn w:val="af3"/>
    <w:link w:val="af4"/>
    <w:uiPriority w:val="99"/>
    <w:semiHidden/>
    <w:rsid w:val="00064FF5"/>
    <w:rPr>
      <w:rFonts w:ascii="Times New Roman" w:eastAsia="Calibri" w:hAnsi="Times New Roman" w:cs="Times New Roman"/>
      <w:b/>
      <w:bCs/>
      <w:sz w:val="20"/>
      <w:szCs w:val="20"/>
    </w:rPr>
  </w:style>
  <w:style w:type="paragraph" w:customStyle="1" w:styleId="1">
    <w:name w:val="文献目録1"/>
    <w:basedOn w:val="a"/>
    <w:link w:val="Bibliography"/>
    <w:rsid w:val="00DB1C98"/>
    <w:pPr>
      <w:shd w:val="clear" w:color="auto" w:fill="FFFFFF"/>
      <w:spacing w:line="480" w:lineRule="auto"/>
      <w:ind w:left="720" w:hanging="720"/>
      <w:jc w:val="both"/>
    </w:pPr>
    <w:rPr>
      <w:rFonts w:eastAsia="Times New Roman"/>
      <w:sz w:val="24"/>
      <w:szCs w:val="24"/>
    </w:rPr>
  </w:style>
  <w:style w:type="character" w:customStyle="1" w:styleId="Bibliography">
    <w:name w:val="Bibliography (文字)"/>
    <w:basedOn w:val="a0"/>
    <w:link w:val="1"/>
    <w:rsid w:val="00DB1C98"/>
    <w:rPr>
      <w:rFonts w:ascii="Times New Roman" w:eastAsia="Times New Roman" w:hAnsi="Times New Roman" w:cs="Times New Roman"/>
      <w:shd w:val="clear" w:color="auto" w:fill="FFFFFF"/>
    </w:rPr>
  </w:style>
  <w:style w:type="table" w:styleId="af6">
    <w:name w:val="Table Grid"/>
    <w:basedOn w:val="a1"/>
    <w:uiPriority w:val="39"/>
    <w:rsid w:val="00AD67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caption"/>
    <w:basedOn w:val="a"/>
    <w:next w:val="a"/>
    <w:uiPriority w:val="35"/>
    <w:unhideWhenUsed/>
    <w:qFormat/>
    <w:rsid w:val="00863975"/>
    <w:rPr>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355224">
      <w:bodyDiv w:val="1"/>
      <w:marLeft w:val="0"/>
      <w:marRight w:val="0"/>
      <w:marTop w:val="0"/>
      <w:marBottom w:val="0"/>
      <w:divBdr>
        <w:top w:val="none" w:sz="0" w:space="0" w:color="auto"/>
        <w:left w:val="none" w:sz="0" w:space="0" w:color="auto"/>
        <w:bottom w:val="none" w:sz="0" w:space="0" w:color="auto"/>
        <w:right w:val="none" w:sz="0" w:space="0" w:color="auto"/>
      </w:divBdr>
    </w:div>
    <w:div w:id="24794826">
      <w:bodyDiv w:val="1"/>
      <w:marLeft w:val="0"/>
      <w:marRight w:val="0"/>
      <w:marTop w:val="0"/>
      <w:marBottom w:val="0"/>
      <w:divBdr>
        <w:top w:val="none" w:sz="0" w:space="0" w:color="auto"/>
        <w:left w:val="none" w:sz="0" w:space="0" w:color="auto"/>
        <w:bottom w:val="none" w:sz="0" w:space="0" w:color="auto"/>
        <w:right w:val="none" w:sz="0" w:space="0" w:color="auto"/>
      </w:divBdr>
      <w:divsChild>
        <w:div w:id="18823028">
          <w:marLeft w:val="0"/>
          <w:marRight w:val="0"/>
          <w:marTop w:val="0"/>
          <w:marBottom w:val="0"/>
          <w:divBdr>
            <w:top w:val="none" w:sz="0" w:space="0" w:color="auto"/>
            <w:left w:val="none" w:sz="0" w:space="0" w:color="auto"/>
            <w:bottom w:val="none" w:sz="0" w:space="0" w:color="auto"/>
            <w:right w:val="none" w:sz="0" w:space="0" w:color="auto"/>
          </w:divBdr>
          <w:divsChild>
            <w:div w:id="1424186294">
              <w:marLeft w:val="0"/>
              <w:marRight w:val="0"/>
              <w:marTop w:val="0"/>
              <w:marBottom w:val="0"/>
              <w:divBdr>
                <w:top w:val="none" w:sz="0" w:space="0" w:color="auto"/>
                <w:left w:val="none" w:sz="0" w:space="0" w:color="auto"/>
                <w:bottom w:val="none" w:sz="0" w:space="0" w:color="auto"/>
                <w:right w:val="none" w:sz="0" w:space="0" w:color="auto"/>
              </w:divBdr>
              <w:divsChild>
                <w:div w:id="182180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82450">
      <w:bodyDiv w:val="1"/>
      <w:marLeft w:val="0"/>
      <w:marRight w:val="0"/>
      <w:marTop w:val="0"/>
      <w:marBottom w:val="0"/>
      <w:divBdr>
        <w:top w:val="none" w:sz="0" w:space="0" w:color="auto"/>
        <w:left w:val="none" w:sz="0" w:space="0" w:color="auto"/>
        <w:bottom w:val="none" w:sz="0" w:space="0" w:color="auto"/>
        <w:right w:val="none" w:sz="0" w:space="0" w:color="auto"/>
      </w:divBdr>
      <w:divsChild>
        <w:div w:id="1614819311">
          <w:marLeft w:val="0"/>
          <w:marRight w:val="0"/>
          <w:marTop w:val="0"/>
          <w:marBottom w:val="0"/>
          <w:divBdr>
            <w:top w:val="none" w:sz="0" w:space="0" w:color="auto"/>
            <w:left w:val="none" w:sz="0" w:space="0" w:color="auto"/>
            <w:bottom w:val="none" w:sz="0" w:space="0" w:color="auto"/>
            <w:right w:val="none" w:sz="0" w:space="0" w:color="auto"/>
          </w:divBdr>
          <w:divsChild>
            <w:div w:id="1604996414">
              <w:marLeft w:val="0"/>
              <w:marRight w:val="0"/>
              <w:marTop w:val="0"/>
              <w:marBottom w:val="0"/>
              <w:divBdr>
                <w:top w:val="none" w:sz="0" w:space="0" w:color="auto"/>
                <w:left w:val="none" w:sz="0" w:space="0" w:color="auto"/>
                <w:bottom w:val="none" w:sz="0" w:space="0" w:color="auto"/>
                <w:right w:val="none" w:sz="0" w:space="0" w:color="auto"/>
              </w:divBdr>
              <w:divsChild>
                <w:div w:id="20009629">
                  <w:marLeft w:val="0"/>
                  <w:marRight w:val="0"/>
                  <w:marTop w:val="0"/>
                  <w:marBottom w:val="0"/>
                  <w:divBdr>
                    <w:top w:val="none" w:sz="0" w:space="0" w:color="auto"/>
                    <w:left w:val="none" w:sz="0" w:space="0" w:color="auto"/>
                    <w:bottom w:val="none" w:sz="0" w:space="0" w:color="auto"/>
                    <w:right w:val="none" w:sz="0" w:space="0" w:color="auto"/>
                  </w:divBdr>
                  <w:divsChild>
                    <w:div w:id="43059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96306">
      <w:bodyDiv w:val="1"/>
      <w:marLeft w:val="0"/>
      <w:marRight w:val="0"/>
      <w:marTop w:val="0"/>
      <w:marBottom w:val="0"/>
      <w:divBdr>
        <w:top w:val="none" w:sz="0" w:space="0" w:color="auto"/>
        <w:left w:val="none" w:sz="0" w:space="0" w:color="auto"/>
        <w:bottom w:val="none" w:sz="0" w:space="0" w:color="auto"/>
        <w:right w:val="none" w:sz="0" w:space="0" w:color="auto"/>
      </w:divBdr>
      <w:divsChild>
        <w:div w:id="946235609">
          <w:marLeft w:val="0"/>
          <w:marRight w:val="0"/>
          <w:marTop w:val="0"/>
          <w:marBottom w:val="0"/>
          <w:divBdr>
            <w:top w:val="none" w:sz="0" w:space="0" w:color="auto"/>
            <w:left w:val="none" w:sz="0" w:space="0" w:color="auto"/>
            <w:bottom w:val="none" w:sz="0" w:space="0" w:color="auto"/>
            <w:right w:val="none" w:sz="0" w:space="0" w:color="auto"/>
          </w:divBdr>
          <w:divsChild>
            <w:div w:id="933440827">
              <w:marLeft w:val="0"/>
              <w:marRight w:val="0"/>
              <w:marTop w:val="0"/>
              <w:marBottom w:val="0"/>
              <w:divBdr>
                <w:top w:val="none" w:sz="0" w:space="0" w:color="auto"/>
                <w:left w:val="none" w:sz="0" w:space="0" w:color="auto"/>
                <w:bottom w:val="none" w:sz="0" w:space="0" w:color="auto"/>
                <w:right w:val="none" w:sz="0" w:space="0" w:color="auto"/>
              </w:divBdr>
              <w:divsChild>
                <w:div w:id="717629444">
                  <w:marLeft w:val="0"/>
                  <w:marRight w:val="0"/>
                  <w:marTop w:val="0"/>
                  <w:marBottom w:val="0"/>
                  <w:divBdr>
                    <w:top w:val="none" w:sz="0" w:space="0" w:color="auto"/>
                    <w:left w:val="none" w:sz="0" w:space="0" w:color="auto"/>
                    <w:bottom w:val="none" w:sz="0" w:space="0" w:color="auto"/>
                    <w:right w:val="none" w:sz="0" w:space="0" w:color="auto"/>
                  </w:divBdr>
                  <w:divsChild>
                    <w:div w:id="104857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61747">
      <w:bodyDiv w:val="1"/>
      <w:marLeft w:val="0"/>
      <w:marRight w:val="0"/>
      <w:marTop w:val="0"/>
      <w:marBottom w:val="0"/>
      <w:divBdr>
        <w:top w:val="none" w:sz="0" w:space="0" w:color="auto"/>
        <w:left w:val="none" w:sz="0" w:space="0" w:color="auto"/>
        <w:bottom w:val="none" w:sz="0" w:space="0" w:color="auto"/>
        <w:right w:val="none" w:sz="0" w:space="0" w:color="auto"/>
      </w:divBdr>
      <w:divsChild>
        <w:div w:id="918489069">
          <w:marLeft w:val="0"/>
          <w:marRight w:val="0"/>
          <w:marTop w:val="0"/>
          <w:marBottom w:val="0"/>
          <w:divBdr>
            <w:top w:val="none" w:sz="0" w:space="0" w:color="auto"/>
            <w:left w:val="none" w:sz="0" w:space="0" w:color="auto"/>
            <w:bottom w:val="none" w:sz="0" w:space="0" w:color="auto"/>
            <w:right w:val="none" w:sz="0" w:space="0" w:color="auto"/>
          </w:divBdr>
          <w:divsChild>
            <w:div w:id="915938594">
              <w:marLeft w:val="0"/>
              <w:marRight w:val="0"/>
              <w:marTop w:val="0"/>
              <w:marBottom w:val="0"/>
              <w:divBdr>
                <w:top w:val="none" w:sz="0" w:space="0" w:color="auto"/>
                <w:left w:val="none" w:sz="0" w:space="0" w:color="auto"/>
                <w:bottom w:val="none" w:sz="0" w:space="0" w:color="auto"/>
                <w:right w:val="none" w:sz="0" w:space="0" w:color="auto"/>
              </w:divBdr>
              <w:divsChild>
                <w:div w:id="131833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684090671">
      <w:bodyDiv w:val="1"/>
      <w:marLeft w:val="0"/>
      <w:marRight w:val="0"/>
      <w:marTop w:val="0"/>
      <w:marBottom w:val="0"/>
      <w:divBdr>
        <w:top w:val="none" w:sz="0" w:space="0" w:color="auto"/>
        <w:left w:val="none" w:sz="0" w:space="0" w:color="auto"/>
        <w:bottom w:val="none" w:sz="0" w:space="0" w:color="auto"/>
        <w:right w:val="none" w:sz="0" w:space="0" w:color="auto"/>
      </w:divBdr>
    </w:div>
    <w:div w:id="688530553">
      <w:bodyDiv w:val="1"/>
      <w:marLeft w:val="0"/>
      <w:marRight w:val="0"/>
      <w:marTop w:val="0"/>
      <w:marBottom w:val="0"/>
      <w:divBdr>
        <w:top w:val="none" w:sz="0" w:space="0" w:color="auto"/>
        <w:left w:val="none" w:sz="0" w:space="0" w:color="auto"/>
        <w:bottom w:val="none" w:sz="0" w:space="0" w:color="auto"/>
        <w:right w:val="none" w:sz="0" w:space="0" w:color="auto"/>
      </w:divBdr>
      <w:divsChild>
        <w:div w:id="1721780220">
          <w:marLeft w:val="0"/>
          <w:marRight w:val="0"/>
          <w:marTop w:val="0"/>
          <w:marBottom w:val="0"/>
          <w:divBdr>
            <w:top w:val="none" w:sz="0" w:space="0" w:color="auto"/>
            <w:left w:val="none" w:sz="0" w:space="0" w:color="auto"/>
            <w:bottom w:val="none" w:sz="0" w:space="0" w:color="auto"/>
            <w:right w:val="none" w:sz="0" w:space="0" w:color="auto"/>
          </w:divBdr>
          <w:divsChild>
            <w:div w:id="220093763">
              <w:marLeft w:val="0"/>
              <w:marRight w:val="0"/>
              <w:marTop w:val="0"/>
              <w:marBottom w:val="0"/>
              <w:divBdr>
                <w:top w:val="none" w:sz="0" w:space="0" w:color="auto"/>
                <w:left w:val="none" w:sz="0" w:space="0" w:color="auto"/>
                <w:bottom w:val="none" w:sz="0" w:space="0" w:color="auto"/>
                <w:right w:val="none" w:sz="0" w:space="0" w:color="auto"/>
              </w:divBdr>
              <w:divsChild>
                <w:div w:id="61564632">
                  <w:marLeft w:val="0"/>
                  <w:marRight w:val="0"/>
                  <w:marTop w:val="0"/>
                  <w:marBottom w:val="0"/>
                  <w:divBdr>
                    <w:top w:val="none" w:sz="0" w:space="0" w:color="auto"/>
                    <w:left w:val="none" w:sz="0" w:space="0" w:color="auto"/>
                    <w:bottom w:val="none" w:sz="0" w:space="0" w:color="auto"/>
                    <w:right w:val="none" w:sz="0" w:space="0" w:color="auto"/>
                  </w:divBdr>
                  <w:divsChild>
                    <w:div w:id="62602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222818">
      <w:bodyDiv w:val="1"/>
      <w:marLeft w:val="0"/>
      <w:marRight w:val="0"/>
      <w:marTop w:val="0"/>
      <w:marBottom w:val="0"/>
      <w:divBdr>
        <w:top w:val="none" w:sz="0" w:space="0" w:color="auto"/>
        <w:left w:val="none" w:sz="0" w:space="0" w:color="auto"/>
        <w:bottom w:val="none" w:sz="0" w:space="0" w:color="auto"/>
        <w:right w:val="none" w:sz="0" w:space="0" w:color="auto"/>
      </w:divBdr>
      <w:divsChild>
        <w:div w:id="474107664">
          <w:marLeft w:val="0"/>
          <w:marRight w:val="0"/>
          <w:marTop w:val="0"/>
          <w:marBottom w:val="0"/>
          <w:divBdr>
            <w:top w:val="none" w:sz="0" w:space="0" w:color="auto"/>
            <w:left w:val="none" w:sz="0" w:space="0" w:color="auto"/>
            <w:bottom w:val="none" w:sz="0" w:space="0" w:color="auto"/>
            <w:right w:val="none" w:sz="0" w:space="0" w:color="auto"/>
          </w:divBdr>
          <w:divsChild>
            <w:div w:id="977537082">
              <w:marLeft w:val="0"/>
              <w:marRight w:val="0"/>
              <w:marTop w:val="0"/>
              <w:marBottom w:val="0"/>
              <w:divBdr>
                <w:top w:val="none" w:sz="0" w:space="0" w:color="auto"/>
                <w:left w:val="none" w:sz="0" w:space="0" w:color="auto"/>
                <w:bottom w:val="none" w:sz="0" w:space="0" w:color="auto"/>
                <w:right w:val="none" w:sz="0" w:space="0" w:color="auto"/>
              </w:divBdr>
              <w:divsChild>
                <w:div w:id="604188787">
                  <w:marLeft w:val="0"/>
                  <w:marRight w:val="0"/>
                  <w:marTop w:val="0"/>
                  <w:marBottom w:val="0"/>
                  <w:divBdr>
                    <w:top w:val="none" w:sz="0" w:space="0" w:color="auto"/>
                    <w:left w:val="none" w:sz="0" w:space="0" w:color="auto"/>
                    <w:bottom w:val="none" w:sz="0" w:space="0" w:color="auto"/>
                    <w:right w:val="none" w:sz="0" w:space="0" w:color="auto"/>
                  </w:divBdr>
                  <w:divsChild>
                    <w:div w:id="148238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62458201">
      <w:bodyDiv w:val="1"/>
      <w:marLeft w:val="0"/>
      <w:marRight w:val="0"/>
      <w:marTop w:val="0"/>
      <w:marBottom w:val="0"/>
      <w:divBdr>
        <w:top w:val="none" w:sz="0" w:space="0" w:color="auto"/>
        <w:left w:val="none" w:sz="0" w:space="0" w:color="auto"/>
        <w:bottom w:val="none" w:sz="0" w:space="0" w:color="auto"/>
        <w:right w:val="none" w:sz="0" w:space="0" w:color="auto"/>
      </w:divBdr>
      <w:divsChild>
        <w:div w:id="1415475586">
          <w:marLeft w:val="0"/>
          <w:marRight w:val="0"/>
          <w:marTop w:val="0"/>
          <w:marBottom w:val="0"/>
          <w:divBdr>
            <w:top w:val="none" w:sz="0" w:space="0" w:color="auto"/>
            <w:left w:val="none" w:sz="0" w:space="0" w:color="auto"/>
            <w:bottom w:val="none" w:sz="0" w:space="0" w:color="auto"/>
            <w:right w:val="none" w:sz="0" w:space="0" w:color="auto"/>
          </w:divBdr>
          <w:divsChild>
            <w:div w:id="792989389">
              <w:marLeft w:val="0"/>
              <w:marRight w:val="0"/>
              <w:marTop w:val="0"/>
              <w:marBottom w:val="0"/>
              <w:divBdr>
                <w:top w:val="none" w:sz="0" w:space="0" w:color="auto"/>
                <w:left w:val="none" w:sz="0" w:space="0" w:color="auto"/>
                <w:bottom w:val="none" w:sz="0" w:space="0" w:color="auto"/>
                <w:right w:val="none" w:sz="0" w:space="0" w:color="auto"/>
              </w:divBdr>
              <w:divsChild>
                <w:div w:id="497693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503584">
      <w:bodyDiv w:val="1"/>
      <w:marLeft w:val="0"/>
      <w:marRight w:val="0"/>
      <w:marTop w:val="0"/>
      <w:marBottom w:val="0"/>
      <w:divBdr>
        <w:top w:val="none" w:sz="0" w:space="0" w:color="auto"/>
        <w:left w:val="none" w:sz="0" w:space="0" w:color="auto"/>
        <w:bottom w:val="none" w:sz="0" w:space="0" w:color="auto"/>
        <w:right w:val="none" w:sz="0" w:space="0" w:color="auto"/>
      </w:divBdr>
      <w:divsChild>
        <w:div w:id="41828351">
          <w:marLeft w:val="0"/>
          <w:marRight w:val="0"/>
          <w:marTop w:val="0"/>
          <w:marBottom w:val="0"/>
          <w:divBdr>
            <w:top w:val="none" w:sz="0" w:space="0" w:color="auto"/>
            <w:left w:val="none" w:sz="0" w:space="0" w:color="auto"/>
            <w:bottom w:val="none" w:sz="0" w:space="0" w:color="auto"/>
            <w:right w:val="none" w:sz="0" w:space="0" w:color="auto"/>
          </w:divBdr>
          <w:divsChild>
            <w:div w:id="1828789907">
              <w:marLeft w:val="0"/>
              <w:marRight w:val="0"/>
              <w:marTop w:val="0"/>
              <w:marBottom w:val="0"/>
              <w:divBdr>
                <w:top w:val="none" w:sz="0" w:space="0" w:color="auto"/>
                <w:left w:val="none" w:sz="0" w:space="0" w:color="auto"/>
                <w:bottom w:val="none" w:sz="0" w:space="0" w:color="auto"/>
                <w:right w:val="none" w:sz="0" w:space="0" w:color="auto"/>
              </w:divBdr>
              <w:divsChild>
                <w:div w:id="1015691004">
                  <w:marLeft w:val="0"/>
                  <w:marRight w:val="0"/>
                  <w:marTop w:val="0"/>
                  <w:marBottom w:val="0"/>
                  <w:divBdr>
                    <w:top w:val="none" w:sz="0" w:space="0" w:color="auto"/>
                    <w:left w:val="none" w:sz="0" w:space="0" w:color="auto"/>
                    <w:bottom w:val="none" w:sz="0" w:space="0" w:color="auto"/>
                    <w:right w:val="none" w:sz="0" w:space="0" w:color="auto"/>
                  </w:divBdr>
                  <w:divsChild>
                    <w:div w:id="88324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59385570">
      <w:bodyDiv w:val="1"/>
      <w:marLeft w:val="0"/>
      <w:marRight w:val="0"/>
      <w:marTop w:val="0"/>
      <w:marBottom w:val="0"/>
      <w:divBdr>
        <w:top w:val="none" w:sz="0" w:space="0" w:color="auto"/>
        <w:left w:val="none" w:sz="0" w:space="0" w:color="auto"/>
        <w:bottom w:val="none" w:sz="0" w:space="0" w:color="auto"/>
        <w:right w:val="none" w:sz="0" w:space="0" w:color="auto"/>
      </w:divBdr>
      <w:divsChild>
        <w:div w:id="1913150171">
          <w:marLeft w:val="0"/>
          <w:marRight w:val="0"/>
          <w:marTop w:val="0"/>
          <w:marBottom w:val="0"/>
          <w:divBdr>
            <w:top w:val="none" w:sz="0" w:space="0" w:color="auto"/>
            <w:left w:val="none" w:sz="0" w:space="0" w:color="auto"/>
            <w:bottom w:val="none" w:sz="0" w:space="0" w:color="auto"/>
            <w:right w:val="none" w:sz="0" w:space="0" w:color="auto"/>
          </w:divBdr>
          <w:divsChild>
            <w:div w:id="1558666930">
              <w:marLeft w:val="0"/>
              <w:marRight w:val="0"/>
              <w:marTop w:val="0"/>
              <w:marBottom w:val="0"/>
              <w:divBdr>
                <w:top w:val="none" w:sz="0" w:space="0" w:color="auto"/>
                <w:left w:val="none" w:sz="0" w:space="0" w:color="auto"/>
                <w:bottom w:val="none" w:sz="0" w:space="0" w:color="auto"/>
                <w:right w:val="none" w:sz="0" w:space="0" w:color="auto"/>
              </w:divBdr>
              <w:divsChild>
                <w:div w:id="140005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45837466">
      <w:bodyDiv w:val="1"/>
      <w:marLeft w:val="0"/>
      <w:marRight w:val="0"/>
      <w:marTop w:val="0"/>
      <w:marBottom w:val="0"/>
      <w:divBdr>
        <w:top w:val="none" w:sz="0" w:space="0" w:color="auto"/>
        <w:left w:val="none" w:sz="0" w:space="0" w:color="auto"/>
        <w:bottom w:val="none" w:sz="0" w:space="0" w:color="auto"/>
        <w:right w:val="none" w:sz="0" w:space="0" w:color="auto"/>
      </w:divBdr>
      <w:divsChild>
        <w:div w:id="1544950763">
          <w:marLeft w:val="0"/>
          <w:marRight w:val="0"/>
          <w:marTop w:val="0"/>
          <w:marBottom w:val="0"/>
          <w:divBdr>
            <w:top w:val="none" w:sz="0" w:space="0" w:color="auto"/>
            <w:left w:val="none" w:sz="0" w:space="0" w:color="auto"/>
            <w:bottom w:val="none" w:sz="0" w:space="0" w:color="auto"/>
            <w:right w:val="none" w:sz="0" w:space="0" w:color="auto"/>
          </w:divBdr>
          <w:divsChild>
            <w:div w:id="158666655">
              <w:marLeft w:val="0"/>
              <w:marRight w:val="0"/>
              <w:marTop w:val="0"/>
              <w:marBottom w:val="0"/>
              <w:divBdr>
                <w:top w:val="none" w:sz="0" w:space="0" w:color="auto"/>
                <w:left w:val="none" w:sz="0" w:space="0" w:color="auto"/>
                <w:bottom w:val="none" w:sz="0" w:space="0" w:color="auto"/>
                <w:right w:val="none" w:sz="0" w:space="0" w:color="auto"/>
              </w:divBdr>
              <w:divsChild>
                <w:div w:id="170840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8813">
      <w:bodyDiv w:val="1"/>
      <w:marLeft w:val="0"/>
      <w:marRight w:val="0"/>
      <w:marTop w:val="0"/>
      <w:marBottom w:val="0"/>
      <w:divBdr>
        <w:top w:val="none" w:sz="0" w:space="0" w:color="auto"/>
        <w:left w:val="none" w:sz="0" w:space="0" w:color="auto"/>
        <w:bottom w:val="none" w:sz="0" w:space="0" w:color="auto"/>
        <w:right w:val="none" w:sz="0" w:space="0" w:color="auto"/>
      </w:divBdr>
      <w:divsChild>
        <w:div w:id="474493774">
          <w:marLeft w:val="0"/>
          <w:marRight w:val="0"/>
          <w:marTop w:val="0"/>
          <w:marBottom w:val="0"/>
          <w:divBdr>
            <w:top w:val="none" w:sz="0" w:space="0" w:color="auto"/>
            <w:left w:val="none" w:sz="0" w:space="0" w:color="auto"/>
            <w:bottom w:val="none" w:sz="0" w:space="0" w:color="auto"/>
            <w:right w:val="none" w:sz="0" w:space="0" w:color="auto"/>
          </w:divBdr>
          <w:divsChild>
            <w:div w:id="1607882458">
              <w:marLeft w:val="0"/>
              <w:marRight w:val="0"/>
              <w:marTop w:val="0"/>
              <w:marBottom w:val="0"/>
              <w:divBdr>
                <w:top w:val="none" w:sz="0" w:space="0" w:color="auto"/>
                <w:left w:val="none" w:sz="0" w:space="0" w:color="auto"/>
                <w:bottom w:val="none" w:sz="0" w:space="0" w:color="auto"/>
                <w:right w:val="none" w:sz="0" w:space="0" w:color="auto"/>
              </w:divBdr>
              <w:divsChild>
                <w:div w:id="272830367">
                  <w:marLeft w:val="0"/>
                  <w:marRight w:val="0"/>
                  <w:marTop w:val="0"/>
                  <w:marBottom w:val="0"/>
                  <w:divBdr>
                    <w:top w:val="none" w:sz="0" w:space="0" w:color="auto"/>
                    <w:left w:val="none" w:sz="0" w:space="0" w:color="auto"/>
                    <w:bottom w:val="none" w:sz="0" w:space="0" w:color="auto"/>
                    <w:right w:val="none" w:sz="0" w:space="0" w:color="auto"/>
                  </w:divBdr>
                </w:div>
              </w:divsChild>
            </w:div>
            <w:div w:id="106395451">
              <w:marLeft w:val="0"/>
              <w:marRight w:val="0"/>
              <w:marTop w:val="0"/>
              <w:marBottom w:val="0"/>
              <w:divBdr>
                <w:top w:val="none" w:sz="0" w:space="0" w:color="auto"/>
                <w:left w:val="none" w:sz="0" w:space="0" w:color="auto"/>
                <w:bottom w:val="none" w:sz="0" w:space="0" w:color="auto"/>
                <w:right w:val="none" w:sz="0" w:space="0" w:color="auto"/>
              </w:divBdr>
              <w:divsChild>
                <w:div w:id="2031561024">
                  <w:marLeft w:val="0"/>
                  <w:marRight w:val="0"/>
                  <w:marTop w:val="0"/>
                  <w:marBottom w:val="0"/>
                  <w:divBdr>
                    <w:top w:val="none" w:sz="0" w:space="0" w:color="auto"/>
                    <w:left w:val="none" w:sz="0" w:space="0" w:color="auto"/>
                    <w:bottom w:val="none" w:sz="0" w:space="0" w:color="auto"/>
                    <w:right w:val="none" w:sz="0" w:space="0" w:color="auto"/>
                  </w:divBdr>
                </w:div>
              </w:divsChild>
            </w:div>
            <w:div w:id="135297140">
              <w:marLeft w:val="0"/>
              <w:marRight w:val="0"/>
              <w:marTop w:val="0"/>
              <w:marBottom w:val="0"/>
              <w:divBdr>
                <w:top w:val="none" w:sz="0" w:space="0" w:color="auto"/>
                <w:left w:val="none" w:sz="0" w:space="0" w:color="auto"/>
                <w:bottom w:val="none" w:sz="0" w:space="0" w:color="auto"/>
                <w:right w:val="none" w:sz="0" w:space="0" w:color="auto"/>
              </w:divBdr>
              <w:divsChild>
                <w:div w:id="916868205">
                  <w:marLeft w:val="0"/>
                  <w:marRight w:val="0"/>
                  <w:marTop w:val="0"/>
                  <w:marBottom w:val="0"/>
                  <w:divBdr>
                    <w:top w:val="none" w:sz="0" w:space="0" w:color="auto"/>
                    <w:left w:val="none" w:sz="0" w:space="0" w:color="auto"/>
                    <w:bottom w:val="none" w:sz="0" w:space="0" w:color="auto"/>
                    <w:right w:val="none" w:sz="0" w:space="0" w:color="auto"/>
                  </w:divBdr>
                </w:div>
              </w:divsChild>
            </w:div>
            <w:div w:id="186068209">
              <w:marLeft w:val="0"/>
              <w:marRight w:val="0"/>
              <w:marTop w:val="0"/>
              <w:marBottom w:val="0"/>
              <w:divBdr>
                <w:top w:val="none" w:sz="0" w:space="0" w:color="auto"/>
                <w:left w:val="none" w:sz="0" w:space="0" w:color="auto"/>
                <w:bottom w:val="none" w:sz="0" w:space="0" w:color="auto"/>
                <w:right w:val="none" w:sz="0" w:space="0" w:color="auto"/>
              </w:divBdr>
              <w:divsChild>
                <w:div w:id="423039948">
                  <w:marLeft w:val="0"/>
                  <w:marRight w:val="0"/>
                  <w:marTop w:val="0"/>
                  <w:marBottom w:val="0"/>
                  <w:divBdr>
                    <w:top w:val="none" w:sz="0" w:space="0" w:color="auto"/>
                    <w:left w:val="none" w:sz="0" w:space="0" w:color="auto"/>
                    <w:bottom w:val="none" w:sz="0" w:space="0" w:color="auto"/>
                    <w:right w:val="none" w:sz="0" w:space="0" w:color="auto"/>
                  </w:divBdr>
                </w:div>
              </w:divsChild>
            </w:div>
            <w:div w:id="1642534260">
              <w:marLeft w:val="0"/>
              <w:marRight w:val="0"/>
              <w:marTop w:val="0"/>
              <w:marBottom w:val="0"/>
              <w:divBdr>
                <w:top w:val="none" w:sz="0" w:space="0" w:color="auto"/>
                <w:left w:val="none" w:sz="0" w:space="0" w:color="auto"/>
                <w:bottom w:val="none" w:sz="0" w:space="0" w:color="auto"/>
                <w:right w:val="none" w:sz="0" w:space="0" w:color="auto"/>
              </w:divBdr>
              <w:divsChild>
                <w:div w:id="1066027799">
                  <w:marLeft w:val="0"/>
                  <w:marRight w:val="0"/>
                  <w:marTop w:val="0"/>
                  <w:marBottom w:val="0"/>
                  <w:divBdr>
                    <w:top w:val="none" w:sz="0" w:space="0" w:color="auto"/>
                    <w:left w:val="none" w:sz="0" w:space="0" w:color="auto"/>
                    <w:bottom w:val="none" w:sz="0" w:space="0" w:color="auto"/>
                    <w:right w:val="none" w:sz="0" w:space="0" w:color="auto"/>
                  </w:divBdr>
                </w:div>
              </w:divsChild>
            </w:div>
            <w:div w:id="1419714076">
              <w:marLeft w:val="0"/>
              <w:marRight w:val="0"/>
              <w:marTop w:val="0"/>
              <w:marBottom w:val="0"/>
              <w:divBdr>
                <w:top w:val="none" w:sz="0" w:space="0" w:color="auto"/>
                <w:left w:val="none" w:sz="0" w:space="0" w:color="auto"/>
                <w:bottom w:val="none" w:sz="0" w:space="0" w:color="auto"/>
                <w:right w:val="none" w:sz="0" w:space="0" w:color="auto"/>
              </w:divBdr>
              <w:divsChild>
                <w:div w:id="454518076">
                  <w:marLeft w:val="0"/>
                  <w:marRight w:val="0"/>
                  <w:marTop w:val="0"/>
                  <w:marBottom w:val="0"/>
                  <w:divBdr>
                    <w:top w:val="none" w:sz="0" w:space="0" w:color="auto"/>
                    <w:left w:val="none" w:sz="0" w:space="0" w:color="auto"/>
                    <w:bottom w:val="none" w:sz="0" w:space="0" w:color="auto"/>
                    <w:right w:val="none" w:sz="0" w:space="0" w:color="auto"/>
                  </w:divBdr>
                </w:div>
              </w:divsChild>
            </w:div>
            <w:div w:id="2018726932">
              <w:marLeft w:val="0"/>
              <w:marRight w:val="0"/>
              <w:marTop w:val="0"/>
              <w:marBottom w:val="0"/>
              <w:divBdr>
                <w:top w:val="none" w:sz="0" w:space="0" w:color="auto"/>
                <w:left w:val="none" w:sz="0" w:space="0" w:color="auto"/>
                <w:bottom w:val="none" w:sz="0" w:space="0" w:color="auto"/>
                <w:right w:val="none" w:sz="0" w:space="0" w:color="auto"/>
              </w:divBdr>
              <w:divsChild>
                <w:div w:id="695155252">
                  <w:marLeft w:val="0"/>
                  <w:marRight w:val="0"/>
                  <w:marTop w:val="0"/>
                  <w:marBottom w:val="0"/>
                  <w:divBdr>
                    <w:top w:val="none" w:sz="0" w:space="0" w:color="auto"/>
                    <w:left w:val="none" w:sz="0" w:space="0" w:color="auto"/>
                    <w:bottom w:val="none" w:sz="0" w:space="0" w:color="auto"/>
                    <w:right w:val="none" w:sz="0" w:space="0" w:color="auto"/>
                  </w:divBdr>
                </w:div>
              </w:divsChild>
            </w:div>
            <w:div w:id="1412433247">
              <w:marLeft w:val="0"/>
              <w:marRight w:val="0"/>
              <w:marTop w:val="0"/>
              <w:marBottom w:val="0"/>
              <w:divBdr>
                <w:top w:val="none" w:sz="0" w:space="0" w:color="auto"/>
                <w:left w:val="none" w:sz="0" w:space="0" w:color="auto"/>
                <w:bottom w:val="none" w:sz="0" w:space="0" w:color="auto"/>
                <w:right w:val="none" w:sz="0" w:space="0" w:color="auto"/>
              </w:divBdr>
              <w:divsChild>
                <w:div w:id="59960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98989990">
      <w:bodyDiv w:val="1"/>
      <w:marLeft w:val="0"/>
      <w:marRight w:val="0"/>
      <w:marTop w:val="0"/>
      <w:marBottom w:val="0"/>
      <w:divBdr>
        <w:top w:val="none" w:sz="0" w:space="0" w:color="auto"/>
        <w:left w:val="none" w:sz="0" w:space="0" w:color="auto"/>
        <w:bottom w:val="none" w:sz="0" w:space="0" w:color="auto"/>
        <w:right w:val="none" w:sz="0" w:space="0" w:color="auto"/>
      </w:divBdr>
      <w:divsChild>
        <w:div w:id="1951476091">
          <w:marLeft w:val="0"/>
          <w:marRight w:val="0"/>
          <w:marTop w:val="0"/>
          <w:marBottom w:val="0"/>
          <w:divBdr>
            <w:top w:val="none" w:sz="0" w:space="0" w:color="auto"/>
            <w:left w:val="none" w:sz="0" w:space="0" w:color="auto"/>
            <w:bottom w:val="none" w:sz="0" w:space="0" w:color="auto"/>
            <w:right w:val="none" w:sz="0" w:space="0" w:color="auto"/>
          </w:divBdr>
          <w:divsChild>
            <w:div w:id="388572366">
              <w:marLeft w:val="0"/>
              <w:marRight w:val="0"/>
              <w:marTop w:val="0"/>
              <w:marBottom w:val="0"/>
              <w:divBdr>
                <w:top w:val="none" w:sz="0" w:space="0" w:color="auto"/>
                <w:left w:val="none" w:sz="0" w:space="0" w:color="auto"/>
                <w:bottom w:val="none" w:sz="0" w:space="0" w:color="auto"/>
                <w:right w:val="none" w:sz="0" w:space="0" w:color="auto"/>
              </w:divBdr>
              <w:divsChild>
                <w:div w:id="1280407187">
                  <w:marLeft w:val="0"/>
                  <w:marRight w:val="0"/>
                  <w:marTop w:val="0"/>
                  <w:marBottom w:val="0"/>
                  <w:divBdr>
                    <w:top w:val="none" w:sz="0" w:space="0" w:color="auto"/>
                    <w:left w:val="none" w:sz="0" w:space="0" w:color="auto"/>
                    <w:bottom w:val="none" w:sz="0" w:space="0" w:color="auto"/>
                    <w:right w:val="none" w:sz="0" w:space="0" w:color="auto"/>
                  </w:divBdr>
                  <w:divsChild>
                    <w:div w:id="37331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947539021">
      <w:bodyDiv w:val="1"/>
      <w:marLeft w:val="0"/>
      <w:marRight w:val="0"/>
      <w:marTop w:val="0"/>
      <w:marBottom w:val="0"/>
      <w:divBdr>
        <w:top w:val="none" w:sz="0" w:space="0" w:color="auto"/>
        <w:left w:val="none" w:sz="0" w:space="0" w:color="auto"/>
        <w:bottom w:val="none" w:sz="0" w:space="0" w:color="auto"/>
        <w:right w:val="none" w:sz="0" w:space="0" w:color="auto"/>
      </w:divBdr>
      <w:divsChild>
        <w:div w:id="2070641916">
          <w:marLeft w:val="0"/>
          <w:marRight w:val="0"/>
          <w:marTop w:val="0"/>
          <w:marBottom w:val="0"/>
          <w:divBdr>
            <w:top w:val="none" w:sz="0" w:space="0" w:color="auto"/>
            <w:left w:val="none" w:sz="0" w:space="0" w:color="auto"/>
            <w:bottom w:val="none" w:sz="0" w:space="0" w:color="auto"/>
            <w:right w:val="none" w:sz="0" w:space="0" w:color="auto"/>
          </w:divBdr>
          <w:divsChild>
            <w:div w:id="479426517">
              <w:marLeft w:val="0"/>
              <w:marRight w:val="0"/>
              <w:marTop w:val="0"/>
              <w:marBottom w:val="0"/>
              <w:divBdr>
                <w:top w:val="none" w:sz="0" w:space="0" w:color="auto"/>
                <w:left w:val="none" w:sz="0" w:space="0" w:color="auto"/>
                <w:bottom w:val="none" w:sz="0" w:space="0" w:color="auto"/>
                <w:right w:val="none" w:sz="0" w:space="0" w:color="auto"/>
              </w:divBdr>
              <w:divsChild>
                <w:div w:id="2045403397">
                  <w:marLeft w:val="0"/>
                  <w:marRight w:val="0"/>
                  <w:marTop w:val="0"/>
                  <w:marBottom w:val="0"/>
                  <w:divBdr>
                    <w:top w:val="none" w:sz="0" w:space="0" w:color="auto"/>
                    <w:left w:val="none" w:sz="0" w:space="0" w:color="auto"/>
                    <w:bottom w:val="none" w:sz="0" w:space="0" w:color="auto"/>
                    <w:right w:val="none" w:sz="0" w:space="0" w:color="auto"/>
                  </w:divBdr>
                </w:div>
              </w:divsChild>
            </w:div>
            <w:div w:id="765005398">
              <w:marLeft w:val="0"/>
              <w:marRight w:val="0"/>
              <w:marTop w:val="0"/>
              <w:marBottom w:val="0"/>
              <w:divBdr>
                <w:top w:val="none" w:sz="0" w:space="0" w:color="auto"/>
                <w:left w:val="none" w:sz="0" w:space="0" w:color="auto"/>
                <w:bottom w:val="none" w:sz="0" w:space="0" w:color="auto"/>
                <w:right w:val="none" w:sz="0" w:space="0" w:color="auto"/>
              </w:divBdr>
              <w:divsChild>
                <w:div w:id="1211528722">
                  <w:marLeft w:val="0"/>
                  <w:marRight w:val="0"/>
                  <w:marTop w:val="0"/>
                  <w:marBottom w:val="0"/>
                  <w:divBdr>
                    <w:top w:val="none" w:sz="0" w:space="0" w:color="auto"/>
                    <w:left w:val="none" w:sz="0" w:space="0" w:color="auto"/>
                    <w:bottom w:val="none" w:sz="0" w:space="0" w:color="auto"/>
                    <w:right w:val="none" w:sz="0" w:space="0" w:color="auto"/>
                  </w:divBdr>
                </w:div>
              </w:divsChild>
            </w:div>
            <w:div w:id="1338121930">
              <w:marLeft w:val="0"/>
              <w:marRight w:val="0"/>
              <w:marTop w:val="0"/>
              <w:marBottom w:val="0"/>
              <w:divBdr>
                <w:top w:val="none" w:sz="0" w:space="0" w:color="auto"/>
                <w:left w:val="none" w:sz="0" w:space="0" w:color="auto"/>
                <w:bottom w:val="none" w:sz="0" w:space="0" w:color="auto"/>
                <w:right w:val="none" w:sz="0" w:space="0" w:color="auto"/>
              </w:divBdr>
              <w:divsChild>
                <w:div w:id="60563230">
                  <w:marLeft w:val="0"/>
                  <w:marRight w:val="0"/>
                  <w:marTop w:val="0"/>
                  <w:marBottom w:val="0"/>
                  <w:divBdr>
                    <w:top w:val="none" w:sz="0" w:space="0" w:color="auto"/>
                    <w:left w:val="none" w:sz="0" w:space="0" w:color="auto"/>
                    <w:bottom w:val="none" w:sz="0" w:space="0" w:color="auto"/>
                    <w:right w:val="none" w:sz="0" w:space="0" w:color="auto"/>
                  </w:divBdr>
                </w:div>
              </w:divsChild>
            </w:div>
            <w:div w:id="2111583434">
              <w:marLeft w:val="0"/>
              <w:marRight w:val="0"/>
              <w:marTop w:val="0"/>
              <w:marBottom w:val="0"/>
              <w:divBdr>
                <w:top w:val="none" w:sz="0" w:space="0" w:color="auto"/>
                <w:left w:val="none" w:sz="0" w:space="0" w:color="auto"/>
                <w:bottom w:val="none" w:sz="0" w:space="0" w:color="auto"/>
                <w:right w:val="none" w:sz="0" w:space="0" w:color="auto"/>
              </w:divBdr>
              <w:divsChild>
                <w:div w:id="1260681501">
                  <w:marLeft w:val="0"/>
                  <w:marRight w:val="0"/>
                  <w:marTop w:val="0"/>
                  <w:marBottom w:val="0"/>
                  <w:divBdr>
                    <w:top w:val="none" w:sz="0" w:space="0" w:color="auto"/>
                    <w:left w:val="none" w:sz="0" w:space="0" w:color="auto"/>
                    <w:bottom w:val="none" w:sz="0" w:space="0" w:color="auto"/>
                    <w:right w:val="none" w:sz="0" w:space="0" w:color="auto"/>
                  </w:divBdr>
                </w:div>
              </w:divsChild>
            </w:div>
            <w:div w:id="1604342846">
              <w:marLeft w:val="0"/>
              <w:marRight w:val="0"/>
              <w:marTop w:val="0"/>
              <w:marBottom w:val="0"/>
              <w:divBdr>
                <w:top w:val="none" w:sz="0" w:space="0" w:color="auto"/>
                <w:left w:val="none" w:sz="0" w:space="0" w:color="auto"/>
                <w:bottom w:val="none" w:sz="0" w:space="0" w:color="auto"/>
                <w:right w:val="none" w:sz="0" w:space="0" w:color="auto"/>
              </w:divBdr>
              <w:divsChild>
                <w:div w:id="1412661019">
                  <w:marLeft w:val="0"/>
                  <w:marRight w:val="0"/>
                  <w:marTop w:val="0"/>
                  <w:marBottom w:val="0"/>
                  <w:divBdr>
                    <w:top w:val="none" w:sz="0" w:space="0" w:color="auto"/>
                    <w:left w:val="none" w:sz="0" w:space="0" w:color="auto"/>
                    <w:bottom w:val="none" w:sz="0" w:space="0" w:color="auto"/>
                    <w:right w:val="none" w:sz="0" w:space="0" w:color="auto"/>
                  </w:divBdr>
                </w:div>
              </w:divsChild>
            </w:div>
            <w:div w:id="882254972">
              <w:marLeft w:val="0"/>
              <w:marRight w:val="0"/>
              <w:marTop w:val="0"/>
              <w:marBottom w:val="0"/>
              <w:divBdr>
                <w:top w:val="none" w:sz="0" w:space="0" w:color="auto"/>
                <w:left w:val="none" w:sz="0" w:space="0" w:color="auto"/>
                <w:bottom w:val="none" w:sz="0" w:space="0" w:color="auto"/>
                <w:right w:val="none" w:sz="0" w:space="0" w:color="auto"/>
              </w:divBdr>
              <w:divsChild>
                <w:div w:id="1877236233">
                  <w:marLeft w:val="0"/>
                  <w:marRight w:val="0"/>
                  <w:marTop w:val="0"/>
                  <w:marBottom w:val="0"/>
                  <w:divBdr>
                    <w:top w:val="none" w:sz="0" w:space="0" w:color="auto"/>
                    <w:left w:val="none" w:sz="0" w:space="0" w:color="auto"/>
                    <w:bottom w:val="none" w:sz="0" w:space="0" w:color="auto"/>
                    <w:right w:val="none" w:sz="0" w:space="0" w:color="auto"/>
                  </w:divBdr>
                </w:div>
              </w:divsChild>
            </w:div>
            <w:div w:id="525951351">
              <w:marLeft w:val="0"/>
              <w:marRight w:val="0"/>
              <w:marTop w:val="0"/>
              <w:marBottom w:val="0"/>
              <w:divBdr>
                <w:top w:val="none" w:sz="0" w:space="0" w:color="auto"/>
                <w:left w:val="none" w:sz="0" w:space="0" w:color="auto"/>
                <w:bottom w:val="none" w:sz="0" w:space="0" w:color="auto"/>
                <w:right w:val="none" w:sz="0" w:space="0" w:color="auto"/>
              </w:divBdr>
              <w:divsChild>
                <w:div w:id="882450231">
                  <w:marLeft w:val="0"/>
                  <w:marRight w:val="0"/>
                  <w:marTop w:val="0"/>
                  <w:marBottom w:val="0"/>
                  <w:divBdr>
                    <w:top w:val="none" w:sz="0" w:space="0" w:color="auto"/>
                    <w:left w:val="none" w:sz="0" w:space="0" w:color="auto"/>
                    <w:bottom w:val="none" w:sz="0" w:space="0" w:color="auto"/>
                    <w:right w:val="none" w:sz="0" w:space="0" w:color="auto"/>
                  </w:divBdr>
                </w:div>
              </w:divsChild>
            </w:div>
            <w:div w:id="576130433">
              <w:marLeft w:val="0"/>
              <w:marRight w:val="0"/>
              <w:marTop w:val="0"/>
              <w:marBottom w:val="0"/>
              <w:divBdr>
                <w:top w:val="none" w:sz="0" w:space="0" w:color="auto"/>
                <w:left w:val="none" w:sz="0" w:space="0" w:color="auto"/>
                <w:bottom w:val="none" w:sz="0" w:space="0" w:color="auto"/>
                <w:right w:val="none" w:sz="0" w:space="0" w:color="auto"/>
              </w:divBdr>
              <w:divsChild>
                <w:div w:id="73683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kawamura@atmos.rcast.u-tokyo.ac.jp)" TargetMode="External"/><Relationship Id="rId13" Type="http://schemas.openxmlformats.org/officeDocument/2006/relationships/hyperlink" Target="https://diasjp.net/en/service/d4pdf-data-download/"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psl.noaa.gov/data/gridded/data.cobe2.html"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doi.org/10.24381/cds.6860a57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custom_word">
      <a:majorFont>
        <a:latin typeface="Helvetica Neue Medium"/>
        <a:ea typeface="ヒラギノ角ゴシック W6"/>
        <a:cs typeface=""/>
      </a:majorFont>
      <a:minorFont>
        <a:latin typeface="Times New Roman"/>
        <a:ea typeface="ヒラギノ明朝 ProN W3"/>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DC4D7-3D57-5D46-9316-EFE32CB6E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3627</TotalTime>
  <Pages>13</Pages>
  <Words>19647</Words>
  <Characters>111991</Characters>
  <Application>Microsoft Office Word</Application>
  <DocSecurity>0</DocSecurity>
  <Lines>933</Lines>
  <Paragraphs>262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131376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川村　岳</cp:lastModifiedBy>
  <cp:revision>311</cp:revision>
  <dcterms:created xsi:type="dcterms:W3CDTF">2024-07-29T05:05:00Z</dcterms:created>
  <dcterms:modified xsi:type="dcterms:W3CDTF">2024-10-18T09:21:00Z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zotero-version="6.0.37"&gt;&lt;session id="hK7q9LF4"/&gt;&lt;style id="http://www.zotero.org/styles/geophysical-research-letters" hasBibliography="1" bibliographyStyleHasBeenSet="1"/&gt;&lt;prefs&gt;&lt;pref name="fieldType" value="Field"/&gt;&lt;pref name="auto</vt:lpwstr>
  </property>
  <property fmtid="{D5CDD505-2E9C-101B-9397-08002B2CF9AE}" pid="3" name="ZOTERO_PREF_2">
    <vt:lpwstr>maticJournalAbbreviations" value="true"/&gt;&lt;/prefs&gt;&lt;/data&gt;</vt:lpwstr>
  </property>
</Properties>
</file>