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46EE5F" w14:textId="77777777" w:rsidR="0073619D" w:rsidRPr="00E47BC3" w:rsidRDefault="0073619D">
      <w:pPr>
        <w:jc w:val="left"/>
        <w:rPr>
          <w:rFonts w:ascii="Times New Roman" w:hAnsi="Times New Roman" w:cs="Times New Roman"/>
          <w:b/>
          <w:bCs/>
        </w:rPr>
        <w:sectPr w:rsidR="0073619D" w:rsidRPr="00E47BC3" w:rsidSect="00F90CE8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Hlk177137579"/>
      <w:bookmarkStart w:id="1" w:name="_GoBack"/>
    </w:p>
    <w:p w14:paraId="61422B93" w14:textId="53529AE0" w:rsidR="0073619D" w:rsidRPr="00E47BC3" w:rsidRDefault="0073619D" w:rsidP="00E82865">
      <w:pPr>
        <w:jc w:val="left"/>
        <w:rPr>
          <w:rFonts w:ascii="Times New Roman" w:hAnsi="Times New Roman" w:cs="Times New Roman"/>
          <w:b/>
          <w:sz w:val="28"/>
          <w:szCs w:val="24"/>
        </w:rPr>
      </w:pPr>
      <w:bookmarkStart w:id="2" w:name="_Hlk166854797"/>
      <w:r w:rsidRPr="00E47BC3">
        <w:rPr>
          <w:rFonts w:ascii="Times New Roman" w:hAnsi="Times New Roman" w:cs="Times New Roman"/>
          <w:b/>
          <w:sz w:val="24"/>
        </w:rPr>
        <w:t xml:space="preserve">Table 2. Comparison </w:t>
      </w:r>
      <w:r w:rsidR="001159A7" w:rsidRPr="00E47BC3">
        <w:rPr>
          <w:rFonts w:ascii="Times New Roman" w:hAnsi="Times New Roman" w:cs="Times New Roman"/>
          <w:b/>
          <w:sz w:val="24"/>
        </w:rPr>
        <w:t xml:space="preserve">of </w:t>
      </w:r>
      <w:r w:rsidRPr="00E47BC3">
        <w:rPr>
          <w:rFonts w:ascii="Times New Roman" w:hAnsi="Times New Roman" w:cs="Times New Roman"/>
          <w:b/>
          <w:sz w:val="24"/>
        </w:rPr>
        <w:t>clinical characteristics of children with CF between trajectory groups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6"/>
        <w:gridCol w:w="1243"/>
        <w:gridCol w:w="1243"/>
        <w:gridCol w:w="1243"/>
        <w:gridCol w:w="1243"/>
        <w:gridCol w:w="904"/>
      </w:tblGrid>
      <w:tr w:rsidR="00E47BC3" w:rsidRPr="00E47BC3" w14:paraId="2227B29A" w14:textId="77777777" w:rsidTr="007C1991">
        <w:trPr>
          <w:trHeight w:val="582"/>
          <w:tblHeader/>
        </w:trPr>
        <w:tc>
          <w:tcPr>
            <w:tcW w:w="17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8E9CA4" w14:textId="77777777" w:rsidR="0073619D" w:rsidRPr="00E47BC3" w:rsidRDefault="0073619D" w:rsidP="007C19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Characteristics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1C0B2E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Overall (N=779)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E5C81D" w14:textId="77777777" w:rsidR="0073619D" w:rsidRPr="00E47BC3" w:rsidRDefault="0073619D" w:rsidP="007C1991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Group “low” (N=553)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3AE9A8" w14:textId="77777777" w:rsidR="0073619D" w:rsidRPr="00E47BC3" w:rsidRDefault="0073619D" w:rsidP="007C1991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Group “high” (N=200)</w:t>
            </w:r>
          </w:p>
        </w:tc>
        <w:tc>
          <w:tcPr>
            <w:tcW w:w="6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22CC3E" w14:textId="77777777" w:rsidR="0073619D" w:rsidRPr="00E47BC3" w:rsidRDefault="0073619D" w:rsidP="007C1991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Group “highest” (N=26)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0223E4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P-value</w:t>
            </w:r>
          </w:p>
        </w:tc>
      </w:tr>
      <w:tr w:rsidR="00E47BC3" w:rsidRPr="00E47BC3" w14:paraId="28339BBD" w14:textId="77777777" w:rsidTr="007C1991">
        <w:trPr>
          <w:trHeight w:val="282"/>
        </w:trPr>
        <w:tc>
          <w:tcPr>
            <w:tcW w:w="176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7FB9070" w14:textId="41DCD82C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Gender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8E1185E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E709568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02086A8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ADAA6A2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137794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47BC3" w:rsidRPr="00E47BC3" w14:paraId="2D004B3C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  <w:hideMark/>
          </w:tcPr>
          <w:p w14:paraId="5EEA756E" w14:textId="77777777" w:rsidR="0073619D" w:rsidRPr="00E47BC3" w:rsidRDefault="0073619D" w:rsidP="007C1991">
            <w:pPr>
              <w:spacing w:after="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Male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63A7D9A5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385 (49.4%)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3955833B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280 (50.6%)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209844AE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94 (47.0%)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0C8F7D50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11 (42.3%)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77C71F14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0.517</w:t>
            </w:r>
          </w:p>
        </w:tc>
      </w:tr>
      <w:tr w:rsidR="00E47BC3" w:rsidRPr="00E47BC3" w14:paraId="6EE45FFD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  <w:hideMark/>
          </w:tcPr>
          <w:p w14:paraId="7F531822" w14:textId="77777777" w:rsidR="0073619D" w:rsidRPr="00E47BC3" w:rsidRDefault="0073619D" w:rsidP="007C1991">
            <w:pPr>
              <w:spacing w:after="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Female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31D1BA4D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394 (50.6%)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55E4EFD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273 (49.4%)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4AD10894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106 (53.0%)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504305EF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15 (57.7%)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3647787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BC3" w:rsidRPr="00E47BC3" w14:paraId="6EA2E6D8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  <w:hideMark/>
          </w:tcPr>
          <w:p w14:paraId="4A435E0D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Circumstances of CF diagnosis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157BFD5B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50B33D5C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0745E032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1EB6959D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5D966B65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47BC3" w:rsidRPr="00E47BC3" w14:paraId="41E3FB52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  <w:hideMark/>
          </w:tcPr>
          <w:p w14:paraId="7A7ECE8C" w14:textId="77777777" w:rsidR="0073619D" w:rsidRPr="00E47BC3" w:rsidRDefault="0073619D" w:rsidP="007C1991">
            <w:pPr>
              <w:spacing w:after="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Newborn screening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6DC6C838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601 (77.2%)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7DFBF3D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437 (79.0%)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45C59349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144 (72.0%)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47B022D3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20 (76.9%)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4B34C12F" w14:textId="00854D26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 0.300</w:t>
            </w:r>
            <w:r w:rsidR="001A4EE0" w:rsidRPr="00E47BC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</w:tr>
      <w:tr w:rsidR="00E47BC3" w:rsidRPr="00E47BC3" w14:paraId="3FD8315F" w14:textId="77777777" w:rsidTr="007C1991">
        <w:trPr>
          <w:trHeight w:val="270"/>
        </w:trPr>
        <w:tc>
          <w:tcPr>
            <w:tcW w:w="1762" w:type="pct"/>
            <w:shd w:val="clear" w:color="auto" w:fill="auto"/>
            <w:vAlign w:val="center"/>
            <w:hideMark/>
          </w:tcPr>
          <w:p w14:paraId="622D4B0F" w14:textId="77777777" w:rsidR="0073619D" w:rsidRPr="00E47BC3" w:rsidRDefault="0073619D" w:rsidP="007C1991">
            <w:pPr>
              <w:spacing w:after="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Meconium ileus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7EA56938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101 (13.0%)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2AC28354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66 (11.9%)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0334FC45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33 (16.5%)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22BE92DF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&lt;11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04154A83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BC3" w:rsidRPr="00E47BC3" w14:paraId="48839AA5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  <w:hideMark/>
          </w:tcPr>
          <w:p w14:paraId="63EAE2AD" w14:textId="77777777" w:rsidR="0073619D" w:rsidRPr="00E47BC3" w:rsidRDefault="0073619D" w:rsidP="007C1991">
            <w:pPr>
              <w:spacing w:after="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Symptoms-based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4506E688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38 (4.9%)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34C6C786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26 (4.7%)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48E12A88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&lt;11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01298EDC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&lt;11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325A2D2B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BC3" w:rsidRPr="00E47BC3" w14:paraId="22DDA010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  <w:hideMark/>
          </w:tcPr>
          <w:p w14:paraId="7BD090FB" w14:textId="77777777" w:rsidR="0073619D" w:rsidRPr="00E47BC3" w:rsidRDefault="0073619D" w:rsidP="007C1991">
            <w:pPr>
              <w:spacing w:after="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Antenatal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0B56D809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39 (5.0%)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1DAA85A6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24 (4.3%)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31D5E382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13 (6.5%)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7585C086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&lt;11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2737CDC4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BC3" w:rsidRPr="00E47BC3" w14:paraId="09DF0FC4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  <w:hideMark/>
          </w:tcPr>
          <w:p w14:paraId="2B5240B5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CFTR mutations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0D8930C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63201D26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620B2E1E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61F523A4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1465364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47BC3" w:rsidRPr="00E47BC3" w14:paraId="5CF197C0" w14:textId="77777777" w:rsidTr="007C1991">
        <w:trPr>
          <w:trHeight w:val="270"/>
        </w:trPr>
        <w:tc>
          <w:tcPr>
            <w:tcW w:w="1762" w:type="pct"/>
            <w:shd w:val="clear" w:color="auto" w:fill="auto"/>
            <w:vAlign w:val="center"/>
            <w:hideMark/>
          </w:tcPr>
          <w:p w14:paraId="4D6C95DD" w14:textId="77777777" w:rsidR="0073619D" w:rsidRPr="00E47BC3" w:rsidRDefault="0073619D" w:rsidP="007C1991">
            <w:pPr>
              <w:spacing w:after="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F508del/F508del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59BE19F2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308 (39.5%)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6CF650DF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215 (38.9%)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408973CC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80 (40.0%)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742C2B74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13 (50.0%)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5D8BF2E1" w14:textId="14ED688C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0.391</w:t>
            </w:r>
            <w:r w:rsidR="001A4EE0" w:rsidRPr="00E47BC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</w:tr>
      <w:tr w:rsidR="00E47BC3" w:rsidRPr="00E47BC3" w14:paraId="2A2E7887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  <w:hideMark/>
          </w:tcPr>
          <w:p w14:paraId="3B577DD0" w14:textId="77777777" w:rsidR="0073619D" w:rsidRPr="00E47BC3" w:rsidRDefault="0073619D" w:rsidP="007C1991">
            <w:pPr>
              <w:spacing w:after="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F508del/Other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26825EF8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332 (42.6%)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728211BA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243 (43.9%)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02EF1146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79 (39.5%)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287651EB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&lt;11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5E3173A5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BC3" w:rsidRPr="00E47BC3" w14:paraId="71136227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</w:tcPr>
          <w:p w14:paraId="53D2A8FC" w14:textId="77777777" w:rsidR="0073619D" w:rsidRPr="00E47BC3" w:rsidRDefault="0073619D" w:rsidP="007C1991">
            <w:pPr>
              <w:spacing w:after="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F508del/Gating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53A9B27F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" w:hAnsi="Times" w:cs="Times"/>
                <w:sz w:val="20"/>
                <w:szCs w:val="20"/>
              </w:rPr>
              <w:t>&lt;11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031A202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" w:hAnsi="Times" w:cs="Times"/>
                <w:sz w:val="20"/>
                <w:szCs w:val="20"/>
              </w:rPr>
              <w:t>&lt;11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7B20E178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" w:hAnsi="Times" w:cs="Times"/>
                <w:sz w:val="20"/>
                <w:szCs w:val="20"/>
              </w:rPr>
              <w:t>0 (0%)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776A205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" w:hAnsi="Times" w:cs="Times"/>
                <w:sz w:val="20"/>
                <w:szCs w:val="20"/>
              </w:rPr>
              <w:t>0 (0%)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5D32632B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BC3" w:rsidRPr="00E47BC3" w14:paraId="0254088B" w14:textId="77777777" w:rsidTr="00755C3F">
        <w:trPr>
          <w:trHeight w:val="282"/>
        </w:trPr>
        <w:tc>
          <w:tcPr>
            <w:tcW w:w="1762" w:type="pct"/>
            <w:shd w:val="clear" w:color="auto" w:fill="auto"/>
            <w:vAlign w:val="center"/>
          </w:tcPr>
          <w:p w14:paraId="0FA963D6" w14:textId="77777777" w:rsidR="0073619D" w:rsidRPr="00E47BC3" w:rsidRDefault="0073619D" w:rsidP="007C1991">
            <w:pPr>
              <w:spacing w:after="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685" w:type="pct"/>
            <w:tcBorders>
              <w:top w:val="nil"/>
              <w:bottom w:val="nil"/>
            </w:tcBorders>
            <w:shd w:val="solid" w:color="FFFFFF" w:fill="auto"/>
          </w:tcPr>
          <w:p w14:paraId="7067D158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" w:hAnsi="Times" w:cs="Times"/>
                <w:sz w:val="20"/>
                <w:szCs w:val="20"/>
              </w:rPr>
              <w:t>132 (16,9%)</w:t>
            </w:r>
          </w:p>
        </w:tc>
        <w:tc>
          <w:tcPr>
            <w:tcW w:w="685" w:type="pct"/>
            <w:tcBorders>
              <w:top w:val="nil"/>
              <w:bottom w:val="nil"/>
            </w:tcBorders>
            <w:shd w:val="solid" w:color="FFFFFF" w:fill="auto"/>
          </w:tcPr>
          <w:p w14:paraId="59D71D8B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" w:hAnsi="Times" w:cs="Times"/>
                <w:sz w:val="20"/>
                <w:szCs w:val="20"/>
              </w:rPr>
              <w:t>88 (15,9%)</w:t>
            </w:r>
          </w:p>
        </w:tc>
        <w:tc>
          <w:tcPr>
            <w:tcW w:w="685" w:type="pct"/>
            <w:tcBorders>
              <w:top w:val="nil"/>
              <w:bottom w:val="nil"/>
            </w:tcBorders>
            <w:shd w:val="solid" w:color="FFFFFF" w:fill="auto"/>
          </w:tcPr>
          <w:p w14:paraId="2C955203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" w:hAnsi="Times" w:cs="Times"/>
                <w:sz w:val="20"/>
                <w:szCs w:val="20"/>
              </w:rPr>
              <w:t>41 (20,5%)</w:t>
            </w:r>
          </w:p>
        </w:tc>
        <w:tc>
          <w:tcPr>
            <w:tcW w:w="685" w:type="pct"/>
            <w:tcBorders>
              <w:top w:val="nil"/>
              <w:bottom w:val="nil"/>
            </w:tcBorders>
            <w:shd w:val="solid" w:color="FFFFFF" w:fill="auto"/>
          </w:tcPr>
          <w:p w14:paraId="777801DF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" w:hAnsi="Times" w:cs="Times"/>
                <w:sz w:val="20"/>
                <w:szCs w:val="20"/>
              </w:rPr>
              <w:t>&lt;11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51ECBE79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BC3" w:rsidRPr="00E47BC3" w14:paraId="5AE40276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</w:tcPr>
          <w:p w14:paraId="6BE45590" w14:textId="72D0901C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Anthropometrics</w:t>
            </w:r>
            <w:r w:rsidR="00B6547E"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1B36196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9B37D1A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5D31E79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F44BB23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5ACBE383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BC3" w:rsidRPr="00E47BC3" w14:paraId="1DBB3B20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</w:tcPr>
          <w:p w14:paraId="783F5BF4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Cs/>
                <w:sz w:val="20"/>
                <w:szCs w:val="20"/>
              </w:rPr>
              <w:t>Weight z-score, at 2 y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1B79FD8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-0.6 (1.1)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6C7BF337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-0.5 (1.0)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6A2E6556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-0.7 (1.2)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10F284DD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-1.2 (1.6)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42DFC5FC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0.014</w:t>
            </w:r>
          </w:p>
        </w:tc>
      </w:tr>
      <w:tr w:rsidR="00E47BC3" w:rsidRPr="00E47BC3" w14:paraId="72845D74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</w:tcPr>
          <w:p w14:paraId="32D807A7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Cs/>
                <w:sz w:val="20"/>
                <w:szCs w:val="20"/>
              </w:rPr>
              <w:t>Weight z-score, at 6 y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24AA6105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-0.4 (1.0)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758BE0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-0.4 (1.0)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627E0740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-0.5 (1.0)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17E908C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-0.6 (0.7)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62019A2B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0.163</w:t>
            </w:r>
          </w:p>
        </w:tc>
      </w:tr>
      <w:tr w:rsidR="00E47BC3" w:rsidRPr="00E47BC3" w14:paraId="2A4C5329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</w:tcPr>
          <w:p w14:paraId="5B02125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Cs/>
                <w:sz w:val="20"/>
                <w:szCs w:val="20"/>
              </w:rPr>
              <w:t>Weight z-score, at 10 y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79858BE8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-0.5 (1.0)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1355455C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-0.5 (1.0)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9529A7C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-0.6 (1.0)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0FD6C8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-1.0 (0.7)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15384218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0.05</w:t>
            </w:r>
          </w:p>
        </w:tc>
      </w:tr>
      <w:tr w:rsidR="00E47BC3" w:rsidRPr="00E47BC3" w14:paraId="7A14053A" w14:textId="77777777" w:rsidTr="00755C3F">
        <w:trPr>
          <w:trHeight w:val="282"/>
        </w:trPr>
        <w:tc>
          <w:tcPr>
            <w:tcW w:w="1762" w:type="pct"/>
            <w:shd w:val="clear" w:color="auto" w:fill="auto"/>
            <w:vAlign w:val="center"/>
          </w:tcPr>
          <w:p w14:paraId="4D1F12F7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47BC3">
              <w:rPr>
                <w:rFonts w:ascii="Times New Roman" w:hAnsi="Times New Roman" w:cs="Times New Roman"/>
                <w:bCs/>
                <w:sz w:val="20"/>
                <w:szCs w:val="20"/>
              </w:rPr>
              <w:t>Height z-score at 2 y</w:t>
            </w:r>
          </w:p>
        </w:tc>
        <w:tc>
          <w:tcPr>
            <w:tcW w:w="685" w:type="pct"/>
            <w:tcBorders>
              <w:left w:val="nil"/>
              <w:right w:val="nil"/>
            </w:tcBorders>
            <w:shd w:val="clear" w:color="000000" w:fill="FFFFFF"/>
            <w:vAlign w:val="center"/>
          </w:tcPr>
          <w:p w14:paraId="3C275F5E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-0.3 (1.0)</w:t>
            </w:r>
          </w:p>
        </w:tc>
        <w:tc>
          <w:tcPr>
            <w:tcW w:w="685" w:type="pct"/>
            <w:tcBorders>
              <w:left w:val="nil"/>
              <w:right w:val="nil"/>
            </w:tcBorders>
            <w:shd w:val="clear" w:color="000000" w:fill="FFFFFF"/>
            <w:vAlign w:val="center"/>
          </w:tcPr>
          <w:p w14:paraId="4D825BD6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-0.3 (1.0)</w:t>
            </w:r>
          </w:p>
        </w:tc>
        <w:tc>
          <w:tcPr>
            <w:tcW w:w="685" w:type="pct"/>
            <w:tcBorders>
              <w:left w:val="nil"/>
              <w:right w:val="nil"/>
            </w:tcBorders>
            <w:shd w:val="clear" w:color="000000" w:fill="FFFFFF"/>
            <w:vAlign w:val="center"/>
          </w:tcPr>
          <w:p w14:paraId="1D09ED8C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-0.3 (1.2)</w:t>
            </w:r>
          </w:p>
        </w:tc>
        <w:tc>
          <w:tcPr>
            <w:tcW w:w="685" w:type="pct"/>
            <w:tcBorders>
              <w:left w:val="nil"/>
              <w:right w:val="nil"/>
            </w:tcBorders>
            <w:shd w:val="clear" w:color="000000" w:fill="FFFFFF"/>
            <w:vAlign w:val="center"/>
          </w:tcPr>
          <w:p w14:paraId="20EACE4E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-0.8 (1.2)</w:t>
            </w:r>
          </w:p>
        </w:tc>
        <w:tc>
          <w:tcPr>
            <w:tcW w:w="498" w:type="pct"/>
            <w:tcBorders>
              <w:left w:val="nil"/>
              <w:right w:val="nil"/>
            </w:tcBorders>
            <w:shd w:val="clear" w:color="000000" w:fill="FFFFFF"/>
            <w:vAlign w:val="center"/>
          </w:tcPr>
          <w:p w14:paraId="6AF953E2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0.134</w:t>
            </w:r>
          </w:p>
        </w:tc>
      </w:tr>
      <w:tr w:rsidR="00E47BC3" w:rsidRPr="00E47BC3" w14:paraId="2A589C78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</w:tcPr>
          <w:p w14:paraId="6D197349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Height z-score at 6 y </w:t>
            </w:r>
          </w:p>
        </w:tc>
        <w:tc>
          <w:tcPr>
            <w:tcW w:w="685" w:type="pct"/>
            <w:shd w:val="clear" w:color="auto" w:fill="auto"/>
          </w:tcPr>
          <w:p w14:paraId="0468A30C" w14:textId="429B17E1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-0.2 (1.0)</w:t>
            </w:r>
          </w:p>
        </w:tc>
        <w:tc>
          <w:tcPr>
            <w:tcW w:w="685" w:type="pct"/>
            <w:shd w:val="clear" w:color="auto" w:fill="auto"/>
          </w:tcPr>
          <w:p w14:paraId="3D43A9A6" w14:textId="56B319B3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-0.2 (1.0)</w:t>
            </w:r>
          </w:p>
        </w:tc>
        <w:tc>
          <w:tcPr>
            <w:tcW w:w="685" w:type="pct"/>
            <w:shd w:val="clear" w:color="auto" w:fill="auto"/>
          </w:tcPr>
          <w:p w14:paraId="67D0182C" w14:textId="4FEB2B0B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-0.2 (1.0)</w:t>
            </w:r>
          </w:p>
        </w:tc>
        <w:tc>
          <w:tcPr>
            <w:tcW w:w="685" w:type="pct"/>
            <w:shd w:val="clear" w:color="auto" w:fill="auto"/>
          </w:tcPr>
          <w:p w14:paraId="353C4C24" w14:textId="0A5581EB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-0.6 (0.9)</w:t>
            </w:r>
          </w:p>
        </w:tc>
        <w:tc>
          <w:tcPr>
            <w:tcW w:w="498" w:type="pct"/>
            <w:shd w:val="clear" w:color="auto" w:fill="auto"/>
          </w:tcPr>
          <w:p w14:paraId="6541DA17" w14:textId="0D65BE8F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0.182</w:t>
            </w:r>
          </w:p>
        </w:tc>
      </w:tr>
      <w:tr w:rsidR="00E47BC3" w:rsidRPr="00E47BC3" w14:paraId="31E0DA71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</w:tcPr>
          <w:p w14:paraId="24776197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Cs/>
                <w:sz w:val="20"/>
                <w:szCs w:val="20"/>
              </w:rPr>
              <w:t>Height z-score at 10 y</w:t>
            </w:r>
          </w:p>
        </w:tc>
        <w:tc>
          <w:tcPr>
            <w:tcW w:w="685" w:type="pct"/>
            <w:shd w:val="clear" w:color="auto" w:fill="auto"/>
          </w:tcPr>
          <w:p w14:paraId="12E7A7F6" w14:textId="6D1560CF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-0.4 (1.0)</w:t>
            </w:r>
          </w:p>
        </w:tc>
        <w:tc>
          <w:tcPr>
            <w:tcW w:w="685" w:type="pct"/>
            <w:shd w:val="clear" w:color="auto" w:fill="auto"/>
          </w:tcPr>
          <w:p w14:paraId="5C23547E" w14:textId="0D8C741B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-0.3 (0.9)</w:t>
            </w:r>
          </w:p>
        </w:tc>
        <w:tc>
          <w:tcPr>
            <w:tcW w:w="685" w:type="pct"/>
            <w:shd w:val="clear" w:color="auto" w:fill="auto"/>
          </w:tcPr>
          <w:p w14:paraId="526D5497" w14:textId="4ED3C949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-0.4 (1.0)</w:t>
            </w:r>
          </w:p>
        </w:tc>
        <w:tc>
          <w:tcPr>
            <w:tcW w:w="685" w:type="pct"/>
            <w:shd w:val="clear" w:color="auto" w:fill="auto"/>
          </w:tcPr>
          <w:p w14:paraId="4753177F" w14:textId="301E3CF8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-0.9 (0.9)</w:t>
            </w:r>
          </w:p>
        </w:tc>
        <w:tc>
          <w:tcPr>
            <w:tcW w:w="498" w:type="pct"/>
            <w:shd w:val="clear" w:color="auto" w:fill="auto"/>
          </w:tcPr>
          <w:p w14:paraId="59B93987" w14:textId="1315B6AF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0.022</w:t>
            </w:r>
          </w:p>
        </w:tc>
      </w:tr>
      <w:tr w:rsidR="00E47BC3" w:rsidRPr="00E47BC3" w14:paraId="3F35C2F3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</w:tcPr>
          <w:p w14:paraId="1A28F832" w14:textId="463571ED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sz w:val="20"/>
                <w:szCs w:val="20"/>
              </w:rPr>
              <w:t>Pulmonary function tests</w:t>
            </w:r>
            <w:r w:rsidR="00B6547E" w:rsidRPr="00E47BC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0C65328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4370F9D3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602CFAC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389C958E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14:paraId="6A224173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BC3" w:rsidRPr="00E47BC3" w14:paraId="12192171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</w:tcPr>
          <w:p w14:paraId="0C84CCE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%pred FEV</w:t>
            </w:r>
            <w:r w:rsidRPr="00E47BC3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 xml:space="preserve"> at 6 y 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5DB49D17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102.0 (17.8)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74FB74E3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103.3 (17.1)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6DC01A2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100.4 (19.3)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7DB752F4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89.7 (16.9)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7CF65B4A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</w:tr>
      <w:tr w:rsidR="00E47BC3" w:rsidRPr="00E47BC3" w14:paraId="7709F621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</w:tcPr>
          <w:p w14:paraId="6924B3C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%pred FEV</w:t>
            </w:r>
            <w:r w:rsidRPr="00E47BC3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 xml:space="preserve"> at 10 y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010ECCC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98.5 (16.8)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64592759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100.5 (14.8)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B4767FC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95.4 (19.0)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D6D028B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73.1 (20.1)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2A0759BA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&lt;0.0001</w:t>
            </w:r>
          </w:p>
        </w:tc>
      </w:tr>
      <w:tr w:rsidR="00E47BC3" w:rsidRPr="00E47BC3" w14:paraId="55440E27" w14:textId="77777777" w:rsidTr="007C1991">
        <w:trPr>
          <w:trHeight w:val="282"/>
        </w:trPr>
        <w:tc>
          <w:tcPr>
            <w:tcW w:w="1762" w:type="pct"/>
            <w:shd w:val="clear" w:color="auto" w:fill="BFBFBF" w:themeFill="background1" w:themeFillShade="BF"/>
            <w:vAlign w:val="center"/>
          </w:tcPr>
          <w:p w14:paraId="54344DB8" w14:textId="2C1B1A10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sz w:val="20"/>
                <w:szCs w:val="20"/>
              </w:rPr>
              <w:t>Comorbidities over 10 years</w:t>
            </w:r>
            <w:r w:rsidR="00B6547E" w:rsidRPr="00E47BC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685" w:type="pct"/>
            <w:shd w:val="clear" w:color="auto" w:fill="BFBFBF" w:themeFill="background1" w:themeFillShade="BF"/>
            <w:vAlign w:val="center"/>
          </w:tcPr>
          <w:p w14:paraId="75965DE3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BFBFBF" w:themeFill="background1" w:themeFillShade="BF"/>
            <w:vAlign w:val="center"/>
          </w:tcPr>
          <w:p w14:paraId="249CC9B3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BFBFBF" w:themeFill="background1" w:themeFillShade="BF"/>
            <w:vAlign w:val="center"/>
          </w:tcPr>
          <w:p w14:paraId="2DF291CC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BFBFBF" w:themeFill="background1" w:themeFillShade="BF"/>
            <w:vAlign w:val="center"/>
          </w:tcPr>
          <w:p w14:paraId="4DD01AAC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shd w:val="clear" w:color="auto" w:fill="BFBFBF" w:themeFill="background1" w:themeFillShade="BF"/>
            <w:vAlign w:val="center"/>
          </w:tcPr>
          <w:p w14:paraId="439C10FA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BC3" w:rsidRPr="00E47BC3" w14:paraId="57FB4144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</w:tcPr>
          <w:p w14:paraId="2EDFC503" w14:textId="012EFC80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Pancreatic insufficiency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5995CB92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693 (89.0%)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62AF84D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473 (85.5%)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2872B88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195 (97.5%)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169DBF93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25 (96.2%)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3CCB229A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&lt;0.0001</w:t>
            </w:r>
          </w:p>
        </w:tc>
      </w:tr>
      <w:tr w:rsidR="00E47BC3" w:rsidRPr="00E47BC3" w14:paraId="332CBACA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</w:tcPr>
          <w:p w14:paraId="5D03A6F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Distal intestinal obstruction syndrome occurrence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70285233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96 (12.3%)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55E668E2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69 (12.5%)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35297C6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26 (13.0%)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1295291A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&lt;11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7F567753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0.401</w:t>
            </w:r>
          </w:p>
        </w:tc>
      </w:tr>
      <w:tr w:rsidR="00E47BC3" w:rsidRPr="00E47BC3" w14:paraId="77AD372E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</w:tcPr>
          <w:p w14:paraId="5606B92A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CF-related liver disease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5AFA5BAB" w14:textId="1017DD60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107 (13.7%)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519BA00A" w14:textId="7E946EEF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70 (12.7%)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5A576F35" w14:textId="1F70B678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34 (17.0%)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67521A58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&lt;11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53C996DB" w14:textId="4214E5F2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0.294</w:t>
            </w:r>
          </w:p>
        </w:tc>
      </w:tr>
      <w:tr w:rsidR="00E47BC3" w:rsidRPr="00E47BC3" w14:paraId="27FBDC83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</w:tcPr>
          <w:p w14:paraId="4B2AE7EE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CF-related diabetes (treated or not with insulin)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81077FE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36 (4.6%)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AD81FA5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13 (2.4%)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1042C4A7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18 (9.0%)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6C7EE79F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&lt;11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5B88BE5D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&lt;0.0001</w:t>
            </w:r>
          </w:p>
        </w:tc>
      </w:tr>
      <w:tr w:rsidR="00E47BC3" w:rsidRPr="00E47BC3" w14:paraId="3532C44E" w14:textId="77777777" w:rsidTr="007C1991">
        <w:trPr>
          <w:trHeight w:val="282"/>
        </w:trPr>
        <w:tc>
          <w:tcPr>
            <w:tcW w:w="1762" w:type="pct"/>
            <w:shd w:val="clear" w:color="auto" w:fill="BFBFBF" w:themeFill="background1" w:themeFillShade="BF"/>
            <w:vAlign w:val="center"/>
          </w:tcPr>
          <w:p w14:paraId="0447688F" w14:textId="114A5D90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sz w:val="20"/>
                <w:szCs w:val="20"/>
              </w:rPr>
              <w:t>Microbiology over 10 years</w:t>
            </w:r>
            <w:r w:rsidR="001A4EE0" w:rsidRPr="00E47BC3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685" w:type="pct"/>
            <w:shd w:val="clear" w:color="auto" w:fill="BFBFBF" w:themeFill="background1" w:themeFillShade="BF"/>
            <w:vAlign w:val="center"/>
          </w:tcPr>
          <w:p w14:paraId="4282D6B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BFBFBF" w:themeFill="background1" w:themeFillShade="BF"/>
            <w:vAlign w:val="center"/>
          </w:tcPr>
          <w:p w14:paraId="30732C9A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BFBFBF" w:themeFill="background1" w:themeFillShade="BF"/>
            <w:vAlign w:val="center"/>
          </w:tcPr>
          <w:p w14:paraId="4D82E3CA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BFBFBF" w:themeFill="background1" w:themeFillShade="BF"/>
            <w:vAlign w:val="center"/>
          </w:tcPr>
          <w:p w14:paraId="3169A00A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8" w:type="pct"/>
            <w:shd w:val="clear" w:color="auto" w:fill="BFBFBF" w:themeFill="background1" w:themeFillShade="BF"/>
            <w:vAlign w:val="center"/>
          </w:tcPr>
          <w:p w14:paraId="3C2D6970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47BC3" w:rsidRPr="00E47BC3" w14:paraId="36CCD787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  <w:hideMark/>
          </w:tcPr>
          <w:p w14:paraId="77A1BD46" w14:textId="0B607AFA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Cs/>
                <w:sz w:val="20"/>
                <w:szCs w:val="20"/>
              </w:rPr>
              <w:t>Age at first PA colonization</w:t>
            </w:r>
            <w:r w:rsidR="001A4EE0" w:rsidRPr="00E47BC3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12E71793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3.4 (2.9)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468020AB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161774753"/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3.9 (3.1)</w:t>
            </w:r>
            <w:bookmarkEnd w:id="3"/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3C7217CA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2.7 (2.4)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000767CB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2.2 (1.7)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37258E32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&lt;0.0001</w:t>
            </w:r>
          </w:p>
        </w:tc>
      </w:tr>
      <w:tr w:rsidR="00E47BC3" w:rsidRPr="00E47BC3" w14:paraId="50B4D109" w14:textId="77777777" w:rsidTr="007C1991">
        <w:trPr>
          <w:trHeight w:val="267"/>
        </w:trPr>
        <w:tc>
          <w:tcPr>
            <w:tcW w:w="1762" w:type="pct"/>
            <w:shd w:val="clear" w:color="auto" w:fill="auto"/>
            <w:vAlign w:val="center"/>
            <w:hideMark/>
          </w:tcPr>
          <w:p w14:paraId="6B752278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 xml:space="preserve">Chronic </w:t>
            </w:r>
            <w:r w:rsidRPr="00E47BC3">
              <w:rPr>
                <w:rFonts w:ascii="Times New Roman" w:hAnsi="Times New Roman" w:cs="Times New Roman"/>
                <w:iCs/>
                <w:sz w:val="20"/>
                <w:szCs w:val="20"/>
              </w:rPr>
              <w:t>PA</w:t>
            </w: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 xml:space="preserve"> infection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07B839ED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103 (13.2%)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4192F4F7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33 (6.0%)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3DCC8697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57 (28.5%)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6A54270B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13 (50.0%)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396AC92F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&lt;0.0001</w:t>
            </w:r>
          </w:p>
        </w:tc>
      </w:tr>
      <w:tr w:rsidR="00E47BC3" w:rsidRPr="00E47BC3" w14:paraId="63A25134" w14:textId="77777777" w:rsidTr="007C1991">
        <w:trPr>
          <w:trHeight w:val="267"/>
        </w:trPr>
        <w:tc>
          <w:tcPr>
            <w:tcW w:w="1762" w:type="pct"/>
            <w:shd w:val="clear" w:color="auto" w:fill="auto"/>
            <w:vAlign w:val="center"/>
          </w:tcPr>
          <w:p w14:paraId="43C4329E" w14:textId="0F5A6F30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Hlk176533054"/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Allergic bronchopulmonary aspergillosis</w:t>
            </w:r>
            <w:bookmarkEnd w:id="4"/>
            <w:r w:rsidR="001A4EE0" w:rsidRPr="00E47BC3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 xml:space="preserve"> d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58D6A3E6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52 (6.7%)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D5A99DA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25 (4.5%)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57CD1E3B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23 (11.5%)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730D95B2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&lt;11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6B34CCD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E47BC3" w:rsidRPr="00E47BC3" w14:paraId="29BE3CE2" w14:textId="77777777" w:rsidTr="007C1991">
        <w:trPr>
          <w:trHeight w:val="267"/>
        </w:trPr>
        <w:tc>
          <w:tcPr>
            <w:tcW w:w="1762" w:type="pct"/>
            <w:shd w:val="clear" w:color="auto" w:fill="auto"/>
            <w:vAlign w:val="center"/>
            <w:hideMark/>
          </w:tcPr>
          <w:p w14:paraId="65122BA7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i/>
                <w:sz w:val="20"/>
                <w:szCs w:val="20"/>
              </w:rPr>
              <w:t>Haemophilus influenzae</w:t>
            </w: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 xml:space="preserve"> colonization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052197DD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692 (88.8%)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74CBA5DD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490 (88.6%)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43A71269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178 (89.0%)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7B7A1B2F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24 (92.3%)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1671E080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0.839</w:t>
            </w:r>
          </w:p>
        </w:tc>
      </w:tr>
      <w:tr w:rsidR="00E47BC3" w:rsidRPr="00E47BC3" w14:paraId="0BB474B1" w14:textId="77777777" w:rsidTr="007C1991">
        <w:trPr>
          <w:trHeight w:val="267"/>
        </w:trPr>
        <w:tc>
          <w:tcPr>
            <w:tcW w:w="1762" w:type="pct"/>
            <w:shd w:val="clear" w:color="auto" w:fill="auto"/>
            <w:vAlign w:val="center"/>
            <w:hideMark/>
          </w:tcPr>
          <w:p w14:paraId="02326E4A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i/>
                <w:sz w:val="20"/>
                <w:szCs w:val="20"/>
              </w:rPr>
              <w:t>Staphylococcus aureus</w:t>
            </w: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 xml:space="preserve"> colonization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63BDCB99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767 (98.5%)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033887B4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541 (97.8%)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2ABAA3B6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200 (100.0%)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5527541C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26 (100.0%)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60D2A297" w14:textId="1B6837EA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0.108</w:t>
            </w:r>
            <w:r w:rsidR="001A4EE0" w:rsidRPr="00E47BC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</w:tr>
      <w:tr w:rsidR="00E47BC3" w:rsidRPr="00E47BC3" w14:paraId="04037C2D" w14:textId="77777777" w:rsidTr="007C1991">
        <w:trPr>
          <w:trHeight w:val="282"/>
        </w:trPr>
        <w:tc>
          <w:tcPr>
            <w:tcW w:w="1762" w:type="pct"/>
            <w:shd w:val="clear" w:color="auto" w:fill="D9D9D9" w:themeFill="background1" w:themeFillShade="D9"/>
            <w:vAlign w:val="center"/>
            <w:hideMark/>
          </w:tcPr>
          <w:p w14:paraId="24ED6B1E" w14:textId="225DF220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Nebulized treatment prescribed over 10 years</w:t>
            </w:r>
            <w:r w:rsidR="001A4EE0" w:rsidRPr="00E47BC3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685" w:type="pct"/>
            <w:shd w:val="clear" w:color="auto" w:fill="D9D9D9" w:themeFill="background1" w:themeFillShade="D9"/>
            <w:vAlign w:val="center"/>
            <w:hideMark/>
          </w:tcPr>
          <w:p w14:paraId="433315F2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5" w:type="pct"/>
            <w:shd w:val="clear" w:color="auto" w:fill="D9D9D9" w:themeFill="background1" w:themeFillShade="D9"/>
            <w:vAlign w:val="center"/>
            <w:hideMark/>
          </w:tcPr>
          <w:p w14:paraId="19DDB9A9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5" w:type="pct"/>
            <w:shd w:val="clear" w:color="auto" w:fill="D9D9D9" w:themeFill="background1" w:themeFillShade="D9"/>
            <w:vAlign w:val="center"/>
            <w:hideMark/>
          </w:tcPr>
          <w:p w14:paraId="6A284C94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5" w:type="pct"/>
            <w:shd w:val="clear" w:color="auto" w:fill="D9D9D9" w:themeFill="background1" w:themeFillShade="D9"/>
            <w:vAlign w:val="center"/>
            <w:hideMark/>
          </w:tcPr>
          <w:p w14:paraId="270EAED9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8" w:type="pct"/>
            <w:shd w:val="clear" w:color="auto" w:fill="D9D9D9" w:themeFill="background1" w:themeFillShade="D9"/>
            <w:vAlign w:val="center"/>
            <w:hideMark/>
          </w:tcPr>
          <w:p w14:paraId="79566F94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47BC3" w:rsidRPr="00E47BC3" w14:paraId="2E2FCED4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  <w:hideMark/>
          </w:tcPr>
          <w:p w14:paraId="14BF841F" w14:textId="0835DDAF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176533061"/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Colistin</w:t>
            </w:r>
            <w:bookmarkEnd w:id="5"/>
            <w:r w:rsidR="001A4EE0" w:rsidRPr="00E47BC3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 xml:space="preserve"> d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123C4E77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139 (17.8%)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2E9ADD5C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50 (9.0%)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062AD9C2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75 (37.5%)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34F097F5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14 (53.9%)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0D02597D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&lt;0.0001</w:t>
            </w:r>
          </w:p>
        </w:tc>
      </w:tr>
      <w:tr w:rsidR="00E47BC3" w:rsidRPr="00E47BC3" w14:paraId="035FC22C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  <w:hideMark/>
          </w:tcPr>
          <w:p w14:paraId="7B1E5A40" w14:textId="1586359A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176533067"/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Tobramycin</w:t>
            </w:r>
            <w:bookmarkEnd w:id="6"/>
            <w:r w:rsidR="001A4EE0" w:rsidRPr="00E47BC3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 xml:space="preserve"> d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56795524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181 (23.2%)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07C424B7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92 (16.6%)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0AC143C5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79 (39.5%)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33519464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&lt;11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5BB6802A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&lt;0.0001</w:t>
            </w:r>
          </w:p>
        </w:tc>
      </w:tr>
      <w:tr w:rsidR="00E47BC3" w:rsidRPr="00E47BC3" w14:paraId="7603455C" w14:textId="77777777" w:rsidTr="007C1991">
        <w:trPr>
          <w:trHeight w:val="282"/>
        </w:trPr>
        <w:tc>
          <w:tcPr>
            <w:tcW w:w="176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A8CF94" w14:textId="58C3232B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RhDNase</w:t>
            </w:r>
            <w:r w:rsidR="001A4EE0" w:rsidRPr="00E47BC3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 xml:space="preserve"> e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302014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481 (61.8%)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F4B8BC3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320 (57.9%)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3D9247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145 (72.5%)</w:t>
            </w:r>
          </w:p>
        </w:tc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2190DA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16 (61.5%)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BEB3C3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</w:p>
        </w:tc>
      </w:tr>
      <w:tr w:rsidR="00E47BC3" w:rsidRPr="00E47BC3" w14:paraId="6B4DB3A2" w14:textId="77777777" w:rsidTr="007C1991">
        <w:trPr>
          <w:trHeight w:val="283"/>
        </w:trPr>
        <w:tc>
          <w:tcPr>
            <w:tcW w:w="1762" w:type="pct"/>
            <w:shd w:val="clear" w:color="auto" w:fill="D9D9D9" w:themeFill="background1" w:themeFillShade="D9"/>
            <w:vAlign w:val="center"/>
            <w:hideMark/>
          </w:tcPr>
          <w:p w14:paraId="7688CEA2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Intravenous (IV) antibiotic therapy use </w:t>
            </w:r>
          </w:p>
        </w:tc>
        <w:tc>
          <w:tcPr>
            <w:tcW w:w="685" w:type="pct"/>
            <w:shd w:val="clear" w:color="auto" w:fill="D9D9D9" w:themeFill="background1" w:themeFillShade="D9"/>
            <w:vAlign w:val="center"/>
            <w:hideMark/>
          </w:tcPr>
          <w:p w14:paraId="796C1290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5" w:type="pct"/>
            <w:shd w:val="clear" w:color="auto" w:fill="D9D9D9" w:themeFill="background1" w:themeFillShade="D9"/>
            <w:vAlign w:val="center"/>
            <w:hideMark/>
          </w:tcPr>
          <w:p w14:paraId="421105F0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5" w:type="pct"/>
            <w:shd w:val="clear" w:color="auto" w:fill="D9D9D9" w:themeFill="background1" w:themeFillShade="D9"/>
            <w:vAlign w:val="center"/>
            <w:hideMark/>
          </w:tcPr>
          <w:p w14:paraId="221DAA1F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5" w:type="pct"/>
            <w:shd w:val="clear" w:color="auto" w:fill="D9D9D9" w:themeFill="background1" w:themeFillShade="D9"/>
            <w:vAlign w:val="center"/>
            <w:hideMark/>
          </w:tcPr>
          <w:p w14:paraId="67142A3F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8" w:type="pct"/>
            <w:shd w:val="clear" w:color="auto" w:fill="D9D9D9" w:themeFill="background1" w:themeFillShade="D9"/>
            <w:vAlign w:val="center"/>
            <w:hideMark/>
          </w:tcPr>
          <w:p w14:paraId="0BA59B9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47BC3" w:rsidRPr="00E47BC3" w14:paraId="02CF3448" w14:textId="77777777" w:rsidTr="007C1991">
        <w:trPr>
          <w:trHeight w:val="283"/>
        </w:trPr>
        <w:tc>
          <w:tcPr>
            <w:tcW w:w="1762" w:type="pct"/>
            <w:shd w:val="clear" w:color="auto" w:fill="auto"/>
            <w:vAlign w:val="center"/>
          </w:tcPr>
          <w:p w14:paraId="1EF14344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During the sixth year of life 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28AE5375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42C47B7B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06C1FE92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5B4FD532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14:paraId="20B2B4CF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BC3" w:rsidRPr="00E47BC3" w14:paraId="5B9A26E0" w14:textId="77777777" w:rsidTr="007C1991">
        <w:trPr>
          <w:trHeight w:val="283"/>
        </w:trPr>
        <w:tc>
          <w:tcPr>
            <w:tcW w:w="1762" w:type="pct"/>
            <w:shd w:val="clear" w:color="auto" w:fill="auto"/>
            <w:vAlign w:val="center"/>
            <w:hideMark/>
          </w:tcPr>
          <w:p w14:paraId="621561C8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7" w:name="_Hlk161775025"/>
            <w:r w:rsidRPr="00E47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Occurrence of at least one IV therapy 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69551544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76 (9.8%)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001DB9DC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17 (3.1%)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0F6FCC78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40 (20.0%)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4F03DD2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19 (73.1%)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62471269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&lt;0.0001</w:t>
            </w:r>
          </w:p>
        </w:tc>
      </w:tr>
      <w:bookmarkEnd w:id="7"/>
      <w:tr w:rsidR="00E47BC3" w:rsidRPr="00E47BC3" w14:paraId="411B75BF" w14:textId="77777777" w:rsidTr="007C1991">
        <w:trPr>
          <w:trHeight w:val="283"/>
        </w:trPr>
        <w:tc>
          <w:tcPr>
            <w:tcW w:w="1762" w:type="pct"/>
            <w:shd w:val="clear" w:color="auto" w:fill="auto"/>
            <w:vAlign w:val="center"/>
            <w:hideMark/>
          </w:tcPr>
          <w:p w14:paraId="43D24C52" w14:textId="65A946E6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Cs/>
                <w:sz w:val="20"/>
                <w:szCs w:val="20"/>
              </w:rPr>
              <w:t>Mean IV therapies administered yearly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75C6C3AC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1.6 (0.9)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654D8E2D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1.1 (0.3)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6B54356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1.5 (0.7)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14:paraId="1890ACB2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2.3 (1.3)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013DF638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E47BC3" w:rsidRPr="00E47BC3" w14:paraId="330D11AE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</w:tcPr>
          <w:p w14:paraId="5580EB17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During the tenth year of life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DC7BA54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024414B7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08DB6F0D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14:paraId="653FEC89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shd w:val="clear" w:color="auto" w:fill="auto"/>
            <w:vAlign w:val="center"/>
          </w:tcPr>
          <w:p w14:paraId="6062380C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BC3" w:rsidRPr="00E47BC3" w14:paraId="0CE4246B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</w:tcPr>
          <w:p w14:paraId="176C1A94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Occurrence of at least one IV therapy 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2944557E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128 (16.4%)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3D907F51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48 (8.7%)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6B711745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64 (32.0%)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6C96B1E4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16 (61.5%)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6C337388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&lt;0.0001</w:t>
            </w:r>
          </w:p>
        </w:tc>
      </w:tr>
      <w:tr w:rsidR="00E47BC3" w:rsidRPr="00E47BC3" w14:paraId="2AD692AA" w14:textId="77777777" w:rsidTr="007C1991">
        <w:trPr>
          <w:trHeight w:val="282"/>
        </w:trPr>
        <w:tc>
          <w:tcPr>
            <w:tcW w:w="1762" w:type="pct"/>
            <w:shd w:val="clear" w:color="auto" w:fill="auto"/>
            <w:vAlign w:val="center"/>
          </w:tcPr>
          <w:p w14:paraId="2755C1AA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Mean IV therapies administered yearly 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1FF3515B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1.8 (1.3)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5484C52F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1.3 (0.6)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48D6D9A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1.8 (1.1)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40B25209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3.6 (2.1)</w:t>
            </w:r>
          </w:p>
        </w:tc>
        <w:tc>
          <w:tcPr>
            <w:tcW w:w="498" w:type="pct"/>
            <w:shd w:val="clear" w:color="auto" w:fill="auto"/>
            <w:vAlign w:val="center"/>
          </w:tcPr>
          <w:p w14:paraId="1401F9BD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&lt;0.0001</w:t>
            </w:r>
          </w:p>
        </w:tc>
      </w:tr>
      <w:tr w:rsidR="0073619D" w:rsidRPr="00E47BC3" w14:paraId="18CE04E8" w14:textId="77777777" w:rsidTr="007C1991">
        <w:trPr>
          <w:trHeight w:val="1305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256E1AD" w14:textId="51291ABC" w:rsidR="001A4EE0" w:rsidRPr="00E47BC3" w:rsidRDefault="001A4EE0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Abbreviations: PA: Pseudomonas aeruginosa</w:t>
            </w:r>
            <w:r w:rsidR="00987964" w:rsidRPr="00E47B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4C556C8" w14:textId="61C291EF" w:rsidR="0073619D" w:rsidRPr="00E47BC3" w:rsidRDefault="00987964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 xml:space="preserve">Data comes from the FCFR and </w:t>
            </w:r>
            <w:r w:rsidR="0073619D" w:rsidRPr="00E47BC3">
              <w:rPr>
                <w:rFonts w:ascii="Times New Roman" w:hAnsi="Times New Roman" w:cs="Times New Roman"/>
                <w:sz w:val="20"/>
                <w:szCs w:val="20"/>
              </w:rPr>
              <w:t xml:space="preserve">are presented as </w:t>
            </w:r>
            <w:r w:rsidR="001A4EE0" w:rsidRPr="00E47BC3">
              <w:rPr>
                <w:rFonts w:ascii="Times New Roman" w:hAnsi="Times New Roman" w:cs="Times New Roman"/>
                <w:sz w:val="20"/>
                <w:szCs w:val="20"/>
              </w:rPr>
              <w:t>mean (SD) or N(%).</w:t>
            </w: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 xml:space="preserve"> (Reviewer #2, Comments #2</w:t>
            </w:r>
            <w:r w:rsidR="00887EEA" w:rsidRPr="00E47BC3">
              <w:rPr>
                <w:rFonts w:ascii="Times New Roman" w:hAnsi="Times New Roman" w:cs="Times New Roman"/>
                <w:sz w:val="20"/>
                <w:szCs w:val="20"/>
              </w:rPr>
              <w:t xml:space="preserve">; Reviewer #2, Comment </w:t>
            </w: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#16)</w:t>
            </w:r>
          </w:p>
          <w:p w14:paraId="219EF406" w14:textId="4AE6A62C" w:rsidR="0073619D" w:rsidRPr="00E47BC3" w:rsidRDefault="00987964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The "&lt;11" designation is employed for statistical confidentiality, as figures below 11 typically should not be disclosed. Nevertheless, this restriction does not hinder the execution of comparison tests.</w:t>
            </w:r>
          </w:p>
          <w:p w14:paraId="6A045AF3" w14:textId="0D81B723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P value</w:t>
            </w:r>
            <w:r w:rsidR="001A4EE0" w:rsidRPr="00E47BC3">
              <w:rPr>
                <w:rFonts w:ascii="Times New Roman" w:hAnsi="Times New Roman" w:cs="Times New Roman"/>
                <w:sz w:val="20"/>
                <w:szCs w:val="20"/>
              </w:rPr>
              <w:t xml:space="preserve"> is for</w:t>
            </w: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 xml:space="preserve"> non-parametric chi-square test (or Fisher's exact test if a theoretical number less than 6) or ANOVA</w:t>
            </w:r>
          </w:p>
          <w:p w14:paraId="44221523" w14:textId="77777777" w:rsidR="0073619D" w:rsidRPr="00E47BC3" w:rsidRDefault="0073619D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Comparison tests do not include missing data</w:t>
            </w:r>
          </w:p>
          <w:p w14:paraId="63A334ED" w14:textId="6600F360" w:rsidR="001A4EE0" w:rsidRPr="00E47BC3" w:rsidRDefault="001A4EE0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a. Fisher’s exact test</w:t>
            </w:r>
          </w:p>
          <w:p w14:paraId="0187B6BC" w14:textId="445B70B6" w:rsidR="001A4EE0" w:rsidRPr="00E47BC3" w:rsidRDefault="001A4EE0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>b. At least one instance within the 10-year follow-up timeframe.</w:t>
            </w:r>
          </w:p>
          <w:p w14:paraId="6A91B907" w14:textId="02FFDC66" w:rsidR="0073619D" w:rsidRPr="00E47BC3" w:rsidRDefault="001A4EE0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 xml:space="preserve">c. </w:t>
            </w:r>
            <w:r w:rsidR="0073619D" w:rsidRPr="00E47BC3">
              <w:rPr>
                <w:rFonts w:ascii="Times New Roman" w:hAnsi="Times New Roman" w:cs="Times New Roman"/>
                <w:sz w:val="20"/>
                <w:szCs w:val="20"/>
              </w:rPr>
              <w:t>Data available for 70-80% of patients</w:t>
            </w:r>
          </w:p>
          <w:p w14:paraId="73742F29" w14:textId="2CB6E636" w:rsidR="0073619D" w:rsidRPr="00E47BC3" w:rsidRDefault="001A4EE0" w:rsidP="007C199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 xml:space="preserve">d. </w:t>
            </w:r>
            <w:r w:rsidR="0073619D" w:rsidRPr="00E47BC3">
              <w:rPr>
                <w:rFonts w:ascii="Times New Roman" w:hAnsi="Times New Roman" w:cs="Times New Roman"/>
                <w:sz w:val="20"/>
                <w:szCs w:val="20"/>
              </w:rPr>
              <w:t>Variable available since 2017</w:t>
            </w:r>
          </w:p>
          <w:p w14:paraId="5D54C9C9" w14:textId="40B6C858" w:rsidR="0073619D" w:rsidRPr="00E47BC3" w:rsidRDefault="001A4EE0" w:rsidP="001A4EE0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47BC3">
              <w:rPr>
                <w:rFonts w:ascii="Times New Roman" w:hAnsi="Times New Roman" w:cs="Times New Roman"/>
                <w:sz w:val="20"/>
                <w:szCs w:val="20"/>
              </w:rPr>
              <w:t xml:space="preserve">e. </w:t>
            </w:r>
            <w:r w:rsidR="0073619D" w:rsidRPr="00E47BC3">
              <w:rPr>
                <w:rFonts w:ascii="Times New Roman" w:hAnsi="Times New Roman" w:cs="Times New Roman"/>
                <w:sz w:val="20"/>
                <w:szCs w:val="20"/>
              </w:rPr>
              <w:t>Variable not available between 2013 and 2016 inclusive</w:t>
            </w:r>
          </w:p>
        </w:tc>
      </w:tr>
      <w:bookmarkEnd w:id="0"/>
      <w:bookmarkEnd w:id="2"/>
      <w:bookmarkEnd w:id="1"/>
    </w:tbl>
    <w:p w14:paraId="4E6F0527" w14:textId="4135853D" w:rsidR="00F2368A" w:rsidRPr="00E47BC3" w:rsidRDefault="00F2368A" w:rsidP="00A57C5B">
      <w:pPr>
        <w:jc w:val="left"/>
        <w:rPr>
          <w:rFonts w:ascii="Times New Roman" w:hAnsi="Times New Roman" w:cs="Times New Roman"/>
          <w:b/>
          <w:bCs/>
        </w:rPr>
      </w:pPr>
    </w:p>
    <w:sectPr w:rsidR="00F2368A" w:rsidRPr="00E47BC3" w:rsidSect="00FA3282"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B14E8B" w14:textId="77777777" w:rsidR="00654CBE" w:rsidRDefault="00654CBE" w:rsidP="00C86C06">
      <w:pPr>
        <w:spacing w:after="0" w:line="240" w:lineRule="auto"/>
      </w:pPr>
      <w:r>
        <w:separator/>
      </w:r>
    </w:p>
  </w:endnote>
  <w:endnote w:type="continuationSeparator" w:id="0">
    <w:p w14:paraId="1F7140E6" w14:textId="77777777" w:rsidR="00654CBE" w:rsidRDefault="00654CBE" w:rsidP="00C86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5645274"/>
      <w:docPartObj>
        <w:docPartGallery w:val="Page Numbers (Bottom of Page)"/>
        <w:docPartUnique/>
      </w:docPartObj>
    </w:sdtPr>
    <w:sdtEndPr/>
    <w:sdtContent>
      <w:p w14:paraId="50D348F9" w14:textId="04BA1A54" w:rsidR="00E74D8D" w:rsidRDefault="00E74D8D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BC3" w:rsidRPr="00E47BC3">
          <w:rPr>
            <w:noProof/>
            <w:lang w:val="fr-FR"/>
          </w:rPr>
          <w:t>1</w:t>
        </w:r>
        <w:r>
          <w:fldChar w:fldCharType="end"/>
        </w:r>
      </w:p>
    </w:sdtContent>
  </w:sdt>
  <w:p w14:paraId="11624D8E" w14:textId="77777777" w:rsidR="00E74D8D" w:rsidRDefault="00E74D8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776DC" w14:textId="2BE218F5" w:rsidR="00E74D8D" w:rsidRDefault="00E74D8D" w:rsidP="000F055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30556" w14:textId="77777777" w:rsidR="00654CBE" w:rsidRDefault="00654CBE" w:rsidP="00C86C06">
      <w:pPr>
        <w:spacing w:after="0" w:line="240" w:lineRule="auto"/>
      </w:pPr>
      <w:r>
        <w:separator/>
      </w:r>
    </w:p>
  </w:footnote>
  <w:footnote w:type="continuationSeparator" w:id="0">
    <w:p w14:paraId="0C132198" w14:textId="77777777" w:rsidR="00654CBE" w:rsidRDefault="00654CBE" w:rsidP="00C86C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C11A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C0D085B"/>
    <w:multiLevelType w:val="hybridMultilevel"/>
    <w:tmpl w:val="5C5A3C02"/>
    <w:lvl w:ilvl="0" w:tplc="7722B64C">
      <w:start w:val="1"/>
      <w:numFmt w:val="decimal"/>
      <w:lvlText w:val="%1."/>
      <w:lvlJc w:val="left"/>
      <w:pPr>
        <w:ind w:left="1020" w:hanging="360"/>
      </w:pPr>
    </w:lvl>
    <w:lvl w:ilvl="1" w:tplc="39AE2C6A">
      <w:start w:val="1"/>
      <w:numFmt w:val="decimal"/>
      <w:lvlText w:val="%2."/>
      <w:lvlJc w:val="left"/>
      <w:pPr>
        <w:ind w:left="1020" w:hanging="360"/>
      </w:pPr>
    </w:lvl>
    <w:lvl w:ilvl="2" w:tplc="6E2E7A42">
      <w:start w:val="1"/>
      <w:numFmt w:val="decimal"/>
      <w:lvlText w:val="%3."/>
      <w:lvlJc w:val="left"/>
      <w:pPr>
        <w:ind w:left="1020" w:hanging="360"/>
      </w:pPr>
    </w:lvl>
    <w:lvl w:ilvl="3" w:tplc="A21EEFEA">
      <w:start w:val="1"/>
      <w:numFmt w:val="decimal"/>
      <w:lvlText w:val="%4."/>
      <w:lvlJc w:val="left"/>
      <w:pPr>
        <w:ind w:left="1020" w:hanging="360"/>
      </w:pPr>
    </w:lvl>
    <w:lvl w:ilvl="4" w:tplc="8B1C5858">
      <w:start w:val="1"/>
      <w:numFmt w:val="decimal"/>
      <w:lvlText w:val="%5."/>
      <w:lvlJc w:val="left"/>
      <w:pPr>
        <w:ind w:left="1020" w:hanging="360"/>
      </w:pPr>
    </w:lvl>
    <w:lvl w:ilvl="5" w:tplc="9964102C">
      <w:start w:val="1"/>
      <w:numFmt w:val="decimal"/>
      <w:lvlText w:val="%6."/>
      <w:lvlJc w:val="left"/>
      <w:pPr>
        <w:ind w:left="1020" w:hanging="360"/>
      </w:pPr>
    </w:lvl>
    <w:lvl w:ilvl="6" w:tplc="A7366548">
      <w:start w:val="1"/>
      <w:numFmt w:val="decimal"/>
      <w:lvlText w:val="%7."/>
      <w:lvlJc w:val="left"/>
      <w:pPr>
        <w:ind w:left="1020" w:hanging="360"/>
      </w:pPr>
    </w:lvl>
    <w:lvl w:ilvl="7" w:tplc="DDFCC332">
      <w:start w:val="1"/>
      <w:numFmt w:val="decimal"/>
      <w:lvlText w:val="%8."/>
      <w:lvlJc w:val="left"/>
      <w:pPr>
        <w:ind w:left="1020" w:hanging="360"/>
      </w:pPr>
    </w:lvl>
    <w:lvl w:ilvl="8" w:tplc="00180524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4D353E40"/>
    <w:multiLevelType w:val="multilevel"/>
    <w:tmpl w:val="135C01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CD341A"/>
    <w:multiLevelType w:val="hybridMultilevel"/>
    <w:tmpl w:val="F1B2E118"/>
    <w:lvl w:ilvl="0" w:tplc="E256A6BA">
      <w:start w:val="1"/>
      <w:numFmt w:val="decimal"/>
      <w:lvlText w:val="%1."/>
      <w:lvlJc w:val="left"/>
      <w:pPr>
        <w:ind w:left="1020" w:hanging="360"/>
      </w:pPr>
    </w:lvl>
    <w:lvl w:ilvl="1" w:tplc="CAE0A1A8">
      <w:start w:val="1"/>
      <w:numFmt w:val="decimal"/>
      <w:lvlText w:val="%2."/>
      <w:lvlJc w:val="left"/>
      <w:pPr>
        <w:ind w:left="1020" w:hanging="360"/>
      </w:pPr>
    </w:lvl>
    <w:lvl w:ilvl="2" w:tplc="54105150">
      <w:start w:val="1"/>
      <w:numFmt w:val="decimal"/>
      <w:lvlText w:val="%3."/>
      <w:lvlJc w:val="left"/>
      <w:pPr>
        <w:ind w:left="1020" w:hanging="360"/>
      </w:pPr>
    </w:lvl>
    <w:lvl w:ilvl="3" w:tplc="FCC242C6">
      <w:start w:val="1"/>
      <w:numFmt w:val="decimal"/>
      <w:lvlText w:val="%4."/>
      <w:lvlJc w:val="left"/>
      <w:pPr>
        <w:ind w:left="1020" w:hanging="360"/>
      </w:pPr>
    </w:lvl>
    <w:lvl w:ilvl="4" w:tplc="334A02E6">
      <w:start w:val="1"/>
      <w:numFmt w:val="decimal"/>
      <w:lvlText w:val="%5."/>
      <w:lvlJc w:val="left"/>
      <w:pPr>
        <w:ind w:left="1020" w:hanging="360"/>
      </w:pPr>
    </w:lvl>
    <w:lvl w:ilvl="5" w:tplc="ADE8245E">
      <w:start w:val="1"/>
      <w:numFmt w:val="decimal"/>
      <w:lvlText w:val="%6."/>
      <w:lvlJc w:val="left"/>
      <w:pPr>
        <w:ind w:left="1020" w:hanging="360"/>
      </w:pPr>
    </w:lvl>
    <w:lvl w:ilvl="6" w:tplc="7E421506">
      <w:start w:val="1"/>
      <w:numFmt w:val="decimal"/>
      <w:lvlText w:val="%7."/>
      <w:lvlJc w:val="left"/>
      <w:pPr>
        <w:ind w:left="1020" w:hanging="360"/>
      </w:pPr>
    </w:lvl>
    <w:lvl w:ilvl="7" w:tplc="D05C0B4C">
      <w:start w:val="1"/>
      <w:numFmt w:val="decimal"/>
      <w:lvlText w:val="%8."/>
      <w:lvlJc w:val="left"/>
      <w:pPr>
        <w:ind w:left="1020" w:hanging="360"/>
      </w:pPr>
    </w:lvl>
    <w:lvl w:ilvl="8" w:tplc="9E4E8948">
      <w:start w:val="1"/>
      <w:numFmt w:val="decimal"/>
      <w:lvlText w:val="%9."/>
      <w:lvlJc w:val="left"/>
      <w:pPr>
        <w:ind w:left="102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 Pediatrics&lt;/Style&gt;&lt;LeftDelim&gt;{&lt;/LeftDelim&gt;&lt;RightDelim&gt;}&lt;/RightDelim&gt;&lt;FontName&gt;Aptos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vdeetp09sww2deeaswxdvdh2sx22x05aftt&quot;&gt;Biblio Endnote_MUCOVISCIDOSE&lt;record-ids&gt;&lt;item&gt;67&lt;/item&gt;&lt;item&gt;159&lt;/item&gt;&lt;item&gt;169&lt;/item&gt;&lt;item&gt;205&lt;/item&gt;&lt;item&gt;246&lt;/item&gt;&lt;item&gt;247&lt;/item&gt;&lt;item&gt;251&lt;/item&gt;&lt;item&gt;252&lt;/item&gt;&lt;item&gt;253&lt;/item&gt;&lt;item&gt;259&lt;/item&gt;&lt;item&gt;266&lt;/item&gt;&lt;item&gt;270&lt;/item&gt;&lt;item&gt;333&lt;/item&gt;&lt;item&gt;337&lt;/item&gt;&lt;item&gt;338&lt;/item&gt;&lt;item&gt;340&lt;/item&gt;&lt;item&gt;341&lt;/item&gt;&lt;item&gt;342&lt;/item&gt;&lt;item&gt;346&lt;/item&gt;&lt;item&gt;347&lt;/item&gt;&lt;item&gt;348&lt;/item&gt;&lt;item&gt;349&lt;/item&gt;&lt;item&gt;350&lt;/item&gt;&lt;item&gt;353&lt;/item&gt;&lt;/record-ids&gt;&lt;/item&gt;&lt;/Libraries&gt;"/>
  </w:docVars>
  <w:rsids>
    <w:rsidRoot w:val="00995C84"/>
    <w:rsid w:val="00001DBD"/>
    <w:rsid w:val="00002876"/>
    <w:rsid w:val="0001186F"/>
    <w:rsid w:val="00013061"/>
    <w:rsid w:val="000148CD"/>
    <w:rsid w:val="00015AB2"/>
    <w:rsid w:val="000219C3"/>
    <w:rsid w:val="000235D7"/>
    <w:rsid w:val="00024018"/>
    <w:rsid w:val="000247FC"/>
    <w:rsid w:val="00024F0B"/>
    <w:rsid w:val="000302BA"/>
    <w:rsid w:val="00034DEB"/>
    <w:rsid w:val="00040BFD"/>
    <w:rsid w:val="000468F9"/>
    <w:rsid w:val="000507A3"/>
    <w:rsid w:val="00052646"/>
    <w:rsid w:val="00053D39"/>
    <w:rsid w:val="00054CC6"/>
    <w:rsid w:val="0005561F"/>
    <w:rsid w:val="00055E09"/>
    <w:rsid w:val="000578AF"/>
    <w:rsid w:val="00060102"/>
    <w:rsid w:val="0006147B"/>
    <w:rsid w:val="00067779"/>
    <w:rsid w:val="00067DB8"/>
    <w:rsid w:val="00085119"/>
    <w:rsid w:val="00087B49"/>
    <w:rsid w:val="00093BC7"/>
    <w:rsid w:val="000A3B6E"/>
    <w:rsid w:val="000A43C6"/>
    <w:rsid w:val="000B3083"/>
    <w:rsid w:val="000B67B8"/>
    <w:rsid w:val="000C36D8"/>
    <w:rsid w:val="000C5014"/>
    <w:rsid w:val="000C5986"/>
    <w:rsid w:val="000C608B"/>
    <w:rsid w:val="000C6CE4"/>
    <w:rsid w:val="000D050D"/>
    <w:rsid w:val="000D0A14"/>
    <w:rsid w:val="000E110E"/>
    <w:rsid w:val="000E207A"/>
    <w:rsid w:val="000E2B70"/>
    <w:rsid w:val="000E7D60"/>
    <w:rsid w:val="000F0559"/>
    <w:rsid w:val="000F1678"/>
    <w:rsid w:val="000F3C92"/>
    <w:rsid w:val="00100802"/>
    <w:rsid w:val="0010615B"/>
    <w:rsid w:val="001073F2"/>
    <w:rsid w:val="00107D5A"/>
    <w:rsid w:val="001121D2"/>
    <w:rsid w:val="001129B8"/>
    <w:rsid w:val="00112C30"/>
    <w:rsid w:val="0011341A"/>
    <w:rsid w:val="001159A7"/>
    <w:rsid w:val="0012244C"/>
    <w:rsid w:val="00124F9E"/>
    <w:rsid w:val="001272A9"/>
    <w:rsid w:val="00127C24"/>
    <w:rsid w:val="00133473"/>
    <w:rsid w:val="00133970"/>
    <w:rsid w:val="001465E5"/>
    <w:rsid w:val="00147059"/>
    <w:rsid w:val="00150D26"/>
    <w:rsid w:val="0015119A"/>
    <w:rsid w:val="00153CB1"/>
    <w:rsid w:val="00155EE7"/>
    <w:rsid w:val="00161509"/>
    <w:rsid w:val="00162435"/>
    <w:rsid w:val="00166AA4"/>
    <w:rsid w:val="00172956"/>
    <w:rsid w:val="00177C90"/>
    <w:rsid w:val="00184C06"/>
    <w:rsid w:val="00187857"/>
    <w:rsid w:val="00193BCD"/>
    <w:rsid w:val="001942EE"/>
    <w:rsid w:val="00194605"/>
    <w:rsid w:val="00194719"/>
    <w:rsid w:val="0019512C"/>
    <w:rsid w:val="00195A65"/>
    <w:rsid w:val="00195DA8"/>
    <w:rsid w:val="00196A15"/>
    <w:rsid w:val="001A213C"/>
    <w:rsid w:val="001A4EE0"/>
    <w:rsid w:val="001A5493"/>
    <w:rsid w:val="001A5B7A"/>
    <w:rsid w:val="001A76DB"/>
    <w:rsid w:val="001B241B"/>
    <w:rsid w:val="001B3DB8"/>
    <w:rsid w:val="001B3F42"/>
    <w:rsid w:val="001B4E9D"/>
    <w:rsid w:val="001B6133"/>
    <w:rsid w:val="001B69F7"/>
    <w:rsid w:val="001B7037"/>
    <w:rsid w:val="001C1054"/>
    <w:rsid w:val="001C1449"/>
    <w:rsid w:val="001C4E00"/>
    <w:rsid w:val="001C661A"/>
    <w:rsid w:val="001C696A"/>
    <w:rsid w:val="001C7526"/>
    <w:rsid w:val="001D0118"/>
    <w:rsid w:val="001D0FAF"/>
    <w:rsid w:val="001D1AB9"/>
    <w:rsid w:val="001D2EB7"/>
    <w:rsid w:val="001D46B7"/>
    <w:rsid w:val="001D4EC5"/>
    <w:rsid w:val="001D4F23"/>
    <w:rsid w:val="001D5FAB"/>
    <w:rsid w:val="001E23CA"/>
    <w:rsid w:val="001E3379"/>
    <w:rsid w:val="001E37A0"/>
    <w:rsid w:val="001E5CC7"/>
    <w:rsid w:val="001F0AA8"/>
    <w:rsid w:val="001F0F3F"/>
    <w:rsid w:val="001F101E"/>
    <w:rsid w:val="001F2B8C"/>
    <w:rsid w:val="001F3206"/>
    <w:rsid w:val="001F4B25"/>
    <w:rsid w:val="001F6063"/>
    <w:rsid w:val="001F63FB"/>
    <w:rsid w:val="00201A71"/>
    <w:rsid w:val="0020241B"/>
    <w:rsid w:val="00202C96"/>
    <w:rsid w:val="002144A1"/>
    <w:rsid w:val="00215687"/>
    <w:rsid w:val="00217D69"/>
    <w:rsid w:val="00221A2B"/>
    <w:rsid w:val="00221ADE"/>
    <w:rsid w:val="00221C1C"/>
    <w:rsid w:val="00222AF6"/>
    <w:rsid w:val="002238D9"/>
    <w:rsid w:val="0022648D"/>
    <w:rsid w:val="002270BD"/>
    <w:rsid w:val="002302E5"/>
    <w:rsid w:val="0023037A"/>
    <w:rsid w:val="0023745C"/>
    <w:rsid w:val="002405A7"/>
    <w:rsid w:val="0024114C"/>
    <w:rsid w:val="00241F68"/>
    <w:rsid w:val="00244080"/>
    <w:rsid w:val="00245E40"/>
    <w:rsid w:val="00247954"/>
    <w:rsid w:val="0025237B"/>
    <w:rsid w:val="00253401"/>
    <w:rsid w:val="00274556"/>
    <w:rsid w:val="002872D3"/>
    <w:rsid w:val="00287EA1"/>
    <w:rsid w:val="002958BB"/>
    <w:rsid w:val="0029792B"/>
    <w:rsid w:val="002A5D82"/>
    <w:rsid w:val="002A6A92"/>
    <w:rsid w:val="002B080E"/>
    <w:rsid w:val="002B2030"/>
    <w:rsid w:val="002B3F3F"/>
    <w:rsid w:val="002B408E"/>
    <w:rsid w:val="002C00CE"/>
    <w:rsid w:val="002C0DC4"/>
    <w:rsid w:val="002C1EBF"/>
    <w:rsid w:val="002C32BB"/>
    <w:rsid w:val="002C56F0"/>
    <w:rsid w:val="002C7646"/>
    <w:rsid w:val="002D2DB5"/>
    <w:rsid w:val="002D4560"/>
    <w:rsid w:val="002D6E79"/>
    <w:rsid w:val="002D6E91"/>
    <w:rsid w:val="002E2E60"/>
    <w:rsid w:val="002E7CD4"/>
    <w:rsid w:val="002F0E6D"/>
    <w:rsid w:val="002F43FF"/>
    <w:rsid w:val="002F5122"/>
    <w:rsid w:val="00302313"/>
    <w:rsid w:val="0030257E"/>
    <w:rsid w:val="00302FB9"/>
    <w:rsid w:val="00303F71"/>
    <w:rsid w:val="00304469"/>
    <w:rsid w:val="00307B5C"/>
    <w:rsid w:val="0031105A"/>
    <w:rsid w:val="00314819"/>
    <w:rsid w:val="003225A8"/>
    <w:rsid w:val="00323DED"/>
    <w:rsid w:val="003253F4"/>
    <w:rsid w:val="00327185"/>
    <w:rsid w:val="003309B3"/>
    <w:rsid w:val="003330A8"/>
    <w:rsid w:val="003373C4"/>
    <w:rsid w:val="00340E9E"/>
    <w:rsid w:val="00341A98"/>
    <w:rsid w:val="0034239C"/>
    <w:rsid w:val="003502D3"/>
    <w:rsid w:val="003553B9"/>
    <w:rsid w:val="003625D9"/>
    <w:rsid w:val="0036419C"/>
    <w:rsid w:val="00373255"/>
    <w:rsid w:val="00377E2A"/>
    <w:rsid w:val="0038240F"/>
    <w:rsid w:val="003861EB"/>
    <w:rsid w:val="00386BC8"/>
    <w:rsid w:val="003917BA"/>
    <w:rsid w:val="00392664"/>
    <w:rsid w:val="00392BB4"/>
    <w:rsid w:val="003935B8"/>
    <w:rsid w:val="003971C2"/>
    <w:rsid w:val="003A0089"/>
    <w:rsid w:val="003A1E17"/>
    <w:rsid w:val="003A5015"/>
    <w:rsid w:val="003B1045"/>
    <w:rsid w:val="003B5D93"/>
    <w:rsid w:val="003C130D"/>
    <w:rsid w:val="003C2D85"/>
    <w:rsid w:val="003C41BC"/>
    <w:rsid w:val="003C500D"/>
    <w:rsid w:val="003C54D1"/>
    <w:rsid w:val="003C55E9"/>
    <w:rsid w:val="003C6ACB"/>
    <w:rsid w:val="003C711E"/>
    <w:rsid w:val="003D5FB2"/>
    <w:rsid w:val="003D66BF"/>
    <w:rsid w:val="003D720C"/>
    <w:rsid w:val="003E0064"/>
    <w:rsid w:val="003E0276"/>
    <w:rsid w:val="003E14F9"/>
    <w:rsid w:val="003E1F03"/>
    <w:rsid w:val="003E4A80"/>
    <w:rsid w:val="003F0093"/>
    <w:rsid w:val="003F2DB9"/>
    <w:rsid w:val="003F5A84"/>
    <w:rsid w:val="003F5FDA"/>
    <w:rsid w:val="004004D8"/>
    <w:rsid w:val="004009A1"/>
    <w:rsid w:val="00412F63"/>
    <w:rsid w:val="00421212"/>
    <w:rsid w:val="004308B9"/>
    <w:rsid w:val="00433511"/>
    <w:rsid w:val="00433852"/>
    <w:rsid w:val="0043659D"/>
    <w:rsid w:val="004403DF"/>
    <w:rsid w:val="00441008"/>
    <w:rsid w:val="00444210"/>
    <w:rsid w:val="00455A8B"/>
    <w:rsid w:val="004600CC"/>
    <w:rsid w:val="00461A58"/>
    <w:rsid w:val="00470DAF"/>
    <w:rsid w:val="00471E80"/>
    <w:rsid w:val="00476E39"/>
    <w:rsid w:val="00493838"/>
    <w:rsid w:val="00493F11"/>
    <w:rsid w:val="00496B6C"/>
    <w:rsid w:val="00497895"/>
    <w:rsid w:val="004A0485"/>
    <w:rsid w:val="004A06B6"/>
    <w:rsid w:val="004A1C30"/>
    <w:rsid w:val="004A1CB6"/>
    <w:rsid w:val="004B6E89"/>
    <w:rsid w:val="004C1A70"/>
    <w:rsid w:val="004C4004"/>
    <w:rsid w:val="004C4503"/>
    <w:rsid w:val="004C6910"/>
    <w:rsid w:val="004D325D"/>
    <w:rsid w:val="004D5780"/>
    <w:rsid w:val="004E0139"/>
    <w:rsid w:val="004E179F"/>
    <w:rsid w:val="004E39B7"/>
    <w:rsid w:val="004E734B"/>
    <w:rsid w:val="004E75BC"/>
    <w:rsid w:val="004F13BC"/>
    <w:rsid w:val="004F288C"/>
    <w:rsid w:val="004F2E4B"/>
    <w:rsid w:val="004F319B"/>
    <w:rsid w:val="004F4145"/>
    <w:rsid w:val="004F4FD5"/>
    <w:rsid w:val="004F59EF"/>
    <w:rsid w:val="004F669F"/>
    <w:rsid w:val="005007AB"/>
    <w:rsid w:val="005007E5"/>
    <w:rsid w:val="005034EF"/>
    <w:rsid w:val="005060F6"/>
    <w:rsid w:val="00510E7C"/>
    <w:rsid w:val="00511AFF"/>
    <w:rsid w:val="00512E72"/>
    <w:rsid w:val="00514296"/>
    <w:rsid w:val="00516091"/>
    <w:rsid w:val="00517CBD"/>
    <w:rsid w:val="0052340D"/>
    <w:rsid w:val="0052417C"/>
    <w:rsid w:val="005252EF"/>
    <w:rsid w:val="0052556F"/>
    <w:rsid w:val="00544940"/>
    <w:rsid w:val="00545521"/>
    <w:rsid w:val="005479F4"/>
    <w:rsid w:val="005513C1"/>
    <w:rsid w:val="005556AB"/>
    <w:rsid w:val="00555B8E"/>
    <w:rsid w:val="005561A4"/>
    <w:rsid w:val="00557C49"/>
    <w:rsid w:val="005615F0"/>
    <w:rsid w:val="005631F8"/>
    <w:rsid w:val="00564AF7"/>
    <w:rsid w:val="00564B28"/>
    <w:rsid w:val="005678BA"/>
    <w:rsid w:val="00567BE8"/>
    <w:rsid w:val="00583E3F"/>
    <w:rsid w:val="00584E16"/>
    <w:rsid w:val="00585545"/>
    <w:rsid w:val="00585E79"/>
    <w:rsid w:val="005906DC"/>
    <w:rsid w:val="00590961"/>
    <w:rsid w:val="00592740"/>
    <w:rsid w:val="00592D79"/>
    <w:rsid w:val="00596A5A"/>
    <w:rsid w:val="005A420D"/>
    <w:rsid w:val="005B79E5"/>
    <w:rsid w:val="005C1554"/>
    <w:rsid w:val="005C5199"/>
    <w:rsid w:val="005C754C"/>
    <w:rsid w:val="005C7B92"/>
    <w:rsid w:val="005C7ED6"/>
    <w:rsid w:val="005D46B1"/>
    <w:rsid w:val="005D7809"/>
    <w:rsid w:val="005E2A59"/>
    <w:rsid w:val="005E5F67"/>
    <w:rsid w:val="005E69F0"/>
    <w:rsid w:val="005F0656"/>
    <w:rsid w:val="005F2659"/>
    <w:rsid w:val="005F519B"/>
    <w:rsid w:val="005F5A24"/>
    <w:rsid w:val="00602533"/>
    <w:rsid w:val="00602689"/>
    <w:rsid w:val="00603B48"/>
    <w:rsid w:val="00611246"/>
    <w:rsid w:val="00612885"/>
    <w:rsid w:val="00616849"/>
    <w:rsid w:val="0061782F"/>
    <w:rsid w:val="00623D7A"/>
    <w:rsid w:val="0062446F"/>
    <w:rsid w:val="006245A4"/>
    <w:rsid w:val="0063049B"/>
    <w:rsid w:val="00631CF0"/>
    <w:rsid w:val="00632D7F"/>
    <w:rsid w:val="006335A1"/>
    <w:rsid w:val="00636669"/>
    <w:rsid w:val="00645271"/>
    <w:rsid w:val="0064725D"/>
    <w:rsid w:val="00654CBE"/>
    <w:rsid w:val="00656F7E"/>
    <w:rsid w:val="006574D1"/>
    <w:rsid w:val="00665AE8"/>
    <w:rsid w:val="00665B69"/>
    <w:rsid w:val="006704FF"/>
    <w:rsid w:val="006714AC"/>
    <w:rsid w:val="00672010"/>
    <w:rsid w:val="00674205"/>
    <w:rsid w:val="006761D5"/>
    <w:rsid w:val="00677E7F"/>
    <w:rsid w:val="006823F0"/>
    <w:rsid w:val="00686DA0"/>
    <w:rsid w:val="00691CEA"/>
    <w:rsid w:val="006932D2"/>
    <w:rsid w:val="00695488"/>
    <w:rsid w:val="00697174"/>
    <w:rsid w:val="006A1515"/>
    <w:rsid w:val="006A5813"/>
    <w:rsid w:val="006A58B5"/>
    <w:rsid w:val="006A61AD"/>
    <w:rsid w:val="006B10DD"/>
    <w:rsid w:val="006B12EA"/>
    <w:rsid w:val="006B227B"/>
    <w:rsid w:val="006B49C2"/>
    <w:rsid w:val="006B4EB2"/>
    <w:rsid w:val="006B6FC0"/>
    <w:rsid w:val="006C205B"/>
    <w:rsid w:val="006C2212"/>
    <w:rsid w:val="006C3C6B"/>
    <w:rsid w:val="006C4ECB"/>
    <w:rsid w:val="006C6202"/>
    <w:rsid w:val="006C7E3F"/>
    <w:rsid w:val="006D00D3"/>
    <w:rsid w:val="006D1C85"/>
    <w:rsid w:val="006D505E"/>
    <w:rsid w:val="006E1D1B"/>
    <w:rsid w:val="006E7B5F"/>
    <w:rsid w:val="006F5BEF"/>
    <w:rsid w:val="00700D01"/>
    <w:rsid w:val="00702CF6"/>
    <w:rsid w:val="00705814"/>
    <w:rsid w:val="00705ED5"/>
    <w:rsid w:val="0070742E"/>
    <w:rsid w:val="00710D37"/>
    <w:rsid w:val="007133BE"/>
    <w:rsid w:val="00720B4B"/>
    <w:rsid w:val="00720DEC"/>
    <w:rsid w:val="007302DA"/>
    <w:rsid w:val="007323BA"/>
    <w:rsid w:val="0073619D"/>
    <w:rsid w:val="007418DE"/>
    <w:rsid w:val="00742814"/>
    <w:rsid w:val="007438EF"/>
    <w:rsid w:val="007448BC"/>
    <w:rsid w:val="007451D5"/>
    <w:rsid w:val="007456E6"/>
    <w:rsid w:val="00751CE9"/>
    <w:rsid w:val="0075261F"/>
    <w:rsid w:val="00753006"/>
    <w:rsid w:val="007549B4"/>
    <w:rsid w:val="00755C3F"/>
    <w:rsid w:val="00756913"/>
    <w:rsid w:val="00761168"/>
    <w:rsid w:val="00763B1E"/>
    <w:rsid w:val="00763D89"/>
    <w:rsid w:val="00764400"/>
    <w:rsid w:val="00764C7C"/>
    <w:rsid w:val="007655E9"/>
    <w:rsid w:val="0077123D"/>
    <w:rsid w:val="0077602B"/>
    <w:rsid w:val="007810EF"/>
    <w:rsid w:val="007837CF"/>
    <w:rsid w:val="0078398F"/>
    <w:rsid w:val="007839F6"/>
    <w:rsid w:val="00794214"/>
    <w:rsid w:val="007A4103"/>
    <w:rsid w:val="007A4135"/>
    <w:rsid w:val="007A4178"/>
    <w:rsid w:val="007A41A9"/>
    <w:rsid w:val="007A560A"/>
    <w:rsid w:val="007A7B76"/>
    <w:rsid w:val="007B1018"/>
    <w:rsid w:val="007B4660"/>
    <w:rsid w:val="007B4EF3"/>
    <w:rsid w:val="007C13EB"/>
    <w:rsid w:val="007C1991"/>
    <w:rsid w:val="007C4746"/>
    <w:rsid w:val="007C47E1"/>
    <w:rsid w:val="007D2786"/>
    <w:rsid w:val="007D6EC3"/>
    <w:rsid w:val="007E1DA5"/>
    <w:rsid w:val="007E5EFA"/>
    <w:rsid w:val="007F5DAF"/>
    <w:rsid w:val="007F5FFB"/>
    <w:rsid w:val="00804315"/>
    <w:rsid w:val="00804B50"/>
    <w:rsid w:val="0081367B"/>
    <w:rsid w:val="00820CA2"/>
    <w:rsid w:val="00824CEB"/>
    <w:rsid w:val="00825948"/>
    <w:rsid w:val="008263DB"/>
    <w:rsid w:val="00830B2B"/>
    <w:rsid w:val="00841952"/>
    <w:rsid w:val="008419C7"/>
    <w:rsid w:val="0084285A"/>
    <w:rsid w:val="00843169"/>
    <w:rsid w:val="0085416D"/>
    <w:rsid w:val="0085771C"/>
    <w:rsid w:val="008578A3"/>
    <w:rsid w:val="00857C8B"/>
    <w:rsid w:val="008645C8"/>
    <w:rsid w:val="00865C99"/>
    <w:rsid w:val="00867644"/>
    <w:rsid w:val="00871C32"/>
    <w:rsid w:val="0087358B"/>
    <w:rsid w:val="008774BF"/>
    <w:rsid w:val="00881D4A"/>
    <w:rsid w:val="00885079"/>
    <w:rsid w:val="00886E57"/>
    <w:rsid w:val="00887EEA"/>
    <w:rsid w:val="00892260"/>
    <w:rsid w:val="00892B33"/>
    <w:rsid w:val="00893818"/>
    <w:rsid w:val="008955D3"/>
    <w:rsid w:val="00897409"/>
    <w:rsid w:val="008A0E47"/>
    <w:rsid w:val="008A1140"/>
    <w:rsid w:val="008A19EF"/>
    <w:rsid w:val="008A5001"/>
    <w:rsid w:val="008A5483"/>
    <w:rsid w:val="008A5AD4"/>
    <w:rsid w:val="008A69D5"/>
    <w:rsid w:val="008B3F4D"/>
    <w:rsid w:val="008B5122"/>
    <w:rsid w:val="008B623B"/>
    <w:rsid w:val="008B6FFE"/>
    <w:rsid w:val="008C07BD"/>
    <w:rsid w:val="008C27EB"/>
    <w:rsid w:val="008C4535"/>
    <w:rsid w:val="008C59CB"/>
    <w:rsid w:val="008C6A46"/>
    <w:rsid w:val="008C76AA"/>
    <w:rsid w:val="008D18A9"/>
    <w:rsid w:val="008D1C95"/>
    <w:rsid w:val="008D2583"/>
    <w:rsid w:val="008D3D30"/>
    <w:rsid w:val="008E1886"/>
    <w:rsid w:val="008E4556"/>
    <w:rsid w:val="008E6E69"/>
    <w:rsid w:val="008F015E"/>
    <w:rsid w:val="008F33C3"/>
    <w:rsid w:val="009030FE"/>
    <w:rsid w:val="00907766"/>
    <w:rsid w:val="00910997"/>
    <w:rsid w:val="00910FB9"/>
    <w:rsid w:val="009159B4"/>
    <w:rsid w:val="0091640A"/>
    <w:rsid w:val="009166AB"/>
    <w:rsid w:val="00916963"/>
    <w:rsid w:val="009216A5"/>
    <w:rsid w:val="009243C5"/>
    <w:rsid w:val="009244E7"/>
    <w:rsid w:val="00930658"/>
    <w:rsid w:val="00942C00"/>
    <w:rsid w:val="0094699B"/>
    <w:rsid w:val="00955743"/>
    <w:rsid w:val="00960A37"/>
    <w:rsid w:val="00961EC9"/>
    <w:rsid w:val="009720C0"/>
    <w:rsid w:val="00973C5D"/>
    <w:rsid w:val="00976A86"/>
    <w:rsid w:val="00976EB5"/>
    <w:rsid w:val="00984B5F"/>
    <w:rsid w:val="00985A61"/>
    <w:rsid w:val="00987964"/>
    <w:rsid w:val="00990414"/>
    <w:rsid w:val="009913C3"/>
    <w:rsid w:val="00995C84"/>
    <w:rsid w:val="009A2970"/>
    <w:rsid w:val="009A3C7D"/>
    <w:rsid w:val="009A4297"/>
    <w:rsid w:val="009A5508"/>
    <w:rsid w:val="009B1DC3"/>
    <w:rsid w:val="009B2045"/>
    <w:rsid w:val="009B261D"/>
    <w:rsid w:val="009B4320"/>
    <w:rsid w:val="009B56EC"/>
    <w:rsid w:val="009B5818"/>
    <w:rsid w:val="009C1001"/>
    <w:rsid w:val="009C35A9"/>
    <w:rsid w:val="009C4A9E"/>
    <w:rsid w:val="009C5C73"/>
    <w:rsid w:val="009D0A78"/>
    <w:rsid w:val="009D10D6"/>
    <w:rsid w:val="009D1BBD"/>
    <w:rsid w:val="009D3A48"/>
    <w:rsid w:val="009D4B9B"/>
    <w:rsid w:val="009E00B9"/>
    <w:rsid w:val="009E27C4"/>
    <w:rsid w:val="009E5D27"/>
    <w:rsid w:val="009F093B"/>
    <w:rsid w:val="009F2F31"/>
    <w:rsid w:val="00A01FBB"/>
    <w:rsid w:val="00A104C0"/>
    <w:rsid w:val="00A10926"/>
    <w:rsid w:val="00A11409"/>
    <w:rsid w:val="00A11921"/>
    <w:rsid w:val="00A12E75"/>
    <w:rsid w:val="00A13404"/>
    <w:rsid w:val="00A16F13"/>
    <w:rsid w:val="00A221D9"/>
    <w:rsid w:val="00A226A4"/>
    <w:rsid w:val="00A22A61"/>
    <w:rsid w:val="00A232DE"/>
    <w:rsid w:val="00A30922"/>
    <w:rsid w:val="00A32A7F"/>
    <w:rsid w:val="00A32B5A"/>
    <w:rsid w:val="00A41427"/>
    <w:rsid w:val="00A436C9"/>
    <w:rsid w:val="00A45230"/>
    <w:rsid w:val="00A4662B"/>
    <w:rsid w:val="00A4696B"/>
    <w:rsid w:val="00A53C6B"/>
    <w:rsid w:val="00A54186"/>
    <w:rsid w:val="00A54915"/>
    <w:rsid w:val="00A57C5B"/>
    <w:rsid w:val="00A70366"/>
    <w:rsid w:val="00A849DD"/>
    <w:rsid w:val="00A94EA4"/>
    <w:rsid w:val="00A96E9F"/>
    <w:rsid w:val="00A97A0B"/>
    <w:rsid w:val="00AA1245"/>
    <w:rsid w:val="00AA506A"/>
    <w:rsid w:val="00AB111D"/>
    <w:rsid w:val="00AB4121"/>
    <w:rsid w:val="00AB41A0"/>
    <w:rsid w:val="00AB52A1"/>
    <w:rsid w:val="00AB7EEB"/>
    <w:rsid w:val="00AC49CF"/>
    <w:rsid w:val="00AC7CD2"/>
    <w:rsid w:val="00AD21EE"/>
    <w:rsid w:val="00AD36D3"/>
    <w:rsid w:val="00AD43EA"/>
    <w:rsid w:val="00AD443B"/>
    <w:rsid w:val="00AD5E55"/>
    <w:rsid w:val="00AD5F76"/>
    <w:rsid w:val="00AD6CA1"/>
    <w:rsid w:val="00AE050E"/>
    <w:rsid w:val="00AE2CF0"/>
    <w:rsid w:val="00AE51CB"/>
    <w:rsid w:val="00AE5C1F"/>
    <w:rsid w:val="00B00BB3"/>
    <w:rsid w:val="00B01E6C"/>
    <w:rsid w:val="00B026FD"/>
    <w:rsid w:val="00B06FBA"/>
    <w:rsid w:val="00B104D0"/>
    <w:rsid w:val="00B10E1F"/>
    <w:rsid w:val="00B110AD"/>
    <w:rsid w:val="00B23A52"/>
    <w:rsid w:val="00B23BDB"/>
    <w:rsid w:val="00B25176"/>
    <w:rsid w:val="00B305D8"/>
    <w:rsid w:val="00B36B68"/>
    <w:rsid w:val="00B37159"/>
    <w:rsid w:val="00B37BF1"/>
    <w:rsid w:val="00B40F6C"/>
    <w:rsid w:val="00B4211F"/>
    <w:rsid w:val="00B42E0E"/>
    <w:rsid w:val="00B436B4"/>
    <w:rsid w:val="00B51F6D"/>
    <w:rsid w:val="00B545D5"/>
    <w:rsid w:val="00B56320"/>
    <w:rsid w:val="00B60333"/>
    <w:rsid w:val="00B607F8"/>
    <w:rsid w:val="00B6547E"/>
    <w:rsid w:val="00B65B8F"/>
    <w:rsid w:val="00B675F0"/>
    <w:rsid w:val="00B71FFB"/>
    <w:rsid w:val="00B72A72"/>
    <w:rsid w:val="00B80EA1"/>
    <w:rsid w:val="00B80F49"/>
    <w:rsid w:val="00B82E3D"/>
    <w:rsid w:val="00B85599"/>
    <w:rsid w:val="00B86361"/>
    <w:rsid w:val="00B92994"/>
    <w:rsid w:val="00B95633"/>
    <w:rsid w:val="00BA1696"/>
    <w:rsid w:val="00BA7D96"/>
    <w:rsid w:val="00BB03BA"/>
    <w:rsid w:val="00BB2017"/>
    <w:rsid w:val="00BB30A3"/>
    <w:rsid w:val="00BB5A15"/>
    <w:rsid w:val="00BB6462"/>
    <w:rsid w:val="00BB6B73"/>
    <w:rsid w:val="00BC367D"/>
    <w:rsid w:val="00BC77D2"/>
    <w:rsid w:val="00BD0C9C"/>
    <w:rsid w:val="00BD52A8"/>
    <w:rsid w:val="00BD6976"/>
    <w:rsid w:val="00BE298F"/>
    <w:rsid w:val="00BE5698"/>
    <w:rsid w:val="00BE6946"/>
    <w:rsid w:val="00BE6A0E"/>
    <w:rsid w:val="00BE6AE2"/>
    <w:rsid w:val="00BF05C1"/>
    <w:rsid w:val="00BF65CE"/>
    <w:rsid w:val="00BF6ACC"/>
    <w:rsid w:val="00C003FC"/>
    <w:rsid w:val="00C0078E"/>
    <w:rsid w:val="00C035DB"/>
    <w:rsid w:val="00C06624"/>
    <w:rsid w:val="00C06998"/>
    <w:rsid w:val="00C10250"/>
    <w:rsid w:val="00C1217A"/>
    <w:rsid w:val="00C13DD6"/>
    <w:rsid w:val="00C2107D"/>
    <w:rsid w:val="00C261CF"/>
    <w:rsid w:val="00C27F25"/>
    <w:rsid w:val="00C31197"/>
    <w:rsid w:val="00C32A65"/>
    <w:rsid w:val="00C35DCC"/>
    <w:rsid w:val="00C367F3"/>
    <w:rsid w:val="00C54ACD"/>
    <w:rsid w:val="00C56739"/>
    <w:rsid w:val="00C601E0"/>
    <w:rsid w:val="00C60B38"/>
    <w:rsid w:val="00C61D13"/>
    <w:rsid w:val="00C636D5"/>
    <w:rsid w:val="00C63C01"/>
    <w:rsid w:val="00C640AC"/>
    <w:rsid w:val="00C7033D"/>
    <w:rsid w:val="00C71A59"/>
    <w:rsid w:val="00C73E20"/>
    <w:rsid w:val="00C7649F"/>
    <w:rsid w:val="00C86C06"/>
    <w:rsid w:val="00C90D55"/>
    <w:rsid w:val="00C925E7"/>
    <w:rsid w:val="00C92D4B"/>
    <w:rsid w:val="00C94D64"/>
    <w:rsid w:val="00C95C66"/>
    <w:rsid w:val="00C968D1"/>
    <w:rsid w:val="00CA247C"/>
    <w:rsid w:val="00CA27FB"/>
    <w:rsid w:val="00CB2394"/>
    <w:rsid w:val="00CB4334"/>
    <w:rsid w:val="00CB745B"/>
    <w:rsid w:val="00CC2E16"/>
    <w:rsid w:val="00CC62B4"/>
    <w:rsid w:val="00CC6D87"/>
    <w:rsid w:val="00CD1ED4"/>
    <w:rsid w:val="00CD29EB"/>
    <w:rsid w:val="00CD5522"/>
    <w:rsid w:val="00CD7663"/>
    <w:rsid w:val="00CE5889"/>
    <w:rsid w:val="00CE7CB4"/>
    <w:rsid w:val="00CF0A59"/>
    <w:rsid w:val="00CF20DC"/>
    <w:rsid w:val="00CF3418"/>
    <w:rsid w:val="00CF6F3C"/>
    <w:rsid w:val="00D005FE"/>
    <w:rsid w:val="00D01ECD"/>
    <w:rsid w:val="00D0593A"/>
    <w:rsid w:val="00D06DF6"/>
    <w:rsid w:val="00D10E7D"/>
    <w:rsid w:val="00D11708"/>
    <w:rsid w:val="00D12486"/>
    <w:rsid w:val="00D12FBE"/>
    <w:rsid w:val="00D1337A"/>
    <w:rsid w:val="00D16673"/>
    <w:rsid w:val="00D2039E"/>
    <w:rsid w:val="00D2159D"/>
    <w:rsid w:val="00D2347B"/>
    <w:rsid w:val="00D25037"/>
    <w:rsid w:val="00D36C68"/>
    <w:rsid w:val="00D4001F"/>
    <w:rsid w:val="00D407AD"/>
    <w:rsid w:val="00D44CA7"/>
    <w:rsid w:val="00D4638F"/>
    <w:rsid w:val="00D47416"/>
    <w:rsid w:val="00D51DC3"/>
    <w:rsid w:val="00D532A3"/>
    <w:rsid w:val="00D620CF"/>
    <w:rsid w:val="00D663EB"/>
    <w:rsid w:val="00D753CE"/>
    <w:rsid w:val="00D75F3D"/>
    <w:rsid w:val="00D766D3"/>
    <w:rsid w:val="00D76C7F"/>
    <w:rsid w:val="00D866E4"/>
    <w:rsid w:val="00D870DC"/>
    <w:rsid w:val="00D91199"/>
    <w:rsid w:val="00D94AE1"/>
    <w:rsid w:val="00D9582D"/>
    <w:rsid w:val="00D96976"/>
    <w:rsid w:val="00DA4046"/>
    <w:rsid w:val="00DA5E67"/>
    <w:rsid w:val="00DA6931"/>
    <w:rsid w:val="00DA6BD6"/>
    <w:rsid w:val="00DB0F36"/>
    <w:rsid w:val="00DB33A6"/>
    <w:rsid w:val="00DC1B77"/>
    <w:rsid w:val="00DC4823"/>
    <w:rsid w:val="00DD4919"/>
    <w:rsid w:val="00DD4BE9"/>
    <w:rsid w:val="00DD6E07"/>
    <w:rsid w:val="00DE1996"/>
    <w:rsid w:val="00DE6447"/>
    <w:rsid w:val="00DF05F2"/>
    <w:rsid w:val="00DF0EC0"/>
    <w:rsid w:val="00DF1730"/>
    <w:rsid w:val="00DF6ADB"/>
    <w:rsid w:val="00E036E2"/>
    <w:rsid w:val="00E04757"/>
    <w:rsid w:val="00E0628F"/>
    <w:rsid w:val="00E06E7C"/>
    <w:rsid w:val="00E077B9"/>
    <w:rsid w:val="00E100C3"/>
    <w:rsid w:val="00E138D9"/>
    <w:rsid w:val="00E20EAC"/>
    <w:rsid w:val="00E27332"/>
    <w:rsid w:val="00E3797D"/>
    <w:rsid w:val="00E415C6"/>
    <w:rsid w:val="00E451B4"/>
    <w:rsid w:val="00E45E55"/>
    <w:rsid w:val="00E47541"/>
    <w:rsid w:val="00E47BC3"/>
    <w:rsid w:val="00E55ED4"/>
    <w:rsid w:val="00E564CF"/>
    <w:rsid w:val="00E574CA"/>
    <w:rsid w:val="00E61283"/>
    <w:rsid w:val="00E64D25"/>
    <w:rsid w:val="00E6653A"/>
    <w:rsid w:val="00E703FB"/>
    <w:rsid w:val="00E70AAC"/>
    <w:rsid w:val="00E71B09"/>
    <w:rsid w:val="00E72701"/>
    <w:rsid w:val="00E72B67"/>
    <w:rsid w:val="00E73F6F"/>
    <w:rsid w:val="00E74D8D"/>
    <w:rsid w:val="00E82130"/>
    <w:rsid w:val="00E82865"/>
    <w:rsid w:val="00E8528A"/>
    <w:rsid w:val="00E85970"/>
    <w:rsid w:val="00E85DFA"/>
    <w:rsid w:val="00E9043E"/>
    <w:rsid w:val="00EA0FB6"/>
    <w:rsid w:val="00EA131C"/>
    <w:rsid w:val="00EA646B"/>
    <w:rsid w:val="00EB12F6"/>
    <w:rsid w:val="00EB3057"/>
    <w:rsid w:val="00EB39B1"/>
    <w:rsid w:val="00EB5949"/>
    <w:rsid w:val="00EB6488"/>
    <w:rsid w:val="00EB7949"/>
    <w:rsid w:val="00EC35FB"/>
    <w:rsid w:val="00ED15BA"/>
    <w:rsid w:val="00ED1C13"/>
    <w:rsid w:val="00ED626C"/>
    <w:rsid w:val="00ED6A0F"/>
    <w:rsid w:val="00ED790D"/>
    <w:rsid w:val="00EE12D7"/>
    <w:rsid w:val="00EE1486"/>
    <w:rsid w:val="00EE49E3"/>
    <w:rsid w:val="00EE5557"/>
    <w:rsid w:val="00EE623F"/>
    <w:rsid w:val="00EE6301"/>
    <w:rsid w:val="00EE7B83"/>
    <w:rsid w:val="00EF0B31"/>
    <w:rsid w:val="00EF2004"/>
    <w:rsid w:val="00EF255B"/>
    <w:rsid w:val="00EF68EE"/>
    <w:rsid w:val="00F01156"/>
    <w:rsid w:val="00F04CEE"/>
    <w:rsid w:val="00F07099"/>
    <w:rsid w:val="00F115EB"/>
    <w:rsid w:val="00F138C8"/>
    <w:rsid w:val="00F151C4"/>
    <w:rsid w:val="00F169B7"/>
    <w:rsid w:val="00F17714"/>
    <w:rsid w:val="00F202FE"/>
    <w:rsid w:val="00F2368A"/>
    <w:rsid w:val="00F272A0"/>
    <w:rsid w:val="00F35A21"/>
    <w:rsid w:val="00F402F6"/>
    <w:rsid w:val="00F43E5C"/>
    <w:rsid w:val="00F523B5"/>
    <w:rsid w:val="00F54B4D"/>
    <w:rsid w:val="00F5659D"/>
    <w:rsid w:val="00F6254E"/>
    <w:rsid w:val="00F7112D"/>
    <w:rsid w:val="00F73DBD"/>
    <w:rsid w:val="00F7601E"/>
    <w:rsid w:val="00F802DB"/>
    <w:rsid w:val="00F81FFE"/>
    <w:rsid w:val="00F828F6"/>
    <w:rsid w:val="00F84A64"/>
    <w:rsid w:val="00F85C2B"/>
    <w:rsid w:val="00F90523"/>
    <w:rsid w:val="00F90CE8"/>
    <w:rsid w:val="00F93025"/>
    <w:rsid w:val="00FA2F8D"/>
    <w:rsid w:val="00FA3100"/>
    <w:rsid w:val="00FA3282"/>
    <w:rsid w:val="00FC2554"/>
    <w:rsid w:val="00FC3664"/>
    <w:rsid w:val="00FC696D"/>
    <w:rsid w:val="00FD023D"/>
    <w:rsid w:val="00FE18ED"/>
    <w:rsid w:val="00FE523E"/>
    <w:rsid w:val="00FE765A"/>
    <w:rsid w:val="00FF15DE"/>
    <w:rsid w:val="00FF28FD"/>
    <w:rsid w:val="00FF4959"/>
    <w:rsid w:val="00FF659B"/>
    <w:rsid w:val="00FF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2E2ADA"/>
  <w15:chartTrackingRefBased/>
  <w15:docId w15:val="{ECF05A90-ABE5-43E1-9435-D2E1BCCB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5C84"/>
    <w:pPr>
      <w:jc w:val="both"/>
    </w:pPr>
    <w:rPr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CC2E16"/>
    <w:pPr>
      <w:autoSpaceDE w:val="0"/>
      <w:autoSpaceDN w:val="0"/>
      <w:adjustRightInd w:val="0"/>
      <w:spacing w:before="360" w:after="0" w:line="480" w:lineRule="auto"/>
      <w:outlineLvl w:val="0"/>
    </w:pPr>
    <w:rPr>
      <w:rFonts w:ascii="Times New Roman" w:hAnsi="Times New Roman" w:cs="Times New Roman"/>
      <w:b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9030FE"/>
    <w:pPr>
      <w:spacing w:before="120"/>
      <w:ind w:left="567"/>
      <w:outlineLvl w:val="1"/>
    </w:pPr>
    <w:rPr>
      <w:i/>
      <w:iCs/>
      <w:sz w:val="24"/>
      <w:szCs w:val="24"/>
    </w:rPr>
  </w:style>
  <w:style w:type="paragraph" w:styleId="Titre3">
    <w:name w:val="heading 3"/>
    <w:basedOn w:val="Sansinterligne"/>
    <w:next w:val="Normal"/>
    <w:link w:val="Titre3Car"/>
    <w:uiPriority w:val="9"/>
    <w:unhideWhenUsed/>
    <w:qFormat/>
    <w:rsid w:val="00CD5522"/>
    <w:pPr>
      <w:spacing w:before="360" w:after="120" w:line="480" w:lineRule="auto"/>
      <w:outlineLvl w:val="2"/>
    </w:pPr>
    <w:rPr>
      <w:i/>
      <w:iCs/>
      <w:lang w:val="en-US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95C84"/>
    <w:pPr>
      <w:keepNext/>
      <w:keepLines/>
      <w:spacing w:before="80" w:after="40"/>
      <w:jc w:val="left"/>
      <w:outlineLvl w:val="3"/>
    </w:pPr>
    <w:rPr>
      <w:rFonts w:eastAsiaTheme="majorEastAsia" w:cstheme="majorBidi"/>
      <w:i/>
      <w:iCs/>
      <w:color w:val="0F4761" w:themeColor="accent1" w:themeShade="BF"/>
      <w:lang w:val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95C84"/>
    <w:pPr>
      <w:keepNext/>
      <w:keepLines/>
      <w:spacing w:before="80" w:after="40"/>
      <w:jc w:val="left"/>
      <w:outlineLvl w:val="4"/>
    </w:pPr>
    <w:rPr>
      <w:rFonts w:eastAsiaTheme="majorEastAsia" w:cstheme="majorBidi"/>
      <w:color w:val="0F4761" w:themeColor="accent1" w:themeShade="BF"/>
      <w:lang w:val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95C84"/>
    <w:pPr>
      <w:keepNext/>
      <w:keepLines/>
      <w:spacing w:before="40" w:after="0"/>
      <w:jc w:val="left"/>
      <w:outlineLvl w:val="5"/>
    </w:pPr>
    <w:rPr>
      <w:rFonts w:eastAsiaTheme="majorEastAsia" w:cstheme="majorBidi"/>
      <w:i/>
      <w:iCs/>
      <w:color w:val="595959" w:themeColor="text1" w:themeTint="A6"/>
      <w:lang w:val="fr-FR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95C84"/>
    <w:pPr>
      <w:keepNext/>
      <w:keepLines/>
      <w:spacing w:before="40" w:after="0"/>
      <w:jc w:val="left"/>
      <w:outlineLvl w:val="6"/>
    </w:pPr>
    <w:rPr>
      <w:rFonts w:eastAsiaTheme="majorEastAsia" w:cstheme="majorBidi"/>
      <w:color w:val="595959" w:themeColor="text1" w:themeTint="A6"/>
      <w:lang w:val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95C84"/>
    <w:pPr>
      <w:keepNext/>
      <w:keepLines/>
      <w:spacing w:after="0"/>
      <w:jc w:val="left"/>
      <w:outlineLvl w:val="7"/>
    </w:pPr>
    <w:rPr>
      <w:rFonts w:eastAsiaTheme="majorEastAsia" w:cstheme="majorBidi"/>
      <w:i/>
      <w:iCs/>
      <w:color w:val="272727" w:themeColor="text1" w:themeTint="D8"/>
      <w:lang w:val="fr-FR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95C84"/>
    <w:pPr>
      <w:keepNext/>
      <w:keepLines/>
      <w:spacing w:after="0"/>
      <w:jc w:val="left"/>
      <w:outlineLvl w:val="8"/>
    </w:pPr>
    <w:rPr>
      <w:rFonts w:eastAsiaTheme="majorEastAsia" w:cstheme="majorBidi"/>
      <w:color w:val="272727" w:themeColor="text1" w:themeTint="D8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2E16"/>
    <w:rPr>
      <w:rFonts w:ascii="Times New Roman" w:hAnsi="Times New Roman" w:cs="Times New Roman"/>
      <w:b/>
      <w:sz w:val="28"/>
      <w:szCs w:val="28"/>
      <w:lang w:val="en-US"/>
    </w:rPr>
  </w:style>
  <w:style w:type="character" w:customStyle="1" w:styleId="Titre2Car">
    <w:name w:val="Titre 2 Car"/>
    <w:basedOn w:val="Policepardfaut"/>
    <w:link w:val="Titre2"/>
    <w:uiPriority w:val="9"/>
    <w:rsid w:val="009030FE"/>
    <w:rPr>
      <w:rFonts w:ascii="Times New Roman" w:hAnsi="Times New Roman" w:cs="Times New Roman"/>
      <w:b/>
      <w:i/>
      <w:iCs/>
      <w:sz w:val="24"/>
      <w:szCs w:val="24"/>
      <w:lang w:val="en-US"/>
    </w:rPr>
  </w:style>
  <w:style w:type="character" w:customStyle="1" w:styleId="Titre3Car">
    <w:name w:val="Titre 3 Car"/>
    <w:basedOn w:val="Policepardfaut"/>
    <w:link w:val="Titre3"/>
    <w:uiPriority w:val="9"/>
    <w:rsid w:val="00CD5522"/>
    <w:rPr>
      <w:rFonts w:ascii="Times New Roman" w:hAnsi="Times New Roman" w:cs="Times New Roman"/>
      <w:i/>
      <w:iCs/>
      <w:sz w:val="24"/>
      <w:szCs w:val="24"/>
      <w:lang w:val="en-US"/>
    </w:rPr>
  </w:style>
  <w:style w:type="character" w:customStyle="1" w:styleId="Titre4Car">
    <w:name w:val="Titre 4 Car"/>
    <w:basedOn w:val="Policepardfaut"/>
    <w:link w:val="Titre4"/>
    <w:uiPriority w:val="9"/>
    <w:rsid w:val="00995C8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995C8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95C8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95C8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95C8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95C8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Titre1"/>
    <w:next w:val="Normal"/>
    <w:link w:val="TitreCar"/>
    <w:uiPriority w:val="10"/>
    <w:qFormat/>
    <w:rsid w:val="00CC2E16"/>
    <w:pPr>
      <w:spacing w:before="120" w:line="240" w:lineRule="auto"/>
    </w:pPr>
  </w:style>
  <w:style w:type="character" w:customStyle="1" w:styleId="TitreCar">
    <w:name w:val="Titre Car"/>
    <w:basedOn w:val="Policepardfaut"/>
    <w:link w:val="Titre"/>
    <w:uiPriority w:val="10"/>
    <w:rsid w:val="00CC2E16"/>
    <w:rPr>
      <w:rFonts w:ascii="Times New Roman" w:hAnsi="Times New Roman" w:cs="Times New Roman"/>
      <w:b/>
      <w:sz w:val="28"/>
      <w:szCs w:val="28"/>
      <w:u w:val="single"/>
      <w:lang w:val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95C84"/>
    <w:pPr>
      <w:numPr>
        <w:ilvl w:val="1"/>
      </w:numPr>
      <w:jc w:val="left"/>
    </w:pPr>
    <w:rPr>
      <w:rFonts w:eastAsiaTheme="majorEastAsia" w:cstheme="majorBidi"/>
      <w:color w:val="595959" w:themeColor="text1" w:themeTint="A6"/>
      <w:spacing w:val="15"/>
      <w:sz w:val="28"/>
      <w:szCs w:val="28"/>
      <w:lang w:val="fr-FR"/>
    </w:rPr>
  </w:style>
  <w:style w:type="character" w:customStyle="1" w:styleId="Sous-titreCar">
    <w:name w:val="Sous-titre Car"/>
    <w:basedOn w:val="Policepardfaut"/>
    <w:link w:val="Sous-titre"/>
    <w:uiPriority w:val="11"/>
    <w:rsid w:val="00995C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95C84"/>
    <w:pPr>
      <w:spacing w:before="160"/>
      <w:jc w:val="center"/>
    </w:pPr>
    <w:rPr>
      <w:i/>
      <w:iCs/>
      <w:color w:val="404040" w:themeColor="text1" w:themeTint="BF"/>
      <w:lang w:val="fr-FR"/>
    </w:rPr>
  </w:style>
  <w:style w:type="character" w:customStyle="1" w:styleId="CitationCar">
    <w:name w:val="Citation Car"/>
    <w:basedOn w:val="Policepardfaut"/>
    <w:link w:val="Citation"/>
    <w:uiPriority w:val="29"/>
    <w:rsid w:val="00995C8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95C84"/>
    <w:pPr>
      <w:ind w:left="720"/>
      <w:contextualSpacing/>
      <w:jc w:val="left"/>
    </w:pPr>
    <w:rPr>
      <w:lang w:val="fr-FR"/>
    </w:rPr>
  </w:style>
  <w:style w:type="character" w:styleId="Emphaseintense">
    <w:name w:val="Intense Emphasis"/>
    <w:basedOn w:val="Policepardfaut"/>
    <w:uiPriority w:val="21"/>
    <w:qFormat/>
    <w:rsid w:val="00995C8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95C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fr-FR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95C8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95C84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995C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gende">
    <w:name w:val="caption"/>
    <w:basedOn w:val="Titre"/>
    <w:next w:val="Normal"/>
    <w:uiPriority w:val="35"/>
    <w:unhideWhenUsed/>
    <w:qFormat/>
    <w:rsid w:val="0085416D"/>
    <w:pPr>
      <w:spacing w:after="120"/>
    </w:pPr>
    <w:rPr>
      <w:sz w:val="24"/>
      <w:szCs w:val="24"/>
    </w:rPr>
  </w:style>
  <w:style w:type="paragraph" w:styleId="Sansinterligne">
    <w:name w:val="No Spacing"/>
    <w:basedOn w:val="Normal"/>
    <w:uiPriority w:val="1"/>
    <w:qFormat/>
    <w:rsid w:val="00CC2E16"/>
    <w:pPr>
      <w:spacing w:after="0" w:line="240" w:lineRule="auto"/>
    </w:pPr>
    <w:rPr>
      <w:rFonts w:ascii="Times New Roman" w:hAnsi="Times New Roman" w:cs="Times New Roman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995C84"/>
    <w:rPr>
      <w:color w:val="467886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95C84"/>
    <w:rPr>
      <w:color w:val="605E5C"/>
      <w:shd w:val="clear" w:color="auto" w:fill="E1DFDD"/>
    </w:rPr>
  </w:style>
  <w:style w:type="paragraph" w:customStyle="1" w:styleId="Text">
    <w:name w:val="Text"/>
    <w:basedOn w:val="Normal"/>
    <w:link w:val="TextCar"/>
    <w:qFormat/>
    <w:rsid w:val="00FF659B"/>
    <w:pPr>
      <w:spacing w:line="480" w:lineRule="auto"/>
      <w:ind w:firstLine="708"/>
    </w:pPr>
    <w:rPr>
      <w:rFonts w:ascii="Times New Roman" w:hAnsi="Times New Roman" w:cs="Times New Roman"/>
      <w:bCs/>
      <w:sz w:val="24"/>
      <w:szCs w:val="24"/>
    </w:rPr>
  </w:style>
  <w:style w:type="character" w:customStyle="1" w:styleId="TextCar">
    <w:name w:val="Text Car"/>
    <w:basedOn w:val="Policepardfaut"/>
    <w:link w:val="Text"/>
    <w:rsid w:val="00FF659B"/>
    <w:rPr>
      <w:rFonts w:ascii="Times New Roman" w:hAnsi="Times New Roman" w:cs="Times New Roman"/>
      <w:bCs/>
      <w:sz w:val="24"/>
      <w:szCs w:val="24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B8636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8636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86361"/>
    <w:rPr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8636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86361"/>
    <w:rPr>
      <w:b/>
      <w:bCs/>
      <w:sz w:val="20"/>
      <w:szCs w:val="20"/>
      <w:lang w:val="en-US"/>
    </w:rPr>
  </w:style>
  <w:style w:type="character" w:styleId="Accentuation">
    <w:name w:val="Emphasis"/>
    <w:basedOn w:val="Policepardfaut"/>
    <w:uiPriority w:val="20"/>
    <w:qFormat/>
    <w:rsid w:val="0081367B"/>
    <w:rPr>
      <w:i/>
      <w:iCs/>
    </w:rPr>
  </w:style>
  <w:style w:type="paragraph" w:styleId="Rvision">
    <w:name w:val="Revision"/>
    <w:hidden/>
    <w:uiPriority w:val="99"/>
    <w:semiHidden/>
    <w:rsid w:val="004C6910"/>
    <w:pPr>
      <w:spacing w:after="0" w:line="240" w:lineRule="auto"/>
    </w:pPr>
    <w:rPr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2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2E0E"/>
    <w:rPr>
      <w:rFonts w:ascii="Segoe UI" w:hAnsi="Segoe UI" w:cs="Segoe UI"/>
      <w:sz w:val="18"/>
      <w:szCs w:val="18"/>
      <w:lang w:val="en-US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F5BEF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ar"/>
    <w:rsid w:val="00E8528A"/>
    <w:pPr>
      <w:spacing w:after="0"/>
      <w:jc w:val="center"/>
    </w:pPr>
    <w:rPr>
      <w:rFonts w:ascii="Aptos" w:hAnsi="Aptos"/>
      <w:noProof/>
    </w:rPr>
  </w:style>
  <w:style w:type="character" w:customStyle="1" w:styleId="EndNoteBibliographyTitleCar">
    <w:name w:val="EndNote Bibliography Title Car"/>
    <w:basedOn w:val="Policepardfaut"/>
    <w:link w:val="EndNoteBibliographyTitle"/>
    <w:rsid w:val="00E8528A"/>
    <w:rPr>
      <w:rFonts w:ascii="Aptos" w:hAnsi="Aptos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E8528A"/>
    <w:pPr>
      <w:spacing w:line="240" w:lineRule="auto"/>
      <w:jc w:val="left"/>
    </w:pPr>
    <w:rPr>
      <w:rFonts w:ascii="Aptos" w:hAnsi="Aptos"/>
      <w:noProof/>
    </w:rPr>
  </w:style>
  <w:style w:type="character" w:customStyle="1" w:styleId="EndNoteBibliographyCar">
    <w:name w:val="EndNote Bibliography Car"/>
    <w:basedOn w:val="Policepardfaut"/>
    <w:link w:val="EndNoteBibliography"/>
    <w:rsid w:val="00E8528A"/>
    <w:rPr>
      <w:rFonts w:ascii="Aptos" w:hAnsi="Aptos"/>
      <w:noProof/>
      <w:lang w:val="en-US"/>
    </w:rPr>
  </w:style>
  <w:style w:type="paragraph" w:styleId="En-tte">
    <w:name w:val="header"/>
    <w:basedOn w:val="Normal"/>
    <w:link w:val="En-tteCar"/>
    <w:uiPriority w:val="99"/>
    <w:unhideWhenUsed/>
    <w:rsid w:val="00C8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86C06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C86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86C06"/>
    <w:rPr>
      <w:lang w:val="en-US"/>
    </w:rPr>
  </w:style>
  <w:style w:type="character" w:styleId="Numrodeligne">
    <w:name w:val="line number"/>
    <w:basedOn w:val="Policepardfaut"/>
    <w:uiPriority w:val="99"/>
    <w:semiHidden/>
    <w:unhideWhenUsed/>
    <w:rsid w:val="00C86C06"/>
  </w:style>
  <w:style w:type="character" w:customStyle="1" w:styleId="cf01">
    <w:name w:val="cf01"/>
    <w:basedOn w:val="Policepardfaut"/>
    <w:rsid w:val="00955743"/>
    <w:rPr>
      <w:rFonts w:ascii="Segoe UI" w:hAnsi="Segoe UI" w:cs="Segoe UI" w:hint="default"/>
      <w:sz w:val="18"/>
      <w:szCs w:val="18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A15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15514-E85B-4E5A-8623-2BA57D624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floriane deygas</dc:creator>
  <cp:keywords/>
  <dc:description/>
  <cp:lastModifiedBy>REIX, Philippe</cp:lastModifiedBy>
  <cp:revision>4</cp:revision>
  <dcterms:created xsi:type="dcterms:W3CDTF">2024-10-21T08:05:00Z</dcterms:created>
  <dcterms:modified xsi:type="dcterms:W3CDTF">2024-11-06T09:04:00Z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3bea29d74bc46c8c0766ff4bf53974ae29f2ed60a18e38b96ef03fc1a65d6916</vt:lpwstr>
  </property>
</Properties>
</file>