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F87D5D" w14:textId="05D4D37F" w:rsidR="009A3215" w:rsidRPr="009E3151" w:rsidRDefault="009A3215" w:rsidP="009A3215">
      <w:pPr>
        <w:spacing w:line="259" w:lineRule="auto"/>
        <w:rPr>
          <w:rFonts w:ascii="Calibri" w:eastAsia="Calibri" w:hAnsi="Calibri" w:cs="Calibri"/>
          <w:color w:val="000000" w:themeColor="text1"/>
          <w:lang w:val="en-US"/>
        </w:rPr>
      </w:pPr>
      <w:bookmarkStart w:id="0" w:name="_Hlk184926507"/>
      <w:r w:rsidRPr="009E3151">
        <w:rPr>
          <w:rFonts w:ascii="Calibri" w:eastAsia="Calibri" w:hAnsi="Calibri" w:cs="Calibri"/>
          <w:b/>
          <w:bCs/>
          <w:color w:val="000000" w:themeColor="text1"/>
          <w:lang w:val="en-US"/>
        </w:rPr>
        <w:t>Virus Monitoring in Denmark:</w:t>
      </w:r>
      <w:r w:rsidR="00EE365B">
        <w:rPr>
          <w:rFonts w:ascii="Calibri" w:eastAsia="Calibri" w:hAnsi="Calibri" w:cs="Calibri"/>
          <w:b/>
          <w:bCs/>
          <w:color w:val="000000" w:themeColor="text1"/>
          <w:lang w:val="en-US"/>
        </w:rPr>
        <w:t xml:space="preserve"> a </w:t>
      </w:r>
      <w:r w:rsidRPr="009E3151">
        <w:rPr>
          <w:rFonts w:ascii="Calibri" w:eastAsia="Calibri" w:hAnsi="Calibri" w:cs="Calibri"/>
          <w:b/>
          <w:bCs/>
          <w:color w:val="000000" w:themeColor="text1"/>
          <w:lang w:val="en-US"/>
        </w:rPr>
        <w:t xml:space="preserve">community based self-sampling </w:t>
      </w:r>
      <w:r w:rsidR="00EE365B">
        <w:rPr>
          <w:rFonts w:ascii="Calibri" w:eastAsia="Calibri" w:hAnsi="Calibri" w:cs="Calibri"/>
          <w:b/>
          <w:bCs/>
          <w:color w:val="000000" w:themeColor="text1"/>
          <w:lang w:val="en-US"/>
        </w:rPr>
        <w:t xml:space="preserve">system </w:t>
      </w:r>
      <w:r w:rsidRPr="009E3151">
        <w:rPr>
          <w:rFonts w:ascii="Calibri" w:eastAsia="Calibri" w:hAnsi="Calibri" w:cs="Calibri"/>
          <w:b/>
          <w:bCs/>
          <w:color w:val="000000" w:themeColor="text1"/>
          <w:lang w:val="en-US"/>
        </w:rPr>
        <w:t>to surveil respiratory viruses and associated symptoms</w:t>
      </w:r>
    </w:p>
    <w:bookmarkEnd w:id="0"/>
    <w:p w14:paraId="2DEE3373" w14:textId="14F00F6D" w:rsidR="009A3215" w:rsidRDefault="009808B9" w:rsidP="009A3215">
      <w:pPr>
        <w:spacing w:line="259" w:lineRule="auto"/>
        <w:rPr>
          <w:rFonts w:ascii="Calibri" w:eastAsia="Calibri" w:hAnsi="Calibri" w:cs="Calibri"/>
          <w:color w:val="000000" w:themeColor="text1"/>
          <w:lang w:val="en-US"/>
        </w:rPr>
      </w:pPr>
      <w:r>
        <w:rPr>
          <w:rFonts w:ascii="Calibri" w:eastAsia="Calibri" w:hAnsi="Calibri" w:cs="Calibri"/>
          <w:color w:val="000000" w:themeColor="text1"/>
          <w:lang w:val="en-US"/>
        </w:rPr>
        <w:t>Running head</w:t>
      </w:r>
      <w:r w:rsidR="009A3215">
        <w:rPr>
          <w:rFonts w:ascii="Calibri" w:eastAsia="Calibri" w:hAnsi="Calibri" w:cs="Calibri"/>
          <w:color w:val="000000" w:themeColor="text1"/>
          <w:lang w:val="en-US"/>
        </w:rPr>
        <w:t>: Virus Monitoring in Denmark</w:t>
      </w:r>
    </w:p>
    <w:p w14:paraId="26389460" w14:textId="77777777" w:rsidR="009A3215" w:rsidRPr="009E3151" w:rsidRDefault="009A3215" w:rsidP="009A3215">
      <w:pPr>
        <w:spacing w:line="259" w:lineRule="auto"/>
        <w:rPr>
          <w:rFonts w:ascii="Calibri" w:eastAsia="Calibri" w:hAnsi="Calibri" w:cs="Calibri"/>
          <w:color w:val="000000" w:themeColor="text1"/>
          <w:lang w:val="en-US"/>
        </w:rPr>
      </w:pPr>
    </w:p>
    <w:p w14:paraId="63A0F94B" w14:textId="77777777" w:rsidR="009A3215" w:rsidRPr="009E3151" w:rsidRDefault="009A3215" w:rsidP="009A3215">
      <w:pPr>
        <w:spacing w:line="259" w:lineRule="auto"/>
        <w:rPr>
          <w:rFonts w:ascii="Calibri" w:eastAsia="Calibri" w:hAnsi="Calibri" w:cs="Calibri"/>
          <w:color w:val="000000" w:themeColor="text1"/>
          <w:lang w:val="en-US"/>
        </w:rPr>
      </w:pPr>
      <w:r w:rsidRPr="009E3151">
        <w:rPr>
          <w:rFonts w:ascii="Calibri" w:eastAsia="Calibri" w:hAnsi="Calibri" w:cs="Calibri"/>
          <w:b/>
          <w:bCs/>
          <w:color w:val="000000" w:themeColor="text1"/>
          <w:lang w:val="en-US"/>
        </w:rPr>
        <w:t>Authors:</w:t>
      </w:r>
    </w:p>
    <w:p w14:paraId="3188AAF5" w14:textId="77777777" w:rsidR="009A3215" w:rsidRPr="009E3151" w:rsidRDefault="009A3215" w:rsidP="009A3215">
      <w:pPr>
        <w:spacing w:line="259" w:lineRule="auto"/>
        <w:rPr>
          <w:rFonts w:ascii="Calibri" w:eastAsia="Calibri" w:hAnsi="Calibri" w:cs="Calibri"/>
          <w:color w:val="000000" w:themeColor="text1"/>
          <w:sz w:val="22"/>
          <w:szCs w:val="22"/>
          <w:lang w:val="en-US"/>
        </w:rPr>
      </w:pPr>
      <w:bookmarkStart w:id="1" w:name="_Hlk185094665"/>
      <w:r w:rsidRPr="009E3151">
        <w:rPr>
          <w:rFonts w:ascii="Calibri" w:eastAsia="Calibri" w:hAnsi="Calibri" w:cs="Calibri"/>
          <w:color w:val="000000" w:themeColor="text1"/>
          <w:sz w:val="22"/>
          <w:szCs w:val="22"/>
          <w:lang w:val="en-US"/>
        </w:rPr>
        <w:t>Tine Graakjær Larsen</w:t>
      </w:r>
      <w:r w:rsidRPr="009E3151">
        <w:rPr>
          <w:rFonts w:ascii="Calibri" w:eastAsia="Calibri" w:hAnsi="Calibri" w:cs="Calibri"/>
          <w:color w:val="000000" w:themeColor="text1"/>
          <w:sz w:val="22"/>
          <w:szCs w:val="22"/>
          <w:vertAlign w:val="superscript"/>
          <w:lang w:val="en-US"/>
        </w:rPr>
        <w:t>1,2</w:t>
      </w:r>
      <w:r w:rsidRPr="009E3151">
        <w:rPr>
          <w:rFonts w:ascii="Calibri" w:eastAsia="Calibri" w:hAnsi="Calibri" w:cs="Calibri"/>
          <w:color w:val="000000" w:themeColor="text1"/>
          <w:sz w:val="22"/>
          <w:szCs w:val="22"/>
          <w:lang w:val="en-US"/>
        </w:rPr>
        <w:t>, Jonathan R. Ginty</w:t>
      </w:r>
      <w:r w:rsidRPr="009E3151">
        <w:rPr>
          <w:rFonts w:ascii="Calibri" w:eastAsia="Calibri" w:hAnsi="Calibri" w:cs="Calibri"/>
          <w:color w:val="000000" w:themeColor="text1"/>
          <w:sz w:val="22"/>
          <w:szCs w:val="22"/>
          <w:vertAlign w:val="superscript"/>
          <w:lang w:val="en-US"/>
        </w:rPr>
        <w:t>1</w:t>
      </w:r>
      <w:r w:rsidRPr="009E3151">
        <w:rPr>
          <w:rFonts w:ascii="Calibri" w:eastAsia="Calibri" w:hAnsi="Calibri" w:cs="Calibri"/>
          <w:color w:val="000000" w:themeColor="text1"/>
          <w:sz w:val="22"/>
          <w:szCs w:val="22"/>
          <w:lang w:val="en-US"/>
        </w:rPr>
        <w:t>, Randi Jessen</w:t>
      </w:r>
      <w:r w:rsidRPr="009E3151">
        <w:rPr>
          <w:rFonts w:ascii="Calibri" w:eastAsia="Calibri" w:hAnsi="Calibri" w:cs="Calibri"/>
          <w:color w:val="000000" w:themeColor="text1"/>
          <w:sz w:val="22"/>
          <w:szCs w:val="22"/>
          <w:vertAlign w:val="superscript"/>
          <w:lang w:val="en-US"/>
        </w:rPr>
        <w:t>3,4</w:t>
      </w:r>
      <w:r w:rsidRPr="009E3151">
        <w:rPr>
          <w:rFonts w:ascii="Calibri" w:eastAsia="Calibri" w:hAnsi="Calibri" w:cs="Calibri"/>
          <w:color w:val="000000" w:themeColor="text1"/>
          <w:sz w:val="22"/>
          <w:szCs w:val="22"/>
          <w:lang w:val="en-US"/>
        </w:rPr>
        <w:t>, Ruben Bjerregaard Nielsen</w:t>
      </w:r>
      <w:r w:rsidRPr="009E3151">
        <w:rPr>
          <w:rFonts w:ascii="Calibri" w:eastAsia="Calibri" w:hAnsi="Calibri" w:cs="Calibri"/>
          <w:color w:val="000000" w:themeColor="text1"/>
          <w:sz w:val="22"/>
          <w:szCs w:val="22"/>
          <w:vertAlign w:val="superscript"/>
          <w:lang w:val="en-US"/>
        </w:rPr>
        <w:t xml:space="preserve"> 3,10</w:t>
      </w:r>
      <w:r w:rsidRPr="009E3151">
        <w:rPr>
          <w:rFonts w:ascii="Calibri" w:eastAsia="Calibri" w:hAnsi="Calibri" w:cs="Calibri"/>
          <w:color w:val="000000" w:themeColor="text1"/>
          <w:sz w:val="22"/>
          <w:szCs w:val="22"/>
          <w:lang w:val="en-US"/>
        </w:rPr>
        <w:t>, Anders Jensen</w:t>
      </w:r>
      <w:r w:rsidRPr="009E3151">
        <w:rPr>
          <w:rFonts w:ascii="Calibri" w:eastAsia="Calibri" w:hAnsi="Calibri" w:cs="Calibri"/>
          <w:color w:val="000000" w:themeColor="text1"/>
          <w:sz w:val="22"/>
          <w:szCs w:val="22"/>
          <w:vertAlign w:val="superscript"/>
          <w:lang w:val="en-US"/>
        </w:rPr>
        <w:t>8</w:t>
      </w:r>
      <w:r w:rsidRPr="009E3151">
        <w:rPr>
          <w:rFonts w:ascii="Calibri" w:eastAsia="Calibri" w:hAnsi="Calibri" w:cs="Calibri"/>
          <w:color w:val="000000" w:themeColor="text1"/>
          <w:sz w:val="22"/>
          <w:szCs w:val="22"/>
          <w:lang w:val="en-US"/>
        </w:rPr>
        <w:t>, Amanda Bolt Botnen</w:t>
      </w:r>
      <w:r w:rsidRPr="009E3151">
        <w:rPr>
          <w:rFonts w:ascii="Calibri" w:eastAsia="Calibri" w:hAnsi="Calibri" w:cs="Calibri"/>
          <w:color w:val="000000" w:themeColor="text1"/>
          <w:sz w:val="22"/>
          <w:szCs w:val="22"/>
          <w:vertAlign w:val="superscript"/>
          <w:lang w:val="en-US"/>
        </w:rPr>
        <w:t>5</w:t>
      </w:r>
      <w:r w:rsidRPr="009E3151">
        <w:rPr>
          <w:rFonts w:ascii="Calibri" w:eastAsia="Calibri" w:hAnsi="Calibri" w:cs="Calibri"/>
          <w:color w:val="000000" w:themeColor="text1"/>
          <w:sz w:val="22"/>
          <w:szCs w:val="22"/>
          <w:lang w:val="en-US"/>
        </w:rPr>
        <w:t>, Bartlomiej Wilkowski</w:t>
      </w:r>
      <w:r w:rsidRPr="009E3151">
        <w:rPr>
          <w:rFonts w:ascii="Calibri" w:eastAsia="Calibri" w:hAnsi="Calibri" w:cs="Calibri"/>
          <w:color w:val="000000" w:themeColor="text1"/>
          <w:sz w:val="22"/>
          <w:szCs w:val="22"/>
          <w:vertAlign w:val="superscript"/>
          <w:lang w:val="en-US"/>
        </w:rPr>
        <w:t>8</w:t>
      </w:r>
      <w:r w:rsidRPr="009E3151">
        <w:rPr>
          <w:rFonts w:ascii="Calibri" w:eastAsia="Calibri" w:hAnsi="Calibri" w:cs="Calibri"/>
          <w:color w:val="000000" w:themeColor="text1"/>
          <w:sz w:val="22"/>
          <w:szCs w:val="22"/>
          <w:lang w:val="en-US"/>
        </w:rPr>
        <w:t>, Camilla Rasmussen</w:t>
      </w:r>
      <w:r w:rsidRPr="009E3151">
        <w:rPr>
          <w:rFonts w:ascii="Calibri" w:eastAsia="Calibri" w:hAnsi="Calibri" w:cs="Calibri"/>
          <w:color w:val="000000" w:themeColor="text1"/>
          <w:sz w:val="22"/>
          <w:szCs w:val="22"/>
          <w:vertAlign w:val="superscript"/>
          <w:lang w:val="en-US"/>
        </w:rPr>
        <w:t>7</w:t>
      </w:r>
      <w:r w:rsidRPr="009E3151">
        <w:rPr>
          <w:rFonts w:ascii="Calibri" w:eastAsia="Calibri" w:hAnsi="Calibri" w:cs="Calibri"/>
          <w:color w:val="000000" w:themeColor="text1"/>
          <w:sz w:val="22"/>
          <w:szCs w:val="22"/>
          <w:lang w:val="en-US"/>
        </w:rPr>
        <w:t>, Dalila Lepirica Brødbæk</w:t>
      </w:r>
      <w:r w:rsidRPr="009E3151">
        <w:rPr>
          <w:rFonts w:ascii="Calibri" w:eastAsia="Calibri" w:hAnsi="Calibri" w:cs="Calibri"/>
          <w:color w:val="000000" w:themeColor="text1"/>
          <w:sz w:val="22"/>
          <w:szCs w:val="22"/>
          <w:vertAlign w:val="superscript"/>
          <w:lang w:val="en-US"/>
        </w:rPr>
        <w:t xml:space="preserve"> 8</w:t>
      </w:r>
      <w:r w:rsidRPr="009E3151">
        <w:rPr>
          <w:rFonts w:ascii="Calibri" w:eastAsia="Calibri" w:hAnsi="Calibri" w:cs="Calibri"/>
          <w:color w:val="000000" w:themeColor="text1"/>
          <w:sz w:val="22"/>
          <w:szCs w:val="22"/>
          <w:lang w:val="en-US"/>
        </w:rPr>
        <w:t>, Daniel Steven Shaw</w:t>
      </w:r>
      <w:r w:rsidRPr="009E3151">
        <w:rPr>
          <w:rFonts w:ascii="Calibri" w:eastAsia="Calibri" w:hAnsi="Calibri" w:cs="Calibri"/>
          <w:color w:val="000000" w:themeColor="text1"/>
          <w:sz w:val="22"/>
          <w:szCs w:val="22"/>
          <w:vertAlign w:val="superscript"/>
          <w:lang w:val="en-US"/>
        </w:rPr>
        <w:t>3,4</w:t>
      </w:r>
      <w:r w:rsidRPr="009E3151">
        <w:rPr>
          <w:rFonts w:ascii="Calibri" w:eastAsia="Calibri" w:hAnsi="Calibri" w:cs="Calibri"/>
          <w:color w:val="000000" w:themeColor="text1"/>
          <w:sz w:val="22"/>
          <w:szCs w:val="22"/>
          <w:lang w:val="en-US"/>
        </w:rPr>
        <w:t>, Elias Benameur</w:t>
      </w:r>
      <w:r w:rsidRPr="009E3151">
        <w:rPr>
          <w:rFonts w:ascii="Calibri" w:eastAsia="Calibri" w:hAnsi="Calibri" w:cs="Calibri"/>
          <w:color w:val="000000" w:themeColor="text1"/>
          <w:sz w:val="22"/>
          <w:szCs w:val="22"/>
          <w:vertAlign w:val="superscript"/>
          <w:lang w:val="en-US"/>
        </w:rPr>
        <w:t>7</w:t>
      </w:r>
      <w:r w:rsidRPr="009E3151">
        <w:rPr>
          <w:rFonts w:ascii="Calibri" w:eastAsia="Calibri" w:hAnsi="Calibri" w:cs="Calibri"/>
          <w:color w:val="000000" w:themeColor="text1"/>
          <w:sz w:val="22"/>
          <w:szCs w:val="22"/>
          <w:lang w:val="en-US"/>
        </w:rPr>
        <w:t>, Morten Rasmussen</w:t>
      </w:r>
      <w:r w:rsidRPr="009E3151">
        <w:rPr>
          <w:rFonts w:ascii="Calibri" w:eastAsia="Calibri" w:hAnsi="Calibri" w:cs="Calibri"/>
          <w:color w:val="000000" w:themeColor="text1"/>
          <w:sz w:val="22"/>
          <w:szCs w:val="22"/>
          <w:vertAlign w:val="superscript"/>
          <w:lang w:val="en-US"/>
        </w:rPr>
        <w:t>5</w:t>
      </w:r>
      <w:r w:rsidRPr="009E3151">
        <w:rPr>
          <w:rFonts w:ascii="Calibri" w:eastAsia="Calibri" w:hAnsi="Calibri" w:cs="Calibri"/>
          <w:color w:val="000000" w:themeColor="text1"/>
          <w:sz w:val="22"/>
          <w:szCs w:val="22"/>
          <w:lang w:val="en-US"/>
        </w:rPr>
        <w:t>, Ramona Trebbien</w:t>
      </w:r>
      <w:r w:rsidRPr="009E3151">
        <w:rPr>
          <w:rFonts w:ascii="Calibri" w:eastAsia="Calibri" w:hAnsi="Calibri" w:cs="Calibri"/>
          <w:color w:val="000000" w:themeColor="text1"/>
          <w:sz w:val="22"/>
          <w:szCs w:val="22"/>
          <w:vertAlign w:val="superscript"/>
          <w:lang w:val="en-US"/>
        </w:rPr>
        <w:t xml:space="preserve"> 5</w:t>
      </w:r>
      <w:r w:rsidRPr="009E3151">
        <w:rPr>
          <w:rFonts w:ascii="Calibri" w:eastAsia="Calibri" w:hAnsi="Calibri" w:cs="Calibri"/>
          <w:color w:val="000000" w:themeColor="text1"/>
          <w:sz w:val="22"/>
          <w:szCs w:val="22"/>
          <w:lang w:val="en-US"/>
        </w:rPr>
        <w:t>, Shila Mortensen</w:t>
      </w:r>
      <w:r w:rsidRPr="009E3151">
        <w:rPr>
          <w:rFonts w:ascii="Calibri" w:eastAsia="Calibri" w:hAnsi="Calibri" w:cs="Calibri"/>
          <w:color w:val="000000" w:themeColor="text1"/>
          <w:sz w:val="22"/>
          <w:szCs w:val="22"/>
          <w:vertAlign w:val="superscript"/>
          <w:lang w:val="en-US"/>
        </w:rPr>
        <w:t xml:space="preserve"> 5</w:t>
      </w:r>
      <w:r w:rsidRPr="009E3151">
        <w:rPr>
          <w:rFonts w:ascii="Calibri" w:eastAsia="Calibri" w:hAnsi="Calibri" w:cs="Calibri"/>
          <w:color w:val="000000" w:themeColor="text1"/>
          <w:sz w:val="22"/>
          <w:szCs w:val="22"/>
          <w:lang w:val="en-US"/>
        </w:rPr>
        <w:t>, Stefan S. Olsen</w:t>
      </w:r>
      <w:r w:rsidRPr="009E3151">
        <w:rPr>
          <w:rFonts w:ascii="Calibri" w:eastAsia="Calibri" w:hAnsi="Calibri" w:cs="Calibri"/>
          <w:color w:val="000000" w:themeColor="text1"/>
          <w:sz w:val="22"/>
          <w:szCs w:val="22"/>
          <w:vertAlign w:val="superscript"/>
          <w:lang w:val="en-US"/>
        </w:rPr>
        <w:t>7</w:t>
      </w:r>
      <w:r w:rsidRPr="009E3151">
        <w:rPr>
          <w:rFonts w:ascii="Calibri" w:eastAsia="Calibri" w:hAnsi="Calibri" w:cs="Calibri"/>
          <w:color w:val="000000" w:themeColor="text1"/>
          <w:sz w:val="22"/>
          <w:szCs w:val="22"/>
          <w:lang w:val="en-US"/>
        </w:rPr>
        <w:t>, Steven Chong</w:t>
      </w:r>
      <w:r w:rsidRPr="009E3151">
        <w:rPr>
          <w:rFonts w:ascii="Calibri" w:eastAsia="Calibri" w:hAnsi="Calibri" w:cs="Calibri"/>
          <w:color w:val="000000" w:themeColor="text1"/>
          <w:sz w:val="22"/>
          <w:szCs w:val="22"/>
          <w:vertAlign w:val="superscript"/>
          <w:lang w:val="en-US"/>
        </w:rPr>
        <w:t xml:space="preserve"> 8</w:t>
      </w:r>
      <w:r w:rsidRPr="009E3151">
        <w:rPr>
          <w:rFonts w:ascii="Calibri" w:eastAsia="Calibri" w:hAnsi="Calibri" w:cs="Calibri"/>
          <w:color w:val="000000" w:themeColor="text1"/>
          <w:sz w:val="22"/>
          <w:szCs w:val="22"/>
          <w:lang w:val="en-US"/>
        </w:rPr>
        <w:t>, Tyra Grove Krause</w:t>
      </w:r>
      <w:r w:rsidRPr="009E3151">
        <w:rPr>
          <w:rFonts w:ascii="Calibri" w:eastAsia="Calibri" w:hAnsi="Calibri" w:cs="Calibri"/>
          <w:color w:val="000000" w:themeColor="text1"/>
          <w:sz w:val="22"/>
          <w:szCs w:val="22"/>
          <w:vertAlign w:val="superscript"/>
          <w:lang w:val="en-US"/>
        </w:rPr>
        <w:t>6</w:t>
      </w:r>
      <w:r w:rsidRPr="009E3151">
        <w:rPr>
          <w:rFonts w:ascii="Calibri" w:eastAsia="Calibri" w:hAnsi="Calibri" w:cs="Calibri"/>
          <w:color w:val="000000" w:themeColor="text1"/>
          <w:sz w:val="22"/>
          <w:szCs w:val="22"/>
          <w:lang w:val="en-US"/>
        </w:rPr>
        <w:t>, Uffe Vest Schneider</w:t>
      </w:r>
      <w:r w:rsidRPr="009E3151">
        <w:rPr>
          <w:rFonts w:ascii="Calibri" w:eastAsia="Calibri" w:hAnsi="Calibri" w:cs="Calibri"/>
          <w:color w:val="000000" w:themeColor="text1"/>
          <w:sz w:val="22"/>
          <w:szCs w:val="22"/>
          <w:vertAlign w:val="superscript"/>
          <w:lang w:val="en-US"/>
        </w:rPr>
        <w:t xml:space="preserve"> 4,5,9</w:t>
      </w:r>
      <w:r w:rsidRPr="009E3151">
        <w:rPr>
          <w:rFonts w:ascii="Calibri" w:eastAsia="Calibri" w:hAnsi="Calibri" w:cs="Calibri"/>
          <w:color w:val="000000" w:themeColor="text1"/>
          <w:sz w:val="22"/>
          <w:szCs w:val="22"/>
          <w:lang w:val="en-US"/>
        </w:rPr>
        <w:t>, Anne-Marie Vangsted</w:t>
      </w:r>
      <w:r w:rsidRPr="009E3151">
        <w:rPr>
          <w:rFonts w:ascii="Calibri" w:eastAsia="Calibri" w:hAnsi="Calibri" w:cs="Calibri"/>
          <w:color w:val="000000" w:themeColor="text1"/>
          <w:sz w:val="22"/>
          <w:szCs w:val="22"/>
          <w:vertAlign w:val="superscript"/>
          <w:lang w:val="en-US"/>
        </w:rPr>
        <w:t>3,10</w:t>
      </w:r>
      <w:r w:rsidRPr="009E3151">
        <w:rPr>
          <w:rFonts w:ascii="Calibri" w:eastAsia="Calibri" w:hAnsi="Calibri" w:cs="Calibri"/>
          <w:color w:val="000000" w:themeColor="text1"/>
          <w:sz w:val="22"/>
          <w:szCs w:val="22"/>
          <w:lang w:val="en-US"/>
        </w:rPr>
        <w:t>, Nina Ruth Steenhard</w:t>
      </w:r>
      <w:r w:rsidRPr="009E3151">
        <w:rPr>
          <w:rFonts w:ascii="Calibri" w:eastAsia="Calibri" w:hAnsi="Calibri" w:cs="Calibri"/>
          <w:color w:val="000000" w:themeColor="text1"/>
          <w:sz w:val="22"/>
          <w:szCs w:val="22"/>
          <w:vertAlign w:val="superscript"/>
          <w:lang w:val="en-US"/>
        </w:rPr>
        <w:t xml:space="preserve"> 3,4</w:t>
      </w:r>
      <w:r w:rsidRPr="009E3151">
        <w:rPr>
          <w:rFonts w:ascii="Calibri" w:eastAsia="Calibri" w:hAnsi="Calibri" w:cs="Calibri"/>
          <w:color w:val="000000" w:themeColor="text1"/>
          <w:sz w:val="22"/>
          <w:szCs w:val="22"/>
          <w:lang w:val="en-US"/>
        </w:rPr>
        <w:t>, Frederik Trier Møller</w:t>
      </w:r>
      <w:r w:rsidRPr="009E3151">
        <w:rPr>
          <w:rFonts w:ascii="Calibri" w:eastAsia="Calibri" w:hAnsi="Calibri" w:cs="Calibri"/>
          <w:color w:val="000000" w:themeColor="text1"/>
          <w:sz w:val="22"/>
          <w:szCs w:val="22"/>
          <w:vertAlign w:val="superscript"/>
          <w:lang w:val="en-US"/>
        </w:rPr>
        <w:t xml:space="preserve"> 1</w:t>
      </w:r>
    </w:p>
    <w:p w14:paraId="63134461" w14:textId="77777777" w:rsidR="009A3215" w:rsidRPr="009E3151" w:rsidRDefault="009A3215" w:rsidP="009A321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Affiliations:</w:t>
      </w:r>
    </w:p>
    <w:p w14:paraId="75333319" w14:textId="77777777" w:rsidR="009A3215" w:rsidRPr="009E3151" w:rsidRDefault="009A3215" w:rsidP="009A3215">
      <w:pPr>
        <w:pStyle w:val="ListParagraph"/>
        <w:numPr>
          <w:ilvl w:val="0"/>
          <w:numId w:val="4"/>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Department of </w:t>
      </w:r>
      <w:r>
        <w:rPr>
          <w:rFonts w:ascii="Calibri" w:eastAsia="Calibri" w:hAnsi="Calibri" w:cs="Calibri"/>
          <w:color w:val="000000" w:themeColor="text1"/>
          <w:sz w:val="22"/>
          <w:szCs w:val="22"/>
          <w:lang w:val="en-US"/>
        </w:rPr>
        <w:t>I</w:t>
      </w:r>
      <w:r w:rsidRPr="009E3151">
        <w:rPr>
          <w:rFonts w:ascii="Calibri" w:eastAsia="Calibri" w:hAnsi="Calibri" w:cs="Calibri"/>
          <w:color w:val="000000" w:themeColor="text1"/>
          <w:sz w:val="22"/>
          <w:szCs w:val="22"/>
          <w:lang w:val="en-US"/>
        </w:rPr>
        <w:t xml:space="preserve">nfectious Disease Epidemiology and Prevention, </w:t>
      </w:r>
      <w:proofErr w:type="spellStart"/>
      <w:r w:rsidRPr="009E3151">
        <w:rPr>
          <w:rFonts w:ascii="Calibri" w:eastAsia="Calibri" w:hAnsi="Calibri" w:cs="Calibri"/>
          <w:color w:val="000000" w:themeColor="text1"/>
          <w:sz w:val="22"/>
          <w:szCs w:val="22"/>
          <w:lang w:val="en-US"/>
        </w:rPr>
        <w:t>Statens</w:t>
      </w:r>
      <w:proofErr w:type="spellEnd"/>
      <w:r w:rsidRPr="009E3151">
        <w:rPr>
          <w:rFonts w:ascii="Calibri" w:eastAsia="Calibri" w:hAnsi="Calibri" w:cs="Calibri"/>
          <w:color w:val="000000" w:themeColor="text1"/>
          <w:sz w:val="22"/>
          <w:szCs w:val="22"/>
          <w:lang w:val="en-US"/>
        </w:rPr>
        <w:t xml:space="preserve"> Serum </w:t>
      </w:r>
      <w:proofErr w:type="spellStart"/>
      <w:r w:rsidRPr="009E3151">
        <w:rPr>
          <w:rFonts w:ascii="Calibri" w:eastAsia="Calibri" w:hAnsi="Calibri" w:cs="Calibri"/>
          <w:color w:val="000000" w:themeColor="text1"/>
          <w:sz w:val="22"/>
          <w:szCs w:val="22"/>
          <w:lang w:val="en-US"/>
        </w:rPr>
        <w:t>Institut</w:t>
      </w:r>
      <w:proofErr w:type="spellEnd"/>
      <w:r w:rsidRPr="009E3151">
        <w:rPr>
          <w:rFonts w:ascii="Calibri" w:eastAsia="Calibri" w:hAnsi="Calibri" w:cs="Calibri"/>
          <w:color w:val="000000" w:themeColor="text1"/>
          <w:sz w:val="22"/>
          <w:szCs w:val="22"/>
          <w:lang w:val="en-US"/>
        </w:rPr>
        <w:t>, Copenhagen, Denmark</w:t>
      </w:r>
    </w:p>
    <w:p w14:paraId="483C3B92" w14:textId="77777777" w:rsidR="009A3215" w:rsidRPr="009E3151" w:rsidRDefault="009A3215" w:rsidP="009A3215">
      <w:pPr>
        <w:pStyle w:val="ListParagraph"/>
        <w:numPr>
          <w:ilvl w:val="0"/>
          <w:numId w:val="4"/>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ECDC </w:t>
      </w:r>
      <w:r>
        <w:rPr>
          <w:rFonts w:ascii="Calibri" w:eastAsia="Calibri" w:hAnsi="Calibri" w:cs="Calibri"/>
          <w:color w:val="000000" w:themeColor="text1"/>
          <w:sz w:val="22"/>
          <w:szCs w:val="22"/>
          <w:lang w:val="en-US"/>
        </w:rPr>
        <w:t>F</w:t>
      </w:r>
      <w:r w:rsidRPr="009E3151">
        <w:rPr>
          <w:rFonts w:ascii="Calibri" w:eastAsia="Calibri" w:hAnsi="Calibri" w:cs="Calibri"/>
          <w:color w:val="000000" w:themeColor="text1"/>
          <w:sz w:val="22"/>
          <w:szCs w:val="22"/>
          <w:lang w:val="en-US"/>
        </w:rPr>
        <w:t xml:space="preserve">ellowship </w:t>
      </w:r>
      <w:proofErr w:type="spellStart"/>
      <w:r w:rsidRPr="009E3151">
        <w:rPr>
          <w:rFonts w:ascii="Calibri" w:eastAsia="Calibri" w:hAnsi="Calibri" w:cs="Calibri"/>
          <w:color w:val="000000" w:themeColor="text1"/>
          <w:sz w:val="22"/>
          <w:szCs w:val="22"/>
          <w:lang w:val="en-US"/>
        </w:rPr>
        <w:t>Programme</w:t>
      </w:r>
      <w:proofErr w:type="spellEnd"/>
      <w:r w:rsidRPr="009E3151">
        <w:rPr>
          <w:rFonts w:ascii="Calibri" w:eastAsia="Calibri" w:hAnsi="Calibri" w:cs="Calibri"/>
          <w:color w:val="000000" w:themeColor="text1"/>
          <w:sz w:val="22"/>
          <w:szCs w:val="22"/>
          <w:lang w:val="en-US"/>
        </w:rPr>
        <w:t xml:space="preserve">, Public Health Microbiology path (EUPHEM), European Centre for Disease Prevention and Control (ECDC), Stockholm, Sweden  </w:t>
      </w:r>
    </w:p>
    <w:p w14:paraId="49C622AF" w14:textId="77777777" w:rsidR="009A3215" w:rsidRPr="009E3151" w:rsidRDefault="009A3215" w:rsidP="009A3215">
      <w:pPr>
        <w:pStyle w:val="ListParagraph"/>
        <w:numPr>
          <w:ilvl w:val="0"/>
          <w:numId w:val="4"/>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Department of High-Capacity Diagnostics, </w:t>
      </w:r>
      <w:proofErr w:type="spellStart"/>
      <w:r w:rsidRPr="009E3151">
        <w:rPr>
          <w:rFonts w:ascii="Calibri" w:eastAsia="Calibri" w:hAnsi="Calibri" w:cs="Calibri"/>
          <w:color w:val="000000" w:themeColor="text1"/>
          <w:sz w:val="22"/>
          <w:szCs w:val="22"/>
          <w:lang w:val="en-US"/>
        </w:rPr>
        <w:t>Statens</w:t>
      </w:r>
      <w:proofErr w:type="spellEnd"/>
      <w:r w:rsidRPr="009E3151">
        <w:rPr>
          <w:rFonts w:ascii="Calibri" w:eastAsia="Calibri" w:hAnsi="Calibri" w:cs="Calibri"/>
          <w:color w:val="000000" w:themeColor="text1"/>
          <w:sz w:val="22"/>
          <w:szCs w:val="22"/>
          <w:lang w:val="en-US"/>
        </w:rPr>
        <w:t xml:space="preserve"> Serum </w:t>
      </w:r>
      <w:proofErr w:type="spellStart"/>
      <w:r w:rsidRPr="009E3151">
        <w:rPr>
          <w:rFonts w:ascii="Calibri" w:eastAsia="Calibri" w:hAnsi="Calibri" w:cs="Calibri"/>
          <w:color w:val="000000" w:themeColor="text1"/>
          <w:sz w:val="22"/>
          <w:szCs w:val="22"/>
          <w:lang w:val="en-US"/>
        </w:rPr>
        <w:t>Institut</w:t>
      </w:r>
      <w:proofErr w:type="spellEnd"/>
      <w:r w:rsidRPr="009E3151">
        <w:rPr>
          <w:rFonts w:ascii="Calibri" w:eastAsia="Calibri" w:hAnsi="Calibri" w:cs="Calibri"/>
          <w:color w:val="000000" w:themeColor="text1"/>
          <w:sz w:val="22"/>
          <w:szCs w:val="22"/>
          <w:lang w:val="en-US"/>
        </w:rPr>
        <w:t>, Copenhagen, Denmark</w:t>
      </w:r>
    </w:p>
    <w:p w14:paraId="512D7AD3" w14:textId="77777777" w:rsidR="009A3215" w:rsidRPr="009E3151" w:rsidRDefault="009A3215" w:rsidP="009A3215">
      <w:pPr>
        <w:pStyle w:val="ListParagraph"/>
        <w:numPr>
          <w:ilvl w:val="0"/>
          <w:numId w:val="4"/>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The Department of Virology and Microbiological Preparedness, </w:t>
      </w:r>
      <w:proofErr w:type="spellStart"/>
      <w:r w:rsidRPr="009E3151">
        <w:rPr>
          <w:rFonts w:ascii="Calibri" w:eastAsia="Calibri" w:hAnsi="Calibri" w:cs="Calibri"/>
          <w:color w:val="000000" w:themeColor="text1"/>
          <w:sz w:val="22"/>
          <w:szCs w:val="22"/>
          <w:lang w:val="en-US"/>
        </w:rPr>
        <w:t>Statens</w:t>
      </w:r>
      <w:proofErr w:type="spellEnd"/>
      <w:r w:rsidRPr="009E3151">
        <w:rPr>
          <w:rFonts w:ascii="Calibri" w:eastAsia="Calibri" w:hAnsi="Calibri" w:cs="Calibri"/>
          <w:color w:val="000000" w:themeColor="text1"/>
          <w:sz w:val="22"/>
          <w:szCs w:val="22"/>
          <w:lang w:val="en-US"/>
        </w:rPr>
        <w:t xml:space="preserve"> Serum </w:t>
      </w:r>
      <w:proofErr w:type="spellStart"/>
      <w:r w:rsidRPr="009E3151">
        <w:rPr>
          <w:rFonts w:ascii="Calibri" w:eastAsia="Calibri" w:hAnsi="Calibri" w:cs="Calibri"/>
          <w:color w:val="000000" w:themeColor="text1"/>
          <w:sz w:val="22"/>
          <w:szCs w:val="22"/>
          <w:lang w:val="en-US"/>
        </w:rPr>
        <w:t>Institut</w:t>
      </w:r>
      <w:proofErr w:type="spellEnd"/>
      <w:r w:rsidRPr="009E3151">
        <w:rPr>
          <w:rFonts w:ascii="Calibri" w:eastAsia="Calibri" w:hAnsi="Calibri" w:cs="Calibri"/>
          <w:color w:val="000000" w:themeColor="text1"/>
          <w:sz w:val="22"/>
          <w:szCs w:val="22"/>
          <w:lang w:val="en-US"/>
        </w:rPr>
        <w:t>, Copenhagen, Denmark</w:t>
      </w:r>
    </w:p>
    <w:p w14:paraId="58CDD607" w14:textId="77777777" w:rsidR="009A3215" w:rsidRPr="009E3151" w:rsidRDefault="009A3215" w:rsidP="009A3215">
      <w:pPr>
        <w:pStyle w:val="ListParagraph"/>
        <w:numPr>
          <w:ilvl w:val="0"/>
          <w:numId w:val="4"/>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Department of Virus and Microbiological Special Diagnostics, </w:t>
      </w:r>
      <w:proofErr w:type="spellStart"/>
      <w:r w:rsidRPr="009E3151">
        <w:rPr>
          <w:rFonts w:ascii="Calibri" w:eastAsia="Calibri" w:hAnsi="Calibri" w:cs="Calibri"/>
          <w:color w:val="000000" w:themeColor="text1"/>
          <w:sz w:val="22"/>
          <w:szCs w:val="22"/>
          <w:lang w:val="en-US"/>
        </w:rPr>
        <w:t>Statens</w:t>
      </w:r>
      <w:proofErr w:type="spellEnd"/>
      <w:r w:rsidRPr="009E3151">
        <w:rPr>
          <w:rFonts w:ascii="Calibri" w:eastAsia="Calibri" w:hAnsi="Calibri" w:cs="Calibri"/>
          <w:color w:val="000000" w:themeColor="text1"/>
          <w:sz w:val="22"/>
          <w:szCs w:val="22"/>
          <w:lang w:val="en-US"/>
        </w:rPr>
        <w:t xml:space="preserve"> Serum </w:t>
      </w:r>
      <w:proofErr w:type="spellStart"/>
      <w:r w:rsidRPr="009E3151">
        <w:rPr>
          <w:rFonts w:ascii="Calibri" w:eastAsia="Calibri" w:hAnsi="Calibri" w:cs="Calibri"/>
          <w:color w:val="000000" w:themeColor="text1"/>
          <w:sz w:val="22"/>
          <w:szCs w:val="22"/>
          <w:lang w:val="en-US"/>
        </w:rPr>
        <w:t>Institut</w:t>
      </w:r>
      <w:proofErr w:type="spellEnd"/>
      <w:r w:rsidRPr="009E3151">
        <w:rPr>
          <w:rFonts w:ascii="Calibri" w:eastAsia="Calibri" w:hAnsi="Calibri" w:cs="Calibri"/>
          <w:color w:val="000000" w:themeColor="text1"/>
          <w:sz w:val="22"/>
          <w:szCs w:val="22"/>
          <w:lang w:val="en-US"/>
        </w:rPr>
        <w:t>, Copenhagen, Denmark</w:t>
      </w:r>
    </w:p>
    <w:p w14:paraId="6B98C187" w14:textId="77777777" w:rsidR="009A3215" w:rsidRPr="009E3151" w:rsidRDefault="009A3215" w:rsidP="009A3215">
      <w:pPr>
        <w:pStyle w:val="ListParagraph"/>
        <w:numPr>
          <w:ilvl w:val="0"/>
          <w:numId w:val="4"/>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Epidemiological Infectious Disease Preparedness, </w:t>
      </w:r>
      <w:proofErr w:type="spellStart"/>
      <w:r w:rsidRPr="009E3151">
        <w:rPr>
          <w:rFonts w:ascii="Calibri" w:eastAsia="Calibri" w:hAnsi="Calibri" w:cs="Calibri"/>
          <w:color w:val="000000" w:themeColor="text1"/>
          <w:sz w:val="22"/>
          <w:szCs w:val="22"/>
          <w:lang w:val="en-US"/>
        </w:rPr>
        <w:t>Statens</w:t>
      </w:r>
      <w:proofErr w:type="spellEnd"/>
      <w:r w:rsidRPr="009E3151">
        <w:rPr>
          <w:rFonts w:ascii="Calibri" w:eastAsia="Calibri" w:hAnsi="Calibri" w:cs="Calibri"/>
          <w:color w:val="000000" w:themeColor="text1"/>
          <w:sz w:val="22"/>
          <w:szCs w:val="22"/>
          <w:lang w:val="en-US"/>
        </w:rPr>
        <w:t xml:space="preserve"> Serum </w:t>
      </w:r>
      <w:proofErr w:type="spellStart"/>
      <w:r w:rsidRPr="009E3151">
        <w:rPr>
          <w:rFonts w:ascii="Calibri" w:eastAsia="Calibri" w:hAnsi="Calibri" w:cs="Calibri"/>
          <w:color w:val="000000" w:themeColor="text1"/>
          <w:sz w:val="22"/>
          <w:szCs w:val="22"/>
          <w:lang w:val="en-US"/>
        </w:rPr>
        <w:t>Institut</w:t>
      </w:r>
      <w:proofErr w:type="spellEnd"/>
      <w:r w:rsidRPr="009E3151">
        <w:rPr>
          <w:rFonts w:ascii="Calibri" w:eastAsia="Calibri" w:hAnsi="Calibri" w:cs="Calibri"/>
          <w:color w:val="000000" w:themeColor="text1"/>
          <w:sz w:val="22"/>
          <w:szCs w:val="22"/>
          <w:lang w:val="en-US"/>
        </w:rPr>
        <w:t>, Copenhagen, Denmark</w:t>
      </w:r>
    </w:p>
    <w:p w14:paraId="5E4542F7" w14:textId="77777777" w:rsidR="009A3215" w:rsidRPr="009E3151" w:rsidRDefault="009A3215" w:rsidP="009A3215">
      <w:pPr>
        <w:pStyle w:val="ListParagraph"/>
        <w:numPr>
          <w:ilvl w:val="0"/>
          <w:numId w:val="4"/>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Department of Data Integration and Analysis, Infectious Disease Preparedness, </w:t>
      </w:r>
      <w:proofErr w:type="spellStart"/>
      <w:r w:rsidRPr="009E3151">
        <w:rPr>
          <w:rFonts w:ascii="Calibri" w:eastAsia="Calibri" w:hAnsi="Calibri" w:cs="Calibri"/>
          <w:color w:val="000000" w:themeColor="text1"/>
          <w:sz w:val="22"/>
          <w:szCs w:val="22"/>
          <w:lang w:val="en-US"/>
        </w:rPr>
        <w:t>Statens</w:t>
      </w:r>
      <w:proofErr w:type="spellEnd"/>
      <w:r w:rsidRPr="009E3151">
        <w:rPr>
          <w:rFonts w:ascii="Calibri" w:eastAsia="Calibri" w:hAnsi="Calibri" w:cs="Calibri"/>
          <w:color w:val="000000" w:themeColor="text1"/>
          <w:sz w:val="22"/>
          <w:szCs w:val="22"/>
          <w:lang w:val="en-US"/>
        </w:rPr>
        <w:t xml:space="preserve"> Serum </w:t>
      </w:r>
      <w:proofErr w:type="spellStart"/>
      <w:r w:rsidRPr="009E3151">
        <w:rPr>
          <w:rFonts w:ascii="Calibri" w:eastAsia="Calibri" w:hAnsi="Calibri" w:cs="Calibri"/>
          <w:color w:val="000000" w:themeColor="text1"/>
          <w:sz w:val="22"/>
          <w:szCs w:val="22"/>
          <w:lang w:val="en-US"/>
        </w:rPr>
        <w:t>Institut</w:t>
      </w:r>
      <w:proofErr w:type="spellEnd"/>
      <w:r w:rsidRPr="009E3151">
        <w:rPr>
          <w:rFonts w:ascii="Calibri" w:eastAsia="Calibri" w:hAnsi="Calibri" w:cs="Calibri"/>
          <w:color w:val="000000" w:themeColor="text1"/>
          <w:sz w:val="22"/>
          <w:szCs w:val="22"/>
          <w:lang w:val="en-US"/>
        </w:rPr>
        <w:t>, Denmark</w:t>
      </w:r>
    </w:p>
    <w:p w14:paraId="2226DF5D" w14:textId="77777777" w:rsidR="009A3215" w:rsidRPr="009E3151" w:rsidRDefault="009A3215" w:rsidP="009A3215">
      <w:pPr>
        <w:pStyle w:val="ListParagraph"/>
        <w:numPr>
          <w:ilvl w:val="0"/>
          <w:numId w:val="4"/>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Department for Digital Infrastructure, </w:t>
      </w:r>
      <w:proofErr w:type="spellStart"/>
      <w:r w:rsidRPr="009E3151">
        <w:rPr>
          <w:rFonts w:ascii="Calibri" w:eastAsia="Calibri" w:hAnsi="Calibri" w:cs="Calibri"/>
          <w:color w:val="000000" w:themeColor="text1"/>
          <w:sz w:val="22"/>
          <w:szCs w:val="22"/>
          <w:lang w:val="en-US"/>
        </w:rPr>
        <w:t>Statens</w:t>
      </w:r>
      <w:proofErr w:type="spellEnd"/>
      <w:r w:rsidRPr="009E3151">
        <w:rPr>
          <w:rFonts w:ascii="Calibri" w:eastAsia="Calibri" w:hAnsi="Calibri" w:cs="Calibri"/>
          <w:color w:val="000000" w:themeColor="text1"/>
          <w:sz w:val="22"/>
          <w:szCs w:val="22"/>
          <w:lang w:val="en-US"/>
        </w:rPr>
        <w:t xml:space="preserve"> Serum </w:t>
      </w:r>
      <w:proofErr w:type="spellStart"/>
      <w:r w:rsidRPr="009E3151">
        <w:rPr>
          <w:rFonts w:ascii="Calibri" w:eastAsia="Calibri" w:hAnsi="Calibri" w:cs="Calibri"/>
          <w:color w:val="000000" w:themeColor="text1"/>
          <w:sz w:val="22"/>
          <w:szCs w:val="22"/>
          <w:lang w:val="en-US"/>
        </w:rPr>
        <w:t>Institut</w:t>
      </w:r>
      <w:proofErr w:type="spellEnd"/>
      <w:r w:rsidRPr="009E3151">
        <w:rPr>
          <w:rFonts w:ascii="Calibri" w:eastAsia="Calibri" w:hAnsi="Calibri" w:cs="Calibri"/>
          <w:color w:val="000000" w:themeColor="text1"/>
          <w:sz w:val="22"/>
          <w:szCs w:val="22"/>
          <w:lang w:val="en-US"/>
        </w:rPr>
        <w:t>, Denmark</w:t>
      </w:r>
    </w:p>
    <w:p w14:paraId="4853C043" w14:textId="77777777" w:rsidR="009A3215" w:rsidRPr="009E3151" w:rsidRDefault="009A3215" w:rsidP="009A3215">
      <w:pPr>
        <w:pStyle w:val="ListParagraph"/>
        <w:numPr>
          <w:ilvl w:val="0"/>
          <w:numId w:val="4"/>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CO-HEP, Department of Immunology and Microbiology, Faculty of Health and Medical Sciences, University of Copenhagen, Denmark</w:t>
      </w:r>
    </w:p>
    <w:p w14:paraId="50039D23" w14:textId="77777777" w:rsidR="009A3215" w:rsidRPr="009E3151" w:rsidRDefault="009A3215" w:rsidP="009A3215">
      <w:pPr>
        <w:pStyle w:val="ListParagraph"/>
        <w:numPr>
          <w:ilvl w:val="0"/>
          <w:numId w:val="4"/>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Biobank, Congenital Disorders &amp; Vaccine Preparedness, </w:t>
      </w:r>
      <w:proofErr w:type="spellStart"/>
      <w:r w:rsidRPr="009E3151">
        <w:rPr>
          <w:rFonts w:ascii="Calibri" w:eastAsia="Calibri" w:hAnsi="Calibri" w:cs="Calibri"/>
          <w:color w:val="000000" w:themeColor="text1"/>
          <w:sz w:val="22"/>
          <w:szCs w:val="22"/>
          <w:lang w:val="en-US"/>
        </w:rPr>
        <w:t>Statens</w:t>
      </w:r>
      <w:proofErr w:type="spellEnd"/>
      <w:r w:rsidRPr="009E3151">
        <w:rPr>
          <w:rFonts w:ascii="Calibri" w:eastAsia="Calibri" w:hAnsi="Calibri" w:cs="Calibri"/>
          <w:color w:val="000000" w:themeColor="text1"/>
          <w:sz w:val="22"/>
          <w:szCs w:val="22"/>
          <w:lang w:val="en-US"/>
        </w:rPr>
        <w:t xml:space="preserve"> Serum </w:t>
      </w:r>
      <w:proofErr w:type="spellStart"/>
      <w:r w:rsidRPr="009E3151">
        <w:rPr>
          <w:rFonts w:ascii="Calibri" w:eastAsia="Calibri" w:hAnsi="Calibri" w:cs="Calibri"/>
          <w:color w:val="000000" w:themeColor="text1"/>
          <w:sz w:val="22"/>
          <w:szCs w:val="22"/>
          <w:lang w:val="en-US"/>
        </w:rPr>
        <w:t>Institut</w:t>
      </w:r>
      <w:proofErr w:type="spellEnd"/>
      <w:r w:rsidRPr="009E3151">
        <w:rPr>
          <w:rFonts w:ascii="Calibri" w:eastAsia="Calibri" w:hAnsi="Calibri" w:cs="Calibri"/>
          <w:color w:val="000000" w:themeColor="text1"/>
          <w:sz w:val="22"/>
          <w:szCs w:val="22"/>
          <w:lang w:val="en-US"/>
        </w:rPr>
        <w:t>, Copenhagen, Denmark</w:t>
      </w:r>
    </w:p>
    <w:bookmarkEnd w:id="1"/>
    <w:p w14:paraId="35B0168A" w14:textId="77777777" w:rsidR="009A3215" w:rsidRPr="009E3151" w:rsidRDefault="009A3215" w:rsidP="009A3215">
      <w:pPr>
        <w:spacing w:line="259" w:lineRule="auto"/>
        <w:ind w:left="720"/>
        <w:rPr>
          <w:rFonts w:ascii="Calibri" w:eastAsia="Calibri" w:hAnsi="Calibri" w:cs="Calibri"/>
          <w:color w:val="000000" w:themeColor="text1"/>
          <w:sz w:val="22"/>
          <w:szCs w:val="22"/>
          <w:lang w:val="en-US"/>
        </w:rPr>
      </w:pPr>
    </w:p>
    <w:p w14:paraId="3F5D8945" w14:textId="77777777" w:rsidR="009A3215" w:rsidRPr="00847AF7" w:rsidRDefault="009A3215" w:rsidP="009A3215">
      <w:pPr>
        <w:spacing w:line="259" w:lineRule="auto"/>
        <w:rPr>
          <w:rFonts w:ascii="Calibri" w:hAnsi="Calibri" w:cs="Calibri"/>
          <w:b/>
          <w:sz w:val="22"/>
          <w:szCs w:val="22"/>
          <w:lang w:val="en-US"/>
        </w:rPr>
      </w:pPr>
      <w:r w:rsidRPr="00847AF7">
        <w:rPr>
          <w:rFonts w:ascii="Calibri" w:hAnsi="Calibri" w:cs="Calibri"/>
          <w:b/>
          <w:sz w:val="22"/>
          <w:szCs w:val="22"/>
          <w:lang w:val="en-US"/>
        </w:rPr>
        <w:t>Corresponding Author:</w:t>
      </w:r>
    </w:p>
    <w:p w14:paraId="0267ED71" w14:textId="77777777" w:rsidR="009A3215" w:rsidRPr="009E3151" w:rsidRDefault="009A3215" w:rsidP="009A3215">
      <w:pPr>
        <w:spacing w:line="259" w:lineRule="auto"/>
        <w:rPr>
          <w:rFonts w:ascii="Calibri" w:hAnsi="Calibri" w:cs="Calibri"/>
          <w:sz w:val="22"/>
          <w:szCs w:val="22"/>
          <w:lang w:val="en-US"/>
        </w:rPr>
      </w:pPr>
      <w:r w:rsidRPr="009E3151">
        <w:rPr>
          <w:rFonts w:ascii="Calibri" w:hAnsi="Calibri" w:cs="Calibri"/>
          <w:sz w:val="22"/>
          <w:szCs w:val="22"/>
          <w:lang w:val="en-US"/>
        </w:rPr>
        <w:t>Tine Graakjær Larsen, MD</w:t>
      </w:r>
    </w:p>
    <w:p w14:paraId="680CC591" w14:textId="77777777" w:rsidR="009A3215" w:rsidRPr="009E3151" w:rsidRDefault="009A3215" w:rsidP="009A3215">
      <w:pPr>
        <w:spacing w:line="259" w:lineRule="auto"/>
        <w:rPr>
          <w:rFonts w:ascii="Calibri" w:hAnsi="Calibri" w:cs="Calibri"/>
          <w:sz w:val="22"/>
          <w:szCs w:val="22"/>
          <w:lang w:val="en-US"/>
        </w:rPr>
      </w:pPr>
      <w:r w:rsidRPr="009E3151">
        <w:rPr>
          <w:rFonts w:ascii="Calibri" w:hAnsi="Calibri" w:cs="Calibri"/>
          <w:sz w:val="22"/>
          <w:szCs w:val="22"/>
          <w:lang w:val="en-US"/>
        </w:rPr>
        <w:t xml:space="preserve">Email: </w:t>
      </w:r>
      <w:hyperlink r:id="rId11" w:history="1">
        <w:r w:rsidRPr="009E3151">
          <w:rPr>
            <w:rStyle w:val="Hyperlink"/>
            <w:rFonts w:ascii="Calibri" w:hAnsi="Calibri" w:cs="Calibri"/>
            <w:sz w:val="22"/>
            <w:szCs w:val="22"/>
            <w:lang w:val="en-US"/>
          </w:rPr>
          <w:t>tgrl@ssi.dk</w:t>
        </w:r>
      </w:hyperlink>
    </w:p>
    <w:p w14:paraId="4D042A63" w14:textId="77777777" w:rsidR="009A3215" w:rsidRDefault="009A3215" w:rsidP="009A3215">
      <w:pPr>
        <w:spacing w:line="259" w:lineRule="auto"/>
        <w:rPr>
          <w:rFonts w:ascii="Calibri" w:hAnsi="Calibri" w:cs="Calibri"/>
          <w:sz w:val="22"/>
          <w:szCs w:val="22"/>
          <w:lang w:val="en-US"/>
        </w:rPr>
      </w:pPr>
      <w:r w:rsidRPr="00847AF7">
        <w:rPr>
          <w:rFonts w:ascii="Calibri" w:hAnsi="Calibri" w:cs="Calibri"/>
          <w:sz w:val="22"/>
          <w:szCs w:val="22"/>
          <w:lang w:val="en-US"/>
        </w:rPr>
        <w:t xml:space="preserve">Telephone: </w:t>
      </w:r>
      <w:r>
        <w:rPr>
          <w:rFonts w:ascii="Calibri" w:hAnsi="Calibri" w:cs="Calibri"/>
          <w:sz w:val="22"/>
          <w:szCs w:val="22"/>
          <w:lang w:val="en-US"/>
        </w:rPr>
        <w:t>+45 32688237</w:t>
      </w:r>
    </w:p>
    <w:p w14:paraId="33DAF939" w14:textId="77777777" w:rsidR="009A3215" w:rsidRPr="00847AF7" w:rsidRDefault="009A3215" w:rsidP="009A3215">
      <w:pPr>
        <w:spacing w:line="259" w:lineRule="auto"/>
        <w:rPr>
          <w:rFonts w:ascii="Calibri" w:hAnsi="Calibri" w:cs="Calibri"/>
          <w:sz w:val="22"/>
          <w:szCs w:val="22"/>
          <w:lang w:val="en-US"/>
        </w:rPr>
      </w:pPr>
      <w:r>
        <w:rPr>
          <w:rFonts w:ascii="Calibri" w:hAnsi="Calibri" w:cs="Calibri"/>
          <w:sz w:val="22"/>
          <w:szCs w:val="22"/>
          <w:lang w:val="en-US"/>
        </w:rPr>
        <w:t xml:space="preserve">Address: Department of Infectious Disease Epidemiology and Prevention, </w:t>
      </w:r>
      <w:proofErr w:type="spellStart"/>
      <w:r>
        <w:rPr>
          <w:rFonts w:ascii="Calibri" w:hAnsi="Calibri" w:cs="Calibri"/>
          <w:sz w:val="22"/>
          <w:szCs w:val="22"/>
          <w:lang w:val="en-US"/>
        </w:rPr>
        <w:t>Statens</w:t>
      </w:r>
      <w:proofErr w:type="spellEnd"/>
      <w:r>
        <w:rPr>
          <w:rFonts w:ascii="Calibri" w:hAnsi="Calibri" w:cs="Calibri"/>
          <w:sz w:val="22"/>
          <w:szCs w:val="22"/>
          <w:lang w:val="en-US"/>
        </w:rPr>
        <w:t xml:space="preserve"> Serum </w:t>
      </w:r>
      <w:proofErr w:type="spellStart"/>
      <w:r>
        <w:rPr>
          <w:rFonts w:ascii="Calibri" w:hAnsi="Calibri" w:cs="Calibri"/>
          <w:sz w:val="22"/>
          <w:szCs w:val="22"/>
          <w:lang w:val="en-US"/>
        </w:rPr>
        <w:t>Institut</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Artillerivej</w:t>
      </w:r>
      <w:proofErr w:type="spellEnd"/>
      <w:r>
        <w:rPr>
          <w:rFonts w:ascii="Calibri" w:hAnsi="Calibri" w:cs="Calibri"/>
          <w:sz w:val="22"/>
          <w:szCs w:val="22"/>
          <w:lang w:val="en-US"/>
        </w:rPr>
        <w:t xml:space="preserve"> 5, Copenhagen S, Denmark</w:t>
      </w:r>
    </w:p>
    <w:p w14:paraId="01B854A8" w14:textId="77777777" w:rsidR="009A3215" w:rsidRDefault="009A3215">
      <w:pPr>
        <w:rPr>
          <w:rFonts w:ascii="Calibri" w:eastAsia="Calibri" w:hAnsi="Calibri" w:cs="Calibri"/>
          <w:b/>
          <w:bCs/>
          <w:color w:val="000000" w:themeColor="text1"/>
          <w:sz w:val="32"/>
          <w:szCs w:val="32"/>
          <w:lang w:val="en-US"/>
        </w:rPr>
      </w:pPr>
      <w:r>
        <w:rPr>
          <w:rFonts w:ascii="Calibri" w:eastAsia="Calibri" w:hAnsi="Calibri" w:cs="Calibri"/>
          <w:b/>
          <w:bCs/>
          <w:color w:val="000000" w:themeColor="text1"/>
          <w:sz w:val="32"/>
          <w:szCs w:val="32"/>
          <w:lang w:val="en-US"/>
        </w:rPr>
        <w:br w:type="page"/>
      </w:r>
    </w:p>
    <w:p w14:paraId="13EE71DA" w14:textId="77777777" w:rsidR="009A3215" w:rsidRPr="009E3151" w:rsidRDefault="009A3215" w:rsidP="009A3215">
      <w:pPr>
        <w:spacing w:line="259" w:lineRule="auto"/>
        <w:jc w:val="both"/>
        <w:rPr>
          <w:rFonts w:ascii="Calibri" w:eastAsia="Calibri" w:hAnsi="Calibri" w:cs="Calibri"/>
          <w:b/>
          <w:bCs/>
          <w:color w:val="000000" w:themeColor="text1"/>
          <w:sz w:val="32"/>
          <w:szCs w:val="32"/>
          <w:lang w:val="en-US"/>
        </w:rPr>
      </w:pPr>
      <w:r w:rsidRPr="009E3151">
        <w:rPr>
          <w:rFonts w:ascii="Calibri" w:eastAsia="Calibri" w:hAnsi="Calibri" w:cs="Calibri"/>
          <w:b/>
          <w:bCs/>
          <w:color w:val="000000" w:themeColor="text1"/>
          <w:sz w:val="32"/>
          <w:szCs w:val="32"/>
          <w:lang w:val="en-US"/>
        </w:rPr>
        <w:lastRenderedPageBreak/>
        <w:t>Abstract</w:t>
      </w:r>
    </w:p>
    <w:p w14:paraId="3D92629B" w14:textId="77777777" w:rsidR="009A3215" w:rsidRPr="009E3151" w:rsidRDefault="009A3215" w:rsidP="009A321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Objectives:</w:t>
      </w:r>
      <w:r w:rsidRPr="009E3151">
        <w:rPr>
          <w:rFonts w:ascii="Calibri" w:eastAsia="Calibri" w:hAnsi="Calibri" w:cs="Calibri"/>
          <w:color w:val="000000" w:themeColor="text1"/>
          <w:sz w:val="22"/>
          <w:szCs w:val="22"/>
          <w:lang w:val="en-US"/>
        </w:rPr>
        <w:br/>
        <w:t>This study presents findings captured in the first 1.5 years of the Virus Monitoring in Denmark (VMD) surveillance system. It describes trends in respiratory viruses, related symptoms, and participant demographics and behaviors.</w:t>
      </w:r>
    </w:p>
    <w:p w14:paraId="33DDA6CE" w14:textId="77777777" w:rsidR="009A3215" w:rsidRPr="009E3151" w:rsidRDefault="009A3215" w:rsidP="009A321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Methods:</w:t>
      </w:r>
      <w:r w:rsidRPr="009E3151">
        <w:rPr>
          <w:rFonts w:ascii="Calibri" w:eastAsia="Calibri" w:hAnsi="Calibri" w:cs="Calibri"/>
          <w:color w:val="000000" w:themeColor="text1"/>
          <w:sz w:val="22"/>
          <w:szCs w:val="22"/>
          <w:lang w:val="en-US"/>
        </w:rPr>
        <w:br/>
        <w:t>VMD used self-swabbing and self-reported symptoms to monitor respiratory viruses in the general population. Participants were recruited via digital invitations to a representative sample of the population or through workplaces. Symptomatic participants could self-swab and register their samples and report their symptoms via a dedicated smartphone web app.</w:t>
      </w:r>
    </w:p>
    <w:p w14:paraId="59550626" w14:textId="77777777" w:rsidR="009A3215" w:rsidRPr="009E3151" w:rsidRDefault="009A3215" w:rsidP="009A321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Results:</w:t>
      </w:r>
      <w:r w:rsidRPr="009E3151">
        <w:rPr>
          <w:rFonts w:ascii="Calibri" w:eastAsia="Calibri" w:hAnsi="Calibri" w:cs="Calibri"/>
          <w:color w:val="000000" w:themeColor="text1"/>
          <w:sz w:val="22"/>
          <w:szCs w:val="22"/>
          <w:lang w:val="en-US"/>
        </w:rPr>
        <w:br/>
        <w:t>With 30,627 participants and 12,642 samples analyzed, VMD had broad demographic representation. SARS-CoV-2 was the most frequently detected virus, with positivity rates peaking at over 50% in late 2023. Participants commonly self-swabbed because of fever, cough, and rhinorrhea with influenza A linked to the highest median number of symptoms. Participants only provided samples after reaching a specific symptom threshold and participation affected health-seeking behaviors and work attendance of few individuals.</w:t>
      </w:r>
    </w:p>
    <w:p w14:paraId="2DD9CD6D" w14:textId="55D9628E" w:rsidR="0092338A" w:rsidRDefault="009A3215" w:rsidP="009A321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Conclusions:</w:t>
      </w:r>
      <w:r w:rsidRPr="009E3151">
        <w:rPr>
          <w:rFonts w:ascii="Calibri" w:eastAsia="Calibri" w:hAnsi="Calibri" w:cs="Calibri"/>
          <w:color w:val="000000" w:themeColor="text1"/>
          <w:sz w:val="22"/>
          <w:szCs w:val="22"/>
          <w:lang w:val="en-US"/>
        </w:rPr>
        <w:br/>
        <w:t>VMD continuously provided real-time insights into respiratory virus trends and symptomatology in the general non-healthcare seeking population. Its accessibility – available to anyone with a Danish identification number, a smartphone and an invitation – highlights its potential as a mass testing preparedness tool.</w:t>
      </w:r>
    </w:p>
    <w:p w14:paraId="0FA6BFB3" w14:textId="77777777" w:rsidR="0092338A" w:rsidRDefault="0092338A">
      <w:pPr>
        <w:rPr>
          <w:rFonts w:ascii="Calibri" w:eastAsia="Calibri" w:hAnsi="Calibri" w:cs="Calibri"/>
          <w:color w:val="000000" w:themeColor="text1"/>
          <w:sz w:val="22"/>
          <w:szCs w:val="22"/>
          <w:lang w:val="en-US"/>
        </w:rPr>
      </w:pPr>
      <w:r>
        <w:rPr>
          <w:rFonts w:ascii="Calibri" w:eastAsia="Calibri" w:hAnsi="Calibri" w:cs="Calibri"/>
          <w:color w:val="000000" w:themeColor="text1"/>
          <w:sz w:val="22"/>
          <w:szCs w:val="22"/>
          <w:lang w:val="en-US"/>
        </w:rPr>
        <w:br w:type="page"/>
      </w:r>
    </w:p>
    <w:p w14:paraId="22CE0D1A" w14:textId="00B3D30B" w:rsidR="009A3215" w:rsidRPr="0092338A" w:rsidRDefault="0092338A" w:rsidP="0092338A">
      <w:pPr>
        <w:spacing w:line="259" w:lineRule="auto"/>
        <w:jc w:val="both"/>
        <w:rPr>
          <w:rFonts w:ascii="Calibri" w:eastAsia="Calibri" w:hAnsi="Calibri" w:cs="Calibri"/>
          <w:b/>
          <w:bCs/>
          <w:color w:val="000000" w:themeColor="text1"/>
          <w:sz w:val="32"/>
          <w:szCs w:val="32"/>
          <w:lang w:val="en-US"/>
        </w:rPr>
      </w:pPr>
      <w:r w:rsidRPr="0092338A">
        <w:rPr>
          <w:rFonts w:ascii="Calibri" w:eastAsia="Calibri" w:hAnsi="Calibri" w:cs="Calibri"/>
          <w:b/>
          <w:bCs/>
          <w:color w:val="000000" w:themeColor="text1"/>
          <w:sz w:val="32"/>
          <w:szCs w:val="32"/>
          <w:lang w:val="en-US"/>
        </w:rPr>
        <w:lastRenderedPageBreak/>
        <w:t>Key words</w:t>
      </w:r>
    </w:p>
    <w:p w14:paraId="0DB40EB6" w14:textId="6D84779D" w:rsidR="0092338A" w:rsidRPr="00D81E9F" w:rsidRDefault="00D81E9F" w:rsidP="009A3215">
      <w:pPr>
        <w:spacing w:line="259" w:lineRule="auto"/>
        <w:rPr>
          <w:rFonts w:ascii="Calibri" w:eastAsia="Calibri" w:hAnsi="Calibri" w:cs="Calibri"/>
          <w:color w:val="000000" w:themeColor="text1"/>
          <w:sz w:val="22"/>
          <w:szCs w:val="22"/>
          <w:lang w:val="en-US"/>
        </w:rPr>
      </w:pPr>
      <w:r w:rsidRPr="00D81E9F">
        <w:rPr>
          <w:rFonts w:ascii="Calibri" w:eastAsia="Calibri" w:hAnsi="Calibri" w:cs="Calibri"/>
          <w:color w:val="000000" w:themeColor="text1"/>
          <w:sz w:val="22"/>
          <w:szCs w:val="22"/>
          <w:lang w:val="en-US"/>
        </w:rPr>
        <w:t xml:space="preserve">eHealth; symptom </w:t>
      </w:r>
      <w:r w:rsidR="000D0228" w:rsidRPr="00D81E9F">
        <w:rPr>
          <w:rFonts w:ascii="Calibri" w:eastAsia="Calibri" w:hAnsi="Calibri" w:cs="Calibri"/>
          <w:color w:val="000000" w:themeColor="text1"/>
          <w:sz w:val="22"/>
          <w:szCs w:val="22"/>
          <w:lang w:val="en-US"/>
        </w:rPr>
        <w:t>assessment</w:t>
      </w:r>
      <w:r w:rsidRPr="00D81E9F">
        <w:rPr>
          <w:rFonts w:ascii="Calibri" w:eastAsia="Calibri" w:hAnsi="Calibri" w:cs="Calibri"/>
          <w:color w:val="000000" w:themeColor="text1"/>
          <w:sz w:val="22"/>
          <w:szCs w:val="22"/>
          <w:lang w:val="en-US"/>
        </w:rPr>
        <w:t xml:space="preserve">; self-testing; pandemic preparedness; public health surveillance; respiratory tract infections; </w:t>
      </w:r>
    </w:p>
    <w:p w14:paraId="17AA9E79" w14:textId="77777777" w:rsidR="009A3215" w:rsidRPr="00B02B3E" w:rsidRDefault="009A3215" w:rsidP="009A3215">
      <w:pPr>
        <w:rPr>
          <w:lang w:val="en-US"/>
        </w:rPr>
      </w:pPr>
    </w:p>
    <w:p w14:paraId="431D1D43" w14:textId="5030F874" w:rsidR="009A3215" w:rsidRDefault="009A3215">
      <w:pPr>
        <w:rPr>
          <w:rFonts w:ascii="Calibri" w:eastAsia="Calibri" w:hAnsi="Calibri" w:cs="Calibri"/>
          <w:b/>
          <w:bCs/>
          <w:color w:val="000000" w:themeColor="text1"/>
          <w:sz w:val="32"/>
          <w:szCs w:val="32"/>
          <w:lang w:val="en-US"/>
        </w:rPr>
      </w:pPr>
      <w:r>
        <w:rPr>
          <w:rFonts w:ascii="Calibri" w:eastAsia="Calibri" w:hAnsi="Calibri" w:cs="Calibri"/>
          <w:b/>
          <w:bCs/>
          <w:color w:val="000000" w:themeColor="text1"/>
          <w:sz w:val="32"/>
          <w:szCs w:val="32"/>
          <w:lang w:val="en-US"/>
        </w:rPr>
        <w:br w:type="page"/>
      </w:r>
    </w:p>
    <w:p w14:paraId="06268C62" w14:textId="77777777" w:rsidR="003168B5" w:rsidRPr="009E3151" w:rsidRDefault="003168B5" w:rsidP="003168B5">
      <w:pPr>
        <w:spacing w:line="259" w:lineRule="auto"/>
        <w:jc w:val="both"/>
        <w:rPr>
          <w:rFonts w:ascii="Calibri" w:eastAsia="Calibri" w:hAnsi="Calibri" w:cs="Calibri"/>
          <w:color w:val="000000" w:themeColor="text1"/>
          <w:sz w:val="32"/>
          <w:szCs w:val="32"/>
          <w:lang w:val="en-US"/>
        </w:rPr>
      </w:pPr>
      <w:r w:rsidRPr="009E3151">
        <w:rPr>
          <w:rFonts w:ascii="Calibri" w:eastAsia="Calibri" w:hAnsi="Calibri" w:cs="Calibri"/>
          <w:b/>
          <w:bCs/>
          <w:color w:val="000000" w:themeColor="text1"/>
          <w:sz w:val="32"/>
          <w:szCs w:val="32"/>
          <w:lang w:val="en-US"/>
        </w:rPr>
        <w:lastRenderedPageBreak/>
        <w:t>Introduction</w:t>
      </w:r>
    </w:p>
    <w:p w14:paraId="0FE43EC8" w14:textId="2A54AD97" w:rsidR="003168B5" w:rsidRPr="009E3151" w:rsidRDefault="003168B5" w:rsidP="003168B5">
      <w:pPr>
        <w:spacing w:line="259" w:lineRule="auto"/>
        <w:rPr>
          <w:rFonts w:ascii="Calibri" w:eastAsia="Calibri" w:hAnsi="Calibri" w:cs="Calibri"/>
          <w:color w:val="000000" w:themeColor="text1"/>
          <w:sz w:val="22"/>
          <w:szCs w:val="22"/>
          <w:lang w:val="en-US"/>
        </w:rPr>
      </w:pPr>
      <w:r w:rsidRPr="00CE3849">
        <w:rPr>
          <w:rFonts w:ascii="Calibri" w:eastAsia="Calibri" w:hAnsi="Calibri" w:cs="Calibri"/>
          <w:color w:val="000000" w:themeColor="text1"/>
          <w:sz w:val="22"/>
          <w:szCs w:val="22"/>
          <w:lang w:val="en-US"/>
        </w:rPr>
        <w:t>National surveillance systems are essential for tracking</w:t>
      </w:r>
      <w:r w:rsidR="000D0228">
        <w:rPr>
          <w:rFonts w:ascii="Calibri" w:eastAsia="Calibri" w:hAnsi="Calibri" w:cs="Calibri"/>
          <w:color w:val="000000" w:themeColor="text1"/>
          <w:sz w:val="22"/>
          <w:szCs w:val="22"/>
          <w:lang w:val="en-US"/>
        </w:rPr>
        <w:t xml:space="preserve"> infectious</w:t>
      </w:r>
      <w:r w:rsidRPr="00CE3849">
        <w:rPr>
          <w:rFonts w:ascii="Calibri" w:eastAsia="Calibri" w:hAnsi="Calibri" w:cs="Calibri"/>
          <w:color w:val="000000" w:themeColor="text1"/>
          <w:sz w:val="22"/>
          <w:szCs w:val="22"/>
          <w:lang w:val="en-US"/>
        </w:rPr>
        <w:t xml:space="preserve"> disease spread and shaping public health policies, as seen during the COVID-19 pandemic</w:t>
      </w:r>
      <w:r w:rsidRPr="009E3151">
        <w:rPr>
          <w:rFonts w:ascii="Calibri" w:eastAsia="Calibri" w:hAnsi="Calibri" w:cs="Calibri"/>
          <w:color w:val="000000" w:themeColor="text1"/>
          <w:sz w:val="22"/>
          <w:szCs w:val="22"/>
          <w:lang w:val="en-US"/>
        </w:rPr>
        <w:t>.</w:t>
      </w:r>
      <w:r>
        <w:rPr>
          <w:rFonts w:ascii="Calibri" w:eastAsia="Calibri" w:hAnsi="Calibri" w:cs="Calibri"/>
          <w:color w:val="000000" w:themeColor="text1"/>
          <w:sz w:val="22"/>
          <w:szCs w:val="22"/>
          <w:lang w:val="en-US"/>
        </w:rPr>
        <w:t xml:space="preserve"> C</w:t>
      </w:r>
      <w:r w:rsidRPr="009E3151">
        <w:rPr>
          <w:rFonts w:ascii="Calibri" w:eastAsia="Calibri" w:hAnsi="Calibri" w:cs="Calibri"/>
          <w:color w:val="000000" w:themeColor="text1"/>
          <w:sz w:val="22"/>
          <w:szCs w:val="22"/>
          <w:lang w:val="en-US"/>
        </w:rPr>
        <w:t>onventional</w:t>
      </w:r>
      <w:r>
        <w:rPr>
          <w:rFonts w:ascii="Calibri" w:eastAsia="Calibri" w:hAnsi="Calibri" w:cs="Calibri"/>
          <w:color w:val="000000" w:themeColor="text1"/>
          <w:sz w:val="22"/>
          <w:szCs w:val="22"/>
          <w:lang w:val="en-US"/>
        </w:rPr>
        <w:t xml:space="preserve"> surveillance</w:t>
      </w:r>
      <w:r w:rsidRPr="009E3151">
        <w:rPr>
          <w:rFonts w:ascii="Calibri" w:eastAsia="Calibri" w:hAnsi="Calibri" w:cs="Calibri"/>
          <w:color w:val="000000" w:themeColor="text1"/>
          <w:sz w:val="22"/>
          <w:szCs w:val="22"/>
          <w:lang w:val="en-US"/>
        </w:rPr>
        <w:t xml:space="preserve"> systems primarily capture data from individuals seeking medical care, leaving infections in the general population undetected</w:t>
      </w:r>
      <w:r>
        <w:rPr>
          <w:rFonts w:ascii="Calibri" w:eastAsia="Calibri" w:hAnsi="Calibri" w:cs="Calibri"/>
          <w:color w:val="000000" w:themeColor="text1"/>
          <w:sz w:val="22"/>
          <w:szCs w:val="22"/>
          <w:lang w:val="en-US"/>
        </w:rPr>
        <w:fldChar w:fldCharType="begin" w:fldLock="1"/>
      </w:r>
      <w:r>
        <w:rPr>
          <w:rFonts w:ascii="Calibri" w:eastAsia="Calibri" w:hAnsi="Calibri" w:cs="Calibri"/>
          <w:color w:val="000000" w:themeColor="text1"/>
          <w:sz w:val="22"/>
          <w:szCs w:val="22"/>
          <w:lang w:val="en-US"/>
        </w:rPr>
        <w:instrText>ADDIN CSL_CITATION {"citationItems":[{"id":"ITEM-1","itemData":{"DOI":"10.3201/EID0304.970428","ISSN":"10806040","PMID":"9368789","author":[{"dropping-particle":"","family":"tfh","given":"","non-dropping-particle":"","parse-names":false,"suffix":""}],"container-title":"Emerging infectious diseases","id":"ITEM-1","issue":"4","issued":{"date-parts":[["1997"]]},"page":"581-583","title":"Foodborne Diseases Active Surveillance Network (FoodNet) - Volume 3, Number 4—December 1997 - Emerging Infectious Diseases journal - CDC","type":"article-journal","volume":"3"},"uris":["http://www.mendeley.com/documents/?uuid=7d4992b2-d304-365e-acb8-dedbe56d9086"]}],"mendeley":{"formattedCitation":"&lt;sup&gt;1&lt;/sup&gt;","plainTextFormattedCitation":"1","previouslyFormattedCitation":"&lt;sup&gt;1&lt;/sup&gt;"},"properties":{"noteIndex":0},"schema":"https://github.com/citation-style-language/schema/raw/master/csl-citation.json"}</w:instrText>
      </w:r>
      <w:r>
        <w:rPr>
          <w:rFonts w:ascii="Calibri" w:eastAsia="Calibri" w:hAnsi="Calibri" w:cs="Calibri"/>
          <w:color w:val="000000" w:themeColor="text1"/>
          <w:sz w:val="22"/>
          <w:szCs w:val="22"/>
          <w:lang w:val="en-US"/>
        </w:rPr>
        <w:fldChar w:fldCharType="separate"/>
      </w:r>
      <w:r w:rsidRPr="008221C4">
        <w:rPr>
          <w:rFonts w:ascii="Calibri" w:eastAsia="Calibri" w:hAnsi="Calibri" w:cs="Calibri"/>
          <w:noProof/>
          <w:color w:val="000000" w:themeColor="text1"/>
          <w:sz w:val="22"/>
          <w:szCs w:val="22"/>
          <w:vertAlign w:val="superscript"/>
          <w:lang w:val="en-US"/>
        </w:rPr>
        <w:t>1</w:t>
      </w:r>
      <w:r>
        <w:rPr>
          <w:rFonts w:ascii="Calibri" w:eastAsia="Calibri" w:hAnsi="Calibri" w:cs="Calibri"/>
          <w:color w:val="000000" w:themeColor="text1"/>
          <w:sz w:val="22"/>
          <w:szCs w:val="22"/>
          <w:lang w:val="en-US"/>
        </w:rPr>
        <w:fldChar w:fldCharType="end"/>
      </w:r>
      <w:r w:rsidRPr="008221C4">
        <w:rPr>
          <w:rFonts w:ascii="Calibri" w:eastAsia="Calibri" w:hAnsi="Calibri" w:cs="Calibri"/>
          <w:color w:val="000000" w:themeColor="text1"/>
          <w:sz w:val="22"/>
          <w:szCs w:val="22"/>
          <w:vertAlign w:val="superscript"/>
          <w:lang w:val="en-US"/>
        </w:rPr>
        <w:t>,</w:t>
      </w:r>
      <w:r>
        <w:rPr>
          <w:rFonts w:ascii="Calibri" w:eastAsia="Calibri" w:hAnsi="Calibri" w:cs="Calibri"/>
          <w:color w:val="000000" w:themeColor="text1"/>
          <w:sz w:val="22"/>
          <w:szCs w:val="22"/>
          <w:lang w:val="en-US"/>
        </w:rPr>
        <w:fldChar w:fldCharType="begin" w:fldLock="1"/>
      </w:r>
      <w:r>
        <w:rPr>
          <w:rFonts w:ascii="Calibri" w:eastAsia="Calibri" w:hAnsi="Calibri" w:cs="Calibri"/>
          <w:color w:val="000000" w:themeColor="text1"/>
          <w:sz w:val="22"/>
          <w:szCs w:val="22"/>
          <w:lang w:val="en-US"/>
        </w:rPr>
        <w:instrText>ADDIN CSL_CITATION {"citationItems":[{"id":"ITEM-1","itemData":{"URL":"https://www.ecdc.europa.eu/en/seasonal-influenza/surveillance-and-disease-data/facts-sentinel-surveillance","accessed":{"date-parts":[["2024","12","17"]]},"id":"ITEM-1","issued":{"date-parts":[["0"]]},"title":"Sentinel surveillance","type":"webpage"},"uris":["http://www.mendeley.com/documents/?uuid=675a551d-6322-3e26-94a8-837e244a48b0"]}],"mendeley":{"formattedCitation":"&lt;sup&gt;2&lt;/sup&gt;","plainTextFormattedCitation":"2","previouslyFormattedCitation":"&lt;sup&gt;2&lt;/sup&gt;"},"properties":{"noteIndex":0},"schema":"https://github.com/citation-style-language/schema/raw/master/csl-citation.json"}</w:instrText>
      </w:r>
      <w:r>
        <w:rPr>
          <w:rFonts w:ascii="Calibri" w:eastAsia="Calibri" w:hAnsi="Calibri" w:cs="Calibri"/>
          <w:color w:val="000000" w:themeColor="text1"/>
          <w:sz w:val="22"/>
          <w:szCs w:val="22"/>
          <w:lang w:val="en-US"/>
        </w:rPr>
        <w:fldChar w:fldCharType="separate"/>
      </w:r>
      <w:r w:rsidRPr="008221C4">
        <w:rPr>
          <w:rFonts w:ascii="Calibri" w:eastAsia="Calibri" w:hAnsi="Calibri" w:cs="Calibri"/>
          <w:noProof/>
          <w:color w:val="000000" w:themeColor="text1"/>
          <w:sz w:val="22"/>
          <w:szCs w:val="22"/>
          <w:vertAlign w:val="superscript"/>
          <w:lang w:val="en-US"/>
        </w:rPr>
        <w:t>2</w:t>
      </w:r>
      <w:r>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 xml:space="preserve">Therefore, the </w:t>
      </w:r>
      <w:r w:rsidRPr="009E3151">
        <w:rPr>
          <w:rFonts w:ascii="Calibri" w:eastAsia="Calibri" w:hAnsi="Calibri" w:cs="Calibri"/>
          <w:color w:val="000000" w:themeColor="text1"/>
          <w:sz w:val="22"/>
          <w:szCs w:val="22"/>
          <w:lang w:val="en-US"/>
        </w:rPr>
        <w:t>COVID-19 response</w:t>
      </w:r>
      <w:r>
        <w:rPr>
          <w:rFonts w:ascii="Calibri" w:eastAsia="Calibri" w:hAnsi="Calibri" w:cs="Calibri"/>
          <w:color w:val="000000" w:themeColor="text1"/>
          <w:sz w:val="22"/>
          <w:szCs w:val="22"/>
          <w:lang w:val="en-US"/>
        </w:rPr>
        <w:t xml:space="preserve"> in Denmark</w:t>
      </w:r>
      <w:r w:rsidRPr="009E3151">
        <w:rPr>
          <w:rFonts w:ascii="Calibri" w:eastAsia="Calibri" w:hAnsi="Calibri" w:cs="Calibri"/>
          <w:color w:val="000000" w:themeColor="text1"/>
          <w:sz w:val="22"/>
          <w:szCs w:val="22"/>
          <w:lang w:val="en-US"/>
        </w:rPr>
        <w:t xml:space="preserve"> included extensive population testing facilitated by dedicated testing centers and personnel</w:t>
      </w:r>
      <w:r w:rsidRPr="009E3151">
        <w:rPr>
          <w:rFonts w:ascii="Calibri" w:eastAsia="Calibri" w:hAnsi="Calibri" w:cs="Calibri"/>
          <w:color w:val="000000" w:themeColor="text1"/>
          <w:sz w:val="22"/>
          <w:szCs w:val="22"/>
          <w:vertAlign w:val="superscript"/>
          <w:lang w:val="en-US"/>
        </w:rPr>
        <w:fldChar w:fldCharType="begin" w:fldLock="1"/>
      </w:r>
      <w:r>
        <w:rPr>
          <w:rFonts w:ascii="Calibri" w:eastAsia="Calibri" w:hAnsi="Calibri" w:cs="Calibri"/>
          <w:color w:val="000000" w:themeColor="text1"/>
          <w:sz w:val="22"/>
          <w:szCs w:val="22"/>
          <w:vertAlign w:val="superscript"/>
          <w:lang w:val="en-US"/>
        </w:rPr>
        <w:instrText>ADDIN CSL_CITATION {"citationItems":[{"id":"ITEM-1","itemData":{"DOI":"10.1371/JOURNAL.PONE.0281972","ISSN":"1932-6203","PMID":"37490451","abstract":"Background The Danish national SARS-CoV-2 mass test system was among the most ambitious worldwide. We describe its set-up and analyse differences in patterns of testing per demography and time period in relation to the three waves of SARS-CoV-2 transmission in Denmark.   Methods We included all reported PCR- and rapid antigen-tests performed between 27 February 2020 and 10 March 2022 among all residents aged 2 years or above. Descriptive statistics and Poisson regression models were used to analyse characteristics of individuals tested for SARS-CoV-2 using a national cohort study design.   Results A total of 63.7 million PCR-tests and 60.0 million rapid antigen-tests were performed in the study period, testing 90.9% and 78.8% of the Danish population at least once by PCR or antigen, respectively. Female sex, younger age, Danish heritage and living in the capital area were all factors positively associated with the frequency of PCR-testing. The association between COVID-19 vaccination and PCR-testing changed from negative to positive over time.   Conclusion We provide details of the widely available, free-of-charge, national SARS-CoV-2 test system, which served to identify infected individuals, assist isolation of infectious individuals and contact tracing, and thereby mitigating the spread of SARS-CoV-2 in the Danish population. The test system was utilized by nearly the entire population at least once, and widely accepted across different demographic groups. However, demographic differences in the test uptake did exist and should be considered in order not to cause biases in studies related to SARS-CoV-2, e.g., studies of transmission and vaccine effectiveness.","author":[{"dropping-particle":"","family":"Gram","given":"Mie Agermose","non-dropping-particle":"","parse-names":false,"suffix":""},{"dropping-particle":"","family":"Steenhard","given":"Nina","non-dropping-particle":"","parse-names":false,"suffix":""},{"dropping-particle":"","family":"Cohen","given":"Arieh Sierra","non-dropping-particle":"","parse-names":false,"suffix":""},{"dropping-particle":"","family":"Vangsted","given":"Anne Marie","non-dropping-particle":"","parse-names":false,"suffix":""},{"dropping-particle":"","family":"Mølbak","given":"Kåre","non-dropping-particle":"","parse-names":false,"suffix":""},{"dropping-particle":"","family":"Jensen","given":"Thøger Gorm","non-dropping-particle":"","parse-names":false,"suffix":""},{"dropping-particle":"","family":"Hansen","given":"Christian Holm","non-dropping-particle":"","parse-names":false,"suffix":""},{"dropping-particle":"","family":"Ethelberg","given":"Steen","non-dropping-particle":"","parse-names":false,"suffix":""}],"container-title":"PLOS ONE","id":"ITEM-1","issue":"7","issued":{"date-parts":[["2023","7","1"]]},"page":"e0281972","publisher":"Public Library of Science","title":"Patterns of testing in the extensive Danish national SARS-CoV-2 test set-up","type":"article-journal","volume":"18"},"uris":["http://www.mendeley.com/documents/?uuid=191adb4f-bf30-377a-a792-ca9cdaa384d2"]}],"mendeley":{"formattedCitation":"&lt;sup&gt;3&lt;/sup&gt;","plainTextFormattedCitation":"3","previouslyFormattedCitation":"&lt;sup&gt;3&lt;/sup&gt;"},"properties":{"noteIndex":0},"schema":"https://github.com/citation-style-language/schema/raw/master/csl-citation.json"}</w:instrText>
      </w:r>
      <w:r w:rsidRPr="009E3151">
        <w:rPr>
          <w:rFonts w:ascii="Calibri" w:eastAsia="Calibri" w:hAnsi="Calibri" w:cs="Calibri"/>
          <w:color w:val="000000" w:themeColor="text1"/>
          <w:sz w:val="22"/>
          <w:szCs w:val="22"/>
          <w:vertAlign w:val="superscript"/>
          <w:lang w:val="en-US"/>
        </w:rPr>
        <w:fldChar w:fldCharType="separate"/>
      </w:r>
      <w:r w:rsidRPr="005533C9">
        <w:rPr>
          <w:rFonts w:ascii="Calibri" w:eastAsia="Calibri" w:hAnsi="Calibri" w:cs="Calibri"/>
          <w:noProof/>
          <w:color w:val="000000" w:themeColor="text1"/>
          <w:sz w:val="22"/>
          <w:szCs w:val="22"/>
          <w:vertAlign w:val="superscript"/>
          <w:lang w:val="en-US"/>
        </w:rPr>
        <w:t>3</w:t>
      </w:r>
      <w:r w:rsidRPr="009E3151">
        <w:rPr>
          <w:rFonts w:ascii="Calibri" w:eastAsia="Calibri" w:hAnsi="Calibri" w:cs="Calibri"/>
          <w:color w:val="000000" w:themeColor="text1"/>
          <w:sz w:val="22"/>
          <w:szCs w:val="22"/>
          <w:vertAlign w:val="superscript"/>
          <w:lang w:val="en-US"/>
        </w:rPr>
        <w:fldChar w:fldCharType="end"/>
      </w:r>
      <w:r w:rsidRPr="009E3151">
        <w:rPr>
          <w:rFonts w:ascii="Calibri" w:eastAsia="Calibri" w:hAnsi="Calibri" w:cs="Calibri"/>
          <w:color w:val="000000" w:themeColor="text1"/>
          <w:sz w:val="22"/>
          <w:szCs w:val="22"/>
          <w:lang w:val="en-US"/>
        </w:rPr>
        <w:t>. As free public testing began to scale back in the months leading up to its cessation in March 2023, surveillance efforts reverted to conventional methods</w:t>
      </w:r>
      <w:r w:rsidRPr="009E3151">
        <w:rPr>
          <w:rFonts w:ascii="Calibri" w:eastAsia="Calibri" w:hAnsi="Calibri" w:cs="Calibri"/>
          <w:color w:val="000000" w:themeColor="text1"/>
          <w:sz w:val="22"/>
          <w:szCs w:val="22"/>
          <w:vertAlign w:val="superscript"/>
          <w:lang w:val="en-US"/>
        </w:rPr>
        <w:fldChar w:fldCharType="begin" w:fldLock="1"/>
      </w:r>
      <w:r>
        <w:rPr>
          <w:rFonts w:ascii="Calibri" w:eastAsia="Calibri" w:hAnsi="Calibri" w:cs="Calibri"/>
          <w:color w:val="000000" w:themeColor="text1"/>
          <w:sz w:val="22"/>
          <w:szCs w:val="22"/>
          <w:vertAlign w:val="superscript"/>
          <w:lang w:val="en-US"/>
        </w:rPr>
        <w:instrText>ADDIN CSL_CITATION {"citationItems":[{"id":"ITEM-1","itemData":{"URL":"https://www.ssi.dk/aktuelt/nyheder/2023/testcentre-lukker","accessed":{"date-parts":[["2024","12","12"]]},"author":[{"dropping-particle":"","family":"Statens Serum Institut","given":"","non-dropping-particle":"","parse-names":false,"suffix":""}],"id":"ITEM-1","issued":{"date-parts":[["0"]]},"title":"De offentlige covid-19-testcentre lukker","type":"webpage"},"uris":["http://www.mendeley.com/documents/?uuid=6e5364c9-4e1c-323e-9fc0-a1b22c5bd632"]}],"mendeley":{"formattedCitation":"&lt;sup&gt;4&lt;/sup&gt;","plainTextFormattedCitation":"4","previouslyFormattedCitation":"&lt;sup&gt;4&lt;/sup&gt;"},"properties":{"noteIndex":0},"schema":"https://github.com/citation-style-language/schema/raw/master/csl-citation.json"}</w:instrText>
      </w:r>
      <w:r w:rsidRPr="009E3151">
        <w:rPr>
          <w:rFonts w:ascii="Calibri" w:eastAsia="Calibri" w:hAnsi="Calibri" w:cs="Calibri"/>
          <w:color w:val="000000" w:themeColor="text1"/>
          <w:sz w:val="22"/>
          <w:szCs w:val="22"/>
          <w:vertAlign w:val="superscript"/>
          <w:lang w:val="en-US"/>
        </w:rPr>
        <w:fldChar w:fldCharType="separate"/>
      </w:r>
      <w:r w:rsidRPr="005533C9">
        <w:rPr>
          <w:rFonts w:ascii="Calibri" w:eastAsia="Calibri" w:hAnsi="Calibri" w:cs="Calibri"/>
          <w:noProof/>
          <w:color w:val="000000" w:themeColor="text1"/>
          <w:sz w:val="22"/>
          <w:szCs w:val="22"/>
          <w:vertAlign w:val="superscript"/>
          <w:lang w:val="en-US"/>
        </w:rPr>
        <w:t>4</w:t>
      </w:r>
      <w:r w:rsidRPr="009E3151">
        <w:rPr>
          <w:rFonts w:ascii="Calibri" w:eastAsia="Calibri" w:hAnsi="Calibri" w:cs="Calibri"/>
          <w:color w:val="000000" w:themeColor="text1"/>
          <w:sz w:val="22"/>
          <w:szCs w:val="22"/>
          <w:vertAlign w:val="superscript"/>
          <w:lang w:val="en-US"/>
        </w:rPr>
        <w:fldChar w:fldCharType="end"/>
      </w:r>
      <w:r>
        <w:rPr>
          <w:rFonts w:ascii="Calibri" w:eastAsia="Calibri" w:hAnsi="Calibri" w:cs="Calibri"/>
          <w:color w:val="000000" w:themeColor="text1"/>
          <w:sz w:val="22"/>
          <w:szCs w:val="22"/>
          <w:lang w:val="en-US"/>
        </w:rPr>
        <w:t xml:space="preserve">, raising </w:t>
      </w:r>
      <w:r w:rsidRPr="009E3151">
        <w:rPr>
          <w:rFonts w:ascii="Calibri" w:eastAsia="Calibri" w:hAnsi="Calibri" w:cs="Calibri"/>
          <w:color w:val="000000" w:themeColor="text1"/>
          <w:sz w:val="22"/>
          <w:szCs w:val="22"/>
          <w:lang w:val="en-US"/>
        </w:rPr>
        <w:t>concerns about accurately assess</w:t>
      </w:r>
      <w:r>
        <w:rPr>
          <w:rFonts w:ascii="Calibri" w:eastAsia="Calibri" w:hAnsi="Calibri" w:cs="Calibri"/>
          <w:color w:val="000000" w:themeColor="text1"/>
          <w:sz w:val="22"/>
          <w:szCs w:val="22"/>
          <w:lang w:val="en-US"/>
        </w:rPr>
        <w:t>ing</w:t>
      </w:r>
      <w:r w:rsidRPr="009E3151">
        <w:rPr>
          <w:rFonts w:ascii="Calibri" w:eastAsia="Calibri" w:hAnsi="Calibri" w:cs="Calibri"/>
          <w:color w:val="000000" w:themeColor="text1"/>
          <w:sz w:val="22"/>
          <w:szCs w:val="22"/>
          <w:lang w:val="en-US"/>
        </w:rPr>
        <w:t xml:space="preserve"> population-level incidence</w:t>
      </w:r>
      <w:r>
        <w:rPr>
          <w:rFonts w:ascii="Calibri" w:eastAsia="Calibri" w:hAnsi="Calibri" w:cs="Calibri"/>
          <w:color w:val="000000" w:themeColor="text1"/>
          <w:sz w:val="22"/>
          <w:szCs w:val="22"/>
          <w:lang w:val="en-US"/>
        </w:rPr>
        <w:t>.</w:t>
      </w:r>
    </w:p>
    <w:p w14:paraId="42493474" w14:textId="7D9D1D5B"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Continuous self-sampling systems can </w:t>
      </w:r>
      <w:r>
        <w:rPr>
          <w:rFonts w:ascii="Calibri" w:eastAsia="Calibri" w:hAnsi="Calibri" w:cs="Calibri"/>
          <w:color w:val="000000" w:themeColor="text1"/>
          <w:sz w:val="22"/>
          <w:szCs w:val="22"/>
          <w:lang w:val="en-US"/>
        </w:rPr>
        <w:t xml:space="preserve">fill this </w:t>
      </w:r>
      <w:r w:rsidRPr="009E3151">
        <w:rPr>
          <w:rFonts w:ascii="Calibri" w:eastAsia="Calibri" w:hAnsi="Calibri" w:cs="Calibri"/>
          <w:color w:val="000000" w:themeColor="text1"/>
          <w:sz w:val="22"/>
          <w:szCs w:val="22"/>
          <w:lang w:val="en-US"/>
        </w:rPr>
        <w:t>gap without burdening healthcare resources. Population-based home-sampling systems were actively in place in some countries during the COVID-19 pandemic, e.g., the Office for National Statistics’ COVID-19 Infection Survey, which was considered the “gold standard” for SARS-CoV-2 surveillance during the pandemic in the United Kingdom (UK)</w:t>
      </w:r>
      <w:r w:rsidRPr="009E3151">
        <w:rPr>
          <w:rFonts w:ascii="Calibri" w:eastAsia="Calibri" w:hAnsi="Calibri" w:cs="Calibri"/>
          <w:color w:val="000000" w:themeColor="text1"/>
          <w:sz w:val="22"/>
          <w:szCs w:val="22"/>
          <w:lang w:val="en-US"/>
        </w:rPr>
        <w:fldChar w:fldCharType="begin" w:fldLock="1"/>
      </w:r>
      <w:r>
        <w:rPr>
          <w:rFonts w:ascii="Calibri" w:eastAsia="Calibri" w:hAnsi="Calibri" w:cs="Calibri"/>
          <w:color w:val="000000" w:themeColor="text1"/>
          <w:sz w:val="22"/>
          <w:szCs w:val="22"/>
          <w:lang w:val="en-US"/>
        </w:rPr>
        <w:instrText>ADDIN CSL_CITATION {"citationItems":[{"id":"ITEM-1","itemData":{"DOI":"10.1016/S2468-2667(23)00219-0","ISSN":"24682667","PMID":"37832574","abstract":"Background: During the COVID-19 pandemic, cases were tracked using multiple surveillance systems. Some systems were completely novel, and others incorporated multiple data streams to estimate case incidence and prevalence. How well these different surveillance systems worked as epidemic indicators is unclear, which has implications for future disease surveillance and outbreak management. The aim of this study was to compare case counts, prevalence and incidence, timeliness, and comprehensiveness of different COVID-19 surveillance systems in England. Methods: For this retrospective observational study of COVID-19 surveillance systems in England, data from 12 surveillance systems were extracted from publicly available sources (Jan 1, 2020–Nov 30, 2021). The main outcomes were correlations between different indicators of COVID-19 incidence or prevalence. These data were integrated as daily time-series and comparisons undertaken using Spearman correlation between candidate alternatives and the most timely (updated daily, clinical case register) and the least biased (from comprehensive household sampling) COVID-19 epidemic indicators, with comparisons focused on the period of Sept 1, 2020–Nov 30, 2021. Findings: Spearman statistic correlations during the full focus period between the least biased indicator (from household surveys) and other epidemic indicator time-series were 0·94 (95% CI 0·92 to 0·95; clinical cases, the most timely indicator), 0·92 (0·90 to 0·94; estimates of incidence generated after incorporating information about self-reported case status on the ZoeApp, which is a digital app), 0·67 (95% CI 0·60 to 0·73, emergency department attendances), 0·64 (95% CI 0·60 to 0·68, NHS 111 website visits), 0·63 (95% CI 0·56 to 0·69, wastewater viral genome concentrations), 0·60 (95% CI 0·52 to 0·66, admissions to hospital with positive COVID-19 status), 0·45 (95% CI 0·36 to 0·52, NHS 111 calls), 0·08 (95% CI –0·03 to 0·18, Google search rank for “covid”), –0·04 (95% CI –0·12 to 0·05, in-hours consultations with general practitioners), and –0·37 (95% CI –0·46 to –0·28, Google search rank for “coronavirus”). Time lags (–14 to +14 days) did not markedly improve these rho statistics. Clinical cases (the most timely indicator) captured a more consistent proportion of cases than the self-report digital app did. Interpretation: A suite of monitoring systems is useful. The household survey system was the most comprehensive and least biased epidemic monitor, but…","author":[{"dropping-particle":"","family":"Brainard","given":"Julii","non-dropping-particle":"","parse-names":false,"suffix":""},{"dropping-particle":"","family":"Lake","given":"Iain R.","non-dropping-particle":"","parse-names":false,"suffix":""},{"dropping-particle":"","family":"Morbey","given":"Roger A.","non-dropping-particle":"","parse-names":false,"suffix":""},{"dropping-particle":"","family":"Jones","given":"Natalia R.","non-dropping-particle":"","parse-names":false,"suffix":""},{"dropping-particle":"","family":"Elliot","given":"Alex J.","non-dropping-particle":"","parse-names":false,"suffix":""},{"dropping-particle":"","family":"Hunter","given":"Paul R.","non-dropping-particle":"","parse-names":false,"suffix":""}],"container-title":"The Lancet Public Health","id":"ITEM-1","issue":"11","issued":{"date-parts":[["2023","11","1"]]},"page":"e850-e858","publisher":"Elsevier Ltd","title":"Comparison of surveillance systems for monitoring COVID-19 in England: a retrospective observational study","type":"article-journal","volume":"8"},"uris":["http://www.mendeley.com/documents/?uuid=4d261f50-817f-3833-9282-bef7f9944c55"]},{"id":"ITEM-2","itemData":{"DOI":"10.1016/S2468-2667(20)30282-6","ISSN":"24682667","PMID":"33308423","abstract":"Background: Decisions about the continued need for control measures to contain the spread of severe acute respiratory syndrome coronavirus 2 (SARS-CoV-2) rely on accurate and up-to-date information about the number of people testing positive for SARS-CoV-2 and risk factors for testing positive. Existing surveillance systems are generally not based on population samples and are not longitudinal in design. Methods: Samples were collected from individuals aged 2 years and older living in private households in England that were randomly selected from address lists and previous Office for National Statistics surveys in repeated cross-sectional household surveys with additional serial sampling and longitudinal follow-up. Participants completed a questionnaire and did nose and throat self-swabs. The percentage of individuals testing positive for SARS-CoV-2 RNA was estimated over time by use of dynamic multilevel regression and poststratification, to account for potential residual non-representativeness. Potential changes in risk factors for testing positive over time were also assessed. The study is registered with the ISRCTN Registry, ISRCTN21086382. Findings: Between April 26 and Nov 1, 2020, results were available from 1 191 170 samples from 280 327 individuals; 5231 samples were positive overall, from 3923 individuals. The percentage of people testing positive for SARS-CoV-2 changed substantially over time, with an initial decrease between April 26 and June 28, 2020, from 0·40% (95% credible interval 0·29–0·54) to 0·06% (0·04–0·07), followed by low levels during July and August, 2020, before substantial increases at the end of August, 2020, with percentages testing positive above 1% from the end of October, 2020. Having a patient-facing role and working outside your home were important risk factors for testing positive for SARS-CoV-2 at the end of the first wave (April 26 to June 28, 2020), but not in the second wave (from the end of August to Nov 1, 2020). Age (young adults, particularly those aged 17–24 years) was an important initial driver of increased positivity rates in the second wave. For example, the estimated percentage of individuals testing positive was more than six times higher in those aged 17–24 years than in those aged 70 years or older at the end of September, 2020. A substantial proportion of infections were in individuals not reporting symptoms around their positive test (45–68%, dependent on calendar time. Interpretation: Important ris…","author":[{"dropping-particle":"","family":"Pouwels","given":"Koen B.","non-dropping-particle":"","parse-names":false,"suffix":""},{"dropping-particle":"","family":"House","given":"Thomas","non-dropping-particle":"","parse-names":false,"suffix":""},{"dropping-particle":"","family":"Pritchard","given":"Emma","non-dropping-particle":"","parse-names":false,"suffix":""},{"dropping-particle":"V.","family":"Robotham","given":"Julie","non-dropping-particle":"","parse-names":false,"suffix":""},{"dropping-particle":"","family":"Birrell","given":"Paul J.","non-dropping-particle":"","parse-names":false,"suffix":""},{"dropping-particle":"","family":"Gelman","given":"Andrew","non-dropping-particle":"","parse-names":false,"suffix":""},{"dropping-particle":"","family":"Vihta","given":"Karina Doris","non-dropping-particle":"","parse-names":false,"suffix":""},{"dropping-particle":"","family":"Bowers","given":"Nikola","non-dropping-particle":"","parse-names":false,"suffix":""},{"dropping-particle":"","family":"Boreham","given":"Ian","non-dropping-particle":"","parse-names":false,"suffix":""},{"dropping-particle":"","family":"Thomas","given":"Heledd","non-dropping-particle":"","parse-names":false,"suffix":""},{"dropping-particle":"","family":"Lewis","given":"James","non-dropping-particle":"","parse-names":false,"suffix":""},{"dropping-particle":"","family":"Bell","given":"Iain","non-dropping-particle":"","parse-names":false,"suffix":""},{"dropping-particle":"","family":"Bell","given":"John I.","non-dropping-particle":"","parse-names":false,"suffix":""},{"dropping-particle":"","family":"Newton","given":"John N.","non-dropping-particle":"","parse-names":false,"suffix":""},{"dropping-particle":"","family":"Farrar","given":"Jeremy","non-dropping-particle":"","parse-names":false,"suffix":""},{"dropping-particle":"","family":"Diamond","given":"Ian","non-dropping-particle":"","parse-names":false,"suffix":""},{"dropping-particle":"","family":"Benton","given":"Pete","non-dropping-particle":"","parse-names":false,"suffix":""},{"dropping-particle":"","family":"Walker","given":"Ann Sarah","non-dropping-particle":"","parse-names":false,"suffix":""},{"dropping-particle":"","family":"Walker","given":"A. Sarah","non-dropping-particle":"","parse-names":false,"suffix":""},{"dropping-particle":"","family":"Crook","given":"Derrick","non-dropping-particle":"","parse-names":false,"suffix":""},{"dropping-particle":"","family":"Matthews","given":"Philippa C.","non-dropping-particle":"","parse-names":false,"suffix":""},{"dropping-particle":"","family":"Peto","given":"Tim","non-dropping-particle":"","parse-names":false,"suffix":""},{"dropping-particle":"","family":"Stoesser","given":"Nicole","non-dropping-particle":"","parse-names":false,"suffix":""},{"dropping-particle":"","family":"Howarth","given":"Alison","non-dropping-particle":"","parse-names":false,"suffix":""},{"dropping-particle":"","family":"Doherty","given":"George","non-dropping-particle":"","parse-names":false,"suffix":""},{"dropping-particle":"","family":"Kavanagh","given":"James","non-dropping-particle":"","parse-names":false,"suffix":""},{"dropping-particle":"","family":"Chau","given":"Kevin K.","non-dropping-particle":"","parse-names":false,"suffix":""},{"dropping-particle":"","family":"Hatch","given":"Stephanie B.","non-dropping-particle":"","parse-names":false,"suffix":""},{"dropping-particle":"","family":"Ebner","given":"Daniel","non-dropping-particle":"","parse-names":false,"suffix":""},{"dropping-particle":"","family":"Martins Ferreira","given":"Lucas","non-dropping-particle":"","parse-names":false,"suffix":""},{"dropping-particle":"","family":"Christott","given":"Thomas","non-dropping-particle":"","parse-names":false,"suffix":""},{"dropping-particle":"","family":"Marsden","given":"Brian D.","non-dropping-particle":"","parse-names":false,"suffix":""},{"dropping-particle":"","family":"Dejnirattisai","given":"Wanwisa","non-dropping-particle":"","parse-names":false,"suffix":""},{"dropping-particle":"","family":"Mongkolsapaya","given":"Juthathip","non-dropping-particle":"","parse-names":false,"suffix":""},{"dropping-particle":"","family":"Hoosdally","given":"Sarah","non-dropping-particle":"","parse-names":false,"suffix":""},{"dropping-particle":"","family":"Cornall","given":"Richard","non-dropping-particle":"","parse-names":false,"suffix":""},{"dropping-particle":"","family":"Stuart","given":"David I.","non-dropping-particle":"","parse-names":false,"suffix":""},{"dropping-particle":"","family":"Screaton","given":"Gavin","non-dropping-particle":"","parse-names":false,"suffix":""},{"dropping-particle":"","family":"Eyre","given":"David","non-dropping-particle":"","parse-names":false,"suffix":""},{"dropping-particle":"","family":"Bell","given":"John","non-dropping-particle":"","parse-names":false,"suffix":""},{"dropping-particle":"","family":"Cox","given":"Stuart","non-dropping-particle":"","parse-names":false,"suffix":""},{"dropping-particle":"","family":"Paddon","given":"Kevin","non-dropping-particle":"","parse-names":false,"suffix":""},{"dropping-particle":"","family":"James","given":"Tim","non-dropping-particle":"","parse-names":false,"suffix":""},{"dropping-particle":"","family":"Newton","given":"John N.","non-dropping-particle":"","parse-names":false,"suffix":""},{"dropping-particle":"V.","family":"Robotham","given":"Julie","non-dropping-particle":"","parse-names":false,"suffix":""},{"dropping-particle":"","family":"Birrell","given":"Paul","non-dropping-particle":"","parse-names":false,"suffix":""},{"dropping-particle":"","family":"Jordan","given":"Helena","non-dropping-particle":"","parse-names":false,"suffix":""},{"dropping-particle":"","family":"Sheppard","given":"Tim","non-dropping-particle":"","parse-names":false,"suffix":""},{"dropping-particle":"","family":"Athey","given":"Graham","non-dropping-particle":"","parse-names":false,"suffix":""},{"dropping-particle":"","family":"Moody","given":"Dan","non-dropping-particle":"","parse-names":false,"suffix":""},{"dropping-particle":"","family":"Curry","given":"Leigh","non-dropping-particle":"","parse-names":false,"suffix":""},{"dropping-particle":"","family":"Brereton","given":"Pamela","non-dropping-particle":"","parse-names":false,"suffix":""},{"dropping-particle":"","family":"Hay","given":"Jodie","non-dropping-particle":"","parse-names":false,"suffix":""},{"dropping-particle":"","family":"Vansteenhouse","given":"Harper","non-dropping-particle":"","parse-names":false,"suffix":""},{"dropping-particle":"","family":"Lambert","given":"Alex","non-dropping-particle":"","parse-names":false,"suffix":""},{"dropping-particle":"","family":"Rourke","given":"Emma","non-dropping-particle":"","parse-names":false,"suffix":""},{"dropping-particle":"","family":"Hawkes","given":"Stacey","non-dropping-particle":"","parse-names":false,"suffix":""},{"dropping-particle":"","family":"Henry","given":"Sarah","non-dropping-particle":"","parse-names":false,"suffix":""},{"dropping-particle":"","family":"Scruton","given":"James","non-dropping-particle":"","parse-names":false,"suffix":""},{"dropping-particle":"","family":"Stokes","given":"Peter","non-dropping-particle":"","parse-names":false,"suffix":""},{"dropping-particle":"","family":"Thomas","given":"Tina","non-dropping-particle":"","parse-names":false,"suffix":""},{"dropping-particle":"","family":"Allen","given":"John","non-dropping-particle":"","parse-names":false,"suffix":""},{"dropping-particle":"","family":"Black","given":"Russell","non-dropping-particle":"","parse-names":false,"suffix":""},{"dropping-particle":"","family":"Bovill","given":"Heather","non-dropping-particle":"","parse-names":false,"suffix":""},{"dropping-particle":"","family":"Braunholtz","given":"David","non-dropping-particle":"","parse-names":false,"suffix":""},{"dropping-particle":"","family":"Brown","given":"Dominic","non-dropping-particle":"","parse-names":false,"suffix":""},{"dropping-particle":"","family":"Collyer","given":"Sarah","non-dropping-particle":"","parse-names":false,"suffix":""},{"dropping-particle":"","family":"Crees","given":"Megan","non-dropping-particle":"","parse-names":false,"suffix":""},{"dropping-particle":"","family":"Daglish","given":"Colin","non-dropping-particle":"","parse-names":false,"suffix":""},{"dropping-particle":"","family":"Davies","given":"Byron","non-dropping-particle":"","parse-names":false,"suffix":""},{"dropping-particle":"","family":"Donnarumma","given":"Hannah","non-dropping-particle":"","parse-names":false,"suffix":""},{"dropping-particle":"","family":"Douglas-Mann","given":"Julia","non-dropping-particle":"","parse-names":false,"suffix":""},{"dropping-particle":"","family":"Felton","given":"Antonio","non-dropping-particle":"","parse-names":false,"suffix":""},{"dropping-particle":"","family":"Finselbach","given":"Hannah","non-dropping-particle":"","parse-names":false,"suffix":""},{"dropping-particle":"","family":"Fordham","given":"Eleanor","non-dropping-particle":"","parse-names":false,"suffix":""},{"dropping-particle":"","family":"Ipser","given":"Alberta","non-dropping-particle":"","parse-names":false,"suffix":""},{"dropping-particle":"","family":"Jenkins","given":"Joe","non-dropping-particle":"","parse-names":false,"suffix":""},{"dropping-particle":"","family":"Jones","given":"Joel","non-dropping-particle":"","parse-names":false,"suffix":""},{"dropping-particle":"","family":"Kent","given":"Katherine","non-dropping-particle":"","parse-names":false,"suffix":""},{"dropping-particle":"","family":"Kerai","given":"Geeta","non-dropping-particle":"","parse-names":false,"suffix":""},{"dropping-particle":"","family":"Lloyd","given":"Lina","non-dropping-particle":"","parse-names":false,"suffix":""},{"dropping-particle":"","family":"Masding","given":"Victoria","non-dropping-particle":"","parse-names":false,"suffix":""},{"dropping-particle":"","family":"Osborn","given":"Ellie","non-dropping-particle":"","parse-names":false,"suffix":""},{"dropping-particle":"","family":"Patel","given":"Alpi","non-dropping-particle":"","parse-names":false,"suffix":""},{"dropping-particle":"","family":"Pereira","given":"Elizabeth","non-dropping-particle":"","parse-names":false,"suffix":""},{"dropping-particle":"","family":"Pett","given":"Tristan","non-dropping-particle":"","parse-names":false,"suffix":""},{"dropping-particle":"","family":"Randall","given":"Melissa","non-dropping-particle":"","parse-names":false,"suffix":""},{"dropping-particle":"","family":"Reeve","given":"Donna","non-dropping-particle":"","parse-names":false,"suffix":""},{"dropping-particle":"","family":"Shah","given":"Palvi","non-dropping-particle":"","parse-names":false,"suffix":""},{"dropping-particle":"","family":"Snook","given":"Ruth","non-dropping-particle":"","parse-names":false,"suffix":""},{"dropping-particle":"","family":"Studley","given":"Ruth","non-dropping-particle":"","parse-names":false,"suffix":""},{"dropping-particle":"","family":"Sutherland","given":"Esther","non-dropping-particle":"","parse-names":false,"suffix":""},{"dropping-particle":"","family":"Swinn","given":"Eliza","non-dropping-particle":"","parse-names":false,"suffix":""},{"dropping-particle":"","family":"Tudor","given":"Anna","non-dropping-particle":"","parse-names":false,"suffix":""},{"dropping-particle":"","family":"Weston","given":"Joshua","non-dropping-particle":"","parse-names":false,"suffix":""},{"dropping-particle":"","family":"Leib","given":"Shayla","non-dropping-particle":"","parse-names":false,"suffix":""},{"dropping-particle":"","family":"Tierney","given":"James","non-dropping-particle":"","parse-names":false,"suffix":""},{"dropping-particle":"","family":"Farkas","given":"Gabor","non-dropping-particle":"","parse-names":false,"suffix":""},{"dropping-particle":"","family":"Cobb","given":"Raf","non-dropping-particle":"","parse-names":false,"suffix":""},{"dropping-particle":"","family":"Galen","given":"Folkert","non-dropping-particle":"Van","parse-names":false,"suffix":""},{"dropping-particle":"","family":"Compton","given":"Lewis","non-dropping-particle":"","parse-names":false,"suffix":""},{"dropping-particle":"","family":"Irving","given":"James","non-dropping-particle":"","parse-names":false,"suffix":""},{"dropping-particle":"","family":"Clarke","given":"John","non-dropping-particle":"","parse-names":false,"suffix":""},{"dropping-particle":"","family":"Mullis","given":"Rachel","non-dropping-particle":"","parse-names":false,"suffix":""},{"dropping-particle":"","family":"Ireland","given":"Lorraine","non-dropping-particle":"","parse-names":false,"suffix":""},{"dropping-particle":"","family":"Airimitoaie","given":"Diana","non-dropping-particle":"","parse-names":false,"suffix":""},{"dropping-particle":"","family":"Nash","given":"Charlotte","non-dropping-particle":"","parse-names":false,"suffix":""},{"dropping-particle":"","family":"Cox","given":"Danielle","non-dropping-particle":"","parse-names":false,"suffix":""},{"dropping-particle":"","family":"Fisher","given":"Sarah","non-dropping-particle":"","parse-names":false,"suffix":""},{"dropping-particle":"","family":"Moore","given":"Zoe","non-dropping-particle":"","parse-names":false,"suffix":""},{"dropping-particle":"","family":"McLean","given":"James","non-dropping-particle":"","parse-names":false,"suffix":""},{"dropping-particle":"","family":"Kerby","given":"Matt","non-dropping-particle":"","parse-names":false,"suffix":""}],"container-title":"The Lancet Public Health","id":"ITEM-2","issue":"1","issued":{"date-parts":[["2021","1","1"]]},"page":"e30-e38","publisher":"Elsevier Ltd","title":"Community prevalence of SARS-CoV-2 in England from April to November, 2020: results from the ONS Coronavirus Infection Survey","type":"article-journal","volume":"6"},"uris":["http://www.mendeley.com/documents/?uuid=d74ec988-1336-3d55-bdb0-ef662aae863a"]}],"mendeley":{"formattedCitation":"&lt;sup&gt;5,6&lt;/sup&gt;","plainTextFormattedCitation":"5,6","previouslyFormattedCitation":"&lt;sup&gt;5,6&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Pr="005533C9">
        <w:rPr>
          <w:rFonts w:ascii="Calibri" w:eastAsia="Calibri" w:hAnsi="Calibri" w:cs="Calibri"/>
          <w:noProof/>
          <w:color w:val="000000" w:themeColor="text1"/>
          <w:sz w:val="22"/>
          <w:szCs w:val="22"/>
          <w:vertAlign w:val="superscript"/>
          <w:lang w:val="en-US"/>
        </w:rPr>
        <w:t>5,6</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In the summer of 2022, a pilot study was conducted in Denmark to monitor SARS-CoV-2 through home-based self-sampling</w:t>
      </w:r>
      <w:r w:rsidRPr="009E3151">
        <w:rPr>
          <w:rFonts w:ascii="Calibri" w:eastAsia="Calibri" w:hAnsi="Calibri" w:cs="Calibri"/>
          <w:color w:val="000000" w:themeColor="text1"/>
          <w:sz w:val="22"/>
          <w:szCs w:val="22"/>
          <w:vertAlign w:val="superscript"/>
          <w:lang w:val="en-US"/>
        </w:rPr>
        <w:fldChar w:fldCharType="begin" w:fldLock="1"/>
      </w:r>
      <w:r>
        <w:rPr>
          <w:rFonts w:ascii="Calibri" w:eastAsia="Calibri" w:hAnsi="Calibri" w:cs="Calibri"/>
          <w:color w:val="000000" w:themeColor="text1"/>
          <w:sz w:val="22"/>
          <w:szCs w:val="22"/>
          <w:vertAlign w:val="superscript"/>
          <w:lang w:val="en-US"/>
        </w:rPr>
        <w:instrText>ADDIN CSL_CITATION {"citationItems":[{"id":"ITEM-1","itemData":{"DOI":"10.2807/1560-7917.ES.2023.28.38.2200907","ISSN":"15607917","PMID":"37733236","abstract":"Background: During the COVID-19 pandemic, the Danish National Institute for Infectious Disease, Statens Serum Institute (SSI) developed a home-based SARS-CoV-2 surveillance system. Aims: We wanted to determine whether a cohort of individuals performing self-administered swabs for PCR at home could support surveillance of SARS-CoV-2, including detection and assessment of new variants. We also aimed to evaluate the logistical setup. Methods: From May to July 2022, 10,000 blood donors were invited to participate, along with their household members. Participation required performing a self-swab for 4 consecutive weeks and answering symptom questionnaires via a web app. Swabs were sent by post to SSI for PCR analysis and whole genome sequencing. After study completion, participants were asked to complete a questionnaire concerning their experience. Results: In total, 2,186 individuals enrolled (47.4% blood donors), and 1,333 performed self-swabbing (53.0 blood donors), of whom 48 had at least one SARS-CoV-2-positive sample. Fourteen different Omicron subvariants, primarily BA.5 subvariants, were identified by whole genome sequencing (WGS). In total, 29 of the 63 SARS-CoV-2- positive samples were taken from individuals who were asymptomatic at the time of swabbing. Participants collected 2.9 swabs on average, with varying intervals between swabs. Transmission within households was observed in only three of 25 households. Conclusion: Participants successfully performed self-swabs and answered symptom questionnaires. Also, WGS analysis of samples was possible. The system can support surveillance of respiratory pathogens and also holds potential as a diagnostic tool, easing access to test for at-risk groups, while also reducing the burden on healthcare system resources.","author":[{"dropping-particle":"","family":"Fogh","given":"Kamille","non-dropping-particle":"","parse-names":false,"suffix":""},{"dropping-particle":"","family":"Larsen","given":"Tine Graakjær","non-dropping-particle":"","parse-names":false,"suffix":""},{"dropping-particle":"","family":"Martel","given":"Cyril Jean Marie","non-dropping-particle":"","parse-names":false,"suffix":""},{"dropping-particle":"","family":"Møller","given":"Frederik Trier","non-dropping-particle":"","parse-names":false,"suffix":""},{"dropping-particle":"","family":"Vestergaard","given":"Lasse Skafte","non-dropping-particle":"","parse-names":false,"suffix":""},{"dropping-particle":"","family":"Trebbien","given":"Ramona","non-dropping-particle":"","parse-names":false,"suffix":""},{"dropping-particle":"","family":"Vangsted","given":"Anne Marie","non-dropping-particle":"","parse-names":false,"suffix":""},{"dropping-particle":"","family":"Krause","given":"Tyra Grove","non-dropping-particle":"","parse-names":false,"suffix":""}],"container-title":"Eurosurveillance","id":"ITEM-1","issue":"38","issued":{"date-parts":[["2023","9","21"]]},"page":"2200907","publisher":"European Centre for Disease Prevention and Control (ECDC)","title":"Surveillance of SARS-CoV-2 infection based on self-administered swabs, Denmark, May to July 2022: evaluation of a pilot study","type":"article-journal","volume":"28"},"uris":["http://www.mendeley.com/documents/?uuid=82aecc58-18d6-31a5-96b5-599f67fc3187"]}],"mendeley":{"formattedCitation":"&lt;sup&gt;7&lt;/sup&gt;","plainTextFormattedCitation":"7","previouslyFormattedCitation":"&lt;sup&gt;7&lt;/sup&gt;"},"properties":{"noteIndex":0},"schema":"https://github.com/citation-style-language/schema/raw/master/csl-citation.json"}</w:instrText>
      </w:r>
      <w:r w:rsidRPr="009E3151">
        <w:rPr>
          <w:rFonts w:ascii="Calibri" w:eastAsia="Calibri" w:hAnsi="Calibri" w:cs="Calibri"/>
          <w:color w:val="000000" w:themeColor="text1"/>
          <w:sz w:val="22"/>
          <w:szCs w:val="22"/>
          <w:vertAlign w:val="superscript"/>
          <w:lang w:val="en-US"/>
        </w:rPr>
        <w:fldChar w:fldCharType="separate"/>
      </w:r>
      <w:r w:rsidRPr="008221C4">
        <w:rPr>
          <w:rFonts w:ascii="Calibri" w:eastAsia="Calibri" w:hAnsi="Calibri" w:cs="Calibri"/>
          <w:noProof/>
          <w:color w:val="000000" w:themeColor="text1"/>
          <w:sz w:val="22"/>
          <w:szCs w:val="22"/>
          <w:vertAlign w:val="superscript"/>
          <w:lang w:val="en-US"/>
        </w:rPr>
        <w:t>7</w:t>
      </w:r>
      <w:r w:rsidRPr="009E3151">
        <w:rPr>
          <w:rFonts w:ascii="Calibri" w:eastAsia="Calibri" w:hAnsi="Calibri" w:cs="Calibri"/>
          <w:color w:val="000000" w:themeColor="text1"/>
          <w:sz w:val="22"/>
          <w:szCs w:val="22"/>
          <w:vertAlign w:val="superscript"/>
          <w:lang w:val="en-US"/>
        </w:rPr>
        <w:fldChar w:fldCharType="end"/>
      </w:r>
      <w:r w:rsidRPr="009E3151">
        <w:rPr>
          <w:rFonts w:ascii="Calibri" w:eastAsia="Calibri" w:hAnsi="Calibri" w:cs="Calibri"/>
          <w:color w:val="000000" w:themeColor="text1"/>
          <w:sz w:val="22"/>
          <w:szCs w:val="22"/>
          <w:lang w:val="en-US"/>
        </w:rPr>
        <w:t xml:space="preserve">. While promising, it lacked sufficient power to detect changes in weekly trends. Additionally, it remained unclear </w:t>
      </w:r>
      <w:r w:rsidR="000D0228">
        <w:rPr>
          <w:rFonts w:ascii="Calibri" w:eastAsia="Calibri" w:hAnsi="Calibri" w:cs="Calibri"/>
          <w:color w:val="000000" w:themeColor="text1"/>
          <w:sz w:val="22"/>
          <w:szCs w:val="22"/>
          <w:lang w:val="en-US"/>
        </w:rPr>
        <w:t>what information</w:t>
      </w:r>
      <w:r w:rsidRPr="009E3151">
        <w:rPr>
          <w:rFonts w:ascii="Calibri" w:eastAsia="Calibri" w:hAnsi="Calibri" w:cs="Calibri"/>
          <w:color w:val="000000" w:themeColor="text1"/>
          <w:sz w:val="22"/>
          <w:szCs w:val="22"/>
          <w:lang w:val="en-US"/>
        </w:rPr>
        <w:t xml:space="preserve"> it could provide beyond data captured by already existing surveillance systems. </w:t>
      </w:r>
    </w:p>
    <w:p w14:paraId="0D6E3005" w14:textId="37A07EA5" w:rsidR="003168B5" w:rsidRPr="00492AD4" w:rsidRDefault="003168B5" w:rsidP="003168B5">
      <w:pPr>
        <w:spacing w:line="259" w:lineRule="auto"/>
        <w:rPr>
          <w:rFonts w:ascii="Calibri" w:eastAsia="Calibri" w:hAnsi="Calibri" w:cs="Calibri"/>
          <w:color w:val="000000" w:themeColor="text1"/>
          <w:sz w:val="22"/>
          <w:szCs w:val="22"/>
          <w:lang w:val="en-US"/>
        </w:rPr>
      </w:pPr>
      <w:r w:rsidRPr="009E3151">
        <w:rPr>
          <w:lang w:val="en-US"/>
        </w:rPr>
        <w:t xml:space="preserve">To </w:t>
      </w:r>
      <w:r w:rsidRPr="009E3151">
        <w:rPr>
          <w:rFonts w:ascii="Calibri" w:eastAsia="Calibri" w:hAnsi="Calibri" w:cs="Calibri"/>
          <w:color w:val="000000" w:themeColor="text1"/>
          <w:sz w:val="22"/>
          <w:szCs w:val="22"/>
          <w:lang w:val="en-US"/>
        </w:rPr>
        <w:t xml:space="preserve">address these uncertainties, and to sustain continuous monitoring of SARS-CoV-2 after the discontinuation of free testing, Denmark </w:t>
      </w:r>
      <w:r>
        <w:rPr>
          <w:rFonts w:ascii="Calibri" w:eastAsia="Calibri" w:hAnsi="Calibri" w:cs="Calibri"/>
          <w:color w:val="000000" w:themeColor="text1"/>
          <w:sz w:val="22"/>
          <w:szCs w:val="22"/>
          <w:lang w:val="en-US"/>
        </w:rPr>
        <w:t>launched</w:t>
      </w:r>
      <w:r w:rsidRPr="009E3151">
        <w:rPr>
          <w:rFonts w:ascii="Calibri" w:eastAsia="Calibri" w:hAnsi="Calibri" w:cs="Calibri"/>
          <w:color w:val="000000" w:themeColor="text1"/>
          <w:sz w:val="22"/>
          <w:szCs w:val="22"/>
          <w:lang w:val="en-US"/>
        </w:rPr>
        <w:t xml:space="preserve"> Virus Monitoring in Denmark (VMD)</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w:t>
      </w:r>
      <w:r w:rsidRPr="00492AD4">
        <w:rPr>
          <w:rFonts w:ascii="Calibri" w:eastAsia="Calibri" w:hAnsi="Calibri" w:cs="Calibri"/>
          <w:color w:val="000000" w:themeColor="text1"/>
          <w:sz w:val="22"/>
          <w:szCs w:val="22"/>
          <w:lang w:val="en-US"/>
        </w:rPr>
        <w:t xml:space="preserve">a novel surveillance system </w:t>
      </w:r>
      <w:r>
        <w:rPr>
          <w:rFonts w:ascii="Calibri" w:eastAsia="Calibri" w:hAnsi="Calibri" w:cs="Calibri"/>
          <w:color w:val="000000" w:themeColor="text1"/>
          <w:sz w:val="22"/>
          <w:szCs w:val="22"/>
          <w:lang w:val="en-US"/>
        </w:rPr>
        <w:t>which is based on</w:t>
      </w:r>
      <w:r w:rsidRPr="00492AD4">
        <w:rPr>
          <w:rFonts w:ascii="Calibri" w:eastAsia="Calibri" w:hAnsi="Calibri" w:cs="Calibri"/>
          <w:color w:val="000000" w:themeColor="text1"/>
          <w:sz w:val="22"/>
          <w:szCs w:val="22"/>
          <w:lang w:val="en-US"/>
        </w:rPr>
        <w:t xml:space="preserve"> self-swabbing</w:t>
      </w:r>
      <w:r w:rsidR="000D0228">
        <w:rPr>
          <w:rFonts w:ascii="Calibri" w:eastAsia="Calibri" w:hAnsi="Calibri" w:cs="Calibri"/>
          <w:color w:val="000000" w:themeColor="text1"/>
          <w:sz w:val="22"/>
          <w:szCs w:val="22"/>
          <w:lang w:val="en-US"/>
        </w:rPr>
        <w:t>. Participants in VMD register samples and report</w:t>
      </w:r>
      <w:r w:rsidRPr="00492AD4">
        <w:rPr>
          <w:rFonts w:ascii="Calibri" w:eastAsia="Calibri" w:hAnsi="Calibri" w:cs="Calibri"/>
          <w:color w:val="000000" w:themeColor="text1"/>
          <w:sz w:val="22"/>
          <w:szCs w:val="22"/>
          <w:lang w:val="en-US"/>
        </w:rPr>
        <w:t xml:space="preserve"> symptom</w:t>
      </w:r>
      <w:r w:rsidR="000D0228">
        <w:rPr>
          <w:rFonts w:ascii="Calibri" w:eastAsia="Calibri" w:hAnsi="Calibri" w:cs="Calibri"/>
          <w:color w:val="000000" w:themeColor="text1"/>
          <w:sz w:val="22"/>
          <w:szCs w:val="22"/>
          <w:lang w:val="en-US"/>
        </w:rPr>
        <w:t>s</w:t>
      </w:r>
      <w:r w:rsidRPr="00492AD4">
        <w:rPr>
          <w:rFonts w:ascii="Calibri" w:eastAsia="Calibri" w:hAnsi="Calibri" w:cs="Calibri"/>
          <w:color w:val="000000" w:themeColor="text1"/>
          <w:sz w:val="22"/>
          <w:szCs w:val="22"/>
          <w:lang w:val="en-US"/>
        </w:rPr>
        <w:t xml:space="preserve"> </w:t>
      </w:r>
      <w:r w:rsidR="000D0228">
        <w:rPr>
          <w:rFonts w:ascii="Calibri" w:eastAsia="Calibri" w:hAnsi="Calibri" w:cs="Calibri"/>
          <w:color w:val="000000" w:themeColor="text1"/>
          <w:sz w:val="22"/>
          <w:szCs w:val="22"/>
          <w:lang w:val="en-US"/>
        </w:rPr>
        <w:t>using</w:t>
      </w:r>
      <w:r w:rsidRPr="00492AD4">
        <w:rPr>
          <w:rFonts w:ascii="Calibri" w:eastAsia="Calibri" w:hAnsi="Calibri" w:cs="Calibri"/>
          <w:color w:val="000000" w:themeColor="text1"/>
          <w:sz w:val="22"/>
          <w:szCs w:val="22"/>
          <w:lang w:val="en-US"/>
        </w:rPr>
        <w:t xml:space="preserve"> a smartphone </w:t>
      </w:r>
      <w:r>
        <w:rPr>
          <w:rFonts w:ascii="Calibri" w:eastAsia="Calibri" w:hAnsi="Calibri" w:cs="Calibri"/>
          <w:color w:val="000000" w:themeColor="text1"/>
          <w:sz w:val="22"/>
          <w:szCs w:val="22"/>
          <w:lang w:val="en-US"/>
        </w:rPr>
        <w:t xml:space="preserve">web </w:t>
      </w:r>
      <w:r w:rsidRPr="00492AD4">
        <w:rPr>
          <w:rFonts w:ascii="Calibri" w:eastAsia="Calibri" w:hAnsi="Calibri" w:cs="Calibri"/>
          <w:color w:val="000000" w:themeColor="text1"/>
          <w:sz w:val="22"/>
          <w:szCs w:val="22"/>
          <w:lang w:val="en-US"/>
        </w:rPr>
        <w:t>app</w:t>
      </w:r>
      <w:r>
        <w:rPr>
          <w:rFonts w:ascii="Calibri" w:eastAsia="Calibri" w:hAnsi="Calibri" w:cs="Calibri"/>
          <w:color w:val="000000" w:themeColor="text1"/>
          <w:sz w:val="22"/>
          <w:szCs w:val="22"/>
          <w:lang w:val="en-US"/>
        </w:rPr>
        <w:t>lication</w:t>
      </w:r>
      <w:r w:rsidRPr="009E3151">
        <w:rPr>
          <w:rFonts w:ascii="Calibri" w:eastAsia="Calibri" w:hAnsi="Calibri" w:cs="Calibri"/>
          <w:color w:val="000000" w:themeColor="text1"/>
          <w:sz w:val="22"/>
          <w:szCs w:val="22"/>
          <w:lang w:val="en-US"/>
        </w:rPr>
        <w:t xml:space="preserve">. </w:t>
      </w:r>
      <w:r w:rsidRPr="00492AD4">
        <w:rPr>
          <w:rFonts w:ascii="Calibri" w:eastAsia="Calibri" w:hAnsi="Calibri" w:cs="Calibri"/>
          <w:color w:val="000000" w:themeColor="text1"/>
          <w:sz w:val="22"/>
          <w:szCs w:val="22"/>
          <w:lang w:val="en-US"/>
        </w:rPr>
        <w:t>VMD aims to complement existing systems, improve respiratory virus surveillance, detect community transmission, and enhance pandemic preparedness. This paper examines the first 1.5 years of VMD, focusing on its design, challenges, and findings on respiratory virus trends and symptoms within its cohort.</w:t>
      </w:r>
    </w:p>
    <w:p w14:paraId="5734D62E" w14:textId="77777777" w:rsidR="003168B5" w:rsidRDefault="003168B5" w:rsidP="003168B5">
      <w:pPr>
        <w:spacing w:line="259" w:lineRule="auto"/>
        <w:rPr>
          <w:rFonts w:ascii="Calibri" w:eastAsia="Calibri" w:hAnsi="Calibri" w:cs="Calibri"/>
          <w:b/>
          <w:bCs/>
          <w:color w:val="000000" w:themeColor="text1"/>
          <w:sz w:val="32"/>
          <w:szCs w:val="32"/>
          <w:lang w:val="en-US"/>
        </w:rPr>
      </w:pPr>
    </w:p>
    <w:p w14:paraId="21097C8D" w14:textId="77777777" w:rsidR="003168B5" w:rsidRPr="009E3151" w:rsidRDefault="003168B5" w:rsidP="003168B5">
      <w:pPr>
        <w:spacing w:line="259" w:lineRule="auto"/>
        <w:rPr>
          <w:rFonts w:ascii="Calibri" w:eastAsia="Calibri" w:hAnsi="Calibri" w:cs="Calibri"/>
          <w:color w:val="000000" w:themeColor="text1"/>
          <w:sz w:val="32"/>
          <w:szCs w:val="32"/>
          <w:lang w:val="en-US"/>
        </w:rPr>
      </w:pPr>
      <w:r w:rsidRPr="009E3151">
        <w:rPr>
          <w:rFonts w:ascii="Calibri" w:eastAsia="Calibri" w:hAnsi="Calibri" w:cs="Calibri"/>
          <w:b/>
          <w:bCs/>
          <w:color w:val="000000" w:themeColor="text1"/>
          <w:sz w:val="32"/>
          <w:szCs w:val="32"/>
          <w:lang w:val="en-US"/>
        </w:rPr>
        <w:t>Methods</w:t>
      </w:r>
    </w:p>
    <w:p w14:paraId="03FBFEE6" w14:textId="77777777" w:rsidR="003168B5" w:rsidRPr="009E3151" w:rsidRDefault="003168B5" w:rsidP="003168B5">
      <w:pPr>
        <w:spacing w:line="259" w:lineRule="auto"/>
        <w:rPr>
          <w:rFonts w:ascii="Calibri" w:eastAsia="Calibri" w:hAnsi="Calibri" w:cs="Calibri"/>
          <w:color w:val="000000" w:themeColor="text1"/>
          <w:sz w:val="28"/>
          <w:szCs w:val="28"/>
          <w:lang w:val="en-US"/>
        </w:rPr>
      </w:pPr>
      <w:r w:rsidRPr="009E3151">
        <w:rPr>
          <w:rFonts w:ascii="Calibri" w:eastAsia="Calibri" w:hAnsi="Calibri" w:cs="Calibri"/>
          <w:color w:val="000000" w:themeColor="text1"/>
          <w:sz w:val="28"/>
          <w:szCs w:val="28"/>
          <w:lang w:val="en-US"/>
        </w:rPr>
        <w:t>Virus Monitoring in Denmark (VMD) surveillance system</w:t>
      </w:r>
    </w:p>
    <w:p w14:paraId="756E7094" w14:textId="040B6E1E"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VMD comprises a national cohort, a </w:t>
      </w:r>
      <w:r>
        <w:rPr>
          <w:rFonts w:ascii="Calibri" w:eastAsia="Calibri" w:hAnsi="Calibri" w:cs="Calibri"/>
          <w:color w:val="000000" w:themeColor="text1"/>
          <w:sz w:val="22"/>
          <w:szCs w:val="22"/>
          <w:lang w:val="en-US"/>
        </w:rPr>
        <w:t xml:space="preserve">smartphone </w:t>
      </w:r>
      <w:r w:rsidRPr="009E3151">
        <w:rPr>
          <w:rFonts w:ascii="Calibri" w:eastAsia="Calibri" w:hAnsi="Calibri" w:cs="Calibri"/>
          <w:color w:val="000000" w:themeColor="text1"/>
          <w:sz w:val="22"/>
          <w:szCs w:val="22"/>
          <w:lang w:val="en-US"/>
        </w:rPr>
        <w:t>web app</w:t>
      </w:r>
      <w:r>
        <w:rPr>
          <w:rFonts w:ascii="Calibri" w:eastAsia="Calibri" w:hAnsi="Calibri" w:cs="Calibri"/>
          <w:color w:val="000000" w:themeColor="text1"/>
          <w:sz w:val="22"/>
          <w:szCs w:val="22"/>
          <w:lang w:val="en-US"/>
        </w:rPr>
        <w:t>lication</w:t>
      </w:r>
      <w:r w:rsidRPr="009E3151">
        <w:rPr>
          <w:rFonts w:ascii="Calibri" w:eastAsia="Calibri" w:hAnsi="Calibri" w:cs="Calibri"/>
          <w:color w:val="000000" w:themeColor="text1"/>
          <w:sz w:val="22"/>
          <w:szCs w:val="22"/>
          <w:lang w:val="en-US"/>
        </w:rPr>
        <w:t>, standardized test kits, two logistical setups, high-throughput laboratory analyses, and automated outputs</w:t>
      </w:r>
      <w:r w:rsidR="00C75394">
        <w:rPr>
          <w:rFonts w:ascii="Calibri" w:eastAsia="Calibri" w:hAnsi="Calibri" w:cs="Calibri"/>
          <w:color w:val="000000" w:themeColor="text1"/>
          <w:sz w:val="22"/>
          <w:szCs w:val="22"/>
          <w:lang w:val="en-US"/>
        </w:rPr>
        <w:t xml:space="preserve"> </w:t>
      </w:r>
      <w:r w:rsidR="00C649AA">
        <w:rPr>
          <w:rFonts w:ascii="Calibri" w:eastAsia="Calibri" w:hAnsi="Calibri" w:cs="Calibri"/>
          <w:color w:val="000000" w:themeColor="text1"/>
          <w:sz w:val="22"/>
          <w:szCs w:val="22"/>
          <w:lang w:val="en-US"/>
        </w:rPr>
        <w:t xml:space="preserve">which are </w:t>
      </w:r>
      <w:r w:rsidR="00C75394">
        <w:rPr>
          <w:rFonts w:ascii="Calibri" w:eastAsia="Calibri" w:hAnsi="Calibri" w:cs="Calibri"/>
          <w:color w:val="000000" w:themeColor="text1"/>
          <w:sz w:val="22"/>
          <w:szCs w:val="22"/>
          <w:lang w:val="en-US"/>
        </w:rPr>
        <w:t xml:space="preserve">included in </w:t>
      </w:r>
      <w:r w:rsidR="00C649AA">
        <w:rPr>
          <w:rFonts w:ascii="Calibri" w:eastAsia="Calibri" w:hAnsi="Calibri" w:cs="Calibri"/>
          <w:color w:val="000000" w:themeColor="text1"/>
          <w:sz w:val="22"/>
          <w:szCs w:val="22"/>
          <w:lang w:val="en-US"/>
        </w:rPr>
        <w:t xml:space="preserve">the Danish </w:t>
      </w:r>
      <w:r w:rsidR="00C75394">
        <w:rPr>
          <w:rFonts w:ascii="Calibri" w:eastAsia="Calibri" w:hAnsi="Calibri" w:cs="Calibri"/>
          <w:color w:val="000000" w:themeColor="text1"/>
          <w:sz w:val="22"/>
          <w:szCs w:val="22"/>
          <w:lang w:val="en-US"/>
        </w:rPr>
        <w:t>national surveillance</w:t>
      </w:r>
      <w:r w:rsidR="00C649AA">
        <w:rPr>
          <w:rFonts w:ascii="Calibri" w:eastAsia="Calibri" w:hAnsi="Calibri" w:cs="Calibri"/>
          <w:color w:val="000000" w:themeColor="text1"/>
          <w:sz w:val="22"/>
          <w:szCs w:val="22"/>
          <w:lang w:val="en-US"/>
        </w:rPr>
        <w:fldChar w:fldCharType="begin" w:fldLock="1"/>
      </w:r>
      <w:r w:rsidR="00C649AA">
        <w:rPr>
          <w:rFonts w:ascii="Calibri" w:eastAsia="Calibri" w:hAnsi="Calibri" w:cs="Calibri"/>
          <w:color w:val="000000" w:themeColor="text1"/>
          <w:sz w:val="22"/>
          <w:szCs w:val="22"/>
          <w:lang w:val="en-US"/>
        </w:rPr>
        <w:instrText>ADDIN CSL_CITATION {"citationItems":[{"id":"ITEM-1","itemData":{"URL":"https://www.ssi.dk/sygdomme-beredskab-og-forskning/sygdomsovervaagning/l/luftvejsinfektioner-2023-24","accessed":{"date-parts":[["2024","12","12"]]},"author":[{"dropping-particle":"","family":"Statens Serum Institut","given":"","non-dropping-particle":"","parse-names":false,"suffix":""}],"id":"ITEM-1","issued":{"date-parts":[["2024"]]},"title":"Integreret overvågning af luftvejsinfektioner i 2023/24 - samlet opgørelse","type":"webpage"},"uris":["http://www.mendeley.com/documents/?uuid=f6b42297-8f39-36a3-857d-f94be9bb252e"]}],"mendeley":{"formattedCitation":"&lt;sup&gt;8&lt;/sup&gt;","plainTextFormattedCitation":"8","previouslyFormattedCitation":"&lt;sup&gt;8&lt;/sup&gt;"},"properties":{"noteIndex":0},"schema":"https://github.com/citation-style-language/schema/raw/master/csl-citation.json"}</w:instrText>
      </w:r>
      <w:r w:rsidR="00C649AA">
        <w:rPr>
          <w:rFonts w:ascii="Calibri" w:eastAsia="Calibri" w:hAnsi="Calibri" w:cs="Calibri"/>
          <w:color w:val="000000" w:themeColor="text1"/>
          <w:sz w:val="22"/>
          <w:szCs w:val="22"/>
          <w:lang w:val="en-US"/>
        </w:rPr>
        <w:fldChar w:fldCharType="separate"/>
      </w:r>
      <w:r w:rsidR="00C649AA" w:rsidRPr="00C649AA">
        <w:rPr>
          <w:rFonts w:ascii="Calibri" w:eastAsia="Calibri" w:hAnsi="Calibri" w:cs="Calibri"/>
          <w:noProof/>
          <w:color w:val="000000" w:themeColor="text1"/>
          <w:sz w:val="22"/>
          <w:szCs w:val="22"/>
          <w:vertAlign w:val="superscript"/>
          <w:lang w:val="en-US"/>
        </w:rPr>
        <w:t>8</w:t>
      </w:r>
      <w:r w:rsidR="00C649AA">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xml:space="preserve">. </w:t>
      </w:r>
    </w:p>
    <w:p w14:paraId="28E1D25B" w14:textId="77777777" w:rsidR="003168B5" w:rsidRPr="00701BBA"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Study Design</w:t>
      </w:r>
      <w:r w:rsidRPr="009E3151">
        <w:rPr>
          <w:rFonts w:ascii="Calibri" w:eastAsia="Calibri" w:hAnsi="Calibri" w:cs="Calibri"/>
          <w:color w:val="000000" w:themeColor="text1"/>
          <w:sz w:val="22"/>
          <w:szCs w:val="22"/>
          <w:lang w:val="en-US"/>
        </w:rPr>
        <w:t xml:space="preserve">: </w:t>
      </w:r>
      <w:r w:rsidRPr="00701BBA">
        <w:rPr>
          <w:rFonts w:ascii="Calibri" w:eastAsia="Calibri" w:hAnsi="Calibri" w:cs="Calibri"/>
          <w:color w:val="000000" w:themeColor="text1"/>
          <w:sz w:val="22"/>
          <w:szCs w:val="22"/>
          <w:lang w:val="en-US"/>
        </w:rPr>
        <w:t>Recruitment started in week 24, 2023, in phases to build a cohort large enough for trend analysis. The study spans weeks 24, 2023, to 46, 2024, with analyses focused on data from weeks 40, 2023, to 46, 2024.</w:t>
      </w:r>
    </w:p>
    <w:p w14:paraId="7A4FB8CF" w14:textId="0485A16B"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Participants</w:t>
      </w:r>
      <w:r w:rsidRPr="009E3151">
        <w:rPr>
          <w:rFonts w:ascii="Calibri" w:eastAsia="Calibri" w:hAnsi="Calibri" w:cs="Calibri"/>
          <w:color w:val="000000" w:themeColor="text1"/>
          <w:sz w:val="22"/>
          <w:szCs w:val="22"/>
          <w:lang w:val="en-US"/>
        </w:rPr>
        <w:t xml:space="preserve">: Individuals aged </w:t>
      </w:r>
      <w:r>
        <w:rPr>
          <w:rFonts w:ascii="Calibri" w:eastAsia="Calibri" w:hAnsi="Calibri" w:cs="Calibri"/>
          <w:color w:val="000000" w:themeColor="text1"/>
          <w:sz w:val="22"/>
          <w:szCs w:val="22"/>
          <w:lang w:val="en-US"/>
        </w:rPr>
        <w:t>5+</w:t>
      </w:r>
      <w:r w:rsidRPr="009E3151">
        <w:rPr>
          <w:rFonts w:ascii="Calibri" w:eastAsia="Calibri" w:hAnsi="Calibri" w:cs="Calibri"/>
          <w:color w:val="000000" w:themeColor="text1"/>
          <w:sz w:val="22"/>
          <w:szCs w:val="22"/>
          <w:lang w:val="en-US"/>
        </w:rPr>
        <w:t xml:space="preserve"> were eligible</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H</w:t>
      </w:r>
      <w:r w:rsidRPr="009E3151">
        <w:rPr>
          <w:rFonts w:ascii="Calibri" w:eastAsia="Calibri" w:hAnsi="Calibri" w:cs="Calibri"/>
          <w:color w:val="000000" w:themeColor="text1"/>
          <w:sz w:val="22"/>
          <w:szCs w:val="22"/>
          <w:lang w:val="en-US"/>
        </w:rPr>
        <w:t xml:space="preserve">ousehold members were encouraged to enroll as well. </w:t>
      </w:r>
      <w:r>
        <w:rPr>
          <w:rFonts w:ascii="Calibri" w:eastAsia="Calibri" w:hAnsi="Calibri" w:cs="Calibri"/>
          <w:color w:val="000000" w:themeColor="text1"/>
          <w:sz w:val="22"/>
          <w:szCs w:val="22"/>
          <w:lang w:val="en-US"/>
        </w:rPr>
        <w:t xml:space="preserve">Participants swabbed when symptomatic. </w:t>
      </w:r>
      <w:r w:rsidRPr="009E3151">
        <w:rPr>
          <w:rFonts w:ascii="Calibri" w:eastAsia="Calibri" w:hAnsi="Calibri" w:cs="Calibri"/>
          <w:color w:val="000000" w:themeColor="text1"/>
          <w:sz w:val="22"/>
          <w:szCs w:val="22"/>
          <w:lang w:val="en-US"/>
        </w:rPr>
        <w:t>Adults performed combined oropharyngeal and mid-turbinate swabs</w:t>
      </w:r>
      <w:r w:rsidRPr="009E3151">
        <w:rPr>
          <w:rFonts w:ascii="Calibri" w:eastAsia="Calibri" w:hAnsi="Calibri" w:cs="Calibri"/>
          <w:color w:val="000000" w:themeColor="text1"/>
          <w:sz w:val="22"/>
          <w:szCs w:val="22"/>
          <w:lang w:val="en-US"/>
        </w:rPr>
        <w:fldChar w:fldCharType="begin" w:fldLock="1"/>
      </w:r>
      <w:r w:rsidR="00C649AA">
        <w:rPr>
          <w:rFonts w:ascii="Calibri" w:eastAsia="Calibri" w:hAnsi="Calibri" w:cs="Calibri"/>
          <w:color w:val="000000" w:themeColor="text1"/>
          <w:sz w:val="22"/>
          <w:szCs w:val="22"/>
          <w:lang w:val="en-US"/>
        </w:rPr>
        <w:instrText>ADDIN CSL_CITATION {"citationItems":[{"id":"ITEM-1","itemData":{"DOI":"10.1016/J.JVIROMET.2022.114667","ISSN":"1879-0984","PMID":"36572155","abstract":"Purpose: To investigate the performance of a combined nasal midturbinate- and oropharyngeal (NAOP) self-swab compared to a deep oropharyngeal (OP) swab by health care workers (HCW) in detecting SARS-CoV-2 in a real-life setting. Methods: Paired swabs from 1119 participants were included. RT-PCR were used to detect SARS-CoV-2 in both swab samples. Results: 330 participants tested positive. The sensitivity of the combined self-swab and OP swab was 96.9 % and 95.4 % respectively, whereas the Ct-values for self-swabs were significantly lower compared to OP swabs. Conclusion: The combined NAOP self-swab outperformed the OP swab and thus, the NAOP self-swab may be an alternative sampling method under the given circumstances.","author":[{"dropping-particle":"","family":"Hørlyck","given":"Sofie","non-dropping-particle":"","parse-names":false,"suffix":""},{"dropping-particle":"","family":"Nielsen","given":"Sofie Holdflod","non-dropping-particle":"","parse-names":false,"suffix":""},{"dropping-particle":"","family":"Gress","given":"Tobias","non-dropping-particle":"","parse-names":false,"suffix":""},{"dropping-particle":"","family":"Schneider","given":"Uffe","non-dropping-particle":"","parse-names":false,"suffix":""},{"dropping-particle":"","family":"Martel","given":"Cyril Jean Marie","non-dropping-particle":"","parse-names":false,"suffix":""},{"dropping-particle":"","family":"Steenhard","given":"Nina","non-dropping-particle":"","parse-names":false,"suffix":""},{"dropping-particle":"","family":"Gredal","given":"Niels Tobias","non-dropping-particle":"","parse-names":false,"suffix":""},{"dropping-particle":"","family":"Mortensen","given":"Shila","non-dropping-particle":"","parse-names":false,"suffix":""},{"dropping-particle":"","family":"Cohen","given":"Arieh S.","non-dropping-particle":"","parse-names":false,"suffix":""}],"container-title":"Journal of virological methods","id":"ITEM-1","issued":{"date-parts":[["2023","3","1"]]},"publisher":"J Virol Methods","title":"Combined nasal- and oropharyngeal self-swab provides equivalent performance compared to professionally collected oropharyngeal swabs in detecting SARS-CoV-2 in a real-life setting","type":"article-journal","volume":"313"},"uris":["http://www.mendeley.com/documents/?uuid=a0af77f8-dbf1-393c-babb-23b11ef021d9"]}],"mendeley":{"formattedCitation":"&lt;sup&gt;9&lt;/sup&gt;","plainTextFormattedCitation":"9","previouslyFormattedCitation":"&lt;sup&gt;9&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00C649AA" w:rsidRPr="00C649AA">
        <w:rPr>
          <w:rFonts w:ascii="Calibri" w:eastAsia="Calibri" w:hAnsi="Calibri" w:cs="Calibri"/>
          <w:noProof/>
          <w:color w:val="000000" w:themeColor="text1"/>
          <w:sz w:val="22"/>
          <w:szCs w:val="22"/>
          <w:vertAlign w:val="superscript"/>
          <w:lang w:val="en-US"/>
        </w:rPr>
        <w:t>9</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and</w:t>
      </w:r>
      <w:r w:rsidRPr="009E3151">
        <w:rPr>
          <w:rFonts w:ascii="Calibri" w:eastAsia="Calibri" w:hAnsi="Calibri" w:cs="Calibri"/>
          <w:color w:val="000000" w:themeColor="text1"/>
          <w:sz w:val="22"/>
          <w:szCs w:val="22"/>
          <w:lang w:val="en-US"/>
        </w:rPr>
        <w:t xml:space="preserve"> children under 15 swabbed the mid-turbinate with assistance if necessary.</w:t>
      </w:r>
    </w:p>
    <w:p w14:paraId="5F71CF8A"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Aptos" w:eastAsia="Aptos" w:hAnsi="Aptos" w:cs="Aptos"/>
          <w:b/>
          <w:bCs/>
          <w:color w:val="000000" w:themeColor="text1"/>
          <w:sz w:val="22"/>
          <w:szCs w:val="22"/>
          <w:lang w:val="en-US"/>
        </w:rPr>
        <w:t>Recruitment and l</w:t>
      </w:r>
      <w:r w:rsidRPr="009E3151">
        <w:rPr>
          <w:rFonts w:ascii="Calibri" w:eastAsia="Calibri" w:hAnsi="Calibri" w:cs="Calibri"/>
          <w:b/>
          <w:bCs/>
          <w:color w:val="000000" w:themeColor="text1"/>
          <w:sz w:val="22"/>
          <w:szCs w:val="22"/>
          <w:lang w:val="en-US"/>
        </w:rPr>
        <w:t>ogistical setup:</w:t>
      </w:r>
      <w:r w:rsidRPr="009E3151">
        <w:rPr>
          <w:rFonts w:ascii="Aptos" w:eastAsia="Aptos" w:hAnsi="Aptos" w:cs="Aptos"/>
          <w:b/>
          <w:bCs/>
          <w:color w:val="000000" w:themeColor="text1"/>
          <w:sz w:val="22"/>
          <w:szCs w:val="22"/>
          <w:lang w:val="en-US"/>
        </w:rPr>
        <w:t xml:space="preserve"> </w:t>
      </w:r>
    </w:p>
    <w:p w14:paraId="2C33C22B" w14:textId="77777777" w:rsidR="003168B5" w:rsidRPr="009E3151" w:rsidRDefault="003168B5" w:rsidP="003168B5">
      <w:pPr>
        <w:pStyle w:val="ListParagraph"/>
        <w:numPr>
          <w:ilvl w:val="0"/>
          <w:numId w:val="3"/>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The workplace cohort: Eight workplaces and educational institutions participated. Employees collected kits and returned samples to designated drop-off locations at their workplace. Samples were collected daily and transported to </w:t>
      </w:r>
      <w:proofErr w:type="spellStart"/>
      <w:r w:rsidRPr="009E3151">
        <w:rPr>
          <w:rFonts w:ascii="Calibri" w:eastAsia="Calibri" w:hAnsi="Calibri" w:cs="Calibri"/>
          <w:color w:val="000000" w:themeColor="text1"/>
          <w:sz w:val="22"/>
          <w:szCs w:val="22"/>
          <w:lang w:val="en-US"/>
        </w:rPr>
        <w:t>Statens</w:t>
      </w:r>
      <w:proofErr w:type="spellEnd"/>
      <w:r w:rsidRPr="009E3151">
        <w:rPr>
          <w:rFonts w:ascii="Calibri" w:eastAsia="Calibri" w:hAnsi="Calibri" w:cs="Calibri"/>
          <w:color w:val="000000" w:themeColor="text1"/>
          <w:sz w:val="22"/>
          <w:szCs w:val="22"/>
          <w:lang w:val="en-US"/>
        </w:rPr>
        <w:t xml:space="preserve"> Serum </w:t>
      </w:r>
      <w:proofErr w:type="spellStart"/>
      <w:r w:rsidRPr="009E3151">
        <w:rPr>
          <w:rFonts w:ascii="Calibri" w:eastAsia="Calibri" w:hAnsi="Calibri" w:cs="Calibri"/>
          <w:color w:val="000000" w:themeColor="text1"/>
          <w:sz w:val="22"/>
          <w:szCs w:val="22"/>
          <w:lang w:val="en-US"/>
        </w:rPr>
        <w:t>Institut</w:t>
      </w:r>
      <w:proofErr w:type="spellEnd"/>
      <w:r w:rsidRPr="009E3151">
        <w:rPr>
          <w:rFonts w:ascii="Calibri" w:eastAsia="Calibri" w:hAnsi="Calibri" w:cs="Calibri"/>
          <w:color w:val="000000" w:themeColor="text1"/>
          <w:sz w:val="22"/>
          <w:szCs w:val="22"/>
          <w:lang w:val="en-US"/>
        </w:rPr>
        <w:t xml:space="preserve"> (SSI). Participants also had the option to </w:t>
      </w:r>
      <w:r>
        <w:rPr>
          <w:rFonts w:ascii="Calibri" w:eastAsia="Calibri" w:hAnsi="Calibri" w:cs="Calibri"/>
          <w:color w:val="000000" w:themeColor="text1"/>
          <w:sz w:val="22"/>
          <w:szCs w:val="22"/>
          <w:lang w:val="en-US"/>
        </w:rPr>
        <w:t xml:space="preserve">instead </w:t>
      </w:r>
      <w:r w:rsidRPr="009E3151">
        <w:rPr>
          <w:rFonts w:ascii="Calibri" w:eastAsia="Calibri" w:hAnsi="Calibri" w:cs="Calibri"/>
          <w:color w:val="000000" w:themeColor="text1"/>
          <w:sz w:val="22"/>
          <w:szCs w:val="22"/>
          <w:lang w:val="en-US"/>
        </w:rPr>
        <w:t>mail samples using prepaid envelopes provided</w:t>
      </w:r>
      <w:r>
        <w:rPr>
          <w:rFonts w:ascii="Calibri" w:eastAsia="Calibri" w:hAnsi="Calibri" w:cs="Calibri"/>
          <w:color w:val="000000" w:themeColor="text1"/>
          <w:sz w:val="22"/>
          <w:szCs w:val="22"/>
          <w:lang w:val="en-US"/>
        </w:rPr>
        <w:t>.</w:t>
      </w:r>
    </w:p>
    <w:p w14:paraId="58ACA7B6" w14:textId="77777777" w:rsidR="003168B5" w:rsidRPr="009E3151" w:rsidRDefault="003168B5" w:rsidP="003168B5">
      <w:pPr>
        <w:pStyle w:val="ListParagraph"/>
        <w:numPr>
          <w:ilvl w:val="0"/>
          <w:numId w:val="3"/>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lastRenderedPageBreak/>
        <w:t xml:space="preserve">The Digital Post cohort: </w:t>
      </w:r>
      <w:r>
        <w:rPr>
          <w:rFonts w:ascii="Calibri" w:eastAsia="Calibri" w:hAnsi="Calibri" w:cs="Calibri"/>
          <w:color w:val="000000" w:themeColor="text1"/>
          <w:sz w:val="22"/>
          <w:szCs w:val="22"/>
          <w:lang w:val="en-US"/>
        </w:rPr>
        <w:t>From</w:t>
      </w:r>
      <w:r w:rsidRPr="009E3151">
        <w:rPr>
          <w:rFonts w:ascii="Calibri" w:eastAsia="Calibri" w:hAnsi="Calibri" w:cs="Calibri"/>
          <w:color w:val="000000" w:themeColor="text1"/>
          <w:sz w:val="22"/>
          <w:szCs w:val="22"/>
          <w:lang w:val="en-US"/>
        </w:rPr>
        <w:t xml:space="preserve"> week 37, 2023</w:t>
      </w:r>
      <w:r>
        <w:rPr>
          <w:rFonts w:ascii="Calibri" w:eastAsia="Calibri" w:hAnsi="Calibri" w:cs="Calibri"/>
          <w:color w:val="000000" w:themeColor="text1"/>
          <w:sz w:val="22"/>
          <w:szCs w:val="22"/>
          <w:lang w:val="en-US"/>
        </w:rPr>
        <w:t>, a</w:t>
      </w:r>
      <w:r w:rsidRPr="009E3151">
        <w:rPr>
          <w:rFonts w:ascii="Calibri" w:eastAsia="Calibri" w:hAnsi="Calibri" w:cs="Calibri"/>
          <w:color w:val="000000" w:themeColor="text1"/>
          <w:sz w:val="22"/>
          <w:szCs w:val="22"/>
          <w:lang w:val="en-US"/>
        </w:rPr>
        <w:t xml:space="preserve"> random sample of the Danish population aged 18 to </w:t>
      </w:r>
      <w:r>
        <w:rPr>
          <w:rFonts w:ascii="Calibri" w:eastAsia="Calibri" w:hAnsi="Calibri" w:cs="Calibri"/>
          <w:color w:val="000000" w:themeColor="text1"/>
          <w:sz w:val="22"/>
          <w:szCs w:val="22"/>
          <w:lang w:val="en-US"/>
        </w:rPr>
        <w:t>65</w:t>
      </w:r>
      <w:r w:rsidRPr="009E3151">
        <w:rPr>
          <w:rFonts w:ascii="Calibri" w:eastAsia="Calibri" w:hAnsi="Calibri" w:cs="Calibri"/>
          <w:color w:val="000000" w:themeColor="text1"/>
          <w:sz w:val="22"/>
          <w:szCs w:val="22"/>
          <w:lang w:val="en-US"/>
        </w:rPr>
        <w:t xml:space="preserve"> was invited to participate via Digital Post, a secure digital mailbox system</w:t>
      </w:r>
      <w:r>
        <w:rPr>
          <w:rFonts w:ascii="Calibri" w:eastAsia="Calibri" w:hAnsi="Calibri" w:cs="Calibri"/>
          <w:color w:val="000000" w:themeColor="text1"/>
          <w:sz w:val="22"/>
          <w:szCs w:val="22"/>
          <w:lang w:val="en-US"/>
        </w:rPr>
        <w:t>. I</w:t>
      </w:r>
      <w:r w:rsidRPr="009E3151">
        <w:rPr>
          <w:rFonts w:ascii="Calibri" w:eastAsia="Calibri" w:hAnsi="Calibri" w:cs="Calibri"/>
          <w:color w:val="000000" w:themeColor="text1"/>
          <w:sz w:val="22"/>
          <w:szCs w:val="22"/>
          <w:lang w:val="en-US"/>
        </w:rPr>
        <w:t xml:space="preserve">nvitations for individuals aged 65 and above </w:t>
      </w:r>
      <w:r>
        <w:rPr>
          <w:rFonts w:ascii="Calibri" w:eastAsia="Calibri" w:hAnsi="Calibri" w:cs="Calibri"/>
          <w:color w:val="000000" w:themeColor="text1"/>
          <w:sz w:val="22"/>
          <w:szCs w:val="22"/>
          <w:lang w:val="en-US"/>
        </w:rPr>
        <w:t>began</w:t>
      </w:r>
      <w:r w:rsidRPr="009E3151">
        <w:rPr>
          <w:rFonts w:ascii="Calibri" w:eastAsia="Calibri" w:hAnsi="Calibri" w:cs="Calibri"/>
          <w:color w:val="000000" w:themeColor="text1"/>
          <w:sz w:val="22"/>
          <w:szCs w:val="22"/>
          <w:lang w:val="en-US"/>
        </w:rPr>
        <w:t xml:space="preserve"> in week 13, 2024. By the end of the study period, approximately 230,000 individuals had </w:t>
      </w:r>
      <w:r>
        <w:rPr>
          <w:rFonts w:ascii="Calibri" w:eastAsia="Calibri" w:hAnsi="Calibri" w:cs="Calibri"/>
          <w:color w:val="000000" w:themeColor="text1"/>
          <w:sz w:val="22"/>
          <w:szCs w:val="22"/>
          <w:lang w:val="en-US"/>
        </w:rPr>
        <w:t>been sent an invitation</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Testing</w:t>
      </w:r>
      <w:r w:rsidRPr="009E3151">
        <w:rPr>
          <w:rFonts w:ascii="Calibri" w:eastAsia="Calibri" w:hAnsi="Calibri" w:cs="Calibri"/>
          <w:color w:val="000000" w:themeColor="text1"/>
          <w:sz w:val="22"/>
          <w:szCs w:val="22"/>
          <w:lang w:val="en-US"/>
        </w:rPr>
        <w:t xml:space="preserve"> materials</w:t>
      </w:r>
      <w:r>
        <w:rPr>
          <w:rFonts w:ascii="Calibri" w:eastAsia="Calibri" w:hAnsi="Calibri" w:cs="Calibri"/>
          <w:color w:val="000000" w:themeColor="text1"/>
          <w:sz w:val="22"/>
          <w:szCs w:val="22"/>
          <w:lang w:val="en-US"/>
        </w:rPr>
        <w:t xml:space="preserve"> were sent</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 xml:space="preserve">to participants </w:t>
      </w:r>
      <w:r w:rsidRPr="009E3151">
        <w:rPr>
          <w:rFonts w:ascii="Calibri" w:eastAsia="Calibri" w:hAnsi="Calibri" w:cs="Calibri"/>
          <w:color w:val="000000" w:themeColor="text1"/>
          <w:sz w:val="22"/>
          <w:szCs w:val="22"/>
          <w:lang w:val="en-US"/>
        </w:rPr>
        <w:t>by mail</w:t>
      </w:r>
      <w:r>
        <w:rPr>
          <w:rFonts w:ascii="Calibri" w:eastAsia="Calibri" w:hAnsi="Calibri" w:cs="Calibri"/>
          <w:color w:val="000000" w:themeColor="text1"/>
          <w:sz w:val="22"/>
          <w:szCs w:val="22"/>
          <w:lang w:val="en-US"/>
        </w:rPr>
        <w:t xml:space="preserve"> after sign-up and</w:t>
      </w:r>
      <w:r w:rsidRPr="009E3151">
        <w:rPr>
          <w:rFonts w:ascii="Calibri" w:eastAsia="Calibri" w:hAnsi="Calibri" w:cs="Calibri"/>
          <w:color w:val="000000" w:themeColor="text1"/>
          <w:sz w:val="22"/>
          <w:szCs w:val="22"/>
          <w:lang w:val="en-US"/>
        </w:rPr>
        <w:t xml:space="preserve"> following each sample registration. </w:t>
      </w:r>
      <w:r>
        <w:rPr>
          <w:rFonts w:ascii="Calibri" w:eastAsia="Calibri" w:hAnsi="Calibri" w:cs="Calibri"/>
          <w:color w:val="000000" w:themeColor="text1"/>
          <w:sz w:val="22"/>
          <w:szCs w:val="22"/>
          <w:lang w:val="en-US"/>
        </w:rPr>
        <w:t>P</w:t>
      </w:r>
      <w:r w:rsidRPr="009E3151">
        <w:rPr>
          <w:rFonts w:ascii="Calibri" w:eastAsia="Calibri" w:hAnsi="Calibri" w:cs="Calibri"/>
          <w:color w:val="000000" w:themeColor="text1"/>
          <w:sz w:val="22"/>
          <w:szCs w:val="22"/>
          <w:lang w:val="en-US"/>
        </w:rPr>
        <w:t xml:space="preserve">articipants </w:t>
      </w:r>
      <w:r>
        <w:rPr>
          <w:rFonts w:ascii="Calibri" w:eastAsia="Calibri" w:hAnsi="Calibri" w:cs="Calibri"/>
          <w:color w:val="000000" w:themeColor="text1"/>
          <w:sz w:val="22"/>
          <w:szCs w:val="22"/>
          <w:lang w:val="en-US"/>
        </w:rPr>
        <w:t xml:space="preserve">sent samples to SSI </w:t>
      </w:r>
      <w:r w:rsidRPr="009E3151">
        <w:rPr>
          <w:rFonts w:ascii="Calibri" w:eastAsia="Calibri" w:hAnsi="Calibri" w:cs="Calibri"/>
          <w:color w:val="000000" w:themeColor="text1"/>
          <w:sz w:val="22"/>
          <w:szCs w:val="22"/>
          <w:lang w:val="en-US"/>
        </w:rPr>
        <w:t>in prepaid envelopes by regular mail.</w:t>
      </w:r>
    </w:p>
    <w:p w14:paraId="72AAE4E1"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 xml:space="preserve">Web application: </w:t>
      </w:r>
      <w:r w:rsidRPr="009E3151">
        <w:rPr>
          <w:rFonts w:ascii="Calibri" w:eastAsia="Calibri" w:hAnsi="Calibri" w:cs="Calibri"/>
          <w:color w:val="000000" w:themeColor="text1"/>
          <w:sz w:val="22"/>
          <w:szCs w:val="22"/>
          <w:lang w:val="en-US"/>
        </w:rPr>
        <w:t xml:space="preserve">a custom-designed </w:t>
      </w:r>
      <w:r>
        <w:rPr>
          <w:rFonts w:ascii="Calibri" w:eastAsia="Calibri" w:hAnsi="Calibri" w:cs="Calibri"/>
          <w:color w:val="000000" w:themeColor="text1"/>
          <w:sz w:val="22"/>
          <w:szCs w:val="22"/>
          <w:lang w:val="en-US"/>
        </w:rPr>
        <w:t xml:space="preserve">smartphone </w:t>
      </w:r>
      <w:r w:rsidRPr="009E3151">
        <w:rPr>
          <w:rFonts w:ascii="Calibri" w:eastAsia="Calibri" w:hAnsi="Calibri" w:cs="Calibri"/>
          <w:color w:val="000000" w:themeColor="text1"/>
          <w:sz w:val="22"/>
          <w:szCs w:val="22"/>
          <w:lang w:val="en-US"/>
        </w:rPr>
        <w:t xml:space="preserve">web application (hereon referred to as web app) </w:t>
      </w:r>
      <w:r>
        <w:rPr>
          <w:rFonts w:ascii="Calibri" w:eastAsia="Calibri" w:hAnsi="Calibri" w:cs="Calibri"/>
          <w:color w:val="000000" w:themeColor="text1"/>
          <w:sz w:val="22"/>
          <w:szCs w:val="22"/>
          <w:lang w:val="en-US"/>
        </w:rPr>
        <w:t>provided the</w:t>
      </w:r>
      <w:r w:rsidRPr="009E3151">
        <w:rPr>
          <w:rFonts w:ascii="Calibri" w:eastAsia="Calibri" w:hAnsi="Calibri" w:cs="Calibri"/>
          <w:color w:val="000000" w:themeColor="text1"/>
          <w:sz w:val="22"/>
          <w:szCs w:val="22"/>
          <w:lang w:val="en-US"/>
        </w:rPr>
        <w:t xml:space="preserve"> following functions: </w:t>
      </w:r>
    </w:p>
    <w:p w14:paraId="211B7DEE" w14:textId="77777777" w:rsidR="003168B5" w:rsidRPr="009E3151" w:rsidRDefault="003168B5" w:rsidP="003168B5">
      <w:pPr>
        <w:pStyle w:val="ListParagraph"/>
        <w:numPr>
          <w:ilvl w:val="0"/>
          <w:numId w:val="2"/>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Sign-up: Anyone with a Danish CPR number (a unique personal identification number in Denmark) can log in to the system. However, to enroll in VMD, individuals </w:t>
      </w:r>
      <w:r>
        <w:rPr>
          <w:rFonts w:ascii="Calibri" w:eastAsia="Calibri" w:hAnsi="Calibri" w:cs="Calibri"/>
          <w:color w:val="000000" w:themeColor="text1"/>
          <w:sz w:val="22"/>
          <w:szCs w:val="22"/>
          <w:lang w:val="en-US"/>
        </w:rPr>
        <w:t>also had to</w:t>
      </w:r>
      <w:r w:rsidRPr="009E3151">
        <w:rPr>
          <w:rFonts w:ascii="Calibri" w:eastAsia="Calibri" w:hAnsi="Calibri" w:cs="Calibri"/>
          <w:color w:val="000000" w:themeColor="text1"/>
          <w:sz w:val="22"/>
          <w:szCs w:val="22"/>
          <w:lang w:val="en-US"/>
        </w:rPr>
        <w:t xml:space="preserve"> scan a QR code provided in the invitation letter. The web app also </w:t>
      </w:r>
      <w:r>
        <w:rPr>
          <w:rFonts w:ascii="Calibri" w:eastAsia="Calibri" w:hAnsi="Calibri" w:cs="Calibri"/>
          <w:color w:val="000000" w:themeColor="text1"/>
          <w:sz w:val="22"/>
          <w:szCs w:val="22"/>
          <w:lang w:val="en-US"/>
        </w:rPr>
        <w:t>enabled</w:t>
      </w:r>
      <w:r w:rsidRPr="009E3151">
        <w:rPr>
          <w:rFonts w:ascii="Calibri" w:eastAsia="Calibri" w:hAnsi="Calibri" w:cs="Calibri"/>
          <w:color w:val="000000" w:themeColor="text1"/>
          <w:sz w:val="22"/>
          <w:szCs w:val="22"/>
          <w:lang w:val="en-US"/>
        </w:rPr>
        <w:t xml:space="preserve"> participants to withdraw from the study at any time.</w:t>
      </w:r>
    </w:p>
    <w:p w14:paraId="36BAE668" w14:textId="77777777" w:rsidR="003168B5" w:rsidRPr="009E3151" w:rsidRDefault="003168B5" w:rsidP="003168B5">
      <w:pPr>
        <w:pStyle w:val="ListParagraph"/>
        <w:numPr>
          <w:ilvl w:val="0"/>
          <w:numId w:val="2"/>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Sample registration: Participants registered </w:t>
      </w:r>
      <w:r>
        <w:rPr>
          <w:rFonts w:ascii="Calibri" w:eastAsia="Calibri" w:hAnsi="Calibri" w:cs="Calibri"/>
          <w:color w:val="000000" w:themeColor="text1"/>
          <w:sz w:val="22"/>
          <w:szCs w:val="22"/>
          <w:lang w:val="en-US"/>
        </w:rPr>
        <w:t>a</w:t>
      </w:r>
      <w:r w:rsidRPr="009E3151">
        <w:rPr>
          <w:rFonts w:ascii="Calibri" w:eastAsia="Calibri" w:hAnsi="Calibri" w:cs="Calibri"/>
          <w:color w:val="000000" w:themeColor="text1"/>
          <w:sz w:val="22"/>
          <w:szCs w:val="22"/>
          <w:lang w:val="en-US"/>
        </w:rPr>
        <w:t xml:space="preserve"> sample by scanning a unique 2D code on the bottom of the test tube, thereby linking the sample to the participant. Detailed instructions for sample collection and submission, including infographics and an instructional video, were also available on the web app.</w:t>
      </w:r>
    </w:p>
    <w:p w14:paraId="3B26008B" w14:textId="77777777" w:rsidR="003168B5" w:rsidRPr="009E3151" w:rsidRDefault="003168B5" w:rsidP="003168B5">
      <w:pPr>
        <w:pStyle w:val="ListParagraph"/>
        <w:numPr>
          <w:ilvl w:val="0"/>
          <w:numId w:val="2"/>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Symptom questionnaire: A brief questionnaire (see supplementary material S1) could be answered in relation to each sample registration, detailing the symptoms that prompted the sample collection. Participants could also report themselves as asymptomatic or skip the questionnaire entirely.</w:t>
      </w:r>
    </w:p>
    <w:p w14:paraId="3BEFA964" w14:textId="77777777" w:rsidR="003168B5" w:rsidRPr="009E3151" w:rsidRDefault="003168B5" w:rsidP="003168B5">
      <w:pPr>
        <w:pStyle w:val="ListParagraph"/>
        <w:numPr>
          <w:ilvl w:val="0"/>
          <w:numId w:val="2"/>
        </w:numPr>
        <w:spacing w:line="259" w:lineRule="auto"/>
        <w:rPr>
          <w:rFonts w:ascii="Calibri" w:eastAsia="Calibri" w:hAnsi="Calibri" w:cs="Calibri"/>
          <w:color w:val="000000" w:themeColor="text1"/>
          <w:sz w:val="22"/>
          <w:szCs w:val="22"/>
          <w:lang w:val="en-US"/>
        </w:rPr>
      </w:pPr>
      <w:r>
        <w:rPr>
          <w:rFonts w:ascii="Calibri" w:eastAsia="Calibri" w:hAnsi="Calibri" w:cs="Calibri"/>
          <w:color w:val="000000" w:themeColor="text1"/>
          <w:sz w:val="22"/>
          <w:szCs w:val="22"/>
          <w:lang w:val="en-US"/>
        </w:rPr>
        <w:t>A</w:t>
      </w:r>
      <w:r w:rsidRPr="009E3151">
        <w:rPr>
          <w:rFonts w:ascii="Calibri" w:eastAsia="Calibri" w:hAnsi="Calibri" w:cs="Calibri"/>
          <w:color w:val="000000" w:themeColor="text1"/>
          <w:sz w:val="22"/>
          <w:szCs w:val="22"/>
          <w:lang w:val="en-US"/>
        </w:rPr>
        <w:t xml:space="preserve">nalysis result: Once the samples </w:t>
      </w:r>
      <w:r>
        <w:rPr>
          <w:rFonts w:ascii="Calibri" w:eastAsia="Calibri" w:hAnsi="Calibri" w:cs="Calibri"/>
          <w:color w:val="000000" w:themeColor="text1"/>
          <w:sz w:val="22"/>
          <w:szCs w:val="22"/>
          <w:lang w:val="en-US"/>
        </w:rPr>
        <w:t xml:space="preserve">were </w:t>
      </w:r>
      <w:r w:rsidRPr="009E3151">
        <w:rPr>
          <w:rFonts w:ascii="Calibri" w:eastAsia="Calibri" w:hAnsi="Calibri" w:cs="Calibri"/>
          <w:color w:val="000000" w:themeColor="text1"/>
          <w:sz w:val="22"/>
          <w:szCs w:val="22"/>
          <w:lang w:val="en-US"/>
        </w:rPr>
        <w:t>analyzed, participants coul</w:t>
      </w:r>
      <w:r>
        <w:rPr>
          <w:rFonts w:ascii="Calibri" w:eastAsia="Calibri" w:hAnsi="Calibri" w:cs="Calibri"/>
          <w:color w:val="000000" w:themeColor="text1"/>
          <w:sz w:val="22"/>
          <w:szCs w:val="22"/>
          <w:lang w:val="en-US"/>
        </w:rPr>
        <w:t>d see</w:t>
      </w:r>
      <w:r w:rsidRPr="009E3151">
        <w:rPr>
          <w:rFonts w:ascii="Calibri" w:eastAsia="Calibri" w:hAnsi="Calibri" w:cs="Calibri"/>
          <w:color w:val="000000" w:themeColor="text1"/>
          <w:sz w:val="22"/>
          <w:szCs w:val="22"/>
          <w:lang w:val="en-US"/>
        </w:rPr>
        <w:t xml:space="preserve"> their results </w:t>
      </w:r>
      <w:r>
        <w:rPr>
          <w:rFonts w:ascii="Calibri" w:eastAsia="Calibri" w:hAnsi="Calibri" w:cs="Calibri"/>
          <w:color w:val="000000" w:themeColor="text1"/>
          <w:sz w:val="22"/>
          <w:szCs w:val="22"/>
          <w:lang w:val="en-US"/>
        </w:rPr>
        <w:t>in</w:t>
      </w:r>
      <w:r w:rsidRPr="009E3151">
        <w:rPr>
          <w:rFonts w:ascii="Calibri" w:eastAsia="Calibri" w:hAnsi="Calibri" w:cs="Calibri"/>
          <w:color w:val="000000" w:themeColor="text1"/>
          <w:sz w:val="22"/>
          <w:szCs w:val="22"/>
          <w:lang w:val="en-US"/>
        </w:rPr>
        <w:t xml:space="preserve"> the web app. Additionally, the web app provided a link to a website </w:t>
      </w:r>
      <w:r>
        <w:rPr>
          <w:rFonts w:ascii="Calibri" w:eastAsia="Calibri" w:hAnsi="Calibri" w:cs="Calibri"/>
          <w:color w:val="000000" w:themeColor="text1"/>
          <w:sz w:val="22"/>
          <w:szCs w:val="22"/>
          <w:lang w:val="en-US"/>
        </w:rPr>
        <w:t xml:space="preserve">with </w:t>
      </w:r>
      <w:r w:rsidRPr="009E3151">
        <w:rPr>
          <w:rFonts w:ascii="Calibri" w:eastAsia="Calibri" w:hAnsi="Calibri" w:cs="Calibri"/>
          <w:color w:val="000000" w:themeColor="text1"/>
          <w:sz w:val="22"/>
          <w:szCs w:val="22"/>
          <w:lang w:val="en-US"/>
        </w:rPr>
        <w:t xml:space="preserve">a brief description of each virus and its associated symptoms. </w:t>
      </w:r>
    </w:p>
    <w:p w14:paraId="74423372" w14:textId="77777777" w:rsidR="003168B5" w:rsidRPr="009E3151" w:rsidRDefault="003168B5" w:rsidP="003168B5">
      <w:pPr>
        <w:pStyle w:val="ListParagraph"/>
        <w:numPr>
          <w:ilvl w:val="0"/>
          <w:numId w:val="2"/>
        </w:num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Follow-up symptom questionnaire: A follow-up questionnaire (see supplementary material S2), was introduced on the web app to evaluate symptom progression within</w:t>
      </w:r>
      <w:r>
        <w:rPr>
          <w:rFonts w:ascii="Calibri" w:eastAsia="Calibri" w:hAnsi="Calibri" w:cs="Calibri"/>
          <w:color w:val="000000" w:themeColor="text1"/>
          <w:sz w:val="22"/>
          <w:szCs w:val="22"/>
          <w:lang w:val="en-US"/>
        </w:rPr>
        <w:t xml:space="preserve"> the period</w:t>
      </w:r>
      <w:r w:rsidRPr="009E3151">
        <w:rPr>
          <w:rFonts w:ascii="Calibri" w:eastAsia="Calibri" w:hAnsi="Calibri" w:cs="Calibri"/>
          <w:color w:val="000000" w:themeColor="text1"/>
          <w:sz w:val="22"/>
          <w:szCs w:val="22"/>
          <w:lang w:val="en-US"/>
        </w:rPr>
        <w:t xml:space="preserve"> 7 to 28 days after each sample registration.</w:t>
      </w:r>
    </w:p>
    <w:p w14:paraId="2ABC9F9D" w14:textId="77777777" w:rsidR="003168B5" w:rsidRPr="00E11D83"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Evaluation questionnaire</w:t>
      </w:r>
      <w:r w:rsidRPr="009E3151">
        <w:rPr>
          <w:rFonts w:ascii="Calibri" w:eastAsia="Calibri" w:hAnsi="Calibri" w:cs="Calibri"/>
          <w:color w:val="000000" w:themeColor="text1"/>
          <w:sz w:val="22"/>
          <w:szCs w:val="22"/>
          <w:lang w:val="en-US"/>
        </w:rPr>
        <w:t>: in November 2023, an evaluation questionnaire (see supplementary material S3) was distributed to all participants in VMD aged 18</w:t>
      </w:r>
      <w:r>
        <w:rPr>
          <w:rFonts w:ascii="Calibri" w:eastAsia="Calibri" w:hAnsi="Calibri" w:cs="Calibri"/>
          <w:color w:val="000000" w:themeColor="text1"/>
          <w:sz w:val="22"/>
          <w:szCs w:val="22"/>
          <w:lang w:val="en-US"/>
        </w:rPr>
        <w:t>+ to assess participant</w:t>
      </w:r>
      <w:r w:rsidRPr="00E11D83">
        <w:rPr>
          <w:rFonts w:ascii="Calibri" w:eastAsia="Calibri" w:hAnsi="Calibri" w:cs="Calibri"/>
          <w:color w:val="000000" w:themeColor="text1"/>
          <w:sz w:val="22"/>
          <w:szCs w:val="22"/>
          <w:lang w:val="en-US"/>
        </w:rPr>
        <w:t xml:space="preserve"> adherence, influence of test results on health-seeking behaviors etc.</w:t>
      </w:r>
      <w:r w:rsidRPr="009E3151">
        <w:rPr>
          <w:rFonts w:ascii="Calibri" w:eastAsia="Calibri" w:hAnsi="Calibri" w:cs="Calibri"/>
          <w:color w:val="000000" w:themeColor="text1"/>
          <w:sz w:val="22"/>
          <w:szCs w:val="22"/>
          <w:lang w:val="en-US"/>
        </w:rPr>
        <w:t xml:space="preserve"> A similar questionnaire was distributed in November 2024</w:t>
      </w:r>
      <w:r>
        <w:rPr>
          <w:rFonts w:ascii="Calibri" w:eastAsia="Calibri" w:hAnsi="Calibri" w:cs="Calibri"/>
          <w:color w:val="000000" w:themeColor="text1"/>
          <w:sz w:val="22"/>
          <w:szCs w:val="22"/>
          <w:lang w:val="en-US"/>
        </w:rPr>
        <w:t>, in which they were</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further a</w:t>
      </w:r>
      <w:r w:rsidRPr="009E3151">
        <w:rPr>
          <w:rFonts w:ascii="Calibri" w:eastAsia="Calibri" w:hAnsi="Calibri" w:cs="Calibri"/>
          <w:color w:val="000000" w:themeColor="text1"/>
          <w:sz w:val="22"/>
          <w:szCs w:val="22"/>
          <w:lang w:val="en-US"/>
        </w:rPr>
        <w:t>sked whether, in the event of a future pandemic, they would prefer being tested at a</w:t>
      </w:r>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testing center</w:t>
      </w:r>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or through the home-based approach utilized in VMD.</w:t>
      </w:r>
    </w:p>
    <w:p w14:paraId="214425F9" w14:textId="62ACB086" w:rsidR="003168B5" w:rsidRDefault="003168B5" w:rsidP="003168B5">
      <w:pPr>
        <w:spacing w:line="259" w:lineRule="auto"/>
        <w:rPr>
          <w:rFonts w:ascii="Calibri" w:eastAsia="Calibri" w:hAnsi="Calibri" w:cs="Calibri"/>
          <w:color w:val="000000" w:themeColor="text1"/>
          <w:sz w:val="22"/>
          <w:szCs w:val="22"/>
          <w:lang w:val="en-US"/>
        </w:rPr>
      </w:pPr>
      <w:r w:rsidRPr="00A00CDA">
        <w:rPr>
          <w:rFonts w:ascii="Calibri" w:eastAsia="Calibri" w:hAnsi="Calibri" w:cs="Calibri"/>
          <w:color w:val="000000" w:themeColor="text1"/>
          <w:sz w:val="28"/>
          <w:szCs w:val="28"/>
          <w:lang w:val="en-US"/>
        </w:rPr>
        <w:t>Laboratory analysis</w:t>
      </w:r>
      <w:r w:rsidRPr="009E3151">
        <w:rPr>
          <w:lang w:val="en-US"/>
        </w:rPr>
        <w:br/>
      </w:r>
      <w:r>
        <w:rPr>
          <w:rFonts w:ascii="Calibri" w:eastAsia="Calibri" w:hAnsi="Calibri" w:cs="Calibri"/>
          <w:b/>
          <w:bCs/>
          <w:color w:val="000000" w:themeColor="text1"/>
          <w:sz w:val="22"/>
          <w:szCs w:val="22"/>
          <w:lang w:val="en-US"/>
        </w:rPr>
        <w:t>RT-PCR</w:t>
      </w:r>
      <w:r w:rsidRPr="009E3151">
        <w:rPr>
          <w:rFonts w:ascii="Calibri" w:eastAsia="Calibri" w:hAnsi="Calibri" w:cs="Calibri"/>
          <w:b/>
          <w:bCs/>
          <w:color w:val="000000" w:themeColor="text1"/>
          <w:sz w:val="22"/>
          <w:szCs w:val="22"/>
          <w:lang w:val="en-US"/>
        </w:rPr>
        <w:t xml:space="preserve"> panels:</w:t>
      </w:r>
      <w:r w:rsidRPr="009E3151">
        <w:rPr>
          <w:rFonts w:ascii="Calibri" w:eastAsia="Calibri" w:hAnsi="Calibri" w:cs="Calibri"/>
          <w:color w:val="000000" w:themeColor="text1"/>
          <w:sz w:val="22"/>
          <w:szCs w:val="22"/>
          <w:lang w:val="en-US"/>
        </w:rPr>
        <w:t xml:space="preserve"> The multiplex </w:t>
      </w:r>
      <w:r>
        <w:rPr>
          <w:rFonts w:ascii="Calibri" w:eastAsia="Calibri" w:hAnsi="Calibri" w:cs="Calibri"/>
          <w:color w:val="000000" w:themeColor="text1"/>
          <w:sz w:val="22"/>
          <w:szCs w:val="22"/>
          <w:lang w:val="en-US"/>
        </w:rPr>
        <w:t>RT-PCR</w:t>
      </w:r>
      <w:r w:rsidRPr="009E3151">
        <w:rPr>
          <w:rFonts w:ascii="Calibri" w:eastAsia="Calibri" w:hAnsi="Calibri" w:cs="Calibri"/>
          <w:color w:val="000000" w:themeColor="text1"/>
          <w:sz w:val="22"/>
          <w:szCs w:val="22"/>
          <w:lang w:val="en-US"/>
        </w:rPr>
        <w:t xml:space="preserve"> panel included </w:t>
      </w:r>
      <w:bookmarkStart w:id="2" w:name="_Hlk184927110"/>
      <w:proofErr w:type="spellStart"/>
      <w:r>
        <w:rPr>
          <w:rFonts w:ascii="Calibri" w:eastAsia="Calibri" w:hAnsi="Calibri" w:cs="Calibri"/>
          <w:color w:val="000000" w:themeColor="text1"/>
          <w:sz w:val="22"/>
          <w:szCs w:val="22"/>
          <w:lang w:val="en-US"/>
        </w:rPr>
        <w:t>influenzavirus</w:t>
      </w:r>
      <w:proofErr w:type="spellEnd"/>
      <w:r w:rsidRPr="009E3151">
        <w:rPr>
          <w:rFonts w:ascii="Calibri" w:eastAsia="Calibri" w:hAnsi="Calibri" w:cs="Calibri"/>
          <w:color w:val="000000" w:themeColor="text1"/>
          <w:sz w:val="22"/>
          <w:szCs w:val="22"/>
          <w:lang w:val="en-US"/>
        </w:rPr>
        <w:t xml:space="preserve"> A, </w:t>
      </w:r>
      <w:proofErr w:type="spellStart"/>
      <w:r>
        <w:rPr>
          <w:rFonts w:ascii="Calibri" w:eastAsia="Calibri" w:hAnsi="Calibri" w:cs="Calibri"/>
          <w:color w:val="000000" w:themeColor="text1"/>
          <w:sz w:val="22"/>
          <w:szCs w:val="22"/>
          <w:lang w:val="en-US"/>
        </w:rPr>
        <w:t>influenzavirus</w:t>
      </w:r>
      <w:proofErr w:type="spellEnd"/>
      <w:r w:rsidRPr="009E3151">
        <w:rPr>
          <w:rFonts w:ascii="Calibri" w:eastAsia="Calibri" w:hAnsi="Calibri" w:cs="Calibri"/>
          <w:color w:val="000000" w:themeColor="text1"/>
          <w:sz w:val="22"/>
          <w:szCs w:val="22"/>
          <w:lang w:val="en-US"/>
        </w:rPr>
        <w:t xml:space="preserve"> B, RSV A/B, </w:t>
      </w:r>
      <w:bookmarkEnd w:id="2"/>
      <w:r w:rsidRPr="009E3151">
        <w:rPr>
          <w:rFonts w:ascii="Calibri" w:eastAsia="Calibri" w:hAnsi="Calibri" w:cs="Calibri"/>
          <w:color w:val="000000" w:themeColor="text1"/>
          <w:sz w:val="22"/>
          <w:szCs w:val="22"/>
          <w:lang w:val="en-US"/>
        </w:rPr>
        <w:t>and</w:t>
      </w:r>
      <w:r w:rsidRPr="00A273B4">
        <w:rPr>
          <w:rFonts w:ascii="Arial" w:hAnsi="Arial" w:cs="Arial"/>
          <w:color w:val="000000"/>
          <w:shd w:val="clear" w:color="auto" w:fill="FFFFFF"/>
          <w:lang w:val="en-US"/>
        </w:rPr>
        <w:t xml:space="preserve"> </w:t>
      </w:r>
      <w:r w:rsidRPr="00A273B4">
        <w:rPr>
          <w:rFonts w:ascii="Calibri" w:eastAsia="Calibri" w:hAnsi="Calibri" w:cs="Calibri"/>
          <w:color w:val="000000" w:themeColor="text1"/>
          <w:sz w:val="22"/>
          <w:szCs w:val="22"/>
          <w:lang w:val="en-US"/>
        </w:rPr>
        <w:t>severe acute respiratory syndrome coronavirus 2</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SARS-CoV-2</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from week 24, 2023 to week 7, 2024. The </w:t>
      </w:r>
      <w:r>
        <w:rPr>
          <w:rFonts w:ascii="Calibri" w:eastAsia="Calibri" w:hAnsi="Calibri" w:cs="Calibri"/>
          <w:color w:val="000000" w:themeColor="text1"/>
          <w:sz w:val="22"/>
          <w:szCs w:val="22"/>
          <w:lang w:val="en-US"/>
        </w:rPr>
        <w:t>RT-PCR</w:t>
      </w:r>
      <w:r w:rsidRPr="009E3151">
        <w:rPr>
          <w:rFonts w:ascii="Calibri" w:eastAsia="Calibri" w:hAnsi="Calibri" w:cs="Calibri"/>
          <w:color w:val="000000" w:themeColor="text1"/>
          <w:sz w:val="22"/>
          <w:szCs w:val="22"/>
          <w:lang w:val="en-US"/>
        </w:rPr>
        <w:t xml:space="preserve"> panel was expanded in week 8, 2024 to include: </w:t>
      </w:r>
      <w:bookmarkStart w:id="3" w:name="_Hlk184927097"/>
      <w:r>
        <w:rPr>
          <w:rFonts w:ascii="Calibri" w:eastAsia="Calibri" w:hAnsi="Calibri" w:cs="Calibri"/>
          <w:color w:val="000000" w:themeColor="text1"/>
          <w:sz w:val="22"/>
          <w:szCs w:val="22"/>
          <w:lang w:val="en-US"/>
        </w:rPr>
        <w:t xml:space="preserve">human </w:t>
      </w:r>
      <w:r w:rsidRPr="009E3151">
        <w:rPr>
          <w:rFonts w:ascii="Calibri" w:eastAsia="Calibri" w:hAnsi="Calibri" w:cs="Calibri"/>
          <w:color w:val="000000" w:themeColor="text1"/>
          <w:sz w:val="22"/>
          <w:szCs w:val="22"/>
          <w:lang w:val="en-US"/>
        </w:rPr>
        <w:t xml:space="preserve">adenovirus, </w:t>
      </w:r>
      <w:r>
        <w:rPr>
          <w:rFonts w:ascii="Calibri" w:eastAsia="Calibri" w:hAnsi="Calibri" w:cs="Calibri"/>
          <w:color w:val="000000" w:themeColor="text1"/>
          <w:sz w:val="22"/>
          <w:szCs w:val="22"/>
          <w:lang w:val="en-US"/>
        </w:rPr>
        <w:t xml:space="preserve">human </w:t>
      </w:r>
      <w:r w:rsidRPr="009E3151">
        <w:rPr>
          <w:rFonts w:ascii="Calibri" w:eastAsia="Calibri" w:hAnsi="Calibri" w:cs="Calibri"/>
          <w:color w:val="000000" w:themeColor="text1"/>
          <w:sz w:val="22"/>
          <w:szCs w:val="22"/>
          <w:lang w:val="en-US"/>
        </w:rPr>
        <w:t xml:space="preserve">enterovirus, </w:t>
      </w:r>
      <w:r>
        <w:rPr>
          <w:rFonts w:ascii="Calibri" w:eastAsia="Calibri" w:hAnsi="Calibri" w:cs="Calibri"/>
          <w:color w:val="000000" w:themeColor="text1"/>
          <w:sz w:val="22"/>
          <w:szCs w:val="22"/>
          <w:lang w:val="en-US"/>
        </w:rPr>
        <w:t xml:space="preserve">human </w:t>
      </w:r>
      <w:r w:rsidRPr="009E3151">
        <w:rPr>
          <w:rFonts w:ascii="Calibri" w:eastAsia="Calibri" w:hAnsi="Calibri" w:cs="Calibri"/>
          <w:color w:val="000000" w:themeColor="text1"/>
          <w:sz w:val="22"/>
          <w:szCs w:val="22"/>
          <w:lang w:val="en-US"/>
        </w:rPr>
        <w:t xml:space="preserve">rhinovirus, endemic </w:t>
      </w:r>
      <w:r>
        <w:rPr>
          <w:rFonts w:ascii="Calibri" w:eastAsia="Calibri" w:hAnsi="Calibri" w:cs="Calibri"/>
          <w:color w:val="000000" w:themeColor="text1"/>
          <w:sz w:val="22"/>
          <w:szCs w:val="22"/>
          <w:lang w:val="en-US"/>
        </w:rPr>
        <w:t xml:space="preserve">human </w:t>
      </w:r>
      <w:r w:rsidRPr="009E3151">
        <w:rPr>
          <w:rFonts w:ascii="Calibri" w:eastAsia="Calibri" w:hAnsi="Calibri" w:cs="Calibri"/>
          <w:color w:val="000000" w:themeColor="text1"/>
          <w:sz w:val="22"/>
          <w:szCs w:val="22"/>
          <w:lang w:val="en-US"/>
        </w:rPr>
        <w:t xml:space="preserve">coronaviruses </w:t>
      </w:r>
      <w:r>
        <w:rPr>
          <w:rFonts w:ascii="Calibri" w:eastAsia="Calibri" w:hAnsi="Calibri" w:cs="Calibri"/>
          <w:color w:val="000000" w:themeColor="text1"/>
          <w:sz w:val="22"/>
          <w:szCs w:val="22"/>
          <w:lang w:val="en-US"/>
        </w:rPr>
        <w:t xml:space="preserve">types </w:t>
      </w:r>
      <w:r w:rsidRPr="009E3151">
        <w:rPr>
          <w:rFonts w:ascii="Calibri" w:eastAsia="Calibri" w:hAnsi="Calibri" w:cs="Calibri"/>
          <w:color w:val="000000" w:themeColor="text1"/>
          <w:sz w:val="22"/>
          <w:szCs w:val="22"/>
          <w:lang w:val="en-US"/>
        </w:rPr>
        <w:t xml:space="preserve">HKU1, NL63, OC43, 229E, </w:t>
      </w:r>
      <w:r>
        <w:rPr>
          <w:rFonts w:ascii="Calibri" w:eastAsia="Calibri" w:hAnsi="Calibri" w:cs="Calibri"/>
          <w:color w:val="000000" w:themeColor="text1"/>
          <w:sz w:val="22"/>
          <w:szCs w:val="22"/>
          <w:lang w:val="en-US"/>
        </w:rPr>
        <w:t xml:space="preserve">human </w:t>
      </w:r>
      <w:proofErr w:type="spellStart"/>
      <w:r w:rsidRPr="009E3151">
        <w:rPr>
          <w:rFonts w:ascii="Calibri" w:eastAsia="Calibri" w:hAnsi="Calibri" w:cs="Calibri"/>
          <w:color w:val="000000" w:themeColor="text1"/>
          <w:sz w:val="22"/>
          <w:szCs w:val="22"/>
          <w:lang w:val="en-US"/>
        </w:rPr>
        <w:t>para</w:t>
      </w:r>
      <w:r>
        <w:rPr>
          <w:rFonts w:ascii="Calibri" w:eastAsia="Calibri" w:hAnsi="Calibri" w:cs="Calibri"/>
          <w:color w:val="000000" w:themeColor="text1"/>
          <w:sz w:val="22"/>
          <w:szCs w:val="22"/>
          <w:lang w:val="en-US"/>
        </w:rPr>
        <w:t>influenzavirus</w:t>
      </w:r>
      <w:proofErr w:type="spellEnd"/>
      <w:r>
        <w:rPr>
          <w:rFonts w:ascii="Calibri" w:eastAsia="Calibri" w:hAnsi="Calibri" w:cs="Calibri"/>
          <w:color w:val="000000" w:themeColor="text1"/>
          <w:sz w:val="22"/>
          <w:szCs w:val="22"/>
          <w:lang w:val="en-US"/>
        </w:rPr>
        <w:t xml:space="preserve"> (PIV)</w:t>
      </w:r>
      <w:r w:rsidRPr="009E3151">
        <w:rPr>
          <w:rFonts w:ascii="Calibri" w:eastAsia="Calibri" w:hAnsi="Calibri" w:cs="Calibri"/>
          <w:color w:val="000000" w:themeColor="text1"/>
          <w:sz w:val="22"/>
          <w:szCs w:val="22"/>
          <w:lang w:val="en-US"/>
        </w:rPr>
        <w:t xml:space="preserve"> types 1, 2, 3, 4, and human metapneumovirus</w:t>
      </w:r>
      <w:bookmarkEnd w:id="3"/>
      <w:r>
        <w:rPr>
          <w:rFonts w:ascii="Calibri" w:eastAsia="Calibri" w:hAnsi="Calibri" w:cs="Calibri"/>
          <w:color w:val="000000" w:themeColor="text1"/>
          <w:sz w:val="22"/>
          <w:szCs w:val="22"/>
          <w:lang w:val="en-US"/>
        </w:rPr>
        <w:t xml:space="preserve"> (hMPV)</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S</w:t>
      </w:r>
      <w:r w:rsidRPr="009E3151">
        <w:rPr>
          <w:rFonts w:ascii="Calibri" w:eastAsia="Calibri" w:hAnsi="Calibri" w:cs="Calibri"/>
          <w:color w:val="000000" w:themeColor="text1"/>
          <w:sz w:val="22"/>
          <w:szCs w:val="22"/>
          <w:lang w:val="en-US"/>
        </w:rPr>
        <w:t>wabs were shipped dry without transport- or stabilizing media (</w:t>
      </w:r>
      <w:proofErr w:type="spellStart"/>
      <w:r w:rsidRPr="009E3151">
        <w:rPr>
          <w:rFonts w:ascii="Calibri" w:eastAsia="Calibri" w:hAnsi="Calibri" w:cs="Calibri"/>
          <w:color w:val="000000" w:themeColor="text1"/>
          <w:sz w:val="22"/>
          <w:szCs w:val="22"/>
          <w:lang w:val="en-US"/>
        </w:rPr>
        <w:t>FLOQswab</w:t>
      </w:r>
      <w:proofErr w:type="spellEnd"/>
      <w:r w:rsidRPr="009E3151">
        <w:rPr>
          <w:rFonts w:ascii="Calibri" w:eastAsia="Calibri" w:hAnsi="Calibri" w:cs="Calibri"/>
          <w:color w:val="000000" w:themeColor="text1"/>
          <w:sz w:val="22"/>
          <w:szCs w:val="22"/>
          <w:lang w:val="en-US"/>
        </w:rPr>
        <w:t xml:space="preserve">, </w:t>
      </w:r>
      <w:proofErr w:type="spellStart"/>
      <w:r w:rsidRPr="009E3151">
        <w:rPr>
          <w:rFonts w:ascii="Calibri" w:eastAsia="Calibri" w:hAnsi="Calibri" w:cs="Calibri"/>
          <w:color w:val="000000" w:themeColor="text1"/>
          <w:sz w:val="22"/>
          <w:szCs w:val="22"/>
          <w:lang w:val="en-US"/>
        </w:rPr>
        <w:t>Meditec</w:t>
      </w:r>
      <w:proofErr w:type="spellEnd"/>
      <w:r w:rsidRPr="009E3151">
        <w:rPr>
          <w:rFonts w:ascii="Calibri" w:eastAsia="Calibri" w:hAnsi="Calibri" w:cs="Calibri"/>
          <w:color w:val="000000" w:themeColor="text1"/>
          <w:sz w:val="22"/>
          <w:szCs w:val="22"/>
          <w:lang w:val="en-US"/>
        </w:rPr>
        <w:t>)</w:t>
      </w:r>
      <w:r>
        <w:rPr>
          <w:rFonts w:ascii="Calibri" w:eastAsia="Calibri" w:hAnsi="Calibri" w:cs="Calibri"/>
          <w:color w:val="000000" w:themeColor="text1"/>
          <w:sz w:val="22"/>
          <w:szCs w:val="22"/>
          <w:lang w:val="en-US"/>
        </w:rPr>
        <w:t xml:space="preserve"> and</w:t>
      </w:r>
      <w:r w:rsidRPr="009E3151">
        <w:rPr>
          <w:rFonts w:ascii="Calibri" w:eastAsia="Calibri" w:hAnsi="Calibri" w:cs="Calibri"/>
          <w:color w:val="000000" w:themeColor="text1"/>
          <w:sz w:val="22"/>
          <w:szCs w:val="22"/>
          <w:lang w:val="en-US"/>
        </w:rPr>
        <w:t xml:space="preserve"> analyzed on the day of arrival or the following workday. Samples that did not arrive within 12 days of sample registration, or were damaged upon arrival, were given an inconclusive test result per default, and excluded from epidemiological analyses. Residual sample material</w:t>
      </w:r>
      <w:r>
        <w:rPr>
          <w:rFonts w:ascii="Calibri" w:eastAsia="Calibri" w:hAnsi="Calibri" w:cs="Calibri"/>
          <w:color w:val="000000" w:themeColor="text1"/>
          <w:sz w:val="22"/>
          <w:szCs w:val="22"/>
          <w:lang w:val="en-US"/>
        </w:rPr>
        <w:t>s</w:t>
      </w:r>
      <w:r w:rsidRPr="009E3151">
        <w:rPr>
          <w:rFonts w:ascii="Calibri" w:eastAsia="Calibri" w:hAnsi="Calibri" w:cs="Calibri"/>
          <w:color w:val="000000" w:themeColor="text1"/>
          <w:sz w:val="22"/>
          <w:szCs w:val="22"/>
          <w:lang w:val="en-US"/>
        </w:rPr>
        <w:t xml:space="preserve"> in 1xPBS </w:t>
      </w:r>
      <w:r>
        <w:rPr>
          <w:rFonts w:ascii="Calibri" w:eastAsia="Calibri" w:hAnsi="Calibri" w:cs="Calibri"/>
          <w:color w:val="000000" w:themeColor="text1"/>
          <w:sz w:val="22"/>
          <w:szCs w:val="22"/>
          <w:lang w:val="en-US"/>
        </w:rPr>
        <w:t>were</w:t>
      </w:r>
      <w:r w:rsidRPr="009E3151">
        <w:rPr>
          <w:rFonts w:ascii="Calibri" w:eastAsia="Calibri" w:hAnsi="Calibri" w:cs="Calibri"/>
          <w:color w:val="000000" w:themeColor="text1"/>
          <w:sz w:val="22"/>
          <w:szCs w:val="22"/>
          <w:lang w:val="en-US"/>
        </w:rPr>
        <w:t xml:space="preserve"> stored at -80°C at the National Danish Biobank.</w:t>
      </w:r>
    </w:p>
    <w:p w14:paraId="4E71966D"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Reanalysis:</w:t>
      </w:r>
      <w:r w:rsidRPr="009E3151">
        <w:rPr>
          <w:rFonts w:ascii="Aptos" w:eastAsia="Aptos" w:hAnsi="Aptos" w:cs="Aptos"/>
          <w:color w:val="000000" w:themeColor="text1"/>
          <w:lang w:val="en-US"/>
        </w:rPr>
        <w:t xml:space="preserve"> </w:t>
      </w:r>
      <w:r w:rsidRPr="009E3151">
        <w:rPr>
          <w:rFonts w:ascii="Calibri" w:eastAsia="Calibri" w:hAnsi="Calibri" w:cs="Calibri"/>
          <w:color w:val="000000" w:themeColor="text1"/>
          <w:sz w:val="22"/>
          <w:szCs w:val="22"/>
          <w:lang w:val="en-US"/>
        </w:rPr>
        <w:t>Samples from week 39, 2023</w:t>
      </w:r>
      <w:r>
        <w:rPr>
          <w:rFonts w:ascii="Calibri" w:eastAsia="Calibri" w:hAnsi="Calibri" w:cs="Calibri"/>
          <w:color w:val="000000" w:themeColor="text1"/>
          <w:sz w:val="22"/>
          <w:szCs w:val="22"/>
          <w:lang w:val="en-US"/>
        </w:rPr>
        <w:t xml:space="preserve"> to week 7, 2024 </w:t>
      </w:r>
      <w:r w:rsidRPr="009E3151">
        <w:rPr>
          <w:rFonts w:ascii="Calibri" w:eastAsia="Calibri" w:hAnsi="Calibri" w:cs="Calibri"/>
          <w:color w:val="000000" w:themeColor="text1"/>
          <w:sz w:val="22"/>
          <w:szCs w:val="22"/>
          <w:lang w:val="en-US"/>
        </w:rPr>
        <w:t xml:space="preserve">were </w:t>
      </w:r>
      <w:r>
        <w:rPr>
          <w:rFonts w:ascii="Calibri" w:eastAsia="Calibri" w:hAnsi="Calibri" w:cs="Calibri"/>
          <w:color w:val="000000" w:themeColor="text1"/>
          <w:sz w:val="22"/>
          <w:szCs w:val="22"/>
          <w:lang w:val="en-US"/>
        </w:rPr>
        <w:t xml:space="preserve">retrieved form the DNB, </w:t>
      </w:r>
      <w:r w:rsidRPr="009E3151">
        <w:rPr>
          <w:rFonts w:ascii="Calibri" w:eastAsia="Calibri" w:hAnsi="Calibri" w:cs="Calibri"/>
          <w:color w:val="000000" w:themeColor="text1"/>
          <w:sz w:val="22"/>
          <w:szCs w:val="22"/>
          <w:lang w:val="en-US"/>
        </w:rPr>
        <w:t xml:space="preserve">thawed and reanalyzed in autumn 2024 with the extended </w:t>
      </w:r>
      <w:r>
        <w:rPr>
          <w:rFonts w:ascii="Calibri" w:eastAsia="Calibri" w:hAnsi="Calibri" w:cs="Calibri"/>
          <w:color w:val="000000" w:themeColor="text1"/>
          <w:sz w:val="22"/>
          <w:szCs w:val="22"/>
          <w:lang w:val="en-US"/>
        </w:rPr>
        <w:t>RT-PCR</w:t>
      </w:r>
      <w:r w:rsidRPr="009E3151">
        <w:rPr>
          <w:rFonts w:ascii="Calibri" w:eastAsia="Calibri" w:hAnsi="Calibri" w:cs="Calibri"/>
          <w:color w:val="000000" w:themeColor="text1"/>
          <w:sz w:val="22"/>
          <w:szCs w:val="22"/>
          <w:lang w:val="en-US"/>
        </w:rPr>
        <w:t xml:space="preserve"> panel for the purpose of this study. Re</w:t>
      </w:r>
      <w:r>
        <w:rPr>
          <w:rFonts w:ascii="Calibri" w:eastAsia="Calibri" w:hAnsi="Calibri" w:cs="Calibri"/>
          <w:color w:val="000000" w:themeColor="text1"/>
          <w:sz w:val="22"/>
          <w:szCs w:val="22"/>
          <w:lang w:val="en-US"/>
        </w:rPr>
        <w:t xml:space="preserve">analysis </w:t>
      </w:r>
      <w:r>
        <w:rPr>
          <w:rFonts w:ascii="Calibri" w:eastAsia="Calibri" w:hAnsi="Calibri" w:cs="Calibri"/>
          <w:color w:val="000000" w:themeColor="text1"/>
          <w:sz w:val="22"/>
          <w:szCs w:val="22"/>
          <w:lang w:val="en-US"/>
        </w:rPr>
        <w:lastRenderedPageBreak/>
        <w:t>re</w:t>
      </w:r>
      <w:r w:rsidRPr="009E3151">
        <w:rPr>
          <w:rFonts w:ascii="Calibri" w:eastAsia="Calibri" w:hAnsi="Calibri" w:cs="Calibri"/>
          <w:color w:val="000000" w:themeColor="text1"/>
          <w:sz w:val="22"/>
          <w:szCs w:val="22"/>
          <w:lang w:val="en-US"/>
        </w:rPr>
        <w:t xml:space="preserve">sults for </w:t>
      </w:r>
      <w:proofErr w:type="spellStart"/>
      <w:r>
        <w:rPr>
          <w:rFonts w:ascii="Calibri" w:eastAsia="Calibri" w:hAnsi="Calibri" w:cs="Calibri"/>
          <w:color w:val="000000" w:themeColor="text1"/>
          <w:sz w:val="22"/>
          <w:szCs w:val="22"/>
          <w:lang w:val="en-US"/>
        </w:rPr>
        <w:t>influenzavirus</w:t>
      </w:r>
      <w:proofErr w:type="spellEnd"/>
      <w:r w:rsidRPr="009E3151">
        <w:rPr>
          <w:rFonts w:ascii="Calibri" w:eastAsia="Calibri" w:hAnsi="Calibri" w:cs="Calibri"/>
          <w:color w:val="000000" w:themeColor="text1"/>
          <w:sz w:val="22"/>
          <w:szCs w:val="22"/>
          <w:lang w:val="en-US"/>
        </w:rPr>
        <w:t xml:space="preserve"> A, </w:t>
      </w:r>
      <w:proofErr w:type="spellStart"/>
      <w:r>
        <w:rPr>
          <w:rFonts w:ascii="Calibri" w:eastAsia="Calibri" w:hAnsi="Calibri" w:cs="Calibri"/>
          <w:color w:val="000000" w:themeColor="text1"/>
          <w:sz w:val="22"/>
          <w:szCs w:val="22"/>
          <w:lang w:val="en-US"/>
        </w:rPr>
        <w:t>influenzavirus</w:t>
      </w:r>
      <w:proofErr w:type="spellEnd"/>
      <w:r w:rsidRPr="009E3151">
        <w:rPr>
          <w:rFonts w:ascii="Calibri" w:eastAsia="Calibri" w:hAnsi="Calibri" w:cs="Calibri"/>
          <w:color w:val="000000" w:themeColor="text1"/>
          <w:sz w:val="22"/>
          <w:szCs w:val="22"/>
          <w:lang w:val="en-US"/>
        </w:rPr>
        <w:t xml:space="preserve"> B, RSV A/B, and SARS-CoV-2 were consistent with the original analyses, suggesting that the quality was comparable to that of samples tested immediately.</w:t>
      </w:r>
      <w:r w:rsidRPr="009E3151">
        <w:rPr>
          <w:rFonts w:ascii="Calibri" w:eastAsia="Calibri" w:hAnsi="Calibri" w:cs="Calibri"/>
          <w:b/>
          <w:bCs/>
          <w:color w:val="000000" w:themeColor="text1"/>
          <w:sz w:val="22"/>
          <w:szCs w:val="22"/>
          <w:lang w:val="en-US"/>
        </w:rPr>
        <w:t xml:space="preserve"> </w:t>
      </w:r>
    </w:p>
    <w:p w14:paraId="76A4ACAF" w14:textId="77777777"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RNA extraction:</w:t>
      </w:r>
      <w:r w:rsidRPr="009E3151">
        <w:rPr>
          <w:rFonts w:ascii="Calibri" w:eastAsia="Calibri" w:hAnsi="Calibri" w:cs="Calibri"/>
          <w:color w:val="000000" w:themeColor="text1"/>
          <w:sz w:val="22"/>
          <w:szCs w:val="22"/>
          <w:lang w:val="en-US"/>
        </w:rPr>
        <w:t xml:space="preserve"> On the day of analysis, 700 µL of 1xPBS (Phosphate Buffered Saline pH 7.2, Gibco) were added to the swabs. Samples were left agitating on a shaker for 10 minutes (700 rpm) to elute the sample material from the swab. Viral RNA was extracted using Beckman Coulter </w:t>
      </w:r>
      <w:proofErr w:type="spellStart"/>
      <w:r w:rsidRPr="009E3151">
        <w:rPr>
          <w:rFonts w:ascii="Calibri" w:eastAsia="Calibri" w:hAnsi="Calibri" w:cs="Calibri"/>
          <w:color w:val="000000" w:themeColor="text1"/>
          <w:sz w:val="22"/>
          <w:szCs w:val="22"/>
          <w:lang w:val="en-US"/>
        </w:rPr>
        <w:t>RNAdvance</w:t>
      </w:r>
      <w:proofErr w:type="spellEnd"/>
      <w:r w:rsidRPr="009E3151">
        <w:rPr>
          <w:rFonts w:ascii="Calibri" w:eastAsia="Calibri" w:hAnsi="Calibri" w:cs="Calibri"/>
          <w:color w:val="000000" w:themeColor="text1"/>
          <w:sz w:val="22"/>
          <w:szCs w:val="22"/>
          <w:lang w:val="en-US"/>
        </w:rPr>
        <w:t xml:space="preserve"> Viral Reagent Kit with 200 µL sample in 1xPBS as input and 50 µL nuclease-free water for elution on Beckman Coulter i7 automated workstations. Positive controls consisted of 200 µL Exact Diagnostics RP Positive Run Control (RPPOS, Bio-Rad). Sterile 1xPBS was used as negative control. Positive and negative controls were run in parallel with samples throughout RNA isolations and RT-PCR. </w:t>
      </w:r>
    </w:p>
    <w:p w14:paraId="2681B4A8" w14:textId="77777777"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 xml:space="preserve">RT-qPCR assays: </w:t>
      </w:r>
      <w:r w:rsidRPr="009E3151">
        <w:rPr>
          <w:rFonts w:ascii="Calibri" w:eastAsia="Calibri" w:hAnsi="Calibri" w:cs="Calibri"/>
          <w:color w:val="000000" w:themeColor="text1"/>
          <w:sz w:val="22"/>
          <w:szCs w:val="22"/>
          <w:lang w:val="en-US"/>
        </w:rPr>
        <w:t xml:space="preserve">The primers and probes listed in the supplementary material (supplementary material S4) were synthesized by </w:t>
      </w:r>
      <w:proofErr w:type="spellStart"/>
      <w:r w:rsidRPr="009E3151">
        <w:rPr>
          <w:rFonts w:ascii="Calibri" w:eastAsia="Calibri" w:hAnsi="Calibri" w:cs="Calibri"/>
          <w:color w:val="000000" w:themeColor="text1"/>
          <w:sz w:val="22"/>
          <w:szCs w:val="22"/>
          <w:lang w:val="en-US"/>
        </w:rPr>
        <w:t>Biosearch</w:t>
      </w:r>
      <w:proofErr w:type="spellEnd"/>
      <w:r w:rsidRPr="009E3151">
        <w:rPr>
          <w:rFonts w:ascii="Calibri" w:eastAsia="Calibri" w:hAnsi="Calibri" w:cs="Calibri"/>
          <w:color w:val="000000" w:themeColor="text1"/>
          <w:sz w:val="22"/>
          <w:szCs w:val="22"/>
          <w:lang w:val="en-US"/>
        </w:rPr>
        <w:t xml:space="preserve"> Technologies, Denmark, except for the MGB-conjugated probes, which were synthesized by </w:t>
      </w:r>
      <w:proofErr w:type="spellStart"/>
      <w:r w:rsidRPr="009E3151">
        <w:rPr>
          <w:rFonts w:ascii="Calibri" w:eastAsia="Calibri" w:hAnsi="Calibri" w:cs="Calibri"/>
          <w:color w:val="000000" w:themeColor="text1"/>
          <w:sz w:val="22"/>
          <w:szCs w:val="22"/>
          <w:lang w:val="en-US"/>
        </w:rPr>
        <w:t>Eurogentec</w:t>
      </w:r>
      <w:proofErr w:type="spellEnd"/>
      <w:r w:rsidRPr="009E3151">
        <w:rPr>
          <w:rFonts w:ascii="Calibri" w:eastAsia="Calibri" w:hAnsi="Calibri" w:cs="Calibri"/>
          <w:color w:val="000000" w:themeColor="text1"/>
          <w:sz w:val="22"/>
          <w:szCs w:val="22"/>
          <w:lang w:val="en-US"/>
        </w:rPr>
        <w:t>, Belgium, and the Zen- or TAO-conjugated probes, which were synthesized by Integrated DNA Technologies, Belgium. All oligoes were HPLC-purified.</w:t>
      </w:r>
    </w:p>
    <w:p w14:paraId="58FC46E7" w14:textId="77777777"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The reaction mixture for the RT-qPCR:</w:t>
      </w:r>
    </w:p>
    <w:p w14:paraId="6138FCC2" w14:textId="77777777" w:rsidR="003168B5" w:rsidRPr="009E3151" w:rsidRDefault="003168B5" w:rsidP="003168B5">
      <w:pPr>
        <w:pStyle w:val="ListParagraph"/>
        <w:numPr>
          <w:ilvl w:val="0"/>
          <w:numId w:val="11"/>
        </w:numPr>
        <w:spacing w:before="240" w:after="240" w:line="259" w:lineRule="auto"/>
        <w:rPr>
          <w:rFonts w:ascii="Calibri" w:eastAsia="Calibri" w:hAnsi="Calibri" w:cs="Calibri"/>
          <w:color w:val="000000" w:themeColor="text1"/>
          <w:sz w:val="22"/>
          <w:szCs w:val="22"/>
          <w:lang w:val="en-US"/>
        </w:rPr>
      </w:pPr>
      <w:r>
        <w:rPr>
          <w:rFonts w:ascii="Calibri" w:eastAsia="Calibri" w:hAnsi="Calibri" w:cs="Calibri"/>
          <w:color w:val="000000" w:themeColor="text1"/>
          <w:sz w:val="22"/>
          <w:szCs w:val="22"/>
          <w:lang w:val="en-US"/>
        </w:rPr>
        <w:t>F</w:t>
      </w:r>
      <w:r w:rsidRPr="009E3151">
        <w:rPr>
          <w:rFonts w:ascii="Calibri" w:eastAsia="Calibri" w:hAnsi="Calibri" w:cs="Calibri"/>
          <w:color w:val="000000" w:themeColor="text1"/>
          <w:sz w:val="22"/>
          <w:szCs w:val="22"/>
          <w:lang w:val="en-US"/>
        </w:rPr>
        <w:t xml:space="preserve">rom week 24, 2023 to week 7, 2024: For each 20 µL reaction, 5 µL extracted RNA was added to a 15 µL reaction mix containing 10 µL Luna® Universal Probe One-step RT-qPCR reaction buffer (New England Biolabs Inc), 1.0 µL Luna® </w:t>
      </w:r>
      <w:proofErr w:type="spellStart"/>
      <w:r w:rsidRPr="009E3151">
        <w:rPr>
          <w:rFonts w:ascii="Calibri" w:eastAsia="Calibri" w:hAnsi="Calibri" w:cs="Calibri"/>
          <w:color w:val="000000" w:themeColor="text1"/>
          <w:sz w:val="22"/>
          <w:szCs w:val="22"/>
          <w:lang w:val="en-US"/>
        </w:rPr>
        <w:t>Warmstart</w:t>
      </w:r>
      <w:proofErr w:type="spellEnd"/>
      <w:r w:rsidRPr="009E3151">
        <w:rPr>
          <w:rFonts w:ascii="Calibri" w:eastAsia="Calibri" w:hAnsi="Calibri" w:cs="Calibri"/>
          <w:color w:val="000000" w:themeColor="text1"/>
          <w:sz w:val="22"/>
          <w:szCs w:val="22"/>
          <w:lang w:val="en-US"/>
        </w:rPr>
        <w:t xml:space="preserve"> RT Enzyme mix, primers and probes (100 µM, see volumes in Table S4), brought up to 20 µL with nuclease-free water. The PCR program consisted of reverse transcription at 55°C for 10 min., initial denaturation at 95°C for 3 min., followed by 45 cycles of denaturation and annealing/extension at 95°C for 15 sec., and 58°C for 30 sec., respectively.</w:t>
      </w:r>
    </w:p>
    <w:p w14:paraId="62458D72" w14:textId="77777777" w:rsidR="003168B5" w:rsidRPr="009E3151" w:rsidRDefault="003168B5" w:rsidP="003168B5">
      <w:pPr>
        <w:pStyle w:val="ListParagraph"/>
        <w:numPr>
          <w:ilvl w:val="0"/>
          <w:numId w:val="11"/>
        </w:numPr>
        <w:spacing w:before="240" w:after="240" w:line="259" w:lineRule="auto"/>
        <w:rPr>
          <w:rFonts w:ascii="Calibri" w:eastAsia="Calibri" w:hAnsi="Calibri" w:cs="Calibri"/>
          <w:color w:val="000000" w:themeColor="text1"/>
          <w:sz w:val="22"/>
          <w:szCs w:val="22"/>
          <w:lang w:val="en-US"/>
        </w:rPr>
      </w:pPr>
      <w:r>
        <w:rPr>
          <w:rFonts w:ascii="Calibri" w:eastAsia="Calibri" w:hAnsi="Calibri" w:cs="Calibri"/>
          <w:color w:val="000000" w:themeColor="text1"/>
          <w:sz w:val="22"/>
          <w:szCs w:val="22"/>
          <w:lang w:val="en-US"/>
        </w:rPr>
        <w:t>F</w:t>
      </w:r>
      <w:r w:rsidRPr="009E3151">
        <w:rPr>
          <w:rFonts w:ascii="Calibri" w:eastAsia="Calibri" w:hAnsi="Calibri" w:cs="Calibri"/>
          <w:color w:val="000000" w:themeColor="text1"/>
          <w:sz w:val="22"/>
          <w:szCs w:val="22"/>
          <w:lang w:val="en-US"/>
        </w:rPr>
        <w:t xml:space="preserve">rom week 8, 2024 to week 42, 2024 </w:t>
      </w:r>
      <w:r>
        <w:rPr>
          <w:rFonts w:ascii="Calibri" w:eastAsia="Calibri" w:hAnsi="Calibri" w:cs="Calibri"/>
          <w:color w:val="000000" w:themeColor="text1"/>
          <w:sz w:val="22"/>
          <w:szCs w:val="22"/>
          <w:lang w:val="en-US"/>
        </w:rPr>
        <w:t>and</w:t>
      </w:r>
      <w:r w:rsidRPr="009E3151">
        <w:rPr>
          <w:rFonts w:ascii="Calibri" w:eastAsia="Calibri" w:hAnsi="Calibri" w:cs="Calibri"/>
          <w:color w:val="000000" w:themeColor="text1"/>
          <w:sz w:val="22"/>
          <w:szCs w:val="22"/>
          <w:lang w:val="en-US"/>
        </w:rPr>
        <w:t xml:space="preserve"> reanalysis: consisted of five multiplex RT-PCR run in parallel using the same extracted viral RNA material. </w:t>
      </w:r>
    </w:p>
    <w:p w14:paraId="215028A1" w14:textId="77777777" w:rsidR="003168B5" w:rsidRPr="009E3151" w:rsidRDefault="003168B5" w:rsidP="003168B5">
      <w:pPr>
        <w:spacing w:before="240" w:after="240" w:line="259" w:lineRule="auto"/>
        <w:rPr>
          <w:rFonts w:ascii="Times New Roman" w:eastAsia="Times New Roman" w:hAnsi="Times New Roman" w:cs="Times New Roman"/>
          <w:color w:val="000000" w:themeColor="text1"/>
          <w:sz w:val="22"/>
          <w:szCs w:val="22"/>
          <w:lang w:val="en-US"/>
        </w:rPr>
      </w:pPr>
      <w:proofErr w:type="spellStart"/>
      <w:r w:rsidRPr="009E3151">
        <w:rPr>
          <w:rFonts w:ascii="Calibri" w:eastAsia="Calibri" w:hAnsi="Calibri" w:cs="Calibri"/>
          <w:color w:val="000000" w:themeColor="text1"/>
          <w:sz w:val="22"/>
          <w:szCs w:val="22"/>
          <w:lang w:val="en-US"/>
        </w:rPr>
        <w:t>Mastermixes</w:t>
      </w:r>
      <w:proofErr w:type="spellEnd"/>
      <w:r w:rsidRPr="009E3151">
        <w:rPr>
          <w:rFonts w:ascii="Calibri" w:eastAsia="Calibri" w:hAnsi="Calibri" w:cs="Calibri"/>
          <w:color w:val="000000" w:themeColor="text1"/>
          <w:sz w:val="22"/>
          <w:szCs w:val="22"/>
          <w:lang w:val="en-US"/>
        </w:rPr>
        <w:t xml:space="preserve"> A, C and E contained 10 µL Luna® Universal Probe One-step RT-qPCR reaction buffer, 1.0 µL Luna® </w:t>
      </w:r>
      <w:proofErr w:type="spellStart"/>
      <w:r w:rsidRPr="009E3151">
        <w:rPr>
          <w:rFonts w:ascii="Calibri" w:eastAsia="Calibri" w:hAnsi="Calibri" w:cs="Calibri"/>
          <w:color w:val="000000" w:themeColor="text1"/>
          <w:sz w:val="22"/>
          <w:szCs w:val="22"/>
          <w:lang w:val="en-US"/>
        </w:rPr>
        <w:t>WarmStart</w:t>
      </w:r>
      <w:proofErr w:type="spellEnd"/>
      <w:r w:rsidRPr="009E3151">
        <w:rPr>
          <w:rFonts w:ascii="Calibri" w:eastAsia="Calibri" w:hAnsi="Calibri" w:cs="Calibri"/>
          <w:color w:val="000000" w:themeColor="text1"/>
          <w:sz w:val="22"/>
          <w:szCs w:val="22"/>
          <w:lang w:val="en-US"/>
        </w:rPr>
        <w:t xml:space="preserve"> RT Enzyme mix, primers and probes (100 µM, volumes in Table S4), DNase/RNase-free water and 5 µL extracted RNA to a total volume of 20 µL. Cycling conditions: Reverse transcription at 55</w:t>
      </w:r>
      <w:r w:rsidRPr="009E3151">
        <w:rPr>
          <w:rFonts w:ascii="Aptos" w:eastAsia="Aptos" w:hAnsi="Aptos" w:cs="Aptos"/>
          <w:color w:val="000000" w:themeColor="text1"/>
          <w:lang w:val="en-US"/>
        </w:rPr>
        <w:t xml:space="preserve"> </w:t>
      </w:r>
      <w:r w:rsidRPr="009E3151">
        <w:rPr>
          <w:rFonts w:ascii="Calibri" w:eastAsia="Calibri" w:hAnsi="Calibri" w:cs="Calibri"/>
          <w:color w:val="000000" w:themeColor="text1"/>
          <w:sz w:val="22"/>
          <w:szCs w:val="22"/>
          <w:lang w:val="en-US"/>
        </w:rPr>
        <w:t>°C for 10 min., initial denaturation at 95</w:t>
      </w:r>
      <w:r w:rsidRPr="009E3151">
        <w:rPr>
          <w:rFonts w:ascii="Aptos" w:eastAsia="Aptos" w:hAnsi="Aptos" w:cs="Aptos"/>
          <w:color w:val="000000" w:themeColor="text1"/>
          <w:lang w:val="en-US"/>
        </w:rPr>
        <w:t xml:space="preserve"> </w:t>
      </w:r>
      <w:r w:rsidRPr="009E3151">
        <w:rPr>
          <w:rFonts w:ascii="Calibri" w:eastAsia="Calibri" w:hAnsi="Calibri" w:cs="Calibri"/>
          <w:color w:val="000000" w:themeColor="text1"/>
          <w:sz w:val="22"/>
          <w:szCs w:val="22"/>
          <w:lang w:val="en-US"/>
        </w:rPr>
        <w:t>°C for 1 min., followed by 45 cycles of denaturation and annealing/extension at 95</w:t>
      </w:r>
      <w:r w:rsidRPr="009E3151">
        <w:rPr>
          <w:rFonts w:ascii="Aptos" w:eastAsia="Aptos" w:hAnsi="Aptos" w:cs="Aptos"/>
          <w:color w:val="000000" w:themeColor="text1"/>
          <w:lang w:val="en-US"/>
        </w:rPr>
        <w:t xml:space="preserve"> </w:t>
      </w:r>
      <w:r w:rsidRPr="009E3151">
        <w:rPr>
          <w:rFonts w:ascii="Calibri" w:eastAsia="Calibri" w:hAnsi="Calibri" w:cs="Calibri"/>
          <w:color w:val="000000" w:themeColor="text1"/>
          <w:sz w:val="22"/>
          <w:szCs w:val="22"/>
          <w:lang w:val="en-US"/>
        </w:rPr>
        <w:t>°C for 10 sec. and 60</w:t>
      </w:r>
      <w:r w:rsidRPr="009E3151">
        <w:rPr>
          <w:rFonts w:ascii="Aptos" w:eastAsia="Aptos" w:hAnsi="Aptos" w:cs="Aptos"/>
          <w:color w:val="000000" w:themeColor="text1"/>
          <w:lang w:val="en-US"/>
        </w:rPr>
        <w:t xml:space="preserve"> </w:t>
      </w:r>
      <w:r w:rsidRPr="009E3151">
        <w:rPr>
          <w:rFonts w:ascii="Calibri" w:eastAsia="Calibri" w:hAnsi="Calibri" w:cs="Calibri"/>
          <w:color w:val="000000" w:themeColor="text1"/>
          <w:sz w:val="22"/>
          <w:szCs w:val="22"/>
          <w:lang w:val="en-US"/>
        </w:rPr>
        <w:t>°C at 30 sec., respectively</w:t>
      </w:r>
      <w:r w:rsidRPr="009E3151">
        <w:rPr>
          <w:rFonts w:ascii="Times New Roman" w:eastAsia="Times New Roman" w:hAnsi="Times New Roman" w:cs="Times New Roman"/>
          <w:color w:val="000000" w:themeColor="text1"/>
          <w:sz w:val="22"/>
          <w:szCs w:val="22"/>
          <w:lang w:val="en-US"/>
        </w:rPr>
        <w:t>.</w:t>
      </w:r>
    </w:p>
    <w:p w14:paraId="1B3376A4" w14:textId="77777777" w:rsidR="003168B5" w:rsidRPr="009E3151" w:rsidRDefault="003168B5" w:rsidP="003168B5">
      <w:pPr>
        <w:spacing w:line="259" w:lineRule="auto"/>
        <w:rPr>
          <w:rFonts w:ascii="Times New Roman" w:eastAsia="Times New Roman" w:hAnsi="Times New Roman" w:cs="Times New Roman"/>
          <w:color w:val="000000" w:themeColor="text1"/>
          <w:sz w:val="22"/>
          <w:szCs w:val="22"/>
          <w:lang w:val="en-US"/>
        </w:rPr>
      </w:pPr>
      <w:proofErr w:type="spellStart"/>
      <w:r w:rsidRPr="009E3151">
        <w:rPr>
          <w:rFonts w:ascii="Calibri" w:eastAsia="Calibri" w:hAnsi="Calibri" w:cs="Calibri"/>
          <w:color w:val="000000" w:themeColor="text1"/>
          <w:sz w:val="22"/>
          <w:szCs w:val="22"/>
          <w:lang w:val="en-US"/>
        </w:rPr>
        <w:t>Mastermix</w:t>
      </w:r>
      <w:proofErr w:type="spellEnd"/>
      <w:r w:rsidRPr="009E3151">
        <w:rPr>
          <w:rFonts w:ascii="Calibri" w:eastAsia="Calibri" w:hAnsi="Calibri" w:cs="Calibri"/>
          <w:color w:val="000000" w:themeColor="text1"/>
          <w:sz w:val="22"/>
          <w:szCs w:val="22"/>
          <w:lang w:val="en-US"/>
        </w:rPr>
        <w:t xml:space="preserve"> B and F contained 5 µL 4x Reliance One-step Multiplex </w:t>
      </w:r>
      <w:proofErr w:type="spellStart"/>
      <w:r w:rsidRPr="009E3151">
        <w:rPr>
          <w:rFonts w:ascii="Calibri" w:eastAsia="Calibri" w:hAnsi="Calibri" w:cs="Calibri"/>
          <w:color w:val="000000" w:themeColor="text1"/>
          <w:sz w:val="22"/>
          <w:szCs w:val="22"/>
          <w:lang w:val="en-US"/>
        </w:rPr>
        <w:t>Supermix</w:t>
      </w:r>
      <w:proofErr w:type="spellEnd"/>
      <w:r w:rsidRPr="009E3151">
        <w:rPr>
          <w:rFonts w:ascii="Calibri" w:eastAsia="Calibri" w:hAnsi="Calibri" w:cs="Calibri"/>
          <w:color w:val="000000" w:themeColor="text1"/>
          <w:sz w:val="22"/>
          <w:szCs w:val="22"/>
          <w:lang w:val="en-US"/>
        </w:rPr>
        <w:t>, primers and probes (100 µM, volumes in Table S4), DNase/RNase-free water and 5 µL template to a total volume of 20 µL.</w:t>
      </w:r>
      <w:r w:rsidRPr="009E3151">
        <w:rPr>
          <w:rFonts w:ascii="Aptos" w:eastAsia="Aptos" w:hAnsi="Aptos" w:cs="Aptos"/>
          <w:color w:val="000000" w:themeColor="text1"/>
          <w:lang w:val="en-US"/>
        </w:rPr>
        <w:t xml:space="preserve"> </w:t>
      </w:r>
      <w:r w:rsidRPr="009E3151">
        <w:rPr>
          <w:rFonts w:ascii="Calibri" w:eastAsia="Calibri" w:hAnsi="Calibri" w:cs="Calibri"/>
          <w:color w:val="000000" w:themeColor="text1"/>
          <w:sz w:val="22"/>
          <w:szCs w:val="22"/>
          <w:lang w:val="en-US"/>
        </w:rPr>
        <w:t>Cycling conditions: Reverse transcription at 50</w:t>
      </w:r>
      <w:r w:rsidRPr="009E3151">
        <w:rPr>
          <w:rFonts w:ascii="Aptos" w:eastAsia="Aptos" w:hAnsi="Aptos" w:cs="Aptos"/>
          <w:color w:val="000000" w:themeColor="text1"/>
          <w:lang w:val="en-US"/>
        </w:rPr>
        <w:t xml:space="preserve"> </w:t>
      </w:r>
      <w:r w:rsidRPr="009E3151">
        <w:rPr>
          <w:rFonts w:ascii="Calibri" w:eastAsia="Calibri" w:hAnsi="Calibri" w:cs="Calibri"/>
          <w:color w:val="000000" w:themeColor="text1"/>
          <w:sz w:val="22"/>
          <w:szCs w:val="22"/>
          <w:lang w:val="en-US"/>
        </w:rPr>
        <w:t>°C for 10 min., initial denaturation at 95</w:t>
      </w:r>
      <w:r w:rsidRPr="009E3151">
        <w:rPr>
          <w:rFonts w:ascii="Aptos" w:eastAsia="Aptos" w:hAnsi="Aptos" w:cs="Aptos"/>
          <w:color w:val="000000" w:themeColor="text1"/>
          <w:lang w:val="en-US"/>
        </w:rPr>
        <w:t xml:space="preserve"> </w:t>
      </w:r>
      <w:r w:rsidRPr="009E3151">
        <w:rPr>
          <w:rFonts w:ascii="Calibri" w:eastAsia="Calibri" w:hAnsi="Calibri" w:cs="Calibri"/>
          <w:color w:val="000000" w:themeColor="text1"/>
          <w:sz w:val="22"/>
          <w:szCs w:val="22"/>
          <w:lang w:val="en-US"/>
        </w:rPr>
        <w:t>°C for 10 min., followed by 45 cycles of denaturation and annealing/extension at 95</w:t>
      </w:r>
      <w:r w:rsidRPr="009E3151">
        <w:rPr>
          <w:rFonts w:ascii="Aptos" w:eastAsia="Aptos" w:hAnsi="Aptos" w:cs="Aptos"/>
          <w:color w:val="000000" w:themeColor="text1"/>
          <w:lang w:val="en-US"/>
        </w:rPr>
        <w:t xml:space="preserve"> </w:t>
      </w:r>
      <w:r w:rsidRPr="009E3151">
        <w:rPr>
          <w:rFonts w:ascii="Calibri" w:eastAsia="Calibri" w:hAnsi="Calibri" w:cs="Calibri"/>
          <w:color w:val="000000" w:themeColor="text1"/>
          <w:sz w:val="22"/>
          <w:szCs w:val="22"/>
          <w:lang w:val="en-US"/>
        </w:rPr>
        <w:t>°C for 10 sec. and 55</w:t>
      </w:r>
      <w:r w:rsidRPr="009E3151">
        <w:rPr>
          <w:rFonts w:ascii="Aptos" w:eastAsia="Aptos" w:hAnsi="Aptos" w:cs="Aptos"/>
          <w:color w:val="000000" w:themeColor="text1"/>
          <w:lang w:val="en-US"/>
        </w:rPr>
        <w:t xml:space="preserve"> </w:t>
      </w:r>
      <w:r w:rsidRPr="009E3151">
        <w:rPr>
          <w:rFonts w:ascii="Calibri" w:eastAsia="Calibri" w:hAnsi="Calibri" w:cs="Calibri"/>
          <w:color w:val="000000" w:themeColor="text1"/>
          <w:sz w:val="22"/>
          <w:szCs w:val="22"/>
          <w:lang w:val="en-US"/>
        </w:rPr>
        <w:t>°C at 30 sec., respectively</w:t>
      </w:r>
      <w:r w:rsidRPr="009E3151">
        <w:rPr>
          <w:rFonts w:ascii="Times New Roman" w:eastAsia="Times New Roman" w:hAnsi="Times New Roman" w:cs="Times New Roman"/>
          <w:color w:val="000000" w:themeColor="text1"/>
          <w:sz w:val="22"/>
          <w:szCs w:val="22"/>
          <w:lang w:val="en-US"/>
        </w:rPr>
        <w:t>.</w:t>
      </w:r>
    </w:p>
    <w:p w14:paraId="205B365D"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All RT-qPCR assays were performed in a calibrated Bio-Rad CFX 96 OPUS PCR Real-Time PCR instrument. The raw data was analyzed with the Bio-Rad CFX Maestro Software using a predefined threshold cut-off value of 100 RFU for all fluorophores. Recorded Ct values and end-RFU were calculated using Maestro version 5.2.8.222 and exported for further data analysis. A sample </w:t>
      </w:r>
      <w:r>
        <w:rPr>
          <w:rFonts w:ascii="Calibri" w:eastAsia="Calibri" w:hAnsi="Calibri" w:cs="Calibri"/>
          <w:color w:val="000000" w:themeColor="text1"/>
          <w:sz w:val="22"/>
          <w:szCs w:val="22"/>
          <w:lang w:val="en-US"/>
        </w:rPr>
        <w:t>wa</w:t>
      </w:r>
      <w:r w:rsidRPr="009E3151">
        <w:rPr>
          <w:rFonts w:ascii="Calibri" w:eastAsia="Calibri" w:hAnsi="Calibri" w:cs="Calibri"/>
          <w:color w:val="000000" w:themeColor="text1"/>
          <w:sz w:val="22"/>
          <w:szCs w:val="22"/>
          <w:lang w:val="en-US"/>
        </w:rPr>
        <w:t xml:space="preserve">s considered positive based on the following criteria: Ct-values between 10-38 and end-RFU &gt; 100 at Ct = 45. Samples that were neither positive for RNase-P (human internal control), nor virus, were excluded (n=23). </w:t>
      </w:r>
    </w:p>
    <w:p w14:paraId="66415DE2"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Due to cross reaction between the RT-qPCR assays for entero- and rhinovirus, samples positive for either or both were categorized as “rhino-/enterovirus” positive. </w:t>
      </w:r>
    </w:p>
    <w:p w14:paraId="74BB879B"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lastRenderedPageBreak/>
        <w:t>Subtyping and Whole Genome Sequencing:</w:t>
      </w:r>
      <w:r w:rsidRPr="009E3151">
        <w:rPr>
          <w:rFonts w:ascii="Calibri" w:eastAsia="Calibri" w:hAnsi="Calibri" w:cs="Calibri"/>
          <w:color w:val="000000" w:themeColor="text1"/>
          <w:sz w:val="22"/>
          <w:szCs w:val="22"/>
          <w:lang w:val="en-US"/>
        </w:rPr>
        <w:t xml:space="preserve"> SARS-CoV-2 subtypes were determined by whole genome sequences generated by The Danish COVID-19 Genome Consortium (DCGC) from SARS-CoV-2 PCR-positive samples as described by </w:t>
      </w:r>
      <w:proofErr w:type="spellStart"/>
      <w:r w:rsidRPr="009E3151">
        <w:rPr>
          <w:rFonts w:ascii="Calibri" w:eastAsia="Calibri" w:hAnsi="Calibri" w:cs="Calibri"/>
          <w:color w:val="000000" w:themeColor="text1"/>
          <w:sz w:val="22"/>
          <w:szCs w:val="22"/>
          <w:lang w:val="en-US"/>
        </w:rPr>
        <w:t>Spiess</w:t>
      </w:r>
      <w:proofErr w:type="spellEnd"/>
      <w:r w:rsidRPr="009E3151">
        <w:rPr>
          <w:rFonts w:ascii="Calibri" w:eastAsia="Calibri" w:hAnsi="Calibri" w:cs="Calibri"/>
          <w:color w:val="000000" w:themeColor="text1"/>
          <w:sz w:val="22"/>
          <w:szCs w:val="22"/>
          <w:lang w:val="en-US"/>
        </w:rPr>
        <w:t xml:space="preserve"> &amp; Gunalan et al.</w:t>
      </w:r>
      <w:r w:rsidRPr="009E3151">
        <w:rPr>
          <w:rFonts w:ascii="Calibri" w:eastAsia="Calibri" w:hAnsi="Calibri" w:cs="Calibri"/>
          <w:color w:val="000000" w:themeColor="text1"/>
          <w:sz w:val="22"/>
          <w:szCs w:val="22"/>
          <w:lang w:val="en-US"/>
        </w:rPr>
        <w:fldChar w:fldCharType="begin" w:fldLock="1"/>
      </w:r>
      <w:r>
        <w:rPr>
          <w:rFonts w:ascii="Calibri" w:eastAsia="Calibri" w:hAnsi="Calibri" w:cs="Calibri"/>
          <w:color w:val="000000" w:themeColor="text1"/>
          <w:sz w:val="22"/>
          <w:szCs w:val="22"/>
          <w:lang w:val="en-US"/>
        </w:rPr>
        <w:instrText>ADDIN CSL_CITATION {"citationItems":[{"id":"ITEM-1","itemData":{"DOI":"10.1128/SPECTRUM.03591-22","ISSN":"21650497","PMID":"36625603","abstract":"Denmark weathered the SARS-CoV-2 crisis with relatively low rates of infection and death. Intensive testing strategies with the aim of detecting SARS-CoV-2 in symptomatic and nonsymptomatic individuals were available by establishing a national test system called TestCenter Denmark.Multiple mutations in severe acute respiratory syndrome coronavirus 2 (SARS-CoV-2) variants of concern (VOCs) increase transmission, disease severity, and immune evasion and facilitate zoonotic or anthropozoonotic infections. Four such mutations, ΔH69/V70, L452R, E484K, and N501Y, occurred in the SARS-CoV-2 spike glycoprotein in combinations that allow the simultaneous detection of VOCs. Here, we present two flexible reverse transcription-quantitative PCR (RT-qPCR) platforms for small- and large-scale screening (also known as variant PCR) to detect these mutations and schemes for adapting the platforms to future mutations. The large-scale RT-qPCR platform was validated by pairwise matching of RT-qPCR results with whole-genome sequencing (WGS) consensus genomes, showing high specificity and sensitivity. Both platforms are valuable examples of complementing WGS to support the rapid detection of VOCs. Our mutational signature approach served as an important intervention measure for the Danish public health system to detect and delay the emergence of new VOCs. IMPORTANCE Denmark weathered the SARS-CoV-2 crisis with relatively low rates of infection and death. Intensive testing strategies with the aim of detecting SARS-CoV-2 in symptomatic and nonsymptomatic individuals were available by establishing a national test system called TestCenter Denmark. This testing regime included the detection of SARS-CoV-2 signature mutations, with referral to the national health system, thereby delaying outbreaks of variants of concern. Our study describes the design of the large-scale RT-qPCR platform established at TestCenter Denmark in conjunction with whole-genome sequencing to report mutations of concern to the national health system. Validation of the large-scale RT-qPCR platform using paired WGS consensus genomes showed high sensitivity and specificity. For smaller laboratories with limited infrastructure, we developed a flexible small-scale RT-qPCR platform to detect three signature mutations in a single run. The RT-qPCR platforms are important tools to support the control of the SARS-CoV-2 endemic in Denmark. ","author":[{"dropping-particle":"","family":"Spiess","given":"Katja","non-dropping-particle":"","parse-names":false,"suffix":""},{"dropping-particle":"","family":"Gunalan","given":"Vithiagaran","non-dropping-particle":"","parse-names":false,"suffix":""},{"dropping-particle":"","family":"Marving","given":"Ellinor","non-dropping-particle":"","parse-names":false,"suffix":""},{"dropping-particle":"","family":"Nielsen","given":"Sofie Holdflod","non-dropping-particle":"","parse-names":false,"suffix":""},{"dropping-particle":"","family":"Jørgensen","given":"Michelle G. P.","non-dropping-particle":"","parse-names":false,"suffix":""},{"dropping-particle":"","family":"Fomsgaard","given":"Anna S.","non-dropping-particle":"","parse-names":false,"suffix":""},{"dropping-particle":"","family":"Nielsen","given":"Line","non-dropping-particle":"","parse-names":false,"suffix":""},{"dropping-particle":"","family":"Alfaro-Núñez","given":"Alonzo","non-dropping-particle":"","parse-names":false,"suffix":""},{"dropping-particle":"","family":"Karst","given":"Søren M.","non-dropping-particle":"","parse-names":false,"suffix":""},{"dropping-particle":"","family":"Mortensen","given":"Shila","non-dropping-particle":"","parse-names":false,"suffix":""},{"dropping-particle":"","family":"Rasmussen","given":"Morten","non-dropping-particle":"","parse-names":false,"suffix":""},{"dropping-particle":"","family":"Lassaunière","given":"Ria","non-dropping-particle":"","parse-names":false,"suffix":""},{"dropping-particle":"","family":"Rosenstierne","given":"Maiken Worsøe","non-dropping-particle":"","parse-names":false,"suffix":""},{"dropping-particle":"","family":"Polacek","given":"Charlotta","non-dropping-particle":"","parse-names":false,"suffix":""},{"dropping-particle":"","family":"Fonager","given":"Jannik","non-dropping-particle":"","parse-names":false,"suffix":""},{"dropping-particle":"","family":"Cohen","given":"Arieh S.","non-dropping-particle":"","parse-names":false,"suffix":""},{"dropping-particle":"","family":"Nielsen","given":"Claus","non-dropping-particle":"","parse-names":false,"suffix":""},{"dropping-particle":"","family":"Fomsgaard","given":"Anders","non-dropping-particle":"","parse-names":false,"suffix":""}],"container-title":"Microbiology Spectrum","id":"ITEM-1","issue":"1","issued":{"date-parts":[["2023","2","14"]]},"publisher":"American Society for Microbiology","title":"Rapid and Flexible RT-qPCR Surveillance Platforms To Detect SARS-CoV-2 Mutations","type":"article-journal","volume":"11"},"uris":["http://www.mendeley.com/documents/?uuid=e8c7d7bb-1afa-36f9-b44b-3f44dc005014"]}],"mendeley":{"formattedCitation":"&lt;sup&gt;10&lt;/sup&gt;","plainTextFormattedCitation":"10","previouslyFormattedCitation":"&lt;sup&gt;10&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Pr="006A49B1">
        <w:rPr>
          <w:rFonts w:ascii="Calibri" w:eastAsia="Calibri" w:hAnsi="Calibri" w:cs="Calibri"/>
          <w:noProof/>
          <w:color w:val="000000" w:themeColor="text1"/>
          <w:sz w:val="22"/>
          <w:szCs w:val="22"/>
          <w:vertAlign w:val="superscript"/>
          <w:lang w:val="en-US"/>
        </w:rPr>
        <w:t>10</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w:t>
      </w:r>
    </w:p>
    <w:p w14:paraId="594E43B6" w14:textId="77777777" w:rsidR="003168B5" w:rsidRPr="009E3151" w:rsidRDefault="003168B5" w:rsidP="003168B5">
      <w:pPr>
        <w:spacing w:after="0" w:line="259" w:lineRule="auto"/>
        <w:rPr>
          <w:rFonts w:ascii="Calibri" w:eastAsia="Calibri" w:hAnsi="Calibri" w:cs="Calibri"/>
          <w:sz w:val="22"/>
          <w:szCs w:val="22"/>
          <w:lang w:val="en-US"/>
        </w:rPr>
      </w:pPr>
      <w:r w:rsidRPr="005533C9">
        <w:rPr>
          <w:rFonts w:ascii="Calibri" w:eastAsia="Calibri" w:hAnsi="Calibri" w:cs="Calibri"/>
          <w:b/>
          <w:sz w:val="22"/>
          <w:szCs w:val="22"/>
          <w:lang w:val="en-US"/>
        </w:rPr>
        <w:t>SARS-CoV-2 RNA concentration in wastewater</w:t>
      </w:r>
      <w:r>
        <w:rPr>
          <w:rFonts w:ascii="Calibri" w:eastAsia="Calibri" w:hAnsi="Calibri" w:cs="Calibri"/>
          <w:b/>
          <w:sz w:val="22"/>
          <w:szCs w:val="22"/>
          <w:lang w:val="en-US"/>
        </w:rPr>
        <w:t>:</w:t>
      </w:r>
      <w:r w:rsidRPr="009E3151">
        <w:rPr>
          <w:rFonts w:ascii="Calibri" w:eastAsia="Calibri" w:hAnsi="Calibri" w:cs="Calibri"/>
          <w:sz w:val="22"/>
          <w:szCs w:val="22"/>
          <w:lang w:val="en-US"/>
        </w:rPr>
        <w:t xml:space="preserve"> </w:t>
      </w:r>
      <w:r>
        <w:rPr>
          <w:rFonts w:ascii="Calibri" w:eastAsia="Calibri" w:hAnsi="Calibri" w:cs="Calibri"/>
          <w:sz w:val="22"/>
          <w:szCs w:val="22"/>
          <w:lang w:val="en-US"/>
        </w:rPr>
        <w:t>data</w:t>
      </w:r>
      <w:r w:rsidRPr="009E3151">
        <w:rPr>
          <w:rFonts w:ascii="Calibri" w:eastAsia="Calibri" w:hAnsi="Calibri" w:cs="Calibri"/>
          <w:sz w:val="22"/>
          <w:szCs w:val="22"/>
          <w:lang w:val="en-US"/>
        </w:rPr>
        <w:t xml:space="preserve"> were sourced from a zip file that is published weekly on SSI's website</w:t>
      </w:r>
      <w:r w:rsidRPr="009E3151">
        <w:rPr>
          <w:rFonts w:ascii="Calibri" w:eastAsia="Calibri" w:hAnsi="Calibri" w:cs="Calibri"/>
          <w:color w:val="000000" w:themeColor="text1"/>
          <w:sz w:val="22"/>
          <w:szCs w:val="22"/>
          <w:lang w:val="en-US"/>
        </w:rPr>
        <w:t>: https://www.ssi.dk//sygdomme-beredskab-og-forskning/sygdomsovervaagning/c/covid-19---spildevandsovervaagning.</w:t>
      </w:r>
    </w:p>
    <w:p w14:paraId="2A888771" w14:textId="77777777" w:rsidR="003168B5" w:rsidRPr="009E3151" w:rsidRDefault="003168B5" w:rsidP="003168B5">
      <w:pPr>
        <w:spacing w:after="0" w:line="259" w:lineRule="auto"/>
        <w:rPr>
          <w:rFonts w:ascii="Calibri" w:eastAsia="Calibri" w:hAnsi="Calibri" w:cs="Calibri"/>
          <w:color w:val="000000" w:themeColor="text1"/>
          <w:sz w:val="22"/>
          <w:szCs w:val="22"/>
          <w:lang w:val="en-US"/>
        </w:rPr>
      </w:pPr>
    </w:p>
    <w:p w14:paraId="52C0CA39" w14:textId="77777777" w:rsidR="003168B5" w:rsidRPr="009E3151" w:rsidRDefault="003168B5" w:rsidP="003168B5">
      <w:pPr>
        <w:spacing w:line="259" w:lineRule="auto"/>
        <w:rPr>
          <w:rFonts w:ascii="Calibri" w:eastAsia="Calibri" w:hAnsi="Calibri" w:cs="Calibri"/>
          <w:color w:val="000000" w:themeColor="text1"/>
          <w:sz w:val="28"/>
          <w:szCs w:val="28"/>
          <w:lang w:val="en-US"/>
        </w:rPr>
      </w:pPr>
      <w:r w:rsidRPr="009E3151">
        <w:rPr>
          <w:rFonts w:ascii="Calibri" w:eastAsia="Calibri" w:hAnsi="Calibri" w:cs="Calibri"/>
          <w:color w:val="000000" w:themeColor="text1"/>
          <w:sz w:val="28"/>
          <w:szCs w:val="28"/>
          <w:lang w:val="en-US"/>
        </w:rPr>
        <w:t>Statistical analyses</w:t>
      </w:r>
    </w:p>
    <w:p w14:paraId="491AD42F" w14:textId="77777777"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Pr>
          <w:rFonts w:ascii="Calibri" w:eastAsia="Calibri" w:hAnsi="Calibri" w:cs="Calibri"/>
          <w:color w:val="000000" w:themeColor="text1"/>
          <w:sz w:val="22"/>
          <w:szCs w:val="22"/>
          <w:lang w:val="en-US"/>
        </w:rPr>
        <w:t>D</w:t>
      </w:r>
      <w:r w:rsidRPr="009E3151">
        <w:rPr>
          <w:rFonts w:ascii="Calibri" w:eastAsia="Calibri" w:hAnsi="Calibri" w:cs="Calibri"/>
          <w:color w:val="000000" w:themeColor="text1"/>
          <w:sz w:val="22"/>
          <w:szCs w:val="22"/>
          <w:lang w:val="en-US"/>
        </w:rPr>
        <w:t>ata analysis was conducted using R version 4.4.0</w:t>
      </w:r>
      <w:r w:rsidRPr="009E3151">
        <w:rPr>
          <w:rFonts w:ascii="Calibri" w:eastAsia="Calibri" w:hAnsi="Calibri" w:cs="Calibri"/>
          <w:color w:val="000000" w:themeColor="text1"/>
          <w:sz w:val="22"/>
          <w:szCs w:val="22"/>
          <w:lang w:val="en-US"/>
        </w:rPr>
        <w:fldChar w:fldCharType="begin" w:fldLock="1"/>
      </w:r>
      <w:r>
        <w:rPr>
          <w:rFonts w:ascii="Calibri" w:eastAsia="Calibri" w:hAnsi="Calibri" w:cs="Calibri"/>
          <w:color w:val="000000" w:themeColor="text1"/>
          <w:sz w:val="22"/>
          <w:szCs w:val="22"/>
          <w:lang w:val="en-US"/>
        </w:rPr>
        <w:instrText>ADDIN CSL_CITATION {"citationItems":[{"id":"ITEM-1","itemData":{"author":[{"dropping-particle":"","family":"R Core Team","given":"","non-dropping-particle":"","parse-names":false,"suffix":""}],"id":"ITEM-1","issued":{"date-parts":[["2022"]]},"publisher":"R Foundation for Statistical Computing","publisher-place":"Vienna, Austria","title":"R: A Language and Environment for Statistical Computing","type":"article"},"uris":["http://www.mendeley.com/documents/?uuid=479a9ddf-e1eb-371e-a57e-82c31cf2a0ce"]}],"mendeley":{"formattedCitation":"&lt;sup&gt;11&lt;/sup&gt;","plainTextFormattedCitation":"11","previouslyFormattedCitation":"&lt;sup&gt;11&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Pr="006A49B1">
        <w:rPr>
          <w:rFonts w:ascii="Calibri" w:eastAsia="Calibri" w:hAnsi="Calibri" w:cs="Calibri"/>
          <w:noProof/>
          <w:color w:val="000000" w:themeColor="text1"/>
          <w:sz w:val="22"/>
          <w:szCs w:val="22"/>
          <w:vertAlign w:val="superscript"/>
          <w:lang w:val="en-US"/>
        </w:rPr>
        <w:t>11</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C</w:t>
      </w:r>
      <w:r w:rsidRPr="009E3151">
        <w:rPr>
          <w:rFonts w:ascii="Calibri" w:eastAsia="Calibri" w:hAnsi="Calibri" w:cs="Calibri"/>
          <w:color w:val="000000" w:themeColor="text1"/>
          <w:sz w:val="22"/>
          <w:szCs w:val="22"/>
          <w:lang w:val="en-US"/>
        </w:rPr>
        <w:t>ohort demographics</w:t>
      </w:r>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were compared to those of the general Danish population in October 2023, as reported by Statistics Denmark</w:t>
      </w:r>
      <w:r w:rsidRPr="009E3151">
        <w:rPr>
          <w:rFonts w:ascii="Calibri" w:eastAsia="Calibri" w:hAnsi="Calibri" w:cs="Calibri"/>
          <w:color w:val="000000" w:themeColor="text1"/>
          <w:sz w:val="22"/>
          <w:szCs w:val="22"/>
          <w:lang w:val="en-US"/>
        </w:rPr>
        <w:fldChar w:fldCharType="begin" w:fldLock="1"/>
      </w:r>
      <w:r>
        <w:rPr>
          <w:rFonts w:ascii="Calibri" w:eastAsia="Calibri" w:hAnsi="Calibri" w:cs="Calibri"/>
          <w:color w:val="000000" w:themeColor="text1"/>
          <w:sz w:val="22"/>
          <w:szCs w:val="22"/>
          <w:lang w:val="en-US"/>
        </w:rPr>
        <w:instrText>ADDIN CSL_CITATION {"citationItems":[{"id":"ITEM-1","itemData":{"URL":"https://www.dst.dk/en","accessed":{"date-parts":[["2023","4","7"]]},"id":"ITEM-1","issued":{"date-parts":[["0"]]},"title":"Statistics Denmark","type":"webpage"},"uris":["http://www.mendeley.com/documents/?uuid=b0d6fc70-62fb-3114-b6ef-ae34c1750147"]}],"mendeley":{"formattedCitation":"&lt;sup&gt;12&lt;/sup&gt;","plainTextFormattedCitation":"12","previouslyFormattedCitation":"&lt;sup&gt;12&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Pr="006A49B1">
        <w:rPr>
          <w:rFonts w:ascii="Calibri" w:eastAsia="Calibri" w:hAnsi="Calibri" w:cs="Calibri"/>
          <w:noProof/>
          <w:color w:val="000000" w:themeColor="text1"/>
          <w:sz w:val="22"/>
          <w:szCs w:val="22"/>
          <w:vertAlign w:val="superscript"/>
          <w:lang w:val="en-US"/>
        </w:rPr>
        <w:t>12</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xml:space="preserve">. </w:t>
      </w:r>
    </w:p>
    <w:p w14:paraId="254AE2FF" w14:textId="77777777"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Samples that tested positive for more than one virus were classified as "co-infection"</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regardless of the specific virus combination, and </w:t>
      </w:r>
      <w:r>
        <w:rPr>
          <w:rFonts w:ascii="Calibri" w:eastAsia="Calibri" w:hAnsi="Calibri" w:cs="Calibri"/>
          <w:color w:val="000000" w:themeColor="text1"/>
          <w:sz w:val="22"/>
          <w:szCs w:val="22"/>
          <w:lang w:val="en-US"/>
        </w:rPr>
        <w:t>grouped separately</w:t>
      </w:r>
      <w:r w:rsidRPr="009E3151">
        <w:rPr>
          <w:rFonts w:ascii="Calibri" w:eastAsia="Calibri" w:hAnsi="Calibri" w:cs="Calibri"/>
          <w:color w:val="000000" w:themeColor="text1"/>
          <w:sz w:val="22"/>
          <w:szCs w:val="22"/>
          <w:lang w:val="en-US"/>
        </w:rPr>
        <w:t xml:space="preserve"> from </w:t>
      </w:r>
      <w:r>
        <w:rPr>
          <w:rFonts w:ascii="Calibri" w:eastAsia="Calibri" w:hAnsi="Calibri" w:cs="Calibri"/>
          <w:color w:val="000000" w:themeColor="text1"/>
          <w:sz w:val="22"/>
          <w:szCs w:val="22"/>
          <w:lang w:val="en-US"/>
        </w:rPr>
        <w:t>mono-infections</w:t>
      </w:r>
      <w:r w:rsidRPr="009E3151">
        <w:rPr>
          <w:rFonts w:ascii="Calibri" w:eastAsia="Calibri" w:hAnsi="Calibri" w:cs="Calibri"/>
          <w:color w:val="000000" w:themeColor="text1"/>
          <w:sz w:val="22"/>
          <w:szCs w:val="22"/>
          <w:lang w:val="en-US"/>
        </w:rPr>
        <w:t>.</w:t>
      </w:r>
    </w:p>
    <w:p w14:paraId="44F314E5" w14:textId="77777777"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sidRPr="00A522BF">
        <w:rPr>
          <w:rFonts w:ascii="Calibri" w:eastAsia="Calibri" w:hAnsi="Calibri" w:cs="Calibri"/>
          <w:color w:val="000000" w:themeColor="text1"/>
          <w:sz w:val="22"/>
          <w:szCs w:val="22"/>
          <w:lang w:val="en-US"/>
        </w:rPr>
        <w:t>Symptom comparisons across viruses used data from week 40, 2023, with symptom proportions reported unadjusted</w:t>
      </w:r>
      <w:r w:rsidRPr="009E3151">
        <w:rPr>
          <w:rFonts w:ascii="Calibri" w:eastAsia="Calibri" w:hAnsi="Calibri" w:cs="Calibri"/>
          <w:color w:val="000000" w:themeColor="text1"/>
          <w:sz w:val="22"/>
          <w:szCs w:val="22"/>
          <w:lang w:val="en-US"/>
        </w:rPr>
        <w:t xml:space="preserve"> among all symptomatic individuals with the respective virus. Additionally, sex-adjusted and age-group-stratified risk ratios were calculated with log-binomial regression using the </w:t>
      </w:r>
      <w:proofErr w:type="spellStart"/>
      <w:proofErr w:type="gramStart"/>
      <w:r w:rsidRPr="009E3151">
        <w:rPr>
          <w:rFonts w:ascii="Calibri" w:eastAsia="Calibri" w:hAnsi="Calibri" w:cs="Calibri"/>
          <w:color w:val="000000" w:themeColor="text1"/>
          <w:sz w:val="22"/>
          <w:szCs w:val="22"/>
          <w:lang w:val="en-US"/>
        </w:rPr>
        <w:t>glm</w:t>
      </w:r>
      <w:proofErr w:type="spellEnd"/>
      <w:r w:rsidRPr="009E3151">
        <w:rPr>
          <w:rFonts w:ascii="Calibri" w:eastAsia="Calibri" w:hAnsi="Calibri" w:cs="Calibri"/>
          <w:color w:val="000000" w:themeColor="text1"/>
          <w:sz w:val="22"/>
          <w:szCs w:val="22"/>
          <w:lang w:val="en-US"/>
        </w:rPr>
        <w:t>(</w:t>
      </w:r>
      <w:proofErr w:type="gramEnd"/>
      <w:r w:rsidRPr="009E3151">
        <w:rPr>
          <w:rFonts w:ascii="Calibri" w:eastAsia="Calibri" w:hAnsi="Calibri" w:cs="Calibri"/>
          <w:color w:val="000000" w:themeColor="text1"/>
          <w:sz w:val="22"/>
          <w:szCs w:val="22"/>
          <w:lang w:val="en-US"/>
        </w:rPr>
        <w:t>) function, with family set to binomial(link = ”logit”). To address the infrequent reporting of certain symptoms</w:t>
      </w:r>
      <w:r>
        <w:rPr>
          <w:rFonts w:ascii="Calibri" w:eastAsia="Calibri" w:hAnsi="Calibri" w:cs="Calibri"/>
          <w:color w:val="000000" w:themeColor="text1"/>
          <w:sz w:val="22"/>
          <w:szCs w:val="22"/>
          <w:lang w:val="en-US"/>
        </w:rPr>
        <w:t xml:space="preserve"> – </w:t>
      </w:r>
      <w:r w:rsidRPr="009E3151">
        <w:rPr>
          <w:rFonts w:ascii="Calibri" w:eastAsia="Calibri" w:hAnsi="Calibri" w:cs="Calibri"/>
          <w:color w:val="000000" w:themeColor="text1"/>
          <w:sz w:val="22"/>
          <w:szCs w:val="22"/>
          <w:lang w:val="en-US"/>
        </w:rPr>
        <w:t>especially</w:t>
      </w:r>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for viruses detected less frequently and in stratified analyses</w:t>
      </w:r>
      <w:r>
        <w:rPr>
          <w:rFonts w:ascii="Calibri" w:eastAsia="Calibri" w:hAnsi="Calibri" w:cs="Calibri"/>
          <w:color w:val="000000" w:themeColor="text1"/>
          <w:sz w:val="22"/>
          <w:szCs w:val="22"/>
          <w:lang w:val="en-US"/>
        </w:rPr>
        <w:t xml:space="preserve"> – </w:t>
      </w:r>
      <w:r w:rsidRPr="009E3151">
        <w:rPr>
          <w:rFonts w:ascii="Calibri" w:eastAsia="Calibri" w:hAnsi="Calibri" w:cs="Calibri"/>
          <w:color w:val="000000" w:themeColor="text1"/>
          <w:sz w:val="22"/>
          <w:szCs w:val="22"/>
          <w:lang w:val="en-US"/>
        </w:rPr>
        <w:t>viruses</w:t>
      </w:r>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detected fewer than 15 times were excluded from analyses to avoid convergence issues in the models. If convergence issues persisted,</w:t>
      </w:r>
      <w:r>
        <w:rPr>
          <w:rFonts w:ascii="Calibri" w:eastAsia="Calibri" w:hAnsi="Calibri" w:cs="Calibri"/>
          <w:color w:val="000000" w:themeColor="text1"/>
          <w:sz w:val="22"/>
          <w:szCs w:val="22"/>
          <w:lang w:val="en-US"/>
        </w:rPr>
        <w:t xml:space="preserve"> the</w:t>
      </w:r>
      <w:r w:rsidRPr="009E3151">
        <w:rPr>
          <w:rFonts w:ascii="Calibri" w:eastAsia="Calibri" w:hAnsi="Calibri" w:cs="Calibri"/>
          <w:color w:val="000000" w:themeColor="text1"/>
          <w:sz w:val="22"/>
          <w:szCs w:val="22"/>
          <w:lang w:val="en-US"/>
        </w:rPr>
        <w:t xml:space="preserve"> individual symptoms were </w:t>
      </w:r>
      <w:r>
        <w:rPr>
          <w:rFonts w:ascii="Calibri" w:eastAsia="Calibri" w:hAnsi="Calibri" w:cs="Calibri"/>
          <w:color w:val="000000" w:themeColor="text1"/>
          <w:sz w:val="22"/>
          <w:szCs w:val="22"/>
          <w:lang w:val="en-US"/>
        </w:rPr>
        <w:t>excluded</w:t>
      </w:r>
      <w:r w:rsidRPr="009E3151">
        <w:rPr>
          <w:rFonts w:ascii="Calibri" w:eastAsia="Calibri" w:hAnsi="Calibri" w:cs="Calibri"/>
          <w:color w:val="000000" w:themeColor="text1"/>
          <w:sz w:val="22"/>
          <w:szCs w:val="22"/>
          <w:lang w:val="en-US"/>
        </w:rPr>
        <w:t>.</w:t>
      </w:r>
    </w:p>
    <w:p w14:paraId="3C75813D"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Since VMD participants </w:t>
      </w:r>
      <w:r>
        <w:rPr>
          <w:rFonts w:ascii="Calibri" w:eastAsia="Calibri" w:hAnsi="Calibri" w:cs="Calibri"/>
          <w:color w:val="000000" w:themeColor="text1"/>
          <w:sz w:val="22"/>
          <w:szCs w:val="22"/>
          <w:lang w:val="en-US"/>
        </w:rPr>
        <w:t>did not report about</w:t>
      </w:r>
      <w:r w:rsidRPr="009E3151">
        <w:rPr>
          <w:rFonts w:ascii="Calibri" w:eastAsia="Calibri" w:hAnsi="Calibri" w:cs="Calibri"/>
          <w:color w:val="000000" w:themeColor="text1"/>
          <w:sz w:val="22"/>
          <w:szCs w:val="22"/>
          <w:lang w:val="en-US"/>
        </w:rPr>
        <w:t xml:space="preserve"> "sudden onset" of symptoms, a common part of the definition of influenza-like illness (ILI)</w:t>
      </w:r>
      <w:r w:rsidRPr="009E3151">
        <w:rPr>
          <w:lang w:val="en-US"/>
        </w:rPr>
        <w:fldChar w:fldCharType="begin" w:fldLock="1"/>
      </w:r>
      <w:r>
        <w:rPr>
          <w:lang w:val="en-US"/>
        </w:rPr>
        <w:instrText>ADDIN CSL_CITATION {"citationItems":[{"id":"ITEM-1","itemData":{"URL":"https://eur-lex.europa.eu/legal-content/EN/TXT/PDF/?uri=CELEX:32018D0945&amp;from=EN#page=24","accessed":{"date-parts":[["2024","12","12"]]},"container-title":"Official Journal of the European Union ","id":"ITEM-1","issued":{"date-parts":[["0"]]},"page":"24","title":"DECISIONS: COMMISSION IMPLEMENTING DECISION (EU) 2018/945  of 22 June 2018  on the communicable diseases and related special health issues to be covered by epidemiological  surveillance as well as relevant case definitions","type":"webpage"},"uris":["http://www.mendeley.com/documents/?uuid=08ef7748-26e8-37ab-a0d1-c926e7a3ca83"]}],"mendeley":{"formattedCitation":"&lt;sup&gt;13&lt;/sup&gt;","plainTextFormattedCitation":"13","previouslyFormattedCitation":"&lt;sup&gt;13&lt;/sup&gt;"},"properties":{"noteIndex":0},"schema":"https://github.com/citation-style-language/schema/raw/master/csl-citation.json"}</w:instrText>
      </w:r>
      <w:r w:rsidRPr="009E3151">
        <w:rPr>
          <w:lang w:val="en-US"/>
        </w:rPr>
        <w:fldChar w:fldCharType="separate"/>
      </w:r>
      <w:r w:rsidRPr="006A49B1">
        <w:rPr>
          <w:noProof/>
          <w:vertAlign w:val="superscript"/>
          <w:lang w:val="en-US"/>
        </w:rPr>
        <w:t>13</w:t>
      </w:r>
      <w:r w:rsidRPr="009E3151">
        <w:rPr>
          <w:lang w:val="en-US"/>
        </w:rPr>
        <w:fldChar w:fldCharType="end"/>
      </w:r>
      <w:r w:rsidRPr="009E3151">
        <w:rPr>
          <w:rFonts w:ascii="Calibri" w:eastAsia="Calibri" w:hAnsi="Calibri" w:cs="Calibri"/>
          <w:color w:val="000000" w:themeColor="text1"/>
          <w:sz w:val="22"/>
          <w:szCs w:val="22"/>
          <w:lang w:val="en-US"/>
        </w:rPr>
        <w:t>, an alternative definition</w:t>
      </w:r>
      <w:r>
        <w:rPr>
          <w:rFonts w:ascii="Calibri" w:eastAsia="Calibri" w:hAnsi="Calibri" w:cs="Calibri"/>
          <w:color w:val="000000" w:themeColor="text1"/>
          <w:sz w:val="22"/>
          <w:szCs w:val="22"/>
          <w:lang w:val="en-US"/>
        </w:rPr>
        <w:t xml:space="preserve"> was used in this study, </w:t>
      </w:r>
      <w:r w:rsidRPr="009E3151">
        <w:rPr>
          <w:rFonts w:ascii="Calibri" w:eastAsia="Calibri" w:hAnsi="Calibri" w:cs="Calibri"/>
          <w:color w:val="000000" w:themeColor="text1"/>
          <w:sz w:val="22"/>
          <w:szCs w:val="22"/>
          <w:lang w:val="en-US"/>
        </w:rPr>
        <w:t xml:space="preserve">referred to as </w:t>
      </w:r>
      <w:proofErr w:type="spellStart"/>
      <w:r w:rsidRPr="009E3151">
        <w:rPr>
          <w:rFonts w:ascii="Calibri" w:eastAsia="Calibri" w:hAnsi="Calibri" w:cs="Calibri"/>
          <w:color w:val="000000" w:themeColor="text1"/>
          <w:sz w:val="22"/>
          <w:szCs w:val="22"/>
          <w:lang w:val="en-US"/>
        </w:rPr>
        <w:t>aILI</w:t>
      </w:r>
      <w:proofErr w:type="spellEnd"/>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This definition required at least one respiratory symptom (cough, sore throat, or shortness of breath) and at least one general symptom (fever, muscle-/joint pains, chills, headache, or excessive fatigue) for classification</w:t>
      </w:r>
      <w:r w:rsidRPr="009E3151">
        <w:rPr>
          <w:lang w:val="en-US"/>
        </w:rPr>
        <w:t>.</w:t>
      </w:r>
      <w:r w:rsidRPr="009E3151">
        <w:rPr>
          <w:rFonts w:ascii="Calibri" w:eastAsia="Calibri" w:hAnsi="Calibri" w:cs="Calibri"/>
          <w:color w:val="000000" w:themeColor="text1"/>
          <w:sz w:val="22"/>
          <w:szCs w:val="22"/>
          <w:lang w:val="en-US"/>
        </w:rPr>
        <w:t xml:space="preserve"> </w:t>
      </w:r>
    </w:p>
    <w:p w14:paraId="02EBD828" w14:textId="77777777"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In </w:t>
      </w:r>
      <w:r>
        <w:rPr>
          <w:rFonts w:ascii="Calibri" w:eastAsia="Calibri" w:hAnsi="Calibri" w:cs="Calibri"/>
          <w:color w:val="000000" w:themeColor="text1"/>
          <w:sz w:val="22"/>
          <w:szCs w:val="22"/>
          <w:lang w:val="en-US"/>
        </w:rPr>
        <w:t>analyses</w:t>
      </w:r>
      <w:r w:rsidRPr="009E3151">
        <w:rPr>
          <w:rFonts w:ascii="Calibri" w:eastAsia="Calibri" w:hAnsi="Calibri" w:cs="Calibri"/>
          <w:color w:val="000000" w:themeColor="text1"/>
          <w:sz w:val="22"/>
          <w:szCs w:val="22"/>
          <w:lang w:val="en-US"/>
        </w:rPr>
        <w:t xml:space="preserve"> using the number of participants as the denominator, only data from the Digital Post cohort were included, as the actual size of the workplace cohort was uncertain. Additionally, in these analyses, the number of participants from the previous week was used, accounting for the estimated one-week delay in new Digital Post participants receiving their testing materials.</w:t>
      </w:r>
    </w:p>
    <w:p w14:paraId="2CD02596" w14:textId="77777777" w:rsidR="003168B5" w:rsidRPr="009E3151" w:rsidRDefault="003168B5" w:rsidP="003168B5">
      <w:pPr>
        <w:spacing w:line="259" w:lineRule="auto"/>
        <w:rPr>
          <w:rFonts w:ascii="Calibri" w:eastAsia="Calibri" w:hAnsi="Calibri" w:cs="Calibri"/>
          <w:color w:val="000000" w:themeColor="text1"/>
          <w:sz w:val="28"/>
          <w:szCs w:val="28"/>
          <w:lang w:val="en-US"/>
        </w:rPr>
      </w:pPr>
    </w:p>
    <w:p w14:paraId="483EC808" w14:textId="77777777" w:rsidR="003168B5" w:rsidRPr="009E3151" w:rsidRDefault="003168B5" w:rsidP="003168B5">
      <w:pPr>
        <w:spacing w:line="259" w:lineRule="auto"/>
        <w:rPr>
          <w:rFonts w:ascii="Calibri" w:eastAsia="Calibri" w:hAnsi="Calibri" w:cs="Calibri"/>
          <w:b/>
          <w:bCs/>
          <w:color w:val="000000" w:themeColor="text1"/>
          <w:sz w:val="32"/>
          <w:szCs w:val="32"/>
          <w:lang w:val="en-US"/>
        </w:rPr>
      </w:pPr>
      <w:r w:rsidRPr="009E3151">
        <w:rPr>
          <w:rFonts w:ascii="Calibri" w:eastAsia="Calibri" w:hAnsi="Calibri" w:cs="Calibri"/>
          <w:b/>
          <w:bCs/>
          <w:color w:val="000000" w:themeColor="text1"/>
          <w:sz w:val="32"/>
          <w:szCs w:val="32"/>
          <w:lang w:val="en-US"/>
        </w:rPr>
        <w:t>Results</w:t>
      </w:r>
    </w:p>
    <w:p w14:paraId="2B8CB1E6"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Description of cohor</w:t>
      </w:r>
      <w:r>
        <w:rPr>
          <w:rFonts w:ascii="Calibri" w:eastAsia="Calibri" w:hAnsi="Calibri" w:cs="Calibri"/>
          <w:b/>
          <w:bCs/>
          <w:color w:val="000000" w:themeColor="text1"/>
          <w:sz w:val="22"/>
          <w:szCs w:val="22"/>
          <w:lang w:val="en-US"/>
        </w:rPr>
        <w:t>t</w:t>
      </w:r>
    </w:p>
    <w:p w14:paraId="4F9199F9"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By the end of the study period, a total of 30,627 participants were enrolled in VMD with the majority (90%) being in the Digital Post cohort (Figure 1). Of the approximately 230,000 invitations sent via Digital Post, 27,480 participants enrolled in VMD corresponding to</w:t>
      </w:r>
      <w:r>
        <w:rPr>
          <w:rFonts w:ascii="Calibri" w:eastAsia="Calibri" w:hAnsi="Calibri" w:cs="Calibri"/>
          <w:color w:val="000000" w:themeColor="text1"/>
          <w:sz w:val="22"/>
          <w:szCs w:val="22"/>
          <w:lang w:val="en-US"/>
        </w:rPr>
        <w:t xml:space="preserve"> a participation rate of</w:t>
      </w:r>
      <w:r w:rsidRPr="009E3151">
        <w:rPr>
          <w:rFonts w:ascii="Calibri" w:eastAsia="Calibri" w:hAnsi="Calibri" w:cs="Calibri"/>
          <w:color w:val="000000" w:themeColor="text1"/>
          <w:sz w:val="22"/>
          <w:szCs w:val="22"/>
          <w:lang w:val="en-US"/>
        </w:rPr>
        <w:t xml:space="preserve"> approximately 11.9%. 24,400 distinct households registered with a maximum household size of six participants. A stepwise increase in participants over time, coinciding with invitations rounds, was observed (Figure 1).</w:t>
      </w:r>
    </w:p>
    <w:p w14:paraId="1FCCC1FF"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 xml:space="preserve">Demographic representation </w:t>
      </w:r>
    </w:p>
    <w:p w14:paraId="0D3B13A1" w14:textId="77777777" w:rsidR="003168B5" w:rsidRPr="0020306D"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lastRenderedPageBreak/>
        <w:t xml:space="preserve">VMD represented females more than males (table 1). The mean age was higher in the Digital Post cohort while it was lower in the workplace cohort compared to the general population. </w:t>
      </w:r>
      <w:r w:rsidRPr="0020306D">
        <w:rPr>
          <w:rFonts w:ascii="Calibri" w:eastAsia="Calibri" w:hAnsi="Calibri" w:cs="Calibri"/>
          <w:color w:val="000000" w:themeColor="text1"/>
          <w:sz w:val="22"/>
          <w:szCs w:val="22"/>
          <w:lang w:val="en-US"/>
        </w:rPr>
        <w:t>Children and young adults (ages 5-29) were mostly underrepresented, except for an overrepresentation of ages 20-29 in the workplace cohort. Ages 50-69, particularly in the Digital Post cohort, were overrepresented, while those 80+ were underrepresented. Among those who submitted samples, the mean age was slightly lower but still above the general population average (see supplementary material S5).</w:t>
      </w:r>
    </w:p>
    <w:p w14:paraId="2E6CBF9C"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Geographic representation</w:t>
      </w:r>
    </w:p>
    <w:p w14:paraId="1CFF9F63" w14:textId="77777777" w:rsidR="003168B5" w:rsidRDefault="003168B5" w:rsidP="003168B5">
      <w:pPr>
        <w:spacing w:line="259" w:lineRule="auto"/>
        <w:rPr>
          <w:rFonts w:ascii="Calibri" w:eastAsia="Calibri" w:hAnsi="Calibri" w:cs="Calibri"/>
          <w:color w:val="000000" w:themeColor="text1"/>
          <w:sz w:val="22"/>
          <w:szCs w:val="22"/>
          <w:lang w:val="en-US"/>
        </w:rPr>
      </w:pPr>
      <w:r w:rsidRPr="0020306D">
        <w:rPr>
          <w:rFonts w:ascii="Calibri" w:eastAsia="Calibri" w:hAnsi="Calibri" w:cs="Calibri"/>
          <w:color w:val="000000" w:themeColor="text1"/>
          <w:sz w:val="22"/>
          <w:szCs w:val="22"/>
          <w:lang w:val="en-US"/>
        </w:rPr>
        <w:t>Participant distribution across Denmark's five regions aligned with the general population. Within regions, participants were spread across municipalities (see supplementary material S6), with higher per capita participation in municipalities hosting workplaces from the workplace cohort.</w:t>
      </w:r>
    </w:p>
    <w:p w14:paraId="15925908"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Sample collection</w:t>
      </w:r>
    </w:p>
    <w:p w14:paraId="2A6E46FF"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20306D">
        <w:rPr>
          <w:rFonts w:ascii="Calibri" w:eastAsia="Calibri" w:hAnsi="Calibri" w:cs="Calibri"/>
          <w:color w:val="000000" w:themeColor="text1"/>
          <w:sz w:val="22"/>
          <w:szCs w:val="22"/>
          <w:lang w:val="en-US"/>
        </w:rPr>
        <w:t xml:space="preserve">The workplace cohort contributed 27% (n=3,401) of analyzed samples, averaging 0.88 samples per participant yearly with a 45% positivity rate, compared to the Digital Post cohort’s 0.34 samples and 56% positivity (Table 1). Workplace participants enrolled less than a day before their first sample, versus 47+ days for Digital Post. Median analysis time was shorter for the workplace cohort (4.02 vs. 5.14 days). Most samples were analyzed in week 49, 2023 (n=600), then </w:t>
      </w:r>
      <w:r>
        <w:rPr>
          <w:rFonts w:ascii="Calibri" w:eastAsia="Calibri" w:hAnsi="Calibri" w:cs="Calibri"/>
          <w:color w:val="000000" w:themeColor="text1"/>
          <w:sz w:val="22"/>
          <w:szCs w:val="22"/>
          <w:lang w:val="en-US"/>
        </w:rPr>
        <w:t xml:space="preserve">later </w:t>
      </w:r>
      <w:r w:rsidRPr="0020306D">
        <w:rPr>
          <w:rFonts w:ascii="Calibri" w:eastAsia="Calibri" w:hAnsi="Calibri" w:cs="Calibri"/>
          <w:color w:val="000000" w:themeColor="text1"/>
          <w:sz w:val="22"/>
          <w:szCs w:val="22"/>
          <w:lang w:val="en-US"/>
        </w:rPr>
        <w:t xml:space="preserve">declined to 150-200 weekly. 6.88% </w:t>
      </w:r>
      <w:r>
        <w:rPr>
          <w:rFonts w:ascii="Calibri" w:eastAsia="Calibri" w:hAnsi="Calibri" w:cs="Calibri"/>
          <w:color w:val="000000" w:themeColor="text1"/>
          <w:sz w:val="22"/>
          <w:szCs w:val="22"/>
          <w:lang w:val="en-US"/>
        </w:rPr>
        <w:t xml:space="preserve">of registered samples </w:t>
      </w:r>
      <w:r w:rsidRPr="0020306D">
        <w:rPr>
          <w:rFonts w:ascii="Calibri" w:eastAsia="Calibri" w:hAnsi="Calibri" w:cs="Calibri"/>
          <w:color w:val="000000" w:themeColor="text1"/>
          <w:sz w:val="22"/>
          <w:szCs w:val="22"/>
          <w:lang w:val="en-US"/>
        </w:rPr>
        <w:t xml:space="preserve">(n=934) were not </w:t>
      </w:r>
      <w:r>
        <w:rPr>
          <w:rFonts w:ascii="Calibri" w:eastAsia="Calibri" w:hAnsi="Calibri" w:cs="Calibri"/>
          <w:color w:val="000000" w:themeColor="text1"/>
          <w:sz w:val="22"/>
          <w:szCs w:val="22"/>
          <w:lang w:val="en-US"/>
        </w:rPr>
        <w:t xml:space="preserve">received for </w:t>
      </w:r>
      <w:r w:rsidRPr="0020306D">
        <w:rPr>
          <w:rFonts w:ascii="Calibri" w:eastAsia="Calibri" w:hAnsi="Calibri" w:cs="Calibri"/>
          <w:color w:val="000000" w:themeColor="text1"/>
          <w:sz w:val="22"/>
          <w:szCs w:val="22"/>
          <w:lang w:val="en-US"/>
        </w:rPr>
        <w:t>analy</w:t>
      </w:r>
      <w:r>
        <w:rPr>
          <w:rFonts w:ascii="Calibri" w:eastAsia="Calibri" w:hAnsi="Calibri" w:cs="Calibri"/>
          <w:color w:val="000000" w:themeColor="text1"/>
          <w:sz w:val="22"/>
          <w:szCs w:val="22"/>
          <w:lang w:val="en-US"/>
        </w:rPr>
        <w:t>sis</w:t>
      </w:r>
      <w:r w:rsidRPr="0020306D">
        <w:rPr>
          <w:rFonts w:ascii="Calibri" w:eastAsia="Calibri" w:hAnsi="Calibri" w:cs="Calibri"/>
          <w:color w:val="000000" w:themeColor="text1"/>
          <w:sz w:val="22"/>
          <w:szCs w:val="22"/>
          <w:lang w:val="en-US"/>
        </w:rPr>
        <w:t>, with ages 20-29 most likely to have missing samples (see supplementary material S7).</w:t>
      </w:r>
    </w:p>
    <w:p w14:paraId="63A67C3A"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Percentage positive, and incidence rates</w:t>
      </w:r>
    </w:p>
    <w:p w14:paraId="04F8A3E0"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A total of 12,642 samples were analyzed, with 6,708 testing positive (table 1). From week 24, 2023, VMD’s median weekly positivity rate was 52.5%. Positivity peaked at 70% in week 50, 2023, with nearly 50% of samples positive for SARS-CoV-2. Another peak of 66% occurred in week 35, 2024, based on fewer samples. </w:t>
      </w:r>
      <w:proofErr w:type="spellStart"/>
      <w:r>
        <w:rPr>
          <w:rFonts w:ascii="Calibri" w:eastAsia="Calibri" w:hAnsi="Calibri" w:cs="Calibri"/>
          <w:color w:val="000000" w:themeColor="text1"/>
          <w:sz w:val="22"/>
          <w:szCs w:val="22"/>
          <w:lang w:val="en-US"/>
        </w:rPr>
        <w:t>Influenzavirus</w:t>
      </w:r>
      <w:proofErr w:type="spellEnd"/>
      <w:r w:rsidRPr="009E3151">
        <w:rPr>
          <w:rFonts w:ascii="Calibri" w:eastAsia="Calibri" w:hAnsi="Calibri" w:cs="Calibri"/>
          <w:color w:val="000000" w:themeColor="text1"/>
          <w:sz w:val="22"/>
          <w:szCs w:val="22"/>
          <w:lang w:val="en-US"/>
        </w:rPr>
        <w:t xml:space="preserve"> A rose before week 50, 2023, peaked in early 2024, and declined after week 4, 2024. RSV showed a similar seasonal pattern but with fewer positive samples. Rhino-/enterovirus was consistently prevalent, peaking at 43% in week 39, 2024, while endemic coronaviruses peaked at 10% in week 4, 2024. Three endemic coronaviruses circulated at low levels in winter and spring, disappeared in summer, and resurged slightly in fall 2024. The fourth, NL63, was </w:t>
      </w:r>
      <w:r>
        <w:rPr>
          <w:rFonts w:ascii="Calibri" w:eastAsia="Calibri" w:hAnsi="Calibri" w:cs="Calibri"/>
          <w:color w:val="000000" w:themeColor="text1"/>
          <w:sz w:val="22"/>
          <w:szCs w:val="22"/>
          <w:lang w:val="en-US"/>
        </w:rPr>
        <w:t>the least detected coronavirus, with almost no cases during the SARS-CoV-2 wave in 2023, and a seasonal pattern that instead appeared to be shifted towards spring and</w:t>
      </w:r>
      <w:r w:rsidRPr="009E3151">
        <w:rPr>
          <w:rFonts w:ascii="Calibri" w:eastAsia="Calibri" w:hAnsi="Calibri" w:cs="Calibri"/>
          <w:color w:val="000000" w:themeColor="text1"/>
          <w:sz w:val="22"/>
          <w:szCs w:val="22"/>
          <w:lang w:val="en-US"/>
        </w:rPr>
        <w:t xml:space="preserve"> summer. </w:t>
      </w:r>
      <w:proofErr w:type="spellStart"/>
      <w:r w:rsidRPr="009E3151">
        <w:rPr>
          <w:rFonts w:ascii="Calibri" w:eastAsia="Calibri" w:hAnsi="Calibri" w:cs="Calibri"/>
          <w:color w:val="000000" w:themeColor="text1"/>
          <w:sz w:val="22"/>
          <w:szCs w:val="22"/>
          <w:lang w:val="en-US"/>
        </w:rPr>
        <w:t>Para</w:t>
      </w:r>
      <w:r>
        <w:rPr>
          <w:rFonts w:ascii="Calibri" w:eastAsia="Calibri" w:hAnsi="Calibri" w:cs="Calibri"/>
          <w:color w:val="000000" w:themeColor="text1"/>
          <w:sz w:val="22"/>
          <w:szCs w:val="22"/>
          <w:lang w:val="en-US"/>
        </w:rPr>
        <w:t>influenzavirus</w:t>
      </w:r>
      <w:proofErr w:type="spellEnd"/>
      <w:r w:rsidRPr="009E3151">
        <w:rPr>
          <w:rFonts w:ascii="Calibri" w:eastAsia="Calibri" w:hAnsi="Calibri" w:cs="Calibri"/>
          <w:color w:val="000000" w:themeColor="text1"/>
          <w:sz w:val="22"/>
          <w:szCs w:val="22"/>
          <w:lang w:val="en-US"/>
        </w:rPr>
        <w:t xml:space="preserve"> type 3 and human metapneumovirus were present at low levels until mid-summer</w:t>
      </w:r>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 xml:space="preserve">Few samples were positive for </w:t>
      </w:r>
      <w:proofErr w:type="spellStart"/>
      <w:r>
        <w:rPr>
          <w:rFonts w:ascii="Calibri" w:eastAsia="Calibri" w:hAnsi="Calibri" w:cs="Calibri"/>
          <w:color w:val="000000" w:themeColor="text1"/>
          <w:sz w:val="22"/>
          <w:szCs w:val="22"/>
          <w:lang w:val="en-US"/>
        </w:rPr>
        <w:t>influenzavirus</w:t>
      </w:r>
      <w:proofErr w:type="spellEnd"/>
      <w:r w:rsidRPr="009E3151">
        <w:rPr>
          <w:rFonts w:ascii="Calibri" w:eastAsia="Calibri" w:hAnsi="Calibri" w:cs="Calibri"/>
          <w:color w:val="000000" w:themeColor="text1"/>
          <w:sz w:val="22"/>
          <w:szCs w:val="22"/>
          <w:lang w:val="en-US"/>
        </w:rPr>
        <w:t xml:space="preserve"> B, </w:t>
      </w:r>
      <w:proofErr w:type="spellStart"/>
      <w:r w:rsidRPr="009E3151">
        <w:rPr>
          <w:rFonts w:ascii="Calibri" w:eastAsia="Calibri" w:hAnsi="Calibri" w:cs="Calibri"/>
          <w:color w:val="000000" w:themeColor="text1"/>
          <w:sz w:val="22"/>
          <w:szCs w:val="22"/>
          <w:lang w:val="en-US"/>
        </w:rPr>
        <w:t>para</w:t>
      </w:r>
      <w:r>
        <w:rPr>
          <w:rFonts w:ascii="Calibri" w:eastAsia="Calibri" w:hAnsi="Calibri" w:cs="Calibri"/>
          <w:color w:val="000000" w:themeColor="text1"/>
          <w:sz w:val="22"/>
          <w:szCs w:val="22"/>
          <w:lang w:val="en-US"/>
        </w:rPr>
        <w:t>influenzavirus</w:t>
      </w:r>
      <w:proofErr w:type="spellEnd"/>
      <w:r w:rsidRPr="009E3151">
        <w:rPr>
          <w:rFonts w:ascii="Calibri" w:eastAsia="Calibri" w:hAnsi="Calibri" w:cs="Calibri"/>
          <w:color w:val="000000" w:themeColor="text1"/>
          <w:sz w:val="22"/>
          <w:szCs w:val="22"/>
          <w:lang w:val="en-US"/>
        </w:rPr>
        <w:t xml:space="preserve"> 1, 2, 4, and adenovirus. Co-infections were rare (n = 263), with seven samples testing positive for three viruses. The most common co-infection involved SARS-CoV-2 and rhino-/enterovirus (n = 62), followed by adenovirus and rhino-/enterovirus (n = 15).</w:t>
      </w:r>
    </w:p>
    <w:p w14:paraId="51B383F1"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 xml:space="preserve">Symptoms </w:t>
      </w:r>
    </w:p>
    <w:p w14:paraId="6ED99DE6" w14:textId="77777777" w:rsidR="003168B5" w:rsidRDefault="003168B5" w:rsidP="003168B5">
      <w:pPr>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VMD participants reported a median o</w:t>
      </w:r>
      <w:r w:rsidRPr="009E3151">
        <w:rPr>
          <w:rFonts w:ascii="Calibri" w:eastAsia="Calibri" w:hAnsi="Calibri" w:cs="Calibri"/>
          <w:sz w:val="22"/>
          <w:szCs w:val="22"/>
          <w:lang w:val="en-US"/>
        </w:rPr>
        <w:t>f 7 sy</w:t>
      </w:r>
      <w:r w:rsidRPr="009E3151">
        <w:rPr>
          <w:rFonts w:ascii="Calibri" w:eastAsia="Calibri" w:hAnsi="Calibri" w:cs="Calibri"/>
          <w:color w:val="000000" w:themeColor="text1"/>
          <w:sz w:val="22"/>
          <w:szCs w:val="22"/>
          <w:lang w:val="en-US"/>
        </w:rPr>
        <w:t xml:space="preserve">mptoms, with </w:t>
      </w:r>
      <w:proofErr w:type="spellStart"/>
      <w:r>
        <w:rPr>
          <w:rFonts w:ascii="Calibri" w:eastAsia="Calibri" w:hAnsi="Calibri" w:cs="Calibri"/>
          <w:color w:val="000000" w:themeColor="text1"/>
          <w:sz w:val="22"/>
          <w:szCs w:val="22"/>
          <w:lang w:val="en-US"/>
        </w:rPr>
        <w:t>influenzavirus</w:t>
      </w:r>
      <w:proofErr w:type="spellEnd"/>
      <w:r w:rsidRPr="009E3151">
        <w:rPr>
          <w:rFonts w:ascii="Calibri" w:eastAsia="Calibri" w:hAnsi="Calibri" w:cs="Calibri"/>
          <w:color w:val="000000" w:themeColor="text1"/>
          <w:sz w:val="22"/>
          <w:szCs w:val="22"/>
          <w:lang w:val="en-US"/>
        </w:rPr>
        <w:t xml:space="preserve"> A having the highest median (9 symptoms, see supplementary material S9). </w:t>
      </w:r>
      <w:r>
        <w:rPr>
          <w:rFonts w:ascii="Calibri" w:eastAsia="Calibri" w:hAnsi="Calibri" w:cs="Calibri"/>
          <w:color w:val="000000" w:themeColor="text1"/>
          <w:sz w:val="22"/>
          <w:szCs w:val="22"/>
          <w:lang w:val="en-US"/>
        </w:rPr>
        <w:t>R</w:t>
      </w:r>
      <w:r w:rsidRPr="009E3151">
        <w:rPr>
          <w:rFonts w:ascii="Calibri" w:eastAsia="Calibri" w:hAnsi="Calibri" w:cs="Calibri"/>
          <w:color w:val="000000" w:themeColor="text1"/>
          <w:sz w:val="22"/>
          <w:szCs w:val="22"/>
          <w:lang w:val="en-US"/>
        </w:rPr>
        <w:t>unny nose</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sneezing, sore throat and </w:t>
      </w:r>
      <w:r>
        <w:rPr>
          <w:rFonts w:ascii="Calibri" w:eastAsia="Calibri" w:hAnsi="Calibri" w:cs="Calibri"/>
          <w:color w:val="000000" w:themeColor="text1"/>
          <w:sz w:val="22"/>
          <w:szCs w:val="22"/>
          <w:lang w:val="en-US"/>
        </w:rPr>
        <w:t>cough</w:t>
      </w:r>
      <w:r w:rsidRPr="009E3151">
        <w:rPr>
          <w:rFonts w:ascii="Calibri" w:eastAsia="Calibri" w:hAnsi="Calibri" w:cs="Calibri"/>
          <w:color w:val="000000" w:themeColor="text1"/>
          <w:sz w:val="22"/>
          <w:szCs w:val="22"/>
          <w:lang w:val="en-US"/>
        </w:rPr>
        <w:t xml:space="preserve"> were frequently reported in all virus-groups (figure 3). </w:t>
      </w:r>
      <w:r w:rsidRPr="005B191F">
        <w:rPr>
          <w:rFonts w:ascii="Calibri" w:eastAsia="Calibri" w:hAnsi="Calibri" w:cs="Calibri"/>
          <w:color w:val="000000" w:themeColor="text1"/>
          <w:sz w:val="22"/>
          <w:szCs w:val="22"/>
          <w:lang w:val="en-US"/>
        </w:rPr>
        <w:t xml:space="preserve">Over 75% of </w:t>
      </w:r>
      <w:proofErr w:type="spellStart"/>
      <w:r>
        <w:rPr>
          <w:rFonts w:ascii="Calibri" w:eastAsia="Calibri" w:hAnsi="Calibri" w:cs="Calibri"/>
          <w:color w:val="000000" w:themeColor="text1"/>
          <w:sz w:val="22"/>
          <w:szCs w:val="22"/>
          <w:lang w:val="en-US"/>
        </w:rPr>
        <w:t>influenzavirus</w:t>
      </w:r>
      <w:proofErr w:type="spellEnd"/>
      <w:r w:rsidRPr="005B191F">
        <w:rPr>
          <w:rFonts w:ascii="Calibri" w:eastAsia="Calibri" w:hAnsi="Calibri" w:cs="Calibri"/>
          <w:color w:val="000000" w:themeColor="text1"/>
          <w:sz w:val="22"/>
          <w:szCs w:val="22"/>
          <w:lang w:val="en-US"/>
        </w:rPr>
        <w:t xml:space="preserve"> A-positive symptomatic participants reported fever and cough,</w:t>
      </w:r>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respectively.</w:t>
      </w:r>
    </w:p>
    <w:p w14:paraId="2D8B693B" w14:textId="77777777" w:rsidR="003168B5" w:rsidRPr="0030505F" w:rsidRDefault="003168B5" w:rsidP="003168B5">
      <w:pPr>
        <w:rPr>
          <w:rFonts w:ascii="Calibri" w:eastAsia="Calibri" w:hAnsi="Calibri" w:cs="Calibri"/>
          <w:color w:val="000000" w:themeColor="text1"/>
          <w:sz w:val="22"/>
          <w:szCs w:val="22"/>
          <w:lang w:val="en-US"/>
        </w:rPr>
      </w:pPr>
      <w:proofErr w:type="spellStart"/>
      <w:r>
        <w:rPr>
          <w:rFonts w:ascii="Calibri" w:eastAsia="Calibri" w:hAnsi="Calibri" w:cs="Calibri"/>
          <w:color w:val="000000" w:themeColor="text1"/>
          <w:sz w:val="22"/>
          <w:szCs w:val="22"/>
          <w:lang w:val="en-US"/>
        </w:rPr>
        <w:t>Influenzavirus</w:t>
      </w:r>
      <w:proofErr w:type="spellEnd"/>
      <w:r w:rsidRPr="0030505F">
        <w:rPr>
          <w:rFonts w:ascii="Calibri" w:eastAsia="Calibri" w:hAnsi="Calibri" w:cs="Calibri"/>
          <w:color w:val="000000" w:themeColor="text1"/>
          <w:sz w:val="22"/>
          <w:szCs w:val="22"/>
          <w:lang w:val="en-US"/>
        </w:rPr>
        <w:t xml:space="preserve"> A had the highest prevalence of most symptoms (figure 4) and, after adjusting for sex, was linked to the highest risk of fever, headache, fatigue, cough, altered taste, nausea, lack of </w:t>
      </w:r>
      <w:r w:rsidRPr="0030505F">
        <w:rPr>
          <w:rFonts w:ascii="Calibri" w:eastAsia="Calibri" w:hAnsi="Calibri" w:cs="Calibri"/>
          <w:color w:val="000000" w:themeColor="text1"/>
          <w:sz w:val="22"/>
          <w:szCs w:val="22"/>
          <w:lang w:val="en-US"/>
        </w:rPr>
        <w:lastRenderedPageBreak/>
        <w:t xml:space="preserve">appetite, muscle/joint pain, chest pain, and chills. hMPV </w:t>
      </w:r>
      <w:r>
        <w:rPr>
          <w:rFonts w:ascii="Calibri" w:eastAsia="Calibri" w:hAnsi="Calibri" w:cs="Calibri"/>
          <w:color w:val="000000" w:themeColor="text1"/>
          <w:sz w:val="22"/>
          <w:szCs w:val="22"/>
          <w:lang w:val="en-US"/>
        </w:rPr>
        <w:t>was associated with</w:t>
      </w:r>
      <w:r w:rsidRPr="0030505F">
        <w:rPr>
          <w:rFonts w:ascii="Calibri" w:eastAsia="Calibri" w:hAnsi="Calibri" w:cs="Calibri"/>
          <w:color w:val="000000" w:themeColor="text1"/>
          <w:sz w:val="22"/>
          <w:szCs w:val="22"/>
          <w:lang w:val="en-US"/>
        </w:rPr>
        <w:t xml:space="preserve"> the highest risk of shortness of breath, followed by </w:t>
      </w:r>
      <w:proofErr w:type="spellStart"/>
      <w:r>
        <w:rPr>
          <w:rFonts w:ascii="Calibri" w:eastAsia="Calibri" w:hAnsi="Calibri" w:cs="Calibri"/>
          <w:color w:val="000000" w:themeColor="text1"/>
          <w:sz w:val="22"/>
          <w:szCs w:val="22"/>
          <w:lang w:val="en-US"/>
        </w:rPr>
        <w:t>influenzavirus</w:t>
      </w:r>
      <w:proofErr w:type="spellEnd"/>
      <w:r w:rsidRPr="0030505F">
        <w:rPr>
          <w:rFonts w:ascii="Calibri" w:eastAsia="Calibri" w:hAnsi="Calibri" w:cs="Calibri"/>
          <w:color w:val="000000" w:themeColor="text1"/>
          <w:sz w:val="22"/>
          <w:szCs w:val="22"/>
          <w:lang w:val="en-US"/>
        </w:rPr>
        <w:t xml:space="preserve"> A. SARS-CoV-2 </w:t>
      </w:r>
      <w:r>
        <w:rPr>
          <w:rFonts w:ascii="Calibri" w:eastAsia="Calibri" w:hAnsi="Calibri" w:cs="Calibri"/>
          <w:color w:val="000000" w:themeColor="text1"/>
          <w:sz w:val="22"/>
          <w:szCs w:val="22"/>
          <w:lang w:val="en-US"/>
        </w:rPr>
        <w:t>posed</w:t>
      </w:r>
      <w:r w:rsidRPr="0030505F">
        <w:rPr>
          <w:rFonts w:ascii="Calibri" w:eastAsia="Calibri" w:hAnsi="Calibri" w:cs="Calibri"/>
          <w:color w:val="000000" w:themeColor="text1"/>
          <w:sz w:val="22"/>
          <w:szCs w:val="22"/>
          <w:lang w:val="en-US"/>
        </w:rPr>
        <w:t xml:space="preserve"> a lower fever risk than </w:t>
      </w:r>
      <w:proofErr w:type="spellStart"/>
      <w:r>
        <w:rPr>
          <w:rFonts w:ascii="Calibri" w:eastAsia="Calibri" w:hAnsi="Calibri" w:cs="Calibri"/>
          <w:color w:val="000000" w:themeColor="text1"/>
          <w:sz w:val="22"/>
          <w:szCs w:val="22"/>
          <w:lang w:val="en-US"/>
        </w:rPr>
        <w:t>influenzavirus</w:t>
      </w:r>
      <w:proofErr w:type="spellEnd"/>
      <w:r w:rsidRPr="0030505F">
        <w:rPr>
          <w:rFonts w:ascii="Calibri" w:eastAsia="Calibri" w:hAnsi="Calibri" w:cs="Calibri"/>
          <w:color w:val="000000" w:themeColor="text1"/>
          <w:sz w:val="22"/>
          <w:szCs w:val="22"/>
          <w:lang w:val="en-US"/>
        </w:rPr>
        <w:t xml:space="preserve"> A but higher than most other viruses, with a similar trend for muscle/joint pain, headache, fatigue, chills, lack of appetite, and nausea. Endemic coronaviruses </w:t>
      </w:r>
      <w:r>
        <w:rPr>
          <w:rFonts w:ascii="Calibri" w:eastAsia="Calibri" w:hAnsi="Calibri" w:cs="Calibri"/>
          <w:color w:val="000000" w:themeColor="text1"/>
          <w:sz w:val="22"/>
          <w:szCs w:val="22"/>
          <w:lang w:val="en-US"/>
        </w:rPr>
        <w:t>were associated with the highest risk of</w:t>
      </w:r>
      <w:r w:rsidRPr="0030505F">
        <w:rPr>
          <w:rFonts w:ascii="Calibri" w:eastAsia="Calibri" w:hAnsi="Calibri" w:cs="Calibri"/>
          <w:color w:val="000000" w:themeColor="text1"/>
          <w:sz w:val="22"/>
          <w:szCs w:val="22"/>
          <w:lang w:val="en-US"/>
        </w:rPr>
        <w:t xml:space="preserve"> sneezing, runny nose, and red/itchy eyes (see supplementary material S10 for sex-adjusted RRs, and S11-13 for sex-adjusted and age-group stratified RRs).</w:t>
      </w:r>
    </w:p>
    <w:p w14:paraId="5850CCD5"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 xml:space="preserve">Participant behavior </w:t>
      </w:r>
    </w:p>
    <w:p w14:paraId="2ECEDD66" w14:textId="77777777" w:rsidR="003168B5" w:rsidRDefault="003168B5" w:rsidP="003168B5">
      <w:pPr>
        <w:spacing w:line="257" w:lineRule="auto"/>
        <w:jc w:val="both"/>
        <w:rPr>
          <w:rFonts w:ascii="Calibri" w:eastAsia="Calibri" w:hAnsi="Calibri" w:cs="Calibri"/>
          <w:color w:val="000000" w:themeColor="text1"/>
          <w:sz w:val="22"/>
          <w:szCs w:val="22"/>
          <w:lang w:val="en-US"/>
        </w:rPr>
      </w:pPr>
      <w:r w:rsidRPr="00223BB3">
        <w:rPr>
          <w:rFonts w:ascii="Calibri" w:eastAsia="Calibri" w:hAnsi="Calibri" w:cs="Calibri"/>
          <w:color w:val="000000" w:themeColor="text1"/>
          <w:sz w:val="22"/>
          <w:szCs w:val="22"/>
          <w:lang w:val="en-US"/>
        </w:rPr>
        <w:t>The evaluation questionnaire received 5,019 responses, with 1,307 (27%) reporting</w:t>
      </w:r>
      <w:r>
        <w:rPr>
          <w:rFonts w:ascii="Calibri" w:eastAsia="Calibri" w:hAnsi="Calibri" w:cs="Calibri"/>
          <w:color w:val="000000" w:themeColor="text1"/>
          <w:sz w:val="22"/>
          <w:szCs w:val="22"/>
          <w:lang w:val="en-US"/>
        </w:rPr>
        <w:t xml:space="preserve"> having had</w:t>
      </w:r>
      <w:r w:rsidRPr="00223BB3">
        <w:rPr>
          <w:rFonts w:ascii="Calibri" w:eastAsia="Calibri" w:hAnsi="Calibri" w:cs="Calibri"/>
          <w:color w:val="000000" w:themeColor="text1"/>
          <w:sz w:val="22"/>
          <w:szCs w:val="22"/>
          <w:lang w:val="en-US"/>
        </w:rPr>
        <w:t xml:space="preserve"> symptoms potentially related to </w:t>
      </w:r>
      <w:r>
        <w:rPr>
          <w:rFonts w:ascii="Calibri" w:eastAsia="Calibri" w:hAnsi="Calibri" w:cs="Calibri"/>
          <w:color w:val="000000" w:themeColor="text1"/>
          <w:sz w:val="22"/>
          <w:szCs w:val="22"/>
          <w:lang w:val="en-US"/>
        </w:rPr>
        <w:t xml:space="preserve">a </w:t>
      </w:r>
      <w:r w:rsidRPr="00223BB3">
        <w:rPr>
          <w:rFonts w:ascii="Calibri" w:eastAsia="Calibri" w:hAnsi="Calibri" w:cs="Calibri"/>
          <w:color w:val="000000" w:themeColor="text1"/>
          <w:sz w:val="22"/>
          <w:szCs w:val="22"/>
          <w:lang w:val="en-US"/>
        </w:rPr>
        <w:t>respiratory infection</w:t>
      </w:r>
      <w:r>
        <w:rPr>
          <w:rFonts w:ascii="Calibri" w:eastAsia="Calibri" w:hAnsi="Calibri" w:cs="Calibri"/>
          <w:color w:val="000000" w:themeColor="text1"/>
          <w:sz w:val="22"/>
          <w:szCs w:val="22"/>
          <w:lang w:val="en-US"/>
        </w:rPr>
        <w:t xml:space="preserve"> during their enrolment</w:t>
      </w:r>
      <w:r w:rsidRPr="00223BB3">
        <w:rPr>
          <w:rFonts w:ascii="Calibri" w:eastAsia="Calibri" w:hAnsi="Calibri" w:cs="Calibri"/>
          <w:color w:val="000000" w:themeColor="text1"/>
          <w:sz w:val="22"/>
          <w:szCs w:val="22"/>
          <w:lang w:val="en-US"/>
        </w:rPr>
        <w:t>. Of these, 774 submitted a sample</w:t>
      </w:r>
      <w:r>
        <w:rPr>
          <w:rFonts w:ascii="Calibri" w:eastAsia="Calibri" w:hAnsi="Calibri" w:cs="Calibri"/>
          <w:color w:val="000000" w:themeColor="text1"/>
          <w:sz w:val="22"/>
          <w:szCs w:val="22"/>
          <w:lang w:val="en-US"/>
        </w:rPr>
        <w:t>, meaning</w:t>
      </w:r>
      <w:r w:rsidRPr="00223BB3">
        <w:rPr>
          <w:rFonts w:ascii="Calibri" w:eastAsia="Calibri" w:hAnsi="Calibri" w:cs="Calibri"/>
          <w:color w:val="000000" w:themeColor="text1"/>
          <w:sz w:val="22"/>
          <w:szCs w:val="22"/>
          <w:lang w:val="en-US"/>
        </w:rPr>
        <w:t xml:space="preserve"> at least 41% did not.</w:t>
      </w:r>
    </w:p>
    <w:p w14:paraId="5110599C" w14:textId="77777777" w:rsidR="003168B5" w:rsidRPr="00223BB3" w:rsidRDefault="003168B5" w:rsidP="003168B5">
      <w:pPr>
        <w:spacing w:line="257" w:lineRule="auto"/>
        <w:jc w:val="both"/>
        <w:rPr>
          <w:rFonts w:ascii="Calibri" w:eastAsia="Calibri" w:hAnsi="Calibri" w:cs="Calibri"/>
          <w:color w:val="000000" w:themeColor="text1"/>
          <w:sz w:val="22"/>
          <w:szCs w:val="22"/>
          <w:lang w:val="en-US"/>
        </w:rPr>
      </w:pPr>
      <w:r w:rsidRPr="00223BB3">
        <w:rPr>
          <w:rFonts w:ascii="Calibri" w:eastAsia="Calibri" w:hAnsi="Calibri" w:cs="Calibri"/>
          <w:color w:val="000000" w:themeColor="text1"/>
          <w:sz w:val="22"/>
          <w:szCs w:val="22"/>
          <w:lang w:val="en-US"/>
        </w:rPr>
        <w:t xml:space="preserve">Seventeen participants </w:t>
      </w:r>
      <w:r>
        <w:rPr>
          <w:rFonts w:ascii="Calibri" w:eastAsia="Calibri" w:hAnsi="Calibri" w:cs="Calibri"/>
          <w:color w:val="000000" w:themeColor="text1"/>
          <w:sz w:val="22"/>
          <w:szCs w:val="22"/>
          <w:lang w:val="en-US"/>
        </w:rPr>
        <w:t xml:space="preserve">reported to have </w:t>
      </w:r>
      <w:r w:rsidRPr="00223BB3">
        <w:rPr>
          <w:rFonts w:ascii="Calibri" w:eastAsia="Calibri" w:hAnsi="Calibri" w:cs="Calibri"/>
          <w:color w:val="000000" w:themeColor="text1"/>
          <w:sz w:val="22"/>
          <w:szCs w:val="22"/>
          <w:lang w:val="en-US"/>
        </w:rPr>
        <w:t xml:space="preserve">sought medical advice following a VMD test, though 14 (82.3%) </w:t>
      </w:r>
      <w:r>
        <w:rPr>
          <w:rFonts w:ascii="Calibri" w:eastAsia="Calibri" w:hAnsi="Calibri" w:cs="Calibri"/>
          <w:color w:val="000000" w:themeColor="text1"/>
          <w:sz w:val="22"/>
          <w:szCs w:val="22"/>
          <w:lang w:val="en-US"/>
        </w:rPr>
        <w:t>reported that</w:t>
      </w:r>
      <w:r w:rsidRPr="00223BB3">
        <w:rPr>
          <w:rFonts w:ascii="Calibri" w:eastAsia="Calibri" w:hAnsi="Calibri" w:cs="Calibri"/>
          <w:color w:val="000000" w:themeColor="text1"/>
          <w:sz w:val="22"/>
          <w:szCs w:val="22"/>
          <w:lang w:val="en-US"/>
        </w:rPr>
        <w:t xml:space="preserve"> they would have done so regardless</w:t>
      </w:r>
      <w:r>
        <w:rPr>
          <w:rFonts w:ascii="Calibri" w:eastAsia="Calibri" w:hAnsi="Calibri" w:cs="Calibri"/>
          <w:color w:val="000000" w:themeColor="text1"/>
          <w:sz w:val="22"/>
          <w:szCs w:val="22"/>
          <w:lang w:val="en-US"/>
        </w:rPr>
        <w:t xml:space="preserve"> of the test</w:t>
      </w:r>
      <w:r w:rsidRPr="00223BB3">
        <w:rPr>
          <w:rFonts w:ascii="Calibri" w:eastAsia="Calibri" w:hAnsi="Calibri" w:cs="Calibri"/>
          <w:color w:val="000000" w:themeColor="text1"/>
          <w:sz w:val="22"/>
          <w:szCs w:val="22"/>
          <w:lang w:val="en-US"/>
        </w:rPr>
        <w:t xml:space="preserve">. Conversely, 45 (8.3%) </w:t>
      </w:r>
      <w:r>
        <w:rPr>
          <w:rFonts w:ascii="Calibri" w:eastAsia="Calibri" w:hAnsi="Calibri" w:cs="Calibri"/>
          <w:color w:val="000000" w:themeColor="text1"/>
          <w:sz w:val="22"/>
          <w:szCs w:val="22"/>
          <w:lang w:val="en-US"/>
        </w:rPr>
        <w:t>chose</w:t>
      </w:r>
      <w:r w:rsidRPr="00223BB3">
        <w:rPr>
          <w:rFonts w:ascii="Calibri" w:eastAsia="Calibri" w:hAnsi="Calibri" w:cs="Calibri"/>
          <w:color w:val="000000" w:themeColor="text1"/>
          <w:sz w:val="22"/>
          <w:szCs w:val="22"/>
          <w:lang w:val="en-US"/>
        </w:rPr>
        <w:t xml:space="preserve"> not to contact their doctor but would have if not for the VMD result.</w:t>
      </w:r>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Furthermore, 114 (21%) reported staying home from work or school due to their test result, while 135 (25%) refrained from social activities. Notably, 82 (16,</w:t>
      </w:r>
      <w:r>
        <w:rPr>
          <w:rFonts w:ascii="Calibri" w:eastAsia="Calibri" w:hAnsi="Calibri" w:cs="Calibri"/>
          <w:color w:val="000000" w:themeColor="text1"/>
          <w:sz w:val="22"/>
          <w:szCs w:val="22"/>
          <w:lang w:val="en-US"/>
        </w:rPr>
        <w:t>6</w:t>
      </w:r>
      <w:r w:rsidRPr="009E3151">
        <w:rPr>
          <w:rFonts w:ascii="Calibri" w:eastAsia="Calibri" w:hAnsi="Calibri" w:cs="Calibri"/>
          <w:color w:val="000000" w:themeColor="text1"/>
          <w:sz w:val="22"/>
          <w:szCs w:val="22"/>
          <w:lang w:val="en-US"/>
        </w:rPr>
        <w:t xml:space="preserve"> %) reported attending work or school</w:t>
      </w:r>
      <w:r>
        <w:rPr>
          <w:rFonts w:ascii="Calibri" w:eastAsia="Calibri" w:hAnsi="Calibri" w:cs="Calibri"/>
          <w:color w:val="000000" w:themeColor="text1"/>
          <w:sz w:val="22"/>
          <w:szCs w:val="22"/>
          <w:lang w:val="en-US"/>
        </w:rPr>
        <w:t xml:space="preserve"> after receiving their test result</w:t>
      </w:r>
      <w:r w:rsidRPr="009E3151">
        <w:rPr>
          <w:rFonts w:ascii="Calibri" w:eastAsia="Calibri" w:hAnsi="Calibri" w:cs="Calibri"/>
          <w:color w:val="000000" w:themeColor="text1"/>
          <w:sz w:val="22"/>
          <w:szCs w:val="22"/>
          <w:lang w:val="en-US"/>
        </w:rPr>
        <w:t>, despite initially planning to stay home.</w:t>
      </w:r>
    </w:p>
    <w:p w14:paraId="7B4AA16A" w14:textId="77777777" w:rsidR="003168B5" w:rsidRPr="00223BB3" w:rsidRDefault="003168B5" w:rsidP="003168B5">
      <w:pPr>
        <w:spacing w:line="257" w:lineRule="auto"/>
        <w:jc w:val="both"/>
        <w:rPr>
          <w:rFonts w:ascii="Calibri" w:eastAsia="Calibri" w:hAnsi="Calibri" w:cs="Calibri"/>
          <w:color w:val="000000" w:themeColor="text1"/>
          <w:sz w:val="22"/>
          <w:szCs w:val="22"/>
          <w:lang w:val="en-US"/>
        </w:rPr>
      </w:pPr>
      <w:r w:rsidRPr="00223BB3">
        <w:rPr>
          <w:rFonts w:ascii="Calibri" w:eastAsia="Calibri" w:hAnsi="Calibri" w:cs="Calibri"/>
          <w:color w:val="000000" w:themeColor="text1"/>
          <w:sz w:val="22"/>
          <w:szCs w:val="22"/>
          <w:lang w:val="en-US"/>
        </w:rPr>
        <w:t xml:space="preserve">Among 2,480 respondents, 59% preferred VMD </w:t>
      </w:r>
      <w:r>
        <w:rPr>
          <w:rFonts w:ascii="Calibri" w:eastAsia="Calibri" w:hAnsi="Calibri" w:cs="Calibri"/>
          <w:color w:val="000000" w:themeColor="text1"/>
          <w:sz w:val="22"/>
          <w:szCs w:val="22"/>
          <w:lang w:val="en-US"/>
        </w:rPr>
        <w:t>in a</w:t>
      </w:r>
      <w:r w:rsidRPr="00223BB3">
        <w:rPr>
          <w:rFonts w:ascii="Calibri" w:eastAsia="Calibri" w:hAnsi="Calibri" w:cs="Calibri"/>
          <w:color w:val="000000" w:themeColor="text1"/>
          <w:sz w:val="22"/>
          <w:szCs w:val="22"/>
          <w:lang w:val="en-US"/>
        </w:rPr>
        <w:t xml:space="preserve"> future pandemic, 14% preferred testing centers, 21% had no preference, and 6% </w:t>
      </w:r>
      <w:r w:rsidRPr="009E3151">
        <w:rPr>
          <w:rFonts w:ascii="Calibri" w:eastAsia="Calibri" w:hAnsi="Calibri" w:cs="Calibri"/>
          <w:color w:val="000000" w:themeColor="text1"/>
          <w:sz w:val="22"/>
          <w:szCs w:val="22"/>
          <w:lang w:val="en-US"/>
        </w:rPr>
        <w:t>selected “Do not know</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w:t>
      </w:r>
    </w:p>
    <w:p w14:paraId="791F675A" w14:textId="77777777" w:rsidR="003168B5" w:rsidRPr="009E3151" w:rsidRDefault="003168B5" w:rsidP="003168B5">
      <w:pPr>
        <w:spacing w:line="257" w:lineRule="auto"/>
        <w:jc w:val="both"/>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Symptoms over time and symptom dynamics</w:t>
      </w:r>
    </w:p>
    <w:p w14:paraId="44CCCDAC" w14:textId="77777777"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While the number of samples and symptomatic individuals over time changed during the study period, the proportion of them reporting fever, </w:t>
      </w:r>
      <w:proofErr w:type="spellStart"/>
      <w:r w:rsidRPr="009E3151">
        <w:rPr>
          <w:rFonts w:ascii="Calibri" w:eastAsia="Calibri" w:hAnsi="Calibri" w:cs="Calibri"/>
          <w:color w:val="000000" w:themeColor="text1"/>
          <w:sz w:val="22"/>
          <w:szCs w:val="22"/>
          <w:lang w:val="en-US"/>
        </w:rPr>
        <w:t>aILI</w:t>
      </w:r>
      <w:proofErr w:type="spellEnd"/>
      <w:r w:rsidRPr="009E3151">
        <w:rPr>
          <w:rFonts w:ascii="Calibri" w:eastAsia="Calibri" w:hAnsi="Calibri" w:cs="Calibri"/>
          <w:color w:val="000000" w:themeColor="text1"/>
          <w:sz w:val="22"/>
          <w:szCs w:val="22"/>
          <w:lang w:val="en-US"/>
        </w:rPr>
        <w:t xml:space="preserve">, and cough respectively, remained relatively stable (figure 4). </w:t>
      </w:r>
    </w:p>
    <w:p w14:paraId="7FFB2190" w14:textId="77777777"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The most frequently reported symptom at the time of sampling was runny/congested nose followed by sore throat and coughing. Median difference in symptoms at sampling and after 7-28 days was </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2 [</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4;0] (figure 4). </w:t>
      </w:r>
    </w:p>
    <w:p w14:paraId="60438899" w14:textId="77777777" w:rsidR="003168B5" w:rsidRPr="009E3151" w:rsidRDefault="003168B5" w:rsidP="003168B5">
      <w:pPr>
        <w:spacing w:line="259" w:lineRule="auto"/>
        <w:rPr>
          <w:rFonts w:ascii="Calibri" w:eastAsia="Calibri" w:hAnsi="Calibri" w:cs="Calibri"/>
          <w:color w:val="000000" w:themeColor="text1"/>
          <w:lang w:val="en-US"/>
        </w:rPr>
      </w:pPr>
      <w:r w:rsidRPr="009E3151">
        <w:rPr>
          <w:rFonts w:ascii="Calibri" w:eastAsia="Calibri" w:hAnsi="Calibri" w:cs="Calibri"/>
          <w:b/>
          <w:bCs/>
          <w:color w:val="000000" w:themeColor="text1"/>
          <w:lang w:val="en-US"/>
        </w:rPr>
        <w:t>SARS-CoV-2 variants and wastewater surveillance</w:t>
      </w:r>
    </w:p>
    <w:p w14:paraId="19DC3604" w14:textId="77777777" w:rsidR="003168B5" w:rsidRPr="009E3151" w:rsidRDefault="003168B5" w:rsidP="003168B5">
      <w:pPr>
        <w:rPr>
          <w:rFonts w:ascii="Aptos" w:eastAsia="Aptos" w:hAnsi="Aptos" w:cs="Aptos"/>
          <w:color w:val="000000" w:themeColor="text1"/>
          <w:sz w:val="22"/>
          <w:szCs w:val="22"/>
          <w:lang w:val="en-US"/>
        </w:rPr>
      </w:pPr>
      <w:r w:rsidRPr="009E3151">
        <w:rPr>
          <w:rFonts w:ascii="Calibri" w:eastAsia="Calibri" w:hAnsi="Calibri" w:cs="Calibri"/>
          <w:color w:val="000000" w:themeColor="text1"/>
          <w:sz w:val="22"/>
          <w:szCs w:val="22"/>
          <w:lang w:val="en-US"/>
        </w:rPr>
        <w:t xml:space="preserve">SARS-CoV-2 was the most commonly detected virus in VMD (see Figure 2 and supplementary material S8). The peak in weekly SARS-CoV-2 incidence rate coincided with the highest proportion of the variants BA.2.86* and JN.1* among sequences of SARS-CoV-2. Trends in SARS-CoV-2 detection were consistent between VMD and wastewater surveillance (figure 5). </w:t>
      </w:r>
    </w:p>
    <w:p w14:paraId="30110887"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Symptoms were reported at similar levels regardless of SARS-CoV-2 variant identified in samples (figure 6).</w:t>
      </w:r>
    </w:p>
    <w:p w14:paraId="1880EB0D" w14:textId="77777777" w:rsidR="003168B5" w:rsidRPr="009E3151" w:rsidRDefault="003168B5" w:rsidP="003168B5">
      <w:pPr>
        <w:spacing w:line="259" w:lineRule="auto"/>
        <w:rPr>
          <w:rFonts w:ascii="Calibri" w:eastAsia="Calibri" w:hAnsi="Calibri" w:cs="Calibri"/>
          <w:color w:val="000000" w:themeColor="text1"/>
          <w:sz w:val="22"/>
          <w:szCs w:val="22"/>
          <w:lang w:val="en-US"/>
        </w:rPr>
      </w:pPr>
    </w:p>
    <w:p w14:paraId="24C61A8E" w14:textId="77777777" w:rsidR="003168B5" w:rsidRPr="005B54D3" w:rsidRDefault="003168B5" w:rsidP="003168B5">
      <w:pPr>
        <w:spacing w:line="259" w:lineRule="auto"/>
        <w:rPr>
          <w:rFonts w:ascii="Calibri" w:eastAsia="Calibri" w:hAnsi="Calibri" w:cs="Calibri"/>
          <w:b/>
          <w:bCs/>
          <w:color w:val="000000" w:themeColor="text1"/>
          <w:sz w:val="32"/>
          <w:szCs w:val="32"/>
          <w:lang w:val="en-US"/>
        </w:rPr>
      </w:pPr>
      <w:r w:rsidRPr="005B54D3">
        <w:rPr>
          <w:rFonts w:ascii="Calibri" w:eastAsia="Calibri" w:hAnsi="Calibri" w:cs="Calibri"/>
          <w:b/>
          <w:bCs/>
          <w:color w:val="000000" w:themeColor="text1"/>
          <w:sz w:val="32"/>
          <w:szCs w:val="32"/>
          <w:lang w:val="en-US"/>
        </w:rPr>
        <w:t>Discussion</w:t>
      </w:r>
    </w:p>
    <w:p w14:paraId="5EF58257" w14:textId="77777777"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VMD provided information about viral respiratory infections in a</w:t>
      </w:r>
      <w:r>
        <w:rPr>
          <w:rFonts w:ascii="Calibri" w:eastAsia="Calibri" w:hAnsi="Calibri" w:cs="Calibri"/>
          <w:color w:val="000000" w:themeColor="text1"/>
          <w:sz w:val="22"/>
          <w:szCs w:val="22"/>
          <w:lang w:val="en-US"/>
        </w:rPr>
        <w:t xml:space="preserve"> geographically</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 xml:space="preserve">diverse </w:t>
      </w:r>
      <w:r w:rsidRPr="009E3151">
        <w:rPr>
          <w:rFonts w:ascii="Calibri" w:eastAsia="Calibri" w:hAnsi="Calibri" w:cs="Calibri"/>
          <w:color w:val="000000" w:themeColor="text1"/>
          <w:sz w:val="22"/>
          <w:szCs w:val="22"/>
          <w:lang w:val="en-US"/>
        </w:rPr>
        <w:t xml:space="preserve">cohort not seeking healthcare, offering a snapshot of the Danish population. </w:t>
      </w:r>
    </w:p>
    <w:p w14:paraId="0B962BC2" w14:textId="77777777" w:rsidR="003168B5" w:rsidRPr="009E3151" w:rsidRDefault="003168B5" w:rsidP="003168B5">
      <w:pPr>
        <w:spacing w:before="240" w:after="240" w:line="259" w:lineRule="auto"/>
        <w:rPr>
          <w:rFonts w:ascii="Calibri" w:eastAsia="Calibri" w:hAnsi="Calibri" w:cs="Calibri"/>
          <w:b/>
          <w:bCs/>
          <w:color w:val="000000" w:themeColor="text1"/>
          <w:sz w:val="22"/>
          <w:szCs w:val="22"/>
          <w:lang w:val="en-US"/>
        </w:rPr>
      </w:pPr>
      <w:r w:rsidRPr="009E3151">
        <w:rPr>
          <w:rFonts w:ascii="Calibri" w:eastAsia="Calibri" w:hAnsi="Calibri" w:cs="Calibri"/>
          <w:b/>
          <w:bCs/>
          <w:color w:val="000000" w:themeColor="text1"/>
          <w:sz w:val="22"/>
          <w:szCs w:val="22"/>
          <w:lang w:val="en-US"/>
        </w:rPr>
        <w:t>Demography</w:t>
      </w:r>
    </w:p>
    <w:p w14:paraId="1B197763" w14:textId="349F3C32"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sidRPr="006E25EA">
        <w:rPr>
          <w:rFonts w:ascii="Calibri" w:eastAsia="Calibri" w:hAnsi="Calibri" w:cs="Calibri"/>
          <w:color w:val="000000" w:themeColor="text1"/>
          <w:sz w:val="22"/>
          <w:szCs w:val="22"/>
          <w:lang w:val="en-US"/>
        </w:rPr>
        <w:lastRenderedPageBreak/>
        <w:t>The Digital Post cohort included more children under 15 and adults over 50, while the workplace cohort attracted younger adults, reflecting employment patterns and the inclusion of educational institutions</w:t>
      </w:r>
      <w:r w:rsidRPr="009E3151">
        <w:rPr>
          <w:rFonts w:ascii="Calibri" w:eastAsia="Calibri" w:hAnsi="Calibri" w:cs="Calibri"/>
          <w:color w:val="000000" w:themeColor="text1"/>
          <w:sz w:val="22"/>
          <w:szCs w:val="22"/>
          <w:lang w:val="en-US"/>
        </w:rPr>
        <w:fldChar w:fldCharType="begin" w:fldLock="1"/>
      </w:r>
      <w:r>
        <w:rPr>
          <w:rFonts w:ascii="Calibri" w:eastAsia="Calibri" w:hAnsi="Calibri" w:cs="Calibri"/>
          <w:color w:val="000000" w:themeColor="text1"/>
          <w:sz w:val="22"/>
          <w:szCs w:val="22"/>
          <w:lang w:val="en-US"/>
        </w:rPr>
        <w:instrText>ADDIN CSL_CITATION {"citationItems":[{"id":"ITEM-1","itemData":{"URL":"https://www.dst.dk/en/Statistik/emner/arbejde-og-indkomst/befolkningens-arbejdsmarkedsstatus/arbejdskraftundersoegelsen-aku","accessed":{"date-parts":[["2024","12","12"]]},"author":[{"dropping-particle":"","family":"Statistics Denmark","given":"","non-dropping-particle":"","parse-names":false,"suffix":""}],"id":"ITEM-1","issued":{"date-parts":[["0"]]},"title":"Labour Force Survey (LFS)","type":"webpage"},"uris":["http://www.mendeley.com/documents/?uuid=fd04d4f7-b594-3af7-b597-119b222ece5d"]}],"mendeley":{"formattedCitation":"&lt;sup&gt;14&lt;/sup&gt;","plainTextFormattedCitation":"14","previouslyFormattedCitation":"&lt;sup&gt;14&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Pr="006A49B1">
        <w:rPr>
          <w:rFonts w:ascii="Calibri" w:eastAsia="Calibri" w:hAnsi="Calibri" w:cs="Calibri"/>
          <w:noProof/>
          <w:color w:val="000000" w:themeColor="text1"/>
          <w:sz w:val="22"/>
          <w:szCs w:val="22"/>
          <w:vertAlign w:val="superscript"/>
          <w:lang w:val="en-US"/>
        </w:rPr>
        <w:t>14</w:t>
      </w:r>
      <w:r w:rsidRPr="009E3151">
        <w:rPr>
          <w:rFonts w:ascii="Calibri" w:eastAsia="Calibri" w:hAnsi="Calibri" w:cs="Calibri"/>
          <w:color w:val="000000" w:themeColor="text1"/>
          <w:sz w:val="22"/>
          <w:szCs w:val="22"/>
          <w:lang w:val="en-US"/>
        </w:rPr>
        <w:fldChar w:fldCharType="end"/>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w:t>
      </w:r>
      <w:r w:rsidRPr="00744424">
        <w:rPr>
          <w:rFonts w:ascii="Calibri" w:eastAsia="Calibri" w:hAnsi="Calibri" w:cs="Calibri"/>
          <w:color w:val="000000" w:themeColor="text1"/>
          <w:sz w:val="22"/>
          <w:szCs w:val="22"/>
          <w:lang w:val="en-US"/>
        </w:rPr>
        <w:t xml:space="preserve">The youngest children, teenagers aged 15-19, and adults over 70 were underrepresented. </w:t>
      </w:r>
      <w:r w:rsidRPr="0092338A">
        <w:rPr>
          <w:rFonts w:ascii="Calibri" w:eastAsia="Calibri" w:hAnsi="Calibri" w:cs="Calibri"/>
          <w:color w:val="000000" w:themeColor="text1"/>
          <w:sz w:val="22"/>
          <w:szCs w:val="22"/>
          <w:lang w:val="en-US"/>
        </w:rPr>
        <w:t xml:space="preserve">Both cohorts had </w:t>
      </w:r>
      <w:r w:rsidR="005C1DCD">
        <w:rPr>
          <w:rFonts w:ascii="Calibri" w:eastAsia="Calibri" w:hAnsi="Calibri" w:cs="Calibri"/>
          <w:color w:val="000000" w:themeColor="text1"/>
          <w:sz w:val="22"/>
          <w:szCs w:val="22"/>
          <w:lang w:val="en-US"/>
        </w:rPr>
        <w:t xml:space="preserve">a </w:t>
      </w:r>
      <w:r w:rsidRPr="0092338A">
        <w:rPr>
          <w:rFonts w:ascii="Calibri" w:eastAsia="Calibri" w:hAnsi="Calibri" w:cs="Calibri"/>
          <w:color w:val="000000" w:themeColor="text1"/>
          <w:sz w:val="22"/>
          <w:szCs w:val="22"/>
          <w:lang w:val="en-US"/>
        </w:rPr>
        <w:t>slight</w:t>
      </w:r>
      <w:r w:rsidR="005C1DCD">
        <w:rPr>
          <w:rFonts w:ascii="Calibri" w:eastAsia="Calibri" w:hAnsi="Calibri" w:cs="Calibri"/>
          <w:color w:val="000000" w:themeColor="text1"/>
          <w:sz w:val="22"/>
          <w:szCs w:val="22"/>
          <w:lang w:val="en-US"/>
        </w:rPr>
        <w:t xml:space="preserve"> gender imbalance, with</w:t>
      </w:r>
      <w:r w:rsidRPr="0092338A">
        <w:rPr>
          <w:rFonts w:ascii="Calibri" w:eastAsia="Calibri" w:hAnsi="Calibri" w:cs="Calibri"/>
          <w:color w:val="000000" w:themeColor="text1"/>
          <w:sz w:val="22"/>
          <w:szCs w:val="22"/>
          <w:lang w:val="en-US"/>
        </w:rPr>
        <w:t xml:space="preserve"> fewer male participants.</w:t>
      </w:r>
    </w:p>
    <w:p w14:paraId="3B05D680" w14:textId="77777777" w:rsidR="003168B5" w:rsidRPr="009E3151" w:rsidRDefault="003168B5" w:rsidP="003168B5">
      <w:pPr>
        <w:spacing w:before="240" w:after="240" w:line="259" w:lineRule="auto"/>
        <w:rPr>
          <w:rFonts w:ascii="Calibri" w:eastAsia="Calibri" w:hAnsi="Calibri" w:cs="Calibri"/>
          <w:b/>
          <w:bCs/>
          <w:color w:val="000000" w:themeColor="text1"/>
          <w:sz w:val="22"/>
          <w:szCs w:val="22"/>
          <w:lang w:val="en-US"/>
        </w:rPr>
      </w:pPr>
      <w:r w:rsidRPr="009E3151">
        <w:rPr>
          <w:rFonts w:ascii="Calibri" w:eastAsia="Calibri" w:hAnsi="Calibri" w:cs="Calibri"/>
          <w:b/>
          <w:bCs/>
          <w:color w:val="000000" w:themeColor="text1"/>
          <w:sz w:val="22"/>
          <w:szCs w:val="22"/>
          <w:lang w:val="en-US"/>
        </w:rPr>
        <w:t>Logistical setup and testing behavior</w:t>
      </w:r>
    </w:p>
    <w:p w14:paraId="6A02B58E" w14:textId="77777777" w:rsidR="003168B5" w:rsidRPr="009E3151" w:rsidRDefault="003168B5" w:rsidP="003168B5">
      <w:pPr>
        <w:spacing w:before="240" w:after="240" w:line="259" w:lineRule="auto"/>
        <w:rPr>
          <w:rFonts w:ascii="Calibri" w:eastAsia="Calibri" w:hAnsi="Calibri" w:cs="Calibri"/>
          <w:color w:val="000000" w:themeColor="text1"/>
          <w:sz w:val="22"/>
          <w:szCs w:val="22"/>
          <w:lang w:val="en-US"/>
        </w:rPr>
      </w:pPr>
      <w:r w:rsidRPr="00CE3849">
        <w:rPr>
          <w:rFonts w:ascii="Calibri" w:eastAsia="Calibri" w:hAnsi="Calibri" w:cs="Calibri"/>
          <w:color w:val="000000" w:themeColor="text1"/>
          <w:sz w:val="22"/>
          <w:szCs w:val="22"/>
          <w:lang w:val="en-US"/>
        </w:rPr>
        <w:t xml:space="preserve">VMD faced </w:t>
      </w:r>
      <w:r>
        <w:rPr>
          <w:rFonts w:ascii="Calibri" w:eastAsia="Calibri" w:hAnsi="Calibri" w:cs="Calibri"/>
          <w:color w:val="000000" w:themeColor="text1"/>
          <w:sz w:val="22"/>
          <w:szCs w:val="22"/>
          <w:lang w:val="en-US"/>
        </w:rPr>
        <w:t>few</w:t>
      </w:r>
      <w:r w:rsidRPr="00CE3849">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logistical issues, though</w:t>
      </w:r>
      <w:r w:rsidRPr="00CE3849">
        <w:rPr>
          <w:rFonts w:ascii="Calibri" w:eastAsia="Calibri" w:hAnsi="Calibri" w:cs="Calibri"/>
          <w:color w:val="000000" w:themeColor="text1"/>
          <w:sz w:val="22"/>
          <w:szCs w:val="22"/>
          <w:lang w:val="en-US"/>
        </w:rPr>
        <w:t xml:space="preserve"> the Digital Post cohort </w:t>
      </w:r>
      <w:r>
        <w:rPr>
          <w:rFonts w:ascii="Calibri" w:eastAsia="Calibri" w:hAnsi="Calibri" w:cs="Calibri"/>
          <w:color w:val="000000" w:themeColor="text1"/>
          <w:sz w:val="22"/>
          <w:szCs w:val="22"/>
          <w:lang w:val="en-US"/>
        </w:rPr>
        <w:t>had to</w:t>
      </w:r>
      <w:r w:rsidRPr="009E3151">
        <w:rPr>
          <w:rFonts w:ascii="Calibri" w:eastAsia="Calibri" w:hAnsi="Calibri" w:cs="Calibri"/>
          <w:color w:val="000000" w:themeColor="text1"/>
          <w:sz w:val="22"/>
          <w:szCs w:val="22"/>
          <w:lang w:val="en-US"/>
        </w:rPr>
        <w:t xml:space="preserve"> wait for test kits to be delivered by mail. This lack of immediacy and flexibility likely contributed to the cohort’s relatively low participation rate of 11.9%. In contrast, the UK COVID-19 Infection Survey achieved a 51% registration rate in England </w:t>
      </w:r>
      <w:r>
        <w:rPr>
          <w:rFonts w:ascii="Calibri" w:eastAsia="Calibri" w:hAnsi="Calibri" w:cs="Calibri"/>
          <w:color w:val="000000" w:themeColor="text1"/>
          <w:sz w:val="22"/>
          <w:szCs w:val="22"/>
          <w:lang w:val="en-US"/>
        </w:rPr>
        <w:t>in its early phases</w:t>
      </w:r>
      <w:r w:rsidRPr="009E3151">
        <w:rPr>
          <w:rFonts w:ascii="Calibri" w:eastAsia="Calibri" w:hAnsi="Calibri" w:cs="Calibri"/>
          <w:color w:val="000000" w:themeColor="text1"/>
          <w:sz w:val="22"/>
          <w:szCs w:val="22"/>
          <w:lang w:val="en-US"/>
        </w:rPr>
        <w:fldChar w:fldCharType="begin" w:fldLock="1"/>
      </w:r>
      <w:r>
        <w:rPr>
          <w:rFonts w:ascii="Calibri" w:eastAsia="Calibri" w:hAnsi="Calibri" w:cs="Calibri"/>
          <w:color w:val="000000" w:themeColor="text1"/>
          <w:sz w:val="22"/>
          <w:szCs w:val="22"/>
          <w:lang w:val="en-US"/>
        </w:rPr>
        <w:instrText>ADDIN CSL_CITATION {"citationItems":[{"id":"ITEM-1","itemData":{"URL":"https://www.ons.gov.uk/peoplepopulationandcommunity/healthandsocialcare/conditionsanddiseases/datasets/covid19infectionsurveytechnicaldata","accessed":{"date-parts":[["2024","12","12"]]},"author":[{"dropping-particle":"","family":"Office for National Statistics","given":"","non-dropping-particle":"","parse-names":false,"suffix":""}],"id":"ITEM-1","issued":{"date-parts":[["0"]]},"title":"Coronavirus (COVID-19) Infection Survey: technical data - Office for National Statistics","type":"webpage"},"uris":["http://www.mendeley.com/documents/?uuid=d78e2dc3-aa9d-3e84-bea2-edbceaa1db29"]}],"mendeley":{"formattedCitation":"&lt;sup&gt;15&lt;/sup&gt;","plainTextFormattedCitation":"15","previouslyFormattedCitation":"&lt;sup&gt;15&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Pr="006A49B1">
        <w:rPr>
          <w:rFonts w:ascii="Calibri" w:eastAsia="Calibri" w:hAnsi="Calibri" w:cs="Calibri"/>
          <w:noProof/>
          <w:color w:val="000000" w:themeColor="text1"/>
          <w:sz w:val="22"/>
          <w:szCs w:val="22"/>
          <w:vertAlign w:val="superscript"/>
          <w:lang w:val="en-US"/>
        </w:rPr>
        <w:t>15</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Reduced public interest in testing following the COVID-19 pandemic</w:t>
      </w:r>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 xml:space="preserve">and the absence of incentives </w:t>
      </w:r>
      <w:r>
        <w:rPr>
          <w:rFonts w:ascii="Calibri" w:eastAsia="Calibri" w:hAnsi="Calibri" w:cs="Calibri"/>
          <w:color w:val="000000" w:themeColor="text1"/>
          <w:sz w:val="22"/>
          <w:szCs w:val="22"/>
          <w:lang w:val="en-US"/>
        </w:rPr>
        <w:t>may</w:t>
      </w:r>
      <w:r w:rsidRPr="009E3151">
        <w:rPr>
          <w:rFonts w:ascii="Calibri" w:eastAsia="Calibri" w:hAnsi="Calibri" w:cs="Calibri"/>
          <w:color w:val="000000" w:themeColor="text1"/>
          <w:sz w:val="22"/>
          <w:szCs w:val="22"/>
          <w:lang w:val="en-US"/>
        </w:rPr>
        <w:t xml:space="preserve"> also have played a role in the lower participation rate.</w:t>
      </w:r>
    </w:p>
    <w:p w14:paraId="04FBE640" w14:textId="77777777" w:rsidR="003168B5" w:rsidRPr="00CE3849" w:rsidRDefault="003168B5" w:rsidP="003168B5">
      <w:pPr>
        <w:spacing w:before="240" w:after="240" w:line="259" w:lineRule="auto"/>
        <w:rPr>
          <w:rFonts w:ascii="Calibri" w:eastAsia="Calibri" w:hAnsi="Calibri" w:cs="Calibri"/>
          <w:sz w:val="22"/>
          <w:szCs w:val="22"/>
          <w:lang w:val="en-US"/>
        </w:rPr>
      </w:pPr>
      <w:r>
        <w:rPr>
          <w:rFonts w:ascii="Calibri" w:eastAsia="Calibri" w:hAnsi="Calibri" w:cs="Calibri"/>
          <w:sz w:val="22"/>
          <w:szCs w:val="22"/>
          <w:lang w:val="en-US"/>
        </w:rPr>
        <w:t>T</w:t>
      </w:r>
      <w:r w:rsidRPr="009E3151">
        <w:rPr>
          <w:rFonts w:ascii="Calibri" w:eastAsia="Calibri" w:hAnsi="Calibri" w:cs="Calibri"/>
          <w:sz w:val="22"/>
          <w:szCs w:val="22"/>
          <w:lang w:val="en-US"/>
        </w:rPr>
        <w:t>he workplace cohort</w:t>
      </w:r>
      <w:r>
        <w:rPr>
          <w:rFonts w:ascii="Calibri" w:eastAsia="Calibri" w:hAnsi="Calibri" w:cs="Calibri"/>
          <w:sz w:val="22"/>
          <w:szCs w:val="22"/>
          <w:lang w:val="en-US"/>
        </w:rPr>
        <w:t xml:space="preserve"> </w:t>
      </w:r>
      <w:r w:rsidRPr="009E3151">
        <w:rPr>
          <w:rFonts w:ascii="Calibri" w:eastAsia="Calibri" w:hAnsi="Calibri" w:cs="Calibri"/>
          <w:sz w:val="22"/>
          <w:szCs w:val="22"/>
          <w:lang w:val="en-US"/>
        </w:rPr>
        <w:t>submitted</w:t>
      </w:r>
      <w:r>
        <w:rPr>
          <w:rFonts w:ascii="Calibri" w:eastAsia="Calibri" w:hAnsi="Calibri" w:cs="Calibri"/>
          <w:sz w:val="22"/>
          <w:szCs w:val="22"/>
          <w:lang w:val="en-US"/>
        </w:rPr>
        <w:t xml:space="preserve"> more samples per participant and had lower positivity rate which</w:t>
      </w:r>
      <w:r w:rsidRPr="009E3151">
        <w:rPr>
          <w:rFonts w:ascii="Calibri" w:eastAsia="Calibri" w:hAnsi="Calibri" w:cs="Calibri"/>
          <w:sz w:val="22"/>
          <w:szCs w:val="22"/>
          <w:lang w:val="en-US"/>
        </w:rPr>
        <w:t xml:space="preserve"> may </w:t>
      </w:r>
      <w:r>
        <w:rPr>
          <w:rFonts w:ascii="Calibri" w:eastAsia="Calibri" w:hAnsi="Calibri" w:cs="Calibri"/>
          <w:sz w:val="22"/>
          <w:szCs w:val="22"/>
          <w:lang w:val="en-US"/>
        </w:rPr>
        <w:t>reflect a lower</w:t>
      </w:r>
      <w:r w:rsidRPr="009E3151">
        <w:rPr>
          <w:rFonts w:ascii="Calibri" w:eastAsia="Calibri" w:hAnsi="Calibri" w:cs="Calibri"/>
          <w:sz w:val="22"/>
          <w:szCs w:val="22"/>
          <w:lang w:val="en-US"/>
        </w:rPr>
        <w:t xml:space="preserve"> threshold for testing</w:t>
      </w:r>
      <w:r>
        <w:rPr>
          <w:rFonts w:ascii="Calibri" w:eastAsia="Calibri" w:hAnsi="Calibri" w:cs="Calibri"/>
          <w:sz w:val="22"/>
          <w:szCs w:val="22"/>
          <w:lang w:val="en-US"/>
        </w:rPr>
        <w:t xml:space="preserve"> in this cohort</w:t>
      </w:r>
      <w:r w:rsidRPr="009E3151">
        <w:rPr>
          <w:rFonts w:ascii="Calibri" w:eastAsia="Calibri" w:hAnsi="Calibri" w:cs="Calibri"/>
          <w:sz w:val="22"/>
          <w:szCs w:val="22"/>
          <w:lang w:val="en-US"/>
        </w:rPr>
        <w:t>, facilitated by easy access to test kits.</w:t>
      </w:r>
      <w:r>
        <w:rPr>
          <w:rFonts w:ascii="Calibri" w:eastAsia="Calibri" w:hAnsi="Calibri" w:cs="Calibri"/>
          <w:sz w:val="22"/>
          <w:szCs w:val="22"/>
          <w:lang w:val="en-US"/>
        </w:rPr>
        <w:t xml:space="preserve"> Their</w:t>
      </w:r>
      <w:r w:rsidRPr="009E3151">
        <w:rPr>
          <w:rFonts w:ascii="Calibri" w:eastAsia="Calibri" w:hAnsi="Calibri" w:cs="Calibri"/>
          <w:sz w:val="22"/>
          <w:szCs w:val="22"/>
          <w:lang w:val="en-US"/>
        </w:rPr>
        <w:t xml:space="preserve"> short </w:t>
      </w:r>
      <w:r w:rsidRPr="00744424">
        <w:rPr>
          <w:rFonts w:ascii="Calibri" w:eastAsia="Calibri" w:hAnsi="Calibri" w:cs="Calibri"/>
          <w:sz w:val="22"/>
          <w:szCs w:val="22"/>
          <w:lang w:val="en-US"/>
        </w:rPr>
        <w:t>registration-to-sample intervals</w:t>
      </w:r>
      <w:r>
        <w:rPr>
          <w:rFonts w:ascii="Calibri" w:eastAsia="Calibri" w:hAnsi="Calibri" w:cs="Calibri"/>
          <w:sz w:val="22"/>
          <w:szCs w:val="22"/>
          <w:lang w:val="en-US"/>
        </w:rPr>
        <w:t xml:space="preserve"> also</w:t>
      </w:r>
      <w:r w:rsidRPr="00744424">
        <w:rPr>
          <w:rFonts w:ascii="Calibri" w:eastAsia="Calibri" w:hAnsi="Calibri" w:cs="Calibri"/>
          <w:sz w:val="22"/>
          <w:szCs w:val="22"/>
          <w:lang w:val="en-US"/>
        </w:rPr>
        <w:t xml:space="preserve"> </w:t>
      </w:r>
      <w:r w:rsidRPr="009E3151">
        <w:rPr>
          <w:rFonts w:ascii="Calibri" w:eastAsia="Calibri" w:hAnsi="Calibri" w:cs="Calibri"/>
          <w:sz w:val="22"/>
          <w:szCs w:val="22"/>
          <w:lang w:val="en-US"/>
        </w:rPr>
        <w:t>indicat</w:t>
      </w:r>
      <w:r>
        <w:rPr>
          <w:rFonts w:ascii="Calibri" w:eastAsia="Calibri" w:hAnsi="Calibri" w:cs="Calibri"/>
          <w:sz w:val="22"/>
          <w:szCs w:val="22"/>
          <w:lang w:val="en-US"/>
        </w:rPr>
        <w:t>es</w:t>
      </w:r>
      <w:r w:rsidRPr="009E3151">
        <w:rPr>
          <w:rFonts w:ascii="Calibri" w:eastAsia="Calibri" w:hAnsi="Calibri" w:cs="Calibri"/>
          <w:sz w:val="22"/>
          <w:szCs w:val="22"/>
          <w:lang w:val="en-US"/>
        </w:rPr>
        <w:t xml:space="preserve"> that </w:t>
      </w:r>
      <w:r>
        <w:rPr>
          <w:rFonts w:ascii="Calibri" w:eastAsia="Calibri" w:hAnsi="Calibri" w:cs="Calibri"/>
          <w:sz w:val="22"/>
          <w:szCs w:val="22"/>
          <w:lang w:val="en-US"/>
        </w:rPr>
        <w:t>they</w:t>
      </w:r>
      <w:r w:rsidRPr="009E3151">
        <w:rPr>
          <w:rFonts w:ascii="Calibri" w:eastAsia="Calibri" w:hAnsi="Calibri" w:cs="Calibri"/>
          <w:sz w:val="22"/>
          <w:szCs w:val="22"/>
          <w:lang w:val="en-US"/>
        </w:rPr>
        <w:t xml:space="preserve"> waited to </w:t>
      </w:r>
      <w:r>
        <w:rPr>
          <w:rFonts w:ascii="Calibri" w:eastAsia="Calibri" w:hAnsi="Calibri" w:cs="Calibri"/>
          <w:sz w:val="22"/>
          <w:szCs w:val="22"/>
          <w:lang w:val="en-US"/>
        </w:rPr>
        <w:t>sign-up</w:t>
      </w:r>
      <w:r w:rsidRPr="009E3151">
        <w:rPr>
          <w:rFonts w:ascii="Calibri" w:eastAsia="Calibri" w:hAnsi="Calibri" w:cs="Calibri"/>
          <w:sz w:val="22"/>
          <w:szCs w:val="22"/>
          <w:lang w:val="en-US"/>
        </w:rPr>
        <w:t xml:space="preserve"> until they experienced symptoms</w:t>
      </w:r>
      <w:r>
        <w:rPr>
          <w:rFonts w:ascii="Calibri" w:eastAsia="Calibri" w:hAnsi="Calibri" w:cs="Calibri"/>
          <w:sz w:val="22"/>
          <w:szCs w:val="22"/>
          <w:lang w:val="en-US"/>
        </w:rPr>
        <w:t xml:space="preserve">, </w:t>
      </w:r>
      <w:r w:rsidRPr="00CE3849">
        <w:rPr>
          <w:rFonts w:ascii="Calibri" w:eastAsia="Calibri" w:hAnsi="Calibri" w:cs="Calibri"/>
          <w:sz w:val="22"/>
          <w:szCs w:val="22"/>
          <w:lang w:val="en-US"/>
        </w:rPr>
        <w:t>making the cohort size larger than the number of registered participants.</w:t>
      </w:r>
    </w:p>
    <w:p w14:paraId="4EBCDAAC" w14:textId="77777777" w:rsidR="003168B5" w:rsidRPr="009E3151" w:rsidRDefault="003168B5" w:rsidP="003168B5">
      <w:pPr>
        <w:spacing w:before="240" w:after="240" w:line="259" w:lineRule="auto"/>
        <w:rPr>
          <w:rFonts w:ascii="Calibri" w:eastAsia="Calibri" w:hAnsi="Calibri" w:cs="Calibri"/>
          <w:sz w:val="22"/>
          <w:szCs w:val="22"/>
          <w:lang w:val="en-US"/>
        </w:rPr>
      </w:pPr>
      <w:r>
        <w:rPr>
          <w:rFonts w:ascii="Calibri" w:eastAsia="Calibri" w:hAnsi="Calibri" w:cs="Calibri"/>
          <w:color w:val="000000" w:themeColor="text1"/>
          <w:sz w:val="22"/>
          <w:szCs w:val="22"/>
          <w:lang w:val="en-US"/>
        </w:rPr>
        <w:t>Over</w:t>
      </w:r>
      <w:r w:rsidRPr="009E3151">
        <w:rPr>
          <w:rFonts w:ascii="Calibri" w:eastAsia="Calibri" w:hAnsi="Calibri" w:cs="Calibri"/>
          <w:color w:val="000000" w:themeColor="text1"/>
          <w:sz w:val="22"/>
          <w:szCs w:val="22"/>
          <w:lang w:val="en-US"/>
        </w:rPr>
        <w:t xml:space="preserve"> 40% of participants did not swab themselves every time they experienced symptoms.</w:t>
      </w:r>
      <w:r w:rsidRPr="009E3151">
        <w:rPr>
          <w:rFonts w:ascii="Calibri" w:eastAsia="Calibri" w:hAnsi="Calibri" w:cs="Calibri"/>
          <w:sz w:val="22"/>
          <w:szCs w:val="22"/>
          <w:lang w:val="en-US"/>
        </w:rPr>
        <w:t xml:space="preserve"> Among those who did, most reported </w:t>
      </w:r>
      <w:proofErr w:type="spellStart"/>
      <w:r w:rsidRPr="009E3151">
        <w:rPr>
          <w:rFonts w:ascii="Calibri" w:eastAsia="Calibri" w:hAnsi="Calibri" w:cs="Calibri"/>
          <w:sz w:val="22"/>
          <w:szCs w:val="22"/>
          <w:lang w:val="en-US"/>
        </w:rPr>
        <w:t>aILI</w:t>
      </w:r>
      <w:proofErr w:type="spellEnd"/>
      <w:r>
        <w:rPr>
          <w:rFonts w:ascii="Calibri" w:eastAsia="Calibri" w:hAnsi="Calibri" w:cs="Calibri"/>
          <w:sz w:val="22"/>
          <w:szCs w:val="22"/>
          <w:lang w:val="en-US"/>
        </w:rPr>
        <w:t xml:space="preserve"> symptoms, with</w:t>
      </w:r>
      <w:r w:rsidRPr="009E3151">
        <w:rPr>
          <w:rFonts w:ascii="Calibri" w:eastAsia="Calibri" w:hAnsi="Calibri" w:cs="Calibri"/>
          <w:sz w:val="22"/>
          <w:szCs w:val="22"/>
          <w:lang w:val="en-US"/>
        </w:rPr>
        <w:t xml:space="preserve"> the proportions of </w:t>
      </w:r>
      <w:proofErr w:type="spellStart"/>
      <w:r w:rsidRPr="009E3151">
        <w:rPr>
          <w:rFonts w:ascii="Calibri" w:eastAsia="Calibri" w:hAnsi="Calibri" w:cs="Calibri"/>
          <w:sz w:val="22"/>
          <w:szCs w:val="22"/>
          <w:lang w:val="en-US"/>
        </w:rPr>
        <w:t>aILI</w:t>
      </w:r>
      <w:proofErr w:type="spellEnd"/>
      <w:r w:rsidRPr="009E3151">
        <w:rPr>
          <w:rFonts w:ascii="Calibri" w:eastAsia="Calibri" w:hAnsi="Calibri" w:cs="Calibri"/>
          <w:sz w:val="22"/>
          <w:szCs w:val="22"/>
          <w:lang w:val="en-US"/>
        </w:rPr>
        <w:t>, fever, and coughing remain</w:t>
      </w:r>
      <w:r>
        <w:rPr>
          <w:rFonts w:ascii="Calibri" w:eastAsia="Calibri" w:hAnsi="Calibri" w:cs="Calibri"/>
          <w:sz w:val="22"/>
          <w:szCs w:val="22"/>
          <w:lang w:val="en-US"/>
        </w:rPr>
        <w:t>ing</w:t>
      </w:r>
      <w:r w:rsidRPr="009E3151">
        <w:rPr>
          <w:rFonts w:ascii="Calibri" w:eastAsia="Calibri" w:hAnsi="Calibri" w:cs="Calibri"/>
          <w:sz w:val="22"/>
          <w:szCs w:val="22"/>
          <w:lang w:val="en-US"/>
        </w:rPr>
        <w:t xml:space="preserve"> relatively constant over time. Th</w:t>
      </w:r>
      <w:r>
        <w:rPr>
          <w:rFonts w:ascii="Calibri" w:eastAsia="Calibri" w:hAnsi="Calibri" w:cs="Calibri"/>
          <w:sz w:val="22"/>
          <w:szCs w:val="22"/>
          <w:lang w:val="en-US"/>
        </w:rPr>
        <w:t>is</w:t>
      </w:r>
      <w:r w:rsidRPr="009E3151">
        <w:rPr>
          <w:rFonts w:ascii="Calibri" w:eastAsia="Calibri" w:hAnsi="Calibri" w:cs="Calibri"/>
          <w:sz w:val="22"/>
          <w:szCs w:val="22"/>
          <w:lang w:val="en-US"/>
        </w:rPr>
        <w:t xml:space="preserve"> suggest</w:t>
      </w:r>
      <w:r>
        <w:rPr>
          <w:rFonts w:ascii="Calibri" w:eastAsia="Calibri" w:hAnsi="Calibri" w:cs="Calibri"/>
          <w:sz w:val="22"/>
          <w:szCs w:val="22"/>
          <w:lang w:val="en-US"/>
        </w:rPr>
        <w:t>s</w:t>
      </w:r>
      <w:r w:rsidRPr="009E3151">
        <w:rPr>
          <w:rFonts w:ascii="Calibri" w:eastAsia="Calibri" w:hAnsi="Calibri" w:cs="Calibri"/>
          <w:sz w:val="22"/>
          <w:szCs w:val="22"/>
          <w:lang w:val="en-US"/>
        </w:rPr>
        <w:t xml:space="preserve"> that participants often waited until symptoms had reached a certain threshold before performing a swab. </w:t>
      </w:r>
    </w:p>
    <w:p w14:paraId="3E1DE5E1"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Frequency of respiratory</w:t>
      </w:r>
      <w:r>
        <w:rPr>
          <w:rFonts w:ascii="Calibri" w:eastAsia="Calibri" w:hAnsi="Calibri" w:cs="Calibri"/>
          <w:b/>
          <w:bCs/>
          <w:color w:val="000000" w:themeColor="text1"/>
          <w:sz w:val="22"/>
          <w:szCs w:val="22"/>
          <w:lang w:val="en-US"/>
        </w:rPr>
        <w:t xml:space="preserve"> viruses</w:t>
      </w:r>
    </w:p>
    <w:p w14:paraId="1C08CA13"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VMD </w:t>
      </w:r>
      <w:r>
        <w:rPr>
          <w:rFonts w:ascii="Calibri" w:eastAsia="Calibri" w:hAnsi="Calibri" w:cs="Calibri"/>
          <w:color w:val="000000" w:themeColor="text1"/>
          <w:sz w:val="22"/>
          <w:szCs w:val="22"/>
          <w:lang w:val="en-US"/>
        </w:rPr>
        <w:t xml:space="preserve">identified </w:t>
      </w:r>
      <w:r w:rsidRPr="009E3151">
        <w:rPr>
          <w:rFonts w:ascii="Calibri" w:eastAsia="Calibri" w:hAnsi="Calibri" w:cs="Calibri"/>
          <w:color w:val="000000" w:themeColor="text1"/>
          <w:sz w:val="22"/>
          <w:szCs w:val="22"/>
          <w:lang w:val="en-US"/>
        </w:rPr>
        <w:t xml:space="preserve">widespread community transmission of SARS-CoV-2 </w:t>
      </w:r>
      <w:r>
        <w:rPr>
          <w:rFonts w:ascii="Calibri" w:eastAsia="Calibri" w:hAnsi="Calibri" w:cs="Calibri"/>
          <w:color w:val="000000" w:themeColor="text1"/>
          <w:sz w:val="22"/>
          <w:szCs w:val="22"/>
          <w:lang w:val="en-US"/>
        </w:rPr>
        <w:t>in late</w:t>
      </w:r>
      <w:r w:rsidRPr="009E3151">
        <w:rPr>
          <w:rFonts w:ascii="Calibri" w:eastAsia="Calibri" w:hAnsi="Calibri" w:cs="Calibri"/>
          <w:color w:val="000000" w:themeColor="text1"/>
          <w:sz w:val="22"/>
          <w:szCs w:val="22"/>
          <w:lang w:val="en-US"/>
        </w:rPr>
        <w:t xml:space="preserve"> 2023</w:t>
      </w:r>
      <w:r>
        <w:rPr>
          <w:rFonts w:ascii="Calibri" w:eastAsia="Calibri" w:hAnsi="Calibri" w:cs="Calibri"/>
          <w:color w:val="000000" w:themeColor="text1"/>
          <w:sz w:val="22"/>
          <w:szCs w:val="22"/>
          <w:lang w:val="en-US"/>
        </w:rPr>
        <w:t>, including</w:t>
      </w:r>
      <w:r w:rsidRPr="009E3151">
        <w:rPr>
          <w:rFonts w:ascii="Calibri" w:eastAsia="Calibri" w:hAnsi="Calibri" w:cs="Calibri"/>
          <w:color w:val="000000" w:themeColor="text1"/>
          <w:sz w:val="22"/>
          <w:szCs w:val="22"/>
          <w:lang w:val="en-US"/>
        </w:rPr>
        <w:t xml:space="preserve"> one of the first BA.2.86 sequences in Denmark</w:t>
      </w:r>
      <w:r w:rsidRPr="009E3151">
        <w:rPr>
          <w:rFonts w:ascii="Calibri" w:eastAsia="Calibri" w:hAnsi="Calibri" w:cs="Calibri"/>
          <w:color w:val="000000" w:themeColor="text1"/>
          <w:sz w:val="22"/>
          <w:szCs w:val="22"/>
          <w:lang w:val="en-US"/>
        </w:rPr>
        <w:fldChar w:fldCharType="begin" w:fldLock="1"/>
      </w:r>
      <w:r>
        <w:rPr>
          <w:rFonts w:ascii="Calibri" w:eastAsia="Calibri" w:hAnsi="Calibri" w:cs="Calibri"/>
          <w:color w:val="000000" w:themeColor="text1"/>
          <w:sz w:val="22"/>
          <w:szCs w:val="22"/>
          <w:lang w:val="en-US"/>
        </w:rPr>
        <w:instrText>ADDIN CSL_CITATION {"citationItems":[{"id":"ITEM-1","itemData":{"DOI":"10.2807/1560-7917.ES.2023.28.36.2300460/CITE/REFWORKS","ISSN":"15607917","PMID":"37676147","abstract":"We describe 10 cases of severe acute respiratory syndrome coronavirus 2 (SARS-CoV-2) variant BA.2.86 detected in Denmark, including molecular characteristics and results from wastewater surveillance that indicate that the variant is circulating in the country at a low level. This new variant with many spike gene mutations was classified as a variant under monitoring by the World Health Organization on 17 August 2023. Further global monitoring of COVID-19, BA.2.86 and other SARS-CoV-2 variants is highly warranted.","author":[{"dropping-particle":"","family":"Rasmussen","given":"Morten","non-dropping-particle":"","parse-names":false,"suffix":""},{"dropping-particle":"","family":"Moller","given":"Frederik Trier","non-dropping-particle":"","parse-names":false,"suffix":""},{"dropping-particle":"","family":"Gunalan","given":"Vithiagaran","non-dropping-particle":"","parse-names":false,"suffix":""},{"dropping-particle":"","family":"Baig","given":"Sharmin","non-dropping-particle":"","parse-names":false,"suffix":""},{"dropping-particle":"","family":"Bennedbak","given":"Marc","non-dropping-particle":"","parse-names":false,"suffix":""},{"dropping-particle":"","family":"Christiansen","given":"Lasse Engbo","non-dropping-particle":"","parse-names":false,"suffix":""},{"dropping-particle":"","family":"Cohen","given":"Arieh Sierra","non-dropping-particle":"","parse-names":false,"suffix":""},{"dropping-particle":"","family":"Ellegaard","given":"Kirsten","non-dropping-particle":"","parse-names":false,"suffix":""},{"dropping-particle":"","family":"Fomsgaard","given":"Anders","non-dropping-particle":"","parse-names":false,"suffix":""},{"dropping-particle":"","family":"Franck","given":"Kristina Traholt","non-dropping-particle":"","parse-names":false,"suffix":""},{"dropping-particle":"","family":"Larsen","given":"Nicolai Balle","non-dropping-particle":"","parse-names":false,"suffix":""},{"dropping-particle":"","family":"Larsen","given":"Tine Graakjar","non-dropping-particle":"","parse-names":false,"suffix":""},{"dropping-particle":"","family":"Lassauniere","given":"Ria","non-dropping-particle":"","parse-names":false,"suffix":""},{"dropping-particle":"","family":"Polacek","given":"Charlotta","non-dropping-particle":"","parse-names":false,"suffix":""},{"dropping-particle":"","family":"Qvesel","given":"Amanda Gammelby","non-dropping-particle":"","parse-names":false,"suffix":""},{"dropping-particle":"","family":"Sieber","given":"Raphael Niklaus","non-dropping-particle":"","parse-names":false,"suffix":""},{"dropping-particle":"","family":"Rasmussen","given":"Lasse Dam","non-dropping-particle":"","parse-names":false,"suffix":""},{"dropping-particle":"","family":"Stegger","given":"Marc","non-dropping-particle":"","parse-names":false,"suffix":""},{"dropping-particle":"","family":"Spiess","given":"Katja","non-dropping-particle":"","parse-names":false,"suffix":""},{"dropping-particle":"","family":"Eric Tang","given":"Man Hung","non-dropping-particle":"","parse-names":false,"suffix":""},{"dropping-particle":"","family":"Vestergaard","given":"Lasse Skafte","non-dropping-particle":"","parse-names":false,"suffix":""},{"dropping-particle":"","family":"Andersen","given":"Thomas Emil","non-dropping-particle":"","parse-names":false,"suffix":""},{"dropping-particle":"","family":"Hoegh","given":"Silje Vermedal","non-dropping-particle":"","parse-names":false,"suffix":""},{"dropping-particle":"","family":"Pedersen","given":"Rune Micha","non-dropping-particle":"","parse-names":false,"suffix":""},{"dropping-particle":"","family":"Skov","given":"Marianne Nielsine","non-dropping-particle":"","parse-names":false,"suffix":""},{"dropping-particle":"","family":"Steinke","given":"Kat","non-dropping-particle":"","parse-names":false,"suffix":""},{"dropping-particle":"","family":"Sydenham","given":"Thomas Vognbjerg","non-dropping-particle":"","parse-names":false,"suffix":""},{"dropping-particle":"","family":"Hoppe","given":"Morten","non-dropping-particle":"","parse-names":false,"suffix":""},{"dropping-particle":"","family":"Nielsen","given":"Lene","non-dropping-particle":"","parse-names":false,"suffix":""},{"dropping-particle":"","family":"Krause","given":"Tyra Grove","non-dropping-particle":"","parse-names":false,"suffix":""},{"dropping-particle":"","family":"Ullum","given":"Henrik","non-dropping-particle":"","parse-names":false,"suffix":""},{"dropping-particle":"","family":"Jokelainen","given":"Pikka","non-dropping-particle":"","parse-names":false,"suffix":""}],"container-title":"Eurosurveillance","id":"ITEM-1","issue":"36","issued":{"date-parts":[["2023","9","7"]]},"page":"2300460","publisher":"European Centre for Disease Prevention and Control (ECDC)","title":"First cases of SARS-CoV-2 BA.2.86 in Denmark, 2023","type":"article-journal","volume":"28"},"uris":["http://www.mendeley.com/documents/?uuid=b711585d-7679-3aa2-8995-5633ed20d90b"]}],"mendeley":{"formattedCitation":"&lt;sup&gt;16&lt;/sup&gt;","plainTextFormattedCitation":"16","previouslyFormattedCitation":"&lt;sup&gt;16&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Pr="006A49B1">
        <w:rPr>
          <w:rFonts w:ascii="Calibri" w:eastAsia="Calibri" w:hAnsi="Calibri" w:cs="Calibri"/>
          <w:noProof/>
          <w:color w:val="000000" w:themeColor="text1"/>
          <w:sz w:val="22"/>
          <w:szCs w:val="22"/>
          <w:vertAlign w:val="superscript"/>
          <w:lang w:val="en-US"/>
        </w:rPr>
        <w:t>16</w:t>
      </w:r>
      <w:r w:rsidRPr="009E3151">
        <w:rPr>
          <w:rFonts w:ascii="Calibri" w:eastAsia="Calibri" w:hAnsi="Calibri" w:cs="Calibri"/>
          <w:color w:val="000000" w:themeColor="text1"/>
          <w:sz w:val="22"/>
          <w:szCs w:val="22"/>
          <w:lang w:val="en-US"/>
        </w:rPr>
        <w:fldChar w:fldCharType="end"/>
      </w:r>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illustrat</w:t>
      </w:r>
      <w:r>
        <w:rPr>
          <w:rFonts w:ascii="Calibri" w:eastAsia="Calibri" w:hAnsi="Calibri" w:cs="Calibri"/>
          <w:color w:val="000000" w:themeColor="text1"/>
          <w:sz w:val="22"/>
          <w:szCs w:val="22"/>
          <w:lang w:val="en-US"/>
        </w:rPr>
        <w:t>ing</w:t>
      </w:r>
      <w:r w:rsidRPr="009E3151">
        <w:rPr>
          <w:rFonts w:ascii="Calibri" w:eastAsia="Calibri" w:hAnsi="Calibri" w:cs="Calibri"/>
          <w:color w:val="000000" w:themeColor="text1"/>
          <w:sz w:val="22"/>
          <w:szCs w:val="22"/>
          <w:lang w:val="en-US"/>
        </w:rPr>
        <w:t xml:space="preserve"> that VMD possesses the ability to provide early warning. </w:t>
      </w:r>
    </w:p>
    <w:p w14:paraId="183CEC82"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Rhino-/enterovirus became the second most common virus identified in VMD samples and was consistently present with no clear seasonal</w:t>
      </w:r>
      <w:r>
        <w:rPr>
          <w:rFonts w:ascii="Calibri" w:eastAsia="Calibri" w:hAnsi="Calibri" w:cs="Calibri"/>
          <w:color w:val="000000" w:themeColor="text1"/>
          <w:sz w:val="22"/>
          <w:szCs w:val="22"/>
          <w:lang w:val="en-US"/>
        </w:rPr>
        <w:t>ity</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consistent with prior findings</w:t>
      </w:r>
      <w:r w:rsidRPr="009E3151">
        <w:rPr>
          <w:rFonts w:ascii="Calibri" w:eastAsia="Calibri" w:hAnsi="Calibri" w:cs="Calibri"/>
          <w:color w:val="000000" w:themeColor="text1"/>
          <w:sz w:val="22"/>
          <w:szCs w:val="22"/>
          <w:lang w:val="en-US"/>
        </w:rPr>
        <w:fldChar w:fldCharType="begin" w:fldLock="1"/>
      </w:r>
      <w:r>
        <w:rPr>
          <w:rFonts w:ascii="Calibri" w:eastAsia="Calibri" w:hAnsi="Calibri" w:cs="Calibri"/>
          <w:color w:val="000000" w:themeColor="text1"/>
          <w:sz w:val="22"/>
          <w:szCs w:val="22"/>
          <w:lang w:val="en-US"/>
        </w:rPr>
        <w:instrText>ADDIN CSL_CITATION {"citationItems":[{"id":"ITEM-1","itemData":{"DOI":"10.1186/S12879-021-06785-2/FIGURES/4","ISSN":"14712334","PMID":"34702177","abstract":"Background: The survival of coronaviruses are influenced by weather conditions and seasonal coronaviruses are more common in winter months. We examine the seasonality of respiratory infections in England and Wales and the associations between weather parameters and seasonal coronavirus cases. Methods: Respiratory virus disease data for England and Wales between 1989 and 2019 was extracted from the Second-Generation Surveillance System (SGSS) database used for routine surveillance. Seasonal coronaviruses from 2012 to 2019 were compared to daily average weather parameters for the period before the patient’s specimen date with a range of lag periods. Results: The seasonal distribution of 985,524 viral infections in England and Wales (1989–2019) showed coronavirus infections had a similar seasonal distribution to influenza A and bocavirus, with a winter peak between weeks 2 to 8. Ninety percent of infections occurred where the daily mean ambient temperatures were below 10 °C; where daily average global radiation exceeded 500 kJ/m2/h; where sunshine was less than 5 h per day; or where relative humidity was above 80%. Coronavirus infections were significantly more common where daily average global radiation was under 300 kJ/m2/h (OR 4.3; CI 3.9–4.6; p &lt; 0.001); where average relative humidity was over 84% (OR 1.9; CI 3.9–4.6; p &lt; 0.001); where average air temperature was below 10 °C (OR 6.7; CI 6.1–7.3; p &lt; 0.001) or where sunshine was below 4 h (OR 2.4; CI 2.2–2.6; p &lt; 0.001) when compared to the distribution of weather values for the same time period. Seasonal coronavirus infections in children under 3 years old were more frequent at the start of an annual epidemic than at the end, suggesting that the size of the susceptible child population may be important in the annual cycle. Conclusions: The dynamics of seasonal coronaviruses reflect immunological, weather, social and travel drivers of infection. Evidence from studies on different coronaviruses suggest that low temperature and low radiation/sunlight favour survival. This implies a seasonal increase in SARS-CoV-2 may occur in the UK and countries with a similar climate as a result of an increase in the R0 associated with reduced temperatures and solar radiation. Increased measures to reduce transmission will need to be introduced in winter months for COVID-19.","author":[{"dropping-particle":"","family":"Nichols","given":"G. L.","non-dropping-particle":"","parse-names":false,"suffix":""},{"dropping-particle":"","family":"Gillingham","given":"E. L.","non-dropping-particle":"","parse-names":false,"suffix":""},{"dropping-particle":"","family":"Macintyre","given":"H. L.","non-dropping-particle":"","parse-names":false,"suffix":""},{"dropping-particle":"","family":"Vardoulakis","given":"S.","non-dropping-particle":"","parse-names":false,"suffix":""},{"dropping-particle":"","family":"Hajat","given":"S.","non-dropping-particle":"","parse-names":false,"suffix":""},{"dropping-particle":"","family":"Sarran","given":"C. E.","non-dropping-particle":"","parse-names":false,"suffix":""},{"dropping-particle":"","family":"Amankwaah","given":"D.","non-dropping-particle":"","parse-names":false,"suffix":""},{"dropping-particle":"","family":"Phalkey","given":"R.","non-dropping-particle":"","parse-names":false,"suffix":""}],"container-title":"BMC Infectious Diseases","id":"ITEM-1","issue":"1","issued":{"date-parts":[["2021","12","1"]]},"page":"1-15","publisher":"BioMed Central Ltd","title":"Coronavirus seasonality, respiratory infections and weather","type":"article-journal","volume":"21"},"uris":["http://www.mendeley.com/documents/?uuid=279f767d-017b-3db7-ba29-0138c4a4fa50"]}],"mendeley":{"formattedCitation":"&lt;sup&gt;17&lt;/sup&gt;","plainTextFormattedCitation":"17","previouslyFormattedCitation":"&lt;sup&gt;17&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Pr="006A49B1">
        <w:rPr>
          <w:rFonts w:ascii="Calibri" w:eastAsia="Calibri" w:hAnsi="Calibri" w:cs="Calibri"/>
          <w:noProof/>
          <w:color w:val="000000" w:themeColor="text1"/>
          <w:sz w:val="22"/>
          <w:szCs w:val="22"/>
          <w:vertAlign w:val="superscript"/>
          <w:lang w:val="en-US"/>
        </w:rPr>
        <w:t>17</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xml:space="preserve">. </w:t>
      </w:r>
    </w:p>
    <w:p w14:paraId="7449F424"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Comparison to other similar system</w:t>
      </w:r>
    </w:p>
    <w:p w14:paraId="5427FCC4" w14:textId="2B926C80"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In Denmark, the sentinel surveillance system also documented a peak of SARS-CoV-2 positivity rate in weeks 49 and 50 of 2023</w:t>
      </w:r>
      <w:r w:rsidRPr="009E3151">
        <w:rPr>
          <w:rFonts w:ascii="Calibri" w:eastAsia="Calibri" w:hAnsi="Calibri" w:cs="Calibri"/>
          <w:color w:val="000000" w:themeColor="text1"/>
          <w:sz w:val="22"/>
          <w:szCs w:val="22"/>
          <w:lang w:val="en-US"/>
        </w:rPr>
        <w:fldChar w:fldCharType="begin" w:fldLock="1"/>
      </w:r>
      <w:r w:rsidR="00C649AA">
        <w:rPr>
          <w:rFonts w:ascii="Calibri" w:eastAsia="Calibri" w:hAnsi="Calibri" w:cs="Calibri"/>
          <w:color w:val="000000" w:themeColor="text1"/>
          <w:sz w:val="22"/>
          <w:szCs w:val="22"/>
          <w:lang w:val="en-US"/>
        </w:rPr>
        <w:instrText>ADDIN CSL_CITATION {"citationItems":[{"id":"ITEM-1","itemData":{"URL":"https://www.ssi.dk/sygdomme-beredskab-og-forskning/sygdomsovervaagning/l/luftvejsinfektioner-2023-24","accessed":{"date-parts":[["2024","12","12"]]},"author":[{"dropping-particle":"","family":"Statens Serum Institut","given":"","non-dropping-particle":"","parse-names":false,"suffix":""}],"id":"ITEM-1","issued":{"date-parts":[["2024"]]},"title":"Integreret overvågning af luftvejsinfektioner i 2023/24 - samlet opgørelse","type":"webpage"},"uris":["http://www.mendeley.com/documents/?uuid=f6b42297-8f39-36a3-857d-f94be9bb252e"]}],"mendeley":{"formattedCitation":"&lt;sup&gt;8&lt;/sup&gt;","plainTextFormattedCitation":"8","previouslyFormattedCitation":"&lt;sup&gt;8&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00C649AA" w:rsidRPr="00C649AA">
        <w:rPr>
          <w:rFonts w:ascii="Calibri" w:eastAsia="Calibri" w:hAnsi="Calibri" w:cs="Calibri"/>
          <w:noProof/>
          <w:color w:val="000000" w:themeColor="text1"/>
          <w:sz w:val="22"/>
          <w:szCs w:val="22"/>
          <w:vertAlign w:val="superscript"/>
          <w:lang w:val="en-US"/>
        </w:rPr>
        <w:t>8</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xml:space="preserve">, but </w:t>
      </w:r>
      <w:r>
        <w:rPr>
          <w:rFonts w:ascii="Calibri" w:eastAsia="Calibri" w:hAnsi="Calibri" w:cs="Calibri"/>
          <w:color w:val="000000" w:themeColor="text1"/>
          <w:sz w:val="22"/>
          <w:szCs w:val="22"/>
          <w:lang w:val="en-US"/>
        </w:rPr>
        <w:t>at a</w:t>
      </w:r>
      <w:r w:rsidRPr="009E3151">
        <w:rPr>
          <w:rFonts w:ascii="Calibri" w:eastAsia="Calibri" w:hAnsi="Calibri" w:cs="Calibri"/>
          <w:color w:val="000000" w:themeColor="text1"/>
          <w:sz w:val="22"/>
          <w:szCs w:val="22"/>
          <w:lang w:val="en-US"/>
        </w:rPr>
        <w:t xml:space="preserve"> lower level </w:t>
      </w:r>
      <w:r>
        <w:rPr>
          <w:rFonts w:ascii="Calibri" w:eastAsia="Calibri" w:hAnsi="Calibri" w:cs="Calibri"/>
          <w:color w:val="000000" w:themeColor="text1"/>
          <w:sz w:val="22"/>
          <w:szCs w:val="22"/>
          <w:lang w:val="en-US"/>
        </w:rPr>
        <w:t>than</w:t>
      </w:r>
      <w:r w:rsidRPr="009E3151">
        <w:rPr>
          <w:rFonts w:ascii="Calibri" w:eastAsia="Calibri" w:hAnsi="Calibri" w:cs="Calibri"/>
          <w:color w:val="000000" w:themeColor="text1"/>
          <w:sz w:val="22"/>
          <w:szCs w:val="22"/>
          <w:lang w:val="en-US"/>
        </w:rPr>
        <w:t xml:space="preserve"> VMD. The summer 2024 SARS-CoV-2 wave was also more pronounced in the VMD system than in the sentinel surveillance. Additionally, endemic coronaviruses </w:t>
      </w:r>
      <w:r>
        <w:rPr>
          <w:rFonts w:ascii="Calibri" w:eastAsia="Calibri" w:hAnsi="Calibri" w:cs="Calibri"/>
          <w:color w:val="000000" w:themeColor="text1"/>
          <w:sz w:val="22"/>
          <w:szCs w:val="22"/>
          <w:lang w:val="en-US"/>
        </w:rPr>
        <w:t>were more common in</w:t>
      </w:r>
      <w:r w:rsidRPr="009E3151">
        <w:rPr>
          <w:rFonts w:ascii="Calibri" w:eastAsia="Calibri" w:hAnsi="Calibri" w:cs="Calibri"/>
          <w:color w:val="000000" w:themeColor="text1"/>
          <w:sz w:val="22"/>
          <w:szCs w:val="22"/>
          <w:lang w:val="en-US"/>
        </w:rPr>
        <w:t xml:space="preserve"> VMD</w:t>
      </w:r>
      <w:r>
        <w:rPr>
          <w:rFonts w:ascii="Calibri" w:eastAsia="Calibri" w:hAnsi="Calibri" w:cs="Calibri"/>
          <w:color w:val="000000" w:themeColor="text1"/>
          <w:sz w:val="22"/>
          <w:szCs w:val="22"/>
          <w:lang w:val="en-US"/>
        </w:rPr>
        <w:t>, while</w:t>
      </w:r>
      <w:r w:rsidRPr="009E3151">
        <w:rPr>
          <w:rFonts w:ascii="Calibri" w:eastAsia="Calibri" w:hAnsi="Calibri" w:cs="Calibri"/>
          <w:color w:val="000000" w:themeColor="text1"/>
          <w:sz w:val="22"/>
          <w:szCs w:val="22"/>
          <w:lang w:val="en-US"/>
        </w:rPr>
        <w:t xml:space="preserve"> </w:t>
      </w:r>
      <w:proofErr w:type="spellStart"/>
      <w:r>
        <w:rPr>
          <w:rFonts w:ascii="Calibri" w:eastAsia="Calibri" w:hAnsi="Calibri" w:cs="Calibri"/>
          <w:color w:val="000000" w:themeColor="text1"/>
          <w:sz w:val="22"/>
          <w:szCs w:val="22"/>
          <w:lang w:val="en-US"/>
        </w:rPr>
        <w:t>influenzavirus</w:t>
      </w:r>
      <w:proofErr w:type="spellEnd"/>
      <w:r w:rsidRPr="009E3151">
        <w:rPr>
          <w:rFonts w:ascii="Calibri" w:eastAsia="Calibri" w:hAnsi="Calibri" w:cs="Calibri"/>
          <w:color w:val="000000" w:themeColor="text1"/>
          <w:sz w:val="22"/>
          <w:szCs w:val="22"/>
          <w:lang w:val="en-US"/>
        </w:rPr>
        <w:t xml:space="preserve"> and RSV </w:t>
      </w:r>
      <w:r>
        <w:rPr>
          <w:rFonts w:ascii="Calibri" w:eastAsia="Calibri" w:hAnsi="Calibri" w:cs="Calibri"/>
          <w:color w:val="000000" w:themeColor="text1"/>
          <w:sz w:val="22"/>
          <w:szCs w:val="22"/>
          <w:lang w:val="en-US"/>
        </w:rPr>
        <w:t>were more common</w:t>
      </w:r>
      <w:r w:rsidRPr="009E3151">
        <w:rPr>
          <w:rFonts w:ascii="Calibri" w:eastAsia="Calibri" w:hAnsi="Calibri" w:cs="Calibri"/>
          <w:color w:val="000000" w:themeColor="text1"/>
          <w:sz w:val="22"/>
          <w:szCs w:val="22"/>
          <w:lang w:val="en-US"/>
        </w:rPr>
        <w:t xml:space="preserve"> in sentinel surveillance</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The viruses </w:t>
      </w:r>
      <w:r>
        <w:rPr>
          <w:rFonts w:ascii="Calibri" w:eastAsia="Calibri" w:hAnsi="Calibri" w:cs="Calibri"/>
          <w:color w:val="000000" w:themeColor="text1"/>
          <w:sz w:val="22"/>
          <w:szCs w:val="22"/>
          <w:lang w:val="en-US"/>
        </w:rPr>
        <w:t>that commonly</w:t>
      </w:r>
      <w:r w:rsidRPr="009E3151">
        <w:rPr>
          <w:rFonts w:ascii="Calibri" w:eastAsia="Calibri" w:hAnsi="Calibri" w:cs="Calibri"/>
          <w:color w:val="000000" w:themeColor="text1"/>
          <w:sz w:val="22"/>
          <w:szCs w:val="22"/>
          <w:lang w:val="en-US"/>
        </w:rPr>
        <w:t xml:space="preserve"> cause symptoms in the general population therefore appear to differ from those that prompt individuals to visit a doctor, though differing demographics and testing thresholds also likely plays in.</w:t>
      </w:r>
    </w:p>
    <w:p w14:paraId="1D18D66E" w14:textId="6D12D992" w:rsidR="003168B5" w:rsidRPr="009E3151" w:rsidRDefault="003168B5" w:rsidP="003168B5">
      <w:pPr>
        <w:rPr>
          <w:rFonts w:ascii="Calibri" w:eastAsia="Calibri" w:hAnsi="Calibri" w:cs="Calibri"/>
          <w:color w:val="000000" w:themeColor="text1"/>
          <w:sz w:val="22"/>
          <w:szCs w:val="22"/>
          <w:lang w:val="en-US"/>
        </w:rPr>
      </w:pPr>
      <w:r>
        <w:rPr>
          <w:rFonts w:ascii="Calibri" w:eastAsia="Calibri" w:hAnsi="Calibri" w:cs="Calibri"/>
          <w:color w:val="000000" w:themeColor="text1"/>
          <w:sz w:val="22"/>
          <w:szCs w:val="22"/>
          <w:lang w:val="en-US"/>
        </w:rPr>
        <w:t>T</w:t>
      </w:r>
      <w:r w:rsidRPr="00231BA7">
        <w:rPr>
          <w:rFonts w:ascii="Calibri" w:eastAsia="Calibri" w:hAnsi="Calibri" w:cs="Calibri"/>
          <w:color w:val="000000" w:themeColor="text1"/>
          <w:sz w:val="22"/>
          <w:szCs w:val="22"/>
          <w:lang w:val="en-US"/>
        </w:rPr>
        <w:t>he Dutch Infectieradar</w:t>
      </w:r>
      <w:r w:rsidRPr="009E3151">
        <w:rPr>
          <w:rFonts w:ascii="Calibri" w:eastAsia="Calibri" w:hAnsi="Calibri" w:cs="Calibri"/>
          <w:color w:val="000000" w:themeColor="text1"/>
          <w:sz w:val="22"/>
          <w:szCs w:val="22"/>
          <w:lang w:val="en-US"/>
        </w:rPr>
        <w:fldChar w:fldCharType="begin" w:fldLock="1"/>
      </w:r>
      <w:r w:rsidR="00C649AA">
        <w:rPr>
          <w:rFonts w:ascii="Calibri" w:eastAsia="Calibri" w:hAnsi="Calibri" w:cs="Calibri"/>
          <w:color w:val="000000" w:themeColor="text1"/>
          <w:sz w:val="22"/>
          <w:szCs w:val="22"/>
          <w:lang w:val="en-US"/>
        </w:rPr>
        <w:instrText>ADDIN CSL_CITATION {"citationItems":[{"id":"ITEM-1","itemData":{"URL":"https://www.infectieradar.nl/results","accessed":{"date-parts":[["2024","12","12"]]},"id":"ITEM-1","issued":{"date-parts":[["0"]]},"title":"Infectieradar","type":"webpage"},"uris":["http://www.mendeley.com/documents/?uuid=f71735e5-e54f-3425-8219-6fab64be3dd8"]}],"mendeley":{"formattedCitation":"&lt;sup&gt;18&lt;/sup&gt;","plainTextFormattedCitation":"18","previouslyFormattedCitation":"&lt;sup&gt;18&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00C649AA" w:rsidRPr="00C649AA">
        <w:rPr>
          <w:rFonts w:ascii="Calibri" w:eastAsia="Calibri" w:hAnsi="Calibri" w:cs="Calibri"/>
          <w:noProof/>
          <w:color w:val="000000" w:themeColor="text1"/>
          <w:sz w:val="22"/>
          <w:szCs w:val="22"/>
          <w:vertAlign w:val="superscript"/>
          <w:lang w:val="en-US"/>
        </w:rPr>
        <w:t>18</w:t>
      </w:r>
      <w:r w:rsidRPr="009E3151">
        <w:rPr>
          <w:rFonts w:ascii="Calibri" w:eastAsia="Calibri" w:hAnsi="Calibri" w:cs="Calibri"/>
          <w:color w:val="000000" w:themeColor="text1"/>
          <w:sz w:val="22"/>
          <w:szCs w:val="22"/>
          <w:lang w:val="en-US"/>
        </w:rPr>
        <w:fldChar w:fldCharType="end"/>
      </w:r>
      <w:r>
        <w:rPr>
          <w:rFonts w:ascii="Calibri" w:eastAsia="Calibri" w:hAnsi="Calibri" w:cs="Calibri"/>
          <w:color w:val="000000" w:themeColor="text1"/>
          <w:sz w:val="22"/>
          <w:szCs w:val="22"/>
          <w:lang w:val="en-US"/>
        </w:rPr>
        <w:t xml:space="preserve"> system, </w:t>
      </w:r>
      <w:r w:rsidRPr="009E3151">
        <w:rPr>
          <w:rFonts w:ascii="Calibri" w:eastAsia="Calibri" w:hAnsi="Calibri" w:cs="Calibri"/>
          <w:color w:val="000000" w:themeColor="text1"/>
          <w:sz w:val="22"/>
          <w:szCs w:val="22"/>
          <w:lang w:val="en-US"/>
        </w:rPr>
        <w:t xml:space="preserve">similar to VMD, </w:t>
      </w:r>
      <w:r>
        <w:rPr>
          <w:rFonts w:ascii="Calibri" w:eastAsia="Calibri" w:hAnsi="Calibri" w:cs="Calibri"/>
          <w:color w:val="000000" w:themeColor="text1"/>
          <w:sz w:val="22"/>
          <w:szCs w:val="22"/>
          <w:lang w:val="en-US"/>
        </w:rPr>
        <w:t>also</w:t>
      </w:r>
      <w:r w:rsidRPr="009E3151">
        <w:rPr>
          <w:rFonts w:ascii="Calibri" w:eastAsia="Calibri" w:hAnsi="Calibri" w:cs="Calibri"/>
          <w:color w:val="000000" w:themeColor="text1"/>
          <w:sz w:val="22"/>
          <w:szCs w:val="22"/>
          <w:lang w:val="en-US"/>
        </w:rPr>
        <w:t xml:space="preserve"> observed a SARS-CoV-2 peak</w:t>
      </w:r>
      <w:r>
        <w:rPr>
          <w:rFonts w:ascii="Calibri" w:eastAsia="Calibri" w:hAnsi="Calibri" w:cs="Calibri"/>
          <w:color w:val="000000" w:themeColor="text1"/>
          <w:sz w:val="22"/>
          <w:szCs w:val="22"/>
          <w:lang w:val="en-US"/>
        </w:rPr>
        <w:t xml:space="preserve"> in late </w:t>
      </w:r>
      <w:r w:rsidRPr="009E3151">
        <w:rPr>
          <w:rFonts w:ascii="Calibri" w:eastAsia="Calibri" w:hAnsi="Calibri" w:cs="Calibri"/>
          <w:color w:val="000000" w:themeColor="text1"/>
          <w:sz w:val="22"/>
          <w:szCs w:val="22"/>
          <w:lang w:val="en-US"/>
        </w:rPr>
        <w:t xml:space="preserve">2023, albeit </w:t>
      </w:r>
      <w:r>
        <w:rPr>
          <w:rFonts w:ascii="Calibri" w:eastAsia="Calibri" w:hAnsi="Calibri" w:cs="Calibri"/>
          <w:color w:val="000000" w:themeColor="text1"/>
          <w:sz w:val="22"/>
          <w:szCs w:val="22"/>
          <w:lang w:val="en-US"/>
        </w:rPr>
        <w:t>smaller in</w:t>
      </w:r>
      <w:r w:rsidRPr="009E3151">
        <w:rPr>
          <w:rFonts w:ascii="Calibri" w:eastAsia="Calibri" w:hAnsi="Calibri" w:cs="Calibri"/>
          <w:color w:val="000000" w:themeColor="text1"/>
          <w:sz w:val="22"/>
          <w:szCs w:val="22"/>
          <w:lang w:val="en-US"/>
        </w:rPr>
        <w:t xml:space="preserve"> magnitude than VMD. </w:t>
      </w:r>
      <w:r w:rsidRPr="0057439A">
        <w:rPr>
          <w:rFonts w:ascii="Calibri" w:eastAsia="Calibri" w:hAnsi="Calibri" w:cs="Calibri"/>
          <w:color w:val="000000" w:themeColor="text1"/>
          <w:sz w:val="22"/>
          <w:szCs w:val="22"/>
          <w:lang w:val="en-US"/>
        </w:rPr>
        <w:t>Both systems observed a summer resurgence, with VMD again showing higher positivity rates.</w:t>
      </w:r>
      <w:r w:rsidRPr="009E3151">
        <w:rPr>
          <w:rFonts w:ascii="Calibri" w:eastAsia="Calibri" w:hAnsi="Calibri" w:cs="Calibri"/>
          <w:sz w:val="22"/>
          <w:szCs w:val="22"/>
          <w:lang w:val="en-US"/>
        </w:rPr>
        <w:t xml:space="preserve"> </w:t>
      </w:r>
      <w:proofErr w:type="spellStart"/>
      <w:r>
        <w:rPr>
          <w:rFonts w:ascii="Calibri" w:eastAsia="Calibri" w:hAnsi="Calibri" w:cs="Calibri"/>
          <w:sz w:val="22"/>
          <w:szCs w:val="22"/>
          <w:lang w:val="en-US"/>
        </w:rPr>
        <w:t>Influenzavirus</w:t>
      </w:r>
      <w:proofErr w:type="spellEnd"/>
      <w:r w:rsidRPr="009E3151">
        <w:rPr>
          <w:rFonts w:ascii="Calibri" w:eastAsia="Calibri" w:hAnsi="Calibri" w:cs="Calibri"/>
          <w:sz w:val="22"/>
          <w:szCs w:val="22"/>
          <w:lang w:val="en-US"/>
        </w:rPr>
        <w:t xml:space="preserve"> A peaked in both </w:t>
      </w:r>
      <w:r>
        <w:rPr>
          <w:rFonts w:ascii="Calibri" w:eastAsia="Calibri" w:hAnsi="Calibri" w:cs="Calibri"/>
          <w:sz w:val="22"/>
          <w:szCs w:val="22"/>
          <w:lang w:val="en-US"/>
        </w:rPr>
        <w:t>systems</w:t>
      </w:r>
      <w:r w:rsidRPr="009E3151">
        <w:rPr>
          <w:rFonts w:ascii="Calibri" w:eastAsia="Calibri" w:hAnsi="Calibri" w:cs="Calibri"/>
          <w:sz w:val="22"/>
          <w:szCs w:val="22"/>
          <w:lang w:val="en-US"/>
        </w:rPr>
        <w:t xml:space="preserve"> in week 4, 2024. Rhinovirus</w:t>
      </w:r>
      <w:r w:rsidR="005C1DCD">
        <w:rPr>
          <w:rFonts w:ascii="Calibri" w:eastAsia="Calibri" w:hAnsi="Calibri" w:cs="Calibri"/>
          <w:sz w:val="22"/>
          <w:szCs w:val="22"/>
          <w:lang w:val="en-US"/>
        </w:rPr>
        <w:t xml:space="preserve"> was</w:t>
      </w:r>
      <w:r w:rsidRPr="009E3151">
        <w:rPr>
          <w:rFonts w:ascii="Calibri" w:eastAsia="Calibri" w:hAnsi="Calibri" w:cs="Calibri"/>
          <w:sz w:val="22"/>
          <w:szCs w:val="22"/>
          <w:lang w:val="en-US"/>
        </w:rPr>
        <w:t xml:space="preserve"> </w:t>
      </w:r>
      <w:r w:rsidRPr="009E3151">
        <w:rPr>
          <w:rFonts w:ascii="Calibri" w:eastAsia="Calibri" w:hAnsi="Calibri" w:cs="Calibri"/>
          <w:color w:val="000000" w:themeColor="text1"/>
          <w:sz w:val="22"/>
          <w:szCs w:val="22"/>
          <w:lang w:val="en-US"/>
        </w:rPr>
        <w:t xml:space="preserve">dominant in </w:t>
      </w:r>
      <w:proofErr w:type="spellStart"/>
      <w:r w:rsidRPr="009E3151">
        <w:rPr>
          <w:rFonts w:ascii="Calibri" w:eastAsia="Calibri" w:hAnsi="Calibri" w:cs="Calibri"/>
          <w:color w:val="000000" w:themeColor="text1"/>
          <w:sz w:val="22"/>
          <w:szCs w:val="22"/>
          <w:lang w:val="en-US"/>
        </w:rPr>
        <w:t>Infectieradar</w:t>
      </w:r>
      <w:proofErr w:type="spellEnd"/>
      <w:r w:rsidRPr="003663EA">
        <w:rPr>
          <w:lang w:val="en-US"/>
        </w:rPr>
        <w:t>, with no clear seasonality</w:t>
      </w:r>
      <w:r>
        <w:rPr>
          <w:rFonts w:ascii="Calibri" w:eastAsia="Calibri" w:hAnsi="Calibri" w:cs="Calibri"/>
          <w:color w:val="000000" w:themeColor="text1"/>
          <w:sz w:val="22"/>
          <w:szCs w:val="22"/>
          <w:lang w:val="en-US"/>
        </w:rPr>
        <w:t>, as seen in VMD</w:t>
      </w:r>
      <w:r w:rsidRPr="009E3151">
        <w:rPr>
          <w:rFonts w:ascii="Calibri" w:eastAsia="Calibri" w:hAnsi="Calibri" w:cs="Calibri"/>
          <w:color w:val="000000" w:themeColor="text1"/>
          <w:sz w:val="22"/>
          <w:szCs w:val="22"/>
          <w:lang w:val="en-US"/>
        </w:rPr>
        <w:t>.</w:t>
      </w:r>
    </w:p>
    <w:p w14:paraId="5CE6EAAA"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 xml:space="preserve">Comparing symptoms across time, viruses and variants </w:t>
      </w:r>
      <w:r w:rsidRPr="009E3151">
        <w:rPr>
          <w:rFonts w:ascii="Calibri" w:eastAsia="Calibri" w:hAnsi="Calibri" w:cs="Calibri"/>
          <w:color w:val="000000" w:themeColor="text1"/>
          <w:sz w:val="22"/>
          <w:szCs w:val="22"/>
          <w:lang w:val="en-US"/>
        </w:rPr>
        <w:t xml:space="preserve"> </w:t>
      </w:r>
    </w:p>
    <w:p w14:paraId="21C55826" w14:textId="1B21653B"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lastRenderedPageBreak/>
        <w:t xml:space="preserve">SARS-CoV-2 </w:t>
      </w:r>
      <w:r>
        <w:rPr>
          <w:rFonts w:ascii="Calibri" w:eastAsia="Calibri" w:hAnsi="Calibri" w:cs="Calibri"/>
          <w:color w:val="000000" w:themeColor="text1"/>
          <w:sz w:val="22"/>
          <w:szCs w:val="22"/>
          <w:lang w:val="en-US"/>
        </w:rPr>
        <w:t>symptoms were</w:t>
      </w:r>
      <w:r w:rsidRPr="009E3151">
        <w:rPr>
          <w:rFonts w:ascii="Calibri" w:eastAsia="Calibri" w:hAnsi="Calibri" w:cs="Calibri"/>
          <w:color w:val="000000" w:themeColor="text1"/>
          <w:sz w:val="22"/>
          <w:szCs w:val="22"/>
          <w:lang w:val="en-US"/>
        </w:rPr>
        <w:t xml:space="preserve"> intermediate between </w:t>
      </w:r>
      <w:proofErr w:type="spellStart"/>
      <w:r>
        <w:rPr>
          <w:rFonts w:ascii="Calibri" w:eastAsia="Calibri" w:hAnsi="Calibri" w:cs="Calibri"/>
          <w:color w:val="000000" w:themeColor="text1"/>
          <w:sz w:val="22"/>
          <w:szCs w:val="22"/>
          <w:lang w:val="en-US"/>
        </w:rPr>
        <w:t>influenzavirus</w:t>
      </w:r>
      <w:proofErr w:type="spellEnd"/>
      <w:r w:rsidRPr="009E3151">
        <w:rPr>
          <w:rFonts w:ascii="Calibri" w:eastAsia="Calibri" w:hAnsi="Calibri" w:cs="Calibri"/>
          <w:color w:val="000000" w:themeColor="text1"/>
          <w:sz w:val="22"/>
          <w:szCs w:val="22"/>
          <w:lang w:val="en-US"/>
        </w:rPr>
        <w:t xml:space="preserve"> A virus and the other respiratory viruses</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similar to</w:t>
      </w:r>
      <w:r w:rsidRPr="009E3151">
        <w:rPr>
          <w:rFonts w:ascii="Calibri" w:eastAsia="Calibri" w:hAnsi="Calibri" w:cs="Calibri"/>
          <w:color w:val="000000" w:themeColor="text1"/>
          <w:sz w:val="22"/>
          <w:szCs w:val="22"/>
          <w:lang w:val="en-US"/>
        </w:rPr>
        <w:t xml:space="preserve"> previous discriptions</w:t>
      </w:r>
      <w:r w:rsidRPr="009E3151">
        <w:rPr>
          <w:rFonts w:ascii="Calibri" w:eastAsia="Calibri" w:hAnsi="Calibri" w:cs="Calibri"/>
          <w:color w:val="000000" w:themeColor="text1"/>
          <w:sz w:val="22"/>
          <w:szCs w:val="22"/>
          <w:lang w:val="en-US"/>
        </w:rPr>
        <w:fldChar w:fldCharType="begin" w:fldLock="1"/>
      </w:r>
      <w:r w:rsidR="00C649AA">
        <w:rPr>
          <w:rFonts w:ascii="Calibri" w:eastAsia="Calibri" w:hAnsi="Calibri" w:cs="Calibri"/>
          <w:color w:val="000000" w:themeColor="text1"/>
          <w:sz w:val="22"/>
          <w:szCs w:val="22"/>
          <w:lang w:val="en-US"/>
        </w:rPr>
        <w:instrText>ADDIN CSL_CITATION {"citationItems":[{"id":"ITEM-1","itemData":{"URL":"https://www.mayoclinic.org/diseases-conditions/coronavirus/in-depth/covid-19-cold-flu-and-allergies-differences/art-20503981","accessed":{"date-parts":[["2024","12","12"]]},"id":"ITEM-1","issued":{"date-parts":[["0"]]},"title":"COVID-19, cold, allergies and the flu: What are the differences? - Mayo Clinic","type":"webpage"},"uris":["http://www.mendeley.com/documents/?uuid=97d959c3-ab09-32b6-83e0-819bd963a1d9"]},{"id":"ITEM-2","itemData":{"DOI":"10.1007/S00508-020-01760-4","ISSN":"16137671","PMID":"33242148","abstract":"Clinical manifestations of COVID-19 are varied in the general population. This study aimed to systematize the literature regarding clinical manifestations of patients with confirmed COVID-19. A systematic review of the literature was conducted. A total of 8070 scientific productions were found in the databases. Among the studies, 184 met the initial inclusion criteria, with a total of 114,046 patients. After complete reading, 32 studies that did not report clinical manifestations were excluded. The 152 publications finally included a total of 41,409 individuals from at least 23 countries and 26 different clinical manifestations were reported. In percentage terms, 6 symptoms had a general prevalence greater than or equal to 25%, namely, fever (58.66%), cough (54.52%), dyspnea (30.82%), malaise (29.75%), fatigue (28.16%) and sputum/secretion (25.33%). Neurological symptoms (20.82%), dermatological manifestations (20.45%), anorexia (20.26%), myalgia (16.9%), sneezing (14.71%), sore throat (14.41%), rhinitis (14.29%), goosebumps (13.49%), headache (12.17%), chest pain (11.49%) and diarrhea (9.59%) were other common symptoms. Only one study reported dermatological manifestations. The least frequent sign/symptom was hemoptysis (1.65%). In studies with more than 100 patients, the 3 main symptoms were fever (57.93%), cough (54.21%), and dyspnea (30.64%). Dermatological manifestations do not appear among the main symptoms. The identification of all clinical manifestations of COVID-19 is essential for an early diagnosis and the adoption of preventive measures.","author":[{"dropping-particle":"","family":"Rosa Mesquita","given":"Rodrigo","non-dropping-particle":"da","parse-names":false,"suffix":""},{"dropping-particle":"","family":"Francelino Silva Junior","given":"Luiz Carlos","non-dropping-particle":"","parse-names":false,"suffix":""},{"dropping-particle":"","family":"Santos Santana","given":"Fernanda Mayara","non-dropping-particle":"","parse-names":false,"suffix":""},{"dropping-particle":"","family":"Farias de Oliveira","given":"Tatiana","non-dropping-particle":"","parse-names":false,"suffix":""},{"dropping-particle":"","family":"Campos Alcântara","given":"Rafaela","non-dropping-particle":"","parse-names":false,"suffix":""},{"dropping-particle":"","family":"Monteiro Arnozo","given":"Gabriel","non-dropping-particle":"","parse-names":false,"suffix":""},{"dropping-particle":"","family":"Rodrigues da Silva Filho","given":"Etvaldo","non-dropping-particle":"","parse-names":false,"suffix":""},{"dropping-particle":"","family":"Galdino dos Santos","given":"Aisla Graciele","non-dropping-particle":"","parse-names":false,"suffix":""},{"dropping-particle":"","family":"Oliveira da Cunha","given":"Euclides José","non-dropping-particle":"","parse-names":false,"suffix":""},{"dropping-particle":"","family":"Salgueiro de Aquino","given":"Saulo Henrique","non-dropping-particle":"","parse-names":false,"suffix":""},{"dropping-particle":"","family":"Freire de Souza","given":"Carlos Dornels","non-dropping-particle":"","parse-names":false,"suffix":""}],"container-title":"Wiener Klinische Wochenschrift","id":"ITEM-2","issue":"7-8","issued":{"date-parts":[["2020","4","1"]]},"page":"377","publisher":"Springer","title":"Clinical manifestations of COVID-19 in the general population: systematic review","type":"article-journal","volume":"133"},"uris":["http://www.mendeley.com/documents/?uuid=45b1dd8c-31bc-3d22-92d5-86cde03ad895"]}],"mendeley":{"formattedCitation":"&lt;sup&gt;19,20&lt;/sup&gt;","plainTextFormattedCitation":"19,20","previouslyFormattedCitation":"&lt;sup&gt;19,20&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00C649AA" w:rsidRPr="00C649AA">
        <w:rPr>
          <w:rFonts w:ascii="Calibri" w:eastAsia="Calibri" w:hAnsi="Calibri" w:cs="Calibri"/>
          <w:noProof/>
          <w:color w:val="000000" w:themeColor="text1"/>
          <w:sz w:val="22"/>
          <w:szCs w:val="22"/>
          <w:vertAlign w:val="superscript"/>
          <w:lang w:val="en-US"/>
        </w:rPr>
        <w:t>19,20</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Sequencing of SARS-CoV-2 allowed for further evaluation of symptoms associated with circulating variants, which was of importance for the initial risk assessment at the emergence of the JN.1 variant</w:t>
      </w:r>
      <w:r w:rsidRPr="009E3151">
        <w:rPr>
          <w:rFonts w:ascii="Calibri" w:eastAsia="Calibri" w:hAnsi="Calibri" w:cs="Calibri"/>
          <w:color w:val="000000" w:themeColor="text1"/>
          <w:sz w:val="22"/>
          <w:szCs w:val="22"/>
          <w:lang w:val="en-US"/>
        </w:rPr>
        <w:fldChar w:fldCharType="begin" w:fldLock="1"/>
      </w:r>
      <w:r w:rsidR="00C649AA">
        <w:rPr>
          <w:rFonts w:ascii="Calibri" w:eastAsia="Calibri" w:hAnsi="Calibri" w:cs="Calibri"/>
          <w:color w:val="000000" w:themeColor="text1"/>
          <w:sz w:val="22"/>
          <w:szCs w:val="22"/>
          <w:lang w:val="en-US"/>
        </w:rPr>
        <w:instrText>ADDIN CSL_CITATION {"citationItems":[{"id":"ITEM-1","itemData":{"DOI":"10.1016/S1473-3099(24)00220-2","ISSN":"14744457","PMID":"38761806","abstract":"Background: During the 2023 Danish COVID-19 vaccination campaign, an updated monovalent mRNA vaccine targeting the SARS-CoV-2 omicron XBB.1.5 subvariant was administered. However, the rapid spread of a genetically divergent omicron BA.2.86 subvariant, JN.1, since September, 2023, poses potential challenges due to its rapid dominance and possible immune escape. Using national electronic health registry data from all regions of Denmark, we aimed to investigate whether the SARS-CoV-2 subvariant BA.2.86, and its descendant JN.1, differed from other circulating variants in terms of their ability to escape vaccine protection, the risk of infection leading to severe disease, and self-reported symptoms among infected people. Methods: In this observational study, we included all residents of Denmark aged 65 years and older who tested positive for SARS-CoV-2 by PCR between Oct 1 and Dec 31, 2023, and for whom genomic data on the SARS-CoV-2 variant that had caused their infection were available. Data from clinical testing, sentinel, and self-sampling-based surveillance were linked with national electronic civil, vaccination, and hospitalisation registers. The relative protection of the XBB.1.5 updated COVID-19 vaccine against BA.2.86 infections versus infections with other variants was analysed in a case-only study, and the relative risk of hospitalisation in people infected with BA.2.86 versus other variants was analysed in a case–control study. Both analyses were adjusted for time, comorbidities, and previous vaccination history, among other potential confounders. Additionally, prevalence patterns in self-reported symptoms among people of all ages infected with SARS-CoV-2 were reported separately by subvariant. Findings: Of the 7581 people in Denmark aged 65 years or older who tested positive for SARS-CoV-2 by PCR during the study period, 5882 (78%) samples were eligible for sequencing. 3862 (66%) of these passed quality control, were successfully sequenced, and the SARS-CoV-2 variant and subvariant identified, and these individuals were included in the study. Of these 3862 people, 2184 (57%) were infected with the BA.2.86 subvariant, including 1615 JN.1 infections. Participants infected with BA.2.86 had 1·52 (95% CI 1·25–1·86) times the odds, and those infected with JN.1 had 1·60 (1·27–2·02) times the odds, of having received the XBB.1.5 vaccine at least 7 days before their infection compared with participants infected with a non-BA.2.86 variant. The severity a…","author":[{"dropping-particle":"","family":"Moustsen-Helms","given":"Ida Rask","non-dropping-particle":"","parse-names":false,"suffix":""},{"dropping-particle":"","family":"Bager","given":"Peter","non-dropping-particle":"","parse-names":false,"suffix":""},{"dropping-particle":"","family":"Larsen","given":"Tine Graakjær","non-dropping-particle":"","parse-names":false,"suffix":""},{"dropping-particle":"","family":"Møller","given":"Frederik Trier","non-dropping-particle":"","parse-names":false,"suffix":""},{"dropping-particle":"","family":"Vestergaard","given":"Lasse Skafte","non-dropping-particle":"","parse-names":false,"suffix":""},{"dropping-particle":"","family":"Rasmussen","given":"Morten","non-dropping-particle":"","parse-names":false,"suffix":""},{"dropping-particle":"","family":"Hansen","given":"Christian Holm","non-dropping-particle":"","parse-names":false,"suffix":""},{"dropping-particle":"","family":"Christiansen","given":"Lasse Engbo","non-dropping-particle":"","parse-names":false,"suffix":""},{"dropping-particle":"","family":"Gubbels","given":"Sophie","non-dropping-particle":"","parse-names":false,"suffix":""},{"dropping-particle":"","family":"Trebbien","given":"Ramona","non-dropping-particle":"","parse-names":false,"suffix":""},{"dropping-particle":"","family":"Westergaard","given":"Casper","non-dropping-particle":"","parse-names":false,"suffix":""},{"dropping-particle":"","family":"Escobar-Herrera","given":"Leandro Andrés","non-dropping-particle":"","parse-names":false,"suffix":""},{"dropping-particle":"","family":"Gunalan","given":"Vithiagaran","non-dropping-particle":"","parse-names":false,"suffix":""},{"dropping-particle":"","family":"Ring","given":"Aleksander","non-dropping-particle":"","parse-names":false,"suffix":""},{"dropping-particle":"","family":"Bennedbæk","given":"Marc","non-dropping-particle":"","parse-names":false,"suffix":""},{"dropping-particle":"","family":"Steenhard","given":"Nina","non-dropping-particle":"","parse-names":false,"suffix":""},{"dropping-particle":"","family":"Mørk Hartmann","given":"Esben","non-dropping-particle":"","parse-names":false,"suffix":""},{"dropping-particle":"","family":"Nielsen","given":"Lene","non-dropping-particle":"","parse-names":false,"suffix":""},{"dropping-particle":"","family":"Terp Andersen","given":"Dorte","non-dropping-particle":"","parse-names":false,"suffix":""},{"dropping-particle":"","family":"Thomsen","given":"Marianne Kragh","non-dropping-particle":"","parse-names":false,"suffix":""},{"dropping-particle":"","family":"Marmolin","given":"Ea Sofie","non-dropping-particle":"","parse-names":false,"suffix":""},{"dropping-particle":"","family":"Vognbjerg Sydenham","given":"Thomas","non-dropping-particle":"","parse-names":false,"suffix":""},{"dropping-particle":"","family":"Hoegh","given":"Silje Vermedal","non-dropping-particle":"","parse-names":false,"suffix":""},{"dropping-particle":"","family":"Pinholt","given":"Mette","non-dropping-particle":"","parse-names":false,"suffix":""},{"dropping-particle":"","family":"Møller","given":"Josefine Tange","non-dropping-particle":"","parse-names":false,"suffix":""},{"dropping-particle":"","family":"Vasehus Madsen","given":"Tina","non-dropping-particle":"","parse-names":false,"suffix":""},{"dropping-particle":"","family":"Fuglsang-Damgaard","given":"David","non-dropping-particle":"","parse-names":false,"suffix":""},{"dropping-particle":"","family":"Jokelainen","given":"Pikka","non-dropping-particle":"","parse-names":false,"suffix":""},{"dropping-particle":"","family":"Krause","given":"Tyra Grove","non-dropping-particle":"","parse-names":false,"suffix":""},{"dropping-particle":"","family":"Ullum","given":"Henrik","non-dropping-particle":"","parse-names":false,"suffix":""},{"dropping-particle":"","family":"Søborg","given":"Bolette","non-dropping-particle":"","parse-names":false,"suffix":""},{"dropping-particle":"","family":"Valentiner-Branth","given":"Palle","non-dropping-particle":"","parse-names":false,"suffix":""}],"container-title":"The Lancet Infectious Diseases","id":"ITEM-1","issue":"9","issued":{"date-parts":[["2024","9","1"]]},"page":"964-973","publisher":"Elsevier Ltd","title":"Relative vaccine protection, disease severity, and symptoms associated with the SARS-CoV-2 omicron subvariant BA.2.86 and descendant JN.1 in Denmark: a nationwide observational study","type":"article-journal","volume":"24"},"uris":["http://www.mendeley.com/documents/?uuid=61686b9b-12bd-34c1-961a-55fb461e81c1"]}],"mendeley":{"formattedCitation":"&lt;sup&gt;21&lt;/sup&gt;","plainTextFormattedCitation":"21","previouslyFormattedCitation":"&lt;sup&gt;21&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00C649AA" w:rsidRPr="00C649AA">
        <w:rPr>
          <w:rFonts w:ascii="Calibri" w:eastAsia="Calibri" w:hAnsi="Calibri" w:cs="Calibri"/>
          <w:noProof/>
          <w:color w:val="000000" w:themeColor="text1"/>
          <w:sz w:val="22"/>
          <w:szCs w:val="22"/>
          <w:vertAlign w:val="superscript"/>
          <w:lang w:val="en-US"/>
        </w:rPr>
        <w:t>21</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Current results from VMD suggest that the variants</w:t>
      </w:r>
      <w:r w:rsidRPr="00A7777E">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identified in VMD</w:t>
      </w:r>
      <w:r>
        <w:rPr>
          <w:rFonts w:ascii="Calibri" w:eastAsia="Calibri" w:hAnsi="Calibri" w:cs="Calibri"/>
          <w:color w:val="000000" w:themeColor="text1"/>
          <w:sz w:val="22"/>
          <w:szCs w:val="22"/>
          <w:lang w:val="en-US"/>
        </w:rPr>
        <w:t>, including the newer KP and XEC variants,</w:t>
      </w:r>
      <w:r w:rsidRPr="009E3151">
        <w:rPr>
          <w:rFonts w:ascii="Calibri" w:eastAsia="Calibri" w:hAnsi="Calibri" w:cs="Calibri"/>
          <w:color w:val="000000" w:themeColor="text1"/>
          <w:sz w:val="22"/>
          <w:szCs w:val="22"/>
          <w:lang w:val="en-US"/>
        </w:rPr>
        <w:t xml:space="preserve"> give rise to comparable symptom</w:t>
      </w:r>
      <w:r>
        <w:rPr>
          <w:rFonts w:ascii="Calibri" w:eastAsia="Calibri" w:hAnsi="Calibri" w:cs="Calibri"/>
          <w:color w:val="000000" w:themeColor="text1"/>
          <w:sz w:val="22"/>
          <w:szCs w:val="22"/>
          <w:lang w:val="en-US"/>
        </w:rPr>
        <w:t>s</w:t>
      </w:r>
      <w:r w:rsidRPr="009E3151">
        <w:rPr>
          <w:rFonts w:ascii="Calibri" w:eastAsia="Calibri" w:hAnsi="Calibri" w:cs="Calibri"/>
          <w:color w:val="000000" w:themeColor="text1"/>
          <w:sz w:val="22"/>
          <w:szCs w:val="22"/>
          <w:lang w:val="en-US"/>
        </w:rPr>
        <w:t xml:space="preserve">. </w:t>
      </w:r>
    </w:p>
    <w:p w14:paraId="2AD35BDC" w14:textId="697D09E5"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The follow-up symptom questionnaire demonstrated a general decline in symptoms over time,</w:t>
      </w:r>
      <w:r>
        <w:rPr>
          <w:rFonts w:ascii="Calibri" w:eastAsia="Calibri" w:hAnsi="Calibri" w:cs="Calibri"/>
          <w:color w:val="000000" w:themeColor="text1"/>
          <w:sz w:val="22"/>
          <w:szCs w:val="22"/>
          <w:lang w:val="en-US"/>
        </w:rPr>
        <w:t xml:space="preserve"> but</w:t>
      </w:r>
      <w:r w:rsidRPr="009E3151">
        <w:rPr>
          <w:rFonts w:ascii="Calibri" w:eastAsia="Calibri" w:hAnsi="Calibri" w:cs="Calibri"/>
          <w:color w:val="000000" w:themeColor="text1"/>
          <w:sz w:val="22"/>
          <w:szCs w:val="22"/>
          <w:lang w:val="en-US"/>
        </w:rPr>
        <w:t xml:space="preserve"> provided limited novel insights</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highlight</w:t>
      </w:r>
      <w:r>
        <w:rPr>
          <w:rFonts w:ascii="Calibri" w:eastAsia="Calibri" w:hAnsi="Calibri" w:cs="Calibri"/>
          <w:color w:val="000000" w:themeColor="text1"/>
          <w:sz w:val="22"/>
          <w:szCs w:val="22"/>
          <w:lang w:val="en-US"/>
        </w:rPr>
        <w:t>ing</w:t>
      </w:r>
      <w:r w:rsidRPr="009E3151">
        <w:rPr>
          <w:rFonts w:ascii="Calibri" w:eastAsia="Calibri" w:hAnsi="Calibri" w:cs="Calibri"/>
          <w:color w:val="000000" w:themeColor="text1"/>
          <w:sz w:val="22"/>
          <w:szCs w:val="22"/>
          <w:lang w:val="en-US"/>
        </w:rPr>
        <w:t xml:space="preserve"> the </w:t>
      </w:r>
      <w:r>
        <w:rPr>
          <w:rFonts w:ascii="Calibri" w:eastAsia="Calibri" w:hAnsi="Calibri" w:cs="Calibri"/>
          <w:color w:val="000000" w:themeColor="text1"/>
          <w:sz w:val="22"/>
          <w:szCs w:val="22"/>
          <w:lang w:val="en-US"/>
        </w:rPr>
        <w:t>challenges</w:t>
      </w:r>
      <w:r w:rsidRPr="009E3151">
        <w:rPr>
          <w:rFonts w:ascii="Calibri" w:eastAsia="Calibri" w:hAnsi="Calibri" w:cs="Calibri"/>
          <w:color w:val="000000" w:themeColor="text1"/>
          <w:sz w:val="22"/>
          <w:szCs w:val="22"/>
          <w:lang w:val="en-US"/>
        </w:rPr>
        <w:t xml:space="preserve"> in capturing the dynamic nature of symptoms associated with respiratory infectious diseases</w:t>
      </w:r>
      <w:r w:rsidRPr="009E3151">
        <w:rPr>
          <w:rFonts w:ascii="Calibri" w:eastAsia="Calibri" w:hAnsi="Calibri" w:cs="Calibri"/>
          <w:color w:val="000000" w:themeColor="text1"/>
          <w:sz w:val="22"/>
          <w:szCs w:val="22"/>
          <w:lang w:val="en-US"/>
        </w:rPr>
        <w:fldChar w:fldCharType="begin" w:fldLock="1"/>
      </w:r>
      <w:r w:rsidR="00C649AA">
        <w:rPr>
          <w:rFonts w:ascii="Calibri" w:eastAsia="Calibri" w:hAnsi="Calibri" w:cs="Calibri"/>
          <w:color w:val="000000" w:themeColor="text1"/>
          <w:sz w:val="22"/>
          <w:szCs w:val="22"/>
          <w:lang w:val="en-US"/>
        </w:rPr>
        <w:instrText>ADDIN CSL_CITATION {"citationItems":[{"id":"ITEM-1","itemData":{"DOI":"10.1111/IRV.13081","ISSN":"1750-2659","PMID":"36480419","abstract":"Background: Public health organizations have recommended various definitions of influenza-like illnesses under the assumption that the symptoms do not change during influenza virus infection. To explore the relationship between symptoms and influenza over time, we analyzed a dataset from an international multicenter prospective emergency department (ED)-based influenza-like illness cohort study. Methods: We recruited patients in the US and Taiwan between 2015 and 2020 with: (1) flu-like symptoms (fever and cough, headache, or sore throat), (2) absence of any of the respiratory infection symptoms, or (3) positive laboratory test results for influenza from the current ED visit. We evaluated the association between the symptoms and influenza virus infection on different days of illness. The association was evaluated among different subgroups, including different study countries, influenza subtypes, and only patients with influenza. Results: Among the 2471 recruited patients, 45.7% tested positive for influenza virus. Cough was the most predictive symptom throughout the week (odds ratios [OR]: 7.08–11.15). In general, all symptoms were more predictive during the first 2 days (OR: 1.55–10.28). Upper respiratory symptoms, such as sore throat and productive cough, and general symptoms, such as body ache and fatigue, were more predictive in the first half of the week (OR: 1.51–3.25). Lower respiratory symptoms, such as shortness of breath and wheezing, were more predictive in the second half of the week (OR: 1.52–2.52). Similar trends were observed for most symptoms in the different subgroups. Conclusions: The time course is an important factor to be considered when evaluating the symptoms of influenza virus infection.","author":[{"dropping-particle":"","family":"Li","given":"Jin Hua","non-dropping-particle":"","parse-names":false,"suffix":""},{"dropping-particle":"","family":"Wu","given":"Chin Chieh","non-dropping-particle":"","parse-names":false,"suffix":""},{"dropping-particle":"","family":"Tseng","given":"Yi Ju","non-dropping-particle":"","parse-names":false,"suffix":""},{"dropping-particle":"","family":"Han","given":"Shih Tsung","non-dropping-particle":"","parse-names":false,"suffix":""},{"dropping-particle":"","family":"Pekosz","given":"Andrew","non-dropping-particle":"","parse-names":false,"suffix":""},{"dropping-particle":"","family":"Rothman","given":"Richard","non-dropping-particle":"","parse-names":false,"suffix":""},{"dropping-particle":"","family":"Chen","given":"Kuan Fu","non-dropping-particle":"","parse-names":false,"suffix":""}],"container-title":"Influenza and other respiratory viruses","id":"ITEM-1","issue":"1","issued":{"date-parts":[["2023","1","1"]]},"publisher":"Influenza Other Respir Viruses","title":"Applying symptom dynamics to accurately predict influenza virus infection: An international multicenter influenza-like illness surveillance study","type":"article-journal","volume":"17"},"uris":["http://www.mendeley.com/documents/?uuid=594d20b1-d092-3a0a-8f86-cab1f0e77fa7"]}],"mendeley":{"formattedCitation":"&lt;sup&gt;22&lt;/sup&gt;","plainTextFormattedCitation":"22","previouslyFormattedCitation":"&lt;sup&gt;22&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00C649AA" w:rsidRPr="00C649AA">
        <w:rPr>
          <w:rFonts w:ascii="Calibri" w:eastAsia="Calibri" w:hAnsi="Calibri" w:cs="Calibri"/>
          <w:noProof/>
          <w:color w:val="000000" w:themeColor="text1"/>
          <w:sz w:val="22"/>
          <w:szCs w:val="22"/>
          <w:vertAlign w:val="superscript"/>
          <w:lang w:val="en-US"/>
        </w:rPr>
        <w:t>22</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xml:space="preserve">.  </w:t>
      </w:r>
    </w:p>
    <w:p w14:paraId="0977C74A"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 xml:space="preserve">Health seeking behavior </w:t>
      </w:r>
    </w:p>
    <w:p w14:paraId="5325167B" w14:textId="5ED2B9C7" w:rsidR="003168B5" w:rsidRDefault="003168B5" w:rsidP="003168B5">
      <w:pPr>
        <w:rPr>
          <w:rFonts w:ascii="Calibri" w:eastAsia="Calibri" w:hAnsi="Calibri" w:cs="Calibri"/>
          <w:color w:val="000000" w:themeColor="text1"/>
          <w:sz w:val="22"/>
          <w:szCs w:val="22"/>
          <w:lang w:val="en-US"/>
        </w:rPr>
      </w:pPr>
      <w:r>
        <w:rPr>
          <w:rFonts w:ascii="Calibri" w:eastAsia="Calibri" w:hAnsi="Calibri" w:cs="Calibri"/>
          <w:color w:val="000000" w:themeColor="text1"/>
          <w:sz w:val="22"/>
          <w:szCs w:val="22"/>
          <w:lang w:val="en-US"/>
        </w:rPr>
        <w:t>Few</w:t>
      </w:r>
      <w:r w:rsidRPr="009E3151">
        <w:rPr>
          <w:rFonts w:ascii="Calibri" w:eastAsia="Calibri" w:hAnsi="Calibri" w:cs="Calibri"/>
          <w:color w:val="000000" w:themeColor="text1"/>
          <w:sz w:val="22"/>
          <w:szCs w:val="22"/>
          <w:lang w:val="en-US"/>
        </w:rPr>
        <w:t xml:space="preserve"> </w:t>
      </w:r>
      <w:r w:rsidRPr="00234F27">
        <w:rPr>
          <w:rFonts w:ascii="Calibri" w:eastAsia="Calibri" w:hAnsi="Calibri" w:cs="Calibri"/>
          <w:color w:val="000000" w:themeColor="text1"/>
          <w:sz w:val="22"/>
          <w:szCs w:val="22"/>
          <w:lang w:val="en-US"/>
        </w:rPr>
        <w:t xml:space="preserve">participants contacted their doctor </w:t>
      </w:r>
      <w:r>
        <w:rPr>
          <w:rFonts w:ascii="Calibri" w:eastAsia="Calibri" w:hAnsi="Calibri" w:cs="Calibri"/>
          <w:color w:val="000000" w:themeColor="text1"/>
          <w:sz w:val="22"/>
          <w:szCs w:val="22"/>
          <w:lang w:val="en-US"/>
        </w:rPr>
        <w:t>after</w:t>
      </w:r>
      <w:r w:rsidRPr="00234F27">
        <w:rPr>
          <w:rFonts w:ascii="Calibri" w:eastAsia="Calibri" w:hAnsi="Calibri" w:cs="Calibri"/>
          <w:color w:val="000000" w:themeColor="text1"/>
          <w:sz w:val="22"/>
          <w:szCs w:val="22"/>
          <w:lang w:val="en-US"/>
        </w:rPr>
        <w:t xml:space="preserve"> VMD </w:t>
      </w:r>
      <w:r>
        <w:rPr>
          <w:rFonts w:ascii="Calibri" w:eastAsia="Calibri" w:hAnsi="Calibri" w:cs="Calibri"/>
          <w:color w:val="000000" w:themeColor="text1"/>
          <w:sz w:val="22"/>
          <w:szCs w:val="22"/>
          <w:lang w:val="en-US"/>
        </w:rPr>
        <w:t xml:space="preserve">test </w:t>
      </w:r>
      <w:r w:rsidRPr="00234F27">
        <w:rPr>
          <w:rFonts w:ascii="Calibri" w:eastAsia="Calibri" w:hAnsi="Calibri" w:cs="Calibri"/>
          <w:color w:val="000000" w:themeColor="text1"/>
          <w:sz w:val="22"/>
          <w:szCs w:val="22"/>
          <w:lang w:val="en-US"/>
        </w:rPr>
        <w:t xml:space="preserve">results, though some refrained from </w:t>
      </w:r>
      <w:r>
        <w:rPr>
          <w:rFonts w:ascii="Calibri" w:eastAsia="Calibri" w:hAnsi="Calibri" w:cs="Calibri"/>
          <w:color w:val="000000" w:themeColor="text1"/>
          <w:sz w:val="22"/>
          <w:szCs w:val="22"/>
          <w:lang w:val="en-US"/>
        </w:rPr>
        <w:t>doing so</w:t>
      </w:r>
      <w:r w:rsidRPr="00234F27">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 xml:space="preserve">after receiving their result. </w:t>
      </w:r>
      <w:r>
        <w:rPr>
          <w:rFonts w:ascii="Calibri" w:eastAsia="Calibri" w:hAnsi="Calibri" w:cs="Calibri"/>
          <w:color w:val="000000" w:themeColor="text1"/>
          <w:sz w:val="22"/>
          <w:szCs w:val="22"/>
          <w:lang w:val="en-US"/>
        </w:rPr>
        <w:t>Some</w:t>
      </w:r>
      <w:r w:rsidRPr="009E3151">
        <w:rPr>
          <w:rFonts w:ascii="Calibri" w:eastAsia="Calibri" w:hAnsi="Calibri" w:cs="Calibri"/>
          <w:color w:val="000000" w:themeColor="text1"/>
          <w:sz w:val="22"/>
          <w:szCs w:val="22"/>
          <w:lang w:val="en-US"/>
        </w:rPr>
        <w:t xml:space="preserve"> participants</w:t>
      </w:r>
      <w:r>
        <w:rPr>
          <w:rFonts w:ascii="Calibri" w:eastAsia="Calibri" w:hAnsi="Calibri" w:cs="Calibri"/>
          <w:color w:val="000000" w:themeColor="text1"/>
          <w:sz w:val="22"/>
          <w:szCs w:val="22"/>
          <w:lang w:val="en-US"/>
        </w:rPr>
        <w:t xml:space="preserve"> may</w:t>
      </w:r>
      <w:r w:rsidRPr="009E3151">
        <w:rPr>
          <w:rFonts w:ascii="Calibri" w:eastAsia="Calibri" w:hAnsi="Calibri" w:cs="Calibri"/>
          <w:color w:val="000000" w:themeColor="text1"/>
          <w:sz w:val="22"/>
          <w:szCs w:val="22"/>
          <w:lang w:val="en-US"/>
        </w:rPr>
        <w:t xml:space="preserve"> just</w:t>
      </w:r>
      <w:r>
        <w:rPr>
          <w:rFonts w:ascii="Calibri" w:eastAsia="Calibri" w:hAnsi="Calibri" w:cs="Calibri"/>
          <w:color w:val="000000" w:themeColor="text1"/>
          <w:sz w:val="22"/>
          <w:szCs w:val="22"/>
          <w:lang w:val="en-US"/>
        </w:rPr>
        <w:t xml:space="preserve"> have</w:t>
      </w:r>
      <w:r w:rsidRPr="009E3151">
        <w:rPr>
          <w:rFonts w:ascii="Calibri" w:eastAsia="Calibri" w:hAnsi="Calibri" w:cs="Calibri"/>
          <w:color w:val="000000" w:themeColor="text1"/>
          <w:sz w:val="22"/>
          <w:szCs w:val="22"/>
          <w:lang w:val="en-US"/>
        </w:rPr>
        <w:t xml:space="preserve"> wanted their doctor to perform a test on them, which they instead did themselves through VMD. </w:t>
      </w:r>
      <w:r>
        <w:rPr>
          <w:rFonts w:ascii="Calibri" w:eastAsia="Calibri" w:hAnsi="Calibri" w:cs="Calibri"/>
          <w:color w:val="000000" w:themeColor="text1"/>
          <w:sz w:val="22"/>
          <w:szCs w:val="22"/>
          <w:lang w:val="en-US"/>
        </w:rPr>
        <w:t>However, t</w:t>
      </w:r>
      <w:r w:rsidRPr="003663EA">
        <w:rPr>
          <w:rFonts w:ascii="Calibri" w:eastAsia="Calibri" w:hAnsi="Calibri" w:cs="Calibri"/>
          <w:color w:val="000000" w:themeColor="text1"/>
          <w:sz w:val="22"/>
          <w:szCs w:val="22"/>
          <w:lang w:val="en-US"/>
        </w:rPr>
        <w:t>his</w:t>
      </w:r>
      <w:r>
        <w:rPr>
          <w:rFonts w:ascii="Calibri" w:eastAsia="Calibri" w:hAnsi="Calibri" w:cs="Calibri"/>
          <w:color w:val="000000" w:themeColor="text1"/>
          <w:sz w:val="22"/>
          <w:szCs w:val="22"/>
          <w:lang w:val="en-US"/>
        </w:rPr>
        <w:t xml:space="preserve"> also</w:t>
      </w:r>
      <w:r w:rsidRPr="003663EA">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raises concerns</w:t>
      </w:r>
      <w:r w:rsidRPr="003663EA">
        <w:rPr>
          <w:rFonts w:ascii="Calibri" w:eastAsia="Calibri" w:hAnsi="Calibri" w:cs="Calibri"/>
          <w:color w:val="000000" w:themeColor="text1"/>
          <w:sz w:val="22"/>
          <w:szCs w:val="22"/>
          <w:lang w:val="en-US"/>
        </w:rPr>
        <w:t xml:space="preserve"> that </w:t>
      </w:r>
      <w:r w:rsidRPr="009E3151">
        <w:rPr>
          <w:rFonts w:ascii="Calibri" w:eastAsia="Calibri" w:hAnsi="Calibri" w:cs="Calibri"/>
          <w:color w:val="000000" w:themeColor="text1"/>
          <w:sz w:val="22"/>
          <w:szCs w:val="22"/>
          <w:lang w:val="en-US"/>
        </w:rPr>
        <w:t>participation in home</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test programs like VMD, where no clinician is involved in interpretation of symptoms and analysis results, might lead some participants to neglect symptoms requir</w:t>
      </w:r>
      <w:r>
        <w:rPr>
          <w:rFonts w:ascii="Calibri" w:eastAsia="Calibri" w:hAnsi="Calibri" w:cs="Calibri"/>
          <w:color w:val="000000" w:themeColor="text1"/>
          <w:sz w:val="22"/>
          <w:szCs w:val="22"/>
          <w:lang w:val="en-US"/>
        </w:rPr>
        <w:t>ing</w:t>
      </w:r>
      <w:r w:rsidRPr="009E3151">
        <w:rPr>
          <w:rFonts w:ascii="Calibri" w:eastAsia="Calibri" w:hAnsi="Calibri" w:cs="Calibri"/>
          <w:color w:val="000000" w:themeColor="text1"/>
          <w:sz w:val="22"/>
          <w:szCs w:val="22"/>
          <w:lang w:val="en-US"/>
        </w:rPr>
        <w:t xml:space="preserve"> medical evaluation</w:t>
      </w:r>
      <w:r w:rsidRPr="009E3151">
        <w:rPr>
          <w:rFonts w:ascii="Calibri" w:eastAsia="Calibri" w:hAnsi="Calibri" w:cs="Calibri"/>
          <w:color w:val="000000" w:themeColor="text1"/>
          <w:sz w:val="22"/>
          <w:szCs w:val="22"/>
          <w:lang w:val="en-US"/>
        </w:rPr>
        <w:fldChar w:fldCharType="begin" w:fldLock="1"/>
      </w:r>
      <w:r w:rsidR="00C649AA">
        <w:rPr>
          <w:rFonts w:ascii="Calibri" w:eastAsia="Calibri" w:hAnsi="Calibri" w:cs="Calibri"/>
          <w:color w:val="000000" w:themeColor="text1"/>
          <w:sz w:val="22"/>
          <w:szCs w:val="22"/>
          <w:lang w:val="en-US"/>
        </w:rPr>
        <w:instrText>ADDIN CSL_CITATION {"citationItems":[{"id":"ITEM-1","itemData":{"DOI":"10.1017/ASH.2022.307","ISSN":"2732-494X","abstract":"//static.cambridge.org/content/id/urn%3Acambridge.org%3Aid%3Aarticle%3AS2732494X22003072/resource/name/firstPage-pdf-S2732494X22003072a.jpg","author":[{"dropping-particle":"","family":"Adalja","given":"Amesh A.","non-dropping-particle":"","parse-names":false,"suffix":""}],"container-title":"Antimicrobial Stewardship &amp; Healthcare Epidemiology","id":"ITEM-1","issue":"1","issued":{"date-parts":[["2022","10","13"]]},"page":"e170","publisher":"Cambridge University Press","title":"At-home infectious disease testing: An idea whose time has come","type":"article-journal","volume":"2"},"uris":["http://www.mendeley.com/documents/?uuid=86043326-faca-3a6c-82bc-b99f03eef643"]}],"mendeley":{"formattedCitation":"&lt;sup&gt;23&lt;/sup&gt;","plainTextFormattedCitation":"23","previouslyFormattedCitation":"&lt;sup&gt;23&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00C649AA" w:rsidRPr="00C649AA">
        <w:rPr>
          <w:rFonts w:ascii="Calibri" w:eastAsia="Calibri" w:hAnsi="Calibri" w:cs="Calibri"/>
          <w:noProof/>
          <w:color w:val="000000" w:themeColor="text1"/>
          <w:sz w:val="22"/>
          <w:szCs w:val="22"/>
          <w:vertAlign w:val="superscript"/>
          <w:lang w:val="en-US"/>
        </w:rPr>
        <w:t>23</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xml:space="preserve">. </w:t>
      </w:r>
    </w:p>
    <w:p w14:paraId="50DC5A27" w14:textId="4C5E155C" w:rsidR="003168B5" w:rsidRPr="00E306DC" w:rsidRDefault="003168B5" w:rsidP="003168B5">
      <w:pPr>
        <w:rPr>
          <w:rFonts w:ascii="Calibri" w:eastAsia="Calibri" w:hAnsi="Calibri" w:cs="Calibri"/>
          <w:color w:val="000000" w:themeColor="text1"/>
          <w:sz w:val="22"/>
          <w:szCs w:val="22"/>
          <w:lang w:val="en-US"/>
        </w:rPr>
      </w:pPr>
      <w:r>
        <w:rPr>
          <w:rFonts w:ascii="Calibri" w:eastAsia="Calibri" w:hAnsi="Calibri" w:cs="Calibri"/>
          <w:color w:val="000000" w:themeColor="text1"/>
          <w:sz w:val="22"/>
          <w:szCs w:val="22"/>
          <w:lang w:val="en-US"/>
        </w:rPr>
        <w:t>S</w:t>
      </w:r>
      <w:r w:rsidRPr="00234F27">
        <w:rPr>
          <w:rFonts w:ascii="Calibri" w:eastAsia="Calibri" w:hAnsi="Calibri" w:cs="Calibri"/>
          <w:color w:val="000000" w:themeColor="text1"/>
          <w:sz w:val="22"/>
          <w:szCs w:val="22"/>
          <w:lang w:val="en-US"/>
        </w:rPr>
        <w:t xml:space="preserve">ome </w:t>
      </w:r>
      <w:r>
        <w:rPr>
          <w:rFonts w:ascii="Calibri" w:eastAsia="Calibri" w:hAnsi="Calibri" w:cs="Calibri"/>
          <w:color w:val="000000" w:themeColor="text1"/>
          <w:sz w:val="22"/>
          <w:szCs w:val="22"/>
          <w:lang w:val="en-US"/>
        </w:rPr>
        <w:t>participants</w:t>
      </w:r>
      <w:r w:rsidRPr="00234F27">
        <w:rPr>
          <w:rFonts w:ascii="Calibri" w:eastAsia="Calibri" w:hAnsi="Calibri" w:cs="Calibri"/>
          <w:color w:val="000000" w:themeColor="text1"/>
          <w:sz w:val="22"/>
          <w:szCs w:val="22"/>
          <w:lang w:val="en-US"/>
        </w:rPr>
        <w:t xml:space="preserve"> returned to work</w:t>
      </w:r>
      <w:r>
        <w:rPr>
          <w:rFonts w:ascii="Calibri" w:eastAsia="Calibri" w:hAnsi="Calibri" w:cs="Calibri"/>
          <w:color w:val="000000" w:themeColor="text1"/>
          <w:sz w:val="22"/>
          <w:szCs w:val="22"/>
          <w:lang w:val="en-US"/>
        </w:rPr>
        <w:t>/</w:t>
      </w:r>
      <w:r w:rsidRPr="00234F27">
        <w:rPr>
          <w:rFonts w:ascii="Calibri" w:eastAsia="Calibri" w:hAnsi="Calibri" w:cs="Calibri"/>
          <w:color w:val="000000" w:themeColor="text1"/>
          <w:sz w:val="22"/>
          <w:szCs w:val="22"/>
          <w:lang w:val="en-US"/>
        </w:rPr>
        <w:t xml:space="preserve">school after </w:t>
      </w:r>
      <w:r>
        <w:rPr>
          <w:rFonts w:ascii="Calibri" w:eastAsia="Calibri" w:hAnsi="Calibri" w:cs="Calibri"/>
          <w:color w:val="000000" w:themeColor="text1"/>
          <w:sz w:val="22"/>
          <w:szCs w:val="22"/>
          <w:lang w:val="en-US"/>
        </w:rPr>
        <w:t xml:space="preserve">a </w:t>
      </w:r>
      <w:r w:rsidRPr="00234F27">
        <w:rPr>
          <w:rFonts w:ascii="Calibri" w:eastAsia="Calibri" w:hAnsi="Calibri" w:cs="Calibri"/>
          <w:color w:val="000000" w:themeColor="text1"/>
          <w:sz w:val="22"/>
          <w:szCs w:val="22"/>
          <w:lang w:val="en-US"/>
        </w:rPr>
        <w:t>test results despite</w:t>
      </w:r>
      <w:r>
        <w:rPr>
          <w:rFonts w:ascii="Calibri" w:eastAsia="Calibri" w:hAnsi="Calibri" w:cs="Calibri"/>
          <w:color w:val="000000" w:themeColor="text1"/>
          <w:sz w:val="22"/>
          <w:szCs w:val="22"/>
          <w:lang w:val="en-US"/>
        </w:rPr>
        <w:t xml:space="preserve"> having</w:t>
      </w:r>
      <w:r w:rsidRPr="00234F27">
        <w:rPr>
          <w:rFonts w:ascii="Calibri" w:eastAsia="Calibri" w:hAnsi="Calibri" w:cs="Calibri"/>
          <w:color w:val="000000" w:themeColor="text1"/>
          <w:sz w:val="22"/>
          <w:szCs w:val="22"/>
          <w:lang w:val="en-US"/>
        </w:rPr>
        <w:t xml:space="preserve"> symptoms, </w:t>
      </w:r>
      <w:r>
        <w:rPr>
          <w:rFonts w:ascii="Calibri" w:eastAsia="Calibri" w:hAnsi="Calibri" w:cs="Calibri"/>
          <w:color w:val="000000" w:themeColor="text1"/>
          <w:sz w:val="22"/>
          <w:szCs w:val="22"/>
          <w:lang w:val="en-US"/>
        </w:rPr>
        <w:t xml:space="preserve">likely </w:t>
      </w:r>
      <w:r w:rsidRPr="00234F27">
        <w:rPr>
          <w:rFonts w:ascii="Calibri" w:eastAsia="Calibri" w:hAnsi="Calibri" w:cs="Calibri"/>
          <w:color w:val="000000" w:themeColor="text1"/>
          <w:sz w:val="22"/>
          <w:szCs w:val="22"/>
          <w:lang w:val="en-US"/>
        </w:rPr>
        <w:t>interpreting results as a “green light” to resume activities</w:t>
      </w:r>
      <w:r w:rsidRPr="009E3151">
        <w:rPr>
          <w:rFonts w:ascii="Calibri" w:eastAsia="Calibri" w:hAnsi="Calibri" w:cs="Calibri"/>
          <w:color w:val="000000" w:themeColor="text1"/>
          <w:sz w:val="22"/>
          <w:szCs w:val="22"/>
          <w:lang w:val="en-US"/>
        </w:rPr>
        <w:fldChar w:fldCharType="begin" w:fldLock="1"/>
      </w:r>
      <w:r w:rsidR="00C649AA">
        <w:rPr>
          <w:rFonts w:ascii="Calibri" w:eastAsia="Calibri" w:hAnsi="Calibri" w:cs="Calibri"/>
          <w:color w:val="000000" w:themeColor="text1"/>
          <w:sz w:val="22"/>
          <w:szCs w:val="22"/>
          <w:lang w:val="en-US"/>
        </w:rPr>
        <w:instrText>ADDIN CSL_CITATION {"citationItems":[{"id":"ITEM-1","itemData":{"DOI":"10.1093/PUBMED/FDAB010","ISSN":"1741-3842","PMID":"33558889","abstract":"Background Testing on demand for coronavirus disease (COVID-19) is hypothesized to increase spread of the virus as some persons who test negative falsely assume that they can engage in activities that increase spread. Methods Daily new COVID-19 hospitalization counts through 2020 from 25 countries that reported testing and hospitalizations were studied by regression of logarithms of new hospitalizations 14 days out against log(new hospitalizations on a given day), log(negative tests), log(positivity rate) and days since the first hospitalizations were reported. The regression coefficients were examined separately for periods in countries that were following three different testing policies. Results Corrected for the other factors, negative test numbers when tested on demand and tested if symptomatic only are associated with an increase in hospitalizations 14 days after the tests. When only the symptomatic and more vulnerable are tested, negative tests are associated with fewer hospitalizations 2 weeks out. Conclusions A policy of testing only vulnerable populations, whether symptomatic or not, appears to avoid spreading the virus as a result of testing policy. False confidence of reduced risk among those who test negative may have contributed to the spread in countries that allowed testing on demand or testing only those who claimed to have symptoms.","author":[{"dropping-particle":"","family":"Robertson","given":"Leon S.","non-dropping-particle":"","parse-names":false,"suffix":""}],"container-title":"Journal of Public Health","id":"ITEM-1","issue":"2","issued":{"date-parts":[["2021","6","7"]]},"page":"270-273","publisher":"Oxford Academic","title":"Did people’s behavior after receiving negative COVID-19 tests contribute to the spread?","type":"article-journal","volume":"43"},"uris":["http://www.mendeley.com/documents/?uuid=a8f60ed9-1ce6-32cc-80ba-747df94034d8"]}],"mendeley":{"formattedCitation":"&lt;sup&gt;24&lt;/sup&gt;","plainTextFormattedCitation":"24","previouslyFormattedCitation":"&lt;sup&gt;24&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00C649AA" w:rsidRPr="00C649AA">
        <w:rPr>
          <w:rFonts w:ascii="Calibri" w:eastAsia="Calibri" w:hAnsi="Calibri" w:cs="Calibri"/>
          <w:noProof/>
          <w:color w:val="000000" w:themeColor="text1"/>
          <w:sz w:val="22"/>
          <w:szCs w:val="22"/>
          <w:vertAlign w:val="superscript"/>
          <w:lang w:val="en-US"/>
        </w:rPr>
        <w:t>24</w:t>
      </w:r>
      <w:r w:rsidRPr="009E3151">
        <w:rPr>
          <w:rFonts w:ascii="Calibri" w:eastAsia="Calibri" w:hAnsi="Calibri" w:cs="Calibri"/>
          <w:color w:val="000000" w:themeColor="text1"/>
          <w:sz w:val="22"/>
          <w:szCs w:val="22"/>
          <w:lang w:val="en-US"/>
        </w:rPr>
        <w:fldChar w:fldCharType="end"/>
      </w:r>
      <w:r w:rsidRPr="009E3151">
        <w:rPr>
          <w:rFonts w:ascii="Calibri" w:eastAsia="Calibri" w:hAnsi="Calibri" w:cs="Calibri"/>
          <w:color w:val="000000" w:themeColor="text1"/>
          <w:sz w:val="22"/>
          <w:szCs w:val="22"/>
          <w:lang w:val="en-US"/>
        </w:rPr>
        <w:t xml:space="preserve">. </w:t>
      </w:r>
      <w:r w:rsidRPr="00E306DC">
        <w:rPr>
          <w:rFonts w:ascii="Calibri" w:eastAsia="Calibri" w:hAnsi="Calibri" w:cs="Calibri"/>
          <w:color w:val="000000" w:themeColor="text1"/>
          <w:sz w:val="22"/>
          <w:szCs w:val="22"/>
          <w:lang w:val="en-US"/>
        </w:rPr>
        <w:t>The reasons behind these behavioral changes warrant further investigation.</w:t>
      </w:r>
    </w:p>
    <w:p w14:paraId="307B7278"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 xml:space="preserve">Limitations </w:t>
      </w:r>
    </w:p>
    <w:p w14:paraId="0AE33971" w14:textId="1D16E069"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Selection bias </w:t>
      </w:r>
      <w:r>
        <w:rPr>
          <w:rFonts w:ascii="Calibri" w:eastAsia="Calibri" w:hAnsi="Calibri" w:cs="Calibri"/>
          <w:color w:val="000000" w:themeColor="text1"/>
          <w:sz w:val="22"/>
          <w:szCs w:val="22"/>
          <w:lang w:val="en-US"/>
        </w:rPr>
        <w:t xml:space="preserve">in VMD </w:t>
      </w:r>
      <w:r w:rsidRPr="009E3151">
        <w:rPr>
          <w:rFonts w:ascii="Calibri" w:eastAsia="Calibri" w:hAnsi="Calibri" w:cs="Calibri"/>
          <w:color w:val="000000" w:themeColor="text1"/>
          <w:sz w:val="22"/>
          <w:szCs w:val="22"/>
          <w:lang w:val="en-US"/>
        </w:rPr>
        <w:t>is a concern, as more health-conscious</w:t>
      </w:r>
      <w:r>
        <w:rPr>
          <w:rFonts w:ascii="Calibri" w:eastAsia="Calibri" w:hAnsi="Calibri" w:cs="Calibri"/>
          <w:color w:val="000000" w:themeColor="text1"/>
          <w:sz w:val="22"/>
          <w:szCs w:val="22"/>
          <w:lang w:val="en-US"/>
        </w:rPr>
        <w:t xml:space="preserve"> individual</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those with</w:t>
      </w:r>
      <w:r w:rsidRPr="009E3151">
        <w:rPr>
          <w:rFonts w:ascii="Calibri" w:eastAsia="Calibri" w:hAnsi="Calibri" w:cs="Calibri"/>
          <w:color w:val="000000" w:themeColor="text1"/>
          <w:sz w:val="22"/>
          <w:szCs w:val="22"/>
          <w:lang w:val="en-US"/>
        </w:rPr>
        <w:t xml:space="preserve"> higher health-literacy</w:t>
      </w:r>
      <w:r w:rsidRPr="009E3151">
        <w:rPr>
          <w:rFonts w:ascii="Calibri" w:eastAsia="Calibri" w:hAnsi="Calibri" w:cs="Calibri"/>
          <w:color w:val="000000" w:themeColor="text1"/>
          <w:sz w:val="22"/>
          <w:szCs w:val="22"/>
          <w:lang w:val="en-US"/>
        </w:rPr>
        <w:fldChar w:fldCharType="begin" w:fldLock="1"/>
      </w:r>
      <w:r w:rsidR="00C649AA">
        <w:rPr>
          <w:rFonts w:ascii="Calibri" w:eastAsia="Calibri" w:hAnsi="Calibri" w:cs="Calibri"/>
          <w:color w:val="000000" w:themeColor="text1"/>
          <w:sz w:val="22"/>
          <w:szCs w:val="22"/>
          <w:lang w:val="en-US"/>
        </w:rPr>
        <w:instrText>ADDIN CSL_CITATION {"citationItems":[{"id":"ITEM-1","itemData":{"DOI":"10.1186/S12889-022-14751-Z","ISSN":"14712458","PMID":"36471284","abstract":"Background: The benefits of digital development in health care may be obscured by unequal opportunities to make use of digital resources. The aim of this study was to investigate the association of health literacy with I) accessing health check test results in the Patient Electronic Health Record (PAEHR), II) searching for information to better understand individual test results, and III) using the national health information online portal provided by the Swedish national health care system. Methods: This cross-sectional study included data from 434 individuals, 50–64 years old, randomly selected from the Swedish population during the year 2017 to a cohort study including health examination and a web-based survey. Health literacy was assessed at baseline using the Swedish Communicative and Critical Health Literacy scale. Digital information outcomes were assessed after three months. Adjusted odds ratios (ORs) and 95% confidence intervals (CI) for the separate outcomes were computed using logistic regression. Covariates included sex, age, education, country of birth, cardiovascular risk factors at baseline, general health, risk perception, referral, and new cardiovascular risk factors detected at health examination. Results: About a third of the participants (35%) had limited health literacy, while 65% had sufficient health literacy. Sufficient health literacy was associated with accessing the PAEHR (adjusted OR 1.81 95% CI 1.07–3.06) and use of the online national health information portal provided by the Swedish national health care system (adjusted OR 2.91 95% CI 1.13–7.52) but not with searching information to better understand individual test results (adjusted OR 1.29 0.75–2.20). Conclusions: Individuals with limited health literacy do not access their personal health information nor search for health information on the online national health information portal provided by the Swedish national health care system to the same extent as individuals with sufficient health literacy. More research is needed about how the level of health literacy relates to differences in online health information-seeking behavior and how digital health information sources and e-health services can be designed to ensure that the entire population has equal access to trustworthy and quality-ensured health information.","author":[{"dropping-particle":"","family":"Sundell","given":"Erica","non-dropping-particle":"","parse-names":false,"suffix":""},{"dropping-particle":"","family":"Wångdahl","given":"Josefin","non-dropping-particle":"","parse-names":false,"suffix":""},{"dropping-particle":"","family":"Grauman","given":"Åsa","non-dropping-particle":"","parse-names":false,"suffix":""}],"container-title":"BMC Public Health","id":"ITEM-1","issue":"1","issued":{"date-parts":[["2022","12","1"]]},"page":"2278","publisher":"BioMed Central Ltd","title":"Health literacy and digital health information-seeking behavior – a cross-sectional study among highly educated Swedes","type":"article-journal","volume":"22"},"uris":["http://www.mendeley.com/documents/?uuid=50a08631-4747-337e-8895-e7a0dfa2a5ad"]}],"mendeley":{"formattedCitation":"&lt;sup&gt;25&lt;/sup&gt;","plainTextFormattedCitation":"25","previouslyFormattedCitation":"&lt;sup&gt;25&lt;/sup&gt;"},"properties":{"noteIndex":0},"schema":"https://github.com/citation-style-language/schema/raw/master/csl-citation.json"}</w:instrText>
      </w:r>
      <w:r w:rsidRPr="009E3151">
        <w:rPr>
          <w:rFonts w:ascii="Calibri" w:eastAsia="Calibri" w:hAnsi="Calibri" w:cs="Calibri"/>
          <w:color w:val="000000" w:themeColor="text1"/>
          <w:sz w:val="22"/>
          <w:szCs w:val="22"/>
          <w:lang w:val="en-US"/>
        </w:rPr>
        <w:fldChar w:fldCharType="separate"/>
      </w:r>
      <w:r w:rsidR="00C649AA" w:rsidRPr="00C649AA">
        <w:rPr>
          <w:rFonts w:ascii="Calibri" w:eastAsia="Calibri" w:hAnsi="Calibri" w:cs="Calibri"/>
          <w:noProof/>
          <w:color w:val="000000" w:themeColor="text1"/>
          <w:sz w:val="22"/>
          <w:szCs w:val="22"/>
          <w:vertAlign w:val="superscript"/>
          <w:lang w:val="en-US"/>
        </w:rPr>
        <w:t>25</w:t>
      </w:r>
      <w:r w:rsidRPr="009E3151">
        <w:rPr>
          <w:rFonts w:ascii="Calibri" w:eastAsia="Calibri" w:hAnsi="Calibri" w:cs="Calibri"/>
          <w:color w:val="000000" w:themeColor="text1"/>
          <w:sz w:val="22"/>
          <w:szCs w:val="22"/>
          <w:lang w:val="en-US"/>
        </w:rPr>
        <w:fldChar w:fldCharType="end"/>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or those with symptoms are disproportionately inclined to participate. </w:t>
      </w:r>
      <w:r w:rsidRPr="004D34A6">
        <w:rPr>
          <w:rFonts w:ascii="Calibri" w:eastAsia="Calibri" w:hAnsi="Calibri" w:cs="Calibri"/>
          <w:color w:val="000000" w:themeColor="text1"/>
          <w:sz w:val="22"/>
          <w:szCs w:val="22"/>
          <w:lang w:val="en-US"/>
        </w:rPr>
        <w:t>Underrepresentation of young children and older adults, along with digital platform challenges for older populations, limits generalizability</w:t>
      </w:r>
      <w:r>
        <w:rPr>
          <w:rFonts w:ascii="Calibri" w:eastAsia="Calibri" w:hAnsi="Calibri" w:cs="Calibri"/>
          <w:color w:val="000000" w:themeColor="text1"/>
          <w:sz w:val="22"/>
          <w:szCs w:val="22"/>
          <w:lang w:val="en-US"/>
        </w:rPr>
        <w:t xml:space="preserve"> of VMD and its results –</w:t>
      </w:r>
      <w:r w:rsidRPr="009E3151">
        <w:rPr>
          <w:rFonts w:ascii="Calibri" w:eastAsia="Calibri" w:hAnsi="Calibri" w:cs="Calibri"/>
          <w:color w:val="000000" w:themeColor="text1"/>
          <w:sz w:val="22"/>
          <w:szCs w:val="22"/>
          <w:lang w:val="en-US"/>
        </w:rPr>
        <w:t xml:space="preserve"> and</w:t>
      </w:r>
      <w:r>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comparab</w:t>
      </w:r>
      <w:r>
        <w:rPr>
          <w:rFonts w:ascii="Calibri" w:eastAsia="Calibri" w:hAnsi="Calibri" w:cs="Calibri"/>
          <w:color w:val="000000" w:themeColor="text1"/>
          <w:sz w:val="22"/>
          <w:szCs w:val="22"/>
          <w:lang w:val="en-US"/>
        </w:rPr>
        <w:t>ility</w:t>
      </w:r>
      <w:r w:rsidRPr="009E3151">
        <w:rPr>
          <w:rFonts w:ascii="Calibri" w:eastAsia="Calibri" w:hAnsi="Calibri" w:cs="Calibri"/>
          <w:color w:val="000000" w:themeColor="text1"/>
          <w:sz w:val="22"/>
          <w:szCs w:val="22"/>
          <w:lang w:val="en-US"/>
        </w:rPr>
        <w:t xml:space="preserve"> to systems like the sentinel surveillance system. </w:t>
      </w:r>
    </w:p>
    <w:p w14:paraId="4A1F6158" w14:textId="77777777" w:rsidR="003168B5" w:rsidRPr="009E3151" w:rsidRDefault="003168B5" w:rsidP="003168B5">
      <w:pPr>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VMD predominantly captured infections that had reached a particular level of </w:t>
      </w:r>
      <w:r>
        <w:rPr>
          <w:rFonts w:ascii="Calibri" w:eastAsia="Calibri" w:hAnsi="Calibri" w:cs="Calibri"/>
          <w:color w:val="000000" w:themeColor="text1"/>
          <w:sz w:val="22"/>
          <w:szCs w:val="22"/>
          <w:lang w:val="en-US"/>
        </w:rPr>
        <w:t xml:space="preserve">symptom </w:t>
      </w:r>
      <w:r w:rsidRPr="009E3151">
        <w:rPr>
          <w:rFonts w:ascii="Calibri" w:eastAsia="Calibri" w:hAnsi="Calibri" w:cs="Calibri"/>
          <w:color w:val="000000" w:themeColor="text1"/>
          <w:sz w:val="22"/>
          <w:szCs w:val="22"/>
          <w:lang w:val="en-US"/>
        </w:rPr>
        <w:t>severity</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instead of</w:t>
      </w:r>
      <w:r w:rsidRPr="009E3151">
        <w:rPr>
          <w:rFonts w:ascii="Calibri" w:eastAsia="Calibri" w:hAnsi="Calibri" w:cs="Calibri"/>
          <w:color w:val="000000" w:themeColor="text1"/>
          <w:sz w:val="22"/>
          <w:szCs w:val="22"/>
          <w:lang w:val="en-US"/>
        </w:rPr>
        <w:t xml:space="preserve"> the full spectrum of respiratory infections</w:t>
      </w:r>
      <w:r>
        <w:rPr>
          <w:rFonts w:ascii="Calibri" w:eastAsia="Calibri" w:hAnsi="Calibri" w:cs="Calibri"/>
          <w:color w:val="000000" w:themeColor="text1"/>
          <w:sz w:val="22"/>
          <w:szCs w:val="22"/>
          <w:lang w:val="en-US"/>
        </w:rPr>
        <w:t>.</w:t>
      </w:r>
      <w:r w:rsidRPr="009E3151">
        <w:rPr>
          <w:rFonts w:ascii="Calibri" w:eastAsia="Calibri" w:hAnsi="Calibri" w:cs="Calibri"/>
          <w:color w:val="000000" w:themeColor="text1"/>
          <w:sz w:val="22"/>
          <w:szCs w:val="22"/>
          <w:lang w:val="en-US"/>
        </w:rPr>
        <w:t xml:space="preserve"> </w:t>
      </w:r>
      <w:r>
        <w:rPr>
          <w:rFonts w:ascii="Calibri" w:eastAsia="Calibri" w:hAnsi="Calibri" w:cs="Calibri"/>
          <w:color w:val="000000" w:themeColor="text1"/>
          <w:sz w:val="22"/>
          <w:szCs w:val="22"/>
          <w:lang w:val="en-US"/>
        </w:rPr>
        <w:t>Also, l</w:t>
      </w:r>
      <w:r w:rsidRPr="00CD6586">
        <w:rPr>
          <w:rFonts w:ascii="Calibri" w:eastAsia="Calibri" w:hAnsi="Calibri" w:cs="Calibri"/>
          <w:color w:val="000000" w:themeColor="text1"/>
          <w:sz w:val="22"/>
          <w:szCs w:val="22"/>
          <w:lang w:val="en-US"/>
        </w:rPr>
        <w:t>ow participation and adherence</w:t>
      </w:r>
      <w:r>
        <w:rPr>
          <w:rFonts w:ascii="Calibri" w:eastAsia="Calibri" w:hAnsi="Calibri" w:cs="Calibri"/>
          <w:color w:val="000000" w:themeColor="text1"/>
          <w:sz w:val="22"/>
          <w:szCs w:val="22"/>
          <w:lang w:val="en-US"/>
        </w:rPr>
        <w:t xml:space="preserve"> to sampling in VMD</w:t>
      </w:r>
      <w:r w:rsidRPr="00CD6586">
        <w:rPr>
          <w:rFonts w:ascii="Calibri" w:eastAsia="Calibri" w:hAnsi="Calibri" w:cs="Calibri"/>
          <w:color w:val="000000" w:themeColor="text1"/>
          <w:sz w:val="22"/>
          <w:szCs w:val="22"/>
          <w:lang w:val="en-US"/>
        </w:rPr>
        <w:t xml:space="preserve"> may have been impacted by factors like testing thresholds and logistical issues, particularly in the Digital Post cohort. </w:t>
      </w:r>
      <w:r>
        <w:rPr>
          <w:rFonts w:ascii="Calibri" w:eastAsia="Calibri" w:hAnsi="Calibri" w:cs="Calibri"/>
          <w:color w:val="000000" w:themeColor="text1"/>
          <w:sz w:val="22"/>
          <w:szCs w:val="22"/>
          <w:lang w:val="en-US"/>
        </w:rPr>
        <w:t>These</w:t>
      </w:r>
      <w:r w:rsidRPr="00CD6586">
        <w:rPr>
          <w:rFonts w:ascii="Calibri" w:eastAsia="Calibri" w:hAnsi="Calibri" w:cs="Calibri"/>
          <w:color w:val="000000" w:themeColor="text1"/>
          <w:sz w:val="22"/>
          <w:szCs w:val="22"/>
          <w:lang w:val="en-US"/>
        </w:rPr>
        <w:t xml:space="preserve"> could increase in future health crises </w:t>
      </w:r>
      <w:r w:rsidRPr="009E3151">
        <w:rPr>
          <w:rFonts w:ascii="Calibri" w:eastAsia="Calibri" w:hAnsi="Calibri" w:cs="Calibri"/>
          <w:color w:val="000000" w:themeColor="text1"/>
          <w:sz w:val="22"/>
          <w:szCs w:val="22"/>
          <w:lang w:val="en-US"/>
        </w:rPr>
        <w:t xml:space="preserve">due to heightened public interest in understanding the cause of symptoms, reduced turnaround times for test results, and more accessible sample drop-off points at workplaces, pharmacies, grocery stores or similar locations. </w:t>
      </w:r>
    </w:p>
    <w:p w14:paraId="30E636C6" w14:textId="77777777" w:rsidR="003168B5" w:rsidRPr="009E3151" w:rsidRDefault="003168B5" w:rsidP="003168B5">
      <w:pPr>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 xml:space="preserve">Strengths </w:t>
      </w:r>
    </w:p>
    <w:p w14:paraId="0AD0208D" w14:textId="77777777" w:rsidR="003168B5" w:rsidRDefault="003168B5" w:rsidP="003168B5">
      <w:pPr>
        <w:rPr>
          <w:rFonts w:ascii="Calibri" w:eastAsia="Calibri" w:hAnsi="Calibri" w:cs="Calibri"/>
          <w:color w:val="000000" w:themeColor="text1"/>
          <w:sz w:val="22"/>
          <w:szCs w:val="22"/>
          <w:lang w:val="en-US"/>
        </w:rPr>
      </w:pPr>
      <w:r w:rsidRPr="00CD6586">
        <w:rPr>
          <w:rFonts w:ascii="Calibri" w:eastAsia="Calibri" w:hAnsi="Calibri" w:cs="Calibri"/>
          <w:color w:val="000000" w:themeColor="text1"/>
          <w:sz w:val="22"/>
          <w:szCs w:val="22"/>
          <w:lang w:val="en-US"/>
        </w:rPr>
        <w:t>VMD provided unique surveillance of respiratory viruses in individuals with community-acquired infections who</w:t>
      </w:r>
      <w:r>
        <w:rPr>
          <w:rFonts w:ascii="Calibri" w:eastAsia="Calibri" w:hAnsi="Calibri" w:cs="Calibri"/>
          <w:color w:val="000000" w:themeColor="text1"/>
          <w:sz w:val="22"/>
          <w:szCs w:val="22"/>
          <w:lang w:val="en-US"/>
        </w:rPr>
        <w:t xml:space="preserve"> had not sought</w:t>
      </w:r>
      <w:r w:rsidRPr="00CD6586">
        <w:rPr>
          <w:rFonts w:ascii="Calibri" w:eastAsia="Calibri" w:hAnsi="Calibri" w:cs="Calibri"/>
          <w:color w:val="000000" w:themeColor="text1"/>
          <w:sz w:val="22"/>
          <w:szCs w:val="22"/>
          <w:lang w:val="en-US"/>
        </w:rPr>
        <w:t xml:space="preserve"> medical care. This allowed for insights into symptoms associated with different viruses in healthy individuals. VMD’s identifiable samples enable</w:t>
      </w:r>
      <w:r>
        <w:rPr>
          <w:rFonts w:ascii="Calibri" w:eastAsia="Calibri" w:hAnsi="Calibri" w:cs="Calibri"/>
          <w:color w:val="000000" w:themeColor="text1"/>
          <w:sz w:val="22"/>
          <w:szCs w:val="22"/>
          <w:lang w:val="en-US"/>
        </w:rPr>
        <w:t>d</w:t>
      </w:r>
      <w:r w:rsidRPr="00CD6586">
        <w:rPr>
          <w:rFonts w:ascii="Calibri" w:eastAsia="Calibri" w:hAnsi="Calibri" w:cs="Calibri"/>
          <w:color w:val="000000" w:themeColor="text1"/>
          <w:sz w:val="22"/>
          <w:szCs w:val="22"/>
          <w:lang w:val="en-US"/>
        </w:rPr>
        <w:t xml:space="preserve"> integration with demographic data such as age, sex, vaccination status, and previous infections</w:t>
      </w:r>
      <w:r>
        <w:rPr>
          <w:rFonts w:ascii="Calibri" w:eastAsia="Calibri" w:hAnsi="Calibri" w:cs="Calibri"/>
          <w:color w:val="000000" w:themeColor="text1"/>
          <w:sz w:val="22"/>
          <w:szCs w:val="22"/>
          <w:lang w:val="en-US"/>
        </w:rPr>
        <w:t>. The system</w:t>
      </w:r>
      <w:r w:rsidRPr="009E3151">
        <w:rPr>
          <w:rFonts w:ascii="Calibri" w:eastAsia="Calibri" w:hAnsi="Calibri" w:cs="Calibri"/>
          <w:color w:val="000000" w:themeColor="text1"/>
          <w:sz w:val="22"/>
          <w:szCs w:val="22"/>
          <w:lang w:val="en-US"/>
        </w:rPr>
        <w:t xml:space="preserve"> allows for characterization </w:t>
      </w:r>
      <w:r>
        <w:rPr>
          <w:rFonts w:ascii="Calibri" w:eastAsia="Calibri" w:hAnsi="Calibri" w:cs="Calibri"/>
          <w:color w:val="000000" w:themeColor="text1"/>
          <w:sz w:val="22"/>
          <w:szCs w:val="22"/>
          <w:lang w:val="en-US"/>
        </w:rPr>
        <w:t>of</w:t>
      </w:r>
      <w:r w:rsidRPr="00CD6586">
        <w:rPr>
          <w:rFonts w:ascii="Calibri" w:eastAsia="Calibri" w:hAnsi="Calibri" w:cs="Calibri"/>
          <w:color w:val="000000" w:themeColor="text1"/>
          <w:sz w:val="22"/>
          <w:szCs w:val="22"/>
          <w:lang w:val="en-US"/>
        </w:rPr>
        <w:t xml:space="preserve"> self-testing behavior </w:t>
      </w:r>
      <w:r>
        <w:rPr>
          <w:rFonts w:ascii="Calibri" w:eastAsia="Calibri" w:hAnsi="Calibri" w:cs="Calibri"/>
          <w:color w:val="000000" w:themeColor="text1"/>
          <w:sz w:val="22"/>
          <w:szCs w:val="22"/>
          <w:lang w:val="en-US"/>
        </w:rPr>
        <w:t>within different</w:t>
      </w:r>
      <w:r w:rsidRPr="00CD6586">
        <w:rPr>
          <w:rFonts w:ascii="Calibri" w:eastAsia="Calibri" w:hAnsi="Calibri" w:cs="Calibri"/>
          <w:color w:val="000000" w:themeColor="text1"/>
          <w:sz w:val="22"/>
          <w:szCs w:val="22"/>
          <w:lang w:val="en-US"/>
        </w:rPr>
        <w:t xml:space="preserve"> groups</w:t>
      </w:r>
      <w:r w:rsidRPr="009E3151">
        <w:rPr>
          <w:rFonts w:ascii="Calibri" w:eastAsia="Calibri" w:hAnsi="Calibri" w:cs="Calibri"/>
          <w:color w:val="000000" w:themeColor="text1"/>
          <w:sz w:val="22"/>
          <w:szCs w:val="22"/>
          <w:lang w:val="en-US"/>
        </w:rPr>
        <w:t>, e.g., it can be explored whether vaccinated individuals rely more or less on self-tests than unvaccinated individuals.</w:t>
      </w:r>
      <w:r w:rsidRPr="00CD6586">
        <w:rPr>
          <w:rFonts w:ascii="Calibri" w:eastAsia="Calibri" w:hAnsi="Calibri" w:cs="Calibri"/>
          <w:color w:val="000000" w:themeColor="text1"/>
          <w:sz w:val="22"/>
          <w:szCs w:val="22"/>
          <w:lang w:val="en-US"/>
        </w:rPr>
        <w:t xml:space="preserve"> </w:t>
      </w:r>
    </w:p>
    <w:p w14:paraId="6D7D73CC" w14:textId="77777777" w:rsidR="003168B5" w:rsidRPr="009E3151" w:rsidRDefault="003168B5" w:rsidP="003168B5">
      <w:pPr>
        <w:rPr>
          <w:rFonts w:ascii="Calibri" w:eastAsia="Calibri" w:hAnsi="Calibri" w:cs="Calibri"/>
          <w:color w:val="000000" w:themeColor="text1"/>
          <w:sz w:val="22"/>
          <w:szCs w:val="22"/>
          <w:lang w:val="en-US"/>
        </w:rPr>
      </w:pPr>
      <w:r>
        <w:rPr>
          <w:rFonts w:ascii="Calibri" w:eastAsia="Calibri" w:hAnsi="Calibri" w:cs="Calibri"/>
          <w:color w:val="000000" w:themeColor="text1"/>
          <w:sz w:val="22"/>
          <w:szCs w:val="22"/>
          <w:lang w:val="en-US"/>
        </w:rPr>
        <w:lastRenderedPageBreak/>
        <w:t>VMD can</w:t>
      </w:r>
      <w:r w:rsidRPr="00CD6586">
        <w:rPr>
          <w:rFonts w:ascii="Calibri" w:eastAsia="Calibri" w:hAnsi="Calibri" w:cs="Calibri"/>
          <w:color w:val="000000" w:themeColor="text1"/>
          <w:sz w:val="22"/>
          <w:szCs w:val="22"/>
          <w:lang w:val="en-US"/>
        </w:rPr>
        <w:t xml:space="preserve"> operate alongside the healthcare system, </w:t>
      </w:r>
      <w:r>
        <w:rPr>
          <w:rFonts w:ascii="Calibri" w:eastAsia="Calibri" w:hAnsi="Calibri" w:cs="Calibri"/>
          <w:color w:val="000000" w:themeColor="text1"/>
          <w:sz w:val="22"/>
          <w:szCs w:val="22"/>
          <w:lang w:val="en-US"/>
        </w:rPr>
        <w:t>avoiding</w:t>
      </w:r>
      <w:r w:rsidRPr="00CD6586">
        <w:rPr>
          <w:rFonts w:ascii="Calibri" w:eastAsia="Calibri" w:hAnsi="Calibri" w:cs="Calibri"/>
          <w:color w:val="000000" w:themeColor="text1"/>
          <w:sz w:val="22"/>
          <w:szCs w:val="22"/>
          <w:lang w:val="en-US"/>
        </w:rPr>
        <w:t xml:space="preserve"> strain on resources and preventing unnecessary exposure in testing centers. </w:t>
      </w:r>
      <w:r w:rsidRPr="009E3151">
        <w:rPr>
          <w:rFonts w:ascii="Calibri" w:eastAsia="Calibri" w:hAnsi="Calibri" w:cs="Calibri"/>
          <w:color w:val="000000" w:themeColor="text1"/>
          <w:sz w:val="22"/>
          <w:szCs w:val="22"/>
          <w:lang w:val="en-US"/>
        </w:rPr>
        <w:t xml:space="preserve">The two cohorts allowed us to assess how sampling pickup/drop-off methods affected participation rates and behavior. Also, the system's flexibility, demonstrated by its ability to adapt to include additional pathogens in the </w:t>
      </w:r>
      <w:r>
        <w:rPr>
          <w:rFonts w:ascii="Calibri" w:eastAsia="Calibri" w:hAnsi="Calibri" w:cs="Calibri"/>
          <w:color w:val="000000" w:themeColor="text1"/>
          <w:sz w:val="22"/>
          <w:szCs w:val="22"/>
          <w:lang w:val="en-US"/>
        </w:rPr>
        <w:t>RT-PCR</w:t>
      </w:r>
      <w:r w:rsidRPr="009E3151">
        <w:rPr>
          <w:rFonts w:ascii="Calibri" w:eastAsia="Calibri" w:hAnsi="Calibri" w:cs="Calibri"/>
          <w:color w:val="000000" w:themeColor="text1"/>
          <w:sz w:val="22"/>
          <w:szCs w:val="22"/>
          <w:lang w:val="en-US"/>
        </w:rPr>
        <w:t xml:space="preserve"> panel and to continuously include more participants, is also a strength. Finally, VMD can be seen as a citizen science initiative which benefits from its large </w:t>
      </w:r>
      <w:r>
        <w:rPr>
          <w:rFonts w:ascii="Calibri" w:eastAsia="Calibri" w:hAnsi="Calibri" w:cs="Calibri"/>
          <w:color w:val="000000" w:themeColor="text1"/>
          <w:sz w:val="22"/>
          <w:szCs w:val="22"/>
          <w:lang w:val="en-US"/>
        </w:rPr>
        <w:t>RT-PCR</w:t>
      </w:r>
      <w:r w:rsidRPr="009E3151">
        <w:rPr>
          <w:rFonts w:ascii="Calibri" w:eastAsia="Calibri" w:hAnsi="Calibri" w:cs="Calibri"/>
          <w:color w:val="000000" w:themeColor="text1"/>
          <w:sz w:val="22"/>
          <w:szCs w:val="22"/>
          <w:lang w:val="en-US"/>
        </w:rPr>
        <w:t xml:space="preserve"> panel, enabling many participants to identify the specific respiratory virus responsible for their symptoms. </w:t>
      </w:r>
    </w:p>
    <w:p w14:paraId="00D04A41" w14:textId="77777777" w:rsidR="003168B5" w:rsidRPr="009E3151" w:rsidRDefault="003168B5" w:rsidP="003168B5">
      <w:pPr>
        <w:spacing w:line="259" w:lineRule="auto"/>
        <w:rPr>
          <w:rFonts w:ascii="Calibri" w:eastAsia="Calibri" w:hAnsi="Calibri" w:cs="Calibri"/>
          <w:color w:val="000000" w:themeColor="text1"/>
          <w:sz w:val="22"/>
          <w:szCs w:val="22"/>
          <w:lang w:val="en-US"/>
        </w:rPr>
      </w:pPr>
    </w:p>
    <w:p w14:paraId="51BD5DE1" w14:textId="77777777" w:rsidR="003168B5" w:rsidRPr="009E3151" w:rsidRDefault="003168B5" w:rsidP="003168B5">
      <w:pPr>
        <w:spacing w:line="259" w:lineRule="auto"/>
        <w:rPr>
          <w:rFonts w:ascii="Calibri" w:eastAsia="Calibri" w:hAnsi="Calibri" w:cs="Calibri"/>
          <w:color w:val="000000" w:themeColor="text1"/>
          <w:sz w:val="22"/>
          <w:szCs w:val="22"/>
          <w:lang w:val="en-US"/>
        </w:rPr>
      </w:pPr>
      <w:r w:rsidRPr="009E3151">
        <w:rPr>
          <w:rFonts w:ascii="Calibri" w:eastAsia="Calibri" w:hAnsi="Calibri" w:cs="Calibri"/>
          <w:b/>
          <w:bCs/>
          <w:color w:val="000000" w:themeColor="text1"/>
          <w:sz w:val="22"/>
          <w:szCs w:val="22"/>
          <w:lang w:val="en-US"/>
        </w:rPr>
        <w:t xml:space="preserve">Conclusions </w:t>
      </w:r>
    </w:p>
    <w:p w14:paraId="6BEB589E" w14:textId="4DCE9104" w:rsidR="09E0435C" w:rsidRPr="005C1DCD" w:rsidRDefault="003168B5" w:rsidP="00AC3EEF">
      <w:pPr>
        <w:spacing w:before="240" w:after="240"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VMD demonstrated </w:t>
      </w:r>
      <w:r w:rsidR="00667B92" w:rsidRPr="009E3151">
        <w:rPr>
          <w:rFonts w:ascii="Calibri" w:eastAsia="Calibri" w:hAnsi="Calibri" w:cs="Calibri"/>
          <w:color w:val="000000" w:themeColor="text1"/>
          <w:sz w:val="22"/>
          <w:szCs w:val="22"/>
          <w:lang w:val="en-US"/>
        </w:rPr>
        <w:t xml:space="preserve">feasibility of a community-based surveillance </w:t>
      </w:r>
      <w:r w:rsidR="00667B92">
        <w:rPr>
          <w:rFonts w:ascii="Calibri" w:eastAsia="Calibri" w:hAnsi="Calibri" w:cs="Calibri"/>
          <w:color w:val="000000" w:themeColor="text1"/>
          <w:sz w:val="22"/>
          <w:szCs w:val="22"/>
          <w:lang w:val="en-US"/>
        </w:rPr>
        <w:t>system,</w:t>
      </w:r>
      <w:r w:rsidR="00667B92" w:rsidRPr="009E3151">
        <w:rPr>
          <w:rFonts w:ascii="Calibri" w:eastAsia="Calibri" w:hAnsi="Calibri" w:cs="Calibri"/>
          <w:color w:val="000000" w:themeColor="text1"/>
          <w:sz w:val="22"/>
          <w:szCs w:val="22"/>
          <w:lang w:val="en-US"/>
        </w:rPr>
        <w:t xml:space="preserve"> </w:t>
      </w:r>
      <w:r w:rsidR="00667B92">
        <w:rPr>
          <w:rFonts w:ascii="Calibri" w:eastAsia="Calibri" w:hAnsi="Calibri" w:cs="Calibri"/>
          <w:color w:val="000000" w:themeColor="text1"/>
          <w:sz w:val="22"/>
          <w:szCs w:val="22"/>
          <w:lang w:val="en-US"/>
        </w:rPr>
        <w:t>providing</w:t>
      </w:r>
      <w:r w:rsidR="00667B92" w:rsidRPr="009E3151">
        <w:rPr>
          <w:rFonts w:ascii="Calibri" w:eastAsia="Calibri" w:hAnsi="Calibri" w:cs="Calibri"/>
          <w:color w:val="000000" w:themeColor="text1"/>
          <w:sz w:val="22"/>
          <w:szCs w:val="22"/>
          <w:lang w:val="en-US"/>
        </w:rPr>
        <w:t xml:space="preserve"> </w:t>
      </w:r>
      <w:r w:rsidR="00667B92">
        <w:rPr>
          <w:rFonts w:ascii="Calibri" w:eastAsia="Calibri" w:hAnsi="Calibri" w:cs="Calibri"/>
          <w:color w:val="000000" w:themeColor="text1"/>
          <w:sz w:val="22"/>
          <w:szCs w:val="22"/>
          <w:lang w:val="en-US"/>
        </w:rPr>
        <w:t xml:space="preserve">continuous </w:t>
      </w:r>
      <w:r w:rsidR="00667B92" w:rsidRPr="009E3151">
        <w:rPr>
          <w:rFonts w:ascii="Calibri" w:eastAsia="Calibri" w:hAnsi="Calibri" w:cs="Calibri"/>
          <w:color w:val="000000" w:themeColor="text1"/>
          <w:sz w:val="22"/>
          <w:szCs w:val="22"/>
          <w:lang w:val="en-US"/>
        </w:rPr>
        <w:t>insights into respiratory virus trends and symptomatology in the general population.</w:t>
      </w:r>
      <w:r w:rsidR="00667B92">
        <w:rPr>
          <w:rFonts w:ascii="Calibri" w:eastAsia="Calibri" w:hAnsi="Calibri" w:cs="Calibri"/>
          <w:color w:val="000000" w:themeColor="text1"/>
          <w:sz w:val="22"/>
          <w:szCs w:val="22"/>
          <w:lang w:val="en-US"/>
        </w:rPr>
        <w:t xml:space="preserve"> </w:t>
      </w:r>
      <w:r w:rsidR="00CC49F1">
        <w:rPr>
          <w:rFonts w:ascii="Calibri" w:eastAsia="Calibri" w:hAnsi="Calibri" w:cs="Calibri"/>
          <w:color w:val="000000" w:themeColor="text1"/>
          <w:sz w:val="22"/>
          <w:szCs w:val="22"/>
          <w:lang w:val="en-US"/>
        </w:rPr>
        <w:t>S</w:t>
      </w:r>
      <w:r w:rsidR="00667B92" w:rsidRPr="009E3151">
        <w:rPr>
          <w:rFonts w:ascii="Calibri" w:eastAsia="Calibri" w:hAnsi="Calibri" w:cs="Calibri"/>
          <w:color w:val="000000" w:themeColor="text1"/>
          <w:sz w:val="22"/>
          <w:szCs w:val="22"/>
          <w:lang w:val="en-US"/>
        </w:rPr>
        <w:t xml:space="preserve">amples </w:t>
      </w:r>
      <w:r w:rsidR="00CC49F1">
        <w:rPr>
          <w:rFonts w:ascii="Calibri" w:eastAsia="Calibri" w:hAnsi="Calibri" w:cs="Calibri"/>
          <w:color w:val="000000" w:themeColor="text1"/>
          <w:sz w:val="22"/>
          <w:szCs w:val="22"/>
          <w:lang w:val="en-US"/>
        </w:rPr>
        <w:t xml:space="preserve">were collected </w:t>
      </w:r>
      <w:r w:rsidR="00667B92" w:rsidRPr="009E3151">
        <w:rPr>
          <w:rFonts w:ascii="Calibri" w:eastAsia="Calibri" w:hAnsi="Calibri" w:cs="Calibri"/>
          <w:color w:val="000000" w:themeColor="text1"/>
          <w:sz w:val="22"/>
          <w:szCs w:val="22"/>
          <w:lang w:val="en-US"/>
        </w:rPr>
        <w:t>directly from workplaces and sent in by post</w:t>
      </w:r>
      <w:r w:rsidR="0041444F">
        <w:rPr>
          <w:rFonts w:ascii="Calibri" w:eastAsia="Calibri" w:hAnsi="Calibri" w:cs="Calibri"/>
          <w:color w:val="000000" w:themeColor="text1"/>
          <w:sz w:val="22"/>
          <w:szCs w:val="22"/>
          <w:lang w:val="en-US"/>
        </w:rPr>
        <w:t>,</w:t>
      </w:r>
      <w:r w:rsidR="00667B92" w:rsidRPr="009E3151">
        <w:rPr>
          <w:rFonts w:ascii="Calibri" w:eastAsia="Calibri" w:hAnsi="Calibri" w:cs="Calibri"/>
          <w:color w:val="000000" w:themeColor="text1"/>
          <w:sz w:val="22"/>
          <w:szCs w:val="22"/>
          <w:lang w:val="en-US"/>
        </w:rPr>
        <w:t xml:space="preserve"> </w:t>
      </w:r>
      <w:r w:rsidR="00CC49F1">
        <w:rPr>
          <w:rFonts w:ascii="Calibri" w:eastAsia="Calibri" w:hAnsi="Calibri" w:cs="Calibri"/>
          <w:color w:val="000000" w:themeColor="text1"/>
          <w:sz w:val="22"/>
          <w:szCs w:val="22"/>
          <w:lang w:val="en-US"/>
        </w:rPr>
        <w:t>from</w:t>
      </w:r>
      <w:r w:rsidR="0041444F">
        <w:rPr>
          <w:rFonts w:ascii="Calibri" w:eastAsia="Calibri" w:hAnsi="Calibri" w:cs="Calibri"/>
          <w:color w:val="000000" w:themeColor="text1"/>
          <w:sz w:val="22"/>
          <w:szCs w:val="22"/>
          <w:lang w:val="en-US"/>
        </w:rPr>
        <w:t xml:space="preserve"> a </w:t>
      </w:r>
      <w:r w:rsidR="00CC49F1">
        <w:rPr>
          <w:rFonts w:ascii="Calibri" w:eastAsia="Calibri" w:hAnsi="Calibri" w:cs="Calibri"/>
          <w:color w:val="000000" w:themeColor="text1"/>
          <w:sz w:val="22"/>
          <w:szCs w:val="22"/>
          <w:lang w:val="en-US"/>
        </w:rPr>
        <w:t>cohort</w:t>
      </w:r>
      <w:r w:rsidR="00667B92" w:rsidRPr="009E3151">
        <w:rPr>
          <w:rFonts w:ascii="Calibri" w:eastAsia="Calibri" w:hAnsi="Calibri" w:cs="Calibri"/>
          <w:color w:val="000000" w:themeColor="text1"/>
          <w:sz w:val="22"/>
          <w:szCs w:val="22"/>
          <w:lang w:val="en-US"/>
        </w:rPr>
        <w:t xml:space="preserve"> large enough to provide detailed epidemiological insights</w:t>
      </w:r>
      <w:r w:rsidR="0041444F">
        <w:rPr>
          <w:rFonts w:ascii="Calibri" w:eastAsia="Calibri" w:hAnsi="Calibri" w:cs="Calibri"/>
          <w:color w:val="000000" w:themeColor="text1"/>
          <w:sz w:val="22"/>
          <w:szCs w:val="22"/>
          <w:lang w:val="en-US"/>
        </w:rPr>
        <w:t xml:space="preserve"> and early warning signals</w:t>
      </w:r>
      <w:r w:rsidR="00667B92">
        <w:rPr>
          <w:rFonts w:ascii="Calibri" w:eastAsia="Calibri" w:hAnsi="Calibri" w:cs="Calibri"/>
          <w:color w:val="000000" w:themeColor="text1"/>
          <w:sz w:val="22"/>
          <w:szCs w:val="22"/>
          <w:lang w:val="en-US"/>
        </w:rPr>
        <w:t>.</w:t>
      </w:r>
      <w:r w:rsidR="00667B92" w:rsidRPr="00667B92">
        <w:rPr>
          <w:rFonts w:ascii="Calibri" w:eastAsia="Calibri" w:hAnsi="Calibri" w:cs="Calibri"/>
          <w:color w:val="000000" w:themeColor="text1"/>
          <w:sz w:val="22"/>
          <w:szCs w:val="22"/>
          <w:lang w:val="en-US"/>
        </w:rPr>
        <w:t xml:space="preserve"> </w:t>
      </w:r>
      <w:r w:rsidR="004151D2">
        <w:rPr>
          <w:rFonts w:ascii="Calibri" w:eastAsia="Calibri" w:hAnsi="Calibri" w:cs="Calibri"/>
          <w:color w:val="000000" w:themeColor="text1"/>
          <w:sz w:val="22"/>
          <w:szCs w:val="22"/>
          <w:lang w:val="en-US"/>
        </w:rPr>
        <w:t xml:space="preserve">With </w:t>
      </w:r>
      <w:r w:rsidR="004151D2" w:rsidRPr="009E3151">
        <w:rPr>
          <w:rFonts w:ascii="Calibri" w:eastAsia="Calibri" w:hAnsi="Calibri" w:cs="Calibri"/>
          <w:color w:val="000000" w:themeColor="text1"/>
          <w:sz w:val="22"/>
          <w:szCs w:val="22"/>
          <w:lang w:val="en-US"/>
        </w:rPr>
        <w:t>VMD</w:t>
      </w:r>
      <w:r w:rsidR="004151D2">
        <w:rPr>
          <w:rFonts w:ascii="Calibri" w:eastAsia="Calibri" w:hAnsi="Calibri" w:cs="Calibri"/>
          <w:color w:val="000000" w:themeColor="text1"/>
          <w:sz w:val="22"/>
          <w:szCs w:val="22"/>
          <w:lang w:val="en-US"/>
        </w:rPr>
        <w:t>, it</w:t>
      </w:r>
      <w:r w:rsidR="004151D2" w:rsidRPr="009E3151">
        <w:rPr>
          <w:rFonts w:ascii="Calibri" w:eastAsia="Calibri" w:hAnsi="Calibri" w:cs="Calibri"/>
          <w:color w:val="000000" w:themeColor="text1"/>
          <w:sz w:val="22"/>
          <w:szCs w:val="22"/>
          <w:lang w:val="en-US"/>
        </w:rPr>
        <w:t xml:space="preserve"> can</w:t>
      </w:r>
      <w:r w:rsidR="004151D2">
        <w:rPr>
          <w:rFonts w:ascii="Calibri" w:eastAsia="Calibri" w:hAnsi="Calibri" w:cs="Calibri"/>
          <w:color w:val="000000" w:themeColor="text1"/>
          <w:sz w:val="22"/>
          <w:szCs w:val="22"/>
          <w:lang w:val="en-US"/>
        </w:rPr>
        <w:t xml:space="preserve"> be</w:t>
      </w:r>
      <w:r w:rsidR="004151D2" w:rsidRPr="009E3151">
        <w:rPr>
          <w:rFonts w:ascii="Calibri" w:eastAsia="Calibri" w:hAnsi="Calibri" w:cs="Calibri"/>
          <w:color w:val="000000" w:themeColor="text1"/>
          <w:sz w:val="22"/>
          <w:szCs w:val="22"/>
          <w:lang w:val="en-US"/>
        </w:rPr>
        <w:t xml:space="preserve"> </w:t>
      </w:r>
      <w:r w:rsidR="004151D2">
        <w:rPr>
          <w:rFonts w:ascii="Calibri" w:eastAsia="Calibri" w:hAnsi="Calibri" w:cs="Calibri"/>
          <w:color w:val="000000" w:themeColor="text1"/>
          <w:sz w:val="22"/>
          <w:szCs w:val="22"/>
          <w:lang w:val="en-US"/>
        </w:rPr>
        <w:t>explore</w:t>
      </w:r>
      <w:r w:rsidR="004151D2">
        <w:rPr>
          <w:rFonts w:ascii="Calibri" w:eastAsia="Calibri" w:hAnsi="Calibri" w:cs="Calibri"/>
          <w:color w:val="000000" w:themeColor="text1"/>
          <w:sz w:val="22"/>
          <w:szCs w:val="22"/>
          <w:lang w:val="en-US"/>
        </w:rPr>
        <w:t>d</w:t>
      </w:r>
      <w:r w:rsidR="00F35E29">
        <w:rPr>
          <w:rFonts w:ascii="Calibri" w:eastAsia="Calibri" w:hAnsi="Calibri" w:cs="Calibri"/>
          <w:color w:val="000000" w:themeColor="text1"/>
          <w:sz w:val="22"/>
          <w:szCs w:val="22"/>
          <w:lang w:val="en-US"/>
        </w:rPr>
        <w:t xml:space="preserve"> if SARS-CoV-2 </w:t>
      </w:r>
      <w:r w:rsidR="00AC3EEF">
        <w:rPr>
          <w:rFonts w:ascii="Calibri" w:eastAsia="Calibri" w:hAnsi="Calibri" w:cs="Calibri"/>
          <w:color w:val="000000" w:themeColor="text1"/>
          <w:sz w:val="22"/>
          <w:szCs w:val="22"/>
          <w:lang w:val="en-US"/>
        </w:rPr>
        <w:t xml:space="preserve">waves </w:t>
      </w:r>
      <w:r w:rsidR="00AC3EEF" w:rsidRPr="0041444F">
        <w:rPr>
          <w:rFonts w:ascii="Calibri" w:eastAsia="Calibri" w:hAnsi="Calibri" w:cs="Calibri"/>
          <w:color w:val="000000" w:themeColor="text1"/>
          <w:sz w:val="22"/>
          <w:szCs w:val="22"/>
          <w:lang w:val="en-US"/>
        </w:rPr>
        <w:t>continue in similar</w:t>
      </w:r>
      <w:r w:rsidR="00AC3EEF" w:rsidRPr="0041444F">
        <w:rPr>
          <w:rFonts w:ascii="Calibri" w:eastAsia="Calibri" w:hAnsi="Calibri" w:cs="Calibri"/>
          <w:color w:val="000000" w:themeColor="text1"/>
          <w:sz w:val="22"/>
          <w:szCs w:val="22"/>
          <w:lang w:val="en-US"/>
        </w:rPr>
        <w:t xml:space="preserve"> magnitude</w:t>
      </w:r>
      <w:r w:rsidR="00AC3EEF" w:rsidRPr="0041444F">
        <w:rPr>
          <w:rFonts w:ascii="Calibri" w:eastAsia="Calibri" w:hAnsi="Calibri" w:cs="Calibri"/>
          <w:color w:val="000000" w:themeColor="text1"/>
          <w:sz w:val="22"/>
          <w:szCs w:val="22"/>
          <w:lang w:val="en-US"/>
        </w:rPr>
        <w:t xml:space="preserve"> as observed thus far</w:t>
      </w:r>
      <w:r w:rsidR="00AC3EEF" w:rsidRPr="0041444F">
        <w:rPr>
          <w:rFonts w:ascii="Calibri" w:eastAsia="Calibri" w:hAnsi="Calibri" w:cs="Calibri"/>
          <w:color w:val="000000" w:themeColor="text1"/>
          <w:sz w:val="22"/>
          <w:szCs w:val="22"/>
          <w:lang w:val="en-US"/>
        </w:rPr>
        <w:t xml:space="preserve"> within the general population</w:t>
      </w:r>
      <w:r w:rsidR="00AC3EEF" w:rsidRPr="0041444F">
        <w:rPr>
          <w:rFonts w:ascii="Calibri" w:eastAsia="Calibri" w:hAnsi="Calibri" w:cs="Calibri"/>
          <w:color w:val="000000" w:themeColor="text1"/>
          <w:sz w:val="22"/>
          <w:szCs w:val="22"/>
          <w:lang w:val="en-US"/>
        </w:rPr>
        <w:t xml:space="preserve">, and </w:t>
      </w:r>
      <w:r w:rsidR="00AC3EEF" w:rsidRPr="0041444F">
        <w:rPr>
          <w:rFonts w:ascii="Calibri" w:eastAsia="Calibri" w:hAnsi="Calibri" w:cs="Calibri"/>
          <w:color w:val="000000" w:themeColor="text1"/>
          <w:sz w:val="22"/>
          <w:szCs w:val="22"/>
          <w:lang w:val="en-US"/>
        </w:rPr>
        <w:t>how prior infections and vaccinations influe</w:t>
      </w:r>
      <w:bookmarkStart w:id="4" w:name="_GoBack"/>
      <w:bookmarkEnd w:id="4"/>
      <w:r w:rsidR="00AC3EEF" w:rsidRPr="0041444F">
        <w:rPr>
          <w:rFonts w:ascii="Calibri" w:eastAsia="Calibri" w:hAnsi="Calibri" w:cs="Calibri"/>
          <w:color w:val="000000" w:themeColor="text1"/>
          <w:sz w:val="22"/>
          <w:szCs w:val="22"/>
          <w:lang w:val="en-US"/>
        </w:rPr>
        <w:t>nce symptomatology</w:t>
      </w:r>
      <w:r w:rsidR="00AC3EEF" w:rsidRPr="0041444F">
        <w:rPr>
          <w:rFonts w:ascii="Calibri" w:eastAsia="Calibri" w:hAnsi="Calibri" w:cs="Calibri"/>
          <w:color w:val="000000" w:themeColor="text1"/>
          <w:sz w:val="22"/>
          <w:szCs w:val="22"/>
          <w:lang w:val="en-US"/>
        </w:rPr>
        <w:t>, e.g.</w:t>
      </w:r>
      <w:r w:rsidR="00AC3EEF" w:rsidRPr="0041444F">
        <w:rPr>
          <w:rFonts w:ascii="Calibri" w:eastAsia="Calibri" w:hAnsi="Calibri" w:cs="Calibri"/>
          <w:color w:val="000000" w:themeColor="text1"/>
          <w:sz w:val="22"/>
          <w:szCs w:val="22"/>
          <w:lang w:val="en-US"/>
        </w:rPr>
        <w:t>, it can be ex</w:t>
      </w:r>
      <w:r w:rsidR="00AC3EEF" w:rsidRPr="0041444F">
        <w:rPr>
          <w:rFonts w:ascii="Calibri" w:eastAsia="Calibri" w:hAnsi="Calibri" w:cs="Calibri"/>
          <w:color w:val="000000" w:themeColor="text1"/>
          <w:sz w:val="22"/>
          <w:szCs w:val="22"/>
          <w:lang w:val="en-US"/>
        </w:rPr>
        <w:t>plored</w:t>
      </w:r>
      <w:r w:rsidR="00AC3EEF" w:rsidRPr="0041444F">
        <w:rPr>
          <w:rFonts w:ascii="Calibri" w:eastAsia="Calibri" w:hAnsi="Calibri" w:cs="Calibri"/>
          <w:color w:val="000000" w:themeColor="text1"/>
          <w:sz w:val="22"/>
          <w:szCs w:val="22"/>
          <w:lang w:val="en-US"/>
        </w:rPr>
        <w:t xml:space="preserve"> whether SARS-CoV-2 symptoms evolve to resemble those of other endemic coronaviruses with time or if they remain similar to those caused by </w:t>
      </w:r>
      <w:proofErr w:type="spellStart"/>
      <w:r w:rsidR="00AC3EEF" w:rsidRPr="0041444F">
        <w:rPr>
          <w:rFonts w:ascii="Calibri" w:eastAsia="Calibri" w:hAnsi="Calibri" w:cs="Calibri"/>
          <w:color w:val="000000" w:themeColor="text1"/>
          <w:sz w:val="22"/>
          <w:szCs w:val="22"/>
          <w:lang w:val="en-US"/>
        </w:rPr>
        <w:t>influenzavirus</w:t>
      </w:r>
      <w:proofErr w:type="spellEnd"/>
      <w:r w:rsidR="00AC3EEF" w:rsidRPr="0041444F">
        <w:rPr>
          <w:rFonts w:ascii="Calibri" w:eastAsia="Calibri" w:hAnsi="Calibri" w:cs="Calibri"/>
          <w:color w:val="000000" w:themeColor="text1"/>
          <w:sz w:val="22"/>
          <w:szCs w:val="22"/>
          <w:lang w:val="en-US"/>
        </w:rPr>
        <w:t xml:space="preserve"> A.</w:t>
      </w:r>
      <w:r w:rsidR="0041444F">
        <w:rPr>
          <w:rFonts w:ascii="Calibri" w:eastAsia="Calibri" w:hAnsi="Calibri" w:cs="Calibri"/>
          <w:color w:val="000000" w:themeColor="text1"/>
          <w:sz w:val="22"/>
          <w:szCs w:val="22"/>
          <w:lang w:val="en-US"/>
        </w:rPr>
        <w:t xml:space="preserve"> </w:t>
      </w:r>
      <w:r w:rsidR="005C1DCD" w:rsidRPr="005C1DCD">
        <w:rPr>
          <w:rFonts w:ascii="Calibri" w:eastAsia="Calibri" w:hAnsi="Calibri" w:cs="Calibri"/>
          <w:color w:val="000000" w:themeColor="text1"/>
          <w:sz w:val="22"/>
          <w:szCs w:val="22"/>
          <w:lang w:val="en-US"/>
        </w:rPr>
        <w:t xml:space="preserve">VMD’s scalable platform offers a proactive tool </w:t>
      </w:r>
      <w:r w:rsidR="005C1DCD">
        <w:rPr>
          <w:rFonts w:ascii="Calibri" w:eastAsia="Calibri" w:hAnsi="Calibri" w:cs="Calibri"/>
          <w:color w:val="000000" w:themeColor="text1"/>
          <w:sz w:val="22"/>
          <w:szCs w:val="22"/>
          <w:lang w:val="en-US"/>
        </w:rPr>
        <w:t>that prepares us for the next</w:t>
      </w:r>
      <w:r w:rsidR="005C1DCD" w:rsidRPr="005C1DCD">
        <w:rPr>
          <w:rFonts w:ascii="Calibri" w:eastAsia="Calibri" w:hAnsi="Calibri" w:cs="Calibri"/>
          <w:color w:val="000000" w:themeColor="text1"/>
          <w:sz w:val="22"/>
          <w:szCs w:val="22"/>
          <w:lang w:val="en-US"/>
        </w:rPr>
        <w:t xml:space="preserve"> pandemic, minimizing</w:t>
      </w:r>
      <w:r w:rsidR="005C6ABA">
        <w:rPr>
          <w:rFonts w:ascii="Calibri" w:eastAsia="Calibri" w:hAnsi="Calibri" w:cs="Calibri"/>
          <w:color w:val="000000" w:themeColor="text1"/>
          <w:sz w:val="22"/>
          <w:szCs w:val="22"/>
          <w:lang w:val="en-US"/>
        </w:rPr>
        <w:t xml:space="preserve"> our</w:t>
      </w:r>
      <w:r w:rsidR="005C1DCD" w:rsidRPr="005C1DCD">
        <w:rPr>
          <w:rFonts w:ascii="Calibri" w:eastAsia="Calibri" w:hAnsi="Calibri" w:cs="Calibri"/>
          <w:color w:val="000000" w:themeColor="text1"/>
          <w:sz w:val="22"/>
          <w:szCs w:val="22"/>
          <w:lang w:val="en-US"/>
        </w:rPr>
        <w:t xml:space="preserve"> reliance on healthcare system resources.</w:t>
      </w:r>
    </w:p>
    <w:p w14:paraId="4E95BDBB" w14:textId="77777777" w:rsidR="0041444F" w:rsidRDefault="0041444F" w:rsidP="00AC3EEF">
      <w:pPr>
        <w:spacing w:before="240" w:after="240" w:line="259" w:lineRule="auto"/>
        <w:rPr>
          <w:rFonts w:ascii="Calibri" w:eastAsia="Calibri" w:hAnsi="Calibri" w:cs="Calibri"/>
          <w:color w:val="000000" w:themeColor="text1"/>
          <w:sz w:val="22"/>
          <w:szCs w:val="22"/>
          <w:lang w:val="en-US"/>
        </w:rPr>
      </w:pPr>
    </w:p>
    <w:p w14:paraId="0C4CBEC5" w14:textId="4DE5019A" w:rsidR="006A49B1" w:rsidRPr="006A49B1" w:rsidRDefault="006A49B1" w:rsidP="09E0435C">
      <w:pPr>
        <w:spacing w:line="259" w:lineRule="auto"/>
        <w:rPr>
          <w:rFonts w:ascii="Calibri" w:eastAsia="Calibri" w:hAnsi="Calibri" w:cs="Calibri"/>
          <w:b/>
          <w:bCs/>
          <w:color w:val="000000" w:themeColor="text1"/>
          <w:sz w:val="32"/>
          <w:szCs w:val="32"/>
          <w:lang w:val="en-US"/>
        </w:rPr>
      </w:pPr>
      <w:r w:rsidRPr="006A49B1">
        <w:rPr>
          <w:rFonts w:ascii="Calibri" w:eastAsia="Calibri" w:hAnsi="Calibri" w:cs="Calibri"/>
          <w:b/>
          <w:bCs/>
          <w:color w:val="000000" w:themeColor="text1"/>
          <w:sz w:val="32"/>
          <w:szCs w:val="32"/>
          <w:lang w:val="en-US"/>
        </w:rPr>
        <w:t>Ethics</w:t>
      </w:r>
    </w:p>
    <w:p w14:paraId="3DADD5B3" w14:textId="0783BC32" w:rsidR="006A49B1" w:rsidRDefault="00B8007D" w:rsidP="00B8007D">
      <w:pPr>
        <w:spacing w:line="259" w:lineRule="auto"/>
        <w:rPr>
          <w:rFonts w:ascii="Calibri" w:eastAsia="Calibri" w:hAnsi="Calibri" w:cs="Calibri"/>
          <w:color w:val="000000" w:themeColor="text1"/>
          <w:sz w:val="22"/>
          <w:szCs w:val="22"/>
          <w:lang w:val="en-US"/>
        </w:rPr>
      </w:pPr>
      <w:r w:rsidRPr="00B8007D">
        <w:rPr>
          <w:rFonts w:ascii="Calibri" w:eastAsia="Calibri" w:hAnsi="Calibri" w:cs="Calibri"/>
          <w:color w:val="000000" w:themeColor="text1"/>
          <w:sz w:val="22"/>
          <w:szCs w:val="22"/>
          <w:lang w:val="en-US"/>
        </w:rPr>
        <w:t xml:space="preserve">This article has been prepared on the basis of a study carried out as part of a task imposed on </w:t>
      </w:r>
      <w:proofErr w:type="spellStart"/>
      <w:r>
        <w:rPr>
          <w:rFonts w:ascii="Calibri" w:eastAsia="Calibri" w:hAnsi="Calibri" w:cs="Calibri"/>
          <w:color w:val="000000" w:themeColor="text1"/>
          <w:sz w:val="22"/>
          <w:szCs w:val="22"/>
          <w:lang w:val="en-US"/>
        </w:rPr>
        <w:t>S</w:t>
      </w:r>
      <w:r w:rsidRPr="00B8007D">
        <w:rPr>
          <w:rFonts w:ascii="Calibri" w:eastAsia="Calibri" w:hAnsi="Calibri" w:cs="Calibri"/>
          <w:color w:val="000000" w:themeColor="text1"/>
          <w:sz w:val="22"/>
          <w:szCs w:val="22"/>
          <w:lang w:val="en-US"/>
        </w:rPr>
        <w:t>tatens</w:t>
      </w:r>
      <w:proofErr w:type="spellEnd"/>
      <w:r w:rsidRPr="00B8007D">
        <w:rPr>
          <w:rFonts w:ascii="Calibri" w:eastAsia="Calibri" w:hAnsi="Calibri" w:cs="Calibri"/>
          <w:color w:val="000000" w:themeColor="text1"/>
          <w:sz w:val="22"/>
          <w:szCs w:val="22"/>
          <w:lang w:val="en-US"/>
        </w:rPr>
        <w:t xml:space="preserve"> Serum </w:t>
      </w:r>
      <w:proofErr w:type="spellStart"/>
      <w:r w:rsidRPr="00B8007D">
        <w:rPr>
          <w:rFonts w:ascii="Calibri" w:eastAsia="Calibri" w:hAnsi="Calibri" w:cs="Calibri"/>
          <w:color w:val="000000" w:themeColor="text1"/>
          <w:sz w:val="22"/>
          <w:szCs w:val="22"/>
          <w:lang w:val="en-US"/>
        </w:rPr>
        <w:t>Institut</w:t>
      </w:r>
      <w:proofErr w:type="spellEnd"/>
      <w:r w:rsidRPr="00B8007D">
        <w:rPr>
          <w:rFonts w:ascii="Calibri" w:eastAsia="Calibri" w:hAnsi="Calibri" w:cs="Calibri"/>
          <w:color w:val="000000" w:themeColor="text1"/>
          <w:sz w:val="22"/>
          <w:szCs w:val="22"/>
          <w:lang w:val="en-US"/>
        </w:rPr>
        <w:t xml:space="preserve"> according to national legislation. Therefore, no approval requirements from the ethics committees is obliged.</w:t>
      </w:r>
    </w:p>
    <w:p w14:paraId="24996002" w14:textId="77777777" w:rsidR="00545EDB" w:rsidRPr="009E3151" w:rsidRDefault="00545EDB" w:rsidP="09E0435C">
      <w:pPr>
        <w:spacing w:line="259" w:lineRule="auto"/>
        <w:rPr>
          <w:rFonts w:ascii="Calibri" w:eastAsia="Calibri" w:hAnsi="Calibri" w:cs="Calibri"/>
          <w:color w:val="000000" w:themeColor="text1"/>
          <w:sz w:val="22"/>
          <w:szCs w:val="22"/>
          <w:lang w:val="en-US"/>
        </w:rPr>
      </w:pPr>
    </w:p>
    <w:p w14:paraId="7B1D5C90" w14:textId="48B6D2BF" w:rsidR="171D466B" w:rsidRPr="005B54D3" w:rsidRDefault="171D466B" w:rsidP="09E0435C">
      <w:pPr>
        <w:spacing w:line="259" w:lineRule="auto"/>
        <w:rPr>
          <w:rFonts w:ascii="Calibri" w:eastAsia="Calibri" w:hAnsi="Calibri" w:cs="Calibri"/>
          <w:b/>
          <w:bCs/>
          <w:color w:val="000000" w:themeColor="text1"/>
          <w:sz w:val="32"/>
          <w:szCs w:val="32"/>
          <w:lang w:val="en-US"/>
        </w:rPr>
      </w:pPr>
      <w:r w:rsidRPr="005B54D3">
        <w:rPr>
          <w:rFonts w:ascii="Calibri" w:eastAsia="Calibri" w:hAnsi="Calibri" w:cs="Calibri"/>
          <w:b/>
          <w:bCs/>
          <w:color w:val="000000" w:themeColor="text1"/>
          <w:sz w:val="32"/>
          <w:szCs w:val="32"/>
          <w:lang w:val="en-US"/>
        </w:rPr>
        <w:t>Acknowledgements</w:t>
      </w:r>
    </w:p>
    <w:p w14:paraId="7DA186FE" w14:textId="46772932" w:rsidR="009A3215" w:rsidRPr="009A3215" w:rsidRDefault="0D39F4B7" w:rsidP="009A3215">
      <w:pPr>
        <w:spacing w:after="0" w:line="259" w:lineRule="auto"/>
        <w:rPr>
          <w:rFonts w:ascii="Calibri" w:eastAsia="Calibri" w:hAnsi="Calibri" w:cs="Calibri"/>
          <w:color w:val="000000" w:themeColor="text1"/>
          <w:sz w:val="22"/>
          <w:szCs w:val="22"/>
          <w:lang w:val="en-US"/>
        </w:rPr>
      </w:pPr>
      <w:r w:rsidRPr="009E3151">
        <w:rPr>
          <w:rFonts w:ascii="Calibri" w:eastAsia="Calibri" w:hAnsi="Calibri" w:cs="Calibri"/>
          <w:color w:val="000000" w:themeColor="text1"/>
          <w:sz w:val="22"/>
          <w:szCs w:val="22"/>
          <w:lang w:val="en-US"/>
        </w:rPr>
        <w:t xml:space="preserve">We extend our gratitude to </w:t>
      </w:r>
      <w:r w:rsidR="00634FB2" w:rsidRPr="009E3151">
        <w:rPr>
          <w:rFonts w:ascii="Calibri" w:eastAsia="Calibri" w:hAnsi="Calibri" w:cs="Calibri"/>
          <w:color w:val="000000" w:themeColor="text1"/>
          <w:sz w:val="22"/>
          <w:szCs w:val="22"/>
          <w:lang w:val="en-US"/>
        </w:rPr>
        <w:t xml:space="preserve">Anders A. D. Krusager, John M. J. </w:t>
      </w:r>
      <w:proofErr w:type="spellStart"/>
      <w:r w:rsidR="00634FB2" w:rsidRPr="009E3151">
        <w:rPr>
          <w:rFonts w:ascii="Calibri" w:eastAsia="Calibri" w:hAnsi="Calibri" w:cs="Calibri"/>
          <w:color w:val="000000" w:themeColor="text1"/>
          <w:sz w:val="22"/>
          <w:szCs w:val="22"/>
          <w:lang w:val="en-US"/>
        </w:rPr>
        <w:t>Lapage</w:t>
      </w:r>
      <w:proofErr w:type="spellEnd"/>
      <w:r w:rsidR="00634FB2" w:rsidRPr="009E3151">
        <w:rPr>
          <w:rFonts w:ascii="Calibri" w:eastAsia="Calibri" w:hAnsi="Calibri" w:cs="Calibri"/>
          <w:color w:val="000000" w:themeColor="text1"/>
          <w:sz w:val="22"/>
          <w:szCs w:val="22"/>
          <w:lang w:val="en-US"/>
        </w:rPr>
        <w:t>, Esben Mørk Hartmann</w:t>
      </w:r>
      <w:r w:rsidR="00001948" w:rsidRPr="009E3151">
        <w:rPr>
          <w:rFonts w:ascii="Calibri" w:eastAsia="Calibri" w:hAnsi="Calibri" w:cs="Calibri"/>
          <w:color w:val="000000" w:themeColor="text1"/>
          <w:sz w:val="22"/>
          <w:szCs w:val="22"/>
          <w:lang w:val="en-US"/>
        </w:rPr>
        <w:t>,</w:t>
      </w:r>
      <w:r w:rsidR="00634FB2" w:rsidRPr="009E3151">
        <w:rPr>
          <w:rFonts w:ascii="Calibri" w:eastAsia="Calibri" w:hAnsi="Calibri" w:cs="Calibri"/>
          <w:color w:val="000000" w:themeColor="text1"/>
          <w:sz w:val="22"/>
          <w:szCs w:val="22"/>
          <w:lang w:val="en-US"/>
        </w:rPr>
        <w:t xml:space="preserve"> </w:t>
      </w:r>
      <w:r w:rsidR="002F7F39" w:rsidRPr="009E3151">
        <w:rPr>
          <w:rFonts w:ascii="Calibri" w:eastAsia="Calibri" w:hAnsi="Calibri" w:cs="Calibri"/>
          <w:color w:val="000000" w:themeColor="text1"/>
          <w:sz w:val="22"/>
          <w:szCs w:val="22"/>
          <w:lang w:val="en-US"/>
        </w:rPr>
        <w:t xml:space="preserve">Anja Bjarnum, </w:t>
      </w:r>
      <w:r w:rsidRPr="009E3151">
        <w:rPr>
          <w:rFonts w:ascii="Calibri" w:eastAsia="Calibri" w:hAnsi="Calibri" w:cs="Calibri"/>
          <w:color w:val="000000" w:themeColor="text1"/>
          <w:sz w:val="22"/>
          <w:szCs w:val="22"/>
          <w:lang w:val="en-US"/>
        </w:rPr>
        <w:t xml:space="preserve">Andrey </w:t>
      </w:r>
      <w:proofErr w:type="spellStart"/>
      <w:r w:rsidRPr="009E3151">
        <w:rPr>
          <w:rFonts w:ascii="Calibri" w:eastAsia="Calibri" w:hAnsi="Calibri" w:cs="Calibri"/>
          <w:color w:val="000000" w:themeColor="text1"/>
          <w:sz w:val="22"/>
          <w:szCs w:val="22"/>
          <w:lang w:val="en-US"/>
        </w:rPr>
        <w:t>Romanovich</w:t>
      </w:r>
      <w:proofErr w:type="spellEnd"/>
      <w:r w:rsidRPr="009E3151">
        <w:rPr>
          <w:rFonts w:ascii="Calibri" w:eastAsia="Calibri" w:hAnsi="Calibri" w:cs="Calibri"/>
          <w:color w:val="000000" w:themeColor="text1"/>
          <w:sz w:val="22"/>
          <w:szCs w:val="22"/>
          <w:lang w:val="en-US"/>
        </w:rPr>
        <w:t xml:space="preserve"> </w:t>
      </w:r>
      <w:proofErr w:type="spellStart"/>
      <w:r w:rsidRPr="009E3151">
        <w:rPr>
          <w:rFonts w:ascii="Calibri" w:eastAsia="Calibri" w:hAnsi="Calibri" w:cs="Calibri"/>
          <w:color w:val="000000" w:themeColor="text1"/>
          <w:sz w:val="22"/>
          <w:szCs w:val="22"/>
          <w:lang w:val="en-US"/>
        </w:rPr>
        <w:t>Erofeev</w:t>
      </w:r>
      <w:proofErr w:type="spellEnd"/>
      <w:r w:rsidRPr="009E3151">
        <w:rPr>
          <w:rFonts w:ascii="Calibri" w:eastAsia="Calibri" w:hAnsi="Calibri" w:cs="Calibri"/>
          <w:color w:val="000000" w:themeColor="text1"/>
          <w:sz w:val="22"/>
          <w:szCs w:val="22"/>
          <w:lang w:val="en-US"/>
        </w:rPr>
        <w:t xml:space="preserve">, </w:t>
      </w:r>
      <w:proofErr w:type="spellStart"/>
      <w:r w:rsidRPr="009E3151">
        <w:rPr>
          <w:rFonts w:ascii="Calibri" w:eastAsia="Calibri" w:hAnsi="Calibri" w:cs="Calibri"/>
          <w:color w:val="000000" w:themeColor="text1"/>
          <w:sz w:val="22"/>
          <w:szCs w:val="22"/>
          <w:lang w:val="en-US"/>
        </w:rPr>
        <w:t>Desirée</w:t>
      </w:r>
      <w:proofErr w:type="spellEnd"/>
      <w:r w:rsidRPr="009E3151">
        <w:rPr>
          <w:rFonts w:ascii="Calibri" w:eastAsia="Calibri" w:hAnsi="Calibri" w:cs="Calibri"/>
          <w:color w:val="000000" w:themeColor="text1"/>
          <w:sz w:val="22"/>
          <w:szCs w:val="22"/>
          <w:lang w:val="en-US"/>
        </w:rPr>
        <w:t xml:space="preserve"> </w:t>
      </w:r>
      <w:proofErr w:type="spellStart"/>
      <w:r w:rsidRPr="009E3151">
        <w:rPr>
          <w:rFonts w:ascii="Calibri" w:eastAsia="Calibri" w:hAnsi="Calibri" w:cs="Calibri"/>
          <w:color w:val="000000" w:themeColor="text1"/>
          <w:sz w:val="22"/>
          <w:szCs w:val="22"/>
          <w:lang w:val="en-US"/>
        </w:rPr>
        <w:t>Sprogøe</w:t>
      </w:r>
      <w:proofErr w:type="spellEnd"/>
      <w:r w:rsidRPr="009E3151">
        <w:rPr>
          <w:rFonts w:ascii="Calibri" w:eastAsia="Calibri" w:hAnsi="Calibri" w:cs="Calibri"/>
          <w:color w:val="000000" w:themeColor="text1"/>
          <w:sz w:val="22"/>
          <w:szCs w:val="22"/>
          <w:lang w:val="en-US"/>
        </w:rPr>
        <w:t xml:space="preserve">, Henriette </w:t>
      </w:r>
      <w:proofErr w:type="spellStart"/>
      <w:r w:rsidRPr="009E3151">
        <w:rPr>
          <w:rFonts w:ascii="Calibri" w:eastAsia="Calibri" w:hAnsi="Calibri" w:cs="Calibri"/>
          <w:color w:val="000000" w:themeColor="text1"/>
          <w:sz w:val="22"/>
          <w:szCs w:val="22"/>
          <w:lang w:val="en-US"/>
        </w:rPr>
        <w:t>Nyskjold</w:t>
      </w:r>
      <w:proofErr w:type="spellEnd"/>
      <w:r w:rsidRPr="009E3151">
        <w:rPr>
          <w:rFonts w:ascii="Calibri" w:eastAsia="Calibri" w:hAnsi="Calibri" w:cs="Calibri"/>
          <w:color w:val="000000" w:themeColor="text1"/>
          <w:sz w:val="22"/>
          <w:szCs w:val="22"/>
          <w:lang w:val="en-US"/>
        </w:rPr>
        <w:t>, Kiran Ali Mirza, Mohammad El-Najjar, Morten Bjørn Aagaard Warring</w:t>
      </w:r>
      <w:r w:rsidR="00634FB2" w:rsidRPr="009E3151">
        <w:rPr>
          <w:rFonts w:ascii="Calibri" w:eastAsia="Calibri" w:hAnsi="Calibri" w:cs="Calibri"/>
          <w:color w:val="000000" w:themeColor="text1"/>
          <w:sz w:val="22"/>
          <w:szCs w:val="22"/>
          <w:lang w:val="en-US"/>
        </w:rPr>
        <w:t xml:space="preserve"> and</w:t>
      </w:r>
      <w:r w:rsidR="00001948" w:rsidRPr="009E3151">
        <w:rPr>
          <w:rFonts w:ascii="Calibri" w:eastAsia="Calibri" w:hAnsi="Calibri" w:cs="Calibri"/>
          <w:color w:val="000000" w:themeColor="text1"/>
          <w:sz w:val="22"/>
          <w:szCs w:val="22"/>
          <w:lang w:val="en-US"/>
        </w:rPr>
        <w:t xml:space="preserve"> </w:t>
      </w:r>
      <w:r w:rsidRPr="009E3151">
        <w:rPr>
          <w:rFonts w:ascii="Calibri" w:eastAsia="Calibri" w:hAnsi="Calibri" w:cs="Calibri"/>
          <w:color w:val="000000" w:themeColor="text1"/>
          <w:sz w:val="22"/>
          <w:szCs w:val="22"/>
          <w:lang w:val="en-US"/>
        </w:rPr>
        <w:t xml:space="preserve">Trine </w:t>
      </w:r>
      <w:proofErr w:type="spellStart"/>
      <w:r w:rsidRPr="009E3151">
        <w:rPr>
          <w:rFonts w:ascii="Calibri" w:eastAsia="Calibri" w:hAnsi="Calibri" w:cs="Calibri"/>
          <w:color w:val="000000" w:themeColor="text1"/>
          <w:sz w:val="22"/>
          <w:szCs w:val="22"/>
          <w:lang w:val="en-US"/>
        </w:rPr>
        <w:t>Søndberg</w:t>
      </w:r>
      <w:proofErr w:type="spellEnd"/>
      <w:r w:rsidRPr="009E3151">
        <w:rPr>
          <w:rFonts w:ascii="Calibri" w:eastAsia="Calibri" w:hAnsi="Calibri" w:cs="Calibri"/>
          <w:color w:val="000000" w:themeColor="text1"/>
          <w:sz w:val="22"/>
          <w:szCs w:val="22"/>
          <w:lang w:val="en-US"/>
        </w:rPr>
        <w:t xml:space="preserve"> for their assistance and technical support.</w:t>
      </w:r>
      <w:r w:rsidR="009A3215">
        <w:rPr>
          <w:rFonts w:ascii="Calibri" w:eastAsia="Calibri" w:hAnsi="Calibri" w:cs="Calibri"/>
          <w:color w:val="000000" w:themeColor="text1"/>
          <w:sz w:val="22"/>
          <w:szCs w:val="22"/>
          <w:lang w:val="en-US"/>
        </w:rPr>
        <w:t xml:space="preserve"> </w:t>
      </w:r>
      <w:bookmarkStart w:id="5" w:name="_Hlk185877920"/>
      <w:r w:rsidR="009A3215" w:rsidRPr="009A3215">
        <w:rPr>
          <w:rFonts w:ascii="Calibri" w:eastAsia="Calibri" w:hAnsi="Calibri" w:cs="Calibri"/>
          <w:color w:val="000000" w:themeColor="text1"/>
          <w:sz w:val="22"/>
          <w:szCs w:val="22"/>
          <w:lang w:val="en-US"/>
        </w:rPr>
        <w:t xml:space="preserve">We are also grateful to our reference group of experts in epidemiology, clinical medicine, and microbiology for their advice and support both at the </w:t>
      </w:r>
      <w:r w:rsidR="009A3215">
        <w:rPr>
          <w:rFonts w:ascii="Calibri" w:eastAsia="Calibri" w:hAnsi="Calibri" w:cs="Calibri"/>
          <w:color w:val="000000" w:themeColor="text1"/>
          <w:sz w:val="22"/>
          <w:szCs w:val="22"/>
          <w:lang w:val="en-US"/>
        </w:rPr>
        <w:t>start-up</w:t>
      </w:r>
      <w:r w:rsidR="009A3215" w:rsidRPr="009A3215">
        <w:rPr>
          <w:rFonts w:ascii="Calibri" w:eastAsia="Calibri" w:hAnsi="Calibri" w:cs="Calibri"/>
          <w:color w:val="000000" w:themeColor="text1"/>
          <w:sz w:val="22"/>
          <w:szCs w:val="22"/>
          <w:lang w:val="en-US"/>
        </w:rPr>
        <w:t xml:space="preserve"> and throughout the pro</w:t>
      </w:r>
      <w:r w:rsidR="009A3215">
        <w:rPr>
          <w:rFonts w:ascii="Calibri" w:eastAsia="Calibri" w:hAnsi="Calibri" w:cs="Calibri"/>
          <w:color w:val="000000" w:themeColor="text1"/>
          <w:sz w:val="22"/>
          <w:szCs w:val="22"/>
          <w:lang w:val="en-US"/>
        </w:rPr>
        <w:t>ject</w:t>
      </w:r>
      <w:r w:rsidR="009A3215" w:rsidRPr="009A3215">
        <w:rPr>
          <w:rFonts w:ascii="Calibri" w:eastAsia="Calibri" w:hAnsi="Calibri" w:cs="Calibri"/>
          <w:color w:val="000000" w:themeColor="text1"/>
          <w:sz w:val="22"/>
          <w:szCs w:val="22"/>
          <w:lang w:val="en-US"/>
        </w:rPr>
        <w:t>.</w:t>
      </w:r>
      <w:bookmarkEnd w:id="5"/>
    </w:p>
    <w:p w14:paraId="69577278" w14:textId="3F0F2141" w:rsidR="171D466B" w:rsidRPr="009E3151" w:rsidRDefault="171D466B" w:rsidP="09E0435C">
      <w:pPr>
        <w:spacing w:after="0" w:line="259" w:lineRule="auto"/>
        <w:rPr>
          <w:rFonts w:ascii="Calibri" w:eastAsia="Calibri" w:hAnsi="Calibri" w:cs="Calibri"/>
          <w:color w:val="000000" w:themeColor="text1"/>
          <w:sz w:val="22"/>
          <w:szCs w:val="22"/>
          <w:lang w:val="en-US"/>
        </w:rPr>
      </w:pPr>
    </w:p>
    <w:p w14:paraId="350CAD52" w14:textId="77777777" w:rsidR="00F8260F" w:rsidRPr="009E3151" w:rsidRDefault="00F8260F" w:rsidP="09E0435C">
      <w:pPr>
        <w:spacing w:after="0" w:line="259" w:lineRule="auto"/>
        <w:rPr>
          <w:rFonts w:ascii="Calibri" w:eastAsia="Calibri" w:hAnsi="Calibri" w:cs="Calibri"/>
          <w:color w:val="000000" w:themeColor="text1"/>
          <w:sz w:val="22"/>
          <w:szCs w:val="22"/>
          <w:lang w:val="en-US"/>
        </w:rPr>
      </w:pPr>
    </w:p>
    <w:p w14:paraId="3F84A4CE" w14:textId="256F9F41" w:rsidR="4386D7A0" w:rsidRPr="009E3151" w:rsidRDefault="4386D7A0" w:rsidP="4386D7A0">
      <w:pPr>
        <w:spacing w:after="0" w:line="259" w:lineRule="auto"/>
        <w:rPr>
          <w:rFonts w:ascii="Calibri" w:eastAsia="Calibri" w:hAnsi="Calibri" w:cs="Calibri"/>
          <w:color w:val="000000" w:themeColor="text1"/>
          <w:sz w:val="22"/>
          <w:szCs w:val="22"/>
          <w:lang w:val="en-US"/>
        </w:rPr>
      </w:pPr>
    </w:p>
    <w:p w14:paraId="64945D1B" w14:textId="0FE307F1" w:rsidR="7848700F" w:rsidRPr="005B54D3" w:rsidRDefault="7848700F" w:rsidP="4386D7A0">
      <w:pPr>
        <w:spacing w:line="259" w:lineRule="auto"/>
        <w:rPr>
          <w:rFonts w:ascii="Calibri" w:eastAsia="Calibri" w:hAnsi="Calibri" w:cs="Calibri"/>
          <w:b/>
          <w:bCs/>
          <w:color w:val="000000" w:themeColor="text1"/>
          <w:sz w:val="32"/>
          <w:szCs w:val="32"/>
          <w:lang w:val="en-US"/>
        </w:rPr>
      </w:pPr>
      <w:r w:rsidRPr="005B54D3">
        <w:rPr>
          <w:rFonts w:ascii="Calibri" w:eastAsia="Calibri" w:hAnsi="Calibri" w:cs="Calibri"/>
          <w:b/>
          <w:bCs/>
          <w:color w:val="000000" w:themeColor="text1"/>
          <w:sz w:val="32"/>
          <w:szCs w:val="32"/>
          <w:lang w:val="en-US"/>
        </w:rPr>
        <w:t>Disclaime</w:t>
      </w:r>
      <w:r w:rsidR="000E5919">
        <w:rPr>
          <w:rFonts w:ascii="Calibri" w:eastAsia="Calibri" w:hAnsi="Calibri" w:cs="Calibri"/>
          <w:b/>
          <w:bCs/>
          <w:color w:val="000000" w:themeColor="text1"/>
          <w:sz w:val="32"/>
          <w:szCs w:val="32"/>
          <w:lang w:val="en-US"/>
        </w:rPr>
        <w:t>r</w:t>
      </w:r>
    </w:p>
    <w:p w14:paraId="33784357" w14:textId="51BA5756" w:rsidR="12E9313B" w:rsidRPr="009E3151" w:rsidRDefault="12E9313B" w:rsidP="4386D7A0">
      <w:pPr>
        <w:spacing w:after="0" w:line="259" w:lineRule="auto"/>
        <w:rPr>
          <w:rFonts w:ascii="Calibri" w:eastAsia="Calibri" w:hAnsi="Calibri" w:cs="Calibri"/>
          <w:sz w:val="22"/>
          <w:szCs w:val="22"/>
          <w:lang w:val="en-US"/>
        </w:rPr>
      </w:pPr>
      <w:r w:rsidRPr="009E3151">
        <w:rPr>
          <w:rFonts w:ascii="Calibri" w:eastAsia="Calibri" w:hAnsi="Calibri" w:cs="Calibri"/>
          <w:sz w:val="22"/>
          <w:szCs w:val="22"/>
          <w:lang w:val="en-US"/>
        </w:rPr>
        <w:t>The author</w:t>
      </w:r>
      <w:r w:rsidR="5FBB9CFF" w:rsidRPr="009E3151">
        <w:rPr>
          <w:rFonts w:ascii="Calibri" w:eastAsia="Calibri" w:hAnsi="Calibri" w:cs="Calibri"/>
          <w:sz w:val="22"/>
          <w:szCs w:val="22"/>
          <w:lang w:val="en-US"/>
        </w:rPr>
        <w:t xml:space="preserve"> TGL</w:t>
      </w:r>
      <w:r w:rsidRPr="009E3151">
        <w:rPr>
          <w:rFonts w:ascii="Calibri" w:eastAsia="Calibri" w:hAnsi="Calibri" w:cs="Calibri"/>
          <w:sz w:val="22"/>
          <w:szCs w:val="22"/>
          <w:lang w:val="en-US"/>
        </w:rPr>
        <w:t xml:space="preserve"> is a fellow of the ECDC Fellowship </w:t>
      </w:r>
      <w:proofErr w:type="spellStart"/>
      <w:r w:rsidRPr="009E3151">
        <w:rPr>
          <w:rFonts w:ascii="Calibri" w:eastAsia="Calibri" w:hAnsi="Calibri" w:cs="Calibri"/>
          <w:sz w:val="22"/>
          <w:szCs w:val="22"/>
          <w:lang w:val="en-US"/>
        </w:rPr>
        <w:t>Program</w:t>
      </w:r>
      <w:r w:rsidR="0016154C">
        <w:rPr>
          <w:rFonts w:ascii="Calibri" w:eastAsia="Calibri" w:hAnsi="Calibri" w:cs="Calibri"/>
          <w:sz w:val="22"/>
          <w:szCs w:val="22"/>
          <w:lang w:val="en-US"/>
        </w:rPr>
        <w:t>me</w:t>
      </w:r>
      <w:proofErr w:type="spellEnd"/>
      <w:r w:rsidRPr="009E3151">
        <w:rPr>
          <w:rFonts w:ascii="Calibri" w:eastAsia="Calibri" w:hAnsi="Calibri" w:cs="Calibri"/>
          <w:sz w:val="22"/>
          <w:szCs w:val="22"/>
          <w:lang w:val="en-US"/>
        </w:rPr>
        <w:t xml:space="preserve">, supported financially by the European Centre for Disease Prevention and Control. The views and opinions expressed herein do not state or reflect those of ECDC. </w:t>
      </w:r>
      <w:r w:rsidR="3BEE431C" w:rsidRPr="009E3151">
        <w:rPr>
          <w:rFonts w:ascii="Calibri" w:eastAsia="Calibri" w:hAnsi="Calibri" w:cs="Calibri"/>
          <w:sz w:val="22"/>
          <w:szCs w:val="22"/>
          <w:lang w:val="en-US"/>
        </w:rPr>
        <w:t xml:space="preserve">The </w:t>
      </w:r>
      <w:r w:rsidRPr="009E3151">
        <w:rPr>
          <w:rFonts w:ascii="Calibri" w:eastAsia="Calibri" w:hAnsi="Calibri" w:cs="Calibri"/>
          <w:sz w:val="22"/>
          <w:szCs w:val="22"/>
          <w:lang w:val="en-US"/>
        </w:rPr>
        <w:t>ECDC is not responsible for the data and information collation and analysis and cannot be held liable for conclusions or opinions drawn.</w:t>
      </w:r>
    </w:p>
    <w:p w14:paraId="204A79D5" w14:textId="3BF50EE8" w:rsidR="09E0435C" w:rsidRPr="009E3151" w:rsidRDefault="09E0435C" w:rsidP="09E0435C">
      <w:pPr>
        <w:spacing w:line="259" w:lineRule="auto"/>
        <w:rPr>
          <w:rFonts w:ascii="Calibri" w:eastAsia="Calibri" w:hAnsi="Calibri" w:cs="Calibri"/>
          <w:color w:val="000000" w:themeColor="text1"/>
          <w:sz w:val="22"/>
          <w:szCs w:val="22"/>
          <w:lang w:val="en-US"/>
        </w:rPr>
      </w:pPr>
    </w:p>
    <w:p w14:paraId="0F523F4B" w14:textId="13B45AFB" w:rsidR="3E911B56" w:rsidRPr="005B54D3" w:rsidRDefault="3E911B56" w:rsidP="4386D7A0">
      <w:pPr>
        <w:spacing w:line="259" w:lineRule="auto"/>
        <w:rPr>
          <w:rFonts w:ascii="Calibri" w:eastAsia="Calibri" w:hAnsi="Calibri" w:cs="Calibri"/>
          <w:b/>
          <w:bCs/>
          <w:color w:val="000000" w:themeColor="text1"/>
          <w:sz w:val="32"/>
          <w:szCs w:val="32"/>
          <w:lang w:val="en-US"/>
        </w:rPr>
      </w:pPr>
      <w:r w:rsidRPr="005B54D3">
        <w:rPr>
          <w:rFonts w:ascii="Calibri" w:eastAsia="Calibri" w:hAnsi="Calibri" w:cs="Calibri"/>
          <w:b/>
          <w:bCs/>
          <w:color w:val="000000" w:themeColor="text1"/>
          <w:sz w:val="32"/>
          <w:szCs w:val="32"/>
          <w:lang w:val="en-US"/>
        </w:rPr>
        <w:t>Conflict o</w:t>
      </w:r>
      <w:r w:rsidR="002D2A0C">
        <w:rPr>
          <w:rFonts w:ascii="Calibri" w:eastAsia="Calibri" w:hAnsi="Calibri" w:cs="Calibri"/>
          <w:b/>
          <w:bCs/>
          <w:color w:val="000000" w:themeColor="text1"/>
          <w:sz w:val="32"/>
          <w:szCs w:val="32"/>
          <w:lang w:val="en-US"/>
        </w:rPr>
        <w:t>f</w:t>
      </w:r>
      <w:r w:rsidRPr="005B54D3">
        <w:rPr>
          <w:rFonts w:ascii="Calibri" w:eastAsia="Calibri" w:hAnsi="Calibri" w:cs="Calibri"/>
          <w:b/>
          <w:bCs/>
          <w:color w:val="000000" w:themeColor="text1"/>
          <w:sz w:val="32"/>
          <w:szCs w:val="32"/>
          <w:lang w:val="en-US"/>
        </w:rPr>
        <w:t xml:space="preserve"> interest</w:t>
      </w:r>
    </w:p>
    <w:p w14:paraId="46BA2D08" w14:textId="48ADE1C8" w:rsidR="3E911B56" w:rsidRPr="009E3151" w:rsidRDefault="3E911B56" w:rsidP="4386D7A0">
      <w:pPr>
        <w:spacing w:after="0" w:line="259" w:lineRule="auto"/>
        <w:rPr>
          <w:rFonts w:ascii="Calibri" w:eastAsia="Calibri" w:hAnsi="Calibri" w:cs="Calibri"/>
          <w:sz w:val="22"/>
          <w:szCs w:val="22"/>
          <w:lang w:val="en-US"/>
        </w:rPr>
      </w:pPr>
      <w:r w:rsidRPr="009E3151">
        <w:rPr>
          <w:rFonts w:ascii="Calibri" w:eastAsia="Calibri" w:hAnsi="Calibri" w:cs="Calibri"/>
          <w:sz w:val="22"/>
          <w:szCs w:val="22"/>
          <w:lang w:val="en-US"/>
        </w:rPr>
        <w:t>None</w:t>
      </w:r>
      <w:r w:rsidR="00545EDB">
        <w:rPr>
          <w:rFonts w:ascii="Calibri" w:eastAsia="Calibri" w:hAnsi="Calibri" w:cs="Calibri"/>
          <w:sz w:val="22"/>
          <w:szCs w:val="22"/>
          <w:lang w:val="en-US"/>
        </w:rPr>
        <w:t>.</w:t>
      </w:r>
    </w:p>
    <w:p w14:paraId="13670D8D" w14:textId="5A93DFD1" w:rsidR="00AF1101" w:rsidRPr="009E3151" w:rsidRDefault="00AF1101" w:rsidP="17D6C554">
      <w:pPr>
        <w:spacing w:line="259" w:lineRule="auto"/>
        <w:rPr>
          <w:rFonts w:ascii="Aptos" w:eastAsia="Aptos" w:hAnsi="Aptos" w:cs="Aptos"/>
          <w:color w:val="000000" w:themeColor="text1"/>
          <w:sz w:val="22"/>
          <w:szCs w:val="22"/>
          <w:lang w:val="en-US"/>
        </w:rPr>
      </w:pPr>
    </w:p>
    <w:p w14:paraId="75FE435E" w14:textId="09130C07" w:rsidR="00671196" w:rsidRPr="005B54D3" w:rsidRDefault="00671196" w:rsidP="17D6C554">
      <w:pPr>
        <w:spacing w:line="259" w:lineRule="auto"/>
        <w:rPr>
          <w:rFonts w:ascii="Calibri" w:eastAsia="Calibri" w:hAnsi="Calibri" w:cs="Calibri"/>
          <w:b/>
          <w:bCs/>
          <w:color w:val="000000" w:themeColor="text1"/>
          <w:sz w:val="32"/>
          <w:szCs w:val="32"/>
          <w:lang w:val="en-US"/>
        </w:rPr>
      </w:pPr>
      <w:r w:rsidRPr="005B54D3">
        <w:rPr>
          <w:rFonts w:ascii="Calibri" w:eastAsia="Calibri" w:hAnsi="Calibri" w:cs="Calibri"/>
          <w:b/>
          <w:bCs/>
          <w:color w:val="000000" w:themeColor="text1"/>
          <w:sz w:val="32"/>
          <w:szCs w:val="32"/>
          <w:lang w:val="en-US"/>
        </w:rPr>
        <w:t>Funding</w:t>
      </w:r>
    </w:p>
    <w:p w14:paraId="77A836F4" w14:textId="44BF3F07" w:rsidR="00AF1101" w:rsidRPr="009E3151" w:rsidRDefault="00FD599E" w:rsidP="17D6C554">
      <w:pPr>
        <w:spacing w:line="259" w:lineRule="auto"/>
        <w:rPr>
          <w:rFonts w:ascii="Aptos" w:eastAsia="Aptos" w:hAnsi="Aptos" w:cs="Aptos"/>
          <w:color w:val="000000" w:themeColor="text1"/>
          <w:sz w:val="22"/>
          <w:szCs w:val="22"/>
          <w:lang w:val="en-US"/>
        </w:rPr>
      </w:pPr>
      <w:r>
        <w:rPr>
          <w:rFonts w:ascii="Aptos" w:eastAsia="Aptos" w:hAnsi="Aptos" w:cs="Aptos"/>
          <w:color w:val="000000" w:themeColor="text1"/>
          <w:sz w:val="22"/>
          <w:szCs w:val="22"/>
          <w:lang w:val="en-US"/>
        </w:rPr>
        <w:t>T</w:t>
      </w:r>
      <w:r w:rsidR="00A623B7" w:rsidRPr="009E3151">
        <w:rPr>
          <w:rFonts w:ascii="Aptos" w:eastAsia="Aptos" w:hAnsi="Aptos" w:cs="Aptos"/>
          <w:color w:val="000000" w:themeColor="text1"/>
          <w:sz w:val="22"/>
          <w:szCs w:val="22"/>
          <w:lang w:val="en-US"/>
        </w:rPr>
        <w:t>his study was conducted as part of government funded disease surveillance.</w:t>
      </w:r>
    </w:p>
    <w:p w14:paraId="4CDAA3B2" w14:textId="77777777" w:rsidR="00A623B7" w:rsidRPr="009E3151" w:rsidRDefault="00A623B7" w:rsidP="17D6C554">
      <w:pPr>
        <w:spacing w:line="259" w:lineRule="auto"/>
        <w:rPr>
          <w:rFonts w:ascii="Aptos" w:eastAsia="Aptos" w:hAnsi="Aptos" w:cs="Aptos"/>
          <w:color w:val="000000" w:themeColor="text1"/>
          <w:lang w:val="en-US"/>
        </w:rPr>
      </w:pPr>
    </w:p>
    <w:p w14:paraId="53B9522E" w14:textId="3AC12EE7" w:rsidR="00AF1101" w:rsidRPr="005B54D3" w:rsidRDefault="00C33401" w:rsidP="17D6C554">
      <w:pPr>
        <w:spacing w:line="259" w:lineRule="auto"/>
        <w:rPr>
          <w:rFonts w:ascii="Calibri" w:eastAsia="Calibri" w:hAnsi="Calibri" w:cs="Calibri"/>
          <w:b/>
          <w:bCs/>
          <w:color w:val="000000" w:themeColor="text1"/>
          <w:sz w:val="32"/>
          <w:szCs w:val="32"/>
          <w:lang w:val="en-US"/>
        </w:rPr>
      </w:pPr>
      <w:r w:rsidRPr="005B54D3">
        <w:rPr>
          <w:rFonts w:ascii="Calibri" w:eastAsia="Calibri" w:hAnsi="Calibri" w:cs="Calibri"/>
          <w:b/>
          <w:bCs/>
          <w:color w:val="000000" w:themeColor="text1"/>
          <w:sz w:val="32"/>
          <w:szCs w:val="32"/>
          <w:lang w:val="en-US"/>
        </w:rPr>
        <w:t>References</w:t>
      </w:r>
    </w:p>
    <w:p w14:paraId="4EE4DE2E" w14:textId="0C64B625" w:rsidR="00C649AA" w:rsidRPr="000D0228" w:rsidRDefault="00C33401" w:rsidP="00C649AA">
      <w:pPr>
        <w:widowControl w:val="0"/>
        <w:autoSpaceDE w:val="0"/>
        <w:autoSpaceDN w:val="0"/>
        <w:adjustRightInd w:val="0"/>
        <w:spacing w:line="240" w:lineRule="auto"/>
        <w:ind w:left="640" w:hanging="640"/>
        <w:rPr>
          <w:rFonts w:ascii="Calibri" w:hAnsi="Calibri" w:cs="Calibri"/>
          <w:noProof/>
          <w:lang w:val="en-US"/>
        </w:rPr>
      </w:pPr>
      <w:r w:rsidRPr="009E3151">
        <w:rPr>
          <w:rFonts w:ascii="Calibri" w:eastAsia="Calibri" w:hAnsi="Calibri" w:cs="Calibri"/>
          <w:b/>
          <w:bCs/>
          <w:color w:val="000000" w:themeColor="text1"/>
          <w:lang w:val="en-US"/>
        </w:rPr>
        <w:fldChar w:fldCharType="begin" w:fldLock="1"/>
      </w:r>
      <w:r w:rsidRPr="009E3151">
        <w:rPr>
          <w:rFonts w:ascii="Calibri" w:eastAsia="Calibri" w:hAnsi="Calibri" w:cs="Calibri"/>
          <w:b/>
          <w:bCs/>
          <w:color w:val="000000" w:themeColor="text1"/>
          <w:lang w:val="en-US"/>
        </w:rPr>
        <w:instrText xml:space="preserve">ADDIN Mendeley Bibliography CSL_BIBLIOGRAPHY </w:instrText>
      </w:r>
      <w:r w:rsidRPr="009E3151">
        <w:rPr>
          <w:rFonts w:ascii="Calibri" w:eastAsia="Calibri" w:hAnsi="Calibri" w:cs="Calibri"/>
          <w:b/>
          <w:bCs/>
          <w:color w:val="000000" w:themeColor="text1"/>
          <w:lang w:val="en-US"/>
        </w:rPr>
        <w:fldChar w:fldCharType="separate"/>
      </w:r>
      <w:r w:rsidR="00C649AA" w:rsidRPr="000D0228">
        <w:rPr>
          <w:rFonts w:ascii="Calibri" w:hAnsi="Calibri" w:cs="Calibri"/>
          <w:noProof/>
          <w:lang w:val="en-US"/>
        </w:rPr>
        <w:t>1.</w:t>
      </w:r>
      <w:r w:rsidR="00C649AA" w:rsidRPr="000D0228">
        <w:rPr>
          <w:rFonts w:ascii="Calibri" w:hAnsi="Calibri" w:cs="Calibri"/>
          <w:noProof/>
          <w:lang w:val="en-US"/>
        </w:rPr>
        <w:tab/>
        <w:t xml:space="preserve">Foodborne Diseases Active Surveillance Network (FoodNet) - Volume 3, Number 4—December 1997 - Emerging Infectious Diseases journal - CDC. </w:t>
      </w:r>
      <w:r w:rsidR="00C649AA" w:rsidRPr="000D0228">
        <w:rPr>
          <w:rFonts w:ascii="Calibri" w:hAnsi="Calibri" w:cs="Calibri"/>
          <w:i/>
          <w:iCs/>
          <w:noProof/>
          <w:lang w:val="en-US"/>
        </w:rPr>
        <w:t>Emerg Infect Dis</w:t>
      </w:r>
      <w:r w:rsidR="00C649AA" w:rsidRPr="000D0228">
        <w:rPr>
          <w:rFonts w:ascii="Calibri" w:hAnsi="Calibri" w:cs="Calibri"/>
          <w:noProof/>
          <w:lang w:val="en-US"/>
        </w:rPr>
        <w:t>. 1997;3(4):581-583. doi:10.3201/EID0304.970428</w:t>
      </w:r>
    </w:p>
    <w:p w14:paraId="3D2C5CE8"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2.</w:t>
      </w:r>
      <w:r w:rsidRPr="000D0228">
        <w:rPr>
          <w:rFonts w:ascii="Calibri" w:hAnsi="Calibri" w:cs="Calibri"/>
          <w:noProof/>
          <w:lang w:val="en-US"/>
        </w:rPr>
        <w:tab/>
        <w:t>Sentinel surveillance. Accessed December 17, 2024. https://www.ecdc.europa.eu/en/seasonal-influenza/surveillance-and-disease-data/facts-sentinel-surveillance</w:t>
      </w:r>
    </w:p>
    <w:p w14:paraId="69F51415" w14:textId="77777777" w:rsidR="00C649AA" w:rsidRPr="00C649AA" w:rsidRDefault="00C649AA" w:rsidP="00C649AA">
      <w:pPr>
        <w:widowControl w:val="0"/>
        <w:autoSpaceDE w:val="0"/>
        <w:autoSpaceDN w:val="0"/>
        <w:adjustRightInd w:val="0"/>
        <w:spacing w:line="240" w:lineRule="auto"/>
        <w:ind w:left="640" w:hanging="640"/>
        <w:rPr>
          <w:rFonts w:ascii="Calibri" w:hAnsi="Calibri" w:cs="Calibri"/>
          <w:noProof/>
        </w:rPr>
      </w:pPr>
      <w:r w:rsidRPr="000D0228">
        <w:rPr>
          <w:rFonts w:ascii="Calibri" w:hAnsi="Calibri" w:cs="Calibri"/>
          <w:noProof/>
          <w:lang w:val="en-US"/>
        </w:rPr>
        <w:t>3.</w:t>
      </w:r>
      <w:r w:rsidRPr="000D0228">
        <w:rPr>
          <w:rFonts w:ascii="Calibri" w:hAnsi="Calibri" w:cs="Calibri"/>
          <w:noProof/>
          <w:lang w:val="en-US"/>
        </w:rPr>
        <w:tab/>
        <w:t xml:space="preserve">Gram MA, Steenhard N, Cohen AS, et al. Patterns of testing in the extensive Danish national SARS-CoV-2 test set-up. </w:t>
      </w:r>
      <w:r w:rsidRPr="00C649AA">
        <w:rPr>
          <w:rFonts w:ascii="Calibri" w:hAnsi="Calibri" w:cs="Calibri"/>
          <w:i/>
          <w:iCs/>
          <w:noProof/>
        </w:rPr>
        <w:t>PLoS One</w:t>
      </w:r>
      <w:r w:rsidRPr="00C649AA">
        <w:rPr>
          <w:rFonts w:ascii="Calibri" w:hAnsi="Calibri" w:cs="Calibri"/>
          <w:noProof/>
        </w:rPr>
        <w:t>. 2023;18(7):e0281972. doi:10.1371/JOURNAL.PONE.0281972</w:t>
      </w:r>
    </w:p>
    <w:p w14:paraId="7A1067BB" w14:textId="77777777" w:rsidR="00C649AA" w:rsidRPr="00C649AA" w:rsidRDefault="00C649AA" w:rsidP="00C649AA">
      <w:pPr>
        <w:widowControl w:val="0"/>
        <w:autoSpaceDE w:val="0"/>
        <w:autoSpaceDN w:val="0"/>
        <w:adjustRightInd w:val="0"/>
        <w:spacing w:line="240" w:lineRule="auto"/>
        <w:ind w:left="640" w:hanging="640"/>
        <w:rPr>
          <w:rFonts w:ascii="Calibri" w:hAnsi="Calibri" w:cs="Calibri"/>
          <w:noProof/>
        </w:rPr>
      </w:pPr>
      <w:r w:rsidRPr="00C649AA">
        <w:rPr>
          <w:rFonts w:ascii="Calibri" w:hAnsi="Calibri" w:cs="Calibri"/>
          <w:noProof/>
        </w:rPr>
        <w:t>4.</w:t>
      </w:r>
      <w:r w:rsidRPr="00C649AA">
        <w:rPr>
          <w:rFonts w:ascii="Calibri" w:hAnsi="Calibri" w:cs="Calibri"/>
          <w:noProof/>
        </w:rPr>
        <w:tab/>
        <w:t>Statens Serum Institut. De offentlige covid-19-testcentre lukker. Accessed December 12, 2024. https://www.ssi.dk/aktuelt/nyheder/2023/testcentre-lukker</w:t>
      </w:r>
    </w:p>
    <w:p w14:paraId="626865AC"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C649AA">
        <w:rPr>
          <w:rFonts w:ascii="Calibri" w:hAnsi="Calibri" w:cs="Calibri"/>
          <w:noProof/>
        </w:rPr>
        <w:t>5.</w:t>
      </w:r>
      <w:r w:rsidRPr="00C649AA">
        <w:rPr>
          <w:rFonts w:ascii="Calibri" w:hAnsi="Calibri" w:cs="Calibri"/>
          <w:noProof/>
        </w:rPr>
        <w:tab/>
        <w:t xml:space="preserve">Brainard J, Lake IR, Morbey RA, Jones NR, Elliot AJ, Hunter PR. </w:t>
      </w:r>
      <w:r w:rsidRPr="000D0228">
        <w:rPr>
          <w:rFonts w:ascii="Calibri" w:hAnsi="Calibri" w:cs="Calibri"/>
          <w:noProof/>
          <w:lang w:val="en-US"/>
        </w:rPr>
        <w:t xml:space="preserve">Comparison of surveillance systems for monitoring COVID-19 in England: a retrospective observational study. </w:t>
      </w:r>
      <w:r w:rsidRPr="000D0228">
        <w:rPr>
          <w:rFonts w:ascii="Calibri" w:hAnsi="Calibri" w:cs="Calibri"/>
          <w:i/>
          <w:iCs/>
          <w:noProof/>
          <w:lang w:val="en-US"/>
        </w:rPr>
        <w:t>Lancet Public Heal</w:t>
      </w:r>
      <w:r w:rsidRPr="000D0228">
        <w:rPr>
          <w:rFonts w:ascii="Calibri" w:hAnsi="Calibri" w:cs="Calibri"/>
          <w:noProof/>
          <w:lang w:val="en-US"/>
        </w:rPr>
        <w:t>. 2023;8(11):e850-e858. doi:10.1016/S2468-2667(23)00219-0</w:t>
      </w:r>
    </w:p>
    <w:p w14:paraId="5A115152"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6.</w:t>
      </w:r>
      <w:r w:rsidRPr="000D0228">
        <w:rPr>
          <w:rFonts w:ascii="Calibri" w:hAnsi="Calibri" w:cs="Calibri"/>
          <w:noProof/>
          <w:lang w:val="en-US"/>
        </w:rPr>
        <w:tab/>
        <w:t xml:space="preserve">Pouwels KB, House T, Pritchard E, et al. Community prevalence of SARS-CoV-2 in England from April to November, 2020: results from the ONS Coronavirus Infection Survey. </w:t>
      </w:r>
      <w:r w:rsidRPr="000D0228">
        <w:rPr>
          <w:rFonts w:ascii="Calibri" w:hAnsi="Calibri" w:cs="Calibri"/>
          <w:i/>
          <w:iCs/>
          <w:noProof/>
          <w:lang w:val="en-US"/>
        </w:rPr>
        <w:t>Lancet Public Heal</w:t>
      </w:r>
      <w:r w:rsidRPr="000D0228">
        <w:rPr>
          <w:rFonts w:ascii="Calibri" w:hAnsi="Calibri" w:cs="Calibri"/>
          <w:noProof/>
          <w:lang w:val="en-US"/>
        </w:rPr>
        <w:t>. 2021;6(1):e30-e38. doi:10.1016/S2468-2667(20)30282-6</w:t>
      </w:r>
    </w:p>
    <w:p w14:paraId="6569AED2" w14:textId="77777777" w:rsidR="00C649AA" w:rsidRPr="00C649AA" w:rsidRDefault="00C649AA" w:rsidP="00C649AA">
      <w:pPr>
        <w:widowControl w:val="0"/>
        <w:autoSpaceDE w:val="0"/>
        <w:autoSpaceDN w:val="0"/>
        <w:adjustRightInd w:val="0"/>
        <w:spacing w:line="240" w:lineRule="auto"/>
        <w:ind w:left="640" w:hanging="640"/>
        <w:rPr>
          <w:rFonts w:ascii="Calibri" w:hAnsi="Calibri" w:cs="Calibri"/>
          <w:noProof/>
        </w:rPr>
      </w:pPr>
      <w:r w:rsidRPr="000D0228">
        <w:rPr>
          <w:rFonts w:ascii="Calibri" w:hAnsi="Calibri" w:cs="Calibri"/>
          <w:noProof/>
          <w:lang w:val="en-US"/>
        </w:rPr>
        <w:t>7.</w:t>
      </w:r>
      <w:r w:rsidRPr="000D0228">
        <w:rPr>
          <w:rFonts w:ascii="Calibri" w:hAnsi="Calibri" w:cs="Calibri"/>
          <w:noProof/>
          <w:lang w:val="en-US"/>
        </w:rPr>
        <w:tab/>
        <w:t xml:space="preserve">Fogh K, Larsen TG, Martel CJM, et al. Surveillance of SARS-CoV-2 infection based on self-administered swabs, Denmark, May to July 2022: evaluation of a pilot study. </w:t>
      </w:r>
      <w:r w:rsidRPr="00C649AA">
        <w:rPr>
          <w:rFonts w:ascii="Calibri" w:hAnsi="Calibri" w:cs="Calibri"/>
          <w:i/>
          <w:iCs/>
          <w:noProof/>
        </w:rPr>
        <w:t>Eurosurveillance</w:t>
      </w:r>
      <w:r w:rsidRPr="00C649AA">
        <w:rPr>
          <w:rFonts w:ascii="Calibri" w:hAnsi="Calibri" w:cs="Calibri"/>
          <w:noProof/>
        </w:rPr>
        <w:t>. 2023;28(38):2200907. doi:10.2807/1560-7917.ES.2023.28.38.2200907</w:t>
      </w:r>
    </w:p>
    <w:p w14:paraId="2264AE0B"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C649AA">
        <w:rPr>
          <w:rFonts w:ascii="Calibri" w:hAnsi="Calibri" w:cs="Calibri"/>
          <w:noProof/>
        </w:rPr>
        <w:t>8.</w:t>
      </w:r>
      <w:r w:rsidRPr="00C649AA">
        <w:rPr>
          <w:rFonts w:ascii="Calibri" w:hAnsi="Calibri" w:cs="Calibri"/>
          <w:noProof/>
        </w:rPr>
        <w:tab/>
        <w:t xml:space="preserve">Statens Serum Institut. Integreret overvågning af luftvejsinfektioner i 2023/24 - samlet opgørelse. </w:t>
      </w:r>
      <w:r w:rsidRPr="000D0228">
        <w:rPr>
          <w:rFonts w:ascii="Calibri" w:hAnsi="Calibri" w:cs="Calibri"/>
          <w:noProof/>
          <w:lang w:val="en-US"/>
        </w:rPr>
        <w:t>Published 2024. Accessed December 12, 2024. https://www.ssi.dk/sygdomme-beredskab-og-forskning/sygdomsovervaagning/l/luftvejsinfektioner-2023-24</w:t>
      </w:r>
    </w:p>
    <w:p w14:paraId="0B75AA3A" w14:textId="77777777" w:rsidR="00C649AA" w:rsidRPr="00C649AA" w:rsidRDefault="00C649AA" w:rsidP="00C649AA">
      <w:pPr>
        <w:widowControl w:val="0"/>
        <w:autoSpaceDE w:val="0"/>
        <w:autoSpaceDN w:val="0"/>
        <w:adjustRightInd w:val="0"/>
        <w:spacing w:line="240" w:lineRule="auto"/>
        <w:ind w:left="640" w:hanging="640"/>
        <w:rPr>
          <w:rFonts w:ascii="Calibri" w:hAnsi="Calibri" w:cs="Calibri"/>
          <w:noProof/>
        </w:rPr>
      </w:pPr>
      <w:r w:rsidRPr="000D0228">
        <w:rPr>
          <w:rFonts w:ascii="Calibri" w:hAnsi="Calibri" w:cs="Calibri"/>
          <w:noProof/>
          <w:lang w:val="en-US"/>
        </w:rPr>
        <w:t>9.</w:t>
      </w:r>
      <w:r w:rsidRPr="000D0228">
        <w:rPr>
          <w:rFonts w:ascii="Calibri" w:hAnsi="Calibri" w:cs="Calibri"/>
          <w:noProof/>
          <w:lang w:val="en-US"/>
        </w:rPr>
        <w:tab/>
        <w:t xml:space="preserve">Hørlyck S, Nielsen SH, Gress T, et al. Combined nasal- and oropharyngeal self-swab provides equivalent performance compared to professionally collected oropharyngeal swabs in detecting SARS-CoV-2 in a real-life setting. </w:t>
      </w:r>
      <w:r w:rsidRPr="00C649AA">
        <w:rPr>
          <w:rFonts w:ascii="Calibri" w:hAnsi="Calibri" w:cs="Calibri"/>
          <w:i/>
          <w:iCs/>
          <w:noProof/>
        </w:rPr>
        <w:t>J Virol Methods</w:t>
      </w:r>
      <w:r w:rsidRPr="00C649AA">
        <w:rPr>
          <w:rFonts w:ascii="Calibri" w:hAnsi="Calibri" w:cs="Calibri"/>
          <w:noProof/>
        </w:rPr>
        <w:t>. 2023;313. doi:10.1016/J.JVIROMET.2022.114667</w:t>
      </w:r>
    </w:p>
    <w:p w14:paraId="3C101876"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C649AA">
        <w:rPr>
          <w:rFonts w:ascii="Calibri" w:hAnsi="Calibri" w:cs="Calibri"/>
          <w:noProof/>
        </w:rPr>
        <w:lastRenderedPageBreak/>
        <w:t>10.</w:t>
      </w:r>
      <w:r w:rsidRPr="00C649AA">
        <w:rPr>
          <w:rFonts w:ascii="Calibri" w:hAnsi="Calibri" w:cs="Calibri"/>
          <w:noProof/>
        </w:rPr>
        <w:tab/>
        <w:t xml:space="preserve">Spiess K, Gunalan V, Marving E, et al. </w:t>
      </w:r>
      <w:r w:rsidRPr="000D0228">
        <w:rPr>
          <w:rFonts w:ascii="Calibri" w:hAnsi="Calibri" w:cs="Calibri"/>
          <w:noProof/>
          <w:lang w:val="en-US"/>
        </w:rPr>
        <w:t xml:space="preserve">Rapid and Flexible RT-qPCR Surveillance Platforms To Detect SARS-CoV-2 Mutations. </w:t>
      </w:r>
      <w:r w:rsidRPr="000D0228">
        <w:rPr>
          <w:rFonts w:ascii="Calibri" w:hAnsi="Calibri" w:cs="Calibri"/>
          <w:i/>
          <w:iCs/>
          <w:noProof/>
          <w:lang w:val="en-US"/>
        </w:rPr>
        <w:t>Microbiol Spectr</w:t>
      </w:r>
      <w:r w:rsidRPr="000D0228">
        <w:rPr>
          <w:rFonts w:ascii="Calibri" w:hAnsi="Calibri" w:cs="Calibri"/>
          <w:noProof/>
          <w:lang w:val="en-US"/>
        </w:rPr>
        <w:t>. 2023;11(1). doi:10.1128/SPECTRUM.03591-22</w:t>
      </w:r>
    </w:p>
    <w:p w14:paraId="508732D8"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11.</w:t>
      </w:r>
      <w:r w:rsidRPr="000D0228">
        <w:rPr>
          <w:rFonts w:ascii="Calibri" w:hAnsi="Calibri" w:cs="Calibri"/>
          <w:noProof/>
          <w:lang w:val="en-US"/>
        </w:rPr>
        <w:tab/>
        <w:t>R Core Team. R: A Language and Environment for Statistical Computing. Published online 2022.</w:t>
      </w:r>
    </w:p>
    <w:p w14:paraId="6DB66959"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12.</w:t>
      </w:r>
      <w:r w:rsidRPr="000D0228">
        <w:rPr>
          <w:rFonts w:ascii="Calibri" w:hAnsi="Calibri" w:cs="Calibri"/>
          <w:noProof/>
          <w:lang w:val="en-US"/>
        </w:rPr>
        <w:tab/>
        <w:t>Statistics Denmark. Accessed April 7, 2023. https://www.dst.dk/en</w:t>
      </w:r>
    </w:p>
    <w:p w14:paraId="09F47638"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13.</w:t>
      </w:r>
      <w:r w:rsidRPr="000D0228">
        <w:rPr>
          <w:rFonts w:ascii="Calibri" w:hAnsi="Calibri" w:cs="Calibri"/>
          <w:noProof/>
          <w:lang w:val="en-US"/>
        </w:rPr>
        <w:tab/>
        <w:t>DECISIONS: COMMISSION IMPLEMENTING DECISION (EU) 2018/945  of 22 June 2018  on the communicable diseases and related special health issues to be covered by epidemiological  surveillance as well as relevant case definitions. Official Journal of the European Union . Accessed December 12, 2024. https://eur-lex.europa.eu/legal-content/EN/TXT/PDF/?uri=CELEX:32018D0945&amp;from=EN#page=24</w:t>
      </w:r>
    </w:p>
    <w:p w14:paraId="0267F1A1"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14.</w:t>
      </w:r>
      <w:r w:rsidRPr="000D0228">
        <w:rPr>
          <w:rFonts w:ascii="Calibri" w:hAnsi="Calibri" w:cs="Calibri"/>
          <w:noProof/>
          <w:lang w:val="en-US"/>
        </w:rPr>
        <w:tab/>
        <w:t>Statistics Denmark. Labour Force Survey (LFS). Accessed December 12, 2024. https://www.dst.dk/en/Statistik/emner/arbejde-og-indkomst/befolkningens-arbejdsmarkedsstatus/arbejdskraftundersoegelsen-aku</w:t>
      </w:r>
    </w:p>
    <w:p w14:paraId="68AD5233" w14:textId="77777777" w:rsidR="00C649AA" w:rsidRPr="00C649AA" w:rsidRDefault="00C649AA" w:rsidP="00C649AA">
      <w:pPr>
        <w:widowControl w:val="0"/>
        <w:autoSpaceDE w:val="0"/>
        <w:autoSpaceDN w:val="0"/>
        <w:adjustRightInd w:val="0"/>
        <w:spacing w:line="240" w:lineRule="auto"/>
        <w:ind w:left="640" w:hanging="640"/>
        <w:rPr>
          <w:rFonts w:ascii="Calibri" w:hAnsi="Calibri" w:cs="Calibri"/>
          <w:noProof/>
        </w:rPr>
      </w:pPr>
      <w:r w:rsidRPr="000D0228">
        <w:rPr>
          <w:rFonts w:ascii="Calibri" w:hAnsi="Calibri" w:cs="Calibri"/>
          <w:noProof/>
          <w:lang w:val="en-US"/>
        </w:rPr>
        <w:t>15.</w:t>
      </w:r>
      <w:r w:rsidRPr="000D0228">
        <w:rPr>
          <w:rFonts w:ascii="Calibri" w:hAnsi="Calibri" w:cs="Calibri"/>
          <w:noProof/>
          <w:lang w:val="en-US"/>
        </w:rPr>
        <w:tab/>
        <w:t xml:space="preserve">Office for National Statistics. Coronavirus (COVID-19) Infection Survey: technical data - Office for National Statistics. </w:t>
      </w:r>
      <w:r w:rsidRPr="00C649AA">
        <w:rPr>
          <w:rFonts w:ascii="Calibri" w:hAnsi="Calibri" w:cs="Calibri"/>
          <w:noProof/>
        </w:rPr>
        <w:t>Accessed December 12, 2024. https://www.ons.gov.uk/peoplepopulationandcommunity/healthandsocialcare/conditionsanddiseases/datasets/covid19infectionsurveytechnicaldata</w:t>
      </w:r>
    </w:p>
    <w:p w14:paraId="5C376EE1"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C649AA">
        <w:rPr>
          <w:rFonts w:ascii="Calibri" w:hAnsi="Calibri" w:cs="Calibri"/>
          <w:noProof/>
        </w:rPr>
        <w:t>16.</w:t>
      </w:r>
      <w:r w:rsidRPr="00C649AA">
        <w:rPr>
          <w:rFonts w:ascii="Calibri" w:hAnsi="Calibri" w:cs="Calibri"/>
          <w:noProof/>
        </w:rPr>
        <w:tab/>
        <w:t xml:space="preserve">Rasmussen M, Moller FT, Gunalan V, et al. </w:t>
      </w:r>
      <w:r w:rsidRPr="000D0228">
        <w:rPr>
          <w:rFonts w:ascii="Calibri" w:hAnsi="Calibri" w:cs="Calibri"/>
          <w:noProof/>
          <w:lang w:val="en-US"/>
        </w:rPr>
        <w:t xml:space="preserve">First cases of SARS-CoV-2 BA.2.86 in Denmark, 2023. </w:t>
      </w:r>
      <w:r w:rsidRPr="000D0228">
        <w:rPr>
          <w:rFonts w:ascii="Calibri" w:hAnsi="Calibri" w:cs="Calibri"/>
          <w:i/>
          <w:iCs/>
          <w:noProof/>
          <w:lang w:val="en-US"/>
        </w:rPr>
        <w:t>Eurosurveillance</w:t>
      </w:r>
      <w:r w:rsidRPr="000D0228">
        <w:rPr>
          <w:rFonts w:ascii="Calibri" w:hAnsi="Calibri" w:cs="Calibri"/>
          <w:noProof/>
          <w:lang w:val="en-US"/>
        </w:rPr>
        <w:t>. 2023;28(36):2300460. doi:10.2807/1560-7917.ES.2023.28.36.2300460/CITE/REFWORKS</w:t>
      </w:r>
    </w:p>
    <w:p w14:paraId="55A5A459"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17.</w:t>
      </w:r>
      <w:r w:rsidRPr="000D0228">
        <w:rPr>
          <w:rFonts w:ascii="Calibri" w:hAnsi="Calibri" w:cs="Calibri"/>
          <w:noProof/>
          <w:lang w:val="en-US"/>
        </w:rPr>
        <w:tab/>
        <w:t xml:space="preserve">Nichols GL, Gillingham EL, Macintyre HL, et al. Coronavirus seasonality, respiratory infections and weather. </w:t>
      </w:r>
      <w:r w:rsidRPr="000D0228">
        <w:rPr>
          <w:rFonts w:ascii="Calibri" w:hAnsi="Calibri" w:cs="Calibri"/>
          <w:i/>
          <w:iCs/>
          <w:noProof/>
          <w:lang w:val="en-US"/>
        </w:rPr>
        <w:t>BMC Infect Dis</w:t>
      </w:r>
      <w:r w:rsidRPr="000D0228">
        <w:rPr>
          <w:rFonts w:ascii="Calibri" w:hAnsi="Calibri" w:cs="Calibri"/>
          <w:noProof/>
          <w:lang w:val="en-US"/>
        </w:rPr>
        <w:t>. 2021;21(1):1-15. doi:10.1186/S12879-021-06785-2/FIGURES/4</w:t>
      </w:r>
    </w:p>
    <w:p w14:paraId="4E9ED8C7"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18.</w:t>
      </w:r>
      <w:r w:rsidRPr="000D0228">
        <w:rPr>
          <w:rFonts w:ascii="Calibri" w:hAnsi="Calibri" w:cs="Calibri"/>
          <w:noProof/>
          <w:lang w:val="en-US"/>
        </w:rPr>
        <w:tab/>
        <w:t>Infectieradar. Accessed December 12, 2024. https://www.infectieradar.nl/results</w:t>
      </w:r>
    </w:p>
    <w:p w14:paraId="3EEF1A18"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19.</w:t>
      </w:r>
      <w:r w:rsidRPr="000D0228">
        <w:rPr>
          <w:rFonts w:ascii="Calibri" w:hAnsi="Calibri" w:cs="Calibri"/>
          <w:noProof/>
          <w:lang w:val="en-US"/>
        </w:rPr>
        <w:tab/>
        <w:t>COVID-19, cold, allergies and the flu: What are the differences? - Mayo Clinic. Accessed December 12, 2024. https://www.mayoclinic.org/diseases-conditions/coronavirus/in-depth/covid-19-cold-flu-and-allergies-differences/art-20503981</w:t>
      </w:r>
    </w:p>
    <w:p w14:paraId="75C8CF5A" w14:textId="77777777" w:rsidR="00C649AA" w:rsidRPr="00C649AA" w:rsidRDefault="00C649AA" w:rsidP="00C649AA">
      <w:pPr>
        <w:widowControl w:val="0"/>
        <w:autoSpaceDE w:val="0"/>
        <w:autoSpaceDN w:val="0"/>
        <w:adjustRightInd w:val="0"/>
        <w:spacing w:line="240" w:lineRule="auto"/>
        <w:ind w:left="640" w:hanging="640"/>
        <w:rPr>
          <w:rFonts w:ascii="Calibri" w:hAnsi="Calibri" w:cs="Calibri"/>
          <w:noProof/>
        </w:rPr>
      </w:pPr>
      <w:r w:rsidRPr="000D0228">
        <w:rPr>
          <w:rFonts w:ascii="Calibri" w:hAnsi="Calibri" w:cs="Calibri"/>
          <w:noProof/>
          <w:lang w:val="en-US"/>
        </w:rPr>
        <w:t>20.</w:t>
      </w:r>
      <w:r w:rsidRPr="000D0228">
        <w:rPr>
          <w:rFonts w:ascii="Calibri" w:hAnsi="Calibri" w:cs="Calibri"/>
          <w:noProof/>
          <w:lang w:val="en-US"/>
        </w:rPr>
        <w:tab/>
        <w:t xml:space="preserve">da Rosa Mesquita R, Francelino Silva Junior LC, Santos Santana FM, et al. Clinical manifestations of COVID-19 in the general population: systematic review. </w:t>
      </w:r>
      <w:r w:rsidRPr="00C649AA">
        <w:rPr>
          <w:rFonts w:ascii="Calibri" w:hAnsi="Calibri" w:cs="Calibri"/>
          <w:i/>
          <w:iCs/>
          <w:noProof/>
        </w:rPr>
        <w:t>Wien Klin Wochenschr</w:t>
      </w:r>
      <w:r w:rsidRPr="00C649AA">
        <w:rPr>
          <w:rFonts w:ascii="Calibri" w:hAnsi="Calibri" w:cs="Calibri"/>
          <w:noProof/>
        </w:rPr>
        <w:t>. 2020;133(7-8):377. doi:10.1007/S00508-020-01760-4</w:t>
      </w:r>
    </w:p>
    <w:p w14:paraId="33C79839" w14:textId="77777777" w:rsidR="00C649AA" w:rsidRPr="00C649AA" w:rsidRDefault="00C649AA" w:rsidP="00C649AA">
      <w:pPr>
        <w:widowControl w:val="0"/>
        <w:autoSpaceDE w:val="0"/>
        <w:autoSpaceDN w:val="0"/>
        <w:adjustRightInd w:val="0"/>
        <w:spacing w:line="240" w:lineRule="auto"/>
        <w:ind w:left="640" w:hanging="640"/>
        <w:rPr>
          <w:rFonts w:ascii="Calibri" w:hAnsi="Calibri" w:cs="Calibri"/>
          <w:noProof/>
        </w:rPr>
      </w:pPr>
      <w:r w:rsidRPr="00C649AA">
        <w:rPr>
          <w:rFonts w:ascii="Calibri" w:hAnsi="Calibri" w:cs="Calibri"/>
          <w:noProof/>
        </w:rPr>
        <w:t>21.</w:t>
      </w:r>
      <w:r w:rsidRPr="00C649AA">
        <w:rPr>
          <w:rFonts w:ascii="Calibri" w:hAnsi="Calibri" w:cs="Calibri"/>
          <w:noProof/>
        </w:rPr>
        <w:tab/>
        <w:t xml:space="preserve">Moustsen-Helms IR, Bager P, Larsen TG, et al. </w:t>
      </w:r>
      <w:r w:rsidRPr="000D0228">
        <w:rPr>
          <w:rFonts w:ascii="Calibri" w:hAnsi="Calibri" w:cs="Calibri"/>
          <w:noProof/>
          <w:lang w:val="en-US"/>
        </w:rPr>
        <w:t xml:space="preserve">Relative vaccine protection, disease severity, and symptoms associated with the SARS-CoV-2 omicron subvariant BA.2.86 and descendant JN.1 in Denmark: a nationwide observational study. </w:t>
      </w:r>
      <w:r w:rsidRPr="00C649AA">
        <w:rPr>
          <w:rFonts w:ascii="Calibri" w:hAnsi="Calibri" w:cs="Calibri"/>
          <w:i/>
          <w:iCs/>
          <w:noProof/>
        </w:rPr>
        <w:t>Lancet Infect Dis</w:t>
      </w:r>
      <w:r w:rsidRPr="00C649AA">
        <w:rPr>
          <w:rFonts w:ascii="Calibri" w:hAnsi="Calibri" w:cs="Calibri"/>
          <w:noProof/>
        </w:rPr>
        <w:t>. 2024;24(9):964-973. doi:10.1016/S1473-3099(24)00220-2</w:t>
      </w:r>
    </w:p>
    <w:p w14:paraId="0B27852C"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C649AA">
        <w:rPr>
          <w:rFonts w:ascii="Calibri" w:hAnsi="Calibri" w:cs="Calibri"/>
          <w:noProof/>
        </w:rPr>
        <w:t>22.</w:t>
      </w:r>
      <w:r w:rsidRPr="00C649AA">
        <w:rPr>
          <w:rFonts w:ascii="Calibri" w:hAnsi="Calibri" w:cs="Calibri"/>
          <w:noProof/>
        </w:rPr>
        <w:tab/>
        <w:t xml:space="preserve">Li JH, Wu CC, Tseng YJ, et al. </w:t>
      </w:r>
      <w:r w:rsidRPr="000D0228">
        <w:rPr>
          <w:rFonts w:ascii="Calibri" w:hAnsi="Calibri" w:cs="Calibri"/>
          <w:noProof/>
          <w:lang w:val="en-US"/>
        </w:rPr>
        <w:t xml:space="preserve">Applying symptom dynamics to accurately predict influenza virus infection: An international multicenter influenza-like illness surveillance study. </w:t>
      </w:r>
      <w:r w:rsidRPr="000D0228">
        <w:rPr>
          <w:rFonts w:ascii="Calibri" w:hAnsi="Calibri" w:cs="Calibri"/>
          <w:i/>
          <w:iCs/>
          <w:noProof/>
          <w:lang w:val="en-US"/>
        </w:rPr>
        <w:t>Influenza Other Respi Viruses</w:t>
      </w:r>
      <w:r w:rsidRPr="000D0228">
        <w:rPr>
          <w:rFonts w:ascii="Calibri" w:hAnsi="Calibri" w:cs="Calibri"/>
          <w:noProof/>
          <w:lang w:val="en-US"/>
        </w:rPr>
        <w:t>. 2023;17(1). doi:10.1111/IRV.13081</w:t>
      </w:r>
    </w:p>
    <w:p w14:paraId="062CA0E2"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23.</w:t>
      </w:r>
      <w:r w:rsidRPr="000D0228">
        <w:rPr>
          <w:rFonts w:ascii="Calibri" w:hAnsi="Calibri" w:cs="Calibri"/>
          <w:noProof/>
          <w:lang w:val="en-US"/>
        </w:rPr>
        <w:tab/>
        <w:t xml:space="preserve">Adalja AA. At-home infectious disease testing: An idea whose time has come. </w:t>
      </w:r>
      <w:r w:rsidRPr="000D0228">
        <w:rPr>
          <w:rFonts w:ascii="Calibri" w:hAnsi="Calibri" w:cs="Calibri"/>
          <w:i/>
          <w:iCs/>
          <w:noProof/>
          <w:lang w:val="en-US"/>
        </w:rPr>
        <w:lastRenderedPageBreak/>
        <w:t>Antimicrob Steward Healthc Epidemiol</w:t>
      </w:r>
      <w:r w:rsidRPr="000D0228">
        <w:rPr>
          <w:rFonts w:ascii="Calibri" w:hAnsi="Calibri" w:cs="Calibri"/>
          <w:noProof/>
          <w:lang w:val="en-US"/>
        </w:rPr>
        <w:t>. 2022;2(1):e170. doi:10.1017/ASH.2022.307</w:t>
      </w:r>
    </w:p>
    <w:p w14:paraId="7924C4E8"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24.</w:t>
      </w:r>
      <w:r w:rsidRPr="000D0228">
        <w:rPr>
          <w:rFonts w:ascii="Calibri" w:hAnsi="Calibri" w:cs="Calibri"/>
          <w:noProof/>
          <w:lang w:val="en-US"/>
        </w:rPr>
        <w:tab/>
        <w:t xml:space="preserve">Robertson LS. Did people’s behavior after receiving negative COVID-19 tests contribute to the spread? </w:t>
      </w:r>
      <w:r w:rsidRPr="000D0228">
        <w:rPr>
          <w:rFonts w:ascii="Calibri" w:hAnsi="Calibri" w:cs="Calibri"/>
          <w:i/>
          <w:iCs/>
          <w:noProof/>
          <w:lang w:val="en-US"/>
        </w:rPr>
        <w:t>J Public Health (Bangkok)</w:t>
      </w:r>
      <w:r w:rsidRPr="000D0228">
        <w:rPr>
          <w:rFonts w:ascii="Calibri" w:hAnsi="Calibri" w:cs="Calibri"/>
          <w:noProof/>
          <w:lang w:val="en-US"/>
        </w:rPr>
        <w:t>. 2021;43(2):270-273. doi:10.1093/PUBMED/FDAB010</w:t>
      </w:r>
    </w:p>
    <w:p w14:paraId="12A2EB13" w14:textId="77777777" w:rsidR="00C649AA" w:rsidRPr="000D0228" w:rsidRDefault="00C649AA" w:rsidP="00C649AA">
      <w:pPr>
        <w:widowControl w:val="0"/>
        <w:autoSpaceDE w:val="0"/>
        <w:autoSpaceDN w:val="0"/>
        <w:adjustRightInd w:val="0"/>
        <w:spacing w:line="240" w:lineRule="auto"/>
        <w:ind w:left="640" w:hanging="640"/>
        <w:rPr>
          <w:rFonts w:ascii="Calibri" w:hAnsi="Calibri" w:cs="Calibri"/>
          <w:noProof/>
          <w:lang w:val="en-US"/>
        </w:rPr>
      </w:pPr>
      <w:r w:rsidRPr="000D0228">
        <w:rPr>
          <w:rFonts w:ascii="Calibri" w:hAnsi="Calibri" w:cs="Calibri"/>
          <w:noProof/>
          <w:lang w:val="en-US"/>
        </w:rPr>
        <w:t>25.</w:t>
      </w:r>
      <w:r w:rsidRPr="000D0228">
        <w:rPr>
          <w:rFonts w:ascii="Calibri" w:hAnsi="Calibri" w:cs="Calibri"/>
          <w:noProof/>
          <w:lang w:val="en-US"/>
        </w:rPr>
        <w:tab/>
        <w:t xml:space="preserve">Sundell E, Wångdahl J, Grauman Å. Health literacy and digital health information-seeking behavior – a cross-sectional study among highly educated Swedes. </w:t>
      </w:r>
      <w:r w:rsidRPr="000D0228">
        <w:rPr>
          <w:rFonts w:ascii="Calibri" w:hAnsi="Calibri" w:cs="Calibri"/>
          <w:i/>
          <w:iCs/>
          <w:noProof/>
          <w:lang w:val="en-US"/>
        </w:rPr>
        <w:t>BMC Public Health</w:t>
      </w:r>
      <w:r w:rsidRPr="000D0228">
        <w:rPr>
          <w:rFonts w:ascii="Calibri" w:hAnsi="Calibri" w:cs="Calibri"/>
          <w:noProof/>
          <w:lang w:val="en-US"/>
        </w:rPr>
        <w:t>. 2022;22(1):2278. doi:10.1186/S12889-022-14751-Z</w:t>
      </w:r>
    </w:p>
    <w:p w14:paraId="3D0632A7" w14:textId="6FC33723" w:rsidR="00A0372F" w:rsidRPr="009E3151" w:rsidRDefault="00C33401" w:rsidP="17D6C554">
      <w:pPr>
        <w:spacing w:line="259" w:lineRule="auto"/>
        <w:rPr>
          <w:rFonts w:ascii="Calibri" w:eastAsia="Calibri" w:hAnsi="Calibri" w:cs="Calibri"/>
          <w:b/>
          <w:bCs/>
          <w:color w:val="000000" w:themeColor="text1"/>
          <w:lang w:val="en-US"/>
        </w:rPr>
      </w:pPr>
      <w:r w:rsidRPr="009E3151">
        <w:rPr>
          <w:rFonts w:ascii="Calibri" w:eastAsia="Calibri" w:hAnsi="Calibri" w:cs="Calibri"/>
          <w:b/>
          <w:bCs/>
          <w:color w:val="000000" w:themeColor="text1"/>
          <w:lang w:val="en-US"/>
        </w:rPr>
        <w:fldChar w:fldCharType="end"/>
      </w:r>
    </w:p>
    <w:p w14:paraId="2F272C6E" w14:textId="77777777" w:rsidR="00A0372F" w:rsidRPr="009E3151" w:rsidRDefault="00A0372F">
      <w:pPr>
        <w:rPr>
          <w:rFonts w:ascii="Calibri" w:eastAsia="Calibri" w:hAnsi="Calibri" w:cs="Calibri"/>
          <w:b/>
          <w:bCs/>
          <w:color w:val="000000" w:themeColor="text1"/>
          <w:lang w:val="en-US"/>
        </w:rPr>
      </w:pPr>
      <w:r w:rsidRPr="009E3151">
        <w:rPr>
          <w:rFonts w:ascii="Calibri" w:eastAsia="Calibri" w:hAnsi="Calibri" w:cs="Calibri"/>
          <w:b/>
          <w:bCs/>
          <w:color w:val="000000" w:themeColor="text1"/>
          <w:lang w:val="en-US"/>
        </w:rPr>
        <w:br w:type="page"/>
      </w:r>
    </w:p>
    <w:p w14:paraId="71CA0F8B" w14:textId="20311CE7" w:rsidR="00C33401" w:rsidRPr="005B54D3" w:rsidRDefault="00A0372F" w:rsidP="17D6C554">
      <w:pPr>
        <w:spacing w:line="259" w:lineRule="auto"/>
        <w:rPr>
          <w:rFonts w:ascii="Calibri" w:eastAsia="Calibri" w:hAnsi="Calibri" w:cs="Calibri"/>
          <w:b/>
          <w:bCs/>
          <w:color w:val="000000" w:themeColor="text1"/>
          <w:sz w:val="32"/>
          <w:szCs w:val="32"/>
          <w:lang w:val="en-US"/>
        </w:rPr>
      </w:pPr>
      <w:r w:rsidRPr="005B54D3">
        <w:rPr>
          <w:rFonts w:ascii="Calibri" w:eastAsia="Calibri" w:hAnsi="Calibri" w:cs="Calibri"/>
          <w:b/>
          <w:bCs/>
          <w:color w:val="000000" w:themeColor="text1"/>
          <w:sz w:val="32"/>
          <w:szCs w:val="32"/>
          <w:lang w:val="en-US"/>
        </w:rPr>
        <w:lastRenderedPageBreak/>
        <w:t>Figures and tables</w:t>
      </w:r>
    </w:p>
    <w:p w14:paraId="653E72E7" w14:textId="7E62C44C" w:rsidR="00A0372F" w:rsidRPr="009E3151" w:rsidRDefault="00A0372F" w:rsidP="00A0372F">
      <w:pPr>
        <w:rPr>
          <w:rFonts w:ascii="Calibri" w:eastAsia="Calibri" w:hAnsi="Calibri" w:cs="Calibri"/>
          <w:color w:val="000000" w:themeColor="text1"/>
          <w:sz w:val="16"/>
          <w:szCs w:val="16"/>
          <w:lang w:val="en-US"/>
        </w:rPr>
      </w:pPr>
      <w:r w:rsidRPr="009E3151">
        <w:rPr>
          <w:rFonts w:ascii="Calibri" w:eastAsia="Calibri" w:hAnsi="Calibri" w:cs="Calibri"/>
          <w:color w:val="000000" w:themeColor="text1"/>
          <w:sz w:val="16"/>
          <w:szCs w:val="16"/>
          <w:lang w:val="en-US"/>
        </w:rPr>
        <w:t xml:space="preserve">Figure 1: Overview of participation in Virus Monitoring in Denmark. A) CONSORT diagram of participant recruitment. B) </w:t>
      </w:r>
      <w:r w:rsidR="009A374F">
        <w:rPr>
          <w:rFonts w:ascii="Calibri" w:eastAsia="Calibri" w:hAnsi="Calibri" w:cs="Calibri"/>
          <w:color w:val="000000" w:themeColor="text1"/>
          <w:sz w:val="16"/>
          <w:szCs w:val="16"/>
          <w:lang w:val="en-US"/>
        </w:rPr>
        <w:t>C</w:t>
      </w:r>
      <w:r w:rsidRPr="009E3151">
        <w:rPr>
          <w:rFonts w:ascii="Calibri" w:eastAsia="Calibri" w:hAnsi="Calibri" w:cs="Calibri"/>
          <w:color w:val="000000" w:themeColor="text1"/>
          <w:sz w:val="16"/>
          <w:szCs w:val="16"/>
          <w:lang w:val="en-US"/>
        </w:rPr>
        <w:t>umulated number of participants per week (line) and number of samples analyzed per week (bars). The vertical red lines indicate the calendar weeks where Digital Post invitations were sent out. Data from week 24, 2023 to week 46, 2024.</w:t>
      </w:r>
    </w:p>
    <w:p w14:paraId="062039B1" w14:textId="04F25080" w:rsidR="00A0372F" w:rsidRPr="009E3151" w:rsidRDefault="00827C79" w:rsidP="17D6C554">
      <w:pPr>
        <w:spacing w:line="259" w:lineRule="auto"/>
        <w:rPr>
          <w:rFonts w:ascii="Calibri" w:eastAsia="Calibri" w:hAnsi="Calibri" w:cs="Calibri"/>
          <w:b/>
          <w:bCs/>
          <w:color w:val="000000" w:themeColor="text1"/>
          <w:lang w:val="en-US"/>
        </w:rPr>
      </w:pPr>
      <w:r>
        <w:rPr>
          <w:rFonts w:ascii="Calibri" w:eastAsia="Calibri" w:hAnsi="Calibri" w:cs="Calibri"/>
          <w:b/>
          <w:bCs/>
          <w:noProof/>
          <w:color w:val="000000" w:themeColor="text1"/>
          <w:lang w:val="en-US"/>
        </w:rPr>
        <w:drawing>
          <wp:inline distT="0" distB="0" distL="0" distR="0" wp14:anchorId="5F06E4B6" wp14:editId="1766897D">
            <wp:extent cx="5731510" cy="764222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1 consort_skabelon.tif"/>
                    <pic:cNvPicPr/>
                  </pic:nvPicPr>
                  <pic:blipFill>
                    <a:blip r:embed="rId12">
                      <a:extLst>
                        <a:ext uri="{28A0092B-C50C-407E-A947-70E740481C1C}">
                          <a14:useLocalDpi xmlns:a14="http://schemas.microsoft.com/office/drawing/2010/main" val="0"/>
                        </a:ext>
                      </a:extLst>
                    </a:blip>
                    <a:stretch>
                      <a:fillRect/>
                    </a:stretch>
                  </pic:blipFill>
                  <pic:spPr>
                    <a:xfrm>
                      <a:off x="0" y="0"/>
                      <a:ext cx="5731510" cy="7642225"/>
                    </a:xfrm>
                    <a:prstGeom prst="rect">
                      <a:avLst/>
                    </a:prstGeom>
                  </pic:spPr>
                </pic:pic>
              </a:graphicData>
            </a:graphic>
          </wp:inline>
        </w:drawing>
      </w:r>
    </w:p>
    <w:p w14:paraId="6E14A8BD" w14:textId="0EA13402" w:rsidR="00A0372F" w:rsidRPr="009E3151" w:rsidRDefault="00A0372F" w:rsidP="00A0372F">
      <w:pPr>
        <w:rPr>
          <w:rFonts w:ascii="Calibri" w:eastAsia="Calibri" w:hAnsi="Calibri" w:cs="Calibri"/>
          <w:b/>
          <w:bCs/>
          <w:color w:val="000000" w:themeColor="text1"/>
          <w:lang w:val="en-US"/>
        </w:rPr>
      </w:pPr>
      <w:r w:rsidRPr="009E3151">
        <w:rPr>
          <w:rFonts w:ascii="Calibri" w:eastAsia="Calibri" w:hAnsi="Calibri" w:cs="Calibri"/>
          <w:b/>
          <w:bCs/>
          <w:color w:val="000000" w:themeColor="text1"/>
          <w:lang w:val="en-US"/>
        </w:rPr>
        <w:br w:type="page"/>
      </w:r>
    </w:p>
    <w:tbl>
      <w:tblPr>
        <w:tblpPr w:leftFromText="141" w:rightFromText="141" w:vertAnchor="page" w:horzAnchor="margin" w:tblpY="1061"/>
        <w:tblW w:w="9638"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01"/>
        <w:gridCol w:w="2410"/>
        <w:gridCol w:w="1701"/>
        <w:gridCol w:w="1985"/>
        <w:gridCol w:w="1841"/>
      </w:tblGrid>
      <w:tr w:rsidR="00963E3D" w:rsidRPr="00716120" w14:paraId="6F4A040F" w14:textId="77777777" w:rsidTr="007F209D">
        <w:trPr>
          <w:trHeight w:val="300"/>
        </w:trPr>
        <w:tc>
          <w:tcPr>
            <w:tcW w:w="9638" w:type="dxa"/>
            <w:gridSpan w:val="5"/>
            <w:tcBorders>
              <w:top w:val="nil"/>
              <w:left w:val="nil"/>
              <w:bottom w:val="single" w:sz="6" w:space="0" w:color="000000"/>
              <w:right w:val="nil"/>
            </w:tcBorders>
            <w:shd w:val="clear" w:color="auto" w:fill="auto"/>
            <w:vAlign w:val="center"/>
          </w:tcPr>
          <w:p w14:paraId="7E5CDE6C" w14:textId="658C5D60" w:rsidR="00963E3D" w:rsidRPr="009E3151" w:rsidRDefault="00963E3D" w:rsidP="00963E3D">
            <w:pPr>
              <w:spacing w:after="0" w:line="240" w:lineRule="auto"/>
              <w:textAlignment w:val="baseline"/>
              <w:rPr>
                <w:rFonts w:ascii="Calibri" w:eastAsia="Calibri" w:hAnsi="Calibri" w:cs="Calibri"/>
                <w:color w:val="000000" w:themeColor="text1"/>
                <w:sz w:val="16"/>
                <w:szCs w:val="16"/>
                <w:lang w:val="en-US"/>
              </w:rPr>
            </w:pPr>
            <w:r w:rsidRPr="009E3151">
              <w:rPr>
                <w:rFonts w:ascii="Calibri" w:eastAsia="Calibri" w:hAnsi="Calibri" w:cs="Calibri"/>
                <w:color w:val="000000" w:themeColor="text1"/>
                <w:sz w:val="16"/>
                <w:szCs w:val="16"/>
                <w:lang w:val="en-US"/>
              </w:rPr>
              <w:lastRenderedPageBreak/>
              <w:t>Table 1: Demographic and participation characteristics of participants in Virus Monitoring in Denmark, total cohort and stratified by workplace cohort or Digital Post cohort</w:t>
            </w:r>
            <w:r w:rsidR="009A374F">
              <w:rPr>
                <w:rFonts w:ascii="Calibri" w:eastAsia="Calibri" w:hAnsi="Calibri" w:cs="Calibri"/>
                <w:color w:val="000000" w:themeColor="text1"/>
                <w:sz w:val="16"/>
                <w:szCs w:val="16"/>
                <w:lang w:val="en-US"/>
              </w:rPr>
              <w:t>. Data from</w:t>
            </w:r>
            <w:r w:rsidRPr="009E3151">
              <w:rPr>
                <w:rFonts w:ascii="Calibri" w:eastAsia="Calibri" w:hAnsi="Calibri" w:cs="Calibri"/>
                <w:color w:val="000000" w:themeColor="text1"/>
                <w:sz w:val="16"/>
                <w:szCs w:val="16"/>
                <w:lang w:val="en-US"/>
              </w:rPr>
              <w:t xml:space="preserve"> week 2</w:t>
            </w:r>
            <w:r w:rsidR="009A374F">
              <w:rPr>
                <w:rFonts w:ascii="Calibri" w:eastAsia="Calibri" w:hAnsi="Calibri" w:cs="Calibri"/>
                <w:color w:val="000000" w:themeColor="text1"/>
                <w:sz w:val="16"/>
                <w:szCs w:val="16"/>
                <w:lang w:val="en-US"/>
              </w:rPr>
              <w:t>4</w:t>
            </w:r>
            <w:r w:rsidRPr="009E3151">
              <w:rPr>
                <w:rFonts w:ascii="Calibri" w:eastAsia="Calibri" w:hAnsi="Calibri" w:cs="Calibri"/>
                <w:color w:val="000000" w:themeColor="text1"/>
                <w:sz w:val="16"/>
                <w:szCs w:val="16"/>
                <w:lang w:val="en-US"/>
              </w:rPr>
              <w:t>, 2023 to week 46, 2024. The cohort demography is compared to the population of Denmark in October 2023.</w:t>
            </w:r>
          </w:p>
          <w:p w14:paraId="58F5F878" w14:textId="5181DF35" w:rsidR="00963E3D" w:rsidRPr="009E3151" w:rsidRDefault="00963E3D" w:rsidP="00963E3D">
            <w:pPr>
              <w:spacing w:after="0" w:line="240" w:lineRule="auto"/>
              <w:textAlignment w:val="baseline"/>
              <w:rPr>
                <w:rFonts w:ascii="Calibri" w:eastAsia="Times New Roman" w:hAnsi="Calibri" w:cs="Calibri"/>
                <w:color w:val="000000"/>
                <w:sz w:val="18"/>
                <w:szCs w:val="14"/>
                <w:lang w:val="en-US" w:eastAsia="da-DK"/>
              </w:rPr>
            </w:pPr>
          </w:p>
        </w:tc>
      </w:tr>
      <w:tr w:rsidR="00A0372F" w:rsidRPr="009E3151" w14:paraId="1D659736" w14:textId="77777777" w:rsidTr="00A0372F">
        <w:trPr>
          <w:trHeight w:val="300"/>
        </w:trPr>
        <w:tc>
          <w:tcPr>
            <w:tcW w:w="1701" w:type="dxa"/>
            <w:tcBorders>
              <w:top w:val="nil"/>
              <w:left w:val="nil"/>
              <w:bottom w:val="single" w:sz="6" w:space="0" w:color="000000"/>
              <w:right w:val="nil"/>
            </w:tcBorders>
            <w:shd w:val="clear" w:color="auto" w:fill="auto"/>
            <w:vAlign w:val="center"/>
            <w:hideMark/>
          </w:tcPr>
          <w:p w14:paraId="59525EA0"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 </w:t>
            </w:r>
          </w:p>
        </w:tc>
        <w:tc>
          <w:tcPr>
            <w:tcW w:w="2410" w:type="dxa"/>
            <w:tcBorders>
              <w:top w:val="nil"/>
              <w:left w:val="nil"/>
              <w:bottom w:val="single" w:sz="6" w:space="0" w:color="000000"/>
              <w:right w:val="nil"/>
            </w:tcBorders>
            <w:shd w:val="clear" w:color="auto" w:fill="auto"/>
            <w:vAlign w:val="center"/>
            <w:hideMark/>
          </w:tcPr>
          <w:p w14:paraId="480517C9"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8"/>
                <w:szCs w:val="14"/>
                <w:lang w:val="en-US" w:eastAsia="da-DK"/>
              </w:rPr>
              <w:t>Total  </w:t>
            </w:r>
          </w:p>
        </w:tc>
        <w:tc>
          <w:tcPr>
            <w:tcW w:w="1701" w:type="dxa"/>
            <w:tcBorders>
              <w:top w:val="nil"/>
              <w:left w:val="nil"/>
              <w:bottom w:val="single" w:sz="6" w:space="0" w:color="000000"/>
              <w:right w:val="nil"/>
            </w:tcBorders>
            <w:shd w:val="clear" w:color="auto" w:fill="auto"/>
            <w:vAlign w:val="center"/>
            <w:hideMark/>
          </w:tcPr>
          <w:p w14:paraId="066E56EF"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8"/>
                <w:szCs w:val="14"/>
                <w:lang w:val="en-US" w:eastAsia="da-DK"/>
              </w:rPr>
              <w:t>Workplace cohort   </w:t>
            </w:r>
          </w:p>
        </w:tc>
        <w:tc>
          <w:tcPr>
            <w:tcW w:w="1985" w:type="dxa"/>
            <w:tcBorders>
              <w:top w:val="nil"/>
              <w:left w:val="nil"/>
              <w:bottom w:val="single" w:sz="6" w:space="0" w:color="000000"/>
              <w:right w:val="nil"/>
            </w:tcBorders>
            <w:shd w:val="clear" w:color="auto" w:fill="auto"/>
            <w:vAlign w:val="center"/>
            <w:hideMark/>
          </w:tcPr>
          <w:p w14:paraId="5209CB4A"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8"/>
                <w:szCs w:val="14"/>
                <w:lang w:val="en-US" w:eastAsia="da-DK"/>
              </w:rPr>
              <w:t>Digital Post cohort </w:t>
            </w:r>
            <w:r w:rsidRPr="009E3151">
              <w:rPr>
                <w:rFonts w:ascii="Calibri" w:eastAsia="Times New Roman" w:hAnsi="Calibri" w:cs="Calibri"/>
                <w:color w:val="D13438"/>
                <w:sz w:val="18"/>
                <w:szCs w:val="14"/>
                <w:lang w:val="en-US" w:eastAsia="da-DK"/>
              </w:rPr>
              <w:t xml:space="preserve">  </w:t>
            </w:r>
          </w:p>
        </w:tc>
        <w:tc>
          <w:tcPr>
            <w:tcW w:w="1841" w:type="dxa"/>
            <w:tcBorders>
              <w:top w:val="nil"/>
              <w:left w:val="nil"/>
              <w:bottom w:val="single" w:sz="6" w:space="0" w:color="000000"/>
              <w:right w:val="nil"/>
            </w:tcBorders>
            <w:shd w:val="clear" w:color="auto" w:fill="D9D9D9"/>
            <w:vAlign w:val="center"/>
            <w:hideMark/>
          </w:tcPr>
          <w:p w14:paraId="5CC8C620"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8"/>
                <w:szCs w:val="14"/>
                <w:lang w:val="en-US" w:eastAsia="da-DK"/>
              </w:rPr>
              <w:t>Population, Denmark, October 2023</w:t>
            </w:r>
            <w:r w:rsidRPr="009E3151">
              <w:rPr>
                <w:rFonts w:ascii="Calibri" w:eastAsia="Times New Roman" w:hAnsi="Calibri" w:cs="Calibri"/>
                <w:color w:val="D13438"/>
                <w:sz w:val="18"/>
                <w:szCs w:val="14"/>
                <w:lang w:val="en-US" w:eastAsia="da-DK"/>
              </w:rPr>
              <w:t>  </w:t>
            </w:r>
          </w:p>
        </w:tc>
      </w:tr>
      <w:tr w:rsidR="00A0372F" w:rsidRPr="009E3151" w14:paraId="0D6FA698" w14:textId="77777777" w:rsidTr="00A0372F">
        <w:trPr>
          <w:trHeight w:val="300"/>
        </w:trPr>
        <w:tc>
          <w:tcPr>
            <w:tcW w:w="1701" w:type="dxa"/>
            <w:tcBorders>
              <w:top w:val="single" w:sz="6" w:space="0" w:color="000000"/>
              <w:left w:val="nil"/>
              <w:bottom w:val="nil"/>
              <w:right w:val="nil"/>
            </w:tcBorders>
            <w:shd w:val="clear" w:color="auto" w:fill="auto"/>
            <w:vAlign w:val="center"/>
            <w:hideMark/>
          </w:tcPr>
          <w:p w14:paraId="5D66C76F"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b/>
                <w:bCs/>
                <w:color w:val="000000"/>
                <w:sz w:val="14"/>
                <w:szCs w:val="14"/>
                <w:lang w:val="en-US" w:eastAsia="da-DK"/>
              </w:rPr>
              <w:t xml:space="preserve">Registered individuals </w:t>
            </w:r>
          </w:p>
        </w:tc>
        <w:tc>
          <w:tcPr>
            <w:tcW w:w="2410" w:type="dxa"/>
            <w:tcBorders>
              <w:top w:val="single" w:sz="6" w:space="0" w:color="000000"/>
              <w:left w:val="nil"/>
              <w:bottom w:val="nil"/>
              <w:right w:val="nil"/>
            </w:tcBorders>
            <w:shd w:val="clear" w:color="auto" w:fill="auto"/>
            <w:vAlign w:val="center"/>
            <w:hideMark/>
          </w:tcPr>
          <w:p w14:paraId="4AFDDED7"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hAnsi="Calibri" w:cs="Calibri"/>
                <w:sz w:val="14"/>
                <w:szCs w:val="14"/>
                <w:lang w:val="en-US"/>
              </w:rPr>
              <w:t>30627</w:t>
            </w:r>
          </w:p>
        </w:tc>
        <w:tc>
          <w:tcPr>
            <w:tcW w:w="1701" w:type="dxa"/>
            <w:tcBorders>
              <w:top w:val="single" w:sz="6" w:space="0" w:color="000000"/>
              <w:left w:val="nil"/>
              <w:bottom w:val="nil"/>
              <w:right w:val="nil"/>
            </w:tcBorders>
            <w:shd w:val="clear" w:color="auto" w:fill="auto"/>
            <w:vAlign w:val="center"/>
            <w:hideMark/>
          </w:tcPr>
          <w:p w14:paraId="085ABF11"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hAnsi="Calibri" w:cs="Calibri"/>
                <w:sz w:val="14"/>
                <w:szCs w:val="14"/>
                <w:lang w:val="en-US"/>
              </w:rPr>
              <w:t>3147</w:t>
            </w:r>
          </w:p>
        </w:tc>
        <w:tc>
          <w:tcPr>
            <w:tcW w:w="1985" w:type="dxa"/>
            <w:tcBorders>
              <w:top w:val="single" w:sz="6" w:space="0" w:color="000000"/>
              <w:left w:val="nil"/>
              <w:bottom w:val="nil"/>
              <w:right w:val="nil"/>
            </w:tcBorders>
            <w:shd w:val="clear" w:color="auto" w:fill="auto"/>
            <w:vAlign w:val="center"/>
            <w:hideMark/>
          </w:tcPr>
          <w:p w14:paraId="1C60A44D"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hAnsi="Calibri" w:cs="Calibri"/>
                <w:sz w:val="14"/>
                <w:szCs w:val="14"/>
                <w:lang w:val="en-US"/>
              </w:rPr>
              <w:t>27480</w:t>
            </w:r>
          </w:p>
        </w:tc>
        <w:tc>
          <w:tcPr>
            <w:tcW w:w="1841" w:type="dxa"/>
            <w:tcBorders>
              <w:top w:val="single" w:sz="6" w:space="0" w:color="000000"/>
              <w:left w:val="nil"/>
              <w:bottom w:val="nil"/>
              <w:right w:val="nil"/>
            </w:tcBorders>
            <w:shd w:val="clear" w:color="auto" w:fill="D9D9D9"/>
            <w:vAlign w:val="center"/>
            <w:hideMark/>
          </w:tcPr>
          <w:p w14:paraId="428BEF7F"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5959464  </w:t>
            </w:r>
          </w:p>
        </w:tc>
      </w:tr>
      <w:tr w:rsidR="00A0372F" w:rsidRPr="009E3151" w14:paraId="2D18B701" w14:textId="77777777" w:rsidTr="00A0372F">
        <w:trPr>
          <w:trHeight w:val="300"/>
        </w:trPr>
        <w:tc>
          <w:tcPr>
            <w:tcW w:w="1701" w:type="dxa"/>
            <w:tcBorders>
              <w:top w:val="nil"/>
              <w:left w:val="nil"/>
              <w:bottom w:val="nil"/>
              <w:right w:val="nil"/>
            </w:tcBorders>
            <w:shd w:val="clear" w:color="auto" w:fill="auto"/>
            <w:vAlign w:val="center"/>
            <w:hideMark/>
          </w:tcPr>
          <w:p w14:paraId="0F56C553" w14:textId="77777777" w:rsidR="00A0372F" w:rsidRPr="009E3151" w:rsidRDefault="00A0372F" w:rsidP="00A0372F">
            <w:pPr>
              <w:spacing w:after="0" w:line="240" w:lineRule="auto"/>
              <w:textAlignment w:val="baseline"/>
              <w:rPr>
                <w:rFonts w:ascii="Calibri" w:eastAsia="Times New Roman" w:hAnsi="Calibri" w:cs="Calibri"/>
                <w:sz w:val="14"/>
                <w:szCs w:val="18"/>
                <w:lang w:val="en-US" w:eastAsia="da-DK"/>
              </w:rPr>
            </w:pPr>
            <w:r w:rsidRPr="009E3151">
              <w:rPr>
                <w:rFonts w:ascii="Calibri" w:eastAsia="Times New Roman" w:hAnsi="Calibri" w:cs="Calibri"/>
                <w:b/>
                <w:bCs/>
                <w:color w:val="000000"/>
                <w:sz w:val="14"/>
                <w:szCs w:val="14"/>
                <w:lang w:val="en-US" w:eastAsia="da-DK"/>
              </w:rPr>
              <w:t xml:space="preserve">                        Sex = M, n (%)</w:t>
            </w:r>
          </w:p>
        </w:tc>
        <w:tc>
          <w:tcPr>
            <w:tcW w:w="2410" w:type="dxa"/>
            <w:tcBorders>
              <w:top w:val="nil"/>
              <w:left w:val="nil"/>
              <w:bottom w:val="nil"/>
              <w:right w:val="nil"/>
            </w:tcBorders>
            <w:shd w:val="clear" w:color="auto" w:fill="auto"/>
            <w:vAlign w:val="center"/>
            <w:hideMark/>
          </w:tcPr>
          <w:p w14:paraId="0EDCCC29"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hAnsi="Calibri" w:cs="Calibri"/>
                <w:sz w:val="14"/>
                <w:szCs w:val="14"/>
                <w:lang w:val="en-US"/>
              </w:rPr>
              <w:t>13182 (43.0)</w:t>
            </w:r>
          </w:p>
        </w:tc>
        <w:tc>
          <w:tcPr>
            <w:tcW w:w="1701" w:type="dxa"/>
            <w:tcBorders>
              <w:top w:val="nil"/>
              <w:left w:val="nil"/>
              <w:bottom w:val="nil"/>
              <w:right w:val="nil"/>
            </w:tcBorders>
            <w:shd w:val="clear" w:color="auto" w:fill="auto"/>
            <w:vAlign w:val="center"/>
            <w:hideMark/>
          </w:tcPr>
          <w:p w14:paraId="4790ED8D"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hAnsi="Calibri" w:cs="Calibri"/>
                <w:sz w:val="14"/>
                <w:szCs w:val="14"/>
                <w:lang w:val="en-US"/>
              </w:rPr>
              <w:t>1447 (46.0)</w:t>
            </w:r>
          </w:p>
        </w:tc>
        <w:tc>
          <w:tcPr>
            <w:tcW w:w="1985" w:type="dxa"/>
            <w:tcBorders>
              <w:top w:val="nil"/>
              <w:left w:val="nil"/>
              <w:bottom w:val="nil"/>
              <w:right w:val="nil"/>
            </w:tcBorders>
            <w:shd w:val="clear" w:color="auto" w:fill="auto"/>
            <w:vAlign w:val="center"/>
            <w:hideMark/>
          </w:tcPr>
          <w:p w14:paraId="1DF61DF4"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hAnsi="Calibri" w:cs="Calibri"/>
                <w:sz w:val="14"/>
                <w:szCs w:val="14"/>
                <w:lang w:val="en-US"/>
              </w:rPr>
              <w:t>11735 (42.7)</w:t>
            </w:r>
          </w:p>
        </w:tc>
        <w:tc>
          <w:tcPr>
            <w:tcW w:w="1841" w:type="dxa"/>
            <w:tcBorders>
              <w:top w:val="nil"/>
              <w:left w:val="nil"/>
              <w:bottom w:val="nil"/>
              <w:right w:val="nil"/>
            </w:tcBorders>
            <w:shd w:val="clear" w:color="auto" w:fill="D9D9D9"/>
            <w:vAlign w:val="center"/>
            <w:hideMark/>
          </w:tcPr>
          <w:p w14:paraId="05E7EA6B"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2962468 (49.7)  </w:t>
            </w:r>
          </w:p>
        </w:tc>
      </w:tr>
      <w:tr w:rsidR="00A0372F" w:rsidRPr="009E3151" w14:paraId="60315FCC" w14:textId="77777777" w:rsidTr="00A0372F">
        <w:trPr>
          <w:trHeight w:val="300"/>
        </w:trPr>
        <w:tc>
          <w:tcPr>
            <w:tcW w:w="1701" w:type="dxa"/>
            <w:tcBorders>
              <w:top w:val="nil"/>
              <w:left w:val="nil"/>
              <w:bottom w:val="nil"/>
              <w:right w:val="nil"/>
            </w:tcBorders>
            <w:shd w:val="clear" w:color="auto" w:fill="auto"/>
            <w:vAlign w:val="center"/>
            <w:hideMark/>
          </w:tcPr>
          <w:p w14:paraId="28317AAE" w14:textId="77777777" w:rsidR="00A0372F" w:rsidRPr="009E3151" w:rsidRDefault="00A0372F" w:rsidP="00A0372F">
            <w:pPr>
              <w:spacing w:after="0" w:line="240" w:lineRule="auto"/>
              <w:textAlignment w:val="baseline"/>
              <w:rPr>
                <w:rFonts w:ascii="Calibri" w:eastAsia="Times New Roman" w:hAnsi="Calibri" w:cs="Calibri"/>
                <w:sz w:val="14"/>
                <w:szCs w:val="18"/>
                <w:lang w:val="en-US" w:eastAsia="da-DK"/>
              </w:rPr>
            </w:pPr>
            <w:r w:rsidRPr="009E3151">
              <w:rPr>
                <w:rFonts w:ascii="Calibri" w:eastAsia="Times New Roman" w:hAnsi="Calibri" w:cs="Calibri"/>
                <w:b/>
                <w:bCs/>
                <w:color w:val="000000"/>
                <w:sz w:val="14"/>
                <w:szCs w:val="14"/>
                <w:lang w:val="en-US" w:eastAsia="da-DK"/>
              </w:rPr>
              <w:t xml:space="preserve">                       Age, mean (SD)</w:t>
            </w:r>
          </w:p>
        </w:tc>
        <w:tc>
          <w:tcPr>
            <w:tcW w:w="2410" w:type="dxa"/>
            <w:tcBorders>
              <w:top w:val="nil"/>
              <w:left w:val="nil"/>
              <w:bottom w:val="nil"/>
              <w:right w:val="nil"/>
            </w:tcBorders>
            <w:shd w:val="clear" w:color="auto" w:fill="auto"/>
            <w:vAlign w:val="center"/>
            <w:hideMark/>
          </w:tcPr>
          <w:p w14:paraId="0D3C2C79"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hAnsi="Calibri" w:cs="Calibri"/>
                <w:sz w:val="14"/>
                <w:szCs w:val="14"/>
                <w:lang w:val="en-US"/>
              </w:rPr>
              <w:t>46.67 (19.99)</w:t>
            </w:r>
          </w:p>
        </w:tc>
        <w:tc>
          <w:tcPr>
            <w:tcW w:w="1701" w:type="dxa"/>
            <w:tcBorders>
              <w:top w:val="nil"/>
              <w:left w:val="nil"/>
              <w:bottom w:val="nil"/>
              <w:right w:val="nil"/>
            </w:tcBorders>
            <w:shd w:val="clear" w:color="auto" w:fill="auto"/>
            <w:vAlign w:val="center"/>
            <w:hideMark/>
          </w:tcPr>
          <w:p w14:paraId="5882C777"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hAnsi="Calibri" w:cs="Calibri"/>
                <w:sz w:val="14"/>
                <w:szCs w:val="14"/>
                <w:lang w:val="en-US"/>
              </w:rPr>
              <w:t>36.02 (16.00)</w:t>
            </w:r>
          </w:p>
        </w:tc>
        <w:tc>
          <w:tcPr>
            <w:tcW w:w="1985" w:type="dxa"/>
            <w:tcBorders>
              <w:top w:val="nil"/>
              <w:left w:val="nil"/>
              <w:bottom w:val="nil"/>
              <w:right w:val="nil"/>
            </w:tcBorders>
            <w:shd w:val="clear" w:color="auto" w:fill="auto"/>
            <w:vAlign w:val="center"/>
            <w:hideMark/>
          </w:tcPr>
          <w:p w14:paraId="2C2B1233"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hAnsi="Calibri" w:cs="Calibri"/>
                <w:sz w:val="14"/>
                <w:szCs w:val="14"/>
                <w:lang w:val="en-US"/>
              </w:rPr>
              <w:t>47.89 (20.04)</w:t>
            </w:r>
          </w:p>
        </w:tc>
        <w:tc>
          <w:tcPr>
            <w:tcW w:w="1841" w:type="dxa"/>
            <w:tcBorders>
              <w:top w:val="nil"/>
              <w:left w:val="nil"/>
              <w:bottom w:val="nil"/>
              <w:right w:val="nil"/>
            </w:tcBorders>
            <w:shd w:val="clear" w:color="auto" w:fill="D9D9D9"/>
            <w:vAlign w:val="center"/>
            <w:hideMark/>
          </w:tcPr>
          <w:p w14:paraId="0B65EC92"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41.83 (23.81)  </w:t>
            </w:r>
          </w:p>
        </w:tc>
      </w:tr>
      <w:tr w:rsidR="00A0372F" w:rsidRPr="009E3151" w14:paraId="3B2F2497" w14:textId="77777777" w:rsidTr="00A0372F">
        <w:trPr>
          <w:trHeight w:val="300"/>
        </w:trPr>
        <w:tc>
          <w:tcPr>
            <w:tcW w:w="1701" w:type="dxa"/>
            <w:tcBorders>
              <w:top w:val="nil"/>
              <w:left w:val="nil"/>
              <w:bottom w:val="nil"/>
              <w:right w:val="nil"/>
            </w:tcBorders>
            <w:shd w:val="clear" w:color="auto" w:fill="auto"/>
            <w:vAlign w:val="center"/>
            <w:hideMark/>
          </w:tcPr>
          <w:p w14:paraId="61350F3E"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b/>
                <w:bCs/>
                <w:color w:val="000000"/>
                <w:sz w:val="14"/>
                <w:szCs w:val="14"/>
                <w:lang w:val="en-US" w:eastAsia="da-DK"/>
              </w:rPr>
              <w:t>Age groups n (%)</w:t>
            </w:r>
          </w:p>
        </w:tc>
        <w:tc>
          <w:tcPr>
            <w:tcW w:w="2410" w:type="dxa"/>
            <w:tcBorders>
              <w:top w:val="nil"/>
              <w:left w:val="nil"/>
              <w:bottom w:val="nil"/>
              <w:right w:val="nil"/>
            </w:tcBorders>
            <w:shd w:val="clear" w:color="auto" w:fill="auto"/>
            <w:vAlign w:val="center"/>
            <w:hideMark/>
          </w:tcPr>
          <w:p w14:paraId="4B969A36"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p>
        </w:tc>
        <w:tc>
          <w:tcPr>
            <w:tcW w:w="1701" w:type="dxa"/>
            <w:tcBorders>
              <w:top w:val="nil"/>
              <w:left w:val="nil"/>
              <w:bottom w:val="nil"/>
              <w:right w:val="nil"/>
            </w:tcBorders>
            <w:shd w:val="clear" w:color="auto" w:fill="auto"/>
            <w:vAlign w:val="center"/>
            <w:hideMark/>
          </w:tcPr>
          <w:p w14:paraId="6BA6D78A"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p>
        </w:tc>
        <w:tc>
          <w:tcPr>
            <w:tcW w:w="1985" w:type="dxa"/>
            <w:tcBorders>
              <w:top w:val="nil"/>
              <w:left w:val="nil"/>
              <w:bottom w:val="nil"/>
              <w:right w:val="nil"/>
            </w:tcBorders>
            <w:shd w:val="clear" w:color="auto" w:fill="auto"/>
            <w:vAlign w:val="center"/>
            <w:hideMark/>
          </w:tcPr>
          <w:p w14:paraId="7AA7C5BC"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p>
        </w:tc>
        <w:tc>
          <w:tcPr>
            <w:tcW w:w="1841" w:type="dxa"/>
            <w:tcBorders>
              <w:top w:val="nil"/>
              <w:left w:val="nil"/>
              <w:bottom w:val="nil"/>
              <w:right w:val="nil"/>
            </w:tcBorders>
            <w:shd w:val="clear" w:color="auto" w:fill="D9D9D9"/>
            <w:vAlign w:val="center"/>
            <w:hideMark/>
          </w:tcPr>
          <w:p w14:paraId="1159C033"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8"/>
                <w:szCs w:val="18"/>
                <w:lang w:val="en-US" w:eastAsia="da-DK"/>
              </w:rPr>
              <w:t>   </w:t>
            </w:r>
          </w:p>
        </w:tc>
      </w:tr>
      <w:tr w:rsidR="00A0372F" w:rsidRPr="009E3151" w14:paraId="41104A4B" w14:textId="77777777" w:rsidTr="00A0372F">
        <w:trPr>
          <w:trHeight w:val="300"/>
        </w:trPr>
        <w:tc>
          <w:tcPr>
            <w:tcW w:w="1701" w:type="dxa"/>
            <w:tcBorders>
              <w:top w:val="nil"/>
              <w:left w:val="nil"/>
              <w:bottom w:val="nil"/>
              <w:right w:val="nil"/>
            </w:tcBorders>
            <w:shd w:val="clear" w:color="auto" w:fill="auto"/>
            <w:vAlign w:val="center"/>
            <w:hideMark/>
          </w:tcPr>
          <w:p w14:paraId="1A9B9A50"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0-4  </w:t>
            </w:r>
          </w:p>
        </w:tc>
        <w:tc>
          <w:tcPr>
            <w:tcW w:w="2410" w:type="dxa"/>
            <w:tcBorders>
              <w:top w:val="nil"/>
              <w:left w:val="nil"/>
              <w:bottom w:val="nil"/>
              <w:right w:val="nil"/>
            </w:tcBorders>
            <w:shd w:val="clear" w:color="auto" w:fill="auto"/>
            <w:vAlign w:val="center"/>
            <w:hideMark/>
          </w:tcPr>
          <w:p w14:paraId="5E7BA04A"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w:t>
            </w:r>
          </w:p>
        </w:tc>
        <w:tc>
          <w:tcPr>
            <w:tcW w:w="1701" w:type="dxa"/>
            <w:tcBorders>
              <w:top w:val="nil"/>
              <w:left w:val="nil"/>
              <w:bottom w:val="nil"/>
              <w:right w:val="nil"/>
            </w:tcBorders>
            <w:shd w:val="clear" w:color="auto" w:fill="auto"/>
            <w:vAlign w:val="center"/>
            <w:hideMark/>
          </w:tcPr>
          <w:p w14:paraId="47C11DAF"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w:t>
            </w:r>
          </w:p>
        </w:tc>
        <w:tc>
          <w:tcPr>
            <w:tcW w:w="1985" w:type="dxa"/>
            <w:tcBorders>
              <w:top w:val="nil"/>
              <w:left w:val="nil"/>
              <w:bottom w:val="nil"/>
              <w:right w:val="nil"/>
            </w:tcBorders>
            <w:shd w:val="clear" w:color="auto" w:fill="auto"/>
            <w:vAlign w:val="center"/>
            <w:hideMark/>
          </w:tcPr>
          <w:p w14:paraId="569CA481"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w:t>
            </w:r>
          </w:p>
        </w:tc>
        <w:tc>
          <w:tcPr>
            <w:tcW w:w="1841" w:type="dxa"/>
            <w:tcBorders>
              <w:top w:val="nil"/>
              <w:left w:val="nil"/>
              <w:bottom w:val="nil"/>
              <w:right w:val="nil"/>
            </w:tcBorders>
            <w:shd w:val="clear" w:color="auto" w:fill="D9D9D9"/>
            <w:vAlign w:val="center"/>
            <w:hideMark/>
          </w:tcPr>
          <w:p w14:paraId="525FD236"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307653 (5.16)  </w:t>
            </w:r>
          </w:p>
        </w:tc>
      </w:tr>
      <w:tr w:rsidR="00A0372F" w:rsidRPr="009E3151" w14:paraId="088D8542" w14:textId="77777777" w:rsidTr="00A0372F">
        <w:trPr>
          <w:trHeight w:val="300"/>
        </w:trPr>
        <w:tc>
          <w:tcPr>
            <w:tcW w:w="1701" w:type="dxa"/>
            <w:tcBorders>
              <w:top w:val="nil"/>
              <w:left w:val="nil"/>
              <w:bottom w:val="nil"/>
              <w:right w:val="nil"/>
            </w:tcBorders>
            <w:shd w:val="clear" w:color="auto" w:fill="auto"/>
            <w:vAlign w:val="center"/>
            <w:hideMark/>
          </w:tcPr>
          <w:p w14:paraId="28FEEF92"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5-9  </w:t>
            </w:r>
          </w:p>
        </w:tc>
        <w:tc>
          <w:tcPr>
            <w:tcW w:w="2410" w:type="dxa"/>
            <w:tcBorders>
              <w:top w:val="nil"/>
              <w:left w:val="nil"/>
              <w:bottom w:val="nil"/>
              <w:right w:val="nil"/>
            </w:tcBorders>
            <w:shd w:val="clear" w:color="auto" w:fill="auto"/>
            <w:vAlign w:val="center"/>
            <w:hideMark/>
          </w:tcPr>
          <w:p w14:paraId="57398316"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1346 (4.4)</w:t>
            </w:r>
          </w:p>
        </w:tc>
        <w:tc>
          <w:tcPr>
            <w:tcW w:w="1701" w:type="dxa"/>
            <w:tcBorders>
              <w:top w:val="nil"/>
              <w:left w:val="nil"/>
              <w:bottom w:val="nil"/>
              <w:right w:val="nil"/>
            </w:tcBorders>
            <w:shd w:val="clear" w:color="auto" w:fill="auto"/>
            <w:vAlign w:val="center"/>
            <w:hideMark/>
          </w:tcPr>
          <w:p w14:paraId="5466D508"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130 (4.1)</w:t>
            </w:r>
          </w:p>
        </w:tc>
        <w:tc>
          <w:tcPr>
            <w:tcW w:w="1985" w:type="dxa"/>
            <w:tcBorders>
              <w:top w:val="nil"/>
              <w:left w:val="nil"/>
              <w:bottom w:val="nil"/>
              <w:right w:val="nil"/>
            </w:tcBorders>
            <w:shd w:val="clear" w:color="auto" w:fill="auto"/>
            <w:vAlign w:val="center"/>
            <w:hideMark/>
          </w:tcPr>
          <w:p w14:paraId="08077F48"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1216 (4.4)</w:t>
            </w:r>
          </w:p>
        </w:tc>
        <w:tc>
          <w:tcPr>
            <w:tcW w:w="1841" w:type="dxa"/>
            <w:tcBorders>
              <w:top w:val="nil"/>
              <w:left w:val="nil"/>
              <w:bottom w:val="nil"/>
              <w:right w:val="nil"/>
            </w:tcBorders>
            <w:shd w:val="clear" w:color="auto" w:fill="D9D9D9"/>
            <w:vAlign w:val="center"/>
            <w:hideMark/>
          </w:tcPr>
          <w:p w14:paraId="22AAABCC"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310040 (5.2)  </w:t>
            </w:r>
          </w:p>
        </w:tc>
      </w:tr>
      <w:tr w:rsidR="00A0372F" w:rsidRPr="009E3151" w14:paraId="4CA0FE3D" w14:textId="77777777" w:rsidTr="00A0372F">
        <w:trPr>
          <w:trHeight w:val="300"/>
        </w:trPr>
        <w:tc>
          <w:tcPr>
            <w:tcW w:w="1701" w:type="dxa"/>
            <w:tcBorders>
              <w:top w:val="nil"/>
              <w:left w:val="nil"/>
              <w:bottom w:val="nil"/>
              <w:right w:val="nil"/>
            </w:tcBorders>
            <w:shd w:val="clear" w:color="auto" w:fill="auto"/>
            <w:vAlign w:val="center"/>
            <w:hideMark/>
          </w:tcPr>
          <w:p w14:paraId="383DE7C7"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10-14  </w:t>
            </w:r>
          </w:p>
        </w:tc>
        <w:tc>
          <w:tcPr>
            <w:tcW w:w="2410" w:type="dxa"/>
            <w:tcBorders>
              <w:top w:val="nil"/>
              <w:left w:val="nil"/>
              <w:bottom w:val="nil"/>
              <w:right w:val="nil"/>
            </w:tcBorders>
            <w:shd w:val="clear" w:color="auto" w:fill="auto"/>
            <w:vAlign w:val="center"/>
            <w:hideMark/>
          </w:tcPr>
          <w:p w14:paraId="39F19CFA"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2451 (8.0)</w:t>
            </w:r>
          </w:p>
        </w:tc>
        <w:tc>
          <w:tcPr>
            <w:tcW w:w="1701" w:type="dxa"/>
            <w:tcBorders>
              <w:top w:val="nil"/>
              <w:left w:val="nil"/>
              <w:bottom w:val="nil"/>
              <w:right w:val="nil"/>
            </w:tcBorders>
            <w:shd w:val="clear" w:color="auto" w:fill="auto"/>
            <w:vAlign w:val="center"/>
            <w:hideMark/>
          </w:tcPr>
          <w:p w14:paraId="051FFAF1"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211 (6.7)</w:t>
            </w:r>
          </w:p>
        </w:tc>
        <w:tc>
          <w:tcPr>
            <w:tcW w:w="1985" w:type="dxa"/>
            <w:tcBorders>
              <w:top w:val="nil"/>
              <w:left w:val="nil"/>
              <w:bottom w:val="nil"/>
              <w:right w:val="nil"/>
            </w:tcBorders>
            <w:shd w:val="clear" w:color="auto" w:fill="auto"/>
            <w:vAlign w:val="center"/>
            <w:hideMark/>
          </w:tcPr>
          <w:p w14:paraId="36EA940B"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2240 (8.2)</w:t>
            </w:r>
          </w:p>
        </w:tc>
        <w:tc>
          <w:tcPr>
            <w:tcW w:w="1841" w:type="dxa"/>
            <w:tcBorders>
              <w:top w:val="nil"/>
              <w:left w:val="nil"/>
              <w:bottom w:val="nil"/>
              <w:right w:val="nil"/>
            </w:tcBorders>
            <w:shd w:val="clear" w:color="auto" w:fill="D9D9D9"/>
            <w:vAlign w:val="center"/>
            <w:hideMark/>
          </w:tcPr>
          <w:p w14:paraId="603E2F14"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322958 (5.42)  </w:t>
            </w:r>
          </w:p>
        </w:tc>
      </w:tr>
      <w:tr w:rsidR="00A0372F" w:rsidRPr="009E3151" w14:paraId="6F04AC42" w14:textId="77777777" w:rsidTr="00A0372F">
        <w:trPr>
          <w:trHeight w:val="300"/>
        </w:trPr>
        <w:tc>
          <w:tcPr>
            <w:tcW w:w="1701" w:type="dxa"/>
            <w:tcBorders>
              <w:top w:val="nil"/>
              <w:left w:val="nil"/>
              <w:bottom w:val="nil"/>
              <w:right w:val="nil"/>
            </w:tcBorders>
            <w:shd w:val="clear" w:color="auto" w:fill="auto"/>
            <w:vAlign w:val="center"/>
            <w:hideMark/>
          </w:tcPr>
          <w:p w14:paraId="57463A2F"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15-19  </w:t>
            </w:r>
          </w:p>
        </w:tc>
        <w:tc>
          <w:tcPr>
            <w:tcW w:w="2410" w:type="dxa"/>
            <w:tcBorders>
              <w:top w:val="nil"/>
              <w:left w:val="nil"/>
              <w:bottom w:val="nil"/>
              <w:right w:val="nil"/>
            </w:tcBorders>
            <w:shd w:val="clear" w:color="auto" w:fill="auto"/>
            <w:vAlign w:val="center"/>
            <w:hideMark/>
          </w:tcPr>
          <w:p w14:paraId="3C32F69D"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875 (2.9)</w:t>
            </w:r>
          </w:p>
        </w:tc>
        <w:tc>
          <w:tcPr>
            <w:tcW w:w="1701" w:type="dxa"/>
            <w:tcBorders>
              <w:top w:val="nil"/>
              <w:left w:val="nil"/>
              <w:bottom w:val="nil"/>
              <w:right w:val="nil"/>
            </w:tcBorders>
            <w:shd w:val="clear" w:color="auto" w:fill="auto"/>
            <w:vAlign w:val="center"/>
            <w:hideMark/>
          </w:tcPr>
          <w:p w14:paraId="0A2BC133"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131 (4.2)</w:t>
            </w:r>
          </w:p>
        </w:tc>
        <w:tc>
          <w:tcPr>
            <w:tcW w:w="1985" w:type="dxa"/>
            <w:tcBorders>
              <w:top w:val="nil"/>
              <w:left w:val="nil"/>
              <w:bottom w:val="nil"/>
              <w:right w:val="nil"/>
            </w:tcBorders>
            <w:shd w:val="clear" w:color="auto" w:fill="auto"/>
            <w:vAlign w:val="center"/>
            <w:hideMark/>
          </w:tcPr>
          <w:p w14:paraId="4B9F850A"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744 (2.7)</w:t>
            </w:r>
          </w:p>
        </w:tc>
        <w:tc>
          <w:tcPr>
            <w:tcW w:w="1841" w:type="dxa"/>
            <w:tcBorders>
              <w:top w:val="nil"/>
              <w:left w:val="nil"/>
              <w:bottom w:val="nil"/>
              <w:right w:val="nil"/>
            </w:tcBorders>
            <w:shd w:val="clear" w:color="auto" w:fill="D9D9D9"/>
            <w:vAlign w:val="center"/>
            <w:hideMark/>
          </w:tcPr>
          <w:p w14:paraId="41BF9D5C"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350828 (5.89)  </w:t>
            </w:r>
          </w:p>
        </w:tc>
      </w:tr>
      <w:tr w:rsidR="00A0372F" w:rsidRPr="009E3151" w14:paraId="3F4EF987" w14:textId="77777777" w:rsidTr="00A0372F">
        <w:trPr>
          <w:trHeight w:val="300"/>
        </w:trPr>
        <w:tc>
          <w:tcPr>
            <w:tcW w:w="1701" w:type="dxa"/>
            <w:tcBorders>
              <w:top w:val="nil"/>
              <w:left w:val="nil"/>
              <w:bottom w:val="nil"/>
              <w:right w:val="nil"/>
            </w:tcBorders>
            <w:shd w:val="clear" w:color="auto" w:fill="auto"/>
            <w:vAlign w:val="center"/>
            <w:hideMark/>
          </w:tcPr>
          <w:p w14:paraId="21515804"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20-29  </w:t>
            </w:r>
          </w:p>
        </w:tc>
        <w:tc>
          <w:tcPr>
            <w:tcW w:w="2410" w:type="dxa"/>
            <w:tcBorders>
              <w:top w:val="nil"/>
              <w:left w:val="nil"/>
              <w:bottom w:val="nil"/>
              <w:right w:val="nil"/>
            </w:tcBorders>
            <w:shd w:val="clear" w:color="auto" w:fill="auto"/>
            <w:vAlign w:val="center"/>
            <w:hideMark/>
          </w:tcPr>
          <w:p w14:paraId="48AA44A1"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2188 (7.1)</w:t>
            </w:r>
          </w:p>
        </w:tc>
        <w:tc>
          <w:tcPr>
            <w:tcW w:w="1701" w:type="dxa"/>
            <w:tcBorders>
              <w:top w:val="nil"/>
              <w:left w:val="nil"/>
              <w:bottom w:val="nil"/>
              <w:right w:val="nil"/>
            </w:tcBorders>
            <w:shd w:val="clear" w:color="auto" w:fill="auto"/>
            <w:vAlign w:val="center"/>
            <w:hideMark/>
          </w:tcPr>
          <w:p w14:paraId="4717B0A6"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774 (24.6)</w:t>
            </w:r>
          </w:p>
        </w:tc>
        <w:tc>
          <w:tcPr>
            <w:tcW w:w="1985" w:type="dxa"/>
            <w:tcBorders>
              <w:top w:val="nil"/>
              <w:left w:val="nil"/>
              <w:bottom w:val="nil"/>
              <w:right w:val="nil"/>
            </w:tcBorders>
            <w:shd w:val="clear" w:color="auto" w:fill="auto"/>
            <w:vAlign w:val="center"/>
            <w:hideMark/>
          </w:tcPr>
          <w:p w14:paraId="72E0BA2D"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1414 (5.1)</w:t>
            </w:r>
          </w:p>
        </w:tc>
        <w:tc>
          <w:tcPr>
            <w:tcW w:w="1841" w:type="dxa"/>
            <w:tcBorders>
              <w:top w:val="nil"/>
              <w:left w:val="nil"/>
              <w:bottom w:val="nil"/>
              <w:right w:val="nil"/>
            </w:tcBorders>
            <w:shd w:val="clear" w:color="auto" w:fill="D9D9D9"/>
            <w:vAlign w:val="center"/>
            <w:hideMark/>
          </w:tcPr>
          <w:p w14:paraId="32534370"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786628 (13.2)  </w:t>
            </w:r>
          </w:p>
        </w:tc>
      </w:tr>
      <w:tr w:rsidR="00A0372F" w:rsidRPr="009E3151" w14:paraId="3C6A166E" w14:textId="77777777" w:rsidTr="00A0372F">
        <w:trPr>
          <w:trHeight w:val="300"/>
        </w:trPr>
        <w:tc>
          <w:tcPr>
            <w:tcW w:w="1701" w:type="dxa"/>
            <w:tcBorders>
              <w:top w:val="nil"/>
              <w:left w:val="nil"/>
              <w:bottom w:val="nil"/>
              <w:right w:val="nil"/>
            </w:tcBorders>
            <w:shd w:val="clear" w:color="auto" w:fill="auto"/>
            <w:vAlign w:val="center"/>
            <w:hideMark/>
          </w:tcPr>
          <w:p w14:paraId="53C781B7"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30-39  </w:t>
            </w:r>
          </w:p>
        </w:tc>
        <w:tc>
          <w:tcPr>
            <w:tcW w:w="2410" w:type="dxa"/>
            <w:tcBorders>
              <w:top w:val="nil"/>
              <w:left w:val="nil"/>
              <w:bottom w:val="nil"/>
              <w:right w:val="nil"/>
            </w:tcBorders>
            <w:shd w:val="clear" w:color="auto" w:fill="auto"/>
            <w:vAlign w:val="center"/>
            <w:hideMark/>
          </w:tcPr>
          <w:p w14:paraId="27C822DF"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3063 (10.0)</w:t>
            </w:r>
          </w:p>
        </w:tc>
        <w:tc>
          <w:tcPr>
            <w:tcW w:w="1701" w:type="dxa"/>
            <w:tcBorders>
              <w:top w:val="nil"/>
              <w:left w:val="nil"/>
              <w:bottom w:val="nil"/>
              <w:right w:val="nil"/>
            </w:tcBorders>
            <w:shd w:val="clear" w:color="auto" w:fill="auto"/>
            <w:vAlign w:val="center"/>
            <w:hideMark/>
          </w:tcPr>
          <w:p w14:paraId="43EE933D"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611 (19.4)</w:t>
            </w:r>
          </w:p>
        </w:tc>
        <w:tc>
          <w:tcPr>
            <w:tcW w:w="1985" w:type="dxa"/>
            <w:tcBorders>
              <w:top w:val="nil"/>
              <w:left w:val="nil"/>
              <w:bottom w:val="nil"/>
              <w:right w:val="nil"/>
            </w:tcBorders>
            <w:shd w:val="clear" w:color="auto" w:fill="auto"/>
            <w:vAlign w:val="center"/>
            <w:hideMark/>
          </w:tcPr>
          <w:p w14:paraId="329356EA"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2452 (8.9)</w:t>
            </w:r>
          </w:p>
        </w:tc>
        <w:tc>
          <w:tcPr>
            <w:tcW w:w="1841" w:type="dxa"/>
            <w:tcBorders>
              <w:top w:val="nil"/>
              <w:left w:val="nil"/>
              <w:bottom w:val="nil"/>
              <w:right w:val="nil"/>
            </w:tcBorders>
            <w:shd w:val="clear" w:color="auto" w:fill="D9D9D9"/>
            <w:vAlign w:val="center"/>
            <w:hideMark/>
          </w:tcPr>
          <w:p w14:paraId="597A1AFC"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757520 (12.71)  </w:t>
            </w:r>
          </w:p>
        </w:tc>
      </w:tr>
      <w:tr w:rsidR="00A0372F" w:rsidRPr="009E3151" w14:paraId="2F495B5D" w14:textId="77777777" w:rsidTr="00A0372F">
        <w:trPr>
          <w:trHeight w:val="300"/>
        </w:trPr>
        <w:tc>
          <w:tcPr>
            <w:tcW w:w="1701" w:type="dxa"/>
            <w:tcBorders>
              <w:top w:val="nil"/>
              <w:left w:val="nil"/>
              <w:bottom w:val="nil"/>
              <w:right w:val="nil"/>
            </w:tcBorders>
            <w:shd w:val="clear" w:color="auto" w:fill="auto"/>
            <w:vAlign w:val="center"/>
            <w:hideMark/>
          </w:tcPr>
          <w:p w14:paraId="4CEB4E7B"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40-49  </w:t>
            </w:r>
          </w:p>
        </w:tc>
        <w:tc>
          <w:tcPr>
            <w:tcW w:w="2410" w:type="dxa"/>
            <w:tcBorders>
              <w:top w:val="nil"/>
              <w:left w:val="nil"/>
              <w:bottom w:val="nil"/>
              <w:right w:val="nil"/>
            </w:tcBorders>
            <w:shd w:val="clear" w:color="auto" w:fill="auto"/>
            <w:vAlign w:val="center"/>
            <w:hideMark/>
          </w:tcPr>
          <w:p w14:paraId="7A2E9A53"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4108 (13.4)</w:t>
            </w:r>
          </w:p>
        </w:tc>
        <w:tc>
          <w:tcPr>
            <w:tcW w:w="1701" w:type="dxa"/>
            <w:tcBorders>
              <w:top w:val="nil"/>
              <w:left w:val="nil"/>
              <w:bottom w:val="nil"/>
              <w:right w:val="nil"/>
            </w:tcBorders>
            <w:shd w:val="clear" w:color="auto" w:fill="auto"/>
            <w:vAlign w:val="center"/>
            <w:hideMark/>
          </w:tcPr>
          <w:p w14:paraId="68E35397"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533 (16.9)</w:t>
            </w:r>
          </w:p>
        </w:tc>
        <w:tc>
          <w:tcPr>
            <w:tcW w:w="1985" w:type="dxa"/>
            <w:tcBorders>
              <w:top w:val="nil"/>
              <w:left w:val="nil"/>
              <w:bottom w:val="nil"/>
              <w:right w:val="nil"/>
            </w:tcBorders>
            <w:shd w:val="clear" w:color="auto" w:fill="auto"/>
            <w:vAlign w:val="center"/>
            <w:hideMark/>
          </w:tcPr>
          <w:p w14:paraId="740AC85B"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3575 (13.0)</w:t>
            </w:r>
          </w:p>
        </w:tc>
        <w:tc>
          <w:tcPr>
            <w:tcW w:w="1841" w:type="dxa"/>
            <w:tcBorders>
              <w:top w:val="nil"/>
              <w:left w:val="nil"/>
              <w:bottom w:val="nil"/>
              <w:right w:val="nil"/>
            </w:tcBorders>
            <w:shd w:val="clear" w:color="auto" w:fill="D9D9D9"/>
            <w:vAlign w:val="center"/>
            <w:hideMark/>
          </w:tcPr>
          <w:p w14:paraId="5CB5389A"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719668 (12.08)  </w:t>
            </w:r>
          </w:p>
        </w:tc>
      </w:tr>
      <w:tr w:rsidR="00A0372F" w:rsidRPr="009E3151" w14:paraId="3773555C" w14:textId="77777777" w:rsidTr="00A0372F">
        <w:trPr>
          <w:trHeight w:val="300"/>
        </w:trPr>
        <w:tc>
          <w:tcPr>
            <w:tcW w:w="1701" w:type="dxa"/>
            <w:tcBorders>
              <w:top w:val="nil"/>
              <w:left w:val="nil"/>
              <w:bottom w:val="nil"/>
              <w:right w:val="nil"/>
            </w:tcBorders>
            <w:shd w:val="clear" w:color="auto" w:fill="auto"/>
            <w:vAlign w:val="center"/>
            <w:hideMark/>
          </w:tcPr>
          <w:p w14:paraId="2C42DC72"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50-59  </w:t>
            </w:r>
          </w:p>
        </w:tc>
        <w:tc>
          <w:tcPr>
            <w:tcW w:w="2410" w:type="dxa"/>
            <w:tcBorders>
              <w:top w:val="nil"/>
              <w:left w:val="nil"/>
              <w:bottom w:val="nil"/>
              <w:right w:val="nil"/>
            </w:tcBorders>
            <w:shd w:val="clear" w:color="auto" w:fill="auto"/>
            <w:vAlign w:val="center"/>
            <w:hideMark/>
          </w:tcPr>
          <w:p w14:paraId="1C0FDD34"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6873 (22.4)</w:t>
            </w:r>
          </w:p>
        </w:tc>
        <w:tc>
          <w:tcPr>
            <w:tcW w:w="1701" w:type="dxa"/>
            <w:tcBorders>
              <w:top w:val="nil"/>
              <w:left w:val="nil"/>
              <w:bottom w:val="nil"/>
              <w:right w:val="nil"/>
            </w:tcBorders>
            <w:shd w:val="clear" w:color="auto" w:fill="auto"/>
            <w:vAlign w:val="center"/>
            <w:hideMark/>
          </w:tcPr>
          <w:p w14:paraId="27A5DAED"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500 (15.9)</w:t>
            </w:r>
          </w:p>
        </w:tc>
        <w:tc>
          <w:tcPr>
            <w:tcW w:w="1985" w:type="dxa"/>
            <w:tcBorders>
              <w:top w:val="nil"/>
              <w:left w:val="nil"/>
              <w:bottom w:val="nil"/>
              <w:right w:val="nil"/>
            </w:tcBorders>
            <w:shd w:val="clear" w:color="auto" w:fill="auto"/>
            <w:vAlign w:val="center"/>
            <w:hideMark/>
          </w:tcPr>
          <w:p w14:paraId="20CC7112"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6373 (23.2)</w:t>
            </w:r>
          </w:p>
        </w:tc>
        <w:tc>
          <w:tcPr>
            <w:tcW w:w="1841" w:type="dxa"/>
            <w:tcBorders>
              <w:top w:val="nil"/>
              <w:left w:val="nil"/>
              <w:bottom w:val="nil"/>
              <w:right w:val="nil"/>
            </w:tcBorders>
            <w:shd w:val="clear" w:color="auto" w:fill="D9D9D9"/>
            <w:vAlign w:val="center"/>
            <w:hideMark/>
          </w:tcPr>
          <w:p w14:paraId="5E1A7124"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809737 (13.59)  </w:t>
            </w:r>
          </w:p>
        </w:tc>
      </w:tr>
      <w:tr w:rsidR="00A0372F" w:rsidRPr="009E3151" w14:paraId="0F39DCD4" w14:textId="77777777" w:rsidTr="00A0372F">
        <w:trPr>
          <w:trHeight w:val="300"/>
        </w:trPr>
        <w:tc>
          <w:tcPr>
            <w:tcW w:w="1701" w:type="dxa"/>
            <w:tcBorders>
              <w:top w:val="nil"/>
              <w:left w:val="nil"/>
              <w:bottom w:val="nil"/>
              <w:right w:val="nil"/>
            </w:tcBorders>
            <w:shd w:val="clear" w:color="auto" w:fill="auto"/>
            <w:vAlign w:val="center"/>
            <w:hideMark/>
          </w:tcPr>
          <w:p w14:paraId="5E9E77BF"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60-69  </w:t>
            </w:r>
          </w:p>
        </w:tc>
        <w:tc>
          <w:tcPr>
            <w:tcW w:w="2410" w:type="dxa"/>
            <w:tcBorders>
              <w:top w:val="nil"/>
              <w:left w:val="nil"/>
              <w:bottom w:val="nil"/>
              <w:right w:val="nil"/>
            </w:tcBorders>
            <w:shd w:val="clear" w:color="auto" w:fill="auto"/>
            <w:vAlign w:val="center"/>
            <w:hideMark/>
          </w:tcPr>
          <w:p w14:paraId="0064C59D"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6679 (21.8)</w:t>
            </w:r>
          </w:p>
        </w:tc>
        <w:tc>
          <w:tcPr>
            <w:tcW w:w="1701" w:type="dxa"/>
            <w:tcBorders>
              <w:top w:val="nil"/>
              <w:left w:val="nil"/>
              <w:bottom w:val="nil"/>
              <w:right w:val="nil"/>
            </w:tcBorders>
            <w:shd w:val="clear" w:color="auto" w:fill="auto"/>
            <w:vAlign w:val="center"/>
            <w:hideMark/>
          </w:tcPr>
          <w:p w14:paraId="34FDC8BD"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235 (7.5)</w:t>
            </w:r>
          </w:p>
        </w:tc>
        <w:tc>
          <w:tcPr>
            <w:tcW w:w="1985" w:type="dxa"/>
            <w:tcBorders>
              <w:top w:val="nil"/>
              <w:left w:val="nil"/>
              <w:bottom w:val="nil"/>
              <w:right w:val="nil"/>
            </w:tcBorders>
            <w:shd w:val="clear" w:color="auto" w:fill="auto"/>
            <w:vAlign w:val="center"/>
            <w:hideMark/>
          </w:tcPr>
          <w:p w14:paraId="070AD70D"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6444 (23.4)</w:t>
            </w:r>
          </w:p>
        </w:tc>
        <w:tc>
          <w:tcPr>
            <w:tcW w:w="1841" w:type="dxa"/>
            <w:tcBorders>
              <w:top w:val="nil"/>
              <w:left w:val="nil"/>
              <w:bottom w:val="nil"/>
              <w:right w:val="nil"/>
            </w:tcBorders>
            <w:shd w:val="clear" w:color="auto" w:fill="D9D9D9"/>
            <w:vAlign w:val="center"/>
            <w:hideMark/>
          </w:tcPr>
          <w:p w14:paraId="45E8CE29"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692092 (11.61)  </w:t>
            </w:r>
          </w:p>
        </w:tc>
      </w:tr>
      <w:tr w:rsidR="00A0372F" w:rsidRPr="009E3151" w14:paraId="67BE9F49" w14:textId="77777777" w:rsidTr="00A0372F">
        <w:trPr>
          <w:trHeight w:val="300"/>
        </w:trPr>
        <w:tc>
          <w:tcPr>
            <w:tcW w:w="1701" w:type="dxa"/>
            <w:tcBorders>
              <w:top w:val="nil"/>
              <w:left w:val="nil"/>
              <w:bottom w:val="nil"/>
              <w:right w:val="nil"/>
            </w:tcBorders>
            <w:shd w:val="clear" w:color="auto" w:fill="auto"/>
            <w:vAlign w:val="center"/>
            <w:hideMark/>
          </w:tcPr>
          <w:p w14:paraId="39D97401"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70-79  </w:t>
            </w:r>
          </w:p>
        </w:tc>
        <w:tc>
          <w:tcPr>
            <w:tcW w:w="2410" w:type="dxa"/>
            <w:tcBorders>
              <w:top w:val="nil"/>
              <w:left w:val="nil"/>
              <w:bottom w:val="nil"/>
              <w:right w:val="nil"/>
            </w:tcBorders>
            <w:shd w:val="clear" w:color="auto" w:fill="auto"/>
            <w:vAlign w:val="center"/>
            <w:hideMark/>
          </w:tcPr>
          <w:p w14:paraId="66440CAC"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2935 (9.6)</w:t>
            </w:r>
          </w:p>
        </w:tc>
        <w:tc>
          <w:tcPr>
            <w:tcW w:w="1701" w:type="dxa"/>
            <w:tcBorders>
              <w:top w:val="nil"/>
              <w:left w:val="nil"/>
              <w:bottom w:val="nil"/>
              <w:right w:val="nil"/>
            </w:tcBorders>
            <w:shd w:val="clear" w:color="auto" w:fill="auto"/>
            <w:vAlign w:val="center"/>
            <w:hideMark/>
          </w:tcPr>
          <w:p w14:paraId="5BA7192B"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19 (0.6)</w:t>
            </w:r>
          </w:p>
        </w:tc>
        <w:tc>
          <w:tcPr>
            <w:tcW w:w="1985" w:type="dxa"/>
            <w:tcBorders>
              <w:top w:val="nil"/>
              <w:left w:val="nil"/>
              <w:bottom w:val="nil"/>
              <w:right w:val="nil"/>
            </w:tcBorders>
            <w:shd w:val="clear" w:color="auto" w:fill="auto"/>
            <w:vAlign w:val="center"/>
            <w:hideMark/>
          </w:tcPr>
          <w:p w14:paraId="347D7C09"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2916 (10.6)</w:t>
            </w:r>
          </w:p>
        </w:tc>
        <w:tc>
          <w:tcPr>
            <w:tcW w:w="1841" w:type="dxa"/>
            <w:tcBorders>
              <w:top w:val="nil"/>
              <w:left w:val="nil"/>
              <w:bottom w:val="nil"/>
              <w:right w:val="nil"/>
            </w:tcBorders>
            <w:shd w:val="clear" w:color="auto" w:fill="D9D9D9"/>
            <w:vAlign w:val="center"/>
            <w:hideMark/>
          </w:tcPr>
          <w:p w14:paraId="4D0C30F2"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585415 (9.82)  </w:t>
            </w:r>
          </w:p>
        </w:tc>
      </w:tr>
      <w:tr w:rsidR="00A0372F" w:rsidRPr="009E3151" w14:paraId="12D8543D" w14:textId="77777777" w:rsidTr="00A0372F">
        <w:trPr>
          <w:trHeight w:val="300"/>
        </w:trPr>
        <w:tc>
          <w:tcPr>
            <w:tcW w:w="1701" w:type="dxa"/>
            <w:tcBorders>
              <w:top w:val="nil"/>
              <w:left w:val="nil"/>
              <w:bottom w:val="single" w:sz="4" w:space="0" w:color="auto"/>
              <w:right w:val="nil"/>
            </w:tcBorders>
            <w:shd w:val="clear" w:color="auto" w:fill="auto"/>
            <w:vAlign w:val="center"/>
            <w:hideMark/>
          </w:tcPr>
          <w:p w14:paraId="16F19887"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&gt;80  </w:t>
            </w:r>
          </w:p>
        </w:tc>
        <w:tc>
          <w:tcPr>
            <w:tcW w:w="2410" w:type="dxa"/>
            <w:tcBorders>
              <w:top w:val="nil"/>
              <w:left w:val="nil"/>
              <w:bottom w:val="single" w:sz="4" w:space="0" w:color="auto"/>
              <w:right w:val="nil"/>
            </w:tcBorders>
            <w:shd w:val="clear" w:color="auto" w:fill="auto"/>
            <w:vAlign w:val="center"/>
            <w:hideMark/>
          </w:tcPr>
          <w:p w14:paraId="4D7520D3"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109 (0.4)</w:t>
            </w:r>
          </w:p>
        </w:tc>
        <w:tc>
          <w:tcPr>
            <w:tcW w:w="1701" w:type="dxa"/>
            <w:tcBorders>
              <w:top w:val="nil"/>
              <w:left w:val="nil"/>
              <w:bottom w:val="single" w:sz="4" w:space="0" w:color="auto"/>
              <w:right w:val="nil"/>
            </w:tcBorders>
            <w:shd w:val="clear" w:color="auto" w:fill="auto"/>
            <w:vAlign w:val="center"/>
            <w:hideMark/>
          </w:tcPr>
          <w:p w14:paraId="217917D2"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3 (0.1)</w:t>
            </w:r>
          </w:p>
        </w:tc>
        <w:tc>
          <w:tcPr>
            <w:tcW w:w="1985" w:type="dxa"/>
            <w:tcBorders>
              <w:top w:val="nil"/>
              <w:left w:val="nil"/>
              <w:bottom w:val="single" w:sz="4" w:space="0" w:color="auto"/>
              <w:right w:val="nil"/>
            </w:tcBorders>
            <w:shd w:val="clear" w:color="auto" w:fill="auto"/>
            <w:vAlign w:val="center"/>
            <w:hideMark/>
          </w:tcPr>
          <w:p w14:paraId="3D938C9C"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106 (0.4)</w:t>
            </w:r>
          </w:p>
        </w:tc>
        <w:tc>
          <w:tcPr>
            <w:tcW w:w="1841" w:type="dxa"/>
            <w:tcBorders>
              <w:top w:val="nil"/>
              <w:left w:val="nil"/>
              <w:bottom w:val="single" w:sz="4" w:space="0" w:color="auto"/>
              <w:right w:val="nil"/>
            </w:tcBorders>
            <w:shd w:val="clear" w:color="auto" w:fill="D9D9D9"/>
            <w:vAlign w:val="center"/>
            <w:hideMark/>
          </w:tcPr>
          <w:p w14:paraId="608614C9"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316925 (5.32)  </w:t>
            </w:r>
          </w:p>
        </w:tc>
      </w:tr>
      <w:tr w:rsidR="00A0372F" w:rsidRPr="009E3151" w14:paraId="23F9E9EC" w14:textId="77777777" w:rsidTr="00A0372F">
        <w:trPr>
          <w:trHeight w:val="300"/>
        </w:trPr>
        <w:tc>
          <w:tcPr>
            <w:tcW w:w="1701" w:type="dxa"/>
            <w:tcBorders>
              <w:top w:val="single" w:sz="4" w:space="0" w:color="auto"/>
              <w:left w:val="nil"/>
              <w:bottom w:val="nil"/>
              <w:right w:val="nil"/>
            </w:tcBorders>
            <w:shd w:val="clear" w:color="auto" w:fill="auto"/>
            <w:vAlign w:val="center"/>
            <w:hideMark/>
          </w:tcPr>
          <w:p w14:paraId="10246D3F"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b/>
                <w:bCs/>
                <w:color w:val="000000"/>
                <w:sz w:val="14"/>
                <w:szCs w:val="14"/>
                <w:lang w:val="en-US" w:eastAsia="da-DK"/>
              </w:rPr>
              <w:t>Region n (%) </w:t>
            </w:r>
            <w:r w:rsidRPr="009E3151">
              <w:rPr>
                <w:rFonts w:ascii="Calibri" w:eastAsia="Times New Roman" w:hAnsi="Calibri" w:cs="Calibri"/>
                <w:color w:val="000000"/>
                <w:sz w:val="14"/>
                <w:szCs w:val="14"/>
                <w:lang w:val="en-US" w:eastAsia="da-DK"/>
              </w:rPr>
              <w:t> </w:t>
            </w:r>
          </w:p>
        </w:tc>
        <w:tc>
          <w:tcPr>
            <w:tcW w:w="2410" w:type="dxa"/>
            <w:tcBorders>
              <w:top w:val="single" w:sz="4" w:space="0" w:color="auto"/>
              <w:left w:val="nil"/>
              <w:bottom w:val="nil"/>
              <w:right w:val="nil"/>
            </w:tcBorders>
            <w:shd w:val="clear" w:color="auto" w:fill="auto"/>
            <w:vAlign w:val="center"/>
            <w:hideMark/>
          </w:tcPr>
          <w:p w14:paraId="607FCF7E"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   </w:t>
            </w:r>
          </w:p>
        </w:tc>
        <w:tc>
          <w:tcPr>
            <w:tcW w:w="1701" w:type="dxa"/>
            <w:tcBorders>
              <w:top w:val="single" w:sz="4" w:space="0" w:color="auto"/>
              <w:left w:val="nil"/>
              <w:bottom w:val="nil"/>
              <w:right w:val="nil"/>
            </w:tcBorders>
            <w:shd w:val="clear" w:color="auto" w:fill="auto"/>
            <w:vAlign w:val="center"/>
            <w:hideMark/>
          </w:tcPr>
          <w:p w14:paraId="22480B2A"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  </w:t>
            </w:r>
          </w:p>
        </w:tc>
        <w:tc>
          <w:tcPr>
            <w:tcW w:w="1985" w:type="dxa"/>
            <w:tcBorders>
              <w:top w:val="single" w:sz="4" w:space="0" w:color="auto"/>
              <w:left w:val="nil"/>
              <w:bottom w:val="nil"/>
              <w:right w:val="nil"/>
            </w:tcBorders>
            <w:shd w:val="clear" w:color="auto" w:fill="auto"/>
            <w:vAlign w:val="center"/>
            <w:hideMark/>
          </w:tcPr>
          <w:p w14:paraId="40E0FD6F"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 </w:t>
            </w:r>
          </w:p>
        </w:tc>
        <w:tc>
          <w:tcPr>
            <w:tcW w:w="1841" w:type="dxa"/>
            <w:tcBorders>
              <w:top w:val="single" w:sz="4" w:space="0" w:color="auto"/>
              <w:left w:val="nil"/>
              <w:bottom w:val="nil"/>
              <w:right w:val="nil"/>
            </w:tcBorders>
            <w:shd w:val="clear" w:color="auto" w:fill="D9D9D9"/>
            <w:vAlign w:val="center"/>
            <w:hideMark/>
          </w:tcPr>
          <w:p w14:paraId="1267677D"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8"/>
                <w:szCs w:val="18"/>
                <w:lang w:val="en-US" w:eastAsia="da-DK"/>
              </w:rPr>
              <w:t>   </w:t>
            </w:r>
          </w:p>
        </w:tc>
      </w:tr>
      <w:tr w:rsidR="00A0372F" w:rsidRPr="009E3151" w14:paraId="2A896078" w14:textId="77777777" w:rsidTr="00963E3D">
        <w:trPr>
          <w:trHeight w:val="300"/>
        </w:trPr>
        <w:tc>
          <w:tcPr>
            <w:tcW w:w="1701" w:type="dxa"/>
            <w:tcBorders>
              <w:top w:val="nil"/>
              <w:left w:val="nil"/>
              <w:bottom w:val="nil"/>
              <w:right w:val="nil"/>
            </w:tcBorders>
            <w:shd w:val="clear" w:color="auto" w:fill="auto"/>
            <w:vAlign w:val="bottom"/>
            <w:hideMark/>
          </w:tcPr>
          <w:p w14:paraId="458FCF76" w14:textId="77777777" w:rsidR="00A0372F" w:rsidRPr="009E3151" w:rsidRDefault="00A0372F" w:rsidP="00963E3D">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Capital of Denmark</w:t>
            </w:r>
          </w:p>
        </w:tc>
        <w:tc>
          <w:tcPr>
            <w:tcW w:w="2410" w:type="dxa"/>
            <w:tcBorders>
              <w:top w:val="nil"/>
              <w:left w:val="nil"/>
              <w:bottom w:val="nil"/>
              <w:right w:val="nil"/>
            </w:tcBorders>
            <w:shd w:val="clear" w:color="auto" w:fill="auto"/>
            <w:vAlign w:val="bottom"/>
            <w:hideMark/>
          </w:tcPr>
          <w:p w14:paraId="3916BBB5"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10405 (34.1)</w:t>
            </w:r>
          </w:p>
        </w:tc>
        <w:tc>
          <w:tcPr>
            <w:tcW w:w="1701" w:type="dxa"/>
            <w:tcBorders>
              <w:top w:val="nil"/>
              <w:left w:val="nil"/>
              <w:bottom w:val="nil"/>
              <w:right w:val="nil"/>
            </w:tcBorders>
            <w:shd w:val="clear" w:color="auto" w:fill="auto"/>
            <w:vAlign w:val="bottom"/>
            <w:hideMark/>
          </w:tcPr>
          <w:p w14:paraId="382BE06D"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 xml:space="preserve">1352 (43.4)   </w:t>
            </w:r>
          </w:p>
        </w:tc>
        <w:tc>
          <w:tcPr>
            <w:tcW w:w="1985" w:type="dxa"/>
            <w:tcBorders>
              <w:top w:val="nil"/>
              <w:left w:val="nil"/>
              <w:bottom w:val="nil"/>
              <w:right w:val="nil"/>
            </w:tcBorders>
            <w:shd w:val="clear" w:color="auto" w:fill="auto"/>
            <w:vAlign w:val="bottom"/>
            <w:hideMark/>
          </w:tcPr>
          <w:p w14:paraId="064D8EFE"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9053 (33.1)</w:t>
            </w:r>
          </w:p>
        </w:tc>
        <w:tc>
          <w:tcPr>
            <w:tcW w:w="1841" w:type="dxa"/>
            <w:tcBorders>
              <w:top w:val="nil"/>
              <w:left w:val="nil"/>
              <w:bottom w:val="nil"/>
              <w:right w:val="nil"/>
            </w:tcBorders>
            <w:shd w:val="clear" w:color="auto" w:fill="D9D9D9"/>
            <w:vAlign w:val="bottom"/>
            <w:hideMark/>
          </w:tcPr>
          <w:p w14:paraId="68734E22" w14:textId="79C5114F" w:rsidR="00A0372F" w:rsidRPr="009E3151" w:rsidRDefault="00A0372F" w:rsidP="00963E3D">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1910395 (32.06)</w:t>
            </w:r>
          </w:p>
        </w:tc>
      </w:tr>
      <w:tr w:rsidR="00A0372F" w:rsidRPr="009E3151" w14:paraId="232DD12C" w14:textId="77777777" w:rsidTr="00963E3D">
        <w:trPr>
          <w:trHeight w:val="300"/>
        </w:trPr>
        <w:tc>
          <w:tcPr>
            <w:tcW w:w="1701" w:type="dxa"/>
            <w:tcBorders>
              <w:top w:val="nil"/>
              <w:left w:val="nil"/>
              <w:bottom w:val="nil"/>
              <w:right w:val="nil"/>
            </w:tcBorders>
            <w:shd w:val="clear" w:color="auto" w:fill="auto"/>
            <w:vAlign w:val="bottom"/>
            <w:hideMark/>
          </w:tcPr>
          <w:p w14:paraId="7346A791" w14:textId="77777777" w:rsidR="00A0372F" w:rsidRPr="009E3151" w:rsidRDefault="00A0372F" w:rsidP="00963E3D">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Central Denmark</w:t>
            </w:r>
          </w:p>
        </w:tc>
        <w:tc>
          <w:tcPr>
            <w:tcW w:w="2410" w:type="dxa"/>
            <w:tcBorders>
              <w:top w:val="nil"/>
              <w:left w:val="nil"/>
              <w:bottom w:val="nil"/>
              <w:right w:val="nil"/>
            </w:tcBorders>
            <w:shd w:val="clear" w:color="auto" w:fill="auto"/>
            <w:vAlign w:val="bottom"/>
            <w:hideMark/>
          </w:tcPr>
          <w:p w14:paraId="78976CEB"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6482 (21.3)</w:t>
            </w:r>
          </w:p>
        </w:tc>
        <w:tc>
          <w:tcPr>
            <w:tcW w:w="1701" w:type="dxa"/>
            <w:tcBorders>
              <w:top w:val="nil"/>
              <w:left w:val="nil"/>
              <w:bottom w:val="nil"/>
              <w:right w:val="nil"/>
            </w:tcBorders>
            <w:shd w:val="clear" w:color="auto" w:fill="auto"/>
            <w:vAlign w:val="bottom"/>
            <w:hideMark/>
          </w:tcPr>
          <w:p w14:paraId="643A6E54"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412 (13.2)</w:t>
            </w:r>
          </w:p>
        </w:tc>
        <w:tc>
          <w:tcPr>
            <w:tcW w:w="1985" w:type="dxa"/>
            <w:tcBorders>
              <w:top w:val="nil"/>
              <w:left w:val="nil"/>
              <w:bottom w:val="nil"/>
              <w:right w:val="nil"/>
            </w:tcBorders>
            <w:shd w:val="clear" w:color="auto" w:fill="auto"/>
            <w:vAlign w:val="bottom"/>
            <w:hideMark/>
          </w:tcPr>
          <w:p w14:paraId="30A76934"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6070 (22.2)</w:t>
            </w:r>
          </w:p>
        </w:tc>
        <w:tc>
          <w:tcPr>
            <w:tcW w:w="1841" w:type="dxa"/>
            <w:tcBorders>
              <w:top w:val="nil"/>
              <w:left w:val="nil"/>
              <w:bottom w:val="nil"/>
              <w:right w:val="nil"/>
            </w:tcBorders>
            <w:shd w:val="clear" w:color="auto" w:fill="D9D9D9"/>
            <w:vAlign w:val="bottom"/>
            <w:hideMark/>
          </w:tcPr>
          <w:p w14:paraId="217BBDD1" w14:textId="1835FAB0" w:rsidR="00A0372F" w:rsidRPr="009E3151" w:rsidRDefault="00A0372F" w:rsidP="00963E3D">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1364853 (22.9)</w:t>
            </w:r>
          </w:p>
        </w:tc>
      </w:tr>
      <w:tr w:rsidR="00A0372F" w:rsidRPr="009E3151" w14:paraId="7E1C07F8" w14:textId="77777777" w:rsidTr="00963E3D">
        <w:trPr>
          <w:trHeight w:val="300"/>
        </w:trPr>
        <w:tc>
          <w:tcPr>
            <w:tcW w:w="1701" w:type="dxa"/>
            <w:tcBorders>
              <w:top w:val="nil"/>
              <w:left w:val="nil"/>
              <w:bottom w:val="nil"/>
              <w:right w:val="nil"/>
            </w:tcBorders>
            <w:shd w:val="clear" w:color="auto" w:fill="auto"/>
            <w:vAlign w:val="bottom"/>
            <w:hideMark/>
          </w:tcPr>
          <w:p w14:paraId="2FBE3B15" w14:textId="77777777" w:rsidR="00A0372F" w:rsidRPr="009E3151" w:rsidRDefault="00A0372F" w:rsidP="00963E3D">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Northern Denmark</w:t>
            </w:r>
          </w:p>
        </w:tc>
        <w:tc>
          <w:tcPr>
            <w:tcW w:w="2410" w:type="dxa"/>
            <w:tcBorders>
              <w:top w:val="nil"/>
              <w:left w:val="nil"/>
              <w:bottom w:val="nil"/>
              <w:right w:val="nil"/>
            </w:tcBorders>
            <w:shd w:val="clear" w:color="auto" w:fill="auto"/>
            <w:vAlign w:val="bottom"/>
            <w:hideMark/>
          </w:tcPr>
          <w:p w14:paraId="2FED7404"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3015 (9.9)</w:t>
            </w:r>
          </w:p>
        </w:tc>
        <w:tc>
          <w:tcPr>
            <w:tcW w:w="1701" w:type="dxa"/>
            <w:tcBorders>
              <w:top w:val="nil"/>
              <w:left w:val="nil"/>
              <w:bottom w:val="nil"/>
              <w:right w:val="nil"/>
            </w:tcBorders>
            <w:shd w:val="clear" w:color="auto" w:fill="auto"/>
            <w:vAlign w:val="bottom"/>
            <w:hideMark/>
          </w:tcPr>
          <w:p w14:paraId="438879B2"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541 (17.4)</w:t>
            </w:r>
          </w:p>
        </w:tc>
        <w:tc>
          <w:tcPr>
            <w:tcW w:w="1985" w:type="dxa"/>
            <w:tcBorders>
              <w:top w:val="nil"/>
              <w:left w:val="nil"/>
              <w:bottom w:val="nil"/>
              <w:right w:val="nil"/>
            </w:tcBorders>
            <w:shd w:val="clear" w:color="auto" w:fill="auto"/>
            <w:vAlign w:val="bottom"/>
            <w:hideMark/>
          </w:tcPr>
          <w:p w14:paraId="65B17D00"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2474 (9.0)</w:t>
            </w:r>
          </w:p>
        </w:tc>
        <w:tc>
          <w:tcPr>
            <w:tcW w:w="1841" w:type="dxa"/>
            <w:tcBorders>
              <w:top w:val="nil"/>
              <w:left w:val="nil"/>
              <w:bottom w:val="nil"/>
              <w:right w:val="nil"/>
            </w:tcBorders>
            <w:shd w:val="clear" w:color="auto" w:fill="D9D9D9"/>
            <w:vAlign w:val="bottom"/>
            <w:hideMark/>
          </w:tcPr>
          <w:p w14:paraId="651552F2" w14:textId="69DEF67F" w:rsidR="00A0372F" w:rsidRPr="009E3151" w:rsidRDefault="00A0372F" w:rsidP="00963E3D">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593898 (9.97)</w:t>
            </w:r>
          </w:p>
        </w:tc>
      </w:tr>
      <w:tr w:rsidR="00A0372F" w:rsidRPr="009E3151" w14:paraId="18F93C83" w14:textId="77777777" w:rsidTr="00963E3D">
        <w:trPr>
          <w:trHeight w:val="300"/>
        </w:trPr>
        <w:tc>
          <w:tcPr>
            <w:tcW w:w="1701" w:type="dxa"/>
            <w:tcBorders>
              <w:top w:val="nil"/>
              <w:left w:val="nil"/>
              <w:bottom w:val="nil"/>
              <w:right w:val="nil"/>
            </w:tcBorders>
            <w:shd w:val="clear" w:color="auto" w:fill="auto"/>
            <w:vAlign w:val="bottom"/>
            <w:hideMark/>
          </w:tcPr>
          <w:p w14:paraId="146AB12E" w14:textId="77777777" w:rsidR="00A0372F" w:rsidRPr="009E3151" w:rsidRDefault="00A0372F" w:rsidP="00963E3D">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Zealand</w:t>
            </w:r>
          </w:p>
        </w:tc>
        <w:tc>
          <w:tcPr>
            <w:tcW w:w="2410" w:type="dxa"/>
            <w:tcBorders>
              <w:top w:val="nil"/>
              <w:left w:val="nil"/>
              <w:bottom w:val="nil"/>
              <w:right w:val="nil"/>
            </w:tcBorders>
            <w:shd w:val="clear" w:color="auto" w:fill="auto"/>
            <w:vAlign w:val="bottom"/>
            <w:hideMark/>
          </w:tcPr>
          <w:p w14:paraId="5C1BDD65"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4387 (14.4)</w:t>
            </w:r>
          </w:p>
        </w:tc>
        <w:tc>
          <w:tcPr>
            <w:tcW w:w="1701" w:type="dxa"/>
            <w:tcBorders>
              <w:top w:val="nil"/>
              <w:left w:val="nil"/>
              <w:bottom w:val="nil"/>
              <w:right w:val="nil"/>
            </w:tcBorders>
            <w:shd w:val="clear" w:color="auto" w:fill="auto"/>
            <w:vAlign w:val="bottom"/>
            <w:hideMark/>
          </w:tcPr>
          <w:p w14:paraId="3409418F"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332 (10.7)</w:t>
            </w:r>
          </w:p>
        </w:tc>
        <w:tc>
          <w:tcPr>
            <w:tcW w:w="1985" w:type="dxa"/>
            <w:tcBorders>
              <w:top w:val="nil"/>
              <w:left w:val="nil"/>
              <w:bottom w:val="nil"/>
              <w:right w:val="nil"/>
            </w:tcBorders>
            <w:shd w:val="clear" w:color="auto" w:fill="auto"/>
            <w:vAlign w:val="bottom"/>
            <w:hideMark/>
          </w:tcPr>
          <w:p w14:paraId="6224EAEE"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4055 (14.8)</w:t>
            </w:r>
          </w:p>
        </w:tc>
        <w:tc>
          <w:tcPr>
            <w:tcW w:w="1841" w:type="dxa"/>
            <w:tcBorders>
              <w:top w:val="nil"/>
              <w:left w:val="nil"/>
              <w:bottom w:val="nil"/>
              <w:right w:val="nil"/>
            </w:tcBorders>
            <w:shd w:val="clear" w:color="auto" w:fill="D9D9D9"/>
            <w:vAlign w:val="bottom"/>
            <w:hideMark/>
          </w:tcPr>
          <w:p w14:paraId="3D55A073" w14:textId="29A347B2" w:rsidR="00A0372F" w:rsidRPr="009E3151" w:rsidRDefault="00A0372F" w:rsidP="00963E3D">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851815 (14.29)</w:t>
            </w:r>
          </w:p>
        </w:tc>
      </w:tr>
      <w:tr w:rsidR="00A0372F" w:rsidRPr="009E3151" w14:paraId="1644B30A" w14:textId="77777777" w:rsidTr="00963E3D">
        <w:trPr>
          <w:trHeight w:val="300"/>
        </w:trPr>
        <w:tc>
          <w:tcPr>
            <w:tcW w:w="1701" w:type="dxa"/>
            <w:tcBorders>
              <w:top w:val="nil"/>
              <w:left w:val="nil"/>
              <w:bottom w:val="single" w:sz="6" w:space="0" w:color="000000"/>
              <w:right w:val="nil"/>
            </w:tcBorders>
            <w:shd w:val="clear" w:color="auto" w:fill="auto"/>
            <w:vAlign w:val="bottom"/>
            <w:hideMark/>
          </w:tcPr>
          <w:p w14:paraId="2C93342C" w14:textId="77777777" w:rsidR="00A0372F" w:rsidRPr="009E3151" w:rsidRDefault="00A0372F" w:rsidP="00963E3D">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Southern Denmark</w:t>
            </w:r>
          </w:p>
        </w:tc>
        <w:tc>
          <w:tcPr>
            <w:tcW w:w="2410" w:type="dxa"/>
            <w:tcBorders>
              <w:top w:val="nil"/>
              <w:left w:val="nil"/>
              <w:bottom w:val="single" w:sz="6" w:space="0" w:color="000000"/>
              <w:right w:val="nil"/>
            </w:tcBorders>
            <w:shd w:val="clear" w:color="auto" w:fill="auto"/>
            <w:vAlign w:val="bottom"/>
            <w:hideMark/>
          </w:tcPr>
          <w:p w14:paraId="264559DF"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6207 (20.4)</w:t>
            </w:r>
          </w:p>
        </w:tc>
        <w:tc>
          <w:tcPr>
            <w:tcW w:w="1701" w:type="dxa"/>
            <w:tcBorders>
              <w:top w:val="nil"/>
              <w:left w:val="nil"/>
              <w:bottom w:val="single" w:sz="6" w:space="0" w:color="000000"/>
              <w:right w:val="nil"/>
            </w:tcBorders>
            <w:shd w:val="clear" w:color="auto" w:fill="auto"/>
            <w:vAlign w:val="bottom"/>
            <w:hideMark/>
          </w:tcPr>
          <w:p w14:paraId="4D958A57"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479 (15.4)</w:t>
            </w:r>
          </w:p>
        </w:tc>
        <w:tc>
          <w:tcPr>
            <w:tcW w:w="1985" w:type="dxa"/>
            <w:tcBorders>
              <w:top w:val="nil"/>
              <w:left w:val="nil"/>
              <w:bottom w:val="single" w:sz="6" w:space="0" w:color="000000"/>
              <w:right w:val="nil"/>
            </w:tcBorders>
            <w:shd w:val="clear" w:color="auto" w:fill="auto"/>
            <w:vAlign w:val="bottom"/>
            <w:hideMark/>
          </w:tcPr>
          <w:p w14:paraId="7CE90CA2"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5728 (20.9)</w:t>
            </w:r>
          </w:p>
        </w:tc>
        <w:tc>
          <w:tcPr>
            <w:tcW w:w="1841" w:type="dxa"/>
            <w:tcBorders>
              <w:top w:val="nil"/>
              <w:left w:val="nil"/>
              <w:bottom w:val="single" w:sz="6" w:space="0" w:color="000000"/>
              <w:right w:val="nil"/>
            </w:tcBorders>
            <w:shd w:val="clear" w:color="auto" w:fill="D9D9D9"/>
            <w:vAlign w:val="bottom"/>
            <w:hideMark/>
          </w:tcPr>
          <w:p w14:paraId="1396ABAC" w14:textId="78023E2B" w:rsidR="00A0372F" w:rsidRPr="009E3151" w:rsidRDefault="00A0372F" w:rsidP="00963E3D">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1238503 (20.78)</w:t>
            </w:r>
          </w:p>
        </w:tc>
      </w:tr>
      <w:tr w:rsidR="00A0372F" w:rsidRPr="009E3151" w14:paraId="64D3EDE4" w14:textId="77777777" w:rsidTr="00A0372F">
        <w:trPr>
          <w:trHeight w:val="300"/>
        </w:trPr>
        <w:tc>
          <w:tcPr>
            <w:tcW w:w="1701" w:type="dxa"/>
            <w:tcBorders>
              <w:top w:val="single" w:sz="6" w:space="0" w:color="000000"/>
              <w:left w:val="nil"/>
              <w:bottom w:val="single" w:sz="6" w:space="0" w:color="000000"/>
              <w:right w:val="nil"/>
            </w:tcBorders>
            <w:shd w:val="clear" w:color="auto" w:fill="auto"/>
            <w:vAlign w:val="center"/>
            <w:hideMark/>
          </w:tcPr>
          <w:p w14:paraId="64953A08"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b/>
                <w:bCs/>
                <w:color w:val="000000"/>
                <w:sz w:val="14"/>
                <w:szCs w:val="14"/>
                <w:lang w:val="en-US" w:eastAsia="da-DK"/>
              </w:rPr>
              <w:t>Samples analyzed </w:t>
            </w:r>
            <w:r w:rsidRPr="009E3151">
              <w:rPr>
                <w:rFonts w:ascii="Calibri" w:eastAsia="Times New Roman" w:hAnsi="Calibri" w:cs="Calibri"/>
                <w:color w:val="000000"/>
                <w:sz w:val="14"/>
                <w:szCs w:val="14"/>
                <w:lang w:val="en-US" w:eastAsia="da-DK"/>
              </w:rPr>
              <w:t> </w:t>
            </w:r>
          </w:p>
        </w:tc>
        <w:tc>
          <w:tcPr>
            <w:tcW w:w="2410" w:type="dxa"/>
            <w:tcBorders>
              <w:top w:val="single" w:sz="6" w:space="0" w:color="000000"/>
              <w:left w:val="nil"/>
              <w:bottom w:val="single" w:sz="6" w:space="0" w:color="000000"/>
              <w:right w:val="nil"/>
            </w:tcBorders>
            <w:shd w:val="clear" w:color="auto" w:fill="auto"/>
            <w:vAlign w:val="center"/>
            <w:hideMark/>
          </w:tcPr>
          <w:p w14:paraId="4BE035F9"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hAnsi="Calibri" w:cs="Calibri"/>
                <w:sz w:val="14"/>
                <w:szCs w:val="14"/>
                <w:lang w:val="en-US"/>
              </w:rPr>
              <w:t>12642</w:t>
            </w:r>
          </w:p>
        </w:tc>
        <w:tc>
          <w:tcPr>
            <w:tcW w:w="1701" w:type="dxa"/>
            <w:tcBorders>
              <w:top w:val="single" w:sz="6" w:space="0" w:color="000000"/>
              <w:left w:val="nil"/>
              <w:bottom w:val="single" w:sz="6" w:space="0" w:color="000000"/>
              <w:right w:val="nil"/>
            </w:tcBorders>
            <w:shd w:val="clear" w:color="auto" w:fill="auto"/>
            <w:vAlign w:val="center"/>
            <w:hideMark/>
          </w:tcPr>
          <w:p w14:paraId="73836EF7"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sz w:val="14"/>
                <w:szCs w:val="14"/>
                <w:lang w:val="en-US" w:eastAsia="da-DK"/>
              </w:rPr>
              <w:t>3401</w:t>
            </w:r>
          </w:p>
        </w:tc>
        <w:tc>
          <w:tcPr>
            <w:tcW w:w="1985" w:type="dxa"/>
            <w:tcBorders>
              <w:top w:val="single" w:sz="6" w:space="0" w:color="000000"/>
              <w:left w:val="nil"/>
              <w:bottom w:val="single" w:sz="6" w:space="0" w:color="000000"/>
              <w:right w:val="nil"/>
            </w:tcBorders>
            <w:shd w:val="clear" w:color="auto" w:fill="auto"/>
            <w:vAlign w:val="center"/>
            <w:hideMark/>
          </w:tcPr>
          <w:p w14:paraId="1444EDF2"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sz w:val="14"/>
                <w:szCs w:val="14"/>
                <w:lang w:val="en-US" w:eastAsia="da-DK"/>
              </w:rPr>
              <w:t>9241</w:t>
            </w:r>
          </w:p>
        </w:tc>
        <w:tc>
          <w:tcPr>
            <w:tcW w:w="1841" w:type="dxa"/>
            <w:tcBorders>
              <w:top w:val="single" w:sz="6" w:space="0" w:color="000000"/>
              <w:left w:val="nil"/>
              <w:bottom w:val="nil"/>
              <w:right w:val="nil"/>
            </w:tcBorders>
            <w:shd w:val="clear" w:color="auto" w:fill="auto"/>
            <w:vAlign w:val="center"/>
            <w:hideMark/>
          </w:tcPr>
          <w:p w14:paraId="33692C44"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8"/>
                <w:szCs w:val="18"/>
                <w:lang w:val="en-US" w:eastAsia="da-DK"/>
              </w:rPr>
              <w:t>   </w:t>
            </w:r>
          </w:p>
        </w:tc>
      </w:tr>
      <w:tr w:rsidR="00A0372F" w:rsidRPr="009E3151" w14:paraId="4664A901" w14:textId="77777777" w:rsidTr="00A0372F">
        <w:trPr>
          <w:trHeight w:val="300"/>
        </w:trPr>
        <w:tc>
          <w:tcPr>
            <w:tcW w:w="1701" w:type="dxa"/>
            <w:tcBorders>
              <w:top w:val="single" w:sz="6" w:space="0" w:color="000000"/>
              <w:left w:val="nil"/>
              <w:bottom w:val="single" w:sz="6" w:space="0" w:color="000000"/>
              <w:right w:val="nil"/>
            </w:tcBorders>
            <w:shd w:val="clear" w:color="auto" w:fill="auto"/>
            <w:vAlign w:val="center"/>
            <w:hideMark/>
          </w:tcPr>
          <w:p w14:paraId="315A1EB8"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b/>
                <w:bCs/>
                <w:color w:val="000000"/>
                <w:sz w:val="14"/>
                <w:szCs w:val="14"/>
                <w:lang w:val="en-US" w:eastAsia="da-DK"/>
              </w:rPr>
              <w:t>Positive Samples</w:t>
            </w:r>
            <w:r w:rsidRPr="009E3151">
              <w:rPr>
                <w:rFonts w:ascii="Calibri" w:eastAsia="Times New Roman" w:hAnsi="Calibri" w:cs="Calibri"/>
                <w:color w:val="000000"/>
                <w:sz w:val="14"/>
                <w:szCs w:val="14"/>
                <w:lang w:val="en-US" w:eastAsia="da-DK"/>
              </w:rPr>
              <w:t> </w:t>
            </w:r>
          </w:p>
        </w:tc>
        <w:tc>
          <w:tcPr>
            <w:tcW w:w="2410" w:type="dxa"/>
            <w:tcBorders>
              <w:top w:val="single" w:sz="6" w:space="0" w:color="000000"/>
              <w:left w:val="nil"/>
              <w:bottom w:val="single" w:sz="6" w:space="0" w:color="000000"/>
              <w:right w:val="nil"/>
            </w:tcBorders>
            <w:shd w:val="clear" w:color="auto" w:fill="auto"/>
            <w:vAlign w:val="center"/>
            <w:hideMark/>
          </w:tcPr>
          <w:p w14:paraId="695938FB"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sz w:val="14"/>
                <w:szCs w:val="14"/>
                <w:lang w:val="en-US" w:eastAsia="da-DK"/>
              </w:rPr>
              <w:t>6708</w:t>
            </w:r>
          </w:p>
        </w:tc>
        <w:tc>
          <w:tcPr>
            <w:tcW w:w="1701" w:type="dxa"/>
            <w:tcBorders>
              <w:top w:val="single" w:sz="6" w:space="0" w:color="000000"/>
              <w:left w:val="nil"/>
              <w:bottom w:val="single" w:sz="6" w:space="0" w:color="000000"/>
              <w:right w:val="nil"/>
            </w:tcBorders>
            <w:shd w:val="clear" w:color="auto" w:fill="auto"/>
            <w:vAlign w:val="center"/>
            <w:hideMark/>
          </w:tcPr>
          <w:p w14:paraId="1EEBE19B"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sz w:val="14"/>
                <w:szCs w:val="14"/>
                <w:lang w:val="en-US" w:eastAsia="da-DK"/>
              </w:rPr>
              <w:t>1520</w:t>
            </w:r>
          </w:p>
        </w:tc>
        <w:tc>
          <w:tcPr>
            <w:tcW w:w="1985" w:type="dxa"/>
            <w:tcBorders>
              <w:top w:val="single" w:sz="6" w:space="0" w:color="000000"/>
              <w:left w:val="nil"/>
              <w:bottom w:val="single" w:sz="6" w:space="0" w:color="000000"/>
              <w:right w:val="nil"/>
            </w:tcBorders>
            <w:shd w:val="clear" w:color="auto" w:fill="auto"/>
            <w:vAlign w:val="center"/>
            <w:hideMark/>
          </w:tcPr>
          <w:p w14:paraId="5A3ACAC7"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sz w:val="14"/>
                <w:szCs w:val="14"/>
                <w:lang w:val="en-US" w:eastAsia="da-DK"/>
              </w:rPr>
              <w:t>5188</w:t>
            </w:r>
          </w:p>
        </w:tc>
        <w:tc>
          <w:tcPr>
            <w:tcW w:w="1841" w:type="dxa"/>
            <w:tcBorders>
              <w:top w:val="nil"/>
              <w:left w:val="nil"/>
              <w:bottom w:val="nil"/>
              <w:right w:val="nil"/>
            </w:tcBorders>
            <w:shd w:val="clear" w:color="auto" w:fill="auto"/>
            <w:vAlign w:val="center"/>
            <w:hideMark/>
          </w:tcPr>
          <w:p w14:paraId="1C821B79"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8"/>
                <w:szCs w:val="18"/>
                <w:lang w:val="en-US" w:eastAsia="da-DK"/>
              </w:rPr>
              <w:t>   </w:t>
            </w:r>
          </w:p>
        </w:tc>
      </w:tr>
      <w:tr w:rsidR="00A0372F" w:rsidRPr="009E3151" w14:paraId="06DE1083" w14:textId="77777777" w:rsidTr="00A0372F">
        <w:trPr>
          <w:trHeight w:val="300"/>
        </w:trPr>
        <w:tc>
          <w:tcPr>
            <w:tcW w:w="1701" w:type="dxa"/>
            <w:tcBorders>
              <w:top w:val="single" w:sz="6" w:space="0" w:color="000000"/>
              <w:left w:val="nil"/>
              <w:bottom w:val="nil"/>
              <w:right w:val="nil"/>
            </w:tcBorders>
            <w:shd w:val="clear" w:color="auto" w:fill="auto"/>
            <w:vAlign w:val="center"/>
            <w:hideMark/>
          </w:tcPr>
          <w:p w14:paraId="1EB4601C" w14:textId="77777777" w:rsidR="00A0372F" w:rsidRPr="009E3151" w:rsidRDefault="00A0372F" w:rsidP="00A0372F">
            <w:pPr>
              <w:spacing w:after="0" w:line="240" w:lineRule="auto"/>
              <w:textAlignment w:val="baseline"/>
              <w:rPr>
                <w:rFonts w:ascii="Calibri" w:eastAsia="Times New Roman" w:hAnsi="Calibri" w:cs="Calibri"/>
                <w:b/>
                <w:bCs/>
                <w:color w:val="000000"/>
                <w:sz w:val="14"/>
                <w:szCs w:val="14"/>
                <w:lang w:val="en-US" w:eastAsia="da-DK"/>
              </w:rPr>
            </w:pPr>
            <w:r w:rsidRPr="009E3151">
              <w:rPr>
                <w:rFonts w:ascii="Calibri" w:eastAsia="Times New Roman" w:hAnsi="Calibri" w:cs="Calibri"/>
                <w:b/>
                <w:bCs/>
                <w:color w:val="000000"/>
                <w:sz w:val="14"/>
                <w:szCs w:val="14"/>
                <w:lang w:val="en-US" w:eastAsia="da-DK"/>
              </w:rPr>
              <w:t>Samples pr. individual n (%)</w:t>
            </w:r>
            <w:r w:rsidRPr="009E3151">
              <w:rPr>
                <w:rFonts w:ascii="Calibri" w:eastAsia="Times New Roman" w:hAnsi="Calibri" w:cs="Calibri"/>
                <w:color w:val="000000"/>
                <w:sz w:val="14"/>
                <w:szCs w:val="14"/>
                <w:lang w:val="en-US" w:eastAsia="da-DK"/>
              </w:rPr>
              <w:t> </w:t>
            </w:r>
          </w:p>
        </w:tc>
        <w:tc>
          <w:tcPr>
            <w:tcW w:w="2410" w:type="dxa"/>
            <w:tcBorders>
              <w:top w:val="single" w:sz="6" w:space="0" w:color="000000"/>
              <w:left w:val="nil"/>
              <w:bottom w:val="nil"/>
              <w:right w:val="nil"/>
            </w:tcBorders>
            <w:shd w:val="clear" w:color="auto" w:fill="auto"/>
            <w:vAlign w:val="center"/>
            <w:hideMark/>
          </w:tcPr>
          <w:p w14:paraId="08D7D65C"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sz w:val="14"/>
                <w:szCs w:val="14"/>
                <w:lang w:val="en-US" w:eastAsia="da-DK"/>
              </w:rPr>
              <w:t>  </w:t>
            </w:r>
          </w:p>
        </w:tc>
        <w:tc>
          <w:tcPr>
            <w:tcW w:w="1701" w:type="dxa"/>
            <w:tcBorders>
              <w:top w:val="single" w:sz="6" w:space="0" w:color="000000"/>
              <w:left w:val="nil"/>
              <w:bottom w:val="nil"/>
              <w:right w:val="nil"/>
            </w:tcBorders>
            <w:shd w:val="clear" w:color="auto" w:fill="auto"/>
            <w:vAlign w:val="center"/>
            <w:hideMark/>
          </w:tcPr>
          <w:p w14:paraId="5B474623"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sz w:val="14"/>
                <w:szCs w:val="14"/>
                <w:lang w:val="en-US" w:eastAsia="da-DK"/>
              </w:rPr>
              <w:t>  </w:t>
            </w:r>
          </w:p>
        </w:tc>
        <w:tc>
          <w:tcPr>
            <w:tcW w:w="1985" w:type="dxa"/>
            <w:tcBorders>
              <w:top w:val="single" w:sz="6" w:space="0" w:color="000000"/>
              <w:left w:val="nil"/>
              <w:bottom w:val="nil"/>
              <w:right w:val="nil"/>
            </w:tcBorders>
            <w:shd w:val="clear" w:color="auto" w:fill="auto"/>
            <w:vAlign w:val="center"/>
            <w:hideMark/>
          </w:tcPr>
          <w:p w14:paraId="585A87D4"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sz w:val="14"/>
                <w:szCs w:val="14"/>
                <w:lang w:val="en-US" w:eastAsia="da-DK"/>
              </w:rPr>
              <w:t>  </w:t>
            </w:r>
          </w:p>
        </w:tc>
        <w:tc>
          <w:tcPr>
            <w:tcW w:w="1841" w:type="dxa"/>
            <w:tcBorders>
              <w:top w:val="nil"/>
              <w:left w:val="nil"/>
              <w:bottom w:val="nil"/>
              <w:right w:val="nil"/>
            </w:tcBorders>
            <w:shd w:val="clear" w:color="auto" w:fill="auto"/>
            <w:vAlign w:val="center"/>
            <w:hideMark/>
          </w:tcPr>
          <w:p w14:paraId="2419A510"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  </w:t>
            </w:r>
          </w:p>
        </w:tc>
      </w:tr>
      <w:tr w:rsidR="00A0372F" w:rsidRPr="009E3151" w14:paraId="78103608" w14:textId="77777777" w:rsidTr="00A0372F">
        <w:trPr>
          <w:trHeight w:val="300"/>
        </w:trPr>
        <w:tc>
          <w:tcPr>
            <w:tcW w:w="1701" w:type="dxa"/>
            <w:tcBorders>
              <w:top w:val="nil"/>
              <w:left w:val="nil"/>
              <w:bottom w:val="nil"/>
              <w:right w:val="nil"/>
            </w:tcBorders>
            <w:shd w:val="clear" w:color="auto" w:fill="auto"/>
            <w:vAlign w:val="center"/>
            <w:hideMark/>
          </w:tcPr>
          <w:p w14:paraId="102C1FD3"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                                                                      0 </w:t>
            </w:r>
          </w:p>
        </w:tc>
        <w:tc>
          <w:tcPr>
            <w:tcW w:w="2410" w:type="dxa"/>
            <w:tcBorders>
              <w:top w:val="nil"/>
              <w:left w:val="nil"/>
              <w:bottom w:val="nil"/>
              <w:right w:val="nil"/>
            </w:tcBorders>
            <w:shd w:val="clear" w:color="auto" w:fill="auto"/>
            <w:vAlign w:val="bottom"/>
            <w:hideMark/>
          </w:tcPr>
          <w:p w14:paraId="07CD97E7"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21949 (71.7)</w:t>
            </w:r>
          </w:p>
        </w:tc>
        <w:tc>
          <w:tcPr>
            <w:tcW w:w="1701" w:type="dxa"/>
            <w:tcBorders>
              <w:top w:val="nil"/>
              <w:left w:val="nil"/>
              <w:bottom w:val="nil"/>
              <w:right w:val="nil"/>
            </w:tcBorders>
            <w:shd w:val="clear" w:color="auto" w:fill="auto"/>
            <w:vAlign w:val="bottom"/>
            <w:hideMark/>
          </w:tcPr>
          <w:p w14:paraId="75493FDF"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1152 (36.6)</w:t>
            </w:r>
          </w:p>
        </w:tc>
        <w:tc>
          <w:tcPr>
            <w:tcW w:w="1985" w:type="dxa"/>
            <w:tcBorders>
              <w:top w:val="nil"/>
              <w:left w:val="nil"/>
              <w:bottom w:val="nil"/>
              <w:right w:val="nil"/>
            </w:tcBorders>
            <w:shd w:val="clear" w:color="auto" w:fill="auto"/>
            <w:vAlign w:val="bottom"/>
            <w:hideMark/>
          </w:tcPr>
          <w:p w14:paraId="16244EBE"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20797 (75.70)</w:t>
            </w:r>
          </w:p>
        </w:tc>
        <w:tc>
          <w:tcPr>
            <w:tcW w:w="1841" w:type="dxa"/>
            <w:tcBorders>
              <w:top w:val="nil"/>
              <w:left w:val="nil"/>
              <w:bottom w:val="nil"/>
              <w:right w:val="nil"/>
            </w:tcBorders>
            <w:shd w:val="clear" w:color="auto" w:fill="auto"/>
            <w:vAlign w:val="center"/>
            <w:hideMark/>
          </w:tcPr>
          <w:p w14:paraId="09ED84E7"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 </w:t>
            </w:r>
          </w:p>
        </w:tc>
      </w:tr>
      <w:tr w:rsidR="00A0372F" w:rsidRPr="009E3151" w14:paraId="1E47D6D1" w14:textId="77777777" w:rsidTr="00A0372F">
        <w:trPr>
          <w:trHeight w:val="300"/>
        </w:trPr>
        <w:tc>
          <w:tcPr>
            <w:tcW w:w="1701" w:type="dxa"/>
            <w:tcBorders>
              <w:top w:val="nil"/>
              <w:left w:val="nil"/>
              <w:bottom w:val="nil"/>
              <w:right w:val="nil"/>
            </w:tcBorders>
            <w:shd w:val="clear" w:color="auto" w:fill="auto"/>
            <w:vAlign w:val="center"/>
            <w:hideMark/>
          </w:tcPr>
          <w:p w14:paraId="20F5BFE1"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1 </w:t>
            </w:r>
          </w:p>
        </w:tc>
        <w:tc>
          <w:tcPr>
            <w:tcW w:w="2410" w:type="dxa"/>
            <w:tcBorders>
              <w:top w:val="nil"/>
              <w:left w:val="nil"/>
              <w:bottom w:val="nil"/>
              <w:right w:val="nil"/>
            </w:tcBorders>
            <w:shd w:val="clear" w:color="auto" w:fill="auto"/>
            <w:vAlign w:val="bottom"/>
            <w:hideMark/>
          </w:tcPr>
          <w:p w14:paraId="0ECECEAB"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6555 (21.4)</w:t>
            </w:r>
          </w:p>
        </w:tc>
        <w:tc>
          <w:tcPr>
            <w:tcW w:w="1701" w:type="dxa"/>
            <w:tcBorders>
              <w:top w:val="nil"/>
              <w:left w:val="nil"/>
              <w:bottom w:val="nil"/>
              <w:right w:val="nil"/>
            </w:tcBorders>
            <w:shd w:val="clear" w:color="auto" w:fill="auto"/>
            <w:vAlign w:val="bottom"/>
            <w:hideMark/>
          </w:tcPr>
          <w:p w14:paraId="2EDB24E1"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1550 (49.3)</w:t>
            </w:r>
          </w:p>
        </w:tc>
        <w:tc>
          <w:tcPr>
            <w:tcW w:w="1985" w:type="dxa"/>
            <w:tcBorders>
              <w:top w:val="nil"/>
              <w:left w:val="nil"/>
              <w:bottom w:val="nil"/>
              <w:right w:val="nil"/>
            </w:tcBorders>
            <w:shd w:val="clear" w:color="auto" w:fill="auto"/>
            <w:vAlign w:val="bottom"/>
            <w:hideMark/>
          </w:tcPr>
          <w:p w14:paraId="28228C67"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5005 (18.2)</w:t>
            </w:r>
          </w:p>
        </w:tc>
        <w:tc>
          <w:tcPr>
            <w:tcW w:w="1841" w:type="dxa"/>
            <w:tcBorders>
              <w:top w:val="nil"/>
              <w:left w:val="nil"/>
              <w:bottom w:val="nil"/>
              <w:right w:val="nil"/>
            </w:tcBorders>
            <w:shd w:val="clear" w:color="auto" w:fill="auto"/>
            <w:vAlign w:val="center"/>
            <w:hideMark/>
          </w:tcPr>
          <w:p w14:paraId="50711BE4"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  </w:t>
            </w:r>
          </w:p>
        </w:tc>
      </w:tr>
      <w:tr w:rsidR="00A0372F" w:rsidRPr="009E3151" w14:paraId="469CFE37" w14:textId="77777777" w:rsidTr="00A0372F">
        <w:trPr>
          <w:trHeight w:val="300"/>
        </w:trPr>
        <w:tc>
          <w:tcPr>
            <w:tcW w:w="1701" w:type="dxa"/>
            <w:tcBorders>
              <w:top w:val="nil"/>
              <w:left w:val="nil"/>
              <w:bottom w:val="nil"/>
              <w:right w:val="nil"/>
            </w:tcBorders>
            <w:shd w:val="clear" w:color="auto" w:fill="auto"/>
            <w:vAlign w:val="center"/>
            <w:hideMark/>
          </w:tcPr>
          <w:p w14:paraId="4508D35C"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2 </w:t>
            </w:r>
          </w:p>
        </w:tc>
        <w:tc>
          <w:tcPr>
            <w:tcW w:w="2410" w:type="dxa"/>
            <w:tcBorders>
              <w:top w:val="nil"/>
              <w:left w:val="nil"/>
              <w:bottom w:val="nil"/>
              <w:right w:val="nil"/>
            </w:tcBorders>
            <w:shd w:val="clear" w:color="auto" w:fill="auto"/>
            <w:vAlign w:val="bottom"/>
            <w:hideMark/>
          </w:tcPr>
          <w:p w14:paraId="7EA15C8A"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1445 (4.72)</w:t>
            </w:r>
          </w:p>
        </w:tc>
        <w:tc>
          <w:tcPr>
            <w:tcW w:w="1701" w:type="dxa"/>
            <w:tcBorders>
              <w:top w:val="nil"/>
              <w:left w:val="nil"/>
              <w:bottom w:val="nil"/>
              <w:right w:val="nil"/>
            </w:tcBorders>
            <w:shd w:val="clear" w:color="auto" w:fill="auto"/>
            <w:vAlign w:val="bottom"/>
            <w:hideMark/>
          </w:tcPr>
          <w:p w14:paraId="0F681E76"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271 (8.61)</w:t>
            </w:r>
          </w:p>
        </w:tc>
        <w:tc>
          <w:tcPr>
            <w:tcW w:w="1985" w:type="dxa"/>
            <w:tcBorders>
              <w:top w:val="nil"/>
              <w:left w:val="nil"/>
              <w:bottom w:val="nil"/>
              <w:right w:val="nil"/>
            </w:tcBorders>
            <w:shd w:val="clear" w:color="auto" w:fill="auto"/>
            <w:vAlign w:val="bottom"/>
            <w:hideMark/>
          </w:tcPr>
          <w:p w14:paraId="28653FF4"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1174 (4.27)</w:t>
            </w:r>
          </w:p>
        </w:tc>
        <w:tc>
          <w:tcPr>
            <w:tcW w:w="1841" w:type="dxa"/>
            <w:tcBorders>
              <w:top w:val="nil"/>
              <w:left w:val="nil"/>
              <w:bottom w:val="nil"/>
              <w:right w:val="nil"/>
            </w:tcBorders>
            <w:shd w:val="clear" w:color="auto" w:fill="auto"/>
            <w:vAlign w:val="center"/>
            <w:hideMark/>
          </w:tcPr>
          <w:p w14:paraId="4F533820"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  </w:t>
            </w:r>
          </w:p>
        </w:tc>
      </w:tr>
      <w:tr w:rsidR="00A0372F" w:rsidRPr="009E3151" w14:paraId="4D4AAE10" w14:textId="77777777" w:rsidTr="00A0372F">
        <w:trPr>
          <w:trHeight w:val="300"/>
        </w:trPr>
        <w:tc>
          <w:tcPr>
            <w:tcW w:w="1701" w:type="dxa"/>
            <w:tcBorders>
              <w:top w:val="nil"/>
              <w:left w:val="nil"/>
              <w:bottom w:val="nil"/>
              <w:right w:val="nil"/>
            </w:tcBorders>
            <w:shd w:val="clear" w:color="auto" w:fill="auto"/>
            <w:vAlign w:val="center"/>
            <w:hideMark/>
          </w:tcPr>
          <w:p w14:paraId="0FD14E9D"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3 </w:t>
            </w:r>
          </w:p>
        </w:tc>
        <w:tc>
          <w:tcPr>
            <w:tcW w:w="2410" w:type="dxa"/>
            <w:tcBorders>
              <w:top w:val="nil"/>
              <w:left w:val="nil"/>
              <w:bottom w:val="nil"/>
              <w:right w:val="nil"/>
            </w:tcBorders>
            <w:shd w:val="clear" w:color="auto" w:fill="auto"/>
            <w:vAlign w:val="bottom"/>
            <w:hideMark/>
          </w:tcPr>
          <w:p w14:paraId="6BC18D36"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436 (1.42)</w:t>
            </w:r>
          </w:p>
        </w:tc>
        <w:tc>
          <w:tcPr>
            <w:tcW w:w="1701" w:type="dxa"/>
            <w:tcBorders>
              <w:top w:val="nil"/>
              <w:left w:val="nil"/>
              <w:bottom w:val="nil"/>
              <w:right w:val="nil"/>
            </w:tcBorders>
            <w:shd w:val="clear" w:color="auto" w:fill="auto"/>
            <w:vAlign w:val="bottom"/>
            <w:hideMark/>
          </w:tcPr>
          <w:p w14:paraId="7B5348F3"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87 (2.76)</w:t>
            </w:r>
          </w:p>
        </w:tc>
        <w:tc>
          <w:tcPr>
            <w:tcW w:w="1985" w:type="dxa"/>
            <w:tcBorders>
              <w:top w:val="nil"/>
              <w:left w:val="nil"/>
              <w:bottom w:val="nil"/>
              <w:right w:val="nil"/>
            </w:tcBorders>
            <w:shd w:val="clear" w:color="auto" w:fill="auto"/>
            <w:vAlign w:val="bottom"/>
            <w:hideMark/>
          </w:tcPr>
          <w:p w14:paraId="452287B1"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349 (1.27)</w:t>
            </w:r>
          </w:p>
        </w:tc>
        <w:tc>
          <w:tcPr>
            <w:tcW w:w="1841" w:type="dxa"/>
            <w:tcBorders>
              <w:top w:val="nil"/>
              <w:left w:val="nil"/>
              <w:bottom w:val="nil"/>
              <w:right w:val="nil"/>
            </w:tcBorders>
            <w:shd w:val="clear" w:color="auto" w:fill="auto"/>
            <w:vAlign w:val="center"/>
            <w:hideMark/>
          </w:tcPr>
          <w:p w14:paraId="58BC5D0D"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  </w:t>
            </w:r>
          </w:p>
        </w:tc>
      </w:tr>
      <w:tr w:rsidR="00A0372F" w:rsidRPr="009E3151" w14:paraId="217D4FBF" w14:textId="77777777" w:rsidTr="00A0372F">
        <w:trPr>
          <w:trHeight w:val="541"/>
        </w:trPr>
        <w:tc>
          <w:tcPr>
            <w:tcW w:w="1701" w:type="dxa"/>
            <w:tcBorders>
              <w:top w:val="nil"/>
              <w:left w:val="nil"/>
              <w:bottom w:val="single" w:sz="4" w:space="0" w:color="auto"/>
              <w:right w:val="nil"/>
            </w:tcBorders>
            <w:shd w:val="clear" w:color="auto" w:fill="auto"/>
            <w:vAlign w:val="center"/>
            <w:hideMark/>
          </w:tcPr>
          <w:p w14:paraId="45047CB2" w14:textId="77777777" w:rsidR="00A0372F" w:rsidRPr="009E3151" w:rsidRDefault="00A0372F" w:rsidP="00A0372F">
            <w:pPr>
              <w:spacing w:after="0" w:line="240" w:lineRule="auto"/>
              <w:jc w:val="right"/>
              <w:textAlignment w:val="baseline"/>
              <w:rPr>
                <w:rFonts w:ascii="Calibri" w:eastAsia="Times New Roman" w:hAnsi="Calibri" w:cs="Calibri"/>
                <w:sz w:val="14"/>
                <w:szCs w:val="18"/>
                <w:lang w:val="en-US" w:eastAsia="da-DK"/>
              </w:rPr>
            </w:pPr>
            <w:r w:rsidRPr="009E3151">
              <w:rPr>
                <w:rFonts w:ascii="Calibri" w:eastAsia="Times New Roman" w:hAnsi="Calibri" w:cs="Calibri"/>
                <w:color w:val="000000"/>
                <w:sz w:val="14"/>
                <w:szCs w:val="14"/>
                <w:lang w:val="en-US" w:eastAsia="da-DK"/>
              </w:rPr>
              <w:t>More than 4 </w:t>
            </w:r>
          </w:p>
        </w:tc>
        <w:tc>
          <w:tcPr>
            <w:tcW w:w="2410" w:type="dxa"/>
            <w:tcBorders>
              <w:top w:val="nil"/>
              <w:left w:val="nil"/>
              <w:bottom w:val="single" w:sz="4" w:space="0" w:color="auto"/>
              <w:right w:val="nil"/>
            </w:tcBorders>
            <w:shd w:val="clear" w:color="auto" w:fill="auto"/>
            <w:vAlign w:val="bottom"/>
            <w:hideMark/>
          </w:tcPr>
          <w:p w14:paraId="58308D2F"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sz w:val="14"/>
                <w:szCs w:val="14"/>
                <w:lang w:val="en-US"/>
              </w:rPr>
              <w:t>242 (0.79)</w:t>
            </w:r>
          </w:p>
          <w:p w14:paraId="59A519B7" w14:textId="77777777" w:rsidR="00A0372F" w:rsidRPr="009E3151" w:rsidRDefault="00A0372F" w:rsidP="00A0372F">
            <w:pPr>
              <w:spacing w:after="0" w:line="240" w:lineRule="auto"/>
              <w:jc w:val="center"/>
              <w:textAlignment w:val="baseline"/>
              <w:rPr>
                <w:rFonts w:ascii="Calibri" w:hAnsi="Calibri" w:cs="Calibri"/>
                <w:sz w:val="14"/>
                <w:szCs w:val="14"/>
                <w:lang w:val="en-US"/>
              </w:rPr>
            </w:pPr>
          </w:p>
          <w:p w14:paraId="2DD872EC"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p>
        </w:tc>
        <w:tc>
          <w:tcPr>
            <w:tcW w:w="1701" w:type="dxa"/>
            <w:tcBorders>
              <w:top w:val="nil"/>
              <w:left w:val="nil"/>
              <w:bottom w:val="single" w:sz="4" w:space="0" w:color="auto"/>
              <w:right w:val="nil"/>
            </w:tcBorders>
            <w:shd w:val="clear" w:color="auto" w:fill="auto"/>
            <w:vAlign w:val="bottom"/>
            <w:hideMark/>
          </w:tcPr>
          <w:p w14:paraId="63BDA1B9" w14:textId="77777777" w:rsidR="00A0372F" w:rsidRPr="009E3151" w:rsidRDefault="00A0372F" w:rsidP="00A0372F">
            <w:pPr>
              <w:spacing w:after="0" w:line="240" w:lineRule="auto"/>
              <w:jc w:val="center"/>
              <w:textAlignment w:val="baseline"/>
              <w:rPr>
                <w:rFonts w:ascii="Calibri" w:hAnsi="Calibri" w:cs="Calibri"/>
                <w:sz w:val="14"/>
                <w:szCs w:val="14"/>
                <w:lang w:val="en-US"/>
              </w:rPr>
            </w:pPr>
          </w:p>
          <w:p w14:paraId="7CF215D0"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sz w:val="14"/>
                <w:szCs w:val="14"/>
                <w:lang w:val="en-US"/>
              </w:rPr>
              <w:t>87 (2.76)</w:t>
            </w:r>
          </w:p>
          <w:p w14:paraId="6E3BC412" w14:textId="77777777" w:rsidR="00A0372F" w:rsidRPr="009E3151" w:rsidRDefault="00A0372F" w:rsidP="00A0372F">
            <w:pPr>
              <w:spacing w:after="0" w:line="240" w:lineRule="auto"/>
              <w:jc w:val="center"/>
              <w:textAlignment w:val="baseline"/>
              <w:rPr>
                <w:rFonts w:ascii="Calibri" w:hAnsi="Calibri" w:cs="Calibri"/>
                <w:sz w:val="14"/>
                <w:szCs w:val="14"/>
                <w:lang w:val="en-US"/>
              </w:rPr>
            </w:pPr>
          </w:p>
          <w:p w14:paraId="05DDDBF5"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p>
        </w:tc>
        <w:tc>
          <w:tcPr>
            <w:tcW w:w="1985" w:type="dxa"/>
            <w:tcBorders>
              <w:top w:val="nil"/>
              <w:left w:val="nil"/>
              <w:bottom w:val="single" w:sz="4" w:space="0" w:color="auto"/>
              <w:right w:val="nil"/>
            </w:tcBorders>
            <w:shd w:val="clear" w:color="auto" w:fill="auto"/>
            <w:vAlign w:val="bottom"/>
            <w:hideMark/>
          </w:tcPr>
          <w:p w14:paraId="2B4BEB65"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sz w:val="14"/>
                <w:szCs w:val="14"/>
                <w:lang w:val="en-US"/>
              </w:rPr>
              <w:t>155 (0.56)</w:t>
            </w:r>
          </w:p>
          <w:p w14:paraId="1A924DAC" w14:textId="77777777" w:rsidR="00A0372F" w:rsidRPr="009E3151" w:rsidRDefault="00A0372F" w:rsidP="00A0372F">
            <w:pPr>
              <w:spacing w:after="0" w:line="240" w:lineRule="auto"/>
              <w:jc w:val="center"/>
              <w:textAlignment w:val="baseline"/>
              <w:rPr>
                <w:rFonts w:ascii="Calibri" w:hAnsi="Calibri" w:cs="Calibri"/>
                <w:sz w:val="14"/>
                <w:szCs w:val="14"/>
                <w:lang w:val="en-US"/>
              </w:rPr>
            </w:pPr>
          </w:p>
          <w:p w14:paraId="79BA7A00"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p>
        </w:tc>
        <w:tc>
          <w:tcPr>
            <w:tcW w:w="1841" w:type="dxa"/>
            <w:tcBorders>
              <w:top w:val="nil"/>
              <w:left w:val="nil"/>
              <w:bottom w:val="nil"/>
              <w:right w:val="nil"/>
            </w:tcBorders>
            <w:shd w:val="clear" w:color="auto" w:fill="auto"/>
            <w:vAlign w:val="center"/>
            <w:hideMark/>
          </w:tcPr>
          <w:p w14:paraId="01E74CE3" w14:textId="77777777" w:rsidR="00A0372F" w:rsidRPr="009E3151" w:rsidRDefault="00A0372F" w:rsidP="00A0372F">
            <w:pPr>
              <w:spacing w:after="0" w:line="240" w:lineRule="auto"/>
              <w:jc w:val="center"/>
              <w:textAlignment w:val="baseline"/>
              <w:rPr>
                <w:rFonts w:ascii="Calibri" w:eastAsia="Times New Roman" w:hAnsi="Calibri" w:cs="Calibri"/>
                <w:sz w:val="18"/>
                <w:szCs w:val="18"/>
                <w:lang w:val="en-US" w:eastAsia="da-DK"/>
              </w:rPr>
            </w:pPr>
            <w:r w:rsidRPr="009E3151">
              <w:rPr>
                <w:rFonts w:ascii="Calibri" w:eastAsia="Times New Roman" w:hAnsi="Calibri" w:cs="Calibri"/>
                <w:color w:val="000000"/>
                <w:sz w:val="14"/>
                <w:szCs w:val="14"/>
                <w:lang w:val="en-US" w:eastAsia="da-DK"/>
              </w:rPr>
              <w:t>  </w:t>
            </w:r>
          </w:p>
        </w:tc>
      </w:tr>
      <w:tr w:rsidR="00A0372F" w:rsidRPr="009E3151" w14:paraId="65908491" w14:textId="77777777" w:rsidTr="00963E3D">
        <w:trPr>
          <w:trHeight w:val="300"/>
        </w:trPr>
        <w:tc>
          <w:tcPr>
            <w:tcW w:w="1701" w:type="dxa"/>
            <w:tcBorders>
              <w:top w:val="single" w:sz="4" w:space="0" w:color="auto"/>
              <w:left w:val="nil"/>
              <w:bottom w:val="single" w:sz="6" w:space="0" w:color="000000"/>
              <w:right w:val="nil"/>
            </w:tcBorders>
            <w:shd w:val="clear" w:color="auto" w:fill="auto"/>
            <w:vAlign w:val="center"/>
          </w:tcPr>
          <w:p w14:paraId="5F691D77" w14:textId="77777777" w:rsidR="00A0372F" w:rsidRPr="009E3151" w:rsidRDefault="00A0372F" w:rsidP="00A0372F">
            <w:pPr>
              <w:spacing w:after="0" w:line="240" w:lineRule="auto"/>
              <w:textAlignment w:val="baseline"/>
              <w:rPr>
                <w:rFonts w:ascii="Calibri" w:eastAsia="Times New Roman" w:hAnsi="Calibri" w:cs="Calibri"/>
                <w:b/>
                <w:bCs/>
                <w:sz w:val="14"/>
                <w:szCs w:val="14"/>
                <w:lang w:val="en-US" w:eastAsia="da-DK"/>
              </w:rPr>
            </w:pPr>
          </w:p>
          <w:p w14:paraId="5E9C4F39" w14:textId="77777777" w:rsidR="00A0372F" w:rsidRPr="009E3151" w:rsidRDefault="00A0372F" w:rsidP="00A0372F">
            <w:pPr>
              <w:spacing w:after="0" w:line="240" w:lineRule="auto"/>
              <w:textAlignment w:val="baseline"/>
              <w:rPr>
                <w:rFonts w:ascii="Calibri" w:eastAsia="Times New Roman" w:hAnsi="Calibri" w:cs="Calibri"/>
                <w:sz w:val="14"/>
                <w:szCs w:val="18"/>
                <w:lang w:val="en-US" w:eastAsia="da-DK"/>
              </w:rPr>
            </w:pPr>
            <w:r w:rsidRPr="009E3151">
              <w:rPr>
                <w:rFonts w:ascii="Calibri" w:eastAsia="Times New Roman" w:hAnsi="Calibri" w:cs="Calibri"/>
                <w:b/>
                <w:bCs/>
                <w:sz w:val="14"/>
                <w:szCs w:val="14"/>
                <w:lang w:val="en-US" w:eastAsia="da-DK"/>
              </w:rPr>
              <w:t>Samples pr. registered participant pr.  year,</w:t>
            </w:r>
          </w:p>
          <w:p w14:paraId="2D981440" w14:textId="77777777" w:rsidR="00A0372F" w:rsidRPr="009E3151" w:rsidRDefault="00A0372F" w:rsidP="00A0372F">
            <w:pPr>
              <w:spacing w:after="0" w:line="240" w:lineRule="auto"/>
              <w:textAlignment w:val="baseline"/>
              <w:rPr>
                <w:rFonts w:ascii="Calibri" w:eastAsia="Times New Roman" w:hAnsi="Calibri" w:cs="Calibri"/>
                <w:sz w:val="14"/>
                <w:szCs w:val="14"/>
                <w:lang w:val="en-US" w:eastAsia="da-DK"/>
              </w:rPr>
            </w:pPr>
            <w:r w:rsidRPr="009E3151">
              <w:rPr>
                <w:rFonts w:ascii="Calibri" w:eastAsia="Times New Roman" w:hAnsi="Calibri" w:cs="Calibri"/>
                <w:b/>
                <w:bCs/>
                <w:sz w:val="14"/>
                <w:szCs w:val="14"/>
                <w:lang w:val="en-US" w:eastAsia="da-DK"/>
              </w:rPr>
              <w:t>mean (SD)</w:t>
            </w:r>
          </w:p>
        </w:tc>
        <w:tc>
          <w:tcPr>
            <w:tcW w:w="2410" w:type="dxa"/>
            <w:tcBorders>
              <w:top w:val="single" w:sz="4" w:space="0" w:color="auto"/>
              <w:left w:val="nil"/>
              <w:bottom w:val="single" w:sz="6" w:space="0" w:color="000000"/>
              <w:right w:val="nil"/>
            </w:tcBorders>
            <w:shd w:val="clear" w:color="auto" w:fill="auto"/>
            <w:vAlign w:val="center"/>
          </w:tcPr>
          <w:p w14:paraId="3E4DAD39" w14:textId="1E3FA11C"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0.40</w:t>
            </w:r>
          </w:p>
          <w:p w14:paraId="44FB329B" w14:textId="0A14789B" w:rsidR="00A0372F" w:rsidRPr="009E3151" w:rsidRDefault="00A0372F" w:rsidP="00963E3D">
            <w:pPr>
              <w:spacing w:after="0" w:line="240" w:lineRule="auto"/>
              <w:jc w:val="center"/>
              <w:textAlignment w:val="baseline"/>
              <w:rPr>
                <w:rFonts w:ascii="Calibri" w:hAnsi="Calibri" w:cs="Calibri"/>
                <w:sz w:val="14"/>
                <w:szCs w:val="14"/>
                <w:lang w:val="en-US"/>
              </w:rPr>
            </w:pPr>
            <w:r w:rsidRPr="009E3151">
              <w:rPr>
                <w:rFonts w:ascii="Calibri" w:eastAsia="Times New Roman" w:hAnsi="Calibri" w:cs="Calibri"/>
                <w:sz w:val="14"/>
                <w:szCs w:val="14"/>
                <w:lang w:val="en-US" w:eastAsia="da-DK"/>
              </w:rPr>
              <w:t>(0.87)</w:t>
            </w:r>
          </w:p>
        </w:tc>
        <w:tc>
          <w:tcPr>
            <w:tcW w:w="1701" w:type="dxa"/>
            <w:tcBorders>
              <w:top w:val="single" w:sz="4" w:space="0" w:color="auto"/>
              <w:left w:val="nil"/>
              <w:bottom w:val="single" w:sz="6" w:space="0" w:color="000000"/>
              <w:right w:val="nil"/>
            </w:tcBorders>
            <w:shd w:val="clear" w:color="auto" w:fill="auto"/>
            <w:vAlign w:val="center"/>
          </w:tcPr>
          <w:p w14:paraId="73D14869" w14:textId="4E638615"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0.88</w:t>
            </w:r>
          </w:p>
          <w:p w14:paraId="3ED3D7C2" w14:textId="5B1BC12C" w:rsidR="00A0372F" w:rsidRPr="009E3151" w:rsidRDefault="00A0372F" w:rsidP="00963E3D">
            <w:pPr>
              <w:spacing w:after="0" w:line="240" w:lineRule="auto"/>
              <w:jc w:val="center"/>
              <w:textAlignment w:val="baseline"/>
              <w:rPr>
                <w:rFonts w:ascii="Calibri" w:hAnsi="Calibri" w:cs="Calibri"/>
                <w:sz w:val="14"/>
                <w:szCs w:val="14"/>
                <w:lang w:val="en-US"/>
              </w:rPr>
            </w:pPr>
            <w:r w:rsidRPr="009E3151">
              <w:rPr>
                <w:rFonts w:ascii="Calibri" w:eastAsia="Times New Roman" w:hAnsi="Calibri" w:cs="Calibri"/>
                <w:sz w:val="14"/>
                <w:szCs w:val="14"/>
                <w:lang w:val="en-US" w:eastAsia="da-DK"/>
              </w:rPr>
              <w:t>(1.49)</w:t>
            </w:r>
          </w:p>
        </w:tc>
        <w:tc>
          <w:tcPr>
            <w:tcW w:w="1985" w:type="dxa"/>
            <w:tcBorders>
              <w:top w:val="single" w:sz="4" w:space="0" w:color="auto"/>
              <w:left w:val="nil"/>
              <w:bottom w:val="single" w:sz="6" w:space="0" w:color="000000"/>
              <w:right w:val="nil"/>
            </w:tcBorders>
            <w:shd w:val="clear" w:color="auto" w:fill="auto"/>
            <w:vAlign w:val="center"/>
          </w:tcPr>
          <w:p w14:paraId="600911CE" w14:textId="52CEA441"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0.34</w:t>
            </w:r>
          </w:p>
          <w:p w14:paraId="56FCEDFE" w14:textId="5C802156" w:rsidR="00A0372F" w:rsidRPr="009E3151" w:rsidRDefault="00A0372F" w:rsidP="00963E3D">
            <w:pPr>
              <w:spacing w:after="0" w:line="240" w:lineRule="auto"/>
              <w:jc w:val="center"/>
              <w:textAlignment w:val="baseline"/>
              <w:rPr>
                <w:rFonts w:ascii="Calibri" w:hAnsi="Calibri" w:cs="Calibri"/>
                <w:sz w:val="14"/>
                <w:szCs w:val="14"/>
                <w:lang w:val="en-US"/>
              </w:rPr>
            </w:pPr>
            <w:r w:rsidRPr="009E3151">
              <w:rPr>
                <w:rFonts w:ascii="Calibri" w:eastAsia="Times New Roman" w:hAnsi="Calibri" w:cs="Calibri"/>
                <w:sz w:val="14"/>
                <w:szCs w:val="14"/>
                <w:lang w:val="en-US" w:eastAsia="da-DK"/>
              </w:rPr>
              <w:t>(0.74)</w:t>
            </w:r>
          </w:p>
        </w:tc>
        <w:tc>
          <w:tcPr>
            <w:tcW w:w="1841" w:type="dxa"/>
            <w:tcBorders>
              <w:top w:val="nil"/>
              <w:left w:val="nil"/>
              <w:bottom w:val="nil"/>
              <w:right w:val="nil"/>
            </w:tcBorders>
            <w:shd w:val="clear" w:color="auto" w:fill="auto"/>
            <w:vAlign w:val="center"/>
          </w:tcPr>
          <w:p w14:paraId="4043012A" w14:textId="77777777" w:rsidR="00A0372F" w:rsidRPr="009E3151" w:rsidRDefault="00A0372F" w:rsidP="00A0372F">
            <w:pPr>
              <w:spacing w:after="0" w:line="240" w:lineRule="auto"/>
              <w:textAlignment w:val="baseline"/>
              <w:rPr>
                <w:rFonts w:ascii="Calibri" w:eastAsia="Times New Roman" w:hAnsi="Calibri" w:cs="Calibri"/>
                <w:color w:val="000000"/>
                <w:sz w:val="14"/>
                <w:szCs w:val="14"/>
                <w:lang w:val="en-US" w:eastAsia="da-DK"/>
              </w:rPr>
            </w:pPr>
            <w:r w:rsidRPr="009E3151">
              <w:rPr>
                <w:rFonts w:ascii="Calibri" w:eastAsia="Times New Roman" w:hAnsi="Calibri" w:cs="Calibri"/>
                <w:lang w:val="en-US" w:eastAsia="da-DK"/>
              </w:rPr>
              <w:t> </w:t>
            </w:r>
          </w:p>
        </w:tc>
      </w:tr>
      <w:tr w:rsidR="00A0372F" w:rsidRPr="009E3151" w14:paraId="71FC3523" w14:textId="77777777" w:rsidTr="00963E3D">
        <w:trPr>
          <w:trHeight w:val="300"/>
        </w:trPr>
        <w:tc>
          <w:tcPr>
            <w:tcW w:w="1701" w:type="dxa"/>
            <w:tcBorders>
              <w:top w:val="single" w:sz="4" w:space="0" w:color="auto"/>
              <w:left w:val="nil"/>
              <w:bottom w:val="single" w:sz="6" w:space="0" w:color="000000"/>
              <w:right w:val="nil"/>
            </w:tcBorders>
            <w:shd w:val="clear" w:color="auto" w:fill="auto"/>
            <w:vAlign w:val="center"/>
          </w:tcPr>
          <w:p w14:paraId="743AA67C" w14:textId="77777777" w:rsidR="00A0372F" w:rsidRPr="009E3151" w:rsidRDefault="00A0372F" w:rsidP="00A0372F">
            <w:pPr>
              <w:pStyle w:val="paragraph"/>
              <w:spacing w:before="0" w:beforeAutospacing="0" w:after="0" w:afterAutospacing="0"/>
              <w:textAlignment w:val="baseline"/>
              <w:rPr>
                <w:rFonts w:ascii="Segoe UI" w:hAnsi="Segoe UI" w:cs="Segoe UI"/>
                <w:sz w:val="18"/>
                <w:szCs w:val="18"/>
                <w:lang w:val="en-US"/>
              </w:rPr>
            </w:pPr>
            <w:r w:rsidRPr="009E3151">
              <w:rPr>
                <w:rStyle w:val="normaltextrun"/>
                <w:rFonts w:ascii="Calibri" w:hAnsi="Calibri" w:cs="Calibri"/>
                <w:b/>
                <w:bCs/>
                <w:color w:val="000000"/>
                <w:sz w:val="14"/>
                <w:szCs w:val="14"/>
                <w:lang w:val="en-US"/>
              </w:rPr>
              <w:t>Days from enrolment to first sample registration,</w:t>
            </w:r>
          </w:p>
          <w:p w14:paraId="0911CDE6" w14:textId="77777777" w:rsidR="00A0372F" w:rsidRPr="009E3151" w:rsidRDefault="00A0372F" w:rsidP="00A0372F">
            <w:pPr>
              <w:pStyle w:val="paragraph"/>
              <w:spacing w:before="0" w:beforeAutospacing="0" w:after="0" w:afterAutospacing="0"/>
              <w:textAlignment w:val="baseline"/>
              <w:rPr>
                <w:rFonts w:ascii="Calibri" w:hAnsi="Calibri" w:cs="Calibri"/>
                <w:b/>
                <w:bCs/>
                <w:sz w:val="14"/>
                <w:szCs w:val="14"/>
                <w:lang w:val="en-US"/>
              </w:rPr>
            </w:pPr>
            <w:r w:rsidRPr="009E3151">
              <w:rPr>
                <w:rStyle w:val="normaltextrun"/>
                <w:rFonts w:ascii="Calibri" w:hAnsi="Calibri" w:cs="Calibri"/>
                <w:b/>
                <w:bCs/>
                <w:color w:val="000000"/>
                <w:sz w:val="14"/>
                <w:szCs w:val="14"/>
                <w:lang w:val="en-US"/>
              </w:rPr>
              <w:t>median [IQR]</w:t>
            </w:r>
          </w:p>
        </w:tc>
        <w:tc>
          <w:tcPr>
            <w:tcW w:w="2410" w:type="dxa"/>
            <w:tcBorders>
              <w:top w:val="single" w:sz="4" w:space="0" w:color="auto"/>
              <w:left w:val="nil"/>
              <w:bottom w:val="single" w:sz="6" w:space="0" w:color="000000"/>
              <w:right w:val="nil"/>
            </w:tcBorders>
            <w:shd w:val="clear" w:color="auto" w:fill="auto"/>
            <w:vAlign w:val="center"/>
          </w:tcPr>
          <w:p w14:paraId="0B14A4EF" w14:textId="3A8BC446"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34.40</w:t>
            </w:r>
          </w:p>
          <w:p w14:paraId="32081707" w14:textId="1EF577B7"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[0.95;69.6]</w:t>
            </w:r>
          </w:p>
        </w:tc>
        <w:tc>
          <w:tcPr>
            <w:tcW w:w="1701" w:type="dxa"/>
            <w:tcBorders>
              <w:top w:val="single" w:sz="4" w:space="0" w:color="auto"/>
              <w:left w:val="nil"/>
              <w:bottom w:val="single" w:sz="6" w:space="0" w:color="000000"/>
              <w:right w:val="nil"/>
            </w:tcBorders>
            <w:shd w:val="clear" w:color="auto" w:fill="auto"/>
            <w:vAlign w:val="center"/>
          </w:tcPr>
          <w:p w14:paraId="7B6835D7" w14:textId="77777777"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0.68</w:t>
            </w:r>
          </w:p>
          <w:p w14:paraId="67E67230" w14:textId="49FE697E"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Style w:val="normaltextrun"/>
                <w:rFonts w:ascii="Calibri" w:hAnsi="Calibri" w:cs="Calibri"/>
                <w:sz w:val="14"/>
                <w:szCs w:val="14"/>
                <w:bdr w:val="none" w:sz="0" w:space="0" w:color="auto" w:frame="1"/>
                <w:lang w:val="en-US"/>
              </w:rPr>
              <w:t>[0.50;0.85]</w:t>
            </w:r>
          </w:p>
        </w:tc>
        <w:tc>
          <w:tcPr>
            <w:tcW w:w="1985" w:type="dxa"/>
            <w:tcBorders>
              <w:top w:val="single" w:sz="4" w:space="0" w:color="auto"/>
              <w:left w:val="nil"/>
              <w:bottom w:val="single" w:sz="6" w:space="0" w:color="000000"/>
              <w:right w:val="nil"/>
            </w:tcBorders>
            <w:shd w:val="clear" w:color="auto" w:fill="auto"/>
            <w:vAlign w:val="center"/>
          </w:tcPr>
          <w:p w14:paraId="0EB789A9" w14:textId="77777777"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47.86</w:t>
            </w:r>
          </w:p>
          <w:p w14:paraId="3228D34A" w14:textId="4021E196"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[26.73;82.75]</w:t>
            </w:r>
          </w:p>
        </w:tc>
        <w:tc>
          <w:tcPr>
            <w:tcW w:w="1841" w:type="dxa"/>
            <w:tcBorders>
              <w:top w:val="nil"/>
              <w:left w:val="nil"/>
              <w:bottom w:val="nil"/>
              <w:right w:val="nil"/>
            </w:tcBorders>
            <w:shd w:val="clear" w:color="auto" w:fill="auto"/>
            <w:vAlign w:val="center"/>
          </w:tcPr>
          <w:p w14:paraId="633E8EE1" w14:textId="77777777" w:rsidR="00A0372F" w:rsidRPr="009E3151" w:rsidRDefault="00A0372F" w:rsidP="00A0372F">
            <w:pPr>
              <w:spacing w:after="0" w:line="240" w:lineRule="auto"/>
              <w:textAlignment w:val="baseline"/>
              <w:rPr>
                <w:rFonts w:ascii="Calibri" w:eastAsia="Times New Roman" w:hAnsi="Calibri" w:cs="Calibri"/>
                <w:lang w:val="en-US" w:eastAsia="da-DK"/>
              </w:rPr>
            </w:pPr>
          </w:p>
        </w:tc>
      </w:tr>
      <w:tr w:rsidR="00A0372F" w:rsidRPr="009E3151" w14:paraId="6E08092F" w14:textId="77777777" w:rsidTr="00963E3D">
        <w:trPr>
          <w:trHeight w:val="300"/>
        </w:trPr>
        <w:tc>
          <w:tcPr>
            <w:tcW w:w="1701" w:type="dxa"/>
            <w:tcBorders>
              <w:top w:val="single" w:sz="4" w:space="0" w:color="auto"/>
              <w:left w:val="nil"/>
              <w:bottom w:val="single" w:sz="6" w:space="0" w:color="000000"/>
              <w:right w:val="nil"/>
            </w:tcBorders>
            <w:shd w:val="clear" w:color="auto" w:fill="auto"/>
            <w:vAlign w:val="center"/>
          </w:tcPr>
          <w:p w14:paraId="738F7307" w14:textId="77777777" w:rsidR="00A0372F" w:rsidRPr="009E3151" w:rsidRDefault="00A0372F" w:rsidP="00A0372F">
            <w:pPr>
              <w:pStyle w:val="paragraph"/>
              <w:spacing w:before="0" w:beforeAutospacing="0" w:after="0" w:afterAutospacing="0"/>
              <w:textAlignment w:val="baseline"/>
              <w:rPr>
                <w:rFonts w:ascii="Segoe UI" w:hAnsi="Segoe UI" w:cs="Segoe UI"/>
                <w:sz w:val="18"/>
                <w:szCs w:val="18"/>
                <w:lang w:val="en-US"/>
              </w:rPr>
            </w:pPr>
            <w:r w:rsidRPr="009E3151">
              <w:rPr>
                <w:rStyle w:val="normaltextrun"/>
                <w:rFonts w:ascii="Calibri" w:hAnsi="Calibri" w:cs="Calibri"/>
                <w:b/>
                <w:bCs/>
                <w:color w:val="000000"/>
                <w:sz w:val="14"/>
                <w:szCs w:val="14"/>
                <w:lang w:val="en-US"/>
              </w:rPr>
              <w:t>Days from sample taken to analysis result,</w:t>
            </w:r>
          </w:p>
          <w:p w14:paraId="613CC25C" w14:textId="77777777" w:rsidR="00A0372F" w:rsidRPr="009E3151" w:rsidRDefault="00A0372F" w:rsidP="00A0372F">
            <w:pPr>
              <w:pStyle w:val="paragraph"/>
              <w:spacing w:before="0" w:beforeAutospacing="0" w:after="0" w:afterAutospacing="0"/>
              <w:textAlignment w:val="baseline"/>
              <w:rPr>
                <w:rFonts w:ascii="Calibri" w:hAnsi="Calibri" w:cs="Calibri"/>
                <w:b/>
                <w:bCs/>
                <w:sz w:val="14"/>
                <w:szCs w:val="14"/>
                <w:lang w:val="en-US"/>
              </w:rPr>
            </w:pPr>
            <w:r w:rsidRPr="009E3151">
              <w:rPr>
                <w:rStyle w:val="normaltextrun"/>
                <w:rFonts w:ascii="Calibri" w:hAnsi="Calibri" w:cs="Calibri"/>
                <w:b/>
                <w:bCs/>
                <w:color w:val="000000"/>
                <w:sz w:val="14"/>
                <w:szCs w:val="14"/>
                <w:lang w:val="en-US"/>
              </w:rPr>
              <w:t>median [IQR]</w:t>
            </w:r>
          </w:p>
        </w:tc>
        <w:tc>
          <w:tcPr>
            <w:tcW w:w="2410" w:type="dxa"/>
            <w:tcBorders>
              <w:top w:val="single" w:sz="4" w:space="0" w:color="auto"/>
              <w:left w:val="nil"/>
              <w:bottom w:val="single" w:sz="6" w:space="0" w:color="000000"/>
              <w:right w:val="nil"/>
            </w:tcBorders>
            <w:shd w:val="clear" w:color="auto" w:fill="auto"/>
            <w:vAlign w:val="center"/>
          </w:tcPr>
          <w:p w14:paraId="72F93622" w14:textId="77777777"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5.00</w:t>
            </w:r>
          </w:p>
          <w:p w14:paraId="5D9EBA13" w14:textId="6ED81706" w:rsidR="00A0372F" w:rsidRPr="009E3151" w:rsidRDefault="00A0372F" w:rsidP="00963E3D">
            <w:pPr>
              <w:jc w:val="center"/>
              <w:rPr>
                <w:rFonts w:ascii="Calibri" w:hAnsi="Calibri" w:cs="Calibri"/>
                <w:sz w:val="14"/>
                <w:szCs w:val="14"/>
                <w:lang w:val="en-US"/>
              </w:rPr>
            </w:pPr>
            <w:r w:rsidRPr="009E3151">
              <w:rPr>
                <w:rFonts w:ascii="Calibri" w:hAnsi="Calibri" w:cs="Calibri"/>
                <w:sz w:val="14"/>
                <w:szCs w:val="14"/>
                <w:lang w:val="en-US"/>
              </w:rPr>
              <w:t>[3.29;6.43]</w:t>
            </w:r>
          </w:p>
        </w:tc>
        <w:tc>
          <w:tcPr>
            <w:tcW w:w="1701" w:type="dxa"/>
            <w:tcBorders>
              <w:top w:val="single" w:sz="4" w:space="0" w:color="auto"/>
              <w:left w:val="nil"/>
              <w:bottom w:val="single" w:sz="6" w:space="0" w:color="000000"/>
              <w:right w:val="nil"/>
            </w:tcBorders>
            <w:shd w:val="clear" w:color="auto" w:fill="auto"/>
            <w:vAlign w:val="center"/>
          </w:tcPr>
          <w:p w14:paraId="2D555155" w14:textId="72F831B8"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4.02</w:t>
            </w:r>
          </w:p>
          <w:p w14:paraId="3D1DE8F8" w14:textId="36985974" w:rsidR="00A0372F" w:rsidRPr="009E3151" w:rsidRDefault="00A0372F" w:rsidP="00963E3D">
            <w:pPr>
              <w:jc w:val="center"/>
              <w:rPr>
                <w:rFonts w:ascii="Calibri" w:eastAsia="Times New Roman" w:hAnsi="Calibri" w:cs="Calibri"/>
                <w:sz w:val="14"/>
                <w:szCs w:val="14"/>
                <w:lang w:val="en-US" w:eastAsia="da-DK"/>
              </w:rPr>
            </w:pPr>
            <w:r w:rsidRPr="009E3151">
              <w:rPr>
                <w:rFonts w:ascii="Calibri" w:hAnsi="Calibri" w:cs="Calibri"/>
                <w:sz w:val="14"/>
                <w:szCs w:val="14"/>
                <w:lang w:val="en-US"/>
              </w:rPr>
              <w:t>[2.14;5.87]</w:t>
            </w:r>
          </w:p>
        </w:tc>
        <w:tc>
          <w:tcPr>
            <w:tcW w:w="1985" w:type="dxa"/>
            <w:tcBorders>
              <w:top w:val="single" w:sz="4" w:space="0" w:color="auto"/>
              <w:left w:val="nil"/>
              <w:bottom w:val="single" w:sz="6" w:space="0" w:color="000000"/>
              <w:right w:val="nil"/>
            </w:tcBorders>
            <w:shd w:val="clear" w:color="auto" w:fill="auto"/>
            <w:vAlign w:val="center"/>
          </w:tcPr>
          <w:p w14:paraId="3F7F49AF" w14:textId="0DAC897D" w:rsidR="00A0372F" w:rsidRPr="009E3151" w:rsidRDefault="00A0372F" w:rsidP="00963E3D">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5.14</w:t>
            </w:r>
          </w:p>
          <w:p w14:paraId="113AA561" w14:textId="2F234BCA" w:rsidR="00A0372F" w:rsidRPr="009E3151" w:rsidRDefault="00A0372F" w:rsidP="00963E3D">
            <w:pPr>
              <w:jc w:val="center"/>
              <w:rPr>
                <w:rFonts w:ascii="Calibri" w:hAnsi="Calibri" w:cs="Calibri"/>
                <w:sz w:val="14"/>
                <w:szCs w:val="14"/>
                <w:lang w:val="en-US"/>
              </w:rPr>
            </w:pPr>
            <w:r w:rsidRPr="009E3151">
              <w:rPr>
                <w:rFonts w:ascii="Calibri" w:hAnsi="Calibri" w:cs="Calibri"/>
                <w:sz w:val="14"/>
                <w:szCs w:val="14"/>
                <w:lang w:val="en-US"/>
              </w:rPr>
              <w:t>[3.92;6.82]</w:t>
            </w:r>
          </w:p>
        </w:tc>
        <w:tc>
          <w:tcPr>
            <w:tcW w:w="1841" w:type="dxa"/>
            <w:tcBorders>
              <w:top w:val="nil"/>
              <w:left w:val="nil"/>
              <w:bottom w:val="nil"/>
              <w:right w:val="nil"/>
            </w:tcBorders>
            <w:shd w:val="clear" w:color="auto" w:fill="auto"/>
            <w:vAlign w:val="center"/>
          </w:tcPr>
          <w:p w14:paraId="11E735CF" w14:textId="77777777" w:rsidR="00A0372F" w:rsidRPr="009E3151" w:rsidRDefault="00A0372F" w:rsidP="00A0372F">
            <w:pPr>
              <w:spacing w:after="0" w:line="240" w:lineRule="auto"/>
              <w:textAlignment w:val="baseline"/>
              <w:rPr>
                <w:rFonts w:ascii="Calibri" w:eastAsia="Times New Roman" w:hAnsi="Calibri" w:cs="Calibri"/>
                <w:lang w:val="en-US" w:eastAsia="da-DK"/>
              </w:rPr>
            </w:pPr>
          </w:p>
        </w:tc>
      </w:tr>
      <w:tr w:rsidR="00A0372F" w:rsidRPr="00716120" w14:paraId="04C0317C" w14:textId="77777777" w:rsidTr="00A0372F">
        <w:trPr>
          <w:trHeight w:val="300"/>
        </w:trPr>
        <w:tc>
          <w:tcPr>
            <w:tcW w:w="1701" w:type="dxa"/>
            <w:tcBorders>
              <w:top w:val="single" w:sz="6" w:space="0" w:color="000000"/>
              <w:left w:val="nil"/>
              <w:bottom w:val="nil"/>
              <w:right w:val="nil"/>
            </w:tcBorders>
            <w:shd w:val="clear" w:color="auto" w:fill="auto"/>
            <w:vAlign w:val="center"/>
          </w:tcPr>
          <w:p w14:paraId="455538C0" w14:textId="1FDEC1B7" w:rsidR="00A0372F" w:rsidRPr="009E3151" w:rsidRDefault="00A0372F" w:rsidP="00A0372F">
            <w:pPr>
              <w:spacing w:after="0" w:line="240" w:lineRule="auto"/>
              <w:textAlignment w:val="baseline"/>
              <w:rPr>
                <w:rFonts w:ascii="Calibri" w:eastAsia="Times New Roman" w:hAnsi="Calibri" w:cs="Calibri"/>
                <w:b/>
                <w:bCs/>
                <w:sz w:val="14"/>
                <w:szCs w:val="14"/>
                <w:lang w:val="en-US" w:eastAsia="da-DK"/>
              </w:rPr>
            </w:pPr>
            <w:r w:rsidRPr="009E3151">
              <w:rPr>
                <w:rFonts w:ascii="Calibri" w:eastAsia="Times New Roman" w:hAnsi="Calibri" w:cs="Calibri"/>
                <w:b/>
                <w:sz w:val="14"/>
                <w:szCs w:val="14"/>
                <w:lang w:val="en-US" w:eastAsia="da-DK"/>
              </w:rPr>
              <w:t>Total samples pr. year of participation in V</w:t>
            </w:r>
            <w:r w:rsidR="005275E9">
              <w:rPr>
                <w:rFonts w:ascii="Calibri" w:eastAsia="Times New Roman" w:hAnsi="Calibri" w:cs="Calibri"/>
                <w:b/>
                <w:sz w:val="14"/>
                <w:szCs w:val="14"/>
                <w:lang w:val="en-US" w:eastAsia="da-DK"/>
              </w:rPr>
              <w:t>MD</w:t>
            </w:r>
            <w:r w:rsidRPr="009E3151">
              <w:rPr>
                <w:rFonts w:ascii="Calibri" w:eastAsia="Times New Roman" w:hAnsi="Calibri" w:cs="Calibri"/>
                <w:b/>
                <w:sz w:val="14"/>
                <w:szCs w:val="14"/>
                <w:lang w:val="en-US" w:eastAsia="da-DK"/>
              </w:rPr>
              <w:t xml:space="preserve"> for each age group</w:t>
            </w:r>
          </w:p>
        </w:tc>
        <w:tc>
          <w:tcPr>
            <w:tcW w:w="2410" w:type="dxa"/>
            <w:tcBorders>
              <w:top w:val="single" w:sz="6" w:space="0" w:color="000000"/>
              <w:left w:val="nil"/>
              <w:bottom w:val="nil"/>
              <w:right w:val="nil"/>
            </w:tcBorders>
            <w:shd w:val="clear" w:color="auto" w:fill="auto"/>
            <w:vAlign w:val="bottom"/>
          </w:tcPr>
          <w:p w14:paraId="716EEE25"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p>
        </w:tc>
        <w:tc>
          <w:tcPr>
            <w:tcW w:w="1701" w:type="dxa"/>
            <w:tcBorders>
              <w:top w:val="single" w:sz="6" w:space="0" w:color="000000"/>
              <w:left w:val="nil"/>
              <w:bottom w:val="nil"/>
              <w:right w:val="nil"/>
            </w:tcBorders>
            <w:shd w:val="clear" w:color="auto" w:fill="auto"/>
            <w:vAlign w:val="bottom"/>
          </w:tcPr>
          <w:p w14:paraId="47B2FDD2"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p>
        </w:tc>
        <w:tc>
          <w:tcPr>
            <w:tcW w:w="1985" w:type="dxa"/>
            <w:tcBorders>
              <w:top w:val="single" w:sz="6" w:space="0" w:color="000000"/>
              <w:left w:val="nil"/>
              <w:bottom w:val="nil"/>
              <w:right w:val="nil"/>
            </w:tcBorders>
            <w:shd w:val="clear" w:color="auto" w:fill="auto"/>
            <w:vAlign w:val="bottom"/>
          </w:tcPr>
          <w:p w14:paraId="38C04F36"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p>
        </w:tc>
        <w:tc>
          <w:tcPr>
            <w:tcW w:w="1841" w:type="dxa"/>
            <w:tcBorders>
              <w:top w:val="nil"/>
              <w:left w:val="nil"/>
              <w:bottom w:val="nil"/>
              <w:right w:val="nil"/>
            </w:tcBorders>
            <w:shd w:val="clear" w:color="auto" w:fill="auto"/>
            <w:vAlign w:val="center"/>
          </w:tcPr>
          <w:p w14:paraId="44AB9000" w14:textId="77777777" w:rsidR="00A0372F" w:rsidRPr="009E3151" w:rsidRDefault="00A0372F" w:rsidP="00A0372F">
            <w:pPr>
              <w:spacing w:after="0" w:line="240" w:lineRule="auto"/>
              <w:jc w:val="center"/>
              <w:textAlignment w:val="baseline"/>
              <w:rPr>
                <w:rFonts w:ascii="Calibri" w:eastAsia="Times New Roman" w:hAnsi="Calibri" w:cs="Calibri"/>
                <w:lang w:val="en-US" w:eastAsia="da-DK"/>
              </w:rPr>
            </w:pPr>
          </w:p>
        </w:tc>
      </w:tr>
      <w:tr w:rsidR="00A0372F" w:rsidRPr="009E3151" w14:paraId="3BA24517" w14:textId="77777777" w:rsidTr="00A0372F">
        <w:trPr>
          <w:trHeight w:val="300"/>
        </w:trPr>
        <w:tc>
          <w:tcPr>
            <w:tcW w:w="1701" w:type="dxa"/>
            <w:tcBorders>
              <w:top w:val="nil"/>
              <w:left w:val="nil"/>
              <w:bottom w:val="nil"/>
              <w:right w:val="nil"/>
            </w:tcBorders>
            <w:shd w:val="clear" w:color="auto" w:fill="auto"/>
            <w:vAlign w:val="bottom"/>
          </w:tcPr>
          <w:p w14:paraId="5C372196" w14:textId="77777777" w:rsidR="00A0372F" w:rsidRPr="009E3151" w:rsidRDefault="00A0372F" w:rsidP="00A0372F">
            <w:pPr>
              <w:spacing w:after="0" w:line="240" w:lineRule="auto"/>
              <w:jc w:val="right"/>
              <w:textAlignment w:val="baseline"/>
              <w:rPr>
                <w:rFonts w:ascii="Calibri" w:eastAsia="Times New Roman" w:hAnsi="Calibri" w:cs="Calibri"/>
                <w:sz w:val="14"/>
                <w:szCs w:val="14"/>
                <w:lang w:val="en-US" w:eastAsia="da-DK"/>
              </w:rPr>
            </w:pPr>
          </w:p>
          <w:p w14:paraId="4A105288" w14:textId="77777777" w:rsidR="00A0372F" w:rsidRPr="009E3151" w:rsidRDefault="00A0372F" w:rsidP="00A0372F">
            <w:pPr>
              <w:spacing w:after="0" w:line="240" w:lineRule="auto"/>
              <w:jc w:val="right"/>
              <w:textAlignment w:val="baseline"/>
              <w:rPr>
                <w:rFonts w:ascii="Calibri" w:eastAsia="Times New Roman" w:hAnsi="Calibri" w:cs="Calibri"/>
                <w:b/>
                <w:bCs/>
                <w:sz w:val="14"/>
                <w:szCs w:val="14"/>
                <w:lang w:val="en-US" w:eastAsia="da-DK"/>
              </w:rPr>
            </w:pPr>
            <w:r w:rsidRPr="009E3151">
              <w:rPr>
                <w:rFonts w:ascii="Calibri" w:eastAsia="Times New Roman" w:hAnsi="Calibri" w:cs="Calibri"/>
                <w:sz w:val="14"/>
                <w:szCs w:val="14"/>
                <w:lang w:val="en-US" w:eastAsia="da-DK"/>
              </w:rPr>
              <w:t>   0-4</w:t>
            </w:r>
          </w:p>
        </w:tc>
        <w:tc>
          <w:tcPr>
            <w:tcW w:w="2410" w:type="dxa"/>
            <w:tcBorders>
              <w:top w:val="nil"/>
              <w:left w:val="nil"/>
              <w:bottom w:val="nil"/>
              <w:right w:val="nil"/>
            </w:tcBorders>
            <w:shd w:val="clear" w:color="auto" w:fill="auto"/>
            <w:vAlign w:val="bottom"/>
          </w:tcPr>
          <w:p w14:paraId="6F3AF97B"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sz w:val="14"/>
                <w:szCs w:val="14"/>
                <w:lang w:val="en-US"/>
              </w:rPr>
              <w:t>-</w:t>
            </w:r>
          </w:p>
        </w:tc>
        <w:tc>
          <w:tcPr>
            <w:tcW w:w="1701" w:type="dxa"/>
            <w:tcBorders>
              <w:top w:val="nil"/>
              <w:left w:val="nil"/>
              <w:bottom w:val="nil"/>
              <w:right w:val="nil"/>
            </w:tcBorders>
            <w:shd w:val="clear" w:color="auto" w:fill="auto"/>
            <w:vAlign w:val="bottom"/>
          </w:tcPr>
          <w:p w14:paraId="4481C7DD"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w:t>
            </w:r>
          </w:p>
        </w:tc>
        <w:tc>
          <w:tcPr>
            <w:tcW w:w="1985" w:type="dxa"/>
            <w:tcBorders>
              <w:top w:val="nil"/>
              <w:left w:val="nil"/>
              <w:bottom w:val="nil"/>
              <w:right w:val="nil"/>
            </w:tcBorders>
            <w:shd w:val="clear" w:color="auto" w:fill="auto"/>
            <w:vAlign w:val="bottom"/>
          </w:tcPr>
          <w:p w14:paraId="41DD3D94"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w:t>
            </w:r>
          </w:p>
        </w:tc>
        <w:tc>
          <w:tcPr>
            <w:tcW w:w="1841" w:type="dxa"/>
            <w:tcBorders>
              <w:top w:val="nil"/>
              <w:left w:val="nil"/>
              <w:bottom w:val="nil"/>
              <w:right w:val="nil"/>
            </w:tcBorders>
            <w:shd w:val="clear" w:color="auto" w:fill="auto"/>
            <w:vAlign w:val="center"/>
          </w:tcPr>
          <w:p w14:paraId="5F903DDE" w14:textId="77777777" w:rsidR="00A0372F" w:rsidRPr="009E3151" w:rsidRDefault="00A0372F" w:rsidP="00A0372F">
            <w:pPr>
              <w:spacing w:after="0" w:line="240" w:lineRule="auto"/>
              <w:jc w:val="center"/>
              <w:textAlignment w:val="baseline"/>
              <w:rPr>
                <w:rFonts w:ascii="Calibri" w:eastAsia="Times New Roman" w:hAnsi="Calibri" w:cs="Calibri"/>
                <w:lang w:val="en-US" w:eastAsia="da-DK"/>
              </w:rPr>
            </w:pPr>
          </w:p>
        </w:tc>
      </w:tr>
      <w:tr w:rsidR="00A0372F" w:rsidRPr="009E3151" w14:paraId="361A8E83" w14:textId="77777777" w:rsidTr="00A0372F">
        <w:trPr>
          <w:trHeight w:val="300"/>
        </w:trPr>
        <w:tc>
          <w:tcPr>
            <w:tcW w:w="1701" w:type="dxa"/>
            <w:tcBorders>
              <w:top w:val="nil"/>
              <w:left w:val="nil"/>
              <w:bottom w:val="nil"/>
              <w:right w:val="nil"/>
            </w:tcBorders>
            <w:shd w:val="clear" w:color="auto" w:fill="auto"/>
            <w:vAlign w:val="bottom"/>
          </w:tcPr>
          <w:p w14:paraId="5B415C38" w14:textId="77777777" w:rsidR="00A0372F" w:rsidRPr="009E3151" w:rsidRDefault="00A0372F" w:rsidP="00A0372F">
            <w:pPr>
              <w:spacing w:after="0" w:line="240" w:lineRule="auto"/>
              <w:jc w:val="right"/>
              <w:textAlignment w:val="baseline"/>
              <w:rPr>
                <w:rFonts w:ascii="Calibri" w:eastAsia="Times New Roman" w:hAnsi="Calibri" w:cs="Calibri"/>
                <w:b/>
                <w:bCs/>
                <w:sz w:val="14"/>
                <w:szCs w:val="14"/>
                <w:lang w:val="en-US" w:eastAsia="da-DK"/>
              </w:rPr>
            </w:pPr>
            <w:r w:rsidRPr="009E3151">
              <w:rPr>
                <w:rFonts w:ascii="Calibri" w:eastAsia="Times New Roman" w:hAnsi="Calibri" w:cs="Calibri"/>
                <w:sz w:val="14"/>
                <w:szCs w:val="14"/>
                <w:lang w:val="en-US" w:eastAsia="da-DK"/>
              </w:rPr>
              <w:t>  5-9</w:t>
            </w:r>
          </w:p>
        </w:tc>
        <w:tc>
          <w:tcPr>
            <w:tcW w:w="2410" w:type="dxa"/>
            <w:tcBorders>
              <w:top w:val="nil"/>
              <w:left w:val="nil"/>
              <w:bottom w:val="nil"/>
              <w:right w:val="nil"/>
            </w:tcBorders>
            <w:shd w:val="clear" w:color="auto" w:fill="auto"/>
            <w:vAlign w:val="bottom"/>
          </w:tcPr>
          <w:p w14:paraId="757BBA84"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0.25</w:t>
            </w:r>
          </w:p>
        </w:tc>
        <w:tc>
          <w:tcPr>
            <w:tcW w:w="1701" w:type="dxa"/>
            <w:tcBorders>
              <w:top w:val="nil"/>
              <w:left w:val="nil"/>
              <w:bottom w:val="nil"/>
              <w:right w:val="nil"/>
            </w:tcBorders>
            <w:shd w:val="clear" w:color="auto" w:fill="auto"/>
            <w:vAlign w:val="bottom"/>
          </w:tcPr>
          <w:p w14:paraId="26AF428E"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0.67</w:t>
            </w:r>
          </w:p>
        </w:tc>
        <w:tc>
          <w:tcPr>
            <w:tcW w:w="1985" w:type="dxa"/>
            <w:tcBorders>
              <w:top w:val="nil"/>
              <w:left w:val="nil"/>
              <w:bottom w:val="nil"/>
              <w:right w:val="nil"/>
            </w:tcBorders>
            <w:shd w:val="clear" w:color="auto" w:fill="auto"/>
            <w:vAlign w:val="bottom"/>
          </w:tcPr>
          <w:p w14:paraId="2C990AF1"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0.18</w:t>
            </w:r>
          </w:p>
        </w:tc>
        <w:tc>
          <w:tcPr>
            <w:tcW w:w="1841" w:type="dxa"/>
            <w:tcBorders>
              <w:top w:val="nil"/>
              <w:left w:val="nil"/>
              <w:bottom w:val="nil"/>
              <w:right w:val="nil"/>
            </w:tcBorders>
            <w:shd w:val="clear" w:color="auto" w:fill="auto"/>
            <w:vAlign w:val="center"/>
          </w:tcPr>
          <w:p w14:paraId="064592BA" w14:textId="77777777" w:rsidR="00A0372F" w:rsidRPr="009E3151" w:rsidRDefault="00A0372F" w:rsidP="00A0372F">
            <w:pPr>
              <w:spacing w:after="0" w:line="240" w:lineRule="auto"/>
              <w:jc w:val="center"/>
              <w:textAlignment w:val="baseline"/>
              <w:rPr>
                <w:rFonts w:ascii="Calibri" w:eastAsia="Times New Roman" w:hAnsi="Calibri" w:cs="Calibri"/>
                <w:lang w:val="en-US" w:eastAsia="da-DK"/>
              </w:rPr>
            </w:pPr>
          </w:p>
        </w:tc>
      </w:tr>
      <w:tr w:rsidR="00A0372F" w:rsidRPr="009E3151" w14:paraId="75888073" w14:textId="77777777" w:rsidTr="00A0372F">
        <w:trPr>
          <w:trHeight w:val="300"/>
        </w:trPr>
        <w:tc>
          <w:tcPr>
            <w:tcW w:w="1701" w:type="dxa"/>
            <w:tcBorders>
              <w:top w:val="nil"/>
              <w:left w:val="nil"/>
              <w:bottom w:val="nil"/>
              <w:right w:val="nil"/>
            </w:tcBorders>
            <w:shd w:val="clear" w:color="auto" w:fill="auto"/>
            <w:vAlign w:val="bottom"/>
          </w:tcPr>
          <w:p w14:paraId="33DA001F" w14:textId="77777777" w:rsidR="00A0372F" w:rsidRPr="009E3151" w:rsidRDefault="00A0372F" w:rsidP="00A0372F">
            <w:pPr>
              <w:spacing w:after="0" w:line="240" w:lineRule="auto"/>
              <w:jc w:val="right"/>
              <w:textAlignment w:val="baseline"/>
              <w:rPr>
                <w:rFonts w:ascii="Calibri" w:eastAsia="Times New Roman" w:hAnsi="Calibri" w:cs="Calibri"/>
                <w:b/>
                <w:bCs/>
                <w:sz w:val="14"/>
                <w:szCs w:val="14"/>
                <w:lang w:val="en-US" w:eastAsia="da-DK"/>
              </w:rPr>
            </w:pPr>
            <w:r w:rsidRPr="009E3151">
              <w:rPr>
                <w:rFonts w:ascii="Calibri" w:eastAsia="Times New Roman" w:hAnsi="Calibri" w:cs="Calibri"/>
                <w:sz w:val="14"/>
                <w:szCs w:val="14"/>
                <w:lang w:val="en-US" w:eastAsia="da-DK"/>
              </w:rPr>
              <w:t>   10-14</w:t>
            </w:r>
          </w:p>
        </w:tc>
        <w:tc>
          <w:tcPr>
            <w:tcW w:w="2410" w:type="dxa"/>
            <w:tcBorders>
              <w:top w:val="nil"/>
              <w:left w:val="nil"/>
              <w:bottom w:val="nil"/>
              <w:right w:val="nil"/>
            </w:tcBorders>
            <w:shd w:val="clear" w:color="auto" w:fill="auto"/>
            <w:vAlign w:val="bottom"/>
          </w:tcPr>
          <w:p w14:paraId="4D437882"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0.24</w:t>
            </w:r>
          </w:p>
        </w:tc>
        <w:tc>
          <w:tcPr>
            <w:tcW w:w="1701" w:type="dxa"/>
            <w:tcBorders>
              <w:top w:val="nil"/>
              <w:left w:val="nil"/>
              <w:bottom w:val="nil"/>
              <w:right w:val="nil"/>
            </w:tcBorders>
            <w:shd w:val="clear" w:color="auto" w:fill="auto"/>
            <w:vAlign w:val="bottom"/>
          </w:tcPr>
          <w:p w14:paraId="3072E580"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0.96</w:t>
            </w:r>
          </w:p>
        </w:tc>
        <w:tc>
          <w:tcPr>
            <w:tcW w:w="1985" w:type="dxa"/>
            <w:tcBorders>
              <w:top w:val="nil"/>
              <w:left w:val="nil"/>
              <w:bottom w:val="nil"/>
              <w:right w:val="nil"/>
            </w:tcBorders>
            <w:shd w:val="clear" w:color="auto" w:fill="auto"/>
            <w:vAlign w:val="bottom"/>
          </w:tcPr>
          <w:p w14:paraId="42DB23E9"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0.20</w:t>
            </w:r>
          </w:p>
        </w:tc>
        <w:tc>
          <w:tcPr>
            <w:tcW w:w="1841" w:type="dxa"/>
            <w:tcBorders>
              <w:top w:val="nil"/>
              <w:left w:val="nil"/>
              <w:bottom w:val="nil"/>
              <w:right w:val="nil"/>
            </w:tcBorders>
            <w:shd w:val="clear" w:color="auto" w:fill="auto"/>
            <w:vAlign w:val="center"/>
          </w:tcPr>
          <w:p w14:paraId="6BFD7543" w14:textId="77777777" w:rsidR="00A0372F" w:rsidRPr="009E3151" w:rsidRDefault="00A0372F" w:rsidP="00A0372F">
            <w:pPr>
              <w:spacing w:after="0" w:line="240" w:lineRule="auto"/>
              <w:jc w:val="center"/>
              <w:textAlignment w:val="baseline"/>
              <w:rPr>
                <w:rFonts w:ascii="Calibri" w:eastAsia="Times New Roman" w:hAnsi="Calibri" w:cs="Calibri"/>
                <w:lang w:val="en-US" w:eastAsia="da-DK"/>
              </w:rPr>
            </w:pPr>
          </w:p>
        </w:tc>
      </w:tr>
      <w:tr w:rsidR="00A0372F" w:rsidRPr="009E3151" w14:paraId="03D3C4B4" w14:textId="77777777" w:rsidTr="00A0372F">
        <w:trPr>
          <w:trHeight w:val="300"/>
        </w:trPr>
        <w:tc>
          <w:tcPr>
            <w:tcW w:w="1701" w:type="dxa"/>
            <w:tcBorders>
              <w:top w:val="nil"/>
              <w:left w:val="nil"/>
              <w:bottom w:val="nil"/>
              <w:right w:val="nil"/>
            </w:tcBorders>
            <w:shd w:val="clear" w:color="auto" w:fill="auto"/>
            <w:vAlign w:val="bottom"/>
          </w:tcPr>
          <w:p w14:paraId="10B4B863" w14:textId="77777777" w:rsidR="00A0372F" w:rsidRPr="009E3151" w:rsidRDefault="00A0372F" w:rsidP="00A0372F">
            <w:pPr>
              <w:spacing w:after="0" w:line="240" w:lineRule="auto"/>
              <w:jc w:val="right"/>
              <w:textAlignment w:val="baseline"/>
              <w:rPr>
                <w:rFonts w:ascii="Calibri" w:eastAsia="Times New Roman" w:hAnsi="Calibri" w:cs="Calibri"/>
                <w:b/>
                <w:bCs/>
                <w:sz w:val="14"/>
                <w:szCs w:val="14"/>
                <w:lang w:val="en-US" w:eastAsia="da-DK"/>
              </w:rPr>
            </w:pPr>
            <w:r w:rsidRPr="009E3151">
              <w:rPr>
                <w:rFonts w:ascii="Calibri" w:eastAsia="Times New Roman" w:hAnsi="Calibri" w:cs="Calibri"/>
                <w:sz w:val="14"/>
                <w:szCs w:val="14"/>
                <w:lang w:val="en-US" w:eastAsia="da-DK"/>
              </w:rPr>
              <w:t>   15-19</w:t>
            </w:r>
          </w:p>
        </w:tc>
        <w:tc>
          <w:tcPr>
            <w:tcW w:w="2410" w:type="dxa"/>
            <w:tcBorders>
              <w:top w:val="nil"/>
              <w:left w:val="nil"/>
              <w:bottom w:val="nil"/>
              <w:right w:val="nil"/>
            </w:tcBorders>
            <w:shd w:val="clear" w:color="auto" w:fill="auto"/>
            <w:vAlign w:val="bottom"/>
          </w:tcPr>
          <w:p w14:paraId="00126424"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0.39</w:t>
            </w:r>
          </w:p>
        </w:tc>
        <w:tc>
          <w:tcPr>
            <w:tcW w:w="1701" w:type="dxa"/>
            <w:tcBorders>
              <w:top w:val="nil"/>
              <w:left w:val="nil"/>
              <w:bottom w:val="nil"/>
              <w:right w:val="nil"/>
            </w:tcBorders>
            <w:shd w:val="clear" w:color="auto" w:fill="auto"/>
            <w:vAlign w:val="bottom"/>
          </w:tcPr>
          <w:p w14:paraId="5C987911"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1.01</w:t>
            </w:r>
          </w:p>
        </w:tc>
        <w:tc>
          <w:tcPr>
            <w:tcW w:w="1985" w:type="dxa"/>
            <w:tcBorders>
              <w:top w:val="nil"/>
              <w:left w:val="nil"/>
              <w:bottom w:val="nil"/>
              <w:right w:val="nil"/>
            </w:tcBorders>
            <w:shd w:val="clear" w:color="auto" w:fill="auto"/>
            <w:vAlign w:val="bottom"/>
          </w:tcPr>
          <w:p w14:paraId="60695FA9"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0.30</w:t>
            </w:r>
          </w:p>
        </w:tc>
        <w:tc>
          <w:tcPr>
            <w:tcW w:w="1841" w:type="dxa"/>
            <w:tcBorders>
              <w:top w:val="nil"/>
              <w:left w:val="nil"/>
              <w:bottom w:val="nil"/>
              <w:right w:val="nil"/>
            </w:tcBorders>
            <w:shd w:val="clear" w:color="auto" w:fill="auto"/>
            <w:vAlign w:val="center"/>
          </w:tcPr>
          <w:p w14:paraId="4587BFBE" w14:textId="77777777" w:rsidR="00A0372F" w:rsidRPr="009E3151" w:rsidRDefault="00A0372F" w:rsidP="00A0372F">
            <w:pPr>
              <w:spacing w:after="0" w:line="240" w:lineRule="auto"/>
              <w:jc w:val="center"/>
              <w:textAlignment w:val="baseline"/>
              <w:rPr>
                <w:rFonts w:ascii="Calibri" w:eastAsia="Times New Roman" w:hAnsi="Calibri" w:cs="Calibri"/>
                <w:lang w:val="en-US" w:eastAsia="da-DK"/>
              </w:rPr>
            </w:pPr>
          </w:p>
        </w:tc>
      </w:tr>
      <w:tr w:rsidR="00A0372F" w:rsidRPr="009E3151" w14:paraId="4AB3B3A7" w14:textId="77777777" w:rsidTr="00A0372F">
        <w:trPr>
          <w:trHeight w:val="300"/>
        </w:trPr>
        <w:tc>
          <w:tcPr>
            <w:tcW w:w="1701" w:type="dxa"/>
            <w:tcBorders>
              <w:top w:val="nil"/>
              <w:left w:val="nil"/>
              <w:bottom w:val="nil"/>
              <w:right w:val="nil"/>
            </w:tcBorders>
            <w:shd w:val="clear" w:color="auto" w:fill="auto"/>
            <w:vAlign w:val="bottom"/>
          </w:tcPr>
          <w:p w14:paraId="6E2DD759" w14:textId="77777777" w:rsidR="00A0372F" w:rsidRPr="009E3151" w:rsidRDefault="00A0372F" w:rsidP="00A0372F">
            <w:pPr>
              <w:spacing w:after="0" w:line="240" w:lineRule="auto"/>
              <w:jc w:val="right"/>
              <w:textAlignment w:val="baseline"/>
              <w:rPr>
                <w:rFonts w:ascii="Calibri" w:eastAsia="Times New Roman" w:hAnsi="Calibri" w:cs="Calibri"/>
                <w:b/>
                <w:bCs/>
                <w:sz w:val="14"/>
                <w:szCs w:val="14"/>
                <w:lang w:val="en-US" w:eastAsia="da-DK"/>
              </w:rPr>
            </w:pPr>
            <w:r w:rsidRPr="009E3151">
              <w:rPr>
                <w:rFonts w:ascii="Calibri" w:eastAsia="Times New Roman" w:hAnsi="Calibri" w:cs="Calibri"/>
                <w:sz w:val="14"/>
                <w:szCs w:val="14"/>
                <w:lang w:val="en-US" w:eastAsia="da-DK"/>
              </w:rPr>
              <w:lastRenderedPageBreak/>
              <w:t>   20-29</w:t>
            </w:r>
          </w:p>
        </w:tc>
        <w:tc>
          <w:tcPr>
            <w:tcW w:w="2410" w:type="dxa"/>
            <w:tcBorders>
              <w:top w:val="nil"/>
              <w:left w:val="nil"/>
              <w:bottom w:val="nil"/>
              <w:right w:val="nil"/>
            </w:tcBorders>
            <w:shd w:val="clear" w:color="auto" w:fill="auto"/>
            <w:vAlign w:val="bottom"/>
          </w:tcPr>
          <w:p w14:paraId="6FAB66BE"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0.65</w:t>
            </w:r>
          </w:p>
        </w:tc>
        <w:tc>
          <w:tcPr>
            <w:tcW w:w="1701" w:type="dxa"/>
            <w:tcBorders>
              <w:top w:val="nil"/>
              <w:left w:val="nil"/>
              <w:bottom w:val="nil"/>
              <w:right w:val="nil"/>
            </w:tcBorders>
            <w:shd w:val="clear" w:color="auto" w:fill="auto"/>
            <w:vAlign w:val="bottom"/>
          </w:tcPr>
          <w:p w14:paraId="1D917924"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1.37</w:t>
            </w:r>
          </w:p>
        </w:tc>
        <w:tc>
          <w:tcPr>
            <w:tcW w:w="1985" w:type="dxa"/>
            <w:tcBorders>
              <w:top w:val="nil"/>
              <w:left w:val="nil"/>
              <w:bottom w:val="nil"/>
              <w:right w:val="nil"/>
            </w:tcBorders>
            <w:shd w:val="clear" w:color="auto" w:fill="auto"/>
            <w:vAlign w:val="bottom"/>
          </w:tcPr>
          <w:p w14:paraId="70E12621"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0.48</w:t>
            </w:r>
          </w:p>
        </w:tc>
        <w:tc>
          <w:tcPr>
            <w:tcW w:w="1841" w:type="dxa"/>
            <w:tcBorders>
              <w:top w:val="nil"/>
              <w:left w:val="nil"/>
              <w:bottom w:val="nil"/>
              <w:right w:val="nil"/>
            </w:tcBorders>
            <w:shd w:val="clear" w:color="auto" w:fill="auto"/>
            <w:vAlign w:val="center"/>
          </w:tcPr>
          <w:p w14:paraId="0880A7D8" w14:textId="77777777" w:rsidR="00A0372F" w:rsidRPr="009E3151" w:rsidRDefault="00A0372F" w:rsidP="00A0372F">
            <w:pPr>
              <w:spacing w:after="0" w:line="240" w:lineRule="auto"/>
              <w:jc w:val="center"/>
              <w:textAlignment w:val="baseline"/>
              <w:rPr>
                <w:rFonts w:ascii="Calibri" w:eastAsia="Times New Roman" w:hAnsi="Calibri" w:cs="Calibri"/>
                <w:lang w:val="en-US" w:eastAsia="da-DK"/>
              </w:rPr>
            </w:pPr>
          </w:p>
        </w:tc>
      </w:tr>
      <w:tr w:rsidR="00A0372F" w:rsidRPr="009E3151" w14:paraId="5624C2D1" w14:textId="77777777" w:rsidTr="00A0372F">
        <w:trPr>
          <w:trHeight w:val="300"/>
        </w:trPr>
        <w:tc>
          <w:tcPr>
            <w:tcW w:w="1701" w:type="dxa"/>
            <w:tcBorders>
              <w:top w:val="nil"/>
              <w:left w:val="nil"/>
              <w:bottom w:val="nil"/>
              <w:right w:val="nil"/>
            </w:tcBorders>
            <w:shd w:val="clear" w:color="auto" w:fill="auto"/>
            <w:vAlign w:val="bottom"/>
          </w:tcPr>
          <w:p w14:paraId="6AFFF19F" w14:textId="77777777" w:rsidR="00A0372F" w:rsidRPr="009E3151" w:rsidRDefault="00A0372F" w:rsidP="00A0372F">
            <w:pPr>
              <w:spacing w:after="0" w:line="240" w:lineRule="auto"/>
              <w:jc w:val="right"/>
              <w:textAlignment w:val="baseline"/>
              <w:rPr>
                <w:rFonts w:ascii="Calibri" w:eastAsia="Times New Roman" w:hAnsi="Calibri" w:cs="Calibri"/>
                <w:b/>
                <w:bCs/>
                <w:sz w:val="14"/>
                <w:szCs w:val="14"/>
                <w:lang w:val="en-US" w:eastAsia="da-DK"/>
              </w:rPr>
            </w:pPr>
            <w:r w:rsidRPr="009E3151">
              <w:rPr>
                <w:rFonts w:ascii="Calibri" w:eastAsia="Times New Roman" w:hAnsi="Calibri" w:cs="Calibri"/>
                <w:sz w:val="14"/>
                <w:szCs w:val="14"/>
                <w:lang w:val="en-US" w:eastAsia="da-DK"/>
              </w:rPr>
              <w:t>   30-39</w:t>
            </w:r>
          </w:p>
        </w:tc>
        <w:tc>
          <w:tcPr>
            <w:tcW w:w="2410" w:type="dxa"/>
            <w:tcBorders>
              <w:top w:val="nil"/>
              <w:left w:val="nil"/>
              <w:bottom w:val="nil"/>
              <w:right w:val="nil"/>
            </w:tcBorders>
            <w:shd w:val="clear" w:color="auto" w:fill="auto"/>
            <w:vAlign w:val="bottom"/>
          </w:tcPr>
          <w:p w14:paraId="77E54670"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0.66</w:t>
            </w:r>
          </w:p>
        </w:tc>
        <w:tc>
          <w:tcPr>
            <w:tcW w:w="1701" w:type="dxa"/>
            <w:tcBorders>
              <w:top w:val="nil"/>
              <w:left w:val="nil"/>
              <w:bottom w:val="nil"/>
              <w:right w:val="nil"/>
            </w:tcBorders>
            <w:shd w:val="clear" w:color="auto" w:fill="auto"/>
            <w:vAlign w:val="bottom"/>
          </w:tcPr>
          <w:p w14:paraId="31CC2343"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1.43</w:t>
            </w:r>
          </w:p>
        </w:tc>
        <w:tc>
          <w:tcPr>
            <w:tcW w:w="1985" w:type="dxa"/>
            <w:tcBorders>
              <w:top w:val="nil"/>
              <w:left w:val="nil"/>
              <w:bottom w:val="nil"/>
              <w:right w:val="nil"/>
            </w:tcBorders>
            <w:shd w:val="clear" w:color="auto" w:fill="auto"/>
            <w:vAlign w:val="bottom"/>
          </w:tcPr>
          <w:p w14:paraId="7F717C74"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0.50</w:t>
            </w:r>
          </w:p>
        </w:tc>
        <w:tc>
          <w:tcPr>
            <w:tcW w:w="1841" w:type="dxa"/>
            <w:tcBorders>
              <w:top w:val="nil"/>
              <w:left w:val="nil"/>
              <w:bottom w:val="nil"/>
              <w:right w:val="nil"/>
            </w:tcBorders>
            <w:shd w:val="clear" w:color="auto" w:fill="auto"/>
            <w:vAlign w:val="center"/>
          </w:tcPr>
          <w:p w14:paraId="3FC07A68" w14:textId="77777777" w:rsidR="00A0372F" w:rsidRPr="009E3151" w:rsidRDefault="00A0372F" w:rsidP="00A0372F">
            <w:pPr>
              <w:spacing w:after="0" w:line="240" w:lineRule="auto"/>
              <w:jc w:val="center"/>
              <w:textAlignment w:val="baseline"/>
              <w:rPr>
                <w:rFonts w:ascii="Calibri" w:eastAsia="Times New Roman" w:hAnsi="Calibri" w:cs="Calibri"/>
                <w:lang w:val="en-US" w:eastAsia="da-DK"/>
              </w:rPr>
            </w:pPr>
          </w:p>
        </w:tc>
      </w:tr>
      <w:tr w:rsidR="00A0372F" w:rsidRPr="009E3151" w14:paraId="6FA5031D" w14:textId="77777777" w:rsidTr="00A0372F">
        <w:trPr>
          <w:trHeight w:val="300"/>
        </w:trPr>
        <w:tc>
          <w:tcPr>
            <w:tcW w:w="1701" w:type="dxa"/>
            <w:tcBorders>
              <w:top w:val="nil"/>
              <w:left w:val="nil"/>
              <w:bottom w:val="nil"/>
              <w:right w:val="nil"/>
            </w:tcBorders>
            <w:shd w:val="clear" w:color="auto" w:fill="auto"/>
            <w:vAlign w:val="bottom"/>
          </w:tcPr>
          <w:p w14:paraId="5B52C05D" w14:textId="77777777" w:rsidR="00A0372F" w:rsidRPr="009E3151" w:rsidRDefault="00A0372F" w:rsidP="00A0372F">
            <w:pPr>
              <w:spacing w:after="0" w:line="240" w:lineRule="auto"/>
              <w:jc w:val="right"/>
              <w:textAlignment w:val="baseline"/>
              <w:rPr>
                <w:rFonts w:ascii="Calibri" w:eastAsia="Times New Roman" w:hAnsi="Calibri" w:cs="Calibri"/>
                <w:b/>
                <w:bCs/>
                <w:sz w:val="14"/>
                <w:szCs w:val="14"/>
                <w:lang w:val="en-US" w:eastAsia="da-DK"/>
              </w:rPr>
            </w:pPr>
            <w:r w:rsidRPr="009E3151">
              <w:rPr>
                <w:rFonts w:ascii="Calibri" w:eastAsia="Times New Roman" w:hAnsi="Calibri" w:cs="Calibri"/>
                <w:sz w:val="14"/>
                <w:szCs w:val="14"/>
                <w:lang w:val="en-US" w:eastAsia="da-DK"/>
              </w:rPr>
              <w:t>   40-49</w:t>
            </w:r>
          </w:p>
        </w:tc>
        <w:tc>
          <w:tcPr>
            <w:tcW w:w="2410" w:type="dxa"/>
            <w:tcBorders>
              <w:top w:val="nil"/>
              <w:left w:val="nil"/>
              <w:bottom w:val="nil"/>
              <w:right w:val="nil"/>
            </w:tcBorders>
            <w:shd w:val="clear" w:color="auto" w:fill="auto"/>
            <w:vAlign w:val="bottom"/>
          </w:tcPr>
          <w:p w14:paraId="10AA93F8"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0.59</w:t>
            </w:r>
          </w:p>
        </w:tc>
        <w:tc>
          <w:tcPr>
            <w:tcW w:w="1701" w:type="dxa"/>
            <w:tcBorders>
              <w:top w:val="nil"/>
              <w:left w:val="nil"/>
              <w:bottom w:val="nil"/>
              <w:right w:val="nil"/>
            </w:tcBorders>
            <w:shd w:val="clear" w:color="auto" w:fill="auto"/>
            <w:vAlign w:val="bottom"/>
          </w:tcPr>
          <w:p w14:paraId="7AFB3EF2"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1.26</w:t>
            </w:r>
          </w:p>
        </w:tc>
        <w:tc>
          <w:tcPr>
            <w:tcW w:w="1985" w:type="dxa"/>
            <w:tcBorders>
              <w:top w:val="nil"/>
              <w:left w:val="nil"/>
              <w:bottom w:val="nil"/>
              <w:right w:val="nil"/>
            </w:tcBorders>
            <w:shd w:val="clear" w:color="auto" w:fill="auto"/>
            <w:vAlign w:val="bottom"/>
          </w:tcPr>
          <w:p w14:paraId="13AAD06A"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0.47</w:t>
            </w:r>
          </w:p>
        </w:tc>
        <w:tc>
          <w:tcPr>
            <w:tcW w:w="1841" w:type="dxa"/>
            <w:tcBorders>
              <w:top w:val="nil"/>
              <w:left w:val="nil"/>
              <w:bottom w:val="nil"/>
              <w:right w:val="nil"/>
            </w:tcBorders>
            <w:shd w:val="clear" w:color="auto" w:fill="auto"/>
            <w:vAlign w:val="center"/>
          </w:tcPr>
          <w:p w14:paraId="1B0A27C9" w14:textId="77777777" w:rsidR="00A0372F" w:rsidRPr="009E3151" w:rsidRDefault="00A0372F" w:rsidP="00A0372F">
            <w:pPr>
              <w:spacing w:after="0" w:line="240" w:lineRule="auto"/>
              <w:jc w:val="center"/>
              <w:textAlignment w:val="baseline"/>
              <w:rPr>
                <w:rFonts w:ascii="Calibri" w:eastAsia="Times New Roman" w:hAnsi="Calibri" w:cs="Calibri"/>
                <w:lang w:val="en-US" w:eastAsia="da-DK"/>
              </w:rPr>
            </w:pPr>
          </w:p>
        </w:tc>
      </w:tr>
      <w:tr w:rsidR="00A0372F" w:rsidRPr="009E3151" w14:paraId="1D971C9B" w14:textId="77777777" w:rsidTr="00A0372F">
        <w:trPr>
          <w:trHeight w:val="300"/>
        </w:trPr>
        <w:tc>
          <w:tcPr>
            <w:tcW w:w="1701" w:type="dxa"/>
            <w:tcBorders>
              <w:top w:val="nil"/>
              <w:left w:val="nil"/>
              <w:bottom w:val="nil"/>
              <w:right w:val="nil"/>
            </w:tcBorders>
            <w:shd w:val="clear" w:color="auto" w:fill="auto"/>
            <w:vAlign w:val="bottom"/>
          </w:tcPr>
          <w:p w14:paraId="2875591C" w14:textId="77777777" w:rsidR="00A0372F" w:rsidRPr="009E3151" w:rsidRDefault="00A0372F" w:rsidP="00A0372F">
            <w:pPr>
              <w:spacing w:after="0" w:line="240" w:lineRule="auto"/>
              <w:jc w:val="right"/>
              <w:textAlignment w:val="baseline"/>
              <w:rPr>
                <w:rFonts w:ascii="Calibri" w:eastAsia="Times New Roman" w:hAnsi="Calibri" w:cs="Calibri"/>
                <w:b/>
                <w:bCs/>
                <w:sz w:val="14"/>
                <w:szCs w:val="14"/>
                <w:lang w:val="en-US" w:eastAsia="da-DK"/>
              </w:rPr>
            </w:pPr>
            <w:r w:rsidRPr="009E3151">
              <w:rPr>
                <w:rFonts w:ascii="Calibri" w:eastAsia="Times New Roman" w:hAnsi="Calibri" w:cs="Calibri"/>
                <w:sz w:val="14"/>
                <w:szCs w:val="14"/>
                <w:lang w:val="en-US" w:eastAsia="da-DK"/>
              </w:rPr>
              <w:t>   50-59</w:t>
            </w:r>
          </w:p>
        </w:tc>
        <w:tc>
          <w:tcPr>
            <w:tcW w:w="2410" w:type="dxa"/>
            <w:tcBorders>
              <w:top w:val="nil"/>
              <w:left w:val="nil"/>
              <w:bottom w:val="nil"/>
              <w:right w:val="nil"/>
            </w:tcBorders>
            <w:shd w:val="clear" w:color="auto" w:fill="auto"/>
            <w:vAlign w:val="bottom"/>
          </w:tcPr>
          <w:p w14:paraId="38E85E77"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0.43</w:t>
            </w:r>
          </w:p>
        </w:tc>
        <w:tc>
          <w:tcPr>
            <w:tcW w:w="1701" w:type="dxa"/>
            <w:tcBorders>
              <w:top w:val="nil"/>
              <w:left w:val="nil"/>
              <w:bottom w:val="nil"/>
              <w:right w:val="nil"/>
            </w:tcBorders>
            <w:shd w:val="clear" w:color="auto" w:fill="auto"/>
            <w:vAlign w:val="bottom"/>
          </w:tcPr>
          <w:p w14:paraId="457CC629"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1.18</w:t>
            </w:r>
          </w:p>
        </w:tc>
        <w:tc>
          <w:tcPr>
            <w:tcW w:w="1985" w:type="dxa"/>
            <w:tcBorders>
              <w:top w:val="nil"/>
              <w:left w:val="nil"/>
              <w:bottom w:val="nil"/>
              <w:right w:val="nil"/>
            </w:tcBorders>
            <w:shd w:val="clear" w:color="auto" w:fill="auto"/>
            <w:vAlign w:val="bottom"/>
          </w:tcPr>
          <w:p w14:paraId="5ECADEF2"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hAnsi="Calibri" w:cs="Calibri"/>
                <w:color w:val="000000"/>
                <w:sz w:val="14"/>
                <w:szCs w:val="14"/>
                <w:lang w:val="en-US"/>
              </w:rPr>
              <w:t>0.37</w:t>
            </w:r>
          </w:p>
        </w:tc>
        <w:tc>
          <w:tcPr>
            <w:tcW w:w="1841" w:type="dxa"/>
            <w:tcBorders>
              <w:top w:val="nil"/>
              <w:left w:val="nil"/>
              <w:bottom w:val="nil"/>
              <w:right w:val="nil"/>
            </w:tcBorders>
            <w:shd w:val="clear" w:color="auto" w:fill="auto"/>
            <w:vAlign w:val="center"/>
          </w:tcPr>
          <w:p w14:paraId="27D7D1C4" w14:textId="77777777" w:rsidR="00A0372F" w:rsidRPr="009E3151" w:rsidRDefault="00A0372F" w:rsidP="00A0372F">
            <w:pPr>
              <w:spacing w:after="0" w:line="240" w:lineRule="auto"/>
              <w:jc w:val="center"/>
              <w:textAlignment w:val="baseline"/>
              <w:rPr>
                <w:rFonts w:ascii="Calibri" w:eastAsia="Times New Roman" w:hAnsi="Calibri" w:cs="Calibri"/>
                <w:lang w:val="en-US" w:eastAsia="da-DK"/>
              </w:rPr>
            </w:pPr>
          </w:p>
        </w:tc>
      </w:tr>
      <w:tr w:rsidR="00A0372F" w:rsidRPr="009E3151" w14:paraId="2E8BEFA4" w14:textId="77777777" w:rsidTr="00A0372F">
        <w:trPr>
          <w:trHeight w:val="300"/>
        </w:trPr>
        <w:tc>
          <w:tcPr>
            <w:tcW w:w="1701" w:type="dxa"/>
            <w:tcBorders>
              <w:top w:val="nil"/>
              <w:left w:val="nil"/>
              <w:bottom w:val="nil"/>
              <w:right w:val="nil"/>
            </w:tcBorders>
            <w:shd w:val="clear" w:color="auto" w:fill="auto"/>
            <w:vAlign w:val="bottom"/>
          </w:tcPr>
          <w:p w14:paraId="493115F6" w14:textId="77777777" w:rsidR="00A0372F" w:rsidRPr="009E3151" w:rsidRDefault="00A0372F" w:rsidP="00A0372F">
            <w:pPr>
              <w:spacing w:after="0" w:line="240" w:lineRule="auto"/>
              <w:jc w:val="right"/>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60-69</w:t>
            </w:r>
          </w:p>
        </w:tc>
        <w:tc>
          <w:tcPr>
            <w:tcW w:w="2410" w:type="dxa"/>
            <w:tcBorders>
              <w:top w:val="nil"/>
              <w:left w:val="nil"/>
              <w:bottom w:val="nil"/>
              <w:right w:val="nil"/>
            </w:tcBorders>
            <w:shd w:val="clear" w:color="auto" w:fill="auto"/>
            <w:vAlign w:val="bottom"/>
          </w:tcPr>
          <w:p w14:paraId="7B246C49"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0.37</w:t>
            </w:r>
          </w:p>
        </w:tc>
        <w:tc>
          <w:tcPr>
            <w:tcW w:w="1701" w:type="dxa"/>
            <w:tcBorders>
              <w:top w:val="nil"/>
              <w:left w:val="nil"/>
              <w:bottom w:val="nil"/>
              <w:right w:val="nil"/>
            </w:tcBorders>
            <w:shd w:val="clear" w:color="auto" w:fill="auto"/>
            <w:vAlign w:val="bottom"/>
          </w:tcPr>
          <w:p w14:paraId="3F5B1844"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1.49</w:t>
            </w:r>
          </w:p>
        </w:tc>
        <w:tc>
          <w:tcPr>
            <w:tcW w:w="1985" w:type="dxa"/>
            <w:tcBorders>
              <w:top w:val="nil"/>
              <w:left w:val="nil"/>
              <w:bottom w:val="nil"/>
              <w:right w:val="nil"/>
            </w:tcBorders>
            <w:shd w:val="clear" w:color="auto" w:fill="auto"/>
            <w:vAlign w:val="bottom"/>
          </w:tcPr>
          <w:p w14:paraId="24BECA56"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0.34</w:t>
            </w:r>
          </w:p>
        </w:tc>
        <w:tc>
          <w:tcPr>
            <w:tcW w:w="1841" w:type="dxa"/>
            <w:tcBorders>
              <w:top w:val="nil"/>
              <w:left w:val="nil"/>
              <w:bottom w:val="nil"/>
              <w:right w:val="nil"/>
            </w:tcBorders>
            <w:shd w:val="clear" w:color="auto" w:fill="auto"/>
            <w:vAlign w:val="center"/>
          </w:tcPr>
          <w:p w14:paraId="466512B8" w14:textId="77777777" w:rsidR="00A0372F" w:rsidRPr="009E3151" w:rsidRDefault="00A0372F" w:rsidP="00A0372F">
            <w:pPr>
              <w:spacing w:after="0" w:line="240" w:lineRule="auto"/>
              <w:jc w:val="center"/>
              <w:textAlignment w:val="baseline"/>
              <w:rPr>
                <w:rFonts w:ascii="Calibri" w:eastAsia="Times New Roman" w:hAnsi="Calibri" w:cs="Calibri"/>
                <w:color w:val="000000"/>
                <w:sz w:val="14"/>
                <w:szCs w:val="14"/>
                <w:lang w:val="en-US" w:eastAsia="da-DK"/>
              </w:rPr>
            </w:pPr>
            <w:r w:rsidRPr="009E3151">
              <w:rPr>
                <w:rFonts w:ascii="Calibri" w:eastAsia="Times New Roman" w:hAnsi="Calibri" w:cs="Calibri"/>
                <w:lang w:val="en-US" w:eastAsia="da-DK"/>
              </w:rPr>
              <w:t> </w:t>
            </w:r>
          </w:p>
        </w:tc>
      </w:tr>
      <w:tr w:rsidR="00A0372F" w:rsidRPr="009E3151" w14:paraId="5B38C0D1" w14:textId="77777777" w:rsidTr="00A0372F">
        <w:trPr>
          <w:trHeight w:val="300"/>
        </w:trPr>
        <w:tc>
          <w:tcPr>
            <w:tcW w:w="1701" w:type="dxa"/>
            <w:tcBorders>
              <w:top w:val="nil"/>
              <w:left w:val="nil"/>
              <w:bottom w:val="nil"/>
              <w:right w:val="nil"/>
            </w:tcBorders>
            <w:shd w:val="clear" w:color="auto" w:fill="auto"/>
            <w:vAlign w:val="bottom"/>
          </w:tcPr>
          <w:p w14:paraId="49753567" w14:textId="77777777" w:rsidR="00A0372F" w:rsidRPr="009E3151" w:rsidRDefault="00A0372F" w:rsidP="00A0372F">
            <w:pPr>
              <w:spacing w:after="0" w:line="240" w:lineRule="auto"/>
              <w:jc w:val="right"/>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   70-79</w:t>
            </w:r>
          </w:p>
        </w:tc>
        <w:tc>
          <w:tcPr>
            <w:tcW w:w="2410" w:type="dxa"/>
            <w:tcBorders>
              <w:top w:val="nil"/>
              <w:left w:val="nil"/>
              <w:bottom w:val="nil"/>
              <w:right w:val="nil"/>
            </w:tcBorders>
            <w:shd w:val="clear" w:color="auto" w:fill="auto"/>
            <w:vAlign w:val="bottom"/>
          </w:tcPr>
          <w:p w14:paraId="308E8D8E"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0.23</w:t>
            </w:r>
          </w:p>
        </w:tc>
        <w:tc>
          <w:tcPr>
            <w:tcW w:w="1701" w:type="dxa"/>
            <w:tcBorders>
              <w:top w:val="nil"/>
              <w:left w:val="nil"/>
              <w:bottom w:val="nil"/>
              <w:right w:val="nil"/>
            </w:tcBorders>
            <w:shd w:val="clear" w:color="auto" w:fill="auto"/>
            <w:vAlign w:val="bottom"/>
          </w:tcPr>
          <w:p w14:paraId="67D951F5"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0.97</w:t>
            </w:r>
          </w:p>
        </w:tc>
        <w:tc>
          <w:tcPr>
            <w:tcW w:w="1985" w:type="dxa"/>
            <w:tcBorders>
              <w:top w:val="nil"/>
              <w:left w:val="nil"/>
              <w:bottom w:val="nil"/>
              <w:right w:val="nil"/>
            </w:tcBorders>
            <w:shd w:val="clear" w:color="auto" w:fill="auto"/>
            <w:vAlign w:val="bottom"/>
          </w:tcPr>
          <w:p w14:paraId="172A07E3"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0.22</w:t>
            </w:r>
          </w:p>
        </w:tc>
        <w:tc>
          <w:tcPr>
            <w:tcW w:w="1841" w:type="dxa"/>
            <w:tcBorders>
              <w:top w:val="nil"/>
              <w:left w:val="nil"/>
              <w:bottom w:val="nil"/>
              <w:right w:val="nil"/>
            </w:tcBorders>
            <w:shd w:val="clear" w:color="auto" w:fill="auto"/>
            <w:vAlign w:val="center"/>
          </w:tcPr>
          <w:p w14:paraId="427D47D0" w14:textId="77777777" w:rsidR="00A0372F" w:rsidRPr="009E3151" w:rsidRDefault="00A0372F" w:rsidP="00A0372F">
            <w:pPr>
              <w:spacing w:after="0" w:line="240" w:lineRule="auto"/>
              <w:jc w:val="center"/>
              <w:textAlignment w:val="baseline"/>
              <w:rPr>
                <w:rFonts w:ascii="Calibri" w:eastAsia="Times New Roman" w:hAnsi="Calibri" w:cs="Calibri"/>
                <w:color w:val="000000"/>
                <w:sz w:val="14"/>
                <w:szCs w:val="14"/>
                <w:lang w:val="en-US" w:eastAsia="da-DK"/>
              </w:rPr>
            </w:pPr>
            <w:r w:rsidRPr="009E3151">
              <w:rPr>
                <w:rFonts w:ascii="Calibri" w:eastAsia="Times New Roman" w:hAnsi="Calibri" w:cs="Calibri"/>
                <w:color w:val="000000"/>
                <w:sz w:val="18"/>
                <w:szCs w:val="18"/>
                <w:lang w:val="en-US" w:eastAsia="da-DK"/>
              </w:rPr>
              <w:t>  </w:t>
            </w:r>
          </w:p>
        </w:tc>
      </w:tr>
      <w:tr w:rsidR="00A0372F" w:rsidRPr="009E3151" w14:paraId="165CD220" w14:textId="77777777" w:rsidTr="00963E3D">
        <w:trPr>
          <w:trHeight w:val="300"/>
        </w:trPr>
        <w:tc>
          <w:tcPr>
            <w:tcW w:w="1701" w:type="dxa"/>
            <w:tcBorders>
              <w:top w:val="nil"/>
              <w:left w:val="nil"/>
              <w:bottom w:val="nil"/>
              <w:right w:val="nil"/>
            </w:tcBorders>
            <w:shd w:val="clear" w:color="auto" w:fill="auto"/>
            <w:vAlign w:val="bottom"/>
          </w:tcPr>
          <w:p w14:paraId="2B49EBFE" w14:textId="77777777" w:rsidR="00A0372F" w:rsidRPr="009E3151" w:rsidRDefault="00A0372F" w:rsidP="00A0372F">
            <w:pPr>
              <w:spacing w:after="0" w:line="240" w:lineRule="auto"/>
              <w:jc w:val="right"/>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   &gt;80</w:t>
            </w:r>
          </w:p>
        </w:tc>
        <w:tc>
          <w:tcPr>
            <w:tcW w:w="2410" w:type="dxa"/>
            <w:tcBorders>
              <w:top w:val="nil"/>
              <w:left w:val="nil"/>
              <w:bottom w:val="nil"/>
              <w:right w:val="nil"/>
            </w:tcBorders>
            <w:shd w:val="clear" w:color="auto" w:fill="auto"/>
            <w:vAlign w:val="bottom"/>
          </w:tcPr>
          <w:p w14:paraId="4DEF2F7D"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0.10</w:t>
            </w:r>
          </w:p>
        </w:tc>
        <w:tc>
          <w:tcPr>
            <w:tcW w:w="1701" w:type="dxa"/>
            <w:tcBorders>
              <w:top w:val="nil"/>
              <w:left w:val="nil"/>
              <w:bottom w:val="nil"/>
              <w:right w:val="nil"/>
            </w:tcBorders>
            <w:shd w:val="clear" w:color="auto" w:fill="auto"/>
            <w:vAlign w:val="bottom"/>
          </w:tcPr>
          <w:p w14:paraId="6BFD9B6F"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0.67</w:t>
            </w:r>
          </w:p>
        </w:tc>
        <w:tc>
          <w:tcPr>
            <w:tcW w:w="1985" w:type="dxa"/>
            <w:tcBorders>
              <w:top w:val="nil"/>
              <w:left w:val="nil"/>
              <w:bottom w:val="nil"/>
              <w:right w:val="nil"/>
            </w:tcBorders>
            <w:shd w:val="clear" w:color="auto" w:fill="auto"/>
            <w:vAlign w:val="bottom"/>
          </w:tcPr>
          <w:p w14:paraId="7B40E709"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0.04</w:t>
            </w:r>
          </w:p>
        </w:tc>
        <w:tc>
          <w:tcPr>
            <w:tcW w:w="1841" w:type="dxa"/>
            <w:tcBorders>
              <w:top w:val="nil"/>
              <w:left w:val="nil"/>
              <w:bottom w:val="nil"/>
              <w:right w:val="nil"/>
            </w:tcBorders>
            <w:shd w:val="clear" w:color="auto" w:fill="auto"/>
            <w:vAlign w:val="center"/>
          </w:tcPr>
          <w:p w14:paraId="03EC2BE6" w14:textId="77777777" w:rsidR="00A0372F" w:rsidRPr="009E3151" w:rsidRDefault="00A0372F" w:rsidP="00A0372F">
            <w:pPr>
              <w:spacing w:after="0" w:line="240" w:lineRule="auto"/>
              <w:jc w:val="center"/>
              <w:textAlignment w:val="baseline"/>
              <w:rPr>
                <w:rFonts w:ascii="Calibri" w:eastAsia="Times New Roman" w:hAnsi="Calibri" w:cs="Calibri"/>
                <w:color w:val="000000"/>
                <w:sz w:val="14"/>
                <w:szCs w:val="14"/>
                <w:lang w:val="en-US" w:eastAsia="da-DK"/>
              </w:rPr>
            </w:pPr>
            <w:r w:rsidRPr="009E3151">
              <w:rPr>
                <w:rFonts w:ascii="Calibri" w:eastAsia="Times New Roman" w:hAnsi="Calibri" w:cs="Calibri"/>
                <w:color w:val="000000"/>
                <w:sz w:val="18"/>
                <w:szCs w:val="18"/>
                <w:lang w:val="en-US" w:eastAsia="da-DK"/>
              </w:rPr>
              <w:t>  </w:t>
            </w:r>
          </w:p>
        </w:tc>
      </w:tr>
      <w:tr w:rsidR="00A0372F" w:rsidRPr="009E3151" w14:paraId="280046CB" w14:textId="77777777" w:rsidTr="00963E3D">
        <w:trPr>
          <w:trHeight w:val="300"/>
        </w:trPr>
        <w:tc>
          <w:tcPr>
            <w:tcW w:w="1701" w:type="dxa"/>
            <w:tcBorders>
              <w:top w:val="single" w:sz="4" w:space="0" w:color="auto"/>
              <w:left w:val="nil"/>
              <w:bottom w:val="nil"/>
              <w:right w:val="nil"/>
            </w:tcBorders>
            <w:shd w:val="clear" w:color="auto" w:fill="auto"/>
            <w:vAlign w:val="center"/>
          </w:tcPr>
          <w:p w14:paraId="3D065A02" w14:textId="77777777" w:rsidR="00A0372F" w:rsidRPr="009E3151" w:rsidRDefault="00A0372F" w:rsidP="00A0372F">
            <w:pPr>
              <w:spacing w:after="0" w:line="240" w:lineRule="auto"/>
              <w:jc w:val="center"/>
              <w:textAlignment w:val="baseline"/>
              <w:rPr>
                <w:rFonts w:ascii="Calibri" w:eastAsia="Times New Roman" w:hAnsi="Calibri" w:cs="Calibri"/>
                <w:b/>
                <w:bCs/>
                <w:color w:val="000000"/>
                <w:sz w:val="14"/>
                <w:szCs w:val="14"/>
                <w:lang w:val="en-US" w:eastAsia="da-DK"/>
              </w:rPr>
            </w:pPr>
            <w:r w:rsidRPr="009E3151">
              <w:rPr>
                <w:rFonts w:ascii="Calibri" w:eastAsia="Times New Roman" w:hAnsi="Calibri" w:cs="Calibri"/>
                <w:b/>
                <w:bCs/>
                <w:color w:val="000000"/>
                <w:sz w:val="14"/>
                <w:szCs w:val="14"/>
                <w:lang w:val="en-US" w:eastAsia="da-DK"/>
              </w:rPr>
              <w:t>Households</w:t>
            </w:r>
          </w:p>
        </w:tc>
        <w:tc>
          <w:tcPr>
            <w:tcW w:w="2410" w:type="dxa"/>
            <w:tcBorders>
              <w:top w:val="single" w:sz="4" w:space="0" w:color="auto"/>
              <w:left w:val="nil"/>
              <w:bottom w:val="nil"/>
              <w:right w:val="nil"/>
            </w:tcBorders>
            <w:shd w:val="clear" w:color="auto" w:fill="auto"/>
            <w:vAlign w:val="center"/>
          </w:tcPr>
          <w:p w14:paraId="37B7CBE7" w14:textId="77777777" w:rsidR="00A0372F" w:rsidRPr="009E3151" w:rsidRDefault="00A0372F" w:rsidP="00A0372F">
            <w:pPr>
              <w:spacing w:after="0" w:line="240" w:lineRule="auto"/>
              <w:jc w:val="center"/>
              <w:textAlignment w:val="baseline"/>
              <w:rPr>
                <w:rFonts w:ascii="Calibri" w:eastAsia="Times New Roman" w:hAnsi="Calibri" w:cs="Calibri"/>
                <w:color w:val="000000"/>
                <w:sz w:val="14"/>
                <w:szCs w:val="14"/>
                <w:lang w:val="en-US" w:eastAsia="da-DK"/>
              </w:rPr>
            </w:pPr>
            <w:r w:rsidRPr="009E3151">
              <w:rPr>
                <w:rFonts w:ascii="Calibri" w:eastAsia="Times New Roman" w:hAnsi="Calibri" w:cs="Calibri"/>
                <w:color w:val="000000"/>
                <w:sz w:val="14"/>
                <w:szCs w:val="14"/>
                <w:lang w:val="en-US" w:eastAsia="da-DK"/>
              </w:rPr>
              <w:t>24400</w:t>
            </w:r>
          </w:p>
        </w:tc>
        <w:tc>
          <w:tcPr>
            <w:tcW w:w="1701" w:type="dxa"/>
            <w:tcBorders>
              <w:top w:val="single" w:sz="4" w:space="0" w:color="auto"/>
              <w:left w:val="nil"/>
              <w:bottom w:val="nil"/>
              <w:right w:val="nil"/>
            </w:tcBorders>
            <w:shd w:val="clear" w:color="auto" w:fill="auto"/>
            <w:vAlign w:val="center"/>
          </w:tcPr>
          <w:p w14:paraId="21163A35"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2410</w:t>
            </w:r>
          </w:p>
        </w:tc>
        <w:tc>
          <w:tcPr>
            <w:tcW w:w="1985" w:type="dxa"/>
            <w:tcBorders>
              <w:top w:val="single" w:sz="4" w:space="0" w:color="auto"/>
              <w:left w:val="nil"/>
              <w:bottom w:val="nil"/>
              <w:right w:val="nil"/>
            </w:tcBorders>
            <w:shd w:val="clear" w:color="auto" w:fill="auto"/>
            <w:vAlign w:val="center"/>
          </w:tcPr>
          <w:p w14:paraId="6CC3BC32" w14:textId="77777777"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sz w:val="14"/>
                <w:szCs w:val="14"/>
                <w:lang w:val="en-US" w:eastAsia="da-DK"/>
              </w:rPr>
              <w:t>21990</w:t>
            </w:r>
          </w:p>
        </w:tc>
        <w:tc>
          <w:tcPr>
            <w:tcW w:w="1841" w:type="dxa"/>
            <w:tcBorders>
              <w:top w:val="nil"/>
              <w:left w:val="nil"/>
              <w:bottom w:val="nil"/>
              <w:right w:val="nil"/>
            </w:tcBorders>
            <w:shd w:val="clear" w:color="auto" w:fill="auto"/>
            <w:vAlign w:val="center"/>
          </w:tcPr>
          <w:p w14:paraId="2C17CC2B" w14:textId="77777777" w:rsidR="00A0372F" w:rsidRPr="009E3151" w:rsidRDefault="00A0372F" w:rsidP="00A0372F">
            <w:pPr>
              <w:spacing w:after="0" w:line="240" w:lineRule="auto"/>
              <w:jc w:val="center"/>
              <w:textAlignment w:val="baseline"/>
              <w:rPr>
                <w:rFonts w:ascii="Calibri" w:eastAsia="Times New Roman" w:hAnsi="Calibri" w:cs="Calibri"/>
                <w:color w:val="000000"/>
                <w:sz w:val="18"/>
                <w:szCs w:val="18"/>
                <w:lang w:val="en-US" w:eastAsia="da-DK"/>
              </w:rPr>
            </w:pPr>
          </w:p>
        </w:tc>
      </w:tr>
      <w:tr w:rsidR="00A0372F" w:rsidRPr="009E3151" w14:paraId="10E3BF6E" w14:textId="77777777" w:rsidTr="00A0372F">
        <w:trPr>
          <w:trHeight w:val="300"/>
        </w:trPr>
        <w:tc>
          <w:tcPr>
            <w:tcW w:w="1701" w:type="dxa"/>
            <w:tcBorders>
              <w:top w:val="nil"/>
              <w:left w:val="nil"/>
              <w:bottom w:val="nil"/>
              <w:right w:val="nil"/>
            </w:tcBorders>
            <w:shd w:val="clear" w:color="auto" w:fill="auto"/>
            <w:vAlign w:val="center"/>
          </w:tcPr>
          <w:p w14:paraId="2DA8A3ED" w14:textId="5BC1D398" w:rsidR="00A0372F" w:rsidRPr="009E3151" w:rsidRDefault="00A0372F" w:rsidP="00A0372F">
            <w:pPr>
              <w:spacing w:after="0" w:line="240" w:lineRule="auto"/>
              <w:jc w:val="center"/>
              <w:textAlignment w:val="baseline"/>
              <w:rPr>
                <w:rFonts w:ascii="Calibri" w:eastAsia="Times New Roman" w:hAnsi="Calibri" w:cs="Calibri"/>
                <w:sz w:val="14"/>
                <w:szCs w:val="14"/>
                <w:lang w:val="en-US" w:eastAsia="da-DK"/>
              </w:rPr>
            </w:pPr>
            <w:r w:rsidRPr="009E3151">
              <w:rPr>
                <w:rFonts w:ascii="Calibri" w:eastAsia="Times New Roman" w:hAnsi="Calibri" w:cs="Calibri"/>
                <w:b/>
                <w:bCs/>
                <w:color w:val="000000"/>
                <w:sz w:val="14"/>
                <w:szCs w:val="14"/>
                <w:lang w:val="en-US" w:eastAsia="da-DK"/>
              </w:rPr>
              <w:t>Region n (%) </w:t>
            </w:r>
            <w:r w:rsidRPr="009E3151">
              <w:rPr>
                <w:rFonts w:ascii="Calibri" w:eastAsia="Times New Roman" w:hAnsi="Calibri" w:cs="Calibri"/>
                <w:color w:val="000000"/>
                <w:sz w:val="14"/>
                <w:szCs w:val="14"/>
                <w:lang w:val="en-US" w:eastAsia="da-DK"/>
              </w:rPr>
              <w:t> </w:t>
            </w:r>
          </w:p>
        </w:tc>
        <w:tc>
          <w:tcPr>
            <w:tcW w:w="2410" w:type="dxa"/>
            <w:tcBorders>
              <w:top w:val="nil"/>
              <w:left w:val="nil"/>
              <w:bottom w:val="nil"/>
              <w:right w:val="nil"/>
            </w:tcBorders>
            <w:shd w:val="clear" w:color="auto" w:fill="auto"/>
            <w:vAlign w:val="center"/>
          </w:tcPr>
          <w:p w14:paraId="39A58E32"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eastAsia="Times New Roman" w:hAnsi="Calibri" w:cs="Calibri"/>
                <w:color w:val="000000"/>
                <w:sz w:val="14"/>
                <w:szCs w:val="14"/>
                <w:lang w:val="en-US" w:eastAsia="da-DK"/>
              </w:rPr>
              <w:t>  </w:t>
            </w:r>
          </w:p>
        </w:tc>
        <w:tc>
          <w:tcPr>
            <w:tcW w:w="1701" w:type="dxa"/>
            <w:tcBorders>
              <w:top w:val="nil"/>
              <w:left w:val="nil"/>
              <w:bottom w:val="nil"/>
              <w:right w:val="nil"/>
            </w:tcBorders>
            <w:shd w:val="clear" w:color="auto" w:fill="auto"/>
            <w:vAlign w:val="center"/>
          </w:tcPr>
          <w:p w14:paraId="1F4CD880"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eastAsia="Times New Roman" w:hAnsi="Calibri" w:cs="Calibri"/>
                <w:sz w:val="14"/>
                <w:szCs w:val="14"/>
                <w:lang w:val="en-US" w:eastAsia="da-DK"/>
              </w:rPr>
              <w:t> </w:t>
            </w:r>
          </w:p>
        </w:tc>
        <w:tc>
          <w:tcPr>
            <w:tcW w:w="1985" w:type="dxa"/>
            <w:tcBorders>
              <w:top w:val="nil"/>
              <w:left w:val="nil"/>
              <w:bottom w:val="nil"/>
              <w:right w:val="nil"/>
            </w:tcBorders>
            <w:shd w:val="clear" w:color="auto" w:fill="auto"/>
            <w:vAlign w:val="center"/>
          </w:tcPr>
          <w:p w14:paraId="621A7326"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eastAsia="Times New Roman" w:hAnsi="Calibri" w:cs="Calibri"/>
                <w:sz w:val="14"/>
                <w:szCs w:val="14"/>
                <w:lang w:val="en-US" w:eastAsia="da-DK"/>
              </w:rPr>
              <w:t> </w:t>
            </w:r>
          </w:p>
        </w:tc>
        <w:tc>
          <w:tcPr>
            <w:tcW w:w="1841" w:type="dxa"/>
            <w:tcBorders>
              <w:top w:val="nil"/>
              <w:left w:val="nil"/>
              <w:bottom w:val="nil"/>
              <w:right w:val="nil"/>
            </w:tcBorders>
            <w:shd w:val="clear" w:color="auto" w:fill="auto"/>
            <w:vAlign w:val="center"/>
          </w:tcPr>
          <w:p w14:paraId="2BC0720A" w14:textId="77777777" w:rsidR="00A0372F" w:rsidRPr="009E3151" w:rsidRDefault="00A0372F" w:rsidP="00A0372F">
            <w:pPr>
              <w:spacing w:after="0" w:line="240" w:lineRule="auto"/>
              <w:jc w:val="center"/>
              <w:textAlignment w:val="baseline"/>
              <w:rPr>
                <w:rFonts w:ascii="Calibri" w:eastAsia="Times New Roman" w:hAnsi="Calibri" w:cs="Calibri"/>
                <w:color w:val="000000"/>
                <w:sz w:val="14"/>
                <w:szCs w:val="14"/>
                <w:lang w:val="en-US" w:eastAsia="da-DK"/>
              </w:rPr>
            </w:pPr>
            <w:r w:rsidRPr="009E3151">
              <w:rPr>
                <w:rFonts w:ascii="Calibri" w:eastAsia="Times New Roman" w:hAnsi="Calibri" w:cs="Calibri"/>
                <w:color w:val="000000"/>
                <w:sz w:val="18"/>
                <w:szCs w:val="18"/>
                <w:lang w:val="en-US" w:eastAsia="da-DK"/>
              </w:rPr>
              <w:t>  </w:t>
            </w:r>
          </w:p>
        </w:tc>
      </w:tr>
      <w:tr w:rsidR="00A0372F" w:rsidRPr="009E3151" w14:paraId="645FE6B8" w14:textId="77777777" w:rsidTr="00A0372F">
        <w:trPr>
          <w:trHeight w:val="300"/>
        </w:trPr>
        <w:tc>
          <w:tcPr>
            <w:tcW w:w="1701" w:type="dxa"/>
            <w:tcBorders>
              <w:top w:val="nil"/>
              <w:left w:val="nil"/>
              <w:bottom w:val="nil"/>
              <w:right w:val="nil"/>
            </w:tcBorders>
            <w:shd w:val="clear" w:color="auto" w:fill="auto"/>
            <w:vAlign w:val="bottom"/>
          </w:tcPr>
          <w:p w14:paraId="0C33919E" w14:textId="77777777" w:rsidR="00A0372F" w:rsidRPr="009E3151" w:rsidRDefault="00A0372F" w:rsidP="00A0372F">
            <w:pPr>
              <w:spacing w:after="0" w:line="240" w:lineRule="auto"/>
              <w:jc w:val="right"/>
              <w:textAlignment w:val="baseline"/>
              <w:rPr>
                <w:rFonts w:ascii="Calibri" w:eastAsia="Times New Roman" w:hAnsi="Calibri" w:cs="Calibri"/>
                <w:sz w:val="14"/>
                <w:szCs w:val="14"/>
                <w:lang w:val="en-US" w:eastAsia="da-DK"/>
              </w:rPr>
            </w:pPr>
            <w:r w:rsidRPr="009E3151">
              <w:rPr>
                <w:rFonts w:ascii="Calibri" w:eastAsia="Times New Roman" w:hAnsi="Calibri" w:cs="Calibri"/>
                <w:color w:val="000000"/>
                <w:sz w:val="14"/>
                <w:szCs w:val="14"/>
                <w:lang w:val="en-US" w:eastAsia="da-DK"/>
              </w:rPr>
              <w:t>   Capital of Denmark</w:t>
            </w:r>
          </w:p>
        </w:tc>
        <w:tc>
          <w:tcPr>
            <w:tcW w:w="2410" w:type="dxa"/>
            <w:tcBorders>
              <w:top w:val="nil"/>
              <w:left w:val="nil"/>
              <w:bottom w:val="nil"/>
              <w:right w:val="nil"/>
            </w:tcBorders>
            <w:shd w:val="clear" w:color="auto" w:fill="auto"/>
            <w:vAlign w:val="bottom"/>
          </w:tcPr>
          <w:p w14:paraId="316605C8"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8277 (33.9)</w:t>
            </w:r>
          </w:p>
        </w:tc>
        <w:tc>
          <w:tcPr>
            <w:tcW w:w="1701" w:type="dxa"/>
            <w:tcBorders>
              <w:top w:val="nil"/>
              <w:left w:val="nil"/>
              <w:bottom w:val="nil"/>
              <w:right w:val="nil"/>
            </w:tcBorders>
            <w:shd w:val="clear" w:color="auto" w:fill="auto"/>
            <w:vAlign w:val="bottom"/>
          </w:tcPr>
          <w:p w14:paraId="31F8AA04"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 xml:space="preserve">1004 (41.7)  </w:t>
            </w:r>
          </w:p>
        </w:tc>
        <w:tc>
          <w:tcPr>
            <w:tcW w:w="1985" w:type="dxa"/>
            <w:tcBorders>
              <w:top w:val="nil"/>
              <w:left w:val="nil"/>
              <w:bottom w:val="nil"/>
              <w:right w:val="nil"/>
            </w:tcBorders>
            <w:shd w:val="clear" w:color="auto" w:fill="auto"/>
            <w:vAlign w:val="bottom"/>
          </w:tcPr>
          <w:p w14:paraId="2B9F258F"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 xml:space="preserve"> 7273 (33.1)</w:t>
            </w:r>
          </w:p>
        </w:tc>
        <w:tc>
          <w:tcPr>
            <w:tcW w:w="1841" w:type="dxa"/>
            <w:tcBorders>
              <w:top w:val="nil"/>
              <w:left w:val="nil"/>
              <w:bottom w:val="nil"/>
              <w:right w:val="nil"/>
            </w:tcBorders>
            <w:shd w:val="clear" w:color="auto" w:fill="auto"/>
            <w:vAlign w:val="center"/>
          </w:tcPr>
          <w:p w14:paraId="1370AB14" w14:textId="77777777" w:rsidR="00A0372F" w:rsidRPr="009E3151" w:rsidRDefault="00A0372F" w:rsidP="00A0372F">
            <w:pPr>
              <w:spacing w:after="0" w:line="240" w:lineRule="auto"/>
              <w:jc w:val="center"/>
              <w:textAlignment w:val="baseline"/>
              <w:rPr>
                <w:rFonts w:ascii="Calibri" w:eastAsia="Times New Roman" w:hAnsi="Calibri" w:cs="Calibri"/>
                <w:color w:val="000000"/>
                <w:sz w:val="14"/>
                <w:szCs w:val="14"/>
                <w:lang w:val="en-US" w:eastAsia="da-DK"/>
              </w:rPr>
            </w:pPr>
            <w:r w:rsidRPr="009E3151">
              <w:rPr>
                <w:rFonts w:ascii="Calibri" w:eastAsia="Times New Roman" w:hAnsi="Calibri" w:cs="Calibri"/>
                <w:color w:val="000000"/>
                <w:sz w:val="14"/>
                <w:szCs w:val="14"/>
                <w:lang w:val="en-US" w:eastAsia="da-DK"/>
              </w:rPr>
              <w:t> </w:t>
            </w:r>
          </w:p>
        </w:tc>
      </w:tr>
      <w:tr w:rsidR="00A0372F" w:rsidRPr="009E3151" w14:paraId="52010F0C" w14:textId="77777777" w:rsidTr="00A0372F">
        <w:trPr>
          <w:trHeight w:val="300"/>
        </w:trPr>
        <w:tc>
          <w:tcPr>
            <w:tcW w:w="1701" w:type="dxa"/>
            <w:tcBorders>
              <w:top w:val="nil"/>
              <w:left w:val="nil"/>
              <w:bottom w:val="nil"/>
              <w:right w:val="nil"/>
            </w:tcBorders>
            <w:shd w:val="clear" w:color="auto" w:fill="auto"/>
            <w:vAlign w:val="bottom"/>
          </w:tcPr>
          <w:p w14:paraId="4E23137C" w14:textId="77777777" w:rsidR="00A0372F" w:rsidRPr="009E3151" w:rsidRDefault="00A0372F" w:rsidP="00A0372F">
            <w:pPr>
              <w:spacing w:after="0" w:line="240" w:lineRule="auto"/>
              <w:jc w:val="right"/>
              <w:textAlignment w:val="baseline"/>
              <w:rPr>
                <w:rFonts w:ascii="Calibri" w:eastAsia="Times New Roman" w:hAnsi="Calibri" w:cs="Calibri"/>
                <w:sz w:val="14"/>
                <w:szCs w:val="14"/>
                <w:lang w:val="en-US" w:eastAsia="da-DK"/>
              </w:rPr>
            </w:pPr>
            <w:r w:rsidRPr="009E3151">
              <w:rPr>
                <w:rFonts w:ascii="Calibri" w:eastAsia="Times New Roman" w:hAnsi="Calibri" w:cs="Calibri"/>
                <w:color w:val="000000"/>
                <w:sz w:val="14"/>
                <w:szCs w:val="14"/>
                <w:lang w:val="en-US" w:eastAsia="da-DK"/>
              </w:rPr>
              <w:t>   Central Denmark</w:t>
            </w:r>
          </w:p>
        </w:tc>
        <w:tc>
          <w:tcPr>
            <w:tcW w:w="2410" w:type="dxa"/>
            <w:tcBorders>
              <w:top w:val="nil"/>
              <w:left w:val="nil"/>
              <w:bottom w:val="nil"/>
              <w:right w:val="nil"/>
            </w:tcBorders>
            <w:shd w:val="clear" w:color="auto" w:fill="auto"/>
            <w:vAlign w:val="bottom"/>
          </w:tcPr>
          <w:p w14:paraId="32AF5271"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5167 (21.2)</w:t>
            </w:r>
          </w:p>
        </w:tc>
        <w:tc>
          <w:tcPr>
            <w:tcW w:w="1701" w:type="dxa"/>
            <w:tcBorders>
              <w:top w:val="nil"/>
              <w:left w:val="nil"/>
              <w:bottom w:val="nil"/>
              <w:right w:val="nil"/>
            </w:tcBorders>
            <w:shd w:val="clear" w:color="auto" w:fill="auto"/>
            <w:vAlign w:val="bottom"/>
          </w:tcPr>
          <w:p w14:paraId="0AFA7D17"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313 (13.0)</w:t>
            </w:r>
          </w:p>
        </w:tc>
        <w:tc>
          <w:tcPr>
            <w:tcW w:w="1985" w:type="dxa"/>
            <w:tcBorders>
              <w:top w:val="nil"/>
              <w:left w:val="nil"/>
              <w:bottom w:val="nil"/>
              <w:right w:val="nil"/>
            </w:tcBorders>
            <w:shd w:val="clear" w:color="auto" w:fill="auto"/>
            <w:vAlign w:val="bottom"/>
          </w:tcPr>
          <w:p w14:paraId="469D8C22"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4854 (22.1)</w:t>
            </w:r>
          </w:p>
        </w:tc>
        <w:tc>
          <w:tcPr>
            <w:tcW w:w="1841" w:type="dxa"/>
            <w:tcBorders>
              <w:top w:val="nil"/>
              <w:left w:val="nil"/>
              <w:bottom w:val="nil"/>
              <w:right w:val="nil"/>
            </w:tcBorders>
            <w:shd w:val="clear" w:color="auto" w:fill="auto"/>
            <w:vAlign w:val="center"/>
          </w:tcPr>
          <w:p w14:paraId="2515D7B5" w14:textId="77777777" w:rsidR="00A0372F" w:rsidRPr="009E3151" w:rsidRDefault="00A0372F" w:rsidP="00A0372F">
            <w:pPr>
              <w:spacing w:after="0" w:line="240" w:lineRule="auto"/>
              <w:jc w:val="center"/>
              <w:textAlignment w:val="baseline"/>
              <w:rPr>
                <w:rFonts w:ascii="Calibri" w:eastAsia="Times New Roman" w:hAnsi="Calibri" w:cs="Calibri"/>
                <w:color w:val="000000"/>
                <w:sz w:val="14"/>
                <w:szCs w:val="14"/>
                <w:lang w:val="en-US" w:eastAsia="da-DK"/>
              </w:rPr>
            </w:pPr>
            <w:r w:rsidRPr="009E3151">
              <w:rPr>
                <w:rFonts w:ascii="Calibri" w:eastAsia="Times New Roman" w:hAnsi="Calibri" w:cs="Calibri"/>
                <w:color w:val="000000"/>
                <w:sz w:val="14"/>
                <w:szCs w:val="14"/>
                <w:lang w:val="en-US" w:eastAsia="da-DK"/>
              </w:rPr>
              <w:t> </w:t>
            </w:r>
          </w:p>
        </w:tc>
      </w:tr>
      <w:tr w:rsidR="00A0372F" w:rsidRPr="009E3151" w14:paraId="2A31B350" w14:textId="77777777" w:rsidTr="00A0372F">
        <w:trPr>
          <w:trHeight w:val="300"/>
        </w:trPr>
        <w:tc>
          <w:tcPr>
            <w:tcW w:w="1701" w:type="dxa"/>
            <w:tcBorders>
              <w:top w:val="nil"/>
              <w:left w:val="nil"/>
              <w:bottom w:val="nil"/>
              <w:right w:val="nil"/>
            </w:tcBorders>
            <w:shd w:val="clear" w:color="auto" w:fill="auto"/>
            <w:vAlign w:val="bottom"/>
          </w:tcPr>
          <w:p w14:paraId="0DAB2677" w14:textId="77777777" w:rsidR="00A0372F" w:rsidRPr="009E3151" w:rsidRDefault="00A0372F" w:rsidP="00A0372F">
            <w:pPr>
              <w:spacing w:after="0" w:line="240" w:lineRule="auto"/>
              <w:jc w:val="right"/>
              <w:textAlignment w:val="baseline"/>
              <w:rPr>
                <w:rFonts w:ascii="Calibri" w:eastAsia="Times New Roman" w:hAnsi="Calibri" w:cs="Calibri"/>
                <w:sz w:val="14"/>
                <w:szCs w:val="14"/>
                <w:lang w:val="en-US" w:eastAsia="da-DK"/>
              </w:rPr>
            </w:pPr>
            <w:r w:rsidRPr="009E3151">
              <w:rPr>
                <w:rFonts w:ascii="Calibri" w:eastAsia="Times New Roman" w:hAnsi="Calibri" w:cs="Calibri"/>
                <w:color w:val="000000"/>
                <w:sz w:val="14"/>
                <w:szCs w:val="14"/>
                <w:lang w:val="en-US" w:eastAsia="da-DK"/>
              </w:rPr>
              <w:t> The North Denmark</w:t>
            </w:r>
          </w:p>
        </w:tc>
        <w:tc>
          <w:tcPr>
            <w:tcW w:w="2410" w:type="dxa"/>
            <w:tcBorders>
              <w:top w:val="nil"/>
              <w:left w:val="nil"/>
              <w:bottom w:val="nil"/>
              <w:right w:val="nil"/>
            </w:tcBorders>
            <w:shd w:val="clear" w:color="auto" w:fill="auto"/>
            <w:vAlign w:val="bottom"/>
          </w:tcPr>
          <w:p w14:paraId="79EF544E"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2459 (10.1)</w:t>
            </w:r>
          </w:p>
        </w:tc>
        <w:tc>
          <w:tcPr>
            <w:tcW w:w="1701" w:type="dxa"/>
            <w:tcBorders>
              <w:top w:val="nil"/>
              <w:left w:val="nil"/>
              <w:bottom w:val="nil"/>
              <w:right w:val="nil"/>
            </w:tcBorders>
            <w:shd w:val="clear" w:color="auto" w:fill="auto"/>
            <w:vAlign w:val="bottom"/>
          </w:tcPr>
          <w:p w14:paraId="6D823390"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477 (19.8)</w:t>
            </w:r>
          </w:p>
        </w:tc>
        <w:tc>
          <w:tcPr>
            <w:tcW w:w="1985" w:type="dxa"/>
            <w:tcBorders>
              <w:top w:val="nil"/>
              <w:left w:val="nil"/>
              <w:bottom w:val="nil"/>
              <w:right w:val="nil"/>
            </w:tcBorders>
            <w:shd w:val="clear" w:color="auto" w:fill="auto"/>
            <w:vAlign w:val="bottom"/>
          </w:tcPr>
          <w:p w14:paraId="370105A3"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1982 (9.0)</w:t>
            </w:r>
          </w:p>
        </w:tc>
        <w:tc>
          <w:tcPr>
            <w:tcW w:w="1841" w:type="dxa"/>
            <w:tcBorders>
              <w:top w:val="nil"/>
              <w:left w:val="nil"/>
              <w:bottom w:val="nil"/>
              <w:right w:val="nil"/>
            </w:tcBorders>
            <w:shd w:val="clear" w:color="auto" w:fill="auto"/>
            <w:vAlign w:val="center"/>
          </w:tcPr>
          <w:p w14:paraId="3D420E77" w14:textId="77777777" w:rsidR="00A0372F" w:rsidRPr="009E3151" w:rsidRDefault="00A0372F" w:rsidP="00A0372F">
            <w:pPr>
              <w:spacing w:after="0" w:line="240" w:lineRule="auto"/>
              <w:jc w:val="center"/>
              <w:textAlignment w:val="baseline"/>
              <w:rPr>
                <w:rFonts w:ascii="Calibri" w:eastAsia="Times New Roman" w:hAnsi="Calibri" w:cs="Calibri"/>
                <w:color w:val="000000"/>
                <w:sz w:val="14"/>
                <w:szCs w:val="14"/>
                <w:lang w:val="en-US" w:eastAsia="da-DK"/>
              </w:rPr>
            </w:pPr>
            <w:r w:rsidRPr="009E3151">
              <w:rPr>
                <w:rFonts w:ascii="Calibri" w:eastAsia="Times New Roman" w:hAnsi="Calibri" w:cs="Calibri"/>
                <w:color w:val="000000"/>
                <w:sz w:val="14"/>
                <w:szCs w:val="14"/>
                <w:lang w:val="en-US" w:eastAsia="da-DK"/>
              </w:rPr>
              <w:t> </w:t>
            </w:r>
          </w:p>
        </w:tc>
      </w:tr>
      <w:tr w:rsidR="00A0372F" w:rsidRPr="009E3151" w14:paraId="04A9CE9D" w14:textId="77777777" w:rsidTr="00A0372F">
        <w:trPr>
          <w:trHeight w:val="300"/>
        </w:trPr>
        <w:tc>
          <w:tcPr>
            <w:tcW w:w="1701" w:type="dxa"/>
            <w:tcBorders>
              <w:top w:val="nil"/>
              <w:left w:val="nil"/>
              <w:bottom w:val="nil"/>
              <w:right w:val="nil"/>
            </w:tcBorders>
            <w:shd w:val="clear" w:color="auto" w:fill="auto"/>
            <w:vAlign w:val="bottom"/>
          </w:tcPr>
          <w:p w14:paraId="4FB8D3DC" w14:textId="77777777" w:rsidR="00A0372F" w:rsidRPr="009E3151" w:rsidRDefault="00A0372F" w:rsidP="00A0372F">
            <w:pPr>
              <w:spacing w:after="0" w:line="240" w:lineRule="auto"/>
              <w:jc w:val="right"/>
              <w:textAlignment w:val="baseline"/>
              <w:rPr>
                <w:rFonts w:ascii="Calibri" w:eastAsia="Times New Roman" w:hAnsi="Calibri" w:cs="Calibri"/>
                <w:sz w:val="14"/>
                <w:szCs w:val="14"/>
                <w:lang w:val="en-US" w:eastAsia="da-DK"/>
              </w:rPr>
            </w:pPr>
            <w:r w:rsidRPr="009E3151">
              <w:rPr>
                <w:rFonts w:ascii="Calibri" w:eastAsia="Times New Roman" w:hAnsi="Calibri" w:cs="Calibri"/>
                <w:color w:val="000000"/>
                <w:sz w:val="14"/>
                <w:szCs w:val="14"/>
                <w:lang w:val="en-US" w:eastAsia="da-DK"/>
              </w:rPr>
              <w:t>   Zealand</w:t>
            </w:r>
          </w:p>
        </w:tc>
        <w:tc>
          <w:tcPr>
            <w:tcW w:w="2410" w:type="dxa"/>
            <w:tcBorders>
              <w:top w:val="nil"/>
              <w:left w:val="nil"/>
              <w:bottom w:val="nil"/>
              <w:right w:val="nil"/>
            </w:tcBorders>
            <w:shd w:val="clear" w:color="auto" w:fill="auto"/>
            <w:vAlign w:val="bottom"/>
          </w:tcPr>
          <w:p w14:paraId="00A489EC"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3507 (14.4)</w:t>
            </w:r>
          </w:p>
        </w:tc>
        <w:tc>
          <w:tcPr>
            <w:tcW w:w="1701" w:type="dxa"/>
            <w:tcBorders>
              <w:top w:val="nil"/>
              <w:left w:val="nil"/>
              <w:bottom w:val="nil"/>
              <w:right w:val="nil"/>
            </w:tcBorders>
            <w:shd w:val="clear" w:color="auto" w:fill="auto"/>
            <w:vAlign w:val="bottom"/>
          </w:tcPr>
          <w:p w14:paraId="434BE4E5"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248 (10.3)</w:t>
            </w:r>
          </w:p>
        </w:tc>
        <w:tc>
          <w:tcPr>
            <w:tcW w:w="1985" w:type="dxa"/>
            <w:tcBorders>
              <w:top w:val="nil"/>
              <w:left w:val="nil"/>
              <w:bottom w:val="nil"/>
              <w:right w:val="nil"/>
            </w:tcBorders>
            <w:shd w:val="clear" w:color="auto" w:fill="auto"/>
            <w:vAlign w:val="bottom"/>
          </w:tcPr>
          <w:p w14:paraId="51990DF1"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3259 (14.8)</w:t>
            </w:r>
          </w:p>
        </w:tc>
        <w:tc>
          <w:tcPr>
            <w:tcW w:w="1841" w:type="dxa"/>
            <w:tcBorders>
              <w:top w:val="nil"/>
              <w:left w:val="nil"/>
              <w:bottom w:val="nil"/>
              <w:right w:val="nil"/>
            </w:tcBorders>
            <w:shd w:val="clear" w:color="auto" w:fill="auto"/>
            <w:vAlign w:val="center"/>
          </w:tcPr>
          <w:p w14:paraId="77B8B94E" w14:textId="77777777" w:rsidR="00A0372F" w:rsidRPr="009E3151" w:rsidRDefault="00A0372F" w:rsidP="00A0372F">
            <w:pPr>
              <w:spacing w:after="0" w:line="240" w:lineRule="auto"/>
              <w:jc w:val="center"/>
              <w:textAlignment w:val="baseline"/>
              <w:rPr>
                <w:rFonts w:ascii="Calibri" w:eastAsia="Times New Roman" w:hAnsi="Calibri" w:cs="Calibri"/>
                <w:color w:val="000000"/>
                <w:sz w:val="14"/>
                <w:szCs w:val="14"/>
                <w:lang w:val="en-US" w:eastAsia="da-DK"/>
              </w:rPr>
            </w:pPr>
            <w:r w:rsidRPr="009E3151">
              <w:rPr>
                <w:rFonts w:ascii="Calibri" w:eastAsia="Times New Roman" w:hAnsi="Calibri" w:cs="Calibri"/>
                <w:color w:val="000000"/>
                <w:sz w:val="14"/>
                <w:szCs w:val="14"/>
                <w:lang w:val="en-US" w:eastAsia="da-DK"/>
              </w:rPr>
              <w:t> </w:t>
            </w:r>
          </w:p>
        </w:tc>
      </w:tr>
      <w:tr w:rsidR="00A0372F" w:rsidRPr="009E3151" w14:paraId="2C6C34A6" w14:textId="77777777" w:rsidTr="00A0372F">
        <w:trPr>
          <w:trHeight w:val="300"/>
        </w:trPr>
        <w:tc>
          <w:tcPr>
            <w:tcW w:w="1701" w:type="dxa"/>
            <w:tcBorders>
              <w:top w:val="nil"/>
              <w:left w:val="nil"/>
              <w:bottom w:val="single" w:sz="4" w:space="0" w:color="auto"/>
              <w:right w:val="nil"/>
            </w:tcBorders>
            <w:shd w:val="clear" w:color="auto" w:fill="auto"/>
            <w:vAlign w:val="bottom"/>
          </w:tcPr>
          <w:p w14:paraId="01681875" w14:textId="77777777" w:rsidR="00A0372F" w:rsidRPr="009E3151" w:rsidRDefault="00A0372F" w:rsidP="00A0372F">
            <w:pPr>
              <w:spacing w:after="0" w:line="240" w:lineRule="auto"/>
              <w:jc w:val="right"/>
              <w:textAlignment w:val="baseline"/>
              <w:rPr>
                <w:rFonts w:ascii="Calibri" w:eastAsia="Times New Roman" w:hAnsi="Calibri" w:cs="Calibri"/>
                <w:sz w:val="14"/>
                <w:szCs w:val="14"/>
                <w:lang w:val="en-US" w:eastAsia="da-DK"/>
              </w:rPr>
            </w:pPr>
            <w:r w:rsidRPr="009E3151">
              <w:rPr>
                <w:rFonts w:ascii="Calibri" w:eastAsia="Times New Roman" w:hAnsi="Calibri" w:cs="Calibri"/>
                <w:color w:val="000000"/>
                <w:sz w:val="14"/>
                <w:szCs w:val="14"/>
                <w:lang w:val="en-US" w:eastAsia="da-DK"/>
              </w:rPr>
              <w:t>   Southern Denmark</w:t>
            </w:r>
          </w:p>
        </w:tc>
        <w:tc>
          <w:tcPr>
            <w:tcW w:w="2410" w:type="dxa"/>
            <w:tcBorders>
              <w:top w:val="nil"/>
              <w:left w:val="nil"/>
              <w:bottom w:val="single" w:sz="4" w:space="0" w:color="auto"/>
              <w:right w:val="nil"/>
            </w:tcBorders>
            <w:shd w:val="clear" w:color="auto" w:fill="auto"/>
            <w:vAlign w:val="bottom"/>
          </w:tcPr>
          <w:p w14:paraId="117EF58E"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4990 (20.5)</w:t>
            </w:r>
          </w:p>
        </w:tc>
        <w:tc>
          <w:tcPr>
            <w:tcW w:w="1701" w:type="dxa"/>
            <w:tcBorders>
              <w:top w:val="nil"/>
              <w:left w:val="nil"/>
              <w:bottom w:val="single" w:sz="4" w:space="0" w:color="auto"/>
              <w:right w:val="nil"/>
            </w:tcBorders>
            <w:shd w:val="clear" w:color="auto" w:fill="auto"/>
            <w:vAlign w:val="bottom"/>
          </w:tcPr>
          <w:p w14:paraId="4E9F1324"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368 (15.3)</w:t>
            </w:r>
          </w:p>
        </w:tc>
        <w:tc>
          <w:tcPr>
            <w:tcW w:w="1985" w:type="dxa"/>
            <w:tcBorders>
              <w:top w:val="nil"/>
              <w:left w:val="nil"/>
              <w:bottom w:val="single" w:sz="4" w:space="0" w:color="auto"/>
              <w:right w:val="nil"/>
            </w:tcBorders>
            <w:shd w:val="clear" w:color="auto" w:fill="auto"/>
            <w:vAlign w:val="bottom"/>
          </w:tcPr>
          <w:p w14:paraId="47AE2727" w14:textId="77777777" w:rsidR="00A0372F" w:rsidRPr="009E3151" w:rsidRDefault="00A0372F" w:rsidP="00A0372F">
            <w:pPr>
              <w:spacing w:after="0" w:line="240" w:lineRule="auto"/>
              <w:jc w:val="center"/>
              <w:textAlignment w:val="baseline"/>
              <w:rPr>
                <w:rFonts w:ascii="Calibri" w:hAnsi="Calibri" w:cs="Calibri"/>
                <w:sz w:val="14"/>
                <w:szCs w:val="14"/>
                <w:lang w:val="en-US"/>
              </w:rPr>
            </w:pPr>
            <w:r w:rsidRPr="009E3151">
              <w:rPr>
                <w:rFonts w:ascii="Calibri" w:hAnsi="Calibri" w:cs="Calibri"/>
                <w:color w:val="000000"/>
                <w:sz w:val="14"/>
                <w:szCs w:val="14"/>
                <w:lang w:val="en-US"/>
              </w:rPr>
              <w:t>4622 (21.0)</w:t>
            </w:r>
          </w:p>
        </w:tc>
        <w:tc>
          <w:tcPr>
            <w:tcW w:w="1841" w:type="dxa"/>
            <w:tcBorders>
              <w:top w:val="nil"/>
              <w:left w:val="nil"/>
              <w:bottom w:val="nil"/>
              <w:right w:val="nil"/>
            </w:tcBorders>
            <w:shd w:val="clear" w:color="auto" w:fill="auto"/>
            <w:vAlign w:val="center"/>
          </w:tcPr>
          <w:p w14:paraId="7F20E7DE" w14:textId="77777777" w:rsidR="00A0372F" w:rsidRPr="009E3151" w:rsidRDefault="00A0372F" w:rsidP="00A0372F">
            <w:pPr>
              <w:spacing w:after="0" w:line="240" w:lineRule="auto"/>
              <w:jc w:val="center"/>
              <w:textAlignment w:val="baseline"/>
              <w:rPr>
                <w:rFonts w:ascii="Calibri" w:eastAsia="Times New Roman" w:hAnsi="Calibri" w:cs="Calibri"/>
                <w:color w:val="000000"/>
                <w:sz w:val="14"/>
                <w:szCs w:val="14"/>
                <w:lang w:val="en-US" w:eastAsia="da-DK"/>
              </w:rPr>
            </w:pPr>
            <w:r w:rsidRPr="009E3151">
              <w:rPr>
                <w:rFonts w:ascii="Calibri" w:eastAsia="Times New Roman" w:hAnsi="Calibri" w:cs="Calibri"/>
                <w:color w:val="000000"/>
                <w:sz w:val="14"/>
                <w:szCs w:val="14"/>
                <w:lang w:val="en-US" w:eastAsia="da-DK"/>
              </w:rPr>
              <w:t> </w:t>
            </w:r>
          </w:p>
        </w:tc>
      </w:tr>
    </w:tbl>
    <w:p w14:paraId="43EE1351" w14:textId="2A7FBE9D" w:rsidR="00C454FA" w:rsidRPr="009E3151" w:rsidRDefault="00C454FA" w:rsidP="17D6C554">
      <w:pPr>
        <w:spacing w:line="259" w:lineRule="auto"/>
        <w:rPr>
          <w:rFonts w:ascii="Calibri" w:eastAsia="Calibri" w:hAnsi="Calibri" w:cs="Calibri"/>
          <w:bCs/>
          <w:color w:val="000000" w:themeColor="text1"/>
          <w:lang w:val="en-US"/>
        </w:rPr>
      </w:pPr>
    </w:p>
    <w:p w14:paraId="01C05199" w14:textId="77777777" w:rsidR="00C454FA" w:rsidRPr="009E3151" w:rsidRDefault="00C454FA">
      <w:pPr>
        <w:rPr>
          <w:rFonts w:ascii="Calibri" w:eastAsia="Calibri" w:hAnsi="Calibri" w:cs="Calibri"/>
          <w:bCs/>
          <w:color w:val="000000" w:themeColor="text1"/>
          <w:lang w:val="en-US"/>
        </w:rPr>
      </w:pPr>
      <w:r w:rsidRPr="009E3151">
        <w:rPr>
          <w:rFonts w:ascii="Calibri" w:eastAsia="Calibri" w:hAnsi="Calibri" w:cs="Calibri"/>
          <w:bCs/>
          <w:color w:val="000000" w:themeColor="text1"/>
          <w:lang w:val="en-US"/>
        </w:rPr>
        <w:br w:type="page"/>
      </w:r>
    </w:p>
    <w:p w14:paraId="547C77BB" w14:textId="69C24CD1" w:rsidR="00C454FA" w:rsidRPr="009E3151" w:rsidRDefault="00C454FA" w:rsidP="00C454FA">
      <w:pPr>
        <w:rPr>
          <w:rFonts w:ascii="Calibri" w:eastAsia="Calibri" w:hAnsi="Calibri" w:cs="Calibri"/>
          <w:color w:val="000000" w:themeColor="text1"/>
          <w:sz w:val="16"/>
          <w:szCs w:val="16"/>
          <w:lang w:val="en-US"/>
        </w:rPr>
      </w:pPr>
      <w:r w:rsidRPr="009E3151">
        <w:rPr>
          <w:rFonts w:ascii="Calibri" w:eastAsia="Calibri" w:hAnsi="Calibri" w:cs="Calibri"/>
          <w:color w:val="000000" w:themeColor="text1"/>
          <w:sz w:val="16"/>
          <w:szCs w:val="16"/>
          <w:lang w:val="en-US"/>
        </w:rPr>
        <w:lastRenderedPageBreak/>
        <w:t xml:space="preserve">Figure 2: </w:t>
      </w:r>
      <w:r w:rsidR="009A374F">
        <w:rPr>
          <w:rFonts w:ascii="Calibri" w:eastAsia="Calibri" w:hAnsi="Calibri" w:cs="Calibri"/>
          <w:color w:val="000000" w:themeColor="text1"/>
          <w:sz w:val="16"/>
          <w:szCs w:val="16"/>
          <w:lang w:val="en-US"/>
        </w:rPr>
        <w:t>W</w:t>
      </w:r>
      <w:r w:rsidRPr="009E3151">
        <w:rPr>
          <w:rFonts w:ascii="Calibri" w:eastAsia="Calibri" w:hAnsi="Calibri" w:cs="Calibri"/>
          <w:color w:val="000000" w:themeColor="text1"/>
          <w:sz w:val="16"/>
          <w:szCs w:val="16"/>
          <w:lang w:val="en-US"/>
        </w:rPr>
        <w:t>eekly distribution of viruses in V</w:t>
      </w:r>
      <w:r w:rsidR="009A374F">
        <w:rPr>
          <w:rFonts w:ascii="Calibri" w:eastAsia="Calibri" w:hAnsi="Calibri" w:cs="Calibri"/>
          <w:color w:val="000000" w:themeColor="text1"/>
          <w:sz w:val="16"/>
          <w:szCs w:val="16"/>
          <w:lang w:val="en-US"/>
        </w:rPr>
        <w:t>irus Monitoring in Denmark</w:t>
      </w:r>
      <w:r w:rsidRPr="009E3151">
        <w:rPr>
          <w:rFonts w:ascii="Calibri" w:eastAsia="Calibri" w:hAnsi="Calibri" w:cs="Calibri"/>
          <w:color w:val="000000" w:themeColor="text1"/>
          <w:sz w:val="16"/>
          <w:szCs w:val="16"/>
          <w:lang w:val="en-US"/>
        </w:rPr>
        <w:t xml:space="preserve"> during the study period. Left panel: Percentage of positive samples. Right panel: Incidence pr. 100.000 with logarithm scale based on the Digital Post cohort.</w:t>
      </w:r>
      <w:r w:rsidR="00F03C18" w:rsidRPr="00F03C18">
        <w:rPr>
          <w:rFonts w:ascii="Calibri" w:eastAsia="Calibri" w:hAnsi="Calibri" w:cs="Calibri"/>
          <w:color w:val="000000" w:themeColor="text1"/>
          <w:sz w:val="16"/>
          <w:szCs w:val="16"/>
          <w:lang w:val="en-US"/>
        </w:rPr>
        <w:t xml:space="preserve"> </w:t>
      </w:r>
      <w:r w:rsidR="00F03C18">
        <w:rPr>
          <w:rFonts w:ascii="Calibri" w:eastAsia="Calibri" w:hAnsi="Calibri" w:cs="Calibri"/>
          <w:color w:val="000000" w:themeColor="text1"/>
          <w:sz w:val="16"/>
          <w:szCs w:val="16"/>
          <w:lang w:val="en-US"/>
        </w:rPr>
        <w:t>Data from</w:t>
      </w:r>
      <w:r w:rsidR="00F03C18" w:rsidRPr="009E3151">
        <w:rPr>
          <w:rFonts w:ascii="Calibri" w:eastAsia="Calibri" w:hAnsi="Calibri" w:cs="Calibri"/>
          <w:color w:val="000000" w:themeColor="text1"/>
          <w:sz w:val="16"/>
          <w:szCs w:val="16"/>
          <w:lang w:val="en-US"/>
        </w:rPr>
        <w:t xml:space="preserve"> week 2</w:t>
      </w:r>
      <w:r w:rsidR="00F03C18">
        <w:rPr>
          <w:rFonts w:ascii="Calibri" w:eastAsia="Calibri" w:hAnsi="Calibri" w:cs="Calibri"/>
          <w:color w:val="000000" w:themeColor="text1"/>
          <w:sz w:val="16"/>
          <w:szCs w:val="16"/>
          <w:lang w:val="en-US"/>
        </w:rPr>
        <w:t>4</w:t>
      </w:r>
      <w:r w:rsidR="00F03C18" w:rsidRPr="009E3151">
        <w:rPr>
          <w:rFonts w:ascii="Calibri" w:eastAsia="Calibri" w:hAnsi="Calibri" w:cs="Calibri"/>
          <w:color w:val="000000" w:themeColor="text1"/>
          <w:sz w:val="16"/>
          <w:szCs w:val="16"/>
          <w:lang w:val="en-US"/>
        </w:rPr>
        <w:t xml:space="preserve">, 2023 to week 46, 2024. </w:t>
      </w:r>
      <w:r w:rsidRPr="009E3151">
        <w:rPr>
          <w:rFonts w:ascii="Calibri" w:eastAsia="Calibri" w:hAnsi="Calibri" w:cs="Calibri"/>
          <w:color w:val="000000" w:themeColor="text1"/>
          <w:sz w:val="16"/>
          <w:szCs w:val="16"/>
          <w:lang w:val="en-US"/>
        </w:rPr>
        <w:t>The dotted line represents the expansion of the RT-PCR panel, and the dashed line represents the week from which samples were reanalyzed</w:t>
      </w:r>
      <w:r w:rsidR="009A374F">
        <w:rPr>
          <w:rFonts w:ascii="Calibri" w:eastAsia="Calibri" w:hAnsi="Calibri" w:cs="Calibri"/>
          <w:color w:val="000000" w:themeColor="text1"/>
          <w:sz w:val="16"/>
          <w:szCs w:val="16"/>
          <w:lang w:val="en-US"/>
        </w:rPr>
        <w:t xml:space="preserve"> with the extended RT-PCR</w:t>
      </w:r>
      <w:r w:rsidR="00F03C18">
        <w:rPr>
          <w:rFonts w:ascii="Calibri" w:eastAsia="Calibri" w:hAnsi="Calibri" w:cs="Calibri"/>
          <w:color w:val="000000" w:themeColor="text1"/>
          <w:sz w:val="16"/>
          <w:szCs w:val="16"/>
          <w:lang w:val="en-US"/>
        </w:rPr>
        <w:t xml:space="preserve"> </w:t>
      </w:r>
      <w:r w:rsidR="009A374F">
        <w:rPr>
          <w:rFonts w:ascii="Calibri" w:eastAsia="Calibri" w:hAnsi="Calibri" w:cs="Calibri"/>
          <w:color w:val="000000" w:themeColor="text1"/>
          <w:sz w:val="16"/>
          <w:szCs w:val="16"/>
          <w:lang w:val="en-US"/>
        </w:rPr>
        <w:t>panel</w:t>
      </w:r>
      <w:r w:rsidRPr="009E3151">
        <w:rPr>
          <w:rFonts w:ascii="Calibri" w:eastAsia="Calibri" w:hAnsi="Calibri" w:cs="Calibri"/>
          <w:color w:val="000000" w:themeColor="text1"/>
          <w:sz w:val="16"/>
          <w:szCs w:val="16"/>
          <w:lang w:val="en-US"/>
        </w:rPr>
        <w:t>.</w:t>
      </w:r>
    </w:p>
    <w:p w14:paraId="0D10CB56" w14:textId="47E4714E" w:rsidR="00C454FA" w:rsidRPr="009E3151" w:rsidRDefault="00827C79">
      <w:pPr>
        <w:rPr>
          <w:rFonts w:ascii="Calibri" w:eastAsia="Calibri" w:hAnsi="Calibri" w:cs="Calibri"/>
          <w:color w:val="000000" w:themeColor="text1"/>
          <w:sz w:val="16"/>
          <w:szCs w:val="16"/>
          <w:lang w:val="en-US"/>
        </w:rPr>
      </w:pPr>
      <w:r>
        <w:rPr>
          <w:rFonts w:ascii="Calibri" w:eastAsia="Calibri" w:hAnsi="Calibri" w:cs="Calibri"/>
          <w:noProof/>
          <w:color w:val="000000" w:themeColor="text1"/>
          <w:sz w:val="16"/>
          <w:szCs w:val="16"/>
          <w:lang w:val="en-US"/>
        </w:rPr>
        <w:drawing>
          <wp:inline distT="0" distB="0" distL="0" distR="0" wp14:anchorId="21DBA0EB" wp14:editId="303B4A69">
            <wp:extent cx="5731510" cy="4298950"/>
            <wp:effectExtent l="0" t="0" r="254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2A1.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r w:rsidR="00C454FA" w:rsidRPr="009E3151">
        <w:rPr>
          <w:rFonts w:ascii="Calibri" w:eastAsia="Calibri" w:hAnsi="Calibri" w:cs="Calibri"/>
          <w:color w:val="000000" w:themeColor="text1"/>
          <w:sz w:val="16"/>
          <w:szCs w:val="16"/>
          <w:lang w:val="en-US"/>
        </w:rPr>
        <w:br w:type="page"/>
      </w:r>
    </w:p>
    <w:p w14:paraId="687DEA69" w14:textId="03543005" w:rsidR="00C454FA" w:rsidRPr="009E3151" w:rsidRDefault="00C454FA" w:rsidP="00C454FA">
      <w:pPr>
        <w:rPr>
          <w:rFonts w:ascii="Calibri" w:eastAsia="Calibri" w:hAnsi="Calibri" w:cs="Calibri"/>
          <w:color w:val="000000" w:themeColor="text1"/>
          <w:sz w:val="16"/>
          <w:szCs w:val="16"/>
          <w:lang w:val="en-US"/>
        </w:rPr>
      </w:pPr>
      <w:r w:rsidRPr="009E3151">
        <w:rPr>
          <w:rFonts w:ascii="Calibri" w:eastAsia="Calibri" w:hAnsi="Calibri" w:cs="Calibri"/>
          <w:color w:val="000000" w:themeColor="text1"/>
          <w:sz w:val="16"/>
          <w:szCs w:val="16"/>
          <w:lang w:val="en-US"/>
        </w:rPr>
        <w:lastRenderedPageBreak/>
        <w:t xml:space="preserve">Figure 3: A: prevalence of symptoms in participants infected with each virus, </w:t>
      </w:r>
      <w:r w:rsidR="00F03C18">
        <w:rPr>
          <w:rFonts w:ascii="Calibri" w:eastAsia="Calibri" w:hAnsi="Calibri" w:cs="Calibri"/>
          <w:color w:val="000000" w:themeColor="text1"/>
          <w:sz w:val="16"/>
          <w:szCs w:val="16"/>
          <w:lang w:val="en-US"/>
        </w:rPr>
        <w:t xml:space="preserve">data from </w:t>
      </w:r>
      <w:r w:rsidRPr="009E3151">
        <w:rPr>
          <w:rFonts w:ascii="Calibri" w:eastAsia="Calibri" w:hAnsi="Calibri" w:cs="Calibri"/>
          <w:color w:val="000000" w:themeColor="text1"/>
          <w:sz w:val="16"/>
          <w:szCs w:val="16"/>
          <w:lang w:val="en-US"/>
        </w:rPr>
        <w:t>week 40</w:t>
      </w:r>
      <w:r w:rsidR="00F03C18">
        <w:rPr>
          <w:rFonts w:ascii="Calibri" w:eastAsia="Calibri" w:hAnsi="Calibri" w:cs="Calibri"/>
          <w:color w:val="000000" w:themeColor="text1"/>
          <w:sz w:val="16"/>
          <w:szCs w:val="16"/>
          <w:lang w:val="en-US"/>
        </w:rPr>
        <w:t xml:space="preserve">, </w:t>
      </w:r>
      <w:r w:rsidRPr="009E3151">
        <w:rPr>
          <w:rFonts w:ascii="Calibri" w:eastAsia="Calibri" w:hAnsi="Calibri" w:cs="Calibri"/>
          <w:color w:val="000000" w:themeColor="text1"/>
          <w:sz w:val="16"/>
          <w:szCs w:val="16"/>
          <w:lang w:val="en-US"/>
        </w:rPr>
        <w:t>2023</w:t>
      </w:r>
      <w:r w:rsidR="00F03C18">
        <w:rPr>
          <w:rFonts w:ascii="Calibri" w:eastAsia="Calibri" w:hAnsi="Calibri" w:cs="Calibri"/>
          <w:color w:val="000000" w:themeColor="text1"/>
          <w:sz w:val="16"/>
          <w:szCs w:val="16"/>
          <w:lang w:val="en-US"/>
        </w:rPr>
        <w:t>,</w:t>
      </w:r>
      <w:r w:rsidRPr="009E3151">
        <w:rPr>
          <w:rFonts w:ascii="Calibri" w:eastAsia="Calibri" w:hAnsi="Calibri" w:cs="Calibri"/>
          <w:color w:val="000000" w:themeColor="text1"/>
          <w:sz w:val="16"/>
          <w:szCs w:val="16"/>
          <w:lang w:val="en-US"/>
        </w:rPr>
        <w:t xml:space="preserve"> to week 46</w:t>
      </w:r>
      <w:r w:rsidR="00F03C18">
        <w:rPr>
          <w:rFonts w:ascii="Calibri" w:eastAsia="Calibri" w:hAnsi="Calibri" w:cs="Calibri"/>
          <w:color w:val="000000" w:themeColor="text1"/>
          <w:sz w:val="16"/>
          <w:szCs w:val="16"/>
          <w:lang w:val="en-US"/>
        </w:rPr>
        <w:t xml:space="preserve">, </w:t>
      </w:r>
      <w:r w:rsidRPr="009E3151">
        <w:rPr>
          <w:rFonts w:ascii="Calibri" w:eastAsia="Calibri" w:hAnsi="Calibri" w:cs="Calibri"/>
          <w:color w:val="000000" w:themeColor="text1"/>
          <w:sz w:val="16"/>
          <w:szCs w:val="16"/>
          <w:lang w:val="en-US"/>
        </w:rPr>
        <w:t>2024. Only responses from participants who have reported at least one symptom are included. Error bar</w:t>
      </w:r>
      <w:r w:rsidR="00F03C18">
        <w:rPr>
          <w:rFonts w:ascii="Calibri" w:eastAsia="Calibri" w:hAnsi="Calibri" w:cs="Calibri"/>
          <w:color w:val="000000" w:themeColor="text1"/>
          <w:sz w:val="16"/>
          <w:szCs w:val="16"/>
          <w:lang w:val="en-US"/>
        </w:rPr>
        <w:t>s</w:t>
      </w:r>
      <w:r w:rsidRPr="009E3151">
        <w:rPr>
          <w:rFonts w:ascii="Calibri" w:eastAsia="Calibri" w:hAnsi="Calibri" w:cs="Calibri"/>
          <w:color w:val="000000" w:themeColor="text1"/>
          <w:sz w:val="16"/>
          <w:szCs w:val="16"/>
          <w:lang w:val="en-US"/>
        </w:rPr>
        <w:t xml:space="preserve"> represents 95% confidence interval. B: distribution of the number of symptoms reported per </w:t>
      </w:r>
      <w:r w:rsidR="00F325F4">
        <w:rPr>
          <w:rFonts w:ascii="Calibri" w:eastAsia="Calibri" w:hAnsi="Calibri" w:cs="Calibri"/>
          <w:color w:val="000000" w:themeColor="text1"/>
          <w:sz w:val="16"/>
          <w:szCs w:val="16"/>
          <w:lang w:val="en-US"/>
        </w:rPr>
        <w:t>positive sample</w:t>
      </w:r>
      <w:r w:rsidRPr="009E3151">
        <w:rPr>
          <w:rFonts w:ascii="Calibri" w:eastAsia="Calibri" w:hAnsi="Calibri" w:cs="Calibri"/>
          <w:color w:val="000000" w:themeColor="text1"/>
          <w:sz w:val="16"/>
          <w:szCs w:val="16"/>
          <w:lang w:val="en-US"/>
        </w:rPr>
        <w:t xml:space="preserve">, stratified by virus and ordered by median symptom count, from highest to lowest. n indicates the number of symptomatic individuals per virus.  </w:t>
      </w:r>
    </w:p>
    <w:p w14:paraId="31FF1179" w14:textId="4C242C48" w:rsidR="00C454FA" w:rsidRPr="009E3151" w:rsidRDefault="00280FA1" w:rsidP="00C454FA">
      <w:pPr>
        <w:rPr>
          <w:rFonts w:ascii="Calibri" w:eastAsia="Calibri" w:hAnsi="Calibri" w:cs="Calibri"/>
          <w:color w:val="000000" w:themeColor="text1"/>
          <w:sz w:val="16"/>
          <w:szCs w:val="16"/>
          <w:lang w:val="en-US"/>
        </w:rPr>
      </w:pPr>
      <w:r>
        <w:rPr>
          <w:rFonts w:ascii="Calibri" w:eastAsia="Calibri" w:hAnsi="Calibri" w:cs="Calibri"/>
          <w:noProof/>
          <w:color w:val="000000" w:themeColor="text1"/>
          <w:sz w:val="16"/>
          <w:szCs w:val="16"/>
          <w:lang w:val="en-US"/>
        </w:rPr>
        <w:drawing>
          <wp:inline distT="0" distB="0" distL="0" distR="0" wp14:anchorId="22C39C2D" wp14:editId="4CBE9F23">
            <wp:extent cx="5731510" cy="3968115"/>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ure3_sammen_landscape.tif"/>
                    <pic:cNvPicPr/>
                  </pic:nvPicPr>
                  <pic:blipFill>
                    <a:blip r:embed="rId14">
                      <a:extLst>
                        <a:ext uri="{28A0092B-C50C-407E-A947-70E740481C1C}">
                          <a14:useLocalDpi xmlns:a14="http://schemas.microsoft.com/office/drawing/2010/main" val="0"/>
                        </a:ext>
                      </a:extLst>
                    </a:blip>
                    <a:stretch>
                      <a:fillRect/>
                    </a:stretch>
                  </pic:blipFill>
                  <pic:spPr>
                    <a:xfrm>
                      <a:off x="0" y="0"/>
                      <a:ext cx="5731510" cy="3968115"/>
                    </a:xfrm>
                    <a:prstGeom prst="rect">
                      <a:avLst/>
                    </a:prstGeom>
                  </pic:spPr>
                </pic:pic>
              </a:graphicData>
            </a:graphic>
          </wp:inline>
        </w:drawing>
      </w:r>
    </w:p>
    <w:p w14:paraId="4D7497CF" w14:textId="77777777" w:rsidR="00C454FA" w:rsidRPr="009E3151" w:rsidRDefault="00C454FA" w:rsidP="00C454FA">
      <w:pPr>
        <w:rPr>
          <w:rFonts w:ascii="Calibri" w:eastAsia="Calibri" w:hAnsi="Calibri" w:cs="Calibri"/>
          <w:color w:val="000000" w:themeColor="text1"/>
          <w:sz w:val="16"/>
          <w:szCs w:val="16"/>
          <w:lang w:val="en-US"/>
        </w:rPr>
      </w:pPr>
    </w:p>
    <w:p w14:paraId="09FE44BB" w14:textId="77777777" w:rsidR="00C454FA" w:rsidRPr="009E3151" w:rsidRDefault="00C454FA">
      <w:pPr>
        <w:rPr>
          <w:rFonts w:ascii="Calibri" w:eastAsia="Calibri" w:hAnsi="Calibri" w:cs="Calibri"/>
          <w:color w:val="000000" w:themeColor="text1"/>
          <w:sz w:val="16"/>
          <w:szCs w:val="16"/>
          <w:lang w:val="en-US"/>
        </w:rPr>
      </w:pPr>
      <w:r w:rsidRPr="009E3151">
        <w:rPr>
          <w:rFonts w:ascii="Calibri" w:eastAsia="Calibri" w:hAnsi="Calibri" w:cs="Calibri"/>
          <w:color w:val="000000" w:themeColor="text1"/>
          <w:sz w:val="16"/>
          <w:szCs w:val="16"/>
          <w:lang w:val="en-US"/>
        </w:rPr>
        <w:br w:type="page"/>
      </w:r>
    </w:p>
    <w:p w14:paraId="4196BC8C" w14:textId="02D84D80" w:rsidR="00C454FA" w:rsidRPr="009E3151" w:rsidRDefault="00C454FA" w:rsidP="00C454FA">
      <w:pPr>
        <w:spacing w:line="257" w:lineRule="auto"/>
        <w:jc w:val="both"/>
        <w:rPr>
          <w:rFonts w:ascii="Calibri" w:eastAsia="Calibri" w:hAnsi="Calibri" w:cs="Calibri"/>
          <w:color w:val="000000" w:themeColor="text1"/>
          <w:sz w:val="16"/>
          <w:szCs w:val="16"/>
          <w:lang w:val="en-US"/>
        </w:rPr>
      </w:pPr>
      <w:r w:rsidRPr="009E3151">
        <w:rPr>
          <w:rFonts w:ascii="Calibri" w:eastAsia="Calibri" w:hAnsi="Calibri" w:cs="Calibri"/>
          <w:color w:val="000000" w:themeColor="text1"/>
          <w:sz w:val="16"/>
          <w:szCs w:val="16"/>
          <w:lang w:val="en-US"/>
        </w:rPr>
        <w:lastRenderedPageBreak/>
        <w:t xml:space="preserve">Figure 4: Top panel: prevalence of symptoms over time. Only symptomatic individuals who perform a sample from week 40, 2023, to week 46, 2024. Bottom panel: number of each symptom reported among individuals with a positive test at time of sampling (Baseline), symptoms that were only reported at the time of sampling but were not present after 7-28 days (Gone at Follow-up) and those that were only reported at 7-28 days after the sample, but not at the time of sampling (New at Follow-up). Includes only individuals who answered both symptom questionnaires. </w:t>
      </w:r>
    </w:p>
    <w:p w14:paraId="3F21C865" w14:textId="7751BEF5" w:rsidR="00C454FA" w:rsidRPr="009E3151" w:rsidRDefault="00280FA1" w:rsidP="00C454FA">
      <w:pPr>
        <w:spacing w:line="257" w:lineRule="auto"/>
        <w:jc w:val="both"/>
        <w:rPr>
          <w:rFonts w:ascii="Calibri" w:eastAsia="Calibri" w:hAnsi="Calibri" w:cs="Calibri"/>
          <w:color w:val="000000" w:themeColor="text1"/>
          <w:sz w:val="16"/>
          <w:szCs w:val="16"/>
          <w:lang w:val="en-US"/>
        </w:rPr>
      </w:pPr>
      <w:r>
        <w:rPr>
          <w:rFonts w:ascii="Calibri" w:eastAsia="Calibri" w:hAnsi="Calibri" w:cs="Calibri"/>
          <w:noProof/>
          <w:color w:val="000000" w:themeColor="text1"/>
          <w:sz w:val="16"/>
          <w:szCs w:val="16"/>
          <w:lang w:val="en-US"/>
        </w:rPr>
        <w:drawing>
          <wp:inline distT="0" distB="0" distL="0" distR="0" wp14:anchorId="1617B2A5" wp14:editId="4FF81B58">
            <wp:extent cx="5731510" cy="5158105"/>
            <wp:effectExtent l="0" t="0" r="254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ure4.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5158105"/>
                    </a:xfrm>
                    <a:prstGeom prst="rect">
                      <a:avLst/>
                    </a:prstGeom>
                  </pic:spPr>
                </pic:pic>
              </a:graphicData>
            </a:graphic>
          </wp:inline>
        </w:drawing>
      </w:r>
    </w:p>
    <w:p w14:paraId="54638F48" w14:textId="77777777" w:rsidR="00C454FA" w:rsidRPr="009E3151" w:rsidRDefault="00C454FA" w:rsidP="00C454FA">
      <w:pPr>
        <w:spacing w:line="257" w:lineRule="auto"/>
        <w:jc w:val="both"/>
        <w:rPr>
          <w:rFonts w:ascii="Calibri" w:eastAsia="Calibri" w:hAnsi="Calibri" w:cs="Calibri"/>
          <w:color w:val="000000" w:themeColor="text1"/>
          <w:sz w:val="16"/>
          <w:szCs w:val="16"/>
          <w:lang w:val="en-US"/>
        </w:rPr>
      </w:pPr>
    </w:p>
    <w:p w14:paraId="68F303B8" w14:textId="77777777" w:rsidR="00C454FA" w:rsidRPr="009E3151" w:rsidRDefault="00C454FA">
      <w:pPr>
        <w:rPr>
          <w:rFonts w:ascii="Calibri" w:eastAsia="Calibri" w:hAnsi="Calibri" w:cs="Calibri"/>
          <w:color w:val="000000" w:themeColor="text1"/>
          <w:sz w:val="16"/>
          <w:szCs w:val="16"/>
          <w:lang w:val="en-US"/>
        </w:rPr>
      </w:pPr>
      <w:r w:rsidRPr="009E3151">
        <w:rPr>
          <w:rFonts w:ascii="Calibri" w:eastAsia="Calibri" w:hAnsi="Calibri" w:cs="Calibri"/>
          <w:color w:val="000000" w:themeColor="text1"/>
          <w:sz w:val="16"/>
          <w:szCs w:val="16"/>
          <w:lang w:val="en-US"/>
        </w:rPr>
        <w:br w:type="page"/>
      </w:r>
    </w:p>
    <w:p w14:paraId="4ECC311B" w14:textId="1D969702" w:rsidR="00C454FA" w:rsidRPr="009E3151" w:rsidRDefault="00C454FA" w:rsidP="00C454FA">
      <w:pPr>
        <w:rPr>
          <w:rFonts w:ascii="Calibri" w:eastAsia="Calibri" w:hAnsi="Calibri" w:cs="Calibri"/>
          <w:color w:val="000000" w:themeColor="text1"/>
          <w:sz w:val="16"/>
          <w:szCs w:val="16"/>
          <w:lang w:val="en-US"/>
        </w:rPr>
      </w:pPr>
      <w:r w:rsidRPr="009E3151">
        <w:rPr>
          <w:rFonts w:ascii="Calibri" w:eastAsia="Calibri" w:hAnsi="Calibri" w:cs="Calibri"/>
          <w:color w:val="000000" w:themeColor="text1"/>
          <w:sz w:val="16"/>
          <w:szCs w:val="16"/>
          <w:lang w:val="en-US"/>
        </w:rPr>
        <w:lastRenderedPageBreak/>
        <w:t>Figure 5: Top panel shows the weekly incidence rate of SARS-CoV-2 in VMD (red line</w:t>
      </w:r>
      <w:r w:rsidR="00F325F4">
        <w:rPr>
          <w:rFonts w:ascii="Calibri" w:eastAsia="Calibri" w:hAnsi="Calibri" w:cs="Calibri"/>
          <w:color w:val="000000" w:themeColor="text1"/>
          <w:sz w:val="16"/>
          <w:szCs w:val="16"/>
          <w:lang w:val="en-US"/>
        </w:rPr>
        <w:t>, left y-axis</w:t>
      </w:r>
      <w:r w:rsidRPr="009E3151">
        <w:rPr>
          <w:rFonts w:ascii="Calibri" w:eastAsia="Calibri" w:hAnsi="Calibri" w:cs="Calibri"/>
          <w:color w:val="000000" w:themeColor="text1"/>
          <w:sz w:val="16"/>
          <w:szCs w:val="16"/>
          <w:lang w:val="en-US"/>
        </w:rPr>
        <w:t>) and the weekly concentration of SARS-CoV-2 RNA in wastewater surveillance (blue line</w:t>
      </w:r>
      <w:r w:rsidR="00F325F4">
        <w:rPr>
          <w:rFonts w:ascii="Calibri" w:eastAsia="Calibri" w:hAnsi="Calibri" w:cs="Calibri"/>
          <w:color w:val="000000" w:themeColor="text1"/>
          <w:sz w:val="16"/>
          <w:szCs w:val="16"/>
          <w:lang w:val="en-US"/>
        </w:rPr>
        <w:t>, right y-axis</w:t>
      </w:r>
      <w:r w:rsidRPr="009E3151">
        <w:rPr>
          <w:rFonts w:ascii="Calibri" w:eastAsia="Calibri" w:hAnsi="Calibri" w:cs="Calibri"/>
          <w:color w:val="000000" w:themeColor="text1"/>
          <w:sz w:val="16"/>
          <w:szCs w:val="16"/>
          <w:lang w:val="en-US"/>
        </w:rPr>
        <w:t>), with the peak of both curves in the same level</w:t>
      </w:r>
      <w:r w:rsidR="00F325F4">
        <w:rPr>
          <w:rFonts w:ascii="Calibri" w:eastAsia="Calibri" w:hAnsi="Calibri" w:cs="Calibri"/>
          <w:color w:val="000000" w:themeColor="text1"/>
          <w:sz w:val="16"/>
          <w:szCs w:val="16"/>
          <w:lang w:val="en-US"/>
        </w:rPr>
        <w:t>, both on logarithmic scales</w:t>
      </w:r>
      <w:r w:rsidRPr="009E3151">
        <w:rPr>
          <w:rFonts w:ascii="Calibri" w:eastAsia="Calibri" w:hAnsi="Calibri" w:cs="Calibri"/>
          <w:color w:val="000000" w:themeColor="text1"/>
          <w:sz w:val="16"/>
          <w:szCs w:val="16"/>
          <w:lang w:val="en-US"/>
        </w:rPr>
        <w:t>. Bottom panel shows SARS-CoV-2 variant composition in VMD samples during the study period. Data from week 40, 2023 to week 46, 2024.</w:t>
      </w:r>
    </w:p>
    <w:p w14:paraId="4F3EBF2F" w14:textId="5DE6723A" w:rsidR="00C454FA" w:rsidRPr="009E3151" w:rsidRDefault="004C3804">
      <w:pPr>
        <w:rPr>
          <w:rFonts w:ascii="Calibri" w:eastAsia="Calibri" w:hAnsi="Calibri" w:cs="Calibri"/>
          <w:color w:val="000000" w:themeColor="text1"/>
          <w:sz w:val="16"/>
          <w:szCs w:val="16"/>
          <w:lang w:val="en-US"/>
        </w:rPr>
      </w:pPr>
      <w:r>
        <w:rPr>
          <w:rFonts w:ascii="Calibri" w:eastAsia="Calibri" w:hAnsi="Calibri" w:cs="Calibri"/>
          <w:noProof/>
          <w:color w:val="000000" w:themeColor="text1"/>
          <w:sz w:val="16"/>
          <w:szCs w:val="16"/>
          <w:lang w:val="en-US"/>
        </w:rPr>
        <w:drawing>
          <wp:inline distT="0" distB="0" distL="0" distR="0" wp14:anchorId="6CB90D2F" wp14:editId="779B6741">
            <wp:extent cx="5731510" cy="5158105"/>
            <wp:effectExtent l="0" t="0" r="2540" b="44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ure5_spildevandssammenligning.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5158105"/>
                    </a:xfrm>
                    <a:prstGeom prst="rect">
                      <a:avLst/>
                    </a:prstGeom>
                  </pic:spPr>
                </pic:pic>
              </a:graphicData>
            </a:graphic>
          </wp:inline>
        </w:drawing>
      </w:r>
    </w:p>
    <w:p w14:paraId="3F82228F" w14:textId="77777777" w:rsidR="003423D5" w:rsidRDefault="003423D5">
      <w:pPr>
        <w:rPr>
          <w:rFonts w:ascii="Calibri" w:eastAsia="Calibri" w:hAnsi="Calibri" w:cs="Calibri"/>
          <w:color w:val="000000" w:themeColor="text1"/>
          <w:sz w:val="16"/>
          <w:szCs w:val="16"/>
          <w:lang w:val="en-US"/>
        </w:rPr>
      </w:pPr>
      <w:r>
        <w:rPr>
          <w:rFonts w:ascii="Calibri" w:eastAsia="Calibri" w:hAnsi="Calibri" w:cs="Calibri"/>
          <w:color w:val="000000" w:themeColor="text1"/>
          <w:sz w:val="16"/>
          <w:szCs w:val="16"/>
          <w:lang w:val="en-US"/>
        </w:rPr>
        <w:br w:type="page"/>
      </w:r>
    </w:p>
    <w:p w14:paraId="0A84C861" w14:textId="19B7E969" w:rsidR="00C454FA" w:rsidRPr="009E3151" w:rsidRDefault="00C454FA" w:rsidP="00C454FA">
      <w:pPr>
        <w:rPr>
          <w:rFonts w:ascii="Calibri" w:eastAsia="Calibri" w:hAnsi="Calibri" w:cs="Calibri"/>
          <w:color w:val="000000" w:themeColor="text1"/>
          <w:sz w:val="16"/>
          <w:szCs w:val="16"/>
          <w:lang w:val="en-US"/>
        </w:rPr>
      </w:pPr>
      <w:r w:rsidRPr="009E3151">
        <w:rPr>
          <w:rFonts w:ascii="Calibri" w:eastAsia="Calibri" w:hAnsi="Calibri" w:cs="Calibri"/>
          <w:color w:val="000000" w:themeColor="text1"/>
          <w:sz w:val="16"/>
          <w:szCs w:val="16"/>
          <w:lang w:val="en-US"/>
        </w:rPr>
        <w:lastRenderedPageBreak/>
        <w:t xml:space="preserve">Figure 6: </w:t>
      </w:r>
      <w:r w:rsidR="00F325F4">
        <w:rPr>
          <w:rFonts w:ascii="Calibri" w:eastAsia="Calibri" w:hAnsi="Calibri" w:cs="Calibri"/>
          <w:color w:val="000000" w:themeColor="text1"/>
          <w:sz w:val="16"/>
          <w:szCs w:val="16"/>
          <w:lang w:val="en-US"/>
        </w:rPr>
        <w:t>P</w:t>
      </w:r>
      <w:r w:rsidRPr="009E3151">
        <w:rPr>
          <w:rFonts w:ascii="Calibri" w:eastAsia="Calibri" w:hAnsi="Calibri" w:cs="Calibri"/>
          <w:color w:val="000000" w:themeColor="text1"/>
          <w:sz w:val="16"/>
          <w:szCs w:val="16"/>
          <w:lang w:val="en-US"/>
        </w:rPr>
        <w:t>revalence of</w:t>
      </w:r>
      <w:r w:rsidR="00F325F4">
        <w:rPr>
          <w:rFonts w:ascii="Calibri" w:eastAsia="Calibri" w:hAnsi="Calibri" w:cs="Calibri"/>
          <w:color w:val="000000" w:themeColor="text1"/>
          <w:sz w:val="16"/>
          <w:szCs w:val="16"/>
          <w:lang w:val="en-US"/>
        </w:rPr>
        <w:t xml:space="preserve"> individual</w:t>
      </w:r>
      <w:r w:rsidRPr="009E3151">
        <w:rPr>
          <w:rFonts w:ascii="Calibri" w:eastAsia="Calibri" w:hAnsi="Calibri" w:cs="Calibri"/>
          <w:color w:val="000000" w:themeColor="text1"/>
          <w:sz w:val="16"/>
          <w:szCs w:val="16"/>
          <w:lang w:val="en-US"/>
        </w:rPr>
        <w:t xml:space="preserve"> symptoms in participants infected with </w:t>
      </w:r>
      <w:r w:rsidR="00F325F4">
        <w:rPr>
          <w:rFonts w:ascii="Calibri" w:eastAsia="Calibri" w:hAnsi="Calibri" w:cs="Calibri"/>
          <w:color w:val="000000" w:themeColor="text1"/>
          <w:sz w:val="16"/>
          <w:szCs w:val="16"/>
          <w:lang w:val="en-US"/>
        </w:rPr>
        <w:t xml:space="preserve">different </w:t>
      </w:r>
      <w:r w:rsidRPr="009E3151">
        <w:rPr>
          <w:rFonts w:ascii="Calibri" w:eastAsia="Calibri" w:hAnsi="Calibri" w:cs="Calibri"/>
          <w:color w:val="000000" w:themeColor="text1"/>
          <w:sz w:val="16"/>
          <w:szCs w:val="16"/>
          <w:lang w:val="en-US"/>
        </w:rPr>
        <w:t>SARS-CoV-2 subvariant</w:t>
      </w:r>
      <w:r w:rsidR="00F325F4">
        <w:rPr>
          <w:rFonts w:ascii="Calibri" w:eastAsia="Calibri" w:hAnsi="Calibri" w:cs="Calibri"/>
          <w:color w:val="000000" w:themeColor="text1"/>
          <w:sz w:val="16"/>
          <w:szCs w:val="16"/>
          <w:lang w:val="en-US"/>
        </w:rPr>
        <w:t>s</w:t>
      </w:r>
      <w:r w:rsidRPr="009E3151">
        <w:rPr>
          <w:rFonts w:ascii="Calibri" w:eastAsia="Calibri" w:hAnsi="Calibri" w:cs="Calibri"/>
          <w:color w:val="000000" w:themeColor="text1"/>
          <w:sz w:val="16"/>
          <w:szCs w:val="16"/>
          <w:lang w:val="en-US"/>
        </w:rPr>
        <w:t>. Only responses from participants who have reported at least one symptom are included. E</w:t>
      </w:r>
      <w:r w:rsidR="00F325F4">
        <w:rPr>
          <w:rFonts w:ascii="Calibri" w:eastAsia="Calibri" w:hAnsi="Calibri" w:cs="Calibri"/>
          <w:color w:val="000000" w:themeColor="text1"/>
          <w:sz w:val="16"/>
          <w:szCs w:val="16"/>
          <w:lang w:val="en-US"/>
        </w:rPr>
        <w:t>rror</w:t>
      </w:r>
      <w:r w:rsidRPr="009E3151">
        <w:rPr>
          <w:rFonts w:ascii="Calibri" w:eastAsia="Calibri" w:hAnsi="Calibri" w:cs="Calibri"/>
          <w:color w:val="000000" w:themeColor="text1"/>
          <w:sz w:val="16"/>
          <w:szCs w:val="16"/>
          <w:lang w:val="en-US"/>
        </w:rPr>
        <w:t xml:space="preserve"> bar</w:t>
      </w:r>
      <w:r w:rsidR="00F325F4">
        <w:rPr>
          <w:rFonts w:ascii="Calibri" w:eastAsia="Calibri" w:hAnsi="Calibri" w:cs="Calibri"/>
          <w:color w:val="000000" w:themeColor="text1"/>
          <w:sz w:val="16"/>
          <w:szCs w:val="16"/>
          <w:lang w:val="en-US"/>
        </w:rPr>
        <w:t>s</w:t>
      </w:r>
      <w:r w:rsidRPr="009E3151">
        <w:rPr>
          <w:rFonts w:ascii="Calibri" w:eastAsia="Calibri" w:hAnsi="Calibri" w:cs="Calibri"/>
          <w:color w:val="000000" w:themeColor="text1"/>
          <w:sz w:val="16"/>
          <w:szCs w:val="16"/>
          <w:lang w:val="en-US"/>
        </w:rPr>
        <w:t xml:space="preserve"> represents 95% confidence. Data from week 24, 2023 to week 46, 2024.</w:t>
      </w:r>
    </w:p>
    <w:p w14:paraId="2307F679" w14:textId="21A9039B" w:rsidR="00C454FA" w:rsidRPr="009E3151" w:rsidRDefault="0014149D" w:rsidP="00C454FA">
      <w:pPr>
        <w:rPr>
          <w:lang w:val="en-US"/>
        </w:rPr>
      </w:pPr>
      <w:r>
        <w:rPr>
          <w:noProof/>
          <w:lang w:val="en-US"/>
        </w:rPr>
        <w:drawing>
          <wp:inline distT="0" distB="0" distL="0" distR="0" wp14:anchorId="6BFC1498" wp14:editId="6979028B">
            <wp:extent cx="5731510" cy="5731510"/>
            <wp:effectExtent l="0" t="0" r="254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ure6_covid_errorbar.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5731510"/>
                    </a:xfrm>
                    <a:prstGeom prst="rect">
                      <a:avLst/>
                    </a:prstGeom>
                  </pic:spPr>
                </pic:pic>
              </a:graphicData>
            </a:graphic>
          </wp:inline>
        </w:drawing>
      </w:r>
    </w:p>
    <w:p w14:paraId="03875382" w14:textId="77777777" w:rsidR="00C454FA" w:rsidRPr="009E3151" w:rsidRDefault="00C454FA" w:rsidP="00C454FA">
      <w:pPr>
        <w:rPr>
          <w:lang w:val="en-US"/>
        </w:rPr>
      </w:pPr>
    </w:p>
    <w:p w14:paraId="0E275533" w14:textId="113FF24B" w:rsidR="00C454FA" w:rsidRPr="009E3151" w:rsidRDefault="00C454FA">
      <w:pPr>
        <w:rPr>
          <w:lang w:val="en-US"/>
        </w:rPr>
      </w:pPr>
    </w:p>
    <w:sectPr w:rsidR="00C454FA" w:rsidRPr="009E3151">
      <w:pgSz w:w="11906" w:h="16838"/>
      <w:pgMar w:top="1440" w:right="1440" w:bottom="1440" w:left="1440" w:header="708" w:footer="708" w:gutter="0"/>
      <w:cols w:space="708"/>
      <w:docGrid w:linePitch="360"/>
    </w:sectPr>
  </w:body>
</w:document>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6CBDC2B1" w16cex:dateUtc="2024-12-03T14:50:52.188Z"/>
  <w16cex:commentExtensible w16cex:durableId="6E7FA2A0" w16cex:dateUtc="2024-12-05T21:48:47.104Z"/>
  <w16cex:commentExtensible w16cex:durableId="61671262" w16cex:dateUtc="2024-12-05T09:07:59.891Z"/>
  <w16cex:commentExtensible w16cex:durableId="1F3E1831" w16cex:dateUtc="2024-12-05T09:11:40.21Z"/>
  <w16cex:commentExtensible w16cex:durableId="04AF63F7" w16cex:dateUtc="2024-12-05T09:12:33.145Z"/>
  <w16cex:commentExtensible w16cex:durableId="5135C6A9" w16cex:dateUtc="2024-12-05T09:12:57.482Z"/>
  <w16cex:commentExtensible w16cex:durableId="3862E9C9" w16cex:dateUtc="2024-12-05T09:30:26.32Z"/>
  <w16cex:commentExtensible w16cex:durableId="3DC1E4B9" w16cex:dateUtc="2024-12-05T09:31:03.855Z"/>
  <w16cex:commentExtensible w16cex:durableId="338BCE7E" w16cex:dateUtc="2024-12-05T09:31:28.766Z"/>
  <w16cex:commentExtensible w16cex:durableId="6D84AC56" w16cex:dateUtc="2024-12-05T09:31:46.641Z"/>
  <w16cex:commentExtensible w16cex:durableId="15687DBF" w16cex:dateUtc="2024-12-05T09:32:03.336Z"/>
  <w16cex:commentExtensible w16cex:durableId="68C9C7A7" w16cex:dateUtc="2024-12-05T09:33:59.565Z"/>
  <w16cex:commentExtensible w16cex:durableId="4DA451A6" w16cex:dateUtc="2024-12-05T09:34:16.573Z"/>
  <w16cex:commentExtensible w16cex:durableId="0FEDBD9A" w16cex:dateUtc="2024-12-05T09:34:30.273Z"/>
  <w16cex:commentExtensible w16cex:durableId="19A189E2" w16cex:dateUtc="2024-12-05T11:46:25.674Z"/>
  <w16cex:commentExtensible w16cex:durableId="6DF03727" w16cex:dateUtc="2024-12-06T08:05:13.856Z"/>
  <w16cex:commentExtensible w16cex:durableId="7450A054" w16cex:dateUtc="2024-12-06T08:33:53.08Z"/>
  <w16cex:commentExtensible w16cex:durableId="32CFAC68" w16cex:dateUtc="2024-12-06T07:56:42.424Z"/>
  <w16cex:commentExtensible w16cex:durableId="63F5F73C" w16cex:dateUtc="2024-12-09T11:04:52.679Z"/>
  <w16cex:commentExtensible w16cex:durableId="57B934BD" w16cex:dateUtc="2024-12-09T11:29:31.975Z"/>
  <w16cex:commentExtensible w16cex:durableId="2152BFAC" w16cex:dateUtc="2024-12-09T11:48:56.942Z"/>
  <w16cex:commentExtensible w16cex:durableId="5F014DA7" w16cex:dateUtc="2024-12-09T11:51:56.495Z"/>
  <w16cex:commentExtensible w16cex:durableId="6C3CD4B1" w16cex:dateUtc="2024-12-09T12:46:13.63Z"/>
  <w16cex:commentExtensible w16cex:durableId="287BA8C2" w16cex:dateUtc="2024-12-09T12:49:22.156Z"/>
  <w16cex:commentExtensible w16cex:durableId="04483E03" w16cex:dateUtc="2024-12-09T13:35:09.229Z"/>
  <w16cex:commentExtensible w16cex:durableId="7DE866FD" w16cex:dateUtc="2024-12-09T13:37:20.857Z"/>
  <w16cex:commentExtensible w16cex:durableId="1DA093D4" w16cex:dateUtc="2024-12-09T13:51:28.79Z"/>
  <w16cex:commentExtensible w16cex:durableId="30E5504D" w16cex:dateUtc="2024-12-10T10:44:31.575Z"/>
  <w16cex:commentExtensible w16cex:durableId="6B4C7FA7" w16cex:dateUtc="2024-12-10T11:17:29.132Z"/>
  <w16cex:commentExtensible w16cex:durableId="56A19E79" w16cex:dateUtc="2024-12-11T04:03:42.674Z"/>
  <w16cex:commentExtensible w16cex:durableId="4797FD81" w16cex:dateUtc="2024-12-11T04:10:50.058Z"/>
  <w16cex:commentExtensible w16cex:durableId="3942E115" w16cex:dateUtc="2024-12-11T04:12:48.36Z"/>
  <w16cex:commentExtensible w16cex:durableId="2292D5AF" w16cex:dateUtc="2024-12-11T04:20:29.47Z"/>
  <w16cex:commentExtensible w16cex:durableId="7E78BC8F" w16cex:dateUtc="2024-12-11T04:55:15.493Z"/>
  <w16cex:commentExtensible w16cex:durableId="23EC2C9A" w16cex:dateUtc="2024-12-11T05:01:10.658Z"/>
  <w16cex:commentExtensible w16cex:durableId="0A086ED2" w16cex:dateUtc="2024-12-11T05:09:12.144Z"/>
  <w16cex:commentExtensible w16cex:durableId="4BB1603A" w16cex:dateUtc="2024-12-11T05:13:10.858Z"/>
  <w16cex:commentExtensible w16cex:durableId="7E80E732" w16cex:dateUtc="2024-12-11T05:18:42.962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22C294" w14:textId="77777777" w:rsidR="00716120" w:rsidRDefault="00716120" w:rsidP="0017000C">
      <w:pPr>
        <w:spacing w:after="0" w:line="240" w:lineRule="auto"/>
      </w:pPr>
      <w:r>
        <w:separator/>
      </w:r>
    </w:p>
  </w:endnote>
  <w:endnote w:type="continuationSeparator" w:id="0">
    <w:p w14:paraId="2ECB35A3" w14:textId="77777777" w:rsidR="00716120" w:rsidRDefault="00716120" w:rsidP="001700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00002FF" w:usb1="4000ACFF" w:usb2="00000001" w:usb3="00000000" w:csb0="0000019F" w:csb1="00000000"/>
  </w:font>
  <w:font w:name="Aptos">
    <w:altName w:val="Calibri"/>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Carlito">
    <w:altName w:val="Calibri"/>
    <w:charset w:val="00"/>
    <w:family w:val="swiss"/>
    <w:pitch w:val="variable"/>
  </w:font>
  <w:font w:name="Aptos Display">
    <w:altName w:val="Calibri"/>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11DB00" w14:textId="77777777" w:rsidR="00716120" w:rsidRDefault="00716120" w:rsidP="0017000C">
      <w:pPr>
        <w:spacing w:after="0" w:line="240" w:lineRule="auto"/>
      </w:pPr>
      <w:r>
        <w:separator/>
      </w:r>
    </w:p>
  </w:footnote>
  <w:footnote w:type="continuationSeparator" w:id="0">
    <w:p w14:paraId="21F9CE67" w14:textId="77777777" w:rsidR="00716120" w:rsidRDefault="00716120" w:rsidP="0017000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7DF2F"/>
    <w:multiLevelType w:val="hybridMultilevel"/>
    <w:tmpl w:val="57F265A4"/>
    <w:lvl w:ilvl="0" w:tplc="C83C5FF6">
      <w:start w:val="1"/>
      <w:numFmt w:val="bullet"/>
      <w:lvlText w:val=""/>
      <w:lvlJc w:val="left"/>
      <w:pPr>
        <w:ind w:left="720" w:hanging="360"/>
      </w:pPr>
      <w:rPr>
        <w:rFonts w:ascii="Symbol" w:hAnsi="Symbol" w:hint="default"/>
      </w:rPr>
    </w:lvl>
    <w:lvl w:ilvl="1" w:tplc="DE4E0ACA">
      <w:start w:val="1"/>
      <w:numFmt w:val="bullet"/>
      <w:lvlText w:val="o"/>
      <w:lvlJc w:val="left"/>
      <w:pPr>
        <w:ind w:left="1440" w:hanging="360"/>
      </w:pPr>
      <w:rPr>
        <w:rFonts w:ascii="Courier New" w:hAnsi="Courier New" w:hint="default"/>
      </w:rPr>
    </w:lvl>
    <w:lvl w:ilvl="2" w:tplc="302C54C6">
      <w:start w:val="1"/>
      <w:numFmt w:val="bullet"/>
      <w:lvlText w:val=""/>
      <w:lvlJc w:val="left"/>
      <w:pPr>
        <w:ind w:left="2160" w:hanging="360"/>
      </w:pPr>
      <w:rPr>
        <w:rFonts w:ascii="Wingdings" w:hAnsi="Wingdings" w:hint="default"/>
      </w:rPr>
    </w:lvl>
    <w:lvl w:ilvl="3" w:tplc="B4666462">
      <w:start w:val="1"/>
      <w:numFmt w:val="bullet"/>
      <w:lvlText w:val=""/>
      <w:lvlJc w:val="left"/>
      <w:pPr>
        <w:ind w:left="2880" w:hanging="360"/>
      </w:pPr>
      <w:rPr>
        <w:rFonts w:ascii="Symbol" w:hAnsi="Symbol" w:hint="default"/>
      </w:rPr>
    </w:lvl>
    <w:lvl w:ilvl="4" w:tplc="5FD02CEE">
      <w:start w:val="1"/>
      <w:numFmt w:val="bullet"/>
      <w:lvlText w:val="o"/>
      <w:lvlJc w:val="left"/>
      <w:pPr>
        <w:ind w:left="3600" w:hanging="360"/>
      </w:pPr>
      <w:rPr>
        <w:rFonts w:ascii="Courier New" w:hAnsi="Courier New" w:hint="default"/>
      </w:rPr>
    </w:lvl>
    <w:lvl w:ilvl="5" w:tplc="0936CE4E">
      <w:start w:val="1"/>
      <w:numFmt w:val="bullet"/>
      <w:lvlText w:val=""/>
      <w:lvlJc w:val="left"/>
      <w:pPr>
        <w:ind w:left="4320" w:hanging="360"/>
      </w:pPr>
      <w:rPr>
        <w:rFonts w:ascii="Wingdings" w:hAnsi="Wingdings" w:hint="default"/>
      </w:rPr>
    </w:lvl>
    <w:lvl w:ilvl="6" w:tplc="06065708">
      <w:start w:val="1"/>
      <w:numFmt w:val="bullet"/>
      <w:lvlText w:val=""/>
      <w:lvlJc w:val="left"/>
      <w:pPr>
        <w:ind w:left="5040" w:hanging="360"/>
      </w:pPr>
      <w:rPr>
        <w:rFonts w:ascii="Symbol" w:hAnsi="Symbol" w:hint="default"/>
      </w:rPr>
    </w:lvl>
    <w:lvl w:ilvl="7" w:tplc="37E0FBC0">
      <w:start w:val="1"/>
      <w:numFmt w:val="bullet"/>
      <w:lvlText w:val="o"/>
      <w:lvlJc w:val="left"/>
      <w:pPr>
        <w:ind w:left="5760" w:hanging="360"/>
      </w:pPr>
      <w:rPr>
        <w:rFonts w:ascii="Courier New" w:hAnsi="Courier New" w:hint="default"/>
      </w:rPr>
    </w:lvl>
    <w:lvl w:ilvl="8" w:tplc="B382F32A">
      <w:start w:val="1"/>
      <w:numFmt w:val="bullet"/>
      <w:lvlText w:val=""/>
      <w:lvlJc w:val="left"/>
      <w:pPr>
        <w:ind w:left="6480" w:hanging="360"/>
      </w:pPr>
      <w:rPr>
        <w:rFonts w:ascii="Wingdings" w:hAnsi="Wingdings" w:hint="default"/>
      </w:rPr>
    </w:lvl>
  </w:abstractNum>
  <w:abstractNum w:abstractNumId="1" w15:restartNumberingAfterBreak="0">
    <w:nsid w:val="05733824"/>
    <w:multiLevelType w:val="hybridMultilevel"/>
    <w:tmpl w:val="FFA60B86"/>
    <w:lvl w:ilvl="0" w:tplc="89284666">
      <w:start w:val="1"/>
      <w:numFmt w:val="bullet"/>
      <w:lvlText w:val="•"/>
      <w:lvlJc w:val="left"/>
      <w:pPr>
        <w:ind w:left="106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F482FAA">
      <w:start w:val="1"/>
      <w:numFmt w:val="bullet"/>
      <w:lvlText w:val="o"/>
      <w:lvlJc w:val="left"/>
      <w:pPr>
        <w:ind w:left="142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B0AADCA">
      <w:start w:val="1"/>
      <w:numFmt w:val="bullet"/>
      <w:lvlText w:val="▪"/>
      <w:lvlJc w:val="left"/>
      <w:pPr>
        <w:ind w:left="214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B2E8152">
      <w:start w:val="1"/>
      <w:numFmt w:val="bullet"/>
      <w:lvlText w:val="•"/>
      <w:lvlJc w:val="left"/>
      <w:pPr>
        <w:ind w:left="286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3E6EDD6">
      <w:start w:val="1"/>
      <w:numFmt w:val="bullet"/>
      <w:lvlText w:val="o"/>
      <w:lvlJc w:val="left"/>
      <w:pPr>
        <w:ind w:left="358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A583E3E">
      <w:start w:val="1"/>
      <w:numFmt w:val="bullet"/>
      <w:lvlText w:val="▪"/>
      <w:lvlJc w:val="left"/>
      <w:pPr>
        <w:ind w:left="430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5D06488">
      <w:start w:val="1"/>
      <w:numFmt w:val="bullet"/>
      <w:lvlText w:val="•"/>
      <w:lvlJc w:val="left"/>
      <w:pPr>
        <w:ind w:left="50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E462C28">
      <w:start w:val="1"/>
      <w:numFmt w:val="bullet"/>
      <w:lvlText w:val="o"/>
      <w:lvlJc w:val="left"/>
      <w:pPr>
        <w:ind w:left="574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480F8A2">
      <w:start w:val="1"/>
      <w:numFmt w:val="bullet"/>
      <w:lvlText w:val="▪"/>
      <w:lvlJc w:val="left"/>
      <w:pPr>
        <w:ind w:left="646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00DD412"/>
    <w:multiLevelType w:val="hybridMultilevel"/>
    <w:tmpl w:val="92DEC7C0"/>
    <w:lvl w:ilvl="0" w:tplc="B3C8A146">
      <w:start w:val="1"/>
      <w:numFmt w:val="bullet"/>
      <w:lvlText w:val=""/>
      <w:lvlJc w:val="left"/>
      <w:pPr>
        <w:ind w:left="720" w:hanging="360"/>
      </w:pPr>
      <w:rPr>
        <w:rFonts w:ascii="Symbol" w:hAnsi="Symbol" w:hint="default"/>
      </w:rPr>
    </w:lvl>
    <w:lvl w:ilvl="1" w:tplc="881AB322">
      <w:start w:val="1"/>
      <w:numFmt w:val="bullet"/>
      <w:lvlText w:val="o"/>
      <w:lvlJc w:val="left"/>
      <w:pPr>
        <w:ind w:left="1440" w:hanging="360"/>
      </w:pPr>
      <w:rPr>
        <w:rFonts w:ascii="Courier New" w:hAnsi="Courier New" w:hint="default"/>
      </w:rPr>
    </w:lvl>
    <w:lvl w:ilvl="2" w:tplc="AAAAE77E">
      <w:start w:val="1"/>
      <w:numFmt w:val="bullet"/>
      <w:lvlText w:val=""/>
      <w:lvlJc w:val="left"/>
      <w:pPr>
        <w:ind w:left="2160" w:hanging="360"/>
      </w:pPr>
      <w:rPr>
        <w:rFonts w:ascii="Wingdings" w:hAnsi="Wingdings" w:hint="default"/>
      </w:rPr>
    </w:lvl>
    <w:lvl w:ilvl="3" w:tplc="78AE4338">
      <w:start w:val="1"/>
      <w:numFmt w:val="bullet"/>
      <w:lvlText w:val=""/>
      <w:lvlJc w:val="left"/>
      <w:pPr>
        <w:ind w:left="2880" w:hanging="360"/>
      </w:pPr>
      <w:rPr>
        <w:rFonts w:ascii="Symbol" w:hAnsi="Symbol" w:hint="default"/>
      </w:rPr>
    </w:lvl>
    <w:lvl w:ilvl="4" w:tplc="34BEED4E">
      <w:start w:val="1"/>
      <w:numFmt w:val="bullet"/>
      <w:lvlText w:val="o"/>
      <w:lvlJc w:val="left"/>
      <w:pPr>
        <w:ind w:left="3600" w:hanging="360"/>
      </w:pPr>
      <w:rPr>
        <w:rFonts w:ascii="Courier New" w:hAnsi="Courier New" w:hint="default"/>
      </w:rPr>
    </w:lvl>
    <w:lvl w:ilvl="5" w:tplc="84927AAE">
      <w:start w:val="1"/>
      <w:numFmt w:val="bullet"/>
      <w:lvlText w:val=""/>
      <w:lvlJc w:val="left"/>
      <w:pPr>
        <w:ind w:left="4320" w:hanging="360"/>
      </w:pPr>
      <w:rPr>
        <w:rFonts w:ascii="Wingdings" w:hAnsi="Wingdings" w:hint="default"/>
      </w:rPr>
    </w:lvl>
    <w:lvl w:ilvl="6" w:tplc="EB548DA2">
      <w:start w:val="1"/>
      <w:numFmt w:val="bullet"/>
      <w:lvlText w:val=""/>
      <w:lvlJc w:val="left"/>
      <w:pPr>
        <w:ind w:left="5040" w:hanging="360"/>
      </w:pPr>
      <w:rPr>
        <w:rFonts w:ascii="Symbol" w:hAnsi="Symbol" w:hint="default"/>
      </w:rPr>
    </w:lvl>
    <w:lvl w:ilvl="7" w:tplc="FA24B946">
      <w:start w:val="1"/>
      <w:numFmt w:val="bullet"/>
      <w:lvlText w:val="o"/>
      <w:lvlJc w:val="left"/>
      <w:pPr>
        <w:ind w:left="5760" w:hanging="360"/>
      </w:pPr>
      <w:rPr>
        <w:rFonts w:ascii="Courier New" w:hAnsi="Courier New" w:hint="default"/>
      </w:rPr>
    </w:lvl>
    <w:lvl w:ilvl="8" w:tplc="41D28798">
      <w:start w:val="1"/>
      <w:numFmt w:val="bullet"/>
      <w:lvlText w:val=""/>
      <w:lvlJc w:val="left"/>
      <w:pPr>
        <w:ind w:left="6480" w:hanging="360"/>
      </w:pPr>
      <w:rPr>
        <w:rFonts w:ascii="Wingdings" w:hAnsi="Wingdings" w:hint="default"/>
      </w:rPr>
    </w:lvl>
  </w:abstractNum>
  <w:abstractNum w:abstractNumId="3" w15:restartNumberingAfterBreak="0">
    <w:nsid w:val="1B18DC28"/>
    <w:multiLevelType w:val="hybridMultilevel"/>
    <w:tmpl w:val="708057AC"/>
    <w:lvl w:ilvl="0" w:tplc="F42277A4">
      <w:start w:val="1"/>
      <w:numFmt w:val="bullet"/>
      <w:lvlText w:val=""/>
      <w:lvlJc w:val="left"/>
      <w:pPr>
        <w:ind w:left="720" w:hanging="360"/>
      </w:pPr>
      <w:rPr>
        <w:rFonts w:ascii="Symbol" w:hAnsi="Symbol" w:hint="default"/>
      </w:rPr>
    </w:lvl>
    <w:lvl w:ilvl="1" w:tplc="29366476">
      <w:start w:val="1"/>
      <w:numFmt w:val="bullet"/>
      <w:lvlText w:val="o"/>
      <w:lvlJc w:val="left"/>
      <w:pPr>
        <w:ind w:left="1440" w:hanging="360"/>
      </w:pPr>
      <w:rPr>
        <w:rFonts w:ascii="Courier New" w:hAnsi="Courier New" w:hint="default"/>
      </w:rPr>
    </w:lvl>
    <w:lvl w:ilvl="2" w:tplc="98127BA4">
      <w:start w:val="1"/>
      <w:numFmt w:val="bullet"/>
      <w:lvlText w:val=""/>
      <w:lvlJc w:val="left"/>
      <w:pPr>
        <w:ind w:left="2160" w:hanging="360"/>
      </w:pPr>
      <w:rPr>
        <w:rFonts w:ascii="Wingdings" w:hAnsi="Wingdings" w:hint="default"/>
      </w:rPr>
    </w:lvl>
    <w:lvl w:ilvl="3" w:tplc="DA78A852">
      <w:start w:val="1"/>
      <w:numFmt w:val="bullet"/>
      <w:lvlText w:val=""/>
      <w:lvlJc w:val="left"/>
      <w:pPr>
        <w:ind w:left="2880" w:hanging="360"/>
      </w:pPr>
      <w:rPr>
        <w:rFonts w:ascii="Symbol" w:hAnsi="Symbol" w:hint="default"/>
      </w:rPr>
    </w:lvl>
    <w:lvl w:ilvl="4" w:tplc="C428EE18">
      <w:start w:val="1"/>
      <w:numFmt w:val="bullet"/>
      <w:lvlText w:val="o"/>
      <w:lvlJc w:val="left"/>
      <w:pPr>
        <w:ind w:left="3600" w:hanging="360"/>
      </w:pPr>
      <w:rPr>
        <w:rFonts w:ascii="Courier New" w:hAnsi="Courier New" w:hint="default"/>
      </w:rPr>
    </w:lvl>
    <w:lvl w:ilvl="5" w:tplc="CD9201F4">
      <w:start w:val="1"/>
      <w:numFmt w:val="bullet"/>
      <w:lvlText w:val=""/>
      <w:lvlJc w:val="left"/>
      <w:pPr>
        <w:ind w:left="4320" w:hanging="360"/>
      </w:pPr>
      <w:rPr>
        <w:rFonts w:ascii="Wingdings" w:hAnsi="Wingdings" w:hint="default"/>
      </w:rPr>
    </w:lvl>
    <w:lvl w:ilvl="6" w:tplc="48A0B6D6">
      <w:start w:val="1"/>
      <w:numFmt w:val="bullet"/>
      <w:lvlText w:val=""/>
      <w:lvlJc w:val="left"/>
      <w:pPr>
        <w:ind w:left="5040" w:hanging="360"/>
      </w:pPr>
      <w:rPr>
        <w:rFonts w:ascii="Symbol" w:hAnsi="Symbol" w:hint="default"/>
      </w:rPr>
    </w:lvl>
    <w:lvl w:ilvl="7" w:tplc="D3FA9732">
      <w:start w:val="1"/>
      <w:numFmt w:val="bullet"/>
      <w:lvlText w:val="o"/>
      <w:lvlJc w:val="left"/>
      <w:pPr>
        <w:ind w:left="5760" w:hanging="360"/>
      </w:pPr>
      <w:rPr>
        <w:rFonts w:ascii="Courier New" w:hAnsi="Courier New" w:hint="default"/>
      </w:rPr>
    </w:lvl>
    <w:lvl w:ilvl="8" w:tplc="E9D8CBAC">
      <w:start w:val="1"/>
      <w:numFmt w:val="bullet"/>
      <w:lvlText w:val=""/>
      <w:lvlJc w:val="left"/>
      <w:pPr>
        <w:ind w:left="6480" w:hanging="360"/>
      </w:pPr>
      <w:rPr>
        <w:rFonts w:ascii="Wingdings" w:hAnsi="Wingdings" w:hint="default"/>
      </w:rPr>
    </w:lvl>
  </w:abstractNum>
  <w:abstractNum w:abstractNumId="4" w15:restartNumberingAfterBreak="0">
    <w:nsid w:val="215C7D7A"/>
    <w:multiLevelType w:val="hybridMultilevel"/>
    <w:tmpl w:val="8AB6E30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15:restartNumberingAfterBreak="0">
    <w:nsid w:val="36F8D419"/>
    <w:multiLevelType w:val="hybridMultilevel"/>
    <w:tmpl w:val="12C68DAE"/>
    <w:lvl w:ilvl="0" w:tplc="E20EED4C">
      <w:start w:val="1"/>
      <w:numFmt w:val="decimal"/>
      <w:lvlText w:val="%1."/>
      <w:lvlJc w:val="left"/>
      <w:pPr>
        <w:ind w:left="720" w:hanging="360"/>
      </w:pPr>
      <w:rPr>
        <w:rFonts w:ascii="Calibri" w:hAnsi="Calibri" w:hint="default"/>
      </w:rPr>
    </w:lvl>
    <w:lvl w:ilvl="1" w:tplc="3E34C1FC">
      <w:start w:val="1"/>
      <w:numFmt w:val="lowerLetter"/>
      <w:lvlText w:val="%2."/>
      <w:lvlJc w:val="left"/>
      <w:pPr>
        <w:ind w:left="1440" w:hanging="360"/>
      </w:pPr>
    </w:lvl>
    <w:lvl w:ilvl="2" w:tplc="946ED93A">
      <w:start w:val="1"/>
      <w:numFmt w:val="lowerRoman"/>
      <w:lvlText w:val="%3."/>
      <w:lvlJc w:val="right"/>
      <w:pPr>
        <w:ind w:left="2160" w:hanging="180"/>
      </w:pPr>
    </w:lvl>
    <w:lvl w:ilvl="3" w:tplc="078CC44C">
      <w:start w:val="1"/>
      <w:numFmt w:val="decimal"/>
      <w:lvlText w:val="%4."/>
      <w:lvlJc w:val="left"/>
      <w:pPr>
        <w:ind w:left="2880" w:hanging="360"/>
      </w:pPr>
    </w:lvl>
    <w:lvl w:ilvl="4" w:tplc="1290752A">
      <w:start w:val="1"/>
      <w:numFmt w:val="lowerLetter"/>
      <w:lvlText w:val="%5."/>
      <w:lvlJc w:val="left"/>
      <w:pPr>
        <w:ind w:left="3600" w:hanging="360"/>
      </w:pPr>
    </w:lvl>
    <w:lvl w:ilvl="5" w:tplc="666CAC10">
      <w:start w:val="1"/>
      <w:numFmt w:val="lowerRoman"/>
      <w:lvlText w:val="%6."/>
      <w:lvlJc w:val="right"/>
      <w:pPr>
        <w:ind w:left="4320" w:hanging="180"/>
      </w:pPr>
    </w:lvl>
    <w:lvl w:ilvl="6" w:tplc="7130A69A">
      <w:start w:val="1"/>
      <w:numFmt w:val="decimal"/>
      <w:lvlText w:val="%7."/>
      <w:lvlJc w:val="left"/>
      <w:pPr>
        <w:ind w:left="5040" w:hanging="360"/>
      </w:pPr>
    </w:lvl>
    <w:lvl w:ilvl="7" w:tplc="CAEA1F4A">
      <w:start w:val="1"/>
      <w:numFmt w:val="lowerLetter"/>
      <w:lvlText w:val="%8."/>
      <w:lvlJc w:val="left"/>
      <w:pPr>
        <w:ind w:left="5760" w:hanging="360"/>
      </w:pPr>
    </w:lvl>
    <w:lvl w:ilvl="8" w:tplc="D304C140">
      <w:start w:val="1"/>
      <w:numFmt w:val="lowerRoman"/>
      <w:lvlText w:val="%9."/>
      <w:lvlJc w:val="right"/>
      <w:pPr>
        <w:ind w:left="6480" w:hanging="180"/>
      </w:pPr>
    </w:lvl>
  </w:abstractNum>
  <w:abstractNum w:abstractNumId="6" w15:restartNumberingAfterBreak="0">
    <w:nsid w:val="43C14036"/>
    <w:multiLevelType w:val="hybridMultilevel"/>
    <w:tmpl w:val="5EC87B4E"/>
    <w:lvl w:ilvl="0" w:tplc="C46CE5A8">
      <w:start w:val="1"/>
      <w:numFmt w:val="bullet"/>
      <w:lvlText w:val=""/>
      <w:lvlJc w:val="left"/>
      <w:pPr>
        <w:ind w:left="720" w:hanging="360"/>
      </w:pPr>
      <w:rPr>
        <w:rFonts w:ascii="Symbol" w:hAnsi="Symbol" w:hint="default"/>
      </w:rPr>
    </w:lvl>
    <w:lvl w:ilvl="1" w:tplc="24C02B92">
      <w:start w:val="1"/>
      <w:numFmt w:val="bullet"/>
      <w:lvlText w:val="o"/>
      <w:lvlJc w:val="left"/>
      <w:pPr>
        <w:ind w:left="1440" w:hanging="360"/>
      </w:pPr>
      <w:rPr>
        <w:rFonts w:ascii="Courier New" w:hAnsi="Courier New" w:hint="default"/>
      </w:rPr>
    </w:lvl>
    <w:lvl w:ilvl="2" w:tplc="002CD6FC">
      <w:start w:val="1"/>
      <w:numFmt w:val="bullet"/>
      <w:lvlText w:val=""/>
      <w:lvlJc w:val="left"/>
      <w:pPr>
        <w:ind w:left="2160" w:hanging="360"/>
      </w:pPr>
      <w:rPr>
        <w:rFonts w:ascii="Wingdings" w:hAnsi="Wingdings" w:hint="default"/>
      </w:rPr>
    </w:lvl>
    <w:lvl w:ilvl="3" w:tplc="2B2EFB6A">
      <w:start w:val="1"/>
      <w:numFmt w:val="bullet"/>
      <w:lvlText w:val=""/>
      <w:lvlJc w:val="left"/>
      <w:pPr>
        <w:ind w:left="2880" w:hanging="360"/>
      </w:pPr>
      <w:rPr>
        <w:rFonts w:ascii="Symbol" w:hAnsi="Symbol" w:hint="default"/>
      </w:rPr>
    </w:lvl>
    <w:lvl w:ilvl="4" w:tplc="BE4C0064">
      <w:start w:val="1"/>
      <w:numFmt w:val="bullet"/>
      <w:lvlText w:val="o"/>
      <w:lvlJc w:val="left"/>
      <w:pPr>
        <w:ind w:left="3600" w:hanging="360"/>
      </w:pPr>
      <w:rPr>
        <w:rFonts w:ascii="Courier New" w:hAnsi="Courier New" w:hint="default"/>
      </w:rPr>
    </w:lvl>
    <w:lvl w:ilvl="5" w:tplc="450C6054">
      <w:start w:val="1"/>
      <w:numFmt w:val="bullet"/>
      <w:lvlText w:val=""/>
      <w:lvlJc w:val="left"/>
      <w:pPr>
        <w:ind w:left="4320" w:hanging="360"/>
      </w:pPr>
      <w:rPr>
        <w:rFonts w:ascii="Wingdings" w:hAnsi="Wingdings" w:hint="default"/>
      </w:rPr>
    </w:lvl>
    <w:lvl w:ilvl="6" w:tplc="D00ABCF6">
      <w:start w:val="1"/>
      <w:numFmt w:val="bullet"/>
      <w:lvlText w:val=""/>
      <w:lvlJc w:val="left"/>
      <w:pPr>
        <w:ind w:left="5040" w:hanging="360"/>
      </w:pPr>
      <w:rPr>
        <w:rFonts w:ascii="Symbol" w:hAnsi="Symbol" w:hint="default"/>
      </w:rPr>
    </w:lvl>
    <w:lvl w:ilvl="7" w:tplc="DD803C88">
      <w:start w:val="1"/>
      <w:numFmt w:val="bullet"/>
      <w:lvlText w:val="o"/>
      <w:lvlJc w:val="left"/>
      <w:pPr>
        <w:ind w:left="5760" w:hanging="360"/>
      </w:pPr>
      <w:rPr>
        <w:rFonts w:ascii="Courier New" w:hAnsi="Courier New" w:hint="default"/>
      </w:rPr>
    </w:lvl>
    <w:lvl w:ilvl="8" w:tplc="9E46894A">
      <w:start w:val="1"/>
      <w:numFmt w:val="bullet"/>
      <w:lvlText w:val=""/>
      <w:lvlJc w:val="left"/>
      <w:pPr>
        <w:ind w:left="6480" w:hanging="360"/>
      </w:pPr>
      <w:rPr>
        <w:rFonts w:ascii="Wingdings" w:hAnsi="Wingdings" w:hint="default"/>
      </w:rPr>
    </w:lvl>
  </w:abstractNum>
  <w:abstractNum w:abstractNumId="7" w15:restartNumberingAfterBreak="0">
    <w:nsid w:val="67C9B18E"/>
    <w:multiLevelType w:val="hybridMultilevel"/>
    <w:tmpl w:val="7C52B242"/>
    <w:lvl w:ilvl="0" w:tplc="1EA4CE5C">
      <w:start w:val="1"/>
      <w:numFmt w:val="decimal"/>
      <w:lvlText w:val="%1."/>
      <w:lvlJc w:val="left"/>
      <w:pPr>
        <w:ind w:left="720" w:hanging="360"/>
      </w:pPr>
      <w:rPr>
        <w:rFonts w:ascii="Calibri" w:hAnsi="Calibri" w:hint="default"/>
      </w:rPr>
    </w:lvl>
    <w:lvl w:ilvl="1" w:tplc="13A8956C">
      <w:start w:val="1"/>
      <w:numFmt w:val="lowerLetter"/>
      <w:lvlText w:val="%2."/>
      <w:lvlJc w:val="left"/>
      <w:pPr>
        <w:ind w:left="1440" w:hanging="360"/>
      </w:pPr>
    </w:lvl>
    <w:lvl w:ilvl="2" w:tplc="F5D4573E">
      <w:start w:val="1"/>
      <w:numFmt w:val="lowerRoman"/>
      <w:lvlText w:val="%3."/>
      <w:lvlJc w:val="right"/>
      <w:pPr>
        <w:ind w:left="2160" w:hanging="180"/>
      </w:pPr>
    </w:lvl>
    <w:lvl w:ilvl="3" w:tplc="6902FD34">
      <w:start w:val="1"/>
      <w:numFmt w:val="decimal"/>
      <w:lvlText w:val="%4."/>
      <w:lvlJc w:val="left"/>
      <w:pPr>
        <w:ind w:left="2880" w:hanging="360"/>
      </w:pPr>
    </w:lvl>
    <w:lvl w:ilvl="4" w:tplc="59E4F2D2">
      <w:start w:val="1"/>
      <w:numFmt w:val="lowerLetter"/>
      <w:lvlText w:val="%5."/>
      <w:lvlJc w:val="left"/>
      <w:pPr>
        <w:ind w:left="3600" w:hanging="360"/>
      </w:pPr>
    </w:lvl>
    <w:lvl w:ilvl="5" w:tplc="FD1019CA">
      <w:start w:val="1"/>
      <w:numFmt w:val="lowerRoman"/>
      <w:lvlText w:val="%6."/>
      <w:lvlJc w:val="right"/>
      <w:pPr>
        <w:ind w:left="4320" w:hanging="180"/>
      </w:pPr>
    </w:lvl>
    <w:lvl w:ilvl="6" w:tplc="C73CE3C0">
      <w:start w:val="1"/>
      <w:numFmt w:val="decimal"/>
      <w:lvlText w:val="%7."/>
      <w:lvlJc w:val="left"/>
      <w:pPr>
        <w:ind w:left="5040" w:hanging="360"/>
      </w:pPr>
    </w:lvl>
    <w:lvl w:ilvl="7" w:tplc="EB34DF18">
      <w:start w:val="1"/>
      <w:numFmt w:val="lowerLetter"/>
      <w:lvlText w:val="%8."/>
      <w:lvlJc w:val="left"/>
      <w:pPr>
        <w:ind w:left="5760" w:hanging="360"/>
      </w:pPr>
    </w:lvl>
    <w:lvl w:ilvl="8" w:tplc="486CD84E">
      <w:start w:val="1"/>
      <w:numFmt w:val="lowerRoman"/>
      <w:lvlText w:val="%9."/>
      <w:lvlJc w:val="right"/>
      <w:pPr>
        <w:ind w:left="6480" w:hanging="180"/>
      </w:pPr>
    </w:lvl>
  </w:abstractNum>
  <w:abstractNum w:abstractNumId="8" w15:restartNumberingAfterBreak="0">
    <w:nsid w:val="6AF82BD9"/>
    <w:multiLevelType w:val="hybridMultilevel"/>
    <w:tmpl w:val="8404FD4E"/>
    <w:lvl w:ilvl="0" w:tplc="353CB59C">
      <w:start w:val="1"/>
      <w:numFmt w:val="bullet"/>
      <w:lvlText w:val=""/>
      <w:lvlJc w:val="left"/>
      <w:pPr>
        <w:ind w:left="720" w:hanging="360"/>
      </w:pPr>
      <w:rPr>
        <w:rFonts w:ascii="Symbol" w:hAnsi="Symbol" w:hint="default"/>
      </w:rPr>
    </w:lvl>
    <w:lvl w:ilvl="1" w:tplc="D94CBDB8">
      <w:start w:val="1"/>
      <w:numFmt w:val="bullet"/>
      <w:lvlText w:val="o"/>
      <w:lvlJc w:val="left"/>
      <w:pPr>
        <w:ind w:left="1440" w:hanging="360"/>
      </w:pPr>
      <w:rPr>
        <w:rFonts w:ascii="Courier New" w:hAnsi="Courier New" w:hint="default"/>
      </w:rPr>
    </w:lvl>
    <w:lvl w:ilvl="2" w:tplc="B99AF2EC">
      <w:start w:val="1"/>
      <w:numFmt w:val="bullet"/>
      <w:lvlText w:val=""/>
      <w:lvlJc w:val="left"/>
      <w:pPr>
        <w:ind w:left="2160" w:hanging="360"/>
      </w:pPr>
      <w:rPr>
        <w:rFonts w:ascii="Wingdings" w:hAnsi="Wingdings" w:hint="default"/>
      </w:rPr>
    </w:lvl>
    <w:lvl w:ilvl="3" w:tplc="D82225E4">
      <w:start w:val="1"/>
      <w:numFmt w:val="bullet"/>
      <w:lvlText w:val=""/>
      <w:lvlJc w:val="left"/>
      <w:pPr>
        <w:ind w:left="2880" w:hanging="360"/>
      </w:pPr>
      <w:rPr>
        <w:rFonts w:ascii="Symbol" w:hAnsi="Symbol" w:hint="default"/>
      </w:rPr>
    </w:lvl>
    <w:lvl w:ilvl="4" w:tplc="DE60CAEC">
      <w:start w:val="1"/>
      <w:numFmt w:val="bullet"/>
      <w:lvlText w:val="o"/>
      <w:lvlJc w:val="left"/>
      <w:pPr>
        <w:ind w:left="3600" w:hanging="360"/>
      </w:pPr>
      <w:rPr>
        <w:rFonts w:ascii="Courier New" w:hAnsi="Courier New" w:hint="default"/>
      </w:rPr>
    </w:lvl>
    <w:lvl w:ilvl="5" w:tplc="7890C59A">
      <w:start w:val="1"/>
      <w:numFmt w:val="bullet"/>
      <w:lvlText w:val=""/>
      <w:lvlJc w:val="left"/>
      <w:pPr>
        <w:ind w:left="4320" w:hanging="360"/>
      </w:pPr>
      <w:rPr>
        <w:rFonts w:ascii="Wingdings" w:hAnsi="Wingdings" w:hint="default"/>
      </w:rPr>
    </w:lvl>
    <w:lvl w:ilvl="6" w:tplc="1892D822">
      <w:start w:val="1"/>
      <w:numFmt w:val="bullet"/>
      <w:lvlText w:val=""/>
      <w:lvlJc w:val="left"/>
      <w:pPr>
        <w:ind w:left="5040" w:hanging="360"/>
      </w:pPr>
      <w:rPr>
        <w:rFonts w:ascii="Symbol" w:hAnsi="Symbol" w:hint="default"/>
      </w:rPr>
    </w:lvl>
    <w:lvl w:ilvl="7" w:tplc="357E7534">
      <w:start w:val="1"/>
      <w:numFmt w:val="bullet"/>
      <w:lvlText w:val="o"/>
      <w:lvlJc w:val="left"/>
      <w:pPr>
        <w:ind w:left="5760" w:hanging="360"/>
      </w:pPr>
      <w:rPr>
        <w:rFonts w:ascii="Courier New" w:hAnsi="Courier New" w:hint="default"/>
      </w:rPr>
    </w:lvl>
    <w:lvl w:ilvl="8" w:tplc="EDBA8D0C">
      <w:start w:val="1"/>
      <w:numFmt w:val="bullet"/>
      <w:lvlText w:val=""/>
      <w:lvlJc w:val="left"/>
      <w:pPr>
        <w:ind w:left="6480" w:hanging="360"/>
      </w:pPr>
      <w:rPr>
        <w:rFonts w:ascii="Wingdings" w:hAnsi="Wingdings" w:hint="default"/>
      </w:rPr>
    </w:lvl>
  </w:abstractNum>
  <w:abstractNum w:abstractNumId="9" w15:restartNumberingAfterBreak="0">
    <w:nsid w:val="79ED451B"/>
    <w:multiLevelType w:val="hybridMultilevel"/>
    <w:tmpl w:val="BF8012C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15:restartNumberingAfterBreak="0">
    <w:nsid w:val="7F62E593"/>
    <w:multiLevelType w:val="hybridMultilevel"/>
    <w:tmpl w:val="2C74D88C"/>
    <w:lvl w:ilvl="0" w:tplc="08D8A8F8">
      <w:start w:val="1"/>
      <w:numFmt w:val="bullet"/>
      <w:lvlText w:val=""/>
      <w:lvlJc w:val="left"/>
      <w:pPr>
        <w:ind w:left="720" w:hanging="360"/>
      </w:pPr>
      <w:rPr>
        <w:rFonts w:ascii="Symbol" w:hAnsi="Symbol" w:hint="default"/>
      </w:rPr>
    </w:lvl>
    <w:lvl w:ilvl="1" w:tplc="E2DEE324">
      <w:start w:val="1"/>
      <w:numFmt w:val="bullet"/>
      <w:lvlText w:val="o"/>
      <w:lvlJc w:val="left"/>
      <w:pPr>
        <w:ind w:left="1440" w:hanging="360"/>
      </w:pPr>
      <w:rPr>
        <w:rFonts w:ascii="Courier New" w:hAnsi="Courier New" w:hint="default"/>
      </w:rPr>
    </w:lvl>
    <w:lvl w:ilvl="2" w:tplc="56E892E8">
      <w:start w:val="1"/>
      <w:numFmt w:val="bullet"/>
      <w:lvlText w:val=""/>
      <w:lvlJc w:val="left"/>
      <w:pPr>
        <w:ind w:left="2160" w:hanging="360"/>
      </w:pPr>
      <w:rPr>
        <w:rFonts w:ascii="Wingdings" w:hAnsi="Wingdings" w:hint="default"/>
      </w:rPr>
    </w:lvl>
    <w:lvl w:ilvl="3" w:tplc="63F65F3C">
      <w:start w:val="1"/>
      <w:numFmt w:val="bullet"/>
      <w:lvlText w:val=""/>
      <w:lvlJc w:val="left"/>
      <w:pPr>
        <w:ind w:left="2880" w:hanging="360"/>
      </w:pPr>
      <w:rPr>
        <w:rFonts w:ascii="Symbol" w:hAnsi="Symbol" w:hint="default"/>
      </w:rPr>
    </w:lvl>
    <w:lvl w:ilvl="4" w:tplc="171E54FA">
      <w:start w:val="1"/>
      <w:numFmt w:val="bullet"/>
      <w:lvlText w:val="o"/>
      <w:lvlJc w:val="left"/>
      <w:pPr>
        <w:ind w:left="3600" w:hanging="360"/>
      </w:pPr>
      <w:rPr>
        <w:rFonts w:ascii="Courier New" w:hAnsi="Courier New" w:hint="default"/>
      </w:rPr>
    </w:lvl>
    <w:lvl w:ilvl="5" w:tplc="706E91BE">
      <w:start w:val="1"/>
      <w:numFmt w:val="bullet"/>
      <w:lvlText w:val=""/>
      <w:lvlJc w:val="left"/>
      <w:pPr>
        <w:ind w:left="4320" w:hanging="360"/>
      </w:pPr>
      <w:rPr>
        <w:rFonts w:ascii="Wingdings" w:hAnsi="Wingdings" w:hint="default"/>
      </w:rPr>
    </w:lvl>
    <w:lvl w:ilvl="6" w:tplc="997005A6">
      <w:start w:val="1"/>
      <w:numFmt w:val="bullet"/>
      <w:lvlText w:val=""/>
      <w:lvlJc w:val="left"/>
      <w:pPr>
        <w:ind w:left="5040" w:hanging="360"/>
      </w:pPr>
      <w:rPr>
        <w:rFonts w:ascii="Symbol" w:hAnsi="Symbol" w:hint="default"/>
      </w:rPr>
    </w:lvl>
    <w:lvl w:ilvl="7" w:tplc="EC680236">
      <w:start w:val="1"/>
      <w:numFmt w:val="bullet"/>
      <w:lvlText w:val="o"/>
      <w:lvlJc w:val="left"/>
      <w:pPr>
        <w:ind w:left="5760" w:hanging="360"/>
      </w:pPr>
      <w:rPr>
        <w:rFonts w:ascii="Courier New" w:hAnsi="Courier New" w:hint="default"/>
      </w:rPr>
    </w:lvl>
    <w:lvl w:ilvl="8" w:tplc="35AC6692">
      <w:start w:val="1"/>
      <w:numFmt w:val="bullet"/>
      <w:lvlText w:val=""/>
      <w:lvlJc w:val="left"/>
      <w:pPr>
        <w:ind w:left="6480" w:hanging="360"/>
      </w:pPr>
      <w:rPr>
        <w:rFonts w:ascii="Wingdings" w:hAnsi="Wingdings" w:hint="default"/>
      </w:rPr>
    </w:lvl>
  </w:abstractNum>
  <w:num w:numId="1">
    <w:abstractNumId w:val="8"/>
  </w:num>
  <w:num w:numId="2">
    <w:abstractNumId w:val="2"/>
  </w:num>
  <w:num w:numId="3">
    <w:abstractNumId w:val="3"/>
  </w:num>
  <w:num w:numId="4">
    <w:abstractNumId w:val="5"/>
  </w:num>
  <w:num w:numId="5">
    <w:abstractNumId w:val="6"/>
  </w:num>
  <w:num w:numId="6">
    <w:abstractNumId w:val="0"/>
  </w:num>
  <w:num w:numId="7">
    <w:abstractNumId w:val="10"/>
  </w:num>
  <w:num w:numId="8">
    <w:abstractNumId w:val="7"/>
  </w:num>
  <w:num w:numId="9">
    <w:abstractNumId w:val="9"/>
  </w:num>
  <w:num w:numId="10">
    <w:abstractNumId w:val="1"/>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1304"/>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CD9CBF6"/>
    <w:rsid w:val="00001948"/>
    <w:rsid w:val="000140D9"/>
    <w:rsid w:val="000546FE"/>
    <w:rsid w:val="000A1647"/>
    <w:rsid w:val="000A1C52"/>
    <w:rsid w:val="000D0228"/>
    <w:rsid w:val="000E5919"/>
    <w:rsid w:val="000F72F7"/>
    <w:rsid w:val="00124E83"/>
    <w:rsid w:val="00130F54"/>
    <w:rsid w:val="0014149D"/>
    <w:rsid w:val="0016154C"/>
    <w:rsid w:val="0017000C"/>
    <w:rsid w:val="00182E49"/>
    <w:rsid w:val="001967EA"/>
    <w:rsid w:val="001C26CD"/>
    <w:rsid w:val="001D6DC5"/>
    <w:rsid w:val="001F6807"/>
    <w:rsid w:val="00217D24"/>
    <w:rsid w:val="00223BB3"/>
    <w:rsid w:val="00234F27"/>
    <w:rsid w:val="00255CBF"/>
    <w:rsid w:val="00262CAD"/>
    <w:rsid w:val="0027277C"/>
    <w:rsid w:val="00280FA1"/>
    <w:rsid w:val="002871AC"/>
    <w:rsid w:val="002B1E0A"/>
    <w:rsid w:val="002B558A"/>
    <w:rsid w:val="002D0558"/>
    <w:rsid w:val="002D0682"/>
    <w:rsid w:val="002D2A0C"/>
    <w:rsid w:val="002F5AD8"/>
    <w:rsid w:val="002F7F39"/>
    <w:rsid w:val="003030A6"/>
    <w:rsid w:val="0030505F"/>
    <w:rsid w:val="00305E5C"/>
    <w:rsid w:val="003168B5"/>
    <w:rsid w:val="003423D5"/>
    <w:rsid w:val="003748AA"/>
    <w:rsid w:val="00385A8B"/>
    <w:rsid w:val="003959C2"/>
    <w:rsid w:val="003ABAC8"/>
    <w:rsid w:val="00401E08"/>
    <w:rsid w:val="0041444F"/>
    <w:rsid w:val="004151D2"/>
    <w:rsid w:val="00427FAB"/>
    <w:rsid w:val="0043731D"/>
    <w:rsid w:val="00441C67"/>
    <w:rsid w:val="00462408"/>
    <w:rsid w:val="004B782A"/>
    <w:rsid w:val="004C3804"/>
    <w:rsid w:val="004D34A6"/>
    <w:rsid w:val="004D3DFF"/>
    <w:rsid w:val="004E4D5B"/>
    <w:rsid w:val="005275E9"/>
    <w:rsid w:val="00545EDB"/>
    <w:rsid w:val="005533C9"/>
    <w:rsid w:val="005533F7"/>
    <w:rsid w:val="00561F27"/>
    <w:rsid w:val="0057439A"/>
    <w:rsid w:val="005B191F"/>
    <w:rsid w:val="005B54D3"/>
    <w:rsid w:val="005C1DCD"/>
    <w:rsid w:val="005C6ABA"/>
    <w:rsid w:val="006116CA"/>
    <w:rsid w:val="00620926"/>
    <w:rsid w:val="00634FB2"/>
    <w:rsid w:val="006471CD"/>
    <w:rsid w:val="00653355"/>
    <w:rsid w:val="00653997"/>
    <w:rsid w:val="006555DC"/>
    <w:rsid w:val="00663060"/>
    <w:rsid w:val="00667B92"/>
    <w:rsid w:val="00671196"/>
    <w:rsid w:val="00682044"/>
    <w:rsid w:val="00687566"/>
    <w:rsid w:val="00694ABE"/>
    <w:rsid w:val="00696832"/>
    <w:rsid w:val="006A49B1"/>
    <w:rsid w:val="006B40CD"/>
    <w:rsid w:val="006C47F2"/>
    <w:rsid w:val="006C6D96"/>
    <w:rsid w:val="006E3B7A"/>
    <w:rsid w:val="006E54CC"/>
    <w:rsid w:val="006F01DE"/>
    <w:rsid w:val="006F5AF9"/>
    <w:rsid w:val="0071071E"/>
    <w:rsid w:val="00716120"/>
    <w:rsid w:val="00716BCF"/>
    <w:rsid w:val="00762058"/>
    <w:rsid w:val="007B4742"/>
    <w:rsid w:val="007CFB9D"/>
    <w:rsid w:val="007D0670"/>
    <w:rsid w:val="007F209D"/>
    <w:rsid w:val="008221C4"/>
    <w:rsid w:val="00827C79"/>
    <w:rsid w:val="00828340"/>
    <w:rsid w:val="00837A25"/>
    <w:rsid w:val="008529B8"/>
    <w:rsid w:val="00853037"/>
    <w:rsid w:val="008948C3"/>
    <w:rsid w:val="00895A90"/>
    <w:rsid w:val="008A5341"/>
    <w:rsid w:val="008B796D"/>
    <w:rsid w:val="008C0252"/>
    <w:rsid w:val="008C3E51"/>
    <w:rsid w:val="008CD820"/>
    <w:rsid w:val="008F7885"/>
    <w:rsid w:val="00904923"/>
    <w:rsid w:val="0092338A"/>
    <w:rsid w:val="009333C2"/>
    <w:rsid w:val="00938B60"/>
    <w:rsid w:val="00963E3D"/>
    <w:rsid w:val="00967261"/>
    <w:rsid w:val="009808B9"/>
    <w:rsid w:val="0099724E"/>
    <w:rsid w:val="009A3215"/>
    <w:rsid w:val="009A374F"/>
    <w:rsid w:val="009B6FB6"/>
    <w:rsid w:val="009C2F55"/>
    <w:rsid w:val="009C4FAC"/>
    <w:rsid w:val="009E3151"/>
    <w:rsid w:val="009F533D"/>
    <w:rsid w:val="00A0372F"/>
    <w:rsid w:val="00A1100E"/>
    <w:rsid w:val="00A4652D"/>
    <w:rsid w:val="00A623B7"/>
    <w:rsid w:val="00A719C5"/>
    <w:rsid w:val="00A7777E"/>
    <w:rsid w:val="00A92C38"/>
    <w:rsid w:val="00AA3E94"/>
    <w:rsid w:val="00AA5ED9"/>
    <w:rsid w:val="00AC3EEF"/>
    <w:rsid w:val="00AE29D2"/>
    <w:rsid w:val="00AE327A"/>
    <w:rsid w:val="00AF1101"/>
    <w:rsid w:val="00AF7E9C"/>
    <w:rsid w:val="00B20770"/>
    <w:rsid w:val="00B43B25"/>
    <w:rsid w:val="00B55F20"/>
    <w:rsid w:val="00B619E0"/>
    <w:rsid w:val="00B8007D"/>
    <w:rsid w:val="00B80AC7"/>
    <w:rsid w:val="00B83A17"/>
    <w:rsid w:val="00B96169"/>
    <w:rsid w:val="00BA350D"/>
    <w:rsid w:val="00BA4BCB"/>
    <w:rsid w:val="00BA6C3F"/>
    <w:rsid w:val="00C33401"/>
    <w:rsid w:val="00C3F804"/>
    <w:rsid w:val="00C428F0"/>
    <w:rsid w:val="00C42A3D"/>
    <w:rsid w:val="00C454FA"/>
    <w:rsid w:val="00C62F59"/>
    <w:rsid w:val="00C649AA"/>
    <w:rsid w:val="00C66D69"/>
    <w:rsid w:val="00C75394"/>
    <w:rsid w:val="00C84FF1"/>
    <w:rsid w:val="00C92B60"/>
    <w:rsid w:val="00C99CFB"/>
    <w:rsid w:val="00CA673F"/>
    <w:rsid w:val="00CC49F1"/>
    <w:rsid w:val="00CC7901"/>
    <w:rsid w:val="00D021CA"/>
    <w:rsid w:val="00D42AB9"/>
    <w:rsid w:val="00D46388"/>
    <w:rsid w:val="00D51BEF"/>
    <w:rsid w:val="00D80586"/>
    <w:rsid w:val="00D81E9F"/>
    <w:rsid w:val="00DA28AA"/>
    <w:rsid w:val="00DA4544"/>
    <w:rsid w:val="00DE3388"/>
    <w:rsid w:val="00E10795"/>
    <w:rsid w:val="00E12E74"/>
    <w:rsid w:val="00E306DC"/>
    <w:rsid w:val="00E70764"/>
    <w:rsid w:val="00E7A460"/>
    <w:rsid w:val="00E82264"/>
    <w:rsid w:val="00EA2009"/>
    <w:rsid w:val="00ED1BDB"/>
    <w:rsid w:val="00EE365B"/>
    <w:rsid w:val="00F02839"/>
    <w:rsid w:val="00F0320D"/>
    <w:rsid w:val="00F03C18"/>
    <w:rsid w:val="00F252E0"/>
    <w:rsid w:val="00F325F4"/>
    <w:rsid w:val="00F35E29"/>
    <w:rsid w:val="00F44108"/>
    <w:rsid w:val="00F74B14"/>
    <w:rsid w:val="00F8260F"/>
    <w:rsid w:val="00FD599E"/>
    <w:rsid w:val="00FD753D"/>
    <w:rsid w:val="010FF6F6"/>
    <w:rsid w:val="011224ED"/>
    <w:rsid w:val="01123A4F"/>
    <w:rsid w:val="0112DE4A"/>
    <w:rsid w:val="01517F0B"/>
    <w:rsid w:val="0152097F"/>
    <w:rsid w:val="0161ED78"/>
    <w:rsid w:val="0164937F"/>
    <w:rsid w:val="017320D3"/>
    <w:rsid w:val="0181C799"/>
    <w:rsid w:val="01992A78"/>
    <w:rsid w:val="01A10C91"/>
    <w:rsid w:val="01AB5AD0"/>
    <w:rsid w:val="01C15779"/>
    <w:rsid w:val="01E8299D"/>
    <w:rsid w:val="01FCBDD3"/>
    <w:rsid w:val="02052734"/>
    <w:rsid w:val="02557654"/>
    <w:rsid w:val="0263BD6F"/>
    <w:rsid w:val="02668343"/>
    <w:rsid w:val="02BA1A0E"/>
    <w:rsid w:val="02BCDE6D"/>
    <w:rsid w:val="02CDA584"/>
    <w:rsid w:val="03296A02"/>
    <w:rsid w:val="03370E92"/>
    <w:rsid w:val="034C3C9A"/>
    <w:rsid w:val="036BB933"/>
    <w:rsid w:val="037F2EC7"/>
    <w:rsid w:val="03AFC442"/>
    <w:rsid w:val="03BFD828"/>
    <w:rsid w:val="03EC1AD7"/>
    <w:rsid w:val="0423BE8D"/>
    <w:rsid w:val="0492CA4D"/>
    <w:rsid w:val="049D8242"/>
    <w:rsid w:val="04A197F6"/>
    <w:rsid w:val="04ED6EE7"/>
    <w:rsid w:val="0505D46A"/>
    <w:rsid w:val="05155F50"/>
    <w:rsid w:val="0522256B"/>
    <w:rsid w:val="05555321"/>
    <w:rsid w:val="0597CC68"/>
    <w:rsid w:val="06669317"/>
    <w:rsid w:val="0687578B"/>
    <w:rsid w:val="069B78B4"/>
    <w:rsid w:val="069E479D"/>
    <w:rsid w:val="06AD372D"/>
    <w:rsid w:val="06D5DD7D"/>
    <w:rsid w:val="0704E829"/>
    <w:rsid w:val="074658FF"/>
    <w:rsid w:val="07561ED7"/>
    <w:rsid w:val="07656C79"/>
    <w:rsid w:val="076D097D"/>
    <w:rsid w:val="07974EC3"/>
    <w:rsid w:val="07F5D1D9"/>
    <w:rsid w:val="0839EC51"/>
    <w:rsid w:val="088AAEE3"/>
    <w:rsid w:val="08B791C1"/>
    <w:rsid w:val="08BBF5B1"/>
    <w:rsid w:val="08C15424"/>
    <w:rsid w:val="08C5756D"/>
    <w:rsid w:val="08CE43FB"/>
    <w:rsid w:val="091CE22C"/>
    <w:rsid w:val="092C3E7F"/>
    <w:rsid w:val="09A39212"/>
    <w:rsid w:val="09B7293B"/>
    <w:rsid w:val="09E0435C"/>
    <w:rsid w:val="09F211EC"/>
    <w:rsid w:val="09FAC489"/>
    <w:rsid w:val="0A19853D"/>
    <w:rsid w:val="0A292CE4"/>
    <w:rsid w:val="0A39A8BE"/>
    <w:rsid w:val="0A5A510B"/>
    <w:rsid w:val="0A6D6B80"/>
    <w:rsid w:val="0A882DE3"/>
    <w:rsid w:val="0A9B226F"/>
    <w:rsid w:val="0AC4FC8D"/>
    <w:rsid w:val="0AD5CE6C"/>
    <w:rsid w:val="0AFA80A8"/>
    <w:rsid w:val="0B087974"/>
    <w:rsid w:val="0B4BB8DB"/>
    <w:rsid w:val="0B5C30C0"/>
    <w:rsid w:val="0B91D373"/>
    <w:rsid w:val="0B9325C1"/>
    <w:rsid w:val="0B967716"/>
    <w:rsid w:val="0BFC2D49"/>
    <w:rsid w:val="0C02D37F"/>
    <w:rsid w:val="0C09F664"/>
    <w:rsid w:val="0C27ADD0"/>
    <w:rsid w:val="0C7AFBB4"/>
    <w:rsid w:val="0C9651F4"/>
    <w:rsid w:val="0CBDE822"/>
    <w:rsid w:val="0CCD50AE"/>
    <w:rsid w:val="0CD4FA07"/>
    <w:rsid w:val="0CF7876F"/>
    <w:rsid w:val="0CFB9716"/>
    <w:rsid w:val="0D0CD4AD"/>
    <w:rsid w:val="0D39F4B7"/>
    <w:rsid w:val="0D50D29F"/>
    <w:rsid w:val="0DAD27D4"/>
    <w:rsid w:val="0DB73F5B"/>
    <w:rsid w:val="0DC4CE4C"/>
    <w:rsid w:val="0DC523D2"/>
    <w:rsid w:val="0DC92642"/>
    <w:rsid w:val="0DD79F85"/>
    <w:rsid w:val="0E51EF83"/>
    <w:rsid w:val="0E639649"/>
    <w:rsid w:val="0E7A0A11"/>
    <w:rsid w:val="0E8DEE2C"/>
    <w:rsid w:val="0E987D61"/>
    <w:rsid w:val="0EAA181A"/>
    <w:rsid w:val="0ECEA774"/>
    <w:rsid w:val="0EF2307F"/>
    <w:rsid w:val="0F0C4A73"/>
    <w:rsid w:val="0F448F05"/>
    <w:rsid w:val="0F860173"/>
    <w:rsid w:val="0FAC46F7"/>
    <w:rsid w:val="0FD40B72"/>
    <w:rsid w:val="0FDA92A1"/>
    <w:rsid w:val="0FF0EF95"/>
    <w:rsid w:val="0FF4F7DF"/>
    <w:rsid w:val="10050E95"/>
    <w:rsid w:val="10336E2C"/>
    <w:rsid w:val="1042D12E"/>
    <w:rsid w:val="1051393D"/>
    <w:rsid w:val="105C131D"/>
    <w:rsid w:val="108E0C71"/>
    <w:rsid w:val="10A749F2"/>
    <w:rsid w:val="10E6139E"/>
    <w:rsid w:val="110C1D11"/>
    <w:rsid w:val="11377A52"/>
    <w:rsid w:val="11383B4D"/>
    <w:rsid w:val="11698DAD"/>
    <w:rsid w:val="118B9501"/>
    <w:rsid w:val="118BCACA"/>
    <w:rsid w:val="118D7186"/>
    <w:rsid w:val="118F097A"/>
    <w:rsid w:val="11C4809F"/>
    <w:rsid w:val="11D71F77"/>
    <w:rsid w:val="120264B6"/>
    <w:rsid w:val="12091DD5"/>
    <w:rsid w:val="120F90EF"/>
    <w:rsid w:val="121390FB"/>
    <w:rsid w:val="1213CD17"/>
    <w:rsid w:val="121CCB7D"/>
    <w:rsid w:val="1293505C"/>
    <w:rsid w:val="1299B899"/>
    <w:rsid w:val="12E876B2"/>
    <w:rsid w:val="12E9313B"/>
    <w:rsid w:val="13088673"/>
    <w:rsid w:val="130B61D0"/>
    <w:rsid w:val="130BC423"/>
    <w:rsid w:val="130CFFCB"/>
    <w:rsid w:val="130DE098"/>
    <w:rsid w:val="131A210D"/>
    <w:rsid w:val="132C1765"/>
    <w:rsid w:val="1330DCF7"/>
    <w:rsid w:val="135C9CEE"/>
    <w:rsid w:val="13664BB0"/>
    <w:rsid w:val="138729E5"/>
    <w:rsid w:val="139F3AF7"/>
    <w:rsid w:val="13A0DD92"/>
    <w:rsid w:val="13A5FCA9"/>
    <w:rsid w:val="13BD8A0D"/>
    <w:rsid w:val="13CE68AD"/>
    <w:rsid w:val="13FF73B2"/>
    <w:rsid w:val="1432FCED"/>
    <w:rsid w:val="14348C0E"/>
    <w:rsid w:val="14620A81"/>
    <w:rsid w:val="149E5B22"/>
    <w:rsid w:val="14B4E819"/>
    <w:rsid w:val="14CCF4E8"/>
    <w:rsid w:val="14D02972"/>
    <w:rsid w:val="14DACC1C"/>
    <w:rsid w:val="14DBE939"/>
    <w:rsid w:val="14E5AF4A"/>
    <w:rsid w:val="14E97AEF"/>
    <w:rsid w:val="14EF54B8"/>
    <w:rsid w:val="1513E44E"/>
    <w:rsid w:val="151A00E8"/>
    <w:rsid w:val="15395B49"/>
    <w:rsid w:val="15577FF6"/>
    <w:rsid w:val="15DA2605"/>
    <w:rsid w:val="15E29D72"/>
    <w:rsid w:val="15FCABE7"/>
    <w:rsid w:val="15FD0719"/>
    <w:rsid w:val="160A8D13"/>
    <w:rsid w:val="160F9DBC"/>
    <w:rsid w:val="16158122"/>
    <w:rsid w:val="163B16C8"/>
    <w:rsid w:val="16429428"/>
    <w:rsid w:val="16679108"/>
    <w:rsid w:val="16D029B7"/>
    <w:rsid w:val="16DA8149"/>
    <w:rsid w:val="16DFDCBE"/>
    <w:rsid w:val="16FA1A8D"/>
    <w:rsid w:val="171D466B"/>
    <w:rsid w:val="171DD232"/>
    <w:rsid w:val="174AC2C6"/>
    <w:rsid w:val="17561FBB"/>
    <w:rsid w:val="1789834D"/>
    <w:rsid w:val="17A17BE9"/>
    <w:rsid w:val="17A752B1"/>
    <w:rsid w:val="17A769F7"/>
    <w:rsid w:val="17B0F8C7"/>
    <w:rsid w:val="17CFBA23"/>
    <w:rsid w:val="17D6C554"/>
    <w:rsid w:val="1821BF46"/>
    <w:rsid w:val="183458D8"/>
    <w:rsid w:val="1847C3F4"/>
    <w:rsid w:val="186CF429"/>
    <w:rsid w:val="18914723"/>
    <w:rsid w:val="18AAE0B9"/>
    <w:rsid w:val="18ADA769"/>
    <w:rsid w:val="18BCE5E7"/>
    <w:rsid w:val="18BD31F8"/>
    <w:rsid w:val="18E94221"/>
    <w:rsid w:val="18F945B2"/>
    <w:rsid w:val="1936649A"/>
    <w:rsid w:val="195FAD2B"/>
    <w:rsid w:val="196B851C"/>
    <w:rsid w:val="198865BF"/>
    <w:rsid w:val="19A5D83D"/>
    <w:rsid w:val="19BC89C4"/>
    <w:rsid w:val="19D0A025"/>
    <w:rsid w:val="19ED2AA9"/>
    <w:rsid w:val="19EF7957"/>
    <w:rsid w:val="19FB7CB5"/>
    <w:rsid w:val="1A052EDE"/>
    <w:rsid w:val="1A19A249"/>
    <w:rsid w:val="1A4A08BB"/>
    <w:rsid w:val="1A8EEE97"/>
    <w:rsid w:val="1AB4FE20"/>
    <w:rsid w:val="1ABC355B"/>
    <w:rsid w:val="1ADFD650"/>
    <w:rsid w:val="1AF0ACD1"/>
    <w:rsid w:val="1B21B7F9"/>
    <w:rsid w:val="1B26F6EA"/>
    <w:rsid w:val="1B36C1F0"/>
    <w:rsid w:val="1B451C46"/>
    <w:rsid w:val="1B673B98"/>
    <w:rsid w:val="1B7B60C3"/>
    <w:rsid w:val="1BCB1A3B"/>
    <w:rsid w:val="1BD1E6BC"/>
    <w:rsid w:val="1BEC5A5E"/>
    <w:rsid w:val="1BFE5A63"/>
    <w:rsid w:val="1C1055A4"/>
    <w:rsid w:val="1C245788"/>
    <w:rsid w:val="1C2BDFBE"/>
    <w:rsid w:val="1C5D1355"/>
    <w:rsid w:val="1C5D1A2F"/>
    <w:rsid w:val="1C6215BC"/>
    <w:rsid w:val="1C823709"/>
    <w:rsid w:val="1C96A5F6"/>
    <w:rsid w:val="1CA4281D"/>
    <w:rsid w:val="1CA72BD8"/>
    <w:rsid w:val="1CB42F66"/>
    <w:rsid w:val="1CE05C47"/>
    <w:rsid w:val="1CFAFFA9"/>
    <w:rsid w:val="1D1BDFD5"/>
    <w:rsid w:val="1D2D5EBB"/>
    <w:rsid w:val="1D3C0542"/>
    <w:rsid w:val="1D470AAA"/>
    <w:rsid w:val="1D4BFAD0"/>
    <w:rsid w:val="1D52C92F"/>
    <w:rsid w:val="1D60666C"/>
    <w:rsid w:val="1D7FF119"/>
    <w:rsid w:val="1DA50680"/>
    <w:rsid w:val="1DD02237"/>
    <w:rsid w:val="1DE1F1B0"/>
    <w:rsid w:val="1E1E8CCA"/>
    <w:rsid w:val="1E244738"/>
    <w:rsid w:val="1E75D262"/>
    <w:rsid w:val="1E889407"/>
    <w:rsid w:val="1E8C30EE"/>
    <w:rsid w:val="1EB0D3E8"/>
    <w:rsid w:val="1ECD654F"/>
    <w:rsid w:val="1F2FDC7C"/>
    <w:rsid w:val="1F302653"/>
    <w:rsid w:val="1F3B8E54"/>
    <w:rsid w:val="1F71685A"/>
    <w:rsid w:val="1FB96101"/>
    <w:rsid w:val="1FBCF20C"/>
    <w:rsid w:val="1FC41B18"/>
    <w:rsid w:val="1FE0201F"/>
    <w:rsid w:val="1FE83320"/>
    <w:rsid w:val="1FF4D299"/>
    <w:rsid w:val="200055E8"/>
    <w:rsid w:val="201D90B7"/>
    <w:rsid w:val="20212A74"/>
    <w:rsid w:val="204D4398"/>
    <w:rsid w:val="2072C90C"/>
    <w:rsid w:val="2087E9AC"/>
    <w:rsid w:val="20B95BE1"/>
    <w:rsid w:val="20E72357"/>
    <w:rsid w:val="20F4F381"/>
    <w:rsid w:val="21042642"/>
    <w:rsid w:val="2109A91F"/>
    <w:rsid w:val="212C843A"/>
    <w:rsid w:val="21C1A6CB"/>
    <w:rsid w:val="21D2D9A9"/>
    <w:rsid w:val="21DE7AF8"/>
    <w:rsid w:val="22300A36"/>
    <w:rsid w:val="224DAAF2"/>
    <w:rsid w:val="2258B958"/>
    <w:rsid w:val="22606199"/>
    <w:rsid w:val="22691F3A"/>
    <w:rsid w:val="227DF1E3"/>
    <w:rsid w:val="22AA1F30"/>
    <w:rsid w:val="22D9E1DD"/>
    <w:rsid w:val="2309DB04"/>
    <w:rsid w:val="236B4775"/>
    <w:rsid w:val="2395EA87"/>
    <w:rsid w:val="23A06295"/>
    <w:rsid w:val="23C61BCC"/>
    <w:rsid w:val="23C6CAD1"/>
    <w:rsid w:val="240B48BB"/>
    <w:rsid w:val="2410E23D"/>
    <w:rsid w:val="24117FBC"/>
    <w:rsid w:val="246F1308"/>
    <w:rsid w:val="2486F23D"/>
    <w:rsid w:val="24B39C8D"/>
    <w:rsid w:val="24B70072"/>
    <w:rsid w:val="24EF987B"/>
    <w:rsid w:val="2531DF85"/>
    <w:rsid w:val="254149F0"/>
    <w:rsid w:val="25531268"/>
    <w:rsid w:val="256DD502"/>
    <w:rsid w:val="257E60A2"/>
    <w:rsid w:val="25B7BE99"/>
    <w:rsid w:val="261211F1"/>
    <w:rsid w:val="2624AA68"/>
    <w:rsid w:val="26412AFD"/>
    <w:rsid w:val="265015E8"/>
    <w:rsid w:val="267C8091"/>
    <w:rsid w:val="267D7A23"/>
    <w:rsid w:val="2680C369"/>
    <w:rsid w:val="2684941B"/>
    <w:rsid w:val="26927616"/>
    <w:rsid w:val="26F65495"/>
    <w:rsid w:val="2707EDA4"/>
    <w:rsid w:val="270F5BB6"/>
    <w:rsid w:val="272BACDD"/>
    <w:rsid w:val="273C4EA7"/>
    <w:rsid w:val="273FDE95"/>
    <w:rsid w:val="274714E2"/>
    <w:rsid w:val="274B3751"/>
    <w:rsid w:val="2755E741"/>
    <w:rsid w:val="2757C7EF"/>
    <w:rsid w:val="27611AF9"/>
    <w:rsid w:val="27942124"/>
    <w:rsid w:val="279AB4E2"/>
    <w:rsid w:val="27CCF312"/>
    <w:rsid w:val="27D40065"/>
    <w:rsid w:val="27EC2BF1"/>
    <w:rsid w:val="280FDD4B"/>
    <w:rsid w:val="2818D639"/>
    <w:rsid w:val="281FAEAC"/>
    <w:rsid w:val="284E0854"/>
    <w:rsid w:val="286497CF"/>
    <w:rsid w:val="286BF8EB"/>
    <w:rsid w:val="287F4EA1"/>
    <w:rsid w:val="28A4F3A0"/>
    <w:rsid w:val="28C711EE"/>
    <w:rsid w:val="28DED68A"/>
    <w:rsid w:val="28E295BE"/>
    <w:rsid w:val="2901A31F"/>
    <w:rsid w:val="29147445"/>
    <w:rsid w:val="292F7737"/>
    <w:rsid w:val="293AF38E"/>
    <w:rsid w:val="29483051"/>
    <w:rsid w:val="295841DF"/>
    <w:rsid w:val="295842C9"/>
    <w:rsid w:val="29651E60"/>
    <w:rsid w:val="29699B28"/>
    <w:rsid w:val="2995D8E3"/>
    <w:rsid w:val="29A5D940"/>
    <w:rsid w:val="29C36A00"/>
    <w:rsid w:val="29EBD974"/>
    <w:rsid w:val="29EECDC8"/>
    <w:rsid w:val="29F36653"/>
    <w:rsid w:val="2A042F7E"/>
    <w:rsid w:val="2A116E76"/>
    <w:rsid w:val="2A57DC4C"/>
    <w:rsid w:val="2A68C581"/>
    <w:rsid w:val="2A6D2E1B"/>
    <w:rsid w:val="2A71F685"/>
    <w:rsid w:val="2A8ACF61"/>
    <w:rsid w:val="2A9B0D7D"/>
    <w:rsid w:val="2AE94E85"/>
    <w:rsid w:val="2B201555"/>
    <w:rsid w:val="2B78E7D5"/>
    <w:rsid w:val="2B85E54B"/>
    <w:rsid w:val="2BA26EEC"/>
    <w:rsid w:val="2BB327EC"/>
    <w:rsid w:val="2BD7AD0D"/>
    <w:rsid w:val="2BDA29CC"/>
    <w:rsid w:val="2BFCC24D"/>
    <w:rsid w:val="2C74179B"/>
    <w:rsid w:val="2C77DF9C"/>
    <w:rsid w:val="2C83B360"/>
    <w:rsid w:val="2C91F2DC"/>
    <w:rsid w:val="2CA0FFCA"/>
    <w:rsid w:val="2CD1E546"/>
    <w:rsid w:val="2CFB2B51"/>
    <w:rsid w:val="2CFD54FD"/>
    <w:rsid w:val="2D05BF09"/>
    <w:rsid w:val="2D1894BA"/>
    <w:rsid w:val="2D22E803"/>
    <w:rsid w:val="2D67A28C"/>
    <w:rsid w:val="2D770228"/>
    <w:rsid w:val="2D780833"/>
    <w:rsid w:val="2D8179AB"/>
    <w:rsid w:val="2D87CAE8"/>
    <w:rsid w:val="2E23260C"/>
    <w:rsid w:val="2E29090D"/>
    <w:rsid w:val="2E37A20E"/>
    <w:rsid w:val="2E4C2CDC"/>
    <w:rsid w:val="2E7473CB"/>
    <w:rsid w:val="2EE8AD5C"/>
    <w:rsid w:val="2F050C3A"/>
    <w:rsid w:val="2F2D30F9"/>
    <w:rsid w:val="2F326F11"/>
    <w:rsid w:val="2F378B50"/>
    <w:rsid w:val="2F3D98D2"/>
    <w:rsid w:val="2F4327FC"/>
    <w:rsid w:val="2F489B80"/>
    <w:rsid w:val="2F83EA12"/>
    <w:rsid w:val="2F855589"/>
    <w:rsid w:val="2F8F80F0"/>
    <w:rsid w:val="2FE12299"/>
    <w:rsid w:val="30079CB3"/>
    <w:rsid w:val="300DB235"/>
    <w:rsid w:val="301E8ADD"/>
    <w:rsid w:val="30206888"/>
    <w:rsid w:val="30247A9E"/>
    <w:rsid w:val="3055329B"/>
    <w:rsid w:val="307175CB"/>
    <w:rsid w:val="3072B928"/>
    <w:rsid w:val="313220D5"/>
    <w:rsid w:val="314894E4"/>
    <w:rsid w:val="317F9E15"/>
    <w:rsid w:val="31A94362"/>
    <w:rsid w:val="31B66F39"/>
    <w:rsid w:val="31BABFF9"/>
    <w:rsid w:val="31CCCD6D"/>
    <w:rsid w:val="31CD512B"/>
    <w:rsid w:val="31EE622D"/>
    <w:rsid w:val="31F1717A"/>
    <w:rsid w:val="31FD1057"/>
    <w:rsid w:val="32027093"/>
    <w:rsid w:val="3223BEE8"/>
    <w:rsid w:val="32279620"/>
    <w:rsid w:val="3229F8A4"/>
    <w:rsid w:val="322B0725"/>
    <w:rsid w:val="32610C03"/>
    <w:rsid w:val="3268F295"/>
    <w:rsid w:val="32C21F4B"/>
    <w:rsid w:val="32FA1B44"/>
    <w:rsid w:val="3302609F"/>
    <w:rsid w:val="331A53DA"/>
    <w:rsid w:val="3357EE4F"/>
    <w:rsid w:val="3358052C"/>
    <w:rsid w:val="335CF105"/>
    <w:rsid w:val="33FF6E0D"/>
    <w:rsid w:val="3406762D"/>
    <w:rsid w:val="343B8DD1"/>
    <w:rsid w:val="3461CF7F"/>
    <w:rsid w:val="346786A1"/>
    <w:rsid w:val="3483C0F1"/>
    <w:rsid w:val="34ACA14A"/>
    <w:rsid w:val="352CFB8D"/>
    <w:rsid w:val="35438B42"/>
    <w:rsid w:val="3563E381"/>
    <w:rsid w:val="35C47AF8"/>
    <w:rsid w:val="35D1E34F"/>
    <w:rsid w:val="35D4270F"/>
    <w:rsid w:val="35D4716D"/>
    <w:rsid w:val="361B3107"/>
    <w:rsid w:val="3640B1CB"/>
    <w:rsid w:val="36602EAA"/>
    <w:rsid w:val="36607900"/>
    <w:rsid w:val="36C1BF27"/>
    <w:rsid w:val="37150097"/>
    <w:rsid w:val="37461B01"/>
    <w:rsid w:val="375C3702"/>
    <w:rsid w:val="3770762E"/>
    <w:rsid w:val="3783DFA5"/>
    <w:rsid w:val="3783E041"/>
    <w:rsid w:val="37A7A105"/>
    <w:rsid w:val="37B29121"/>
    <w:rsid w:val="37BFA19A"/>
    <w:rsid w:val="37C2AA1B"/>
    <w:rsid w:val="37C6AA0B"/>
    <w:rsid w:val="37C7C729"/>
    <w:rsid w:val="37C9C0A5"/>
    <w:rsid w:val="37ED512B"/>
    <w:rsid w:val="381213D4"/>
    <w:rsid w:val="381C0EFB"/>
    <w:rsid w:val="38241C2D"/>
    <w:rsid w:val="3829BE45"/>
    <w:rsid w:val="38352C8A"/>
    <w:rsid w:val="383B309D"/>
    <w:rsid w:val="38818255"/>
    <w:rsid w:val="3889D5E6"/>
    <w:rsid w:val="38D6C6D0"/>
    <w:rsid w:val="393EA168"/>
    <w:rsid w:val="395AB9A4"/>
    <w:rsid w:val="3965DD8D"/>
    <w:rsid w:val="396903EC"/>
    <w:rsid w:val="39809173"/>
    <w:rsid w:val="39BCB1B2"/>
    <w:rsid w:val="39E526FA"/>
    <w:rsid w:val="39E7C073"/>
    <w:rsid w:val="3A23C2EE"/>
    <w:rsid w:val="3A2C12D7"/>
    <w:rsid w:val="3A329F20"/>
    <w:rsid w:val="3A46DAD5"/>
    <w:rsid w:val="3A62C9E9"/>
    <w:rsid w:val="3A6A5202"/>
    <w:rsid w:val="3A8AAC78"/>
    <w:rsid w:val="3AB571DE"/>
    <w:rsid w:val="3ADCA5BF"/>
    <w:rsid w:val="3B100628"/>
    <w:rsid w:val="3B35B2A9"/>
    <w:rsid w:val="3B6E3701"/>
    <w:rsid w:val="3B908B18"/>
    <w:rsid w:val="3BBA94FD"/>
    <w:rsid w:val="3BEE431C"/>
    <w:rsid w:val="3BF709A0"/>
    <w:rsid w:val="3C16B793"/>
    <w:rsid w:val="3C33F87A"/>
    <w:rsid w:val="3C507CE5"/>
    <w:rsid w:val="3C682C10"/>
    <w:rsid w:val="3C779CCB"/>
    <w:rsid w:val="3CB6292F"/>
    <w:rsid w:val="3CC9BB8D"/>
    <w:rsid w:val="3D04AF0B"/>
    <w:rsid w:val="3D0F4BC9"/>
    <w:rsid w:val="3D166576"/>
    <w:rsid w:val="3D2AEB89"/>
    <w:rsid w:val="3D41A82D"/>
    <w:rsid w:val="3D791F9A"/>
    <w:rsid w:val="3D86D84E"/>
    <w:rsid w:val="3D8FF4B9"/>
    <w:rsid w:val="3D983099"/>
    <w:rsid w:val="3DB4F3A0"/>
    <w:rsid w:val="3DC006C9"/>
    <w:rsid w:val="3DD2C69B"/>
    <w:rsid w:val="3DE696BF"/>
    <w:rsid w:val="3DF35F55"/>
    <w:rsid w:val="3E007512"/>
    <w:rsid w:val="3E43AF62"/>
    <w:rsid w:val="3E69581A"/>
    <w:rsid w:val="3E911B56"/>
    <w:rsid w:val="3E924429"/>
    <w:rsid w:val="3E94D7F5"/>
    <w:rsid w:val="3E9FF7C8"/>
    <w:rsid w:val="3EC1669E"/>
    <w:rsid w:val="3EDB54A6"/>
    <w:rsid w:val="3F117A0D"/>
    <w:rsid w:val="3F278120"/>
    <w:rsid w:val="3F2A143C"/>
    <w:rsid w:val="3F34B254"/>
    <w:rsid w:val="3F35A511"/>
    <w:rsid w:val="3F3CDE72"/>
    <w:rsid w:val="3F3DDEF8"/>
    <w:rsid w:val="3F8134AA"/>
    <w:rsid w:val="3F89C877"/>
    <w:rsid w:val="3FDEA804"/>
    <w:rsid w:val="401169C8"/>
    <w:rsid w:val="40152622"/>
    <w:rsid w:val="4018C525"/>
    <w:rsid w:val="404F8FDF"/>
    <w:rsid w:val="4059A887"/>
    <w:rsid w:val="4060679B"/>
    <w:rsid w:val="4064C81B"/>
    <w:rsid w:val="4088EA19"/>
    <w:rsid w:val="4099A2A2"/>
    <w:rsid w:val="40AF42E4"/>
    <w:rsid w:val="40BC0C57"/>
    <w:rsid w:val="412E3D45"/>
    <w:rsid w:val="41454EF8"/>
    <w:rsid w:val="4148F479"/>
    <w:rsid w:val="4150DD15"/>
    <w:rsid w:val="418AEEDD"/>
    <w:rsid w:val="41ABC3FC"/>
    <w:rsid w:val="41E1DB60"/>
    <w:rsid w:val="4230ECD8"/>
    <w:rsid w:val="42663087"/>
    <w:rsid w:val="4297583B"/>
    <w:rsid w:val="42A13852"/>
    <w:rsid w:val="42D08606"/>
    <w:rsid w:val="42DDD29B"/>
    <w:rsid w:val="42ED210A"/>
    <w:rsid w:val="4305D8C9"/>
    <w:rsid w:val="43097C78"/>
    <w:rsid w:val="437E65B4"/>
    <w:rsid w:val="43852057"/>
    <w:rsid w:val="4386D7A0"/>
    <w:rsid w:val="43919E0B"/>
    <w:rsid w:val="439BC8B4"/>
    <w:rsid w:val="43DE473F"/>
    <w:rsid w:val="43E090F0"/>
    <w:rsid w:val="43E32F71"/>
    <w:rsid w:val="43E91BCB"/>
    <w:rsid w:val="4414B118"/>
    <w:rsid w:val="4429ADCA"/>
    <w:rsid w:val="442C3FA8"/>
    <w:rsid w:val="443A6F42"/>
    <w:rsid w:val="4480E77F"/>
    <w:rsid w:val="44A8C91E"/>
    <w:rsid w:val="44A9303C"/>
    <w:rsid w:val="44C11F36"/>
    <w:rsid w:val="44D90C3D"/>
    <w:rsid w:val="44DDB66C"/>
    <w:rsid w:val="451E200D"/>
    <w:rsid w:val="45387901"/>
    <w:rsid w:val="453A2088"/>
    <w:rsid w:val="456F152B"/>
    <w:rsid w:val="45733590"/>
    <w:rsid w:val="45ED72B5"/>
    <w:rsid w:val="46053AA6"/>
    <w:rsid w:val="463E2175"/>
    <w:rsid w:val="465510BF"/>
    <w:rsid w:val="4658195B"/>
    <w:rsid w:val="46588A5A"/>
    <w:rsid w:val="46644592"/>
    <w:rsid w:val="46670B87"/>
    <w:rsid w:val="46A9001D"/>
    <w:rsid w:val="46AAB03D"/>
    <w:rsid w:val="46C798C3"/>
    <w:rsid w:val="46FE9D32"/>
    <w:rsid w:val="471575B8"/>
    <w:rsid w:val="476E4975"/>
    <w:rsid w:val="47820136"/>
    <w:rsid w:val="4797F78D"/>
    <w:rsid w:val="47B214FA"/>
    <w:rsid w:val="47C58203"/>
    <w:rsid w:val="47DFF071"/>
    <w:rsid w:val="480BD5D7"/>
    <w:rsid w:val="4846067E"/>
    <w:rsid w:val="48625DDE"/>
    <w:rsid w:val="4865AF51"/>
    <w:rsid w:val="48CFB514"/>
    <w:rsid w:val="48E16873"/>
    <w:rsid w:val="48E305DD"/>
    <w:rsid w:val="48E3EAF9"/>
    <w:rsid w:val="48EAE164"/>
    <w:rsid w:val="4901DA45"/>
    <w:rsid w:val="490BC340"/>
    <w:rsid w:val="4915232B"/>
    <w:rsid w:val="4921AAC0"/>
    <w:rsid w:val="493A93B6"/>
    <w:rsid w:val="49516435"/>
    <w:rsid w:val="4968C993"/>
    <w:rsid w:val="496CEA65"/>
    <w:rsid w:val="4976BE5E"/>
    <w:rsid w:val="49867B1A"/>
    <w:rsid w:val="49B27A5B"/>
    <w:rsid w:val="49F0DE23"/>
    <w:rsid w:val="4A1B88BB"/>
    <w:rsid w:val="4A236875"/>
    <w:rsid w:val="4A49AF49"/>
    <w:rsid w:val="4A5D8C1E"/>
    <w:rsid w:val="4A724313"/>
    <w:rsid w:val="4A927E6F"/>
    <w:rsid w:val="4AD10529"/>
    <w:rsid w:val="4ADF86E1"/>
    <w:rsid w:val="4AEAB619"/>
    <w:rsid w:val="4AF0CA25"/>
    <w:rsid w:val="4AF86149"/>
    <w:rsid w:val="4B2E57AE"/>
    <w:rsid w:val="4B49C136"/>
    <w:rsid w:val="4B6D3C71"/>
    <w:rsid w:val="4B715F4D"/>
    <w:rsid w:val="4B92BC34"/>
    <w:rsid w:val="4BA29AA0"/>
    <w:rsid w:val="4BE03ADF"/>
    <w:rsid w:val="4BED56E0"/>
    <w:rsid w:val="4C07FDD0"/>
    <w:rsid w:val="4C421171"/>
    <w:rsid w:val="4C4A6604"/>
    <w:rsid w:val="4C756BDD"/>
    <w:rsid w:val="4C8CAA2F"/>
    <w:rsid w:val="4C98604E"/>
    <w:rsid w:val="4CAD8B3B"/>
    <w:rsid w:val="4CC3E4B3"/>
    <w:rsid w:val="4CC9E180"/>
    <w:rsid w:val="4CD83FC8"/>
    <w:rsid w:val="4CD9CBF6"/>
    <w:rsid w:val="4D37F2C1"/>
    <w:rsid w:val="4D3EB4D0"/>
    <w:rsid w:val="4DCA98A2"/>
    <w:rsid w:val="4DD4386E"/>
    <w:rsid w:val="4DD5FBBA"/>
    <w:rsid w:val="4E527117"/>
    <w:rsid w:val="4E6B3FF6"/>
    <w:rsid w:val="4EA5D421"/>
    <w:rsid w:val="4ECAC718"/>
    <w:rsid w:val="4ECE8E6F"/>
    <w:rsid w:val="4EEA2AB9"/>
    <w:rsid w:val="4F022264"/>
    <w:rsid w:val="4F2CB0EB"/>
    <w:rsid w:val="4F46A2E3"/>
    <w:rsid w:val="4F4F047B"/>
    <w:rsid w:val="4F50552D"/>
    <w:rsid w:val="4F9B95F6"/>
    <w:rsid w:val="4FBC1DCA"/>
    <w:rsid w:val="4FC5130C"/>
    <w:rsid w:val="4FCED270"/>
    <w:rsid w:val="5047D3B4"/>
    <w:rsid w:val="50507481"/>
    <w:rsid w:val="5062062F"/>
    <w:rsid w:val="5087955D"/>
    <w:rsid w:val="50D6CD38"/>
    <w:rsid w:val="50E70CE0"/>
    <w:rsid w:val="5116C6CC"/>
    <w:rsid w:val="5119681F"/>
    <w:rsid w:val="512940EA"/>
    <w:rsid w:val="516F4C34"/>
    <w:rsid w:val="51971717"/>
    <w:rsid w:val="51A8AE9B"/>
    <w:rsid w:val="51AD974B"/>
    <w:rsid w:val="51BE3BD7"/>
    <w:rsid w:val="51CD641A"/>
    <w:rsid w:val="5204246D"/>
    <w:rsid w:val="520ED496"/>
    <w:rsid w:val="5231562A"/>
    <w:rsid w:val="52415924"/>
    <w:rsid w:val="524CC38E"/>
    <w:rsid w:val="5257974E"/>
    <w:rsid w:val="52814E01"/>
    <w:rsid w:val="52895264"/>
    <w:rsid w:val="529A3CF6"/>
    <w:rsid w:val="52AA38B2"/>
    <w:rsid w:val="52B0F427"/>
    <w:rsid w:val="52DC4282"/>
    <w:rsid w:val="52F73604"/>
    <w:rsid w:val="531A340C"/>
    <w:rsid w:val="537E5C0A"/>
    <w:rsid w:val="539EE9CA"/>
    <w:rsid w:val="53A0A804"/>
    <w:rsid w:val="53BF01B0"/>
    <w:rsid w:val="53C84D92"/>
    <w:rsid w:val="53DD4795"/>
    <w:rsid w:val="54236373"/>
    <w:rsid w:val="54347470"/>
    <w:rsid w:val="543B327B"/>
    <w:rsid w:val="544F70DF"/>
    <w:rsid w:val="545AE36F"/>
    <w:rsid w:val="545EAD54"/>
    <w:rsid w:val="54628B5C"/>
    <w:rsid w:val="54776ADD"/>
    <w:rsid w:val="54AEF2AF"/>
    <w:rsid w:val="54BC5F4E"/>
    <w:rsid w:val="54D113AB"/>
    <w:rsid w:val="54D8F7D1"/>
    <w:rsid w:val="5503A5BD"/>
    <w:rsid w:val="550BF60D"/>
    <w:rsid w:val="55427C4F"/>
    <w:rsid w:val="5544126C"/>
    <w:rsid w:val="5572BF67"/>
    <w:rsid w:val="5585706B"/>
    <w:rsid w:val="55875C7D"/>
    <w:rsid w:val="559B9650"/>
    <w:rsid w:val="55C076A4"/>
    <w:rsid w:val="55CB2588"/>
    <w:rsid w:val="55F4909F"/>
    <w:rsid w:val="560866CC"/>
    <w:rsid w:val="5610B471"/>
    <w:rsid w:val="562F32B0"/>
    <w:rsid w:val="56619759"/>
    <w:rsid w:val="56639BF6"/>
    <w:rsid w:val="5677965E"/>
    <w:rsid w:val="567E4ED4"/>
    <w:rsid w:val="56CD5907"/>
    <w:rsid w:val="56DDC576"/>
    <w:rsid w:val="56F5B528"/>
    <w:rsid w:val="56F5E7E7"/>
    <w:rsid w:val="5718AA1D"/>
    <w:rsid w:val="57439FD7"/>
    <w:rsid w:val="57741F97"/>
    <w:rsid w:val="57888EF7"/>
    <w:rsid w:val="57960506"/>
    <w:rsid w:val="579C1389"/>
    <w:rsid w:val="57A1D9A0"/>
    <w:rsid w:val="57E21B38"/>
    <w:rsid w:val="582B21FB"/>
    <w:rsid w:val="584BCFE3"/>
    <w:rsid w:val="58581067"/>
    <w:rsid w:val="58A3AA75"/>
    <w:rsid w:val="58AC5C6B"/>
    <w:rsid w:val="58EA16EA"/>
    <w:rsid w:val="590F1037"/>
    <w:rsid w:val="59143752"/>
    <w:rsid w:val="592D51B1"/>
    <w:rsid w:val="593A20C1"/>
    <w:rsid w:val="5951C2A8"/>
    <w:rsid w:val="59707972"/>
    <w:rsid w:val="597638AB"/>
    <w:rsid w:val="59815524"/>
    <w:rsid w:val="59A4C751"/>
    <w:rsid w:val="59FD27D1"/>
    <w:rsid w:val="5A35894D"/>
    <w:rsid w:val="5A5DC9CE"/>
    <w:rsid w:val="5A9F6E41"/>
    <w:rsid w:val="5AA0524E"/>
    <w:rsid w:val="5AAD18EC"/>
    <w:rsid w:val="5AD30DF1"/>
    <w:rsid w:val="5AE092C0"/>
    <w:rsid w:val="5AF78CA1"/>
    <w:rsid w:val="5AF81154"/>
    <w:rsid w:val="5B44640C"/>
    <w:rsid w:val="5B52596C"/>
    <w:rsid w:val="5B6EB022"/>
    <w:rsid w:val="5B78C537"/>
    <w:rsid w:val="5B820497"/>
    <w:rsid w:val="5B9D8A01"/>
    <w:rsid w:val="5C1354C9"/>
    <w:rsid w:val="5C16BF8D"/>
    <w:rsid w:val="5C40F861"/>
    <w:rsid w:val="5C478B9F"/>
    <w:rsid w:val="5C651321"/>
    <w:rsid w:val="5C7574C4"/>
    <w:rsid w:val="5C9D1AA3"/>
    <w:rsid w:val="5CE3AE1A"/>
    <w:rsid w:val="5CE5E093"/>
    <w:rsid w:val="5CE8D70E"/>
    <w:rsid w:val="5D0D06E0"/>
    <w:rsid w:val="5D0D94EE"/>
    <w:rsid w:val="5D0F6790"/>
    <w:rsid w:val="5D1E81DA"/>
    <w:rsid w:val="5D5962A0"/>
    <w:rsid w:val="5D6DBDA0"/>
    <w:rsid w:val="5D703EF6"/>
    <w:rsid w:val="5D704802"/>
    <w:rsid w:val="5DAD662B"/>
    <w:rsid w:val="5DD02BD9"/>
    <w:rsid w:val="5DD3D45D"/>
    <w:rsid w:val="5E4109BE"/>
    <w:rsid w:val="5E484D6B"/>
    <w:rsid w:val="5E541176"/>
    <w:rsid w:val="5E71AA05"/>
    <w:rsid w:val="5EAABD6C"/>
    <w:rsid w:val="5EB2E3A9"/>
    <w:rsid w:val="5EE1418C"/>
    <w:rsid w:val="5F09AF2B"/>
    <w:rsid w:val="5F394C57"/>
    <w:rsid w:val="5F50A696"/>
    <w:rsid w:val="5F802E69"/>
    <w:rsid w:val="5F8BE095"/>
    <w:rsid w:val="5FBB9CFF"/>
    <w:rsid w:val="5FC94B1C"/>
    <w:rsid w:val="5FCF0E7B"/>
    <w:rsid w:val="5FD57321"/>
    <w:rsid w:val="5FD8BE2D"/>
    <w:rsid w:val="5FE16CFC"/>
    <w:rsid w:val="601315E1"/>
    <w:rsid w:val="60330641"/>
    <w:rsid w:val="6036A13F"/>
    <w:rsid w:val="60514673"/>
    <w:rsid w:val="60C5018C"/>
    <w:rsid w:val="61031397"/>
    <w:rsid w:val="610C8051"/>
    <w:rsid w:val="61116F8D"/>
    <w:rsid w:val="6119D231"/>
    <w:rsid w:val="612E1DB9"/>
    <w:rsid w:val="6163A487"/>
    <w:rsid w:val="616D68D9"/>
    <w:rsid w:val="61740ADE"/>
    <w:rsid w:val="619F9239"/>
    <w:rsid w:val="61E8F105"/>
    <w:rsid w:val="61F23F0C"/>
    <w:rsid w:val="628B4EE5"/>
    <w:rsid w:val="62913595"/>
    <w:rsid w:val="629402E7"/>
    <w:rsid w:val="634EF269"/>
    <w:rsid w:val="63508871"/>
    <w:rsid w:val="6363765C"/>
    <w:rsid w:val="637865C5"/>
    <w:rsid w:val="638BCCBB"/>
    <w:rsid w:val="639BB640"/>
    <w:rsid w:val="639FBBC1"/>
    <w:rsid w:val="63ED5419"/>
    <w:rsid w:val="642DB7AC"/>
    <w:rsid w:val="645342E6"/>
    <w:rsid w:val="64AC403F"/>
    <w:rsid w:val="64CBF39B"/>
    <w:rsid w:val="651F76A2"/>
    <w:rsid w:val="653DE4A4"/>
    <w:rsid w:val="659A82B5"/>
    <w:rsid w:val="65C1C6ED"/>
    <w:rsid w:val="66320E20"/>
    <w:rsid w:val="666A7273"/>
    <w:rsid w:val="668F470E"/>
    <w:rsid w:val="66A22080"/>
    <w:rsid w:val="66A9C382"/>
    <w:rsid w:val="66B3C1FA"/>
    <w:rsid w:val="66C942BB"/>
    <w:rsid w:val="66DBA201"/>
    <w:rsid w:val="66F1011E"/>
    <w:rsid w:val="66FA69B9"/>
    <w:rsid w:val="672C87C0"/>
    <w:rsid w:val="67328B9D"/>
    <w:rsid w:val="676852C8"/>
    <w:rsid w:val="676C2AD4"/>
    <w:rsid w:val="678921C8"/>
    <w:rsid w:val="67AF163D"/>
    <w:rsid w:val="67B51C1C"/>
    <w:rsid w:val="67BA4040"/>
    <w:rsid w:val="67C2D0DE"/>
    <w:rsid w:val="67E25DD2"/>
    <w:rsid w:val="67EB709C"/>
    <w:rsid w:val="67EBCF6A"/>
    <w:rsid w:val="681DE5EF"/>
    <w:rsid w:val="6837C867"/>
    <w:rsid w:val="683D79FB"/>
    <w:rsid w:val="687B2155"/>
    <w:rsid w:val="68935809"/>
    <w:rsid w:val="68B60AF5"/>
    <w:rsid w:val="68D78102"/>
    <w:rsid w:val="68FD64BB"/>
    <w:rsid w:val="690D25D4"/>
    <w:rsid w:val="691369E9"/>
    <w:rsid w:val="691D8B28"/>
    <w:rsid w:val="699306A5"/>
    <w:rsid w:val="69A9FDF8"/>
    <w:rsid w:val="69CDB613"/>
    <w:rsid w:val="69D63149"/>
    <w:rsid w:val="69EFABC7"/>
    <w:rsid w:val="69FB9C52"/>
    <w:rsid w:val="6A147A02"/>
    <w:rsid w:val="6A158631"/>
    <w:rsid w:val="6A23DCF1"/>
    <w:rsid w:val="6A25B8A5"/>
    <w:rsid w:val="6A544E80"/>
    <w:rsid w:val="6A5FC55A"/>
    <w:rsid w:val="6A96B9FD"/>
    <w:rsid w:val="6AC13443"/>
    <w:rsid w:val="6ACAB1BF"/>
    <w:rsid w:val="6AE27389"/>
    <w:rsid w:val="6AE36778"/>
    <w:rsid w:val="6AE811E5"/>
    <w:rsid w:val="6AEDBEA9"/>
    <w:rsid w:val="6B164041"/>
    <w:rsid w:val="6B55B536"/>
    <w:rsid w:val="6BA7A4BB"/>
    <w:rsid w:val="6BB34A42"/>
    <w:rsid w:val="6BBBEF51"/>
    <w:rsid w:val="6BCE3538"/>
    <w:rsid w:val="6BD76BE4"/>
    <w:rsid w:val="6BD93CC4"/>
    <w:rsid w:val="6BDCA5D2"/>
    <w:rsid w:val="6C1E40D8"/>
    <w:rsid w:val="6C2A6D97"/>
    <w:rsid w:val="6C341192"/>
    <w:rsid w:val="6C5E3FEE"/>
    <w:rsid w:val="6C6D542D"/>
    <w:rsid w:val="6C6E25B1"/>
    <w:rsid w:val="6C6F97A9"/>
    <w:rsid w:val="6C77816F"/>
    <w:rsid w:val="6C7F3A9E"/>
    <w:rsid w:val="6CDB458B"/>
    <w:rsid w:val="6CE2A97B"/>
    <w:rsid w:val="6CEB1FEF"/>
    <w:rsid w:val="6D07FB62"/>
    <w:rsid w:val="6D167B79"/>
    <w:rsid w:val="6D29196E"/>
    <w:rsid w:val="6D2F2D3E"/>
    <w:rsid w:val="6D3DE217"/>
    <w:rsid w:val="6D4553AE"/>
    <w:rsid w:val="6D710E5A"/>
    <w:rsid w:val="6D7F3F1D"/>
    <w:rsid w:val="6D96CEBA"/>
    <w:rsid w:val="6D9D751E"/>
    <w:rsid w:val="6DB0F3DB"/>
    <w:rsid w:val="6DC1A5A3"/>
    <w:rsid w:val="6DE8A4B3"/>
    <w:rsid w:val="6DF49BFD"/>
    <w:rsid w:val="6DFB518B"/>
    <w:rsid w:val="6DFBDEC9"/>
    <w:rsid w:val="6DFE9F99"/>
    <w:rsid w:val="6DFF06E3"/>
    <w:rsid w:val="6E22BE0D"/>
    <w:rsid w:val="6E271BFA"/>
    <w:rsid w:val="6E2F9495"/>
    <w:rsid w:val="6E4FA82B"/>
    <w:rsid w:val="6E512DB1"/>
    <w:rsid w:val="6F11D8A0"/>
    <w:rsid w:val="6F2E29AB"/>
    <w:rsid w:val="6F3BB1F2"/>
    <w:rsid w:val="6F549404"/>
    <w:rsid w:val="6F818758"/>
    <w:rsid w:val="6FA5CE43"/>
    <w:rsid w:val="6FC11BF4"/>
    <w:rsid w:val="6FC43FCD"/>
    <w:rsid w:val="6FD07850"/>
    <w:rsid w:val="6FD9EBC0"/>
    <w:rsid w:val="6FF9E517"/>
    <w:rsid w:val="701D7E21"/>
    <w:rsid w:val="704E49F9"/>
    <w:rsid w:val="709E2F95"/>
    <w:rsid w:val="70AA189A"/>
    <w:rsid w:val="70AD15AB"/>
    <w:rsid w:val="70EC2421"/>
    <w:rsid w:val="7111145A"/>
    <w:rsid w:val="71576775"/>
    <w:rsid w:val="715F62B8"/>
    <w:rsid w:val="717B1FDE"/>
    <w:rsid w:val="71EC2C41"/>
    <w:rsid w:val="71F493AC"/>
    <w:rsid w:val="7206BBD9"/>
    <w:rsid w:val="7209BF9F"/>
    <w:rsid w:val="721B26C6"/>
    <w:rsid w:val="7233F46E"/>
    <w:rsid w:val="72580B6C"/>
    <w:rsid w:val="72637AF4"/>
    <w:rsid w:val="72796BCA"/>
    <w:rsid w:val="72B9CC4B"/>
    <w:rsid w:val="7317D1A4"/>
    <w:rsid w:val="731DD1E1"/>
    <w:rsid w:val="7328D5DF"/>
    <w:rsid w:val="73294C70"/>
    <w:rsid w:val="73352284"/>
    <w:rsid w:val="73546222"/>
    <w:rsid w:val="737322CF"/>
    <w:rsid w:val="738E78D1"/>
    <w:rsid w:val="7390C38F"/>
    <w:rsid w:val="7396DC82"/>
    <w:rsid w:val="73A4046F"/>
    <w:rsid w:val="73B4F3AF"/>
    <w:rsid w:val="73F94A9D"/>
    <w:rsid w:val="741632FB"/>
    <w:rsid w:val="743C3BF8"/>
    <w:rsid w:val="743FA3C8"/>
    <w:rsid w:val="74527145"/>
    <w:rsid w:val="74699921"/>
    <w:rsid w:val="74C264A8"/>
    <w:rsid w:val="74CADB20"/>
    <w:rsid w:val="74CCB5B9"/>
    <w:rsid w:val="753AD700"/>
    <w:rsid w:val="754359F1"/>
    <w:rsid w:val="75470E6F"/>
    <w:rsid w:val="7592C18F"/>
    <w:rsid w:val="759B5FE5"/>
    <w:rsid w:val="759F6343"/>
    <w:rsid w:val="75BDFA31"/>
    <w:rsid w:val="75C60755"/>
    <w:rsid w:val="75F5E74B"/>
    <w:rsid w:val="75FEB328"/>
    <w:rsid w:val="76071136"/>
    <w:rsid w:val="760DB32D"/>
    <w:rsid w:val="7625AEDD"/>
    <w:rsid w:val="762CEFA6"/>
    <w:rsid w:val="764B01A7"/>
    <w:rsid w:val="767CC2FA"/>
    <w:rsid w:val="76844724"/>
    <w:rsid w:val="76875547"/>
    <w:rsid w:val="7694FF6E"/>
    <w:rsid w:val="769F9E5B"/>
    <w:rsid w:val="76CFC37E"/>
    <w:rsid w:val="76E09152"/>
    <w:rsid w:val="76E5920B"/>
    <w:rsid w:val="770D5103"/>
    <w:rsid w:val="7725FBE8"/>
    <w:rsid w:val="773B42AC"/>
    <w:rsid w:val="7762F50A"/>
    <w:rsid w:val="7773ADB8"/>
    <w:rsid w:val="777BEDB9"/>
    <w:rsid w:val="7788EC7B"/>
    <w:rsid w:val="7789B542"/>
    <w:rsid w:val="77C50360"/>
    <w:rsid w:val="77C61C68"/>
    <w:rsid w:val="77CD689B"/>
    <w:rsid w:val="77D37C62"/>
    <w:rsid w:val="77E81897"/>
    <w:rsid w:val="77EF1992"/>
    <w:rsid w:val="77FC0ED2"/>
    <w:rsid w:val="77FFE5BA"/>
    <w:rsid w:val="781476B6"/>
    <w:rsid w:val="78261004"/>
    <w:rsid w:val="7848700F"/>
    <w:rsid w:val="784D4150"/>
    <w:rsid w:val="7857C3E6"/>
    <w:rsid w:val="786B29B0"/>
    <w:rsid w:val="789D565F"/>
    <w:rsid w:val="78A4C44F"/>
    <w:rsid w:val="78B0BD58"/>
    <w:rsid w:val="78F197CB"/>
    <w:rsid w:val="78FDEEB0"/>
    <w:rsid w:val="792297E2"/>
    <w:rsid w:val="792DCEC7"/>
    <w:rsid w:val="79348590"/>
    <w:rsid w:val="795E6F55"/>
    <w:rsid w:val="796ABBEE"/>
    <w:rsid w:val="79C5B578"/>
    <w:rsid w:val="79E9622F"/>
    <w:rsid w:val="7A121DFA"/>
    <w:rsid w:val="7A1CC87A"/>
    <w:rsid w:val="7A222574"/>
    <w:rsid w:val="7A3FC84A"/>
    <w:rsid w:val="7A5C2111"/>
    <w:rsid w:val="7A72EB06"/>
    <w:rsid w:val="7A813F86"/>
    <w:rsid w:val="7A9954D1"/>
    <w:rsid w:val="7AA2D404"/>
    <w:rsid w:val="7AD445E5"/>
    <w:rsid w:val="7B1EE0E4"/>
    <w:rsid w:val="7B239305"/>
    <w:rsid w:val="7B3F7DEA"/>
    <w:rsid w:val="7B4739D8"/>
    <w:rsid w:val="7B699A45"/>
    <w:rsid w:val="7B6ED630"/>
    <w:rsid w:val="7B84F6AE"/>
    <w:rsid w:val="7BD5429D"/>
    <w:rsid w:val="7C06E4BC"/>
    <w:rsid w:val="7C1BCD2A"/>
    <w:rsid w:val="7C21C015"/>
    <w:rsid w:val="7C30886D"/>
    <w:rsid w:val="7C38ABE4"/>
    <w:rsid w:val="7C4A957A"/>
    <w:rsid w:val="7C615B52"/>
    <w:rsid w:val="7C62F326"/>
    <w:rsid w:val="7C8551DB"/>
    <w:rsid w:val="7C8FB030"/>
    <w:rsid w:val="7CCD29FD"/>
    <w:rsid w:val="7CD12010"/>
    <w:rsid w:val="7CFFF654"/>
    <w:rsid w:val="7D1494E2"/>
    <w:rsid w:val="7D1811B9"/>
    <w:rsid w:val="7D603B0F"/>
    <w:rsid w:val="7D6B32B5"/>
    <w:rsid w:val="7D90281D"/>
    <w:rsid w:val="7D9FD4F3"/>
    <w:rsid w:val="7DC5AD18"/>
    <w:rsid w:val="7DCA109F"/>
    <w:rsid w:val="7DCF4F8B"/>
    <w:rsid w:val="7E074A85"/>
    <w:rsid w:val="7E0BC44A"/>
    <w:rsid w:val="7E1121A4"/>
    <w:rsid w:val="7E130B68"/>
    <w:rsid w:val="7E26A5B2"/>
    <w:rsid w:val="7E3B0D46"/>
    <w:rsid w:val="7E4ED843"/>
    <w:rsid w:val="7E5B51F2"/>
    <w:rsid w:val="7E68DE9B"/>
    <w:rsid w:val="7E7F84CA"/>
    <w:rsid w:val="7EAE9CF8"/>
    <w:rsid w:val="7EB8B162"/>
    <w:rsid w:val="7EC6A8C2"/>
    <w:rsid w:val="7EF76AD3"/>
    <w:rsid w:val="7F15426A"/>
    <w:rsid w:val="7F1BE777"/>
    <w:rsid w:val="7F2483C8"/>
    <w:rsid w:val="7F2BEC76"/>
    <w:rsid w:val="7F37D088"/>
    <w:rsid w:val="7F57EFB2"/>
    <w:rsid w:val="7F6466EC"/>
    <w:rsid w:val="7F70B11C"/>
    <w:rsid w:val="7F9D14DB"/>
    <w:rsid w:val="7FA10672"/>
    <w:rsid w:val="7FDE3386"/>
    <w:rsid w:val="7FE16B62"/>
    <w:rsid w:val="7FFB623B"/>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4CD9CBF6"/>
  <w15:chartTrackingRefBased/>
  <w15:docId w15:val="{63C633FD-B20E-4457-A2C1-7B41F3A2BB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a-DK" w:eastAsia="en-US" w:bidi="ar-SA"/>
      </w:rPr>
    </w:rPrDefault>
    <w:pPrDefault>
      <w:pPr>
        <w:spacing w:after="160" w:line="27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pPr>
      <w:ind w:left="720"/>
      <w:contextualSpacing/>
    </w:p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467886" w:themeColor="hyperlink"/>
      <w:u w:val="single"/>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1C26C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C26CD"/>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130F54"/>
    <w:rPr>
      <w:b/>
      <w:bCs/>
    </w:rPr>
  </w:style>
  <w:style w:type="character" w:customStyle="1" w:styleId="CommentSubjectChar">
    <w:name w:val="Comment Subject Char"/>
    <w:basedOn w:val="CommentTextChar"/>
    <w:link w:val="CommentSubject"/>
    <w:uiPriority w:val="99"/>
    <w:semiHidden/>
    <w:rsid w:val="00130F54"/>
    <w:rPr>
      <w:b/>
      <w:bCs/>
      <w:sz w:val="20"/>
      <w:szCs w:val="20"/>
    </w:rPr>
  </w:style>
  <w:style w:type="character" w:styleId="FollowedHyperlink">
    <w:name w:val="FollowedHyperlink"/>
    <w:basedOn w:val="DefaultParagraphFont"/>
    <w:uiPriority w:val="99"/>
    <w:semiHidden/>
    <w:unhideWhenUsed/>
    <w:rsid w:val="00ED1BDB"/>
    <w:rPr>
      <w:color w:val="96607D" w:themeColor="followedHyperlink"/>
      <w:u w:val="single"/>
    </w:rPr>
  </w:style>
  <w:style w:type="paragraph" w:styleId="FootnoteText">
    <w:name w:val="footnote text"/>
    <w:basedOn w:val="Normal"/>
    <w:link w:val="FootnoteTextChar"/>
    <w:uiPriority w:val="99"/>
    <w:semiHidden/>
    <w:unhideWhenUsed/>
    <w:rsid w:val="0017000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7000C"/>
    <w:rPr>
      <w:sz w:val="20"/>
      <w:szCs w:val="20"/>
    </w:rPr>
  </w:style>
  <w:style w:type="character" w:styleId="FootnoteReference">
    <w:name w:val="footnote reference"/>
    <w:basedOn w:val="DefaultParagraphFont"/>
    <w:uiPriority w:val="99"/>
    <w:semiHidden/>
    <w:unhideWhenUsed/>
    <w:rsid w:val="0017000C"/>
    <w:rPr>
      <w:vertAlign w:val="superscript"/>
    </w:rPr>
  </w:style>
  <w:style w:type="paragraph" w:styleId="HTMLPreformatted">
    <w:name w:val="HTML Preformatted"/>
    <w:basedOn w:val="Normal"/>
    <w:link w:val="HTMLPreformattedChar"/>
    <w:uiPriority w:val="99"/>
    <w:semiHidden/>
    <w:unhideWhenUsed/>
    <w:rsid w:val="000546FE"/>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0546FE"/>
    <w:rPr>
      <w:rFonts w:ascii="Consolas" w:hAnsi="Consolas"/>
      <w:sz w:val="20"/>
      <w:szCs w:val="20"/>
    </w:rPr>
  </w:style>
  <w:style w:type="character" w:styleId="UnresolvedMention">
    <w:name w:val="Unresolved Mention"/>
    <w:basedOn w:val="DefaultParagraphFont"/>
    <w:uiPriority w:val="99"/>
    <w:semiHidden/>
    <w:unhideWhenUsed/>
    <w:rsid w:val="00001948"/>
    <w:rPr>
      <w:color w:val="605E5C"/>
      <w:shd w:val="clear" w:color="auto" w:fill="E1DFDD"/>
    </w:rPr>
  </w:style>
  <w:style w:type="paragraph" w:styleId="NormalWeb">
    <w:name w:val="Normal (Web)"/>
    <w:basedOn w:val="Normal"/>
    <w:uiPriority w:val="99"/>
    <w:semiHidden/>
    <w:unhideWhenUsed/>
    <w:rsid w:val="00401E08"/>
    <w:pPr>
      <w:spacing w:before="100" w:beforeAutospacing="1" w:after="100" w:afterAutospacing="1" w:line="240" w:lineRule="auto"/>
    </w:pPr>
    <w:rPr>
      <w:rFonts w:ascii="Times New Roman" w:eastAsia="Times New Roman" w:hAnsi="Times New Roman" w:cs="Times New Roman"/>
      <w:lang w:eastAsia="da-DK"/>
    </w:rPr>
  </w:style>
  <w:style w:type="paragraph" w:customStyle="1" w:styleId="paragraph">
    <w:name w:val="paragraph"/>
    <w:basedOn w:val="Normal"/>
    <w:rsid w:val="00A0372F"/>
    <w:pPr>
      <w:spacing w:before="100" w:beforeAutospacing="1" w:after="100" w:afterAutospacing="1" w:line="240" w:lineRule="auto"/>
    </w:pPr>
    <w:rPr>
      <w:rFonts w:ascii="Times New Roman" w:eastAsia="Times New Roman" w:hAnsi="Times New Roman" w:cs="Times New Roman"/>
      <w:lang w:eastAsia="da-DK"/>
    </w:rPr>
  </w:style>
  <w:style w:type="character" w:customStyle="1" w:styleId="normaltextrun">
    <w:name w:val="normaltextrun"/>
    <w:basedOn w:val="DefaultParagraphFont"/>
    <w:rsid w:val="00A0372F"/>
  </w:style>
  <w:style w:type="paragraph" w:customStyle="1" w:styleId="xmsonormal">
    <w:name w:val="x_msonormal"/>
    <w:basedOn w:val="Normal"/>
    <w:rsid w:val="00C454FA"/>
    <w:pPr>
      <w:spacing w:after="0" w:line="240" w:lineRule="auto"/>
    </w:pPr>
    <w:rPr>
      <w:rFonts w:ascii="Calibri" w:hAnsi="Calibri" w:cs="Calibri"/>
      <w:sz w:val="22"/>
      <w:szCs w:val="22"/>
      <w:lang w:eastAsia="da-DK"/>
    </w:rPr>
  </w:style>
  <w:style w:type="table" w:customStyle="1" w:styleId="TableNormal1">
    <w:name w:val="Table Normal1"/>
    <w:uiPriority w:val="2"/>
    <w:semiHidden/>
    <w:unhideWhenUsed/>
    <w:qFormat/>
    <w:rsid w:val="00AE29D2"/>
    <w:pPr>
      <w:widowControl w:val="0"/>
      <w:autoSpaceDE w:val="0"/>
      <w:autoSpaceDN w:val="0"/>
      <w:spacing w:after="0" w:line="240" w:lineRule="auto"/>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E29D2"/>
    <w:pPr>
      <w:widowControl w:val="0"/>
      <w:autoSpaceDE w:val="0"/>
      <w:autoSpaceDN w:val="0"/>
      <w:spacing w:after="0" w:line="240" w:lineRule="auto"/>
    </w:pPr>
    <w:rPr>
      <w:rFonts w:ascii="Carlito" w:eastAsia="Carlito" w:hAnsi="Carlito" w:cs="Carlito"/>
      <w:sz w:val="22"/>
      <w:szCs w:val="22"/>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864015">
      <w:bodyDiv w:val="1"/>
      <w:marLeft w:val="0"/>
      <w:marRight w:val="0"/>
      <w:marTop w:val="0"/>
      <w:marBottom w:val="0"/>
      <w:divBdr>
        <w:top w:val="none" w:sz="0" w:space="0" w:color="auto"/>
        <w:left w:val="none" w:sz="0" w:space="0" w:color="auto"/>
        <w:bottom w:val="none" w:sz="0" w:space="0" w:color="auto"/>
        <w:right w:val="none" w:sz="0" w:space="0" w:color="auto"/>
      </w:divBdr>
    </w:div>
    <w:div w:id="294218309">
      <w:bodyDiv w:val="1"/>
      <w:marLeft w:val="0"/>
      <w:marRight w:val="0"/>
      <w:marTop w:val="0"/>
      <w:marBottom w:val="0"/>
      <w:divBdr>
        <w:top w:val="none" w:sz="0" w:space="0" w:color="auto"/>
        <w:left w:val="none" w:sz="0" w:space="0" w:color="auto"/>
        <w:bottom w:val="none" w:sz="0" w:space="0" w:color="auto"/>
        <w:right w:val="none" w:sz="0" w:space="0" w:color="auto"/>
      </w:divBdr>
    </w:div>
    <w:div w:id="409543734">
      <w:bodyDiv w:val="1"/>
      <w:marLeft w:val="0"/>
      <w:marRight w:val="0"/>
      <w:marTop w:val="0"/>
      <w:marBottom w:val="0"/>
      <w:divBdr>
        <w:top w:val="none" w:sz="0" w:space="0" w:color="auto"/>
        <w:left w:val="none" w:sz="0" w:space="0" w:color="auto"/>
        <w:bottom w:val="none" w:sz="0" w:space="0" w:color="auto"/>
        <w:right w:val="none" w:sz="0" w:space="0" w:color="auto"/>
      </w:divBdr>
    </w:div>
    <w:div w:id="451365736">
      <w:bodyDiv w:val="1"/>
      <w:marLeft w:val="0"/>
      <w:marRight w:val="0"/>
      <w:marTop w:val="0"/>
      <w:marBottom w:val="0"/>
      <w:divBdr>
        <w:top w:val="none" w:sz="0" w:space="0" w:color="auto"/>
        <w:left w:val="none" w:sz="0" w:space="0" w:color="auto"/>
        <w:bottom w:val="none" w:sz="0" w:space="0" w:color="auto"/>
        <w:right w:val="none" w:sz="0" w:space="0" w:color="auto"/>
      </w:divBdr>
    </w:div>
    <w:div w:id="474874429">
      <w:bodyDiv w:val="1"/>
      <w:marLeft w:val="0"/>
      <w:marRight w:val="0"/>
      <w:marTop w:val="0"/>
      <w:marBottom w:val="0"/>
      <w:divBdr>
        <w:top w:val="none" w:sz="0" w:space="0" w:color="auto"/>
        <w:left w:val="none" w:sz="0" w:space="0" w:color="auto"/>
        <w:bottom w:val="none" w:sz="0" w:space="0" w:color="auto"/>
        <w:right w:val="none" w:sz="0" w:space="0" w:color="auto"/>
      </w:divBdr>
    </w:div>
    <w:div w:id="500044095">
      <w:bodyDiv w:val="1"/>
      <w:marLeft w:val="0"/>
      <w:marRight w:val="0"/>
      <w:marTop w:val="0"/>
      <w:marBottom w:val="0"/>
      <w:divBdr>
        <w:top w:val="none" w:sz="0" w:space="0" w:color="auto"/>
        <w:left w:val="none" w:sz="0" w:space="0" w:color="auto"/>
        <w:bottom w:val="none" w:sz="0" w:space="0" w:color="auto"/>
        <w:right w:val="none" w:sz="0" w:space="0" w:color="auto"/>
      </w:divBdr>
    </w:div>
    <w:div w:id="522672182">
      <w:bodyDiv w:val="1"/>
      <w:marLeft w:val="0"/>
      <w:marRight w:val="0"/>
      <w:marTop w:val="0"/>
      <w:marBottom w:val="0"/>
      <w:divBdr>
        <w:top w:val="none" w:sz="0" w:space="0" w:color="auto"/>
        <w:left w:val="none" w:sz="0" w:space="0" w:color="auto"/>
        <w:bottom w:val="none" w:sz="0" w:space="0" w:color="auto"/>
        <w:right w:val="none" w:sz="0" w:space="0" w:color="auto"/>
      </w:divBdr>
      <w:divsChild>
        <w:div w:id="1712998386">
          <w:marLeft w:val="0"/>
          <w:marRight w:val="0"/>
          <w:marTop w:val="0"/>
          <w:marBottom w:val="0"/>
          <w:divBdr>
            <w:top w:val="none" w:sz="0" w:space="0" w:color="auto"/>
            <w:left w:val="none" w:sz="0" w:space="0" w:color="auto"/>
            <w:bottom w:val="none" w:sz="0" w:space="0" w:color="auto"/>
            <w:right w:val="none" w:sz="0" w:space="0" w:color="auto"/>
          </w:divBdr>
          <w:divsChild>
            <w:div w:id="390540340">
              <w:marLeft w:val="0"/>
              <w:marRight w:val="0"/>
              <w:marTop w:val="0"/>
              <w:marBottom w:val="0"/>
              <w:divBdr>
                <w:top w:val="none" w:sz="0" w:space="0" w:color="auto"/>
                <w:left w:val="none" w:sz="0" w:space="0" w:color="auto"/>
                <w:bottom w:val="none" w:sz="0" w:space="0" w:color="auto"/>
                <w:right w:val="none" w:sz="0" w:space="0" w:color="auto"/>
              </w:divBdr>
              <w:divsChild>
                <w:div w:id="620503607">
                  <w:marLeft w:val="0"/>
                  <w:marRight w:val="0"/>
                  <w:marTop w:val="0"/>
                  <w:marBottom w:val="0"/>
                  <w:divBdr>
                    <w:top w:val="none" w:sz="0" w:space="0" w:color="auto"/>
                    <w:left w:val="none" w:sz="0" w:space="0" w:color="auto"/>
                    <w:bottom w:val="none" w:sz="0" w:space="0" w:color="auto"/>
                    <w:right w:val="none" w:sz="0" w:space="0" w:color="auto"/>
                  </w:divBdr>
                  <w:divsChild>
                    <w:div w:id="1187476786">
                      <w:marLeft w:val="0"/>
                      <w:marRight w:val="0"/>
                      <w:marTop w:val="0"/>
                      <w:marBottom w:val="0"/>
                      <w:divBdr>
                        <w:top w:val="none" w:sz="0" w:space="0" w:color="auto"/>
                        <w:left w:val="none" w:sz="0" w:space="0" w:color="auto"/>
                        <w:bottom w:val="none" w:sz="0" w:space="0" w:color="auto"/>
                        <w:right w:val="none" w:sz="0" w:space="0" w:color="auto"/>
                      </w:divBdr>
                      <w:divsChild>
                        <w:div w:id="93326759">
                          <w:marLeft w:val="0"/>
                          <w:marRight w:val="0"/>
                          <w:marTop w:val="0"/>
                          <w:marBottom w:val="0"/>
                          <w:divBdr>
                            <w:top w:val="none" w:sz="0" w:space="0" w:color="auto"/>
                            <w:left w:val="none" w:sz="0" w:space="0" w:color="auto"/>
                            <w:bottom w:val="none" w:sz="0" w:space="0" w:color="auto"/>
                            <w:right w:val="none" w:sz="0" w:space="0" w:color="auto"/>
                          </w:divBdr>
                          <w:divsChild>
                            <w:div w:id="1238202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5346629">
      <w:bodyDiv w:val="1"/>
      <w:marLeft w:val="0"/>
      <w:marRight w:val="0"/>
      <w:marTop w:val="0"/>
      <w:marBottom w:val="0"/>
      <w:divBdr>
        <w:top w:val="none" w:sz="0" w:space="0" w:color="auto"/>
        <w:left w:val="none" w:sz="0" w:space="0" w:color="auto"/>
        <w:bottom w:val="none" w:sz="0" w:space="0" w:color="auto"/>
        <w:right w:val="none" w:sz="0" w:space="0" w:color="auto"/>
      </w:divBdr>
      <w:divsChild>
        <w:div w:id="429861348">
          <w:marLeft w:val="0"/>
          <w:marRight w:val="0"/>
          <w:marTop w:val="0"/>
          <w:marBottom w:val="0"/>
          <w:divBdr>
            <w:top w:val="none" w:sz="0" w:space="0" w:color="auto"/>
            <w:left w:val="none" w:sz="0" w:space="0" w:color="auto"/>
            <w:bottom w:val="none" w:sz="0" w:space="0" w:color="auto"/>
            <w:right w:val="none" w:sz="0" w:space="0" w:color="auto"/>
          </w:divBdr>
          <w:divsChild>
            <w:div w:id="347408238">
              <w:marLeft w:val="0"/>
              <w:marRight w:val="0"/>
              <w:marTop w:val="0"/>
              <w:marBottom w:val="0"/>
              <w:divBdr>
                <w:top w:val="none" w:sz="0" w:space="0" w:color="auto"/>
                <w:left w:val="none" w:sz="0" w:space="0" w:color="auto"/>
                <w:bottom w:val="none" w:sz="0" w:space="0" w:color="auto"/>
                <w:right w:val="none" w:sz="0" w:space="0" w:color="auto"/>
              </w:divBdr>
              <w:divsChild>
                <w:div w:id="480925442">
                  <w:marLeft w:val="0"/>
                  <w:marRight w:val="0"/>
                  <w:marTop w:val="0"/>
                  <w:marBottom w:val="0"/>
                  <w:divBdr>
                    <w:top w:val="none" w:sz="0" w:space="0" w:color="auto"/>
                    <w:left w:val="none" w:sz="0" w:space="0" w:color="auto"/>
                    <w:bottom w:val="none" w:sz="0" w:space="0" w:color="auto"/>
                    <w:right w:val="none" w:sz="0" w:space="0" w:color="auto"/>
                  </w:divBdr>
                  <w:divsChild>
                    <w:div w:id="350839952">
                      <w:marLeft w:val="0"/>
                      <w:marRight w:val="0"/>
                      <w:marTop w:val="0"/>
                      <w:marBottom w:val="0"/>
                      <w:divBdr>
                        <w:top w:val="none" w:sz="0" w:space="0" w:color="auto"/>
                        <w:left w:val="none" w:sz="0" w:space="0" w:color="auto"/>
                        <w:bottom w:val="none" w:sz="0" w:space="0" w:color="auto"/>
                        <w:right w:val="none" w:sz="0" w:space="0" w:color="auto"/>
                      </w:divBdr>
                      <w:divsChild>
                        <w:div w:id="415326032">
                          <w:marLeft w:val="0"/>
                          <w:marRight w:val="0"/>
                          <w:marTop w:val="0"/>
                          <w:marBottom w:val="0"/>
                          <w:divBdr>
                            <w:top w:val="none" w:sz="0" w:space="0" w:color="auto"/>
                            <w:left w:val="none" w:sz="0" w:space="0" w:color="auto"/>
                            <w:bottom w:val="none" w:sz="0" w:space="0" w:color="auto"/>
                            <w:right w:val="none" w:sz="0" w:space="0" w:color="auto"/>
                          </w:divBdr>
                          <w:divsChild>
                            <w:div w:id="901450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9355281">
      <w:bodyDiv w:val="1"/>
      <w:marLeft w:val="0"/>
      <w:marRight w:val="0"/>
      <w:marTop w:val="0"/>
      <w:marBottom w:val="0"/>
      <w:divBdr>
        <w:top w:val="none" w:sz="0" w:space="0" w:color="auto"/>
        <w:left w:val="none" w:sz="0" w:space="0" w:color="auto"/>
        <w:bottom w:val="none" w:sz="0" w:space="0" w:color="auto"/>
        <w:right w:val="none" w:sz="0" w:space="0" w:color="auto"/>
      </w:divBdr>
    </w:div>
    <w:div w:id="831871186">
      <w:bodyDiv w:val="1"/>
      <w:marLeft w:val="0"/>
      <w:marRight w:val="0"/>
      <w:marTop w:val="0"/>
      <w:marBottom w:val="0"/>
      <w:divBdr>
        <w:top w:val="none" w:sz="0" w:space="0" w:color="auto"/>
        <w:left w:val="none" w:sz="0" w:space="0" w:color="auto"/>
        <w:bottom w:val="none" w:sz="0" w:space="0" w:color="auto"/>
        <w:right w:val="none" w:sz="0" w:space="0" w:color="auto"/>
      </w:divBdr>
    </w:div>
    <w:div w:id="851065873">
      <w:bodyDiv w:val="1"/>
      <w:marLeft w:val="0"/>
      <w:marRight w:val="0"/>
      <w:marTop w:val="0"/>
      <w:marBottom w:val="0"/>
      <w:divBdr>
        <w:top w:val="none" w:sz="0" w:space="0" w:color="auto"/>
        <w:left w:val="none" w:sz="0" w:space="0" w:color="auto"/>
        <w:bottom w:val="none" w:sz="0" w:space="0" w:color="auto"/>
        <w:right w:val="none" w:sz="0" w:space="0" w:color="auto"/>
      </w:divBdr>
      <w:divsChild>
        <w:div w:id="1757091226">
          <w:marLeft w:val="0"/>
          <w:marRight w:val="0"/>
          <w:marTop w:val="0"/>
          <w:marBottom w:val="0"/>
          <w:divBdr>
            <w:top w:val="none" w:sz="0" w:space="0" w:color="auto"/>
            <w:left w:val="none" w:sz="0" w:space="0" w:color="auto"/>
            <w:bottom w:val="none" w:sz="0" w:space="0" w:color="auto"/>
            <w:right w:val="none" w:sz="0" w:space="0" w:color="auto"/>
          </w:divBdr>
          <w:divsChild>
            <w:div w:id="1633901434">
              <w:marLeft w:val="0"/>
              <w:marRight w:val="0"/>
              <w:marTop w:val="0"/>
              <w:marBottom w:val="0"/>
              <w:divBdr>
                <w:top w:val="none" w:sz="0" w:space="0" w:color="auto"/>
                <w:left w:val="none" w:sz="0" w:space="0" w:color="auto"/>
                <w:bottom w:val="none" w:sz="0" w:space="0" w:color="auto"/>
                <w:right w:val="none" w:sz="0" w:space="0" w:color="auto"/>
              </w:divBdr>
              <w:divsChild>
                <w:div w:id="176965326">
                  <w:marLeft w:val="0"/>
                  <w:marRight w:val="0"/>
                  <w:marTop w:val="0"/>
                  <w:marBottom w:val="0"/>
                  <w:divBdr>
                    <w:top w:val="none" w:sz="0" w:space="0" w:color="auto"/>
                    <w:left w:val="none" w:sz="0" w:space="0" w:color="auto"/>
                    <w:bottom w:val="none" w:sz="0" w:space="0" w:color="auto"/>
                    <w:right w:val="none" w:sz="0" w:space="0" w:color="auto"/>
                  </w:divBdr>
                  <w:divsChild>
                    <w:div w:id="2094234830">
                      <w:marLeft w:val="0"/>
                      <w:marRight w:val="0"/>
                      <w:marTop w:val="0"/>
                      <w:marBottom w:val="0"/>
                      <w:divBdr>
                        <w:top w:val="none" w:sz="0" w:space="0" w:color="auto"/>
                        <w:left w:val="none" w:sz="0" w:space="0" w:color="auto"/>
                        <w:bottom w:val="none" w:sz="0" w:space="0" w:color="auto"/>
                        <w:right w:val="none" w:sz="0" w:space="0" w:color="auto"/>
                      </w:divBdr>
                      <w:divsChild>
                        <w:div w:id="1625959147">
                          <w:marLeft w:val="0"/>
                          <w:marRight w:val="0"/>
                          <w:marTop w:val="0"/>
                          <w:marBottom w:val="0"/>
                          <w:divBdr>
                            <w:top w:val="none" w:sz="0" w:space="0" w:color="auto"/>
                            <w:left w:val="none" w:sz="0" w:space="0" w:color="auto"/>
                            <w:bottom w:val="none" w:sz="0" w:space="0" w:color="auto"/>
                            <w:right w:val="none" w:sz="0" w:space="0" w:color="auto"/>
                          </w:divBdr>
                          <w:divsChild>
                            <w:div w:id="1210534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9842715">
      <w:bodyDiv w:val="1"/>
      <w:marLeft w:val="0"/>
      <w:marRight w:val="0"/>
      <w:marTop w:val="0"/>
      <w:marBottom w:val="0"/>
      <w:divBdr>
        <w:top w:val="none" w:sz="0" w:space="0" w:color="auto"/>
        <w:left w:val="none" w:sz="0" w:space="0" w:color="auto"/>
        <w:bottom w:val="none" w:sz="0" w:space="0" w:color="auto"/>
        <w:right w:val="none" w:sz="0" w:space="0" w:color="auto"/>
      </w:divBdr>
    </w:div>
    <w:div w:id="1001742005">
      <w:bodyDiv w:val="1"/>
      <w:marLeft w:val="0"/>
      <w:marRight w:val="0"/>
      <w:marTop w:val="0"/>
      <w:marBottom w:val="0"/>
      <w:divBdr>
        <w:top w:val="none" w:sz="0" w:space="0" w:color="auto"/>
        <w:left w:val="none" w:sz="0" w:space="0" w:color="auto"/>
        <w:bottom w:val="none" w:sz="0" w:space="0" w:color="auto"/>
        <w:right w:val="none" w:sz="0" w:space="0" w:color="auto"/>
      </w:divBdr>
    </w:div>
    <w:div w:id="1118914942">
      <w:bodyDiv w:val="1"/>
      <w:marLeft w:val="0"/>
      <w:marRight w:val="0"/>
      <w:marTop w:val="0"/>
      <w:marBottom w:val="0"/>
      <w:divBdr>
        <w:top w:val="none" w:sz="0" w:space="0" w:color="auto"/>
        <w:left w:val="none" w:sz="0" w:space="0" w:color="auto"/>
        <w:bottom w:val="none" w:sz="0" w:space="0" w:color="auto"/>
        <w:right w:val="none" w:sz="0" w:space="0" w:color="auto"/>
      </w:divBdr>
    </w:div>
    <w:div w:id="1150171138">
      <w:bodyDiv w:val="1"/>
      <w:marLeft w:val="0"/>
      <w:marRight w:val="0"/>
      <w:marTop w:val="0"/>
      <w:marBottom w:val="0"/>
      <w:divBdr>
        <w:top w:val="none" w:sz="0" w:space="0" w:color="auto"/>
        <w:left w:val="none" w:sz="0" w:space="0" w:color="auto"/>
        <w:bottom w:val="none" w:sz="0" w:space="0" w:color="auto"/>
        <w:right w:val="none" w:sz="0" w:space="0" w:color="auto"/>
      </w:divBdr>
    </w:div>
    <w:div w:id="1503164296">
      <w:bodyDiv w:val="1"/>
      <w:marLeft w:val="0"/>
      <w:marRight w:val="0"/>
      <w:marTop w:val="0"/>
      <w:marBottom w:val="0"/>
      <w:divBdr>
        <w:top w:val="none" w:sz="0" w:space="0" w:color="auto"/>
        <w:left w:val="none" w:sz="0" w:space="0" w:color="auto"/>
        <w:bottom w:val="none" w:sz="0" w:space="0" w:color="auto"/>
        <w:right w:val="none" w:sz="0" w:space="0" w:color="auto"/>
      </w:divBdr>
      <w:divsChild>
        <w:div w:id="1419641605">
          <w:marLeft w:val="0"/>
          <w:marRight w:val="0"/>
          <w:marTop w:val="0"/>
          <w:marBottom w:val="0"/>
          <w:divBdr>
            <w:top w:val="none" w:sz="0" w:space="0" w:color="auto"/>
            <w:left w:val="none" w:sz="0" w:space="0" w:color="auto"/>
            <w:bottom w:val="none" w:sz="0" w:space="0" w:color="auto"/>
            <w:right w:val="none" w:sz="0" w:space="0" w:color="auto"/>
          </w:divBdr>
          <w:divsChild>
            <w:div w:id="1879196936">
              <w:marLeft w:val="0"/>
              <w:marRight w:val="0"/>
              <w:marTop w:val="0"/>
              <w:marBottom w:val="0"/>
              <w:divBdr>
                <w:top w:val="none" w:sz="0" w:space="0" w:color="auto"/>
                <w:left w:val="none" w:sz="0" w:space="0" w:color="auto"/>
                <w:bottom w:val="none" w:sz="0" w:space="0" w:color="auto"/>
                <w:right w:val="none" w:sz="0" w:space="0" w:color="auto"/>
              </w:divBdr>
              <w:divsChild>
                <w:div w:id="1303386370">
                  <w:marLeft w:val="0"/>
                  <w:marRight w:val="0"/>
                  <w:marTop w:val="0"/>
                  <w:marBottom w:val="0"/>
                  <w:divBdr>
                    <w:top w:val="none" w:sz="0" w:space="0" w:color="auto"/>
                    <w:left w:val="none" w:sz="0" w:space="0" w:color="auto"/>
                    <w:bottom w:val="none" w:sz="0" w:space="0" w:color="auto"/>
                    <w:right w:val="none" w:sz="0" w:space="0" w:color="auto"/>
                  </w:divBdr>
                  <w:divsChild>
                    <w:div w:id="1064140744">
                      <w:marLeft w:val="0"/>
                      <w:marRight w:val="0"/>
                      <w:marTop w:val="0"/>
                      <w:marBottom w:val="0"/>
                      <w:divBdr>
                        <w:top w:val="none" w:sz="0" w:space="0" w:color="auto"/>
                        <w:left w:val="none" w:sz="0" w:space="0" w:color="auto"/>
                        <w:bottom w:val="none" w:sz="0" w:space="0" w:color="auto"/>
                        <w:right w:val="none" w:sz="0" w:space="0" w:color="auto"/>
                      </w:divBdr>
                      <w:divsChild>
                        <w:div w:id="1040056358">
                          <w:marLeft w:val="0"/>
                          <w:marRight w:val="0"/>
                          <w:marTop w:val="0"/>
                          <w:marBottom w:val="0"/>
                          <w:divBdr>
                            <w:top w:val="none" w:sz="0" w:space="0" w:color="auto"/>
                            <w:left w:val="none" w:sz="0" w:space="0" w:color="auto"/>
                            <w:bottom w:val="none" w:sz="0" w:space="0" w:color="auto"/>
                            <w:right w:val="none" w:sz="0" w:space="0" w:color="auto"/>
                          </w:divBdr>
                          <w:divsChild>
                            <w:div w:id="48897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3374406">
      <w:bodyDiv w:val="1"/>
      <w:marLeft w:val="0"/>
      <w:marRight w:val="0"/>
      <w:marTop w:val="0"/>
      <w:marBottom w:val="0"/>
      <w:divBdr>
        <w:top w:val="none" w:sz="0" w:space="0" w:color="auto"/>
        <w:left w:val="none" w:sz="0" w:space="0" w:color="auto"/>
        <w:bottom w:val="none" w:sz="0" w:space="0" w:color="auto"/>
        <w:right w:val="none" w:sz="0" w:space="0" w:color="auto"/>
      </w:divBdr>
    </w:div>
    <w:div w:id="1929146380">
      <w:bodyDiv w:val="1"/>
      <w:marLeft w:val="0"/>
      <w:marRight w:val="0"/>
      <w:marTop w:val="0"/>
      <w:marBottom w:val="0"/>
      <w:divBdr>
        <w:top w:val="none" w:sz="0" w:space="0" w:color="auto"/>
        <w:left w:val="none" w:sz="0" w:space="0" w:color="auto"/>
        <w:bottom w:val="none" w:sz="0" w:space="0" w:color="auto"/>
        <w:right w:val="none" w:sz="0" w:space="0" w:color="auto"/>
      </w:divBdr>
    </w:div>
    <w:div w:id="2034726365">
      <w:bodyDiv w:val="1"/>
      <w:marLeft w:val="0"/>
      <w:marRight w:val="0"/>
      <w:marTop w:val="0"/>
      <w:marBottom w:val="0"/>
      <w:divBdr>
        <w:top w:val="none" w:sz="0" w:space="0" w:color="auto"/>
        <w:left w:val="none" w:sz="0" w:space="0" w:color="auto"/>
        <w:bottom w:val="none" w:sz="0" w:space="0" w:color="auto"/>
        <w:right w:val="none" w:sz="0" w:space="0" w:color="auto"/>
      </w:divBdr>
    </w:div>
    <w:div w:id="2103068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if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tif"/><Relationship Id="rId17" Type="http://schemas.openxmlformats.org/officeDocument/2006/relationships/image" Target="media/image6.tiff"/><Relationship Id="rId2" Type="http://schemas.openxmlformats.org/officeDocument/2006/relationships/customXml" Target="../customXml/item2.xml"/><Relationship Id="rId16" Type="http://schemas.openxmlformats.org/officeDocument/2006/relationships/image" Target="media/image5.tif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grl@ssi.dk" TargetMode="External"/><Relationship Id="rId5" Type="http://schemas.openxmlformats.org/officeDocument/2006/relationships/numbering" Target="numbering.xml"/><Relationship Id="rId15" Type="http://schemas.openxmlformats.org/officeDocument/2006/relationships/image" Target="media/image4.tiff"/><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if"/><Relationship Id="R2a185700c152444d"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Kommentar xmlns="16177fd9-99ee-469b-9db1-5af094f3ba4b" xsi:nil="true"/>
    <lcf76f155ced4ddcb4097134ff3c332f xmlns="16177fd9-99ee-469b-9db1-5af094f3ba4b">
      <Terms xmlns="http://schemas.microsoft.com/office/infopath/2007/PartnerControls"/>
    </lcf76f155ced4ddcb4097134ff3c332f>
    <TaxCatchAll xmlns="1ba5906c-fe65-41b6-852b-e2ad1989a8d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5B1686A4FA68A841969665E2D7B10FA6" ma:contentTypeVersion="16" ma:contentTypeDescription="Opret et nyt dokument." ma:contentTypeScope="" ma:versionID="2d42db1393bdc0e30d047886cd0e3dae">
  <xsd:schema xmlns:xsd="http://www.w3.org/2001/XMLSchema" xmlns:xs="http://www.w3.org/2001/XMLSchema" xmlns:p="http://schemas.microsoft.com/office/2006/metadata/properties" xmlns:ns2="16177fd9-99ee-469b-9db1-5af094f3ba4b" xmlns:ns3="1ba5906c-fe65-41b6-852b-e2ad1989a8dd" targetNamespace="http://schemas.microsoft.com/office/2006/metadata/properties" ma:root="true" ma:fieldsID="69012135f6fc85ff6f382458e93897a2" ns2:_="" ns3:_="">
    <xsd:import namespace="16177fd9-99ee-469b-9db1-5af094f3ba4b"/>
    <xsd:import namespace="1ba5906c-fe65-41b6-852b-e2ad1989a8d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Kommentar" minOccurs="0"/>
                <xsd:element ref="ns2:lcf76f155ced4ddcb4097134ff3c332f" minOccurs="0"/>
                <xsd:element ref="ns3:TaxCatchAll" minOccurs="0"/>
                <xsd:element ref="ns2:MediaServiceDateTaken" minOccurs="0"/>
                <xsd:element ref="ns2:MediaServiceLocation" minOccurs="0"/>
                <xsd:element ref="ns2:MediaServiceOCR" minOccurs="0"/>
                <xsd:element ref="ns2:MediaServiceGenerationTime" minOccurs="0"/>
                <xsd:element ref="ns2:MediaServiceEventHashCode"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6177fd9-99ee-469b-9db1-5af094f3ba4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Kommentar" ma:index="12" nillable="true" ma:displayName="Kommentar" ma:internalName="Kommentar">
      <xsd:simpleType>
        <xsd:restriction base="dms:Text">
          <xsd:maxLength value="255"/>
        </xsd:restriction>
      </xsd:simpleType>
    </xsd:element>
    <xsd:element name="lcf76f155ced4ddcb4097134ff3c332f" ma:index="14" nillable="true" ma:taxonomy="true" ma:internalName="lcf76f155ced4ddcb4097134ff3c332f" ma:taxonomyFieldName="MediaServiceImageTags" ma:displayName="Billedmærker" ma:readOnly="false" ma:fieldId="{5cf76f15-5ced-4ddc-b409-7134ff3c332f}" ma:taxonomyMulti="true" ma:sspId="b954ac37-474b-4ce9-96da-5e2495cdfa41"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Location" ma:index="17" nillable="true" ma:displayName="Location" ma:indexed="true"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ba5906c-fe65-41b6-852b-e2ad1989a8dd" elementFormDefault="qualified">
    <xsd:import namespace="http://schemas.microsoft.com/office/2006/documentManagement/types"/>
    <xsd:import namespace="http://schemas.microsoft.com/office/infopath/2007/PartnerControls"/>
    <xsd:element name="SharedWithUsers" ma:index="10"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lt med detaljer" ma:internalName="SharedWithDetails" ma:readOnly="true">
      <xsd:simpleType>
        <xsd:restriction base="dms:Note">
          <xsd:maxLength value="255"/>
        </xsd:restriction>
      </xsd:simpleType>
    </xsd:element>
    <xsd:element name="TaxCatchAll" ma:index="15" nillable="true" ma:displayName="Taxonomy Catch All Column" ma:hidden="true" ma:list="{27fa43a6-49a0-47d7-a7a8-ab0c5f49e504}" ma:internalName="TaxCatchAll" ma:showField="CatchAllData" ma:web="1ba5906c-fe65-41b6-852b-e2ad1989a8d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835CD6-A5A6-4C04-A48F-E10CF007180F}">
  <ds:schemaRefs>
    <ds:schemaRef ds:uri="http://schemas.microsoft.com/sharepoint/v3/contenttype/forms"/>
  </ds:schemaRefs>
</ds:datastoreItem>
</file>

<file path=customXml/itemProps2.xml><?xml version="1.0" encoding="utf-8"?>
<ds:datastoreItem xmlns:ds="http://schemas.openxmlformats.org/officeDocument/2006/customXml" ds:itemID="{FFE1D215-8CEA-4F9D-898A-CB3E5B7CE008}">
  <ds:schemaRefs>
    <ds:schemaRef ds:uri="http://purl.org/dc/elements/1.1/"/>
    <ds:schemaRef ds:uri="1ba5906c-fe65-41b6-852b-e2ad1989a8dd"/>
    <ds:schemaRef ds:uri="16177fd9-99ee-469b-9db1-5af094f3ba4b"/>
    <ds:schemaRef ds:uri="http://www.w3.org/XML/1998/namespace"/>
    <ds:schemaRef ds:uri="http://schemas.microsoft.com/office/infopath/2007/PartnerControls"/>
    <ds:schemaRef ds:uri="http://schemas.microsoft.com/office/2006/documentManagement/types"/>
    <ds:schemaRef ds:uri="http://purl.org/dc/terms/"/>
    <ds:schemaRef ds:uri="http://schemas.openxmlformats.org/package/2006/metadata/core-properties"/>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A45351B7-687E-44D3-A8EF-EAE22AE7CB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6177fd9-99ee-469b-9db1-5af094f3ba4b"/>
    <ds:schemaRef ds:uri="1ba5906c-fe65-41b6-852b-e2ad1989a8d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086C496-ED4C-4A85-9FFE-F4BA75ACEE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3800</TotalTime>
  <Pages>23</Pages>
  <Words>16730</Words>
  <Characters>102054</Characters>
  <Application>Microsoft Office Word</Application>
  <DocSecurity>0</DocSecurity>
  <Lines>850</Lines>
  <Paragraphs>237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118547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 R. Ginty</dc:creator>
  <cp:keywords/>
  <dc:description/>
  <cp:lastModifiedBy>Tine Graakjær Larsen</cp:lastModifiedBy>
  <cp:revision>92</cp:revision>
  <dcterms:created xsi:type="dcterms:W3CDTF">2024-12-03T08:19:00Z</dcterms:created>
  <dcterms:modified xsi:type="dcterms:W3CDTF">2024-12-29T20:40:00Z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0x0101005B1686A4FA68A841969665E2D7B10FA6</vt:lpwstr>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ndeley Recent Style Id 0_1">
    <vt:lpwstr>http://www.zotero.org/styles/american-medical-association</vt:lpwstr>
  </property>
  <property fmtid="{D5CDD505-2E9C-101B-9397-08002B2CF9AE}" pid="8" name="Mendeley Recent Style Name 0_1">
    <vt:lpwstr>American Medical Association 11th edition</vt:lpwstr>
  </property>
  <property fmtid="{D5CDD505-2E9C-101B-9397-08002B2CF9AE}" pid="9" name="Mendeley Recent Style Id 1_1">
    <vt:lpwstr>http://www.zotero.org/styles/apa</vt:lpwstr>
  </property>
  <property fmtid="{D5CDD505-2E9C-101B-9397-08002B2CF9AE}" pid="10" name="Mendeley Recent Style Name 1_1">
    <vt:lpwstr>American Psychological Association 7th edition</vt:lpwstr>
  </property>
  <property fmtid="{D5CDD505-2E9C-101B-9397-08002B2CF9AE}" pid="11" name="Mendeley Recent Style Id 2_1">
    <vt:lpwstr>http://www.zotero.org/styles/american-sociological-association</vt:lpwstr>
  </property>
  <property fmtid="{D5CDD505-2E9C-101B-9397-08002B2CF9AE}" pid="12" name="Mendeley Recent Style Name 2_1">
    <vt:lpwstr>American Sociological Association 6th edition</vt:lpwstr>
  </property>
  <property fmtid="{D5CDD505-2E9C-101B-9397-08002B2CF9AE}" pid="13" name="Mendeley Recent Style Id 3_1">
    <vt:lpwstr>http://www.zotero.org/styles/harvard-cite-them-right</vt:lpwstr>
  </property>
  <property fmtid="{D5CDD505-2E9C-101B-9397-08002B2CF9AE}" pid="14" name="Mendeley Recent Style Name 3_1">
    <vt:lpwstr>Cite Them Right 12th edition - Harvard</vt:lpwstr>
  </property>
  <property fmtid="{D5CDD505-2E9C-101B-9397-08002B2CF9AE}" pid="15" name="Mendeley Recent Style Id 4_1">
    <vt:lpwstr>http://www.zotero.org/styles/harvard1</vt:lpwstr>
  </property>
  <property fmtid="{D5CDD505-2E9C-101B-9397-08002B2CF9AE}" pid="16" name="Mendeley Recent Style Name 4_1">
    <vt:lpwstr>Harvard reference format 1 (deprecated)</vt:lpwstr>
  </property>
  <property fmtid="{D5CDD505-2E9C-101B-9397-08002B2CF9AE}" pid="17" name="Mendeley Recent Style Id 5_1">
    <vt:lpwstr>http://www.zotero.org/styles/ieee</vt:lpwstr>
  </property>
  <property fmtid="{D5CDD505-2E9C-101B-9397-08002B2CF9AE}" pid="18" name="Mendeley Recent Style Name 5_1">
    <vt:lpwstr>IEEE</vt:lpwstr>
  </property>
  <property fmtid="{D5CDD505-2E9C-101B-9397-08002B2CF9AE}" pid="19" name="Mendeley Recent Style Id 6_1">
    <vt:lpwstr>http://www.zotero.org/styles/modern-humanities-research-association</vt:lpwstr>
  </property>
  <property fmtid="{D5CDD505-2E9C-101B-9397-08002B2CF9AE}" pid="20" name="Mendeley Recent Style Name 6_1">
    <vt:lpwstr>Modern Humanities Research Association 3rd edition (note with bibliography)</vt:lpwstr>
  </property>
  <property fmtid="{D5CDD505-2E9C-101B-9397-08002B2CF9AE}" pid="21" name="Mendeley Recent Style Id 7_1">
    <vt:lpwstr>http://www.zotero.org/styles/modern-language-association</vt:lpwstr>
  </property>
  <property fmtid="{D5CDD505-2E9C-101B-9397-08002B2CF9AE}" pid="22" name="Mendeley Recent Style Name 7_1">
    <vt:lpwstr>Modern Language Association 9th edition</vt:lpwstr>
  </property>
  <property fmtid="{D5CDD505-2E9C-101B-9397-08002B2CF9AE}" pid="23" name="Mendeley Recent Style Id 8_1">
    <vt:lpwstr>http://www.zotero.org/styles/nature</vt:lpwstr>
  </property>
  <property fmtid="{D5CDD505-2E9C-101B-9397-08002B2CF9AE}" pid="24" name="Mendeley Recent Style Name 8_1">
    <vt:lpwstr>Nature</vt:lpwstr>
  </property>
  <property fmtid="{D5CDD505-2E9C-101B-9397-08002B2CF9AE}" pid="25" name="Mendeley Recent Style Id 9_1">
    <vt:lpwstr>http://www.zotero.org/styles/vancouver</vt:lpwstr>
  </property>
  <property fmtid="{D5CDD505-2E9C-101B-9397-08002B2CF9AE}" pid="26" name="Mendeley Recent Style Name 9_1">
    <vt:lpwstr>Vancouver</vt:lpwstr>
  </property>
  <property fmtid="{D5CDD505-2E9C-101B-9397-08002B2CF9AE}" pid="27" name="Mendeley Document_1">
    <vt:lpwstr>True</vt:lpwstr>
  </property>
  <property fmtid="{D5CDD505-2E9C-101B-9397-08002B2CF9AE}" pid="28" name="Mendeley Citation Style_1">
    <vt:lpwstr>http://www.zotero.org/styles/american-medical-association</vt:lpwstr>
  </property>
  <property fmtid="{D5CDD505-2E9C-101B-9397-08002B2CF9AE}" pid="29" name="Mendeley Unique User Id_1">
    <vt:lpwstr>80fcd12b-dabc-3ee6-ab81-247433e15f3a</vt:lpwstr>
  </property>
</Properties>
</file>