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377B8" w14:textId="3E5B804B" w:rsidR="005F1F30" w:rsidRPr="001D4DF1" w:rsidRDefault="004939FF" w:rsidP="001D4DF1">
      <w:pPr>
        <w:jc w:val="center"/>
        <w:rPr>
          <w:b/>
          <w:bCs/>
          <w:sz w:val="36"/>
          <w:szCs w:val="36"/>
        </w:rPr>
      </w:pPr>
      <w:r>
        <w:rPr>
          <w:b/>
          <w:bCs/>
          <w:sz w:val="36"/>
          <w:szCs w:val="36"/>
        </w:rPr>
        <w:t>A global</w:t>
      </w:r>
      <w:r w:rsidR="00052604" w:rsidRPr="001D4DF1">
        <w:rPr>
          <w:b/>
          <w:bCs/>
          <w:sz w:val="36"/>
          <w:szCs w:val="36"/>
        </w:rPr>
        <w:t xml:space="preserve"> AO</w:t>
      </w:r>
      <w:r>
        <w:rPr>
          <w:b/>
          <w:bCs/>
          <w:sz w:val="36"/>
          <w:szCs w:val="36"/>
        </w:rPr>
        <w:t>P network</w:t>
      </w:r>
      <w:r w:rsidR="00052604" w:rsidRPr="001D4DF1">
        <w:rPr>
          <w:b/>
          <w:bCs/>
          <w:sz w:val="36"/>
          <w:szCs w:val="36"/>
        </w:rPr>
        <w:t xml:space="preserve"> </w:t>
      </w:r>
      <w:r>
        <w:rPr>
          <w:b/>
          <w:bCs/>
          <w:sz w:val="36"/>
          <w:szCs w:val="36"/>
        </w:rPr>
        <w:t xml:space="preserve">for </w:t>
      </w:r>
      <w:r w:rsidR="00052604" w:rsidRPr="001D4DF1">
        <w:rPr>
          <w:b/>
          <w:bCs/>
          <w:sz w:val="36"/>
          <w:szCs w:val="36"/>
        </w:rPr>
        <w:t>genotoxicity</w:t>
      </w:r>
      <w:r>
        <w:rPr>
          <w:b/>
          <w:bCs/>
          <w:sz w:val="36"/>
          <w:szCs w:val="36"/>
        </w:rPr>
        <w:t xml:space="preserve"> to drive the integration of NAMs</w:t>
      </w:r>
    </w:p>
    <w:p w14:paraId="77E78551" w14:textId="63DF587F" w:rsidR="005F1F30" w:rsidRDefault="005F1F30" w:rsidP="00B84931">
      <w:pPr>
        <w:pStyle w:val="Default"/>
        <w:jc w:val="both"/>
        <w:rPr>
          <w:i/>
          <w:iCs/>
          <w:vertAlign w:val="superscript"/>
          <w:lang w:val="en-GB"/>
        </w:rPr>
      </w:pPr>
      <w:r w:rsidRPr="001D5DC7">
        <w:rPr>
          <w:i/>
          <w:iCs/>
          <w:lang w:val="en-US"/>
        </w:rPr>
        <w:t>E. Demuynck</w:t>
      </w:r>
      <w:r w:rsidRPr="001D5DC7">
        <w:rPr>
          <w:i/>
          <w:iCs/>
          <w:vertAlign w:val="superscript"/>
          <w:lang w:val="en-US"/>
        </w:rPr>
        <w:t>1,2*</w:t>
      </w:r>
      <w:r w:rsidRPr="001D5DC7">
        <w:rPr>
          <w:i/>
          <w:iCs/>
          <w:lang w:val="en-US"/>
        </w:rPr>
        <w:t>, T. Vanhaecke</w:t>
      </w:r>
      <w:r w:rsidRPr="001D5DC7">
        <w:rPr>
          <w:i/>
          <w:iCs/>
          <w:vertAlign w:val="superscript"/>
          <w:lang w:val="en-US"/>
        </w:rPr>
        <w:t>2</w:t>
      </w:r>
      <w:r w:rsidRPr="001D5DC7">
        <w:rPr>
          <w:i/>
          <w:iCs/>
          <w:lang w:val="en-US"/>
        </w:rPr>
        <w:t>, A. Thienpont</w:t>
      </w:r>
      <w:r w:rsidRPr="001D5DC7">
        <w:rPr>
          <w:i/>
          <w:iCs/>
          <w:vertAlign w:val="superscript"/>
          <w:lang w:val="en-US"/>
        </w:rPr>
        <w:t>1</w:t>
      </w:r>
      <w:r w:rsidRPr="001D5DC7">
        <w:rPr>
          <w:i/>
          <w:iCs/>
          <w:lang w:val="en-US"/>
        </w:rPr>
        <w:t>, D. Cappoen</w:t>
      </w:r>
      <w:r w:rsidRPr="001D5DC7">
        <w:rPr>
          <w:i/>
          <w:iCs/>
          <w:vertAlign w:val="superscript"/>
          <w:lang w:val="en-US"/>
        </w:rPr>
        <w:t>1</w:t>
      </w:r>
      <w:r w:rsidRPr="001D5DC7">
        <w:rPr>
          <w:i/>
          <w:iCs/>
          <w:lang w:val="en-US"/>
        </w:rPr>
        <w:t>,  F. Van Goethem</w:t>
      </w:r>
      <w:r w:rsidRPr="001D5DC7">
        <w:rPr>
          <w:i/>
          <w:iCs/>
          <w:vertAlign w:val="superscript"/>
          <w:lang w:val="en-US"/>
        </w:rPr>
        <w:t>2</w:t>
      </w:r>
      <w:r w:rsidRPr="001D5DC7">
        <w:rPr>
          <w:i/>
          <w:iCs/>
          <w:lang w:val="en-US"/>
        </w:rPr>
        <w:t>, L.M.T. Winkelman</w:t>
      </w:r>
      <w:r w:rsidRPr="001D5DC7">
        <w:rPr>
          <w:i/>
          <w:iCs/>
          <w:vertAlign w:val="superscript"/>
          <w:lang w:val="en-US"/>
        </w:rPr>
        <w:t>3</w:t>
      </w:r>
      <w:r w:rsidRPr="001D5DC7">
        <w:rPr>
          <w:i/>
          <w:iCs/>
          <w:lang w:val="en-US"/>
        </w:rPr>
        <w:t>, J.B. Beltman</w:t>
      </w:r>
      <w:r w:rsidRPr="001D5DC7">
        <w:rPr>
          <w:i/>
          <w:iCs/>
          <w:vertAlign w:val="superscript"/>
          <w:lang w:val="en-US"/>
        </w:rPr>
        <w:t>3</w:t>
      </w:r>
      <w:r w:rsidRPr="001D5DC7">
        <w:rPr>
          <w:i/>
          <w:iCs/>
          <w:lang w:val="en-US"/>
        </w:rPr>
        <w:t>, S. Murugadoss</w:t>
      </w:r>
      <w:r w:rsidRPr="001D5DC7">
        <w:rPr>
          <w:i/>
          <w:iCs/>
          <w:vertAlign w:val="superscript"/>
          <w:lang w:val="en-US"/>
        </w:rPr>
        <w:t>4</w:t>
      </w:r>
      <w:r w:rsidRPr="001D5DC7">
        <w:rPr>
          <w:i/>
          <w:iCs/>
          <w:lang w:val="en-US"/>
        </w:rPr>
        <w:t>, A.-K. Olsen</w:t>
      </w:r>
      <w:r w:rsidRPr="001D5DC7">
        <w:rPr>
          <w:i/>
          <w:iCs/>
          <w:vertAlign w:val="superscript"/>
          <w:lang w:val="en-US"/>
        </w:rPr>
        <w:t>4</w:t>
      </w:r>
      <w:r w:rsidRPr="001D5DC7">
        <w:rPr>
          <w:i/>
          <w:iCs/>
          <w:lang w:val="en-US"/>
        </w:rPr>
        <w:t>, F. Marcon</w:t>
      </w:r>
      <w:r w:rsidRPr="001D5DC7">
        <w:rPr>
          <w:i/>
          <w:iCs/>
          <w:vertAlign w:val="superscript"/>
          <w:lang w:val="en-US"/>
        </w:rPr>
        <w:t>5</w:t>
      </w:r>
      <w:r w:rsidRPr="001D5DC7">
        <w:rPr>
          <w:i/>
          <w:iCs/>
          <w:lang w:val="en-US"/>
        </w:rPr>
        <w:t>, C. Bossa</w:t>
      </w:r>
      <w:r w:rsidRPr="001D5DC7">
        <w:rPr>
          <w:i/>
          <w:iCs/>
          <w:vertAlign w:val="superscript"/>
          <w:lang w:val="en-US"/>
        </w:rPr>
        <w:t>5</w:t>
      </w:r>
      <w:r w:rsidRPr="001D5DC7">
        <w:rPr>
          <w:i/>
          <w:iCs/>
          <w:lang w:val="en-US"/>
        </w:rPr>
        <w:t>,</w:t>
      </w:r>
      <w:r w:rsidRPr="00BE032E">
        <w:rPr>
          <w:i/>
          <w:iCs/>
          <w:lang w:val="de-DE"/>
        </w:rPr>
        <w:t xml:space="preserve"> S.M. Shaikh</w:t>
      </w:r>
      <w:r w:rsidRPr="00BE032E">
        <w:rPr>
          <w:i/>
          <w:iCs/>
          <w:vertAlign w:val="superscript"/>
          <w:lang w:val="de-DE"/>
        </w:rPr>
        <w:t>6</w:t>
      </w:r>
      <w:r w:rsidRPr="001D5DC7">
        <w:rPr>
          <w:i/>
          <w:iCs/>
          <w:lang w:val="en-US"/>
        </w:rPr>
        <w:t xml:space="preserve"> ,</w:t>
      </w:r>
      <w:r w:rsidRPr="0009148A">
        <w:rPr>
          <w:i/>
          <w:iCs/>
          <w:lang w:val="de-DE"/>
        </w:rPr>
        <w:t xml:space="preserve"> D. Nikolopoulou</w:t>
      </w:r>
      <w:r w:rsidRPr="0009148A">
        <w:rPr>
          <w:i/>
          <w:iCs/>
          <w:vertAlign w:val="superscript"/>
          <w:lang w:val="de-DE"/>
        </w:rPr>
        <w:t>7</w:t>
      </w:r>
      <w:r w:rsidRPr="0009148A">
        <w:rPr>
          <w:i/>
          <w:iCs/>
          <w:lang w:val="de-DE"/>
        </w:rPr>
        <w:t xml:space="preserve"> , V. Hatzi</w:t>
      </w:r>
      <w:r w:rsidRPr="0009148A">
        <w:rPr>
          <w:i/>
          <w:iCs/>
          <w:vertAlign w:val="superscript"/>
          <w:lang w:val="de-DE"/>
        </w:rPr>
        <w:t>7</w:t>
      </w:r>
      <w:r w:rsidRPr="0009148A">
        <w:rPr>
          <w:i/>
          <w:iCs/>
          <w:lang w:val="de-DE"/>
        </w:rPr>
        <w:t>, J. Pennings</w:t>
      </w:r>
      <w:r w:rsidRPr="00BE032E">
        <w:rPr>
          <w:i/>
          <w:iCs/>
          <w:vertAlign w:val="superscript"/>
          <w:lang w:val="de-DE"/>
        </w:rPr>
        <w:t>8</w:t>
      </w:r>
      <w:r w:rsidRPr="0009148A">
        <w:rPr>
          <w:i/>
          <w:iCs/>
          <w:lang w:val="de-DE"/>
        </w:rPr>
        <w:t>, M. Luijten</w:t>
      </w:r>
      <w:r w:rsidRPr="00BE032E">
        <w:rPr>
          <w:i/>
          <w:iCs/>
          <w:vertAlign w:val="superscript"/>
          <w:lang w:val="de-DE"/>
        </w:rPr>
        <w:t>8</w:t>
      </w:r>
      <w:r w:rsidRPr="0009148A">
        <w:rPr>
          <w:i/>
          <w:iCs/>
          <w:lang w:val="de-DE"/>
        </w:rPr>
        <w:t xml:space="preserve">, </w:t>
      </w:r>
      <w:r w:rsidRPr="001D5DC7">
        <w:rPr>
          <w:i/>
          <w:iCs/>
          <w:lang w:val="en-US"/>
        </w:rPr>
        <w:t>C. Adam-Guillermin</w:t>
      </w:r>
      <w:r w:rsidRPr="001D5DC7">
        <w:rPr>
          <w:i/>
          <w:iCs/>
          <w:vertAlign w:val="superscript"/>
          <w:lang w:val="en-US"/>
        </w:rPr>
        <w:t>9</w:t>
      </w:r>
      <w:r w:rsidRPr="001D5DC7">
        <w:rPr>
          <w:i/>
          <w:iCs/>
          <w:lang w:val="en-US"/>
        </w:rPr>
        <w:t>,</w:t>
      </w:r>
      <w:r>
        <w:rPr>
          <w:i/>
          <w:iCs/>
          <w:lang w:val="en-US"/>
        </w:rPr>
        <w:t xml:space="preserve"> </w:t>
      </w:r>
      <w:r w:rsidRPr="000F1D38">
        <w:rPr>
          <w:i/>
          <w:iCs/>
          <w:lang w:val="en-US"/>
        </w:rPr>
        <w:t>M. Paparella</w:t>
      </w:r>
      <w:r w:rsidRPr="000F1D38">
        <w:rPr>
          <w:i/>
          <w:iCs/>
          <w:vertAlign w:val="superscript"/>
          <w:lang w:val="en-US"/>
        </w:rPr>
        <w:t>10</w:t>
      </w:r>
      <w:r w:rsidRPr="000F1D38">
        <w:rPr>
          <w:i/>
          <w:iCs/>
          <w:lang w:val="en-US"/>
        </w:rPr>
        <w:t xml:space="preserve">,  </w:t>
      </w:r>
      <w:r w:rsidRPr="0009148A">
        <w:rPr>
          <w:i/>
          <w:iCs/>
          <w:lang w:val="en-GB"/>
        </w:rPr>
        <w:t>M. Audebe</w:t>
      </w:r>
      <w:r>
        <w:rPr>
          <w:i/>
          <w:iCs/>
          <w:lang w:val="en-GB"/>
        </w:rPr>
        <w:t>rt</w:t>
      </w:r>
      <w:r>
        <w:rPr>
          <w:i/>
          <w:iCs/>
          <w:vertAlign w:val="superscript"/>
          <w:lang w:val="en-GB"/>
        </w:rPr>
        <w:t>11*</w:t>
      </w:r>
      <w:r w:rsidRPr="0009148A">
        <w:rPr>
          <w:i/>
          <w:iCs/>
          <w:vertAlign w:val="superscript"/>
          <w:lang w:val="en-GB"/>
        </w:rPr>
        <w:t>*</w:t>
      </w:r>
      <w:r w:rsidRPr="0009148A">
        <w:rPr>
          <w:i/>
          <w:iCs/>
          <w:lang w:val="en-GB"/>
        </w:rPr>
        <w:t xml:space="preserve"> and B. Mertens</w:t>
      </w:r>
      <w:r w:rsidRPr="0009148A">
        <w:rPr>
          <w:i/>
          <w:iCs/>
          <w:vertAlign w:val="superscript"/>
          <w:lang w:val="en-GB"/>
        </w:rPr>
        <w:t>1**</w:t>
      </w:r>
    </w:p>
    <w:p w14:paraId="07F25D67" w14:textId="77777777" w:rsidR="005F1F30" w:rsidRPr="000F1D38" w:rsidRDefault="005F1F30" w:rsidP="005F1F30">
      <w:pPr>
        <w:pStyle w:val="Default"/>
        <w:rPr>
          <w:i/>
          <w:iCs/>
          <w:lang w:val="en-US"/>
        </w:rPr>
      </w:pPr>
    </w:p>
    <w:p w14:paraId="440D0E6A" w14:textId="01E29159" w:rsidR="00B84931" w:rsidRDefault="005F1F30" w:rsidP="00B84931">
      <w:pPr>
        <w:spacing w:after="0"/>
      </w:pPr>
      <w:r w:rsidRPr="0009148A">
        <w:rPr>
          <w:i/>
          <w:iCs/>
          <w:vertAlign w:val="superscript"/>
          <w:lang w:val="en-GB"/>
        </w:rPr>
        <w:t>1</w:t>
      </w:r>
      <w:r w:rsidRPr="0009148A">
        <w:rPr>
          <w:i/>
          <w:iCs/>
          <w:lang w:val="en-GB"/>
        </w:rPr>
        <w:t>Scientific Direction of Chemical and Physical Health Risks, Sciensano, Brussels, Belgium</w:t>
      </w:r>
      <w:r w:rsidR="00B84931">
        <w:t>.</w:t>
      </w:r>
      <w:r w:rsidRPr="0009148A">
        <w:t xml:space="preserve"> </w:t>
      </w:r>
    </w:p>
    <w:p w14:paraId="36E4484B" w14:textId="77777777" w:rsidR="00B84931" w:rsidRDefault="005F1F30" w:rsidP="00B84931">
      <w:pPr>
        <w:spacing w:after="0"/>
      </w:pPr>
      <w:r w:rsidRPr="0009148A">
        <w:rPr>
          <w:i/>
          <w:iCs/>
          <w:vertAlign w:val="superscript"/>
          <w:lang w:val="en-GB"/>
        </w:rPr>
        <w:t>2</w:t>
      </w:r>
      <w:r w:rsidRPr="0009148A">
        <w:rPr>
          <w:i/>
          <w:iCs/>
          <w:lang w:val="en-GB"/>
        </w:rPr>
        <w:t>Department of In Vitro Toxicology and Dermato-Cosmetology, Vrije Universiteit Brussel, Brussels, Belgium</w:t>
      </w:r>
      <w:r w:rsidR="00B84931">
        <w:t>.</w:t>
      </w:r>
    </w:p>
    <w:p w14:paraId="06796E0C" w14:textId="77777777" w:rsidR="00B84931" w:rsidRDefault="005F1F30" w:rsidP="00B84931">
      <w:pPr>
        <w:spacing w:after="0"/>
        <w:rPr>
          <w:i/>
          <w:iCs/>
          <w:lang w:val="en-GB"/>
        </w:rPr>
      </w:pPr>
      <w:r w:rsidRPr="0009148A">
        <w:t xml:space="preserve"> </w:t>
      </w:r>
      <w:r w:rsidRPr="0009148A">
        <w:rPr>
          <w:i/>
          <w:iCs/>
          <w:vertAlign w:val="superscript"/>
          <w:lang w:val="en-GB"/>
        </w:rPr>
        <w:t>3</w:t>
      </w:r>
      <w:r w:rsidRPr="0009148A">
        <w:rPr>
          <w:i/>
          <w:iCs/>
          <w:lang w:val="en-GB"/>
        </w:rPr>
        <w:t>Division of Drug Discovery and Safety, Leiden Academic Centre for Drug Research, Leiden University, Leiden, The Netherlands</w:t>
      </w:r>
      <w:r w:rsidR="00B84931">
        <w:rPr>
          <w:i/>
          <w:iCs/>
          <w:lang w:val="en-GB"/>
        </w:rPr>
        <w:t>.</w:t>
      </w:r>
    </w:p>
    <w:p w14:paraId="508A4D82" w14:textId="77777777" w:rsidR="00B84931" w:rsidRDefault="005F1F30" w:rsidP="00B84931">
      <w:pPr>
        <w:spacing w:after="0"/>
        <w:rPr>
          <w:i/>
          <w:iCs/>
          <w:lang w:val="en-GB"/>
        </w:rPr>
      </w:pPr>
      <w:r>
        <w:rPr>
          <w:i/>
          <w:iCs/>
          <w:vertAlign w:val="superscript"/>
        </w:rPr>
        <w:t>4</w:t>
      </w:r>
      <w:r w:rsidRPr="0009148A">
        <w:rPr>
          <w:i/>
          <w:iCs/>
          <w:lang w:val="en-GB"/>
        </w:rPr>
        <w:t>Health Effects Laboratory, Department of Environmental Chemistry, NILU-Norwegian Institute for Air Research, Kjeller, Norway</w:t>
      </w:r>
      <w:r w:rsidR="00B84931">
        <w:rPr>
          <w:i/>
          <w:iCs/>
          <w:lang w:val="en-GB"/>
        </w:rPr>
        <w:t>.</w:t>
      </w:r>
    </w:p>
    <w:p w14:paraId="4F8A6CD8" w14:textId="77777777" w:rsidR="00B84931" w:rsidRDefault="005F1F30" w:rsidP="00B84931">
      <w:pPr>
        <w:spacing w:after="0"/>
        <w:rPr>
          <w:i/>
          <w:iCs/>
          <w:lang w:val="en-GB"/>
        </w:rPr>
      </w:pPr>
      <w:r w:rsidRPr="0009148A">
        <w:t xml:space="preserve"> </w:t>
      </w:r>
      <w:r w:rsidRPr="0009148A">
        <w:rPr>
          <w:i/>
          <w:iCs/>
          <w:vertAlign w:val="superscript"/>
          <w:lang w:val="en-GB"/>
        </w:rPr>
        <w:t>5</w:t>
      </w:r>
      <w:r w:rsidRPr="0009148A">
        <w:rPr>
          <w:i/>
          <w:iCs/>
          <w:lang w:val="en-GB"/>
        </w:rPr>
        <w:t>Environment and Health Department, Istituto Superiore di Sanità, Rome, Italy</w:t>
      </w:r>
      <w:r w:rsidR="00B84931">
        <w:rPr>
          <w:i/>
          <w:iCs/>
          <w:lang w:val="en-GB"/>
        </w:rPr>
        <w:t>.</w:t>
      </w:r>
    </w:p>
    <w:p w14:paraId="2E7EBC80" w14:textId="77777777" w:rsidR="00B84931" w:rsidRDefault="005F1F30" w:rsidP="00B84931">
      <w:pPr>
        <w:spacing w:after="0"/>
        <w:rPr>
          <w:i/>
          <w:iCs/>
          <w:lang w:val="en-GB"/>
        </w:rPr>
      </w:pPr>
      <w:r w:rsidRPr="0009148A">
        <w:t xml:space="preserve"> </w:t>
      </w:r>
      <w:r>
        <w:rPr>
          <w:i/>
          <w:iCs/>
          <w:vertAlign w:val="superscript"/>
          <w:lang w:val="en-GB"/>
        </w:rPr>
        <w:t>6</w:t>
      </w:r>
      <w:r w:rsidRPr="0009148A">
        <w:rPr>
          <w:i/>
          <w:iCs/>
          <w:lang w:val="en-GB"/>
        </w:rPr>
        <w:t>KWR Water Research Institute, Nieuwegein, The Netherlands</w:t>
      </w:r>
      <w:r w:rsidR="00B84931">
        <w:rPr>
          <w:i/>
          <w:iCs/>
          <w:lang w:val="en-GB"/>
        </w:rPr>
        <w:t>.</w:t>
      </w:r>
    </w:p>
    <w:p w14:paraId="3FFC78E0" w14:textId="77777777" w:rsidR="00B84931" w:rsidRDefault="005F1F30" w:rsidP="00B84931">
      <w:pPr>
        <w:spacing w:after="0"/>
        <w:rPr>
          <w:i/>
          <w:iCs/>
          <w:lang w:val="en-GB"/>
        </w:rPr>
      </w:pPr>
      <w:r w:rsidRPr="0009148A">
        <w:t xml:space="preserve"> </w:t>
      </w:r>
      <w:r w:rsidRPr="0009148A">
        <w:rPr>
          <w:i/>
          <w:iCs/>
          <w:vertAlign w:val="superscript"/>
          <w:lang w:val="en-GB"/>
        </w:rPr>
        <w:t>7</w:t>
      </w:r>
      <w:r w:rsidRPr="0009148A">
        <w:rPr>
          <w:i/>
          <w:iCs/>
          <w:lang w:val="en-GB"/>
        </w:rPr>
        <w:t>Laboratory of Toxicological Control of Pesticides, Benaki Phytopathological Institute, Athens, Greece</w:t>
      </w:r>
      <w:r w:rsidR="00B84931">
        <w:rPr>
          <w:i/>
          <w:iCs/>
          <w:lang w:val="en-GB"/>
        </w:rPr>
        <w:t>.</w:t>
      </w:r>
    </w:p>
    <w:p w14:paraId="59023AC5" w14:textId="77777777" w:rsidR="00B84931" w:rsidRDefault="005F1F30" w:rsidP="00B84931">
      <w:pPr>
        <w:spacing w:after="0"/>
        <w:rPr>
          <w:i/>
          <w:iCs/>
        </w:rPr>
      </w:pPr>
      <w:r w:rsidRPr="0009148A">
        <w:t xml:space="preserve"> </w:t>
      </w:r>
      <w:r>
        <w:rPr>
          <w:i/>
          <w:iCs/>
          <w:vertAlign w:val="superscript"/>
        </w:rPr>
        <w:t>8</w:t>
      </w:r>
      <w:r w:rsidRPr="0009148A">
        <w:rPr>
          <w:i/>
          <w:iCs/>
        </w:rPr>
        <w:t xml:space="preserve">Centre for Health </w:t>
      </w:r>
      <w:r w:rsidRPr="0009148A">
        <w:rPr>
          <w:i/>
          <w:iCs/>
        </w:rPr>
        <w:lastRenderedPageBreak/>
        <w:t>Protection, National Institute for Public Health and the Environment (RIVM), Bilthoven, The Netherlands</w:t>
      </w:r>
      <w:r w:rsidR="00B84931">
        <w:rPr>
          <w:i/>
          <w:iCs/>
        </w:rPr>
        <w:t>.</w:t>
      </w:r>
    </w:p>
    <w:p w14:paraId="13CD5E6F" w14:textId="77777777" w:rsidR="00B84931" w:rsidRDefault="005F1F30" w:rsidP="00B84931">
      <w:pPr>
        <w:spacing w:after="0"/>
        <w:rPr>
          <w:i/>
          <w:iCs/>
          <w:lang w:val="fr-FR"/>
        </w:rPr>
      </w:pPr>
      <w:r w:rsidRPr="00B84931">
        <w:rPr>
          <w:lang w:val="fr-FR"/>
        </w:rPr>
        <w:t xml:space="preserve"> </w:t>
      </w:r>
      <w:r w:rsidRPr="00B84931">
        <w:rPr>
          <w:i/>
          <w:iCs/>
          <w:vertAlign w:val="superscript"/>
          <w:lang w:val="fr-FR"/>
        </w:rPr>
        <w:t>9</w:t>
      </w:r>
      <w:r w:rsidRPr="00B84931">
        <w:rPr>
          <w:i/>
          <w:iCs/>
          <w:lang w:val="fr-FR"/>
        </w:rPr>
        <w:t>PSE Institut de Radioprotection et de Sûreté Nucléaire (IRSN), France</w:t>
      </w:r>
      <w:r w:rsidR="00B84931" w:rsidRPr="00B84931">
        <w:rPr>
          <w:i/>
          <w:iCs/>
          <w:lang w:val="fr-FR"/>
        </w:rPr>
        <w:t>.</w:t>
      </w:r>
    </w:p>
    <w:p w14:paraId="5E6B7A53" w14:textId="77777777" w:rsidR="00B84931" w:rsidRDefault="005F1F30" w:rsidP="00B84931">
      <w:pPr>
        <w:spacing w:after="0"/>
        <w:rPr>
          <w:i/>
          <w:iCs/>
          <w:lang w:val="en-GB"/>
        </w:rPr>
      </w:pPr>
      <w:r w:rsidRPr="00B84931">
        <w:t xml:space="preserve"> </w:t>
      </w:r>
      <w:r>
        <w:rPr>
          <w:i/>
          <w:iCs/>
          <w:vertAlign w:val="superscript"/>
          <w:lang w:val="en-GB"/>
        </w:rPr>
        <w:t>10</w:t>
      </w:r>
      <w:r w:rsidRPr="00BE032E">
        <w:rPr>
          <w:i/>
          <w:iCs/>
          <w:lang w:val="en-GB"/>
        </w:rPr>
        <w:t>Institute for Medical Biochemistry, Medical University Innsbruck, Austria</w:t>
      </w:r>
      <w:r w:rsidR="00B84931">
        <w:rPr>
          <w:i/>
          <w:iCs/>
          <w:lang w:val="en-GB"/>
        </w:rPr>
        <w:t>.</w:t>
      </w:r>
    </w:p>
    <w:p w14:paraId="77F5FE53" w14:textId="0819BCC5" w:rsidR="005F1F30" w:rsidRPr="00B84931" w:rsidRDefault="005F1F30" w:rsidP="00B84931">
      <w:pPr>
        <w:spacing w:after="0"/>
        <w:rPr>
          <w:lang w:val="fr-FR"/>
        </w:rPr>
      </w:pPr>
      <w:r w:rsidRPr="00B84931">
        <w:rPr>
          <w:lang w:val="fr-FR"/>
        </w:rPr>
        <w:t xml:space="preserve"> </w:t>
      </w:r>
      <w:r w:rsidRPr="00B84931">
        <w:rPr>
          <w:i/>
          <w:iCs/>
          <w:vertAlign w:val="superscript"/>
          <w:lang w:val="fr-FR"/>
        </w:rPr>
        <w:t>11</w:t>
      </w:r>
      <w:r w:rsidRPr="00B84931">
        <w:rPr>
          <w:i/>
          <w:iCs/>
          <w:lang w:val="fr-FR"/>
        </w:rPr>
        <w:t>Toxalim UMR1331, Toulouse University, INRAE, Toulouse, France</w:t>
      </w:r>
    </w:p>
    <w:p w14:paraId="1D1C48A4" w14:textId="77777777" w:rsidR="00B84931" w:rsidRDefault="00B84931" w:rsidP="00B84931">
      <w:pPr>
        <w:rPr>
          <w:i/>
          <w:iCs/>
          <w:lang w:val="en-GB"/>
        </w:rPr>
      </w:pPr>
    </w:p>
    <w:p w14:paraId="78B90D21" w14:textId="77777777" w:rsidR="00B84931" w:rsidRDefault="00B84931" w:rsidP="00B84931">
      <w:pPr>
        <w:rPr>
          <w:i/>
          <w:iCs/>
          <w:lang w:val="en-GB"/>
        </w:rPr>
      </w:pPr>
    </w:p>
    <w:p w14:paraId="059795C8" w14:textId="0E883241" w:rsidR="005F1F30" w:rsidRPr="0009148A" w:rsidRDefault="005F1F30" w:rsidP="00B84931">
      <w:r w:rsidRPr="0009148A">
        <w:rPr>
          <w:i/>
          <w:iCs/>
          <w:lang w:val="en-GB"/>
        </w:rPr>
        <w:t xml:space="preserve">** </w:t>
      </w:r>
      <w:bookmarkStart w:id="0" w:name="_GoBack"/>
      <w:bookmarkEnd w:id="0"/>
      <w:r w:rsidR="00613755" w:rsidRPr="0009148A">
        <w:rPr>
          <w:i/>
          <w:iCs/>
          <w:lang w:val="en-GB"/>
        </w:rPr>
        <w:t>Equally</w:t>
      </w:r>
      <w:r w:rsidRPr="0009148A">
        <w:rPr>
          <w:i/>
          <w:iCs/>
          <w:lang w:val="en-GB"/>
        </w:rPr>
        <w:t xml:space="preserve"> contributing authors</w:t>
      </w:r>
    </w:p>
    <w:p w14:paraId="5C316C36" w14:textId="77777777" w:rsidR="00B84931" w:rsidRPr="006418F0" w:rsidRDefault="00B84931" w:rsidP="00B84931">
      <w:pPr>
        <w:spacing w:before="240" w:after="240" w:line="240" w:lineRule="auto"/>
        <w:jc w:val="right"/>
        <w:rPr>
          <w:rFonts w:ascii="Times New Roman" w:eastAsia="Times New Roman" w:hAnsi="Times New Roman" w:cs="Times New Roman"/>
          <w:sz w:val="24"/>
          <w:szCs w:val="24"/>
          <w:lang w:eastAsia="fr-FR"/>
        </w:rPr>
      </w:pPr>
      <w:r w:rsidRPr="006418F0">
        <w:rPr>
          <w:rFonts w:ascii="Times New Roman" w:eastAsia="Times New Roman" w:hAnsi="Times New Roman" w:cs="Times New Roman"/>
          <w:color w:val="000000"/>
          <w:sz w:val="24"/>
          <w:szCs w:val="24"/>
          <w:lang w:eastAsia="fr-FR"/>
        </w:rPr>
        <w:t>* Corresponding author:</w:t>
      </w:r>
    </w:p>
    <w:p w14:paraId="6F1133F9" w14:textId="640258A1" w:rsidR="00B84931" w:rsidRPr="00B84931" w:rsidRDefault="00B84931" w:rsidP="00B84931">
      <w:pPr>
        <w:spacing w:before="240" w:after="240" w:line="240" w:lineRule="auto"/>
        <w:jc w:val="right"/>
        <w:rPr>
          <w:rFonts w:ascii="Times New Roman" w:eastAsia="Times New Roman" w:hAnsi="Times New Roman" w:cs="Times New Roman"/>
          <w:sz w:val="24"/>
          <w:szCs w:val="24"/>
          <w:lang w:eastAsia="fr-FR"/>
        </w:rPr>
      </w:pPr>
      <w:r w:rsidRPr="00B84931">
        <w:rPr>
          <w:rFonts w:ascii="Times New Roman" w:eastAsia="Times New Roman" w:hAnsi="Times New Roman" w:cs="Times New Roman"/>
          <w:color w:val="000000"/>
          <w:sz w:val="24"/>
          <w:szCs w:val="24"/>
          <w:lang w:eastAsia="fr-FR"/>
        </w:rPr>
        <w:t>Emmanuel</w:t>
      </w:r>
      <w:r>
        <w:rPr>
          <w:rFonts w:ascii="Times New Roman" w:eastAsia="Times New Roman" w:hAnsi="Times New Roman" w:cs="Times New Roman"/>
          <w:color w:val="000000"/>
          <w:sz w:val="24"/>
          <w:szCs w:val="24"/>
          <w:lang w:eastAsia="fr-FR"/>
        </w:rPr>
        <w:t xml:space="preserve"> </w:t>
      </w:r>
      <w:r w:rsidRPr="00B84931">
        <w:rPr>
          <w:rFonts w:ascii="Times New Roman" w:eastAsia="Times New Roman" w:hAnsi="Times New Roman" w:cs="Times New Roman"/>
          <w:color w:val="000000"/>
          <w:sz w:val="24"/>
          <w:szCs w:val="24"/>
          <w:lang w:eastAsia="fr-FR"/>
        </w:rPr>
        <w:t>Demuynck</w:t>
      </w:r>
    </w:p>
    <w:p w14:paraId="0203C7EE" w14:textId="466F943E" w:rsidR="00B84931" w:rsidRPr="00B84931" w:rsidRDefault="00B84931" w:rsidP="00B84931">
      <w:pPr>
        <w:spacing w:before="240" w:after="240" w:line="240" w:lineRule="auto"/>
        <w:jc w:val="right"/>
        <w:rPr>
          <w:rFonts w:ascii="Times New Roman" w:eastAsia="Times New Roman" w:hAnsi="Times New Roman" w:cs="Times New Roman"/>
          <w:sz w:val="24"/>
          <w:szCs w:val="24"/>
          <w:lang w:eastAsia="fr-FR"/>
        </w:rPr>
      </w:pPr>
      <w:r w:rsidRPr="00B84931">
        <w:rPr>
          <w:rFonts w:ascii="Times New Roman" w:eastAsia="Times New Roman" w:hAnsi="Times New Roman" w:cs="Times New Roman"/>
          <w:color w:val="000000"/>
          <w:sz w:val="24"/>
          <w:szCs w:val="24"/>
          <w:lang w:eastAsia="fr-FR"/>
        </w:rPr>
        <w:t>ORCID 0009-0003-1531-968X</w:t>
      </w:r>
    </w:p>
    <w:p w14:paraId="60888E1A" w14:textId="7C07A167" w:rsidR="005F1F30" w:rsidRDefault="00B84931" w:rsidP="00B84931">
      <w:pPr>
        <w:spacing w:line="240" w:lineRule="auto"/>
        <w:jc w:val="right"/>
        <w:rPr>
          <w:i/>
          <w:iCs/>
          <w:u w:val="single"/>
          <w:lang w:val="en-GB"/>
        </w:rPr>
      </w:pPr>
      <w:r w:rsidRPr="006418F0">
        <w:rPr>
          <w:rFonts w:ascii="Times New Roman" w:eastAsia="Times New Roman" w:hAnsi="Times New Roman" w:cs="Times New Roman"/>
          <w:color w:val="000000"/>
          <w:sz w:val="24"/>
          <w:szCs w:val="24"/>
          <w:lang w:eastAsia="fr-FR"/>
        </w:rPr>
        <w:t xml:space="preserve">E-mail address: </w:t>
      </w:r>
      <w:hyperlink r:id="rId8" w:history="1">
        <w:r w:rsidRPr="00F1312C">
          <w:rPr>
            <w:rStyle w:val="Lienhypertexte"/>
            <w:i/>
            <w:iCs/>
            <w:lang w:val="en-GB"/>
          </w:rPr>
          <w:t>Emmanuel.Demuynck@sciensano.be</w:t>
        </w:r>
      </w:hyperlink>
    </w:p>
    <w:p w14:paraId="04FC0255" w14:textId="4BC7E966" w:rsidR="00B84931" w:rsidRDefault="00B84931">
      <w:pPr>
        <w:rPr>
          <w:lang w:val="en-GB"/>
        </w:rPr>
      </w:pPr>
      <w:r>
        <w:rPr>
          <w:lang w:val="en-GB"/>
        </w:rPr>
        <w:br w:type="page"/>
      </w:r>
    </w:p>
    <w:p w14:paraId="4DE392E7" w14:textId="0F4BEF6B" w:rsidR="00CA23DE" w:rsidRPr="00851AA0" w:rsidRDefault="004532F6" w:rsidP="00851AA0">
      <w:pPr>
        <w:rPr>
          <w:b/>
          <w:bCs/>
          <w:sz w:val="40"/>
          <w:szCs w:val="40"/>
        </w:rPr>
      </w:pPr>
      <w:r w:rsidRPr="00851AA0">
        <w:rPr>
          <w:b/>
          <w:bCs/>
          <w:sz w:val="40"/>
          <w:szCs w:val="40"/>
        </w:rPr>
        <w:t>Abstract</w:t>
      </w:r>
    </w:p>
    <w:p w14:paraId="7A1F4678" w14:textId="34C5ECAD" w:rsidR="00B84931" w:rsidRDefault="00EF7D25" w:rsidP="00EF7D25">
      <w:pPr>
        <w:spacing w:after="0" w:line="324" w:lineRule="auto"/>
        <w:jc w:val="both"/>
      </w:pPr>
      <w:bookmarkStart w:id="1" w:name="_Hlk183167363"/>
      <w:r>
        <w:t xml:space="preserve">Current genotoxicity testing strategies </w:t>
      </w:r>
      <w:bookmarkEnd w:id="1"/>
      <w:r>
        <w:t>face several challenges, including</w:t>
      </w:r>
      <w:r w:rsidRPr="000D0F45">
        <w:t xml:space="preserve"> </w:t>
      </w:r>
      <w:r>
        <w:t xml:space="preserve">a high incidence of misleading positive results that lead to unnecessary animal testing, limited mechanistic insights, insufficient integration of innovative methodologies, and a lack of quantitative assessment. Despite rapid advancements </w:t>
      </w:r>
      <w:r>
        <w:lastRenderedPageBreak/>
        <w:t>in technology and scientific understanding, genotoxicity testing batteries have remained largely unchanged for years. To modernize genotoxicity assessment and incorporate innovative approaches, the development of Integrated Approaches for Testing and Assessment (IATAs) is essential. These frameworks combine</w:t>
      </w:r>
      <w:r w:rsidDel="000D0F45">
        <w:t xml:space="preserve"> </w:t>
      </w:r>
      <w:r>
        <w:t xml:space="preserve">existing knowledge with data from New Approach Methodologies (NAMs) aiming to reduce or eliminate reliance on </w:t>
      </w:r>
      <w:r w:rsidRPr="002A73B1">
        <w:rPr>
          <w:i/>
          <w:iCs/>
        </w:rPr>
        <w:t>in vivo</w:t>
      </w:r>
      <w:r>
        <w:t xml:space="preserve"> testing. </w:t>
      </w:r>
      <w:r w:rsidRPr="00F05FF6">
        <w:rPr>
          <w:rFonts w:cstheme="minorHAnsi"/>
        </w:rPr>
        <w:t xml:space="preserve">Genotoxicity is </w:t>
      </w:r>
      <w:r>
        <w:t>particularly well-suited for IATA development</w:t>
      </w:r>
      <w:r w:rsidRPr="00F05FF6">
        <w:rPr>
          <w:rFonts w:cstheme="minorHAnsi"/>
        </w:rPr>
        <w:t xml:space="preserve"> as </w:t>
      </w:r>
      <w:r>
        <w:t xml:space="preserve">numerous cutting-edge, non-animal methods have emerged in recent years, including 3D test systems, Prediscreen®, MultiFlow®, ToxTracker®, and transcriptomic-based biomarkers such as GENOMARK and TGx-DDI. </w:t>
      </w:r>
      <w:r>
        <w:rPr>
          <w:rFonts w:cstheme="minorHAnsi"/>
        </w:rPr>
        <w:t xml:space="preserve">However, </w:t>
      </w:r>
      <w:r>
        <w:t xml:space="preserve">the integration of NAMs into IATAs must be systematic and scientifically robust. In this process, the Adverse Outcome Pathway (AOP) framework plays </w:t>
      </w:r>
      <w:r w:rsidR="00B84931">
        <w:t>a</w:t>
      </w:r>
      <w:r>
        <w:t xml:space="preserve"> crucial role by linking molecular-level events to adverse health effects, thereby supporting the structured selection of NAMs. This article explores the key challenges and gaps within the current European regulatory frameworks for chemical compound genotoxicity assessment and discuss how an AOP-based IATA can address </w:t>
      </w:r>
      <w:r>
        <w:lastRenderedPageBreak/>
        <w:t>these issues. Additionally, we present a global AOP network for permanent DNA damage, designed to guide IATA development and improve regulatory decision-making.  This integrated approach has the potential to enhance the accuracy, efficiency, and ethical standards of genotoxicity assessment while reducing reliance on animal testing.</w:t>
      </w:r>
    </w:p>
    <w:p w14:paraId="45BE00F7" w14:textId="2537F074" w:rsidR="00B84931" w:rsidRDefault="00B84931" w:rsidP="00EF7D25">
      <w:pPr>
        <w:spacing w:after="0" w:line="324" w:lineRule="auto"/>
        <w:jc w:val="both"/>
      </w:pPr>
    </w:p>
    <w:p w14:paraId="6E105B1E" w14:textId="2E735902" w:rsidR="00B84931" w:rsidRDefault="00B84931" w:rsidP="00EF7D25">
      <w:pPr>
        <w:spacing w:after="0" w:line="324" w:lineRule="auto"/>
        <w:jc w:val="both"/>
      </w:pPr>
      <w:r w:rsidRPr="006418F0">
        <w:rPr>
          <w:rFonts w:ascii="Times New Roman" w:eastAsia="Times New Roman" w:hAnsi="Times New Roman" w:cs="Times New Roman"/>
          <w:color w:val="000000"/>
          <w:sz w:val="24"/>
          <w:szCs w:val="24"/>
          <w:lang w:eastAsia="fr-FR"/>
        </w:rPr>
        <w:t xml:space="preserve">Keywords: Genotoxicity; </w:t>
      </w:r>
      <w:r>
        <w:rPr>
          <w:rFonts w:ascii="Symbol" w:eastAsia="Times New Roman" w:hAnsi="Symbol" w:cs="Times New Roman"/>
          <w:color w:val="000000"/>
          <w:sz w:val="24"/>
          <w:szCs w:val="24"/>
          <w:lang w:eastAsia="fr-FR"/>
        </w:rPr>
        <w:t></w:t>
      </w:r>
      <w:r>
        <w:rPr>
          <w:rFonts w:ascii="Symbol" w:eastAsia="Times New Roman" w:hAnsi="Symbol" w:cs="Times New Roman"/>
          <w:color w:val="000000"/>
          <w:sz w:val="24"/>
          <w:szCs w:val="24"/>
          <w:lang w:eastAsia="fr-FR"/>
        </w:rPr>
        <w:t></w:t>
      </w:r>
      <w:r>
        <w:rPr>
          <w:rFonts w:ascii="Symbol" w:eastAsia="Times New Roman" w:hAnsi="Symbol" w:cs="Times New Roman"/>
          <w:color w:val="000000"/>
          <w:sz w:val="24"/>
          <w:szCs w:val="24"/>
          <w:lang w:eastAsia="fr-FR"/>
        </w:rPr>
        <w:t></w:t>
      </w:r>
      <w:r>
        <w:rPr>
          <w:rFonts w:ascii="Times New Roman" w:eastAsia="Times New Roman" w:hAnsi="Times New Roman" w:cs="Times New Roman"/>
          <w:color w:val="000000"/>
          <w:sz w:val="24"/>
          <w:szCs w:val="24"/>
          <w:lang w:eastAsia="fr-FR"/>
        </w:rPr>
        <w:t>s, AOP, IATA</w:t>
      </w:r>
      <w:r w:rsidRPr="006418F0">
        <w:rPr>
          <w:rFonts w:ascii="Times New Roman" w:eastAsia="Times New Roman" w:hAnsi="Times New Roman" w:cs="Times New Roman"/>
          <w:color w:val="000000"/>
          <w:sz w:val="24"/>
          <w:szCs w:val="24"/>
          <w:lang w:eastAsia="fr-FR"/>
        </w:rPr>
        <w:t>.</w:t>
      </w:r>
    </w:p>
    <w:p w14:paraId="2CCBF7D0" w14:textId="77777777" w:rsidR="00B84931" w:rsidRDefault="00B84931">
      <w:r>
        <w:br w:type="page"/>
      </w:r>
    </w:p>
    <w:p w14:paraId="0CE0D014" w14:textId="67DC3C01" w:rsidR="00141594" w:rsidRDefault="00AC5D6C" w:rsidP="002A112A">
      <w:pPr>
        <w:pStyle w:val="Paragraphedeliste"/>
        <w:numPr>
          <w:ilvl w:val="0"/>
          <w:numId w:val="9"/>
        </w:numPr>
      </w:pPr>
      <w:r w:rsidRPr="002A112A">
        <w:rPr>
          <w:b/>
          <w:bCs/>
          <w:sz w:val="32"/>
          <w:szCs w:val="32"/>
        </w:rPr>
        <w:t>Current strateg</w:t>
      </w:r>
      <w:r w:rsidR="00286989" w:rsidRPr="002A112A">
        <w:rPr>
          <w:b/>
          <w:bCs/>
          <w:sz w:val="32"/>
          <w:szCs w:val="32"/>
        </w:rPr>
        <w:t>ies</w:t>
      </w:r>
      <w:r w:rsidRPr="002A112A">
        <w:rPr>
          <w:b/>
          <w:bCs/>
          <w:sz w:val="32"/>
          <w:szCs w:val="32"/>
        </w:rPr>
        <w:t xml:space="preserve"> for genotoxicity assessment</w:t>
      </w:r>
      <w:r w:rsidR="00141594" w:rsidRPr="002A112A">
        <w:rPr>
          <w:b/>
          <w:bCs/>
          <w:sz w:val="32"/>
          <w:szCs w:val="32"/>
        </w:rPr>
        <w:t xml:space="preserve"> and limitations </w:t>
      </w:r>
    </w:p>
    <w:p w14:paraId="11FF6B2C" w14:textId="5FA3AA35" w:rsidR="004532F6" w:rsidRDefault="004532F6" w:rsidP="00141594">
      <w:pPr>
        <w:spacing w:after="0" w:line="324" w:lineRule="auto"/>
        <w:jc w:val="both"/>
      </w:pPr>
      <w:r w:rsidRPr="00F74659">
        <w:rPr>
          <w:rFonts w:cstheme="minorHAnsi"/>
        </w:rPr>
        <w:t>Genotoxicity, the ability to induce damage to the genetic material of living organisms, is a fundamental concept in the field of toxicology. Understanding genotoxicity is pivotal in assessing the potential risks posed by chemicals, drugs, environmental pollutants, and other agents</w:t>
      </w:r>
      <w:r w:rsidR="009978F3">
        <w:rPr>
          <w:rFonts w:cstheme="minorHAnsi"/>
        </w:rPr>
        <w:t xml:space="preserve"> (e.g. ionizing radiation)</w:t>
      </w:r>
      <w:r w:rsidRPr="00F74659">
        <w:rPr>
          <w:rFonts w:cstheme="minorHAnsi"/>
        </w:rPr>
        <w:t xml:space="preserve"> that humans might be exposed to. A</w:t>
      </w:r>
      <w:r w:rsidR="005B32EF">
        <w:rPr>
          <w:rFonts w:cstheme="minorHAnsi"/>
        </w:rPr>
        <w:t xml:space="preserve"> </w:t>
      </w:r>
      <w:r w:rsidR="00E85282">
        <w:rPr>
          <w:rFonts w:cstheme="minorHAnsi"/>
        </w:rPr>
        <w:t>genotoxic</w:t>
      </w:r>
      <w:r w:rsidRPr="00F74659">
        <w:rPr>
          <w:rFonts w:cstheme="minorHAnsi"/>
        </w:rPr>
        <w:t xml:space="preserve"> agent has the ability to alter the structure, information content, or segregation of DNA, including by interfering with normal replication processes</w:t>
      </w:r>
      <w:r w:rsidRPr="00F74659">
        <w:rPr>
          <w:rFonts w:cstheme="minorHAnsi"/>
        </w:rPr>
        <w:fldChar w:fldCharType="begin"/>
      </w:r>
      <w:r w:rsidR="004D2EFE" w:rsidRPr="00F74659">
        <w:rPr>
          <w:rFonts w:cstheme="minorHAnsi"/>
        </w:rPr>
        <w:instrText xml:space="preserve"> ADDIN ZOTERO_ITEM CSL_CITATION {"citationID":"2ZiffT8z","properties":{"formattedCitation":"\\super 1\\nosupersub{}","plainCitation":"1","noteIndex":0},"citationItems":[{"id":15,"uris":["http://zotero.org/users/11265134/items/F4HV8HRH"],"itemData":{"id":15,"type":"book","event-place":"LU","language":"en","publisher":"Publications Office","publisher-place":"LU","source":"DOI.org (CSL JSON)","title":"Guidance on the application of the CLP criteria: guidance to Regulation (EC) No 1272/2008 on classification, labelling and packaging (CLP) of substances and mixtures.","title-short":"Guidance on the application of the CLP criteria","URL":"https://data.europa.eu/doi/10.2823/124801","author":[{"literal":"European Chemicals Agency."}],"accessed":{"date-parts":[["2023",3,8]]},"issued":{"date-parts":[["2017"]]}}}],"schema":"https://github.com/citation-style-language/schema/raw/master/csl-citation.json"} </w:instrText>
      </w:r>
      <w:r w:rsidRPr="00F74659">
        <w:rPr>
          <w:rFonts w:cstheme="minorHAnsi"/>
        </w:rPr>
        <w:fldChar w:fldCharType="separate"/>
      </w:r>
      <w:r w:rsidR="004D2EFE" w:rsidRPr="00F74659">
        <w:rPr>
          <w:rFonts w:cstheme="minorHAnsi"/>
          <w:vertAlign w:val="superscript"/>
        </w:rPr>
        <w:t>1</w:t>
      </w:r>
      <w:r w:rsidRPr="00F74659">
        <w:rPr>
          <w:rFonts w:cstheme="minorHAnsi"/>
        </w:rPr>
        <w:fldChar w:fldCharType="end"/>
      </w:r>
      <w:r w:rsidRPr="00F74659">
        <w:rPr>
          <w:rFonts w:cstheme="minorHAnsi"/>
        </w:rPr>
        <w:t xml:space="preserve">. </w:t>
      </w:r>
      <w:r w:rsidR="00F74659" w:rsidRPr="00F74659">
        <w:rPr>
          <w:rFonts w:cstheme="minorHAnsi"/>
          <w:shd w:val="clear" w:color="auto" w:fill="FFFFFF"/>
        </w:rPr>
        <w:t xml:space="preserve">In humans, genetic </w:t>
      </w:r>
      <w:r w:rsidR="00F74659" w:rsidRPr="00F74659">
        <w:rPr>
          <w:rFonts w:cstheme="minorHAnsi"/>
          <w:shd w:val="clear" w:color="auto" w:fill="FFFFFF"/>
        </w:rPr>
        <w:lastRenderedPageBreak/>
        <w:t>damage in somatic cells is linked to severe health outcomes such as cancer, premature aging, and cardiovascular diseases. In contrast, damage to germ cells can result in infertility or inheritable genetic disorders</w:t>
      </w:r>
      <w:r w:rsidRPr="00F74659">
        <w:rPr>
          <w:rFonts w:cstheme="minorHAnsi"/>
        </w:rPr>
        <w:fldChar w:fldCharType="begin"/>
      </w:r>
      <w:r w:rsidR="00673B8C">
        <w:rPr>
          <w:rFonts w:cstheme="minorHAnsi"/>
        </w:rPr>
        <w:instrText xml:space="preserve"> ADDIN ZOTERO_ITEM CSL_CITATION {"citationID":"yI8WXooi","properties":{"formattedCitation":"\\super 2\\uc0\\u8211{}4\\nosupersub{}","plainCitation":"2–4","noteIndex":0},"citationItems":[{"id":82,"uris":["http://zotero.org/users/11265134/items/TSFCMUPI"],"itemData":{"id":82,"type":"article-journal","abstract":"A genotoxin is a chemical or agent that can cause DNA or chromosomal damage. Such damage in a germ cell has the potential to cause a heritable altered trait (germline mutation). DNA damage in a somatic cell may result in a somatic mutation, which may lead to malignant transformation (cancer). Many in vitro and in vivo tests for genotoxicity have been developed that, with a range of endpoints, detect DNA damage or its biological consequences in prokaryotic (e.g. bacterial) or eukaryotic (e.g. mammalian, avian or yeast) cells. These assays are used to evaluate the safety of environmental chemicals and consumer products and to explore the mechanism of action of known or suspected carcinogens. Many chemical carcinogens/mutagens undergo metabolic activation to reactive species that bind covalently to DNA, and the DNA adducts thus formed can be detected in cells and in human tissues by a variety of sensitive techniques. The detection and characterisation of DNA adducts in human tissues provides clues to the aetiology of human cancer. Characterisation of gene mutations in human tumours, in common with the known mutagenic profiles of genotoxins in experimental systems, may provide further insight into the role of environmental mutagens in human cancer.","container-title":"Molecular, Clinical and Environmental Toxicology","DOI":"10.1007/978-3-7643-8336-7_4","ISSN":"1023-294X","journalAbbreviation":"Molecular, Clinical and Environmental Toxicology","language":"eng","note":"PMID: 19157059","page":"87-110","source":"PubMed","title":"Genotoxicity: damage to DNA and its consequences","title-short":"Genotoxicity","volume":"1","author":[{"family":"Phillips","given":"David H."},{"family":"Arlt","given":"Volker M."}],"issued":{"date-parts":[["2009"]]}},"label":"page"},{"id":250,"uris":["http://zotero.org/users/11265134/items/JEIYE7LH"],"itemData":{"id":250,"type":"article-journal","container-title":"Cell","DOI":"10.1016/j.cell.2011.02.013","ISSN":"0092-8674, 1097-4172","issue":"5","journalAbbreviation":"Cell","language":"English","note":"publisher: Elsevier\nPMID: 21376230","page":"646-674","source":"www.cell.com","title":"Hallmarks of Cancer: The Next Generation","title-short":"Hallmarks of Cancer","volume":"144","author":[{"family":"Hanahan","given":"Douglas"},{"family":"Weinberg","given":"Robert A."}],"issued":{"date-parts":[["2011",3,4]]}},"label":"act"},{"id":89,"uris":["http://zotero.org/users/11265134/items/6WU4XDX2"],"itemData":{"id":89,"type":"article-journal","abstract":"Genotoxicity has been identified as the main cause of infertility and a variety of cancers. The mechanisms affect the structure, quality of the information or the segregation of DNA and are not inherently correlated with mutagenicity. The concept of genotoxicity, the chemical classes that cause genetic damage and the associated mechanisms of action are discussed here. Hazardous effects of pharmaceuticals, cosmetics, agrochemicals, industrial compounds, food additives, natural toxins and nanomaterials are, in large part, identified by genotoxicity and mutagenicity tests. These are critical and early steps in industrial and regulatory health assessment. Though several in vitro experiments are commonly used and approval by regulatory agencies for commercial licensing of drugs, their accuracy in human predictions for genotoxic and mutagenic effects is frequently questioned. Treatment of real and functional genetic toxicity problems depends in detail on the knowledge of mechanisms of DNA damage in the molecular, subcellular, cellular and tissue or organ system levels. Current strategies for risk assessment of human health need revisions to achieve robust and reliable results for optimizing their effectiveness. Additionally, computerized methods, neo-biomarkers leveraging '-omics' approaches, all of which can provide a convincing genotoxicity evaluation to reduce infertility and cancer risk.","container-title":"Chemico-Biological Interactions","DOI":"10.1016/j.cbi.2021.109531","ISSN":"1872-7786","journalAbbreviation":"Chem Biol Interact","language":"eng","note":"PMID: 34058178","page":"109531","source":"PubMed","title":"A review on genotoxicity in connection to infertility and cancer","volume":"345","author":[{"family":"Choudhuri","given":"Sharmistha"},{"family":"Kaur","given":"Taruneet"},{"family":"Jain","given":"Sapna"},{"family":"Sharma","given":"Chandresh"},{"family":"Asthana","given":"Shailendra"}],"issued":{"date-parts":[["2021",8,25]]}},"label":"act"}],"schema":"https://github.com/citation-style-language/schema/raw/master/csl-citation.json"} </w:instrText>
      </w:r>
      <w:r w:rsidRPr="00F74659">
        <w:rPr>
          <w:rFonts w:cstheme="minorHAnsi"/>
        </w:rPr>
        <w:fldChar w:fldCharType="separate"/>
      </w:r>
      <w:r w:rsidR="00673B8C" w:rsidRPr="00673B8C">
        <w:rPr>
          <w:rFonts w:ascii="Calibri" w:hAnsi="Calibri" w:cs="Calibri"/>
          <w:szCs w:val="24"/>
          <w:vertAlign w:val="superscript"/>
        </w:rPr>
        <w:t>2–4</w:t>
      </w:r>
      <w:r w:rsidRPr="00F74659">
        <w:rPr>
          <w:rFonts w:cstheme="minorHAnsi"/>
        </w:rPr>
        <w:fldChar w:fldCharType="end"/>
      </w:r>
      <w:r w:rsidRPr="004532F6">
        <w:t xml:space="preserve">. Consequently, genotoxicity </w:t>
      </w:r>
      <w:r w:rsidR="000C1C01">
        <w:t xml:space="preserve">testing </w:t>
      </w:r>
      <w:r w:rsidRPr="004532F6">
        <w:t xml:space="preserve">forms a cornerstone of modern toxicological </w:t>
      </w:r>
      <w:r w:rsidR="00673B8C">
        <w:t xml:space="preserve">risk </w:t>
      </w:r>
      <w:r w:rsidRPr="004532F6">
        <w:t>assessment, aiding in the identification of substances that have the potential to induce DNA damage, mutations, and/or chromosomal aberrations, all of which can significantly impact human health</w:t>
      </w:r>
      <w:r w:rsidRPr="004532F6">
        <w:fldChar w:fldCharType="begin"/>
      </w:r>
      <w:r w:rsidR="00673B8C">
        <w:instrText xml:space="preserve"> ADDIN ZOTERO_ITEM CSL_CITATION {"citationID":"XnXrGwDY","properties":{"formattedCitation":"\\super 2\\nosupersub{}","plainCitation":"2","noteIndex":0},"citationItems":[{"id":82,"uris":["http://zotero.org/users/11265134/items/TSFCMUPI"],"itemData":{"id":82,"type":"article-journal","abstract":"A genotoxin is a chemical or agent that can cause DNA or chromosomal damage. Such damage in a germ cell has the potential to cause a heritable altered trait (germline mutation). DNA damage in a somatic cell may result in a somatic mutation, which may lead to malignant transformation (cancer). Many in vitro and in vivo tests for genotoxicity have been developed that, with a range of endpoints, detect DNA damage or its biological consequences in prokaryotic (e.g. bacterial) or eukaryotic (e.g. mammalian, avian or yeast) cells. These assays are used to evaluate the safety of environmental chemicals and consumer products and to explore the mechanism of action of known or suspected carcinogens. Many chemical carcinogens/mutagens undergo metabolic activation to reactive species that bind covalently to DNA, and the DNA adducts thus formed can be detected in cells and in human tissues by a variety of sensitive techniques. The detection and characterisation of DNA adducts in human tissues provides clues to the aetiology of human cancer. Characterisation of gene mutations in human tumours, in common with the known mutagenic profiles of genotoxins in experimental systems, may provide further insight into the role of environmental mutagens in human cancer.","container-title":"Molecular, Clinical and Environmental Toxicology","DOI":"10.1007/978-3-7643-8336-7_4","ISSN":"1023-294X","journalAbbreviation":"Molecular, Clinical and Environmental Toxicology","language":"eng","note":"PMID: 19157059","page":"87-110","source":"PubMed","title":"Genotoxicity: damage to DNA and its consequences","title-short":"Genotoxicity","volume":"1","author":[{"family":"Phillips","given":"David H."},{"family":"Arlt","given":"Volker M."}],"issued":{"date-parts":[["2009"]]}}}],"schema":"https://github.com/citation-style-language/schema/raw/master/csl-citation.json"} </w:instrText>
      </w:r>
      <w:r w:rsidRPr="004532F6">
        <w:fldChar w:fldCharType="separate"/>
      </w:r>
      <w:r w:rsidR="00673B8C" w:rsidRPr="00673B8C">
        <w:rPr>
          <w:rFonts w:ascii="Calibri" w:hAnsi="Calibri" w:cs="Calibri"/>
          <w:szCs w:val="24"/>
          <w:vertAlign w:val="superscript"/>
        </w:rPr>
        <w:t>2</w:t>
      </w:r>
      <w:r w:rsidRPr="004532F6">
        <w:fldChar w:fldCharType="end"/>
      </w:r>
      <w:r w:rsidRPr="004532F6">
        <w:t>.</w:t>
      </w:r>
    </w:p>
    <w:p w14:paraId="5A78B840" w14:textId="77777777" w:rsidR="004532F6" w:rsidRDefault="004532F6" w:rsidP="00141594">
      <w:pPr>
        <w:spacing w:after="0" w:line="324" w:lineRule="auto"/>
        <w:jc w:val="both"/>
      </w:pPr>
    </w:p>
    <w:p w14:paraId="2CB87BB4" w14:textId="1D003E59" w:rsidR="002B6CDF" w:rsidRDefault="006E281C" w:rsidP="00141594">
      <w:pPr>
        <w:spacing w:after="0" w:line="324" w:lineRule="auto"/>
        <w:jc w:val="both"/>
      </w:pPr>
      <w:r>
        <w:t>Current genotoxicity testing of chemical</w:t>
      </w:r>
      <w:r w:rsidR="00F74659">
        <w:t xml:space="preserve"> compounds</w:t>
      </w:r>
      <w:r>
        <w:t xml:space="preserve"> typically targets three main endpoints: gene mutations, structural chromosome aberrations (clastogenicity) and numerical chromosome aberrations (aneugenicity)</w:t>
      </w:r>
      <w:r>
        <w:fldChar w:fldCharType="begin"/>
      </w:r>
      <w:r w:rsidR="00673B8C">
        <w:instrText xml:space="preserve"> ADDIN ZOTERO_ITEM CSL_CITATION {"citationID":"l3r70hAy","properties":{"unsorted":true,"formattedCitation":"\\super 5\\nosupersub{}","plainCitation":"5","noteIndex":0},"citationItems":[{"id":6,"uris":["http://zotero.org/users/11265134/items/35ADNV3I"],"itemData":{"id":6,"type":"article-journal","abstract":"The tests used and the general principles behind test strategies are now often over 30 years old. It may be time by now, given that our knowledge of genetic toxicology has improved and that we also technically are better able to investigate DNA damage making use of modern molecular biological techniques, to start thinking on a new test strategy. In the present paper, it is discussed that the time is there to consider a new approach for genotoxicity assessment of substances. A fit for all test strategy was discussed making use of the most recent technological methods and techniques. It was also indicated that in silico tools should be more accepted by regulatory institutes/bodies as supporting information to better conclude which tests should be required for each separate substance to demonstrate its genotoxic potency. Next to that there should be a good rationale for performing in vivo studies. Finally, the need for germ cell genotoxicity testing, essential when classification and labeling of substances is mandatory, was discussed. It was suggested to change the GHS for genotoxicity classification and labelling from in vivo tests in germ cells into in vivo tests in somatic cells. Quantitative genotoxicology was also discussed. It appeared that we are currently at a transition, where the science developing to justify carrying out human health risk assessments based on genetic toxicology data sets supported by mechanistic data and exposure data. However, implementation will take time, and acceptance will be supported through the development of numerous case studies. Major remaining questions are: is genetic damage a relevant endpoint in itself, or should the risk assessment be carried out on the apical endpoint of cancer and which genotoxic endpoint should be used to derive the point of departure (PoD) for the human exposure limit?","container-title":"Mutation Research. Genetic Toxicology and Environmental Mutagenesis","DOI":"10.1016/j.mrgentox.2020.503171","ISSN":"1879-3592","journalAbbreviation":"Mutat Res Genet Toxicol Environ Mutagen","language":"eng","note":"PMID: 32522346","page":"503171","source":"PubMed","title":"Strategies in genotoxicology: Acceptance of innovative scientific methods in a regulatory context and from an industrial perspective","title-short":"Strategies in genotoxicology","volume":"853","author":[{"family":"Steiblen","given":"Guy"},{"family":"Benthem","given":"Jan","dropping-particle":"van"},{"family":"Johnson","given":"George"}],"issued":{"date-parts":[["2020",5]]}}}],"schema":"https://github.com/citation-style-language/schema/raw/master/csl-citation.json"} </w:instrText>
      </w:r>
      <w:r>
        <w:fldChar w:fldCharType="separate"/>
      </w:r>
      <w:r w:rsidR="00673B8C" w:rsidRPr="00673B8C">
        <w:rPr>
          <w:rFonts w:ascii="Calibri" w:hAnsi="Calibri" w:cs="Calibri"/>
          <w:szCs w:val="24"/>
          <w:vertAlign w:val="superscript"/>
        </w:rPr>
        <w:t>5</w:t>
      </w:r>
      <w:r>
        <w:fldChar w:fldCharType="end"/>
      </w:r>
      <w:r>
        <w:t xml:space="preserve">. </w:t>
      </w:r>
      <w:r w:rsidR="00673B8C">
        <w:t>T</w:t>
      </w:r>
      <w:r w:rsidRPr="006E281C">
        <w:t xml:space="preserve">here is no </w:t>
      </w:r>
      <w:r w:rsidR="00454B4D">
        <w:t xml:space="preserve">single </w:t>
      </w:r>
      <w:r w:rsidRPr="006E281C">
        <w:t xml:space="preserve">test that covers all </w:t>
      </w:r>
      <w:r w:rsidR="00EF56B2">
        <w:t>three</w:t>
      </w:r>
      <w:r w:rsidR="00D50ED3">
        <w:t xml:space="preserve"> genotoxic</w:t>
      </w:r>
      <w:r w:rsidR="00EF56B2">
        <w:t xml:space="preserve"> endpoints, and consequently,</w:t>
      </w:r>
      <w:r w:rsidRPr="006E281C">
        <w:t xml:space="preserve"> </w:t>
      </w:r>
      <w:r w:rsidR="004513C0">
        <w:t xml:space="preserve"> a battery of test</w:t>
      </w:r>
      <w:r w:rsidR="003B40CF">
        <w:t>s</w:t>
      </w:r>
      <w:r w:rsidR="004513C0">
        <w:t xml:space="preserve"> is required</w:t>
      </w:r>
      <w:r w:rsidR="00771D3B">
        <w:fldChar w:fldCharType="begin"/>
      </w:r>
      <w:r w:rsidR="00673B8C">
        <w:instrText xml:space="preserve"> ADDIN ZOTERO_ITEM CSL_CITATION {"citationID":"zKEqQVnd","properties":{"formattedCitation":"\\super 6\\nosupersub{}","plainCitation":"6","noteIndex":0},"citationItems":[{"id":99,"uris":["http://zotero.org/users/11265134/items/D8N7X4ZA"],"itemData":{"id":99,"type":"book","abstract":"Following a general update of the Genetic Toxicology TGs in 2015, the present Document was written to provide succinct and useful information to individuals unfamiliar with genetic toxicology testing, as well as experienced individuals wishing to...","event-place":"Paris","language":"en","publisher":"Organisation for Economic Co-operation and Development","publisher-place":"Paris","source":"OECD iLibrary","title":"Overview on genetic toxicology TGs","URL":"https://www.oecd-ilibrary.org/environment/overview-on-genetic-toxicology-tgs_9789264274761-en","author":[{"literal":"OECD"}],"accessed":{"date-parts":[["2023",4,11]]},"issued":{"date-parts":[["2017"]]}}}],"schema":"https://github.com/citation-style-language/schema/raw/master/csl-citation.json"} </w:instrText>
      </w:r>
      <w:r w:rsidR="00771D3B">
        <w:fldChar w:fldCharType="separate"/>
      </w:r>
      <w:r w:rsidR="00673B8C" w:rsidRPr="00673B8C">
        <w:rPr>
          <w:rFonts w:ascii="Calibri" w:hAnsi="Calibri" w:cs="Calibri"/>
          <w:szCs w:val="24"/>
          <w:vertAlign w:val="superscript"/>
        </w:rPr>
        <w:t>6</w:t>
      </w:r>
      <w:r w:rsidR="00771D3B">
        <w:fldChar w:fldCharType="end"/>
      </w:r>
      <w:r w:rsidR="00BE0E37">
        <w:t xml:space="preserve">. Although </w:t>
      </w:r>
      <w:r w:rsidR="008E2B36">
        <w:t>t</w:t>
      </w:r>
      <w:r w:rsidR="004513C0">
        <w:t>h</w:t>
      </w:r>
      <w:r w:rsidR="008E2B36">
        <w:t>e</w:t>
      </w:r>
      <w:r w:rsidR="004513C0">
        <w:t xml:space="preserve"> </w:t>
      </w:r>
      <w:r w:rsidR="00BE0E37">
        <w:t xml:space="preserve">composition of the </w:t>
      </w:r>
      <w:r w:rsidR="00D26FB9">
        <w:t xml:space="preserve">test </w:t>
      </w:r>
      <w:r w:rsidR="004513C0">
        <w:t>batter</w:t>
      </w:r>
      <w:r w:rsidR="00D26FB9">
        <w:t>ies</w:t>
      </w:r>
      <w:r w:rsidR="004513C0">
        <w:t xml:space="preserve"> </w:t>
      </w:r>
      <w:r w:rsidR="008E2B36">
        <w:t xml:space="preserve">varies between different </w:t>
      </w:r>
      <w:r w:rsidR="005A7D93">
        <w:t>regulatory domains</w:t>
      </w:r>
      <w:r w:rsidR="008E2B36">
        <w:t xml:space="preserve"> (e.g. chemicals, cosmetics, pharmaceuticals, p</w:t>
      </w:r>
      <w:r w:rsidR="00BE0E37">
        <w:t>lant protection products</w:t>
      </w:r>
      <w:r w:rsidR="008E2B36">
        <w:t>)</w:t>
      </w:r>
      <w:r w:rsidR="00BE0E37">
        <w:t xml:space="preserve"> and jurisdictions</w:t>
      </w:r>
      <w:r w:rsidR="008E2B36">
        <w:t xml:space="preserve">, </w:t>
      </w:r>
      <w:r w:rsidR="00BE0E37">
        <w:t xml:space="preserve">they </w:t>
      </w:r>
      <w:r w:rsidR="008E2B36">
        <w:t xml:space="preserve">follow the same principles. </w:t>
      </w:r>
      <w:r w:rsidR="00BE0E37">
        <w:t xml:space="preserve">Genotoxicity testing of chemicals </w:t>
      </w:r>
      <w:r w:rsidR="00F633EB">
        <w:t xml:space="preserve">in Europe </w:t>
      </w:r>
      <w:r w:rsidR="00BE0E37">
        <w:t>generally starts with</w:t>
      </w:r>
      <w:r w:rsidR="004513C0">
        <w:t xml:space="preserve"> </w:t>
      </w:r>
      <w:r w:rsidR="004B6848">
        <w:t xml:space="preserve">a set </w:t>
      </w:r>
      <w:r w:rsidR="004B6848">
        <w:lastRenderedPageBreak/>
        <w:t xml:space="preserve">of </w:t>
      </w:r>
      <w:r w:rsidR="004B6848" w:rsidRPr="002A112A">
        <w:rPr>
          <w:i/>
          <w:iCs/>
        </w:rPr>
        <w:t>in vitro</w:t>
      </w:r>
      <w:r w:rsidR="004B6848">
        <w:t xml:space="preserve"> </w:t>
      </w:r>
      <w:r w:rsidR="00D50ED3">
        <w:t>assays</w:t>
      </w:r>
      <w:r w:rsidR="00BE0E37">
        <w:t>. If allowed,</w:t>
      </w:r>
      <w:r w:rsidR="004B6848">
        <w:t xml:space="preserve"> </w:t>
      </w:r>
      <w:r w:rsidR="004B6848" w:rsidRPr="002A112A">
        <w:rPr>
          <w:i/>
          <w:iCs/>
        </w:rPr>
        <w:t>in vivo</w:t>
      </w:r>
      <w:r w:rsidR="004B6848">
        <w:t xml:space="preserve"> tes</w:t>
      </w:r>
      <w:r w:rsidR="00DE5C7D">
        <w:t>ting</w:t>
      </w:r>
      <w:r w:rsidR="00AC6CFE">
        <w:t xml:space="preserve"> </w:t>
      </w:r>
      <w:r w:rsidR="00BE0E37">
        <w:t>will be performed as a second step in case of a positive result or to fulfill the legal requirements</w:t>
      </w:r>
      <w:r w:rsidR="004B6848">
        <w:t>.</w:t>
      </w:r>
      <w:r w:rsidR="00771D3B">
        <w:t xml:space="preserve"> </w:t>
      </w:r>
      <w:r w:rsidR="00BE0E37">
        <w:t>T</w:t>
      </w:r>
      <w:r w:rsidR="00771D3B">
        <w:t xml:space="preserve">he </w:t>
      </w:r>
      <w:r w:rsidR="00771D3B" w:rsidRPr="002A112A">
        <w:rPr>
          <w:i/>
          <w:iCs/>
        </w:rPr>
        <w:t xml:space="preserve">in vitro </w:t>
      </w:r>
      <w:r w:rsidR="00771D3B">
        <w:t xml:space="preserve">test battery includes a bacterial reverse </w:t>
      </w:r>
      <w:r w:rsidR="00D26FB9">
        <w:t xml:space="preserve">gene </w:t>
      </w:r>
      <w:r w:rsidR="00771D3B">
        <w:t>mutation test</w:t>
      </w:r>
      <w:r w:rsidR="00AC6CFE">
        <w:t xml:space="preserve"> (also called </w:t>
      </w:r>
      <w:r w:rsidR="00D26FB9">
        <w:t>‘</w:t>
      </w:r>
      <w:r w:rsidR="00AC6CFE">
        <w:t>Ames test</w:t>
      </w:r>
      <w:r w:rsidR="00D26FB9">
        <w:t>’</w:t>
      </w:r>
      <w:r w:rsidR="00AC6CFE">
        <w:t xml:space="preserve">) </w:t>
      </w:r>
      <w:r w:rsidR="00BE0E37">
        <w:t>and/</w:t>
      </w:r>
      <w:r w:rsidR="00AC6CFE">
        <w:t>or</w:t>
      </w:r>
      <w:r w:rsidR="003C7736">
        <w:t xml:space="preserve"> a</w:t>
      </w:r>
      <w:r w:rsidR="00771D3B">
        <w:t xml:space="preserve"> </w:t>
      </w:r>
      <w:r w:rsidR="003C7736" w:rsidRPr="003C7736">
        <w:t xml:space="preserve">mammalian </w:t>
      </w:r>
      <w:r w:rsidR="00A439DE">
        <w:t xml:space="preserve">gene mutation assay </w:t>
      </w:r>
      <w:r w:rsidR="00AC6CFE">
        <w:t xml:space="preserve">to </w:t>
      </w:r>
      <w:r w:rsidR="00BE0E37">
        <w:t>evaluate the chemical’s potential to induce gene mutations</w:t>
      </w:r>
      <w:r w:rsidR="00AC6CFE">
        <w:t xml:space="preserve">, </w:t>
      </w:r>
      <w:r w:rsidR="00BE0E37">
        <w:t xml:space="preserve">as well as </w:t>
      </w:r>
      <w:r w:rsidR="00D26FB9">
        <w:t xml:space="preserve">a </w:t>
      </w:r>
      <w:r w:rsidR="00BE0E37">
        <w:t xml:space="preserve">mammalian </w:t>
      </w:r>
      <w:r w:rsidR="003C7736" w:rsidRPr="003C7736">
        <w:t>cell</w:t>
      </w:r>
      <w:r w:rsidR="00BE0E37">
        <w:t xml:space="preserve"> test to detect</w:t>
      </w:r>
      <w:r w:rsidR="003C7736" w:rsidRPr="003C7736">
        <w:t xml:space="preserve"> chromosomal damage </w:t>
      </w:r>
      <w:r w:rsidR="00AC6CFE">
        <w:t xml:space="preserve">such as the </w:t>
      </w:r>
      <w:r w:rsidR="00AC6CFE" w:rsidRPr="002A112A">
        <w:rPr>
          <w:i/>
          <w:iCs/>
        </w:rPr>
        <w:t>in vitro</w:t>
      </w:r>
      <w:r w:rsidR="00AC6CFE">
        <w:t xml:space="preserve"> micronucleus test</w:t>
      </w:r>
      <w:r w:rsidR="006E7C8B">
        <w:t xml:space="preserve"> </w:t>
      </w:r>
      <w:r w:rsidR="00BE0E37">
        <w:t xml:space="preserve">or the </w:t>
      </w:r>
      <w:r w:rsidR="00BE0E37" w:rsidRPr="002A112A">
        <w:rPr>
          <w:i/>
          <w:iCs/>
        </w:rPr>
        <w:t>i</w:t>
      </w:r>
      <w:r w:rsidR="006E7C8B" w:rsidRPr="002A112A">
        <w:rPr>
          <w:i/>
          <w:iCs/>
        </w:rPr>
        <w:t xml:space="preserve">n vitro </w:t>
      </w:r>
      <w:r w:rsidR="006E7C8B" w:rsidRPr="006E7C8B">
        <w:t>chromosomal aberration test</w:t>
      </w:r>
      <w:r w:rsidR="003C7736">
        <w:fldChar w:fldCharType="begin"/>
      </w:r>
      <w:r w:rsidR="00673B8C">
        <w:instrText xml:space="preserve"> ADDIN ZOTERO_ITEM CSL_CITATION {"citationID":"dJyGTpUO","properties":{"formattedCitation":"\\super 6\\uc0\\u8211{}8\\nosupersub{}","plainCitation":"6–8","noteIndex":0},"citationItems":[{"id":99,"uris":["http://zotero.org/users/11265134/items/D8N7X4ZA"],"itemData":{"id":99,"type":"book","abstract":"Following a general update of the Genetic Toxicology TGs in 2015, the present Document was written to provide succinct and useful information to individuals unfamiliar with genetic toxicology testing, as well as experienced individuals wishing to...","event-place":"Paris","language":"en","publisher":"Organisation for Economic Co-operation and Development","publisher-place":"Paris","source":"OECD iLibrary","title":"Overview on genetic toxicology TGs","URL":"https://www.oecd-ilibrary.org/environment/overview-on-genetic-toxicology-tgs_9789264274761-en","author":[{"literal":"OECD"}],"accessed":{"date-parts":[["2023",4,11]]},"issued":{"date-parts":[["2017"]]}},"label":"act"},{"id":30,"uris":["http://zotero.org/users/11265134/items/QDGNX665"],"itemData":{"id":30,"type":"article-journal","abstract":"The conventional battery for genotoxicity testing is not well suited to assessing the large number of chemicals needing evaluation. Traditional in vitro tests lack throughput, provide little mechanistic information, and have poor specificity in predicting in vivo genotoxicity. New Approach Methodologies (NAMs) aim to accelerate the pace of hazard assessment and reduce reliance on in vivo tests that are time-consuming and resource-intensive. As such, high-throughput transcriptomic and flow cytometry-based assays have been developed for modernized in vitro genotoxicity assessment. This includes: the TGx-DDI transcriptomic biomarker (i.e., 64-gene expression signature to identify DNA damage-inducing (DDI) substances), the MicroFlow® assay (i.e., a flow cytometry-based micronucleus (MN) test), and the MultiFlow® assay (i.e., a multiplexed flow cytometry-based reporter assay that yields mode of action (MoA) information). The objective of this study was to investigate the utility of the TGx-DDI transcriptomic biomarker, multiplexed with the MicroFlow® and MultiFlow® assays, as an integrated NAM-based testing strategy for screening data-poor compounds prioritized by Health Canada’s New Substances Assessment and Control Bureau. Human lymphoblastoid TK6 cells were exposed to 3 control and 10 data-poor substances, using a 6-point concentration range. Gene expression profiling was conducted using the targeted TempO-Seq™ assay, and the TGx-DDI classifier was applied to the dataset. Classifications were compared with those based on the MicroFlow® and MultiFlow® assays. Benchmark Concentration (BMC) modeling was used for potency ranking. The results of the integrated hazard calls indicate that five of the data-poor compounds were genotoxic in vitro, causing DNA damage via a clastogenic MoA, and one via a pan-genotoxic MoA. Two compounds were likely irrelevant positives in the MN test; two are considered possibly genotoxic causing DNA damage via an ambiguous MoA. BMC modeling revealed nearly identical potency rankings for each assay. This ranking was maintained when all endpoint BMCs were converted into a single score using the Toxicological Prioritization (ToxPi) approach. Overall, this study contributes to the establishment of a modernized approach for effective genotoxicity assessment and chemical prioritization for further regulatory scrutiny. We conclude that the integration of TGx-DDI, MicroFlow®, and MultiFlow® endpoints is an effective NAM-based strategy for genotoxicity assessment of data-poor compounds.","container-title":"Frontiers in Toxicology","ISSN":"2673-3080","source":"Frontiers","title":"Application of a new approach methodology (NAM)-based strategy for genotoxicity assessment of data-poor compounds","URL":"https://www.frontiersin.org/articles/10.3389/ftox.2023.1098432","volume":"5","author":[{"family":"Fortin","given":"Anne-Marie V."},{"family":"Long","given":"Alexandra S."},{"family":"Williams","given":"Andrew"},{"family":"Meier","given":"Matthew J."},{"family":"Cox","given":"Julie"},{"family":"Pinsonnault","given":"Claire"},{"family":"Yauk","given":"Carole L."},{"family":"White","given":"Paul A."}],"accessed":{"date-parts":[["2023",3,9]]},"issued":{"date-parts":[["2023"]]}},"label":"act"},{"id":101,"uris":["http://zotero.org/users/11265134/items/KE5GXKLP"],"itemData":{"id":101,"type":"webpage","abstract":"Toxicological Principles for the Safety Assessment of Food Ingredients - Chapter IV.C.1. Short-Term Tests for Genetic Toxicity","container-title":"U.S. Food and Drug Administration","language":"en","note":"publisher: FDA","title":"Redbook 2000: IV.C.1. Short-Term Tests for Genetic Toxicity","title-short":"Short-Term Tests for Genetic Toxicity","URL":"https://www.fda.gov/regulatory-information/search-fda-guidance-documents/redbook-2000-ivc1-short-term-tests-genetic-toxicity","author":[{"family":"USFDA","given":"Center for Food Safety and Applied Nutrition"}],"accessed":{"date-parts":[["2023",4,11]]},"issued":{"date-parts":[["2007"]]}},"label":"act"}],"schema":"https://github.com/citation-style-language/schema/raw/master/csl-citation.json"} </w:instrText>
      </w:r>
      <w:r w:rsidR="003C7736">
        <w:fldChar w:fldCharType="separate"/>
      </w:r>
      <w:r w:rsidR="00673B8C" w:rsidRPr="00673B8C">
        <w:rPr>
          <w:rFonts w:ascii="Calibri" w:hAnsi="Calibri" w:cs="Calibri"/>
          <w:szCs w:val="24"/>
          <w:vertAlign w:val="superscript"/>
        </w:rPr>
        <w:t>6–8</w:t>
      </w:r>
      <w:r w:rsidR="003C7736">
        <w:fldChar w:fldCharType="end"/>
      </w:r>
      <w:r w:rsidR="003C7736">
        <w:t>.</w:t>
      </w:r>
      <w:r w:rsidR="00377307">
        <w:t xml:space="preserve"> </w:t>
      </w:r>
      <w:r w:rsidR="001927F6">
        <w:t xml:space="preserve">Based on the outcome of the </w:t>
      </w:r>
      <w:r w:rsidR="001927F6" w:rsidRPr="002A112A">
        <w:rPr>
          <w:i/>
          <w:iCs/>
        </w:rPr>
        <w:t>in vitro</w:t>
      </w:r>
      <w:r w:rsidR="001927F6">
        <w:t xml:space="preserve"> tests and taking into account the legal requirements, an</w:t>
      </w:r>
      <w:r w:rsidR="00A439DE">
        <w:t xml:space="preserve"> adequate</w:t>
      </w:r>
      <w:r w:rsidR="00AC1A9A">
        <w:t xml:space="preserve"> </w:t>
      </w:r>
      <w:r w:rsidR="00AC1A9A" w:rsidRPr="002A112A">
        <w:rPr>
          <w:i/>
          <w:iCs/>
        </w:rPr>
        <w:t>in vivo</w:t>
      </w:r>
      <w:r w:rsidR="00AC1A9A">
        <w:t xml:space="preserve"> </w:t>
      </w:r>
      <w:r w:rsidR="00A439DE">
        <w:t xml:space="preserve">follow-up </w:t>
      </w:r>
      <w:r w:rsidR="00AC1A9A">
        <w:t>test</w:t>
      </w:r>
      <w:r w:rsidR="001927F6">
        <w:t xml:space="preserve"> is then selected addressing either gene mutations or structural/numerical chromosome aberrations</w:t>
      </w:r>
      <w:r w:rsidR="00AC1A9A">
        <w:fldChar w:fldCharType="begin"/>
      </w:r>
      <w:r w:rsidR="00673B8C">
        <w:instrText xml:space="preserve"> ADDIN ZOTERO_ITEM CSL_CITATION {"citationID":"Q1uFaN5f","properties":{"formattedCitation":"\\super 1,6\\uc0\\u8211{}10\\nosupersub{}","plainCitation":"1,6–10","noteIndex":0},"citationItems":[{"id":99,"uris":["http://zotero.org/users/11265134/items/D8N7X4ZA"],"itemData":{"id":99,"type":"book","abstract":"Following a general update of the Genetic Toxicology TGs in 2015, the present Document was written to provide succinct and useful information to individuals unfamiliar with genetic toxicology testing, as well as experienced individuals wishing to...","event-place":"Paris","language":"en","publisher":"Organisation for Economic Co-operation and Development","publisher-place":"Paris","source":"OECD iLibrary","title":"Overview on genetic toxicology TGs","URL":"https://www.oecd-ilibrary.org/environment/overview-on-genetic-toxicology-tgs_9789264274761-en","author":[{"literal":"OECD"}],"accessed":{"date-parts":[["2023",4,11]]},"issued":{"date-parts":[["2017"]]}},"label":"act"},{"id":30,"uris":["http://zotero.org/users/11265134/items/QDGNX665"],"itemData":{"id":30,"type":"article-journal","abstract":"The conventional battery for genotoxicity testing is not well suited to assessing the large number of chemicals needing evaluation. Traditional in vitro tests lack throughput, provide little mechanistic information, and have poor specificity in predicting in vivo genotoxicity. New Approach Methodologies (NAMs) aim to accelerate the pace of hazard assessment and reduce reliance on in vivo tests that are time-consuming and resource-intensive. As such, high-throughput transcriptomic and flow cytometry-based assays have been developed for modernized in vitro genotoxicity assessment. This includes: the TGx-DDI transcriptomic biomarker (i.e., 64-gene expression signature to identify DNA damage-inducing (DDI) substances), the MicroFlow® assay (i.e., a flow cytometry-based micronucleus (MN) test), and the MultiFlow® assay (i.e., a multiplexed flow cytometry-based reporter assay that yields mode of action (MoA) information). The objective of this study was to investigate the utility of the TGx-DDI transcriptomic biomarker, multiplexed with the MicroFlow® and MultiFlow® assays, as an integrated NAM-based testing strategy for screening data-poor compounds prioritized by Health Canada’s New Substances Assessment and Control Bureau. Human lymphoblastoid TK6 cells were exposed to 3 control and 10 data-poor substances, using a 6-point concentration range. Gene expression profiling was conducted using the targeted TempO-Seq™ assay, and the TGx-DDI classifier was applied to the dataset. Classifications were compared with those based on the MicroFlow® and MultiFlow® assays. Benchmark Concentration (BMC) modeling was used for potency ranking. The results of the integrated hazard calls indicate that five of the data-poor compounds were genotoxic in vitro, causing DNA damage via a clastogenic MoA, and one via a pan-genotoxic MoA. Two compounds were likely irrelevant positives in the MN test; two are considered possibly genotoxic causing DNA damage via an ambiguous MoA. BMC modeling revealed nearly identical potency rankings for each assay. This ranking was maintained when all endpoint BMCs were converted into a single score using the Toxicological Prioritization (ToxPi) approach. Overall, this study contributes to the establishment of a modernized approach for effective genotoxicity assessment and chemical prioritization for further regulatory scrutiny. We conclude that the integration of TGx-DDI, MicroFlow®, and MultiFlow® endpoints is an effective NAM-based strategy for genotoxicity assessment of data-poor compounds.","container-title":"Frontiers in Toxicology","ISSN":"2673-3080","source":"Frontiers","title":"Application of a new approach methodology (NAM)-based strategy for genotoxicity assessment of data-poor compounds","URL":"https://www.frontiersin.org/articles/10.3389/ftox.2023.1098432","volume":"5","author":[{"family":"Fortin","given":"Anne-Marie V."},{"family":"Long","given":"Alexandra S."},{"family":"Williams","given":"Andrew"},{"family":"Meier","given":"Matthew J."},{"family":"Cox","given":"Julie"},{"family":"Pinsonnault","given":"Claire"},{"family":"Yauk","given":"Carole L."},{"family":"White","given":"Paul A."}],"accessed":{"date-parts":[["2023",3,9]]},"issued":{"date-parts":[["2023"]]}},"label":"page"},{"id":101,"uris":["http://zotero.org/users/11265134/items/KE5GXKLP"],"itemData":{"id":101,"type":"webpage","abstract":"Toxicological Principles for the Safety Assessment of Food Ingredients - Chapter IV.C.1. Short-Term Tests for Genetic Toxicity","container-title":"U.S. Food and Drug Administration","language":"en","note":"publisher: FDA","title":"Redbook 2000: IV.C.1. Short-Term Tests for Genetic Toxicity","title-short":"Short-Term Tests for Genetic Toxicity","URL":"https://www.fda.gov/regulatory-information/search-fda-guidance-documents/redbook-2000-ivc1-short-term-tests-genetic-toxicity","author":[{"family":"USFDA","given":"Center for Food Safety and Applied Nutrition"}],"accessed":{"date-parts":[["2023",4,11]]},"issued":{"date-parts":[["2007"]]}},"label":"act"},{"id":15,"uris":["http://zotero.org/users/11265134/items/F4HV8HRH"],"itemData":{"id":15,"type":"book","event-place":"LU","language":"en","publisher":"Publications Office","publisher-place":"LU","source":"DOI.org (CSL JSON)","title":"Guidance on the application of the CLP criteria: guidance to Regulation (EC) No 1272/2008 on classification, labelling and packaging (CLP) of substances and mixtures.","title-short":"Guidance on the application of the CLP criteria","URL":"https://data.europa.eu/doi/10.2823/124801","author":[{"literal":"European Chemicals Agency."}],"accessed":{"date-parts":[["2023",3,8]]},"issued":{"date-parts":[["2017"]]}},"label":"act"},{"id":9,"uris":["http://zotero.org/users/11265134/items/4HGJSS3J"],"itemData":{"id":9,"type":"article-journal","abstract":"The Scientific Committee reviewed the current state-of-the-science on genotoxicity testing and provided a commentary and recommendations on genotoxicity testing strategies. A step-wise approach is recommended for the generation and evaluation of data on genotoxic potential, beginning with a basic battery of in vitro tests, comprising a bacterial reverse mutation assay and an in vitro micronucleus assay. Consideration should be given to whether specific features of the test substance might require substitution of one or more of the recommended in vitro tests by other in vitro or in vivo tests in the basic battery. In the event of negative in vitro results, it can be concluded that the substance has no genotoxic potential. In case of inconclusive, contradictory or equivocal results, it may be appropriate to conduct further testing in vitro. In case of positive in vitro results, review of the available relevant data on the test substance and, where necessary, an appropriate in vivo study to assess whether the genotoxic potential observed in vitro is expressed in vivo is recommended. Suitable in vivo tests are the mammalian erythrocyte micronucleus test, transgenic rodent assay, and Comet assay. The approach to in vivo testing should be step-wise. If the first in vivo test is positive, no further testing is necessary and the substance should be considered as an in vivo genotoxin. If the test is negative, it may be possible to conclude that the substance is not an in vivo genotoxin. However, in some cases, a second in vivo test may be necessary (e.g. if the first test is negative but more than one endpoint in the in vitro tests are positive, an in vivo test on a second endpoint may be necessary). The combination of assessing different endpoints in different tissues in the same animal in vivo should also be considered.","container-title":"EFSA Journal","DOI":"10.2903/j.efsa.2011.2379","ISSN":"1831-4732","issue":"9","language":"en","note":"_eprint: https://onlinelibrary.wiley.com/doi/pdf/10.2903/j.efsa.2011.2379","page":"2379","source":"Wiley Online Library","title":"Scientific opinion on genotoxicity testing strategies applicable to food and feed safety assessment","volume":"9","author":[{"family":"Committee","given":"EFSA Scientific"}],"issued":{"date-parts":[["2011"]]}},"label":"act"},{"id":13,"uris":["http://zotero.org/users/11265134/items/4ITYRZGM"],"itemData":{"id":13,"type":"book","event-place":"LU","language":"en","publisher":"Publications Office","publisher-place":"LU","source":"DOI.org (CSL JSON)","title":"Guidance on the Biocidal Products Regulation.volume III : Human health, Part A : Information requirements : Version 2, March 2022 .","title-short":"Guidance on the Biocidal Products Regulation.volume III","URL":"https://data.europa.eu/doi/10.2823/433526","author":[{"literal":"European Chemicals Agency."}],"accessed":{"date-parts":[["2023",3,7]]},"issued":{"date-parts":[["2022"]]}},"label":"act"}],"schema":"https://github.com/citation-style-language/schema/raw/master/csl-citation.json"} </w:instrText>
      </w:r>
      <w:r w:rsidR="00AC1A9A">
        <w:fldChar w:fldCharType="separate"/>
      </w:r>
      <w:r w:rsidR="00673B8C" w:rsidRPr="00673B8C">
        <w:rPr>
          <w:rFonts w:ascii="Calibri" w:hAnsi="Calibri" w:cs="Calibri"/>
          <w:szCs w:val="24"/>
          <w:vertAlign w:val="superscript"/>
        </w:rPr>
        <w:t>1,6–10</w:t>
      </w:r>
      <w:r w:rsidR="00AC1A9A">
        <w:fldChar w:fldCharType="end"/>
      </w:r>
      <w:r w:rsidR="00AC1A9A">
        <w:t>.</w:t>
      </w:r>
      <w:r w:rsidR="00633A66">
        <w:t xml:space="preserve"> </w:t>
      </w:r>
    </w:p>
    <w:p w14:paraId="479DE9DB" w14:textId="7BA7D4BB" w:rsidR="00BA47C6" w:rsidRPr="000E0D90" w:rsidRDefault="00C73E5E" w:rsidP="000E0D90">
      <w:pPr>
        <w:spacing w:after="0" w:line="324" w:lineRule="auto"/>
        <w:jc w:val="both"/>
      </w:pPr>
      <w:r>
        <w:t>Below, a brief overview of the different genotoxicity tests required per chemical domain within the EU is provided</w:t>
      </w:r>
      <w:r w:rsidR="008902B6">
        <w:t>.</w:t>
      </w:r>
    </w:p>
    <w:p w14:paraId="0BDF4DE7" w14:textId="77777777" w:rsidR="00C73E5E" w:rsidRDefault="00C73E5E" w:rsidP="00141594">
      <w:pPr>
        <w:spacing w:after="0" w:line="324" w:lineRule="auto"/>
        <w:jc w:val="both"/>
      </w:pPr>
    </w:p>
    <w:p w14:paraId="30BFC9B5" w14:textId="6E319156" w:rsidR="008902B6" w:rsidRPr="00D50ED3" w:rsidRDefault="000E0D90" w:rsidP="00D50ED3">
      <w:pPr>
        <w:pStyle w:val="paragraph"/>
        <w:numPr>
          <w:ilvl w:val="0"/>
          <w:numId w:val="67"/>
        </w:numPr>
        <w:spacing w:before="0" w:beforeAutospacing="0" w:after="0" w:afterAutospacing="0" w:line="360" w:lineRule="auto"/>
        <w:jc w:val="both"/>
        <w:textAlignment w:val="baseline"/>
        <w:rPr>
          <w:rStyle w:val="normaltextrun"/>
          <w:rFonts w:ascii="Calibri" w:hAnsi="Calibri" w:cs="Calibri"/>
          <w:sz w:val="22"/>
          <w:szCs w:val="22"/>
          <w:lang w:val="en-US"/>
        </w:rPr>
      </w:pPr>
      <w:r w:rsidRPr="00D50ED3">
        <w:rPr>
          <w:rFonts w:asciiTheme="minorHAnsi" w:hAnsiTheme="minorHAnsi" w:cstheme="minorHAnsi"/>
          <w:b/>
          <w:bCs/>
          <w:sz w:val="22"/>
          <w:szCs w:val="22"/>
          <w:lang w:val="en-US"/>
        </w:rPr>
        <w:t>Registration, Evaluation, Authorisation and restriction of CHemicals</w:t>
      </w:r>
      <w:r w:rsidRPr="00D50ED3">
        <w:rPr>
          <w:rStyle w:val="normaltextrun"/>
          <w:rFonts w:asciiTheme="minorHAnsi" w:hAnsiTheme="minorHAnsi" w:cstheme="minorHAnsi"/>
          <w:b/>
          <w:bCs/>
          <w:sz w:val="22"/>
          <w:szCs w:val="22"/>
          <w:lang w:val="en-US"/>
        </w:rPr>
        <w:t xml:space="preserve"> (</w:t>
      </w:r>
      <w:r w:rsidR="008902B6" w:rsidRPr="00D50ED3">
        <w:rPr>
          <w:rStyle w:val="normaltextrun"/>
          <w:rFonts w:asciiTheme="minorHAnsi" w:hAnsiTheme="minorHAnsi" w:cstheme="minorHAnsi"/>
          <w:b/>
          <w:bCs/>
          <w:sz w:val="22"/>
          <w:szCs w:val="22"/>
          <w:lang w:val="en-US"/>
        </w:rPr>
        <w:t>REACH</w:t>
      </w:r>
      <w:r w:rsidRPr="00D50ED3">
        <w:rPr>
          <w:rStyle w:val="normaltextrun"/>
          <w:rFonts w:asciiTheme="minorHAnsi" w:hAnsiTheme="minorHAnsi" w:cstheme="minorHAnsi"/>
          <w:b/>
          <w:bCs/>
          <w:sz w:val="22"/>
          <w:szCs w:val="22"/>
          <w:lang w:val="en-US"/>
        </w:rPr>
        <w:t>)</w:t>
      </w:r>
      <w:r w:rsidR="008902B6" w:rsidRPr="00D50ED3">
        <w:rPr>
          <w:rStyle w:val="normaltextrun"/>
          <w:rFonts w:ascii="Calibri" w:hAnsi="Calibri" w:cs="Calibri"/>
          <w:sz w:val="22"/>
          <w:szCs w:val="22"/>
          <w:lang w:val="en-US"/>
        </w:rPr>
        <w:t xml:space="preserve">: </w:t>
      </w:r>
      <w:r w:rsidR="00D50ED3" w:rsidRPr="00D50ED3">
        <w:rPr>
          <w:rStyle w:val="normaltextrun"/>
          <w:rFonts w:ascii="Calibri" w:hAnsi="Calibri" w:cs="Calibri"/>
          <w:sz w:val="22"/>
          <w:szCs w:val="22"/>
          <w:lang w:val="en-US"/>
        </w:rPr>
        <w:t xml:space="preserve">Information requirements for mutagenicity assessment, as well as for the other endpoints, increase with the volume of </w:t>
      </w:r>
      <w:r w:rsidR="00D50ED3" w:rsidRPr="00D50ED3">
        <w:rPr>
          <w:rStyle w:val="normaltextrun"/>
          <w:rFonts w:ascii="Calibri" w:hAnsi="Calibri" w:cs="Calibri"/>
          <w:sz w:val="22"/>
          <w:szCs w:val="22"/>
          <w:lang w:val="en-US"/>
        </w:rPr>
        <w:lastRenderedPageBreak/>
        <w:t xml:space="preserve">the substance to be registered. In the lowest tonnage band (1-10 tonnes per year), only the Ames test is requested. From 10 tonnes/year and above, </w:t>
      </w:r>
      <w:r w:rsidR="00D50ED3" w:rsidRPr="00D50ED3">
        <w:rPr>
          <w:rStyle w:val="normaltextrun"/>
          <w:rFonts w:ascii="Calibri" w:hAnsi="Calibri" w:cs="Calibri"/>
          <w:i/>
          <w:iCs/>
          <w:sz w:val="22"/>
          <w:szCs w:val="22"/>
          <w:lang w:val="en-US"/>
        </w:rPr>
        <w:t>in vitro</w:t>
      </w:r>
      <w:r w:rsidR="00D50ED3" w:rsidRPr="00D50ED3">
        <w:rPr>
          <w:rStyle w:val="normaltextrun"/>
          <w:rFonts w:ascii="Calibri" w:hAnsi="Calibri" w:cs="Calibri"/>
          <w:sz w:val="22"/>
          <w:szCs w:val="22"/>
          <w:lang w:val="en-US"/>
        </w:rPr>
        <w:t xml:space="preserve"> evaluation of all the three genotoxic endpoints is needed, conducting preferentially, in addition to the Ames test, an </w:t>
      </w:r>
      <w:r w:rsidR="00D50ED3" w:rsidRPr="00D50ED3">
        <w:rPr>
          <w:rStyle w:val="normaltextrun"/>
          <w:rFonts w:ascii="Calibri" w:hAnsi="Calibri" w:cs="Calibri"/>
          <w:i/>
          <w:sz w:val="22"/>
          <w:szCs w:val="22"/>
          <w:lang w:val="en-US"/>
        </w:rPr>
        <w:t>in vitro</w:t>
      </w:r>
      <w:r w:rsidR="00D50ED3" w:rsidRPr="00D50ED3">
        <w:rPr>
          <w:rStyle w:val="normaltextrun"/>
          <w:rFonts w:ascii="Calibri" w:hAnsi="Calibri" w:cs="Calibri"/>
          <w:sz w:val="22"/>
          <w:szCs w:val="22"/>
          <w:lang w:val="en-US"/>
        </w:rPr>
        <w:t xml:space="preserve"> mammalian cell micronucleus test. Only in case of positive results in one or more </w:t>
      </w:r>
      <w:r w:rsidR="00D50ED3" w:rsidRPr="00D50ED3">
        <w:rPr>
          <w:rStyle w:val="normaltextrun"/>
          <w:rFonts w:ascii="Calibri" w:hAnsi="Calibri" w:cs="Calibri"/>
          <w:i/>
          <w:sz w:val="22"/>
          <w:szCs w:val="22"/>
          <w:lang w:val="en-US"/>
        </w:rPr>
        <w:t xml:space="preserve">in vitro </w:t>
      </w:r>
      <w:r w:rsidR="00D50ED3" w:rsidRPr="00D50ED3">
        <w:rPr>
          <w:rStyle w:val="normaltextrun"/>
          <w:rFonts w:ascii="Calibri" w:hAnsi="Calibri" w:cs="Calibri"/>
          <w:sz w:val="22"/>
          <w:szCs w:val="22"/>
          <w:lang w:val="en-US"/>
        </w:rPr>
        <w:t xml:space="preserve">tests, an </w:t>
      </w:r>
      <w:r w:rsidR="00D50ED3" w:rsidRPr="00D50ED3">
        <w:rPr>
          <w:rStyle w:val="normaltextrun"/>
          <w:rFonts w:ascii="Calibri" w:hAnsi="Calibri" w:cs="Calibri"/>
          <w:i/>
          <w:iCs/>
          <w:sz w:val="22"/>
          <w:szCs w:val="22"/>
          <w:lang w:val="en-US"/>
        </w:rPr>
        <w:t>in vivo</w:t>
      </w:r>
      <w:r w:rsidR="00D50ED3" w:rsidRPr="00D50ED3">
        <w:rPr>
          <w:rStyle w:val="normaltextrun"/>
          <w:rFonts w:ascii="Calibri" w:hAnsi="Calibri" w:cs="Calibri"/>
          <w:sz w:val="22"/>
          <w:szCs w:val="22"/>
          <w:lang w:val="en-US"/>
        </w:rPr>
        <w:t xml:space="preserve"> follow up is required, by appropriate </w:t>
      </w:r>
      <w:r w:rsidR="00D50ED3" w:rsidRPr="00D50ED3">
        <w:rPr>
          <w:rStyle w:val="normaltextrun"/>
          <w:rFonts w:ascii="Calibri" w:hAnsi="Calibri" w:cs="Calibri"/>
          <w:i/>
          <w:sz w:val="22"/>
          <w:szCs w:val="22"/>
          <w:lang w:val="en-US"/>
        </w:rPr>
        <w:t>in vivo</w:t>
      </w:r>
      <w:r w:rsidR="00D50ED3" w:rsidRPr="00D50ED3">
        <w:rPr>
          <w:rStyle w:val="normaltextrun"/>
          <w:rFonts w:ascii="Calibri" w:hAnsi="Calibri" w:cs="Calibri"/>
          <w:sz w:val="22"/>
          <w:szCs w:val="22"/>
          <w:lang w:val="en-US"/>
        </w:rPr>
        <w:t xml:space="preserve"> mammalian somatic cell genotoxicity studies. Moreover, if the latter are positive, mutagenicity in germ cells should also be evaluated. Based on the results collected under REACH (and other regulations), it is possible to classify the substances according to the Regulation (EC) No 1272/2008 on </w:t>
      </w:r>
      <w:r w:rsidR="00D50ED3" w:rsidRPr="00D50ED3">
        <w:rPr>
          <w:rStyle w:val="normaltextrun"/>
          <w:rFonts w:ascii="Calibri" w:hAnsi="Calibri" w:cs="Calibri"/>
          <w:b/>
          <w:bCs/>
          <w:sz w:val="22"/>
          <w:szCs w:val="22"/>
          <w:lang w:val="en-US"/>
        </w:rPr>
        <w:t>the classification, labelling and packaging (CLP) of chemical substances</w:t>
      </w:r>
      <w:r w:rsidR="00D50ED3" w:rsidRPr="00D50ED3">
        <w:rPr>
          <w:rStyle w:val="normaltextrun"/>
          <w:rFonts w:ascii="Calibri" w:hAnsi="Calibri" w:cs="Calibri"/>
          <w:sz w:val="22"/>
          <w:szCs w:val="22"/>
          <w:lang w:val="en-US"/>
        </w:rPr>
        <w:t xml:space="preserve">. Germ cells mutagenicity is the hazard class under CLP that is relevant for the classification of genotoxic/mutagenic substances. Criteria to put harmful chemicals in one of the three categories (i.e., 1A, 1B or 2) are largely based on results of </w:t>
      </w:r>
      <w:r w:rsidR="00D50ED3" w:rsidRPr="00D50ED3">
        <w:rPr>
          <w:rStyle w:val="normaltextrun"/>
          <w:rFonts w:ascii="Calibri" w:hAnsi="Calibri" w:cs="Calibri"/>
          <w:i/>
          <w:sz w:val="22"/>
          <w:szCs w:val="22"/>
          <w:lang w:val="en-US"/>
        </w:rPr>
        <w:t>in vivo</w:t>
      </w:r>
      <w:r w:rsidR="00D50ED3" w:rsidRPr="00D50ED3">
        <w:rPr>
          <w:rStyle w:val="normaltextrun"/>
          <w:rFonts w:ascii="Calibri" w:hAnsi="Calibri" w:cs="Calibri"/>
          <w:sz w:val="22"/>
          <w:szCs w:val="22"/>
          <w:lang w:val="en-US"/>
        </w:rPr>
        <w:t xml:space="preserve"> testing. Specifically, apart from category 1A which requires </w:t>
      </w:r>
      <w:r w:rsidR="00D50ED3" w:rsidRPr="00D50ED3">
        <w:rPr>
          <w:rStyle w:val="normaltextrun"/>
          <w:rFonts w:ascii="Calibri" w:hAnsi="Calibri" w:cs="Calibri"/>
          <w:sz w:val="22"/>
          <w:szCs w:val="22"/>
          <w:lang w:val="en-US"/>
        </w:rPr>
        <w:lastRenderedPageBreak/>
        <w:t xml:space="preserve">epidemiological evidence in humans, and which is in practice unpopulated, </w:t>
      </w:r>
      <w:r w:rsidR="00D50ED3" w:rsidRPr="00D50ED3">
        <w:rPr>
          <w:rStyle w:val="normaltextrun"/>
          <w:rFonts w:ascii="Calibri" w:hAnsi="Calibri" w:cs="Calibri"/>
          <w:i/>
          <w:sz w:val="22"/>
          <w:szCs w:val="22"/>
          <w:lang w:val="en-US"/>
        </w:rPr>
        <w:t>in vivo</w:t>
      </w:r>
      <w:r w:rsidR="00D50ED3" w:rsidRPr="00D50ED3">
        <w:rPr>
          <w:rStyle w:val="normaltextrun"/>
          <w:rFonts w:ascii="Calibri" w:hAnsi="Calibri" w:cs="Calibri"/>
          <w:sz w:val="22"/>
          <w:szCs w:val="22"/>
          <w:lang w:val="en-US"/>
        </w:rPr>
        <w:t xml:space="preserve"> (germ cells) results are required to classify chemical substances as germ cell mutagens in categories 1B or 2.</w:t>
      </w:r>
    </w:p>
    <w:p w14:paraId="55E14756" w14:textId="3E7A950B" w:rsidR="008902B6" w:rsidRDefault="008902B6" w:rsidP="008902B6">
      <w:pPr>
        <w:pStyle w:val="paragraph"/>
        <w:spacing w:before="0" w:beforeAutospacing="0" w:after="0" w:afterAutospacing="0"/>
        <w:jc w:val="both"/>
        <w:textAlignment w:val="baseline"/>
        <w:rPr>
          <w:rStyle w:val="normaltextrun"/>
          <w:rFonts w:ascii="Calibri" w:hAnsi="Calibri" w:cs="Calibri"/>
          <w:sz w:val="22"/>
          <w:szCs w:val="22"/>
          <w:lang w:val="en-US"/>
        </w:rPr>
      </w:pPr>
    </w:p>
    <w:p w14:paraId="7FB4A8EC" w14:textId="77777777" w:rsidR="008902B6" w:rsidRPr="008902B6" w:rsidRDefault="008902B6" w:rsidP="008902B6">
      <w:pPr>
        <w:pStyle w:val="paragraph"/>
        <w:spacing w:before="0" w:beforeAutospacing="0" w:after="0" w:afterAutospacing="0"/>
        <w:jc w:val="both"/>
        <w:textAlignment w:val="baseline"/>
        <w:rPr>
          <w:rFonts w:ascii="Calibri" w:hAnsi="Calibri" w:cs="Calibri"/>
          <w:sz w:val="22"/>
          <w:szCs w:val="22"/>
          <w:lang w:val="en-US"/>
        </w:rPr>
      </w:pPr>
    </w:p>
    <w:p w14:paraId="7F2F7AEB" w14:textId="77777777" w:rsidR="00D50ED3" w:rsidRDefault="00D50ED3" w:rsidP="00D50ED3">
      <w:pPr>
        <w:pStyle w:val="paragraph"/>
        <w:numPr>
          <w:ilvl w:val="0"/>
          <w:numId w:val="67"/>
        </w:numPr>
        <w:spacing w:before="0" w:beforeAutospacing="0" w:after="0" w:afterAutospacing="0" w:line="324" w:lineRule="auto"/>
        <w:jc w:val="both"/>
        <w:textAlignment w:val="baseline"/>
        <w:rPr>
          <w:rStyle w:val="eop"/>
          <w:rFonts w:ascii="Calibri" w:eastAsiaTheme="minorHAnsi" w:hAnsi="Calibri" w:cs="Calibri"/>
          <w:sz w:val="22"/>
          <w:szCs w:val="22"/>
          <w:lang w:val="en-US" w:eastAsia="en-US"/>
        </w:rPr>
      </w:pPr>
      <w:r w:rsidRPr="00D50ED3">
        <w:rPr>
          <w:rStyle w:val="normaltextrun"/>
          <w:rFonts w:ascii="Calibri" w:hAnsi="Calibri" w:cs="Calibri"/>
          <w:sz w:val="22"/>
          <w:szCs w:val="22"/>
          <w:lang w:val="en-US"/>
        </w:rPr>
        <w:t xml:space="preserve">Genotoxicity testing of </w:t>
      </w:r>
      <w:r w:rsidRPr="00D50ED3">
        <w:rPr>
          <w:rStyle w:val="normaltextrun"/>
          <w:rFonts w:ascii="Calibri" w:hAnsi="Calibri" w:cs="Calibri"/>
          <w:b/>
          <w:bCs/>
          <w:sz w:val="22"/>
          <w:szCs w:val="22"/>
          <w:lang w:val="en-US"/>
        </w:rPr>
        <w:t>plant protection products</w:t>
      </w:r>
      <w:r w:rsidRPr="00D50ED3">
        <w:rPr>
          <w:rStyle w:val="normaltextrun"/>
          <w:rFonts w:ascii="Calibri" w:hAnsi="Calibri" w:cs="Calibri"/>
          <w:sz w:val="22"/>
          <w:szCs w:val="22"/>
          <w:lang w:val="en-US"/>
        </w:rPr>
        <w:t xml:space="preserve"> under Regulation (EC) No. 1107/2009, involves an </w:t>
      </w:r>
      <w:r w:rsidRPr="00D50ED3">
        <w:rPr>
          <w:rStyle w:val="normaltextrun"/>
          <w:rFonts w:ascii="Calibri" w:hAnsi="Calibri" w:cs="Calibri"/>
          <w:i/>
          <w:iCs/>
          <w:sz w:val="22"/>
          <w:szCs w:val="22"/>
          <w:lang w:val="en-US"/>
        </w:rPr>
        <w:t>in vitro</w:t>
      </w:r>
      <w:r w:rsidRPr="00D50ED3">
        <w:rPr>
          <w:rStyle w:val="normaltextrun"/>
          <w:rFonts w:ascii="Calibri" w:hAnsi="Calibri" w:cs="Calibri"/>
          <w:sz w:val="22"/>
          <w:szCs w:val="22"/>
          <w:lang w:val="en-US"/>
        </w:rPr>
        <w:t xml:space="preserve"> battery consisting of an Ames assay (OECD TG 471) and an </w:t>
      </w:r>
      <w:r w:rsidRPr="00D50ED3">
        <w:rPr>
          <w:rStyle w:val="normaltextrun"/>
          <w:rFonts w:ascii="Calibri" w:hAnsi="Calibri" w:cs="Calibri"/>
          <w:i/>
          <w:iCs/>
          <w:sz w:val="22"/>
          <w:szCs w:val="22"/>
          <w:lang w:val="en-US"/>
        </w:rPr>
        <w:t>in vitro</w:t>
      </w:r>
      <w:r w:rsidRPr="00D50ED3">
        <w:rPr>
          <w:rStyle w:val="normaltextrun"/>
          <w:rFonts w:ascii="Calibri" w:hAnsi="Calibri" w:cs="Calibri"/>
          <w:sz w:val="22"/>
          <w:szCs w:val="22"/>
          <w:lang w:val="en-US"/>
        </w:rPr>
        <w:t xml:space="preserve"> micronucleus test (OECD TG 487) for the assessment of gene mutations and clastogenicity/aneugenicity, respectively. Additional</w:t>
      </w:r>
      <w:r w:rsidRPr="00D50ED3">
        <w:rPr>
          <w:rStyle w:val="normaltextrun"/>
          <w:rFonts w:ascii="Calibri" w:hAnsi="Calibri" w:cs="Calibri"/>
          <w:i/>
          <w:iCs/>
          <w:sz w:val="22"/>
          <w:szCs w:val="22"/>
          <w:lang w:val="en-US"/>
        </w:rPr>
        <w:t xml:space="preserve"> in vitro</w:t>
      </w:r>
      <w:r w:rsidRPr="00D50ED3">
        <w:rPr>
          <w:rStyle w:val="normaltextrun"/>
          <w:rFonts w:ascii="Calibri" w:hAnsi="Calibri" w:cs="Calibri"/>
          <w:sz w:val="22"/>
          <w:szCs w:val="22"/>
          <w:lang w:val="en-US"/>
        </w:rPr>
        <w:t xml:space="preserve"> testing may be needed for active substances bearing structural alerts, if the standard tests have not been optimised for these alerts. Although according to the </w:t>
      </w:r>
      <w:r w:rsidRPr="00D50ED3">
        <w:rPr>
          <w:rStyle w:val="normaltextrun"/>
          <w:rFonts w:ascii="Calibri" w:hAnsi="Calibri" w:cs="Calibri"/>
          <w:i/>
          <w:iCs/>
          <w:sz w:val="22"/>
          <w:szCs w:val="22"/>
          <w:lang w:val="en-US"/>
        </w:rPr>
        <w:t>EFSA scientific opinion on genotoxicity testing strategies applicable to food and feed safety assessment</w:t>
      </w:r>
      <w:r w:rsidR="000E0D90" w:rsidRPr="00D50ED3">
        <w:rPr>
          <w:rStyle w:val="normaltextrun"/>
          <w:rFonts w:ascii="Calibri" w:hAnsi="Calibri" w:cs="Calibri"/>
          <w:sz w:val="22"/>
          <w:szCs w:val="22"/>
          <w:lang w:val="en-US"/>
        </w:rPr>
        <w:fldChar w:fldCharType="begin"/>
      </w:r>
      <w:r w:rsidR="000E0D90" w:rsidRPr="00D50ED3">
        <w:rPr>
          <w:rStyle w:val="normaltextrun"/>
          <w:rFonts w:ascii="Calibri" w:hAnsi="Calibri" w:cs="Calibri"/>
          <w:sz w:val="22"/>
          <w:szCs w:val="22"/>
          <w:lang w:val="en-US"/>
        </w:rPr>
        <w:instrText xml:space="preserve"> ADDIN ZOTERO_ITEM CSL_CITATION {"citationID":"RG6NRwQE","properties":{"formattedCitation":"\\super 9\\nosupersub{}","plainCitation":"9","noteIndex":0},"citationItems":[{"id":9,"uris":["http://zotero.org/users/11265134/items/4HGJSS3J"],"itemData":{"id":9,"type":"article-journal","abstract":"The Scientific Committee reviewed the current state-of-the-science on genotoxicity testing and provided a commentary and recommendations on genotoxicity testing strategies. A step-wise approach is recommended for the generation and evaluation of data on genotoxic potential, beginning with a basic battery of in vitro tests, comprising a bacterial reverse mutation assay and an in vitro micronucleus assay. Consideration should be given to whether specific features of the test substance might require substitution of one or more of the recommended in vitro tests by other in vitro or in vivo tests in the basic battery. In the event of negative in vitro results, it can be concluded that the substance has no genotoxic potential. In case of inconclusive, contradictory or equivocal results, it may be appropriate to conduct further testing in vitro. In case of positive in vitro results, review of the available relevant data on the test substance and, where necessary, an appropriate in vivo study to assess whether the genotoxic potential observed in vitro is expressed in vivo is recommended. Suitable in vivo tests are the mammalian erythrocyte micronucleus test, transgenic rodent assay, and Comet assay. The approach to in vivo testing should be step-wise. If the first in vivo test is positive, no further testing is necessary and the substance should be considered as an in vivo genotoxin. If the test is negative, it may be possible to conclude that the substance is not an in vivo genotoxin. However, in some cases, a second in vivo test may be necessary (e.g. if the first test is negative but more than one endpoint in the in vitro tests are positive, an in vivo test on a second endpoint may be necessary). The combination of assessing different endpoints in different tissues in the same animal in vivo should also be considered.","container-title":"EFSA Journal","DOI":"10.2903/j.efsa.2011.2379","ISSN":"1831-4732","issue":"9","language":"en","note":"_eprint: https://onlinelibrary.wiley.com/doi/pdf/10.2903/j.efsa.2011.2379","page":"2379","source":"Wiley Online Library","title":"Scientific opinion on genotoxicity testing strategies applicable to food and feed safety assessment","volume":"9","author":[{"family":"Committee","given":"EFSA Scientific"}],"issued":{"date-parts":[["2011"]]}}}],"schema":"https://github.com/citation-style-language/schema/raw/master/csl-citation.json"} </w:instrText>
      </w:r>
      <w:r w:rsidR="000E0D90" w:rsidRPr="00D50ED3">
        <w:rPr>
          <w:rStyle w:val="normaltextrun"/>
          <w:rFonts w:ascii="Calibri" w:hAnsi="Calibri" w:cs="Calibri"/>
          <w:sz w:val="22"/>
          <w:szCs w:val="22"/>
          <w:lang w:val="en-US"/>
        </w:rPr>
        <w:fldChar w:fldCharType="separate"/>
      </w:r>
      <w:r w:rsidR="000E0D90" w:rsidRPr="00D50ED3">
        <w:rPr>
          <w:rFonts w:ascii="Calibri" w:hAnsi="Calibri" w:cs="Calibri"/>
          <w:sz w:val="22"/>
          <w:vertAlign w:val="superscript"/>
          <w:lang w:val="en-US"/>
        </w:rPr>
        <w:t>9</w:t>
      </w:r>
      <w:r w:rsidR="000E0D90" w:rsidRPr="00D50ED3">
        <w:rPr>
          <w:rStyle w:val="normaltextrun"/>
          <w:rFonts w:ascii="Calibri" w:hAnsi="Calibri" w:cs="Calibri"/>
          <w:sz w:val="22"/>
          <w:szCs w:val="22"/>
          <w:lang w:val="en-US"/>
        </w:rPr>
        <w:fldChar w:fldCharType="end"/>
      </w:r>
      <w:r w:rsidRPr="00D50ED3">
        <w:rPr>
          <w:rStyle w:val="normaltextrun"/>
          <w:rFonts w:ascii="Calibri" w:hAnsi="Calibri" w:cs="Calibri"/>
          <w:sz w:val="22"/>
          <w:szCs w:val="22"/>
          <w:lang w:val="en-US"/>
        </w:rPr>
        <w:t>,</w:t>
      </w:r>
      <w:r w:rsidR="008902B6" w:rsidRPr="00D50ED3">
        <w:rPr>
          <w:rStyle w:val="normaltextrun"/>
          <w:rFonts w:ascii="Calibri" w:hAnsi="Calibri" w:cs="Calibri"/>
          <w:sz w:val="22"/>
          <w:szCs w:val="22"/>
          <w:lang w:val="en-US"/>
        </w:rPr>
        <w:t xml:space="preserve"> </w:t>
      </w:r>
      <w:r w:rsidRPr="00D50ED3">
        <w:rPr>
          <w:rStyle w:val="normaltextrun"/>
          <w:rFonts w:ascii="Calibri" w:hAnsi="Calibri" w:cs="Calibri"/>
          <w:sz w:val="22"/>
          <w:szCs w:val="22"/>
          <w:lang w:val="en-US"/>
        </w:rPr>
        <w:t xml:space="preserve">a substance is concluded to have no genotoxic potential in case of negative </w:t>
      </w:r>
      <w:r w:rsidRPr="00D50ED3">
        <w:rPr>
          <w:rStyle w:val="normaltextrun"/>
          <w:rFonts w:ascii="Calibri" w:hAnsi="Calibri" w:cs="Calibri"/>
          <w:i/>
          <w:iCs/>
          <w:sz w:val="22"/>
          <w:szCs w:val="22"/>
          <w:lang w:val="en-US"/>
        </w:rPr>
        <w:t>in vitro</w:t>
      </w:r>
      <w:r w:rsidRPr="00D50ED3">
        <w:rPr>
          <w:rStyle w:val="normaltextrun"/>
          <w:rFonts w:ascii="Calibri" w:hAnsi="Calibri" w:cs="Calibri"/>
          <w:sz w:val="22"/>
          <w:szCs w:val="22"/>
          <w:lang w:val="en-US"/>
        </w:rPr>
        <w:t xml:space="preserve"> tests, Regulation (EC) No. 1107/2009 clearly states that at least one </w:t>
      </w:r>
      <w:r w:rsidRPr="00D50ED3">
        <w:rPr>
          <w:rStyle w:val="normaltextrun"/>
          <w:rFonts w:ascii="Calibri" w:hAnsi="Calibri" w:cs="Calibri"/>
          <w:i/>
          <w:iCs/>
          <w:sz w:val="22"/>
          <w:szCs w:val="22"/>
          <w:lang w:val="en-US"/>
        </w:rPr>
        <w:t>in vivo</w:t>
      </w:r>
      <w:r w:rsidRPr="00D50ED3">
        <w:rPr>
          <w:rStyle w:val="normaltextrun"/>
          <w:rFonts w:ascii="Calibri" w:hAnsi="Calibri" w:cs="Calibri"/>
          <w:sz w:val="22"/>
          <w:szCs w:val="22"/>
          <w:lang w:val="en-US"/>
        </w:rPr>
        <w:t xml:space="preserve"> genotoxicity study in somatic cells shall always be conducted with demonstration of exposure to the test tissue, even if all the results of the </w:t>
      </w:r>
      <w:r w:rsidRPr="00D50ED3">
        <w:rPr>
          <w:rStyle w:val="normaltextrun"/>
          <w:rFonts w:ascii="Calibri" w:hAnsi="Calibri" w:cs="Calibri"/>
          <w:i/>
          <w:iCs/>
          <w:sz w:val="22"/>
          <w:szCs w:val="22"/>
          <w:lang w:val="en-US"/>
        </w:rPr>
        <w:t>in vitro</w:t>
      </w:r>
      <w:r w:rsidRPr="00D50ED3">
        <w:rPr>
          <w:rStyle w:val="normaltextrun"/>
          <w:rFonts w:ascii="Calibri" w:hAnsi="Calibri" w:cs="Calibri"/>
          <w:sz w:val="22"/>
          <w:szCs w:val="22"/>
          <w:lang w:val="en-US"/>
        </w:rPr>
        <w:t xml:space="preserve"> studies are </w:t>
      </w:r>
      <w:r w:rsidR="008902B6" w:rsidRPr="00D50ED3">
        <w:rPr>
          <w:rStyle w:val="normaltextrun"/>
          <w:rFonts w:ascii="Calibri" w:hAnsi="Calibri" w:cs="Calibri"/>
          <w:sz w:val="22"/>
          <w:szCs w:val="22"/>
          <w:lang w:val="en-US"/>
        </w:rPr>
        <w:lastRenderedPageBreak/>
        <w:t>negative</w:t>
      </w:r>
      <w:r w:rsidR="000E0D90" w:rsidRPr="00D50ED3">
        <w:rPr>
          <w:rStyle w:val="normaltextrun"/>
          <w:rFonts w:ascii="Calibri" w:hAnsi="Calibri" w:cs="Calibri"/>
          <w:sz w:val="22"/>
          <w:szCs w:val="22"/>
          <w:lang w:val="en-US"/>
        </w:rPr>
        <w:fldChar w:fldCharType="begin"/>
      </w:r>
      <w:r w:rsidR="000E0D90" w:rsidRPr="00D50ED3">
        <w:rPr>
          <w:rStyle w:val="normaltextrun"/>
          <w:rFonts w:ascii="Calibri" w:hAnsi="Calibri" w:cs="Calibri"/>
          <w:sz w:val="22"/>
          <w:szCs w:val="22"/>
          <w:lang w:val="en-US"/>
        </w:rPr>
        <w:instrText xml:space="preserve"> ADDIN ZOTERO_ITEM CSL_CITATION {"citationID":"ma8u7JER","properties":{"formattedCitation":"\\super 11\\nosupersub{}","plainCitation":"11","noteIndex":0},"citationItems":[{"id":471,"uris":["http://zotero.org/users/11265134/items/GURI7Q2Z"],"itemData":{"id":471,"type":"article-journal","language":"en","source":"Zotero","title":"Commission Regulation (EU) No 283/2013 of 1 March 2013 setting out the data requirements for active substances, in accordance with Regulation (EC) No 1107/2009 of the European Parliament and of the Council concerning the placing of plant protection products on the marketText with EEA relevance"}}],"schema":"https://github.com/citation-style-language/schema/raw/master/csl-citation.json"} </w:instrText>
      </w:r>
      <w:r w:rsidR="000E0D90" w:rsidRPr="00D50ED3">
        <w:rPr>
          <w:rStyle w:val="normaltextrun"/>
          <w:rFonts w:ascii="Calibri" w:hAnsi="Calibri" w:cs="Calibri"/>
          <w:sz w:val="22"/>
          <w:szCs w:val="22"/>
          <w:lang w:val="en-US"/>
        </w:rPr>
        <w:fldChar w:fldCharType="separate"/>
      </w:r>
      <w:r w:rsidR="000E0D90" w:rsidRPr="00D50ED3">
        <w:rPr>
          <w:rFonts w:ascii="Calibri" w:hAnsi="Calibri" w:cs="Calibri"/>
          <w:sz w:val="22"/>
          <w:vertAlign w:val="superscript"/>
          <w:lang w:val="en-US"/>
        </w:rPr>
        <w:t>11</w:t>
      </w:r>
      <w:r w:rsidR="000E0D90" w:rsidRPr="00D50ED3">
        <w:rPr>
          <w:rStyle w:val="normaltextrun"/>
          <w:rFonts w:ascii="Calibri" w:hAnsi="Calibri" w:cs="Calibri"/>
          <w:sz w:val="22"/>
          <w:szCs w:val="22"/>
          <w:lang w:val="en-US"/>
        </w:rPr>
        <w:fldChar w:fldCharType="end"/>
      </w:r>
      <w:r w:rsidR="008902B6" w:rsidRPr="00D50ED3">
        <w:rPr>
          <w:rStyle w:val="normaltextrun"/>
          <w:rFonts w:ascii="Calibri" w:hAnsi="Calibri" w:cs="Calibri"/>
          <w:sz w:val="22"/>
          <w:szCs w:val="22"/>
          <w:lang w:val="en-US"/>
        </w:rPr>
        <w:t xml:space="preserve">. </w:t>
      </w:r>
      <w:r w:rsidRPr="00D50ED3">
        <w:rPr>
          <w:rStyle w:val="normaltextrun"/>
          <w:rFonts w:ascii="Calibri" w:hAnsi="Calibri" w:cs="Calibri"/>
          <w:sz w:val="22"/>
          <w:szCs w:val="22"/>
          <w:lang w:val="en-US"/>
        </w:rPr>
        <w:t xml:space="preserve">In the case of inconclusive, contradictory or equivocal results from </w:t>
      </w:r>
      <w:r w:rsidRPr="00D50ED3">
        <w:rPr>
          <w:rStyle w:val="normaltextrun"/>
          <w:rFonts w:ascii="Calibri" w:hAnsi="Calibri" w:cs="Calibri"/>
          <w:i/>
          <w:iCs/>
          <w:sz w:val="22"/>
          <w:szCs w:val="22"/>
          <w:lang w:val="en-US"/>
        </w:rPr>
        <w:t>in vitro</w:t>
      </w:r>
      <w:r w:rsidRPr="00D50ED3">
        <w:rPr>
          <w:rStyle w:val="normaltextrun"/>
          <w:rFonts w:ascii="Calibri" w:hAnsi="Calibri" w:cs="Calibri"/>
          <w:sz w:val="22"/>
          <w:szCs w:val="22"/>
          <w:lang w:val="en-US"/>
        </w:rPr>
        <w:t xml:space="preserve"> testing, further </w:t>
      </w:r>
      <w:r w:rsidRPr="00D50ED3">
        <w:rPr>
          <w:rStyle w:val="normaltextrun"/>
          <w:rFonts w:ascii="Calibri" w:hAnsi="Calibri" w:cs="Calibri"/>
          <w:i/>
          <w:iCs/>
          <w:sz w:val="22"/>
          <w:szCs w:val="22"/>
          <w:lang w:val="en-US"/>
        </w:rPr>
        <w:t>in vitro</w:t>
      </w:r>
      <w:r w:rsidRPr="00D50ED3">
        <w:rPr>
          <w:rStyle w:val="normaltextrun"/>
          <w:rFonts w:ascii="Calibri" w:hAnsi="Calibri" w:cs="Calibri"/>
          <w:sz w:val="22"/>
          <w:szCs w:val="22"/>
          <w:lang w:val="en-US"/>
        </w:rPr>
        <w:t xml:space="preserve"> testing is recommended, either by repeating a test already conducted under different conditions, or by conducting a different </w:t>
      </w:r>
      <w:r w:rsidRPr="00D50ED3">
        <w:rPr>
          <w:rStyle w:val="normaltextrun"/>
          <w:rFonts w:ascii="Calibri" w:hAnsi="Calibri" w:cs="Calibri"/>
          <w:i/>
          <w:iCs/>
          <w:sz w:val="22"/>
          <w:szCs w:val="22"/>
          <w:lang w:val="en-US"/>
        </w:rPr>
        <w:t>in vitro</w:t>
      </w:r>
      <w:r w:rsidRPr="00D50ED3">
        <w:rPr>
          <w:rStyle w:val="normaltextrun"/>
          <w:rFonts w:ascii="Calibri" w:hAnsi="Calibri" w:cs="Calibri"/>
          <w:sz w:val="22"/>
          <w:szCs w:val="22"/>
          <w:lang w:val="en-US"/>
        </w:rPr>
        <w:t xml:space="preserve"> </w:t>
      </w:r>
      <w:r w:rsidR="008902B6" w:rsidRPr="00D50ED3">
        <w:rPr>
          <w:rStyle w:val="normaltextrun"/>
          <w:rFonts w:ascii="Calibri" w:hAnsi="Calibri" w:cs="Calibri"/>
          <w:sz w:val="22"/>
          <w:szCs w:val="22"/>
          <w:lang w:val="en-US"/>
        </w:rPr>
        <w:t>test</w:t>
      </w:r>
      <w:r w:rsidR="000E0D90" w:rsidRPr="00D50ED3">
        <w:rPr>
          <w:rStyle w:val="normaltextrun"/>
          <w:rFonts w:ascii="Calibri" w:hAnsi="Calibri" w:cs="Calibri"/>
          <w:sz w:val="22"/>
          <w:szCs w:val="22"/>
          <w:lang w:val="en-US"/>
        </w:rPr>
        <w:fldChar w:fldCharType="begin"/>
      </w:r>
      <w:r w:rsidR="000E0D90" w:rsidRPr="00D50ED3">
        <w:rPr>
          <w:rStyle w:val="normaltextrun"/>
          <w:rFonts w:ascii="Calibri" w:hAnsi="Calibri" w:cs="Calibri"/>
          <w:sz w:val="22"/>
          <w:szCs w:val="22"/>
          <w:lang w:val="en-US"/>
        </w:rPr>
        <w:instrText xml:space="preserve"> ADDIN ZOTERO_ITEM CSL_CITATION {"citationID":"JZMBr8v1","properties":{"formattedCitation":"\\super 9\\nosupersub{}","plainCitation":"9","noteIndex":0},"citationItems":[{"id":9,"uris":["http://zotero.org/users/11265134/items/4HGJSS3J"],"itemData":{"id":9,"type":"article-journal","abstract":"The Scientific Committee reviewed the current state-of-the-science on genotoxicity testing and provided a commentary and recommendations on genotoxicity testing strategies. A step-wise approach is recommended for the generation and evaluation of data on genotoxic potential, beginning with a basic battery of in vitro tests, comprising a bacterial reverse mutation assay and an in vitro micronucleus assay. Consideration should be given to whether specific features of the test substance might require substitution of one or more of the recommended in vitro tests by other in vitro or in vivo tests in the basic battery. In the event of negative in vitro results, it can be concluded that the substance has no genotoxic potential. In case of inconclusive, contradictory or equivocal results, it may be appropriate to conduct further testing in vitro. In case of positive in vitro results, review of the available relevant data on the test substance and, where necessary, an appropriate in vivo study to assess whether the genotoxic potential observed in vitro is expressed in vivo is recommended. Suitable in vivo tests are the mammalian erythrocyte micronucleus test, transgenic rodent assay, and Comet assay. The approach to in vivo testing should be step-wise. If the first in vivo test is positive, no further testing is necessary and the substance should be considered as an in vivo genotoxin. If the test is negative, it may be possible to conclude that the substance is not an in vivo genotoxin. However, in some cases, a second in vivo test may be necessary (e.g. if the first test is negative but more than one endpoint in the in vitro tests are positive, an in vivo test on a second endpoint may be necessary). The combination of assessing different endpoints in different tissues in the same animal in vivo should also be considered.","container-title":"EFSA Journal","DOI":"10.2903/j.efsa.2011.2379","ISSN":"1831-4732","issue":"9","language":"en","note":"_eprint: https://onlinelibrary.wiley.com/doi/pdf/10.2903/j.efsa.2011.2379","page":"2379","source":"Wiley Online Library","title":"Scientific opinion on genotoxicity testing strategies applicable to food and feed safety assessment","volume":"9","author":[{"family":"Committee","given":"EFSA Scientific"}],"issued":{"date-parts":[["2011"]]}}}],"schema":"https://github.com/citation-style-language/schema/raw/master/csl-citation.json"} </w:instrText>
      </w:r>
      <w:r w:rsidR="000E0D90" w:rsidRPr="00D50ED3">
        <w:rPr>
          <w:rStyle w:val="normaltextrun"/>
          <w:rFonts w:ascii="Calibri" w:hAnsi="Calibri" w:cs="Calibri"/>
          <w:sz w:val="22"/>
          <w:szCs w:val="22"/>
          <w:lang w:val="en-US"/>
        </w:rPr>
        <w:fldChar w:fldCharType="separate"/>
      </w:r>
      <w:r w:rsidR="000E0D90" w:rsidRPr="00D50ED3">
        <w:rPr>
          <w:rFonts w:ascii="Calibri" w:hAnsi="Calibri" w:cs="Calibri"/>
          <w:sz w:val="22"/>
          <w:vertAlign w:val="superscript"/>
          <w:lang w:val="en-US"/>
        </w:rPr>
        <w:t>9</w:t>
      </w:r>
      <w:r w:rsidR="000E0D90" w:rsidRPr="00D50ED3">
        <w:rPr>
          <w:rStyle w:val="normaltextrun"/>
          <w:rFonts w:ascii="Calibri" w:hAnsi="Calibri" w:cs="Calibri"/>
          <w:sz w:val="22"/>
          <w:szCs w:val="22"/>
          <w:lang w:val="en-US"/>
        </w:rPr>
        <w:fldChar w:fldCharType="end"/>
      </w:r>
      <w:r w:rsidR="008902B6" w:rsidRPr="00D50ED3">
        <w:rPr>
          <w:rStyle w:val="normaltextrun"/>
          <w:rFonts w:ascii="Calibri" w:hAnsi="Calibri" w:cs="Calibri"/>
          <w:sz w:val="22"/>
          <w:szCs w:val="22"/>
          <w:lang w:val="en-US"/>
        </w:rPr>
        <w:t xml:space="preserve">. </w:t>
      </w:r>
      <w:r w:rsidRPr="00D50ED3">
        <w:rPr>
          <w:rStyle w:val="normaltextrun"/>
          <w:rFonts w:ascii="Calibri" w:hAnsi="Calibri" w:cs="Calibri"/>
          <w:sz w:val="22"/>
          <w:szCs w:val="22"/>
          <w:lang w:val="en-US"/>
        </w:rPr>
        <w:t xml:space="preserve">. In case of positive </w:t>
      </w:r>
      <w:r w:rsidRPr="00D50ED3">
        <w:rPr>
          <w:rStyle w:val="normaltextrun"/>
          <w:rFonts w:ascii="Calibri" w:hAnsi="Calibri" w:cs="Calibri"/>
          <w:i/>
          <w:iCs/>
          <w:sz w:val="22"/>
          <w:szCs w:val="22"/>
          <w:lang w:val="en-US"/>
        </w:rPr>
        <w:t>in vitro</w:t>
      </w:r>
      <w:r w:rsidRPr="00D50ED3">
        <w:rPr>
          <w:rStyle w:val="normaltextrun"/>
          <w:rFonts w:ascii="Calibri" w:hAnsi="Calibri" w:cs="Calibri"/>
          <w:sz w:val="22"/>
          <w:szCs w:val="22"/>
          <w:lang w:val="en-US"/>
        </w:rPr>
        <w:t xml:space="preserve"> data, </w:t>
      </w:r>
      <w:r w:rsidRPr="00D50ED3">
        <w:rPr>
          <w:rStyle w:val="normaltextrun"/>
          <w:rFonts w:ascii="Calibri" w:hAnsi="Calibri" w:cs="Calibri"/>
          <w:i/>
          <w:iCs/>
          <w:sz w:val="22"/>
          <w:szCs w:val="22"/>
          <w:lang w:val="en-US"/>
        </w:rPr>
        <w:t>in vivo</w:t>
      </w:r>
      <w:r w:rsidRPr="00D50ED3">
        <w:rPr>
          <w:rStyle w:val="normaltextrun"/>
          <w:rFonts w:ascii="Calibri" w:hAnsi="Calibri" w:cs="Calibri"/>
          <w:sz w:val="22"/>
          <w:szCs w:val="22"/>
          <w:lang w:val="en-US"/>
        </w:rPr>
        <w:t xml:space="preserve"> genotoxicity testing in somatic cells is required to further investigate the </w:t>
      </w:r>
      <w:r w:rsidRPr="00D50ED3">
        <w:rPr>
          <w:rStyle w:val="normaltextrun"/>
          <w:rFonts w:ascii="Calibri" w:hAnsi="Calibri" w:cs="Calibri"/>
          <w:i/>
          <w:iCs/>
          <w:sz w:val="22"/>
          <w:szCs w:val="22"/>
          <w:lang w:val="en-US"/>
        </w:rPr>
        <w:t xml:space="preserve">in vitro </w:t>
      </w:r>
      <w:r w:rsidRPr="00D50ED3">
        <w:rPr>
          <w:rStyle w:val="normaltextrun"/>
          <w:rFonts w:ascii="Calibri" w:hAnsi="Calibri" w:cs="Calibri"/>
          <w:sz w:val="22"/>
          <w:szCs w:val="22"/>
          <w:lang w:val="en-US"/>
        </w:rPr>
        <w:t>positive</w:t>
      </w:r>
      <w:r w:rsidR="008902B6" w:rsidRPr="00D50ED3">
        <w:rPr>
          <w:rStyle w:val="normaltextrun"/>
          <w:rFonts w:ascii="Calibri" w:hAnsi="Calibri" w:cs="Calibri"/>
          <w:sz w:val="22"/>
          <w:szCs w:val="22"/>
          <w:lang w:val="en-US"/>
        </w:rPr>
        <w:t xml:space="preserve"> results</w:t>
      </w:r>
      <w:r w:rsidR="000E0D90" w:rsidRPr="00D50ED3">
        <w:rPr>
          <w:rStyle w:val="normaltextrun"/>
          <w:rFonts w:ascii="Calibri" w:hAnsi="Calibri" w:cs="Calibri"/>
          <w:sz w:val="22"/>
          <w:szCs w:val="22"/>
          <w:lang w:val="en-US"/>
        </w:rPr>
        <w:fldChar w:fldCharType="begin"/>
      </w:r>
      <w:r w:rsidR="000E0D90" w:rsidRPr="00D50ED3">
        <w:rPr>
          <w:rStyle w:val="normaltextrun"/>
          <w:rFonts w:ascii="Calibri" w:hAnsi="Calibri" w:cs="Calibri"/>
          <w:sz w:val="22"/>
          <w:szCs w:val="22"/>
          <w:lang w:val="en-US"/>
        </w:rPr>
        <w:instrText xml:space="preserve"> ADDIN ZOTERO_ITEM CSL_CITATION {"citationID":"sih6keyw","properties":{"formattedCitation":"\\super 11\\nosupersub{}","plainCitation":"11","noteIndex":0},"citationItems":[{"id":471,"uris":["http://zotero.org/users/11265134/items/GURI7Q2Z"],"itemData":{"id":471,"type":"article-journal","language":"en","source":"Zotero","title":"Commission Regulation (EU) No 283/2013 of 1 March 2013 setting out the data requirements for active substances, in accordance with Regulation (EC) No 1107/2009 of the European Parliament and of the Council concerning the placing of plant protection products on the marketText with EEA relevance"}}],"schema":"https://github.com/citation-style-language/schema/raw/master/csl-citation.json"} </w:instrText>
      </w:r>
      <w:r w:rsidR="000E0D90" w:rsidRPr="00D50ED3">
        <w:rPr>
          <w:rStyle w:val="normaltextrun"/>
          <w:rFonts w:ascii="Calibri" w:hAnsi="Calibri" w:cs="Calibri"/>
          <w:sz w:val="22"/>
          <w:szCs w:val="22"/>
          <w:lang w:val="en-US"/>
        </w:rPr>
        <w:fldChar w:fldCharType="separate"/>
      </w:r>
      <w:r w:rsidR="000E0D90" w:rsidRPr="00D50ED3">
        <w:rPr>
          <w:rFonts w:ascii="Calibri" w:hAnsi="Calibri" w:cs="Calibri"/>
          <w:sz w:val="22"/>
          <w:vertAlign w:val="superscript"/>
          <w:lang w:val="en-US"/>
        </w:rPr>
        <w:t>11</w:t>
      </w:r>
      <w:r w:rsidR="000E0D90" w:rsidRPr="00D50ED3">
        <w:rPr>
          <w:rStyle w:val="normaltextrun"/>
          <w:rFonts w:ascii="Calibri" w:hAnsi="Calibri" w:cs="Calibri"/>
          <w:sz w:val="22"/>
          <w:szCs w:val="22"/>
          <w:lang w:val="en-US"/>
        </w:rPr>
        <w:fldChar w:fldCharType="end"/>
      </w:r>
      <w:r w:rsidR="008902B6" w:rsidRPr="00D50ED3">
        <w:rPr>
          <w:rStyle w:val="normaltextrun"/>
          <w:rFonts w:ascii="Calibri" w:hAnsi="Calibri" w:cs="Calibri"/>
          <w:sz w:val="22"/>
          <w:szCs w:val="22"/>
          <w:lang w:val="en-US"/>
        </w:rPr>
        <w:t xml:space="preserve">. </w:t>
      </w:r>
      <w:r>
        <w:rPr>
          <w:rStyle w:val="normaltextrun"/>
          <w:rFonts w:ascii="Calibri" w:hAnsi="Calibri" w:cs="Calibri"/>
          <w:sz w:val="22"/>
          <w:szCs w:val="22"/>
          <w:lang w:val="en-US"/>
        </w:rPr>
        <w:t xml:space="preserve">For active substances that are recognised as </w:t>
      </w:r>
      <w:r>
        <w:rPr>
          <w:rStyle w:val="normaltextrun"/>
          <w:rFonts w:ascii="Calibri" w:hAnsi="Calibri" w:cs="Calibri"/>
          <w:i/>
          <w:iCs/>
          <w:sz w:val="22"/>
          <w:szCs w:val="22"/>
          <w:lang w:val="en-US"/>
        </w:rPr>
        <w:t>in vivo</w:t>
      </w:r>
      <w:r>
        <w:rPr>
          <w:rStyle w:val="normaltextrun"/>
          <w:rFonts w:ascii="Calibri" w:hAnsi="Calibri" w:cs="Calibri"/>
          <w:sz w:val="22"/>
          <w:szCs w:val="22"/>
          <w:lang w:val="en-US"/>
        </w:rPr>
        <w:t xml:space="preserve"> somatic cell mutagens no further genotoxicity testing is necessary since they will be considered to be potential genotoxic carcinogens and potential germ cell mutagens and ,therefore, </w:t>
      </w:r>
      <w:r w:rsidRPr="00B44440">
        <w:rPr>
          <w:rStyle w:val="normaltextrun"/>
          <w:rFonts w:ascii="Calibri" w:hAnsi="Calibri" w:cs="Calibri"/>
          <w:i/>
          <w:sz w:val="22"/>
          <w:szCs w:val="22"/>
          <w:lang w:val="en-US"/>
        </w:rPr>
        <w:t>in vivo</w:t>
      </w:r>
      <w:r>
        <w:rPr>
          <w:rStyle w:val="normaltextrun"/>
          <w:rFonts w:ascii="Calibri" w:hAnsi="Calibri" w:cs="Calibri"/>
          <w:sz w:val="22"/>
          <w:szCs w:val="22"/>
          <w:lang w:val="en-US"/>
        </w:rPr>
        <w:t xml:space="preserve"> studies in germ cells may only be triggered on a case-by-case basis and considering toxicokinetic data, use and expected human exposure.</w:t>
      </w:r>
      <w:r w:rsidRPr="008902B6">
        <w:rPr>
          <w:rStyle w:val="eop"/>
          <w:rFonts w:ascii="Calibri" w:hAnsi="Calibri" w:cs="Calibri"/>
          <w:sz w:val="22"/>
          <w:szCs w:val="22"/>
          <w:lang w:val="en-US"/>
        </w:rPr>
        <w:t> </w:t>
      </w:r>
    </w:p>
    <w:p w14:paraId="02A8A5FD" w14:textId="5B8B8766" w:rsidR="008902B6" w:rsidRPr="00D50ED3" w:rsidRDefault="008902B6" w:rsidP="00D50ED3">
      <w:pPr>
        <w:pStyle w:val="paragraph"/>
        <w:spacing w:before="0" w:beforeAutospacing="0" w:after="0" w:afterAutospacing="0" w:line="360" w:lineRule="auto"/>
        <w:ind w:left="720"/>
        <w:jc w:val="both"/>
        <w:textAlignment w:val="baseline"/>
        <w:rPr>
          <w:rFonts w:ascii="Calibri" w:hAnsi="Calibri" w:cs="Calibri"/>
          <w:sz w:val="22"/>
          <w:szCs w:val="22"/>
          <w:lang w:val="en-US"/>
        </w:rPr>
      </w:pPr>
    </w:p>
    <w:p w14:paraId="7D1DBF2E" w14:textId="321CA5EE" w:rsidR="008902B6" w:rsidRPr="00EB66D0" w:rsidRDefault="00D50ED3" w:rsidP="00465DEC">
      <w:pPr>
        <w:pStyle w:val="paragraph"/>
        <w:numPr>
          <w:ilvl w:val="0"/>
          <w:numId w:val="67"/>
        </w:numPr>
        <w:spacing w:before="0" w:beforeAutospacing="0" w:after="0" w:afterAutospacing="0" w:line="360" w:lineRule="auto"/>
        <w:jc w:val="both"/>
        <w:textAlignment w:val="baseline"/>
        <w:rPr>
          <w:rStyle w:val="eop"/>
          <w:rFonts w:ascii="Calibri" w:hAnsi="Calibri" w:cs="Calibri"/>
          <w:sz w:val="22"/>
          <w:szCs w:val="22"/>
          <w:lang w:val="en-US"/>
        </w:rPr>
      </w:pPr>
      <w:r>
        <w:rPr>
          <w:rStyle w:val="normaltextrun"/>
          <w:rFonts w:ascii="Calibri" w:hAnsi="Calibri" w:cs="Calibri"/>
          <w:sz w:val="22"/>
          <w:szCs w:val="22"/>
          <w:lang w:val="en-US"/>
        </w:rPr>
        <w:t xml:space="preserve">Under the </w:t>
      </w:r>
      <w:r>
        <w:rPr>
          <w:rStyle w:val="normaltextrun"/>
          <w:rFonts w:ascii="Calibri" w:hAnsi="Calibri" w:cs="Calibri"/>
          <w:b/>
          <w:bCs/>
          <w:sz w:val="22"/>
          <w:szCs w:val="22"/>
          <w:lang w:val="en-US"/>
        </w:rPr>
        <w:t>biocides</w:t>
      </w:r>
      <w:r>
        <w:rPr>
          <w:rStyle w:val="normaltextrun"/>
          <w:rFonts w:ascii="Calibri" w:hAnsi="Calibri" w:cs="Calibri"/>
          <w:sz w:val="22"/>
          <w:szCs w:val="22"/>
          <w:lang w:val="en-US"/>
        </w:rPr>
        <w:t xml:space="preserve"> legislation, the first step of the genotoxicity assessment consists of evaluating all existing information, including physicochemical properties, grouping, [Q]SARs and expert systems,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data, human data and animal</w:t>
      </w:r>
      <w:r w:rsidR="008902B6">
        <w:rPr>
          <w:rStyle w:val="normaltextrun"/>
          <w:rFonts w:ascii="Calibri" w:hAnsi="Calibri" w:cs="Calibri"/>
          <w:sz w:val="22"/>
          <w:szCs w:val="22"/>
          <w:lang w:val="en-US"/>
        </w:rPr>
        <w:t xml:space="preserve"> data</w:t>
      </w:r>
      <w:r w:rsidR="005401A3">
        <w:rPr>
          <w:rStyle w:val="normaltextrun"/>
          <w:rFonts w:ascii="Calibri" w:hAnsi="Calibri" w:cs="Calibri"/>
          <w:sz w:val="22"/>
          <w:szCs w:val="22"/>
          <w:lang w:val="en-US"/>
        </w:rPr>
        <w:fldChar w:fldCharType="begin"/>
      </w:r>
      <w:r w:rsidR="005401A3">
        <w:rPr>
          <w:rStyle w:val="normaltextrun"/>
          <w:rFonts w:ascii="Calibri" w:hAnsi="Calibri" w:cs="Calibri"/>
          <w:sz w:val="22"/>
          <w:szCs w:val="22"/>
          <w:lang w:val="en-US"/>
        </w:rPr>
        <w:instrText xml:space="preserve"> ADDIN ZOTERO_ITEM CSL_CITATION {"citationID":"PXgwc7Mn","properties":{"formattedCitation":"\\super 1\\nosupersub{}","plainCitation":"1","noteIndex":0},"citationItems":[{"id":15,"uris":["http://zotero.org/users/11265134/items/F4HV8HRH"],"itemData":{"id":15,"type":"book","event-place":"LU","language":"en","publisher":"Publications Office","publisher-place":"LU","source":"DOI.org (CSL JSON)","title":"Guidance on the application of the CLP criteria: guidance to Regulation (EC) No 1272/2008 on classification, labelling and packaging (CLP) of substances and mixtures.","title-short":"Guidance on the application of the CLP criteria","URL":"https://data.europa.eu/doi/10.2823/124801","author":[{"literal":"European Chemicals Agency."}],"accessed":{"date-parts":[["2023",3,8]]},"issued":{"date-parts":[["2017"]]}}}],"schema":"https://github.com/citation-style-language/schema/raw/master/csl-citation.json"} </w:instrText>
      </w:r>
      <w:r w:rsidR="005401A3">
        <w:rPr>
          <w:rStyle w:val="normaltextrun"/>
          <w:rFonts w:ascii="Calibri" w:hAnsi="Calibri" w:cs="Calibri"/>
          <w:sz w:val="22"/>
          <w:szCs w:val="22"/>
          <w:lang w:val="en-US"/>
        </w:rPr>
        <w:fldChar w:fldCharType="separate"/>
      </w:r>
      <w:r w:rsidR="005401A3" w:rsidRPr="005401A3">
        <w:rPr>
          <w:rFonts w:ascii="Calibri" w:hAnsi="Calibri" w:cs="Calibri"/>
          <w:sz w:val="22"/>
          <w:vertAlign w:val="superscript"/>
          <w:lang w:val="en-US"/>
        </w:rPr>
        <w:t>1</w:t>
      </w:r>
      <w:r w:rsidR="005401A3">
        <w:rPr>
          <w:rStyle w:val="normaltextrun"/>
          <w:rFonts w:ascii="Calibri" w:hAnsi="Calibri" w:cs="Calibri"/>
          <w:sz w:val="22"/>
          <w:szCs w:val="22"/>
          <w:lang w:val="en-US"/>
        </w:rPr>
        <w:fldChar w:fldCharType="end"/>
      </w:r>
      <w:r w:rsidR="008902B6">
        <w:rPr>
          <w:rStyle w:val="normaltextrun"/>
          <w:rFonts w:ascii="Calibri" w:hAnsi="Calibri" w:cs="Calibri"/>
          <w:sz w:val="22"/>
          <w:szCs w:val="22"/>
          <w:lang w:val="en-US"/>
        </w:rPr>
        <w:t xml:space="preserve">. </w:t>
      </w:r>
      <w:r>
        <w:rPr>
          <w:rStyle w:val="normaltextrun"/>
          <w:rFonts w:ascii="Calibri" w:hAnsi="Calibri" w:cs="Calibri"/>
          <w:sz w:val="22"/>
          <w:szCs w:val="22"/>
          <w:lang w:val="en-US"/>
        </w:rPr>
        <w:t xml:space="preserve">If existing information is not sufficient to conclude on the </w:t>
      </w:r>
      <w:r>
        <w:rPr>
          <w:rStyle w:val="normaltextrun"/>
          <w:rFonts w:ascii="Calibri" w:hAnsi="Calibri" w:cs="Calibri"/>
          <w:sz w:val="22"/>
          <w:szCs w:val="22"/>
          <w:lang w:val="en-US"/>
        </w:rPr>
        <w:lastRenderedPageBreak/>
        <w:t xml:space="preserve">genotoxic potential of a compound, further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testing is needed, including an Ames test (OECD TG 471), at least one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mammalian cell test for gene mutation, i.e. either using the Thymidine Kinase gene (OECD TG 490) or using the Hprt and xprt genes (OECD TG 476) and an assay detecting clastogenicity/aneugenicity. The preferred method for examining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chromosome damage in mammalian cells is the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cell micronucleus test (OECD TG 487) in comparison to the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chromosomal aberration assay (OECD TG 473) due to its higher sensitivity and ability to distinguish between clastogens and aneugens provided that appropriate centromere labelling is performed in case of positive results. Positive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data trigger further </w:t>
      </w:r>
      <w:r>
        <w:rPr>
          <w:rStyle w:val="normaltextrun"/>
          <w:rFonts w:ascii="Calibri" w:hAnsi="Calibri" w:cs="Calibri"/>
          <w:i/>
          <w:iCs/>
          <w:sz w:val="22"/>
          <w:szCs w:val="22"/>
          <w:lang w:val="en-US"/>
        </w:rPr>
        <w:t xml:space="preserve">in vivo </w:t>
      </w:r>
      <w:r>
        <w:rPr>
          <w:rStyle w:val="normaltextrun"/>
          <w:rFonts w:ascii="Calibri" w:hAnsi="Calibri" w:cs="Calibri"/>
          <w:sz w:val="22"/>
          <w:szCs w:val="22"/>
          <w:lang w:val="en-US"/>
        </w:rPr>
        <w:t xml:space="preserve">testing that should be conducted depending on the endpoint of concern, i.e. mammalian erythrocyte micronucleus test (OECD TG 474) or mammalian bone marrow chromosome aberration test (OECD TG 475) in case of positive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chromosome damage assays, transgenic rodent somatic and germ cell gene mutation assays (OECD </w:t>
      </w:r>
      <w:r>
        <w:rPr>
          <w:rStyle w:val="normaltextrun"/>
          <w:rFonts w:ascii="Calibri" w:hAnsi="Calibri" w:cs="Calibri"/>
          <w:sz w:val="22"/>
          <w:szCs w:val="22"/>
          <w:lang w:val="en-US"/>
        </w:rPr>
        <w:lastRenderedPageBreak/>
        <w:t xml:space="preserve">TG 488) in case of positive </w:t>
      </w:r>
      <w:r>
        <w:rPr>
          <w:rStyle w:val="normaltextrun"/>
          <w:rFonts w:ascii="Calibri" w:hAnsi="Calibri" w:cs="Calibri"/>
          <w:i/>
          <w:iCs/>
          <w:sz w:val="22"/>
          <w:szCs w:val="22"/>
          <w:lang w:val="en-US"/>
        </w:rPr>
        <w:t>in vitro</w:t>
      </w:r>
      <w:r>
        <w:rPr>
          <w:rStyle w:val="normaltextrun"/>
          <w:rFonts w:ascii="Calibri" w:hAnsi="Calibri" w:cs="Calibri"/>
          <w:sz w:val="22"/>
          <w:szCs w:val="22"/>
          <w:lang w:val="en-US"/>
        </w:rPr>
        <w:t xml:space="preserve"> gene mutation assay, and </w:t>
      </w:r>
      <w:r>
        <w:rPr>
          <w:rStyle w:val="normaltextrun"/>
          <w:rFonts w:ascii="Calibri" w:hAnsi="Calibri" w:cs="Calibri"/>
          <w:i/>
          <w:iCs/>
          <w:sz w:val="22"/>
          <w:szCs w:val="22"/>
          <w:lang w:val="en-US"/>
        </w:rPr>
        <w:t>in vivo</w:t>
      </w:r>
      <w:r>
        <w:rPr>
          <w:rStyle w:val="normaltextrun"/>
          <w:rFonts w:ascii="Calibri" w:hAnsi="Calibri" w:cs="Calibri"/>
          <w:sz w:val="22"/>
          <w:szCs w:val="22"/>
          <w:lang w:val="en-US"/>
        </w:rPr>
        <w:t xml:space="preserve"> mammalian alkaline comet assay (OECD TG 489). Germ cell testing (i.e., OECD TG 488, OECD TG 483) is only needed when there is a positive result in an </w:t>
      </w:r>
      <w:r>
        <w:rPr>
          <w:rStyle w:val="normaltextrun"/>
          <w:rFonts w:ascii="Calibri" w:hAnsi="Calibri" w:cs="Calibri"/>
          <w:i/>
          <w:iCs/>
          <w:sz w:val="22"/>
          <w:szCs w:val="22"/>
          <w:lang w:val="en-US"/>
        </w:rPr>
        <w:t>in vivo</w:t>
      </w:r>
      <w:r>
        <w:rPr>
          <w:rStyle w:val="normaltextrun"/>
          <w:rFonts w:ascii="Calibri" w:hAnsi="Calibri" w:cs="Calibri"/>
          <w:sz w:val="22"/>
          <w:szCs w:val="22"/>
          <w:lang w:val="en-US"/>
        </w:rPr>
        <w:t xml:space="preserve"> test for genotoxic effects in somatic cells and the toxicokinetic data on the capacity of the substance to reach the germ cells are inconclusive.</w:t>
      </w:r>
      <w:r>
        <w:rPr>
          <w:rStyle w:val="eop"/>
          <w:rFonts w:ascii="Calibri" w:hAnsi="Calibri" w:cs="Calibri"/>
          <w:sz w:val="22"/>
          <w:szCs w:val="22"/>
          <w:lang w:val="en-US"/>
        </w:rPr>
        <w:t xml:space="preserve"> </w:t>
      </w:r>
      <w:r>
        <w:rPr>
          <w:rStyle w:val="normaltextrun"/>
          <w:rFonts w:ascii="Calibri" w:hAnsi="Calibri" w:cs="Calibri"/>
          <w:sz w:val="22"/>
          <w:szCs w:val="22"/>
          <w:lang w:val="en-US"/>
        </w:rPr>
        <w:t>As for</w:t>
      </w:r>
      <w:r w:rsidRPr="00EB66D0">
        <w:rPr>
          <w:rStyle w:val="normaltextrun"/>
          <w:rFonts w:ascii="Calibri" w:hAnsi="Calibri" w:cs="Calibri"/>
          <w:sz w:val="22"/>
          <w:szCs w:val="22"/>
          <w:lang w:val="en-US"/>
        </w:rPr>
        <w:t xml:space="preserve"> plant protection products, in case of a positive result in the </w:t>
      </w:r>
      <w:r w:rsidRPr="00EB66D0">
        <w:rPr>
          <w:rStyle w:val="normaltextrun"/>
          <w:rFonts w:ascii="Calibri" w:hAnsi="Calibri" w:cs="Calibri"/>
          <w:i/>
          <w:iCs/>
          <w:sz w:val="22"/>
          <w:szCs w:val="22"/>
          <w:lang w:val="en-US"/>
        </w:rPr>
        <w:t>in vivo</w:t>
      </w:r>
      <w:r w:rsidRPr="00EB66D0">
        <w:rPr>
          <w:rStyle w:val="normaltextrun"/>
          <w:rFonts w:ascii="Calibri" w:hAnsi="Calibri" w:cs="Calibri"/>
          <w:sz w:val="22"/>
          <w:szCs w:val="22"/>
          <w:lang w:val="en-US"/>
        </w:rPr>
        <w:t xml:space="preserve"> micronucleus assay, identification of an aneugenic and/or clastogenic potential (e.g., via appropriate staining procedure such as fluorescence in-situ hybridisation (FISH)) is necessary to conclude on a threshold or not in the mode of</w:t>
      </w:r>
      <w:r>
        <w:rPr>
          <w:rStyle w:val="normaltextrun"/>
          <w:rFonts w:ascii="Calibri" w:hAnsi="Calibri" w:cs="Calibri"/>
          <w:sz w:val="22"/>
          <w:szCs w:val="22"/>
          <w:lang w:val="en-US"/>
        </w:rPr>
        <w:t xml:space="preserve"> </w:t>
      </w:r>
      <w:r w:rsidR="008902B6" w:rsidRPr="00EB66D0">
        <w:rPr>
          <w:rStyle w:val="normaltextrun"/>
          <w:rFonts w:ascii="Calibri" w:hAnsi="Calibri" w:cs="Calibri"/>
          <w:sz w:val="22"/>
          <w:szCs w:val="22"/>
          <w:lang w:val="en-US"/>
        </w:rPr>
        <w:t>action</w:t>
      </w:r>
      <w:r w:rsidR="005401A3" w:rsidRPr="00EB66D0">
        <w:rPr>
          <w:rStyle w:val="normaltextrun"/>
          <w:rFonts w:ascii="Calibri" w:hAnsi="Calibri" w:cs="Calibri"/>
          <w:sz w:val="22"/>
          <w:szCs w:val="22"/>
          <w:lang w:val="en-US"/>
        </w:rPr>
        <w:fldChar w:fldCharType="begin"/>
      </w:r>
      <w:r w:rsidR="005401A3" w:rsidRPr="00EB66D0">
        <w:rPr>
          <w:rStyle w:val="normaltextrun"/>
          <w:rFonts w:ascii="Calibri" w:hAnsi="Calibri" w:cs="Calibri"/>
          <w:sz w:val="22"/>
          <w:szCs w:val="22"/>
          <w:lang w:val="en-US"/>
        </w:rPr>
        <w:instrText xml:space="preserve"> ADDIN ZOTERO_ITEM CSL_CITATION {"citationID":"VehU6APV","properties":{"formattedCitation":"\\super 11,12\\nosupersub{}","plainCitation":"11,12","noteIndex":0},"citationItems":[{"id":472,"uris":["http://zotero.org/users/11265134/items/549HPU46"],"itemData":{"id":472,"type":"article-journal","abstract":"The EFSA Scientific Committee was asked to provide guidance on the most appropriate in vivo tests to follow up on positive in vitro results for aneugenicity, and on the approach to risk assessment for substances that are aneugenic but not clastogenic nor causing gene mutations. The Scientific Committee confirmed that the preferred approach is to perform an in vivo mammalian erythrocyte micronucleus test with a relevant route of administration. If this is positive, it demonstrates that the substance is aneugenic in vivo. A negative result with evidence that the bone marrow is exposed to the test substance supports a conclusion that aneugenic activity is not expressed in vivo. If there is no evidence of exposure to the bone marrow, a negative result is viewed as inconclusive and further studies are required. The liver micronucleus assay, even though not yet fully validated, can provide supporting information for substances that are aneugenic following metabolic activation. The gastrointestinal micronucleus test, conversely, to be further developed, may help to assess aneugenic potential at the initial site of contact for substances that are aneugenic in vitro without metabolic activation. Based on the evidence in relation to mechanisms of aneugenicity, the Scientific Committee concluded that, in principle, health-based guidance values can be established for substances that are aneugenic but not clastogenic nor causing gene mutations, provided that a comprehensive toxicological database is available. For situations in which the toxicological database is not sufficient to establish health-based guidance values, some approaches to risk assessment are proposed. The Scientific Committee recommends further development of the gastrointestinal micronucleus test, and research to improve the understanding of aneugenicity to support risk assessment.","container-title":"EFSA Journal","DOI":"10.2903/j.efsa.2021.6770","ISSN":"1831-4732","issue":"8","language":"en","license":"© 2021 European Food Safety Authority. EFSA Journal published by John Wiley and Sons Ltd on behalf of European Food Safety Authority.","note":"_eprint: https://onlinelibrary.wiley.com/doi/pdf/10.2903/j.efsa.2021.6770","page":"e06770","source":"Wiley Online Library","title":"Guidance on aneugenicity assessment","volume":"19","author":[{"family":"Committee (SC)","given":"EFSA Scientific"},{"family":"More","given":"Simon John"},{"family":"Bampidis","given":"Vasileios"},{"family":"Bragard","given":"Claude"},{"family":"Halldorsson","given":"Thorhallur Ingi"},{"family":"Hernández-Jerez","given":"Antonio F"},{"family":"Hougaard Bennekou","given":"Susanne"},{"family":"Koutsoumanis","given":"Kostas"},{"family":"Lambré","given":"Claude"},{"family":"Machera","given":"Kyriaki"},{"family":"Naegeli","given":"Hanspeter"},{"family":"Nielsen","given":"Søren Saxmose"},{"family":"Schlatter","given":"Josef"},{"family":"Schrenk","given":"Dieter"},{"family":"Turck","given":"Dominique"},{"family":"Younes","given":"Maged"},{"family":"Aquilina","given":"Gabriele"},{"family":"Bignami","given":"Margherita"},{"family":"Bolognesi","given":"Claudia"},{"family":"Crebelli","given":"Riccardo"},{"family":"Gürtler","given":"Rainer"},{"family":"Marcon","given":"Francesca"},{"family":"Nielsen","given":"Elsa"},{"family":"Vleminckx","given":"Christiane"},{"family":"Carfì","given":"Maria"},{"family":"Martino","given":"Carla"},{"family":"Maurici","given":"Daniela"},{"family":"Parra Morte","given":"Juan"},{"family":"Rossi","given":"Annamaria"},{"family":"Benford","given":"Diane"}],"issued":{"date-parts":[["2021"]]}}},{"id":471,"uris":["http://zotero.org/users/11265134/items/GURI7Q2Z"],"itemData":{"id":471,"type":"article-journal","language":"en","source":"Zotero","title":"Commission Regulation (EU) No 283/2013 of 1 March 2013 setting out the data requirements for active substances, in accordance with Regulation (EC) No 1107/2009 of the European Parliament and of the Council concerning the placing of plant protection products on the marketText with EEA relevance"}}],"schema":"https://github.com/citation-style-language/schema/raw/master/csl-citation.json"} </w:instrText>
      </w:r>
      <w:r w:rsidR="005401A3" w:rsidRPr="00EB66D0">
        <w:rPr>
          <w:rStyle w:val="normaltextrun"/>
          <w:rFonts w:ascii="Calibri" w:hAnsi="Calibri" w:cs="Calibri"/>
          <w:sz w:val="22"/>
          <w:szCs w:val="22"/>
          <w:lang w:val="en-US"/>
        </w:rPr>
        <w:fldChar w:fldCharType="separate"/>
      </w:r>
      <w:r w:rsidR="005401A3" w:rsidRPr="00EB66D0">
        <w:rPr>
          <w:rFonts w:ascii="Calibri" w:hAnsi="Calibri" w:cs="Calibri"/>
          <w:sz w:val="22"/>
          <w:vertAlign w:val="superscript"/>
        </w:rPr>
        <w:t>11,12</w:t>
      </w:r>
      <w:r w:rsidR="005401A3" w:rsidRPr="00EB66D0">
        <w:rPr>
          <w:rStyle w:val="normaltextrun"/>
          <w:rFonts w:ascii="Calibri" w:hAnsi="Calibri" w:cs="Calibri"/>
          <w:sz w:val="22"/>
          <w:szCs w:val="22"/>
          <w:lang w:val="en-US"/>
        </w:rPr>
        <w:fldChar w:fldCharType="end"/>
      </w:r>
      <w:r w:rsidR="008902B6" w:rsidRPr="00EB66D0">
        <w:rPr>
          <w:rStyle w:val="normaltextrun"/>
          <w:rFonts w:ascii="Calibri" w:hAnsi="Calibri" w:cs="Calibri"/>
          <w:sz w:val="22"/>
          <w:szCs w:val="22"/>
          <w:lang w:val="en-US"/>
        </w:rPr>
        <w:t>.</w:t>
      </w:r>
      <w:r w:rsidR="008902B6" w:rsidRPr="00EB66D0">
        <w:rPr>
          <w:rStyle w:val="eop"/>
          <w:rFonts w:ascii="Calibri" w:hAnsi="Calibri" w:cs="Calibri"/>
          <w:sz w:val="22"/>
          <w:szCs w:val="22"/>
          <w:lang w:val="en-US"/>
        </w:rPr>
        <w:t> </w:t>
      </w:r>
    </w:p>
    <w:p w14:paraId="52ACCAA0" w14:textId="21BC3EDE" w:rsidR="008902B6" w:rsidRPr="008902B6" w:rsidRDefault="008902B6" w:rsidP="00465DEC">
      <w:pPr>
        <w:pStyle w:val="paragraph"/>
        <w:spacing w:before="0" w:beforeAutospacing="0" w:after="0" w:afterAutospacing="0" w:line="360" w:lineRule="auto"/>
        <w:jc w:val="both"/>
        <w:textAlignment w:val="baseline"/>
        <w:rPr>
          <w:rFonts w:ascii="Calibri" w:hAnsi="Calibri" w:cs="Calibri"/>
          <w:sz w:val="22"/>
          <w:szCs w:val="22"/>
          <w:lang w:val="en-US"/>
        </w:rPr>
      </w:pPr>
    </w:p>
    <w:p w14:paraId="424838F9" w14:textId="0460A782" w:rsidR="008902B6" w:rsidRDefault="008902B6" w:rsidP="00465DEC">
      <w:pPr>
        <w:pStyle w:val="paragraph"/>
        <w:numPr>
          <w:ilvl w:val="0"/>
          <w:numId w:val="68"/>
        </w:numPr>
        <w:spacing w:before="0" w:beforeAutospacing="0" w:after="0" w:afterAutospacing="0" w:line="360" w:lineRule="auto"/>
        <w:jc w:val="both"/>
        <w:textAlignment w:val="baseline"/>
        <w:rPr>
          <w:rStyle w:val="eop"/>
          <w:rFonts w:ascii="Calibri" w:hAnsi="Calibri" w:cs="Calibri"/>
          <w:sz w:val="22"/>
          <w:szCs w:val="22"/>
          <w:lang w:val="en-US"/>
        </w:rPr>
      </w:pPr>
      <w:r w:rsidRPr="008902B6">
        <w:rPr>
          <w:rStyle w:val="normaltextrun"/>
          <w:rFonts w:ascii="Calibri" w:hAnsi="Calibri" w:cs="Calibri"/>
          <w:b/>
          <w:bCs/>
          <w:sz w:val="22"/>
          <w:szCs w:val="22"/>
          <w:lang w:val="en-US"/>
        </w:rPr>
        <w:t>Cosmetics:</w:t>
      </w:r>
      <w:r>
        <w:rPr>
          <w:rStyle w:val="normaltextrun"/>
          <w:rFonts w:ascii="Calibri" w:hAnsi="Calibri" w:cs="Calibri"/>
          <w:sz w:val="22"/>
          <w:szCs w:val="22"/>
          <w:lang w:val="en-US"/>
        </w:rPr>
        <w:t xml:space="preserve">  </w:t>
      </w:r>
      <w:r w:rsidR="00465DEC">
        <w:rPr>
          <w:rStyle w:val="normaltextrun"/>
          <w:rFonts w:ascii="Calibri" w:hAnsi="Calibri" w:cs="Calibri"/>
          <w:sz w:val="22"/>
          <w:szCs w:val="22"/>
          <w:lang w:val="en-US"/>
        </w:rPr>
        <w:t xml:space="preserve">No </w:t>
      </w:r>
      <w:r w:rsidR="00465DEC">
        <w:rPr>
          <w:rStyle w:val="normaltextrun"/>
          <w:rFonts w:ascii="Calibri" w:hAnsi="Calibri" w:cs="Calibri"/>
          <w:i/>
          <w:iCs/>
          <w:sz w:val="22"/>
          <w:szCs w:val="22"/>
          <w:lang w:val="en-US"/>
        </w:rPr>
        <w:t>in vivo</w:t>
      </w:r>
      <w:r w:rsidR="00465DEC">
        <w:rPr>
          <w:rStyle w:val="normaltextrun"/>
          <w:rFonts w:ascii="Calibri" w:hAnsi="Calibri" w:cs="Calibri"/>
          <w:sz w:val="22"/>
          <w:szCs w:val="22"/>
          <w:lang w:val="en-US"/>
        </w:rPr>
        <w:t xml:space="preserve"> genotoxicity tests are performed as the use of animal tests is prohibited for cosmetic ingredients (EC 2009). The testing strategy for genotoxicity assessment, recommended by the SCCS Note of Guidance (SCCS 2023 - SCCS/1647/22), implies initial consideration of available data </w:t>
      </w:r>
      <w:r w:rsidR="00465DEC">
        <w:rPr>
          <w:rStyle w:val="normaltextrun"/>
          <w:rFonts w:ascii="Calibri" w:hAnsi="Calibri" w:cs="Calibri"/>
          <w:sz w:val="22"/>
          <w:szCs w:val="22"/>
          <w:lang w:val="en-US"/>
        </w:rPr>
        <w:lastRenderedPageBreak/>
        <w:t xml:space="preserve">(including </w:t>
      </w:r>
      <w:r w:rsidR="00465DEC" w:rsidRPr="00C0758B">
        <w:rPr>
          <w:rStyle w:val="normaltextrun"/>
          <w:rFonts w:ascii="Calibri" w:hAnsi="Calibri" w:cs="Calibri"/>
          <w:i/>
          <w:sz w:val="22"/>
          <w:szCs w:val="22"/>
          <w:lang w:val="en-US"/>
        </w:rPr>
        <w:t>in silico</w:t>
      </w:r>
      <w:r w:rsidR="00465DEC">
        <w:rPr>
          <w:rStyle w:val="normaltextrun"/>
          <w:rFonts w:ascii="Calibri" w:hAnsi="Calibri" w:cs="Calibri"/>
          <w:sz w:val="22"/>
          <w:szCs w:val="22"/>
          <w:lang w:val="en-US"/>
        </w:rPr>
        <w:t xml:space="preserve"> results) and subsequent application of the </w:t>
      </w:r>
      <w:r w:rsidR="00465DEC" w:rsidRPr="00C0758B">
        <w:rPr>
          <w:rStyle w:val="normaltextrun"/>
          <w:rFonts w:ascii="Calibri" w:hAnsi="Calibri" w:cs="Calibri"/>
          <w:i/>
          <w:sz w:val="22"/>
          <w:szCs w:val="22"/>
          <w:lang w:val="en-US"/>
        </w:rPr>
        <w:t>in vitro</w:t>
      </w:r>
      <w:r w:rsidR="00465DEC">
        <w:rPr>
          <w:rStyle w:val="normaltextrun"/>
          <w:rFonts w:ascii="Calibri" w:hAnsi="Calibri" w:cs="Calibri"/>
          <w:sz w:val="22"/>
          <w:szCs w:val="22"/>
          <w:lang w:val="en-US"/>
        </w:rPr>
        <w:t xml:space="preserve"> testing battery. Follow-up for inconclusive results entails the application of an </w:t>
      </w:r>
      <w:r w:rsidR="00465DEC" w:rsidRPr="00C0758B">
        <w:rPr>
          <w:rStyle w:val="normaltextrun"/>
          <w:rFonts w:ascii="Calibri" w:hAnsi="Calibri" w:cs="Calibri"/>
          <w:i/>
          <w:sz w:val="22"/>
          <w:szCs w:val="22"/>
          <w:lang w:val="en-US"/>
        </w:rPr>
        <w:t>in vitro</w:t>
      </w:r>
      <w:r w:rsidR="00465DEC">
        <w:rPr>
          <w:rStyle w:val="normaltextrun"/>
          <w:rFonts w:ascii="Calibri" w:hAnsi="Calibri" w:cs="Calibri"/>
          <w:sz w:val="22"/>
          <w:szCs w:val="22"/>
          <w:lang w:val="en-US"/>
        </w:rPr>
        <w:t xml:space="preserve"> testing toolbox, to gather additional evidence even from tests not routinely used in regulatory </w:t>
      </w:r>
      <w:r>
        <w:rPr>
          <w:rStyle w:val="normaltextrun"/>
          <w:rFonts w:ascii="Calibri" w:hAnsi="Calibri" w:cs="Calibri"/>
          <w:sz w:val="22"/>
          <w:szCs w:val="22"/>
          <w:lang w:val="en-US"/>
        </w:rPr>
        <w:t>frameworks</w:t>
      </w:r>
      <w:r w:rsidR="005401A3">
        <w:rPr>
          <w:rStyle w:val="normaltextrun"/>
          <w:rFonts w:ascii="Calibri" w:hAnsi="Calibri" w:cs="Calibri"/>
          <w:sz w:val="22"/>
          <w:szCs w:val="22"/>
          <w:lang w:val="en-US"/>
        </w:rPr>
        <w:fldChar w:fldCharType="begin"/>
      </w:r>
      <w:r w:rsidR="005401A3">
        <w:rPr>
          <w:rStyle w:val="normaltextrun"/>
          <w:rFonts w:ascii="Calibri" w:hAnsi="Calibri" w:cs="Calibri"/>
          <w:sz w:val="22"/>
          <w:szCs w:val="22"/>
          <w:lang w:val="en-US"/>
        </w:rPr>
        <w:instrText xml:space="preserve"> ADDIN ZOTERO_ITEM CSL_CITATION {"citationID":"G5suHgIH","properties":{"formattedCitation":"\\super 13\\nosupersub{}","plainCitation":"13","noteIndex":0},"citationItems":[{"id":468,"uris":["http://zotero.org/users/11265134/items/54RVJHEA"],"itemData":{"id":468,"type":"webpage","abstract":"SCCS Notes of guidance for the testing of cosmetic ingredients and their safety evaluation - 12th revision","language":"en","title":"SCCS Notes of guidance for the testing of cosmetic ingredients and their safety evaluation - 12th revision - European Commission","URL":"https://health.ec.europa.eu/publications/sccs-notes-guidance-testing-cosmetic-ingredients-and-their-safety-evaluation-12th-revision_en","accessed":{"date-parts":[["2025",1,12]]}}}],"schema":"https://github.com/citation-style-language/schema/raw/master/csl-citation.json"} </w:instrText>
      </w:r>
      <w:r w:rsidR="005401A3">
        <w:rPr>
          <w:rStyle w:val="normaltextrun"/>
          <w:rFonts w:ascii="Calibri" w:hAnsi="Calibri" w:cs="Calibri"/>
          <w:sz w:val="22"/>
          <w:szCs w:val="22"/>
          <w:lang w:val="en-US"/>
        </w:rPr>
        <w:fldChar w:fldCharType="separate"/>
      </w:r>
      <w:r w:rsidR="005401A3" w:rsidRPr="005401A3">
        <w:rPr>
          <w:rFonts w:ascii="Calibri" w:hAnsi="Calibri" w:cs="Calibri"/>
          <w:sz w:val="22"/>
          <w:vertAlign w:val="superscript"/>
          <w:lang w:val="en-US"/>
        </w:rPr>
        <w:t>13</w:t>
      </w:r>
      <w:r w:rsidR="005401A3">
        <w:rPr>
          <w:rStyle w:val="normaltextrun"/>
          <w:rFonts w:ascii="Calibri" w:hAnsi="Calibri" w:cs="Calibri"/>
          <w:sz w:val="22"/>
          <w:szCs w:val="22"/>
          <w:lang w:val="en-US"/>
        </w:rPr>
        <w:fldChar w:fldCharType="end"/>
      </w:r>
      <w:r>
        <w:rPr>
          <w:rStyle w:val="normaltextrun"/>
          <w:rFonts w:ascii="Calibri" w:hAnsi="Calibri" w:cs="Calibri"/>
          <w:sz w:val="22"/>
          <w:szCs w:val="22"/>
          <w:lang w:val="en-US"/>
        </w:rPr>
        <w:t>.</w:t>
      </w:r>
      <w:r w:rsidRPr="008902B6">
        <w:rPr>
          <w:rStyle w:val="eop"/>
          <w:rFonts w:ascii="Calibri" w:hAnsi="Calibri" w:cs="Calibri"/>
          <w:sz w:val="22"/>
          <w:szCs w:val="22"/>
          <w:lang w:val="en-US"/>
        </w:rPr>
        <w:t> </w:t>
      </w:r>
    </w:p>
    <w:p w14:paraId="634BDAEF" w14:textId="77777777" w:rsidR="008902B6" w:rsidRPr="008902B6" w:rsidRDefault="008902B6" w:rsidP="00465DEC">
      <w:pPr>
        <w:pStyle w:val="paragraph"/>
        <w:spacing w:before="0" w:beforeAutospacing="0" w:after="0" w:afterAutospacing="0"/>
        <w:jc w:val="both"/>
        <w:textAlignment w:val="baseline"/>
        <w:rPr>
          <w:rFonts w:ascii="Calibri" w:hAnsi="Calibri" w:cs="Calibri"/>
          <w:sz w:val="22"/>
          <w:szCs w:val="22"/>
          <w:lang w:val="en-US"/>
        </w:rPr>
      </w:pPr>
    </w:p>
    <w:p w14:paraId="01EE0F42" w14:textId="244ABD37" w:rsidR="001C2465" w:rsidRDefault="00802EA6" w:rsidP="003A6676">
      <w:pPr>
        <w:spacing w:after="0" w:line="324" w:lineRule="auto"/>
        <w:jc w:val="both"/>
      </w:pPr>
      <w:r>
        <w:t>Depending on the l</w:t>
      </w:r>
      <w:r w:rsidR="008902B6">
        <w:t>e</w:t>
      </w:r>
      <w:r>
        <w:t xml:space="preserve">gislative context, </w:t>
      </w:r>
      <w:r w:rsidRPr="002A112A">
        <w:rPr>
          <w:i/>
          <w:iCs/>
        </w:rPr>
        <w:t>in vivo</w:t>
      </w:r>
      <w:r>
        <w:t xml:space="preserve"> genotoxicity </w:t>
      </w:r>
      <w:r w:rsidR="00D26FB9">
        <w:t xml:space="preserve">testing </w:t>
      </w:r>
      <w:r>
        <w:t xml:space="preserve">for chemicals is </w:t>
      </w:r>
      <w:r w:rsidR="00D26FB9">
        <w:t xml:space="preserve">thus </w:t>
      </w:r>
      <w:r>
        <w:t xml:space="preserve">either prohibited (e.g., cosmetics), required in all conditions (e.g., active ingredients of plant protection products), or only </w:t>
      </w:r>
      <w:r w:rsidR="000C1C01">
        <w:t xml:space="preserve">performed </w:t>
      </w:r>
      <w:r>
        <w:t xml:space="preserve">in case of a positive </w:t>
      </w:r>
      <w:r w:rsidRPr="002A112A">
        <w:rPr>
          <w:i/>
          <w:iCs/>
        </w:rPr>
        <w:t>in vitro</w:t>
      </w:r>
      <w:r>
        <w:t xml:space="preserve"> test result (e.g., REACH).</w:t>
      </w:r>
      <w:r w:rsidR="00D907D2" w:rsidRPr="00D907D2">
        <w:t xml:space="preserve"> </w:t>
      </w:r>
      <w:r w:rsidR="00EF56B2">
        <w:t xml:space="preserve">However, according to the </w:t>
      </w:r>
      <w:r w:rsidR="00EF56B2" w:rsidRPr="00EF56B2">
        <w:t>European Directive 2010/63/EU on the protection of animals</w:t>
      </w:r>
      <w:r w:rsidR="004532F6" w:rsidRPr="004532F6">
        <w:t xml:space="preserve">, </w:t>
      </w:r>
      <w:r w:rsidR="00EF56B2">
        <w:t xml:space="preserve">wherever possible, methods or strategies should be used that do not entail living animals. Moreover, also </w:t>
      </w:r>
      <w:r w:rsidR="000E0D90">
        <w:t xml:space="preserve">the REACH </w:t>
      </w:r>
      <w:r w:rsidR="004532F6" w:rsidRPr="004532F6">
        <w:t>regulation requires that new testing of a substance involving vertebrate animals is only conducted as a last resort (EC 2006 ; EC 2009 ; SCCS 2022 ).</w:t>
      </w:r>
      <w:r w:rsidR="00EF56B2">
        <w:t xml:space="preserve"> As we already have </w:t>
      </w:r>
      <w:r w:rsidR="00EF56B2" w:rsidRPr="002A112A">
        <w:rPr>
          <w:i/>
          <w:iCs/>
        </w:rPr>
        <w:t>in vitro</w:t>
      </w:r>
      <w:r w:rsidR="00EF56B2">
        <w:t xml:space="preserve"> genotoxicity tests, why do we, in many cases, still need to rely on </w:t>
      </w:r>
      <w:r w:rsidR="00EF56B2" w:rsidRPr="002A112A">
        <w:rPr>
          <w:i/>
          <w:iCs/>
        </w:rPr>
        <w:t>in vivo</w:t>
      </w:r>
      <w:r w:rsidR="00EF56B2">
        <w:t xml:space="preserve"> </w:t>
      </w:r>
      <w:r w:rsidR="00EF56B2">
        <w:lastRenderedPageBreak/>
        <w:t xml:space="preserve">testing? </w:t>
      </w:r>
      <w:r w:rsidR="00D26FB9">
        <w:t xml:space="preserve">The </w:t>
      </w:r>
      <w:r w:rsidR="00EF56B2">
        <w:t xml:space="preserve">most important reason is </w:t>
      </w:r>
      <w:r w:rsidR="00D26FB9">
        <w:t>that the</w:t>
      </w:r>
      <w:r w:rsidR="00EF56B2">
        <w:t xml:space="preserve"> current</w:t>
      </w:r>
      <w:r w:rsidR="00D26FB9">
        <w:t xml:space="preserve"> </w:t>
      </w:r>
      <w:r w:rsidR="00D26FB9" w:rsidRPr="002A112A">
        <w:rPr>
          <w:i/>
          <w:iCs/>
        </w:rPr>
        <w:t>in vitro</w:t>
      </w:r>
      <w:r w:rsidR="00D26FB9">
        <w:t xml:space="preserve"> test</w:t>
      </w:r>
      <w:r w:rsidR="00EF56B2">
        <w:t>ing battery is</w:t>
      </w:r>
      <w:r w:rsidR="00D26FB9">
        <w:t xml:space="preserve"> facing different limitations</w:t>
      </w:r>
      <w:r w:rsidR="00DB707B">
        <w:fldChar w:fldCharType="begin"/>
      </w:r>
      <w:r w:rsidR="005401A3">
        <w:instrText xml:space="preserve"> ADDIN ZOTERO_ITEM CSL_CITATION {"citationID":"rcqinvWo","properties":{"formattedCitation":"\\super 14,15\\nosupersub{}","plainCitation":"14,15","noteIndex":0},"citationItems":[{"id":25,"uris":["http://zotero.org/users/11265134/items/QE8SGMTL"],"itemData":{"id":25,"type":"article-journal","abstract":"Higher-throughput, mode-of-action-based assays provide a valuable approach to expedite chemical evaluation for human health risk assessment. In this study, we combined the high-throughput alkaline DNA damage-sensing CometChip® assay with the TGx-DDI transcriptomic biomarker (DDI = DNA damage-inducing) using high-throughput TempO-Seq®, as an integrated genotoxicity testing approach. We used metabolically competent differentiated human HepaRG™ cell cultures to enable the identification of chemicals that require bioactivation to cause genotoxicity. We studied 12 chemicals (nine DDI, three non-DDI) in increasing concentrations to measure and classify chemicals based on their ability to damage DNA. The CometChip® classified 10/12 test chemicals correctly, missing a positive DDI call for aflatoxin B1 and propyl gallate. The poor detection of aflatoxin B1 adducts is consistent with the insensitivity of the standard alkaline comet assay to bulky lesions (a shortcoming that can be overcome by trapping repair intermediates). The TGx-DDI biomarker accurately classified 10/12 agents. TGx-DDI correctly identified aflatoxin B1 as DDI, demonstrating efficacy for combined used of these complementary methodologies. Zidovudine, a known DDI chemical, was misclassified as it inhibits transcription, which prevents measurable changes in gene expression. Eugenol, a non-DDI chemical known to render misleading positive results at high concentrations, was classified as DDI at the highest concentration tested. When combined, the CometChip® assay and the TGx-DDI biomarker were 100% accurate in identifying chemicals that induce DNA damage. Quantitative benchmark concentration (BMC) modeling was applied to evaluate chemical potencies for both assays. The BMCs for the CometChip® assay and the TGx-DDI biomarker were highly concordant (within 4-fold) and resulted in identical potency rankings. These results demonstrate that these two assays can be integrated for efficient identification and potency ranking of DNA damaging agents in HepaRG™ cell cultures.","container-title":"Frontiers in Public Health","ISSN":"2296-2565","source":"Frontiers","title":"A Modern Genotoxicity Testing Paradigm: Integration of the High-Throughput CometChip® and the TGx-DDI Transcriptomic Biomarker in Human HepaRG™ Cell Cultures","title-short":"A Modern Genotoxicity Testing Paradigm","URL":"https://www.frontiersin.org/articles/10.3389/fpubh.2021.694834","volume":"9","author":[{"family":"Buick","given":"Julie K."},{"family":"Williams","given":"Andrew"},{"family":"Meier","given":"Matthew J."},{"family":"Swartz","given":"Carol D."},{"family":"Recio","given":"Leslie"},{"family":"Gagné","given":"Rémi"},{"family":"Ferguson","given":"Stephen S."},{"family":"Engelward","given":"Bevin P."},{"family":"Yauk","given":"Carole L."}],"accessed":{"date-parts":[["2023",3,8]]},"issued":{"date-parts":[["2021"]]}},"label":"act"},{"id":132,"uris":["http://zotero.org/users/11265134/items/DEIVM5WZ"],"itemData":{"id":132,"type":"article-journal","abstract":"Risk assessment methodologies in toxicology have remained largely unchanged for decades. The default approach uses high dose animal studies, together with human exposure estimates, and conservative assessment (uncertainty) factors or linear extrapolations to determine whether a specific chemical exposure is 'safe' or 'unsafe'. Although some incremental changes have appeared over the years, results from all new approaches are still judged against this process of extrapolating high-dose effects in animals to low-dose exposures in humans. The US National Research Council blueprint for change, entitled Toxicity Testing in the 21st Century: A Vision and Strategy called for a transformation of toxicity testing from a system based on high-dose studies in laboratory animals to one founded primarily on in vitro methods that evaluate changes in normal cellular signalling pathways using human-relevant cells or tissues. More recently, this concept of pathways-based approaches to risk assessment has been expanded by the description of 'Adverse Outcome Pathways' (AOPs). The question, however, has been how to translate this AOP/TT21C vision into the practical tools that will be useful to those expected to make safety decisions. We have sought to provide a practical example of how the TT21C vision can be implemented to facilitate a safety assessment for a commercial chemical without the use of animal testing. To this end, the key elements of the TT21C vision have been broken down to a set of actions that can be brought together to achieve such a safety assessment. Such components of a pathways-based risk assessment have been widely discussed, however to-date, no worked examples of the entire risk assessment process exist. In order to begin to test the process, we have taken the approach of examining a prototype toxicity pathway (DNA damage responses mediated by the p53 network) and constructing a strategy for the development of a pathway based risk assessment for a specific chemical in a case study mode. This contribution represents a 'work-in-progress' and is meant to both highlight concepts that are well-developed and identify aspects of the overall process which require additional development. To guide our understanding of what a pathways-based risk assessment could look like in practice, we chose to work on a case study chemical (quercetin) with a defined human exposure and to bring a multidisciplinary team of chemists, biologists, modellers and risk assessors to work together towards a safety assessment. Our goal was to see if the in vitro dose response for quercetin could be sufficiently understood to construct a TT21C risk assessment without recourse to rodent carcinogenicity study data. The data presented include high throughput pathway biomarkers (p-H2AX, p-ATM, p-ATR, p-Chk2, p53, p-p53, MDM2 and Wip1) and markers of cell-cycle, apoptosis and micronuclei formation, plus gene transcription in HT1080 cells. Eighteen point dose response curves were generated using flow cytometry and imaging to determine the concentrations that resulted in significant perturbation. NOELs and BMDs were compared to the output from biokinetic modelling and the potential for in vitro to in vivo extrapolation explored. A first tier risk assessment was performed comparing the total quercetin concentration in the in vitro systems with the predicted total quercetin concentration in plasma and tissues. The shortcomings of this approach and recommendations for improvement are described. This paper therefore describes the current progress in an ongoing research effort aimed at providing a pathways-based, proof-of-concept in vitro-only safety assessment for a consumer use product.","container-title":"Toxicology","DOI":"10.1016/j.tox.2014.02.007","ISSN":"1879-3185","journalAbbreviation":"Toxicology","language":"eng","note":"PMID: 24582757","page":"102-111","source":"PubMed","title":"Implementing Toxicity Testing in the 21st Century (TT21C): Making safety decisions using toxicity pathways, and progress in a prototype risk assessment","title-short":"Implementing Toxicity Testing in the 21st Century (TT21C)","volume":"332","author":[{"family":"Adeleye","given":"Yeyejide"},{"family":"Andersen","given":"Melvin"},{"family":"Clewell","given":"Rebecca"},{"family":"Davies","given":"Michael"},{"family":"Dent","given":"Matthew"},{"family":"Edwards","given":"Sue"},{"family":"Fowler","given":"Paul"},{"family":"Malcomber","given":"Sophie"},{"family":"Nicol","given":"Beate"},{"family":"Scott","given":"Andrew"},{"family":"Scott","given":"Sharon"},{"family":"Sun","given":"Bin"},{"family":"Westmoreland","given":"Carl"},{"family":"White","given":"Andrew"},{"family":"Zhang","given":"Qiang"},{"family":"Carmichael","given":"Paul L."}],"issued":{"date-parts":[["2015",6,5]]}},"label":"act"}],"schema":"https://github.com/citation-style-language/schema/raw/master/csl-citation.json"} </w:instrText>
      </w:r>
      <w:r w:rsidR="00DB707B">
        <w:fldChar w:fldCharType="separate"/>
      </w:r>
      <w:r w:rsidR="005401A3" w:rsidRPr="005401A3">
        <w:rPr>
          <w:rFonts w:ascii="Calibri" w:hAnsi="Calibri" w:cs="Calibri"/>
          <w:szCs w:val="24"/>
          <w:vertAlign w:val="superscript"/>
        </w:rPr>
        <w:t>14,15</w:t>
      </w:r>
      <w:r w:rsidR="00DB707B">
        <w:fldChar w:fldCharType="end"/>
      </w:r>
      <w:r w:rsidR="00D26FB9">
        <w:t>:</w:t>
      </w:r>
    </w:p>
    <w:p w14:paraId="24CC0F5D" w14:textId="77777777" w:rsidR="001C2465" w:rsidRDefault="001C2465" w:rsidP="001C2465">
      <w:pPr>
        <w:spacing w:after="0" w:line="324" w:lineRule="auto"/>
        <w:jc w:val="both"/>
      </w:pPr>
    </w:p>
    <w:p w14:paraId="43761D58" w14:textId="27CF8FB0" w:rsidR="001C2465" w:rsidRDefault="00C73E5E" w:rsidP="00C32F8D">
      <w:pPr>
        <w:pStyle w:val="Paragraphedeliste"/>
        <w:numPr>
          <w:ilvl w:val="0"/>
          <w:numId w:val="7"/>
        </w:numPr>
        <w:spacing w:after="0" w:line="324" w:lineRule="auto"/>
        <w:jc w:val="both"/>
      </w:pPr>
      <w:r w:rsidRPr="008836E7">
        <w:rPr>
          <w:b/>
          <w:bCs/>
          <w:u w:val="single"/>
        </w:rPr>
        <w:t>T</w:t>
      </w:r>
      <w:r w:rsidR="001C2465" w:rsidRPr="008836E7">
        <w:rPr>
          <w:b/>
          <w:bCs/>
          <w:u w:val="single"/>
        </w:rPr>
        <w:t xml:space="preserve">he high </w:t>
      </w:r>
      <w:r w:rsidR="009978F3">
        <w:rPr>
          <w:b/>
          <w:bCs/>
          <w:u w:val="single"/>
        </w:rPr>
        <w:t>rate</w:t>
      </w:r>
      <w:r w:rsidR="001C2465" w:rsidRPr="008836E7">
        <w:rPr>
          <w:b/>
          <w:bCs/>
          <w:u w:val="single"/>
        </w:rPr>
        <w:t xml:space="preserve"> of ‘misleading’ </w:t>
      </w:r>
      <w:r w:rsidR="001C2465" w:rsidRPr="008836E7">
        <w:rPr>
          <w:b/>
          <w:bCs/>
          <w:i/>
          <w:iCs/>
          <w:u w:val="single"/>
        </w:rPr>
        <w:t>in vitro</w:t>
      </w:r>
      <w:r w:rsidR="001C2465" w:rsidRPr="008836E7">
        <w:rPr>
          <w:b/>
          <w:bCs/>
          <w:u w:val="single"/>
        </w:rPr>
        <w:t xml:space="preserve"> positive results:</w:t>
      </w:r>
      <w:r w:rsidR="001C2465">
        <w:t xml:space="preserve"> the traditional </w:t>
      </w:r>
      <w:r w:rsidR="001C2465" w:rsidRPr="002A112A">
        <w:rPr>
          <w:i/>
          <w:iCs/>
        </w:rPr>
        <w:t>in vitro</w:t>
      </w:r>
      <w:r w:rsidR="001C2465">
        <w:t xml:space="preserve"> genotoxicity tests have a rather low specificity, meaning that a positive result in the </w:t>
      </w:r>
      <w:r w:rsidR="001C2465" w:rsidRPr="002A112A">
        <w:rPr>
          <w:i/>
          <w:iCs/>
        </w:rPr>
        <w:t>in vitro</w:t>
      </w:r>
      <w:r w:rsidR="001C2465">
        <w:t xml:space="preserve"> test is not confirmed in the adequate </w:t>
      </w:r>
      <w:r w:rsidR="001C2465" w:rsidRPr="002A112A">
        <w:rPr>
          <w:i/>
          <w:iCs/>
        </w:rPr>
        <w:t>in vivo</w:t>
      </w:r>
      <w:r w:rsidR="001C2465">
        <w:t xml:space="preserve"> follow-up test</w:t>
      </w:r>
      <w:r w:rsidR="001C2465" w:rsidRPr="002A112A">
        <w:rPr>
          <w:vertAlign w:val="superscript"/>
        </w:rPr>
        <w:t>5–7</w:t>
      </w:r>
      <w:r w:rsidR="001C2465">
        <w:t xml:space="preserve">. For the </w:t>
      </w:r>
      <w:r w:rsidR="001C2465" w:rsidRPr="002A112A">
        <w:rPr>
          <w:i/>
          <w:iCs/>
        </w:rPr>
        <w:t>in vitro</w:t>
      </w:r>
      <w:r w:rsidR="001C2465">
        <w:t xml:space="preserve"> micronucleus test, most false positive results have been related to cytotoxicity or the cell line used (e.g. TK6)</w:t>
      </w:r>
      <w:r w:rsidR="001C2465" w:rsidRPr="002A112A">
        <w:rPr>
          <w:vertAlign w:val="superscript"/>
        </w:rPr>
        <w:t>8</w:t>
      </w:r>
      <w:r w:rsidR="001C2465">
        <w:t>. This might trigger unnecessary animal testing or stop the further development of high-interest lead compounds</w:t>
      </w:r>
      <w:r w:rsidR="00C32F8D">
        <w:t>.</w:t>
      </w:r>
    </w:p>
    <w:p w14:paraId="1EA99AFC" w14:textId="003BC8C1" w:rsidR="00C32F8D" w:rsidRDefault="00C73E5E" w:rsidP="002A112A">
      <w:pPr>
        <w:pStyle w:val="Paragraphedeliste"/>
        <w:numPr>
          <w:ilvl w:val="0"/>
          <w:numId w:val="7"/>
        </w:numPr>
        <w:spacing w:after="0" w:line="324" w:lineRule="auto"/>
        <w:jc w:val="both"/>
      </w:pPr>
      <w:r w:rsidRPr="008836E7">
        <w:rPr>
          <w:b/>
          <w:bCs/>
          <w:u w:val="single"/>
        </w:rPr>
        <w:t>T</w:t>
      </w:r>
      <w:r w:rsidR="001C2465" w:rsidRPr="008836E7">
        <w:rPr>
          <w:b/>
          <w:bCs/>
          <w:u w:val="single"/>
        </w:rPr>
        <w:t>he lack of quantitative analysis of the collected genotoxicity data:</w:t>
      </w:r>
      <w:r w:rsidR="001C2465">
        <w:t xml:space="preserve"> </w:t>
      </w:r>
      <w:r w:rsidR="001C2465" w:rsidRPr="002A112A">
        <w:rPr>
          <w:i/>
          <w:iCs/>
        </w:rPr>
        <w:t>in vitro</w:t>
      </w:r>
      <w:r w:rsidR="001C2465">
        <w:t xml:space="preserve"> and </w:t>
      </w:r>
      <w:r w:rsidR="001C2465" w:rsidRPr="002A112A">
        <w:rPr>
          <w:i/>
          <w:iCs/>
        </w:rPr>
        <w:t>in vivo</w:t>
      </w:r>
      <w:r w:rsidR="001C2465">
        <w:t xml:space="preserve"> genotoxicity assays have been mainly used for hazard identification and only to a very limited extent for hazard and risk assessment</w:t>
      </w:r>
      <w:r w:rsidR="001C2465" w:rsidRPr="002A112A">
        <w:rPr>
          <w:vertAlign w:val="superscript"/>
        </w:rPr>
        <w:t>9</w:t>
      </w:r>
      <w:r w:rsidR="001C2465">
        <w:t>. Quantitative analysis of genotoxicity data would</w:t>
      </w:r>
      <w:r w:rsidR="000C1C01">
        <w:t xml:space="preserve">, however, offer several opportunities such as potency ranking of compounds, determination of a reference point from genetic </w:t>
      </w:r>
      <w:r w:rsidR="000C1C01">
        <w:lastRenderedPageBreak/>
        <w:t>dose-response data, calculation of a margin of exposure,</w:t>
      </w:r>
      <w:r w:rsidR="001C2465">
        <w:t xml:space="preserve"> or derivation of a health-based guidance value. Although, over recent years, important achievements have been made in the quantitative analysis of genotoxicity data, several major challenges still need to be addressed, including a better understanding of how the size of effects measured in </w:t>
      </w:r>
      <w:r w:rsidR="001C2465" w:rsidRPr="002A112A">
        <w:rPr>
          <w:i/>
          <w:iCs/>
        </w:rPr>
        <w:t>in vitro</w:t>
      </w:r>
      <w:r w:rsidR="001C2465">
        <w:t xml:space="preserve"> assays relates to the occurrence of adverse human health effects</w:t>
      </w:r>
      <w:r w:rsidR="001C2465" w:rsidRPr="002A112A">
        <w:rPr>
          <w:vertAlign w:val="superscript"/>
        </w:rPr>
        <w:t>10,11</w:t>
      </w:r>
      <w:r w:rsidR="001C2465">
        <w:t>.</w:t>
      </w:r>
    </w:p>
    <w:p w14:paraId="167D3992" w14:textId="56F44B28" w:rsidR="00C32F8D" w:rsidRDefault="002B6CDF" w:rsidP="002A112A">
      <w:pPr>
        <w:pStyle w:val="Paragraphedeliste"/>
        <w:numPr>
          <w:ilvl w:val="0"/>
          <w:numId w:val="7"/>
        </w:numPr>
        <w:spacing w:after="0" w:line="324" w:lineRule="auto"/>
        <w:jc w:val="both"/>
      </w:pPr>
      <w:r w:rsidRPr="008836E7">
        <w:rPr>
          <w:b/>
          <w:bCs/>
          <w:u w:val="single"/>
        </w:rPr>
        <w:t>T</w:t>
      </w:r>
      <w:r w:rsidR="001C2465" w:rsidRPr="008836E7">
        <w:rPr>
          <w:b/>
          <w:bCs/>
          <w:u w:val="single"/>
        </w:rPr>
        <w:t>he limited mechanistic information provided:</w:t>
      </w:r>
      <w:r w:rsidR="001C2465">
        <w:t xml:space="preserve"> the traditional </w:t>
      </w:r>
      <w:r w:rsidR="001C2465" w:rsidRPr="002A112A">
        <w:rPr>
          <w:i/>
          <w:iCs/>
        </w:rPr>
        <w:t>in vitro</w:t>
      </w:r>
      <w:r w:rsidR="001C2465">
        <w:t xml:space="preserve"> tests provide no or only limited mechanistic information. By using different strains, the bacterial reverse gene mutation test (Ames test, OECD TG 471) allows to obtain some insights into the type of gene mutations induced (i.e. base pair substitutions versus frameshift mutations). The mammalian gene mutation tests based on the thymidine kinase gene (OECD TG 490)</w:t>
      </w:r>
      <w:r w:rsidR="000C1C01">
        <w:t>,</w:t>
      </w:r>
      <w:r w:rsidR="001C2465">
        <w:t xml:space="preserve"> in turn</w:t>
      </w:r>
      <w:r w:rsidR="000C1C01">
        <w:t>,</w:t>
      </w:r>
      <w:r w:rsidR="001C2465">
        <w:t xml:space="preserve"> can distinguish between gene mutations and chromosome aberrations based on the type of colonies formed. The micronucleus test (OECD TG 487) detects both structural and numerical chromosome aberrations simultaneously, but </w:t>
      </w:r>
      <w:r w:rsidR="001C2465">
        <w:lastRenderedPageBreak/>
        <w:t>when combined with a fluorescent</w:t>
      </w:r>
      <w:r w:rsidR="001C2465" w:rsidRPr="00E774F7">
        <w:rPr>
          <w:i/>
          <w:iCs/>
        </w:rPr>
        <w:t xml:space="preserve"> in situ </w:t>
      </w:r>
      <w:r w:rsidR="001C2465">
        <w:t>hybridization (FISH) or CREST technique, a distinction can be made between these two types of aberrations. Overall, the collected mechanistic information is very limited.  Obtaining more insights into the underlying mode of action (MOA) of a chemical could help to identify if a threshold mechanism is involved and support quantitative analysis of the data</w:t>
      </w:r>
      <w:r w:rsidR="001C2465" w:rsidRPr="002A112A">
        <w:rPr>
          <w:vertAlign w:val="superscript"/>
        </w:rPr>
        <w:t>10,11</w:t>
      </w:r>
      <w:r w:rsidR="001C2465">
        <w:t>.</w:t>
      </w:r>
    </w:p>
    <w:p w14:paraId="1E17FE0B" w14:textId="69F1C30F" w:rsidR="00CA2284" w:rsidRDefault="000C1C01" w:rsidP="002A112A">
      <w:pPr>
        <w:pStyle w:val="Paragraphedeliste"/>
        <w:numPr>
          <w:ilvl w:val="0"/>
          <w:numId w:val="7"/>
        </w:numPr>
        <w:spacing w:after="0" w:line="324" w:lineRule="auto"/>
        <w:jc w:val="both"/>
      </w:pPr>
      <w:r w:rsidRPr="008836E7">
        <w:rPr>
          <w:b/>
          <w:bCs/>
          <w:u w:val="single"/>
        </w:rPr>
        <w:t>The throughput of the assays:</w:t>
      </w:r>
      <w:r>
        <w:t xml:space="preserve"> c</w:t>
      </w:r>
      <w:r w:rsidR="00A439DE">
        <w:t>urrent genotoxicity t</w:t>
      </w:r>
      <w:r w:rsidR="00290F45">
        <w:t>ests</w:t>
      </w:r>
      <w:r w:rsidR="00CA2284">
        <w:t xml:space="preserve"> </w:t>
      </w:r>
      <w:r w:rsidR="00A439DE">
        <w:t xml:space="preserve">have a limited </w:t>
      </w:r>
      <w:r w:rsidR="00290F45" w:rsidRPr="0098058C">
        <w:t>throughput</w:t>
      </w:r>
      <w:r w:rsidR="00290F45">
        <w:t xml:space="preserve"> and cannot address</w:t>
      </w:r>
      <w:r w:rsidR="00290F45" w:rsidRPr="0098058C">
        <w:t xml:space="preserve"> </w:t>
      </w:r>
      <w:r w:rsidR="00290F45">
        <w:t>the high numb</w:t>
      </w:r>
      <w:r w:rsidR="00CA2284">
        <w:t xml:space="preserve">er of </w:t>
      </w:r>
      <w:r w:rsidR="00A439DE">
        <w:t xml:space="preserve">naturally occurring, </w:t>
      </w:r>
      <w:r w:rsidR="00CA2284">
        <w:t>newly developed or</w:t>
      </w:r>
      <w:r w:rsidR="00290F45">
        <w:t xml:space="preserve"> commercially available chemicals</w:t>
      </w:r>
      <w:r w:rsidR="00CA2284">
        <w:t xml:space="preserve"> </w:t>
      </w:r>
      <w:r w:rsidR="0060670F">
        <w:t>that</w:t>
      </w:r>
      <w:r w:rsidR="00CA2284">
        <w:t xml:space="preserve"> ha</w:t>
      </w:r>
      <w:r w:rsidR="00286989">
        <w:t>ve</w:t>
      </w:r>
      <w:r w:rsidR="00290F45">
        <w:t xml:space="preserve"> to be tested</w:t>
      </w:r>
      <w:r w:rsidR="00290F45">
        <w:fldChar w:fldCharType="begin"/>
      </w:r>
      <w:r w:rsidR="005401A3">
        <w:instrText xml:space="preserve"> ADDIN ZOTERO_ITEM CSL_CITATION {"citationID":"cEzWNoQX","properties":{"formattedCitation":"\\super 6,14\\nosupersub{}","plainCitation":"6,14","noteIndex":0},"citationItems":[{"id":25,"uris":["http://zotero.org/users/11265134/items/QE8SGMTL"],"itemData":{"id":25,"type":"article-journal","abstract":"Higher-throughput, mode-of-action-based assays provide a valuable approach to expedite chemical evaluation for human health risk assessment. In this study, we combined the high-throughput alkaline DNA damage-sensing CometChip® assay with the TGx-DDI transcriptomic biomarker (DDI = DNA damage-inducing) using high-throughput TempO-Seq®, as an integrated genotoxicity testing approach. We used metabolically competent differentiated human HepaRG™ cell cultures to enable the identification of chemicals that require bioactivation to cause genotoxicity. We studied 12 chemicals (nine DDI, three non-DDI) in increasing concentrations to measure and classify chemicals based on their ability to damage DNA. The CometChip® classified 10/12 test chemicals correctly, missing a positive DDI call for aflatoxin B1 and propyl gallate. The poor detection of aflatoxin B1 adducts is consistent with the insensitivity of the standard alkaline comet assay to bulky lesions (a shortcoming that can be overcome by trapping repair intermediates). The TGx-DDI biomarker accurately classified 10/12 agents. TGx-DDI correctly identified aflatoxin B1 as DDI, demonstrating efficacy for combined used of these complementary methodologies. Zidovudine, a known DDI chemical, was misclassified as it inhibits transcription, which prevents measurable changes in gene expression. Eugenol, a non-DDI chemical known to render misleading positive results at high concentrations, was classified as DDI at the highest concentration tested. When combined, the CometChip® assay and the TGx-DDI biomarker were 100% accurate in identifying chemicals that induce DNA damage. Quantitative benchmark concentration (BMC) modeling was applied to evaluate chemical potencies for both assays. The BMCs for the CometChip® assay and the TGx-DDI biomarker were highly concordant (within 4-fold) and resulted in identical potency rankings. These results demonstrate that these two assays can be integrated for efficient identification and potency ranking of DNA damaging agents in HepaRG™ cell cultures.","container-title":"Frontiers in Public Health","ISSN":"2296-2565","source":"Frontiers","title":"A Modern Genotoxicity Testing Paradigm: Integration of the High-Throughput CometChip® and the TGx-DDI Transcriptomic Biomarker in Human HepaRG™ Cell Cultures","title-short":"A Modern Genotoxicity Testing Paradigm","URL":"https://www.frontiersin.org/articles/10.3389/fpubh.2021.694834","volume":"9","author":[{"family":"Buick","given":"Julie K."},{"family":"Williams","given":"Andrew"},{"family":"Meier","given":"Matthew J."},{"family":"Swartz","given":"Carol D."},{"family":"Recio","given":"Leslie"},{"family":"Gagné","given":"Rémi"},{"family":"Ferguson","given":"Stephen S."},{"family":"Engelward","given":"Bevin P."},{"family":"Yauk","given":"Carole L."}],"accessed":{"date-parts":[["2023",3,8]]},"issued":{"date-parts":[["2021"]]}},"label":"act"},{"id":99,"uris":["http://zotero.org/users/11265134/items/D8N7X4ZA"],"itemData":{"id":99,"type":"book","abstract":"Following a general update of the Genetic Toxicology TGs in 2015, the present Document was written to provide succinct and useful information to individuals unfamiliar with genetic toxicology testing, as well as experienced individuals wishing to...","event-place":"Paris","language":"en","publisher":"Organisation for Economic Co-operation and Development","publisher-place":"Paris","source":"OECD iLibrary","title":"Overview on genetic toxicology TGs","URL":"https://www.oecd-ilibrary.org/environment/overview-on-genetic-toxicology-tgs_9789264274761-en","author":[{"literal":"OECD"}],"accessed":{"date-parts":[["2023",4,11]]},"issued":{"date-parts":[["2017"]]}},"label":"act"}],"schema":"https://github.com/citation-style-language/schema/raw/master/csl-citation.json"} </w:instrText>
      </w:r>
      <w:r w:rsidR="00290F45">
        <w:fldChar w:fldCharType="separate"/>
      </w:r>
      <w:r w:rsidR="005401A3" w:rsidRPr="005401A3">
        <w:rPr>
          <w:rFonts w:ascii="Calibri" w:hAnsi="Calibri" w:cs="Calibri"/>
          <w:szCs w:val="24"/>
          <w:vertAlign w:val="superscript"/>
        </w:rPr>
        <w:t>6,14</w:t>
      </w:r>
      <w:r w:rsidR="00290F45">
        <w:fldChar w:fldCharType="end"/>
      </w:r>
      <w:r w:rsidR="00290F45" w:rsidRPr="00A62992">
        <w:t>.</w:t>
      </w:r>
      <w:r w:rsidR="00290F45">
        <w:t xml:space="preserve"> </w:t>
      </w:r>
      <w:r w:rsidR="006371F1">
        <w:t xml:space="preserve">Indeed, </w:t>
      </w:r>
      <w:r w:rsidR="00994B3E">
        <w:t xml:space="preserve">the use of extensive, low-throughput, and resource-intensive animal testing is not adapted </w:t>
      </w:r>
      <w:r w:rsidR="00C90035">
        <w:t>for addressing the wide range of chemicals of regulatory interest</w:t>
      </w:r>
      <w:r w:rsidR="00C90035">
        <w:fldChar w:fldCharType="begin"/>
      </w:r>
      <w:r w:rsidR="005401A3">
        <w:instrText xml:space="preserve"> ADDIN ZOTERO_ITEM CSL_CITATION {"citationID":"IkyxrZhW","properties":{"formattedCitation":"\\super 16\\nosupersub{}","plainCitation":"16","noteIndex":0},"citationItems":[{"id":27,"uris":["http://zotero.org/users/11265134/items/LXRK4NFH"],"itemData":{"id":27,"type":"article-journal","abstract":"Use of molecular data in human and ecological health risk assessments of industrial chemicals and agrochemicals has been anticipated by the scientific community for many years; however, these data are rarely used for risk assessment. Here, a logic framework is proposed to explore the feasibility and future development of transcriptomic methods to refine and replace the current apical endpoint-based regulatory toxicity testing paradigm. Four foundational principles are outlined and discussed that would need to be accepted by stakeholders prior to this transformative vision being realized. Well-supported by current knowledge, the first principle is that transcriptomics is a reliable tool for detecting alterations in gene expression that result from endogenous or exogenous influences on the test organism. The second principle states that alterations in gene expression are indicators of adverse or adaptive biological responses to stressors in an organism. Principle 3 is that transcriptomics can be employed to establish a benchmark dose-based point of departure (POD) from short-term, in vivo studies at a dose level below which a concerted molecular change (CMC) is not expected. Finally, Principle 4 states that the use of a transcriptomic POD (set at the CMC dose level) will support a human health-protective risk assessment. If all four principles are substantiated, this vision is expected to transform aspects of the industrial chemical and agrochemical risk assessment process that are focused on establishing safe exposure levels for mammals across numerous toxicological contexts resulting in a significant reduction in animal use while providing equal or greater protection of human health. Importantly, these principles and approaches are also generally applicable for ecological safety assessment.","container-title":"Toxicological Sciences","DOI":"10.1093/toxsci/kfac097","ISSN":"1096-6080","issue":"2","journalAbbreviation":"Toxicological Sciences","page":"127-132","source":"Silverchair","title":"A Transformative Vision for an Omics-Based Regulatory Chemical Testing Paradigm","volume":"190","author":[{"family":"Johnson","given":"Kamin J"},{"family":"Auerbach","given":"Scott S"},{"family":"Stevens","given":"Tina"},{"family":"Barton-Maclaren","given":"Tara S"},{"family":"Costa","given":"Eduardo"},{"family":"Currie","given":"Richard A"},{"family":"Dalmas Wilk","given":"Deidre"},{"family":"Haq","given":"Saddef"},{"family":"Rager","given":"Julia E"},{"family":"Reardon","given":"Anthony J F"},{"family":"Wehmas","given":"Leah"},{"family":"Williams","given":"Andrew"},{"family":"O’Brien","given":"Jason"},{"family":"Yauk","given":"Carole"},{"family":"LaRocca","given":"Jessica L"},{"family":"Pettit","given":"Syril"}],"issued":{"date-parts":[["2022",12,1]]}}}],"schema":"https://github.com/citation-style-language/schema/raw/master/csl-citation.json"} </w:instrText>
      </w:r>
      <w:r w:rsidR="00C90035">
        <w:fldChar w:fldCharType="separate"/>
      </w:r>
      <w:r w:rsidR="005401A3" w:rsidRPr="005401A3">
        <w:rPr>
          <w:rFonts w:ascii="Calibri" w:hAnsi="Calibri" w:cs="Calibri"/>
          <w:szCs w:val="24"/>
          <w:vertAlign w:val="superscript"/>
        </w:rPr>
        <w:t>16</w:t>
      </w:r>
      <w:r w:rsidR="00C90035">
        <w:fldChar w:fldCharType="end"/>
      </w:r>
      <w:r w:rsidR="00C90035">
        <w:t xml:space="preserve">. </w:t>
      </w:r>
      <w:r>
        <w:t>Even for the ‘traditional’ genotoxicity tests, the throughput is rather limited. This is an issue as t</w:t>
      </w:r>
      <w:r w:rsidR="00C90035">
        <w:t>he chemical space potentially encompasses billions of natural and synthetic molecules</w:t>
      </w:r>
      <w:r w:rsidR="005E0FEA">
        <w:fldChar w:fldCharType="begin"/>
      </w:r>
      <w:r w:rsidR="005401A3">
        <w:instrText xml:space="preserve"> ADDIN ZOTERO_ITEM CSL_CITATION {"citationID":"p8W7hlyy","properties":{"formattedCitation":"\\super 17\\nosupersub{}","plainCitation":"17","noteIndex":0},"citationItems":[{"id":142,"uris":["http://zotero.org/users/11265134/items/T5PQMZLR"],"itemData":{"id":142,"type":"article-journal","abstract":"Technological advances and practical applications of the chemical space concept in drug discovery, natural product research, and other research areas have attracted the scientific community‘s attention. The large- and ultra-large chemical spaces are associated with the significant increase in the number of compounds that can potentially be made and exist and the increasing number of experimental and calculated descriptors, that are emerging that encode the molecular structure and/or property aspects of the molecules. Due to the importance and continued evolution of compound libraries, herein, we discuss definitions proposed in the literature for chemical space and emphasize the convenience, discussed in the literature to use complementary descriptors to obtain a comprehensive view of the chemical space of compound data sets. In this regard, we introduce the term chemical multiverse to refer to the comprehensive analysis of compound data sets through several chemical spaces, each defined by a different set of chemical representations. The chemical multiverse is contrasted with a related idea: consensus chemical space.","container-title":"Molecular Informatics","DOI":"10.1002/minf.202200116","ISSN":"1868-1751","issue":"11","language":"en","license":"© 2022 The Authors. Molecular Informatics published by Wiley-VCH GmbH","note":"_eprint: https://onlinelibrary.wiley.com/doi/pdf/10.1002/minf.202200116","page":"2200116","source":"Wiley Online Library","title":"Chemical Multiverse: An Expanded View of Chemical Space","title-short":"Chemical Multiverse","volume":"41","author":[{"family":"Medina-Franco","given":"José L."},{"family":"Chávez-Hernández","given":"Ana L."},{"family":"López-López","given":"Edgar"},{"family":"Saldívar-González","given":"Fernanda I."}],"issued":{"date-parts":[["2022"]]}}}],"schema":"https://github.com/citation-style-language/schema/raw/master/csl-citation.json"} </w:instrText>
      </w:r>
      <w:r w:rsidR="005E0FEA">
        <w:fldChar w:fldCharType="separate"/>
      </w:r>
      <w:r w:rsidR="005401A3" w:rsidRPr="005401A3">
        <w:rPr>
          <w:rFonts w:ascii="Calibri" w:hAnsi="Calibri" w:cs="Calibri"/>
          <w:szCs w:val="24"/>
          <w:vertAlign w:val="superscript"/>
        </w:rPr>
        <w:t>17</w:t>
      </w:r>
      <w:r w:rsidR="005E0FEA">
        <w:fldChar w:fldCharType="end"/>
      </w:r>
      <w:r w:rsidR="00C90035">
        <w:t xml:space="preserve"> which are, for the most, uncharted in term</w:t>
      </w:r>
      <w:r w:rsidR="007D1CD7">
        <w:t>s</w:t>
      </w:r>
      <w:r w:rsidR="00C90035">
        <w:t xml:space="preserve"> of toxicological characterization</w:t>
      </w:r>
      <w:r w:rsidR="00C90035">
        <w:fldChar w:fldCharType="begin"/>
      </w:r>
      <w:r w:rsidR="005401A3">
        <w:instrText xml:space="preserve"> ADDIN ZOTERO_ITEM CSL_CITATION {"citationID":"KVk7XVhU","properties":{"formattedCitation":"\\super 18,19\\nosupersub{}","plainCitation":"18,19","noteIndex":0},"citationItems":[{"id":140,"uris":["http://zotero.org/users/11265134/items/WFA3NJZY"],"itemData":{"id":140,"type":"article-journal","abstract":"The chemical space is vast, encompassing potentially billions of natural and synthetic molecules, which are for the most part uncharted with regard to their pharmaceutical, therapeutic, or toxicological potential. Determining the biological efficacy or harm of these chemicals presents both an enormous opportunity and a challenge to society. Chemical screening is the first step in development of novel therapeutical agents. The process typically involves searching chemical libraries for small organic molecules that have biological activities that might be useful in addressing pathological conditions for which there are unmet medical needs. Toxicology, in contrast, investigates effects of chemicals that are harmful to human or animal health or the environment in general. Xenopus is an exceptionally effective animal model system for assaying both potential therapeutic and toxicological effects. Here I introduce protocols that detail how Xenopus extracts, embryos, and tadpoles can be used in chemical screening and toxicity testing.","container-title":"Cold Spring Harbor Protocols","DOI":"10.1101/pdb.top098251","ISSN":"1559-6095","issue":"4","journalAbbreviation":"Cold Spring Harb Protoc","language":"eng","note":"PMID: 36180214","page":"098251-pdb.top","source":"PubMed","title":"Chemical Screening and Toxicity Testing","volume":"2023","author":[{"family":"Brändli","given":"André W."}],"issued":{"date-parts":[["2023",4,3]]}},"label":"page"},{"id":145,"uris":["http://zotero.org/users/11265134/items/FNCWI4F4"],"itemData":{"id":145,"type":"article-journal","abstract":"Chemical risk assessments follow a long-standing paradigm that integrates hazard, dose–response, and exposure information to facilitate quantitative risk characterization. Targeted analytical measurement data directly support risk assessment activities, as well as downstream risk management and compliance monitoring efforts. Yet, targeted methods have struggled to keep pace with the demands for data regarding the vast, and growing, number of known chemicals. Many contemporary monitoring studies therefore utilize non-targeted analysis (NTA) methods to screen for known chemicals with limited risk information. Qualitative NTA data has enabled identification of previously unknown compounds and characterization of data-poor compounds in support of hazard identification and exposure assessment efforts. In spite of this, NTA data have seen limited use in risk-based decision making due to uncertainties surrounding their quantitative interpretation. Significant efforts have been made in recent years to bridge this quantitative gap. Based on these advancements, quantitative NTA data, when coupled with other high-throughput data streams and predictive models, are poised to directly support 21st-century risk-based decisions. This article highlights components of the chemical risk assessment process that are influenced by NTA data, surveys the existing literature for approaches to derive quantitative estimates of chemicals from NTA measurements, and presents a conceptual framework for incorporating NTA data into contemporary risk assessment frameworks.","container-title":"Environment International","DOI":"10.1016/j.envint.2021.107011","ISSN":"0160-4120","journalAbbreviation":"Environment International","language":"en","page":"107011","source":"ScienceDirect","title":"Quantitative non-targeted analysis: Bridging the gap between contaminant discovery and risk characterization","title-short":"Quantitative non-targeted analysis","volume":"158","author":[{"family":"McCord","given":"James P."},{"family":"Groff","given":"Louis C."},{"family":"Sobus","given":"Jon R."}],"issued":{"date-parts":[["2022",1,1]]}},"label":"act"}],"schema":"https://github.com/citation-style-language/schema/raw/master/csl-citation.json"} </w:instrText>
      </w:r>
      <w:r w:rsidR="00C90035">
        <w:fldChar w:fldCharType="separate"/>
      </w:r>
      <w:r w:rsidR="005401A3" w:rsidRPr="005401A3">
        <w:rPr>
          <w:rFonts w:ascii="Calibri" w:hAnsi="Calibri" w:cs="Calibri"/>
          <w:szCs w:val="24"/>
          <w:vertAlign w:val="superscript"/>
        </w:rPr>
        <w:t>18,19</w:t>
      </w:r>
      <w:r w:rsidR="00C90035">
        <w:fldChar w:fldCharType="end"/>
      </w:r>
      <w:r w:rsidR="00C90035">
        <w:t xml:space="preserve">.  </w:t>
      </w:r>
    </w:p>
    <w:p w14:paraId="4DE815EF" w14:textId="197BF91D" w:rsidR="00F84220" w:rsidRPr="00AD6B97" w:rsidRDefault="00F84220" w:rsidP="002A112A">
      <w:pPr>
        <w:pStyle w:val="Paragraphedeliste"/>
        <w:numPr>
          <w:ilvl w:val="0"/>
          <w:numId w:val="7"/>
        </w:numPr>
        <w:spacing w:after="0" w:line="324" w:lineRule="auto"/>
        <w:jc w:val="both"/>
        <w:rPr>
          <w:rStyle w:val="eop"/>
          <w:color w:val="000000" w:themeColor="text1"/>
        </w:rPr>
      </w:pPr>
      <w:r>
        <w:rPr>
          <w:b/>
          <w:bCs/>
          <w:u w:val="single"/>
        </w:rPr>
        <w:lastRenderedPageBreak/>
        <w:t xml:space="preserve">Metabolic activity of test systems: </w:t>
      </w:r>
      <w:r w:rsidR="003D2184" w:rsidRPr="00AD6B97">
        <w:rPr>
          <w:rStyle w:val="normaltextrun"/>
          <w:rFonts w:ascii="Calibri" w:hAnsi="Calibri" w:cs="Calibri"/>
          <w:color w:val="000000" w:themeColor="text1"/>
          <w:shd w:val="clear" w:color="auto" w:fill="FFFFFF"/>
        </w:rPr>
        <w:t>A major limitation of many</w:t>
      </w:r>
      <w:r w:rsidR="003D2184" w:rsidRPr="008A062B">
        <w:rPr>
          <w:rStyle w:val="normaltextrun"/>
          <w:rFonts w:ascii="Calibri" w:hAnsi="Calibri" w:cs="Calibri"/>
          <w:i/>
          <w:iCs/>
          <w:color w:val="000000" w:themeColor="text1"/>
          <w:shd w:val="clear" w:color="auto" w:fill="FFFFFF"/>
        </w:rPr>
        <w:t xml:space="preserve"> in vitro </w:t>
      </w:r>
      <w:r w:rsidR="003D2184" w:rsidRPr="00AD6B97">
        <w:rPr>
          <w:rStyle w:val="normaltextrun"/>
          <w:rFonts w:ascii="Calibri" w:hAnsi="Calibri" w:cs="Calibri"/>
          <w:color w:val="000000" w:themeColor="text1"/>
          <w:shd w:val="clear" w:color="auto" w:fill="FFFFFF"/>
        </w:rPr>
        <w:t>genotoxicity assays is the absence or insufficient representation of the metabolic activity that occurs in humans in vivo. Many chemicals require metabolic activatio</w:t>
      </w:r>
      <w:r w:rsidR="008A062B">
        <w:rPr>
          <w:rStyle w:val="normaltextrun"/>
          <w:rFonts w:ascii="Calibri" w:hAnsi="Calibri" w:cs="Calibri"/>
          <w:color w:val="000000" w:themeColor="text1"/>
          <w:shd w:val="clear" w:color="auto" w:fill="FFFFFF"/>
        </w:rPr>
        <w:t>n</w:t>
      </w:r>
      <w:r w:rsidR="003D2184" w:rsidRPr="00AD6B97">
        <w:rPr>
          <w:rStyle w:val="normaltextrun"/>
          <w:rFonts w:ascii="Calibri" w:hAnsi="Calibri" w:cs="Calibri"/>
          <w:color w:val="000000" w:themeColor="text1"/>
          <w:shd w:val="clear" w:color="auto" w:fill="FFFFFF"/>
        </w:rPr>
        <w:t xml:space="preserve"> to become genotoxic (e.g. benzo[</w:t>
      </w:r>
      <w:r w:rsidR="003D2184" w:rsidRPr="00AD6B97">
        <w:rPr>
          <w:rStyle w:val="normaltextrun"/>
          <w:rFonts w:ascii="Calibri" w:hAnsi="Calibri" w:cs="Calibri"/>
          <w:i/>
          <w:iCs/>
          <w:color w:val="000000" w:themeColor="text1"/>
          <w:shd w:val="clear" w:color="auto" w:fill="FFFFFF"/>
        </w:rPr>
        <w:t>a</w:t>
      </w:r>
      <w:r w:rsidR="003D2184" w:rsidRPr="00AD6B97">
        <w:rPr>
          <w:rStyle w:val="normaltextrun"/>
          <w:rFonts w:ascii="Calibri" w:hAnsi="Calibri" w:cs="Calibri"/>
          <w:color w:val="000000" w:themeColor="text1"/>
          <w:shd w:val="clear" w:color="auto" w:fill="FFFFFF"/>
        </w:rPr>
        <w:t>]pyrene; acrylamide)</w:t>
      </w:r>
      <w:r w:rsidR="00FF1719">
        <w:rPr>
          <w:rStyle w:val="normaltextrun"/>
          <w:rFonts w:ascii="Calibri" w:hAnsi="Calibri" w:cs="Calibri"/>
          <w:color w:val="000000" w:themeColor="text1"/>
          <w:shd w:val="clear" w:color="auto" w:fill="FFFFFF"/>
        </w:rPr>
        <w:fldChar w:fldCharType="begin"/>
      </w:r>
      <w:r w:rsidR="00E774F7">
        <w:rPr>
          <w:rStyle w:val="normaltextrun"/>
          <w:rFonts w:ascii="Calibri" w:hAnsi="Calibri" w:cs="Calibri"/>
          <w:color w:val="000000" w:themeColor="text1"/>
          <w:shd w:val="clear" w:color="auto" w:fill="FFFFFF"/>
        </w:rPr>
        <w:instrText xml:space="preserve"> ADDIN ZOTERO_ITEM CSL_CITATION {"citationID":"2YJ5wzfQ","properties":{"formattedCitation":"\\super 20\\uc0\\u8211{}23\\nosupersub{}","plainCitation":"20–23","noteIndex":0},"citationItems":[{"id":504,"uris":["http://zotero.org/users/11265134/items/AQBGDF9C"],"itemData":{"id":504,"type":"article-journal","abstract":"Many studies using mammalian cellular and subcellular systems have demonstrated that polycyclic aromatic hydrocarbons, including benzo[a]pyrene (BaP), are metabolically activated by cytochrome P450s (CYPs). In order to evaluate the role of hepatic versus extra-hepatic metabolism of BaP and its pharmacokinetics, we used the hepatic cytochrome P450 reductase null (HRN) mouse model, in which cytochrome P450 oxidoreductase, the unique electron donor to CYPs, is deleted specifically in hepatocytes, resulting in the loss of essentially all hepatic CYP function. HRN and wild-type (WT) mice were treated intraperitoneally (i.p.) with 125 mg/kg body wt BaP daily for up to 5 days. Clearance of BaP from blood was analysed by high-performance liquid chromatography with fluorescence detection. DNA adduct levels were measured by (32)P-post-labelling analysis with structural confirmation of the formation of 10-(deoxyguanosin-N(2)-yl)-7,8,9-trihydroxy-7,8,9,10-tetrahydrobenzo[a]pyrene by liquid chromatography-tandem mass spectrometry analysis. Hepatic microsomes isolated from BaP-treated and untreated mice were also incubated with BaP and DNA in vitro. BaP-DNA adduct formation was up to 7-fold lower with the microsomes from HRN mice than with that from WT mice. Most of the hepatic microsomal activation of BaP in vitro was attributable to CYP1A. Pharmacokinetic analysis of BaP in blood revealed no significant differences between HRN and WT mice. BaP-DNA adduct levels were higher in the livers (up to 13-fold) and elevated in several extra-hepatic tissues of HRN mice (by 1.7- to 2.6-fold) relative to WT mice. These data reveal an apparent paradox, whereby hepatic CYP enzymes appear to be more important for detoxification of BaP in vivo, despite being involved in its metabolic activation in vitro.","container-title":"Carcinogenesis","DOI":"10.1093/carcin/bgn002","ISSN":"1460-2180","issue":"3","journalAbbreviation":"Carcinogenesis","language":"eng","note":"PMID: 18204078","page":"656-665","source":"PubMed","title":"Metabolic activation of benzo[a]pyrene in vitro by hepatic cytochrome P450 contrasts with detoxification in vivo: experiments with hepatic cytochrome P450 reductase null mice","title-short":"Metabolic activation of benzo[a]pyrene in vitro by hepatic cytochrome P450 contrasts with detoxification in vivo","volume":"29","author":[{"family":"Arlt","given":"Volker M."},{"family":"Stiborová","given":"Marie"},{"family":"Henderson","given":"Colin J."},{"family":"Thiemann","given":"Markus"},{"family":"Frei","given":"Eva"},{"family":"Aimová","given":"Dagmar"},{"family":"Singh","given":"Rajinder"},{"family":"Gamboa da Costa","given":"Gonçalo"},{"family":"Schmitz","given":"Oliver J."},{"family":"Farmer","given":"Peter B."},{"family":"Wolf","given":"C. Roland"},{"family":"Phillips","given":"David H."}],"issued":{"date-parts":[["2008",3]]}}},{"id":507,"uris":["http://zotero.org/users/11265134/items/JP9AYU53"],"itemData":{"id":507,"type":"article-journal","abstract":"The S9 fraction was prepared from rats i.p. injected with a single dose of 75 mg/kg acrylamide. The efficiency of the acrylamide induction procedure was verified on Salmonella mutagenicity testing (TA98 and TA100) using a number of known mutagens. These mutagens are aflatoxin B1, benzo[alpha]pyrene, 2-acetylaminofluorene and sodium azide. The activity of the mutagen is measured in terms of histidine revertant numbers which were found to be almost proportional to the concentration of acrylamide-induced S9. The maximum activation of the mutagens (except sodium azide) was recorded using around 50 microliters of S9 per plate. The efficiency of our prepared S9 fraction as a metabolic activator for some known mutagens is comparable to that of standard S9. On the basis of our results, acrylamide-induced S9 demonstrated considerable increase in the activation of the tested compounds. Accordingly, acrylamide could be used as an additional procedure for the induction of rat hepatic enzymes (S9).","container-title":"Mutation Research","DOI":"10.1016/0165-1218(93)90126-x","ISSN":"0027-5107","issue":"2","journalAbbreviation":"Mutat Res","language":"eng","note":"PMID: 7685498","page":"91-97","source":"PubMed","title":"Acrylamide as an inducer of metabolic activation system (S9) in rats","volume":"300","author":[{"family":"Din","given":"A. Y.","non-dropping-particle":"el-"},{"family":"Maskati","given":"H. A.","non-dropping-particle":"al-"},{"family":"Mohamed","given":"A. Y."},{"family":"Dairi","given":"M. G."}],"issued":{"date-parts":[["1993",7]]}}},{"id":522,"uris":["http://zotero.org/users/11265134/items/9X3YDJVT"],"itemData":{"id":522,"type":"article-journal","abstract":"The recent finding that acrylamide (AA), a genotoxic rodent carcinogen, is formed during the frying or baking of a variety of foods raises human health concerns. AA is known to be metabolized by cytochrome P450 2E1 (CYP2E1) to glycidamide (GA), which is responsible for AA's in vivo genotoxicity and probable carcinogenicity. In in-vitro mammalian cell tests, however, AA genotoxicity is not enhanced by rat liver S9 or a human liver microsomal fraction. In an attempt to demonstrate the in vitro expression of AA genotoxicity, we employed Salmonella strains and human cell lines that overexpress human CYP2E1. In the umu test, however, AA was not genotoxic in the CYP2E1-expressing Salmonella strain or its parental strain. Moreover, a transgenic human lymphoblastoid cell line overexpressing CYP2E1 (h2E1v2) and its parental cell line (AHH-1) both showed equally weak cytotoxic and genotoxic responses to high (&gt;1 mM) AA concentrations. The DNA adduct N7-GA-Gua, which is detected in liver following AA treatment in vivo, was not substantially formed in the in vitro system. These results indicate that AA was not metabolically activated to GA in vitro. Thus, AA is not relevantly genotoxic in vitro, although its in vivo genotoxicity was clearly demonstrated.","container-title":"Environmental and Molecular Mutagenesis","DOI":"10.1002/em.20560","ISSN":"1098-2280","issue":"1","journalAbbreviation":"Environ Mol Mutagen","language":"eng","note":"PMID: 20209648","page":"11-19","source":"PubMed","title":"Genotoxicity of acrylamide in vitro: Acrylamide is not metabolically activated in standard in vitro systems","title-short":"Genotoxicity of acrylamide in vitro","volume":"52","author":[{"family":"Koyama","given":"Naoki"},{"family":"Yasui","given":"Manabu"},{"family":"Oda","given":"Yoshimitsu"},{"family":"Suzuki","given":"Satoshi"},{"family":"Satoh","given":"Tetsuo"},{"family":"Suzuki","given":"Takuya"},{"family":"Matsuda","given":"Tomonari"},{"family":"Masuda","given":"Shuichi"},{"family":"Kinae","given":"Naohide"},{"family":"Honma","given":"Masamitsu"}],"issued":{"date-parts":[["2011",1]]}}},{"id":524,"uris":["http://zotero.org/users/11265134/items/MDA5UZMB"],"itemData":{"id":524,"type":"article-journal","abstract":"Chemicals often require metabolic activation to become genotoxic. Established test guidelines recommend the use of the rat liver S9 fraction or microsomes to introduce metabolic competence to in vitro cell-based bioassays, but the use of animal-derived components in cell culture raises ethical concerns and may lead to quality issues and reproducibility problems. The aim of the present study was to compare the metabolic activation of cyclophosphamide (CPA) and benzo[a]pyrene (BaP) by induced rat liver microsomes and an abiotic cytochrome P450 (CYP) enzyme based on a biomimetic porphyrine catalyst. For the detection of genotoxic effects, the chemicals were tested in a reporter gene assay targeting the activation of the cellular tumor protein p53. Both chemicals were metabolized by the abiotic CYP enzyme and the microsomes. CPA showed no activation of p53 and low cytotoxicity without metabolic activation, but strong activation of p53 and increased cytotoxicity upon incubation with liver microsomes or abiotic CYP enzyme. The effect concentration causing a 1.5-fold induction of p53 activation was very similar with both metabolization systems (within a factor of 1.5), indicating that genotoxic metabolites were formed at comparable concentrations. BaP also showed low cytotoxicity and no p53 activation without metabolic activation. The activation of p53 was detected for BaP upon incubation with active and inactive microsomes at similar concentrations, indicating experimental artifacts caused by the microsomes or NADPH. The activation of BaP with the abiotic CYP enzyme increased the cytotoxicity of BaP by a factor of 8, but no activation of p53 was detected. The results indicate that abiotic CYP enzymes may present an alternative to rat liver S9 fraction or microsomes for the metabolic activation of test chemicals, which are completely free of animal-derived components. However, an amendment of existing test guidelines would require testing of more chemicals and genotoxicity end points.","container-title":"Chemical Research in Toxicology","DOI":"10.1021/acs.chemrestox.4c00101","ISSN":"0893-228X","issue":"8","journalAbbreviation":"Chem. Res. Toxicol.","note":"publisher: American Chemical Society","page":"1364-1373","source":"ACS Publications","title":"In Vitro Metabolism and p53 Activation of Genotoxic Chemicals: Abiotic CYP Enzyme vs Liver Microsomes","title-short":"In Vitro Metabolism and p53 Activation of Genotoxic Chemicals","volume":"37","author":[{"family":"Henneberger","given":"Luise"},{"family":"Huchthausen","given":"Julia"},{"family":"Braasch","given":"Jenny"},{"family":"König","given":"Maria"},{"family":"Escher","given":"Beate I."}],"issued":{"date-parts":[["2024",8,19]]}}}],"schema":"https://github.com/citation-style-language/schema/raw/master/csl-citation.json"} </w:instrText>
      </w:r>
      <w:r w:rsidR="00FF1719">
        <w:rPr>
          <w:rStyle w:val="normaltextrun"/>
          <w:rFonts w:ascii="Calibri" w:hAnsi="Calibri" w:cs="Calibri"/>
          <w:color w:val="000000" w:themeColor="text1"/>
          <w:shd w:val="clear" w:color="auto" w:fill="FFFFFF"/>
        </w:rPr>
        <w:fldChar w:fldCharType="separate"/>
      </w:r>
      <w:r w:rsidR="00E774F7" w:rsidRPr="00E774F7">
        <w:rPr>
          <w:rFonts w:ascii="Calibri" w:hAnsi="Calibri" w:cs="Calibri"/>
          <w:szCs w:val="24"/>
          <w:vertAlign w:val="superscript"/>
        </w:rPr>
        <w:t>20–23</w:t>
      </w:r>
      <w:r w:rsidR="00FF1719">
        <w:rPr>
          <w:rStyle w:val="normaltextrun"/>
          <w:rFonts w:ascii="Calibri" w:hAnsi="Calibri" w:cs="Calibri"/>
          <w:color w:val="000000" w:themeColor="text1"/>
          <w:shd w:val="clear" w:color="auto" w:fill="FFFFFF"/>
        </w:rPr>
        <w:fldChar w:fldCharType="end"/>
      </w:r>
      <w:r w:rsidR="003D2184" w:rsidRPr="00AD6B97">
        <w:rPr>
          <w:rStyle w:val="normaltextrun"/>
          <w:rFonts w:ascii="Calibri" w:hAnsi="Calibri" w:cs="Calibri"/>
          <w:i/>
          <w:iCs/>
          <w:color w:val="000000" w:themeColor="text1"/>
          <w:shd w:val="clear" w:color="auto" w:fill="FFFFFF"/>
        </w:rPr>
        <w:t>. In vitro</w:t>
      </w:r>
      <w:r w:rsidR="003D2184" w:rsidRPr="00AD6B97">
        <w:rPr>
          <w:rStyle w:val="normaltextrun"/>
          <w:rFonts w:ascii="Calibri" w:hAnsi="Calibri" w:cs="Calibri"/>
          <w:color w:val="000000" w:themeColor="text1"/>
          <w:shd w:val="clear" w:color="auto" w:fill="FFFFFF"/>
        </w:rPr>
        <w:t xml:space="preserve"> test systems often lack the necessary metabolic enzymes or co-factors to simulate this process, leading to false negatives for chemicals that need activation to induce genotoxic effects. Some </w:t>
      </w:r>
      <w:r w:rsidR="003D2184" w:rsidRPr="00AD6B97">
        <w:rPr>
          <w:rStyle w:val="normaltextrun"/>
          <w:rFonts w:ascii="Calibri" w:hAnsi="Calibri" w:cs="Calibri"/>
          <w:i/>
          <w:iCs/>
          <w:color w:val="000000" w:themeColor="text1"/>
          <w:shd w:val="clear" w:color="auto" w:fill="FFFFFF"/>
        </w:rPr>
        <w:t>in vitro</w:t>
      </w:r>
      <w:r w:rsidR="003D2184" w:rsidRPr="00AD6B97">
        <w:rPr>
          <w:rStyle w:val="normaltextrun"/>
          <w:rFonts w:ascii="Calibri" w:hAnsi="Calibri" w:cs="Calibri"/>
          <w:color w:val="000000" w:themeColor="text1"/>
          <w:shd w:val="clear" w:color="auto" w:fill="FFFFFF"/>
        </w:rPr>
        <w:t xml:space="preserve"> assays address this by incorporating liver microsomes or S9 metabolic activation systems</w:t>
      </w:r>
      <w:r w:rsidR="002D67E6">
        <w:rPr>
          <w:rStyle w:val="normaltextrun"/>
          <w:rFonts w:ascii="Calibri" w:hAnsi="Calibri" w:cs="Calibri"/>
          <w:color w:val="000000" w:themeColor="text1"/>
          <w:shd w:val="clear" w:color="auto" w:fill="FFFFFF"/>
        </w:rPr>
        <w:fldChar w:fldCharType="begin"/>
      </w:r>
      <w:r w:rsidR="00E774F7">
        <w:rPr>
          <w:rStyle w:val="normaltextrun"/>
          <w:rFonts w:ascii="Calibri" w:hAnsi="Calibri" w:cs="Calibri"/>
          <w:color w:val="000000" w:themeColor="text1"/>
          <w:shd w:val="clear" w:color="auto" w:fill="FFFFFF"/>
        </w:rPr>
        <w:instrText xml:space="preserve"> ADDIN ZOTERO_ITEM CSL_CITATION {"citationID":"fPDlYwWe","properties":{"formattedCitation":"\\super 24\\nosupersub{}","plainCitation":"24","noteIndex":0},"citationItems":[{"id":509,"uris":["http://zotero.org/users/11265134/items/L5WGCL8H"],"itemData":{"id":509,"type":"article-journal","abstract":"We previously described a set of four strains of Salmonella typhimurium designed for detecting the various types of mutagens, and showed their utility in detecting a wide variety of carcinogens as mutagens. The lipopolysaccharide that normally coats these bacteria is a barrier to penetration of mutagens to the cell membrane. The set of tester strains has been improved by adding a mutation (rfa: deep rough) that results in a deficient lipopolysaccharide. The techniques for using these strains for detecting mutagens are presented and the tests are shown to be extremely sensitive and convenient. The specificity of frameshift mutagenesis is clarified. As adjuncts to the test with the four strains, we describe a test that compares mutagenic killing in deep rough strains with and without DNA excision repair, and a test using forward mutagenesis in a deep rough strain lacking excision repair.","container-title":"Proceedings of the National Academy of Sciences of the United States of America","DOI":"10.1073/pnas.70.3.782","ISSN":"0027-8424","issue":"3","journalAbbreviation":"Proc Natl Acad Sci U S A","language":"eng","note":"PMID: 4577135\nPMCID: PMC433358","page":"782-786","source":"PubMed","title":"An improved bacterial test system for the detection and classification of mutagens and carcinogens","volume":"70","author":[{"family":"Ames","given":"B. N."},{"family":"Lee","given":"F. D."},{"family":"Durston","given":"W. E."}],"issued":{"date-parts":[["1973",3]]}}}],"schema":"https://github.com/citation-style-language/schema/raw/master/csl-citation.json"} </w:instrText>
      </w:r>
      <w:r w:rsidR="002D67E6">
        <w:rPr>
          <w:rStyle w:val="normaltextrun"/>
          <w:rFonts w:ascii="Calibri" w:hAnsi="Calibri" w:cs="Calibri"/>
          <w:color w:val="000000" w:themeColor="text1"/>
          <w:shd w:val="clear" w:color="auto" w:fill="FFFFFF"/>
        </w:rPr>
        <w:fldChar w:fldCharType="separate"/>
      </w:r>
      <w:r w:rsidR="00E774F7" w:rsidRPr="00E774F7">
        <w:rPr>
          <w:rFonts w:ascii="Calibri" w:hAnsi="Calibri" w:cs="Calibri"/>
          <w:szCs w:val="24"/>
          <w:vertAlign w:val="superscript"/>
        </w:rPr>
        <w:t>24</w:t>
      </w:r>
      <w:r w:rsidR="002D67E6">
        <w:rPr>
          <w:rStyle w:val="normaltextrun"/>
          <w:rFonts w:ascii="Calibri" w:hAnsi="Calibri" w:cs="Calibri"/>
          <w:color w:val="000000" w:themeColor="text1"/>
          <w:shd w:val="clear" w:color="auto" w:fill="FFFFFF"/>
        </w:rPr>
        <w:fldChar w:fldCharType="end"/>
      </w:r>
      <w:r w:rsidR="003D2184" w:rsidRPr="00AD6B97">
        <w:rPr>
          <w:rStyle w:val="normaltextrun"/>
          <w:rFonts w:ascii="Calibri" w:hAnsi="Calibri" w:cs="Calibri"/>
          <w:color w:val="000000" w:themeColor="text1"/>
          <w:shd w:val="clear" w:color="auto" w:fill="FFFFFF"/>
        </w:rPr>
        <w:t>, which contain enzymes like cytochrome P450</w:t>
      </w:r>
      <w:r w:rsidR="002D67E6">
        <w:rPr>
          <w:rStyle w:val="normaltextrun"/>
          <w:rFonts w:ascii="Calibri" w:hAnsi="Calibri" w:cs="Calibri"/>
          <w:color w:val="000000" w:themeColor="text1"/>
          <w:shd w:val="clear" w:color="auto" w:fill="FFFFFF"/>
        </w:rPr>
        <w:fldChar w:fldCharType="begin"/>
      </w:r>
      <w:r w:rsidR="00E774F7">
        <w:rPr>
          <w:rStyle w:val="normaltextrun"/>
          <w:rFonts w:ascii="Calibri" w:hAnsi="Calibri" w:cs="Calibri"/>
          <w:color w:val="000000" w:themeColor="text1"/>
          <w:shd w:val="clear" w:color="auto" w:fill="FFFFFF"/>
        </w:rPr>
        <w:instrText xml:space="preserve"> ADDIN ZOTERO_ITEM CSL_CITATION {"citationID":"rRJ38dlM","properties":{"formattedCitation":"\\super 25\\nosupersub{}","plainCitation":"25","noteIndex":0},"citationItems":[{"id":512,"uris":["http://zotero.org/users/11265134/items/6PHFYY2D"],"itemData":{"id":512,"type":"article-journal","abstract":"The Ames test is used worldwide to initially screen the mutagenic potential of new chemicals. In the standard Ames test, S. typhimurium strains (TA100, TA98, TA1535, and TA1537) and Escherichia coli (WP2uvrA) are treated with substances with/without cytochrome P450s (CYPs)-induced rat S9 fractions for identifying mutagens and pro-mutagens. However, many substances show completely different toxicity patterns depending on whether the liver S9 fraction belongs to rats or humans. The natural product Polygoni Multiflori Radix (PMR) can also show bacterial reverse mutation, followed by the rat or human liver S9 fraction. While PMR elicits reverse mutations in the TA1537 strain in rat liver S9 but not in human liver S9, this mechanism has not been verified yet. To explain this, the differences in metabolic enzymes compositions commonly observed between rats and humans have been implicated. This study aimed to explore the key factors that cause differences in the genotoxicity of PMR between rat and human liver S9 metabolic enzymes. The results of next-generation sequencing (NGS) analysis showed that both rat and human metabolic enzymes caused similar mutations in TA1537. However, when the metabolic enzymes in each S9 fraction were analyzed using ion mobility tandem mass spectrometry (IM-MS), rat- and human-specific enzymes were identified among the cytochrome (CYP) family, especially aryl hydrocarbon receptor (AHR)-related CYPs. These findings suggest that CYP1A1 isoforms contribute to the mechanism of PMR in the Ames test. Therefore, an in vitro Ames test might be more reliable in predicting genotoxicity for both rodents and humans. This will also help overcome the limitations of laboratory animal-based toxicity evaluations, which provide unreliable results due to interspecies differences between humans and rodents.","container-title":"Scientific Reports","DOI":"10.1038/s41598-024-72283-5","ISSN":"2045-2322","issue":"1","journalAbbreviation":"Sci Rep","language":"en","license":"2024 The Author(s)","note":"publisher: Nature Publishing Group","page":"21433","source":"www.nature.com","title":"Differential genotoxicity of Polygoni Multiflori in rat and human: insights from Ames test and S9 metabolic activation system","title-short":"Differential genotoxicity of Polygoni Multiflori in rat and human","volume":"14","author":[{"family":"Bak","given":"Su-Min"},{"family":"Back","given":"Seng-Min"},{"family":"Kim","given":"Da Yeon"},{"family":"Jung","given":"Soyoung"},{"family":"Jeung","given":"Na-Young"},{"family":"Kim","given":"Nan-Young"},{"family":"Han","given":"Kang-Hyun"},{"family":"Kim","given":"Yong-Bum"},{"family":"Lee","given":"Byoung-Seok"},{"family":"Park","given":"Jun Hong"},{"family":"Cho","given":"Hee Jun"},{"family":"Lee","given":"Hee Gu"},{"family":"Ozden","given":"Ozkan"},{"family":"Kim","given":"Sang Kyum"},{"family":"Park","given":"Seong-Hoon"}],"issued":{"date-parts":[["2024",9,13]]}}}],"schema":"https://github.com/citation-style-language/schema/raw/master/csl-citation.json"} </w:instrText>
      </w:r>
      <w:r w:rsidR="002D67E6">
        <w:rPr>
          <w:rStyle w:val="normaltextrun"/>
          <w:rFonts w:ascii="Calibri" w:hAnsi="Calibri" w:cs="Calibri"/>
          <w:color w:val="000000" w:themeColor="text1"/>
          <w:shd w:val="clear" w:color="auto" w:fill="FFFFFF"/>
        </w:rPr>
        <w:fldChar w:fldCharType="separate"/>
      </w:r>
      <w:r w:rsidR="00E774F7" w:rsidRPr="00E774F7">
        <w:rPr>
          <w:rFonts w:ascii="Calibri" w:hAnsi="Calibri" w:cs="Calibri"/>
          <w:szCs w:val="24"/>
          <w:vertAlign w:val="superscript"/>
        </w:rPr>
        <w:t>25</w:t>
      </w:r>
      <w:r w:rsidR="002D67E6">
        <w:rPr>
          <w:rStyle w:val="normaltextrun"/>
          <w:rFonts w:ascii="Calibri" w:hAnsi="Calibri" w:cs="Calibri"/>
          <w:color w:val="000000" w:themeColor="text1"/>
          <w:shd w:val="clear" w:color="auto" w:fill="FFFFFF"/>
        </w:rPr>
        <w:fldChar w:fldCharType="end"/>
      </w:r>
      <w:r w:rsidR="003D2184" w:rsidRPr="00AD6B97">
        <w:rPr>
          <w:rStyle w:val="normaltextrun"/>
          <w:rFonts w:ascii="Calibri" w:hAnsi="Calibri" w:cs="Calibri"/>
          <w:color w:val="000000" w:themeColor="text1"/>
          <w:shd w:val="clear" w:color="auto" w:fill="FFFFFF"/>
        </w:rPr>
        <w:t>. However, these systems, especially those derived from non-human species, may not fully mimic human metabolism, causing inaccuracies in the safety assessment</w:t>
      </w:r>
      <w:r w:rsidR="002D67E6">
        <w:rPr>
          <w:rStyle w:val="normaltextrun"/>
          <w:rFonts w:ascii="Calibri" w:hAnsi="Calibri" w:cs="Calibri"/>
          <w:color w:val="000000" w:themeColor="text1"/>
          <w:shd w:val="clear" w:color="auto" w:fill="FFFFFF"/>
        </w:rPr>
        <w:fldChar w:fldCharType="begin"/>
      </w:r>
      <w:r w:rsidR="00E774F7">
        <w:rPr>
          <w:rStyle w:val="normaltextrun"/>
          <w:rFonts w:ascii="Calibri" w:hAnsi="Calibri" w:cs="Calibri"/>
          <w:color w:val="000000" w:themeColor="text1"/>
          <w:shd w:val="clear" w:color="auto" w:fill="FFFFFF"/>
        </w:rPr>
        <w:instrText xml:space="preserve"> ADDIN ZOTERO_ITEM CSL_CITATION {"citationID":"qWSsEWV2","properties":{"formattedCitation":"\\super 22,26\\uc0\\u8211{}28\\nosupersub{}","plainCitation":"22,26–28","noteIndex":0},"citationItems":[{"id":522,"uris":["http://zotero.org/users/11265134/items/9X3YDJVT"],"itemData":{"id":522,"type":"article-journal","abstract":"The recent finding that acrylamide (AA), a genotoxic rodent carcinogen, is formed during the frying or baking of a variety of foods raises human health concerns. AA is known to be metabolized by cytochrome P450 2E1 (CYP2E1) to glycidamide (GA), which is responsible for AA's in vivo genotoxicity and probable carcinogenicity. In in-vitro mammalian cell tests, however, AA genotoxicity is not enhanced by rat liver S9 or a human liver microsomal fraction. In an attempt to demonstrate the in vitro expression of AA genotoxicity, we employed Salmonella strains and human cell lines that overexpress human CYP2E1. In the umu test, however, AA was not genotoxic in the CYP2E1-expressing Salmonella strain or its parental strain. Moreover, a transgenic human lymphoblastoid cell line overexpressing CYP2E1 (h2E1v2) and its parental cell line (AHH-1) both showed equally weak cytotoxic and genotoxic responses to high (&gt;1 mM) AA concentrations. The DNA adduct N7-GA-Gua, which is detected in liver following AA treatment in vivo, was not substantially formed in the in vitro system. These results indicate that AA was not metabolically activated to GA in vitro. Thus, AA is not relevantly genotoxic in vitro, although its in vivo genotoxicity was clearly demonstrated.","container-title":"Environmental and Molecular Mutagenesis","DOI":"10.1002/em.20560","ISSN":"1098-2280","issue":"1","journalAbbreviation":"Environ Mol Mutagen","language":"eng","note":"PMID: 20209648","page":"11-19","source":"PubMed","title":"Genotoxicity of acrylamide in vitro: Acrylamide is not metabolically activated in standard in vitro systems","title-short":"Genotoxicity of acrylamide in vitro","volume":"52","author":[{"family":"Koyama","given":"Naoki"},{"family":"Yasui","given":"Manabu"},{"family":"Oda","given":"Yoshimitsu"},{"family":"Suzuki","given":"Satoshi"},{"family":"Satoh","given":"Tetsuo"},{"family":"Suzuki","given":"Takuya"},{"family":"Matsuda","given":"Tomonari"},{"family":"Masuda","given":"Shuichi"},{"family":"Kinae","given":"Naohide"},{"family":"Honma","given":"Masamitsu"}],"issued":{"date-parts":[["2011",1]]}}},{"id":514,"uris":["http://zotero.org/users/11265134/items/7MRWD3KM"],"itemData":{"id":514,"type":"article-journal","abstract":"The role of metabolism in genotoxicity and carcinogenicity of many chemicals is well established. Accordingly, both in vitro metabolic activation systems and in vivo assays are routinely utilized for genotoxic hazard identification of drug candidates prior to clinical investigations. This should, in most cases provide a high degree of confidence that the genotoxic potential of the parent and associated metabolites have been characterized. However, it is well known that significant differences can exist between human metabolism and that which occurs with in vitro and in vivo genotoxicity tests. This poses challenges when considering the adequacy of hazard identification and cancer risk assessment if a human metabolite of genotoxic concern is identified during the course of drug development. Since such challenges are particularly problematic when recognized in the later stages of drug development, a framework for conducting a carcinogenic risk assessment for human genotoxic metabolites is desirable. Here, we propose a risk assessment method that is dependent upon the availability of quantitative human and rodent ADME (absorption, distribution, metabolism, excretion) data, such that exposures to a metabolite of genotoxic concern can be estimated at the intended human efficacious dose and the maximum dose used in the 2-year rodent bioassay(s). The exposures are then applied to the risk assessment framework, based on known cancer potencies, that allows one to understand the probability of a known or suspect genotoxic metabolite posing a carcinogenic risk in excess of 1 in 100,000. Practical case examples are presented to illustrate the application of the risk assessment method within the context of drug development and to highlight its utility and limitations.","container-title":"Chemical Research in Toxicology","DOI":"10.1021/tx8004339","ISSN":"1520-5010","issue":"2","journalAbbreviation":"Chem Res Toxicol","language":"eng","note":"PMID: 19170655","page":"348-356","source":"PubMed","title":"A strategy for the risk assessment of human genotoxic metabolites","volume":"22","author":[{"family":"Dobo","given":"Krista L."},{"family":"Obach","given":"R. Scott"},{"family":"Luffer-Atlas","given":"Debra"},{"family":"Bercu","given":"Joel P."}],"issued":{"date-parts":[["2009",2]]}},"label":"page"},{"id":528,"uris":["http://zotero.org/users/11265134/items/8AD6FAV5"],"itemData":{"id":528,"type":"article-journal","abstract":"Metabolism has to be considered during the toxicological assessment of chemical and environmental samples because it is an important process in the mammalian liver. It can be assessed in vitro via liver homogenates called S9-fractions, an external metabolic activation system. However, the external metabolic activation systems can vary greatly in their composition due to biological variations among individual animals and animal strains that the S9-fraction are derived as well as the differences in the production treatment. To gain more insight into these variances, three different but commonly used rat-derived S9-fractions were compared in the present study for their variance and performance with a reference compound in the Ames fluctuation assay with Salmonella typhimurium strains TA 98 and TA 100 according to ISO 11350. Severe shortcomings of conventional rat-derived S9-fractions were observed in the present study, such that S9-fractions differed significantly within the same rat strain and for different types of induction procedures in regards to the metabolic capability. An intrinsic mutagenic potential of the three rat-derived S9-fractions were identified in the Ames fluctuation assay with varying S9-fraction concentrations. To address some of the shortcomings of the animal-derived S9-fraction, the present study investigated the use and performance of a biotechnological, animal-free alternative, ewoS9R, in comparison to one of the rat-derived S9-fraction as the others showed a mutagenic potential themselves. Specifically, 12 different chemicals were used as a reference to determine if ewoS9R could serve as an adequate and more consistent replacement of traditional rat-derived metabolic activation systems: 8 pro-mutagenic compounds (i.e., require metabolic activation to show a mutagenic potential), one pro-mutagenic compound but not in the tested strains, one mutagenic compound without metabolic activation and two compounds that are equivocal in the literature. EwoS9R was evaluated as a promising approach in the Ames fluctuation assay with 5 compounds observed to have similar results with both rat-derived S9-fraction and ewoS9R (41%), for 3 compounds ewoS9R was a better metabolization system than the rat-derived S9-fraction (16%). Further research is necessary to determine the full potential of ewoS9R in comparison to rat-derived S9-fractions.","container-title":"The Science of the Total Environment","DOI":"10.1016/j.scitotenv.2020.143522","ISSN":"1879-1026","journalAbbreviation":"Sci Total Environ","language":"eng","note":"PMID: 33246726","page":"143522","source":"PubMed","title":"Is a liver comparable to a liver? A comparison of different rat-derived S9-fractions with a biotechnological animal-free alternative in the Ames fluctuation assay","title-short":"Is a liver comparable to a liver?","volume":"759","author":[{"family":"Brendt","given":"Julia"},{"family":"Crawford","given":"Sarah E."},{"family":"Velki","given":"Mirna"},{"family":"Xiao","given":"Hongxia"},{"family":"Thalmann","given":"Beat"},{"family":"Hollert","given":"Henner"},{"family":"Schiwy","given":"Andreas"}],"issued":{"date-parts":[["2021",3,10]]}}},{"id":526,"uris":["http://zotero.org/users/11265134/items/U2EYBLKN"],"itemData":{"id":526,"type":"article-journal","abstract":"The standard regulatory core battery of genotoxicity tests generally includes 2 or 3 validated tests with at least one in vitro test in bacteria and one in vitro test on cell cultures. However, limitations in in vitro genotoxicity testing may exist at many levels. The knowledge of the underlying mechanisms of genotoxicity is particularly useful to assess the level of relevance for the in vivo situation. In order to avoid wrong conclusions regarding the actual genotoxicity status of any test substance, it appears very important to be aware of the various origins of related bias leading to 'false positives and negatives' by using in vitro methods. Among these, mention may be made on the metabolic activation system, experimental (extreme) conditions, specificities of the test systems implemented, cell type used etc. The knowledge of the actual 'limits' of the in vitro test systems used is clearly an advantage and may contribute to avoid some pitfalls in order to better assess the level of relevance for the in vivo situation.","container-title":"Food and Chemical Toxicology: An International Journal Published for the British Industrial Biological Research Association","DOI":"10.1016/j.fct.2016.08.035","ISSN":"1873-6351","issue":"Pt B","journalAbbreviation":"Food Chem Toxicol","language":"eng","note":"PMID: 27591928","page":"609-615","source":"PubMed","title":"The current limitations of in vitro genotoxicity testing and their relevance to the in vivo situation","volume":"106","author":[{"family":"Nesslany","given":"Fabrice"}],"issued":{"date-parts":[["2017",8]]}}}],"schema":"https://github.com/citation-style-language/schema/raw/master/csl-citation.json"} </w:instrText>
      </w:r>
      <w:r w:rsidR="002D67E6">
        <w:rPr>
          <w:rStyle w:val="normaltextrun"/>
          <w:rFonts w:ascii="Calibri" w:hAnsi="Calibri" w:cs="Calibri"/>
          <w:color w:val="000000" w:themeColor="text1"/>
          <w:shd w:val="clear" w:color="auto" w:fill="FFFFFF"/>
        </w:rPr>
        <w:fldChar w:fldCharType="separate"/>
      </w:r>
      <w:r w:rsidR="00E774F7" w:rsidRPr="00E774F7">
        <w:rPr>
          <w:rFonts w:ascii="Calibri" w:hAnsi="Calibri" w:cs="Calibri"/>
          <w:szCs w:val="24"/>
          <w:vertAlign w:val="superscript"/>
        </w:rPr>
        <w:t>22,26–28</w:t>
      </w:r>
      <w:r w:rsidR="002D67E6">
        <w:rPr>
          <w:rStyle w:val="normaltextrun"/>
          <w:rFonts w:ascii="Calibri" w:hAnsi="Calibri" w:cs="Calibri"/>
          <w:color w:val="000000" w:themeColor="text1"/>
          <w:shd w:val="clear" w:color="auto" w:fill="FFFFFF"/>
        </w:rPr>
        <w:fldChar w:fldCharType="end"/>
      </w:r>
      <w:r w:rsidR="003D2184" w:rsidRPr="00AD6B97">
        <w:rPr>
          <w:rStyle w:val="normaltextrun"/>
          <w:rFonts w:ascii="Calibri" w:hAnsi="Calibri" w:cs="Calibri"/>
          <w:color w:val="000000" w:themeColor="text1"/>
          <w:shd w:val="clear" w:color="auto" w:fill="FFFFFF"/>
        </w:rPr>
        <w:t>.</w:t>
      </w:r>
      <w:r w:rsidR="003D2184" w:rsidRPr="00AD6B97">
        <w:rPr>
          <w:rStyle w:val="eop"/>
          <w:rFonts w:ascii="Calibri" w:hAnsi="Calibri" w:cs="Calibri"/>
          <w:color w:val="000000" w:themeColor="text1"/>
          <w:shd w:val="clear" w:color="auto" w:fill="FFFFFF"/>
        </w:rPr>
        <w:t> </w:t>
      </w:r>
    </w:p>
    <w:p w14:paraId="115F1E45" w14:textId="77777777" w:rsidR="003D2184" w:rsidRDefault="003D2184" w:rsidP="00AD6B97">
      <w:pPr>
        <w:pStyle w:val="Paragraphedeliste"/>
        <w:spacing w:after="0" w:line="324" w:lineRule="auto"/>
        <w:ind w:left="1080"/>
        <w:jc w:val="both"/>
      </w:pPr>
    </w:p>
    <w:p w14:paraId="1146DF5E" w14:textId="236662A7" w:rsidR="00C1188E" w:rsidRDefault="00C1188E" w:rsidP="00CA2284">
      <w:pPr>
        <w:spacing w:after="0" w:line="324" w:lineRule="auto"/>
        <w:jc w:val="both"/>
      </w:pPr>
    </w:p>
    <w:p w14:paraId="584780C3" w14:textId="15CC8D7E" w:rsidR="003A6676" w:rsidRDefault="008E4A9C" w:rsidP="00CA2284">
      <w:pPr>
        <w:spacing w:after="0" w:line="324" w:lineRule="auto"/>
        <w:jc w:val="both"/>
      </w:pPr>
      <w:r>
        <w:lastRenderedPageBreak/>
        <w:t>Modern regulatory genotoxicology thus need</w:t>
      </w:r>
      <w:r w:rsidRPr="00A62992">
        <w:t xml:space="preserve">s affordable tests </w:t>
      </w:r>
      <w:r>
        <w:t>with</w:t>
      </w:r>
      <w:r w:rsidRPr="00A62992">
        <w:t xml:space="preserve"> </w:t>
      </w:r>
      <w:r>
        <w:t>higher throughput</w:t>
      </w:r>
      <w:r w:rsidRPr="00A62992">
        <w:t xml:space="preserve"> </w:t>
      </w:r>
      <w:r>
        <w:t>and higher content</w:t>
      </w:r>
      <w:r w:rsidRPr="00A62992">
        <w:t xml:space="preserve">, </w:t>
      </w:r>
      <w:r>
        <w:t xml:space="preserve">that are at the same time </w:t>
      </w:r>
      <w:r w:rsidRPr="00A62992">
        <w:t>human-relevant and</w:t>
      </w:r>
      <w:r>
        <w:t xml:space="preserve"> provide </w:t>
      </w:r>
      <w:r w:rsidRPr="00A62992">
        <w:t xml:space="preserve">mechanistic </w:t>
      </w:r>
      <w:r>
        <w:t>information</w:t>
      </w:r>
      <w:r w:rsidRPr="00A62992">
        <w:t xml:space="preserve"> for effective chemical </w:t>
      </w:r>
      <w:r w:rsidR="00CA2284" w:rsidRPr="00A62992">
        <w:t>evaluation</w:t>
      </w:r>
      <w:r w:rsidR="00CA2284">
        <w:fldChar w:fldCharType="begin"/>
      </w:r>
      <w:r w:rsidR="005401A3">
        <w:instrText xml:space="preserve"> ADDIN ZOTERO_ITEM CSL_CITATION {"citationID":"kY9EeuiN","properties":{"formattedCitation":"\\super 14\\nosupersub{}","plainCitation":"14","noteIndex":0},"citationItems":[{"id":25,"uris":["http://zotero.org/users/11265134/items/QE8SGMTL"],"itemData":{"id":25,"type":"article-journal","abstract":"Higher-throughput, mode-of-action-based assays provide a valuable approach to expedite chemical evaluation for human health risk assessment. In this study, we combined the high-throughput alkaline DNA damage-sensing CometChip® assay with the TGx-DDI transcriptomic biomarker (DDI = DNA damage-inducing) using high-throughput TempO-Seq®, as an integrated genotoxicity testing approach. We used metabolically competent differentiated human HepaRG™ cell cultures to enable the identification of chemicals that require bioactivation to cause genotoxicity. We studied 12 chemicals (nine DDI, three non-DDI) in increasing concentrations to measure and classify chemicals based on their ability to damage DNA. The CometChip® classified 10/12 test chemicals correctly, missing a positive DDI call for aflatoxin B1 and propyl gallate. The poor detection of aflatoxin B1 adducts is consistent with the insensitivity of the standard alkaline comet assay to bulky lesions (a shortcoming that can be overcome by trapping repair intermediates). The TGx-DDI biomarker accurately classified 10/12 agents. TGx-DDI correctly identified aflatoxin B1 as DDI, demonstrating efficacy for combined used of these complementary methodologies. Zidovudine, a known DDI chemical, was misclassified as it inhibits transcription, which prevents measurable changes in gene expression. Eugenol, a non-DDI chemical known to render misleading positive results at high concentrations, was classified as DDI at the highest concentration tested. When combined, the CometChip® assay and the TGx-DDI biomarker were 100% accurate in identifying chemicals that induce DNA damage. Quantitative benchmark concentration (BMC) modeling was applied to evaluate chemical potencies for both assays. The BMCs for the CometChip® assay and the TGx-DDI biomarker were highly concordant (within 4-fold) and resulted in identical potency rankings. These results demonstrate that these two assays can be integrated for efficient identification and potency ranking of DNA damaging agents in HepaRG™ cell cultures.","container-title":"Frontiers in Public Health","ISSN":"2296-2565","source":"Frontiers","title":"A Modern Genotoxicity Testing Paradigm: Integration of the High-Throughput CometChip® and the TGx-DDI Transcriptomic Biomarker in Human HepaRG™ Cell Cultures","title-short":"A Modern Genotoxicity Testing Paradigm","URL":"https://www.frontiersin.org/articles/10.3389/fpubh.2021.694834","volume":"9","author":[{"family":"Buick","given":"Julie K."},{"family":"Williams","given":"Andrew"},{"family":"Meier","given":"Matthew J."},{"family":"Swartz","given":"Carol D."},{"family":"Recio","given":"Leslie"},{"family":"Gagné","given":"Rémi"},{"family":"Ferguson","given":"Stephen S."},{"family":"Engelward","given":"Bevin P."},{"family":"Yauk","given":"Carole L."}],"accessed":{"date-parts":[["2023",3,8]]},"issued":{"date-parts":[["2021"]]}}}],"schema":"https://github.com/citation-style-language/schema/raw/master/csl-citation.json"} </w:instrText>
      </w:r>
      <w:r w:rsidR="00CA2284">
        <w:fldChar w:fldCharType="separate"/>
      </w:r>
      <w:r w:rsidR="005401A3" w:rsidRPr="005401A3">
        <w:rPr>
          <w:rFonts w:ascii="Calibri" w:hAnsi="Calibri" w:cs="Calibri"/>
          <w:szCs w:val="24"/>
          <w:vertAlign w:val="superscript"/>
        </w:rPr>
        <w:t>14</w:t>
      </w:r>
      <w:r w:rsidR="00CA2284">
        <w:fldChar w:fldCharType="end"/>
      </w:r>
      <w:r w:rsidR="00CA2284">
        <w:t xml:space="preserve">. </w:t>
      </w:r>
      <w:r>
        <w:t xml:space="preserve">Over the last decades, efforts have been made to increase the throughput of standard tests, such as the </w:t>
      </w:r>
      <w:r w:rsidRPr="002A112A">
        <w:rPr>
          <w:i/>
          <w:iCs/>
        </w:rPr>
        <w:t>in vitro</w:t>
      </w:r>
      <w:r>
        <w:t xml:space="preserve"> micronucleus test using automated image analysis and</w:t>
      </w:r>
      <w:r w:rsidRPr="002B6CDF">
        <w:t xml:space="preserve"> Fluorescence-activated cell sorting (FACS</w:t>
      </w:r>
      <w:r w:rsidR="002B6CDF" w:rsidRPr="002B6CDF">
        <w:t>)</w:t>
      </w:r>
      <w:r w:rsidR="004B507F">
        <w:fldChar w:fldCharType="begin"/>
      </w:r>
      <w:r w:rsidR="00E774F7">
        <w:instrText xml:space="preserve"> ADDIN ZOTERO_ITEM CSL_CITATION {"citationID":"ZTFmFbx6","properties":{"formattedCitation":"\\super 29\\uc0\\u8211{}31\\nosupersub{}","plainCitation":"29–31","noteIndex":0},"citationItems":[{"id":259,"uris":["http://zotero.org/users/11265134/items/XBDDL68C"],"itemData":{"id":259,"type":"book","abstract":"The in vitro micronucleus test is a genotoxicity test for the detection of micronuclei in the cytoplasm of interphase cells.","event-place":"Paris","language":"en","publisher":"Organisation for Economic Co-operation and Development","publisher-place":"Paris","source":"OECD iLibrary","title":"Test No. 487: In Vitro Mammalian Cell Micronucleus Test","title-short":"Test No. 487","URL":"https://www.oecd-ilibrary.org/environment/test-no-487-in-vitro-mammalian-cell-micronucleus-test_9789264264861-en","author":[{"literal":"OECD"}],"accessed":{"date-parts":[["2024",7,12]]},"issued":{"date-parts":[["2023"]]}},"label":"page"},{"id":261,"uris":["http://zotero.org/users/11265134/items/Q62FXUIB"],"itemData":{"id":261,"type":"article-journal","abstract":"The use of micronucleus (MN) assays in in vitro genetic toxicology testing, radiation biodosimetry and population biomonitoring to study the genotoxic impacts of environment gene-interactions has steadily increased over the past two decades. As a consequence there has been a strong interest in developing automated systems to score micronuclei, a biomarker of chromosome breakage or loss, in mammalian and human cells. This paper summarises the outcomes of a workshop on this topic, organised by the HUMN project, at the 6th International Conference on Environmental Mutagenesis in Human Populations at Doha, Qatar, 2012. The aim of this paper is to summarise the outcomes of the workshop with respect to the set objectives which were: (i) Review current developments in automation of micronucleus assays by image cytometry; (ii) define the performance characteristics of automated MN scoring using image cytometry and methods of assessment for instrument validation and quality control and (iii) discuss the design of inter-laboratory comparisons and standardisation of micronucleus assays using automated image cytometry systems. It is evident that automated scoring of micronuclei by automated image cytometry using different commercially available platforms [e.g. Metafer (MetaSystems), Pathfinder™ (IMSTAR), iCyte® (Compucyte)], particularly for lymphocytes, is at a mature stage of development with good agreement between visual and automated scoring across systems (correlation factors ranging from 0.58 to 0.99). However, a standardised system of validation and calibration is required to enable more reliable comparison of data across laboratories and across platforms. This review identifies recent progress, important limitations and steps that need to be taken into account to enable the successful universal implementation of automated micronucleus assays by image cytometry.","collection-title":"Environmental Mutagens in Human Populations","container-title":"International Journal of Hygiene and Environmental Health","DOI":"10.1016/j.ijheh.2013.01.008","ISSN":"1438-4639","issue":"5","journalAbbreviation":"International Journal of Hygiene and Environmental Health","page":"541-552","source":"ScienceDirect","title":"HUMN project initiative and review of validation, quality control and prospects for further development of automated micronucleus assays using image cytometry systems","volume":"216","author":[{"family":"Fenech","given":"Michael"},{"family":"Kirsch-Volders","given":"Micheline"},{"family":"Rossnerova","given":"Andrea"},{"family":"Sram","given":"Radim"},{"family":"Romm","given":"Horst"},{"family":"Bolognesi","given":"Claudia"},{"family":"Ramakumar","given":"Adarsh"},{"family":"Soussaline","given":"Francoise"},{"family":"Schunck","given":"Christian"},{"family":"Elhajouji","given":"Azeddine"},{"family":"Anwar","given":"Wagida"},{"family":"Bonassi","given":"Stefano"}],"issued":{"date-parts":[["2013",8,1]]}},"label":"act"},{"id":255,"uris":["http://zotero.org/users/11265134/items/THM6PUK5"],"itemData":{"id":255,"type":"article-journal","abstract":"The in vitro micronucleus (MN) assay is a well-established assay for quantification of DNA damage, and is required by regulatory bodies worldwide to screen chemicals for genetic toxicity. The MN assay is performed in two variations: scoring MN in cytokinesis-blocked binucleated cells or directly in unblocked mononucleated cells. Several methods have been developed to score the MN assay, including manual and automated microscopy, and conventional flow cytometry, each with advantages and limitations. Previously, we applied imaging flow cytometry (IFC) using the ImageStream® to develop a rapid and automated MN assay based on high throughput image capture and feature-based image analysis in the IDEAS® software. However, the analysis strategy required rigorous optimization across chemicals and cell lines. To overcome the complexity and rigidity of feature-based image analysis, in this study we used the Amnis® AI software to develop a deep-learning method based on convolutional neural networks to score IFC data in both the cytokinesis-blocked and unblocked versions of the MN assay. We show that the use of the Amnis AI software to score imagery acquired using the ImageStream® compares well to manual microscopy and outperforms IDEAS® feature-based analysis, facilitating full automation of the MN assay.","container-title":"npj Systems Biology and Applications","DOI":"10.1038/s41540-021-00179-5","ISSN":"2056-7189","issue":"1","journalAbbreviation":"npj Syst Biol Appl","language":"en","license":"2021 The Author(s)","note":"publisher: Nature Publishing Group","page":"1-12","source":"www.nature.com","title":"The in vitro micronucleus assay using imaging flow cytometry and deep learning","volume":"7","author":[{"family":"Rodrigues","given":"Matthew A."},{"family":"Probst","given":"Christine E."},{"family":"Zayats","given":"Artiom"},{"family":"Davidson","given":"Bryan"},{"family":"Riedel","given":"Michael"},{"family":"Li","given":"Yang"},{"family":"Venkatachalam","given":"Vidya"}],"issued":{"date-parts":[["2021",5,18]]}},"label":"act"}],"schema":"https://github.com/citation-style-language/schema/raw/master/csl-citation.json"} </w:instrText>
      </w:r>
      <w:r w:rsidR="004B507F">
        <w:fldChar w:fldCharType="separate"/>
      </w:r>
      <w:r w:rsidR="00E774F7" w:rsidRPr="00E774F7">
        <w:rPr>
          <w:rFonts w:ascii="Calibri" w:hAnsi="Calibri" w:cs="Calibri"/>
          <w:szCs w:val="24"/>
          <w:vertAlign w:val="superscript"/>
        </w:rPr>
        <w:t>29–31</w:t>
      </w:r>
      <w:r w:rsidR="004B507F">
        <w:fldChar w:fldCharType="end"/>
      </w:r>
      <w:r>
        <w:t xml:space="preserve">. On the other hand, several new innovative animal-free methods have been </w:t>
      </w:r>
      <w:r w:rsidR="00CA2284">
        <w:t>developed</w:t>
      </w:r>
      <w:r w:rsidR="00CA2284">
        <w:fldChar w:fldCharType="begin"/>
      </w:r>
      <w:r w:rsidR="00E774F7">
        <w:instrText xml:space="preserve"> ADDIN ZOTERO_ITEM CSL_CITATION {"citationID":"Lmrvzaqf","properties":{"formattedCitation":"\\super 32\\nosupersub{}","plainCitation":"32","noteIndex":0},"citationItems":[{"id":35,"uris":["http://zotero.org/users/11265134/items/TN5SVLT8"],"itemData":{"id":35,"type":"article-journal","abstract":"Robust and efficient processes are needed to establish scientific confidence in new approach methodologies (NAMs) if they are to be considered for regulatory applications. NAMs need to be fit for purpose, reliable and, for the assessment of human health effects, provide information relevant to human biology. They must also be independently reviewed and transparently communicated. Ideally, NAM developers should communicate with stakeholders such as regulators and industry to identify the question(s), and specified purpose that the NAM is intended to address, and the context in which it will be used. Assessment of the biological relevance of the NAM should focus on its alignment with human biology, mechanistic understanding, and ability to provide information that leads to health protective decisions, rather than solely comparing NAM-based chemical testing results with those from traditional animal test methods. However, when NAM results are compared to historical animal test results, the variability observed within animal test method results should be used to inform performance benchmarks. Building on previous efforts, this paper proposes a framework comprising five essential elements to establish scientific confidence in NAMs for regulatory use: fitness for purpose, human biological relevance, technical characterization, data integrity and transparency, and independent review. Universal uptake of this framework would facilitate the timely development and use of NAMs by the international community. While this paper focuses on NAMs for assessing human health effects of pesticides and industrial chemicals, many of the suggested elements are expected to apply to other types of chemicals and to ecotoxicological effect assessments.","container-title":"Archives of Toxicology","DOI":"10.1007/s00204-022-03365-4","ISSN":"1432-0738","issue":"11","journalAbbreviation":"Arch Toxicol","language":"en","page":"2865-2879","source":"Springer Link","title":"A framework for establishing scientific confidence in new approach methodologies","volume":"96","author":[{"family":"Zalm","given":"Anna J.","non-dropping-particle":"van der"},{"family":"Barroso","given":"João"},{"family":"Browne","given":"Patience"},{"family":"Casey","given":"Warren"},{"family":"Gordon","given":"John"},{"family":"Henry","given":"Tala R."},{"family":"Kleinstreuer","given":"Nicole C."},{"family":"Lowit","given":"Anna B."},{"family":"Perron","given":"Monique"},{"family":"Clippinger","given":"Amy J."}],"issued":{"date-parts":[["2022",11,1]]}}}],"schema":"https://github.com/citation-style-language/schema/raw/master/csl-citation.json"} </w:instrText>
      </w:r>
      <w:r w:rsidR="00CA2284">
        <w:fldChar w:fldCharType="separate"/>
      </w:r>
      <w:r w:rsidR="00E774F7" w:rsidRPr="00E774F7">
        <w:rPr>
          <w:rFonts w:ascii="Calibri" w:hAnsi="Calibri" w:cs="Calibri"/>
          <w:szCs w:val="24"/>
          <w:vertAlign w:val="superscript"/>
        </w:rPr>
        <w:t>32</w:t>
      </w:r>
      <w:r w:rsidR="00CA2284">
        <w:fldChar w:fldCharType="end"/>
      </w:r>
      <w:r w:rsidR="00CA2284">
        <w:t xml:space="preserve">. </w:t>
      </w:r>
      <w:r w:rsidRPr="005418CE">
        <w:t xml:space="preserve">Unfortunately, the integration of </w:t>
      </w:r>
      <w:r>
        <w:t>these new methods</w:t>
      </w:r>
      <w:r w:rsidRPr="005418CE">
        <w:t xml:space="preserve"> in the regulatory assessment of genotoxicants is still limited because validation, acceptance, and implementation of these approaches within regulatory decision-making are </w:t>
      </w:r>
      <w:r>
        <w:t>resource-</w:t>
      </w:r>
      <w:r w:rsidR="001C2465">
        <w:t xml:space="preserve"> and </w:t>
      </w:r>
      <w:r w:rsidR="00CA2284" w:rsidRPr="005418CE">
        <w:t>time-consuming</w:t>
      </w:r>
      <w:r w:rsidR="00CA2284">
        <w:fldChar w:fldCharType="begin"/>
      </w:r>
      <w:r w:rsidR="00E774F7">
        <w:instrText xml:space="preserve"> ADDIN ZOTERO_ITEM CSL_CITATION {"citationID":"ymeG09Zi","properties":{"formattedCitation":"\\super 32\\nosupersub{}","plainCitation":"32","noteIndex":0},"citationItems":[{"id":35,"uris":["http://zotero.org/users/11265134/items/TN5SVLT8"],"itemData":{"id":35,"type":"article-journal","abstract":"Robust and efficient processes are needed to establish scientific confidence in new approach methodologies (NAMs) if they are to be considered for regulatory applications. NAMs need to be fit for purpose, reliable and, for the assessment of human health effects, provide information relevant to human biology. They must also be independently reviewed and transparently communicated. Ideally, NAM developers should communicate with stakeholders such as regulators and industry to identify the question(s), and specified purpose that the NAM is intended to address, and the context in which it will be used. Assessment of the biological relevance of the NAM should focus on its alignment with human biology, mechanistic understanding, and ability to provide information that leads to health protective decisions, rather than solely comparing NAM-based chemical testing results with those from traditional animal test methods. However, when NAM results are compared to historical animal test results, the variability observed within animal test method results should be used to inform performance benchmarks. Building on previous efforts, this paper proposes a framework comprising five essential elements to establish scientific confidence in NAMs for regulatory use: fitness for purpose, human biological relevance, technical characterization, data integrity and transparency, and independent review. Universal uptake of this framework would facilitate the timely development and use of NAMs by the international community. While this paper focuses on NAMs for assessing human health effects of pesticides and industrial chemicals, many of the suggested elements are expected to apply to other types of chemicals and to ecotoxicological effect assessments.","container-title":"Archives of Toxicology","DOI":"10.1007/s00204-022-03365-4","ISSN":"1432-0738","issue":"11","journalAbbreviation":"Arch Toxicol","language":"en","page":"2865-2879","source":"Springer Link","title":"A framework for establishing scientific confidence in new approach methodologies","volume":"96","author":[{"family":"Zalm","given":"Anna J.","non-dropping-particle":"van der"},{"family":"Barroso","given":"João"},{"family":"Browne","given":"Patience"},{"family":"Casey","given":"Warren"},{"family":"Gordon","given":"John"},{"family":"Henry","given":"Tala R."},{"family":"Kleinstreuer","given":"Nicole C."},{"family":"Lowit","given":"Anna B."},{"family":"Perron","given":"Monique"},{"family":"Clippinger","given":"Amy J."}],"issued":{"date-parts":[["2022",11,1]]}}}],"schema":"https://github.com/citation-style-language/schema/raw/master/csl-citation.json"} </w:instrText>
      </w:r>
      <w:r w:rsidR="00CA2284">
        <w:fldChar w:fldCharType="separate"/>
      </w:r>
      <w:r w:rsidR="00E774F7" w:rsidRPr="00E774F7">
        <w:rPr>
          <w:rFonts w:ascii="Calibri" w:hAnsi="Calibri" w:cs="Calibri"/>
          <w:szCs w:val="24"/>
          <w:vertAlign w:val="superscript"/>
        </w:rPr>
        <w:t>32</w:t>
      </w:r>
      <w:r w:rsidR="00CA2284">
        <w:fldChar w:fldCharType="end"/>
      </w:r>
      <w:r w:rsidR="00CA2284" w:rsidRPr="005418CE">
        <w:t>.</w:t>
      </w:r>
      <w:r w:rsidR="00CA2284">
        <w:t xml:space="preserve"> </w:t>
      </w:r>
      <w:r>
        <w:t>However, several of these methods are included in the work plan of the OECD Test Guideline program (e.g. ToxTracker, pH3/yH2AX and 3D reconstructed human skin micronucleus and comet assay) and aim to help the transition towards next-generation genotoxicity</w:t>
      </w:r>
      <w:r w:rsidR="00927A15">
        <w:t xml:space="preserve"> assessment</w:t>
      </w:r>
      <w:r w:rsidR="00927A15">
        <w:fldChar w:fldCharType="begin"/>
      </w:r>
      <w:r w:rsidR="00E774F7">
        <w:instrText xml:space="preserve"> ADDIN ZOTERO_ITEM CSL_CITATION {"citationID":"cIT9Wd0x","properties":{"formattedCitation":"\\super 33\\uc0\\u8211{}36\\nosupersub{}","plainCitation":"33–36","noteIndex":0},"citationItems":[{"id":264,"uris":["http://zotero.org/users/11265134/items/6FRGBPBL"],"itemData":{"id":264,"type":"book","event-place":"LU","language":"en","publisher":"Publications Office","publisher-place":"LU","source":"DOI.org (CSL JSON)","title":"Report on the European Chemicals Agency’s “New approach methodologies workshop: towards an animal free regulatory system for industrial chemicals” (31 May – 1 June 2023, Helsinki, Finland).","title-short":"Report on the European Chemicals Agency’s “New approach methodologies workshop","URL":"https://data.europa.eu/doi/10.2823/7494","author":[{"literal":"European Chemicals Agency."}],"accessed":{"date-parts":[["2024",7,12]]},"issued":{"date-parts":[["2023"]]}}},{"id":361,"uris":["http://zotero.org/users/11265134/items/EHHJT36X"],"itemData":{"id":361,"type":"article-journal","abstract":"We present a hypothetical case study to examine the use of a next-generation framework developed by the Genetic Toxicology Technical Committee of the Health and Environmental Sciences Institute for assessing the potential risk of genetic damage from a pharmaceutical perspective. We used etoposide, a genotoxic carcinogen, as a representative pharmaceutical for the purposes of this case study. Using the framework as guidance, we formulated a hypothetical scenario for the use of etoposide to illustrate the application of the framework to pharmaceuticals. We collected available data on etoposide considered relevant for assessment of genetic toxicity risk. From the data collected, we conducted a quantitative analysis to estimate margins of exposure (MOEs) to characterize the risk of genetic damage that could be used for decision-making regarding the predefined hypothetical use. We found the framework useful for guiding the selection of appropriate tests and selecting relevant endpoints that reflected the potential for genetic damage in patients. The risk characterization, presented as MOEs, allows decision makers to discern how much benefit is critical to balance any adverse effect(s) that may be induced by the pharmaceutical. Interestingly, pharmaceutical development already incorporates several aspects of the framework per regulations and health authority expectations. Moreover, we observed that quality dose response data can be obtained with carefully planned but routinely conducted genetic toxicity testing. This case study demonstrates the utility of the next-generation framework to quantitatively model human risk based on genetic damage, as applicable to pharmaceuticals.","container-title":"Environmental and Molecular Mutagenesis","DOI":"10.1002/em.22467","ISSN":"1098-2280","issue":"9","language":"en","license":"© 2021 The Authors. Environmental and Molecular Mutagenesis published by Wiley Periodicals LLC on behalf of Environmental Mutagen Society.","note":"_eprint: https://onlinelibrary.wiley.com/doi/pdf/10.1002/em.22467","page":"512-525","source":"Wiley Online Library","title":"Utility of a next-generation framework for assessment of genomic damage: A case study using the pharmaceutical drug candidate etoposide","title-short":"Utility of a next-generation framework for assessment of genomic damage","volume":"62","author":[{"family":"Nicolette","given":"John"},{"family":"Luijten","given":"Mirjam"},{"family":"Sasaki","given":"Jennifer C."},{"family":"Custer","given":"Laura"},{"family":"Embry","given":"Michelle"},{"family":"Froetschl","given":"Roland"},{"family":"Johnson","given":"George"},{"family":"Ouedraogo","given":"Gladys"},{"family":"Settivari","given":"Raja"},{"family":"Thybaud","given":"Veronique"},{"family":"Dearfield","given":"Kerry L."}],"issued":{"date-parts":[["2021"]]}}},{"id":481,"uris":["http://zotero.org/users/11265134/items/6N4TNZ76"],"itemData":{"id":481,"type":"article-journal","abstract":"We recently published a next generation framework for assessing the risk of genomic damage via exposure to chemical substances. The framework entails a systematic approach with the aim to quantify risk levels for substances that induce genomic damage contributing to human adverse health outcomes. Here, we evaluated the utility of the framework for assessing the risk for industrial chemicals, using the case of benzene. Benzene is a well-studied substance that is generally considered a genotoxic carcinogen and is known to cause leukemia. The case study limits its focus on occupational and general population health as it relates to benzene exposure. Using the framework as guidance, available data on benzene considered relevant for assessment of genetic damage were collected. Based on these data, we were able to conduct quantitative analyses for relevant data sets to estimate acceptable exposure levels and to characterize the risk of genetic damage. Key observations include the need for robust exposure assessments, the importance of information on toxicokinetic properties, and the benefits of cheminformatics. The framework points to the need for further improvement on understanding of the mechanism(s) of action involved, which would also provide support for the use of targeted tests rather than a prescribed set of assays. Overall, this case study demonstrates the utility of the next generation framework to quantitatively model human risk on the basis of genetic damage, thereby enabling a new, innovative risk assessment concept. Environ. Mol. Mutagen. 61:94–113, 2020. © 2019 The Authors. Environmental and Molecular Mutagenesis published by Wiley Periodicals, Inc. on behalf of Environmental Mutagen Society.","container-title":"Environmental and Molecular Mutagenesis","DOI":"10.1002/em.22346","ISSN":"1098-2280","issue":"1","language":"en","license":"© 2019 The Authors. Environmental and Molecular Mutagenesis published by Wiley Periodicals, Inc. on behalf of Environmental Mutagen Society.","note":"_eprint: https://onlinelibrary.wiley.com/doi/pdf/10.1002/em.22346","page":"94-113","source":"Wiley Online Library","title":"Utility of a next generation framework for assessment of genomic damage: A case study using the industrial chemical benzene","title-short":"Utility of a next generation framework for assessment of genomic damage","volume":"61","author":[{"family":"Luijten","given":"Mirjam"},{"family":"Ball","given":"Nicholas S."},{"family":"Dearfield","given":"Kerry L."},{"family":"Gollapudi","given":"B. Bhaskar"},{"family":"Johnson","given":"George E."},{"family":"Madia","given":"Federica"},{"family":"Peel","given":"Lauren"},{"family":"Pfuhler","given":"Stefan"},{"family":"Settivari","given":"Raja S."},{"family":"Burg","given":"Wouter","non-dropping-particle":"ter"},{"family":"White","given":"Paul A."},{"family":"Benthem","given":"Jan","non-dropping-particle":"van"}],"issued":{"date-parts":[["2020"]]}}},{"id":486,"uris":["http://zotero.org/users/11265134/items/7MNHGVHH"],"itemData":{"id":486,"type":"article-journal","abstract":"For several decades, regulatory testing schemes for genetic damage have been standardized where the tests being utilized examined mutations and structural and numerical chromosomal damage. This has served the genetic toxicity community well when most of the substances being tested were amenable to such assays. The outcome from this testing is usually a dichotomous (yes/no) evaluation of test results, and in many instances, the information is only used to determine whether a substance has carcinogenic potential or not. Over the same time period, mechanisms and modes of action (MOAs) that elucidate a wider range of genomic damage involved in many adverse health outcomes have been recognized. In addition, a paradigm shift in applied genetic toxicology is moving the field toward a more quantitative dose-response analysis and point-of-departure (PoD) determination with a focus on risks to exposed humans. This is directing emphasis on genomic damage that is likely to induce changes associated with a variety of adverse health outcomes. This paradigm shift is moving the testing emphasis for genetic damage from a hazard identification only evaluation to a more comprehensive risk assessment approach that provides more insightful information for decision makers regarding the potential risk of genetic damage to exposed humans. To enable this broader context for examining genetic damage, a next generation testing strategy needs to take into account a broader, more flexible approach to testing, and ultimately modeling, of genomic damage as it relates to human exposure. This is consistent with the larger risk assessment context being used in regulatory decision making. As presented here, this flexible approach for examining genomic damage focuses on testing for relevant genomic effects that can be, as best as possible, associated with an adverse health effect. The most desired linkage for risk to humans would be changes in loci associated with human diseases, whether in somatic or germ cells. The outline of a flexible approach and associated considerations are presented in a series of nine steps, some of which can occur in parallel, which was developed through a collaborative effort by leading genetic toxicologists from academia, government, and industry through the International Life Sciences Institute (ILSI) Health and Environmental Sciences Institute (HESI) Genetic Toxicology Technical Committee (GTTC). The ultimate goal is to provide quantitative data to model the potential risk levels of substances, which induce genomic damage contributing to human adverse health outcomes. Any good risk assessment begins with asking the appropriate risk management questions in a planning and scoping effort. This step sets up the problem to be addressed (e.g., broadly, does genomic damage need to be addressed, and if so, how to proceed). The next two steps assemble what is known about the problem by building a knowledge base about the substance of concern and developing a rational biological argument for why testing for genomic damage is needed or not. By focusing on the risk management problem and potential genomic damage of concern, the next step of assay(s) selection takes place. The work-up of the problem during the earlier steps provides the insight to which assays would most likely produce the most meaningful data. This discussion does not detail the wide range of genomic damage tests available, but points to types of testing systems that can be very useful. Once the assays are performed and analyzed, the relevant data sets are selected for modeling potential risk. From this point on, the data are evaluated and modeled as they are for any other toxicology endpoint. Any observed genomic damage/effects (or genetic event(s)) can be modeled via a dose-response analysis and determination of an estimated PoD. When a quantitative risk analysis is needed for decision making, a parallel exposure assessment effort is performed (exposure assessment is not detailed here as this is not the focus of this discussion; guidelines for this assessment exist elsewhere). Then the PoD for genomic damage is used with the exposure information to develop risk estimations (e.g., using reference dose (RfD), margin of exposure (MOE) approaches) in a risk characterization and presented to risk managers for informing decision making. This approach is applicable now for incorporating genomic damage results into the decision-making process for assessing potential adverse outcomes in chemically exposed humans and is consistent with the ILSI HESI Risk Assessment in the 21st Century (RISK21) roadmap. This applies to any substance to which humans are exposed, including pharmaceuticals, agricultural products, food additives, and other chemicals. It is time for regulatory bodies to incorporate the broader knowledge and insights provided by genomic damage results into the assessments of risk to more fully understand the potential of adverse outcomes in chemically exposed humans, thus improving the assessment of risk due to genomic damage. The historical use of genomic damage data as a yes/no gateway for possible cancer risk has been too narrowly focused in risk assessment. The recent advances in assaying for and understanding genomic damage, including eventually epigenetic alterations, obviously add a greater wealth of information for determining potential risk to humans. Regulatory bodies need to embrace this paradigm shift from hazard identification to quantitative analysis and to incorporate the wider range of genomic damage in their assessments of risk to humans. The quantitative analyses and methodologies discussed here can be readily applied to genomic damage testing results now. Indeed, with the passage of the recent update to the Toxic Substances Control Act (TSCA) in the US, the new generation testing strategy for genomic damage described here provides a regulatory agency (here the US Environmental Protection Agency (EPA), but suitable for others) a golden opportunity to reexamine the way it addresses risk-based genomic damage testing (including hazard identification and exposure). Environ. Mol. Mutagen. 58:264-283, 2017. © 2016 The Authors. Environmental and Molecular Mutagenesis Published by Wiley Periodicals, Inc.","container-title":"Environmental and Molecular Mutagenesis","DOI":"10.1002/em.22045","ISSN":"1098-2280","issue":"5","journalAbbreviation":"Environ Mol Mutagen","language":"eng","note":"PMID: 27650663","page":"264-283","source":"PubMed","title":"Next generation testing strategy for assessment of genomic damage: A conceptual framework and considerations","title-short":"Next generation testing strategy for assessment of genomic damage","volume":"58","author":[{"family":"Dearfield","given":"Kerry L."},{"family":"Gollapudi","given":"B. Bhaskar"},{"family":"Bemis","given":"Jeffrey C."},{"family":"Benz","given":"R. Daniel"},{"family":"Douglas","given":"George R."},{"family":"Elespuru","given":"Rosalie K."},{"family":"Johnson","given":"George E."},{"family":"Kirkland","given":"David J."},{"family":"LeBaron","given":"Matthew J."},{"family":"Li","given":"Albert P."},{"family":"Marchetti","given":"Francesco"},{"family":"Pottenger","given":"Lynn H."},{"family":"Rorije","given":"Emiel"},{"family":"Tanir","given":"Jennifer Y."},{"family":"Thybaud","given":"Veronique"},{"family":"Benthem","given":"Jan","non-dropping-particle":"van"},{"family":"Yauk","given":"Carole L."},{"family":"Zeiger","given":"Errol"},{"family":"Luijten","given":"Mirjam"}],"issued":{"date-parts":[["2017",6]]}}}],"schema":"https://github.com/citation-style-language/schema/raw/master/csl-citation.json"} </w:instrText>
      </w:r>
      <w:r w:rsidR="00927A15">
        <w:fldChar w:fldCharType="separate"/>
      </w:r>
      <w:r w:rsidR="00E774F7" w:rsidRPr="00E774F7">
        <w:rPr>
          <w:rFonts w:ascii="Calibri" w:hAnsi="Calibri" w:cs="Calibri"/>
          <w:szCs w:val="24"/>
          <w:vertAlign w:val="superscript"/>
        </w:rPr>
        <w:t>33–36</w:t>
      </w:r>
      <w:r w:rsidR="00927A15">
        <w:fldChar w:fldCharType="end"/>
      </w:r>
      <w:r w:rsidR="00927A15">
        <w:t>.</w:t>
      </w:r>
      <w:r w:rsidR="00CA2284">
        <w:t xml:space="preserve"> </w:t>
      </w:r>
      <w:r>
        <w:rPr>
          <w:rStyle w:val="normaltextrun"/>
          <w:rFonts w:ascii="Calibri" w:hAnsi="Calibri" w:cs="Calibri"/>
          <w:color w:val="000000"/>
          <w:shd w:val="clear" w:color="auto" w:fill="FFFFFF"/>
        </w:rPr>
        <w:t xml:space="preserve">The development and application of these new methods will </w:t>
      </w:r>
      <w:r>
        <w:rPr>
          <w:rStyle w:val="normaltextrun"/>
          <w:rFonts w:ascii="Calibri" w:hAnsi="Calibri" w:cs="Calibri"/>
          <w:color w:val="000000"/>
          <w:shd w:val="clear" w:color="auto" w:fill="FFFFFF"/>
        </w:rPr>
        <w:lastRenderedPageBreak/>
        <w:t>play an increasingly important role in filling critical data gaps related to the safety of chemical compounds for human health.</w:t>
      </w:r>
      <w:r w:rsidRPr="00C90DEC">
        <w:t xml:space="preserve"> </w:t>
      </w:r>
      <w:r>
        <w:t>However, c</w:t>
      </w:r>
      <w:r w:rsidRPr="00C90DEC">
        <w:t xml:space="preserve">onfidence in </w:t>
      </w:r>
      <w:r>
        <w:t>their use</w:t>
      </w:r>
      <w:r w:rsidRPr="00C90DEC">
        <w:t xml:space="preserve"> will </w:t>
      </w:r>
      <w:r>
        <w:t>have to grow through experience, data sharing and continued</w:t>
      </w:r>
      <w:r w:rsidR="00470440">
        <w:t>learning</w:t>
      </w:r>
      <w:r w:rsidR="00880C05">
        <w:fldChar w:fldCharType="begin"/>
      </w:r>
      <w:r w:rsidR="00E774F7">
        <w:instrText xml:space="preserve"> ADDIN ZOTERO_ITEM CSL_CITATION {"citationID":"KSL6jHRm","properties":{"formattedCitation":"\\super 37,38\\nosupersub{}","plainCitation":"37,38","noteIndex":0},"citationItems":[{"id":175,"uris":["http://zotero.org/users/11265134/items/3K53G6U3"],"itemData":{"id":175,"type":"article-journal","abstract":"Advances in the biological sciences have led to an ongoing paradigm shift in toxicity testing based on expanded application of high-throughput in vitro screening and in silico methods to assess potential health risks of environmental agents. This review examines progress on the vision for toxicity testing elaborated by the US National Research Council (NRC) during the decade that has passed since the 2007 NRC report on Toxicity Testing in the 21st Century (TT21C). Concomitant advances in exposure assessment, including computational approaches and high-throughput exposomics, are also documented. A vision for the next generation of risk science, incorporating risk assessment methodologies suitable for the analysis of new toxicological and exposure data, resulting in human exposure guidelines is described. Case study prototypes indicating how these new approaches to toxicity testing, exposure measurement, and risk assessment are beginning to be applied in practice are presented. Overall, progress on the 20-year transition plan laid out by the US NRC in 2007 has been substantial. Importantly, government agencies within the United States and internationally are beginning to incorporate the new approach methodologies envisaged in the original TT21C vision into regulatory practice. Future perspectives on the continued evolution of toxicity testing to strengthen regulatory risk assessment are provided.","container-title":"Archives of Toxicology","DOI":"10.1007/s00204-019-02613-4","ISSN":"1432-0738","issue":"1","journalAbbreviation":"Arch Toxicol","language":"en","page":"1-58","source":"Springer Link","title":"Toxicity testing in the 21st century: progress in the past decade and future perspectives","title-short":"Toxicity testing in the 21st century","volume":"94","author":[{"family":"Krewski","given":"D."},{"family":"Andersen","given":"M. E."},{"family":"Tyshenko","given":"M. G."},{"family":"Krishnan","given":"K."},{"family":"Hartung","given":"T."},{"family":"Boekelheide","given":"K."},{"family":"Wambaugh","given":"J. F."},{"family":"Jones","given":"D."},{"family":"Whelan","given":"M."},{"family":"Thomas","given":"R."},{"family":"Yauk","given":"C."},{"family":"Barton-Maclaren","given":"T."},{"family":"Cote","given":"I."}],"issued":{"date-parts":[["2020",1,1]]}},"label":"page"},{"id":148,"uris":["http://zotero.org/users/11265134/items/RGIDABMX"],"itemData":{"id":148,"type":"article-journal","abstract":"With the release of the landmark report Toxicity Testing in the 21st Century: A Vision and a Strategy, the U.S. National Academy of Sciences, in 2007, precipitated a major change in the way toxicity testing is conducted. It envisions increased efficiency in toxicity testing and decreased animal usage by transitioning from current expensive and lengthy in vivo testing with qualitative endpoints to in vitro toxicity pathway assays on human cells or cell lines using robotic high-throughput screening with mechanistic quantitative parameters. Risk assessment in the exposed human population would focus on avoiding significant perturbations in these toxicity pathways. Computational systems biology models would be implemented to determine the dose-response models of perturbations of pathway function. Extrapolation of in vitro results to in vivo human blood and tissue concentrations would be based on pharmacokinetic models for the given exposure condition. This practice would enhance human relevance of test results, and would cover several test agents, compared to traditional toxicological testing strategies. As all the tools that are necessary to implement the vision are currently available or in an advanced stage of development, the key prerequisites to achieving this paradigm shift are a commitment to change in the scientific community, which could be facilitated by a broad discussion of the vision, and obtaining necessary resources to enhance current knowledge of pathway perturbations and pathway assays in humans and to implement computational systems biology models. Implementation of these strategies would result in a new toxicity testing paradigm firmly based on human biology.","container-title":"Journal of Toxicology and Environmental Health, Part B","DOI":"10.1080/10937404.2010.483176","ISSN":"1093-7404","issue":"2-4","note":"publisher: Taylor &amp; Francis\n_eprint: https://doi.org/10.1080/10937404.2010.483176\nPMID: 20574894","page":"51-138","source":"Taylor and Francis+NEJM","title":"Toxicity Testing in the 21st Century: A Vision and a Strategy","title-short":"Toxicity Testing in the 21st Century","volume":"13","author":[{"family":"Krewski","given":"Daniel"},{"family":"Acosta","given":"Daniel"},{"family":"Andersen","given":"Melvin"},{"family":"Anderson","given":"Henry"},{"family":"Bailar","given":"John   C."},{"family":"Boekelheide","given":"Kim"},{"family":"Brent","given":"Robert"},{"family":"Charnley","given":"Gail"},{"family":"Cheung","given":"Vivian   G."},{"family":"Green","given":"Sidney"},{"family":"Kelsey","given":"Karl   T."},{"family":"Kerkvliet","given":"Nancy   I."},{"family":"Li","given":"Abby   A."},{"family":"McCray","given":"Lawrence"},{"family":"Meyer","given":"Otto"},{"family":"Patterson","given":"Reid   D."},{"family":"Pennie","given":"William"},{"family":"Scala","given":"Robert   A."},{"family":"Solomon","given":"Gina   M."},{"family":"Stephens","given":"Martin"},{"family":"Yager","given":"James"},{"family":"Zeise","given":"Lauren"},{"literal":"Staff of Committee on Toxicity Testing and Assessment of Environmental Agents"}],"issued":{"date-parts":[["2010",6,17]]}},"label":"act"}],"schema":"https://github.com/citation-style-language/schema/raw/master/csl-citation.json"} </w:instrText>
      </w:r>
      <w:r w:rsidR="00880C05">
        <w:fldChar w:fldCharType="separate"/>
      </w:r>
      <w:r w:rsidR="00E774F7" w:rsidRPr="00E774F7">
        <w:rPr>
          <w:rFonts w:ascii="Calibri" w:hAnsi="Calibri" w:cs="Calibri"/>
          <w:szCs w:val="24"/>
          <w:vertAlign w:val="superscript"/>
        </w:rPr>
        <w:t>37,38</w:t>
      </w:r>
      <w:r w:rsidR="00880C05">
        <w:fldChar w:fldCharType="end"/>
      </w:r>
      <w:r w:rsidR="00CA2284" w:rsidRPr="00C90DEC">
        <w:t>.</w:t>
      </w:r>
      <w:r w:rsidR="00A865E0">
        <w:t xml:space="preserve"> </w:t>
      </w:r>
    </w:p>
    <w:p w14:paraId="6D996C14" w14:textId="77777777" w:rsidR="006371F1" w:rsidRDefault="006371F1" w:rsidP="00290F45">
      <w:pPr>
        <w:spacing w:after="0" w:line="324" w:lineRule="auto"/>
        <w:jc w:val="both"/>
      </w:pPr>
    </w:p>
    <w:p w14:paraId="0DC1AEA3" w14:textId="59FCE217" w:rsidR="000A289C" w:rsidRDefault="00964813" w:rsidP="00FA0967">
      <w:pPr>
        <w:spacing w:after="0" w:line="324" w:lineRule="auto"/>
        <w:jc w:val="both"/>
      </w:pPr>
      <w:r>
        <w:t>T</w:t>
      </w:r>
      <w:r w:rsidRPr="00964813">
        <w:t xml:space="preserve">he domain of genotoxicity has </w:t>
      </w:r>
      <w:r>
        <w:t xml:space="preserve">thus </w:t>
      </w:r>
      <w:r w:rsidRPr="00964813">
        <w:t>access to a large number of ‘New Approach Methodologies (NAMs)’. Th</w:t>
      </w:r>
      <w:r w:rsidR="001C2ED9">
        <w:t>e</w:t>
      </w:r>
      <w:r w:rsidRPr="00964813">
        <w:t xml:space="preserve"> term NAMs gather any technology, methodology or combination that can provide information on chemical hazard and risk assessment while avoiding the use of animals, and may include </w:t>
      </w:r>
      <w:r w:rsidRPr="002A112A">
        <w:rPr>
          <w:i/>
          <w:iCs/>
        </w:rPr>
        <w:t>in silico</w:t>
      </w:r>
      <w:r w:rsidRPr="00964813">
        <w:t xml:space="preserve">, </w:t>
      </w:r>
      <w:r w:rsidRPr="002A112A">
        <w:rPr>
          <w:i/>
          <w:iCs/>
        </w:rPr>
        <w:t>in chemico</w:t>
      </w:r>
      <w:r w:rsidRPr="00964813">
        <w:t xml:space="preserve">, </w:t>
      </w:r>
      <w:r w:rsidRPr="002A112A">
        <w:rPr>
          <w:i/>
          <w:iCs/>
        </w:rPr>
        <w:t>in vitro</w:t>
      </w:r>
      <w:r w:rsidRPr="00964813">
        <w:t xml:space="preserve">, and </w:t>
      </w:r>
      <w:r w:rsidRPr="002A112A">
        <w:rPr>
          <w:i/>
          <w:iCs/>
        </w:rPr>
        <w:t>ex vivo</w:t>
      </w:r>
      <w:r w:rsidRPr="00964813">
        <w:t xml:space="preserve"> approaches</w:t>
      </w:r>
      <w:r w:rsidRPr="002A112A">
        <w:rPr>
          <w:vertAlign w:val="superscript"/>
        </w:rPr>
        <w:t>28,29</w:t>
      </w:r>
      <w:r w:rsidR="001C2ED9">
        <w:t xml:space="preserve"> and thus </w:t>
      </w:r>
      <w:r w:rsidR="001434C8">
        <w:t>covers</w:t>
      </w:r>
      <w:r w:rsidR="001C2ED9">
        <w:t xml:space="preserve"> the ‘traditional’ </w:t>
      </w:r>
      <w:r w:rsidR="001C2ED9" w:rsidRPr="002A112A">
        <w:rPr>
          <w:i/>
          <w:iCs/>
        </w:rPr>
        <w:t>in vitro</w:t>
      </w:r>
      <w:r w:rsidR="001C2ED9">
        <w:t xml:space="preserve"> genotoxicity tests as well as the new innovative methods.</w:t>
      </w:r>
      <w:r>
        <w:t xml:space="preserve"> </w:t>
      </w:r>
      <w:r w:rsidR="001C2ED9">
        <w:t xml:space="preserve">Nevertheless, as outlined above, </w:t>
      </w:r>
      <w:r w:rsidR="001C2ED9" w:rsidRPr="002A112A">
        <w:rPr>
          <w:i/>
          <w:iCs/>
        </w:rPr>
        <w:t>in vivo</w:t>
      </w:r>
      <w:r w:rsidR="001C2ED9">
        <w:t xml:space="preserve"> testing is still required in different regulatory settings. </w:t>
      </w:r>
      <w:r w:rsidR="006F09A0">
        <w:t>One possibility to stimulate the use of NAMs and facilitate the interpretation of their results is to combine them in a</w:t>
      </w:r>
      <w:r w:rsidR="00FA0967">
        <w:t>n Integrated Approach for Testing and Assessment</w:t>
      </w:r>
      <w:r w:rsidR="00D940B1">
        <w:t xml:space="preserve"> (IATA)</w:t>
      </w:r>
      <w:r w:rsidR="006F09A0">
        <w:t>. Such an IATA</w:t>
      </w:r>
      <w:r w:rsidR="00FA0967">
        <w:t xml:space="preserve"> </w:t>
      </w:r>
      <w:r w:rsidR="00E62F59">
        <w:t xml:space="preserve">represents a framework for integrating information about chemical substances regarding </w:t>
      </w:r>
      <w:r w:rsidR="00E62F59">
        <w:lastRenderedPageBreak/>
        <w:t xml:space="preserve">a </w:t>
      </w:r>
      <w:r w:rsidR="00F50A4B">
        <w:t>toxicological endpoint</w:t>
      </w:r>
      <w:r w:rsidR="00E62F59">
        <w:t xml:space="preserve"> in order to support chemical safety within a regulatory context. IATAs combine already existing information along with newly generated data from NAMs or conventional toxicity testing methods to fill data gaps</w:t>
      </w:r>
      <w:r w:rsidR="001434C8">
        <w:t xml:space="preserve"> and ideally not rely on animal testing or only as a last resort</w:t>
      </w:r>
      <w:r w:rsidR="00E62F59">
        <w:t xml:space="preserve">. </w:t>
      </w:r>
      <w:r w:rsidR="00B93928">
        <w:t xml:space="preserve">By first focusing on existing data and filling data gaps by using NAMs, IATAs can potentially reduce, or even abolish, animal testing. In addition, IATAs can use high-throughput methods to rapidly assess a large number of chemicals, and thus cover a greater chemical </w:t>
      </w:r>
      <w:r w:rsidR="00211E8B">
        <w:t>space</w:t>
      </w:r>
      <w:r w:rsidR="00AF2E5D">
        <w:fldChar w:fldCharType="begin"/>
      </w:r>
      <w:r w:rsidR="00E774F7">
        <w:instrText xml:space="preserve"> ADDIN ZOTERO_ITEM CSL_CITATION {"citationID":"CxQU0CFO","properties":{"formattedCitation":"\\super 39\\nosupersub{}","plainCitation":"39","noteIndex":0},"citationItems":[{"id":38,"uris":["http://zotero.org/users/11265134/items/SDXM2PPF"],"itemData":{"id":38,"type":"article-journal","language":"en","source":"Zotero","title":"Overview of Concepts and Available Guidance related to Integrated Approaches to Testing and Assessment (IATA)","author":[{"family":"OECD Series on Testing and Assessment, No. 329, Environment, Health and Safety, Environment Directorate, OECD","given":""}],"issued":{"date-parts":[["2020"]]}}}],"schema":"https://github.com/citation-style-language/schema/raw/master/csl-citation.json"} </w:instrText>
      </w:r>
      <w:r w:rsidR="00AF2E5D">
        <w:fldChar w:fldCharType="separate"/>
      </w:r>
      <w:r w:rsidR="00E774F7" w:rsidRPr="00E774F7">
        <w:rPr>
          <w:rFonts w:ascii="Calibri" w:hAnsi="Calibri" w:cs="Calibri"/>
          <w:szCs w:val="24"/>
          <w:vertAlign w:val="superscript"/>
        </w:rPr>
        <w:t>39</w:t>
      </w:r>
      <w:r w:rsidR="00AF2E5D">
        <w:fldChar w:fldCharType="end"/>
      </w:r>
      <w:r w:rsidR="00211E8B">
        <w:t xml:space="preserve">. </w:t>
      </w:r>
      <w:r w:rsidR="00B93928">
        <w:t xml:space="preserve">The selection of data sources and NAMs in the IATA may be challenging and should be science-driven, a process in which adverse outcome pathways (AOPs) could play an important </w:t>
      </w:r>
      <w:r w:rsidR="00D940B1">
        <w:t>role</w:t>
      </w:r>
      <w:r w:rsidR="005273F2">
        <w:fldChar w:fldCharType="begin"/>
      </w:r>
      <w:r w:rsidR="00E774F7">
        <w:instrText xml:space="preserve"> ADDIN ZOTERO_ITEM CSL_CITATION {"citationID":"8cERdJzr","properties":{"formattedCitation":"\\super 40\\nosupersub{}","plainCitation":"40","noteIndex":0},"citationItems":[{"id":160,"uris":["http://zotero.org/users/11265134/items/MP6H3SRQ"],"itemData":{"id":160,"type":"article-journal","abstract":"While human regulatory risk assessment (RA) still largely relies on animal studies, new approach methodologies (NAMs) based on in vitro, in silico or non-mammalian alternative models are increasingly used to evaluate chemical hazards. Moreover, human epidemiological studies with biomarkers of effect (BoE) also play an invaluable role in identifying health effects associated with chemical exposures. To move towards the next generation risk assessment (NGRA), it is therefore crucial to establish bridges between NAMs and standard approaches, and to establish processes for increasing mechanistically-based biological plausibility in human studies. The Adverse Outcome Pathway (AOP) framework constitutes an important tool to address these needs but, despite a significant increase in knowledge and awareness, the use of AOPs in chemical RA remains limited. The objective of this paper is to address issues related to using AOPs in a regulatory context from various perspectives as it was discussed in a workshop organized within the European Union partnerships HBM4EU and PARC in spring 2022. The paper presents examples where the AOP framework has been proven useful for the human RA process, particularly in hazard prioritization and characterization, in integrated approaches to testing and assessment (IATA), and in the identification and validation of BoE in epidemiological studies. Nevertheless, several limitations were identified that hinder the optimal usability and acceptance of AOPs by the regulatory community including the lack of quantitative information on response-response relationships and of efficient ways to map chemical data (exposure and toxicity) onto AOPs. The paper summarizes suggestions, ongoing initiatives and third-party tools that may help to overcome these obstacles and thus assure better implementation of AOPs in the NGRA.","container-title":"Environmental Research","DOI":"10.1016/j.envres.2022.114650","ISSN":"0013-9351","journalAbbreviation":"Environmental Research","page":"114650","source":"ScienceDirect","title":"Application of AOPs to assist regulatory assessment of chemical risks – Case studies, needs and recommendations","volume":"217","author":[{"family":"Bajard","given":"Lola"},{"family":"Adamovsky","given":"Ondrej"},{"family":"Audouze","given":"Karine"},{"family":"Baken","given":"Kirsten"},{"family":"Barouki","given":"Robert"},{"family":"Beltman","given":"Joost B."},{"family":"Beronius","given":"Anna"},{"family":"Bonefeld-Jørgensen","given":"Eva Cecilie"},{"family":"Cano-Sancho","given":"German"},{"family":"Baat","given":"Milo L.","non-dropping-particle":"de"},{"family":"Di Tillio","given":"Filippo"},{"family":"Fernández","given":"Mariana F."},{"family":"FitzGerald","given":"Rex E."},{"family":"Gundacker","given":"Claudia"},{"family":"Hernández","given":"Antonio F."},{"family":"Hilscherova","given":"Klara"},{"family":"Karakitsios","given":"Spyros"},{"family":"Kuchovska","given":"Eliska"},{"family":"Long","given":"Manhai"},{"family":"Luijten","given":"Mirjam"},{"family":"Majid","given":"Sanah"},{"family":"Marx-Stoelting","given":"Philip"},{"family":"Mustieles","given":"Vicente"},{"family":"Negi","given":"Chander K."},{"family":"Sarigiannis","given":"Dimosthenis"},{"family":"Scholz","given":"Stefan"},{"family":"Sovadinova","given":"Iva"},{"family":"Stierum","given":"Rob"},{"family":"Tanabe","given":"Shihori"},{"family":"Tollefsen","given":"Knut Erik"},{"family":"Brand","given":"Annick D.","non-dropping-particle":"van den"},{"family":"Vogs","given":"Carolina"},{"family":"Wielsøe","given":"Maria"},{"family":"Wittwehr","given":"Clemens"},{"family":"Blaha","given":"Ludek"}],"issued":{"date-parts":[["2023",1,15]]}}}],"schema":"https://github.com/citation-style-language/schema/raw/master/csl-citation.json"} </w:instrText>
      </w:r>
      <w:r w:rsidR="005273F2">
        <w:fldChar w:fldCharType="separate"/>
      </w:r>
      <w:r w:rsidR="00E774F7" w:rsidRPr="00E774F7">
        <w:rPr>
          <w:rFonts w:ascii="Calibri" w:hAnsi="Calibri" w:cs="Calibri"/>
          <w:szCs w:val="24"/>
          <w:vertAlign w:val="superscript"/>
        </w:rPr>
        <w:t>40</w:t>
      </w:r>
      <w:r w:rsidR="005273F2">
        <w:fldChar w:fldCharType="end"/>
      </w:r>
      <w:r w:rsidR="00B93928">
        <w:t>. Indeed, the AOP framework has already proven its usefulness by supporting the development of (conceptual) IATAs for skin sensitization</w:t>
      </w:r>
      <w:r w:rsidR="001434C8">
        <w:t xml:space="preserve"> and </w:t>
      </w:r>
      <w:r w:rsidR="009A0B5C">
        <w:t>non-genotoxic carcinogens</w:t>
      </w:r>
      <w:r w:rsidR="009A0B5C">
        <w:fldChar w:fldCharType="begin"/>
      </w:r>
      <w:r w:rsidR="00E774F7">
        <w:instrText xml:space="preserve"> ADDIN ZOTERO_ITEM CSL_CITATION {"citationID":"h49ZvmrZ","properties":{"formattedCitation":"\\super 41\\nosupersub{}","plainCitation":"41","noteIndex":0},"citationItems":[{"id":135,"uris":["http://zotero.org/users/11265134/items/H6MHQWDB"],"itemData":{"id":135,"type":"article-journal","abstract":"While regulatory requirements for carcinogenicity testing of chemicals vary according to product sector and regulatory jurisdiction, the standard approach starts with a battery of genotoxicity tests (which include mutagenicity assays). If any of the in vivo genotoxicity tests are positive, a lifetime rodent cancer bioassay may be requested, but under most chemical regulations (except plant protection, biocides, pharmaceuticals), this is rare. The decision to conduct further testing based on genotoxicity test outcomes creates a regulatory gap for the identification of non-genotoxic carcinogens (NGTxC). With the objective of addressing this gap, in 2016, the Organization of Economic Cooperation and Development (OECD) established an expert group to develop an integrated approach to the testing and assessment (IATA) of NGTxC. Through that work, a definition of NGTxC in a regulatory context was agreed. Using the adverse outcome pathway (AOP) concept, various cancer models were developed, and overarching mechanisms and modes of action were identified. After further refining and structuring with respect to the common hallmarks of cancer and knowing that NGTxC act through a large variety of specific mechanisms, with cell proliferation commonly being a unifying element, it became evident that a panel of tests covering multiple biological traits will be needed to populate the IATA. Consequently, in addition to literature and database investigation, the OECD opened a call for relevant assays in 2018 to receive suggestions. Here, we report on the definition of NGTxC, on the development of the overarching NGTxC IATA, and on the development of ranking parameters to evaluate the assays. Ultimately the intent is to select the best scoring assays for integration in an NGTxC IATA to better identify carcinogens and reduce public health hazards.","container-title":"Archives of Toxicology","DOI":"10.1007/s00204-020-02784-5","ISSN":"1432-0738","issue":"8","journalAbbreviation":"Arch Toxicol","language":"eng","note":"PMID: 32594184\nPMCID: PMC7395040","page":"2899-2923","source":"PubMed","title":"Chemical carcinogen safety testing: OECD expert group international consensus on the development of an integrated approach for the testing and assessment of chemical non-genotoxic carcinogens","title-short":"Chemical carcinogen safety testing","volume":"94","author":[{"family":"Jacobs","given":"Miriam N."},{"family":"Colacci","given":"Annamaria"},{"family":"Corvi","given":"Raffaella"},{"family":"Vaccari","given":"Monica"},{"family":"Aguila","given":"M. Cecilia"},{"family":"Corvaro","given":"Marco"},{"family":"Delrue","given":"Nathalie"},{"family":"Desaulniers","given":"Daniel"},{"family":"Ertych","given":"Norman"},{"family":"Jacobs","given":"Abigail"},{"family":"Luijten","given":"Mirjam"},{"family":"Madia","given":"Federica"},{"family":"Nishikawa","given":"Akiyoshi"},{"family":"Ogawa","given":"Kumiko"},{"family":"Ohmori","given":"Kiyomi"},{"family":"Paparella","given":"Martin"},{"family":"Sharma","given":"Anoop Kumar"},{"family":"Vasseur","given":"Paule"}],"issued":{"date-parts":[["2020",8]]}}}],"schema":"https://github.com/citation-style-language/schema/raw/master/csl-citation.json"} </w:instrText>
      </w:r>
      <w:r w:rsidR="009A0B5C">
        <w:fldChar w:fldCharType="separate"/>
      </w:r>
      <w:r w:rsidR="00E774F7" w:rsidRPr="00E774F7">
        <w:rPr>
          <w:rFonts w:ascii="Calibri" w:hAnsi="Calibri" w:cs="Calibri"/>
          <w:szCs w:val="24"/>
          <w:vertAlign w:val="superscript"/>
        </w:rPr>
        <w:t>41</w:t>
      </w:r>
      <w:r w:rsidR="009A0B5C">
        <w:fldChar w:fldCharType="end"/>
      </w:r>
      <w:r w:rsidR="009A0B5C">
        <w:t xml:space="preserve"> and </w:t>
      </w:r>
      <w:r w:rsidR="00272DAE">
        <w:t xml:space="preserve">can </w:t>
      </w:r>
      <w:r w:rsidR="00B93928">
        <w:t xml:space="preserve">facilitate the identification of the most suitable assays for measuring/informing on biological key </w:t>
      </w:r>
      <w:r w:rsidR="00272DAE">
        <w:t>events</w:t>
      </w:r>
      <w:r w:rsidR="00BD0AD0">
        <w:fldChar w:fldCharType="begin"/>
      </w:r>
      <w:r w:rsidR="00E774F7">
        <w:instrText xml:space="preserve"> ADDIN ZOTERO_ITEM CSL_CITATION {"citationID":"7fUIhncN","properties":{"formattedCitation":"\\super 42,43\\nosupersub{}","plainCitation":"42,43","noteIndex":0},"citationItems":[{"id":165,"uris":["http://zotero.org/users/11265134/items/3QXDKN74"],"itemData":{"id":165,"type":"article-journal","abstract":"Chemical regulation is challenged by the large number of chemicals requiring assessment for potential human health and environmental impacts. Current approaches are too resource intensive in terms of time, money and animal use to evaluate all chemicals under development or already on the market. The need for timely and robust decision making demands that regulatory toxicity testing becomes more cost-effective and efficient. One way to realize this goal is by being more strategic in directing testing resources; focusing on chemicals of highest concern, limiting testing to the most probable hazards, or targeting the most vulnerable species. Hypothesis driven Integrated Approaches to Testing and Assessment (IATA) have been proposed as practical solutions to such strategic testing. In parallel, the development of the Adverse Outcome Pathway (AOP) framework, which provides information on the causal links between a molecular initiating event (MIE), intermediate key events (KEs) and an adverse outcome (AO) of regulatory concern, offers the biological context to facilitate development of IATA for regulatory decision making. This manuscript summarizes discussions at the Workshop entitled “Advancing AOPs for Integrated Toxicology and Regulatory Applications” with particular focus on the role AOPs play in informing the development of IATA for different regulatory purposes.","container-title":"Regulatory Toxicology and Pharmacology","DOI":"10.1016/j.yrtph.2014.09.009","ISSN":"0273-2300","issue":"3","journalAbbreviation":"Regulatory Toxicology and Pharmacology","page":"629-640","source":"ScienceDirect","title":"Applying Adverse Outcome Pathways (AOPs) to support Integrated Approaches to Testing and Assessment (IATA)","volume":"70","author":[{"family":"Tollefsen","given":"Knut Erik"},{"family":"Scholz","given":"Stefan"},{"family":"Cronin","given":"Mark T."},{"family":"Edwards","given":"Stephen W."},{"family":"Knecht","given":"Joop","non-dropping-particle":"de"},{"family":"Crofton","given":"Kevin"},{"family":"Garcia-Reyero","given":"Natalia"},{"family":"Hartung","given":"Thomas"},{"family":"Worth","given":"Andrew"},{"family":"Patlewicz","given":"Grace"}],"issued":{"date-parts":[["2014",12,1]]}},"label":"act"},{"id":168,"uris":["http://zotero.org/users/11265134/items/NWMHRE58"],"itemData":{"id":168,"type":"paper-conference","abstract":"New streamlined approaches that use fewer resources and animals are needed for the safety assessment of chemicals. Data gathering should be streamlined to fit regulatory need and the specific properties of the chemicals being assessed. Toward this goal, the Organization for Economic Cooperation and Development (OECD) has introduced the concept of integrated approaches to testing and assessment (IATA) to inform hazard or risk assessment. An IATA is designed to address a specific question, and may include exposure or regulatory considerations, depending on the context. IATA can be informed by mechanistic information about the chemical and related biology. OECD’s of Adverse Outcome Pathways (AOPs) framework is designed to gather biological information related to adverse outcomes of regulatory significance. An AOP is the collected chemical and biological information about a particular biological pathway. The OECD has developed guidance for building and assessing AOPs, and is coordinating development of the AOP Knowledge-base (AOP-KB) for collecting and using this information. The AOP-KB also accepts information about the perturbations of these pathways caused by chemical exposure – information can be used to design prediction models. AOPs can form the logical basis for the integration of information and the design of integrated testing strategies (ITS), within the context of an (IATA), to more effectively and efficiently inform hazard or risk determination.","container-title":"Alternatives to Animal Testing","DOI":"10.1007/978-981-13-2447-5_11","event-place":"Singapore","ISBN":"9789811324475","language":"en","page":"83-90","publisher":"Springer","publisher-place":"Singapore","source":"Springer Link","title":"The Use of Adverse Outcome Pathways (AOPs) to Support Chemical Safety Decisions Within the Context of Integrated Approaches to Testing and Assessment (IATA)","author":[{"family":"Willett","given":"Catherine"}],"editor":[{"family":"Kojima","given":"Hajime"},{"family":"Seidle","given":"Troy"},{"family":"Spielmann","given":"Horst"}],"issued":{"date-parts":[["2019"]]}},"label":"act"}],"schema":"https://github.com/citation-style-language/schema/raw/master/csl-citation.json"} </w:instrText>
      </w:r>
      <w:r w:rsidR="00BD0AD0">
        <w:fldChar w:fldCharType="separate"/>
      </w:r>
      <w:r w:rsidR="00E774F7" w:rsidRPr="00E774F7">
        <w:rPr>
          <w:rFonts w:ascii="Calibri" w:hAnsi="Calibri" w:cs="Calibri"/>
          <w:szCs w:val="24"/>
          <w:vertAlign w:val="superscript"/>
        </w:rPr>
        <w:t>42,43</w:t>
      </w:r>
      <w:r w:rsidR="00BD0AD0">
        <w:fldChar w:fldCharType="end"/>
      </w:r>
      <w:r w:rsidR="00272DAE">
        <w:t xml:space="preserve">.  </w:t>
      </w:r>
      <w:r w:rsidR="009A0B5C">
        <w:t xml:space="preserve"> </w:t>
      </w:r>
    </w:p>
    <w:p w14:paraId="258E1AE5" w14:textId="77777777" w:rsidR="00E47A26" w:rsidRDefault="00E47A26" w:rsidP="00FA0967">
      <w:pPr>
        <w:spacing w:after="0" w:line="324" w:lineRule="auto"/>
        <w:jc w:val="both"/>
      </w:pPr>
    </w:p>
    <w:p w14:paraId="5D43B96B" w14:textId="73DC0574" w:rsidR="00131674" w:rsidRDefault="00E47A26" w:rsidP="00E47A26">
      <w:pPr>
        <w:pStyle w:val="Paragraphedeliste"/>
        <w:numPr>
          <w:ilvl w:val="0"/>
          <w:numId w:val="9"/>
        </w:numPr>
        <w:spacing w:after="0" w:line="324" w:lineRule="auto"/>
        <w:jc w:val="both"/>
        <w:rPr>
          <w:b/>
          <w:bCs/>
          <w:sz w:val="32"/>
          <w:szCs w:val="32"/>
        </w:rPr>
      </w:pPr>
      <w:r w:rsidRPr="00BE69EC">
        <w:rPr>
          <w:b/>
          <w:bCs/>
          <w:sz w:val="32"/>
          <w:szCs w:val="32"/>
        </w:rPr>
        <w:lastRenderedPageBreak/>
        <w:t>Adverse Outcome Pathways (AOPs)</w:t>
      </w:r>
    </w:p>
    <w:p w14:paraId="58E8A8C6" w14:textId="3D65D674" w:rsidR="00D832E7" w:rsidRDefault="002433FD" w:rsidP="00FA0967">
      <w:pPr>
        <w:spacing w:after="0" w:line="324" w:lineRule="auto"/>
        <w:jc w:val="both"/>
      </w:pPr>
      <w:r w:rsidRPr="002433FD">
        <w:t xml:space="preserve">The conceptual framework of the Adverse Outcome Pathway (AOP) was designed to function as a knowledge compilation and communication instrument, enabling the transparent conversion of mechanistic data into outcomes that hold significance in the context of </w:t>
      </w:r>
      <w:r w:rsidR="00D41E42">
        <w:t>(</w:t>
      </w:r>
      <w:r w:rsidRPr="002433FD">
        <w:t>chemical</w:t>
      </w:r>
      <w:r w:rsidR="00D41E42">
        <w:t>)</w:t>
      </w:r>
      <w:r w:rsidRPr="002433FD">
        <w:t xml:space="preserve"> safety assessment</w:t>
      </w:r>
      <w:r>
        <w:fldChar w:fldCharType="begin"/>
      </w:r>
      <w:r w:rsidR="00E774F7">
        <w:instrText xml:space="preserve"> ADDIN ZOTERO_ITEM CSL_CITATION {"citationID":"Ler3YBux","properties":{"formattedCitation":"\\super 44\\nosupersub{}","plainCitation":"44","noteIndex":0},"citationItems":[{"id":47,"uris":["http://zotero.org/users/11265134/items/VL55Z4ZE"],"itemData":{"id":47,"type":"article-journal","abstract":"The adverse outcome pathway (AOP) framework serves as a knowledge assembly, interpretation, and communication tool designed to support the translation of pathway-specific mechanistic data into responses relevant to assessing and managing risks of chemicals to human health and the environment. As such, AOPs facilitate the use of data streams often not employed by risk assessors, including information from in silico models, in vitro assays and short-term in vivo tests with molecular/biochemical endpoints. This translational capability can increase the capacity and efficiency of safety assessments both for single chemicals and chemical mixtures. Our mini-review describes the conceptual basis of the AOP framework and aspects of its current status relative to use by toxicologists and risk assessors, including four illustrative applications of the framework to diverse assessment scenarios.","collection-title":"Risk assessment in Toxicology","container-title":"Current Opinion in Toxicology","DOI":"10.1016/j.cotox.2018.03.004","ISSN":"2468-2020","journalAbbreviation":"Current Opinion in Toxicology","language":"en","page":"1-7","source":"ScienceDirect","title":"The adverse outcome pathway: A multifaceted framework supporting 21st century toxicology","title-short":"The adverse outcome pathway","volume":"9","author":[{"family":"Ankley","given":"Gerald T."},{"family":"Edwards","given":"Stephen W."}],"issued":{"date-parts":[["2018",6,1]]}}}],"schema":"https://github.com/citation-style-language/schema/raw/master/csl-citation.json"} </w:instrText>
      </w:r>
      <w:r>
        <w:fldChar w:fldCharType="separate"/>
      </w:r>
      <w:r w:rsidR="00E774F7" w:rsidRPr="00E774F7">
        <w:rPr>
          <w:rFonts w:ascii="Calibri" w:hAnsi="Calibri" w:cs="Calibri"/>
          <w:szCs w:val="24"/>
          <w:vertAlign w:val="superscript"/>
        </w:rPr>
        <w:t>44</w:t>
      </w:r>
      <w:r>
        <w:fldChar w:fldCharType="end"/>
      </w:r>
      <w:r w:rsidRPr="002433FD">
        <w:t>.</w:t>
      </w:r>
      <w:r>
        <w:t xml:space="preserve"> </w:t>
      </w:r>
      <w:r w:rsidR="00DC62FA">
        <w:t>An AOP represents</w:t>
      </w:r>
      <w:r w:rsidR="00730630">
        <w:t xml:space="preserve"> an analytical construct that describes a sequential chain of causally linked events at different </w:t>
      </w:r>
      <w:r w:rsidR="00D41E42">
        <w:t xml:space="preserve">biological </w:t>
      </w:r>
      <w:r w:rsidR="00730630">
        <w:t>levels leading to an adverse health or ecotoxicological effect</w:t>
      </w:r>
      <w:r w:rsidR="001A3309">
        <w:t xml:space="preserve"> of regulatory concern</w:t>
      </w:r>
      <w:r w:rsidR="00730630">
        <w:t xml:space="preserve">. </w:t>
      </w:r>
      <w:r w:rsidR="00FD13DE">
        <w:t xml:space="preserve">The </w:t>
      </w:r>
      <w:r w:rsidR="00254CF9">
        <w:t>first biological event, called “Molecular Initiating Event (MIE)”, describes the initial interaction between a stressor and a biomolecule within an organism causing a perturbation in its biology. This interaction is then followed by a cascade of intermediate Key Events (KEs) to finally culminate in an Adverse Outcome (AO)</w:t>
      </w:r>
      <w:r w:rsidR="0048530C">
        <w:t xml:space="preserve"> considered relevant to risk assessment or regulatory decision-making. </w:t>
      </w:r>
      <w:r w:rsidR="008D7D45">
        <w:t>All these KEs are linked by Key Event Relationships (KER), describing the causal and predictive relationship between the upstream and downstream KE with scientific knowledge</w:t>
      </w:r>
      <w:r w:rsidR="00E774F7">
        <w:fldChar w:fldCharType="begin"/>
      </w:r>
      <w:r w:rsidR="00E774F7">
        <w:instrText xml:space="preserve"> ADDIN ZOTERO_ITEM CSL_CITATION {"citationID":"9uvSjGgd","properties":{"formattedCitation":"\\super 45\\nosupersub{}","plainCitation":"45","noteIndex":0},"citationItems":[{"id":218,"uris":["http://zotero.org/users/11265134/items/G7S6UW9J"],"itemData":{"id":218,"type":"article-journal","abstract":"An adverse outcome pathway (AOP) is a conceptual framework that organizes existing knowledge concerning biologically plausible, and empirically supported, links between molecular-level perturbation of a biological system and an adverse outcome at a level of biological organization of regulatory relevance. Systematic organization of information into AOP frameworks has potential to improve regulatory decision-making through greater integration and more meaningful use of mechanistic data. However, for the scientific community to collectively develop a useful AOP knowledgebase that encompasses toxicological contexts of concern to human health and ecological risk assessment, it is critical that AOPs be developed in accordance with a consistent set of core principles. Based on the experiences and scientific discourse among a group of AOP practitioners, we propose a set of five fundamental principles that guide AOP development: (1) AOPs are not chemical specific; (2) AOPs are modular and composed of reusable components—notably key events (KEs) and key event relationships (KERs); (3) an individual AOP, composed of a single sequence of KEs and KERs, is a pragmatic unit of AOP development and evaluation; (4) networks composed of multiple AOPs that share common KEs and KERs are likely to be the functional unit of prediction for most real-world scenarios; and (5) AOPs are living documents that will evolve over time as new knowledge is generated. The goal of the present article was to introduce some strategies for AOP development and detail the rationale behind these 5 key principles. Consideration of these principles addresses many of the current uncertainties regarding the AOP framework and its application and is intended to foster greater consistency in AOP development.","container-title":"Toxicological Sciences","DOI":"10.1093/toxsci/kfu199","ISSN":"1096-6080","issue":"2","journalAbbreviation":"Toxicol Sci","note":"PMID: 25466378\nPMCID: PMC4318923","page":"312-320","source":"PubMed Central","title":"Adverse Outcome Pathway (AOP) Development I: Strategies and Principles","title-short":"Adverse Outcome Pathway (AOP) Development I","volume":"142","author":[{"family":"Villeneuve","given":"Daniel L."},{"family":"Crump","given":"Doug"},{"family":"Garcia-Reyero","given":"Natàlia"},{"family":"Hecker","given":"Markus"},{"family":"Hutchinson","given":"Thomas H."},{"family":"LaLone","given":"Carlie A."},{"family":"Landesmann","given":"Brigitte"},{"family":"Lettieri","given":"Teresa"},{"family":"Munn","given":"Sharon"},{"family":"Nepelska","given":"Malgorzata"},{"family":"Ottinger","given":"Mary Ann"},{"family":"Vergauwen","given":"Lucia"},{"family":"Whelan","given":"Maurice"}],"issued":{"date-parts":[["2014",12]]}}}],"schema":"https://github.com/citation-style-language/schema/raw/master/csl-citation.json"} </w:instrText>
      </w:r>
      <w:r w:rsidR="00E774F7">
        <w:fldChar w:fldCharType="separate"/>
      </w:r>
      <w:r w:rsidR="00E774F7" w:rsidRPr="00E774F7">
        <w:rPr>
          <w:rFonts w:ascii="Calibri" w:hAnsi="Calibri" w:cs="Calibri"/>
          <w:szCs w:val="24"/>
          <w:vertAlign w:val="superscript"/>
        </w:rPr>
        <w:t>45</w:t>
      </w:r>
      <w:r w:rsidR="00E774F7">
        <w:fldChar w:fldCharType="end"/>
      </w:r>
      <w:r w:rsidR="008D7D45">
        <w:t xml:space="preserve">. </w:t>
      </w:r>
    </w:p>
    <w:p w14:paraId="34E6268A" w14:textId="77777777" w:rsidR="00D832E7" w:rsidRDefault="00D832E7" w:rsidP="00FA0967">
      <w:pPr>
        <w:spacing w:after="0" w:line="324" w:lineRule="auto"/>
        <w:jc w:val="both"/>
      </w:pPr>
    </w:p>
    <w:p w14:paraId="7CDF1A71" w14:textId="47C40E3A" w:rsidR="00D832E7" w:rsidRDefault="008328B8" w:rsidP="00FA0967">
      <w:pPr>
        <w:spacing w:after="0" w:line="324" w:lineRule="auto"/>
        <w:jc w:val="both"/>
      </w:pPr>
      <w:r>
        <w:rPr>
          <w:rStyle w:val="normaltextrun"/>
          <w:rFonts w:ascii="Calibri" w:hAnsi="Calibri" w:cs="Calibri"/>
          <w:color w:val="000000"/>
          <w:shd w:val="clear" w:color="auto" w:fill="FFFFFF"/>
        </w:rPr>
        <w:t xml:space="preserve">In this respect, AOPs define a sequence of biological measurable changes expected to occur when the perturbation is sufficiently important to initiate the pathway and lead to the final AO. </w:t>
      </w:r>
      <w:r>
        <w:rPr>
          <w:rStyle w:val="normaltextrun"/>
          <w:rFonts w:ascii="Calibri" w:hAnsi="Calibri" w:cs="Calibri"/>
          <w:color w:val="000000"/>
        </w:rPr>
        <w:t>AOPs only focus on describing critical checkpoints along the path which are both measurable and have potential predictive value.</w:t>
      </w:r>
      <w:r>
        <w:rPr>
          <w:rStyle w:val="normaltextrun"/>
          <w:rFonts w:ascii="Calibri" w:hAnsi="Calibri" w:cs="Calibri"/>
          <w:color w:val="000000"/>
          <w:shd w:val="clear" w:color="auto" w:fill="FFFFFF"/>
        </w:rPr>
        <w:t xml:space="preserve"> This focus on essentiality implies that each KE plays a causal role, meaning </w:t>
      </w:r>
      <w:r>
        <w:rPr>
          <w:rStyle w:val="normaltextrun"/>
          <w:rFonts w:ascii="Calibri" w:hAnsi="Calibri" w:cs="Calibri"/>
          <w:color w:val="000000"/>
        </w:rPr>
        <w:t xml:space="preserve">that if a KE fails to occur, the pathway cannot progress to the AO. </w:t>
      </w:r>
      <w:r>
        <w:rPr>
          <w:rStyle w:val="normaltextrun"/>
          <w:rFonts w:ascii="Calibri" w:hAnsi="Calibri" w:cs="Calibri"/>
          <w:color w:val="000000"/>
          <w:shd w:val="clear" w:color="auto" w:fill="FFFFFF"/>
        </w:rPr>
        <w:t xml:space="preserve"> In addition, AOPs are chemical agnostic. They can thus be initiated by any chemical or other agent capable of triggering </w:t>
      </w:r>
      <w:r w:rsidR="00D832E7">
        <w:rPr>
          <w:rStyle w:val="normaltextrun"/>
          <w:rFonts w:ascii="Calibri" w:hAnsi="Calibri" w:cs="Calibri"/>
          <w:color w:val="000000"/>
          <w:shd w:val="clear" w:color="auto" w:fill="FFFFFF"/>
        </w:rPr>
        <w:t>the</w:t>
      </w:r>
      <w:r w:rsidR="00D20290">
        <w:t xml:space="preserve"> MIE</w:t>
      </w:r>
      <w:r w:rsidR="00ED3631">
        <w:fldChar w:fldCharType="begin"/>
      </w:r>
      <w:r w:rsidR="00E774F7">
        <w:instrText xml:space="preserve"> ADDIN ZOTERO_ITEM CSL_CITATION {"citationID":"rUONh4g0","properties":{"formattedCitation":"\\super 46\\nosupersub{}","plainCitation":"46","noteIndex":0},"citationItems":[{"id":150,"uris":["http://zotero.org/users/11265134/items/TAB37WY9"],"itemData":{"id":150,"type":"report","abstract":"This document is a supplement to the Guidance Document for developing and assessing Adverse Outcome Pathways (AOPs). It provides focused and practical instructions for both AOP developers and reviewers and is intended to assist in identifying, organising and evaluating critical information on key events (KEs) as well as linkages between KEs within the AOP (i.e. AOP development). It also provides explicit guidance on how to assess the weight of evidence (WoE) supporting the overall AOP and its relevance for life stage, sex and taxonomy (i.e. AOP evaluation). This handbook is not intended to provide a review or summary of the literature informing the AOP concept. Instead, it focuses on practical aspects of AOP development and assessment. It has been developed by a subgroup of the OECD Extended Advisory Group for Molecular Screening and Toxicogenomics (EAGMST).","event-place":"Paris","language":"en","note":"DOI: 10.1787/5jlv1m9d1g32-en","publisher":"OECD","publisher-place":"Paris","source":"OECD iLibrary","title":"Users' Handbook supplement to the Guidance Document for developing and assessing Adverse Outcome Pathways","URL":"https://www.oecd-ilibrary.org/environment/users-handbook-supplement-to-the-guidance-document-for-developing-and-assessing-adverse-outcome-pathways_5jlv1m9d1g32-en","author":[{"family":"OECD","given":""}],"accessed":{"date-parts":[["2023",6,1]]},"issued":{"date-parts":[["2018",2,14]]}}}],"schema":"https://github.com/citation-style-language/schema/raw/master/csl-citation.json"} </w:instrText>
      </w:r>
      <w:r w:rsidR="00ED3631">
        <w:fldChar w:fldCharType="separate"/>
      </w:r>
      <w:r w:rsidR="00E774F7" w:rsidRPr="00E774F7">
        <w:rPr>
          <w:rFonts w:ascii="Calibri" w:hAnsi="Calibri" w:cs="Calibri"/>
          <w:szCs w:val="24"/>
          <w:vertAlign w:val="superscript"/>
        </w:rPr>
        <w:t>46</w:t>
      </w:r>
      <w:r w:rsidR="00ED3631">
        <w:fldChar w:fldCharType="end"/>
      </w:r>
      <w:r w:rsidR="00D20290">
        <w:t xml:space="preserve">. </w:t>
      </w:r>
    </w:p>
    <w:p w14:paraId="0EF2FF2C" w14:textId="77777777" w:rsidR="00D832E7" w:rsidRDefault="00D832E7" w:rsidP="00FA0967">
      <w:pPr>
        <w:spacing w:after="0" w:line="324" w:lineRule="auto"/>
        <w:jc w:val="both"/>
      </w:pPr>
    </w:p>
    <w:p w14:paraId="02408CC5" w14:textId="78C13ACA" w:rsidR="00E77A52" w:rsidRDefault="00692025" w:rsidP="00FA0967">
      <w:pPr>
        <w:spacing w:after="0" w:line="324" w:lineRule="auto"/>
        <w:jc w:val="both"/>
      </w:pPr>
      <w:r>
        <w:t>AOPs</w:t>
      </w:r>
      <w:r w:rsidR="000A289C">
        <w:t xml:space="preserve"> capture and organize what is known, and their development thus allows </w:t>
      </w:r>
      <w:r w:rsidR="008E6B11">
        <w:t>identifying</w:t>
      </w:r>
      <w:r w:rsidR="000A289C">
        <w:t xml:space="preserve"> current knowledge gaps, offering the opportunity to fill them and improve predictive utility. </w:t>
      </w:r>
      <w:r w:rsidR="00053989">
        <w:t>The objective underlying AOP development is to ultimately support extrapolations from one KE</w:t>
      </w:r>
      <w:r w:rsidR="005F2869">
        <w:t xml:space="preserve"> to </w:t>
      </w:r>
      <w:r w:rsidR="008E6B11">
        <w:t>another, which</w:t>
      </w:r>
      <w:r w:rsidR="00053989">
        <w:t xml:space="preserve"> </w:t>
      </w:r>
      <w:r w:rsidR="006C5F6C">
        <w:t>are consistent with the proposed vision for regulatory toxicology in the 21</w:t>
      </w:r>
      <w:r w:rsidR="006C5F6C" w:rsidRPr="006C5F6C">
        <w:rPr>
          <w:vertAlign w:val="superscript"/>
        </w:rPr>
        <w:t>st</w:t>
      </w:r>
      <w:r w:rsidR="006C5F6C">
        <w:t xml:space="preserve"> century. </w:t>
      </w:r>
      <w:r w:rsidR="005F2869">
        <w:t xml:space="preserve">Indeed, extrapolations </w:t>
      </w:r>
      <w:r w:rsidR="005F2869">
        <w:lastRenderedPageBreak/>
        <w:t xml:space="preserve">from KE measurements that </w:t>
      </w:r>
      <w:r w:rsidR="00D41E42">
        <w:t>are</w:t>
      </w:r>
      <w:r w:rsidR="005F2869">
        <w:t xml:space="preserve"> made efficiently and cost-effectively, typically at low levels of biological organization, to adverse effects at higher levels are relevant to </w:t>
      </w:r>
      <w:r w:rsidR="00ED3631">
        <w:t>regulatory protection goals and decision-making</w:t>
      </w:r>
      <w:r w:rsidR="00ED3631">
        <w:fldChar w:fldCharType="begin"/>
      </w:r>
      <w:r w:rsidR="00E774F7">
        <w:instrText xml:space="preserve"> ADDIN ZOTERO_ITEM CSL_CITATION {"citationID":"IBAXIrwk","properties":{"formattedCitation":"\\super 38,46\\nosupersub{}","plainCitation":"38,46","noteIndex":0},"citationItems":[{"id":150,"uris":["http://zotero.org/users/11265134/items/TAB37WY9"],"itemData":{"id":150,"type":"report","abstract":"This document is a supplement to the Guidance Document for developing and assessing Adverse Outcome Pathways (AOPs). It provides focused and practical instructions for both AOP developers and reviewers and is intended to assist in identifying, organising and evaluating critical information on key events (KEs) as well as linkages between KEs within the AOP (i.e. AOP development). It also provides explicit guidance on how to assess the weight of evidence (WoE) supporting the overall AOP and its relevance for life stage, sex and taxonomy (i.e. AOP evaluation). This handbook is not intended to provide a review or summary of the literature informing the AOP concept. Instead, it focuses on practical aspects of AOP development and assessment. It has been developed by a subgroup of the OECD Extended Advisory Group for Molecular Screening and Toxicogenomics (EAGMST).","event-place":"Paris","language":"en","note":"DOI: 10.1787/5jlv1m9d1g32-en","publisher":"OECD","publisher-place":"Paris","source":"OECD iLibrary","title":"Users' Handbook supplement to the Guidance Document for developing and assessing Adverse Outcome Pathways","URL":"https://www.oecd-ilibrary.org/environment/users-handbook-supplement-to-the-guidance-document-for-developing-and-assessing-adverse-outcome-pathways_5jlv1m9d1g32-en","author":[{"family":"OECD","given":""}],"accessed":{"date-parts":[["2023",6,1]]},"issued":{"date-parts":[["2018",2,14]]}},"label":"act"},{"id":148,"uris":["http://zotero.org/users/11265134/items/RGIDABMX"],"itemData":{"id":148,"type":"article-journal","abstract":"With the release of the landmark report Toxicity Testing in the 21st Century: A Vision and a Strategy, the U.S. National Academy of Sciences, in 2007, precipitated a major change in the way toxicity testing is conducted. It envisions increased efficiency in toxicity testing and decreased animal usage by transitioning from current expensive and lengthy in vivo testing with qualitative endpoints to in vitro toxicity pathway assays on human cells or cell lines using robotic high-throughput screening with mechanistic quantitative parameters. Risk assessment in the exposed human population would focus on avoiding significant perturbations in these toxicity pathways. Computational systems biology models would be implemented to determine the dose-response models of perturbations of pathway function. Extrapolation of in vitro results to in vivo human blood and tissue concentrations would be based on pharmacokinetic models for the given exposure condition. This practice would enhance human relevance of test results, and would cover several test agents, compared to traditional toxicological testing strategies. As all the tools that are necessary to implement the vision are currently available or in an advanced stage of development, the key prerequisites to achieving this paradigm shift are a commitment to change in the scientific community, which could be facilitated by a broad discussion of the vision, and obtaining necessary resources to enhance current knowledge of pathway perturbations and pathway assays in humans and to implement computational systems biology models. Implementation of these strategies would result in a new toxicity testing paradigm firmly based on human biology.","container-title":"Journal of Toxicology and Environmental Health, Part B","DOI":"10.1080/10937404.2010.483176","ISSN":"1093-7404","issue":"2-4","note":"publisher: Taylor &amp; Francis\n_eprint: https://doi.org/10.1080/10937404.2010.483176\nPMID: 20574894","page":"51-138","source":"Taylor and Francis+NEJM","title":"Toxicity Testing in the 21st Century: A Vision and a Strategy","title-short":"Toxicity Testing in the 21st Century","volume":"13","author":[{"family":"Krewski","given":"Daniel"},{"family":"Acosta","given":"Daniel"},{"family":"Andersen","given":"Melvin"},{"family":"Anderson","given":"Henry"},{"family":"Bailar","given":"John   C."},{"family":"Boekelheide","given":"Kim"},{"family":"Brent","given":"Robert"},{"family":"Charnley","given":"Gail"},{"family":"Cheung","given":"Vivian   G."},{"family":"Green","given":"Sidney"},{"family":"Kelsey","given":"Karl   T."},{"family":"Kerkvliet","given":"Nancy   I."},{"family":"Li","given":"Abby   A."},{"family":"McCray","given":"Lawrence"},{"family":"Meyer","given":"Otto"},{"family":"Patterson","given":"Reid   D."},{"family":"Pennie","given":"William"},{"family":"Scala","given":"Robert   A."},{"family":"Solomon","given":"Gina   M."},{"family":"Stephens","given":"Martin"},{"family":"Yager","given":"James"},{"family":"Zeise","given":"Lauren"},{"literal":"Staff of Committee on Toxicity Testing and Assessment of Environmental Agents"}],"issued":{"date-parts":[["2010",6,17]]}},"label":"act"}],"schema":"https://github.com/citation-style-language/schema/raw/master/csl-citation.json"} </w:instrText>
      </w:r>
      <w:r w:rsidR="00ED3631">
        <w:fldChar w:fldCharType="separate"/>
      </w:r>
      <w:r w:rsidR="00E774F7" w:rsidRPr="00E774F7">
        <w:rPr>
          <w:rFonts w:ascii="Calibri" w:hAnsi="Calibri" w:cs="Calibri"/>
          <w:szCs w:val="24"/>
          <w:vertAlign w:val="superscript"/>
        </w:rPr>
        <w:t>38,46</w:t>
      </w:r>
      <w:r w:rsidR="00ED3631">
        <w:fldChar w:fldCharType="end"/>
      </w:r>
      <w:r w:rsidR="00ED3631">
        <w:t xml:space="preserve">. </w:t>
      </w:r>
      <w:r w:rsidR="00DC3155">
        <w:t xml:space="preserve"> In addition, AOPs sharing one or several common KEs can be combined into an AOP network</w:t>
      </w:r>
      <w:r w:rsidR="003262FE">
        <w:t>, which is defined as an assembly of two or more AO</w:t>
      </w:r>
      <w:r w:rsidR="00F077E8">
        <w:t>Ps</w:t>
      </w:r>
      <w:r w:rsidR="00DD6B0D">
        <w:fldChar w:fldCharType="begin"/>
      </w:r>
      <w:r w:rsidR="00DD6B0D">
        <w:instrText xml:space="preserve"> ADDIN ZOTERO_ITEM CSL_CITATION {"citationID":"Nk67oCbh","properties":{"formattedCitation":"\\super 47\\nosupersub{}","plainCitation":"47","noteIndex":0},"citationItems":[{"id":530,"uris":["http://zotero.org/users/11265134/items/MYWFRJER"],"itemData":{"id":530,"type":"article-journal","abstract":"Based on the results of a Horizon Scanning exercise sponsored by the Society of Environmental Toxicology and Chemistry that focused on advancing the adverse outcome pathway (AOP) framework, the development of guidance related to AOP network development was identified as a critical need. This not only included questions focusing directly on AOP networks, but also on related topics such as mixture toxicity assessment and the implementation of feedback loops within the AOP framework. A set of two articles has been developed to begin exploring these concepts. In the present article (part I), we consider the derivation of AOP networks in the context of how it differs from the development of individual AOPs. We then propose the use of filters and layers to tailor AOP networks to suit the needs of a given research question or application. We briefly introduce a number of analytical approaches that may be used to characterize the structure of AOP networks. These analytical concepts are further described in a dedicated, complementary article (part II). Finally, we present a number of case studies that illustrate concepts underlying the development, analysis, and application of AOP networks. The concepts described in the present article and in its companion article (which focuses on AOP network analytics) are intended to serve as a starting point for further development of the AOP network concept, and also to catalyze AOP network development and application by the different stakeholder communities. Environ Toxicol Chem 2018;37:1723-1733. © 2018 The Authors. Environmental Toxicology and Chemistry published by Wiley Periodicals, Inc. on behalf of SETAC.","container-title":"Environmental Toxicology and Chemistry","DOI":"10.1002/etc.4125","ISSN":"1552-8618","issue":"6","journalAbbreviation":"Environ Toxicol Chem","language":"eng","note":"PMID: 29488651\nPMCID: PMC6004608","page":"1723-1733","source":"PubMed","title":"Adverse outcome pathway networks I: Development and applications","title-short":"Adverse outcome pathway networks I","volume":"37","author":[{"family":"Knapen","given":"Dries"},{"family":"Angrish","given":"Michelle M."},{"family":"Fortin","given":"Marie C."},{"family":"Katsiadaki","given":"Ioanna"},{"family":"Leonard","given":"Marc"},{"family":"Margiotta-Casaluci","given":"Luigi"},{"family":"Munn","given":"Sharon"},{"family":"O'Brien","given":"Jason M."},{"family":"Pollesch","given":"Nathan"},{"family":"Smith","given":"L. Cody"},{"family":"Zhang","given":"Xiaowei"},{"family":"Villeneuve","given":"Daniel L."}],"issued":{"date-parts":[["2018",6]]}}}],"schema":"https://github.com/citation-style-language/schema/raw/master/csl-citation.json"} </w:instrText>
      </w:r>
      <w:r w:rsidR="00DD6B0D">
        <w:fldChar w:fldCharType="separate"/>
      </w:r>
      <w:r w:rsidR="00DD6B0D" w:rsidRPr="00DD6B0D">
        <w:rPr>
          <w:rFonts w:ascii="Calibri" w:hAnsi="Calibri" w:cs="Calibri"/>
          <w:szCs w:val="24"/>
          <w:vertAlign w:val="superscript"/>
        </w:rPr>
        <w:t>47</w:t>
      </w:r>
      <w:r w:rsidR="00DD6B0D">
        <w:fldChar w:fldCharType="end"/>
      </w:r>
      <w:r w:rsidR="00F077E8">
        <w:t xml:space="preserve">. AOP networks can capture broader knowledge concerning the range of possible AOs a perturbation may cause, or the range of ways in which </w:t>
      </w:r>
      <w:r w:rsidR="008E6B11">
        <w:t>an</w:t>
      </w:r>
      <w:r w:rsidR="00F077E8">
        <w:t xml:space="preserve"> AO may occur. They are useful for addressing chemicals involved in multiple </w:t>
      </w:r>
      <w:r w:rsidR="00CE56C5">
        <w:t>MIEs</w:t>
      </w:r>
      <w:r w:rsidR="00E77A52">
        <w:fldChar w:fldCharType="begin"/>
      </w:r>
      <w:r w:rsidR="00E774F7">
        <w:instrText xml:space="preserve"> ADDIN ZOTERO_ITEM CSL_CITATION {"citationID":"KRHRTgET","properties":{"formattedCitation":"\\super 46\\nosupersub{}","plainCitation":"46","noteIndex":0},"citationItems":[{"id":150,"uris":["http://zotero.org/users/11265134/items/TAB37WY9"],"itemData":{"id":150,"type":"report","abstract":"This document is a supplement to the Guidance Document for developing and assessing Adverse Outcome Pathways (AOPs). It provides focused and practical instructions for both AOP developers and reviewers and is intended to assist in identifying, organising and evaluating critical information on key events (KEs) as well as linkages between KEs within the AOP (i.e. AOP development). It also provides explicit guidance on how to assess the weight of evidence (WoE) supporting the overall AOP and its relevance for life stage, sex and taxonomy (i.e. AOP evaluation). This handbook is not intended to provide a review or summary of the literature informing the AOP concept. Instead, it focuses on practical aspects of AOP development and assessment. It has been developed by a subgroup of the OECD Extended Advisory Group for Molecular Screening and Toxicogenomics (EAGMST).","event-place":"Paris","language":"en","note":"DOI: 10.1787/5jlv1m9d1g32-en","publisher":"OECD","publisher-place":"Paris","source":"OECD iLibrary","title":"Users' Handbook supplement to the Guidance Document for developing and assessing Adverse Outcome Pathways","URL":"https://www.oecd-ilibrary.org/environment/users-handbook-supplement-to-the-guidance-document-for-developing-and-assessing-adverse-outcome-pathways_5jlv1m9d1g32-en","author":[{"family":"OECD","given":""}],"accessed":{"date-parts":[["2023",6,1]]},"issued":{"date-parts":[["2018",2,14]]}}}],"schema":"https://github.com/citation-style-language/schema/raw/master/csl-citation.json"} </w:instrText>
      </w:r>
      <w:r w:rsidR="00E77A52">
        <w:fldChar w:fldCharType="separate"/>
      </w:r>
      <w:r w:rsidR="00E774F7" w:rsidRPr="00E774F7">
        <w:rPr>
          <w:rFonts w:ascii="Calibri" w:hAnsi="Calibri" w:cs="Calibri"/>
          <w:szCs w:val="24"/>
          <w:vertAlign w:val="superscript"/>
        </w:rPr>
        <w:t>46</w:t>
      </w:r>
      <w:r w:rsidR="00E77A52">
        <w:fldChar w:fldCharType="end"/>
      </w:r>
      <w:r w:rsidR="005B41D2">
        <w:t xml:space="preserve"> or evaluating </w:t>
      </w:r>
      <w:r w:rsidR="009C483E">
        <w:t xml:space="preserve">the </w:t>
      </w:r>
      <w:r w:rsidR="005B41D2">
        <w:t xml:space="preserve">effects of combined chemicals. </w:t>
      </w:r>
    </w:p>
    <w:p w14:paraId="65A8CB16" w14:textId="178408A6" w:rsidR="0028300D" w:rsidRDefault="0028300D" w:rsidP="00FA0967">
      <w:pPr>
        <w:spacing w:after="0" w:line="324" w:lineRule="auto"/>
        <w:jc w:val="both"/>
      </w:pPr>
    </w:p>
    <w:p w14:paraId="3F4C933C" w14:textId="629F9B36" w:rsidR="0028300D" w:rsidRDefault="00C476FB" w:rsidP="00FA0967">
      <w:pPr>
        <w:spacing w:after="0" w:line="324" w:lineRule="auto"/>
        <w:jc w:val="both"/>
      </w:pPr>
      <w:r>
        <w:t>T</w:t>
      </w:r>
      <w:r w:rsidRPr="002F4F04">
        <w:t>he AOP-Wiki (https://aopwiki.org)</w:t>
      </w:r>
      <w:r>
        <w:t xml:space="preserve"> is </w:t>
      </w:r>
      <w:r w:rsidRPr="002F4F04">
        <w:t>a module of the AOP Knowledge base (AOP-KB), a central information and communication repository</w:t>
      </w:r>
      <w:r>
        <w:t xml:space="preserve"> for AOPs. A</w:t>
      </w:r>
      <w:r w:rsidRPr="002F4F04">
        <w:t xml:space="preserve">ll AOPs </w:t>
      </w:r>
      <w:r>
        <w:t xml:space="preserve">included in the AOP-Wiki </w:t>
      </w:r>
      <w:r w:rsidRPr="002F4F04">
        <w:t xml:space="preserve">are monitored by members of the Society for the Advancement of AOPs (SAAOP) and thus described by a SAAOP status. </w:t>
      </w:r>
      <w:r>
        <w:t xml:space="preserve">AOPs relevant to regulatory applications can be proposed by scientists from OECD member countries for </w:t>
      </w:r>
      <w:r>
        <w:lastRenderedPageBreak/>
        <w:t xml:space="preserve">review by the Advisory Group on Emerging Science in Chemicals Assessment (ESCA), which </w:t>
      </w:r>
      <w:r w:rsidRPr="00D61099">
        <w:t xml:space="preserve">oversees the essential elements of the </w:t>
      </w:r>
      <w:r>
        <w:t xml:space="preserve">OECD </w:t>
      </w:r>
      <w:r w:rsidRPr="00D61099">
        <w:t xml:space="preserve">AOP </w:t>
      </w:r>
      <w:r>
        <w:t xml:space="preserve">Development </w:t>
      </w:r>
      <w:r w:rsidRPr="00D61099">
        <w:t>Program</w:t>
      </w:r>
      <w:r>
        <w:t xml:space="preserve">. </w:t>
      </w:r>
      <w:r w:rsidRPr="00D47AB6">
        <w:t>Proposals that receive support from ESCA will be recommended for inclusion in the workplan of the Working Party of the National Coordinators of the Test Guidelines Programme (WNT) or the Working Party on Hazard Assessment (WPHA), as appropriate</w:t>
      </w:r>
      <w:r w:rsidR="0028300D" w:rsidRPr="00D47AB6">
        <w:t xml:space="preserve">. </w:t>
      </w:r>
      <w:r w:rsidR="0028300D" w:rsidRPr="002F4F04">
        <w:t xml:space="preserve">When an AOP project is accepted </w:t>
      </w:r>
      <w:r w:rsidR="0028300D">
        <w:t>for inclusion in the</w:t>
      </w:r>
      <w:r w:rsidR="0028300D" w:rsidRPr="002F4F04">
        <w:t xml:space="preserve"> </w:t>
      </w:r>
      <w:r w:rsidR="005D6DC2">
        <w:t>w</w:t>
      </w:r>
      <w:r w:rsidR="0028300D" w:rsidRPr="002F4F04">
        <w:t>ork</w:t>
      </w:r>
      <w:r w:rsidR="005D6DC2">
        <w:t xml:space="preserve"> </w:t>
      </w:r>
      <w:r w:rsidR="0028300D" w:rsidRPr="002F4F04">
        <w:t xml:space="preserve">plan, it </w:t>
      </w:r>
      <w:r w:rsidR="0028300D">
        <w:t>will also receive an</w:t>
      </w:r>
      <w:r w:rsidR="0028300D" w:rsidRPr="002F4F04">
        <w:t xml:space="preserve"> ‘OECD status’</w:t>
      </w:r>
      <w:r w:rsidR="0028300D">
        <w:fldChar w:fldCharType="begin"/>
      </w:r>
      <w:r w:rsidR="00DD6B0D">
        <w:instrText xml:space="preserve"> ADDIN ZOTERO_ITEM CSL_CITATION {"citationID":"laiiBu6j","properties":{"formattedCitation":"\\super 48\\nosupersub{}","plainCitation":"48","noteIndex":0},"citationItems":[{"id":203,"uris":["http://zotero.org/users/11265134/items/YYZDPWHB"],"itemData":{"id":203,"type":"webpage","title":"O.N.E - USERS’ HANDBOOK SUPPLEMENT TO THE GUIDANCE DOCUMENT FOR DEVELOPING AND ASSESSING AOPs","URL":"https://one.oecd.org/official-document/ENV/JM/MONO(2016)12/en","accessed":{"date-parts":[["2023",10,30]]}}}],"schema":"https://github.com/citation-style-language/schema/raw/master/csl-citation.json"} </w:instrText>
      </w:r>
      <w:r w:rsidR="0028300D">
        <w:fldChar w:fldCharType="separate"/>
      </w:r>
      <w:r w:rsidR="00DD6B0D" w:rsidRPr="00DD6B0D">
        <w:rPr>
          <w:rFonts w:ascii="Calibri" w:hAnsi="Calibri" w:cs="Calibri"/>
          <w:szCs w:val="24"/>
          <w:vertAlign w:val="superscript"/>
        </w:rPr>
        <w:t>48</w:t>
      </w:r>
      <w:r w:rsidR="0028300D">
        <w:fldChar w:fldCharType="end"/>
      </w:r>
      <w:r w:rsidR="0028300D">
        <w:t>.</w:t>
      </w:r>
    </w:p>
    <w:p w14:paraId="016524A2" w14:textId="77777777" w:rsidR="00E77A52" w:rsidRDefault="00E77A52" w:rsidP="00FA0967">
      <w:pPr>
        <w:spacing w:after="0" w:line="324" w:lineRule="auto"/>
        <w:jc w:val="both"/>
      </w:pPr>
    </w:p>
    <w:p w14:paraId="3A89E467" w14:textId="4160F60B" w:rsidR="00D832E7" w:rsidRDefault="00D832E7" w:rsidP="00FA0967">
      <w:pPr>
        <w:spacing w:after="0" w:line="324" w:lineRule="auto"/>
        <w:jc w:val="both"/>
        <w:rPr>
          <w:rStyle w:val="eop"/>
          <w:rFonts w:ascii="Calibri" w:hAnsi="Calibri" w:cs="Calibri"/>
          <w:color w:val="000000"/>
          <w:shd w:val="clear" w:color="auto" w:fill="FFFFFF"/>
        </w:rPr>
      </w:pPr>
      <w:r>
        <w:t>I</w:t>
      </w:r>
      <w:r w:rsidR="00646101">
        <w:t xml:space="preserve">n the field of genotoxicity, </w:t>
      </w:r>
      <w:r w:rsidR="008A6B52">
        <w:t xml:space="preserve">AOPs </w:t>
      </w:r>
      <w:r w:rsidR="0003258D">
        <w:t xml:space="preserve">can </w:t>
      </w:r>
      <w:r w:rsidR="008A6B52">
        <w:t xml:space="preserve">provide a framework </w:t>
      </w:r>
      <w:r w:rsidR="00B326B9" w:rsidRPr="00B326B9">
        <w:t xml:space="preserve">to characterize relationships between </w:t>
      </w:r>
      <w:r w:rsidR="0003258D">
        <w:t>the induction of DNA damage and adverse health outcomes</w:t>
      </w:r>
      <w:r w:rsidR="00644F60">
        <w:t xml:space="preserve">, </w:t>
      </w:r>
      <w:r w:rsidR="0003258D">
        <w:t>thereby supporting the</w:t>
      </w:r>
      <w:r w:rsidR="00644F60">
        <w:t xml:space="preserve"> </w:t>
      </w:r>
      <w:r w:rsidR="0003258D">
        <w:t>organization of</w:t>
      </w:r>
      <w:r w:rsidR="0003258D" w:rsidRPr="0003258D">
        <w:t xml:space="preserve"> data generated </w:t>
      </w:r>
      <w:r w:rsidR="0003258D">
        <w:t>with</w:t>
      </w:r>
      <w:r w:rsidR="0003258D" w:rsidRPr="0003258D">
        <w:t xml:space="preserve"> </w:t>
      </w:r>
      <w:r w:rsidR="00955051">
        <w:t>existing</w:t>
      </w:r>
      <w:r w:rsidR="0003258D" w:rsidRPr="0003258D">
        <w:t xml:space="preserve"> genotoxicity methods </w:t>
      </w:r>
      <w:r w:rsidR="0003258D">
        <w:t>and providing insights in</w:t>
      </w:r>
      <w:r w:rsidR="00A5361F">
        <w:t>to</w:t>
      </w:r>
      <w:r w:rsidR="0003258D">
        <w:t xml:space="preserve"> the </w:t>
      </w:r>
      <w:r w:rsidR="00644F60">
        <w:t xml:space="preserve">information </w:t>
      </w:r>
      <w:r w:rsidR="0003258D">
        <w:t>collected with</w:t>
      </w:r>
      <w:r w:rsidR="00644F60">
        <w:t xml:space="preserve"> </w:t>
      </w:r>
      <w:r w:rsidR="0003258D">
        <w:t xml:space="preserve">new </w:t>
      </w:r>
      <w:r w:rsidR="00955051">
        <w:t>methods</w:t>
      </w:r>
      <w:r>
        <w:fldChar w:fldCharType="begin"/>
      </w:r>
      <w:r w:rsidR="00DD6B0D">
        <w:instrText xml:space="preserve"> ADDIN ZOTERO_ITEM CSL_CITATION {"citationID":"a2jNX3gn","properties":{"formattedCitation":"\\super 40,49\\nosupersub{}","plainCitation":"40,49","noteIndex":0},"citationItems":[{"id":160,"uris":["http://zotero.org/users/11265134/items/MP6H3SRQ"],"itemData":{"id":160,"type":"article-journal","abstract":"While human regulatory risk assessment (RA) still largely relies on animal studies, new approach methodologies (NAMs) based on in vitro, in silico or non-mammalian alternative models are increasingly used to evaluate chemical hazards. Moreover, human epidemiological studies with biomarkers of effect (BoE) also play an invaluable role in identifying health effects associated with chemical exposures. To move towards the next generation risk assessment (NGRA), it is therefore crucial to establish bridges between NAMs and standard approaches, and to establish processes for increasing mechanistically-based biological plausibility in human studies. The Adverse Outcome Pathway (AOP) framework constitutes an important tool to address these needs but, despite a significant increase in knowledge and awareness, the use of AOPs in chemical RA remains limited. The objective of this paper is to address issues related to using AOPs in a regulatory context from various perspectives as it was discussed in a workshop organized within the European Union partnerships HBM4EU and PARC in spring 2022. The paper presents examples where the AOP framework has been proven useful for the human RA process, particularly in hazard prioritization and characterization, in integrated approaches to testing and assessment (IATA), and in the identification and validation of BoE in epidemiological studies. Nevertheless, several limitations were identified that hinder the optimal usability and acceptance of AOPs by the regulatory community including the lack of quantitative information on response-response relationships and of efficient ways to map chemical data (exposure and toxicity) onto AOPs. The paper summarizes suggestions, ongoing initiatives and third-party tools that may help to overcome these obstacles and thus assure better implementation of AOPs in the NGRA.","container-title":"Environmental Research","DOI":"10.1016/j.envres.2022.114650","ISSN":"0013-9351","journalAbbreviation":"Environmental Research","page":"114650","source":"ScienceDirect","title":"Application of AOPs to assist regulatory assessment of chemical risks – Case studies, needs and recommendations","volume":"217","author":[{"family":"Bajard","given":"Lola"},{"family":"Adamovsky","given":"Ondrej"},{"family":"Audouze","given":"Karine"},{"family":"Baken","given":"Kirsten"},{"family":"Barouki","given":"Robert"},{"family":"Beltman","given":"Joost B."},{"family":"Beronius","given":"Anna"},{"family":"Bonefeld-Jørgensen","given":"Eva Cecilie"},{"family":"Cano-Sancho","given":"German"},{"family":"Baat","given":"Milo L.","non-dropping-particle":"de"},{"family":"Di Tillio","given":"Filippo"},{"family":"Fernández","given":"Mariana F."},{"family":"FitzGerald","given":"Rex E."},{"family":"Gundacker","given":"Claudia"},{"family":"Hernández","given":"Antonio F."},{"family":"Hilscherova","given":"Klara"},{"family":"Karakitsios","given":"Spyros"},{"family":"Kuchovska","given":"Eliska"},{"family":"Long","given":"Manhai"},{"family":"Luijten","given":"Mirjam"},{"family":"Majid","given":"Sanah"},{"family":"Marx-Stoelting","given":"Philip"},{"family":"Mustieles","given":"Vicente"},{"family":"Negi","given":"Chander K."},{"family":"Sarigiannis","given":"Dimosthenis"},{"family":"Scholz","given":"Stefan"},{"family":"Sovadinova","given":"Iva"},{"family":"Stierum","given":"Rob"},{"family":"Tanabe","given":"Shihori"},{"family":"Tollefsen","given":"Knut Erik"},{"family":"Brand","given":"Annick D.","non-dropping-particle":"van den"},{"family":"Vogs","given":"Carolina"},{"family":"Wielsøe","given":"Maria"},{"family":"Wittwehr","given":"Clemens"},{"family":"Blaha","given":"Ludek"}],"issued":{"date-parts":[["2023",1,15]]}}},{"id":215,"uris":["http://zotero.org/users/11265134/items/CKAWE7J6"],"itemData":{"id":215,"type":"article-journal","abstract":"In May 2017, the Health and Environmental Sciences Institute's Genetic Toxicology Technical Committee hosted a workshop to discuss whether mode of action (MOA) investigation is enhanced through the application of the adverse outcome pathway (AOP) framework. As AOPs are a relatively new approach in genetic toxicology, this report describes how AOPs could be harnessed to advance MOA analysis of genotoxicity pathways using five example case studies. Each of these genetic toxicology AOPs proposed for further development includes the relevant molecular initiating events, key events, and adverse outcomes (AOs), identification and/or further development of the appropriate assays to link an agent to these events, and discussion regarding the biological plausibility of the proposed AOP. A key difference between these proposed genetic toxicology AOPs versus traditional AOPs is that the AO is a genetic toxicology endpoint of potential significance in risk characterization, in contrast to an adverse state of an organism or a population. The first two detailed case studies describe provisional AOPs for aurora kinase inhibition and tubulin binding, leading to the common AO of aneuploidy. The remaining three case studies highlight provisional AOPs that lead to chromosome breakage or mutation via indirect DNA interaction (inhibition of topoisomerase II, production of cellular reactive oxygen species, and inhibition of DNA synthesis). These case studies serve as starting points for genotoxicity AOPs that could ultimately be published and utilized by the broader toxicology community and illustrate the practical considerations and evidence required to formalize such AOPs so that they may be applied to genetic toxicity evaluation schemes. Environ. Mol. Mutagen. 61:114–134, 2020. © 2019 Wiley Periodicals, Inc.","container-title":"Environmental and Molecular Mutagenesis","DOI":"10.1002/em.22339","ISSN":"1098-2280","issue":"1","language":"en","license":"© 2019 Wiley Periodicals, Inc.","note":"_eprint: https://onlinelibrary.wiley.com/doi/pdf/10.1002/em.22339","page":"114-134","source":"Wiley Online Library","title":"Application of the adverse outcome pathway framework to genotoxic modes of action","volume":"61","author":[{"family":"Sasaki","given":"Jennifer C."},{"family":"Allemang","given":"Ashley"},{"family":"Bryce","given":"Steven M."},{"family":"Custer","given":"Laura"},{"family":"Dearfield","given":"Kerry L."},{"family":"Dietz","given":"Yasmin"},{"family":"Elhajouji","given":"Azeddine"},{"family":"Escobar","given":"Patricia A."},{"family":"Fornace Jr","given":"Albert J."},{"family":"Froetschl","given":"Roland"},{"family":"Galloway","given":"Sheila"},{"family":"Hemmann","given":"Ulrike"},{"family":"Hendriks","given":"Giel"},{"family":"Li","given":"Heng-Hong"},{"family":"Luijten","given":"Mirjam"},{"family":"Ouedraogo","given":"Gladys"},{"family":"Peel","given":"Lauren"},{"family":"Pfuhler","given":"Stefan"},{"family":"Roberts","given":"Daniel J."},{"family":"Thybaud","given":"Véronique"},{"family":"Benthem","given":"Jan","non-dropping-particle":"van"},{"family":"Yauk","given":"Carole L."},{"family":"Schuler","given":"Maik"}],"issued":{"date-parts":[["2020"]]}}}],"schema":"https://github.com/citation-style-language/schema/raw/master/csl-citation.json"} </w:instrText>
      </w:r>
      <w:r>
        <w:fldChar w:fldCharType="separate"/>
      </w:r>
      <w:r w:rsidR="00DD6B0D" w:rsidRPr="00DD6B0D">
        <w:rPr>
          <w:rFonts w:ascii="Calibri" w:hAnsi="Calibri" w:cs="Calibri"/>
          <w:szCs w:val="24"/>
          <w:vertAlign w:val="superscript"/>
        </w:rPr>
        <w:t>40,49</w:t>
      </w:r>
      <w:r>
        <w:fldChar w:fldCharType="end"/>
      </w:r>
      <w:r w:rsidR="008A6B52">
        <w:t xml:space="preserve">. </w:t>
      </w:r>
      <w:r>
        <w:rPr>
          <w:rStyle w:val="normaltextrun"/>
          <w:rFonts w:ascii="Calibri" w:hAnsi="Calibri" w:cs="Calibri"/>
          <w:color w:val="000000"/>
          <w:shd w:val="clear" w:color="auto" w:fill="FFFFFF"/>
        </w:rPr>
        <w:t xml:space="preserve">Moreover, the integration of AOPs linking different MIEs to either gene mutations, </w:t>
      </w:r>
      <w:r>
        <w:rPr>
          <w:rStyle w:val="normaltextrun"/>
          <w:rFonts w:ascii="Calibri" w:hAnsi="Calibri" w:cs="Calibri"/>
          <w:color w:val="000000"/>
          <w:shd w:val="clear" w:color="auto" w:fill="FFFFFF"/>
        </w:rPr>
        <w:lastRenderedPageBreak/>
        <w:t xml:space="preserve">structural and/or numerical chromosome aberrations into a network could serve as a multi-entry structure for the induction of ‘permanent DNA damage’. Such a network can provide an excellent basis for the integration of KE-specific NAMs into IATAs for genotoxicity aiming to address different regulatory questions. </w:t>
      </w:r>
      <w:r w:rsidR="00B93928">
        <w:rPr>
          <w:rStyle w:val="normaltextrun"/>
          <w:rFonts w:ascii="Calibri" w:hAnsi="Calibri" w:cs="Calibri"/>
          <w:color w:val="000000"/>
          <w:shd w:val="clear" w:color="auto" w:fill="FFFFFF"/>
        </w:rPr>
        <w:t>Additionally, the combination of IATA and AOP concepts could offer a better quantitative understanding of substances’ modes of action. Such molecular-level insight is expected to reduce the need for animal testing by increasing confidence. Finally, the use of AOPs can help identify knowledge gaps and prioritize new fields of research in genotoxicity.</w:t>
      </w:r>
      <w:r w:rsidR="00B93928">
        <w:rPr>
          <w:rStyle w:val="eop"/>
          <w:rFonts w:ascii="Calibri" w:hAnsi="Calibri" w:cs="Calibri"/>
          <w:color w:val="000000"/>
          <w:shd w:val="clear" w:color="auto" w:fill="FFFFFF"/>
        </w:rPr>
        <w:t> </w:t>
      </w:r>
    </w:p>
    <w:p w14:paraId="0489818B" w14:textId="77777777" w:rsidR="00B93928" w:rsidRDefault="00B93928" w:rsidP="00FA0967">
      <w:pPr>
        <w:spacing w:after="0" w:line="324" w:lineRule="auto"/>
        <w:jc w:val="both"/>
      </w:pPr>
    </w:p>
    <w:p w14:paraId="28F695D8" w14:textId="6C5244EC" w:rsidR="00C26F8C" w:rsidRDefault="00A31888" w:rsidP="00824029">
      <w:pPr>
        <w:pStyle w:val="Paragraphedeliste"/>
        <w:numPr>
          <w:ilvl w:val="0"/>
          <w:numId w:val="9"/>
        </w:numPr>
        <w:spacing w:after="0" w:line="324" w:lineRule="auto"/>
        <w:jc w:val="both"/>
        <w:rPr>
          <w:b/>
          <w:bCs/>
          <w:sz w:val="32"/>
          <w:szCs w:val="32"/>
        </w:rPr>
      </w:pPr>
      <w:r>
        <w:rPr>
          <w:b/>
          <w:bCs/>
          <w:sz w:val="32"/>
          <w:szCs w:val="32"/>
        </w:rPr>
        <w:t>D</w:t>
      </w:r>
      <w:r w:rsidR="00E47A26" w:rsidRPr="00BE69EC">
        <w:rPr>
          <w:b/>
          <w:bCs/>
          <w:sz w:val="32"/>
          <w:szCs w:val="32"/>
        </w:rPr>
        <w:t>raft AOP network leading to permanent DNA damage based on existing AO</w:t>
      </w:r>
      <w:r w:rsidR="00E47A26">
        <w:rPr>
          <w:b/>
          <w:bCs/>
          <w:sz w:val="32"/>
          <w:szCs w:val="32"/>
        </w:rPr>
        <w:t>Ps</w:t>
      </w:r>
    </w:p>
    <w:p w14:paraId="34A7A219" w14:textId="77777777" w:rsidR="00D20D04" w:rsidRDefault="00D20D04" w:rsidP="00D20D04">
      <w:pPr>
        <w:spacing w:after="0" w:line="324" w:lineRule="auto"/>
        <w:jc w:val="both"/>
        <w:rPr>
          <w:b/>
          <w:bCs/>
          <w:i/>
          <w:iCs/>
        </w:rPr>
      </w:pPr>
    </w:p>
    <w:p w14:paraId="09CD7DBB" w14:textId="441BEBE8" w:rsidR="00824029" w:rsidRDefault="005A223A" w:rsidP="00824029">
      <w:pPr>
        <w:spacing w:after="0" w:line="324" w:lineRule="auto"/>
        <w:jc w:val="both"/>
        <w:rPr>
          <w:b/>
          <w:bCs/>
          <w:i/>
          <w:iCs/>
        </w:rPr>
      </w:pPr>
      <w:r>
        <w:rPr>
          <w:b/>
          <w:bCs/>
          <w:i/>
          <w:iCs/>
        </w:rPr>
        <w:lastRenderedPageBreak/>
        <w:t>C</w:t>
      </w:r>
      <w:r w:rsidR="0028300D">
        <w:rPr>
          <w:b/>
          <w:bCs/>
          <w:i/>
          <w:iCs/>
        </w:rPr>
        <w:t xml:space="preserve">ompiling an inventory of </w:t>
      </w:r>
      <w:r w:rsidR="008D321F">
        <w:rPr>
          <w:b/>
          <w:bCs/>
          <w:i/>
          <w:iCs/>
        </w:rPr>
        <w:t xml:space="preserve">the </w:t>
      </w:r>
      <w:r w:rsidR="0028300D">
        <w:rPr>
          <w:b/>
          <w:bCs/>
          <w:i/>
          <w:iCs/>
        </w:rPr>
        <w:t>AOPs</w:t>
      </w:r>
      <w:r w:rsidR="008D321F">
        <w:rPr>
          <w:b/>
          <w:bCs/>
          <w:i/>
          <w:iCs/>
        </w:rPr>
        <w:t xml:space="preserve"> linked to DNA damage </w:t>
      </w:r>
      <w:r>
        <w:rPr>
          <w:b/>
          <w:bCs/>
          <w:i/>
          <w:iCs/>
        </w:rPr>
        <w:t>present in the AOP-Wiki</w:t>
      </w:r>
    </w:p>
    <w:p w14:paraId="04DF9E3B" w14:textId="7B468668" w:rsidR="00671ED0" w:rsidRDefault="002B3F2C" w:rsidP="00D41F8C">
      <w:pPr>
        <w:spacing w:after="0" w:line="324" w:lineRule="auto"/>
        <w:jc w:val="both"/>
      </w:pPr>
      <w:r>
        <w:t>As a first step, a</w:t>
      </w:r>
      <w:r w:rsidR="00033431">
        <w:t>n inventory of</w:t>
      </w:r>
      <w:r>
        <w:t xml:space="preserve"> all</w:t>
      </w:r>
      <w:r w:rsidR="00033431">
        <w:t xml:space="preserve"> AOPs </w:t>
      </w:r>
      <w:r>
        <w:t xml:space="preserve">present in the AOP-Wiki and with a link to </w:t>
      </w:r>
      <w:r w:rsidR="002F4F04">
        <w:t>DNA damage</w:t>
      </w:r>
      <w:r w:rsidR="00033431">
        <w:t xml:space="preserve"> </w:t>
      </w:r>
      <w:r w:rsidR="0066269B">
        <w:t>was</w:t>
      </w:r>
      <w:r w:rsidR="00033431">
        <w:t xml:space="preserve"> compiled</w:t>
      </w:r>
      <w:r w:rsidR="00373730">
        <w:t xml:space="preserve"> (Table </w:t>
      </w:r>
      <w:r w:rsidR="00CE65F6">
        <w:t>1</w:t>
      </w:r>
      <w:r w:rsidR="00373730">
        <w:t>)</w:t>
      </w:r>
      <w:r w:rsidR="00483708">
        <w:t>.</w:t>
      </w:r>
      <w:r w:rsidR="00033431">
        <w:t xml:space="preserve"> </w:t>
      </w:r>
    </w:p>
    <w:p w14:paraId="5B9F3FC9" w14:textId="77777777" w:rsidR="001D4DF1" w:rsidRDefault="001D4DF1" w:rsidP="00D41F8C">
      <w:pPr>
        <w:spacing w:after="0" w:line="324" w:lineRule="auto"/>
        <w:jc w:val="both"/>
      </w:pPr>
    </w:p>
    <w:p w14:paraId="13BBC85E" w14:textId="66ED4F90" w:rsidR="00FF38BD" w:rsidRDefault="00033431" w:rsidP="00D41F8C">
      <w:pPr>
        <w:spacing w:after="0" w:line="324" w:lineRule="auto"/>
        <w:jc w:val="both"/>
      </w:pPr>
      <w:r>
        <w:t xml:space="preserve">Nineteen AOPs of interest were found </w:t>
      </w:r>
      <w:r w:rsidR="00527ABF">
        <w:t>on the AOP-wiki</w:t>
      </w:r>
      <w:r w:rsidR="00D47AB6">
        <w:t>,</w:t>
      </w:r>
      <w:r w:rsidR="00527ABF">
        <w:t xml:space="preserve"> ten of </w:t>
      </w:r>
      <w:r w:rsidR="00FF38BD">
        <w:t>which</w:t>
      </w:r>
      <w:r w:rsidR="00527ABF">
        <w:t xml:space="preserve"> </w:t>
      </w:r>
      <w:r w:rsidR="00D47AB6">
        <w:t xml:space="preserve">are </w:t>
      </w:r>
      <w:r w:rsidR="00CE2387">
        <w:t xml:space="preserve">included in the OECD work plan. </w:t>
      </w:r>
      <w:r w:rsidR="002E16BC">
        <w:t>At present</w:t>
      </w:r>
      <w:r w:rsidR="00545B65">
        <w:t>, four</w:t>
      </w:r>
      <w:r w:rsidR="004A5104">
        <w:t xml:space="preserve"> of them are already endorsed by WPH</w:t>
      </w:r>
      <w:r w:rsidR="00A139CE">
        <w:t>A</w:t>
      </w:r>
      <w:r w:rsidR="00545B65">
        <w:t>/WNT</w:t>
      </w:r>
      <w:r w:rsidR="00D47AB6">
        <w:t>, the most advanced stage of AOP development at the OECD level</w:t>
      </w:r>
      <w:r w:rsidR="00545B65">
        <w:t>.</w:t>
      </w:r>
      <w:r w:rsidR="003E2E11">
        <w:t xml:space="preserve"> </w:t>
      </w:r>
      <w:r w:rsidR="00545B65">
        <w:t>Two others are</w:t>
      </w:r>
      <w:r w:rsidR="00E9671D">
        <w:t xml:space="preserve"> currently under review by E</w:t>
      </w:r>
      <w:r w:rsidR="00D47AB6">
        <w:t>SCA</w:t>
      </w:r>
      <w:r w:rsidR="00E9671D">
        <w:t xml:space="preserve"> and four are under development. </w:t>
      </w:r>
      <w:r w:rsidR="00EF26BE">
        <w:t xml:space="preserve"> </w:t>
      </w:r>
      <w:r w:rsidR="00B576D8">
        <w:t>Next</w:t>
      </w:r>
      <w:r w:rsidR="002B3F2C" w:rsidRPr="002B3F2C">
        <w:t xml:space="preserve">, a first draft AOP network combining the ten AOPs included in the OECD work plan was built (Supplementary Figure 1). </w:t>
      </w:r>
      <w:r w:rsidR="002B3F2C">
        <w:t>The</w:t>
      </w:r>
      <w:r w:rsidR="008335AE">
        <w:t xml:space="preserve"> AOPs that are not included in the OECD work plan were </w:t>
      </w:r>
      <w:r w:rsidR="002B3F2C">
        <w:t>excluded</w:t>
      </w:r>
      <w:r w:rsidR="008335AE">
        <w:t xml:space="preserve"> f</w:t>
      </w:r>
      <w:r w:rsidR="00815EA8">
        <w:t>rom</w:t>
      </w:r>
      <w:r w:rsidR="00B576D8">
        <w:t xml:space="preserve"> </w:t>
      </w:r>
      <w:r w:rsidR="008335AE">
        <w:t>building th</w:t>
      </w:r>
      <w:r w:rsidR="00B576D8">
        <w:t>is</w:t>
      </w:r>
      <w:r w:rsidR="002B3F2C">
        <w:t xml:space="preserve"> </w:t>
      </w:r>
      <w:r w:rsidR="008335AE">
        <w:t>network</w:t>
      </w:r>
      <w:r w:rsidR="00B576D8">
        <w:t xml:space="preserve"> as</w:t>
      </w:r>
      <w:r w:rsidR="008335AE">
        <w:t xml:space="preserve"> </w:t>
      </w:r>
      <w:r w:rsidR="002B3F2C">
        <w:t xml:space="preserve">further analysis showed that </w:t>
      </w:r>
      <w:r w:rsidR="008335AE">
        <w:t>these AOPs did not bring supplementary information into the network</w:t>
      </w:r>
      <w:r w:rsidR="00B576D8">
        <w:t xml:space="preserve">. </w:t>
      </w:r>
    </w:p>
    <w:p w14:paraId="49B6574D" w14:textId="77777777" w:rsidR="00FF38BD" w:rsidRDefault="00FF38BD" w:rsidP="00D41F8C">
      <w:pPr>
        <w:spacing w:after="0" w:line="324" w:lineRule="auto"/>
        <w:jc w:val="both"/>
      </w:pPr>
    </w:p>
    <w:p w14:paraId="2BEA653E" w14:textId="603CE7C0" w:rsidR="00E65F15" w:rsidRDefault="008335AE" w:rsidP="00D41F8C">
      <w:pPr>
        <w:spacing w:after="0" w:line="324" w:lineRule="auto"/>
        <w:jc w:val="both"/>
      </w:pPr>
      <w:r>
        <w:lastRenderedPageBreak/>
        <w:t>A</w:t>
      </w:r>
      <w:r w:rsidR="002B3F2C">
        <w:t xml:space="preserve">lthough </w:t>
      </w:r>
      <w:r w:rsidR="00B576D8">
        <w:t>a</w:t>
      </w:r>
      <w:r>
        <w:t xml:space="preserve"> draft </w:t>
      </w:r>
      <w:r w:rsidR="00B576D8">
        <w:t xml:space="preserve">AOP </w:t>
      </w:r>
      <w:r>
        <w:t xml:space="preserve">network </w:t>
      </w:r>
      <w:r w:rsidR="00B576D8">
        <w:t>could be designed based on the individual AOPs</w:t>
      </w:r>
      <w:r w:rsidR="002B3F2C">
        <w:t>, several challenges were encountered</w:t>
      </w:r>
      <w:r>
        <w:t>, which</w:t>
      </w:r>
      <w:r w:rsidR="008877D9">
        <w:t xml:space="preserve"> are explained in the following paragraphs.</w:t>
      </w:r>
    </w:p>
    <w:p w14:paraId="72BDFDB5" w14:textId="68FF0FE6" w:rsidR="00FD76F1" w:rsidRDefault="00FD76F1" w:rsidP="00D41F8C">
      <w:pPr>
        <w:spacing w:after="0" w:line="324" w:lineRule="auto"/>
        <w:jc w:val="both"/>
      </w:pPr>
    </w:p>
    <w:p w14:paraId="4AE5B4C6" w14:textId="1B938D84" w:rsidR="00483708" w:rsidRPr="00BE69EC" w:rsidRDefault="00B576D8" w:rsidP="00D41F8C">
      <w:pPr>
        <w:spacing w:after="0" w:line="324" w:lineRule="auto"/>
        <w:jc w:val="both"/>
        <w:rPr>
          <w:b/>
          <w:bCs/>
          <w:i/>
          <w:iCs/>
        </w:rPr>
      </w:pPr>
      <w:r>
        <w:rPr>
          <w:b/>
          <w:bCs/>
          <w:i/>
          <w:iCs/>
        </w:rPr>
        <w:t>The</w:t>
      </w:r>
      <w:r w:rsidR="008335AE">
        <w:rPr>
          <w:b/>
          <w:bCs/>
          <w:i/>
          <w:iCs/>
        </w:rPr>
        <w:t xml:space="preserve"> genotoxic AOs</w:t>
      </w:r>
    </w:p>
    <w:p w14:paraId="0431748F" w14:textId="599B6542" w:rsidR="00EE132E" w:rsidRDefault="00815EA8" w:rsidP="00D41F8C">
      <w:pPr>
        <w:spacing w:after="0" w:line="324" w:lineRule="auto"/>
        <w:jc w:val="both"/>
      </w:pPr>
      <w:r w:rsidRPr="002B3F2C">
        <w:t xml:space="preserve">From a regulatory point of view, the different genotoxic AOs that have to be covered are mutagenicity, i.e. the ability to </w:t>
      </w:r>
      <w:r>
        <w:t>induce</w:t>
      </w:r>
      <w:r w:rsidRPr="002B3F2C">
        <w:t xml:space="preserve"> gene mutations, clastogenicity, i.e. the ability to modify the structure of chromosomes, and aneugenicity, i.e. the ability to alter the number of chromosomes.</w:t>
      </w:r>
      <w:r>
        <w:t xml:space="preserve"> These three types of permanent DNA damage were therefore selected as the AOs of our network. For each of the three AOs, existing KEs were directly found on the </w:t>
      </w:r>
      <w:r w:rsidR="00EE132E">
        <w:t>AOP-Wiki:</w:t>
      </w:r>
    </w:p>
    <w:p w14:paraId="7146F89B" w14:textId="5F93F2B8" w:rsidR="00EE132E" w:rsidRDefault="00EE132E" w:rsidP="00EE132E">
      <w:pPr>
        <w:pStyle w:val="Paragraphedeliste"/>
        <w:numPr>
          <w:ilvl w:val="0"/>
          <w:numId w:val="15"/>
        </w:numPr>
        <w:spacing w:after="0" w:line="324" w:lineRule="auto"/>
        <w:jc w:val="both"/>
      </w:pPr>
      <w:r w:rsidRPr="00C22B0B">
        <w:rPr>
          <w:b/>
          <w:bCs/>
          <w:u w:val="single"/>
        </w:rPr>
        <w:t>“Increase, Mutations”</w:t>
      </w:r>
      <w:r>
        <w:t xml:space="preserve"> (</w:t>
      </w:r>
      <w:hyperlink r:id="rId9" w:history="1">
        <w:r w:rsidR="00FA0A1F" w:rsidRPr="005219EB">
          <w:rPr>
            <w:rStyle w:val="Lienhypertexte"/>
          </w:rPr>
          <w:t>https://aopwiki.org/events/185</w:t>
        </w:r>
      </w:hyperlink>
      <w:r>
        <w:t xml:space="preserve">): </w:t>
      </w:r>
      <w:r w:rsidR="005320C5" w:rsidRPr="00C21DA6">
        <w:t xml:space="preserve">A mutation is a change in the DNA sequence that can affect the coding regions of genes, potentially resulting in malformed or truncated </w:t>
      </w:r>
      <w:r w:rsidR="005320C5" w:rsidRPr="00C21DA6">
        <w:lastRenderedPageBreak/>
        <w:t>proteins. Mutations can also occur in promoter regions, splice sites, non-coding RNAs, or other functional genomic elements, potentially altering gene expression. Various types of mutations exist, including missense, nonsense, insertions, deletions, duplications, and frameshift mutations, each of which can uniquely impact the genome and its regulation</w:t>
      </w:r>
      <w:r w:rsidR="005320C5">
        <w:fldChar w:fldCharType="begin"/>
      </w:r>
      <w:r w:rsidR="006D13D9">
        <w:instrText xml:space="preserve"> ADDIN ZOTERO_ITEM CSL_CITATION {"citationID":"nCBPsOkB","properties":{"formattedCitation":"\\super 50\\nosupersub{}","plainCitation":"50","noteIndex":0},"citationItems":[{"id":556,"uris":["http://zotero.org/users/11265134/items/8XKZ85CX"],"itemData":{"id":556,"type":"entry-dictionary","page":"1(1):113","publisher":"Nature Education","title":"Genetic mutation.","author":[{"family":"Loewe, L","given":""}],"issued":{"date-parts":[["2008"]]}}}],"schema":"https://github.com/citation-style-language/schema/raw/master/csl-citation.json"} </w:instrText>
      </w:r>
      <w:r w:rsidR="005320C5">
        <w:fldChar w:fldCharType="separate"/>
      </w:r>
      <w:r w:rsidR="006D13D9" w:rsidRPr="006D13D9">
        <w:rPr>
          <w:rFonts w:ascii="Calibri" w:hAnsi="Calibri" w:cs="Calibri"/>
          <w:szCs w:val="24"/>
          <w:vertAlign w:val="superscript"/>
        </w:rPr>
        <w:t>50</w:t>
      </w:r>
      <w:r w:rsidR="005320C5">
        <w:fldChar w:fldCharType="end"/>
      </w:r>
      <w:r w:rsidR="005320C5" w:rsidRPr="00C21DA6">
        <w:t>.</w:t>
      </w:r>
      <w:r w:rsidR="005320C5">
        <w:t xml:space="preserve"> </w:t>
      </w:r>
      <w:r>
        <w:t>This KE</w:t>
      </w:r>
      <w:r w:rsidR="00C35CFF">
        <w:t>, which is related to mutagenicity,</w:t>
      </w:r>
      <w:r>
        <w:t xml:space="preserve"> is included in three </w:t>
      </w:r>
      <w:r w:rsidR="00B576D8">
        <w:t xml:space="preserve">of the </w:t>
      </w:r>
      <w:r>
        <w:t xml:space="preserve">endorsed AOPs and thus already well described, documented and accepted. </w:t>
      </w:r>
    </w:p>
    <w:p w14:paraId="47033150" w14:textId="4E96B6AB" w:rsidR="00EE132E" w:rsidRDefault="00C35CFF" w:rsidP="00EE132E">
      <w:pPr>
        <w:pStyle w:val="Paragraphedeliste"/>
        <w:numPr>
          <w:ilvl w:val="0"/>
          <w:numId w:val="15"/>
        </w:numPr>
        <w:spacing w:after="0" w:line="324" w:lineRule="auto"/>
        <w:jc w:val="both"/>
      </w:pPr>
      <w:r w:rsidRPr="00C22B0B">
        <w:rPr>
          <w:b/>
          <w:bCs/>
          <w:u w:val="single"/>
        </w:rPr>
        <w:t>“Increase, Chromosomal aberrations”</w:t>
      </w:r>
      <w:r w:rsidR="00EE132E" w:rsidRPr="00C35CFF">
        <w:t xml:space="preserve"> </w:t>
      </w:r>
      <w:r w:rsidRPr="00C35CFF">
        <w:t>(</w:t>
      </w:r>
      <w:hyperlink r:id="rId10" w:history="1">
        <w:r w:rsidR="00FA0A1F" w:rsidRPr="005219EB">
          <w:rPr>
            <w:rStyle w:val="Lienhypertexte"/>
          </w:rPr>
          <w:t>https://aopwiki.org/events/1636</w:t>
        </w:r>
      </w:hyperlink>
      <w:r w:rsidRPr="00BE69EC">
        <w:t>):</w:t>
      </w:r>
      <w:r w:rsidR="004336A3">
        <w:t xml:space="preserve"> </w:t>
      </w:r>
      <w:r w:rsidR="006D13D9">
        <w:t xml:space="preserve">Structural chromosome aberrations refer to missing, extra, or altered segments of chromosomal DNA, often arising from errors in double-strand break (DSB) repair mechanisms. </w:t>
      </w:r>
      <w:r w:rsidR="006D13D9" w:rsidRPr="00D37B1D">
        <w:t xml:space="preserve">There are </w:t>
      </w:r>
      <w:r w:rsidR="006D13D9">
        <w:t>different</w:t>
      </w:r>
      <w:r w:rsidR="006D13D9" w:rsidRPr="00D37B1D">
        <w:t xml:space="preserve"> types of chromosomal aberrations: deletions, duplications, translocations, and inversions. </w:t>
      </w:r>
      <w:r w:rsidR="006D13D9" w:rsidRPr="00D37B1D">
        <w:rPr>
          <w:i/>
          <w:iCs/>
        </w:rPr>
        <w:t>Deletions</w:t>
      </w:r>
      <w:r w:rsidR="006D13D9" w:rsidRPr="00D37B1D">
        <w:t xml:space="preserve"> occur when a segment of genetic material is lost from a chromosome. Terminal deletions involve the loss of an end portion of the chromosome, while interstitial deletions arise when a chromosome breaks in two locations </w:t>
      </w:r>
      <w:r w:rsidR="006D13D9" w:rsidRPr="00D37B1D">
        <w:lastRenderedPageBreak/>
        <w:t xml:space="preserve">and rejoins incorrectly, omitting the middle segment. </w:t>
      </w:r>
      <w:r w:rsidR="006D13D9" w:rsidRPr="00D37B1D">
        <w:rPr>
          <w:i/>
          <w:iCs/>
        </w:rPr>
        <w:t>Duplications</w:t>
      </w:r>
      <w:r w:rsidR="006D13D9" w:rsidRPr="00D37B1D">
        <w:t xml:space="preserve"> involve the addition or rearrangement of extra genetic material, which can take various forms, such as transpositions, tandem duplications, reverse duplications, or displaced duplications. </w:t>
      </w:r>
      <w:r w:rsidR="006D13D9" w:rsidRPr="00D37B1D">
        <w:rPr>
          <w:i/>
          <w:iCs/>
        </w:rPr>
        <w:t>Translocations</w:t>
      </w:r>
      <w:r w:rsidR="006D13D9" w:rsidRPr="00D37B1D">
        <w:t xml:space="preserve"> occur when a segment of one chromosome is transferred to a non-homologous chromosome, with reciprocal translocations involving the exchange of segments between two non-homologous chromosomes. </w:t>
      </w:r>
      <w:r w:rsidR="006D13D9" w:rsidRPr="00D37B1D">
        <w:rPr>
          <w:i/>
          <w:iCs/>
        </w:rPr>
        <w:t>Inversions</w:t>
      </w:r>
      <w:r w:rsidR="006D13D9" w:rsidRPr="00D37B1D">
        <w:t xml:space="preserve"> happen within a single chromosome, where both ends of a segment break and rejoin in reverse order, effectively inverting the DNA sequence. </w:t>
      </w:r>
      <w:r w:rsidR="006D13D9">
        <w:t>Finally, Structural c</w:t>
      </w:r>
      <w:r w:rsidR="006D13D9" w:rsidRPr="00D37B1D">
        <w:t>hromoso</w:t>
      </w:r>
      <w:r w:rsidR="006D13D9">
        <w:t>me</w:t>
      </w:r>
      <w:r w:rsidR="006D13D9" w:rsidRPr="00D37B1D">
        <w:t xml:space="preserve"> aberrations can be categorized based on whether they affect the entire chromosome or a single chromatid. Chromosome-type aberrations include chromosome breaks, ring chromosomes, marker chromosomes, and dicentric chromosomes. In contrast, chromatid-type aberrations involve chromatid breaks and chromatid exchanges</w:t>
      </w:r>
      <w:r w:rsidR="004D46C2">
        <w:fldChar w:fldCharType="begin"/>
      </w:r>
      <w:r w:rsidR="004D46C2">
        <w:instrText xml:space="preserve"> ADDIN ZOTERO_ITEM CSL_CITATION {"citationID":"AIOC2mwd","properties":{"formattedCitation":"\\super 51\\nosupersub{}","plainCitation":"51","noteIndex":0},"citationItems":[{"id":572,"uris":["http://zotero.org/users/11265134/items/9ZFZWD5I"],"itemData":{"id":572,"type":"chapter","abstract":"Chromosome aberrations include changes in chromosome number (gains and losses) and changes in structure (deletions, inversions, and exchanges). Chromosomes can be viewed by standard light microscopy and many of these aberration types can be observed. More recently, a combination of tagged DNA probes and fluorescence microscopy has allowed for the observation of all classes of aberration and an assignment of the chromosomes involved. Changes in chromosome number can result in spontaneous abortions and, when present in newborns, to quite severe birth defects. Structural chromosome changes can lead to birth defects, cancer, and other late onset disease outcomes.","container-title":"Encyclopedia of Toxicology (Third Edition)","event-place":"Oxford","ISBN":"978-0-12-386455-0","note":"DOI: 10.1016/B978-0-12-386454-3.00010-5","page":"955-958","publisher":"Academic Press","publisher-place":"Oxford","source":"ScienceDirect","title":"Chromosome Aberrations","URL":"https://www.sciencedirect.com/science/article/pii/B9780123864543000105","author":[{"family":"Preston","given":"R. J."}],"editor":[{"family":"Wexler","given":"Philip"}],"accessed":{"date-parts":[["2025",1,17]]},"issued":{"date-parts":[["2014",1,1]]}}}],"schema":"https://github.com/citation-style-language/schema/raw/master/csl-citation.json"} </w:instrText>
      </w:r>
      <w:r w:rsidR="004D46C2">
        <w:fldChar w:fldCharType="separate"/>
      </w:r>
      <w:r w:rsidR="004D46C2" w:rsidRPr="004D46C2">
        <w:rPr>
          <w:rFonts w:ascii="Calibri" w:hAnsi="Calibri" w:cs="Calibri"/>
          <w:szCs w:val="24"/>
          <w:vertAlign w:val="superscript"/>
        </w:rPr>
        <w:t>51</w:t>
      </w:r>
      <w:r w:rsidR="004D46C2">
        <w:fldChar w:fldCharType="end"/>
      </w:r>
      <w:r w:rsidR="006D13D9" w:rsidRPr="00D37B1D">
        <w:t xml:space="preserve">. </w:t>
      </w:r>
      <w:r w:rsidRPr="00BE69EC">
        <w:t xml:space="preserve">This </w:t>
      </w:r>
      <w:r>
        <w:t>KE, which describes the different types of structural chromosome aberrations and th</w:t>
      </w:r>
      <w:r w:rsidR="00A268AE">
        <w:t>us</w:t>
      </w:r>
      <w:r>
        <w:t xml:space="preserve"> refers to clastogenicity, is included in two </w:t>
      </w:r>
      <w:r w:rsidR="00B576D8">
        <w:t xml:space="preserve">of the </w:t>
      </w:r>
      <w:r>
        <w:t xml:space="preserve">endorsed AOPs and </w:t>
      </w:r>
      <w:r w:rsidR="00A268AE">
        <w:t>has also been characterized</w:t>
      </w:r>
      <w:r>
        <w:t xml:space="preserve">. </w:t>
      </w:r>
      <w:r w:rsidR="00B576D8">
        <w:lastRenderedPageBreak/>
        <w:t>However, for our AOP network, we suggest renam</w:t>
      </w:r>
      <w:r w:rsidR="00A268AE">
        <w:t>ing</w:t>
      </w:r>
      <w:r w:rsidR="00B576D8">
        <w:t xml:space="preserve"> </w:t>
      </w:r>
      <w:r>
        <w:t xml:space="preserve">this KE as </w:t>
      </w:r>
      <w:r w:rsidRPr="00671ED0">
        <w:rPr>
          <w:b/>
          <w:bCs/>
        </w:rPr>
        <w:t>“Increase, Structural chromosome aberrations”</w:t>
      </w:r>
      <w:r>
        <w:t xml:space="preserve"> which is more adequate to distinguish it from the </w:t>
      </w:r>
      <w:r w:rsidR="00A268AE">
        <w:t xml:space="preserve">third AO in our network, i.e. </w:t>
      </w:r>
      <w:r w:rsidR="00C22B0B">
        <w:t xml:space="preserve">the </w:t>
      </w:r>
      <w:r w:rsidR="00A268AE">
        <w:t>increase</w:t>
      </w:r>
      <w:r w:rsidR="00C22B0B">
        <w:t xml:space="preserve"> in n</w:t>
      </w:r>
      <w:r w:rsidR="00B576D8">
        <w:t xml:space="preserve">umerical chromosome aberrations or </w:t>
      </w:r>
      <w:r>
        <w:t>aneugenicity.</w:t>
      </w:r>
    </w:p>
    <w:p w14:paraId="078877D6" w14:textId="70E5C79C" w:rsidR="00815EA8" w:rsidRDefault="00C35CFF" w:rsidP="00815EA8">
      <w:pPr>
        <w:pStyle w:val="Paragraphedeliste"/>
        <w:numPr>
          <w:ilvl w:val="0"/>
          <w:numId w:val="15"/>
        </w:numPr>
        <w:spacing w:after="0" w:line="324" w:lineRule="auto"/>
        <w:jc w:val="both"/>
      </w:pPr>
      <w:r w:rsidRPr="00C22B0B">
        <w:rPr>
          <w:b/>
          <w:bCs/>
          <w:u w:val="single"/>
        </w:rPr>
        <w:t>“Altered, Chromosome number”</w:t>
      </w:r>
      <w:r>
        <w:t xml:space="preserve"> (</w:t>
      </w:r>
      <w:hyperlink r:id="rId11" w:history="1">
        <w:r w:rsidRPr="009210E4">
          <w:rPr>
            <w:rStyle w:val="Lienhypertexte"/>
          </w:rPr>
          <w:t>https://aopwiki.org/events/723</w:t>
        </w:r>
      </w:hyperlink>
      <w:r>
        <w:t xml:space="preserve">): </w:t>
      </w:r>
      <w:r w:rsidR="004336A3" w:rsidRPr="004336A3">
        <w:t>Aneuploidy is an abnormality in the number of chromosomes in a cell due to loss or duplication. In humans, aneuploidy would be any number of chromosomes other than the usual 46</w:t>
      </w:r>
      <w:r w:rsidR="004336A3">
        <w:fldChar w:fldCharType="begin"/>
      </w:r>
      <w:r w:rsidR="004336A3">
        <w:instrText xml:space="preserve"> ADDIN ZOTERO_ITEM CSL_CITATION {"citationID":"0bLiujHB","properties":{"formattedCitation":"\\super 52\\nosupersub{}","plainCitation":"52","noteIndex":0},"citationItems":[{"id":580,"uris":["http://zotero.org/users/11265134/items/BFT2R9LY"],"itemData":{"id":580,"type":"webpage","abstract":"Aneuploidy is an abnormality in the number of chromosomes in a cell due to loss or duplication. In humans, aneuploidy would be any number of chromosomes other than the usual 46.","language":"en","title":"Aneuploidy","URL":"https://www.genome.gov/genetics-glossary/Aneuploidy","accessed":{"date-parts":[["2025",1,17]]}}}],"schema":"https://github.com/citation-style-language/schema/raw/master/csl-citation.json"} </w:instrText>
      </w:r>
      <w:r w:rsidR="004336A3">
        <w:fldChar w:fldCharType="separate"/>
      </w:r>
      <w:r w:rsidR="004336A3" w:rsidRPr="004336A3">
        <w:rPr>
          <w:rFonts w:ascii="Calibri" w:hAnsi="Calibri" w:cs="Calibri"/>
          <w:szCs w:val="24"/>
          <w:vertAlign w:val="superscript"/>
        </w:rPr>
        <w:t>52</w:t>
      </w:r>
      <w:r w:rsidR="004336A3">
        <w:fldChar w:fldCharType="end"/>
      </w:r>
      <w:r w:rsidR="004336A3" w:rsidRPr="004336A3">
        <w:t>.</w:t>
      </w:r>
      <w:r w:rsidR="004336A3">
        <w:t xml:space="preserve"> </w:t>
      </w:r>
      <w:r>
        <w:t>This KE</w:t>
      </w:r>
      <w:r w:rsidR="004336A3">
        <w:t xml:space="preserve"> </w:t>
      </w:r>
      <w:r>
        <w:t xml:space="preserve">is </w:t>
      </w:r>
      <w:r w:rsidR="00072EC7">
        <w:t xml:space="preserve">included in </w:t>
      </w:r>
      <w:r w:rsidR="00B576D8">
        <w:t>one</w:t>
      </w:r>
      <w:r w:rsidR="00072EC7">
        <w:t xml:space="preserve"> AOP (</w:t>
      </w:r>
      <w:hyperlink r:id="rId12" w:history="1">
        <w:r w:rsidR="00072EC7" w:rsidRPr="009210E4">
          <w:rPr>
            <w:rStyle w:val="Lienhypertexte"/>
          </w:rPr>
          <w:t>https://aopwiki.org/aops/106</w:t>
        </w:r>
      </w:hyperlink>
      <w:r w:rsidR="004D2EFE">
        <w:t>), which is under review (OECD status) by ESCA.</w:t>
      </w:r>
      <w:r w:rsidR="00815EA8">
        <w:t xml:space="preserve"> However, to harmonize the terminology in the AOP network, we suggest </w:t>
      </w:r>
      <w:r w:rsidR="00815EA8" w:rsidRPr="003D3BE1">
        <w:t xml:space="preserve">renaming this KE as </w:t>
      </w:r>
      <w:r w:rsidR="00815EA8" w:rsidRPr="00671ED0">
        <w:rPr>
          <w:b/>
          <w:bCs/>
        </w:rPr>
        <w:t>“Increase, Numerical chromosome aberrations”</w:t>
      </w:r>
      <w:r w:rsidR="00815EA8">
        <w:t>.</w:t>
      </w:r>
    </w:p>
    <w:p w14:paraId="3304BE39" w14:textId="77777777" w:rsidR="001439A3" w:rsidRDefault="001439A3" w:rsidP="00072EC7">
      <w:pPr>
        <w:spacing w:after="0" w:line="324" w:lineRule="auto"/>
        <w:jc w:val="both"/>
      </w:pPr>
    </w:p>
    <w:p w14:paraId="6666F369" w14:textId="77777777" w:rsidR="00815EA8" w:rsidRPr="001439A3" w:rsidRDefault="00815EA8" w:rsidP="00815EA8">
      <w:pPr>
        <w:spacing w:after="0" w:line="324" w:lineRule="auto"/>
        <w:jc w:val="both"/>
      </w:pPr>
      <w:r w:rsidRPr="001439A3">
        <w:lastRenderedPageBreak/>
        <w:t xml:space="preserve">Several of the AOPs included in the OECD workplan also contained KEs downstream to permanent DNA damage such as </w:t>
      </w:r>
      <w:r>
        <w:t xml:space="preserve">infant leukemia or breast cancer. </w:t>
      </w:r>
      <w:r w:rsidRPr="001439A3">
        <w:t xml:space="preserve">As gene mutations and structural and numerical chromosome aberrations were selected as the AOs for our network, these downstream KEs were </w:t>
      </w:r>
      <w:r>
        <w:t>not taken into account</w:t>
      </w:r>
      <w:r w:rsidRPr="001439A3">
        <w:t xml:space="preserve">. In a later stage, our AOP network can be integrated with other AOPs/AOP networks to make the link with other (downstream) AOs but this was </w:t>
      </w:r>
      <w:r>
        <w:t xml:space="preserve">considered </w:t>
      </w:r>
      <w:r w:rsidRPr="001439A3">
        <w:t xml:space="preserve">outside the scope of the current network. </w:t>
      </w:r>
    </w:p>
    <w:p w14:paraId="7E1BA34A" w14:textId="06A81AB1" w:rsidR="001439A3" w:rsidRDefault="001439A3" w:rsidP="00072EC7">
      <w:pPr>
        <w:spacing w:after="0" w:line="324" w:lineRule="auto"/>
        <w:jc w:val="both"/>
      </w:pPr>
    </w:p>
    <w:p w14:paraId="22669B08" w14:textId="2E590E4B" w:rsidR="00072EC7" w:rsidRPr="00C35CFF" w:rsidRDefault="001439A3" w:rsidP="00072EC7">
      <w:pPr>
        <w:spacing w:after="0" w:line="324" w:lineRule="auto"/>
        <w:jc w:val="both"/>
      </w:pPr>
      <w:r>
        <w:t>T</w:t>
      </w:r>
      <w:r w:rsidR="00072EC7">
        <w:t xml:space="preserve">he </w:t>
      </w:r>
      <w:r w:rsidR="00A268AE">
        <w:t>selection of the KEs related to the three</w:t>
      </w:r>
      <w:r w:rsidR="00072EC7">
        <w:t xml:space="preserve"> AOs </w:t>
      </w:r>
      <w:r w:rsidR="00A268AE">
        <w:t>al</w:t>
      </w:r>
      <w:r>
        <w:t>so</w:t>
      </w:r>
      <w:r w:rsidR="00A268AE">
        <w:t xml:space="preserve"> revealed </w:t>
      </w:r>
      <w:r w:rsidR="00072EC7">
        <w:t>a</w:t>
      </w:r>
      <w:r>
        <w:t>n additional</w:t>
      </w:r>
      <w:r w:rsidR="00072EC7">
        <w:t xml:space="preserve"> </w:t>
      </w:r>
      <w:r w:rsidR="00A268AE">
        <w:t>problem</w:t>
      </w:r>
      <w:r w:rsidR="00072EC7">
        <w:t xml:space="preserve">; the redundancy of </w:t>
      </w:r>
      <w:r>
        <w:t xml:space="preserve">certain </w:t>
      </w:r>
      <w:r w:rsidR="00072EC7">
        <w:t xml:space="preserve">KEs. </w:t>
      </w:r>
    </w:p>
    <w:p w14:paraId="765CA36A" w14:textId="6FD541F3" w:rsidR="0054649C" w:rsidRPr="00C35CFF" w:rsidRDefault="0054649C" w:rsidP="00D41F8C">
      <w:pPr>
        <w:spacing w:after="0" w:line="324" w:lineRule="auto"/>
        <w:jc w:val="both"/>
      </w:pPr>
    </w:p>
    <w:p w14:paraId="6C0E73E7" w14:textId="77777777" w:rsidR="00483708" w:rsidRPr="002A112A" w:rsidRDefault="00483708" w:rsidP="00483708">
      <w:pPr>
        <w:spacing w:after="0" w:line="324" w:lineRule="auto"/>
        <w:jc w:val="both"/>
        <w:rPr>
          <w:b/>
          <w:bCs/>
          <w:i/>
          <w:iCs/>
        </w:rPr>
      </w:pPr>
      <w:r w:rsidRPr="002A112A">
        <w:rPr>
          <w:b/>
          <w:bCs/>
          <w:i/>
          <w:iCs/>
        </w:rPr>
        <w:t>Duplication of KEs</w:t>
      </w:r>
    </w:p>
    <w:p w14:paraId="44C4B5E8" w14:textId="1F5EBE80" w:rsidR="00FB3267" w:rsidRDefault="00FB3267" w:rsidP="00483708">
      <w:pPr>
        <w:spacing w:after="0" w:line="324" w:lineRule="auto"/>
        <w:jc w:val="both"/>
      </w:pPr>
      <w:r>
        <w:lastRenderedPageBreak/>
        <w:t xml:space="preserve">Although </w:t>
      </w:r>
      <w:r w:rsidR="00435E86">
        <w:t xml:space="preserve">KE 1636 </w:t>
      </w:r>
      <w:r>
        <w:t>“Increase, Chromosomal aberrations’ is part of an endorsed AOP, another KE describing the same event was found in the AOP-Wiki, i.e. KE 1554. Also for other KEs, ‘duplicates’ were found. The duplication of KEs is d</w:t>
      </w:r>
      <w:r w:rsidR="00483708">
        <w:t xml:space="preserve">ue to the lack of reuse of </w:t>
      </w:r>
      <w:r>
        <w:t xml:space="preserve">existing </w:t>
      </w:r>
      <w:r w:rsidR="00483708">
        <w:t>KEs</w:t>
      </w:r>
      <w:r w:rsidR="00483708">
        <w:fldChar w:fldCharType="begin"/>
      </w:r>
      <w:r w:rsidR="004336A3">
        <w:instrText xml:space="preserve"> ADDIN ZOTERO_ITEM CSL_CITATION {"citationID":"RKmbNX0i","properties":{"formattedCitation":"\\super 53\\nosupersub{}","plainCitation":"53","noteIndex":0},"citationItems":[{"id":69,"uris":["http://zotero.org/users/11265134/items/J6WJ94TV"],"itemData":{"id":69,"type":"article-journal","abstract":"Adverse outcome pathways (AOPs) synthesize toxicological information to convey and weigh evidence in an accessible format. AOPs are constructed in modules that include key events (KEs) and key event relationships (KERs). This modular structure facilitates AOP expansion and network development. AOP development requires finding relevant information to evaluate the weight of evidence supporting each KER. To do this, the use of transparent/reproducible search methods, such as systematic review (SR), have been proposed. Applying SR to AOP development in a data-rich area is difficult as SR requires screening each article returned from a search. Here we describe a case study to integrate a single new KE into an existing AOP. We explored the use of SR concepts and software to conduct a transparent and documented literature search to identify empirical data supporting the incorporation of a new KE, increase in cellular reactive oxygen species (ROS), upstream of an existing AOP: “Oxidative DNA Damage Leading to Chromosomal Aberrations and Mutations”. Connecting this KE to the AOP is supported by the development of five new KERs, the most important being the first adjacent KER (increase in ROS leading to oxidative DNA damage). We initially searched for evidence of all five KERs and screened 100 papers to develop a preliminary evidence map. After removing papers not containing relevant data based on our Population, Exposure, Comparator and Outcome statement, 39 articles supported one or more KERs; these primarily addressed temporal or dose concordance of the non-adjacent KERs with limited evidence supporting the first adjacent KER. We thus conducted a second focused set of searches using search terms for specific methodologies to measure these first two KEs. After screening, 12 articles were identified that contained quantitative evidence supporting the first adjacent KER. Given that integrating a new KE into an existing AOP requires the development of multiple KERs, this approach of building a preliminary evidence map, focusing evidence gathering on the first adjacent KER, and applying reproducible search strategies using specific methodologies for the first adjacent KER, enabled us to prioritize studies to support expansion of this data-rich AOP.","container-title":"Frontiers in Toxicology","ISSN":"2673-3080","source":"Frontiers","title":"A Case Study on Integrating a New Key Event Into an Existing Adverse Outcome Pathway on Oxidative DNA Damage: Challenges and Approaches in a Data-Rich Area","title-short":"A Case Study on Integrating a New Key Event Into an Existing Adverse Outcome Pathway on Oxidative DNA Damage","URL":"https://www.frontiersin.org/articles/10.3389/ftox.2022.827328","volume":"4","author":[{"family":"Huliganga","given":"Elizabeth"},{"family":"Marchetti","given":"Francesco"},{"family":"O’Brien","given":"Jason M."},{"family":"Chauhan","given":"Vinita"},{"family":"Yauk","given":"Carole L."}],"accessed":{"date-parts":[["2023",3,14]]},"issued":{"date-parts":[["2022"]]}}}],"schema":"https://github.com/citation-style-language/schema/raw/master/csl-citation.json"} </w:instrText>
      </w:r>
      <w:r w:rsidR="00483708">
        <w:fldChar w:fldCharType="separate"/>
      </w:r>
      <w:r w:rsidR="004336A3" w:rsidRPr="004336A3">
        <w:rPr>
          <w:rFonts w:ascii="Calibri" w:hAnsi="Calibri" w:cs="Calibri"/>
          <w:szCs w:val="24"/>
          <w:vertAlign w:val="superscript"/>
        </w:rPr>
        <w:t>53</w:t>
      </w:r>
      <w:r w:rsidR="00483708">
        <w:fldChar w:fldCharType="end"/>
      </w:r>
      <w:r w:rsidR="00483708">
        <w:t xml:space="preserve">. During AOP development, many authors do not strictly follow the AOP development recommendations provided in the AOP Developers’ Handbook and create their own KEs, leading to a pollution of the AOP-wiki with redundant KEs. This conflicts with the originally anticipated </w:t>
      </w:r>
      <w:r w:rsidR="00483708" w:rsidRPr="001E518D">
        <w:t xml:space="preserve">strength of the AOP concept that </w:t>
      </w:r>
      <w:r w:rsidR="00483708">
        <w:t>by allowing the</w:t>
      </w:r>
      <w:r w:rsidR="00483708" w:rsidRPr="001E518D">
        <w:t xml:space="preserve"> reuse </w:t>
      </w:r>
      <w:r w:rsidR="00483708">
        <w:t xml:space="preserve">of </w:t>
      </w:r>
      <w:r w:rsidR="00483708" w:rsidRPr="001E518D">
        <w:t xml:space="preserve">existing </w:t>
      </w:r>
      <w:r w:rsidR="00483708">
        <w:t>KEs</w:t>
      </w:r>
      <w:r w:rsidR="00483708" w:rsidRPr="001E518D">
        <w:t xml:space="preserve">, networks </w:t>
      </w:r>
      <w:r w:rsidR="00483708">
        <w:t xml:space="preserve">can be formed </w:t>
      </w:r>
      <w:r w:rsidR="00483708" w:rsidRPr="001E518D">
        <w:t>capturing a broader space of events after a specific compound exposure and allowing a complex understanding of the different pathways involved</w:t>
      </w:r>
      <w:r w:rsidR="00483708" w:rsidRPr="001E518D">
        <w:fldChar w:fldCharType="begin"/>
      </w:r>
      <w:r w:rsidR="00E774F7">
        <w:instrText xml:space="preserve"> ADDIN ZOTERO_ITEM CSL_CITATION {"citationID":"C0IeeYla","properties":{"formattedCitation":"\\super 45\\nosupersub{}","plainCitation":"45","noteIndex":0},"citationItems":[{"id":218,"uris":["http://zotero.org/users/11265134/items/G7S6UW9J"],"itemData":{"id":218,"type":"article-journal","abstract":"An adverse outcome pathway (AOP) is a conceptual framework that organizes existing knowledge concerning biologically plausible, and empirically supported, links between molecular-level perturbation of a biological system and an adverse outcome at a level of biological organization of regulatory relevance. Systematic organization of information into AOP frameworks has potential to improve regulatory decision-making through greater integration and more meaningful use of mechanistic data. However, for the scientific community to collectively develop a useful AOP knowledgebase that encompasses toxicological contexts of concern to human health and ecological risk assessment, it is critical that AOPs be developed in accordance with a consistent set of core principles. Based on the experiences and scientific discourse among a group of AOP practitioners, we propose a set of five fundamental principles that guide AOP development: (1) AOPs are not chemical specific; (2) AOPs are modular and composed of reusable components—notably key events (KEs) and key event relationships (KERs); (3) an individual AOP, composed of a single sequence of KEs and KERs, is a pragmatic unit of AOP development and evaluation; (4) networks composed of multiple AOPs that share common KEs and KERs are likely to be the functional unit of prediction for most real-world scenarios; and (5) AOPs are living documents that will evolve over time as new knowledge is generated. The goal of the present article was to introduce some strategies for AOP development and detail the rationale behind these 5 key principles. Consideration of these principles addresses many of the current uncertainties regarding the AOP framework and its application and is intended to foster greater consistency in AOP development.","container-title":"Toxicological Sciences","DOI":"10.1093/toxsci/kfu199","ISSN":"1096-6080","issue":"2","journalAbbreviation":"Toxicol Sci","note":"PMID: 25466378\nPMCID: PMC4318923","page":"312-320","source":"PubMed Central","title":"Adverse Outcome Pathway (AOP) Development I: Strategies and Principles","title-short":"Adverse Outcome Pathway (AOP) Development I","volume":"142","author":[{"family":"Villeneuve","given":"Daniel L."},{"family":"Crump","given":"Doug"},{"family":"Garcia-Reyero","given":"Natàlia"},{"family":"Hecker","given":"Markus"},{"family":"Hutchinson","given":"Thomas H."},{"family":"LaLone","given":"Carlie A."},{"family":"Landesmann","given":"Brigitte"},{"family":"Lettieri","given":"Teresa"},{"family":"Munn","given":"Sharon"},{"family":"Nepelska","given":"Malgorzata"},{"family":"Ottinger","given":"Mary Ann"},{"family":"Vergauwen","given":"Lucia"},{"family":"Whelan","given":"Maurice"}],"issued":{"date-parts":[["2014",12]]}}}],"schema":"https://github.com/citation-style-language/schema/raw/master/csl-citation.json"} </w:instrText>
      </w:r>
      <w:r w:rsidR="00483708" w:rsidRPr="001E518D">
        <w:fldChar w:fldCharType="separate"/>
      </w:r>
      <w:r w:rsidR="00E774F7" w:rsidRPr="00E774F7">
        <w:rPr>
          <w:rFonts w:ascii="Calibri" w:hAnsi="Calibri" w:cs="Calibri"/>
          <w:szCs w:val="24"/>
          <w:vertAlign w:val="superscript"/>
        </w:rPr>
        <w:t>45</w:t>
      </w:r>
      <w:r w:rsidR="00483708" w:rsidRPr="001E518D">
        <w:fldChar w:fldCharType="end"/>
      </w:r>
      <w:r w:rsidR="00483708" w:rsidRPr="001E518D">
        <w:t xml:space="preserve">. </w:t>
      </w:r>
    </w:p>
    <w:p w14:paraId="50D94EF1" w14:textId="77777777" w:rsidR="00FB3267" w:rsidRDefault="00FB3267" w:rsidP="00483708">
      <w:pPr>
        <w:spacing w:after="0" w:line="324" w:lineRule="auto"/>
        <w:jc w:val="both"/>
      </w:pPr>
    </w:p>
    <w:p w14:paraId="6F58FCAA" w14:textId="274E028C" w:rsidR="00BF417A" w:rsidRDefault="00FB3267" w:rsidP="00E24835">
      <w:pPr>
        <w:spacing w:after="0" w:line="324" w:lineRule="auto"/>
        <w:jc w:val="both"/>
      </w:pPr>
      <w:r>
        <w:t>To simplify our network, d</w:t>
      </w:r>
      <w:r w:rsidR="00483708">
        <w:t>uplicate KEs</w:t>
      </w:r>
      <w:r w:rsidR="00BF417A">
        <w:t xml:space="preserve"> (e.g. KE 1636 “Increase Chromosomal aberrations” and KE 1554 “Increase chromosomal aberrations”,  </w:t>
      </w:r>
      <w:r w:rsidR="00BF417A" w:rsidRPr="00BE69EC">
        <w:t>KE 1879</w:t>
      </w:r>
      <w:r w:rsidR="00BF417A">
        <w:t xml:space="preserve"> “</w:t>
      </w:r>
      <w:r w:rsidR="00BF417A" w:rsidRPr="00BE69EC">
        <w:t>Formation, Bulky DNA adducts</w:t>
      </w:r>
      <w:r w:rsidR="00BF417A">
        <w:t>”</w:t>
      </w:r>
      <w:r w:rsidR="00BF417A" w:rsidRPr="008877D9">
        <w:t xml:space="preserve"> </w:t>
      </w:r>
      <w:r w:rsidR="00BF417A">
        <w:t xml:space="preserve">and </w:t>
      </w:r>
      <w:r w:rsidR="00BF417A" w:rsidRPr="008877D9">
        <w:t>KE 373</w:t>
      </w:r>
      <w:r w:rsidR="00BF417A">
        <w:t xml:space="preserve"> “</w:t>
      </w:r>
      <w:r w:rsidR="00BF417A" w:rsidRPr="008877D9">
        <w:t>Formation, Pro-mutagenic DNA</w:t>
      </w:r>
      <w:r w:rsidR="00BF417A">
        <w:t>” or KE 1461 “DNA Double Strand Break” and KE 1635 “Increase, DNA strand breaks”</w:t>
      </w:r>
    </w:p>
    <w:p w14:paraId="44C75E2C" w14:textId="5905C837" w:rsidR="00F540D9" w:rsidRDefault="00BF417A" w:rsidP="00F540D9">
      <w:pPr>
        <w:spacing w:after="0" w:line="324" w:lineRule="auto"/>
        <w:jc w:val="both"/>
      </w:pPr>
      <w:r>
        <w:lastRenderedPageBreak/>
        <w:t xml:space="preserve">) </w:t>
      </w:r>
      <w:r w:rsidR="00483708">
        <w:t xml:space="preserve">were identified and </w:t>
      </w:r>
      <w:r w:rsidR="00D75346">
        <w:t xml:space="preserve">the most appropriate </w:t>
      </w:r>
      <w:r w:rsidR="00FB3267">
        <w:t xml:space="preserve">one was </w:t>
      </w:r>
      <w:r w:rsidR="00D75346">
        <w:t>selected for inclusion</w:t>
      </w:r>
      <w:r w:rsidR="00FB3267">
        <w:t xml:space="preserve">. Preference was given to those </w:t>
      </w:r>
      <w:r w:rsidR="006A1664">
        <w:t xml:space="preserve">KEs </w:t>
      </w:r>
      <w:r w:rsidR="00FB3267">
        <w:t xml:space="preserve">that are </w:t>
      </w:r>
      <w:r w:rsidR="00D75346">
        <w:t>part of</w:t>
      </w:r>
      <w:r w:rsidR="006A1664">
        <w:t xml:space="preserve"> </w:t>
      </w:r>
      <w:r w:rsidR="00FB3267">
        <w:t xml:space="preserve">the </w:t>
      </w:r>
      <w:r w:rsidR="006A1664">
        <w:t xml:space="preserve">AOPs with </w:t>
      </w:r>
      <w:r w:rsidR="00FB3267">
        <w:t xml:space="preserve">the </w:t>
      </w:r>
      <w:r w:rsidR="006A1664">
        <w:t>mo</w:t>
      </w:r>
      <w:r w:rsidR="00FB3267">
        <w:t>st</w:t>
      </w:r>
      <w:r w:rsidR="006A1664">
        <w:t xml:space="preserve"> advanced OECD status </w:t>
      </w:r>
      <w:r w:rsidR="00435E86">
        <w:t>and/or</w:t>
      </w:r>
      <w:r w:rsidR="006A1664">
        <w:t xml:space="preserve"> </w:t>
      </w:r>
      <w:r w:rsidR="00FB3267">
        <w:t xml:space="preserve">those for which the characterization was most in line with </w:t>
      </w:r>
      <w:r w:rsidR="006A1664">
        <w:t>the AOP Developer’s handbook’s recommendations</w:t>
      </w:r>
    </w:p>
    <w:p w14:paraId="2519E089" w14:textId="77777777" w:rsidR="00F540D9" w:rsidRDefault="00F540D9" w:rsidP="00F540D9">
      <w:pPr>
        <w:spacing w:after="0" w:line="324" w:lineRule="auto"/>
        <w:jc w:val="both"/>
      </w:pPr>
    </w:p>
    <w:p w14:paraId="34702E72" w14:textId="77777777" w:rsidR="00F540D9" w:rsidRDefault="0086619B" w:rsidP="00F540D9">
      <w:pPr>
        <w:spacing w:after="0" w:line="324" w:lineRule="auto"/>
        <w:jc w:val="both"/>
      </w:pPr>
      <w:r>
        <w:rPr>
          <w:b/>
          <w:bCs/>
          <w:i/>
          <w:iCs/>
        </w:rPr>
        <w:t>Missing MIEs/Intermediate KE</w:t>
      </w:r>
      <w:r w:rsidR="00F540D9" w:rsidRPr="00E24835">
        <w:rPr>
          <w:b/>
          <w:bCs/>
          <w:i/>
          <w:iCs/>
        </w:rPr>
        <w:t>s</w:t>
      </w:r>
    </w:p>
    <w:p w14:paraId="4696727B" w14:textId="4DDEDE64" w:rsidR="00F540D9" w:rsidRDefault="00F540D9" w:rsidP="00F540D9">
      <w:pPr>
        <w:spacing w:after="0" w:line="324" w:lineRule="auto"/>
        <w:jc w:val="both"/>
      </w:pPr>
      <w:r>
        <w:t xml:space="preserve">Several MIEs were identified through the AOP-Wiki. These MIEs can be divided into two subgroups; the ones leading to aneugenicity, i.e.  “Binding to Tubulin”, and the others leading to clastogenicity and mutagenicity, i.e. “Binding to topoisomerase II enzymes”, “Formation, Bulky DNA adducts”, “Alkylation of DNA”, “Increase, RONS” and “Deposition of energy”. In this second group, MIEs can either represent structural DNA damage or can be an inhibitor of DNA replicator elements. </w:t>
      </w:r>
    </w:p>
    <w:p w14:paraId="3CE5DF5A" w14:textId="77777777" w:rsidR="00972961" w:rsidRPr="00F540D9" w:rsidRDefault="00972961" w:rsidP="00D41F8C">
      <w:pPr>
        <w:spacing w:after="0" w:line="324" w:lineRule="auto"/>
        <w:jc w:val="both"/>
      </w:pPr>
    </w:p>
    <w:p w14:paraId="30AC0AEE" w14:textId="653DF625" w:rsidR="00F540D9" w:rsidRDefault="00573650" w:rsidP="00DA12F5">
      <w:pPr>
        <w:spacing w:after="0" w:line="324" w:lineRule="auto"/>
        <w:jc w:val="both"/>
      </w:pPr>
      <w:r>
        <w:lastRenderedPageBreak/>
        <w:t>Review</w:t>
      </w:r>
      <w:r w:rsidR="00C740DF">
        <w:t>ing</w:t>
      </w:r>
      <w:r w:rsidR="0086619B">
        <w:t xml:space="preserve"> the scientific literature r</w:t>
      </w:r>
      <w:r>
        <w:t>evealed</w:t>
      </w:r>
      <w:r w:rsidR="0086619B">
        <w:t xml:space="preserve"> </w:t>
      </w:r>
      <w:r>
        <w:t>that some</w:t>
      </w:r>
      <w:r w:rsidR="0086619B">
        <w:t xml:space="preserve"> </w:t>
      </w:r>
      <w:r w:rsidR="00DA12F5">
        <w:t xml:space="preserve">important MIEs and KEs leading to permanent DNA damage were still missing in the </w:t>
      </w:r>
      <w:r>
        <w:t xml:space="preserve">AOP </w:t>
      </w:r>
      <w:r w:rsidR="00DA12F5">
        <w:t>network</w:t>
      </w:r>
      <w:r w:rsidR="00C26F8C">
        <w:t xml:space="preserve">. </w:t>
      </w:r>
    </w:p>
    <w:p w14:paraId="221391D8" w14:textId="1403D808" w:rsidR="00DA12F5" w:rsidRDefault="00DA12F5" w:rsidP="00DA12F5">
      <w:pPr>
        <w:spacing w:after="0" w:line="324" w:lineRule="auto"/>
        <w:jc w:val="both"/>
      </w:pPr>
      <w:r>
        <w:t xml:space="preserve">The </w:t>
      </w:r>
      <w:r w:rsidR="00620BC2">
        <w:t>inventory</w:t>
      </w:r>
      <w:r>
        <w:t xml:space="preserve"> was, therefore, complemented with two other AOPs found in the literature. More specifically, the AOPs “</w:t>
      </w:r>
      <w:r w:rsidRPr="00513FCD">
        <w:t>Chemical Binding to the Catalytic Domain of AURKs Leading to Aneuploidy Induction</w:t>
      </w:r>
      <w:r>
        <w:t>” and “</w:t>
      </w:r>
      <w:r w:rsidRPr="005016C4">
        <w:t>DNA Synthesis Inhibition Leading to Chromosome Breaks and Rearrangements and Mutations</w:t>
      </w:r>
      <w:r>
        <w:t>” as reported in Sasaki et al</w:t>
      </w:r>
      <w:r>
        <w:fldChar w:fldCharType="begin"/>
      </w:r>
      <w:r w:rsidR="00DD6B0D">
        <w:instrText xml:space="preserve"> ADDIN ZOTERO_ITEM CSL_CITATION {"citationID":"1xzQIard","properties":{"formattedCitation":"\\super 49\\nosupersub{}","plainCitation":"49","noteIndex":0},"citationItems":[{"id":215,"uris":["http://zotero.org/users/11265134/items/CKAWE7J6"],"itemData":{"id":215,"type":"article-journal","abstract":"In May 2017, the Health and Environmental Sciences Institute's Genetic Toxicology Technical Committee hosted a workshop to discuss whether mode of action (MOA) investigation is enhanced through the application of the adverse outcome pathway (AOP) framework. As AOPs are a relatively new approach in genetic toxicology, this report describes how AOPs could be harnessed to advance MOA analysis of genotoxicity pathways using five example case studies. Each of these genetic toxicology AOPs proposed for further development includes the relevant molecular initiating events, key events, and adverse outcomes (AOs), identification and/or further development of the appropriate assays to link an agent to these events, and discussion regarding the biological plausibility of the proposed AOP. A key difference between these proposed genetic toxicology AOPs versus traditional AOPs is that the AO is a genetic toxicology endpoint of potential significance in risk characterization, in contrast to an adverse state of an organism or a population. The first two detailed case studies describe provisional AOPs for aurora kinase inhibition and tubulin binding, leading to the common AO of aneuploidy. The remaining three case studies highlight provisional AOPs that lead to chromosome breakage or mutation via indirect DNA interaction (inhibition of topoisomerase II, production of cellular reactive oxygen species, and inhibition of DNA synthesis). These case studies serve as starting points for genotoxicity AOPs that could ultimately be published and utilized by the broader toxicology community and illustrate the practical considerations and evidence required to formalize such AOPs so that they may be applied to genetic toxicity evaluation schemes. Environ. Mol. Mutagen. 61:114–134, 2020. © 2019 Wiley Periodicals, Inc.","container-title":"Environmental and Molecular Mutagenesis","DOI":"10.1002/em.22339","ISSN":"1098-2280","issue":"1","language":"en","license":"© 2019 Wiley Periodicals, Inc.","note":"_eprint: https://onlinelibrary.wiley.com/doi/pdf/10.1002/em.22339","page":"114-134","source":"Wiley Online Library","title":"Application of the adverse outcome pathway framework to genotoxic modes of action","volume":"61","author":[{"family":"Sasaki","given":"Jennifer C."},{"family":"Allemang","given":"Ashley"},{"family":"Bryce","given":"Steven M."},{"family":"Custer","given":"Laura"},{"family":"Dearfield","given":"Kerry L."},{"family":"Dietz","given":"Yasmin"},{"family":"Elhajouji","given":"Azeddine"},{"family":"Escobar","given":"Patricia A."},{"family":"Fornace Jr","given":"Albert J."},{"family":"Froetschl","given":"Roland"},{"family":"Galloway","given":"Sheila"},{"family":"Hemmann","given":"Ulrike"},{"family":"Hendriks","given":"Giel"},{"family":"Li","given":"Heng-Hong"},{"family":"Luijten","given":"Mirjam"},{"family":"Ouedraogo","given":"Gladys"},{"family":"Peel","given":"Lauren"},{"family":"Pfuhler","given":"Stefan"},{"family":"Roberts","given":"Daniel J."},{"family":"Thybaud","given":"Véronique"},{"family":"Benthem","given":"Jan","non-dropping-particle":"van"},{"family":"Yauk","given":"Carole L."},{"family":"Schuler","given":"Maik"}],"issued":{"date-parts":[["2020"]]}}}],"schema":"https://github.com/citation-style-language/schema/raw/master/csl-citation.json"} </w:instrText>
      </w:r>
      <w:r>
        <w:fldChar w:fldCharType="separate"/>
      </w:r>
      <w:r w:rsidR="00DD6B0D" w:rsidRPr="00DD6B0D">
        <w:rPr>
          <w:rFonts w:ascii="Calibri" w:hAnsi="Calibri" w:cs="Calibri"/>
          <w:szCs w:val="24"/>
          <w:vertAlign w:val="superscript"/>
        </w:rPr>
        <w:t>49</w:t>
      </w:r>
      <w:r>
        <w:fldChar w:fldCharType="end"/>
      </w:r>
      <w:r>
        <w:t xml:space="preserve"> were integrated into the draft AOP network</w:t>
      </w:r>
      <w:r w:rsidR="00C740DF">
        <w:t xml:space="preserve"> bringing</w:t>
      </w:r>
      <w:r>
        <w:t xml:space="preserve"> </w:t>
      </w:r>
      <w:r w:rsidR="00193910">
        <w:t xml:space="preserve">additional </w:t>
      </w:r>
      <w:r w:rsidR="00DD6B0D">
        <w:t xml:space="preserve">MIEs and </w:t>
      </w:r>
      <w:r w:rsidR="00193910">
        <w:t>KEs</w:t>
      </w:r>
      <w:r w:rsidR="00A104AA">
        <w:t>. The AOP “</w:t>
      </w:r>
      <w:r w:rsidR="00A104AA" w:rsidRPr="00513FCD">
        <w:t>Chemical Binding to the Catalytic Domain of AURKs Leading to Aneuploidy Induction</w:t>
      </w:r>
      <w:r w:rsidR="00A104AA">
        <w:t>” was entirely new to the part of the network leading to “Increase, Numerical chromosome aberrations”. The AOP related to the inhibition of DNA synthesis shared several KEs with the part of the network leading to mutagenicity and clastogenicity, but brought also additional KEs which could be named as follows:</w:t>
      </w:r>
    </w:p>
    <w:p w14:paraId="614AAA8B" w14:textId="77777777" w:rsidR="00413244" w:rsidRDefault="00413244" w:rsidP="00DA12F5">
      <w:pPr>
        <w:spacing w:after="0" w:line="324" w:lineRule="auto"/>
        <w:jc w:val="both"/>
      </w:pPr>
    </w:p>
    <w:p w14:paraId="123A4525" w14:textId="7B3D87FC" w:rsidR="00DA12F5" w:rsidRPr="00E24835" w:rsidRDefault="00DA12F5" w:rsidP="00DA12F5">
      <w:pPr>
        <w:pStyle w:val="Paragraphedeliste"/>
        <w:numPr>
          <w:ilvl w:val="0"/>
          <w:numId w:val="4"/>
        </w:numPr>
        <w:spacing w:after="0" w:line="324" w:lineRule="auto"/>
        <w:jc w:val="both"/>
        <w:rPr>
          <w:b/>
          <w:bCs/>
        </w:rPr>
      </w:pPr>
      <w:r w:rsidRPr="00E24835">
        <w:rPr>
          <w:b/>
          <w:bCs/>
        </w:rPr>
        <w:lastRenderedPageBreak/>
        <w:t>“Inhibition of DNA synthesis”</w:t>
      </w:r>
      <w:r w:rsidR="00F55EB1">
        <w:rPr>
          <w:b/>
          <w:bCs/>
        </w:rPr>
        <w:t xml:space="preserve">: </w:t>
      </w:r>
      <w:r w:rsidR="00F55EB1">
        <w:t xml:space="preserve">This “umbrella” key event regroups several events that can all </w:t>
      </w:r>
      <w:r w:rsidR="00C638B8">
        <w:t>lead to the</w:t>
      </w:r>
      <w:r w:rsidR="00F55EB1">
        <w:t xml:space="preserve"> progression</w:t>
      </w:r>
      <w:r w:rsidR="00C638B8">
        <w:t xml:space="preserve"> arrest</w:t>
      </w:r>
      <w:r w:rsidR="00F55EB1">
        <w:t xml:space="preserve"> of the replication fork </w:t>
      </w:r>
      <w:r w:rsidR="00C638B8">
        <w:t>on the DNA template</w:t>
      </w:r>
      <w:r w:rsidR="00C638B8">
        <w:fldChar w:fldCharType="begin"/>
      </w:r>
      <w:r w:rsidR="00DD6B0D">
        <w:instrText xml:space="preserve"> ADDIN ZOTERO_ITEM CSL_CITATION {"citationID":"iADulxI1","properties":{"formattedCitation":"\\super 49\\nosupersub{}","plainCitation":"49","noteIndex":0},"citationItems":[{"id":215,"uris":["http://zotero.org/users/11265134/items/CKAWE7J6"],"itemData":{"id":215,"type":"article-journal","abstract":"In May 2017, the Health and Environmental Sciences Institute's Genetic Toxicology Technical Committee hosted a workshop to discuss whether mode of action (MOA) investigation is enhanced through the application of the adverse outcome pathway (AOP) framework. As AOPs are a relatively new approach in genetic toxicology, this report describes how AOPs could be harnessed to advance MOA analysis of genotoxicity pathways using five example case studies. Each of these genetic toxicology AOPs proposed for further development includes the relevant molecular initiating events, key events, and adverse outcomes (AOs), identification and/or further development of the appropriate assays to link an agent to these events, and discussion regarding the biological plausibility of the proposed AOP. A key difference between these proposed genetic toxicology AOPs versus traditional AOPs is that the AO is a genetic toxicology endpoint of potential significance in risk characterization, in contrast to an adverse state of an organism or a population. The first two detailed case studies describe provisional AOPs for aurora kinase inhibition and tubulin binding, leading to the common AO of aneuploidy. The remaining three case studies highlight provisional AOPs that lead to chromosome breakage or mutation via indirect DNA interaction (inhibition of topoisomerase II, production of cellular reactive oxygen species, and inhibition of DNA synthesis). These case studies serve as starting points for genotoxicity AOPs that could ultimately be published and utilized by the broader toxicology community and illustrate the practical considerations and evidence required to formalize such AOPs so that they may be applied to genetic toxicity evaluation schemes. Environ. Mol. Mutagen. 61:114–134, 2020. © 2019 Wiley Periodicals, Inc.","container-title":"Environmental and Molecular Mutagenesis","DOI":"10.1002/em.22339","ISSN":"1098-2280","issue":"1","language":"en","license":"© 2019 Wiley Periodicals, Inc.","note":"_eprint: https://onlinelibrary.wiley.com/doi/pdf/10.1002/em.22339","page":"114-134","source":"Wiley Online Library","title":"Application of the adverse outcome pathway framework to genotoxic modes of action","volume":"61","author":[{"family":"Sasaki","given":"Jennifer C."},{"family":"Allemang","given":"Ashley"},{"family":"Bryce","given":"Steven M."},{"family":"Custer","given":"Laura"},{"family":"Dearfield","given":"Kerry L."},{"family":"Dietz","given":"Yasmin"},{"family":"Elhajouji","given":"Azeddine"},{"family":"Escobar","given":"Patricia A."},{"family":"Fornace Jr","given":"Albert J."},{"family":"Froetschl","given":"Roland"},{"family":"Galloway","given":"Sheila"},{"family":"Hemmann","given":"Ulrike"},{"family":"Hendriks","given":"Giel"},{"family":"Li","given":"Heng-Hong"},{"family":"Luijten","given":"Mirjam"},{"family":"Ouedraogo","given":"Gladys"},{"family":"Peel","given":"Lauren"},{"family":"Pfuhler","given":"Stefan"},{"family":"Roberts","given":"Daniel J."},{"family":"Thybaud","given":"Véronique"},{"family":"Benthem","given":"Jan","non-dropping-particle":"van"},{"family":"Yauk","given":"Carole L."},{"family":"Schuler","given":"Maik"}],"issued":{"date-parts":[["2020"]]}}}],"schema":"https://github.com/citation-style-language/schema/raw/master/csl-citation.json"} </w:instrText>
      </w:r>
      <w:r w:rsidR="00C638B8">
        <w:fldChar w:fldCharType="separate"/>
      </w:r>
      <w:r w:rsidR="00DD6B0D" w:rsidRPr="00DD6B0D">
        <w:rPr>
          <w:rFonts w:ascii="Calibri" w:hAnsi="Calibri" w:cs="Calibri"/>
          <w:szCs w:val="24"/>
          <w:vertAlign w:val="superscript"/>
        </w:rPr>
        <w:t>49</w:t>
      </w:r>
      <w:r w:rsidR="00C638B8">
        <w:fldChar w:fldCharType="end"/>
      </w:r>
      <w:r w:rsidR="00C638B8">
        <w:t xml:space="preserve">. </w:t>
      </w:r>
    </w:p>
    <w:p w14:paraId="70AC90A8" w14:textId="2AC0FE6E" w:rsidR="00193910" w:rsidRPr="00E24835" w:rsidRDefault="00193910" w:rsidP="00DA12F5">
      <w:pPr>
        <w:pStyle w:val="Paragraphedeliste"/>
        <w:numPr>
          <w:ilvl w:val="0"/>
          <w:numId w:val="4"/>
        </w:numPr>
        <w:spacing w:after="0" w:line="324" w:lineRule="auto"/>
        <w:jc w:val="both"/>
        <w:rPr>
          <w:b/>
          <w:bCs/>
        </w:rPr>
      </w:pPr>
      <w:r w:rsidRPr="00E24835">
        <w:rPr>
          <w:b/>
          <w:bCs/>
        </w:rPr>
        <w:t>“Collapse, Stalled replication fork”</w:t>
      </w:r>
      <w:r w:rsidR="00C638B8">
        <w:rPr>
          <w:b/>
          <w:bCs/>
        </w:rPr>
        <w:t xml:space="preserve">: </w:t>
      </w:r>
      <w:r w:rsidR="006E37C3" w:rsidRPr="0061458B">
        <w:t>Replication forks are susceptible to stalling or collapse when they encounter obstacles on the DNA template, such as unrepaired DNA damage, DNA-bound proteins, or secondary structures. Similarly, chemical agents like hydroxyurea and aphidicolin can inhibit replication elongation, causing fork stalling or collapse. A stalled replication fork is temporarily arrested but retains the ability to resume replication (replication fork restart) once the obstruction is resolved. In contrast, a collapsed fork becomes irreversibly inactivated due to the dissociation of the replication machinery or the formation of DNA double-strand breaks (DSBs)</w:t>
      </w:r>
      <w:r w:rsidR="0061458B">
        <w:fldChar w:fldCharType="begin"/>
      </w:r>
      <w:r w:rsidR="004336A3">
        <w:instrText xml:space="preserve"> ADDIN ZOTERO_ITEM CSL_CITATION {"citationID":"hftxHnqK","properties":{"formattedCitation":"\\super 54\\nosupersub{}","plainCitation":"54","noteIndex":0},"citationItems":[{"id":516,"uris":["http://zotero.org/users/11265134/items/DYLTF95M"],"itemData":{"id":516,"type":"article-journal","abstract":"In mammalian cells, several proteins that are not part of the core replication machinery promote the efficient restart of stalled replication forks, which suggests that fork restart pathways exist. Different models of restart can be envisaged, which involve DNA helicases, nucleases, homologous recombination factors and DNA double-strand breaks.","container-title":"Nature Reviews Molecular Cell Biology","DOI":"10.1038/nrm2974","ISSN":"1471-0080","issue":"10","journalAbbreviation":"Nat Rev Mol Cell Biol","language":"en","license":"2010 Springer Nature Limited","note":"publisher: Nature Publishing Group","page":"683-687","source":"www.nature.com","title":"Pathways of mammalian replication fork restart","volume":"11","author":[{"family":"Petermann","given":"Eva"},{"family":"Helleday","given":"Thomas"}],"issued":{"date-parts":[["2010",10]]}}}],"schema":"https://github.com/citation-style-language/schema/raw/master/csl-citation.json"} </w:instrText>
      </w:r>
      <w:r w:rsidR="0061458B">
        <w:fldChar w:fldCharType="separate"/>
      </w:r>
      <w:r w:rsidR="004336A3" w:rsidRPr="004336A3">
        <w:rPr>
          <w:rFonts w:ascii="Calibri" w:hAnsi="Calibri" w:cs="Calibri"/>
          <w:szCs w:val="24"/>
          <w:vertAlign w:val="superscript"/>
        </w:rPr>
        <w:t>54</w:t>
      </w:r>
      <w:r w:rsidR="0061458B">
        <w:fldChar w:fldCharType="end"/>
      </w:r>
      <w:r w:rsidR="006E37C3" w:rsidRPr="0061458B">
        <w:t>.</w:t>
      </w:r>
    </w:p>
    <w:p w14:paraId="6D4C38FF" w14:textId="77777777" w:rsidR="00C26F8C" w:rsidRDefault="00C26F8C" w:rsidP="00BE69EC">
      <w:pPr>
        <w:pStyle w:val="Paragraphedeliste"/>
        <w:spacing w:after="0" w:line="324" w:lineRule="auto"/>
        <w:ind w:left="1440"/>
        <w:jc w:val="both"/>
      </w:pPr>
    </w:p>
    <w:p w14:paraId="58680E82" w14:textId="5E4F24D3" w:rsidR="008D71AA" w:rsidRDefault="00E46A63" w:rsidP="008D71AA">
      <w:pPr>
        <w:spacing w:after="0" w:line="324" w:lineRule="auto"/>
        <w:jc w:val="both"/>
      </w:pPr>
      <w:r>
        <w:lastRenderedPageBreak/>
        <w:t>O</w:t>
      </w:r>
      <w:r w:rsidR="008D71AA">
        <w:t xml:space="preserve">ther MIEs that may lead to permanent DNA damage have not yet been described in the form of an AOP. Based on a </w:t>
      </w:r>
      <w:r w:rsidR="00FA0A1F">
        <w:t>rough</w:t>
      </w:r>
      <w:r w:rsidR="008D71AA">
        <w:t xml:space="preserve"> literature search and expertise knowledge, the following MIEs were </w:t>
      </w:r>
      <w:r w:rsidR="00FA0A1F">
        <w:t>added</w:t>
      </w:r>
      <w:r w:rsidR="008D71AA">
        <w:t xml:space="preserve"> the</w:t>
      </w:r>
      <w:r w:rsidR="008C14D6">
        <w:t xml:space="preserve"> draft</w:t>
      </w:r>
      <w:r w:rsidR="008D71AA">
        <w:t xml:space="preserve"> network</w:t>
      </w:r>
      <w:r w:rsidR="008C14D6">
        <w:t xml:space="preserve"> (Figure 1)</w:t>
      </w:r>
      <w:r w:rsidR="008D71AA">
        <w:t>:</w:t>
      </w:r>
    </w:p>
    <w:p w14:paraId="502E7AB2" w14:textId="3A18E9D8" w:rsidR="00413244" w:rsidRDefault="00413244" w:rsidP="00DA12F5">
      <w:pPr>
        <w:spacing w:after="0" w:line="324" w:lineRule="auto"/>
        <w:jc w:val="both"/>
        <w:rPr>
          <w:noProof/>
        </w:rPr>
      </w:pPr>
    </w:p>
    <w:p w14:paraId="32028258" w14:textId="471C8413" w:rsidR="00D03DB6" w:rsidRDefault="00413244" w:rsidP="00671ED0">
      <w:pPr>
        <w:pStyle w:val="Paragraphedeliste"/>
        <w:numPr>
          <w:ilvl w:val="0"/>
          <w:numId w:val="4"/>
        </w:numPr>
        <w:spacing w:after="0" w:line="324" w:lineRule="auto"/>
        <w:jc w:val="both"/>
      </w:pPr>
      <w:r w:rsidRPr="000C28E0">
        <w:rPr>
          <w:b/>
          <w:bCs/>
        </w:rPr>
        <w:t>“Formation, DNA</w:t>
      </w:r>
      <w:r w:rsidR="00D03DB6">
        <w:rPr>
          <w:b/>
          <w:bCs/>
        </w:rPr>
        <w:t xml:space="preserve"> </w:t>
      </w:r>
      <w:r w:rsidRPr="000C28E0">
        <w:rPr>
          <w:b/>
          <w:bCs/>
        </w:rPr>
        <w:t>crosslinks”:</w:t>
      </w:r>
      <w:r>
        <w:t xml:space="preserve"> </w:t>
      </w:r>
      <w:r w:rsidR="00D03DB6">
        <w:t xml:space="preserve">Several types of DNA crosslinks may occur in human cells. </w:t>
      </w:r>
      <w:r w:rsidR="008C14D6" w:rsidRPr="008C14D6">
        <w:rPr>
          <w:i/>
          <w:iCs/>
        </w:rPr>
        <w:t>Interstrand DNA crosslinks</w:t>
      </w:r>
      <w:r w:rsidR="008C14D6" w:rsidRPr="008C14D6">
        <w:t xml:space="preserve"> (ICLs) are lesions characterized by covalent bonds forming between the opposite strands of double-stranded</w:t>
      </w:r>
      <w:r w:rsidR="00D03DB6">
        <w:t xml:space="preserve"> DNA</w:t>
      </w:r>
      <w:r w:rsidR="00D03DB6">
        <w:fldChar w:fldCharType="begin"/>
      </w:r>
      <w:r w:rsidR="004336A3">
        <w:instrText xml:space="preserve"> ADDIN ZOTERO_ITEM CSL_CITATION {"citationID":"fCqscmC8","properties":{"formattedCitation":"\\super 55\\uc0\\u8211{}57\\nosupersub{}","plainCitation":"55–57","noteIndex":0},"citationItems":[{"id":267,"uris":["http://zotero.org/users/11265134/items/9WC7GX64"],"itemData":{"id":267,"type":"article-journal","abstract":"Human RECQL4 is a member of the RecQ family of DNA helicases and functions during DNA replication and repair. RECQL4 mutations are associated with developmental defects and cancer. Although RECQL4 mutations lead to disease, RECQL4 overexpression is also observed in cancer, including breast and prostate. Thus, tight regulation of RECQL4 protein levels is crucial for genome stability. Because mammalian RECQL4 is essential, how cells regulate RECQL4 protein levels is largely unknown. Utilizing budding yeast, we investigated the RECQL4 homolog, HRQ1, during DNA crosslink repair. We find that Hrq1 functions in the error-free template switching pathway to mediate DNA intrastrand crosslink repair. Although Hrq1 mediates repair of cisplatin-induced lesions, it is paradoxically degraded by the proteasome following cisplatin treatment. By identifying the targeted lysine residues, we show that preventing Hrq1 degradation results in increased recombination and mutagenesis. Like yeast, human RECQL4 is similarly degraded upon exposure to crosslinking agents. Furthermore, over-expression of RECQL4 results in increased RAD51 foci, which is dependent on its helicase activity. Using bioinformatic analysis, we observe that RECQL4 overexpression correlates with increased recombination and mutations. Overall, our study uncovers a role for Hrq1/RECQL4 in DNA intrastrand crosslink repair and provides further insight how misregulation of RECQL4 can promote genomic instability, a cancer hallmark.","container-title":"PLOS Genetics","DOI":"10.1371/journal.pgen.1010122","ISSN":"1553-7404","issue":"9","journalAbbreviation":"PLOS Genetics","language":"en","note":"publisher: Public Library of Science","page":"e1010122","source":"PLoS Journals","title":"Hrq1/RECQL4 regulation is critical for preventing aberrant recombination during DNA intrastrand crosslink repair and is upregulated in breast cancer","volume":"18","author":[{"family":"Luong","given":"Thong T."},{"family":"Li","given":"Zheqi"},{"family":"Priedigkeit","given":"Nolan"},{"family":"Parker","given":"Phoebe S."},{"family":"Böhm","given":"Stefanie"},{"family":"Rapchak","given":"Kyle"},{"family":"Lee","given":"Adrian V."},{"family":"Bernstein","given":"Kara A."}],"issued":{"date-parts":[["2022",9,20]]}}},{"id":539,"uris":["http://zotero.org/users/11265134/items/9R9F2274"],"itemData":{"id":539,"type":"article-journal","abstract":"Interstrand DNA crosslinks (ICLs) are the link between Watson-Crick strands of DNAs with the covalent bond and prevent separation of DNA strands. Since the ICL lesion affects both strands of the DNA, the ICL repair is not simple. So far, nucleotide excision repair (NER), structure-specific endonucleases, translesion DNA synthesis (TLS), homologous recombination (HR), and factors responsible for Fanconi anemia (FA) are identified to be involved in ICL repair. Since the presence of ICL lesions causes severe defects in transcription and DNA replication, mutations in these DNA repair pathways give rise to a various hereditary disorders. NER plays an important role for the ICL recognition and removal in quiescent cells, and defects of NER causes congential progeria syndrome, such as xeroderma pigmentosum, Cockayne syndrome, and trichothiodystrophy. On the other hand, the ICL repair in S phase requires more complicated orchestration of multiple factors, including structure-specific endonucleases, and TLS, and HR. Disturbed this ICL repair orchestration in S phase causes genome instability resulting a cancer prone disease, Fanconi anemia. So far more than 30 factors in ICL repair have already identified. Recently, a new factor, UHRF1, was discovered as a sensor of ICLs. In addition to this, numbers of nucleases that are involved in the first incision, also called unhooking, of ICL lesions have also been identified. Here we summarize the recent studies of ICL associated disorders and repair mechanism, with emphasis in the first incision of ICLs.","container-title":"Genes and Environment","DOI":"10.1186/s41021-016-0037-9","ISSN":"1880-7062","issue":"1","journalAbbreviation":"Genes and Environment","page":"9","source":"BioMed Central","title":"Mechanisms of interstrand DNA crosslink repair and human disorders","volume":"38","author":[{"family":"Hashimoto","given":"Satoru"},{"family":"Anai","given":"Hirofumi"},{"family":"Hanada","given":"Katsuhiro"}],"issued":{"date-parts":[["2016",5,1]]}}},{"id":542,"uris":["http://zotero.org/users/11265134/items/W6QPKLJN"],"itemData":{"id":542,"type":"article-journal","abstract":"DNA interstrand cross-links (ICLs) are very toxic to dividing cells, because they induce mutations, chromosomal rearrangements and cell death. Inducers of ICLs are important drugs in cancer treatment. We discuss the main properties of several classes of ICL agents and the types of damage they induce. The current insights in ICL repair in bacteria, yeast and mammalian cells are reviewed. An intriguing aspect of ICLs is that a number of multi-step DNA repair pathways including nucleotide excision repair, homologous recombination and post-replication/translesion repair all impinge on their repair. Furthermore, the breast cancer-associated proteins Brca1 and Brca2, the Fanconi anemia-associated FANC proteins, and cell cycle checkpoint proteins are involved in regulating the cellular response to ICLs. We depict several models that describe possible pathways for the repair or replicational bypass of ICLs.","container-title":"Mutation Research/DNA Repair","DOI":"10.1016/S0921-8777(01)00092-1","ISSN":"0921-8777","issue":"4","journalAbbreviation":"Mutation Research/DNA Repair","page":"217-247","source":"ScienceDirect","title":"Repair of DNA interstrand cross-links","volume":"486","author":[{"family":"Dronkert","given":"Mies L. G"},{"family":"Kanaar","given":"Roland"}],"issued":{"date-parts":[["2001",9,4]]}}}],"schema":"https://github.com/citation-style-language/schema/raw/master/csl-citation.json"} </w:instrText>
      </w:r>
      <w:r w:rsidR="00D03DB6">
        <w:fldChar w:fldCharType="separate"/>
      </w:r>
      <w:r w:rsidR="004336A3" w:rsidRPr="004336A3">
        <w:rPr>
          <w:rFonts w:ascii="Calibri" w:hAnsi="Calibri" w:cs="Calibri"/>
          <w:szCs w:val="24"/>
          <w:vertAlign w:val="superscript"/>
        </w:rPr>
        <w:t>55–57</w:t>
      </w:r>
      <w:r w:rsidR="00D03DB6">
        <w:fldChar w:fldCharType="end"/>
      </w:r>
      <w:r w:rsidR="00D03DB6">
        <w:t xml:space="preserve">. </w:t>
      </w:r>
      <w:r w:rsidR="008C14D6" w:rsidRPr="006C6EA9">
        <w:rPr>
          <w:i/>
          <w:iCs/>
        </w:rPr>
        <w:t>DNA–protein crosslinks</w:t>
      </w:r>
      <w:r w:rsidR="008C14D6" w:rsidRPr="008C14D6">
        <w:t xml:space="preserve"> (DPCs) are frequent lesions that occur when a protein, regardless of its size or type, becomes covalently attached to DNA following exposure to a physical or chemical crosslinking agent</w:t>
      </w:r>
      <w:r>
        <w:fldChar w:fldCharType="begin"/>
      </w:r>
      <w:r w:rsidR="004336A3">
        <w:instrText xml:space="preserve"> ADDIN ZOTERO_ITEM CSL_CITATION {"citationID":"mx9rYh9x","properties":{"formattedCitation":"\\super 58\\uc0\\u8211{}60\\nosupersub{}","plainCitation":"58–60","noteIndex":0},"citationItems":[{"id":269,"uris":["http://zotero.org/users/11265134/items/98GKPKZ7"],"itemData":{"id":269,"type":"article-journal","abstract":"DNA-protein crosslinks (DPCs) are a specific type of DNA lesion consisting of a protein covalently and irreversibly bound to DNA, which arise after exposure to physical and chemical crosslinking agents. DPCs can be bulky and thereby pose a barrier to DNA replication and transcription. The persistence of DPCs during S phase causes DNA replication stress and genome instability. The toxicity of DPCs is exploited in cancer therapy: many common chemotherapeutics kill cancer cells by inducing DPC formation. Recent work from several laboratories discovered a specialized repair pathway for DPCs, namely DPC proteolysis (DPCP) repair. DPCP repair is carried out by replication-coupled DNA-dependent metalloproteases: Wss1 in yeast and SPRTN in metazoans. Mutations in SPRTN cause premature ageing and liver cancer in humans and mice; thus, defective DPC repair has great clinical ramifications. In the present review, we will revise the current knowledge on the mechanisms of DPCP repair and on the regulation of DPC protease activity, while highlighting the most significant unresolved questions in the field. Finally, we will discuss the impact of faulty DPC repair on disease and cancer therapy.","collection-title":"Cutting-edge Perspectives in Genomic Maintenance V","container-title":"DNA Repair","DOI":"10.1016/j.dnarep.2018.08.025","ISSN":"1568-7864","journalAbbreviation":"DNA Repair","page":"198-204","source":"ScienceDirect","title":"DNA protein crosslink proteolysis repair: From yeast to premature ageing and cancer in humans","title-short":"DNA protein crosslink proteolysis repair","volume":"71","author":[{"family":"Fielden","given":"John"},{"family":"Ruggiano","given":"Annamaria"},{"family":"Popović","given":"Marta"},{"family":"Ramadan","given":"Kristijan"}],"issued":{"date-parts":[["2018",11,1]]}},"label":"act"},{"id":289,"uris":["http://zotero.org/users/11265134/items/R65ND5GW"],"itemData":{"id":289,"type":"article-journal","container-title":"Cell","DOI":"10.1016/j.cell.2014.09.024","ISSN":"0092-8674, 1097-4172","issue":"2","journalAbbreviation":"Cell","language":"English","note":"publisher: Elsevier\nPMID: 25303529","page":"346-357","source":"www.cell.com","title":"Repair of a DNA-Protein Crosslink by Replication-Coupled Proteolysis","volume":"159","author":[{"family":"Duxin","given":"Julien P."},{"family":"Dewar","given":"James M."},{"family":"Yardimci","given":"Hasan"},{"family":"Walter","given":"Johannes C."}],"issued":{"date-parts":[["2014",10,9]]}}},{"id":544,"uris":["http://zotero.org/users/11265134/items/I9IGHPAW"],"itemData":{"id":544,"type":"article-journal","abstract":"Proteins covalently attached to DNA, also known as DNA–protein crosslinks (DPCs), are common and bulky DNA lesions that interfere with DNA replication, repair, transcription and recombination. Research in the past several years indicates that cells possess dedicated enzymes, known as DPC proteases, which digest the protein component of a DPC. Interestingly, DPC proteases also play a role in proteolysis beside DPC repair, such as in degrading excess histones during DNA replication or controlling DNA replication checkpoints. Here, we discuss the importance of DPC proteases in DNA replication, genome stability and their direct link to human diseases and cancer therapy.","container-title":"Communications Biology","DOI":"10.1038/s42003-020-01539-3","ISSN":"2399-3642","issue":"1","journalAbbreviation":"Commun Biol","language":"en","license":"2021 The Author(s)","note":"publisher: Nature Publishing Group","page":"1-11","source":"www.nature.com","title":"DNA–protein crosslink proteases in genome stability","volume":"4","author":[{"family":"Ruggiano","given":"Annamaria"},{"family":"Ramadan","given":"Kristijan"}],"issued":{"date-parts":[["2021",1,4]]}}}],"schema":"https://github.com/citation-style-language/schema/raw/master/csl-citation.json"} </w:instrText>
      </w:r>
      <w:r>
        <w:fldChar w:fldCharType="separate"/>
      </w:r>
      <w:r w:rsidR="004336A3" w:rsidRPr="004336A3">
        <w:rPr>
          <w:rFonts w:ascii="Calibri" w:hAnsi="Calibri" w:cs="Calibri"/>
          <w:szCs w:val="24"/>
          <w:vertAlign w:val="superscript"/>
        </w:rPr>
        <w:t>58–60</w:t>
      </w:r>
      <w:r>
        <w:fldChar w:fldCharType="end"/>
      </w:r>
      <w:r>
        <w:t xml:space="preserve">. </w:t>
      </w:r>
      <w:r w:rsidR="00671ED0">
        <w:t xml:space="preserve">Finally, </w:t>
      </w:r>
      <w:r w:rsidR="00671ED0" w:rsidRPr="008C14D6">
        <w:rPr>
          <w:i/>
          <w:iCs/>
        </w:rPr>
        <w:t>DNA i</w:t>
      </w:r>
      <w:r w:rsidR="00D03DB6" w:rsidRPr="008C14D6">
        <w:rPr>
          <w:i/>
          <w:iCs/>
        </w:rPr>
        <w:t>ntrastrand crosslinks</w:t>
      </w:r>
      <w:r w:rsidR="006C6EA9" w:rsidRPr="006C6EA9">
        <w:t xml:space="preserve"> are covalent bonds formed between two bases on the same strand of DNA. These lesions often result from exposure to agents such as UV light, platinum-based chemotherapeutics (e.g., cisplatin), or reactive chemicals</w:t>
      </w:r>
      <w:r w:rsidR="00D03DB6">
        <w:fldChar w:fldCharType="begin"/>
      </w:r>
      <w:r w:rsidR="004336A3">
        <w:instrText xml:space="preserve"> ADDIN ZOTERO_ITEM CSL_CITATION {"citationID":"nNyAPylv","properties":{"formattedCitation":"\\super 55\\nosupersub{}","plainCitation":"55","noteIndex":0},"citationItems":[{"id":267,"uris":["http://zotero.org/users/11265134/items/9WC7GX64"],"itemData":{"id":267,"type":"article-journal","abstract":"Human RECQL4 is a member of the RecQ family of DNA helicases and functions during DNA replication and repair. RECQL4 mutations are associated with developmental defects and cancer. Although RECQL4 mutations lead to disease, RECQL4 overexpression is also observed in cancer, including breast and prostate. Thus, tight regulation of RECQL4 protein levels is crucial for genome stability. Because mammalian RECQL4 is essential, how cells regulate RECQL4 protein levels is largely unknown. Utilizing budding yeast, we investigated the RECQL4 homolog, HRQ1, during DNA crosslink repair. We find that Hrq1 functions in the error-free template switching pathway to mediate DNA intrastrand crosslink repair. Although Hrq1 mediates repair of cisplatin-induced lesions, it is paradoxically degraded by the proteasome following cisplatin treatment. By identifying the targeted lysine residues, we show that preventing Hrq1 degradation results in increased recombination and mutagenesis. Like yeast, human RECQL4 is similarly degraded upon exposure to crosslinking agents. Furthermore, over-expression of RECQL4 results in increased RAD51 foci, which is dependent on its helicase activity. Using bioinformatic analysis, we observe that RECQL4 overexpression correlates with increased recombination and mutations. Overall, our study uncovers a role for Hrq1/RECQL4 in DNA intrastrand crosslink repair and provides further insight how misregulation of RECQL4 can promote genomic instability, a cancer hallmark.","container-title":"PLOS Genetics","DOI":"10.1371/journal.pgen.1010122","ISSN":"1553-7404","issue":"9","journalAbbreviation":"PLOS Genetics","language":"en","note":"publisher: Public Library of Science","page":"e1010122","source":"PLoS Journals","title":"Hrq1/RECQL4 regulation is critical for preventing aberrant recombination during DNA intrastrand crosslink repair and is upregulated in breast cancer","volume":"18","author":[{"family":"Luong","given":"Thong T."},{"family":"Li","given":"Zheqi"},{"family":"Priedigkeit","given":"Nolan"},{"family":"Parker","given":"Phoebe S."},{"family":"Böhm","given":"Stefanie"},{"family":"Rapchak","given":"Kyle"},{"family":"Lee","given":"Adrian V."},{"family":"Bernstein","given":"Kara A."}],"issued":{"date-parts":[["2022",9,20]]}}}],"schema":"https://github.com/citation-style-language/schema/raw/master/csl-citation.json"} </w:instrText>
      </w:r>
      <w:r w:rsidR="00D03DB6">
        <w:fldChar w:fldCharType="separate"/>
      </w:r>
      <w:r w:rsidR="004336A3" w:rsidRPr="004336A3">
        <w:rPr>
          <w:rFonts w:ascii="Calibri" w:hAnsi="Calibri" w:cs="Calibri"/>
          <w:szCs w:val="24"/>
          <w:vertAlign w:val="superscript"/>
        </w:rPr>
        <w:t>55</w:t>
      </w:r>
      <w:r w:rsidR="00D03DB6">
        <w:fldChar w:fldCharType="end"/>
      </w:r>
      <w:r w:rsidR="00D03DB6">
        <w:t xml:space="preserve">. </w:t>
      </w:r>
    </w:p>
    <w:p w14:paraId="68CFE553" w14:textId="77777777" w:rsidR="00413244" w:rsidRDefault="00413244" w:rsidP="00D03DB6">
      <w:pPr>
        <w:pStyle w:val="Paragraphedeliste"/>
        <w:spacing w:after="0" w:line="324" w:lineRule="auto"/>
        <w:ind w:left="1440"/>
        <w:jc w:val="both"/>
      </w:pPr>
    </w:p>
    <w:p w14:paraId="2F630D3E" w14:textId="7AF58C6E" w:rsidR="00DA12F5" w:rsidRDefault="00DA12F5" w:rsidP="00DA12F5">
      <w:pPr>
        <w:pStyle w:val="Paragraphedeliste"/>
        <w:numPr>
          <w:ilvl w:val="0"/>
          <w:numId w:val="4"/>
        </w:numPr>
        <w:spacing w:after="0" w:line="324" w:lineRule="auto"/>
        <w:jc w:val="both"/>
      </w:pPr>
      <w:r w:rsidRPr="000C28E0">
        <w:rPr>
          <w:b/>
          <w:bCs/>
        </w:rPr>
        <w:t>“Binding to (Interferes with) topoisomerase enzyme</w:t>
      </w:r>
      <w:r w:rsidR="00D03DB6">
        <w:rPr>
          <w:b/>
          <w:bCs/>
        </w:rPr>
        <w:t>s</w:t>
      </w:r>
      <w:r w:rsidRPr="000C28E0">
        <w:rPr>
          <w:b/>
          <w:bCs/>
        </w:rPr>
        <w:t>”:</w:t>
      </w:r>
      <w:r>
        <w:t xml:space="preserve"> Topoisomerase I enzymes are important regulators of DNA topology. They catalyze changes in DNA topology </w:t>
      </w:r>
      <w:r w:rsidRPr="0032395A">
        <w:t xml:space="preserve">through transient single-stranded DNA cleavage, strand passage, and </w:t>
      </w:r>
      <w:r>
        <w:t>relegation. Their involvement in DNA topology regulation potentially makes them critical targets of chemicals</w:t>
      </w:r>
      <w:r w:rsidR="00C864FF">
        <w:fldChar w:fldCharType="begin"/>
      </w:r>
      <w:r w:rsidR="004336A3">
        <w:instrText xml:space="preserve"> ADDIN ZOTERO_ITEM CSL_CITATION {"citationID":"07u7mAXH","properties":{"formattedCitation":"\\super 61,62\\nosupersub{}","plainCitation":"61,62","noteIndex":0},"citationItems":[{"id":370,"uris":["http://zotero.org/users/11265134/items/CEEITXV6"],"itemData":{"id":370,"type":"article-journal","abstract":"The present study was designed to determine and compare the clastogenicity of m-AMSA and camptothecin (CAMP) in vivo in mouse bone marrow and peripheral blood lymphocytes (PBLs), and in vitro in mouse lymphoma L5178Y cells. m-AMSA interferes with topoisomerase II to induce double-strand DNA breaks. CAMP interferes with topoisomerase I to induce single-strand DNA breaks. Thus, we expected the two drugs to induce different types of chromosomal aberrations (CAs). However, both drugs produced quantitatively and qualitatively similar numbers and types of aberrations under similar experimental conditions. In mouse bone marrow exposed over and 18-h period, both drugs (3 mg/kg) induced approximately 30 damaged cells, with an average of 0.4 chromatid breaks per cell (in 100 cells analyzed/mouse). In addition, both drugs induced only chromatid-type aberrations in mouse bone marrow in vivo when exposure occurred during G2. Cell cycle specificity was indicated by the absence of CAs when exposure to the drugs occurred in vivo in mouse PBLs during G0. In L5178Y cells, m-AMSA was considerably more potent for the induction of mutations and somewhat more potent for the induction of CAs than CAMP was. In contrast to the in vivo bone marrow results, the drugs induced high levels of both chromatid- and chromosome-type aberrations in vitro. The ultimate types of chromosomal damage induced by m-AMSA and CAMP result from a complex interaction of (i) cell cycle specific variations in topoisomerase enzyme levels, (ii) the abilities of these drugs to interfere with the orderly DNA breakage/reunion associated with topoisomerase activity, and (iii) the processing of the damage resulting from these interactions.","container-title":"Mutagenesis","DOI":"10.1093/mutage/5.6.541","ISSN":"0267-8357","issue":"6","journalAbbreviation":"Mutagenesis","language":"eng","note":"PMID: 2175833","page":"541-547","source":"PubMed","title":"Genotoxicity of inhibitors of DNA topoisomerases I (camptothecin) and II (m-AMSA) in vivo and in vitro","volume":"5","author":[{"family":"Backer","given":"L. C."},{"family":"Allen","given":"J. W."},{"family":"Harrington-Brock","given":"K."},{"family":"Campbell","given":"J. A."},{"family":"DeMarini","given":"D. M."},{"family":"Doerr","given":"C. L."},{"family":"Howard","given":"D. R."},{"family":"Kligerman","given":"A. D."},{"family":"Moore","given":"M. M."}],"issued":{"date-parts":[["1990",11]]}}},{"id":546,"uris":["http://zotero.org/users/11265134/items/9Z7L6NYL"],"itemData":{"id":546,"type":"article-journal","abstract":"Most chemotherapy regimens contain at least one DNA-damaging agent that preferentially affects the growth of cancer cells. This strategy takes advantage of the differences in cell proliferation between normal and cancer cells. Chemotherapeutic drugs are usually designed to target rapid-dividing cells because sustained proliferation is a common feature of cancer [1,2]. Rapid DNA replication is essential for highly proliferative cells, thus blocking of DNA replication will create numerous mutations and/or chromosome rearrangements—ultimately triggering cell death [3]. Along these lines, DNA topoisomerase inhibitors are of great interest because they help to maintain strand breaks generated by topoisomerases during replication. In this article, we discuss the characteristics of topoisomerase (DNA) I (TOP1) and its inhibitors, as well as the underlying DNA repair pathways and the use of TOP1 inhibitors in cancer therapy.","container-title":"Biomolecules","DOI":"10.3390/biom5031652","ISSN":"2218-273X","issue":"3","journalAbbreviation":"Biomolecules","note":"PMID: 26287259\nPMCID: PMC4598769","page":"1652-1670","source":"PubMed Central","title":"Inhibition of Topoisomerase (DNA) I (TOP1): DNA Damage Repair and Anticancer Therapy","title-short":"Inhibition of Topoisomerase (DNA) I (TOP1)","volume":"5","author":[{"family":"Xu","given":"Yang"},{"family":"Her","given":"Chengtao"}],"issued":{"date-parts":[["2015",7,22]]}}}],"schema":"https://github.com/citation-style-language/schema/raw/master/csl-citation.json"} </w:instrText>
      </w:r>
      <w:r w:rsidR="00C864FF">
        <w:fldChar w:fldCharType="separate"/>
      </w:r>
      <w:r w:rsidR="004336A3" w:rsidRPr="004336A3">
        <w:rPr>
          <w:rFonts w:ascii="Calibri" w:hAnsi="Calibri" w:cs="Calibri"/>
          <w:szCs w:val="24"/>
          <w:vertAlign w:val="superscript"/>
        </w:rPr>
        <w:t>61,62</w:t>
      </w:r>
      <w:r w:rsidR="00C864FF">
        <w:fldChar w:fldCharType="end"/>
      </w:r>
      <w:r>
        <w:t xml:space="preserve">. </w:t>
      </w:r>
      <w:r w:rsidR="00075551">
        <w:t>As</w:t>
      </w:r>
      <w:r>
        <w:t xml:space="preserve"> for the topoisomerase II enzyme</w:t>
      </w:r>
      <w:r w:rsidR="00FF2398">
        <w:t xml:space="preserve"> causing </w:t>
      </w:r>
      <w:r w:rsidR="005B0CAE">
        <w:t>TOP2-</w:t>
      </w:r>
      <w:r w:rsidR="00FF2398">
        <w:t>D</w:t>
      </w:r>
      <w:r w:rsidR="005B0CAE">
        <w:t>NA complexes</w:t>
      </w:r>
      <w:r w:rsidR="00FF2398">
        <w:t xml:space="preserve"> when inhibited</w:t>
      </w:r>
      <w:r w:rsidR="00FF2398">
        <w:fldChar w:fldCharType="begin"/>
      </w:r>
      <w:r w:rsidR="004336A3">
        <w:instrText xml:space="preserve"> ADDIN ZOTERO_ITEM CSL_CITATION {"citationID":"qiSOSOsm","properties":{"formattedCitation":"\\super 63\\nosupersub{}","plainCitation":"63","noteIndex":0},"citationItems":[{"id":379,"uris":["http://zotero.org/users/11265134/items/SZAUQP25"],"itemData":{"id":379,"type":"article-journal","abstract":"&lt;p&gt;The nucleosome is a stretch of DNA wrapped around a histone octamer. Electrostatic interactions and hydrogen bonds between histones and DNA are vital for the stable organization of nucleosome core particles, and for the folding of chromatin into more compact structures, which regulate gene expression via controlled access to DNA. As a drawback of tight association, under genotoxic stress, DNA can accidentally cross-link to histone in a covalent manner, generating a highly toxic DNA-histone cross-link (DHC). DHC is a bulky lesion that can impede DNA transcription, replication, and repair, often with lethal consequences. The chemotherapeutic agent cisplatin, as well as ionizing and ultraviolet irradiations and endogenously occurring reactive aldehydes, generate DHCs by forming either stable or transient covalent bonds between DNA and side-chain amino groups of histone lysine residues. The mechanisms of DHC repair start to unravel, and certain common principles of DNA-protein cross-link (DPC) repair mechanisms that participate in the removal of cross-linked histones from DNA have been described. In general, DPC is removed via a two-step repair mechanism. First, cross-linked proteins are degraded by specific DPC proteases or by the proteasome, relieving steric hindrance. Second, the remaining DNA-peptide cross-links are eliminated in various DNA repair pathways. Delineating the molecular mechanisms of DHC repair would help target specific DNA repair proteins for therapeutic intervention to combat tumor resistance to chemotherapy and radiotherapy.&lt;/p&gt;","container-title":"Frontiers in Cell and Developmental Biology","DOI":"10.3389/fcell.2020.607045","ISSN":"2296-634X","journalAbbreviation":"Front. Cell Dev. Biol.","language":"English","note":"publisher: Frontiers","source":"Frontiers","title":"DNA-Histone Cross-Links: Formation and Repair","title-short":"DNA-Histone Cross-Links","URL":"https://www.frontiersin.org/journals/cell-and-developmental-biology/articles/10.3389/fcell.2020.607045/full","volume":"8","author":[{"family":"Pachva","given":"Manideep C."},{"family":"Kisselev","given":"Alexei F."},{"family":"Matkarimov","given":"Bakhyt T."},{"family":"Saparbaev","given":"Murat"},{"family":"Groisman","given":"Regina"}],"accessed":{"date-parts":[["2024",12,5]]},"issued":{"date-parts":[["2020",12,21]]}}}],"schema":"https://github.com/citation-style-language/schema/raw/master/csl-citation.json"} </w:instrText>
      </w:r>
      <w:r w:rsidR="00FF2398">
        <w:fldChar w:fldCharType="separate"/>
      </w:r>
      <w:r w:rsidR="004336A3" w:rsidRPr="004336A3">
        <w:rPr>
          <w:rFonts w:ascii="Calibri" w:hAnsi="Calibri" w:cs="Calibri"/>
          <w:szCs w:val="24"/>
          <w:vertAlign w:val="superscript"/>
        </w:rPr>
        <w:t>63</w:t>
      </w:r>
      <w:r w:rsidR="00FF2398">
        <w:fldChar w:fldCharType="end"/>
      </w:r>
      <w:r w:rsidR="008C14D6">
        <w:t xml:space="preserve"> (</w:t>
      </w:r>
      <w:hyperlink r:id="rId13" w:history="1">
        <w:r w:rsidR="008C14D6" w:rsidRPr="005219EB">
          <w:rPr>
            <w:rStyle w:val="Lienhypertexte"/>
          </w:rPr>
          <w:t>https://aopwiki.org/aops/202</w:t>
        </w:r>
      </w:hyperlink>
      <w:r w:rsidR="008C14D6">
        <w:t>),</w:t>
      </w:r>
      <w:r>
        <w:t xml:space="preserve"> inhibition of this enzyme is known to provoke DNA lesions, such as gene mutations and structural chromosome aberrations</w:t>
      </w:r>
      <w:r w:rsidR="004653BE">
        <w:fldChar w:fldCharType="begin"/>
      </w:r>
      <w:r w:rsidR="004336A3">
        <w:instrText xml:space="preserve"> ADDIN ZOTERO_ITEM CSL_CITATION {"citationID":"xj21qiYn","properties":{"formattedCitation":"\\super 61\\nosupersub{}","plainCitation":"61","noteIndex":0},"citationItems":[{"id":370,"uris":["http://zotero.org/users/11265134/items/CEEITXV6"],"itemData":{"id":370,"type":"article-journal","abstract":"The present study was designed to determine and compare the clastogenicity of m-AMSA and camptothecin (CAMP) in vivo in mouse bone marrow and peripheral blood lymphocytes (PBLs), and in vitro in mouse lymphoma L5178Y cells. m-AMSA interferes with topoisomerase II to induce double-strand DNA breaks. CAMP interferes with topoisomerase I to induce single-strand DNA breaks. Thus, we expected the two drugs to induce different types of chromosomal aberrations (CAs). However, both drugs produced quantitatively and qualitatively similar numbers and types of aberrations under similar experimental conditions. In mouse bone marrow exposed over and 18-h period, both drugs (3 mg/kg) induced approximately 30 damaged cells, with an average of 0.4 chromatid breaks per cell (in 100 cells analyzed/mouse). In addition, both drugs induced only chromatid-type aberrations in mouse bone marrow in vivo when exposure occurred during G2. Cell cycle specificity was indicated by the absence of CAs when exposure to the drugs occurred in vivo in mouse PBLs during G0. In L5178Y cells, m-AMSA was considerably more potent for the induction of mutations and somewhat more potent for the induction of CAs than CAMP was. In contrast to the in vivo bone marrow results, the drugs induced high levels of both chromatid- and chromosome-type aberrations in vitro. The ultimate types of chromosomal damage induced by m-AMSA and CAMP result from a complex interaction of (i) cell cycle specific variations in topoisomerase enzyme levels, (ii) the abilities of these drugs to interfere with the orderly DNA breakage/reunion associated with topoisomerase activity, and (iii) the processing of the damage resulting from these interactions.","container-title":"Mutagenesis","DOI":"10.1093/mutage/5.6.541","ISSN":"0267-8357","issue":"6","journalAbbreviation":"Mutagenesis","language":"eng","note":"PMID: 2175833","page":"541-547","source":"PubMed","title":"Genotoxicity of inhibitors of DNA topoisomerases I (camptothecin) and II (m-AMSA) in vivo and in vitro","volume":"5","author":[{"family":"Backer","given":"L. C."},{"family":"Allen","given":"J. W."},{"family":"Harrington-Brock","given":"K."},{"family":"Campbell","given":"J. A."},{"family":"DeMarini","given":"D. M."},{"family":"Doerr","given":"C. L."},{"family":"Howard","given":"D. R."},{"family":"Kligerman","given":"A. D."},{"family":"Moore","given":"M. M."}],"issued":{"date-parts":[["1990",11]]}}}],"schema":"https://github.com/citation-style-language/schema/raw/master/csl-citation.json"} </w:instrText>
      </w:r>
      <w:r w:rsidR="004653BE">
        <w:fldChar w:fldCharType="separate"/>
      </w:r>
      <w:r w:rsidR="004336A3" w:rsidRPr="004336A3">
        <w:rPr>
          <w:rFonts w:ascii="Calibri" w:hAnsi="Calibri" w:cs="Calibri"/>
          <w:szCs w:val="24"/>
          <w:vertAlign w:val="superscript"/>
        </w:rPr>
        <w:t>61</w:t>
      </w:r>
      <w:r w:rsidR="004653BE">
        <w:fldChar w:fldCharType="end"/>
      </w:r>
      <w:r>
        <w:t>.</w:t>
      </w:r>
    </w:p>
    <w:p w14:paraId="505D7D80" w14:textId="77777777" w:rsidR="009D2356" w:rsidRDefault="009D2356" w:rsidP="009D2356">
      <w:pPr>
        <w:pStyle w:val="Paragraphedeliste"/>
        <w:spacing w:after="0" w:line="324" w:lineRule="auto"/>
        <w:ind w:left="1440"/>
        <w:jc w:val="both"/>
      </w:pPr>
    </w:p>
    <w:p w14:paraId="3A0A9940" w14:textId="32EE0905" w:rsidR="005012F6" w:rsidRPr="002A112A" w:rsidRDefault="005012F6" w:rsidP="00D41F8C">
      <w:pPr>
        <w:spacing w:after="0" w:line="324" w:lineRule="auto"/>
        <w:jc w:val="both"/>
        <w:rPr>
          <w:b/>
          <w:bCs/>
          <w:i/>
          <w:iCs/>
        </w:rPr>
      </w:pPr>
      <w:r w:rsidRPr="002A112A">
        <w:rPr>
          <w:b/>
          <w:bCs/>
          <w:i/>
          <w:iCs/>
        </w:rPr>
        <w:t>Integration of endorsed AOPs</w:t>
      </w:r>
    </w:p>
    <w:p w14:paraId="67ED9708" w14:textId="7838FBCC" w:rsidR="008D71AA" w:rsidRDefault="008D71AA" w:rsidP="008D71AA">
      <w:pPr>
        <w:spacing w:after="0" w:line="324" w:lineRule="auto"/>
        <w:jc w:val="both"/>
      </w:pPr>
      <w:r>
        <w:lastRenderedPageBreak/>
        <w:t>As mentioned above, four endorsed AOPs were integrated into the AOP network. Although the scientific community has already thoroughly reviewed and discussed these AOPs, several challenges were encountered during their integration.  For example, the endorsed AOP 15 “</w:t>
      </w:r>
      <w:r w:rsidRPr="00474608">
        <w:t>Alkylation of DNA in male pre-meiotic germ cells leading to heritable mutations</w:t>
      </w:r>
      <w:r>
        <w:t>” (</w:t>
      </w:r>
      <w:hyperlink r:id="rId14" w:history="1">
        <w:r w:rsidRPr="00011A11">
          <w:rPr>
            <w:rStyle w:val="Lienhypertexte"/>
          </w:rPr>
          <w:t>https://aopwiki.org/aops/15</w:t>
        </w:r>
      </w:hyperlink>
      <w:r>
        <w:t>) provides a very solid backbone for our AOP network. However, as the AO 336 “Increase, Heritable mutations in offspring” occurs downstream to the permanent DNA damage, this AO was not included in the network. Importantly, this AO determined the applicability domain of this AOP, i.e., mature males and their pre-meiotic germ cells, as only permanent damage occurring in germ cells will lead to heritable mutations in the offspring. The MIE and other KEs in this AOP are not specific to germ cells and can also occur in somatic cells. In combination with other downstream KEs, these might lead to other AOs such as cancer. Except for AOP 336, the evidence collected to characterize the KE(R)s in AOP 15 was collected in somatic cells. Consequently, these KE(R)s can be re-used in the AOPs 139 “</w:t>
      </w:r>
      <w:r w:rsidRPr="00F62849">
        <w:t>Alkylation of DNA leading to cancer 1</w:t>
      </w:r>
      <w:r>
        <w:t xml:space="preserve">” </w:t>
      </w:r>
      <w:r>
        <w:lastRenderedPageBreak/>
        <w:t>(</w:t>
      </w:r>
      <w:hyperlink r:id="rId15" w:history="1">
        <w:r w:rsidRPr="00AB6CE4">
          <w:rPr>
            <w:rStyle w:val="Lienhypertexte"/>
          </w:rPr>
          <w:t>https://aopwiki.org/aops/139</w:t>
        </w:r>
      </w:hyperlink>
      <w:r>
        <w:t>) and 141 “</w:t>
      </w:r>
      <w:r w:rsidRPr="00F62849">
        <w:t>Alkylation of DNA leading to cancer 2</w:t>
      </w:r>
      <w:r>
        <w:t>” (</w:t>
      </w:r>
      <w:hyperlink r:id="rId16" w:history="1">
        <w:r w:rsidRPr="00AB6CE4">
          <w:rPr>
            <w:rStyle w:val="Lienhypertexte"/>
          </w:rPr>
          <w:t>https://aopwiki.org/aops/141</w:t>
        </w:r>
      </w:hyperlink>
      <w:r>
        <w:t xml:space="preserve">), which are not yet included in the OECD work plan, as well as in our network which is not limited to germ cells. Also, for the other </w:t>
      </w:r>
      <w:r w:rsidRPr="0091319D">
        <w:t>endorsed AOP</w:t>
      </w:r>
      <w:r>
        <w:t>s, the KEs downstream to permanent DNA damage were removed, except for t</w:t>
      </w:r>
      <w:r w:rsidRPr="000816A3">
        <w:t xml:space="preserve">he AOP 296 “Oxidative DNA damage leading to chromosomal aberrations and mutations” (https://aopwiki.org/aops/296) </w:t>
      </w:r>
      <w:r>
        <w:t xml:space="preserve">that could be fully </w:t>
      </w:r>
      <w:r w:rsidRPr="000816A3">
        <w:t>included in the network</w:t>
      </w:r>
      <w:r>
        <w:fldChar w:fldCharType="begin"/>
      </w:r>
      <w:r w:rsidR="004336A3">
        <w:instrText xml:space="preserve"> ADDIN ZOTERO_ITEM CSL_CITATION {"citationID":"iVa9eyC1","properties":{"formattedCitation":"\\super 64\\nosupersub{}","plainCitation":"64","noteIndex":0},"citationItems":[{"id":3,"uris":["http://zotero.org/users/11265134/items/WUGQT5IZ"],"itemData":{"id":3,"type":"article-journal","abstract":"The Genetic Toxicology Technical Committee (GTTC) of the Health and Environmental Sciences Institute (HESI) is developing adverse outcome pathways (AOPs) that describe modes of action leading to potentially heritable genomic damage. The goal was to enhance the use of mechanistic information in genotoxicity assessment by building empirical support for the relationships between relevant molecular initiating events (MIEs) and regulatory endpoints in genetic toxicology. Herein, we present an AOP network that links oxidative DNA damage to two adverse outcomes (AOs): mutations and chromosomal aberrations. We collected empirical evidence from the literature to evaluate the key event relationships between the MIE and the AOs, and assessed the weight of evidence using the modified Bradford-Hill criteria for causality. Oxidative DNA damage is constantly induced and repaired in cells given the ubiquitous presence of reactive oxygen species and free radicals. However, xenobiotic exposures may increase damage above baseline levels through a variety of mechanisms and overwhelm DNA repair and endogenous antioxidant capacity. Unrepaired oxidative DNA base damage can lead to base substitutions during replication and, along with repair intermediates, can also cause DNA strand breaks that can lead to mutations and chromosomal aberrations if not repaired adequately. This AOP network identifies knowledge gaps that could be filled by targeted studies designed to better define the quantitative relationships between key events, which could be leveraged for quantitative chemical safety assessment. We anticipate that this AOP network will provide the building blocks for additional genotoxicity-associated AOPs and aid in designing novel integrated testing approaches for genotoxicity.","container-title":"Environmental and Molecular Mutagenesis","DOI":"10.1002/em.22479","ISSN":"1098-2280","issue":"3","language":"en","note":"_eprint: https://onlinelibrary.wiley.com/doi/pdf/10.1002/em.22479","page":"118-134","source":"Wiley Online Library","title":"AOP report: Development of an adverse outcome pathway for oxidative DNA damage leading to mutations and chromosomal aberrations","title-short":"AOP report","volume":"63","author":[{"family":"Cho","given":"Eunnara"},{"family":"Allemang","given":"Ashley"},{"family":"Audebert","given":"Marc"},{"family":"Chauhan","given":"Vinita"},{"family":"Dertinger","given":"Stephen"},{"family":"Hendriks","given":"Giel"},{"family":"Luijten","given":"Mirjam"},{"family":"Marchetti","given":"Francesco"},{"family":"Minocherhomji","given":"Sheroy"},{"family":"Pfuhler","given":"Stefan"},{"family":"Roberts","given":"Daniel J."},{"family":"Trenz","given":"Kristina"},{"family":"Yauk","given":"Carole L."}],"issued":{"date-parts":[["2022"]]}}}],"schema":"https://github.com/citation-style-language/schema/raw/master/csl-citation.json"} </w:instrText>
      </w:r>
      <w:r>
        <w:fldChar w:fldCharType="separate"/>
      </w:r>
      <w:r w:rsidR="004336A3" w:rsidRPr="004336A3">
        <w:rPr>
          <w:rFonts w:ascii="Calibri" w:hAnsi="Calibri" w:cs="Calibri"/>
          <w:szCs w:val="24"/>
          <w:vertAlign w:val="superscript"/>
        </w:rPr>
        <w:t>64</w:t>
      </w:r>
      <w:r>
        <w:fldChar w:fldCharType="end"/>
      </w:r>
      <w:r>
        <w:t>. The inclusion of AOP</w:t>
      </w:r>
      <w:r w:rsidRPr="000816A3">
        <w:t xml:space="preserve"> </w:t>
      </w:r>
      <w:r>
        <w:t xml:space="preserve">296 </w:t>
      </w:r>
      <w:r w:rsidRPr="000816A3">
        <w:t xml:space="preserve">will allow to link the network </w:t>
      </w:r>
      <w:r>
        <w:t xml:space="preserve">in the future </w:t>
      </w:r>
      <w:r w:rsidRPr="000816A3">
        <w:t xml:space="preserve">to </w:t>
      </w:r>
      <w:r>
        <w:t xml:space="preserve">other events leading to </w:t>
      </w:r>
      <w:r w:rsidRPr="000816A3">
        <w:t>the increase of reactive oxygen and nitrogen species (RONS).</w:t>
      </w:r>
      <w:r>
        <w:t xml:space="preserve"> For the endorsed AOP </w:t>
      </w:r>
      <w:r w:rsidRPr="00C31698">
        <w:t>202 “Inhibitor binding to topoisomerase II leading to infant leukaemia”</w:t>
      </w:r>
      <w:r>
        <w:t xml:space="preserve">, the specific KE </w:t>
      </w:r>
      <w:r w:rsidRPr="00600FCC">
        <w:t>1253: MLL chromosomal translocation</w:t>
      </w:r>
      <w:r>
        <w:t xml:space="preserve"> was not included as it is considered a sub-KE of KE 1636 “Increase, chromosome aberrations”. Indeed, this specific KE focuses on a unique gene and the consequence of its translocation. Consequently, </w:t>
      </w:r>
      <w:r>
        <w:lastRenderedPageBreak/>
        <w:t xml:space="preserve">it is encompassed by the more general KE “Increase, chromosome aberrations”, which has been renamed “Increase, Structural chromosome aberrations” to distinguish it from the genotoxic AO “Altered, Chromosome number”. </w:t>
      </w:r>
    </w:p>
    <w:p w14:paraId="54574DEF" w14:textId="77777777" w:rsidR="001F5FCD" w:rsidRPr="002A112A" w:rsidRDefault="001F5FCD" w:rsidP="00CF4833">
      <w:pPr>
        <w:spacing w:after="0" w:line="324" w:lineRule="auto"/>
        <w:jc w:val="both"/>
        <w:rPr>
          <w:i/>
          <w:iCs/>
        </w:rPr>
      </w:pPr>
    </w:p>
    <w:p w14:paraId="1916FCEE" w14:textId="3B1099A9" w:rsidR="0091319D" w:rsidRPr="00BE69EC" w:rsidRDefault="003B701B" w:rsidP="00CF4833">
      <w:pPr>
        <w:spacing w:after="0" w:line="324" w:lineRule="auto"/>
        <w:jc w:val="both"/>
        <w:rPr>
          <w:b/>
          <w:bCs/>
          <w:i/>
          <w:iCs/>
        </w:rPr>
      </w:pPr>
      <w:r>
        <w:rPr>
          <w:b/>
          <w:bCs/>
          <w:i/>
          <w:iCs/>
        </w:rPr>
        <w:t xml:space="preserve">New KE relationships </w:t>
      </w:r>
    </w:p>
    <w:p w14:paraId="738293FD" w14:textId="54187E23" w:rsidR="00953663" w:rsidRDefault="00953663" w:rsidP="00953663">
      <w:pPr>
        <w:spacing w:after="0" w:line="324" w:lineRule="auto"/>
        <w:jc w:val="both"/>
      </w:pPr>
      <w:r>
        <w:t>Compiling single AOPs into a network generates new relations between KEs of different pathways. For example, the KE “Increase, Structural chromosome aberrations” is now indirectly linked to the MIE ‘Alkylation of DNA’. Similarly, the AOP “Formation, Bulky DNA adducts leading to Increase, Mutations” is now also connected to the AO “Increase, Structural chromosome aberrations”. At the opposite, the AOP starting with “Binding to topoisomerase II enzyme” now has also an indirect link with “Increase, Mutations”. These new links are in line with the evidence that is already available in literature</w:t>
      </w:r>
      <w:r w:rsidR="008106B9">
        <w:fldChar w:fldCharType="begin"/>
      </w:r>
      <w:r w:rsidR="004336A3">
        <w:instrText xml:space="preserve"> ADDIN ZOTERO_ITEM CSL_CITATION {"citationID":"M15rEEQP","properties":{"formattedCitation":"\\super 61,65\\uc0\\u8211{}67\\nosupersub{}","plainCitation":"61,65–67","noteIndex":0},"citationItems":[{"id":370,"uris":["http://zotero.org/users/11265134/items/CEEITXV6"],"itemData":{"id":370,"type":"article-journal","abstract":"The present study was designed to determine and compare the clastogenicity of m-AMSA and camptothecin (CAMP) in vivo in mouse bone marrow and peripheral blood lymphocytes (PBLs), and in vitro in mouse lymphoma L5178Y cells. m-AMSA interferes with topoisomerase II to induce double-strand DNA breaks. CAMP interferes with topoisomerase I to induce single-strand DNA breaks. Thus, we expected the two drugs to induce different types of chromosomal aberrations (CAs). However, both drugs produced quantitatively and qualitatively similar numbers and types of aberrations under similar experimental conditions. In mouse bone marrow exposed over and 18-h period, both drugs (3 mg/kg) induced approximately 30 damaged cells, with an average of 0.4 chromatid breaks per cell (in 100 cells analyzed/mouse). In addition, both drugs induced only chromatid-type aberrations in mouse bone marrow in vivo when exposure occurred during G2. Cell cycle specificity was indicated by the absence of CAs when exposure to the drugs occurred in vivo in mouse PBLs during G0. In L5178Y cells, m-AMSA was considerably more potent for the induction of mutations and somewhat more potent for the induction of CAs than CAMP was. In contrast to the in vivo bone marrow results, the drugs induced high levels of both chromatid- and chromosome-type aberrations in vitro. The ultimate types of chromosomal damage induced by m-AMSA and CAMP result from a complex interaction of (i) cell cycle specific variations in topoisomerase enzyme levels, (ii) the abilities of these drugs to interfere with the orderly DNA breakage/reunion associated with topoisomerase activity, and (iii) the processing of the damage resulting from these interactions.","container-title":"Mutagenesis","DOI":"10.1093/mutage/5.6.541","ISSN":"0267-8357","issue":"6","journalAbbreviation":"Mutagenesis","language":"eng","note":"PMID: 2175833","page":"541-547","source":"PubMed","title":"Genotoxicity of inhibitors of DNA topoisomerases I (camptothecin) and II (m-AMSA) in vivo and in vitro","volume":"5","author":[{"family":"Backer","given":"L. C."},{"family":"Allen","given":"J. W."},{"family":"Harrington-Brock","given":"K."},{"family":"Campbell","given":"J. A."},{"family":"DeMarini","given":"D. M."},{"family":"Doerr","given":"C. L."},{"family":"Howard","given":"D. R."},{"family":"Kligerman","given":"A. D."},{"family":"Moore","given":"M. M."}],"issued":{"date-parts":[["1990",11]]}}},{"id":533,"uris":["http://zotero.org/users/11265134/items/N62X296K"],"itemData":{"id":533,"type":"article-journal","abstract":"The process leading to chromosomal aberrations as a consequence of DNA damage is probably best understood for simple alkylating agents. Various functions have been identified which are involved in the conversion of critical primary lesions to aberrations. O6-methylguanine is considered to be an important critical preclastogenic DNA lesion, which is converted to aberrations in conjunction with faulty mismatch repair. It operates at sites of O6-methylguanine-thymine mispairing, leading to not yet defined secondary lesions. It is proposed that these secondary lesions cause DNA replication inhibition, which triggers recombination (sister-chromatid exchange formation) and is a critical event involved in aberration production in the second post-treatment replication cycle. For N-alkylations, DNA replication inhibition may result from depurinations and base excision repair intermediates causing a block of replication. In consequence, sister-chromatid exchanges as well as chromosomal aberrations are formed in the first post-treatment replication cycle. Data are available to show that DNA replication inhibition and aberration production in the first post-treatment replication cycle are interrelated.","collection-title":"Chromosomal aberrations","container-title":"Mutation Research/Fundamental and Molecular Mechanisms of Mutagenesis","DOI":"10.1016/S0027-5107(98)00103-1","ISSN":"0027-5107","issue":"1","journalAbbreviation":"Mutation Research/Fundamental and Molecular Mechanisms of Mutagenesis","page":"119-124","source":"ScienceDirect","title":"Critical steps in alkylation-induced aberration formation","volume":"404","author":[{"family":"Kaina","given":"Bernd"}],"issued":{"date-parts":[["1998",8,3]]}}},{"id":535,"uris":["http://zotero.org/users/11265134/items/WC6P67ZF"],"itemData":{"id":535,"type":"article-journal","abstract":"Currently, there is no test system, whether in vitro or in vivo, capable of examining all endpoints required for genotoxicity evaluation used in pre-clinical drug safety assessment. The objective of this study was to develop a model which could assess all the required endpoints and possesses robust human metabolic activity, that could be used in a streamlined, animal-free manner. Liver-on-chip (LOC) models have intrinsic human metabolic activity that mimics the in vivo environment, making it a preferred test system. For our assay, the LOC was assembled using primary human hepatocytes or HepaRG cells, in a MPS-T12 plate, maintained under microfluidic flow conditions using the PhysioMimix® Microphysiological System (MPS), and co-cultured with human lymphoblastoid (TK6) cells in transwells. This system allows for interaction between two compartments and for the analysis of three different genotoxic endpoints, i.e. DNA strand breaks (comet assay) in hepatocytes, chromosome loss or damage (micronucleus assay) and mutation (Duplex Sequencing) in TK6 cells. Both compartments were treated at 0, 24 and 45 h with two direct genotoxicants: methyl methanesulfonate (MMS) and ethyl methanesulfonate (EMS), and two genotoxicants requiring metabolic activation: benzo[a]pyrene (B[a]P) and cyclophosphamide (CP). Assessment of cytochrome activity, RNA expression, albumin, urea and lactate dehydrogenase production, demonstrated functional metabolic capacities. Genotoxicity responses were observed for all endpoints with MMS and EMS. Increases in the micronucleus and mutations (MF) frequencies were also observed with CP, and %Tail DNA with B[a]P, indicating the metabolic competency of the test system. CP did not exhibit an increase in the %Tail DNA, which is in line with in vivo data. However, B[a]P did not exhibit an increase in the % micronucleus and MF, which might require an optimization of the test system. In conclusion, this proof-of-principle experiment suggests that LOC-MPS technology is a promising tool for in vitro hazard identification genotoxicants.","container-title":"Mutation Research. Genetic Toxicology and Environmental Mutagenesis","DOI":"10.1016/j.mrgentox.2024.503762","ISSN":"1879-3592","journalAbbreviation":"Mutat Res Genet Toxicol Environ Mutagen","language":"eng","note":"PMID: 38821675","page":"503762","source":"PubMed","title":"Liver-on-chip model and application in predictive genotoxicity and mutagenicity of drugs","volume":"896","author":[{"family":"Kopp","given":"B."},{"family":"Khawam","given":"A."},{"family":"Di Perna","given":"K."},{"family":"Lenart","given":"D."},{"family":"Vinette","given":"M."},{"family":"Silva","given":"R."},{"family":"Zanoni","given":"T. B."},{"family":"Rore","given":"C."},{"family":"Guenigault","given":"G."},{"family":"Richardson","given":"E."},{"family":"Kostrzewski","given":"T."},{"family":"Boswell","given":"A."},{"family":"Van","given":"P."},{"family":"Valentine Iii","given":"C."},{"family":"Salk","given":"J."},{"family":"Hamel","given":"A."}],"issued":{"date-parts":[["2024"]]}}},{"id":537,"uris":["http://zotero.org/users/11265134/items/STP9N62H"],"itemData":{"id":537,"type":"article-journal","abstract":"DNA topoisomerase II is an essential nuclear enzyme that modulates DNA topology during multiple cellular processes such as DNA replication and chromosome segregation. Several important clinical antitumor drugs and antibiotics act through inhibition of topoisomerase II. There are a number of different steps in the action of topoisomerase II, all of which are potential targets for inhibition through drugs and also for cellular and genetic toxicity as well as for mutagenesis. We have investigated and compared the genotoxicity and mutagenicity of the mechanistically different topoisomerase II inhibitors m-amsacrine, mitoxantrone, etoposide, genistein, ICRF 193, and berenil using the in vitro micronucleus test, single cell gelelectrophoresis (comet assay) and the mutation assay (tk-locus) in L5178Y mouse lymphoma cells. All six compounds induced micronuclei and all except berenil were mutagenic. M-amsacrine, mitoxantrone, etopside and genistein induced DNA migration in the comet assay, whereas ICRF 193 was only weakly positive and berenil was negative in this test. Our results are in good agreement with the compounds’ proposed mechanisms of interaction with topoisomerase II.","container-title":"Toxicology Letters","DOI":"10.1016/S0378-4274(00)00192-2","ISSN":"0378-4274","issue":"1","journalAbbreviation":"Toxicology Letters","page":"7-16","source":"ScienceDirect","title":"Genotoxicity of several clinically used topoisomerase II inhibitors","volume":"116","author":[{"family":"Boos","given":"Gunther"},{"family":"Stopper","given":"Helga"}],"issued":{"date-parts":[["2000",7,27]]}}}],"schema":"https://github.com/citation-style-language/schema/raw/master/csl-citation.json"} </w:instrText>
      </w:r>
      <w:r w:rsidR="008106B9">
        <w:fldChar w:fldCharType="separate"/>
      </w:r>
      <w:r w:rsidR="004336A3" w:rsidRPr="004336A3">
        <w:rPr>
          <w:rFonts w:ascii="Calibri" w:hAnsi="Calibri" w:cs="Calibri"/>
          <w:szCs w:val="24"/>
          <w:vertAlign w:val="superscript"/>
        </w:rPr>
        <w:t>61,65–67</w:t>
      </w:r>
      <w:r w:rsidR="008106B9">
        <w:fldChar w:fldCharType="end"/>
      </w:r>
      <w:r>
        <w:t>.</w:t>
      </w:r>
    </w:p>
    <w:p w14:paraId="73743DC7" w14:textId="77777777" w:rsidR="00953663" w:rsidRDefault="00953663" w:rsidP="00953663">
      <w:pPr>
        <w:spacing w:after="0" w:line="324" w:lineRule="auto"/>
        <w:jc w:val="both"/>
      </w:pPr>
    </w:p>
    <w:p w14:paraId="4D72F8A6" w14:textId="77777777" w:rsidR="00953663" w:rsidRDefault="00953663" w:rsidP="00953663">
      <w:pPr>
        <w:spacing w:after="0" w:line="324" w:lineRule="auto"/>
        <w:jc w:val="both"/>
      </w:pPr>
      <w:r>
        <w:lastRenderedPageBreak/>
        <w:t xml:space="preserve">By taking into account all the considerations described above, a draft network leading to permanent DNA damage emerged consisting of nine MIEs converging to the three main genotoxic AOs. This network (Figure 1) has been submitted to the OECD WNT and was accepted for inclusion in the work plan. </w:t>
      </w:r>
    </w:p>
    <w:p w14:paraId="2AD836C9" w14:textId="77777777" w:rsidR="00600A1D" w:rsidRPr="00600A1D" w:rsidRDefault="00600A1D" w:rsidP="00600A1D">
      <w:pPr>
        <w:spacing w:after="0" w:line="324" w:lineRule="auto"/>
        <w:jc w:val="both"/>
      </w:pPr>
    </w:p>
    <w:p w14:paraId="36779AC1" w14:textId="2A56AB5C" w:rsidR="00E47A26" w:rsidRDefault="00E47A26" w:rsidP="00E47A26">
      <w:pPr>
        <w:pStyle w:val="Paragraphedeliste"/>
        <w:numPr>
          <w:ilvl w:val="0"/>
          <w:numId w:val="9"/>
        </w:numPr>
        <w:spacing w:after="0" w:line="324" w:lineRule="auto"/>
        <w:jc w:val="both"/>
      </w:pPr>
      <w:r w:rsidRPr="00E47A26">
        <w:rPr>
          <w:b/>
          <w:bCs/>
          <w:sz w:val="32"/>
          <w:szCs w:val="32"/>
        </w:rPr>
        <w:t xml:space="preserve">Refinement of the draft AOP network leading to permanent DNA </w:t>
      </w:r>
      <w:r w:rsidR="00C21DA6">
        <w:rPr>
          <w:b/>
          <w:bCs/>
          <w:sz w:val="32"/>
          <w:szCs w:val="32"/>
        </w:rPr>
        <w:t>damage</w:t>
      </w:r>
    </w:p>
    <w:p w14:paraId="4F4186EC" w14:textId="26F749DF" w:rsidR="0059638F" w:rsidRDefault="00A31888" w:rsidP="00777C1F">
      <w:pPr>
        <w:spacing w:after="0" w:line="324" w:lineRule="auto"/>
        <w:jc w:val="both"/>
      </w:pPr>
      <w:r>
        <w:t>A</w:t>
      </w:r>
      <w:r w:rsidRPr="00A31888">
        <w:t xml:space="preserve">lthough </w:t>
      </w:r>
      <w:r>
        <w:t>the draft AOP network</w:t>
      </w:r>
      <w:r w:rsidR="00C21DA6">
        <w:t xml:space="preserve"> (Figure 1)</w:t>
      </w:r>
      <w:r w:rsidRPr="00A31888">
        <w:t xml:space="preserve"> looks less overwhelming and more comprehensive compared to the first version (Supplementary </w:t>
      </w:r>
      <w:r w:rsidR="00C21DA6">
        <w:t>Figure</w:t>
      </w:r>
      <w:r w:rsidRPr="00A31888">
        <w:t xml:space="preserve"> 1), some inconsistencies remain. </w:t>
      </w:r>
    </w:p>
    <w:p w14:paraId="0A028DE9" w14:textId="77777777" w:rsidR="00FF181E" w:rsidRDefault="00FF181E" w:rsidP="00777C1F">
      <w:pPr>
        <w:spacing w:after="0" w:line="324" w:lineRule="auto"/>
        <w:jc w:val="both"/>
      </w:pPr>
    </w:p>
    <w:p w14:paraId="1444E50C" w14:textId="5EA3954B" w:rsidR="00777C1F" w:rsidRDefault="00635867" w:rsidP="00777C1F">
      <w:pPr>
        <w:spacing w:after="0" w:line="324" w:lineRule="auto"/>
        <w:jc w:val="both"/>
      </w:pPr>
      <w:r>
        <w:t>O</w:t>
      </w:r>
      <w:r w:rsidR="0059638F">
        <w:t xml:space="preserve">n one hand, </w:t>
      </w:r>
      <w:r w:rsidR="00777C1F">
        <w:t>the different steps that may occur between the MIEs and AOs are covered by only three intermediate KEs:</w:t>
      </w:r>
    </w:p>
    <w:p w14:paraId="3213ADD7" w14:textId="6ADE3ABC" w:rsidR="00777C1F" w:rsidRDefault="00777C1F" w:rsidP="00777C1F">
      <w:pPr>
        <w:pStyle w:val="Paragraphedeliste"/>
        <w:numPr>
          <w:ilvl w:val="0"/>
          <w:numId w:val="13"/>
        </w:numPr>
        <w:spacing w:after="0" w:line="324" w:lineRule="auto"/>
        <w:jc w:val="both"/>
      </w:pPr>
      <w:r>
        <w:lastRenderedPageBreak/>
        <w:t>“Inadequate DNA repair”</w:t>
      </w:r>
    </w:p>
    <w:p w14:paraId="3800D896" w14:textId="4EDD5921" w:rsidR="00777C1F" w:rsidRDefault="00777C1F" w:rsidP="00777C1F">
      <w:pPr>
        <w:pStyle w:val="Paragraphedeliste"/>
        <w:numPr>
          <w:ilvl w:val="0"/>
          <w:numId w:val="13"/>
        </w:numPr>
        <w:spacing w:after="0" w:line="324" w:lineRule="auto"/>
        <w:jc w:val="both"/>
      </w:pPr>
      <w:r>
        <w:t xml:space="preserve">“Increase, DNA strand breaks” </w:t>
      </w:r>
    </w:p>
    <w:p w14:paraId="1381D746" w14:textId="1B08E1D0" w:rsidR="00777C1F" w:rsidRDefault="00777C1F" w:rsidP="00777C1F">
      <w:pPr>
        <w:pStyle w:val="Paragraphedeliste"/>
        <w:numPr>
          <w:ilvl w:val="0"/>
          <w:numId w:val="13"/>
        </w:numPr>
        <w:spacing w:after="0" w:line="324" w:lineRule="auto"/>
        <w:jc w:val="both"/>
      </w:pPr>
      <w:r>
        <w:t>“Collapse, stalled replication forks”</w:t>
      </w:r>
    </w:p>
    <w:p w14:paraId="711C8478" w14:textId="77777777" w:rsidR="00F930F8" w:rsidRDefault="00F930F8" w:rsidP="00F434A0">
      <w:pPr>
        <w:spacing w:after="0" w:line="324" w:lineRule="auto"/>
        <w:jc w:val="both"/>
      </w:pPr>
    </w:p>
    <w:p w14:paraId="430E7B7C" w14:textId="63B62F81" w:rsidR="00C21DA6" w:rsidRDefault="00C21DA6" w:rsidP="00C21DA6">
      <w:pPr>
        <w:spacing w:after="0" w:line="324" w:lineRule="auto"/>
        <w:jc w:val="both"/>
      </w:pPr>
      <w:r>
        <w:t>T</w:t>
      </w:r>
      <w:r w:rsidRPr="00A31888">
        <w:t xml:space="preserve">he KE “Increase, DNA strand breaks” is shown as a unique KE, creating the impression that both single and double-strand breaks arise at a unique moment in the cascade of genotoxic events and </w:t>
      </w:r>
      <w:r>
        <w:t xml:space="preserve">have </w:t>
      </w:r>
      <w:r w:rsidRPr="00A31888">
        <w:t xml:space="preserve">exactly the same consequences. </w:t>
      </w:r>
      <w:r>
        <w:t>This is not correct as both types of strand breaks</w:t>
      </w:r>
      <w:r w:rsidRPr="00174EA8">
        <w:t xml:space="preserve"> are repaired through different processes and/or can be induced through different MoAs, e.g. directly through deposition of energy </w:t>
      </w:r>
      <w:r>
        <w:t xml:space="preserve">(double-strand breaks) </w:t>
      </w:r>
      <w:r w:rsidRPr="00174EA8">
        <w:t>and indirectly through the accumulation of alkylated damages</w:t>
      </w:r>
      <w:r>
        <w:t xml:space="preserve"> (single-strand breaks)</w:t>
      </w:r>
      <w:r w:rsidRPr="00174EA8">
        <w:t xml:space="preserve">. </w:t>
      </w:r>
      <w:r>
        <w:t>Furthermore</w:t>
      </w:r>
      <w:r w:rsidRPr="00174EA8">
        <w:t xml:space="preserve">, they can arise at different time points and in </w:t>
      </w:r>
      <w:r>
        <w:t>varying</w:t>
      </w:r>
      <w:r w:rsidRPr="00174EA8">
        <w:t xml:space="preserve"> proportions depending on the MIE. </w:t>
      </w:r>
      <w:bookmarkStart w:id="2" w:name="_Hlk187911934"/>
      <w:r w:rsidRPr="00A31888">
        <w:t xml:space="preserve">Similarly, the KE “Inadequate, DNA repair” </w:t>
      </w:r>
      <w:r>
        <w:t>appears</w:t>
      </w:r>
      <w:r w:rsidRPr="00A31888">
        <w:t xml:space="preserve"> to encompass all type</w:t>
      </w:r>
      <w:r>
        <w:t>s</w:t>
      </w:r>
      <w:r w:rsidRPr="00A31888">
        <w:t xml:space="preserve"> of DNA repair pathways. However, each DNA repair pathway is more or less specific to a type of DNA damage.</w:t>
      </w:r>
      <w:r>
        <w:t xml:space="preserve"> T</w:t>
      </w:r>
      <w:r w:rsidRPr="00174EA8">
        <w:t xml:space="preserve">he DNA </w:t>
      </w:r>
      <w:r w:rsidRPr="00174EA8">
        <w:lastRenderedPageBreak/>
        <w:t xml:space="preserve">repair processes can arise at different time points, </w:t>
      </w:r>
      <w:r>
        <w:t>at varying levels</w:t>
      </w:r>
      <w:r w:rsidRPr="00174EA8">
        <w:t xml:space="preserve">, and sometimes, </w:t>
      </w:r>
      <w:r>
        <w:t xml:space="preserve">after the apparition of secondary DNA damage subsequent to the accumulation of primary damage. These general </w:t>
      </w:r>
      <w:r w:rsidRPr="00A31888">
        <w:t xml:space="preserve">genotoxic KEs </w:t>
      </w:r>
      <w:r>
        <w:t xml:space="preserve">complicate </w:t>
      </w:r>
      <w:r w:rsidRPr="00A31888">
        <w:t xml:space="preserve">the accurate characterization </w:t>
      </w:r>
      <w:r>
        <w:t xml:space="preserve">and future quantification </w:t>
      </w:r>
      <w:r w:rsidRPr="00A31888">
        <w:t xml:space="preserve">of </w:t>
      </w:r>
      <w:r>
        <w:t xml:space="preserve">the </w:t>
      </w:r>
      <w:r w:rsidRPr="00A31888">
        <w:t xml:space="preserve">chemicals’ </w:t>
      </w:r>
      <w:r>
        <w:t>MoA</w:t>
      </w:r>
      <w:r w:rsidRPr="00A31888">
        <w:t xml:space="preserve">. </w:t>
      </w:r>
    </w:p>
    <w:bookmarkEnd w:id="2"/>
    <w:p w14:paraId="25C16EF1" w14:textId="77777777" w:rsidR="00FF181E" w:rsidRPr="00A31888" w:rsidRDefault="00FF181E" w:rsidP="00F434A0">
      <w:pPr>
        <w:spacing w:after="0" w:line="324" w:lineRule="auto"/>
        <w:jc w:val="both"/>
      </w:pPr>
    </w:p>
    <w:p w14:paraId="0260907A" w14:textId="4B238496" w:rsidR="00FF181E" w:rsidRDefault="00C21DA6" w:rsidP="00D41F8C">
      <w:pPr>
        <w:spacing w:after="0" w:line="324" w:lineRule="auto"/>
        <w:jc w:val="both"/>
      </w:pPr>
      <w:r>
        <w:t>O</w:t>
      </w:r>
      <w:r w:rsidRPr="00A31888">
        <w:t>n</w:t>
      </w:r>
      <w:r>
        <w:t xml:space="preserve"> the other hand</w:t>
      </w:r>
      <w:r w:rsidRPr="00A31888">
        <w:t xml:space="preserve">, while some KEs, like “Increase, Oxidative DNA damage,” are very general, encompassing several types of DNA damage, others are more specific, such as “Alkylation of DNA” focusing on one specific type of damage. This difference in the level of detail reduces the global harmony of the AOP network. </w:t>
      </w:r>
      <w:r>
        <w:t>Furthermore, s</w:t>
      </w:r>
      <w:r w:rsidRPr="00A31888">
        <w:t>ome KERs are not correctly reflected in the network. Indeed, only two MIEs are linked to the KE “Collapse, Stalled replication fork”. However, th</w:t>
      </w:r>
      <w:r>
        <w:t xml:space="preserve">is KE seems to play a central role in the genotoxic cascade as several studies showed its implication after exposure to, among others, alkylating agents, following oxidative damage or even after deposition </w:t>
      </w:r>
      <w:r w:rsidR="00FF181E">
        <w:t>of energy</w:t>
      </w:r>
      <w:r w:rsidR="00A31888" w:rsidRPr="00A31888">
        <w:fldChar w:fldCharType="begin"/>
      </w:r>
      <w:r w:rsidR="004336A3">
        <w:instrText xml:space="preserve"> ADDIN ZOTERO_ITEM CSL_CITATION {"citationID":"Frz8B91h","properties":{"formattedCitation":"\\super 68\\uc0\\u8211{}70\\nosupersub{}","plainCitation":"68–70","noteIndex":0},"citationItems":[{"id":272,"uris":["http://zotero.org/users/11265134/items/D4UXA6I3"],"itemData":{"id":272,"type":"article-journal","abstract":"Eukaryotic genomes are especially vulnerable to DNA damage during the S phase of the cell cycle, when chromosomes must be duplicated. The stability of DNA replication forks is critical to achieve faithful chromosome replication and is severely compromised when forks encounter DNA lesions. To maintain genome integrity, replication forks need to be protected by the S-phase checkpoint and DNA insults must be repaired. Different pathways help to repair or tolerate the lesions in the DNA, but their contribution to the progression of replication forks through damaged DNA is not well known. Here we show in budding yeast that, when the DNA template is damaged with the alkylating agent methyl methanesulfonate (MMS), base excision repair, homologous recombination and DNA damage tolerance pathways, together with a functional S-phase checkpoint, are essential for the efficient progression of DNA replication forks and the maintenance of cell survival. In the absence of base excision repair, replication forks stall reversibly in cells exposed to MMS. This repair reaction is necessary to eliminate the lesions that impede fork progression and has to be coordinated with recombination and damage tolerance activities to avoid fork collapse and allow forks to resume and complete chromosome replication.","container-title":"DNA Repair","DOI":"10.1016/j.dnarep.2008.06.014","ISSN":"1568-7864","issue":"10","journalAbbreviation":"DNA Repair","page":"1693-1704","source":"ScienceDirect","title":"Multiple pathways cooperate to facilitate DNA replication fork progression through alkylated DNA","volume":"7","author":[{"family":"Vázquez","given":"María Victoria"},{"family":"Rojas","given":"Vanesa"},{"family":"Tercero","given":"José Antonio"}],"issued":{"date-parts":[["2008",10,1]]}},"label":"page"},{"id":278,"uris":["http://zotero.org/users/11265134/items/NIG5K6D5"],"itemData":{"id":278,"type":"article-journal","abstract":"Mitochondrial DNA is prone to damage by various intrinsic as well as environmental stressors. DNA damage can in turn cause problems for replication, resulting in replication stalling and double-strand breaks, which are suspected to be the leading cause of pathological mtDNA rearrangements. In this study, we exposed cells to subtle levels of oxidative stress or UV radiation and followed their effects on mtDNA maintenance. Although the damage did not influence mtDNA copy number, we detected a massive accumulation of RNA:DNA hybrid–containing replication intermediates, followed by an increase in cruciform DNA molecules, as well as in bidirectional replication initiation outside of the main replication origin, OH. Our results suggest that mitochondria maintain two different types of replication as an adaptation to different cellular environments; the RNA:DNA hybrid–involving replication mode maintains mtDNA integrity in tissues with low oxidative stress, and the potentially more error tolerant conventional strand-coupled replication operates when stress is high.","container-title":"Molecular Biology of the Cell","DOI":"10.1091/mbc.e15-06-0390","ISSN":"1059-1524","issue":"23","journalAbbreviation":"MBoC","note":"publisher: American Society for Cell Biology (mboc)","page":"4197-4208","source":"molbiolcell.org (Atypon)","title":"Low doses of ultraviolet radiation and oxidative damage induce dramatic accumulation of mitochondrial DNA replication intermediates, fork regression, and replication initiation shift","volume":"26","author":[{"family":"Torregrosa-Muñumer","given":"Rubén"},{"family":"Goffart","given":"Steffi"},{"family":"Haikonen","given":"Juha A."},{"family":"Pohjoismäki","given":"Jaakko L. O."}],"issued":{"date-parts":[["2015",11,15]]}},"label":"act"},{"id":276,"uris":["http://zotero.org/users/11265134/items/KRUM4R98"],"itemData":{"id":276,"type":"article-journal","abstract":"Ionizing radiation exposure can induce profound changes in intracellular components, potentially leading to diverse health effects in exposed individuals. Any cellular component can be damaged by radiation, but some components affect cellular viability more profoundly than others. The ionization caused by radiation lasts longer than the initial inciting incident, continuing as 1 ionization incident causes another. In some cases, damage to DNA can lead to cellular death at mitosis. In other cases, activation of the genetic machinery can lead to a genetic cascade potentially leading to mutations or cell death by apoptosis. In the third of 5 articles on the management of injuries and illnesses caused by ionizing radiation, the authors provide a clinically relevant overview of the pathophysiologic process associated with potential exposure to ionizing radiation.","container-title":"Journal of Osteopathic Medicine","DOI":"10.7556/jaoa.2014.109","ISSN":"2702-3648","issue":"7","language":"en","license":"De Gruyter expressly reserves the right to use all content for commercial text and data mining within the meaning of Section 44b of the German Copyright Act.","note":"publisher: De Gruyter","page":"556-565","source":"www.degruyter.com","title":"Management of Ionizing Radiation Injuries and Illnesses, Part 3: Radiobiology and Health Effects of Ionizing Radiation","title-short":"Management of Ionizing Radiation Injuries and Illnesses, Part 3","volume":"114","author":[{"family":"Christensen","given":"Doran M."},{"family":"Livingston","given":"Gordon K."},{"family":"Sugarman","given":"Stephen L."},{"family":"Parillo","given":"Steven J."},{"family":"Glassman","given":"Erik S."}],"issued":{"date-parts":[["2014",7,1]]}},"label":"act"}],"schema":"https://github.com/citation-style-language/schema/raw/master/csl-citation.json"} </w:instrText>
      </w:r>
      <w:r w:rsidR="00A31888" w:rsidRPr="00A31888">
        <w:fldChar w:fldCharType="separate"/>
      </w:r>
      <w:r w:rsidR="004336A3" w:rsidRPr="004336A3">
        <w:rPr>
          <w:rFonts w:ascii="Calibri" w:hAnsi="Calibri" w:cs="Calibri"/>
          <w:szCs w:val="24"/>
          <w:vertAlign w:val="superscript"/>
        </w:rPr>
        <w:t>68–70</w:t>
      </w:r>
      <w:r w:rsidR="00A31888" w:rsidRPr="00A31888">
        <w:fldChar w:fldCharType="end"/>
      </w:r>
      <w:r w:rsidR="00FF181E">
        <w:t>.</w:t>
      </w:r>
    </w:p>
    <w:p w14:paraId="43D61BD2" w14:textId="77777777" w:rsidR="00FF181E" w:rsidRDefault="00FF181E" w:rsidP="00D41F8C">
      <w:pPr>
        <w:spacing w:after="0" w:line="324" w:lineRule="auto"/>
        <w:jc w:val="both"/>
      </w:pPr>
    </w:p>
    <w:p w14:paraId="0CA50C6F" w14:textId="176662B0" w:rsidR="00C21DA6" w:rsidRDefault="00C21DA6" w:rsidP="00C21DA6">
      <w:pPr>
        <w:spacing w:after="0" w:line="324" w:lineRule="auto"/>
        <w:jc w:val="both"/>
      </w:pPr>
      <w:r w:rsidRPr="00A31888">
        <w:lastRenderedPageBreak/>
        <w:t>One important reason for these inconsistencies is that AOPs have been developed as “stand-alone” by different groups of scientists focusing on a specific AO and not as part of a larger network</w:t>
      </w:r>
      <w:r>
        <w:t xml:space="preserve">. </w:t>
      </w:r>
      <w:r w:rsidRPr="00A31888">
        <w:t xml:space="preserve">In the next paragraph, </w:t>
      </w:r>
      <w:r>
        <w:t xml:space="preserve">we propose further </w:t>
      </w:r>
      <w:r w:rsidRPr="00A31888">
        <w:t>modifications to harmonize the AOP network leading to permanent DNA damage</w:t>
      </w:r>
      <w:r>
        <w:t>,</w:t>
      </w:r>
      <w:r w:rsidRPr="00A31888">
        <w:t xml:space="preserve"> supported </w:t>
      </w:r>
      <w:r>
        <w:t>by</w:t>
      </w:r>
      <w:r w:rsidRPr="00A31888">
        <w:t xml:space="preserve"> evidence from relevant studies</w:t>
      </w:r>
      <w:r>
        <w:t xml:space="preserve"> and reviews</w:t>
      </w:r>
      <w:r w:rsidRPr="00A31888">
        <w:t xml:space="preserve">. </w:t>
      </w:r>
      <w:r>
        <w:t xml:space="preserve">Considering that efforts are ongoing at the level of </w:t>
      </w:r>
      <w:r w:rsidR="00FA0A1F">
        <w:t>HESI (</w:t>
      </w:r>
      <w:r w:rsidR="00FA0A1F" w:rsidRPr="00FA0A1F">
        <w:t>Health and Environmental Sciences Institute</w:t>
      </w:r>
      <w:r w:rsidR="00FA0A1F">
        <w:t xml:space="preserve">) - Genetic Toxicology Technical </w:t>
      </w:r>
      <w:r w:rsidR="00914948">
        <w:t>Committee (HESI-GTTC)</w:t>
      </w:r>
      <w:r>
        <w:t xml:space="preserve"> on the further development of the AOPs related to changes in the number of chromosomes, we will focus on the part of the AOP network leading to gene mutations and structural chromosome aberrations (Figure 2). </w:t>
      </w:r>
      <w:r w:rsidR="006923CB">
        <w:t>It is important to not</w:t>
      </w:r>
      <w:r w:rsidR="006541D0">
        <w:t>e</w:t>
      </w:r>
      <w:r w:rsidR="006923CB">
        <w:t xml:space="preserve"> that the following description of our refined AOP network leading to gene mutations and structural chromosome aberrations is not an AOP report n</w:t>
      </w:r>
      <w:r w:rsidR="006541D0">
        <w:t>or</w:t>
      </w:r>
      <w:r w:rsidR="006923CB">
        <w:t xml:space="preserve"> an evidence assessment. The manuscript compiles sufficient, but not all, information </w:t>
      </w:r>
      <w:r w:rsidR="006541D0">
        <w:t xml:space="preserve">to draft the network </w:t>
      </w:r>
      <w:r w:rsidR="006923CB">
        <w:t xml:space="preserve">leading to gene mutations and </w:t>
      </w:r>
      <w:r w:rsidR="00BC2D64">
        <w:t>structural chromosome aberrations. Thus</w:t>
      </w:r>
      <w:r w:rsidR="006541D0">
        <w:t>,</w:t>
      </w:r>
      <w:r w:rsidR="00BC2D64">
        <w:t xml:space="preserve"> it does not follow the principles of documentation provided in the AOP Developers Handbook</w:t>
      </w:r>
      <w:r w:rsidR="00BC2D64">
        <w:fldChar w:fldCharType="begin"/>
      </w:r>
      <w:r w:rsidR="00BC2D64">
        <w:instrText xml:space="preserve"> ADDIN ZOTERO_ITEM CSL_CITATION {"citationID":"gWYyNg7W","properties":{"formattedCitation":"\\super 48\\nosupersub{}","plainCitation":"48","noteIndex":0},"citationItems":[{"id":203,"uris":["http://zotero.org/users/11265134/items/YYZDPWHB"],"itemData":{"id":203,"type":"webpage","title":"O.N.E - USERS’ HANDBOOK SUPPLEMENT TO THE GUIDANCE DOCUMENT FOR DEVELOPING AND ASSESSING AOPs","URL":"https://one.oecd.org/official-document/ENV/JM/MONO(2016)12/en","accessed":{"date-parts":[["2023",10,30]]}}}],"schema":"https://github.com/citation-style-language/schema/raw/master/csl-citation.json"} </w:instrText>
      </w:r>
      <w:r w:rsidR="00BC2D64">
        <w:fldChar w:fldCharType="separate"/>
      </w:r>
      <w:r w:rsidR="00BC2D64" w:rsidRPr="00BC2D64">
        <w:rPr>
          <w:rFonts w:ascii="Calibri" w:hAnsi="Calibri" w:cs="Calibri"/>
          <w:szCs w:val="24"/>
          <w:vertAlign w:val="superscript"/>
        </w:rPr>
        <w:t>48</w:t>
      </w:r>
      <w:r w:rsidR="00BC2D64">
        <w:fldChar w:fldCharType="end"/>
      </w:r>
      <w:r w:rsidR="00BC2D64">
        <w:t xml:space="preserve"> to generate </w:t>
      </w:r>
      <w:r w:rsidR="006541D0">
        <w:t xml:space="preserve">individual </w:t>
      </w:r>
      <w:r w:rsidR="00BC2D64">
        <w:t>AOPs on the AOP-</w:t>
      </w:r>
      <w:r w:rsidR="00BC2D64">
        <w:lastRenderedPageBreak/>
        <w:t xml:space="preserve">wiki. </w:t>
      </w:r>
      <w:r w:rsidR="006541D0">
        <w:t>Further characterization of certain KEs and KERs in the network using a systematic approach will thus still be needed in the</w:t>
      </w:r>
      <w:r w:rsidR="00BC2D64">
        <w:t xml:space="preserve"> future. </w:t>
      </w:r>
      <w:r w:rsidR="006541D0">
        <w:t>Currently</w:t>
      </w:r>
      <w:r w:rsidR="00BC2D64">
        <w:t xml:space="preserve">, </w:t>
      </w:r>
      <w:r w:rsidR="006541D0">
        <w:t>such a systematic approach is being designed and applied to characterize KEs and KERs in the</w:t>
      </w:r>
      <w:r w:rsidR="00BC2D64">
        <w:t xml:space="preserve"> AOP linking the formation of bulky DNA adducts and the increase in gene mutations and structural chromosome aberrations. </w:t>
      </w:r>
    </w:p>
    <w:p w14:paraId="1108C832" w14:textId="77777777" w:rsidR="00D87C85" w:rsidRDefault="00D87C85" w:rsidP="009171E3">
      <w:pPr>
        <w:spacing w:after="0" w:line="324" w:lineRule="auto"/>
        <w:jc w:val="both"/>
      </w:pPr>
    </w:p>
    <w:p w14:paraId="6C16A81E" w14:textId="1DC3F259" w:rsidR="009171E3" w:rsidRPr="002A112A" w:rsidRDefault="00A4089D" w:rsidP="009171E3">
      <w:pPr>
        <w:spacing w:after="0" w:line="324" w:lineRule="auto"/>
        <w:jc w:val="both"/>
        <w:rPr>
          <w:b/>
          <w:i/>
        </w:rPr>
      </w:pPr>
      <w:r>
        <w:rPr>
          <w:b/>
          <w:i/>
        </w:rPr>
        <w:t>R</w:t>
      </w:r>
      <w:r w:rsidR="009171E3" w:rsidRPr="002A112A">
        <w:rPr>
          <w:b/>
          <w:i/>
        </w:rPr>
        <w:t>efining the key events</w:t>
      </w:r>
      <w:r w:rsidR="009171E3">
        <w:rPr>
          <w:b/>
          <w:i/>
        </w:rPr>
        <w:t xml:space="preserve"> (KEs)</w:t>
      </w:r>
      <w:r w:rsidR="009171E3" w:rsidRPr="002A112A">
        <w:rPr>
          <w:b/>
          <w:i/>
        </w:rPr>
        <w:t xml:space="preserve"> linking </w:t>
      </w:r>
      <w:r>
        <w:rPr>
          <w:b/>
          <w:i/>
        </w:rPr>
        <w:t xml:space="preserve">the </w:t>
      </w:r>
      <w:r w:rsidR="009171E3" w:rsidRPr="002A112A">
        <w:rPr>
          <w:b/>
          <w:i/>
        </w:rPr>
        <w:t xml:space="preserve">MIEs </w:t>
      </w:r>
      <w:r>
        <w:rPr>
          <w:b/>
          <w:i/>
        </w:rPr>
        <w:t xml:space="preserve">to the </w:t>
      </w:r>
      <w:r w:rsidR="00471656">
        <w:rPr>
          <w:b/>
          <w:i/>
        </w:rPr>
        <w:t>genotoxic AOs</w:t>
      </w:r>
    </w:p>
    <w:p w14:paraId="28F590CB" w14:textId="462762E7" w:rsidR="00C21DA6" w:rsidRDefault="00C21DA6" w:rsidP="00C21DA6">
      <w:pPr>
        <w:spacing w:after="0" w:line="324" w:lineRule="auto"/>
        <w:jc w:val="both"/>
      </w:pPr>
      <w:r>
        <w:t xml:space="preserve">In the first draft of our network, seven MIE leading to mutagenicity and/or clastogenicity were included. To complete and harmonize our network, the MIEs were rearranged. As a result, the network includes now ten MIEs: </w:t>
      </w:r>
    </w:p>
    <w:p w14:paraId="2617A204" w14:textId="1A78FD87" w:rsidR="00D0503C" w:rsidRDefault="00D0503C" w:rsidP="00F54499">
      <w:pPr>
        <w:spacing w:after="0" w:line="324" w:lineRule="auto"/>
        <w:jc w:val="both"/>
      </w:pPr>
    </w:p>
    <w:p w14:paraId="6D7134B4" w14:textId="1273038A" w:rsidR="001C0E16" w:rsidRDefault="005B0CAE" w:rsidP="001C0E16">
      <w:pPr>
        <w:pStyle w:val="Paragraphedeliste"/>
        <w:numPr>
          <w:ilvl w:val="0"/>
          <w:numId w:val="13"/>
        </w:numPr>
        <w:spacing w:after="0" w:line="324" w:lineRule="auto"/>
        <w:jc w:val="both"/>
      </w:pPr>
      <w:r w:rsidRPr="005B0CAE">
        <w:rPr>
          <w:b/>
          <w:bCs/>
        </w:rPr>
        <w:t>Alkylation of DNA</w:t>
      </w:r>
      <w:r>
        <w:t xml:space="preserve"> (</w:t>
      </w:r>
      <w:hyperlink r:id="rId17" w:history="1">
        <w:r w:rsidRPr="00696753">
          <w:rPr>
            <w:rStyle w:val="Lienhypertexte"/>
          </w:rPr>
          <w:t>https://aopwiki.org/events/97</w:t>
        </w:r>
      </w:hyperlink>
      <w:r>
        <w:t xml:space="preserve">, Figure 2 – MIE 1): </w:t>
      </w:r>
      <w:r w:rsidRPr="007D79F3">
        <w:rPr>
          <w:rStyle w:val="lev"/>
          <w:b w:val="0"/>
          <w:bCs w:val="0"/>
        </w:rPr>
        <w:t>DNA alkylation</w:t>
      </w:r>
      <w:r w:rsidRPr="0004439D">
        <w:t xml:space="preserve"> is a chemical modification where </w:t>
      </w:r>
      <w:r w:rsidRPr="007D79F3">
        <w:rPr>
          <w:rStyle w:val="lev"/>
          <w:b w:val="0"/>
          <w:bCs w:val="0"/>
        </w:rPr>
        <w:t>alkyl groups</w:t>
      </w:r>
      <w:r w:rsidRPr="0004439D">
        <w:t xml:space="preserve"> (methyl</w:t>
      </w:r>
      <w:r>
        <w:t xml:space="preserve"> (Me)</w:t>
      </w:r>
      <w:r w:rsidRPr="0004439D">
        <w:t>, ethyl</w:t>
      </w:r>
      <w:r>
        <w:t xml:space="preserve"> (Et)</w:t>
      </w:r>
      <w:r w:rsidRPr="0004439D">
        <w:t xml:space="preserve">, or other small carbon-based groups) </w:t>
      </w:r>
      <w:r w:rsidRPr="0004439D">
        <w:lastRenderedPageBreak/>
        <w:t xml:space="preserve">attach to </w:t>
      </w:r>
      <w:r>
        <w:t>various</w:t>
      </w:r>
      <w:r w:rsidRPr="0004439D">
        <w:t xml:space="preserve"> sites on </w:t>
      </w:r>
      <w:r w:rsidRPr="007D79F3">
        <w:rPr>
          <w:rStyle w:val="lev"/>
          <w:b w:val="0"/>
          <w:bCs w:val="0"/>
        </w:rPr>
        <w:t>DNA bases</w:t>
      </w:r>
      <w:r>
        <w:rPr>
          <w:rStyle w:val="lev"/>
          <w:b w:val="0"/>
          <w:bCs w:val="0"/>
        </w:rPr>
        <w:fldChar w:fldCharType="begin"/>
      </w:r>
      <w:r w:rsidR="004336A3">
        <w:rPr>
          <w:rStyle w:val="lev"/>
          <w:b w:val="0"/>
          <w:bCs w:val="0"/>
        </w:rPr>
        <w:instrText xml:space="preserve"> ADDIN ZOTERO_ITEM CSL_CITATION {"citationID":"tGv8vt98","properties":{"formattedCitation":"\\super 71\\nosupersub{}","plainCitation":"71","noteIndex":0},"citationItems":[{"id":489,"uris":["http://zotero.org/users/11265134/items/W7ILJJEX"],"itemData":{"id":489,"type":"article-journal","abstract":"Alkylating agents, because of their ability to react directly with DNA either in vitro or in vivo, or following metabolic activation as in the case of the dialkylnitrosamines, have been used extensively in studying the mechanisms of mutagenicity and carcinogenicity. Their occurrence is widespread in the environment and human exposure from natural and pollutant sources is universal. Since most of these chemicals show varying degrees of both carcinogenicity and mutagenicity, and exhibit compound-specific binding patterns, they provide an excellent model for studying molecular dosimetry. Molecular dosimetry defines dose as the number of adducts bound per macromolecule and relates the binding of these adducts to the human mutagenic or carcinogenic response. This review complies DNA alkylation data for both methylating and ethylating agents in a variety of systems and discusses the role these alkylation products plays in molecular mutagenesis.","container-title":"Mutation Research","DOI":"10.1016/0027-5107(90)90173-2","ISSN":"0027-5107","issue":"1","journalAbbreviation":"Mutat Res","language":"eng","note":"PMID: 2195323","page":"11-30","source":"PubMed","title":"Distribution of methyl and ethyl adducts following alkylation with monofunctional alkylating agents","volume":"231","author":[{"family":"Beranek","given":"D. T."}],"issued":{"date-parts":[["1990",7]]}}}],"schema":"https://github.com/citation-style-language/schema/raw/master/csl-citation.json"} </w:instrText>
      </w:r>
      <w:r>
        <w:rPr>
          <w:rStyle w:val="lev"/>
          <w:b w:val="0"/>
          <w:bCs w:val="0"/>
        </w:rPr>
        <w:fldChar w:fldCharType="separate"/>
      </w:r>
      <w:r w:rsidR="004336A3" w:rsidRPr="004336A3">
        <w:rPr>
          <w:rFonts w:ascii="Calibri" w:hAnsi="Calibri" w:cs="Calibri"/>
          <w:szCs w:val="24"/>
          <w:vertAlign w:val="superscript"/>
        </w:rPr>
        <w:t>71</w:t>
      </w:r>
      <w:r>
        <w:rPr>
          <w:rStyle w:val="lev"/>
          <w:b w:val="0"/>
          <w:bCs w:val="0"/>
        </w:rPr>
        <w:fldChar w:fldCharType="end"/>
      </w:r>
      <w:r w:rsidRPr="0004439D">
        <w:t>.</w:t>
      </w:r>
      <w:r>
        <w:t xml:space="preserve"> Alkylation of DNA results in modified bases </w:t>
      </w:r>
      <w:r w:rsidR="009A2324">
        <w:t>(</w:t>
      </w:r>
      <w:r w:rsidR="009E2ABA">
        <w:t xml:space="preserve">KE 11, </w:t>
      </w:r>
      <w:r w:rsidR="009A2324">
        <w:t>KE 1</w:t>
      </w:r>
      <w:r w:rsidR="009E2ABA">
        <w:t>4</w:t>
      </w:r>
      <w:r w:rsidR="009A2324">
        <w:t xml:space="preserve">) </w:t>
      </w:r>
      <w:r>
        <w:t>via first or second-order nucleophilic substitutions (S</w:t>
      </w:r>
      <w:r w:rsidRPr="00912E2F">
        <w:rPr>
          <w:vertAlign w:val="subscript"/>
        </w:rPr>
        <w:t>N</w:t>
      </w:r>
      <w:r>
        <w:t>1 or S</w:t>
      </w:r>
      <w:r w:rsidRPr="00912E2F">
        <w:rPr>
          <w:vertAlign w:val="subscript"/>
        </w:rPr>
        <w:t>N</w:t>
      </w:r>
      <w:r>
        <w:t>2 reactions) on O- and N-atoms of bases</w:t>
      </w:r>
      <w:r w:rsidR="004C1081">
        <w:t>.</w:t>
      </w:r>
      <w:r w:rsidR="004C1081" w:rsidRPr="004C1081">
        <w:t xml:space="preserve"> </w:t>
      </w:r>
      <w:r w:rsidR="004C1081">
        <w:t>O</w:t>
      </w:r>
      <w:r w:rsidR="004C1081" w:rsidRPr="00912E2F">
        <w:rPr>
          <w:vertAlign w:val="superscript"/>
        </w:rPr>
        <w:t>6</w:t>
      </w:r>
      <w:r w:rsidR="004C1081">
        <w:t>-alkylguanines (O</w:t>
      </w:r>
      <w:r w:rsidR="004C1081" w:rsidRPr="00912E2F">
        <w:rPr>
          <w:vertAlign w:val="superscript"/>
        </w:rPr>
        <w:t>6</w:t>
      </w:r>
      <w:r w:rsidR="004C1081">
        <w:t>-MeG and O</w:t>
      </w:r>
      <w:r w:rsidR="004C1081" w:rsidRPr="00912E2F">
        <w:rPr>
          <w:vertAlign w:val="superscript"/>
        </w:rPr>
        <w:t>6</w:t>
      </w:r>
      <w:r w:rsidR="004C1081">
        <w:t>-EtG) are the most critical type of DNA alkylation</w:t>
      </w:r>
      <w:r>
        <w:fldChar w:fldCharType="begin"/>
      </w:r>
      <w:r w:rsidR="004336A3">
        <w:instrText xml:space="preserve"> ADDIN ZOTERO_ITEM CSL_CITATION {"citationID":"vaCPJzfa","properties":{"formattedCitation":"\\super 72\\nosupersub{}","plainCitation":"72","noteIndex":0},"citationItems":[{"id":297,"uris":["http://zotero.org/users/11265134/items/VH7IWA7E"],"itemData":{"id":297,"type":"article-journal","abstract":"Nitrosamines occur widespread in food, drinking water, cosmetics, as well as tobacco smoke and can arise endogenously. More recently, nitrosamines have been detected as impurities in various drugs. This is of particular concern as nitrosamines are alkylating agents that are genotoxic and carcinogenic. We first summarize the current knowledge on the different sources and chemical nature of alkylating agents with a focus on relevant nitrosamines. Subsequently, we present the major DNA alkylation adducts induced by nitrosamines upon their metabolic activation by CYP450 monooxygenases. We then describe the DNA repair pathways engaged by the various DNA alkylation adducts, which include base excision repair, direct damage reversal by MGMT and ALKBH, as well as nucleotide excision repair. Their roles in the protection against the genotoxic and carcinogenic effects of nitrosamines are highlighted. Finally, we address DNA translesion synthesis as a DNA damage tolerance mechanism relevant to DNA alkylation adducts.","container-title":"International Journal of Molecular Sciences","DOI":"10.3390/ijms24054684","ISSN":"1422-0067","issue":"5","language":"en","license":"http://creativecommons.org/licenses/by/3.0/","note":"number: 5\npublisher: Multidisciplinary Digital Publishing Institute","page":"4684","source":"www.mdpi.com","title":"DNA Alkylation Damage by Nitrosamines and Relevant DNA Repair Pathways","volume":"24","author":[{"family":"Fahrer","given":"Jörg"},{"family":"Christmann","given":"Markus"}],"issued":{"date-parts":[["2023",1]]}}}],"schema":"https://github.com/citation-style-language/schema/raw/master/csl-citation.json"} </w:instrText>
      </w:r>
      <w:r>
        <w:fldChar w:fldCharType="separate"/>
      </w:r>
      <w:r w:rsidR="004336A3" w:rsidRPr="004336A3">
        <w:rPr>
          <w:rFonts w:ascii="Calibri" w:hAnsi="Calibri" w:cs="Calibri"/>
          <w:szCs w:val="24"/>
          <w:vertAlign w:val="superscript"/>
        </w:rPr>
        <w:t>72</w:t>
      </w:r>
      <w:r>
        <w:fldChar w:fldCharType="end"/>
      </w:r>
      <w:r>
        <w:t xml:space="preserve">. </w:t>
      </w:r>
    </w:p>
    <w:p w14:paraId="05DB1578" w14:textId="208321F0" w:rsidR="001C0E16" w:rsidRDefault="005B0CAE" w:rsidP="001C0E16">
      <w:pPr>
        <w:pStyle w:val="Paragraphedeliste"/>
        <w:numPr>
          <w:ilvl w:val="0"/>
          <w:numId w:val="13"/>
        </w:numPr>
        <w:spacing w:after="0" w:line="324" w:lineRule="auto"/>
        <w:jc w:val="both"/>
      </w:pPr>
      <w:r w:rsidRPr="001C0E16">
        <w:rPr>
          <w:b/>
          <w:bCs/>
        </w:rPr>
        <w:t>Increase, R</w:t>
      </w:r>
      <w:r w:rsidR="00907F82" w:rsidRPr="001C0E16">
        <w:rPr>
          <w:b/>
          <w:bCs/>
        </w:rPr>
        <w:t xml:space="preserve">eactive Oxygen and Nitrogen Species </w:t>
      </w:r>
      <w:r w:rsidR="00907F82">
        <w:t>(</w:t>
      </w:r>
      <w:hyperlink r:id="rId18" w:history="1">
        <w:r w:rsidR="00907F82" w:rsidRPr="00696753">
          <w:rPr>
            <w:rStyle w:val="Lienhypertexte"/>
          </w:rPr>
          <w:t>https://aopwiki.org/events/1632</w:t>
        </w:r>
      </w:hyperlink>
      <w:r w:rsidR="00907F82">
        <w:t xml:space="preserve">, Figure 2 – MIE 2): </w:t>
      </w:r>
      <w:r w:rsidR="00CA4F91" w:rsidRPr="00CA4F91">
        <w:t>Reactive oxygen and nitrogen species (RONS) are highly reactive oxygen- and nitrogen-based molecules that often contain or generate free radicals.</w:t>
      </w:r>
      <w:r w:rsidR="00CA4F91">
        <w:t xml:space="preserve"> </w:t>
      </w:r>
      <w:r w:rsidR="00907F82">
        <w:t>RONS can provoke oxidation reactions with DNA bases</w:t>
      </w:r>
      <w:r w:rsidR="009A2324">
        <w:t xml:space="preserve"> (KE 11, KE 1</w:t>
      </w:r>
      <w:r w:rsidR="00BF1810">
        <w:t>4</w:t>
      </w:r>
      <w:r w:rsidR="009A2324">
        <w:t>),</w:t>
      </w:r>
      <w:r w:rsidR="00907F82">
        <w:t xml:space="preserve"> the most abundant lesion being the formation of 8-oxo-guanine (8-oxoG)</w:t>
      </w:r>
      <w:r w:rsidR="00907F82">
        <w:fldChar w:fldCharType="begin"/>
      </w:r>
      <w:r w:rsidR="004336A3">
        <w:instrText xml:space="preserve"> ADDIN ZOTERO_ITEM CSL_CITATION {"citationID":"oCxNrZ80","properties":{"formattedCitation":"\\super 73\\uc0\\u8211{}75\\nosupersub{}","plainCitation":"73–75","noteIndex":0},"citationItems":[{"id":326,"uris":["http://zotero.org/users/11265134/items/QB3FKVEL"],"itemData":{"id":326,"type":"article-journal","abstract":"8-hydroxy-2'-deoxyguanosine (8-OH-dG) was first reported in 1984 as a major form of oxidative DNA damage product by heated sugar, Fenton-type reagents and X-irradiation in vitro. 8-OH-dG has been detected in cellular DNA using an HPLC-ECD method in many laboratories. Analyses of 8-OH-dG in animal organ DNA alter the administration of oxygen radical-forming chemicals will be useful for assessments of their carcinogenic risk. Its analysis in human leucocyte DNA and in urine is a new approach to the assessment of an individual's cancer risk due to oxidative stress. The increase of the 8-OH-dG level in the cellular DNA, detected by HPLC-ECD method, was supported by its immunochemical detection and its enhanced repair activity. The validity of the general use of 8-OH-dG as a marker of cellular oxidative stress is discussed.","archive":"Scopus","container-title":"Mutation Research - Reviews in Mutation Research","DOI":"10.1016/S1383-5742(97)00035-5","issue":"3","page":"147-163","source":"Scopus","title":"Analysis of a form of oxidative DNA damage, 8-hydroxy-2'-deoxyguanosine, as a marker of cellular oxidative stress during carcinogenesis","volume":"387","author":[{"family":"Kasai","given":"H."}],"issued":{"date-parts":[["1997"]]}},"label":"page"},{"id":329,"uris":["http://zotero.org/users/11265134/items/WQ8H87RA"],"itemData":{"id":329,"type":"article-journal","abstract":"8-Hydroxydeoxyguanosine (8-OH-dG) was detected in DNA isolated from HeLa cells after the cells in tissue culture had been irradiated with X-rays and from the liver of mice after the whole animals had been irradiated with γ-rays. The amounts of 8-OH-dG in DNA after in vivo irradiation were three orders of magnitude lower than those after in vitro irradiation (0.008–0.032 8-OH-dG residue/105 dG/krad). The 8-OH-dG produced in liver DNA by irradiation of mice decreased with time, suggesting the presence of a repair en-zyme(s) acting on 8-OH-dG in mouse liver. Treatment of Salmonella typhimurium cells with hydrogen peroxide also caused increase in the 8-OH-dG content. These results indicate that 8-OH-dG is formed in vivo in cellular DNA on treatment with various oxygen radical-producing agents and that it is repairable.","container-title":"Carcinogenesis","DOI":"10.1093/carcin/7.11.1849","ISSN":"0143-3334","issue":"11","journalAbbreviation":"Carcinogenesis","page":"1849-1851","source":"Silverchair","title":"Formation of 8-hydroxyguanine moiety in cellular DNA by agents producing oxygen radicals and evidence for its repair","volume":"7","author":[{"family":"Kasai","given":"H."},{"family":"Crain","given":"P.F."},{"family":"Kuchino","given":"Y."},{"family":"Nishimura","given":"S."},{"family":"Ootsuyama","given":"A."},{"family":"Tanooka","given":"H."}],"issued":{"date-parts":[["1986",11,1]]}},"label":"act"},{"id":563,"uris":["http://zotero.org/users/11265134/items/6DUMBTK7"],"itemData":{"id":563,"type":"article-journal","abstract":"Reactive oxygen species are a constant threat to DNA as they modify bases with the risk of disrupting genome function, inducing genome instability and mutation. Such risks are due to primary oxidative DNA damage and also mediated by the repair process. This leads to a delicate decision process for the cell as to whether to repair a damaged base at a specific genomic location or better leave it unrepaired. Persistent DNA damage can disrupt genome function, but on the other hand it can also contribute to gene regulation by serving as an epigenetic mark. When such processes are out of balance, pathophysiological conditions could get accelerated, because oxidative DNA damage and resulting mutagenic processes are tightly linked to ageing, inflammation, and the development of multiple age-related diseases, such as cancer and neurodegenerative disorders. Recent technological advancements and novel data analysis strategies have revealed that oxidative DNA damage, its repair, and related mutations distribute heterogeneously over the genome at multiple levels of resolution. The involved mechanisms act in the context of genome sequence, in interaction with genome function and chromatin. This review addresses what we currently know about the genome distribution of oxidative DNA damage, repair intermediates, and mutations. It will specifically focus on the various methodologies to measure oxidative DNA damage distribution and discuss the mechanistic conclusions derived from the different approaches. It will also address the consequences of oxidative DNA damage, specifically how it gives rise to mutations, genome instability, and how it can act as an epigenetic mark.","container-title":"Computational and Structural Biotechnology Journal","DOI":"10.1016/j.csbj.2019.12.013","ISSN":"2001-0370","journalAbbreviation":"Computational and Structural Biotechnology Journal","page":"207-219","source":"ScienceDirect","title":"The genomics of oxidative DNA damage, repair, and resulting mutagenesis","volume":"18","author":[{"family":"Poetsch","given":"Anna R."}],"issued":{"date-parts":[["2020",1,1]]}}}],"schema":"https://github.com/citation-style-language/schema/raw/master/csl-citation.json"} </w:instrText>
      </w:r>
      <w:r w:rsidR="00907F82">
        <w:fldChar w:fldCharType="separate"/>
      </w:r>
      <w:r w:rsidR="004336A3" w:rsidRPr="004336A3">
        <w:rPr>
          <w:rFonts w:ascii="Calibri" w:hAnsi="Calibri" w:cs="Calibri"/>
          <w:szCs w:val="24"/>
          <w:vertAlign w:val="superscript"/>
        </w:rPr>
        <w:t>73–75</w:t>
      </w:r>
      <w:r w:rsidR="00907F82">
        <w:fldChar w:fldCharType="end"/>
      </w:r>
      <w:r w:rsidR="00907F82">
        <w:t>.</w:t>
      </w:r>
      <w:r w:rsidR="009A2324">
        <w:t xml:space="preserve"> </w:t>
      </w:r>
      <w:r w:rsidR="00D80BB8">
        <w:t xml:space="preserve"> RONS are the result of upstream KEs triggered by the compound and ,therefore, DNA damage induced by RONS is often referred to as secondary genotoxicity</w:t>
      </w:r>
      <w:r w:rsidR="00907F82">
        <w:fldChar w:fldCharType="begin"/>
      </w:r>
      <w:r w:rsidR="004336A3">
        <w:instrText xml:space="preserve"> ADDIN ZOTERO_ITEM CSL_CITATION {"citationID":"reh7K6Ho","properties":{"formattedCitation":"\\super 76\\nosupersub{}","plainCitation":"76","noteIndex":0},"citationItems":[{"id":91,"uris":["http://zotero.org/users/11265134/items/HB77UAZU"],"itemData":{"id":91,"type":"article-journal","abstract":"Poorly soluble particles such as TiO2, carbon black, and diesel exhaust particles have been evaluated for their genotoxity using both in vitro and in vivo assays, since inhalation of these compounds by rats at high concentrations has been found to lead to tumor formation. Two principle modes of genotoxic action can be considered for particles, referred to as primary and secondary genotoxicity. Primary genotoxicity is defined as genetic damage elicited by particles in the absence of pulmonary inflammation, whereas secondary genotoxicity implies a pathway of genetic damage resulting from the oxidative DNA attack by reactive oxygen/nitrogen species (ROS/RNS), generated during particle-elicited inflammation. Conceptually, primary genotoxicity might operate via various mechanisms, such as the actions of ROS (e.g., as generated from reactive particle surfaces), or DNA–adduct formation by reactive metabolites of particle-associated organic compounds (e.g., polycyclic aromatic hydrocarbons). Currently available literature data, however, merely indicate that the tumorigenesis of poorly soluble particles involves a mechanism of secondary genotoxicity. However, further research is urgently required, since (1) causality between pulmonary inflammation and genotoxicity has not yet been established, and (2) effects of inflammation on fundamental DNA damage responses that orchestrate mutagenesis and carcinogenic outcome,that is, cell cycle arrest, DNA repair, proliferation, and apoptosis, are currently poorly understood.","container-title":"Inhalation Toxicology","DOI":"10.1080/08958370701496202","ISSN":"0895-8378","issue":"sup1","note":"publisher: Taylor &amp; Francis\n_eprint: https://doi.org/10.1080/08958370701496202\nPMID: 17886067","page":"189-198","source":"Taylor and Francis+NEJM","title":"Genotoxicity of Poorly Soluble Particles","volume":"19","author":[{"family":"Schins","given":"Roel P. F."},{"family":"Knaapen","given":"Ad M."}],"issued":{"date-parts":[["2007",1,1]]}}}],"schema":"https://github.com/citation-style-language/schema/raw/master/csl-citation.json"} </w:instrText>
      </w:r>
      <w:r w:rsidR="00907F82">
        <w:fldChar w:fldCharType="separate"/>
      </w:r>
      <w:r w:rsidR="004336A3" w:rsidRPr="004336A3">
        <w:rPr>
          <w:rFonts w:ascii="Calibri" w:hAnsi="Calibri" w:cs="Calibri"/>
          <w:szCs w:val="24"/>
          <w:vertAlign w:val="superscript"/>
        </w:rPr>
        <w:t>76</w:t>
      </w:r>
      <w:r w:rsidR="00907F82">
        <w:fldChar w:fldCharType="end"/>
      </w:r>
      <w:r w:rsidR="00907F82" w:rsidRPr="00957DF8">
        <w:t>.</w:t>
      </w:r>
      <w:r w:rsidR="001C0E16">
        <w:t xml:space="preserve"> </w:t>
      </w:r>
    </w:p>
    <w:p w14:paraId="6083EDF9" w14:textId="40D33F83" w:rsidR="00A32DB1" w:rsidRDefault="00A32DB1" w:rsidP="001C0E16">
      <w:pPr>
        <w:pStyle w:val="Paragraphedeliste"/>
        <w:spacing w:after="0" w:line="324" w:lineRule="auto"/>
        <w:ind w:left="1440"/>
        <w:jc w:val="both"/>
      </w:pPr>
    </w:p>
    <w:p w14:paraId="1B3B13BB" w14:textId="50BCED4A" w:rsidR="00A32DB1" w:rsidRDefault="00A32DB1" w:rsidP="009A2324">
      <w:pPr>
        <w:pStyle w:val="Paragraphedeliste"/>
        <w:numPr>
          <w:ilvl w:val="0"/>
          <w:numId w:val="13"/>
        </w:numPr>
        <w:spacing w:after="0" w:line="324" w:lineRule="auto"/>
        <w:jc w:val="both"/>
      </w:pPr>
      <w:r w:rsidRPr="00A32DB1">
        <w:rPr>
          <w:b/>
          <w:bCs/>
        </w:rPr>
        <w:t xml:space="preserve">Formation, DNA Intrastrand crosslinks </w:t>
      </w:r>
      <w:r>
        <w:t>(Figure 2 – MIE 3)</w:t>
      </w:r>
      <w:r w:rsidRPr="00A32DB1">
        <w:rPr>
          <w:b/>
          <w:bCs/>
        </w:rPr>
        <w:t>:</w:t>
      </w:r>
      <w:r>
        <w:t xml:space="preserve"> </w:t>
      </w:r>
      <w:r w:rsidRPr="00A32DB1">
        <w:t>DNA intrastrand crosslinks are DNA lesions where covalent bonds form between two adjacent bases on the</w:t>
      </w:r>
      <w:r>
        <w:t xml:space="preserve"> same strand of the DNA. </w:t>
      </w:r>
      <w:r>
        <w:lastRenderedPageBreak/>
        <w:t>They are commonly caused by UV radiation or exposure to certain chemical agents such as cisplatin</w:t>
      </w:r>
      <w:r>
        <w:fldChar w:fldCharType="begin"/>
      </w:r>
      <w:r w:rsidR="004336A3">
        <w:instrText xml:space="preserve"> ADDIN ZOTERO_ITEM CSL_CITATION {"citationID":"RzmJkGho","properties":{"formattedCitation":"\\super 77\\nosupersub{}","plainCitation":"77","noteIndex":0},"citationItems":[{"id":452,"uris":["http://zotero.org/users/11265134/items/8EW7BZ74"],"itemData":{"id":452,"type":"article-journal","abstract":"We previously reported that transcription-coupled repair (TCR)-deficient human fibroblasts are extremely sensitive to UV-induced apoptosis and this sensitivity correlated with the induction of the p53 tumour suppressor. However, we have also found that p53 can be protective against UV-induced apoptosis. Thus, prior to this study, it was not clear whether the induction of p53 in TCR-deficient fibroblasts contributed to their death. To address this issue, we have expressed human papillomavirus E6 (HPV-E6) in primary fibroblasts derived from patients affected with xeroderma pigmentosum (complementation groups A, B and C) and Cockayne syndrome (complementation group B). We found that TCR-deficient (XP-A, XP-B and CS-B) fibroblasts were more sensitive than TCR-proficient cells (XP-C and normal) to both UV light and cisplatin treatment and this increase in sensitivity was not p53 dependent. Importantly, HPV-E6 expression increased the sensitivity of TCR-proficient normal and XP-C fibroblasts to UV- and cisplatin-induced apoptosis. This increase in sensitivity correlated with a decrease in the capacity of HPV-E6 expressing cells to recover mRNA synthesis following UV-irradiation. Therefore, we propose that p53 protects against UV- and cisplatin-induced apoptosis in a TCR-dependent manner and that p53 does not contribute strongly to the induction of apoptosis in TCR-deficient fibroblasts.","container-title":"Oncogene","DOI":"10.1038/sj.onc.1204901","ISSN":"1476-5594","issue":"46","language":"en","license":"2001 Macmillan Publishers Limited","note":"publisher: Nature Publishing Group","page":"6805-6808","source":"www.nature.com","title":"P53 plays a protective role against UV- and cisplatin-induced apoptosis in transcription-coupled repair proficient fibroblasts","volume":"20","author":[{"family":"McKay","given":"Bruce C."},{"family":"Becerril","given":"Cecilia"},{"family":"Ljungman","given":"Mats"}],"issued":{"date-parts":[["2001",10]]}}}],"schema":"https://github.com/citation-style-language/schema/raw/master/csl-citation.json"} </w:instrText>
      </w:r>
      <w:r>
        <w:fldChar w:fldCharType="separate"/>
      </w:r>
      <w:r w:rsidR="004336A3" w:rsidRPr="004336A3">
        <w:rPr>
          <w:rFonts w:ascii="Calibri" w:hAnsi="Calibri" w:cs="Calibri"/>
          <w:szCs w:val="24"/>
          <w:vertAlign w:val="superscript"/>
        </w:rPr>
        <w:t>77</w:t>
      </w:r>
      <w:r>
        <w:fldChar w:fldCharType="end"/>
      </w:r>
      <w:r>
        <w:t>. Cyclobutane Pyrimidine Dimers (CPDs)</w:t>
      </w:r>
      <w:r w:rsidR="009A2324">
        <w:t xml:space="preserve"> are i</w:t>
      </w:r>
      <w:r>
        <w:t xml:space="preserve">nduced by UV radiation, </w:t>
      </w:r>
      <w:r w:rsidR="009A2324">
        <w:t>and</w:t>
      </w:r>
      <w:r>
        <w:t xml:space="preserve"> result from covalent bonding between the C5 and C6 atoms of two adjacent pyrimidines</w:t>
      </w:r>
      <w:r>
        <w:fldChar w:fldCharType="begin"/>
      </w:r>
      <w:r w:rsidR="004336A3">
        <w:instrText xml:space="preserve"> ADDIN ZOTERO_ITEM CSL_CITATION {"citationID":"VxfpK7ej","properties":{"formattedCitation":"\\super 78\\nosupersub{}","plainCitation":"78","noteIndex":0},"citationItems":[{"id":458,"uris":["http://zotero.org/users/11265134/items/CTSDY9WN"],"itemData":{"id":458,"type":"article-journal","abstract":"Solar UV radiation is the most important environmental factor involved in the pathogenesis of skin cancers. The well known genotoxic properties of UVB radiation (290–320 nm) mostly involve bipyrimidine DNA photoproducts. In contrast, the contribution of more-abundant UVA radiation (320–400 nm) that are not directly absorbed by DNA remains poorly understood in skin. Using a highly accurate and quantitative assay based on HPLC coupled with tandem mass spectrometry, we determined the type and the yield of formation of DNA damage in whole human skin exposed to UVB or UVA. Cyclobutane pyrimidine dimers, a typical UVB-induced DNA damage, were found to be produced in significant yield also in whole human skin exposed to UVA through a mechanism different from that triggered by UVB. Moreover, the latter class of photoproducts is produced in a larger amount than 8-oxo-7,8-dihydro-2′-deoxyguanosine, the most common oxidatively generated lesion, in human skin. Strikingly, the rate of removal of UVA-generated cyclobutane pyrimidine dimers was lower than those produced by UVB irradiation of skin. Finally, we compared the formation yields of DNA damage in whole skin with those determined in primary cultures of keratinocytes isolated from the same donors. We thus showed that human skin efficiently protects against UVB-induced DNA lesions, whereas very weak protection is afforded against UVA. These observations emphasize the likely role played by the UVA-induced DNA damage in skin carcinogenesis and should have consequences for photoprotection strategies.","container-title":"Proceedings of the National Academy of Sciences","DOI":"10.1073/pnas.0604213103","issue":"37","note":"publisher: Proceedings of the National Academy of Sciences","page":"13765-13770","source":"pnas.org (Atypon)","title":"Cyclobutane pyrimidine dimers are predominant DNA lesions in whole human skin exposed to UVA radiation","volume":"103","author":[{"family":"Mouret","given":"Stéphane"},{"family":"Baudouin","given":"Caroline"},{"family":"Charveron","given":"Marie"},{"family":"Favier","given":"Alain"},{"family":"Cadet","given":"Jean"},{"family":"Douki","given":"Thierry"}],"issued":{"date-parts":[["2006",9,12]]}}}],"schema":"https://github.com/citation-style-language/schema/raw/master/csl-citation.json"} </w:instrText>
      </w:r>
      <w:r>
        <w:fldChar w:fldCharType="separate"/>
      </w:r>
      <w:r w:rsidR="004336A3" w:rsidRPr="004336A3">
        <w:rPr>
          <w:rFonts w:ascii="Calibri" w:hAnsi="Calibri" w:cs="Calibri"/>
          <w:szCs w:val="24"/>
          <w:vertAlign w:val="superscript"/>
        </w:rPr>
        <w:t>78</w:t>
      </w:r>
      <w:r>
        <w:fldChar w:fldCharType="end"/>
      </w:r>
      <w:r>
        <w:t>.</w:t>
      </w:r>
      <w:r w:rsidR="009A2324">
        <w:t xml:space="preserve"> </w:t>
      </w:r>
      <w:r>
        <w:t>6-4 Photoproducts</w:t>
      </w:r>
      <w:r w:rsidR="009A2324">
        <w:t xml:space="preserve"> aire </w:t>
      </w:r>
      <w:r>
        <w:t>UV-induced lesion where covalent bonds form between the C6 atom of one pyrimidine and the C4 atom of an adjacent pyrimidine, causing significant distortion of the DNA helix</w:t>
      </w:r>
      <w:r>
        <w:fldChar w:fldCharType="begin"/>
      </w:r>
      <w:r w:rsidR="004336A3">
        <w:instrText xml:space="preserve"> ADDIN ZOTERO_ITEM CSL_CITATION {"citationID":"WUINEkKP","properties":{"formattedCitation":"\\super 79\\nosupersub{}","plainCitation":"79","noteIndex":0},"citationItems":[{"id":460,"uris":["http://zotero.org/users/11265134/items/P4FD3A6I"],"itemData":{"id":460,"type":"article-journal","abstract":"The most prevalent human carcinogen is sunlight-associated ultraviolet (UV), a physiologic dose of which generates thousands of DNA lesions per cell, mostly of two types: cyclobutane pyrimidine dimers (CPDs) and 6-4 photoproducts (6-4PPs). It has not been possible, in living cells, to precisely characterize the respective contributions of these two lesion types to the signals that regulate cell cycle progression, DNA replication, and cell survival. Here we coupled multiparameter flow cytometry with lesion-specific photolyases that eliminate either CPDs or 6-4PPs and determined their respective contributions to DNA damage responses. Strikingly, only 6-4PP lesions activated the ATR-Chk1 DNA damage response pathway. Mechanistically, 6-4PPs, but not CPDs, impeded DNA replication across the genome as revealed by microfluidic-assisted replication track analysis. Furthermore, single-stranded DNA accumulated preferentially at 6-4PPs during DNA replication, indicating selective and prolonged replication blockage at 6-4PPs. These findings suggest that 6-4PPs, although eightfold fewer in number than CPDs, are the trigger for UV-induced DNA damage responses.","container-title":"Proceedings of the National Academy of Sciences","DOI":"10.1073/pnas.1917196117","issue":"23","note":"publisher: Proceedings of the National Academy of Sciences","page":"12806-12816","source":"pnas.org (Atypon)","title":"The 6-4 photoproduct is the trigger of UV-induced replication blockage and ATR activation","volume":"117","author":[{"family":"Hung","given":"Kai-Feng"},{"family":"Sidorova","given":"Julia M."},{"family":"Nghiem","given":"Paul"},{"family":"Kawasumi","given":"Masaoki"}],"issued":{"date-parts":[["2020",6,9]]}}}],"schema":"https://github.com/citation-style-language/schema/raw/master/csl-citation.json"} </w:instrText>
      </w:r>
      <w:r>
        <w:fldChar w:fldCharType="separate"/>
      </w:r>
      <w:r w:rsidR="004336A3" w:rsidRPr="004336A3">
        <w:rPr>
          <w:rFonts w:ascii="Calibri" w:hAnsi="Calibri" w:cs="Calibri"/>
          <w:szCs w:val="24"/>
          <w:vertAlign w:val="superscript"/>
        </w:rPr>
        <w:t>79</w:t>
      </w:r>
      <w:r>
        <w:fldChar w:fldCharType="end"/>
      </w:r>
      <w:r>
        <w:t>.</w:t>
      </w:r>
      <w:r w:rsidR="009A2324">
        <w:t xml:space="preserve"> </w:t>
      </w:r>
      <w:r>
        <w:t>Chemotherapeutic agents like cisplatin and acetaldehyde form intrastrand crosslinks, primarily between two adjacent guanine bases</w:t>
      </w:r>
      <w:r>
        <w:fldChar w:fldCharType="begin"/>
      </w:r>
      <w:r w:rsidR="004336A3">
        <w:instrText xml:space="preserve"> ADDIN ZOTERO_ITEM CSL_CITATION {"citationID":"d3pwFBxa","properties":{"formattedCitation":"\\super 80\\nosupersub{}","plainCitation":"80","noteIndex":0},"citationItems":[{"id":450,"uris":["http://zotero.org/users/11265134/items/W75RRFK2"],"itemData":{"id":450,"type":"article-journal","abstract":"Carcinogens often generate mutable DNA lesions that contribute to cancer and aging. However, the chemical structure of tumorigenic DNA lesions formed by acetaldehyde remains unknown, although it has long been considered an environmental mutagen in alcohol, tobacco, and food. Here, we identify an aldehyde-induced DNA lesion, forming an intrastrand crosslink between adjacent guanine bases, but not in single guanine bases or in other combinations of nucleotides. The GG intrastrand crosslink exists in equilibrium in the presence of aldehyde, and therefore it has not been detected or analyzed in the previous investigations. The newly identified GG intrastrand crosslinks might explain the toxicity and mutagenicity of acetaldehyde in DNA metabolism.","container-title":"Scientific Reports","DOI":"10.1038/s41598-018-37239-6","ISSN":"2045-2322","issue":"1","journalAbbreviation":"Sci Rep","language":"en","license":"2019 The Author(s)","note":"publisher: Nature Publishing Group","page":"660","source":"www.nature.com","title":"Acetaldehyde forms covalent GG intrastrand crosslinks in DNA","volume":"9","author":[{"family":"Sonohara","given":"Yuina"},{"family":"Yamamoto","given":"Junpei"},{"family":"Tohashi","given":"Kosuke"},{"family":"Takatsuka","given":"Reine"},{"family":"Matsuda","given":"Tomonari"},{"family":"Iwai","given":"Shigenori"},{"family":"Kuraoka","given":"Isao"}],"issued":{"date-parts":[["2019",1,24]]}}}],"schema":"https://github.com/citation-style-language/schema/raw/master/csl-citation.json"} </w:instrText>
      </w:r>
      <w:r>
        <w:fldChar w:fldCharType="separate"/>
      </w:r>
      <w:r w:rsidR="004336A3" w:rsidRPr="004336A3">
        <w:rPr>
          <w:rFonts w:ascii="Calibri" w:hAnsi="Calibri" w:cs="Calibri"/>
          <w:szCs w:val="24"/>
          <w:vertAlign w:val="superscript"/>
        </w:rPr>
        <w:t>80</w:t>
      </w:r>
      <w:r>
        <w:fldChar w:fldCharType="end"/>
      </w:r>
      <w:r>
        <w:t>.</w:t>
      </w:r>
    </w:p>
    <w:p w14:paraId="009F4E04" w14:textId="6B89ECC6" w:rsidR="008A2A47" w:rsidRDefault="00A32DB1" w:rsidP="008A2A47">
      <w:pPr>
        <w:pStyle w:val="Paragraphedeliste"/>
        <w:numPr>
          <w:ilvl w:val="0"/>
          <w:numId w:val="13"/>
        </w:numPr>
        <w:spacing w:after="0" w:line="324" w:lineRule="auto"/>
        <w:jc w:val="both"/>
      </w:pPr>
      <w:r>
        <w:rPr>
          <w:b/>
          <w:bCs/>
        </w:rPr>
        <w:t xml:space="preserve">Formation, Bulky DNA adducts </w:t>
      </w:r>
      <w:r>
        <w:t>(</w:t>
      </w:r>
      <w:hyperlink r:id="rId19" w:history="1">
        <w:r w:rsidR="004C1081" w:rsidRPr="00696753">
          <w:rPr>
            <w:rStyle w:val="Lienhypertexte"/>
          </w:rPr>
          <w:t>https://aopwiki.org/events/1879</w:t>
        </w:r>
      </w:hyperlink>
      <w:r w:rsidR="004C1081">
        <w:t xml:space="preserve">, </w:t>
      </w:r>
      <w:r>
        <w:t>Figure 2 – MIE 4):</w:t>
      </w:r>
      <w:r w:rsidR="004C1081">
        <w:t xml:space="preserve"> </w:t>
      </w:r>
      <w:r w:rsidR="004C1081" w:rsidRPr="004C1081">
        <w:t>Bulky DNA adducts are generated when activated genotoxic compounds react with the nitrogenous bases of DNA at various sites. The most frequent reactive positions include C8, N7, N3, and N2 of guanine; N7, N6, N3, and N1 of adenine; N3, N4, and O2 of cytosine; and N3, O2, and O4 of thymine</w:t>
      </w:r>
      <w:r w:rsidR="004C1081">
        <w:fldChar w:fldCharType="begin"/>
      </w:r>
      <w:r w:rsidR="004336A3">
        <w:instrText xml:space="preserve"> ADDIN ZOTERO_ITEM CSL_CITATION {"citationID":"kjmeqPgY","properties":{"formattedCitation":"\\super 81,82\\nosupersub{}","plainCitation":"81,82","noteIndex":0},"citationItems":[{"id":318,"uris":["http://zotero.org/users/11265134/items/Q9T7T9HY"],"itemData":{"id":318,"type":"article-journal","abstract":"The generation of bulky DNA adducts consists of conjugates formed between large reactive electrophiles and DNA-binding sites. The term \"bulky DNA adducts\" comes from early experiments that employed a 32P-DNA postlabeling approach. This technique has long been used to elucidate the association between adducts and carcinogen exposure in tobacco smoke studies and assess the predictive value of adducts in cancer risk. Molecular data showed increased DNA adducts in respiratory tracts of smokers vs nonsmokers. Experimental studies and meta-analysis demonstrated that the relationship between adducts and carcinogens was linear at low doses, but reached steady state at high exposure, possibly due to metabolic and DNA repair pathway saturation and increased apoptosis. Polymorphisms of metabolic and DNA repair genes can increase the effects of environmental factors and confer greater likelihood of adduct formation. Nevertheless, the central question remains as to whether bulky adducts cause human cancer. If so, lowering them would reduce cancer incidence. Pooled and meta-analysis has shown that smokers with increased adducts have increased risk of lung cancer. Adduct excess in smokers, especially in prospective longitudinal studies, supports their use as biomarkers predictive of lung cancer.","container-title":"Advances in Clinical Chemistry","DOI":"10.1016/bs.acc.2017.01.006","ISSN":"0065-2423","journalAbbreviation":"Adv Clin Chem","language":"eng","note":"PMID: 28629590","page":"231-277","source":"PubMed","title":"Bulky DNA Adducts, Tobacco Smoking, Genetic Susceptibility, and Lung Cancer Risk","volume":"81","author":[{"family":"Munnia","given":"Armelle"},{"family":"Giese","given":"Roger W."},{"family":"Polvani","given":"Simone"},{"family":"Galli","given":"Andrea"},{"family":"Cellai","given":"Filippo"},{"family":"Peluso","given":"Marco E. M."}],"issued":{"date-parts":[["2017"]]}}},{"id":491,"uris":["http://zotero.org/users/11265134/items/UXGE977Y"],"itemData":{"id":491,"type":"article-journal","abstract":"Hazardous chemicals in the environment and diet or their electrophilic metabolites can form adducts with genomic DNA, which can lead to mutations and the initiation of cancer. In addition, reactive intermediates can be generated in the body through oxidative stress and damage the genome. The identification and measurement of DNA adducts are required for understanding exposure and the causal role of a genotoxic chemical in cancer risk. Over the past three decades, 32 P-postlabeling, immunoassays, gas chromatography/mass spectrometry, and liquid chromatography/mass spectrometry (LC/MS) methods have been established to assess exposures to chemicals through measurements of DNA adducts. It is now possible to measure some DNA adducts in human biopsy samples, by LC/MS, with as little as several milligrams of tissue. In this review article, we highlight the formation and biological effects of DNA adducts, and highlight our advances in human biomonitoring by mass spectrometric analysis of formalin-fixed paraffin-embedded tissues, untapped biospecimens for carcinogen DNA adduct biomarker research.","container-title":"Mass Spectrometry Reviews","DOI":"10.1002/mas.21570","ISSN":"1098-2787","issue":"1-2","journalAbbreviation":"Mass Spectrom Rev","language":"eng","note":"PMID: 29889312\nPMCID: PMC6289887","page":"55-82","source":"PubMed","title":"DNA adducts: Formation, biological effects, and new biospecimens for mass spectrometric measurements in humans","title-short":"DNA adducts","volume":"39","author":[{"family":"Hwa Yun","given":"Byeong"},{"family":"Guo","given":"Jingshu"},{"family":"Bellamri","given":"Medjda"},{"family":"Turesky","given":"Robert J."}],"issued":{"date-parts":[["2020",3]]}}}],"schema":"https://github.com/citation-style-language/schema/raw/master/csl-citation.json"} </w:instrText>
      </w:r>
      <w:r w:rsidR="004C1081">
        <w:fldChar w:fldCharType="separate"/>
      </w:r>
      <w:r w:rsidR="004336A3" w:rsidRPr="004336A3">
        <w:rPr>
          <w:rFonts w:ascii="Calibri" w:hAnsi="Calibri" w:cs="Calibri"/>
          <w:szCs w:val="24"/>
          <w:vertAlign w:val="superscript"/>
        </w:rPr>
        <w:t>81,82</w:t>
      </w:r>
      <w:r w:rsidR="004C1081">
        <w:fldChar w:fldCharType="end"/>
      </w:r>
      <w:r w:rsidR="004C1081">
        <w:t xml:space="preserve">. </w:t>
      </w:r>
      <w:r w:rsidR="004C1081">
        <w:lastRenderedPageBreak/>
        <w:t>Bulky adducts are typically formed by exposure to environmental mutagens, chemicals, or certain metabolites</w:t>
      </w:r>
      <w:r w:rsidR="004C1081">
        <w:fldChar w:fldCharType="begin"/>
      </w:r>
      <w:r w:rsidR="004336A3">
        <w:instrText xml:space="preserve"> ADDIN ZOTERO_ITEM CSL_CITATION {"citationID":"yKcdDfXt","properties":{"formattedCitation":"\\super 81\\nosupersub{}","plainCitation":"81","noteIndex":0},"citationItems":[{"id":318,"uris":["http://zotero.org/users/11265134/items/Q9T7T9HY"],"itemData":{"id":318,"type":"article-journal","abstract":"The generation of bulky DNA adducts consists of conjugates formed between large reactive electrophiles and DNA-binding sites. The term \"bulky DNA adducts\" comes from early experiments that employed a 32P-DNA postlabeling approach. This technique has long been used to elucidate the association between adducts and carcinogen exposure in tobacco smoke studies and assess the predictive value of adducts in cancer risk. Molecular data showed increased DNA adducts in respiratory tracts of smokers vs nonsmokers. Experimental studies and meta-analysis demonstrated that the relationship between adducts and carcinogens was linear at low doses, but reached steady state at high exposure, possibly due to metabolic and DNA repair pathway saturation and increased apoptosis. Polymorphisms of metabolic and DNA repair genes can increase the effects of environmental factors and confer greater likelihood of adduct formation. Nevertheless, the central question remains as to whether bulky adducts cause human cancer. If so, lowering them would reduce cancer incidence. Pooled and meta-analysis has shown that smokers with increased adducts have increased risk of lung cancer. Adduct excess in smokers, especially in prospective longitudinal studies, supports their use as biomarkers predictive of lung cancer.","container-title":"Advances in Clinical Chemistry","DOI":"10.1016/bs.acc.2017.01.006","ISSN":"0065-2423","journalAbbreviation":"Adv Clin Chem","language":"eng","note":"PMID: 28629590","page":"231-277","source":"PubMed","title":"Bulky DNA Adducts, Tobacco Smoking, Genetic Susceptibility, and Lung Cancer Risk","volume":"81","author":[{"family":"Munnia","given":"Armelle"},{"family":"Giese","given":"Roger W."},{"family":"Polvani","given":"Simone"},{"family":"Galli","given":"Andrea"},{"family":"Cellai","given":"Filippo"},{"family":"Peluso","given":"Marco E. M."}],"issued":{"date-parts":[["2017"]]}}}],"schema":"https://github.com/citation-style-language/schema/raw/master/csl-citation.json"} </w:instrText>
      </w:r>
      <w:r w:rsidR="004C1081">
        <w:fldChar w:fldCharType="separate"/>
      </w:r>
      <w:r w:rsidR="004336A3" w:rsidRPr="004336A3">
        <w:rPr>
          <w:rFonts w:ascii="Calibri" w:hAnsi="Calibri" w:cs="Calibri"/>
          <w:szCs w:val="24"/>
          <w:vertAlign w:val="superscript"/>
        </w:rPr>
        <w:t>81</w:t>
      </w:r>
      <w:r w:rsidR="004C1081">
        <w:fldChar w:fldCharType="end"/>
      </w:r>
      <w:r w:rsidR="00892F9F">
        <w:t xml:space="preserve"> such as benzo[a]pyrene</w:t>
      </w:r>
      <w:r w:rsidR="00622E26">
        <w:t xml:space="preserve"> and its metabolite BPDE</w:t>
      </w:r>
      <w:r w:rsidR="00892F9F">
        <w:t>, aflatoxin B1</w:t>
      </w:r>
      <w:r w:rsidR="00622E26">
        <w:t xml:space="preserve"> and aristolochic acid</w:t>
      </w:r>
      <w:r w:rsidR="004C1081">
        <w:t xml:space="preserve">. </w:t>
      </w:r>
    </w:p>
    <w:p w14:paraId="2FDA1FB6" w14:textId="41F84092" w:rsidR="008A2A47" w:rsidRDefault="008A2A47" w:rsidP="008A2A47">
      <w:pPr>
        <w:pStyle w:val="Paragraphedeliste"/>
        <w:numPr>
          <w:ilvl w:val="0"/>
          <w:numId w:val="13"/>
        </w:numPr>
        <w:spacing w:after="0" w:line="324" w:lineRule="auto"/>
        <w:jc w:val="both"/>
      </w:pPr>
      <w:r w:rsidRPr="008A2A47">
        <w:rPr>
          <w:b/>
          <w:bCs/>
        </w:rPr>
        <w:t>Formation, DNA-protein crosslinks (DPCs</w:t>
      </w:r>
      <w:r w:rsidRPr="008A2A47">
        <w:rPr>
          <w:b/>
          <w:bCs/>
        </w:rPr>
        <w:fldChar w:fldCharType="begin"/>
      </w:r>
      <w:r w:rsidR="004336A3">
        <w:rPr>
          <w:b/>
          <w:bCs/>
        </w:rPr>
        <w:instrText xml:space="preserve"> ADDIN ZOTERO_ITEM CSL_CITATION {"citationID":"0uxIcN15","properties":{"formattedCitation":"\\super 83\\nosupersub{}","plainCitation":"83","noteIndex":0},"citationItems":[{"id":411,"uris":["http://zotero.org/users/11265134/items/NW5D65FP"],"itemData":{"id":411,"type":"article-journal","abstract":"Genomic DNA is associated with various structural, regulatory, and transaction proteins. The dynamic and reversible association between proteins and DNA ensures the accurate expression and propagation of genetic information. However, various endogenous, environmental, and chemotherapeutic agents induce DNA-protein crosslinks (DPCs), and hence covalently trap proteins on DNA. Since DPCs are extremely large compared to conventional DNA lesions, they probably impair many aspects of DNA transactions such as replication, transcription, and repair due to steric hindrance. Recent genetic and biochemical studies have shed light on the elaborate molecular mechanism by which cells repair or tolerate DPCs. This review summarizes the current knowledge regarding the repair and biochemical effects of the most ubiquitous form of DPCs, which are associated with no flanked DNA strand breaks. In bacteria small DPCs are eliminated by nucleotide excision repair (NER), whereas oversized DPCs are processed by RecBCD-dependent homologous recombination (HR). NER does not participate in the repair of DPCs in mammalian cells, since the upper size limit of DPCs amenable to mammalian NER is smaller than that of bacterial NER. Thus, DPCs are processed exclusively by HR. The reactivation of the stalled replication fork at DPCs by HR seems to involve fork breakage in mammalian cells but not in bacterial cells. In addition, recent proteomic studies have identified the numbers of proteins in DPCs induced by environmental and chemotherapeutic agents. However, it remains largely elusive how DPCs affect replication and transcription at the molecular level. Considering the extremely large nature of DPCs, it is possible that they impede the progression of replication and transcription machineries by mechanisms different from those for conventional DNA lesions. This might also be true for the DNA damage response and signaling mechanism.","container-title":"Mutation Research","DOI":"10.1016/j.mrfmmm.2010.12.007","ISSN":"0027-5107","issue":"1-2","journalAbbreviation":"Mutat Res","language":"eng","note":"PMID: 21185846","page":"113-122","source":"PubMed","title":"Repair and biochemical effects of DNA-protein crosslinks","volume":"711","author":[{"family":"Ide","given":"Hiroshi"},{"family":"Shoulkamy","given":"Mahmoud I."},{"family":"Nakano","given":"Toshiaki"},{"family":"Miyamoto-Matsubara","given":"Mayumi"},{"family":"Salem","given":"Amir M. H."}],"issued":{"date-parts":[["2011",6,3]]}}}],"schema":"https://github.com/citation-style-language/schema/raw/master/csl-citation.json"} </w:instrText>
      </w:r>
      <w:r w:rsidRPr="008A2A47">
        <w:rPr>
          <w:b/>
          <w:bCs/>
        </w:rPr>
        <w:fldChar w:fldCharType="separate"/>
      </w:r>
      <w:r w:rsidR="004336A3" w:rsidRPr="004336A3">
        <w:rPr>
          <w:rFonts w:ascii="Calibri" w:hAnsi="Calibri" w:cs="Calibri"/>
          <w:szCs w:val="24"/>
          <w:vertAlign w:val="superscript"/>
        </w:rPr>
        <w:t>83</w:t>
      </w:r>
      <w:r w:rsidRPr="008A2A47">
        <w:rPr>
          <w:b/>
          <w:bCs/>
        </w:rPr>
        <w:fldChar w:fldCharType="end"/>
      </w:r>
      <w:r w:rsidRPr="008A2A47">
        <w:rPr>
          <w:b/>
          <w:bCs/>
        </w:rPr>
        <w:t>)</w:t>
      </w:r>
      <w:r>
        <w:rPr>
          <w:b/>
          <w:bCs/>
        </w:rPr>
        <w:t xml:space="preserve"> </w:t>
      </w:r>
      <w:r>
        <w:t>(Figure 2 – MIE 5)</w:t>
      </w:r>
      <w:r w:rsidRPr="008A2A47">
        <w:rPr>
          <w:b/>
          <w:bCs/>
        </w:rPr>
        <w:t>:</w:t>
      </w:r>
      <w:r>
        <w:t xml:space="preserve"> </w:t>
      </w:r>
      <w:r w:rsidR="007609F2" w:rsidRPr="007609F2">
        <w:t>Chromosomes are associated with numerous structural and regulatory proteins that maintain genome stability, expression, and replication. These proteins can form covalent</w:t>
      </w:r>
      <w:r w:rsidR="007609F2">
        <w:t xml:space="preserve"> </w:t>
      </w:r>
      <w:r w:rsidR="007609F2" w:rsidRPr="007609F2">
        <w:t>DPCs due to exposure to ionizing radiation, UV light, endogenous and exogenous reactive aldehydes, or chemotherapeutic agents such as nitrogen mustards</w:t>
      </w:r>
      <w:r w:rsidR="007609F2">
        <w:t xml:space="preserve"> and</w:t>
      </w:r>
      <w:r w:rsidR="007609F2" w:rsidRPr="007609F2">
        <w:t xml:space="preserve"> cisplatin</w:t>
      </w:r>
      <w:r w:rsidR="007609F2">
        <w:fldChar w:fldCharType="begin"/>
      </w:r>
      <w:r w:rsidR="004336A3">
        <w:instrText xml:space="preserve"> ADDIN ZOTERO_ITEM CSL_CITATION {"citationID":"3SdI0utg","properties":{"formattedCitation":"\\super 58\\uc0\\u8211{}60,83,84\\nosupersub{}","plainCitation":"58–60,83,84","noteIndex":0},"citationItems":[{"id":269,"uris":["http://zotero.org/users/11265134/items/98GKPKZ7"],"itemData":{"id":269,"type":"article-journal","abstract":"DNA-protein crosslinks (DPCs) are a specific type of DNA lesion consisting of a protein covalently and irreversibly bound to DNA, which arise after exposure to physical and chemical crosslinking agents. DPCs can be bulky and thereby pose a barrier to DNA replication and transcription. The persistence of DPCs during S phase causes DNA replication stress and genome instability. The toxicity of DPCs is exploited in cancer therapy: many common chemotherapeutics kill cancer cells by inducing DPC formation. Recent work from several laboratories discovered a specialized repair pathway for DPCs, namely DPC proteolysis (DPCP) repair. DPCP repair is carried out by replication-coupled DNA-dependent metalloproteases: Wss1 in yeast and SPRTN in metazoans. Mutations in SPRTN cause premature ageing and liver cancer in humans and mice; thus, defective DPC repair has great clinical ramifications. In the present review, we will revise the current knowledge on the mechanisms of DPCP repair and on the regulation of DPC protease activity, while highlighting the most significant unresolved questions in the field. Finally, we will discuss the impact of faulty DPC repair on disease and cancer therapy.","collection-title":"Cutting-edge Perspectives in Genomic Maintenance V","container-title":"DNA Repair","DOI":"10.1016/j.dnarep.2018.08.025","ISSN":"1568-7864","journalAbbreviation":"DNA Repair","page":"198-204","source":"ScienceDirect","title":"DNA protein crosslink proteolysis repair: From yeast to premature ageing and cancer in humans","title-short":"DNA protein crosslink proteolysis repair","volume":"71","author":[{"family":"Fielden","given":"John"},{"family":"Ruggiano","given":"Annamaria"},{"family":"Popović","given":"Marta"},{"family":"Ramadan","given":"Kristijan"}],"issued":{"date-parts":[["2018",11,1]]}}},{"id":289,"uris":["http://zotero.org/users/11265134/items/R65ND5GW"],"itemData":{"id":289,"type":"article-journal","container-title":"Cell","DOI":"10.1016/j.cell.2014.09.024","ISSN":"0092-8674, 1097-4172","issue":"2","journalAbbreviation":"Cell","language":"English","note":"publisher: Elsevier\nPMID: 25303529","page":"346-357","source":"www.cell.com","title":"Repair of a DNA-Protein Crosslink by Replication-Coupled Proteolysis","volume":"159","author":[{"family":"Duxin","given":"Julien P."},{"family":"Dewar","given":"James M."},{"family":"Yardimci","given":"Hasan"},{"family":"Walter","given":"Johannes C."}],"issued":{"date-parts":[["2014",10,9]]}}},{"id":544,"uris":["http://zotero.org/users/11265134/items/I9IGHPAW"],"itemData":{"id":544,"type":"article-journal","abstract":"Proteins covalently attached to DNA, also known as DNA–protein crosslinks (DPCs), are common and bulky DNA lesions that interfere with DNA replication, repair, transcription and recombination. Research in the past several years indicates that cells possess dedicated enzymes, known as DPC proteases, which digest the protein component of a DPC. Interestingly, DPC proteases also play a role in proteolysis beside DPC repair, such as in degrading excess histones during DNA replication or controlling DNA replication checkpoints. Here, we discuss the importance of DPC proteases in DNA replication, genome stability and their direct link to human diseases and cancer therapy.","container-title":"Communications Biology","DOI":"10.1038/s42003-020-01539-3","ISSN":"2399-3642","issue":"1","journalAbbreviation":"Commun Biol","language":"en","license":"2021 The Author(s)","note":"publisher: Nature Publishing Group","page":"1-11","source":"www.nature.com","title":"DNA–protein crosslink proteases in genome stability","volume":"4","author":[{"family":"Ruggiano","given":"Annamaria"},{"family":"Ramadan","given":"Kristijan"}],"issued":{"date-parts":[["2021",1,4]]}}},{"id":411,"uris":["http://zotero.org/users/11265134/items/NW5D65FP"],"itemData":{"id":411,"type":"article-journal","abstract":"Genomic DNA is associated with various structural, regulatory, and transaction proteins. The dynamic and reversible association between proteins and DNA ensures the accurate expression and propagation of genetic information. However, various endogenous, environmental, and chemotherapeutic agents induce DNA-protein crosslinks (DPCs), and hence covalently trap proteins on DNA. Since DPCs are extremely large compared to conventional DNA lesions, they probably impair many aspects of DNA transactions such as replication, transcription, and repair due to steric hindrance. Recent genetic and biochemical studies have shed light on the elaborate molecular mechanism by which cells repair or tolerate DPCs. This review summarizes the current knowledge regarding the repair and biochemical effects of the most ubiquitous form of DPCs, which are associated with no flanked DNA strand breaks. In bacteria small DPCs are eliminated by nucleotide excision repair (NER), whereas oversized DPCs are processed by RecBCD-dependent homologous recombination (HR). NER does not participate in the repair of DPCs in mammalian cells, since the upper size limit of DPCs amenable to mammalian NER is smaller than that of bacterial NER. Thus, DPCs are processed exclusively by HR. The reactivation of the stalled replication fork at DPCs by HR seems to involve fork breakage in mammalian cells but not in bacterial cells. In addition, recent proteomic studies have identified the numbers of proteins in DPCs induced by environmental and chemotherapeutic agents. However, it remains largely elusive how DPCs affect replication and transcription at the molecular level. Considering the extremely large nature of DPCs, it is possible that they impede the progression of replication and transcription machineries by mechanisms different from those for conventional DNA lesions. This might also be true for the DNA damage response and signaling mechanism.","container-title":"Mutation Research","DOI":"10.1016/j.mrfmmm.2010.12.007","ISSN":"0027-5107","issue":"1-2","journalAbbreviation":"Mutat Res","language":"eng","note":"PMID: 21185846","page":"113-122","source":"PubMed","title":"Repair and biochemical effects of DNA-protein crosslinks","volume":"711","author":[{"family":"Ide","given":"Hiroshi"},{"family":"Shoulkamy","given":"Mahmoud I."},{"family":"Nakano","given":"Toshiaki"},{"family":"Miyamoto-Matsubara","given":"Mayumi"},{"family":"Salem","given":"Amir M. H."}],"issued":{"date-parts":[["2011",6,3]]}}},{"id":462,"uris":["http://zotero.org/users/11265134/items/K6NYQ9F6"],"itemData":{"id":462,"type":"article-journal","abstract":"Covalent DNA–protein crosslinks (DPCs) are highly toxic DNA lesions that are induced by widely used classes of chemotherapeutics and also by various external and endogenous agents.DPCs consist of three distinct components, which are harnessed by distinct repair mechanisms as a starting point for repair.Tyrosyl-DNA phosphodiesterases directly hydrolyse the covalent bond between protein and DNA at DPCs.Nuclease-dependent repair by the MRE11–RAD50–NBS1 (MRN) complex targets the DNA component of DPCs.Proteolytic repair by the spartan (SPRTN)/weak suppressor of SMT3 protein 1 (Wss1) protease family degrades the protein component of DPCs.Inhibition of DPC repair pathways offers novel therapeutic opportunities for anticancer combination therapies.","container-title":"Nature Reviews Molecular Cell Biology","DOI":"10.1038/nrm.2017.56","ISSN":"1471-0080","issue":"9","journalAbbreviation":"Nat Rev Mol Cell Biol","language":"en","license":"2017 Springer Nature Limited","note":"publisher: Nature Publishing Group","page":"563-573","source":"www.nature.com","title":"Mechanisms of DNA–protein crosslink repair","volume":"18","author":[{"family":"Stingele","given":"Julian"},{"family":"Bellelli","given":"Roberto"},{"family":"Boulton","given":"Simon J."}],"issued":{"date-parts":[["2017",9]]}}}],"schema":"https://github.com/citation-style-language/schema/raw/master/csl-citation.json"} </w:instrText>
      </w:r>
      <w:r w:rsidR="007609F2">
        <w:fldChar w:fldCharType="separate"/>
      </w:r>
      <w:r w:rsidR="004336A3" w:rsidRPr="004336A3">
        <w:rPr>
          <w:rFonts w:ascii="Calibri" w:hAnsi="Calibri" w:cs="Calibri"/>
          <w:szCs w:val="24"/>
          <w:vertAlign w:val="superscript"/>
        </w:rPr>
        <w:t>58–60,83,84</w:t>
      </w:r>
      <w:r w:rsidR="007609F2">
        <w:fldChar w:fldCharType="end"/>
      </w:r>
      <w:r w:rsidR="007609F2" w:rsidRPr="007609F2">
        <w:t>.</w:t>
      </w:r>
      <w:r>
        <w:t xml:space="preserve"> </w:t>
      </w:r>
    </w:p>
    <w:p w14:paraId="2B08B08E" w14:textId="16760FE4" w:rsidR="000D43E3" w:rsidRDefault="008A2A47" w:rsidP="000D43E3">
      <w:pPr>
        <w:pStyle w:val="Paragraphedeliste"/>
        <w:numPr>
          <w:ilvl w:val="0"/>
          <w:numId w:val="13"/>
        </w:numPr>
        <w:spacing w:after="0" w:line="324" w:lineRule="auto"/>
        <w:jc w:val="both"/>
      </w:pPr>
      <w:r w:rsidRPr="000C28E0">
        <w:rPr>
          <w:b/>
          <w:bCs/>
        </w:rPr>
        <w:t xml:space="preserve">Binding to (Interferes with) topoisomerase I </w:t>
      </w:r>
      <w:r w:rsidR="00622E26">
        <w:rPr>
          <w:b/>
          <w:bCs/>
        </w:rPr>
        <w:t xml:space="preserve">(TOPO1) </w:t>
      </w:r>
      <w:r w:rsidRPr="000C28E0">
        <w:rPr>
          <w:b/>
          <w:bCs/>
        </w:rPr>
        <w:t>enzyme</w:t>
      </w:r>
      <w:r w:rsidR="00622E26">
        <w:rPr>
          <w:b/>
          <w:bCs/>
        </w:rPr>
        <w:t>s</w:t>
      </w:r>
      <w:r>
        <w:rPr>
          <w:b/>
          <w:bCs/>
        </w:rPr>
        <w:t xml:space="preserve"> </w:t>
      </w:r>
      <w:r>
        <w:t>(Figure 2 – MIE 6)</w:t>
      </w:r>
      <w:r w:rsidRPr="000C28E0">
        <w:rPr>
          <w:b/>
          <w:bCs/>
        </w:rPr>
        <w:t>:</w:t>
      </w:r>
      <w:r>
        <w:t xml:space="preserve"> Topoisomerase I enzymes are important regulators of DNA topology. They catalyze changes in DNA topology </w:t>
      </w:r>
      <w:r w:rsidRPr="0032395A">
        <w:t xml:space="preserve">through transient single-stranded DNA cleavage, strand passage, and </w:t>
      </w:r>
      <w:r>
        <w:t>relegation. Their involvement in DNA topology regulation potentially makes them critical targets of chemicals</w:t>
      </w:r>
      <w:r>
        <w:fldChar w:fldCharType="begin"/>
      </w:r>
      <w:r w:rsidR="004336A3">
        <w:instrText xml:space="preserve"> ADDIN ZOTERO_ITEM CSL_CITATION {"citationID":"R8kLpXvK","properties":{"formattedCitation":"\\super 61,62\\nosupersub{}","plainCitation":"61,62","noteIndex":0},"citationItems":[{"id":370,"uris":["http://zotero.org/users/11265134/items/CEEITXV6"],"itemData":{"id":370,"type":"article-journal","abstract":"The present study was designed to determine and compare the clastogenicity of m-AMSA and camptothecin (CAMP) in vivo in mouse bone marrow and peripheral blood lymphocytes (PBLs), and in vitro in mouse lymphoma L5178Y cells. m-AMSA interferes with topoisomerase II to induce double-strand DNA breaks. CAMP interferes with topoisomerase I to induce single-strand DNA breaks. Thus, we expected the two drugs to induce different types of chromosomal aberrations (CAs). However, both drugs produced quantitatively and qualitatively similar numbers and types of aberrations under similar experimental conditions. In mouse bone marrow exposed over and 18-h period, both drugs (3 mg/kg) induced approximately 30 damaged cells, with an average of 0.4 chromatid breaks per cell (in 100 cells analyzed/mouse). In addition, both drugs induced only chromatid-type aberrations in mouse bone marrow in vivo when exposure occurred during G2. Cell cycle specificity was indicated by the absence of CAs when exposure to the drugs occurred in vivo in mouse PBLs during G0. In L5178Y cells, m-AMSA was considerably more potent for the induction of mutations and somewhat more potent for the induction of CAs than CAMP was. In contrast to the in vivo bone marrow results, the drugs induced high levels of both chromatid- and chromosome-type aberrations in vitro. The ultimate types of chromosomal damage induced by m-AMSA and CAMP result from a complex interaction of (i) cell cycle specific variations in topoisomerase enzyme levels, (ii) the abilities of these drugs to interfere with the orderly DNA breakage/reunion associated with topoisomerase activity, and (iii) the processing of the damage resulting from these interactions.","container-title":"Mutagenesis","DOI":"10.1093/mutage/5.6.541","ISSN":"0267-8357","issue":"6","journalAbbreviation":"Mutagenesis","language":"eng","note":"PMID: 2175833","page":"541-547","source":"PubMed","title":"Genotoxicity of inhibitors of DNA topoisomerases I (camptothecin) and II (m-AMSA) in vivo and in vitro","volume":"5","author":[{"family":"Backer","given":"L. C."},{"family":"Allen","given":"J. W."},{"family":"Harrington-Brock","given":"K."},{"family":"Campbell","given":"J. A."},{"family":"DeMarini","given":"D. M."},{"family":"Doerr","given":"C. L."},{"family":"Howard","given":"D. R."},{"family":"Kligerman","given":"A. D."},{"family":"Moore","given":"M. M."}],"issued":{"date-parts":[["1990",11]]}}},{"id":546,"uris":["http://zotero.org/users/11265134/items/9Z7L6NYL"],"itemData":{"id":546,"type":"article-journal","abstract":"Most chemotherapy regimens contain at least one DNA-damaging agent that preferentially affects the growth of cancer cells. This strategy takes advantage of the differences in cell proliferation between normal and cancer cells. Chemotherapeutic drugs are usually designed to target rapid-dividing cells because sustained proliferation is a common feature of cancer [1,2]. Rapid DNA replication is essential for highly proliferative cells, thus blocking of DNA replication will create numerous mutations and/or chromosome rearrangements—ultimately triggering cell death [3]. Along these lines, DNA topoisomerase inhibitors are of great interest because they help to maintain strand breaks generated by topoisomerases during replication. In this article, we discuss the characteristics of topoisomerase (DNA) I (TOP1) and its inhibitors, as well as the underlying DNA repair pathways and the use of TOP1 inhibitors in cancer therapy.","container-title":"Biomolecules","DOI":"10.3390/biom5031652","ISSN":"2218-273X","issue":"3","journalAbbreviation":"Biomolecules","note":"PMID: 26287259\nPMCID: PMC4598769","page":"1652-1670","source":"PubMed Central","title":"Inhibition of Topoisomerase (DNA) I (TOP1): DNA Damage Repair and Anticancer Therapy","title-short":"Inhibition of Topoisomerase (DNA) I (TOP1)","volume":"5","author":[{"family":"Xu","given":"Yang"},{"family":"Her","given":"Chengtao"}],"issued":{"date-parts":[["2015",7,22]]}}}],"schema":"https://github.com/citation-style-language/schema/raw/master/csl-citation.json"} </w:instrText>
      </w:r>
      <w:r>
        <w:fldChar w:fldCharType="separate"/>
      </w:r>
      <w:r w:rsidR="004336A3" w:rsidRPr="004336A3">
        <w:rPr>
          <w:rFonts w:ascii="Calibri" w:hAnsi="Calibri" w:cs="Calibri"/>
          <w:szCs w:val="24"/>
          <w:vertAlign w:val="superscript"/>
        </w:rPr>
        <w:t>61,62</w:t>
      </w:r>
      <w:r>
        <w:fldChar w:fldCharType="end"/>
      </w:r>
      <w:r>
        <w:t>.</w:t>
      </w:r>
    </w:p>
    <w:p w14:paraId="1596EF19" w14:textId="53497558" w:rsidR="00760D81" w:rsidRDefault="002A29ED" w:rsidP="000D43E3">
      <w:pPr>
        <w:pStyle w:val="Paragraphedeliste"/>
        <w:numPr>
          <w:ilvl w:val="0"/>
          <w:numId w:val="13"/>
        </w:numPr>
        <w:spacing w:after="0" w:line="324" w:lineRule="auto"/>
        <w:jc w:val="both"/>
      </w:pPr>
      <w:r w:rsidRPr="000D43E3">
        <w:rPr>
          <w:b/>
          <w:bCs/>
        </w:rPr>
        <w:lastRenderedPageBreak/>
        <w:t xml:space="preserve">Disruption, dNTP pool homeostasis </w:t>
      </w:r>
      <w:r>
        <w:t>(Figure 2 – MIE 7)</w:t>
      </w:r>
      <w:r w:rsidRPr="000D43E3">
        <w:rPr>
          <w:b/>
          <w:bCs/>
        </w:rPr>
        <w:t>:</w:t>
      </w:r>
      <w:r>
        <w:t xml:space="preserve">  </w:t>
      </w:r>
      <w:r w:rsidR="000D43E3" w:rsidRPr="000D43E3">
        <w:t>The four deoxyribonucleoside triphosphates</w:t>
      </w:r>
      <w:r w:rsidR="000D43E3">
        <w:t xml:space="preserve"> (dNTPs)</w:t>
      </w:r>
      <w:r w:rsidR="000D43E3" w:rsidRPr="000D43E3">
        <w:t xml:space="preserve">, dATP, dTTP, dGTP and dCTP, are </w:t>
      </w:r>
      <w:r w:rsidR="0067126E">
        <w:t xml:space="preserve">the building blocks of the DNA and are then </w:t>
      </w:r>
      <w:r w:rsidR="000D43E3" w:rsidRPr="000D43E3">
        <w:t xml:space="preserve">essential for the </w:t>
      </w:r>
      <w:r w:rsidR="0067126E">
        <w:t>replication and repair of the nuclear and mitochondrial genome</w:t>
      </w:r>
      <w:r w:rsidR="000D43E3">
        <w:t xml:space="preserve">. </w:t>
      </w:r>
      <w:r w:rsidR="00760D81">
        <w:t>The homeostasis of t</w:t>
      </w:r>
      <w:r w:rsidR="000D43E3">
        <w:t>he dNTP</w:t>
      </w:r>
      <w:r w:rsidR="00760D81">
        <w:t xml:space="preserve"> pool is tightly regulated and is a key prerequisite to faithfully duplicate the human genome</w:t>
      </w:r>
      <w:r w:rsidR="00D5564D">
        <w:fldChar w:fldCharType="begin"/>
      </w:r>
      <w:r w:rsidR="004336A3">
        <w:instrText xml:space="preserve"> ADDIN ZOTERO_ITEM CSL_CITATION {"citationID":"W9MPaj6a","properties":{"formattedCitation":"\\super 85\\nosupersub{}","plainCitation":"85","noteIndex":0},"citationItems":[{"id":518,"uris":["http://zotero.org/users/11265134/items/6E5BV376"],"itemData":{"id":518,"type":"article-journal","abstract":"Eukaryotic cells contain two distinct but interrelated pools of DNA precursors for the replication of nuclear and mitochondrial DNA. Deoxyribonucleoside triphosphate (dNTP) biosynthesis begins either with the reduction of ribonucleotides or with the salvage of preformed nucleosides or nucleobases.dNTP pool sizes are regulated mostly at the level of biosynthesis, particularly involving ribonucleotide reductase. However, controlled dNTP degradation brought about by the sterile α-motif and histidine-aspartate domain-containing protein (SAMHD1) protein has recently emerged as a major regulatory mechanism.An increase in the spontaneous mutation rate is almost certainly an essential feature of carcinogenesis. Abnormal regulation of dNTP pool sizes contributes to determination of the mutation rate.Several oncogenes and tumour suppressors control dNTP pool sizes and have as-yet-unexplained effects on oncogene-induced senescence.Much evidence indicates that 'sanitation', the enzymatic hydrolysis of abnormal or damaged nucleotides, is important to the maintenance of genomic stability. However, recent evidence indicates that one sanitizing enzyme, MTH1, is an important target for inhibition in cancer treatment.Many anticancer drugs achieve their effectiveness because they are analogues to DNA precursors. Effective use of these analogues requires a thorough understanding of nucleotide biosynthesis, transport processes, cell cycle regulation and interactions with target enzymes.","container-title":"Nature Reviews Cancer","DOI":"10.1038/nrc3981","ISSN":"1474-1768","issue":"9","journalAbbreviation":"Nat Rev Cancer","language":"en","license":"2015 Springer Nature Limited","note":"publisher: Nature Publishing Group","page":"528-539","source":"www.nature.com","title":"Deoxyribonucleotide metabolism, mutagenesis and cancer","volume":"15","author":[{"family":"Mathews","given":"Christopher K."}],"issued":{"date-parts":[["2015",9]]}}}],"schema":"https://github.com/citation-style-language/schema/raw/master/csl-citation.json"} </w:instrText>
      </w:r>
      <w:r w:rsidR="00D5564D">
        <w:fldChar w:fldCharType="separate"/>
      </w:r>
      <w:r w:rsidR="004336A3" w:rsidRPr="004336A3">
        <w:rPr>
          <w:rFonts w:ascii="Calibri" w:hAnsi="Calibri" w:cs="Calibri"/>
          <w:szCs w:val="24"/>
          <w:vertAlign w:val="superscript"/>
        </w:rPr>
        <w:t>85</w:t>
      </w:r>
      <w:r w:rsidR="00D5564D">
        <w:fldChar w:fldCharType="end"/>
      </w:r>
      <w:r w:rsidR="009A2324">
        <w:t xml:space="preserve">. </w:t>
      </w:r>
      <w:r w:rsidR="000D43E3">
        <w:t>Imbalances in the</w:t>
      </w:r>
      <w:r w:rsidR="0067126E">
        <w:t xml:space="preserve">ir </w:t>
      </w:r>
      <w:r w:rsidR="0067126E" w:rsidRPr="0067126E">
        <w:t>absolute and relative concentrations</w:t>
      </w:r>
      <w:r w:rsidR="000D43E3">
        <w:t xml:space="preserve"> are then a critical genotoxic initiating event</w:t>
      </w:r>
      <w:r w:rsidR="000D43E3">
        <w:fldChar w:fldCharType="begin"/>
      </w:r>
      <w:r w:rsidR="004336A3">
        <w:instrText xml:space="preserve"> ADDIN ZOTERO_ITEM CSL_CITATION {"citationID":"h6FyD1aZ","properties":{"formattedCitation":"\\super 86\\nosupersub{}","plainCitation":"86","noteIndex":0},"citationItems":[{"id":397,"uris":["http://zotero.org/users/11265134/items/KC4ZBS9P"],"itemData":{"id":397,"type":"article-journal","abstract":"The mechanisms by which imbalanced dNTPs induce mutations have been well characterized within a test tube, but not in vivo. We have examined mechanisms by which dNTP imbalances induce genome instability in strains of Saccharomyces cerevisiae with different amino acid substitutions in Rnr1, the large subunit of ribonucleotide reductase. These strains have different dNTP imbalances that correlate with elevated CAN1 mutation rates, with both substitution and insertion–deletion rates increasing by 10- to 300-fold. The locations of the mutations in a strain with elevated dTTP and dCTP are completely different from those in a strain with elevated dATP and dGTP. Thus, imbalanced dNTPs reduce genome stability in a manner that is highly dependent on the nature and degree of the imbalance. Mutagenesis is enhanced despite the availability of proofreading and mismatch repair. The mutations can be explained by imbalanced dNTP-induced increases in misinsertion, strand misalignment and mismatch extension at the expense of proofreading. This implies that the relative dNTP concentrations measured in extracts are truly available to a replication fork in vivo. An interesting mutational strand bias is observed in one rnr1 strain, suggesting that the S-phase checkpoint selectively prevents replication errors during leading strand replication.","container-title":"Nucleic Acids Research","DOI":"10.1093/nar/gkq829","ISSN":"0305-1048","issue":"4","journalAbbreviation":"Nucleic Acids Research","page":"1360-1371","source":"Silverchair","title":"Mechanisms of mutagenesis in vivo due to imbalanced dNTP pools","volume":"39","author":[{"family":"Kumar","given":"Dinesh"},{"family":"Abdulovic","given":"Amy L."},{"family":"Viberg","given":"Jörgen"},{"family":"Nilsson","given":"Anna Karin"},{"family":"Kunkel","given":"Thomas A."},{"family":"Chabes","given":"Andrei"}],"issued":{"date-parts":[["2011",3,1]]}}}],"schema":"https://github.com/citation-style-language/schema/raw/master/csl-citation.json"} </w:instrText>
      </w:r>
      <w:r w:rsidR="000D43E3">
        <w:fldChar w:fldCharType="separate"/>
      </w:r>
      <w:r w:rsidR="004336A3" w:rsidRPr="004336A3">
        <w:rPr>
          <w:rFonts w:ascii="Calibri" w:hAnsi="Calibri" w:cs="Calibri"/>
          <w:szCs w:val="24"/>
          <w:vertAlign w:val="superscript"/>
        </w:rPr>
        <w:t>86</w:t>
      </w:r>
      <w:r w:rsidR="000D43E3">
        <w:fldChar w:fldCharType="end"/>
      </w:r>
      <w:r w:rsidR="000D43E3">
        <w:t>.</w:t>
      </w:r>
      <w:r w:rsidR="0067126E">
        <w:t xml:space="preserve"> </w:t>
      </w:r>
      <w:r w:rsidR="00AA6910">
        <w:t>Although few or no studies on chemicals investigated this enhancing event for genotoxicity, the disruption of dNTP pool homeostasis is an important mode of action to monitor</w:t>
      </w:r>
      <w:r w:rsidR="00AA6910">
        <w:fldChar w:fldCharType="begin"/>
      </w:r>
      <w:r w:rsidR="004336A3">
        <w:instrText xml:space="preserve"> ADDIN ZOTERO_ITEM CSL_CITATION {"citationID":"pVaMInUu","properties":{"formattedCitation":"\\super 87\\nosupersub{}","plainCitation":"87","noteIndex":0},"citationItems":[{"id":374,"uris":["http://zotero.org/users/11265134/items/M837RDRH"],"itemData":{"id":374,"type":"article-journal","abstract":"&lt;p&gt;Cancer is a genetic disease requiring multiple mutations for its development. However, many carcinogens are DNA-unreactive and nonmutagenic and consequently described as nongenotoxic. One of such carcinogens is nickel, a global environmental pollutant abundantly emitted by burning of coal. We investigated activation of DNA damage responses by Ni and identified this metal as a replication stressor. Genotoxic stress markers indicated the accumulation of ssDNA and stalled replication forks, and Ni-treated cells were dependent on ATR for suppression of DNA damage and long-term survival. Replication stress by Ni resulted from destabilization of RRM1 and RRM2 subunits of ribonucleotide reductase and the resulting deficiency in dNTPs. Ni also increased DNA incorporation of rNMPs (detected by a specific fluorescent assay) and strongly enhanced their genotoxicity as a result of repressed repair of TOP1-DNA protein crosslinks (TOP1-DPC). The DPC-trap assay found severely impaired SUMOylation and K48-polyubiquitination of DNA-crosslinked TOP1 due to downregulation of specific enzymes. Our findings identified Ni as the human carcinogen inducing genome instability &lt;i&gt;via&lt;/i&gt; DNA-embedded ribonucleotides and accumulation of TOP1-DPC which are carcinogenic abnormalities with poor detectability by the standard mutagenicity tests. The discovered mechanisms for Ni could also play a role in genotoxicity of other protein-reactive carcinogens.&lt;/p&gt;","container-title":"Journal of Biological Chemistry","DOI":"10.1016/j.jbc.2023.105385","ISSN":"0021-9258, 1083-351X","issue":"12","journalAbbreviation":"Journal of Biological Chemistry","language":"English","note":"publisher: Elsevier\nPMID: 37890780","source":"www.jbc.org","title":"Atypical genotoxicity of carcinogenic nickel(II): Linkage to dNTP biosynthesis, DNA-incorporated rNMPs, and impaired repair of TOP1-DNA crosslinks","title-short":"Atypical genotoxicity of carcinogenic nickel(II)","URL":"https://www.jbc.org/article/S0021-9258(23)02413-4/abstract","volume":"299","author":[{"family":"Krawic","given":"Casey"},{"family":"Luczak","given":"Michal W."},{"family":"Valiente","given":"Sophia"},{"family":"Zhitkovich","given":"Anatoly"}],"accessed":{"date-parts":[["2024",12,5]]},"issued":{"date-parts":[["2023",12,1]]}}}],"schema":"https://github.com/citation-style-language/schema/raw/master/csl-citation.json"} </w:instrText>
      </w:r>
      <w:r w:rsidR="00AA6910">
        <w:fldChar w:fldCharType="separate"/>
      </w:r>
      <w:r w:rsidR="004336A3" w:rsidRPr="004336A3">
        <w:rPr>
          <w:rFonts w:ascii="Calibri" w:hAnsi="Calibri" w:cs="Calibri"/>
          <w:szCs w:val="24"/>
          <w:vertAlign w:val="superscript"/>
        </w:rPr>
        <w:t>87</w:t>
      </w:r>
      <w:r w:rsidR="00AA6910">
        <w:fldChar w:fldCharType="end"/>
      </w:r>
      <w:r w:rsidR="00AA6910">
        <w:t xml:space="preserve">. </w:t>
      </w:r>
    </w:p>
    <w:p w14:paraId="08474A7C" w14:textId="61E84316" w:rsidR="002A29ED" w:rsidRDefault="002A29ED" w:rsidP="00A35340">
      <w:pPr>
        <w:pStyle w:val="Paragraphedeliste"/>
        <w:numPr>
          <w:ilvl w:val="0"/>
          <w:numId w:val="13"/>
        </w:numPr>
        <w:spacing w:after="0" w:line="324" w:lineRule="auto"/>
        <w:jc w:val="both"/>
      </w:pPr>
      <w:r w:rsidRPr="00760D81">
        <w:rPr>
          <w:b/>
          <w:bCs/>
        </w:rPr>
        <w:t xml:space="preserve">Binding to </w:t>
      </w:r>
      <w:r w:rsidR="000554ED" w:rsidRPr="00760D81">
        <w:rPr>
          <w:b/>
          <w:bCs/>
        </w:rPr>
        <w:t>t</w:t>
      </w:r>
      <w:r w:rsidRPr="00760D81">
        <w:rPr>
          <w:b/>
          <w:bCs/>
        </w:rPr>
        <w:t>opoisomerase II (</w:t>
      </w:r>
      <w:r w:rsidR="00380710">
        <w:rPr>
          <w:b/>
          <w:bCs/>
        </w:rPr>
        <w:t>TOPO2</w:t>
      </w:r>
      <w:r w:rsidRPr="00760D81">
        <w:rPr>
          <w:b/>
          <w:bCs/>
        </w:rPr>
        <w:t>) enzymes</w:t>
      </w:r>
      <w:r>
        <w:t xml:space="preserve"> (</w:t>
      </w:r>
      <w:hyperlink r:id="rId20" w:history="1">
        <w:r w:rsidRPr="00696753">
          <w:rPr>
            <w:rStyle w:val="Lienhypertexte"/>
          </w:rPr>
          <w:t>https://aopwiki.org/events/1252</w:t>
        </w:r>
      </w:hyperlink>
      <w:r>
        <w:t xml:space="preserve">, Figure 2 – MIE </w:t>
      </w:r>
      <w:r w:rsidR="0067126E">
        <w:t>9</w:t>
      </w:r>
      <w:r>
        <w:t>): T</w:t>
      </w:r>
      <w:r w:rsidR="00380710">
        <w:t>OPO2</w:t>
      </w:r>
      <w:r>
        <w:t xml:space="preserve"> enzymes</w:t>
      </w:r>
      <w:r w:rsidRPr="002475C4">
        <w:t xml:space="preserve"> are ubiquitous en</w:t>
      </w:r>
      <w:r w:rsidRPr="00670064">
        <w:t xml:space="preserve">zymes implicated in </w:t>
      </w:r>
      <w:r>
        <w:t>maintenance of the DNA integrity. Their function implies the transient formation of DNA double-strand breaks</w:t>
      </w:r>
      <w:r>
        <w:fldChar w:fldCharType="begin"/>
      </w:r>
      <w:r w:rsidR="004336A3">
        <w:instrText xml:space="preserve"> ADDIN ZOTERO_ITEM CSL_CITATION {"citationID":"eKtp8WWE","properties":{"formattedCitation":"\\super 88\\nosupersub{}","plainCitation":"88","noteIndex":0},"citationItems":[{"id":345,"uris":["http://zotero.org/users/11265134/items/3WTYPMWP"],"itemData":{"id":345,"type":"article-journal","abstract":"The gene encoding topoisomerase II in yeast is unique and essential, required for both mitotic and meiotic proliferation. The use of temperature-sensitive mutants in topoisomerase II have demonstrated roles in the relaxation of tortional stress, reduction of recombination rates, and in the separation of sister chromatids after replication. In vertebrate cells, topoisomerase II was shown to be the most abundant component of the metaphase chromosomal scaffold, and has been shown to play a role in chromosome condensationin vitro. The cell cycle control of chromosome condensation may well require phosphorylation of topoisomerase II, since the enzyme is more highly phosphorylated in metaphase than in G1. Recent studies have identified casein kinase II as the major enzyme phosphorylating topoisomerase II in intact yeast cells. The target sites of CKII are exclusively in the C-terminal 400 amino acids of topoisomerase II, the region that is most divergent among the eukaryotic type II enzymes and which is absent in the bacterial gyrase homologues.","container-title":"Antonie van Leeuwenhoek","DOI":"10.1007/BF00584459","ISSN":"1572-9699","issue":"1","journalAbbreviation":"Antonie van Leeuwenhoek","language":"en","page":"15-24","source":"Springer Link","title":"Topoisomerase II: its functions and phosphorylation","title-short":"Topoisomerase II","volume":"62","author":[{"family":"Gasser","given":"Susan M."},{"family":"Walter","given":"Robin"},{"family":"Dang","given":"Qi"},{"family":"Cardenas","given":"Maria E."}],"issued":{"date-parts":[["1992",8,1]]}}}],"schema":"https://github.com/citation-style-language/schema/raw/master/csl-citation.json"} </w:instrText>
      </w:r>
      <w:r>
        <w:fldChar w:fldCharType="separate"/>
      </w:r>
      <w:r w:rsidR="004336A3" w:rsidRPr="004336A3">
        <w:rPr>
          <w:rFonts w:ascii="Calibri" w:hAnsi="Calibri" w:cs="Calibri"/>
          <w:szCs w:val="24"/>
          <w:vertAlign w:val="superscript"/>
        </w:rPr>
        <w:t>88</w:t>
      </w:r>
      <w:r>
        <w:fldChar w:fldCharType="end"/>
      </w:r>
      <w:r>
        <w:t>, a process that becomes critical when being disturbed</w:t>
      </w:r>
      <w:r w:rsidR="00A41CC3">
        <w:fldChar w:fldCharType="begin"/>
      </w:r>
      <w:r w:rsidR="00A41CC3">
        <w:instrText xml:space="preserve"> ADDIN ZOTERO_ITEM CSL_CITATION {"citationID":"lQ9gHydl","properties":{"formattedCitation":"\\super 61,67,88\\nosupersub{}","plainCitation":"61,67,88","noteIndex":0},"citationItems":[{"id":370,"uris":["http://zotero.org/users/11265134/items/CEEITXV6"],"itemData":{"id":370,"type":"article-journal","abstract":"The present study was designed to determine and compare the clastogenicity of m-AMSA and camptothecin (CAMP) in vivo in mouse bone marrow and peripheral blood lymphocytes (PBLs), and in vitro in mouse lymphoma L5178Y cells. m-AMSA interferes with topoisomerase II to induce double-strand DNA breaks. CAMP interferes with topoisomerase I to induce single-strand DNA breaks. Thus, we expected the two drugs to induce different types of chromosomal aberrations (CAs). However, both drugs produced quantitatively and qualitatively similar numbers and types of aberrations under similar experimental conditions. In mouse bone marrow exposed over and 18-h period, both drugs (3 mg/kg) induced approximately 30 damaged cells, with an average of 0.4 chromatid breaks per cell (in 100 cells analyzed/mouse). In addition, both drugs induced only chromatid-type aberrations in mouse bone marrow in vivo when exposure occurred during G2. Cell cycle specificity was indicated by the absence of CAs when exposure to the drugs occurred in vivo in mouse PBLs during G0. In L5178Y cells, m-AMSA was considerably more potent for the induction of mutations and somewhat more potent for the induction of CAs than CAMP was. In contrast to the in vivo bone marrow results, the drugs induced high levels of both chromatid- and chromosome-type aberrations in vitro. The ultimate types of chromosomal damage induced by m-AMSA and CAMP result from a complex interaction of (i) cell cycle specific variations in topoisomerase enzyme levels, (ii) the abilities of these drugs to interfere with the orderly DNA breakage/reunion associated with topoisomerase activity, and (iii) the processing of the damage resulting from these interactions.","container-title":"Mutagenesis","DOI":"10.1093/mutage/5.6.541","ISSN":"0267-8357","issue":"6","journalAbbreviation":"Mutagenesis","language":"eng","note":"PMID: 2175833","page":"541-547","source":"PubMed","title":"Genotoxicity of inhibitors of DNA topoisomerases I (camptothecin) and II (m-AMSA) in vivo and in vitro","volume":"5","author":[{"family":"Backer","given":"L. C."},{"family":"Allen","given":"J. W."},{"family":"Harrington-Brock","given":"K."},{"family":"Campbell","given":"J. A."},{"family":"DeMarini","given":"D. M."},{"family":"Doerr","given":"C. L."},{"family":"Howard","given":"D. R."},{"family":"Kligerman","given":"A. D."},{"family":"Moore","given":"M. M."}],"issued":{"date-parts":[["1990",11]]}}},{"id":537,"uris":["http://zotero.org/users/11265134/items/STP9N62H"],"itemData":{"id":537,"type":"article-journal","abstract":"DNA topoisomerase II is an essential nuclear enzyme that modulates DNA topology during multiple cellular processes such as DNA replication and chromosome segregation. Several important clinical antitumor drugs and antibiotics act through inhibition of topoisomerase II. There are a number of different steps in the action of topoisomerase II, all of which are potential targets for inhibition through drugs and also for cellular and genetic toxicity as well as for mutagenesis. We have investigated and compared the genotoxicity and mutagenicity of the mechanistically different topoisomerase II inhibitors m-amsacrine, mitoxantrone, etoposide, genistein, ICRF 193, and berenil using the in vitro micronucleus test, single cell gelelectrophoresis (comet assay) and the mutation assay (tk-locus) in L5178Y mouse lymphoma cells. All six compounds induced micronuclei and all except berenil were mutagenic. M-amsacrine, mitoxantrone, etopside and genistein induced DNA migration in the comet assay, whereas ICRF 193 was only weakly positive and berenil was negative in this test. Our results are in good agreement with the compounds’ proposed mechanisms of interaction with topoisomerase II.","container-title":"Toxicology Letters","DOI":"10.1016/S0378-4274(00)00192-2","ISSN":"0378-4274","issue":"1","journalAbbreviation":"Toxicology Letters","page":"7-16","source":"ScienceDirect","title":"Genotoxicity of several clinically used topoisomerase II inhibitors","volume":"116","author":[{"family":"Boos","given":"Gunther"},{"family":"Stopper","given":"Helga"}],"issued":{"date-parts":[["2000",7,27]]}}},{"id":345,"uris":["http://zotero.org/users/11265134/items/3WTYPMWP"],"itemData":{"id":345,"type":"article-journal","abstract":"The gene encoding topoisomerase II in yeast is unique and essential, required for both mitotic and meiotic proliferation. The use of temperature-sensitive mutants in topoisomerase II have demonstrated roles in the relaxation of tortional stress, reduction of recombination rates, and in the separation of sister chromatids after replication. In vertebrate cells, topoisomerase II was shown to be the most abundant component of the metaphase chromosomal scaffold, and has been shown to play a role in chromosome condensationin vitro. The cell cycle control of chromosome condensation may well require phosphorylation of topoisomerase II, since the enzyme is more highly phosphorylated in metaphase than in G1. Recent studies have identified casein kinase II as the major enzyme phosphorylating topoisomerase II in intact yeast cells. The target sites of CKII are exclusively in the C-terminal 400 amino acids of topoisomerase II, the region that is most divergent among the eukaryotic type II enzymes and which is absent in the bacterial gyrase homologues.","container-title":"Antonie van Leeuwenhoek","DOI":"10.1007/BF00584459","ISSN":"1572-9699","issue":"1","journalAbbreviation":"Antonie van Leeuwenhoek","language":"en","page":"15-24","source":"Springer Link","title":"Topoisomerase II: its functions and phosphorylation","title-short":"Topoisomerase II","volume":"62","author":[{"family":"Gasser","given":"Susan M."},{"family":"Walter","given":"Robin"},{"family":"Dang","given":"Qi"},{"family":"Cardenas","given":"Maria E."}],"issued":{"date-parts":[["1992",8,1]]}}}],"schema":"https://github.com/citation-style-language/schema/raw/master/csl-citation.json"} </w:instrText>
      </w:r>
      <w:r w:rsidR="00A41CC3">
        <w:fldChar w:fldCharType="separate"/>
      </w:r>
      <w:r w:rsidR="00A41CC3" w:rsidRPr="00A41CC3">
        <w:rPr>
          <w:rFonts w:ascii="Calibri" w:hAnsi="Calibri" w:cs="Calibri"/>
          <w:szCs w:val="24"/>
          <w:vertAlign w:val="superscript"/>
        </w:rPr>
        <w:t>61,67,88</w:t>
      </w:r>
      <w:r w:rsidR="00A41CC3">
        <w:fldChar w:fldCharType="end"/>
      </w:r>
      <w:r>
        <w:t xml:space="preserve">. </w:t>
      </w:r>
    </w:p>
    <w:p w14:paraId="1D5C55B0" w14:textId="6A49F0C7" w:rsidR="00953678" w:rsidRDefault="002A29ED" w:rsidP="00A35340">
      <w:pPr>
        <w:pStyle w:val="Paragraphedeliste"/>
        <w:numPr>
          <w:ilvl w:val="0"/>
          <w:numId w:val="13"/>
        </w:numPr>
        <w:spacing w:after="0" w:line="324" w:lineRule="auto"/>
        <w:jc w:val="both"/>
      </w:pPr>
      <w:r w:rsidRPr="00953678">
        <w:rPr>
          <w:b/>
          <w:bCs/>
        </w:rPr>
        <w:lastRenderedPageBreak/>
        <w:t xml:space="preserve">“Formation, DNA interstrand crosslinks” </w:t>
      </w:r>
      <w:r>
        <w:t xml:space="preserve">(Figure 2 – MIE </w:t>
      </w:r>
      <w:r w:rsidR="0067126E">
        <w:t>8</w:t>
      </w:r>
      <w:r w:rsidR="00953678" w:rsidRPr="00953678">
        <w:t>): Interstrand DNA crosslinks</w:t>
      </w:r>
      <w:r w:rsidR="00953678" w:rsidRPr="008C14D6">
        <w:t xml:space="preserve"> (ICLs) are lesions characterized by covalent bonds forming between the opposite strands of double-stranded</w:t>
      </w:r>
      <w:r w:rsidR="00953678">
        <w:t xml:space="preserve"> DNA</w:t>
      </w:r>
      <w:r w:rsidR="00953678">
        <w:fldChar w:fldCharType="begin"/>
      </w:r>
      <w:r w:rsidR="004336A3">
        <w:instrText xml:space="preserve"> ADDIN ZOTERO_ITEM CSL_CITATION {"citationID":"SmC2xNj3","properties":{"formattedCitation":"\\super 55\\uc0\\u8211{}57\\nosupersub{}","plainCitation":"55–57","noteIndex":0},"citationItems":[{"id":267,"uris":["http://zotero.org/users/11265134/items/9WC7GX64"],"itemData":{"id":267,"type":"article-journal","abstract":"Human RECQL4 is a member of the RecQ family of DNA helicases and functions during DNA replication and repair. RECQL4 mutations are associated with developmental defects and cancer. Although RECQL4 mutations lead to disease, RECQL4 overexpression is also observed in cancer, including breast and prostate. Thus, tight regulation of RECQL4 protein levels is crucial for genome stability. Because mammalian RECQL4 is essential, how cells regulate RECQL4 protein levels is largely unknown. Utilizing budding yeast, we investigated the RECQL4 homolog, HRQ1, during DNA crosslink repair. We find that Hrq1 functions in the error-free template switching pathway to mediate DNA intrastrand crosslink repair. Although Hrq1 mediates repair of cisplatin-induced lesions, it is paradoxically degraded by the proteasome following cisplatin treatment. By identifying the targeted lysine residues, we show that preventing Hrq1 degradation results in increased recombination and mutagenesis. Like yeast, human RECQL4 is similarly degraded upon exposure to crosslinking agents. Furthermore, over-expression of RECQL4 results in increased RAD51 foci, which is dependent on its helicase activity. Using bioinformatic analysis, we observe that RECQL4 overexpression correlates with increased recombination and mutations. Overall, our study uncovers a role for Hrq1/RECQL4 in DNA intrastrand crosslink repair and provides further insight how misregulation of RECQL4 can promote genomic instability, a cancer hallmark.","container-title":"PLOS Genetics","DOI":"10.1371/journal.pgen.1010122","ISSN":"1553-7404","issue":"9","journalAbbreviation":"PLOS Genetics","language":"en","note":"publisher: Public Library of Science","page":"e1010122","source":"PLoS Journals","title":"Hrq1/RECQL4 regulation is critical for preventing aberrant recombination during DNA intrastrand crosslink repair and is upregulated in breast cancer","volume":"18","author":[{"family":"Luong","given":"Thong T."},{"family":"Li","given":"Zheqi"},{"family":"Priedigkeit","given":"Nolan"},{"family":"Parker","given":"Phoebe S."},{"family":"Böhm","given":"Stefanie"},{"family":"Rapchak","given":"Kyle"},{"family":"Lee","given":"Adrian V."},{"family":"Bernstein","given":"Kara A."}],"issued":{"date-parts":[["2022",9,20]]}}},{"id":539,"uris":["http://zotero.org/users/11265134/items/9R9F2274"],"itemData":{"id":539,"type":"article-journal","abstract":"Interstrand DNA crosslinks (ICLs) are the link between Watson-Crick strands of DNAs with the covalent bond and prevent separation of DNA strands. Since the ICL lesion affects both strands of the DNA, the ICL repair is not simple. So far, nucleotide excision repair (NER), structure-specific endonucleases, translesion DNA synthesis (TLS), homologous recombination (HR), and factors responsible for Fanconi anemia (FA) are identified to be involved in ICL repair. Since the presence of ICL lesions causes severe defects in transcription and DNA replication, mutations in these DNA repair pathways give rise to a various hereditary disorders. NER plays an important role for the ICL recognition and removal in quiescent cells, and defects of NER causes congential progeria syndrome, such as xeroderma pigmentosum, Cockayne syndrome, and trichothiodystrophy. On the other hand, the ICL repair in S phase requires more complicated orchestration of multiple factors, including structure-specific endonucleases, and TLS, and HR. Disturbed this ICL repair orchestration in S phase causes genome instability resulting a cancer prone disease, Fanconi anemia. So far more than 30 factors in ICL repair have already identified. Recently, a new factor, UHRF1, was discovered as a sensor of ICLs. In addition to this, numbers of nucleases that are involved in the first incision, also called unhooking, of ICL lesions have also been identified. Here we summarize the recent studies of ICL associated disorders and repair mechanism, with emphasis in the first incision of ICLs.","container-title":"Genes and Environment","DOI":"10.1186/s41021-016-0037-9","ISSN":"1880-7062","issue":"1","journalAbbreviation":"Genes and Environment","page":"9","source":"BioMed Central","title":"Mechanisms of interstrand DNA crosslink repair and human disorders","volume":"38","author":[{"family":"Hashimoto","given":"Satoru"},{"family":"Anai","given":"Hirofumi"},{"family":"Hanada","given":"Katsuhiro"}],"issued":{"date-parts":[["2016",5,1]]}}},{"id":542,"uris":["http://zotero.org/users/11265134/items/W6QPKLJN"],"itemData":{"id":542,"type":"article-journal","abstract":"DNA interstrand cross-links (ICLs) are very toxic to dividing cells, because they induce mutations, chromosomal rearrangements and cell death. Inducers of ICLs are important drugs in cancer treatment. We discuss the main properties of several classes of ICL agents and the types of damage they induce. The current insights in ICL repair in bacteria, yeast and mammalian cells are reviewed. An intriguing aspect of ICLs is that a number of multi-step DNA repair pathways including nucleotide excision repair, homologous recombination and post-replication/translesion repair all impinge on their repair. Furthermore, the breast cancer-associated proteins Brca1 and Brca2, the Fanconi anemia-associated FANC proteins, and cell cycle checkpoint proteins are involved in regulating the cellular response to ICLs. We depict several models that describe possible pathways for the repair or replicational bypass of ICLs.","container-title":"Mutation Research/DNA Repair","DOI":"10.1016/S0921-8777(01)00092-1","ISSN":"0921-8777","issue":"4","journalAbbreviation":"Mutation Research/DNA Repair","page":"217-247","source":"ScienceDirect","title":"Repair of DNA interstrand cross-links","volume":"486","author":[{"family":"Dronkert","given":"Mies L. G"},{"family":"Kanaar","given":"Roland"}],"issued":{"date-parts":[["2001",9,4]]}}}],"schema":"https://github.com/citation-style-language/schema/raw/master/csl-citation.json"} </w:instrText>
      </w:r>
      <w:r w:rsidR="00953678">
        <w:fldChar w:fldCharType="separate"/>
      </w:r>
      <w:r w:rsidR="004336A3" w:rsidRPr="004336A3">
        <w:rPr>
          <w:rFonts w:ascii="Calibri" w:hAnsi="Calibri" w:cs="Calibri"/>
          <w:szCs w:val="24"/>
          <w:vertAlign w:val="superscript"/>
        </w:rPr>
        <w:t>55–57</w:t>
      </w:r>
      <w:r w:rsidR="00953678">
        <w:fldChar w:fldCharType="end"/>
      </w:r>
      <w:r w:rsidR="00953678">
        <w:t xml:space="preserve">. </w:t>
      </w:r>
    </w:p>
    <w:p w14:paraId="3473F695" w14:textId="277E6301" w:rsidR="005B0CAE" w:rsidRDefault="002A29ED" w:rsidP="00A35340">
      <w:pPr>
        <w:pStyle w:val="Paragraphedeliste"/>
        <w:numPr>
          <w:ilvl w:val="0"/>
          <w:numId w:val="13"/>
        </w:numPr>
        <w:spacing w:after="0" w:line="324" w:lineRule="auto"/>
        <w:jc w:val="both"/>
      </w:pPr>
      <w:r w:rsidRPr="00953678">
        <w:rPr>
          <w:b/>
          <w:bCs/>
        </w:rPr>
        <w:t xml:space="preserve">“Deposition of energy” </w:t>
      </w:r>
      <w:r>
        <w:t>(</w:t>
      </w:r>
      <w:hyperlink r:id="rId21" w:history="1">
        <w:r w:rsidR="00704540" w:rsidRPr="005219EB">
          <w:rPr>
            <w:rStyle w:val="Lienhypertexte"/>
          </w:rPr>
          <w:t>https://aopwiki.org/events/1686</w:t>
        </w:r>
      </w:hyperlink>
      <w:r w:rsidR="00704540">
        <w:t xml:space="preserve">, </w:t>
      </w:r>
      <w:r>
        <w:t xml:space="preserve">Figure 2 – MIE 10): </w:t>
      </w:r>
      <w:r w:rsidR="00704540" w:rsidRPr="00704540">
        <w:t>Ionizing radiation can cause the ejection of electrons from atoms and molecules, thereby resulting in their ionization and the breakage of chemical bonds.</w:t>
      </w:r>
      <w:r w:rsidR="00704540">
        <w:t xml:space="preserve"> </w:t>
      </w:r>
      <w:r w:rsidR="005E0DD0">
        <w:t>Ionizing e</w:t>
      </w:r>
      <w:r w:rsidR="005E0DD0" w:rsidRPr="005E0DD0">
        <w:t xml:space="preserve">nergy can cause multiple ionization events targeting </w:t>
      </w:r>
      <w:r w:rsidR="005E0DD0">
        <w:t xml:space="preserve">several </w:t>
      </w:r>
      <w:r w:rsidR="005E0DD0" w:rsidRPr="005E0DD0">
        <w:t xml:space="preserve">structures </w:t>
      </w:r>
      <w:r w:rsidR="005E0DD0">
        <w:t>in a cell including</w:t>
      </w:r>
      <w:r w:rsidR="005E0DD0" w:rsidRPr="005E0DD0">
        <w:t xml:space="preserve"> DNA. Th</w:t>
      </w:r>
      <w:r w:rsidR="00704540">
        <w:t>e breakage of chemical bonds</w:t>
      </w:r>
      <w:r w:rsidR="005E0DD0" w:rsidRPr="005E0DD0">
        <w:t xml:space="preserve"> can result in DNA double-strand breaks</w:t>
      </w:r>
      <w:r w:rsidR="00A41CC3">
        <w:fldChar w:fldCharType="begin"/>
      </w:r>
      <w:r w:rsidR="00A41CC3">
        <w:instrText xml:space="preserve"> ADDIN ZOTERO_ITEM CSL_CITATION {"citationID":"Huha6UOv","properties":{"formattedCitation":"\\super 89\\nosupersub{}","plainCitation":"89","noteIndex":0},"citationItems":[{"id":582,"uris":["http://zotero.org/users/11265134/items/W8IPKJ7X"],"itemData":{"id":582,"type":"article-journal","abstract":"Biological dosimetry of ionizing radiation (IR) exposure relies on validated cytogenetic tests measuring the frequencies of micronuclei (MN) and dicentric chromosomes (DC). IR also causes oxidative damage of biomolecules, including DNA. We evaluated IR-induced genotoxic and oxidative damage in a carefully defined cohort of healthy donors, reducing confounding factors as much as possible. Frequencies of MN and DC (peripheral blood lymphocyte cultures) and oxidative stress parameters (plasma) were quantified. We observed dose dependence of both cytogenetic and biochemical endpoints, independent of age, sex, and smoking habits. Oxidative stress parameters, especially oxidative stress index, malondialdehyde, advanced oxidation protein products, and catalase, may be used confidently to assess IR-induced damage, if cytogenetic results are unavailable.","container-title":"Mutation Research/Genetic Toxicology and Environmental Mutagenesis","DOI":"10.1016/j.mrgentox.2021.503313","ISSN":"1383-5718","journalAbbreviation":"Mutation Research/Genetic Toxicology and Environmental Mutagenesis","page":"503313","source":"ScienceDirect","title":"Ionizing radiation-induced genotoxic and oxidative damage in peripheral lymphocytes and plasma of healthy donors","volume":"863-864","author":[{"family":"Pajic","given":"J."},{"family":"Rovcanin","given":"B."}],"issued":{"date-parts":[["2021",3,1]]}}}],"schema":"https://github.com/citation-style-language/schema/raw/master/csl-citation.json"} </w:instrText>
      </w:r>
      <w:r w:rsidR="00A41CC3">
        <w:fldChar w:fldCharType="separate"/>
      </w:r>
      <w:r w:rsidR="00A41CC3" w:rsidRPr="00A41CC3">
        <w:rPr>
          <w:rFonts w:ascii="Calibri" w:hAnsi="Calibri" w:cs="Calibri"/>
          <w:szCs w:val="24"/>
          <w:vertAlign w:val="superscript"/>
        </w:rPr>
        <w:t>89</w:t>
      </w:r>
      <w:r w:rsidR="00A41CC3">
        <w:fldChar w:fldCharType="end"/>
      </w:r>
      <w:r w:rsidR="005E0DD0" w:rsidRPr="005E0DD0">
        <w:t>.</w:t>
      </w:r>
    </w:p>
    <w:p w14:paraId="24244B3A" w14:textId="3CF1F5E7" w:rsidR="00D0503C" w:rsidRDefault="00D0503C" w:rsidP="00F54499">
      <w:pPr>
        <w:spacing w:after="0" w:line="324" w:lineRule="auto"/>
        <w:jc w:val="both"/>
      </w:pPr>
    </w:p>
    <w:p w14:paraId="297373F7" w14:textId="3443FB9F" w:rsidR="00262A3A" w:rsidRDefault="00262A3A" w:rsidP="00F54499">
      <w:pPr>
        <w:spacing w:after="0" w:line="324" w:lineRule="auto"/>
        <w:jc w:val="both"/>
      </w:pPr>
      <w:r>
        <w:t xml:space="preserve">All these MIEs will lead to changes in the DNA structure </w:t>
      </w:r>
      <w:r w:rsidRPr="00262A3A">
        <w:t xml:space="preserve">in the form of different </w:t>
      </w:r>
      <w:r>
        <w:t xml:space="preserve">lesion </w:t>
      </w:r>
      <w:r w:rsidRPr="00262A3A">
        <w:t>types</w:t>
      </w:r>
      <w:r w:rsidR="00036781">
        <w:t xml:space="preserve"> or by disturbing transcription and replication processes</w:t>
      </w:r>
      <w:r w:rsidR="006B3516">
        <w:t xml:space="preserve">. </w:t>
      </w:r>
      <w:r w:rsidR="00036781">
        <w:t xml:space="preserve"> </w:t>
      </w:r>
      <w:r w:rsidR="006B3516">
        <w:t>These critical situations for the cell</w:t>
      </w:r>
      <w:r w:rsidR="00036781">
        <w:t xml:space="preserve"> </w:t>
      </w:r>
      <w:r w:rsidR="00D5564D">
        <w:t>are</w:t>
      </w:r>
      <w:r w:rsidR="00036781">
        <w:t xml:space="preserve"> represented by the following intermediate </w:t>
      </w:r>
      <w:r w:rsidR="006A5A03">
        <w:t>KEs</w:t>
      </w:r>
      <w:r w:rsidR="00036781">
        <w:t xml:space="preserve">. </w:t>
      </w:r>
    </w:p>
    <w:p w14:paraId="3C2A82ED" w14:textId="77777777" w:rsidR="008D71AA" w:rsidRDefault="008D71AA" w:rsidP="00F54499">
      <w:pPr>
        <w:spacing w:after="0" w:line="324" w:lineRule="auto"/>
        <w:jc w:val="both"/>
      </w:pPr>
    </w:p>
    <w:p w14:paraId="33E40DCF" w14:textId="468C12CC" w:rsidR="00262A3A" w:rsidRDefault="00036781" w:rsidP="00262A3A">
      <w:pPr>
        <w:pStyle w:val="Paragraphedeliste"/>
        <w:numPr>
          <w:ilvl w:val="0"/>
          <w:numId w:val="28"/>
        </w:numPr>
        <w:spacing w:after="0" w:line="324" w:lineRule="auto"/>
        <w:jc w:val="both"/>
      </w:pPr>
      <w:r>
        <w:rPr>
          <w:b/>
          <w:bCs/>
        </w:rPr>
        <w:t>Increase, s</w:t>
      </w:r>
      <w:r w:rsidR="00262A3A" w:rsidRPr="00E130B1">
        <w:rPr>
          <w:b/>
          <w:bCs/>
        </w:rPr>
        <w:t xml:space="preserve">mall </w:t>
      </w:r>
      <w:r w:rsidR="00262A3A">
        <w:rPr>
          <w:b/>
          <w:bCs/>
        </w:rPr>
        <w:t xml:space="preserve">DNA </w:t>
      </w:r>
      <w:r w:rsidR="00262A3A" w:rsidRPr="00E130B1">
        <w:rPr>
          <w:b/>
          <w:bCs/>
        </w:rPr>
        <w:t>base modifications</w:t>
      </w:r>
      <w:r>
        <w:t xml:space="preserve"> (Figure 2 – KE 1</w:t>
      </w:r>
      <w:r w:rsidR="006923CB">
        <w:t>4</w:t>
      </w:r>
      <w:r>
        <w:t>): C</w:t>
      </w:r>
      <w:r w:rsidR="00262A3A">
        <w:t xml:space="preserve">hemical alterations to individual nucleobases </w:t>
      </w:r>
      <w:r w:rsidR="00D5564D">
        <w:t>may</w:t>
      </w:r>
      <w:r w:rsidR="00262A3A">
        <w:t xml:space="preserve"> disrupt base pairing and compromise genomic integrity. These modifications are typically caused by endogenous metabolic processes or environmental factors such as RO</w:t>
      </w:r>
      <w:r w:rsidR="00D65837">
        <w:t>N</w:t>
      </w:r>
      <w:r w:rsidR="00262A3A">
        <w:t>S</w:t>
      </w:r>
      <w:r w:rsidR="002D7504">
        <w:t xml:space="preserve"> (MIE 2)</w:t>
      </w:r>
      <w:r w:rsidR="00262A3A">
        <w:t xml:space="preserve"> and alkylating agents</w:t>
      </w:r>
      <w:r w:rsidR="002D7504">
        <w:t xml:space="preserve"> (MIE 1)</w:t>
      </w:r>
      <w:r w:rsidR="00262A3A">
        <w:t>.</w:t>
      </w:r>
    </w:p>
    <w:p w14:paraId="4EF28B99" w14:textId="01FE21EC" w:rsidR="00262A3A" w:rsidRDefault="00262A3A" w:rsidP="00262A3A">
      <w:pPr>
        <w:pStyle w:val="Paragraphedeliste"/>
        <w:numPr>
          <w:ilvl w:val="1"/>
          <w:numId w:val="28"/>
        </w:numPr>
        <w:spacing w:after="0" w:line="324" w:lineRule="auto"/>
        <w:jc w:val="both"/>
      </w:pPr>
      <w:r>
        <w:t>Oxidative damage</w:t>
      </w:r>
      <w:r w:rsidR="001B701E">
        <w:t xml:space="preserve"> (</w:t>
      </w:r>
      <w:hyperlink r:id="rId22" w:history="1">
        <w:r w:rsidR="001B701E" w:rsidRPr="005219EB">
          <w:rPr>
            <w:rStyle w:val="Lienhypertexte"/>
          </w:rPr>
          <w:t>https://aopwiki.org/events/1634</w:t>
        </w:r>
      </w:hyperlink>
      <w:r w:rsidR="001B701E">
        <w:t>):</w:t>
      </w:r>
      <w:r>
        <w:t xml:space="preserve"> RO</w:t>
      </w:r>
      <w:r w:rsidR="001B701E">
        <w:t>N</w:t>
      </w:r>
      <w:r>
        <w:t>S can oxidize guanine to form 8-oxo-7,8-dihydroguanine (8-oxoG), which can mispair with adenine, leading to transversion mutations</w:t>
      </w:r>
      <w:r>
        <w:fldChar w:fldCharType="begin"/>
      </w:r>
      <w:r w:rsidR="004336A3">
        <w:instrText xml:space="preserve"> ADDIN ZOTERO_ITEM CSL_CITATION {"citationID":"WkUE26fb","properties":{"formattedCitation":"\\super 73\\nosupersub{}","plainCitation":"73","noteIndex":0},"citationItems":[{"id":326,"uris":["http://zotero.org/users/11265134/items/QB3FKVEL"],"itemData":{"id":326,"type":"article-journal","abstract":"8-hydroxy-2'-deoxyguanosine (8-OH-dG) was first reported in 1984 as a major form of oxidative DNA damage product by heated sugar, Fenton-type reagents and X-irradiation in vitro. 8-OH-dG has been detected in cellular DNA using an HPLC-ECD method in many laboratories. Analyses of 8-OH-dG in animal organ DNA alter the administration of oxygen radical-forming chemicals will be useful for assessments of their carcinogenic risk. Its analysis in human leucocyte DNA and in urine is a new approach to the assessment of an individual's cancer risk due to oxidative stress. The increase of the 8-OH-dG level in the cellular DNA, detected by HPLC-ECD method, was supported by its immunochemical detection and its enhanced repair activity. The validity of the general use of 8-OH-dG as a marker of cellular oxidative stress is discussed.","archive":"Scopus","container-title":"Mutation Research - Reviews in Mutation Research","DOI":"10.1016/S1383-5742(97)00035-5","issue":"3","page":"147-163","source":"Scopus","title":"Analysis of a form of oxidative DNA damage, 8-hydroxy-2'-deoxyguanosine, as a marker of cellular oxidative stress during carcinogenesis","volume":"387","author":[{"family":"Kasai","given":"H."}],"issued":{"date-parts":[["1997"]]}}}],"schema":"https://github.com/citation-style-language/schema/raw/master/csl-citation.json"} </w:instrText>
      </w:r>
      <w:r>
        <w:fldChar w:fldCharType="separate"/>
      </w:r>
      <w:r w:rsidR="004336A3" w:rsidRPr="004336A3">
        <w:rPr>
          <w:rFonts w:ascii="Calibri" w:hAnsi="Calibri" w:cs="Calibri"/>
          <w:szCs w:val="24"/>
          <w:vertAlign w:val="superscript"/>
        </w:rPr>
        <w:t>73</w:t>
      </w:r>
      <w:r>
        <w:fldChar w:fldCharType="end"/>
      </w:r>
      <w:r>
        <w:t>.</w:t>
      </w:r>
    </w:p>
    <w:p w14:paraId="49E25EC6" w14:textId="2AA6F354" w:rsidR="00262A3A" w:rsidRDefault="00262A3A" w:rsidP="00262A3A">
      <w:pPr>
        <w:pStyle w:val="Paragraphedeliste"/>
        <w:numPr>
          <w:ilvl w:val="1"/>
          <w:numId w:val="28"/>
        </w:numPr>
        <w:spacing w:after="0" w:line="324" w:lineRule="auto"/>
        <w:jc w:val="both"/>
      </w:pPr>
      <w:r>
        <w:t>Alkylation: Alkylating agents can add alkyl groups to bases, such as forming 7-methylguanine or O6-methylguanine, which can disrupt normal base pairing and result in miscoding during replication</w:t>
      </w:r>
      <w:r>
        <w:fldChar w:fldCharType="begin"/>
      </w:r>
      <w:r w:rsidR="004336A3">
        <w:instrText xml:space="preserve"> ADDIN ZOTERO_ITEM CSL_CITATION {"citationID":"hGzkXK0v","properties":{"formattedCitation":"\\super 72\\nosupersub{}","plainCitation":"72","noteIndex":0},"citationItems":[{"id":297,"uris":["http://zotero.org/users/11265134/items/VH7IWA7E"],"itemData":{"id":297,"type":"article-journal","abstract":"Nitrosamines occur widespread in food, drinking water, cosmetics, as well as tobacco smoke and can arise endogenously. More recently, nitrosamines have been detected as impurities in various drugs. This is of particular concern as nitrosamines are alkylating agents that are genotoxic and carcinogenic. We first summarize the current knowledge on the different sources and chemical nature of alkylating agents with a focus on relevant nitrosamines. Subsequently, we present the major DNA alkylation adducts induced by nitrosamines upon their metabolic activation by CYP450 monooxygenases. We then describe the DNA repair pathways engaged by the various DNA alkylation adducts, which include base excision repair, direct damage reversal by MGMT and ALKBH, as well as nucleotide excision repair. Their roles in the protection against the genotoxic and carcinogenic effects of nitrosamines are highlighted. Finally, we address DNA translesion synthesis as a DNA damage tolerance mechanism relevant to DNA alkylation adducts.","container-title":"International Journal of Molecular Sciences","DOI":"10.3390/ijms24054684","ISSN":"1422-0067","issue":"5","language":"en","license":"http://creativecommons.org/licenses/by/3.0/","note":"number: 5\npublisher: Multidisciplinary Digital Publishing Institute","page":"4684","source":"www.mdpi.com","title":"DNA Alkylation Damage by Nitrosamines and Relevant DNA Repair Pathways","volume":"24","author":[{"family":"Fahrer","given":"Jörg"},{"family":"Christmann","given":"Markus"}],"issued":{"date-parts":[["2023",1]]}}}],"schema":"https://github.com/citation-style-language/schema/raw/master/csl-citation.json"} </w:instrText>
      </w:r>
      <w:r>
        <w:fldChar w:fldCharType="separate"/>
      </w:r>
      <w:r w:rsidR="004336A3" w:rsidRPr="004336A3">
        <w:rPr>
          <w:rFonts w:ascii="Calibri" w:hAnsi="Calibri" w:cs="Calibri"/>
          <w:szCs w:val="24"/>
          <w:vertAlign w:val="superscript"/>
        </w:rPr>
        <w:t>72</w:t>
      </w:r>
      <w:r>
        <w:fldChar w:fldCharType="end"/>
      </w:r>
      <w:r>
        <w:t>.</w:t>
      </w:r>
    </w:p>
    <w:p w14:paraId="61D1A0B9" w14:textId="574BAB45" w:rsidR="00BF1810" w:rsidRDefault="00BF1810" w:rsidP="00BF1810">
      <w:pPr>
        <w:pStyle w:val="Paragraphedeliste"/>
        <w:spacing w:after="0" w:line="324" w:lineRule="auto"/>
        <w:ind w:left="360"/>
        <w:jc w:val="both"/>
      </w:pPr>
    </w:p>
    <w:p w14:paraId="783C8CA8" w14:textId="0CF64EA3" w:rsidR="001B701E" w:rsidRPr="00BF1810" w:rsidRDefault="002017C4" w:rsidP="00A35340">
      <w:pPr>
        <w:pStyle w:val="Paragraphedeliste"/>
        <w:numPr>
          <w:ilvl w:val="0"/>
          <w:numId w:val="28"/>
        </w:numPr>
        <w:spacing w:after="0" w:line="324" w:lineRule="auto"/>
        <w:jc w:val="both"/>
        <w:rPr>
          <w:b/>
          <w:bCs/>
        </w:rPr>
      </w:pPr>
      <w:r w:rsidRPr="001B701E">
        <w:rPr>
          <w:b/>
          <w:bCs/>
        </w:rPr>
        <w:t xml:space="preserve">Increase, Misinsertion of dNTPs </w:t>
      </w:r>
      <w:r>
        <w:t>(Figure 2 – KE 1</w:t>
      </w:r>
      <w:r w:rsidR="006923CB">
        <w:t>2</w:t>
      </w:r>
      <w:r>
        <w:t xml:space="preserve">): </w:t>
      </w:r>
      <w:r w:rsidR="00D5564D">
        <w:t>When the homeostasis of the dNTP pool is disturbed,</w:t>
      </w:r>
      <w:r w:rsidR="00622E26">
        <w:t xml:space="preserve"> </w:t>
      </w:r>
      <w:r w:rsidR="001B701E">
        <w:t>dNTP may be incorrectly inserted in the newly generated DNA strand</w:t>
      </w:r>
      <w:r w:rsidR="001B701E">
        <w:fldChar w:fldCharType="begin"/>
      </w:r>
      <w:r w:rsidR="00A41CC3">
        <w:instrText xml:space="preserve"> ADDIN ZOTERO_ITEM CSL_CITATION {"citationID":"MwqDwYys","properties":{"formattedCitation":"\\super 86,90\\nosupersub{}","plainCitation":"86,90","noteIndex":0},"citationItems":[{"id":397,"uris":["http://zotero.org/users/11265134/items/KC4ZBS9P"],"itemData":{"id":397,"type":"article-journal","abstract":"The mechanisms by which imbalanced dNTPs induce mutations have been well characterized within a test tube, but not in vivo. We have examined mechanisms by which dNTP imbalances induce genome instability in strains of Saccharomyces cerevisiae with different amino acid substitutions in Rnr1, the large subunit of ribonucleotide reductase. These strains have different dNTP imbalances that correlate with elevated CAN1 mutation rates, with both substitution and insertion–deletion rates increasing by 10- to 300-fold. The locations of the mutations in a strain with elevated dTTP and dCTP are completely different from those in a strain with elevated dATP and dGTP. Thus, imbalanced dNTPs reduce genome stability in a manner that is highly dependent on the nature and degree of the imbalance. Mutagenesis is enhanced despite the availability of proofreading and mismatch repair. The mutations can be explained by imbalanced dNTP-induced increases in misinsertion, strand misalignment and mismatch extension at the expense of proofreading. This implies that the relative dNTP concentrations measured in extracts are truly available to a replication fork in vivo. An interesting mutational strand bias is observed in one rnr1 strain, suggesting that the S-phase checkpoint selectively prevents replication errors during leading strand replication.","container-title":"Nucleic Acids Research","DOI":"10.1093/nar/gkq829","ISSN":"0305-1048","issue":"4","journalAbbreviation":"Nucleic Acids Research","page":"1360-1371","source":"Silverchair","title":"Mechanisms of mutagenesis in vivo due to imbalanced dNTP pools","volume":"39","author":[{"family":"Kumar","given":"Dinesh"},{"family":"Abdulovic","given":"Amy L."},{"family":"Viberg","given":"Jörgen"},{"family":"Nilsson","given":"Anna Karin"},{"family":"Kunkel","given":"Thomas A."},{"family":"Chabes","given":"Andrei"}],"issued":{"date-parts":[["2011",3,1]]}}},{"id":389,"uris":["http://zotero.org/users/11265134/items/KD2MTHFP"],"itemData":{"id":389,"type":"article-journal","abstract":"A balanced supply of deoxyribonucleoside triphosphates (dNTPs) is one of the key prerequisites for faithful genome duplication. Both the overall concentration and the balance among the individual dNTPs (dATP, dTTP, dGTP, and dCTP) are tightly regulated, primarily by the enzyme ribonucleotide reducta …","container-title":"Nucleic acids research","DOI":"10.1093/nar/gkq128","ISSN":"1362-4962","issue":"12","language":"en","note":"publisher: Nucleic Acids Res\nPMID: 20215435","source":"pubmed.ncbi.nlm.nih.gov","title":"Highly mutagenic and severely imbalanced dNTP pools can escape detection by the S-phase checkpoint","URL":"https://pubmed.ncbi.nlm.nih.gov/20215435/","volume":"38","author":[{"family":"D","given":"Kumar"},{"family":"J","given":"Viberg"},{"family":"Ak","given":"Nilsson"},{"family":"A","given":"Chabes"}],"accessed":{"date-parts":[["2024",12,18]]},"issued":{"date-parts":[["2010",7]]}}}],"schema":"https://github.com/citation-style-language/schema/raw/master/csl-citation.json"} </w:instrText>
      </w:r>
      <w:r w:rsidR="001B701E">
        <w:fldChar w:fldCharType="separate"/>
      </w:r>
      <w:r w:rsidR="00A41CC3" w:rsidRPr="00A41CC3">
        <w:rPr>
          <w:rFonts w:ascii="Calibri" w:hAnsi="Calibri" w:cs="Calibri"/>
          <w:szCs w:val="24"/>
          <w:vertAlign w:val="superscript"/>
        </w:rPr>
        <w:t>86,90</w:t>
      </w:r>
      <w:r w:rsidR="001B701E">
        <w:fldChar w:fldCharType="end"/>
      </w:r>
      <w:r w:rsidR="001B701E">
        <w:t xml:space="preserve">. Different models </w:t>
      </w:r>
      <w:r w:rsidR="001B701E">
        <w:lastRenderedPageBreak/>
        <w:t>combining misinsertion, misalignment and mismatch extension mechanisms have been established to explain imbalanced dNTP-induced gene mutations</w:t>
      </w:r>
      <w:r w:rsidR="001B701E">
        <w:fldChar w:fldCharType="begin"/>
      </w:r>
      <w:r w:rsidR="004336A3">
        <w:instrText xml:space="preserve"> ADDIN ZOTERO_ITEM CSL_CITATION {"citationID":"zjOWkMp8","properties":{"formattedCitation":"\\super 86\\nosupersub{}","plainCitation":"86","noteIndex":0},"citationItems":[{"id":397,"uris":["http://zotero.org/users/11265134/items/KC4ZBS9P"],"itemData":{"id":397,"type":"article-journal","abstract":"The mechanisms by which imbalanced dNTPs induce mutations have been well characterized within a test tube, but not in vivo. We have examined mechanisms by which dNTP imbalances induce genome instability in strains of Saccharomyces cerevisiae with different amino acid substitutions in Rnr1, the large subunit of ribonucleotide reductase. These strains have different dNTP imbalances that correlate with elevated CAN1 mutation rates, with both substitution and insertion–deletion rates increasing by 10- to 300-fold. The locations of the mutations in a strain with elevated dTTP and dCTP are completely different from those in a strain with elevated dATP and dGTP. Thus, imbalanced dNTPs reduce genome stability in a manner that is highly dependent on the nature and degree of the imbalance. Mutagenesis is enhanced despite the availability of proofreading and mismatch repair. The mutations can be explained by imbalanced dNTP-induced increases in misinsertion, strand misalignment and mismatch extension at the expense of proofreading. This implies that the relative dNTP concentrations measured in extracts are truly available to a replication fork in vivo. An interesting mutational strand bias is observed in one rnr1 strain, suggesting that the S-phase checkpoint selectively prevents replication errors during leading strand replication.","container-title":"Nucleic Acids Research","DOI":"10.1093/nar/gkq829","ISSN":"0305-1048","issue":"4","journalAbbreviation":"Nucleic Acids Research","page":"1360-1371","source":"Silverchair","title":"Mechanisms of mutagenesis in vivo due to imbalanced dNTP pools","volume":"39","author":[{"family":"Kumar","given":"Dinesh"},{"family":"Abdulovic","given":"Amy L."},{"family":"Viberg","given":"Jörgen"},{"family":"Nilsson","given":"Anna Karin"},{"family":"Kunkel","given":"Thomas A."},{"family":"Chabes","given":"Andrei"}],"issued":{"date-parts":[["2011",3,1]]}}}],"schema":"https://github.com/citation-style-language/schema/raw/master/csl-citation.json"} </w:instrText>
      </w:r>
      <w:r w:rsidR="001B701E">
        <w:fldChar w:fldCharType="separate"/>
      </w:r>
      <w:r w:rsidR="004336A3" w:rsidRPr="004336A3">
        <w:rPr>
          <w:rFonts w:ascii="Calibri" w:hAnsi="Calibri" w:cs="Calibri"/>
          <w:szCs w:val="24"/>
          <w:vertAlign w:val="superscript"/>
        </w:rPr>
        <w:t>86</w:t>
      </w:r>
      <w:r w:rsidR="001B701E">
        <w:fldChar w:fldCharType="end"/>
      </w:r>
      <w:r w:rsidR="001B701E">
        <w:t xml:space="preserve">. </w:t>
      </w:r>
    </w:p>
    <w:p w14:paraId="60336B26" w14:textId="3F07B68B" w:rsidR="00BF1810" w:rsidRPr="001B701E" w:rsidRDefault="00BF1810" w:rsidP="00A35340">
      <w:pPr>
        <w:pStyle w:val="Paragraphedeliste"/>
        <w:numPr>
          <w:ilvl w:val="0"/>
          <w:numId w:val="28"/>
        </w:numPr>
        <w:spacing w:after="0" w:line="324" w:lineRule="auto"/>
        <w:jc w:val="both"/>
        <w:rPr>
          <w:b/>
          <w:bCs/>
        </w:rPr>
      </w:pPr>
      <w:r>
        <w:rPr>
          <w:b/>
          <w:bCs/>
        </w:rPr>
        <w:t xml:space="preserve">Increase, Modified dNTPs </w:t>
      </w:r>
      <w:r>
        <w:t xml:space="preserve">(Figure 2, KE 11): As well as alkylating agents and RONS can modify DNA bases directly on the DNA helix, </w:t>
      </w:r>
      <w:r w:rsidR="009B7DE3">
        <w:t xml:space="preserve">chemical modifications of DNA </w:t>
      </w:r>
      <w:r>
        <w:t>precursors, i.e. dNTPs</w:t>
      </w:r>
      <w:r w:rsidR="009B7DE3">
        <w:t>, is possible</w:t>
      </w:r>
      <w:r w:rsidR="009B7DE3">
        <w:fldChar w:fldCharType="begin"/>
      </w:r>
      <w:r w:rsidR="009B7DE3">
        <w:instrText xml:space="preserve"> ADDIN ZOTERO_ITEM CSL_CITATION {"citationID":"p5r5keW8","properties":{"formattedCitation":"\\super 91\\nosupersub{}","plainCitation":"91","noteIndex":0},"citationItems":[{"id":594,"uris":["http://zotero.org/users/11265134/items/ETATSFMR"],"itemData":{"id":594,"type":"article-journal","abstract":"Recently, we have shown that deoxyribonucleoside residues in the cellular DNA precursor pool are generally more susceptible to methylation than are residues within the DNA duplex1. The N-1 position of adenosine, for example, was found to be at least 13,000 times more susceptible to methylation by N-methyl-N-nitrosourea (MNU) than the same site in the DNA. These results suggest that potential sites for alkylation in the double-strand duplex are relatively inaccessible to direct alkylation in vivo. Many of these sites are probably protected from alkylation not only by their position in the interstices of the DNA helix2,3, but also by further in vivo ‘packaging’ of the DNA in chromatin4–8. We have now used DNA sequencing to demonstrate the incorporation properties of products of the reaction of MNU with dATP and of deoxy-N4-hydroxycytidine triphosphate during DNA replication in vitro by phage T4 DNA polymerase and the ‘Klenow’ fragment of Escherichia coli pol I. The results suggest that DNA precursor nucleotides due to their greater availability for alkylation, may offer routes for the introduction of alkylated residues into double-stranded DNA.","container-title":"Nature","DOI":"10.1038/298863a0","ISSN":"1476-4687","issue":"5877","language":"en","license":"1982 Springer Nature Limited","note":"publisher: Nature Publishing Group","page":"863-865","source":"www.nature.com","title":"DNA precursors in chemical mutagenesis: a novel application of DNA sequencing","title-short":"DNA precursors in chemical mutagenesis","volume":"298","author":[{"family":"Topal","given":"Michael D."},{"family":"Hutchison","given":"Clyde A."},{"family":"Baker","given":"Mary S."}],"issued":{"date-parts":[["1982",8]]}}}],"schema":"https://github.com/citation-style-language/schema/raw/master/csl-citation.json"} </w:instrText>
      </w:r>
      <w:r w:rsidR="009B7DE3">
        <w:fldChar w:fldCharType="separate"/>
      </w:r>
      <w:r w:rsidR="009B7DE3" w:rsidRPr="009B7DE3">
        <w:rPr>
          <w:rFonts w:ascii="Calibri" w:hAnsi="Calibri" w:cs="Calibri"/>
          <w:szCs w:val="24"/>
          <w:vertAlign w:val="superscript"/>
        </w:rPr>
        <w:t>91</w:t>
      </w:r>
      <w:r w:rsidR="009B7DE3">
        <w:fldChar w:fldCharType="end"/>
      </w:r>
      <w:r w:rsidR="009B7DE3">
        <w:t>.</w:t>
      </w:r>
    </w:p>
    <w:p w14:paraId="1E6D053E" w14:textId="6D2E8114" w:rsidR="00036781" w:rsidRPr="001B701E" w:rsidRDefault="00DA193C" w:rsidP="00A35340">
      <w:pPr>
        <w:pStyle w:val="Paragraphedeliste"/>
        <w:numPr>
          <w:ilvl w:val="0"/>
          <w:numId w:val="28"/>
        </w:numPr>
        <w:spacing w:after="0" w:line="324" w:lineRule="auto"/>
        <w:jc w:val="both"/>
        <w:rPr>
          <w:b/>
          <w:bCs/>
        </w:rPr>
      </w:pPr>
      <w:r w:rsidRPr="001B701E">
        <w:rPr>
          <w:b/>
          <w:bCs/>
        </w:rPr>
        <w:t xml:space="preserve">Increase, </w:t>
      </w:r>
      <w:r w:rsidR="00262A3A" w:rsidRPr="001B701E">
        <w:rPr>
          <w:b/>
          <w:bCs/>
        </w:rPr>
        <w:t>DNA strand break</w:t>
      </w:r>
      <w:r w:rsidRPr="001B701E">
        <w:rPr>
          <w:b/>
          <w:bCs/>
        </w:rPr>
        <w:t xml:space="preserve">s (Single) </w:t>
      </w:r>
      <w:r>
        <w:t>(</w:t>
      </w:r>
      <w:hyperlink r:id="rId23" w:history="1">
        <w:r w:rsidR="004B2C03" w:rsidRPr="005219EB">
          <w:rPr>
            <w:rStyle w:val="Lienhypertexte"/>
          </w:rPr>
          <w:t>https://aopwiki.org/events/1635</w:t>
        </w:r>
      </w:hyperlink>
      <w:r w:rsidR="004B2C03">
        <w:t xml:space="preserve">, </w:t>
      </w:r>
      <w:r>
        <w:t>Figure 2 – KE 1</w:t>
      </w:r>
      <w:r w:rsidR="006923CB">
        <w:t>6</w:t>
      </w:r>
      <w:r>
        <w:t xml:space="preserve">): </w:t>
      </w:r>
      <w:r w:rsidR="009D7470" w:rsidRPr="004B2C03">
        <w:t>Single-strand breaks (SSBs) occur when the sugar-phosphate backbone of DNA is hydrolyzed, disrupting the structure to the extent that the hydrogen bonds between complementary bases can no longer maintain the integrity of the two strands</w:t>
      </w:r>
      <w:r w:rsidR="009D7470">
        <w:t xml:space="preserve">. </w:t>
      </w:r>
      <w:r w:rsidR="004B2C03">
        <w:t>DNA SSBs are caused by various conditions: oxidative stress</w:t>
      </w:r>
      <w:r w:rsidR="002F0828">
        <w:t xml:space="preserve"> (MIE 2)</w:t>
      </w:r>
      <w:r w:rsidR="009D7470">
        <w:fldChar w:fldCharType="begin"/>
      </w:r>
      <w:r w:rsidR="009B7DE3">
        <w:instrText xml:space="preserve"> ADDIN ZOTERO_ITEM CSL_CITATION {"citationID":"Q61wt1vq","properties":{"formattedCitation":"\\super 92\\nosupersub{}","plainCitation":"92","noteIndex":0},"citationItems":[{"id":338,"uris":["http://zotero.org/users/11265134/items/EJ6PA2S4"],"itemData":{"id":338,"type":"article-journal","abstract":"The relationships between inflammation and cancer are varied and complex. An important connection linking inflammation to cancer development is DNA damage. During inflammation reactive oxygen and nitrogen species (RONS) are created to combat ...","container-title":"DNA repair","DOI":"10.1016/j.dnarep.2019.102673","language":"en","note":"PMID: 31387777","page":"102673","source":"pmc.ncbi.nlm.nih.gov","title":"Inflammation-Induced DNA Damage, Mutations and Cancer","volume":"83","author":[{"family":"Kay","given":"Jennifer"},{"family":"Thadhani","given":"Elina"},{"family":"Samson","given":"Leona"},{"family":"Engelward","given":"Bevin"}],"issued":{"date-parts":[["2019",7,25]]}}}],"schema":"https://github.com/citation-style-language/schema/raw/master/csl-citation.json"} </w:instrText>
      </w:r>
      <w:r w:rsidR="009D7470">
        <w:fldChar w:fldCharType="separate"/>
      </w:r>
      <w:r w:rsidR="009B7DE3" w:rsidRPr="009B7DE3">
        <w:rPr>
          <w:rFonts w:ascii="Calibri" w:hAnsi="Calibri" w:cs="Calibri"/>
          <w:szCs w:val="24"/>
          <w:vertAlign w:val="superscript"/>
        </w:rPr>
        <w:t>92</w:t>
      </w:r>
      <w:r w:rsidR="009D7470">
        <w:fldChar w:fldCharType="end"/>
      </w:r>
      <w:r w:rsidR="004B2C03">
        <w:t>, topoisomerase I-DNA complex stabilization</w:t>
      </w:r>
      <w:r w:rsidR="002F0828">
        <w:t xml:space="preserve"> (MIE 5)</w:t>
      </w:r>
      <w:r w:rsidR="009D7470">
        <w:fldChar w:fldCharType="begin"/>
      </w:r>
      <w:r w:rsidR="004336A3">
        <w:instrText xml:space="preserve"> ADDIN ZOTERO_ITEM CSL_CITATION {"citationID":"xVfmZdXS","properties":{"formattedCitation":"\\super 62\\nosupersub{}","plainCitation":"62","noteIndex":0},"citationItems":[{"id":546,"uris":["http://zotero.org/users/11265134/items/9Z7L6NYL"],"itemData":{"id":546,"type":"article-journal","abstract":"Most chemotherapy regimens contain at least one DNA-damaging agent that preferentially affects the growth of cancer cells. This strategy takes advantage of the differences in cell proliferation between normal and cancer cells. Chemotherapeutic drugs are usually designed to target rapid-dividing cells because sustained proliferation is a common feature of cancer [1,2]. Rapid DNA replication is essential for highly proliferative cells, thus blocking of DNA replication will create numerous mutations and/or chromosome rearrangements—ultimately triggering cell death [3]. Along these lines, DNA topoisomerase inhibitors are of great interest because they help to maintain strand breaks generated by topoisomerases during replication. In this article, we discuss the characteristics of topoisomerase (DNA) I (TOP1) and its inhibitors, as well as the underlying DNA repair pathways and the use of TOP1 inhibitors in cancer therapy.","container-title":"Biomolecules","DOI":"10.3390/biom5031652","ISSN":"2218-273X","issue":"3","journalAbbreviation":"Biomolecules","note":"PMID: 26287259\nPMCID: PMC4598769","page":"1652-1670","source":"PubMed Central","title":"Inhibition of Topoisomerase (DNA) I (TOP1): DNA Damage Repair and Anticancer Therapy","title-short":"Inhibition of Topoisomerase (DNA) I (TOP1)","volume":"5","author":[{"family":"Xu","given":"Yang"},{"family":"Her","given":"Chengtao"}],"issued":{"date-parts":[["2015",7,22]]}}}],"schema":"https://github.com/citation-style-language/schema/raw/master/csl-citation.json"} </w:instrText>
      </w:r>
      <w:r w:rsidR="009D7470">
        <w:fldChar w:fldCharType="separate"/>
      </w:r>
      <w:r w:rsidR="004336A3" w:rsidRPr="004336A3">
        <w:rPr>
          <w:rFonts w:ascii="Calibri" w:hAnsi="Calibri" w:cs="Calibri"/>
          <w:szCs w:val="24"/>
          <w:vertAlign w:val="superscript"/>
        </w:rPr>
        <w:t>62</w:t>
      </w:r>
      <w:r w:rsidR="009D7470">
        <w:fldChar w:fldCharType="end"/>
      </w:r>
      <w:r w:rsidR="00B11799">
        <w:t xml:space="preserve">, </w:t>
      </w:r>
      <w:r w:rsidR="000D43E3">
        <w:t>or</w:t>
      </w:r>
      <w:r w:rsidR="004B2C03">
        <w:t xml:space="preserve"> </w:t>
      </w:r>
      <w:r w:rsidR="009D7470">
        <w:t>misrepaired modified bases (KE 1</w:t>
      </w:r>
      <w:r w:rsidR="009B7DE3">
        <w:t>4</w:t>
      </w:r>
      <w:r w:rsidR="009D7470">
        <w:t>).</w:t>
      </w:r>
      <w:r w:rsidR="000D43E3">
        <w:t xml:space="preserve"> </w:t>
      </w:r>
      <w:r w:rsidR="009D7470">
        <w:t xml:space="preserve">  </w:t>
      </w:r>
      <w:r w:rsidR="004B2C03">
        <w:t xml:space="preserve"> </w:t>
      </w:r>
      <w:r w:rsidR="009D7470">
        <w:t>SSBs can also result f</w:t>
      </w:r>
      <w:r w:rsidR="004B2C03">
        <w:t>r</w:t>
      </w:r>
      <w:r w:rsidR="009D7470">
        <w:t>om</w:t>
      </w:r>
      <w:r w:rsidR="004B2C03">
        <w:t xml:space="preserve"> intermediate</w:t>
      </w:r>
      <w:r w:rsidR="009D7470">
        <w:t xml:space="preserve"> steps</w:t>
      </w:r>
      <w:r w:rsidR="004B2C03">
        <w:t xml:space="preserve"> of </w:t>
      </w:r>
      <w:r w:rsidR="009D7470">
        <w:t>DNA repair</w:t>
      </w:r>
      <w:r w:rsidR="004B2C03">
        <w:t xml:space="preserve"> pathways</w:t>
      </w:r>
      <w:r w:rsidR="002F0828">
        <w:t xml:space="preserve"> (KE 17)</w:t>
      </w:r>
      <w:r w:rsidR="004B2C03">
        <w:fldChar w:fldCharType="begin"/>
      </w:r>
      <w:r w:rsidR="009B7DE3">
        <w:instrText xml:space="preserve"> ADDIN ZOTERO_ITEM CSL_CITATION {"citationID":"gVKF7zBk","properties":{"formattedCitation":"\\super 93\\uc0\\u8211{}97\\nosupersub{}","plainCitation":"93–97","noteIndex":0},"citationItems":[{"id":381,"uris":["http://zotero.org/users/11265134/items/62EAJCUI"],"itemData":{"id":381,"type":"article-journal","abstract":"Living organisms are continuously exposed to a myriad of DNA damaging agents that can impact health and modulate disease-states. However, robust DNA repair and damage-bypass mechanisms faithfully protect the DNA by either removing or tolerating the damage to ensure an overall survival. Deviations in this fine-tuning are known to destabilize cellular metabolic homeostasis, as exemplified in diverse cancers where disruption or deregulation of DNA repair pathways results in genome instability. Because routinely used biological, physical and chemical agents impact human health, testing their genotoxicity and regulating their use have become important. In this introductory review, we will delineate mechanisms of DNA damage and the counteracting repair/tolerance pathways to provide insights into the molecular basis of genotoxicity in cells that lays the foundation for subsequent articles in this issue. Environ. Mol. Mutagen. 58:235-263, 2017. © 2017 Wiley Periodicals, Inc.","container-title":"Environmental and Molecular Mutagenesis","DOI":"10.1002/em.22087","ISSN":"1098-2280","issue":"5","journalAbbreviation":"Environ Mol Mutagen","language":"eng","note":"PMID: 28485537\nPMCID: PMC5474181","page":"235-263","source":"PubMed","title":"Mechanisms of DNA damage, repair, and mutagenesis","volume":"58","author":[{"family":"Chatterjee","given":"Nimrat"},{"family":"Walker","given":"Graham C."}],"issued":{"date-parts":[["2017",6]]}}},{"id":336,"uris":["http://zotero.org/users/11265134/items/SYH8CT8E"],"itemData":{"id":336,"type":"article-journal","abstract":"A significant proportion of cellular DNA damages induced by ionizing radiation are produced in clusters, also called multiply damaged sites. It has been demonstrated by in vitro studies and in bacteria that clustered damage sites can be converted to lethal double strand breaks by oxidative DNA glycosylases during attempted base excision repair. To determine whether DNA glycosylases could produce double strand breaks at radiation-induced clustered damages in human cells, stably transformed human lymphoblastoid TK6 cells that inducibly overexpress the oxidative DNA glycosylases/AP lyases, hNTH1 and hOGG1, were assessed for their radiation responses, including survival, mutation induction and the enzymatic production of double strand breaks post-irradiation. We found that additional double strand breaks were generated during post-irradiation incubation in uninduced TK6 control cells. Moreover, overproduction of either DNA glycosylase resulted in significantly increased double strand break formation, which correlated with an elevated sensitivity to the cytotoxic and mutagenic effects of ionizing radiation. These data show that attempted repair of radiation damage, presumably at clustered damage sites, by the oxidative DNA glycosylases can lead to the formation of potentially lethal and mutagenic double strand breaks in human cells.","container-title":"DNA repair","DOI":"10.1016/j.dnarep.2004.04.014","ISSN":"1568-7864","issue":"10","journalAbbreviation":"DNA Repair (Amst)","language":"eng","note":"PMID: 15336627","page":"1323-1334","source":"PubMed","title":"Attempted base excision repair of ionizing radiation damage in human lymphoblastoid cells produces lethal and mutagenic double strand breaks","volume":"3","author":[{"family":"Yang","given":"Ning"},{"family":"Galick","given":"Heather"},{"family":"Wallace","given":"Susan S."}],"issued":{"date-parts":[["2004",10,5]]}}},{"id":316,"uris":["http://zotero.org/users/11265134/items/SST262PP"],"itemData":{"id":316,"type":"article-journal","abstract":"Nucleotide excision repair (NER) is responsible for removing a wide variety of bulky adducts from DNA, thus contributing to the maintenance of genome stability. The efficiency with which proteins of the NER system recognize and remove bulky adducts depends on many factors and is of great clinical and diagnostic significance. The review examines current concepts of the NER system molecular basis in eukaryotic cells and analyzes methods for the assessment of the NER-mediated DNA repair efficiency both in vitro and ex vivo.","container-title":"Biochemistry (Moscow)","DOI":"10.1134/S0006297923110147","ISSN":"1608-3040","issue":"11","journalAbbreviation":"Biochemistry Moscow","language":"en","page":"1844-1856","source":"Springer Link","title":"Methods for Assessment of Nucleotide Excision Repair Efficiency","volume":"88","author":[{"family":"Popov","given":"Aleksei A."},{"family":"Petruseva","given":"Irina O."},{"family":"Naumenko","given":"Natalya V."},{"family":"Lavrik","given":"Olga I."}],"issued":{"date-parts":[["2023",11,1]]}}},{"id":405,"uris":["http://zotero.org/users/11265134/items/SFZF2XNN"],"itemData":{"id":405,"type":"article-journal","abstract":"Base excision repair (BER) is an evolutionarily conserved process for maintaining genomic integrity by eliminating several dozen damaged (oxidized or alkylated) or inappropriate bases that are generated endogenously or induced by genotoxicants, predominantly, reactive oxygen species (ROS). BER involves 4-5 steps starting with base excision by a DNA glycosylase, followed by a common pathway usually involving an AP-endonuclease (APE) to generate 3′ OH terminus at the damage site, followed by repair synthesis with a DNA polymerase and nick sealing by a DNA ligase. This pathway is also responsible for repairing DNA single-strand breaks with blocked termini directly generated by ROS. Nearly all glycosylases, far fewer than their substrate lesions particularly for oxidized bases, have broad and overlapping substrate range, and could serve as back-up enzymes in vivo. In contrast, mammalian cells encode only one APE, APE1, unlike two APEs in lower organisms. In spite of overall similarity, BER with distinct subpathways in the mammals is more complex than in E. coli. The glycosylases form complexes with downstream proteins to carry out efficient repair via distinct subpathways one of which, responsible for repair of strand breaks with 3′ phosphate termini generated by the NEIL family glycosylases or by ROS, requires the phosphatase activity of polynucleotide kinase instead of APE1. Different complexes may utilize distinct DNA polymerases and ligases. Mammalian glycosylases have nonconserved extensions at one of the termini, dispensable for enzymatic activity but needed for interaction with other BER and non-BER proteins for complex formation and organelle targeting. The mammalian enzymes are sometimes covalently modified which may affect activity and complex formation. The focus of this review is on the early steps in mammalian BER for oxidized damage.","container-title":"Cell Research","DOI":"10.1038/cr.2008.8","ISSN":"1748-7838","issue":"1","journalAbbreviation":"Cell Res","language":"en","license":"2008 Shanghai Institutes for Biological Sciences, Chinese Academy of Sciences","note":"publisher: Nature Publishing Group","page":"27-47","source":"www.nature.com","title":"Early steps in the DNA base excision/single-strand interruption repair pathway in mammalian cells","volume":"18","author":[{"family":"Hegde","given":"Muralidhar L."},{"family":"Hazra","given":"Tapas K."},{"family":"Mitra","given":"Sankar"}],"issued":{"date-parts":[["2008",1]]}}},{"id":456,"uris":["http://zotero.org/users/11265134/items/92X45PHH"],"itemData":{"id":456,"type":"article-journal","abstract":"The encounter of elongating RNA polymerase II (RNAPIIo) with DNA lesions has severe consequences for the cell as this event provides a strong signal for P53-dependent apoptosis and cell cycle arrest. To counteract prolonged blockage of transcription, the cell removes the RNAPIIo-blocking DNA lesions by transcription-coupled repair (TC-NER), a specialized subpathway of nucleotide excision repair (NER). Exposure of mice to UVB light or chemicals has elucidated that TC-NER is a critical survival pathway protecting against acute toxic and long-term effects (cancer) of genotoxic exposure. Deficiency in TC-NER is associated with mutations in the CSA and CSB genes giving rise to the rare human disorder Cockayne syndrome (CS). Recent data suggest that CSA and CSB play differential roles in mammalian TC-NER: CSB as a repair coupling factor to attract NER proteins, chromatin remodellers and the CSA- E3-ubiquitin ligase complex to the stalled RNAPIIo. CSA is dispensable for attraction of NER proteins, yet in cooperation with CSB is required to recruit XAB2, the nucleosomal binding protein HMGN1 and TFIIS. The emerging picture of TC-NER is complex: repair of transcription-blocking lesions occurs without displacement of the DNA damage-stalled RNAPIIo, and requires at least two essential assembly factors (CSA and CSB), the core NER factors (except for XPC-RAD23B), and TC-NER specific factors. These and yet unidentified proteins will accomplish not only efficient repair of transcription-blocking lesions, but are also likely to contribute to DNA damage signalling events.","container-title":"Cell Research","DOI":"10.1038/cr.2008.6","ISSN":"1748-7838","issue":"1","journalAbbreviation":"Cell Res","language":"en","license":"2008 Shanghai Institutes for Biological Sciences, Chinese Academy of Sciences","note":"publisher: Nature Publishing Group","page":"73-84","source":"www.nature.com","title":"Transcription-coupled nucleotide excision repair in mammalian cells: molecular mechanisms and biological effects","title-short":"Transcription-coupled nucleotide excision repair in mammalian cells","volume":"18","author":[{"family":"Fousteri","given":"Maria"},{"family":"Mullenders","given":"Leon HF"}],"issued":{"date-parts":[["2008",1]]}}}],"schema":"https://github.com/citation-style-language/schema/raw/master/csl-citation.json"} </w:instrText>
      </w:r>
      <w:r w:rsidR="004B2C03">
        <w:fldChar w:fldCharType="separate"/>
      </w:r>
      <w:r w:rsidR="009B7DE3" w:rsidRPr="009B7DE3">
        <w:rPr>
          <w:rFonts w:ascii="Calibri" w:hAnsi="Calibri" w:cs="Calibri"/>
          <w:szCs w:val="24"/>
          <w:vertAlign w:val="superscript"/>
        </w:rPr>
        <w:t>93–97</w:t>
      </w:r>
      <w:r w:rsidR="004B2C03">
        <w:fldChar w:fldCharType="end"/>
      </w:r>
      <w:r w:rsidR="00B11799">
        <w:t xml:space="preserve"> which are discussed in more details below</w:t>
      </w:r>
      <w:r w:rsidR="004B2C03">
        <w:t>.</w:t>
      </w:r>
      <w:r w:rsidR="000D43E3">
        <w:t xml:space="preserve"> Furthermore,</w:t>
      </w:r>
      <w:r w:rsidR="004B2C03">
        <w:t xml:space="preserve"> </w:t>
      </w:r>
      <w:r w:rsidR="000D43E3">
        <w:t xml:space="preserve">thymineless episodes (MIE 7), caused by folate deficiency or dTMP </w:t>
      </w:r>
      <w:r w:rsidR="000D43E3">
        <w:lastRenderedPageBreak/>
        <w:t>synthase inhibitors, have been associated with DNA strand breakage, notably at specific chromosomal locations, the so called fragile sites</w:t>
      </w:r>
      <w:r w:rsidR="000D43E3">
        <w:fldChar w:fldCharType="begin"/>
      </w:r>
      <w:r w:rsidR="009B7DE3">
        <w:instrText xml:space="preserve"> ADDIN ZOTERO_ITEM CSL_CITATION {"citationID":"8WDbFON6","properties":{"formattedCitation":"\\super 98\\nosupersub{}","plainCitation":"98","noteIndex":0},"citationItems":[{"id":395,"uris":["http://zotero.org/users/11265134/items/MHMUH95H"],"itemData":{"id":395,"type":"article-journal","abstract":"DNA precursor pool imbalances can elicit a variety of genetic effects and modulate the genotoxicity of certain DNA-damaging agents. These and other observations indicate that the control of DNA precursor concentrations is essential for the maintenance of genetic stability, and suggest that factors which offset this control may contribute to environmental mutagenesis and carcinogenesis. In this article, we review the biochemical and genetic mechanisms responsible for regulating the production and relative amounts of intracellular DNA precursors, describe the many outcomes of perturbations in DNA precursor levels, and discuss implications of such imbalances for sensitivity to DNA-damaging agents, population monitoring, and human diseases.","container-title":"Mutation Research","DOI":"10.1016/0165-1110(94)90006-x","ISSN":"0027-5107","issue":"1","journalAbbreviation":"Mutat Res","language":"eng","note":"PMID: 7519315","page":"1-64","source":"PubMed","title":"International Commission for Protection Against Environmental Mutagens and Carcinogens. Deoxyribonucleoside triphosphate levels: a critical factor in the maintenance of genetic stability","title-short":"International Commission for Protection Against Environmental Mutagens and Carcinogens. Deoxyribonucleoside triphosphate levels","volume":"318","author":[{"family":"Kunz","given":"B. A."},{"family":"Kohalmi","given":"S. E."},{"family":"Kunkel","given":"T. A."},{"family":"Mathews","given":"C. K."},{"family":"McIntosh","given":"E. M."},{"family":"Reidy","given":"J. A."}],"issued":{"date-parts":[["1994",8]]}}}],"schema":"https://github.com/citation-style-language/schema/raw/master/csl-citation.json"} </w:instrText>
      </w:r>
      <w:r w:rsidR="000D43E3">
        <w:fldChar w:fldCharType="separate"/>
      </w:r>
      <w:r w:rsidR="009B7DE3" w:rsidRPr="009B7DE3">
        <w:rPr>
          <w:rFonts w:ascii="Calibri" w:hAnsi="Calibri" w:cs="Calibri"/>
          <w:szCs w:val="24"/>
          <w:vertAlign w:val="superscript"/>
        </w:rPr>
        <w:t>98</w:t>
      </w:r>
      <w:r w:rsidR="000D43E3">
        <w:fldChar w:fldCharType="end"/>
      </w:r>
      <w:r w:rsidR="000D43E3">
        <w:t xml:space="preserve">. </w:t>
      </w:r>
    </w:p>
    <w:p w14:paraId="4F1C704E" w14:textId="77777777" w:rsidR="009D7470" w:rsidRDefault="009D7470" w:rsidP="009D7470">
      <w:pPr>
        <w:pStyle w:val="Paragraphedeliste"/>
        <w:spacing w:after="0" w:line="324" w:lineRule="auto"/>
        <w:ind w:left="360"/>
        <w:jc w:val="both"/>
      </w:pPr>
    </w:p>
    <w:p w14:paraId="05F6A01F" w14:textId="211CEC97" w:rsidR="00CE7362" w:rsidRDefault="00CE7362" w:rsidP="00D0732B">
      <w:pPr>
        <w:spacing w:line="360" w:lineRule="auto"/>
        <w:jc w:val="both"/>
      </w:pPr>
      <w:r>
        <w:t xml:space="preserve">If not </w:t>
      </w:r>
      <w:r w:rsidR="00782F07">
        <w:t xml:space="preserve">or incorrectly </w:t>
      </w:r>
      <w:r>
        <w:t>repaired, all the above mentioned damage can interfere with DNA transcription and replication. If complexes involved in these processes are likely to be stalled for a prolonged period, the latter can collapse and transform into DNA double-strand breaks</w:t>
      </w:r>
      <w:r w:rsidR="00782F07">
        <w:t xml:space="preserve"> (DSBs)</w:t>
      </w:r>
      <w:r>
        <w:t xml:space="preserve">, a critical situation for the cell. </w:t>
      </w:r>
    </w:p>
    <w:p w14:paraId="275E2479" w14:textId="77777777" w:rsidR="00036781" w:rsidRDefault="00036781" w:rsidP="00CE7362">
      <w:pPr>
        <w:spacing w:after="0" w:line="276" w:lineRule="auto"/>
        <w:jc w:val="both"/>
      </w:pPr>
    </w:p>
    <w:p w14:paraId="2FA9E319" w14:textId="2BB79D51" w:rsidR="008A2890" w:rsidRDefault="00336536" w:rsidP="00A35340">
      <w:pPr>
        <w:pStyle w:val="Paragraphedeliste"/>
        <w:numPr>
          <w:ilvl w:val="0"/>
          <w:numId w:val="28"/>
        </w:numPr>
        <w:spacing w:after="0" w:line="324" w:lineRule="auto"/>
        <w:jc w:val="both"/>
      </w:pPr>
      <w:r w:rsidRPr="00782F07">
        <w:rPr>
          <w:b/>
          <w:bCs/>
        </w:rPr>
        <w:t>Stalled replication fork</w:t>
      </w:r>
      <w:r w:rsidR="00BE1417" w:rsidRPr="00782F07">
        <w:rPr>
          <w:b/>
          <w:bCs/>
        </w:rPr>
        <w:t xml:space="preserve"> (Inhibition of DNA synthesis)</w:t>
      </w:r>
      <w:r w:rsidR="00D0732B" w:rsidRPr="00782F07">
        <w:rPr>
          <w:b/>
          <w:bCs/>
        </w:rPr>
        <w:t xml:space="preserve"> </w:t>
      </w:r>
      <w:r w:rsidR="00D0732B">
        <w:t xml:space="preserve">(Figure 2 – KE </w:t>
      </w:r>
      <w:r w:rsidR="006923CB">
        <w:t>18</w:t>
      </w:r>
      <w:r w:rsidR="00D0732B">
        <w:t>)</w:t>
      </w:r>
      <w:r w:rsidR="008A2890" w:rsidRPr="00782F07">
        <w:rPr>
          <w:b/>
          <w:bCs/>
        </w:rPr>
        <w:t xml:space="preserve">: </w:t>
      </w:r>
      <w:r w:rsidR="008A2890" w:rsidRPr="008A2890">
        <w:t>A stalled replication fork occurs when the progression of the DNA replication machinery is impeded, typically due to obstacles</w:t>
      </w:r>
      <w:r w:rsidR="00CE7362">
        <w:t xml:space="preserve"> on the DNA helix</w:t>
      </w:r>
      <w:r w:rsidR="008A2890" w:rsidRPr="008A2890">
        <w:t xml:space="preserve"> such as</w:t>
      </w:r>
      <w:r w:rsidR="008A2890">
        <w:t xml:space="preserve"> </w:t>
      </w:r>
      <w:r w:rsidR="00D65837">
        <w:t>alkylated lesions</w:t>
      </w:r>
      <w:r w:rsidR="00D65837" w:rsidRPr="00782F07">
        <w:rPr>
          <w:vertAlign w:val="superscript"/>
        </w:rPr>
        <w:t>49,51</w:t>
      </w:r>
      <w:r w:rsidR="00D65837">
        <w:t xml:space="preserve">, </w:t>
      </w:r>
      <w:r w:rsidR="008A2890">
        <w:t>intrastrand crosslinks</w:t>
      </w:r>
      <w:r w:rsidR="00730B70">
        <w:t xml:space="preserve"> (MIE 3)</w:t>
      </w:r>
      <w:r w:rsidR="007A744F">
        <w:fldChar w:fldCharType="begin"/>
      </w:r>
      <w:r w:rsidR="004336A3">
        <w:instrText xml:space="preserve"> ADDIN ZOTERO_ITEM CSL_CITATION {"citationID":"v6oZd03p","properties":{"formattedCitation":"\\super 55,80\\nosupersub{}","plainCitation":"55,80","noteIndex":0},"citationItems":[{"id":267,"uris":["http://zotero.org/users/11265134/items/9WC7GX64"],"itemData":{"id":267,"type":"article-journal","abstract":"Human RECQL4 is a member of the RecQ family of DNA helicases and functions during DNA replication and repair. RECQL4 mutations are associated with developmental defects and cancer. Although RECQL4 mutations lead to disease, RECQL4 overexpression is also observed in cancer, including breast and prostate. Thus, tight regulation of RECQL4 protein levels is crucial for genome stability. Because mammalian RECQL4 is essential, how cells regulate RECQL4 protein levels is largely unknown. Utilizing budding yeast, we investigated the RECQL4 homolog, HRQ1, during DNA crosslink repair. We find that Hrq1 functions in the error-free template switching pathway to mediate DNA intrastrand crosslink repair. Although Hrq1 mediates repair of cisplatin-induced lesions, it is paradoxically degraded by the proteasome following cisplatin treatment. By identifying the targeted lysine residues, we show that preventing Hrq1 degradation results in increased recombination and mutagenesis. Like yeast, human RECQL4 is similarly degraded upon exposure to crosslinking agents. Furthermore, over-expression of RECQL4 results in increased RAD51 foci, which is dependent on its helicase activity. Using bioinformatic analysis, we observe that RECQL4 overexpression correlates with increased recombination and mutations. Overall, our study uncovers a role for Hrq1/RECQL4 in DNA intrastrand crosslink repair and provides further insight how misregulation of RECQL4 can promote genomic instability, a cancer hallmark.","container-title":"PLOS Genetics","DOI":"10.1371/journal.pgen.1010122","ISSN":"1553-7404","issue":"9","journalAbbreviation":"PLOS Genetics","language":"en","note":"publisher: Public Library of Science","page":"e1010122","source":"PLoS Journals","title":"Hrq1/RECQL4 regulation is critical for preventing aberrant recombination during DNA intrastrand crosslink repair and is upregulated in breast cancer","volume":"18","author":[{"family":"Luong","given":"Thong T."},{"family":"Li","given":"Zheqi"},{"family":"Priedigkeit","given":"Nolan"},{"family":"Parker","given":"Phoebe S."},{"family":"Böhm","given":"Stefanie"},{"family":"Rapchak","given":"Kyle"},{"family":"Lee","given":"Adrian V."},{"family":"Bernstein","given":"Kara A."}],"issued":{"date-parts":[["2022",9,20]]}}},{"id":450,"uris":["http://zotero.org/users/11265134/items/W75RRFK2"],"itemData":{"id":450,"type":"article-journal","abstract":"Carcinogens often generate mutable DNA lesions that contribute to cancer and aging. However, the chemical structure of tumorigenic DNA lesions formed by acetaldehyde remains unknown, although it has long been considered an environmental mutagen in alcohol, tobacco, and food. Here, we identify an aldehyde-induced DNA lesion, forming an intrastrand crosslink between adjacent guanine bases, but not in single guanine bases or in other combinations of nucleotides. The GG intrastrand crosslink exists in equilibrium in the presence of aldehyde, and therefore it has not been detected or analyzed in the previous investigations. The newly identified GG intrastrand crosslinks might explain the toxicity and mutagenicity of acetaldehyde in DNA metabolism.","container-title":"Scientific Reports","DOI":"10.1038/s41598-018-37239-6","ISSN":"2045-2322","issue":"1","journalAbbreviation":"Sci Rep","language":"en","license":"2019 The Author(s)","note":"publisher: Nature Publishing Group","page":"660","source":"www.nature.com","title":"Acetaldehyde forms covalent GG intrastrand crosslinks in DNA","volume":"9","author":[{"family":"Sonohara","given":"Yuina"},{"family":"Yamamoto","given":"Junpei"},{"family":"Tohashi","given":"Kosuke"},{"family":"Takatsuka","given":"Reine"},{"family":"Matsuda","given":"Tomonari"},{"family":"Iwai","given":"Shigenori"},{"family":"Kuraoka","given":"Isao"}],"issued":{"date-parts":[["2019",1,24]]}}}],"schema":"https://github.com/citation-style-language/schema/raw/master/csl-citation.json"} </w:instrText>
      </w:r>
      <w:r w:rsidR="007A744F">
        <w:fldChar w:fldCharType="separate"/>
      </w:r>
      <w:r w:rsidR="004336A3" w:rsidRPr="00782F07">
        <w:rPr>
          <w:rFonts w:ascii="Calibri" w:hAnsi="Calibri" w:cs="Calibri"/>
          <w:szCs w:val="24"/>
          <w:vertAlign w:val="superscript"/>
        </w:rPr>
        <w:t>55,80</w:t>
      </w:r>
      <w:r w:rsidR="007A744F">
        <w:fldChar w:fldCharType="end"/>
      </w:r>
      <w:r w:rsidR="008A2890">
        <w:t>, bulky DNA adducts</w:t>
      </w:r>
      <w:r w:rsidR="00730B70">
        <w:t xml:space="preserve"> (MIE 5)</w:t>
      </w:r>
      <w:r w:rsidR="00892F9F">
        <w:fldChar w:fldCharType="begin"/>
      </w:r>
      <w:r w:rsidR="009B7DE3">
        <w:instrText xml:space="preserve"> ADDIN ZOTERO_ITEM CSL_CITATION {"citationID":"t0K9kcnc","properties":{"formattedCitation":"\\super 99\\nosupersub{}","plainCitation":"99","noteIndex":0},"citationItems":[{"id":576,"uris":["http://zotero.org/users/11265134/items/HJTQLC7E"],"itemData":{"id":576,"type":"article-journal","abstract":"Stalled replication forks can be restarted and repaired by RAD51-mediated homologous recombination (HR), but HR can also perform post-replicative repair after bypass of the obstacle. Bulky DNA adducts are important replication-blocking lesions, but it is unknown whether they activate HR at stalled forks or behind ongoing forks. Using mainly BPDE-DNA adducts as model lesions, we show that HR induced by bulky adducts in mammalian cells predominantly occurs at post-replicative gaps formed by the DNA/RNA primase PrimPol. RAD51 recruitment under these conditions does not result from fork stalling, but rather occurs at gaps formed by PrimPol re-priming and resection by MRE11 and EXO1. In contrast, RAD51 loading at double-strand breaks does not require PrimPol. At bulky adducts, PrimPol promotes sister chromatid exchange and genetic recombination. Our data support that HR at bulky adducts in mammalian cells involves post-replicative gap repair and define a role for PrimPol in HR-mediated DNA damage tolerance.","container-title":"Nature Communications","DOI":"10.1038/s41467-020-19570-7","ISSN":"2041-1723","issue":"1","journalAbbreviation":"Nat Commun","language":"en","license":"2020 The Author(s)","note":"publisher: Nature Publishing Group","page":"5863","source":"www.nature.com","title":"PrimPol-dependent single-stranded gap formation mediates homologous recombination at bulky DNA adducts","volume":"11","author":[{"family":"Piberger","given":"Ann Liza"},{"family":"Bowry","given":"Akhil"},{"family":"Kelly","given":"Richard D. W."},{"family":"Walker","given":"Alexandra K."},{"family":"González-Acosta","given":"Daniel"},{"family":"Bailey","given":"Laura J."},{"family":"Doherty","given":"Aidan J."},{"family":"Méndez","given":"Juan"},{"family":"Morris","given":"Joanna R."},{"family":"Bryant","given":"Helen E."},{"family":"Petermann","given":"Eva"}],"issued":{"date-parts":[["2020",11,17]]}}}],"schema":"https://github.com/citation-style-language/schema/raw/master/csl-citation.json"} </w:instrText>
      </w:r>
      <w:r w:rsidR="00892F9F">
        <w:fldChar w:fldCharType="separate"/>
      </w:r>
      <w:r w:rsidR="009B7DE3" w:rsidRPr="009B7DE3">
        <w:rPr>
          <w:rFonts w:ascii="Calibri" w:hAnsi="Calibri" w:cs="Calibri"/>
          <w:szCs w:val="24"/>
          <w:vertAlign w:val="superscript"/>
        </w:rPr>
        <w:t>99</w:t>
      </w:r>
      <w:r w:rsidR="00892F9F">
        <w:fldChar w:fldCharType="end"/>
      </w:r>
      <w:r w:rsidR="008A2890">
        <w:t>, AP sites, single strand breaks</w:t>
      </w:r>
      <w:r w:rsidR="00730B70">
        <w:t xml:space="preserve"> (KE 1</w:t>
      </w:r>
      <w:r w:rsidR="009B7DE3">
        <w:t>6</w:t>
      </w:r>
      <w:r w:rsidR="00730B70">
        <w:t>)</w:t>
      </w:r>
      <w:r w:rsidR="002C4421">
        <w:fldChar w:fldCharType="begin"/>
      </w:r>
      <w:r w:rsidR="009B7DE3">
        <w:instrText xml:space="preserve"> ADDIN ZOTERO_ITEM CSL_CITATION {"citationID":"OFCqM8mD","properties":{"formattedCitation":"\\super 100\\nosupersub{}","plainCitation":"100","noteIndex":0},"citationItems":[{"id":384,"uris":["http://zotero.org/users/11265134/items/A9CR8AJ5"],"itemData":{"id":384,"type":"article-journal","abstract":"Exposures that methylate DNA potently induce DNA double-strand breaks (DSBs) and chromosomal aberrations, which are thought to arise when damaged bases block DNA replication. Here, we demonstrate that DNA methylation damage causes DSB formation when replication interferes with base excision repair (BER), the predominant pathway for repairing methylated bases. We show that cells defective in the N-methylpurine DNA glycosylase, which fail to remove N-methylpurines from DNA and do not initiate BER, display strongly reduced levels of methylation-induced DSBs and chromosomal aberrations compared with wild-type cells. Also, cells unable to generate single-strand breaks (SSBs) at apurinic/apyrimidinic sites do not form DSBs immediately after methylation damage. In contrast, cells deficient in x-ray cross-complementing protein 1, DNA polymerase β, or poly (ADP-ribose) polymerase 1 activity, all of which fail to seal SSBs induced at apurinic/apyrimidinic sites, exhibit strongly elevated levels of methylation-induced DSBs and chromosomal aberrations. We propose that DSBs and chromosomal aberrations after treatment with N-alkylators arise when replication forks collide with SSBs generated during BER.","container-title":"Journal of Cell Biology","DOI":"10.1083/jcb.201312078","ISSN":"0021-9525","issue":"1","journalAbbreviation":"Journal of Cell Biology","page":"29-43","source":"Silverchair","title":"DNA breaks and chromosomal aberrations arise when replication meets base excision repair","volume":"206","author":[{"family":"Ensminger","given":"Michael"},{"family":"Iloff","given":"Lucie"},{"family":"Ebel","given":"Christian"},{"family":"Nikolova","given":"Teodora"},{"family":"Kaina","given":"Bernd"},{"family":"Lӧbrich","given":"Markus"}],"issued":{"date-parts":[["2014",6,30]]}}}],"schema":"https://github.com/citation-style-language/schema/raw/master/csl-citation.json"} </w:instrText>
      </w:r>
      <w:r w:rsidR="002C4421">
        <w:fldChar w:fldCharType="separate"/>
      </w:r>
      <w:r w:rsidR="009B7DE3" w:rsidRPr="009B7DE3">
        <w:rPr>
          <w:rFonts w:ascii="Calibri" w:hAnsi="Calibri" w:cs="Calibri"/>
          <w:szCs w:val="24"/>
          <w:vertAlign w:val="superscript"/>
        </w:rPr>
        <w:t>100</w:t>
      </w:r>
      <w:r w:rsidR="002C4421">
        <w:fldChar w:fldCharType="end"/>
      </w:r>
      <w:r w:rsidR="008A2890">
        <w:t>, topo I-DNA cleavage complex stabilization</w:t>
      </w:r>
      <w:r w:rsidR="00730B70">
        <w:t xml:space="preserve"> (MIE 6)</w:t>
      </w:r>
      <w:r w:rsidR="00B11799">
        <w:fldChar w:fldCharType="begin"/>
      </w:r>
      <w:r w:rsidR="004336A3">
        <w:instrText xml:space="preserve"> ADDIN ZOTERO_ITEM CSL_CITATION {"citationID":"DCsFUiIa","properties":{"formattedCitation":"\\super 61,62\\nosupersub{}","plainCitation":"61,62","noteIndex":0},"citationItems":[{"id":370,"uris":["http://zotero.org/users/11265134/items/CEEITXV6"],"itemData":{"id":370,"type":"article-journal","abstract":"The present study was designed to determine and compare the clastogenicity of m-AMSA and camptothecin (CAMP) in vivo in mouse bone marrow and peripheral blood lymphocytes (PBLs), and in vitro in mouse lymphoma L5178Y cells. m-AMSA interferes with topoisomerase II to induce double-strand DNA breaks. CAMP interferes with topoisomerase I to induce single-strand DNA breaks. Thus, we expected the two drugs to induce different types of chromosomal aberrations (CAs). However, both drugs produced quantitatively and qualitatively similar numbers and types of aberrations under similar experimental conditions. In mouse bone marrow exposed over and 18-h period, both drugs (3 mg/kg) induced approximately 30 damaged cells, with an average of 0.4 chromatid breaks per cell (in 100 cells analyzed/mouse). In addition, both drugs induced only chromatid-type aberrations in mouse bone marrow in vivo when exposure occurred during G2. Cell cycle specificity was indicated by the absence of CAs when exposure to the drugs occurred in vivo in mouse PBLs during G0. In L5178Y cells, m-AMSA was considerably more potent for the induction of mutations and somewhat more potent for the induction of CAs than CAMP was. In contrast to the in vivo bone marrow results, the drugs induced high levels of both chromatid- and chromosome-type aberrations in vitro. The ultimate types of chromosomal damage induced by m-AMSA and CAMP result from a complex interaction of (i) cell cycle specific variations in topoisomerase enzyme levels, (ii) the abilities of these drugs to interfere with the orderly DNA breakage/reunion associated with topoisomerase activity, and (iii) the processing of the damage resulting from these interactions.","container-title":"Mutagenesis","DOI":"10.1093/mutage/5.6.541","ISSN":"0267-8357","issue":"6","journalAbbreviation":"Mutagenesis","language":"eng","note":"PMID: 2175833","page":"541-547","source":"PubMed","title":"Genotoxicity of inhibitors of DNA topoisomerases I (camptothecin) and II (m-AMSA) in vivo and in vitro","volume":"5","author":[{"family":"Backer","given":"L. C."},{"family":"Allen","given":"J. W."},{"family":"Harrington-Brock","given":"K."},{"family":"Campbell","given":"J. A."},{"family":"DeMarini","given":"D. M."},{"family":"Doerr","given":"C. L."},{"family":"Howard","given":"D. R."},{"family":"Kligerman","given":"A. D."},{"family":"Moore","given":"M. M."}],"issued":{"date-parts":[["1990",11]]}}},{"id":546,"uris":["http://zotero.org/users/11265134/items/9Z7L6NYL"],"itemData":{"id":546,"type":"article-journal","abstract":"Most chemotherapy regimens co</w:instrText>
      </w:r>
      <w:r w:rsidR="004336A3" w:rsidRPr="00782F07">
        <w:rPr>
          <w:lang w:val="fr-BE"/>
        </w:rPr>
        <w:instrText xml:space="preserve">ntain at least one DNA-damaging agent that preferentially affects the growth of cancer cells. This strategy takes advantage of the differences in cell proliferation between normal and cancer cells. Chemotherapeutic drugs are usually designed to target rapid-dividing cells because sustained proliferation is a common feature of cancer [1,2]. Rapid DNA replication is essential for highly proliferative cells, thus blocking of DNA replication will create numerous mutations and/or chromosome rearrangements—ultimately triggering cell death [3]. Along these lines, DNA topoisomerase inhibitors are of great interest because they help to maintain strand breaks generated by topoisomerases during replication. In this article, we discuss the characteristics of topoisomerase (DNA) I (TOP1) and its inhibitors, as well as the underlying DNA repair pathways and the use of TOP1 inhibitors in cancer therapy.","container-title":"Biomolecules","DOI":"10.3390/biom5031652","ISSN":"2218-273X","issue":"3","journalAbbreviation":"Biomolecules","note":"PMID: 26287259\nPMCID: PMC4598769","page":"1652-1670","source":"PubMed Central","title":"Inhibition of Topoisomerase (DNA) I (TOP1): DNA Damage Repair and Anticancer Therapy","title-short":"Inhibition of Topoisomerase (DNA) I (TOP1)","volume":"5","author":[{"family":"Xu","given":"Yang"},{"family":"Her","given":"Chengtao"}],"issued":{"date-parts":[["2015",7,22]]}}}],"schema":"https://github.com/citation-style-language/schema/raw/master/csl-citation.json"} </w:instrText>
      </w:r>
      <w:r w:rsidR="00B11799">
        <w:fldChar w:fldCharType="separate"/>
      </w:r>
      <w:r w:rsidR="004336A3" w:rsidRPr="00782F07">
        <w:rPr>
          <w:rFonts w:ascii="Calibri" w:hAnsi="Calibri" w:cs="Calibri"/>
          <w:szCs w:val="24"/>
          <w:vertAlign w:val="superscript"/>
          <w:lang w:val="fr-BE"/>
        </w:rPr>
        <w:t>61,62</w:t>
      </w:r>
      <w:r w:rsidR="00B11799">
        <w:fldChar w:fldCharType="end"/>
      </w:r>
      <w:r w:rsidR="008A2890" w:rsidRPr="00782F07">
        <w:rPr>
          <w:lang w:val="fr-BE"/>
        </w:rPr>
        <w:t>, DPCs</w:t>
      </w:r>
      <w:r w:rsidR="00730B70" w:rsidRPr="00782F07">
        <w:rPr>
          <w:lang w:val="fr-BE"/>
        </w:rPr>
        <w:t xml:space="preserve"> (MIE 4)</w:t>
      </w:r>
      <w:r w:rsidR="00B11799">
        <w:fldChar w:fldCharType="begin"/>
      </w:r>
      <w:r w:rsidR="004336A3" w:rsidRPr="00782F07">
        <w:rPr>
          <w:lang w:val="fr-BE"/>
        </w:rPr>
        <w:instrText xml:space="preserve"> ADDIN ZOTERO_ITEM CSL_CITATION {"citationID":"Q3hcnWhR","properties":{"formattedCitation":"\\super 84\\nosupersub{}","plainCitation":"84","noteIndex":0},"citationItems":[{"id":462,"uris":["http://zotero.org/users/11265134/items/K6NYQ9F6"],"itemData":{"id":462,"type":"article-journal","abstract":"Covalent DNA–protein crosslinks (DPCs) are highly toxic DNA lesions that are induced by widely used classes of chemotherapeutics and also by various external and endogenous agents.DPCs consist of three distinct components, which are harnessed by distinct repair mechanisms as a starting point for repair.Tyrosyl-DNA phosphodiesterases directly hydrolyse the covalent bond between protein and DNA at DPCs.Nuclease-dependent repair by the MRE11–RAD50–NBS1 (MRN) complex targets the DNA component of DPCs.Proteolytic repair by the spartan (SPRTN)/weak suppressor of SMT3 protein 1 (Wss1) protease family degrades the protein component of DPCs.Inhibition of DPC repair pathways offers novel therapeutic opportunities for anticancer combination therapies.","container-title":"Nature Reviews Molecular Cell Biology","DOI":"10.1038/nrm.2017.56","ISSN":"1471-0080","issue":"9","journalAbbreviation":"Nat Rev Mol Cell Biol","language":"en","license":"2017 Springer Nature Limited","note":"publisher: Nature Publishing Group","page":"563-573","source":"www.nature.com","title":"Mechanisms of DNA–protein crosslink repair","volume":"18","author":[{"family":"Stingele","given":"Julian"},{"family":"Bellelli","given":"Roberto"},{"family":"Boulton","given":"Simon J."}],"issued":{"date-parts":[["2017",9]]}}}],"schema":"https://github.com/citation-style-language/schema/raw/master/csl-citation.json"} </w:instrText>
      </w:r>
      <w:r w:rsidR="00B11799">
        <w:fldChar w:fldCharType="separate"/>
      </w:r>
      <w:r w:rsidR="004336A3" w:rsidRPr="00782F07">
        <w:rPr>
          <w:rFonts w:ascii="Calibri" w:hAnsi="Calibri" w:cs="Calibri"/>
          <w:szCs w:val="24"/>
          <w:vertAlign w:val="superscript"/>
          <w:lang w:val="fr-BE"/>
        </w:rPr>
        <w:t>84</w:t>
      </w:r>
      <w:r w:rsidR="00B11799">
        <w:fldChar w:fldCharType="end"/>
      </w:r>
      <w:r w:rsidR="008A2890" w:rsidRPr="00782F07">
        <w:rPr>
          <w:lang w:val="fr-BE"/>
        </w:rPr>
        <w:t>, mismatch</w:t>
      </w:r>
      <w:r w:rsidR="00730B70" w:rsidRPr="00782F07">
        <w:rPr>
          <w:lang w:val="fr-BE"/>
        </w:rPr>
        <w:t xml:space="preserve"> (KE 1</w:t>
      </w:r>
      <w:r w:rsidR="009B7DE3">
        <w:rPr>
          <w:lang w:val="fr-BE"/>
        </w:rPr>
        <w:t>2</w:t>
      </w:r>
      <w:r w:rsidR="00730B70" w:rsidRPr="00782F07">
        <w:rPr>
          <w:lang w:val="fr-BE"/>
        </w:rPr>
        <w:t>)</w:t>
      </w:r>
      <w:r w:rsidR="008A2890" w:rsidRPr="00782F07">
        <w:rPr>
          <w:lang w:val="fr-BE"/>
        </w:rPr>
        <w:t xml:space="preserve"> or DNA interstrand crosslinks</w:t>
      </w:r>
      <w:r w:rsidR="00730B70" w:rsidRPr="00782F07">
        <w:rPr>
          <w:lang w:val="fr-BE"/>
        </w:rPr>
        <w:t xml:space="preserve"> (MIE 8)</w:t>
      </w:r>
      <w:r w:rsidR="006C6EA9">
        <w:fldChar w:fldCharType="begin"/>
      </w:r>
      <w:r w:rsidR="009B7DE3">
        <w:rPr>
          <w:lang w:val="fr-BE"/>
        </w:rPr>
        <w:instrText xml:space="preserve"> ADDIN ZOTERO_ITEM CSL_CITATION {"citationID":"t1teMvov","properties":{"formattedCitation":"\\super 101\\nosupersub{}","plainCitation":"101","noteIndex":0},"citationItems":[{"id":285,"uris":["http://zotero.org/users/11265134/items/SC84DV99"],"itemData":{"id":285,"type":"article-journal","abstract":"DNA is the source of genetic information, and preserving its integrity is essential in order to sustain life. The genome is continuously threatened by different types of DNA lesions, such as abasic sites, mismatches, interstrand crosslinks, or single-stranded and double-stranded breaks. As a consequence, cells have evolved specialized DNA damage response (DDR) mechanisms to sustain genome integrity. By orchestrating multilayer signaling cascades specific for the type of lesion that occurred, the DDR ensures that genetic information is preserved overtime. In the last decades, DNA repair mechanisms have been thoroughly investigated to untangle these complex networks of pathways and processes. As a result, key factors have been identified that control and coordinate DDR circuits in time and space. In the first part of this review, we describe the critical processes encompassing DNA damage sensing and resolution. In the second part, we illustrate the consequences of partial or complete failure of the DNA repair machinery. Lastly, we will report examples in which this knowledge has been instrumental to develop novel therapies based on genome editing technologies, such as CRISPR-Cas.","container-title":"Cells","DOI":"10.3390/cells9071665","ISSN":"2073-4409","issue":"7","language":"en","license":"http://creativecommons.org/licenses/by/3.0/","note":"number: 7\npublisher: Multidisciplinary Digital Publishing Institute","page":"1665","source":"www.mdpi.com","title":"DNA Damage: From Threat to Treatment","title-short":"DNA Damage","volume":"9","author":[{"family":"Carusillo","given":"Antonio"},{"family":"Mussolino","given":"Claudio"}],"issued":{"date-parts":[["2020",7]]}}}],"schema":"https://github.com/citation-style-language/schema/raw/master/csl-citation.json"} </w:instrText>
      </w:r>
      <w:r w:rsidR="006C6EA9">
        <w:fldChar w:fldCharType="separate"/>
      </w:r>
      <w:r w:rsidR="009B7DE3" w:rsidRPr="009B7DE3">
        <w:rPr>
          <w:rFonts w:ascii="Calibri" w:hAnsi="Calibri" w:cs="Calibri"/>
          <w:szCs w:val="24"/>
          <w:vertAlign w:val="superscript"/>
          <w:lang w:val="fr-BE"/>
        </w:rPr>
        <w:t>101</w:t>
      </w:r>
      <w:r w:rsidR="006C6EA9">
        <w:fldChar w:fldCharType="end"/>
      </w:r>
      <w:r w:rsidR="006C6EA9" w:rsidRPr="00782F07">
        <w:rPr>
          <w:lang w:val="fr-BE"/>
        </w:rPr>
        <w:t>.</w:t>
      </w:r>
      <w:r w:rsidR="008A2890" w:rsidRPr="00782F07">
        <w:rPr>
          <w:lang w:val="fr-BE"/>
        </w:rPr>
        <w:t xml:space="preserve"> </w:t>
      </w:r>
      <w:r w:rsidR="00782F07" w:rsidRPr="00B06F09">
        <w:t xml:space="preserve">Blocking of the DNA replication </w:t>
      </w:r>
      <w:r w:rsidR="00782F07" w:rsidRPr="00B06F09">
        <w:lastRenderedPageBreak/>
        <w:t xml:space="preserve">machinery disrupts the normal synthesis of new DNA strands. </w:t>
      </w:r>
      <w:r w:rsidR="00782F07" w:rsidRPr="008A2890">
        <w:t>Cells employ various mechanisms, such as fork stabilization, translesion synthesis, or homologous recombination, to address the issue and restart</w:t>
      </w:r>
      <w:r w:rsidR="008A2890" w:rsidRPr="008A2890">
        <w:t xml:space="preserve"> replication</w:t>
      </w:r>
      <w:r w:rsidR="005343CE">
        <w:fldChar w:fldCharType="begin"/>
      </w:r>
      <w:r w:rsidR="004336A3">
        <w:instrText xml:space="preserve"> ADDIN ZOTERO_ITEM CSL_CITATION {"citationID":"EkxUQUd8","properties":{"formattedCitation":"\\super 54\\nosupersub{}","plainCitation":"54","noteIndex":0},"citationItems":[{"id":516,"uris":["http://zotero.org/users/11265134/items/DYLTF95M"],"itemData":{"id":516,"type":"article-journal","abstract":"In mammalian cells, several proteins that are not part of the core replication machinery promote the efficient restart of stalled replication forks, which suggests that fork restart pathways exist. Different models of restart can be envisaged, which involve DNA helicases, nucleases, homologous recombination factors and DNA double-strand breaks.","container-title":"Nature Reviews Molecular Cell Biology","DOI":"10.1038/nrm2974","ISSN":"1471-0080","issue":"10","journalAbbreviation":"Nat Rev Mol Cell Biol","language":"en","license":"2010 Springer Nature Limited","note":"publisher: Nature Publishing Group","page":"683-687","source":"www.nature.com","title":"Pathways of mammalian replication fork restart","volume":"11","author":[{"family":"Petermann","given":"Eva"},{"family":"Helleday","given":"Thomas"}],"issued":{"date-parts":[["2010",10]]}}}],"schema":"https://github.com/citation-style-language/schema/raw/master/csl-citation.json"} </w:instrText>
      </w:r>
      <w:r w:rsidR="005343CE">
        <w:fldChar w:fldCharType="separate"/>
      </w:r>
      <w:r w:rsidR="004336A3" w:rsidRPr="00782F07">
        <w:rPr>
          <w:rFonts w:ascii="Calibri" w:hAnsi="Calibri" w:cs="Calibri"/>
          <w:szCs w:val="24"/>
          <w:vertAlign w:val="superscript"/>
        </w:rPr>
        <w:t>54</w:t>
      </w:r>
      <w:r w:rsidR="005343CE">
        <w:fldChar w:fldCharType="end"/>
      </w:r>
      <w:r w:rsidR="008A2890" w:rsidRPr="008A2890">
        <w:t xml:space="preserve">. </w:t>
      </w:r>
      <w:r w:rsidR="00782F07">
        <w:t>However, a prolonged period in a stalled situation can lead to the collapse of the replication fork, generating a DNA DSBs.</w:t>
      </w:r>
    </w:p>
    <w:p w14:paraId="2263202F" w14:textId="2E420B13" w:rsidR="001C0E16" w:rsidRDefault="00A73709" w:rsidP="00A35340">
      <w:pPr>
        <w:pStyle w:val="Paragraphedeliste"/>
        <w:numPr>
          <w:ilvl w:val="0"/>
          <w:numId w:val="28"/>
        </w:numPr>
        <w:spacing w:after="0" w:line="324" w:lineRule="auto"/>
        <w:jc w:val="both"/>
      </w:pPr>
      <w:r w:rsidRPr="00380710">
        <w:rPr>
          <w:b/>
          <w:bCs/>
        </w:rPr>
        <w:t xml:space="preserve">Increase, </w:t>
      </w:r>
      <w:r w:rsidR="00262A3A" w:rsidRPr="00380710">
        <w:rPr>
          <w:b/>
          <w:bCs/>
        </w:rPr>
        <w:t>DNA strand break</w:t>
      </w:r>
      <w:r w:rsidRPr="00380710">
        <w:rPr>
          <w:b/>
          <w:bCs/>
        </w:rPr>
        <w:t xml:space="preserve">s (Double) </w:t>
      </w:r>
      <w:r>
        <w:t>(Figure 2 – KE 2</w:t>
      </w:r>
      <w:r w:rsidR="009B7DE3">
        <w:t>0</w:t>
      </w:r>
      <w:r>
        <w:t>):</w:t>
      </w:r>
      <w:r w:rsidR="00262A3A">
        <w:t xml:space="preserve"> </w:t>
      </w:r>
      <w:r w:rsidRPr="00A73709">
        <w:t>Double-strand breaks (DSBs) occur when both DNA strands are broken close enough that base-pairing and chromatin structure cannot maintain the alignment of the two ends. As a result, the DNA ends can physically separate</w:t>
      </w:r>
      <w:r>
        <w:t>.</w:t>
      </w:r>
      <w:r w:rsidRPr="00A73709">
        <w:t xml:space="preserve"> </w:t>
      </w:r>
      <w:r w:rsidR="00730B70">
        <w:t xml:space="preserve">Direct breakage of DNA double strands is </w:t>
      </w:r>
      <w:r w:rsidR="00A41CC3">
        <w:t xml:space="preserve">also </w:t>
      </w:r>
      <w:r w:rsidR="00730B70">
        <w:t>possible through energy deposition (</w:t>
      </w:r>
      <w:hyperlink r:id="rId24" w:history="1">
        <w:r w:rsidR="00170ABB" w:rsidRPr="005219EB">
          <w:rPr>
            <w:rStyle w:val="Lienhypertexte"/>
          </w:rPr>
          <w:t>https://aopwiki.org/relationships/1977</w:t>
        </w:r>
      </w:hyperlink>
      <w:r w:rsidR="00170ABB">
        <w:t xml:space="preserve">, Figure 2 – </w:t>
      </w:r>
      <w:r w:rsidR="00730B70">
        <w:t>MIE 10)</w:t>
      </w:r>
      <w:r w:rsidR="00170ABB">
        <w:fldChar w:fldCharType="begin"/>
      </w:r>
      <w:r w:rsidR="009B7DE3">
        <w:instrText xml:space="preserve"> ADDIN ZOTERO_ITEM CSL_CITATION {"citationID":"HftHeXv3","properties":{"formattedCitation":"\\super 70,89,102\\nosupersub{}","plainCitation":"70,89,102","noteIndex":0},"citationItems":[{"id":276,"uris":["http://zotero.org/users/11265134/items/KRUM4R98"],"itemData":{"id":276,"type":"article-journal","abstract":"Ionizing radiation exposure can induce profound changes in intracellular components, potentially leading to diverse health effects in exposed individuals. Any cellular component can be damaged by radiation, but some components affect cellular viability more profoundly than others. The ionization caused by radiation lasts longer than the initial inciting incident, continuing as 1 ionization incident causes another. In some cases, damage to DNA can lead to cellular death at mitosis. In other cases, activation of the genetic machinery can lead to a genetic cascade potentially leading to mutations or cell death by apoptosis. In the third of 5 articles on the management of injuries and illnesses caused by ionizing radiation, the authors provide a clinically relevant overview of the pathophysiologic process associated with potential exposure to ionizing radiation.","container-title":"Journal of Osteopathic Medicine","DOI":"10.7556/jaoa.2014.109","ISSN":"2702-3648","issue":"7","language":"en","license":"De Gruyter expressly reserves the right to use all content for commercial text and data mining within the meaning of Section 44b of the German Copyright Act.","note":"publisher: De Gruyter","page":"556-565","source":"www.degruyter.com","title":"Management of Ionizing Radiation Injuries and Illnesses, Part 3: Radiobiology and Health Effects of Ionizing Radiation","title-short":"Management of Ionizing Radiation Injuries and Illnesses, Part 3","volume":"114","author":[{"family":"Christensen","given":"Doran M."},{"family":"Livingston","given":"Gordon K."},{"family":"Sugarman","given":"Stephen L."},{"family":"Parillo","given":"Steven J."},{"family":"Glassman","given":"Erik S."}],"issued":{"date-parts":[["2014",7,1]]}}},{"id":582,"uris":["http://zotero.org/users/11265134/items/W8IPKJ7X"],"itemData":{"id":582,"type":"article-journal","abstract":"Biological dosimetry of ionizing radiation (IR) exposure relies on validated cytogenetic tests measuring the frequencies of micronuclei (MN) and dicentric chromosomes (DC). IR also causes oxidative damage of biomolecules, including DNA. We evaluated IR-induced genotoxic and oxidative damage in a carefully defined cohort of healthy donors, reducing confounding factors as much as possible. Frequencies of MN and DC (peripheral blood lymphocyte cultures) and oxidative stress parameters (plasma) were quantified. We observed dose dependence of both cytogenetic and biochemical endpoints, independent of age, sex, and smoking habits. Oxidative stress parameters, especially oxidative stress index, malondialdehyde, advanced oxidation protein products, and catalase, may be used confidently to assess IR-induced damage, if cytogenetic results are unavailable.","container-title":"Mutation Research/Genetic Toxicology and Environmental Mutagenesis","DOI":"10.1016/j.mrgentox.2021.503313","ISSN":"1383-5718","journalAbbreviation":"Mutation Research/Genetic Toxicology and Environmental Mutagenesis","page":"503313","source":"ScienceDirect","title":"Ionizing radiation-induced genotoxic and oxidative damage in peripheral lymphocytes and plasma of healthy donors","volume":"863-864","author":[{"family":"Pajic","given":"J."},{"family":"Rovcanin","given":"B."}],"issued":{"date-parts":[["2021",3,1]]}}},{"id":584,"uris":["http://zotero.org/users/11265134/items/4J8UGZQC"],"itemData":{"id":584,"type":"article-journal","abstract":"The two basic groups of complex DNA damage are double-strand breaks (DSBs) and non-DSB oxidatively-induced clustered DNA lesions (OCDLs). The single-cell gel electrophoresis (SCGE) or comet assay has been widely used for the detection of low levels of various types of DNA lesions including single-strand breaks (SSBs), DSBs, and oxidized bases per individual cell. There are limited data on the use of the comet assay for the detection of non-DSB clustered DNA lesions using different repair enzymes as enzymatic probes. This unit discusses a novel adaptation of the comet assay used to measure these unique types of lesions. Until now OCDL yields have been measured using primarily pulsed-field agarose gel electrophoresis. The advantages offered by the current approach are: (1) measurement of OCDL levels per individual cell; (2) use of a small number of cells (</w:instrText>
      </w:r>
      <w:r w:rsidR="009B7DE3">
        <w:rPr>
          <w:rFonts w:ascii="Cambria Math" w:hAnsi="Cambria Math" w:cs="Cambria Math"/>
        </w:rPr>
        <w:instrText>∼</w:instrText>
      </w:r>
      <w:r w:rsidR="009B7DE3">
        <w:instrText xml:space="preserve">10,000) and relatively low doses of ionizing radiation (1 to 2 Gy) or low levels of oxidative stress, which are not compatible with standard agarose gel electrophoresis; and finally, (3) the assay is fast and allows direct comparison with pulsed-field gel electrophoresis results. Curr. Protoc. Cell Biol. 47:6.11.1-6.11.17. © 2010 by John Wiley &amp; Sons, Inc.","container-title":"Current Protocols in Cell Biology","DOI":"10.1002/0471143030.cb0611s49","ISSN":"1934-2616","issue":"1","language":"en","license":"© 2010 John Wiley &amp; Sons, Inc.","note":"_eprint: https://onlinelibrary.wiley.com/doi/pdf/10.1002/0471143030.cb0611s49","page":"6.11.1-6.11.17","source":"Wiley Online Library","title":"Measurement of Oxidatively-Induced Clustered DNA Lesions Using a Novel Adaptation of Single Cell Gel Electrophoresis (Comet Assay)","volume":"49","author":[{"family":"Georgakilas","given":"Alexandros G."},{"family":"Holt","given":"Stewart M."},{"family":"Hair","given":"Jessica M."},{"family":"Loftin","given":"Charles W."}],"issued":{"date-parts":[["2010"]]}}}],"schema":"https://github.com/citation-style-language/schema/raw/master/csl-citation.json"} </w:instrText>
      </w:r>
      <w:r w:rsidR="00170ABB">
        <w:fldChar w:fldCharType="separate"/>
      </w:r>
      <w:r w:rsidR="009B7DE3" w:rsidRPr="009B7DE3">
        <w:rPr>
          <w:rFonts w:ascii="Calibri" w:hAnsi="Calibri" w:cs="Calibri"/>
          <w:szCs w:val="24"/>
          <w:vertAlign w:val="superscript"/>
        </w:rPr>
        <w:t>70,89,102</w:t>
      </w:r>
      <w:r w:rsidR="00170ABB">
        <w:fldChar w:fldCharType="end"/>
      </w:r>
      <w:r w:rsidR="00380710">
        <w:t xml:space="preserve">. </w:t>
      </w:r>
      <w:r w:rsidR="00D65837">
        <w:t>T</w:t>
      </w:r>
      <w:r w:rsidR="00380710">
        <w:t>he inhibition of topoisomerase II enzymes can stabilize the TOP</w:t>
      </w:r>
      <w:r w:rsidR="00B11799">
        <w:t>O</w:t>
      </w:r>
      <w:r w:rsidR="00380710">
        <w:t>2-DNA</w:t>
      </w:r>
      <w:r w:rsidR="00B11799">
        <w:t xml:space="preserve"> cleavage complex (MIE 9)</w:t>
      </w:r>
      <w:r w:rsidR="00380710">
        <w:t>, leaving a “free” DNA DSB</w:t>
      </w:r>
      <w:r w:rsidR="00380710">
        <w:fldChar w:fldCharType="begin"/>
      </w:r>
      <w:r w:rsidR="009B7DE3">
        <w:instrText xml:space="preserve"> ADDIN ZOTERO_ITEM CSL_CITATION {"citationID":"IKH2tfRM","properties":{"formattedCitation":"\\super 103\\nosupersub{}","plainCitation":"103","noteIndex":0},"citationItems":[{"id":343,"uris":["http://zotero.org/users/11265134/items/DWFKLNG8"],"itemData":{"id":343,"type":"article-journal","abstract":"Although the application of the concept of a threshold to risk assessment is widespread, there remains little experimental evidence for the existence of thresholds for genotoxic compounds, other than aneugens. The clastogenicity of topoisomerase inhibitors is believed to result from the transient stabilization of the topoisomerase enzyme with DNA during the catalytic cycle. This leads to the formation of a stabilized cleavage complex, which, in turn, may result in the formation of a DNA strand break. This indirect mechanism of clastogenicity is the basis for the concept of threshold for this class of drug. Using micronucleus induction in L5178Y mouse lymphoma cells as a genotoxic end‐point, a three pronged approach was used to examine whether the concept of a threshold for clastogenicity could be demonstrated for topoisomerase type II inhibitors in vitro. This involved (i) the study of mechanism (TARDIS assay), (ii) hypothesis testing versus estimation (i.e. scoring up to 10 000 cells/treatment at concentrations immediately above and below the NOEL for micronucleus induction) and (iii) statistical modelling of the concentration–response curves for micronucleus induction. Several topoisomerase type II inhibitors were investigated with varying clastogenic potencies (etoposide = doxorubicin &amp;lt; genistein &amp;lt; ciprofloxacin). Pragmatic thresholds for clastogenicity in L5178Y cells were defined at 0.00236 µg/ml for etoposide, 0.00151 µg/ml for doxorubicin, 1 µg/ml for genistein and 50 µg/ml for ciprofloxacin. In addition, it was demonstrated that etoposide‐induced clastogenicity was concentration and time dependent. These results, along with mechanistic data showing that all of the compounds induced concentration‐dependent increases in the formation of topoisomerase II stabilized cleavage complexes, provide a weight of evidence to support a threshold concept for clastogenicity with topoisomerase II poisons.","container-title":"Mutagenesis","DOI":"10.1093/mutage/geg003","ISSN":"0267-8357","issue":"4","journalAbbreviation":"Mutagenesis","page":"345-353","source":"Silverchair","title":"Investigations into the concept of a threshold for topoisomerase inhibitor‐induced clastogenicity","volume":"18","author":[{"family":"Lynch","given":"Anthony"},{"family":"Harvey","given":"James"},{"family":"Aylott","given":"Michael"},{"family":"Nicholas","given":"Emma"},{"family":"Burman","given":"Mark"},{"family":"Siddiqui","given":"Ayesha"},{"family":"Walker","given":"Sarah"},{"family":"Rees","given":"Robert"}],"issued":{"date-parts":[["2003",7,1]]}}}],"schema":"https://github.com/citation-style-language/schema/raw/master/csl-citation.json"} </w:instrText>
      </w:r>
      <w:r w:rsidR="00380710">
        <w:fldChar w:fldCharType="separate"/>
      </w:r>
      <w:r w:rsidR="009B7DE3" w:rsidRPr="009B7DE3">
        <w:rPr>
          <w:rFonts w:ascii="Calibri" w:hAnsi="Calibri" w:cs="Calibri"/>
          <w:szCs w:val="24"/>
          <w:vertAlign w:val="superscript"/>
        </w:rPr>
        <w:t>103</w:t>
      </w:r>
      <w:r w:rsidR="00380710">
        <w:fldChar w:fldCharType="end"/>
      </w:r>
      <w:r w:rsidR="00D65837">
        <w:t xml:space="preserve"> (</w:t>
      </w:r>
      <w:hyperlink r:id="rId25" w:history="1">
        <w:r w:rsidR="00B11799" w:rsidRPr="005219EB">
          <w:rPr>
            <w:rStyle w:val="Lienhypertexte"/>
          </w:rPr>
          <w:t>https://aopwiki.org/relationships/1634</w:t>
        </w:r>
      </w:hyperlink>
      <w:r w:rsidR="00D65837">
        <w:t xml:space="preserve">). </w:t>
      </w:r>
      <w:r w:rsidR="00380710">
        <w:t xml:space="preserve"> </w:t>
      </w:r>
      <w:r w:rsidR="006A5A03">
        <w:t>In addition, DNA SSBs can transform into DSBs</w:t>
      </w:r>
      <w:r w:rsidR="006A5A03">
        <w:fldChar w:fldCharType="begin"/>
      </w:r>
      <w:r w:rsidR="009B7DE3">
        <w:instrText xml:space="preserve"> ADDIN ZOTERO_ITEM CSL_CITATION {"citationID":"g7UDSy3S","properties":{"formattedCitation":"\\super 104\\nosupersub{}","plainCitation":"104","noteIndex":0},"citationItems":[{"id":311,"uris":["http://zotero.org/users/11265134/items/UGKV96LB"],"itemData":{"id":311,"type":"article-journal","abstract":"DNA repair is known as a defense mechanism against genotoxic insults. However, the most lethal type of DNA damages, double-strand DNA breaks (DSBs), can be produced by DNA repair. We have previously demonstrated that when long patch base excision repair attempts to repair a synthetic substrate containing two uracils, the repair produces DSBs (Vispe, S. and Satoh, M. S. (2000) J. Biol. Chem. 275, 27386-27392 and Vispe, S., Ho, E. L., Yung, T. M., and Satoh, M. S. (2003) J. Biol. Chem. 278, 35279-35285). In this synthetic substrate, the two uracils are located on the opposite DNA strands (separated by an intervening sequence stable at 37 degrees C) and represent a high risk site for DSB formation. It is not clear, however, whether similar high risk sites are also induced in genomic DNA by exposure to DNA damaging agents. Thus, to investigate the mechanisms of DSB formation, we have modified the DSB formation assay developed previously and demonstrated that high risk sites for DSB formation are indeed generated in genomic DNA by exposure of cells to alkylating agents. In fact, genomic DNA containing alkylated base damages, which could represent high risk sites, are converted into DSBs by enzymes present in extracts prepared from cells derived from clinically normal individuals. Furthermore, DSBs are also produced by extracts from cells derived from ataxia-telangiectasia patients who show cancer proneness due to an impaired response to DSBs. These results suggest the presence of a novel link between base damage formation and DSBs and between long patch base excision repair and human diseases that occur due to an impaired response to DSB.","container-title":"The Journal of Biological Chemistry","DOI":"10.1074/jbc.M610651200","ISSN":"0021-9258","issue":"30","journalAbbreviation":"J Biol Chem","language":"eng","note":"PMID: 17545165","page":"21913-21923","source":"PubMed","title":"Induction of base damages representing a high risk site for double-strand DNA break formation in genomic DNA by exposure of cells to DNA damaging agents","volume":"282","author":[{"family":"Ho","given":"Erick L. Y."},{"family":"Parent","given":"Marianne"},{"family":"Satoh","given":"Masahiko S."}],"issued":{"date-parts":[["2007",7,27]]}}}],"schema":"https://github.com/citation-style-language/schema/raw/master/csl-citation.json"} </w:instrText>
      </w:r>
      <w:r w:rsidR="006A5A03">
        <w:fldChar w:fldCharType="separate"/>
      </w:r>
      <w:r w:rsidR="009B7DE3" w:rsidRPr="009B7DE3">
        <w:rPr>
          <w:rFonts w:ascii="Calibri" w:hAnsi="Calibri" w:cs="Calibri"/>
          <w:szCs w:val="24"/>
          <w:vertAlign w:val="superscript"/>
        </w:rPr>
        <w:t>104</w:t>
      </w:r>
      <w:r w:rsidR="006A5A03">
        <w:fldChar w:fldCharType="end"/>
      </w:r>
      <w:r w:rsidR="006A5A03">
        <w:t xml:space="preserve"> via different mechanisms</w:t>
      </w:r>
      <w:r w:rsidR="006A5A03">
        <w:fldChar w:fldCharType="begin"/>
      </w:r>
      <w:r w:rsidR="009B7DE3">
        <w:instrText xml:space="preserve"> ADDIN ZOTERO_ITEM CSL_CITATION {"citationID":"3q3sjE2u","properties":{"formattedCitation":"\\super 94\\nosupersub{}","plainCitation":"94","noteIndex":0},"citationItems":[{"id":336,"uris":["http://zotero.org/users/11265134/items/SYH8CT8E"],"itemData":{"id":336,"type":"article-journal","abstract":"A significant proportion of cellular DNA damages induced by ionizing radiation are produced in clusters, also called multiply damaged sites. It has been demonstrated by in vitro studies and in bacteria that clustered damage sites can be converted to lethal double strand breaks by oxidative DNA glycosylases during attempted base excision repair. To determine whether DNA glycosylases could produce double strand breaks at radiation-induced clustered damages in human cells, stably transformed human lymphoblastoid TK6 cells that inducibly overexpress the oxidative DNA glycosylases/AP lyases, hNTH1 and hOGG1, were assessed for their radiation responses, including survival, mutation induction and the enzymatic production of double strand breaks post-irradiation. We found that additional double strand breaks were generated during post-irradiation incubation in uninduced TK6 control cells. Moreover, overproduction of either DNA glycosylase resulted in significantly increased double strand break formation, which correlated with an elevated sensitivity to the cytotoxic and mutagenic effects of ionizing radiation. These data show that attempted repair of radiation damage, presumably at clustered damage sites, by the oxidative DNA glycosylases can lead to the formation of potentially lethal and mutagenic double strand breaks in human cells.","container-title":"DNA repair","DOI":"10.1016/j.dnarep.2004.04.014","ISSN":"1568-7864","issue":"10","journalAbbreviation":"DNA Repair (Amst)","language":"eng","note":"PMID: 15336627","page":"1323-1334","source":"PubMed","title":"Attempted base excision repair of ionizing radiation damage in human lymphoblastoid cells produces lethal and mutagenic double strand breaks","volume":"3","author":[{"family":"Yang","given":"Ning"},{"family":"Galick","given":"Heather"},{"family":"Wallace","given":"Susan S."}],"issued":{"date-parts":[["2004",10,5]]}}}],"schema":"https://github.com/citation-style-language/schema/raw/master/csl-citation.json"} </w:instrText>
      </w:r>
      <w:r w:rsidR="006A5A03">
        <w:fldChar w:fldCharType="separate"/>
      </w:r>
      <w:r w:rsidR="009B7DE3" w:rsidRPr="009B7DE3">
        <w:rPr>
          <w:rFonts w:ascii="Calibri" w:hAnsi="Calibri" w:cs="Calibri"/>
          <w:szCs w:val="24"/>
          <w:vertAlign w:val="superscript"/>
        </w:rPr>
        <w:t>94</w:t>
      </w:r>
      <w:r w:rsidR="006A5A03">
        <w:fldChar w:fldCharType="end"/>
      </w:r>
      <w:r w:rsidR="006A5A03">
        <w:t>, e.g. when two SSBs are close to each other or via the collapse of the replication fork</w:t>
      </w:r>
      <w:r w:rsidR="006A5A03">
        <w:fldChar w:fldCharType="begin"/>
      </w:r>
      <w:r w:rsidR="009B7DE3">
        <w:instrText xml:space="preserve"> ADDIN ZOTERO_ITEM CSL_CITATION {"citationID":"DzJdyzBP","properties":{"formattedCitation":"\\super 105\\nosupersub{}","plainCitation":"105","noteIndex":0},"citationItems":[{"id":320,"uris":["http://zotero.org/users/11265134/items/JA8LF9T5"],"itemData":{"id":320,"type":"article-journal","abstract":"&lt;h2&gt;Abstract&lt;/h2&gt;&lt;p&gt;DNA single-strand breaks (SSBs) are among the most common lesions arising in human cells, with tens to hundreds of thousands arising in each cell, each day. Cells have efficient mechanisms for the sensing and repair of these ubiquitous DNA lesions, but the failure of these processes to rapidly remove SSBs can lead to a variety of pathogenic outcomes. The threat posed by unrepaired SSBs is illustrated by the existence of at least six genetic diseases in which SSB repair (SSBR) is defective, all of which are characterised by neurodevelopmental and/or neurodegenerative pathology. Here, I review current understanding of how SSBs arise and impact on critical molecular processes, such as DNA replication and gene transcription, and their links to human disease.&lt;/p&gt;","container-title":"Trends in Biochemical Sciences","DOI":"10.1016/j.tibs.2023.11.001","ISSN":"0968-0004","issue":"1","journalAbbreviation":"Trends in Biochemical Sciences","language":"English","note":"publisher: Elsevier\nPMID: 38040599","page":"68-78","source":"www.cell.com","title":"Causes and consequences of DNA single-strand breaks","volume":"49","author":[{"family":"Caldecott","given":"Keith W."}],"issued":{"date-parts":[["2024",1,1]]}}}],"schema":"https://github.com/citation-style-language/schema/raw/master/csl-citation.json"} </w:instrText>
      </w:r>
      <w:r w:rsidR="006A5A03">
        <w:fldChar w:fldCharType="separate"/>
      </w:r>
      <w:r w:rsidR="009B7DE3" w:rsidRPr="009B7DE3">
        <w:rPr>
          <w:rFonts w:ascii="Calibri" w:hAnsi="Calibri" w:cs="Calibri"/>
          <w:szCs w:val="24"/>
          <w:vertAlign w:val="superscript"/>
        </w:rPr>
        <w:t>105</w:t>
      </w:r>
      <w:r w:rsidR="006A5A03">
        <w:fldChar w:fldCharType="end"/>
      </w:r>
      <w:r w:rsidR="006A5A03">
        <w:t>.</w:t>
      </w:r>
    </w:p>
    <w:p w14:paraId="41ED0552" w14:textId="77777777" w:rsidR="00262A3A" w:rsidRDefault="00262A3A" w:rsidP="00F54499">
      <w:pPr>
        <w:spacing w:after="0" w:line="324" w:lineRule="auto"/>
        <w:jc w:val="both"/>
      </w:pPr>
    </w:p>
    <w:p w14:paraId="7E8999B4" w14:textId="22923D7F" w:rsidR="002F2B65" w:rsidRDefault="00C21DA6" w:rsidP="00CE7362">
      <w:pPr>
        <w:spacing w:after="0" w:line="360" w:lineRule="auto"/>
        <w:jc w:val="both"/>
      </w:pPr>
      <w:r>
        <w:t>Fortunately, our complex biological system is provided with repair mechanisms, that can eventually limit exogenous-induced DNA damage</w:t>
      </w:r>
      <w:r>
        <w:fldChar w:fldCharType="begin"/>
      </w:r>
      <w:r w:rsidR="009B7DE3">
        <w:instrText xml:space="preserve"> ADDIN ZOTERO_ITEM CSL_CITATION {"citationID":"eEvpGAZI","properties":{"formattedCitation":"\\super 106\\nosupersub{}","plainCitation":"106","noteIndex":0},"citationItems":[{"id":400,"uris":["http://zotero.org/users/11265134/items/V2DFPC9F"],"itemData":{"id":400,"type":"article-journal","abstract":"Damage to our genetic material is an ongoing threat to both our ability to faithfully transmit genetic information to our offspring as well as our own survival. To respond to these threats, eukaryotes have evolved the DNA damage response (DDR). The DDR is a complex signal transduction pathway that has the ability to sense DNA damage and transduce this information to the cell to influence cellular responses to DNA damage. Cells possess an arsenal of enzymatic tools capable of remodeling and repairing DNA; however, their activities must be tightly regulated in a temporal, spatial, and DNA lesion-appropriate fashion to optimize repair and prevent unnecessary and potentially deleterious alterations in the structure of DNA during normal cellular processes. This review will focus on how the DDR controls DNA repair and the phenotypic consequences of defects in these critical regulatory functions in mammals.","container-title":"Molecular Cell","DOI":"10.1016/j.molcel.2010.09.019","ISSN":"1097-2765","issue":"2","journalAbbreviation":"Molecular Cell","page":"179-204","source":"ScienceDirect","title":"The DNA Damage Response: Making It Safe to Play with Knives","title-short":"The DNA Damage Response","volume":"40","author":[{"family":"Ciccia","given":"Alberto"},{"family":"Elledge","given":"Stephen J."}],"issued":{"date-parts":[["2010",10,22]]}}}],"schema":"https://github.com/citation-style-language/schema/raw/master/csl-citation.json"} </w:instrText>
      </w:r>
      <w:r>
        <w:fldChar w:fldCharType="separate"/>
      </w:r>
      <w:r w:rsidR="009B7DE3" w:rsidRPr="009B7DE3">
        <w:rPr>
          <w:rFonts w:ascii="Calibri" w:hAnsi="Calibri" w:cs="Calibri"/>
          <w:szCs w:val="24"/>
          <w:vertAlign w:val="superscript"/>
        </w:rPr>
        <w:t>106</w:t>
      </w:r>
      <w:r>
        <w:fldChar w:fldCharType="end"/>
      </w:r>
      <w:r>
        <w:t>.  M</w:t>
      </w:r>
      <w:r w:rsidR="00471656">
        <w:t>ultiple DNA repair processes exist</w:t>
      </w:r>
      <w:r w:rsidR="00D0732B">
        <w:t xml:space="preserve"> to face these critical situations</w:t>
      </w:r>
      <w:r w:rsidR="00471656">
        <w:t>.</w:t>
      </w:r>
      <w:r w:rsidR="00262A3A">
        <w:t xml:space="preserve"> The type of DNA repair process </w:t>
      </w:r>
      <w:r w:rsidR="00B11799">
        <w:t>involved</w:t>
      </w:r>
      <w:r w:rsidR="00262A3A">
        <w:t xml:space="preserve"> will depend </w:t>
      </w:r>
      <w:r>
        <w:t>on</w:t>
      </w:r>
      <w:r w:rsidR="00262A3A">
        <w:t xml:space="preserve"> the</w:t>
      </w:r>
      <w:r w:rsidR="00D0732B">
        <w:t xml:space="preserve"> </w:t>
      </w:r>
      <w:r w:rsidR="00262A3A">
        <w:t>type</w:t>
      </w:r>
      <w:r w:rsidR="00D0732B">
        <w:t xml:space="preserve"> of lesions</w:t>
      </w:r>
      <w:r w:rsidR="00262A3A">
        <w:t>.</w:t>
      </w:r>
      <w:r w:rsidR="00471656">
        <w:t xml:space="preserve"> </w:t>
      </w:r>
      <w:r w:rsidR="003506D5">
        <w:t>An overview of t</w:t>
      </w:r>
      <w:r w:rsidR="00D374C8">
        <w:t xml:space="preserve">hese processes </w:t>
      </w:r>
      <w:r w:rsidR="003506D5">
        <w:t>is provided</w:t>
      </w:r>
      <w:r w:rsidR="00D374C8">
        <w:t xml:space="preserve"> below,</w:t>
      </w:r>
      <w:r w:rsidR="00DD0D93">
        <w:t xml:space="preserve"> starting with </w:t>
      </w:r>
      <w:r w:rsidR="00D374C8">
        <w:t xml:space="preserve">processes targeting simple damage </w:t>
      </w:r>
      <w:r w:rsidR="00D54F0C">
        <w:t>and</w:t>
      </w:r>
      <w:r w:rsidR="00D374C8">
        <w:t xml:space="preserve"> </w:t>
      </w:r>
      <w:r w:rsidR="00DD0D93">
        <w:t xml:space="preserve">ending with those </w:t>
      </w:r>
      <w:r w:rsidR="003506D5">
        <w:t>aiming to repair</w:t>
      </w:r>
      <w:r w:rsidR="00D374C8">
        <w:t xml:space="preserve"> </w:t>
      </w:r>
      <w:r w:rsidR="002F2B65">
        <w:t>more</w:t>
      </w:r>
      <w:r w:rsidR="00D374C8">
        <w:t xml:space="preserve"> complex damage</w:t>
      </w:r>
      <w:r w:rsidR="00FF5D55">
        <w:t>:</w:t>
      </w:r>
    </w:p>
    <w:p w14:paraId="62CB779C" w14:textId="77777777" w:rsidR="00262A3A" w:rsidRDefault="00262A3A" w:rsidP="00CE7362">
      <w:pPr>
        <w:spacing w:after="0" w:line="360" w:lineRule="auto"/>
        <w:jc w:val="both"/>
      </w:pPr>
    </w:p>
    <w:p w14:paraId="425F5EA4" w14:textId="3E34ACF5" w:rsidR="003E366B" w:rsidRDefault="003E366B" w:rsidP="00802FBF">
      <w:pPr>
        <w:pStyle w:val="Paragraphedeliste"/>
        <w:numPr>
          <w:ilvl w:val="0"/>
          <w:numId w:val="28"/>
        </w:numPr>
        <w:spacing w:after="0" w:line="324" w:lineRule="auto"/>
        <w:jc w:val="both"/>
      </w:pPr>
      <w:r w:rsidRPr="00802FBF">
        <w:rPr>
          <w:b/>
          <w:bCs/>
        </w:rPr>
        <w:t>Direct re</w:t>
      </w:r>
      <w:r w:rsidR="00E46952" w:rsidRPr="00802FBF">
        <w:rPr>
          <w:b/>
          <w:bCs/>
        </w:rPr>
        <w:t>versa</w:t>
      </w:r>
      <w:r w:rsidRPr="00802FBF">
        <w:rPr>
          <w:b/>
          <w:bCs/>
        </w:rPr>
        <w:t>l of</w:t>
      </w:r>
      <w:r w:rsidR="00750C6B" w:rsidRPr="00802FBF">
        <w:rPr>
          <w:b/>
          <w:bCs/>
        </w:rPr>
        <w:t xml:space="preserve"> </w:t>
      </w:r>
      <w:r w:rsidRPr="00802FBF">
        <w:rPr>
          <w:b/>
          <w:bCs/>
        </w:rPr>
        <w:t>DNA damage</w:t>
      </w:r>
      <w:r>
        <w:t>: Several enzymes are able to directly re</w:t>
      </w:r>
      <w:r w:rsidR="00E46952">
        <w:t>vers</w:t>
      </w:r>
      <w:r>
        <w:t xml:space="preserve">e </w:t>
      </w:r>
      <w:r w:rsidR="00750C6B">
        <w:t>small</w:t>
      </w:r>
      <w:r>
        <w:t xml:space="preserve"> DNA </w:t>
      </w:r>
      <w:r w:rsidR="00E46952">
        <w:t>lesions</w:t>
      </w:r>
      <w:r w:rsidR="00750C6B">
        <w:fldChar w:fldCharType="begin"/>
      </w:r>
      <w:r w:rsidR="009B7DE3">
        <w:instrText xml:space="preserve"> ADDIN ZOTERO_ITEM CSL_CITATION {"citationID":"ltIVCg5J","properties":{"formattedCitation":"\\super 72,93\\nosupersub{}","plainCitation":"72,93","noteIndex":0},"citationItems":[{"id":297,"uris":["http://zotero.org/users/11265134/items/VH7IWA7E"],"itemData":{"id":297,"type":"article-journal","abstract":"Nitrosamines occur widespread in food, drinking water, cosmetics, as well as tobacco smoke and can arise endogenously. More recently, nitrosamines have been detected as impurities in various drugs. This is of particular concern as nitrosamines are alkylating agents that are genotoxic and carcinogenic. We first summarize the current knowledge on the different sources and chemical nature of alkylating agents with a focus on relevant nitrosamines. Subsequently, we present the major DNA alkylation adducts induced by nitrosamines upon their metabolic activation by CYP450 monooxygenases. We then describe the DNA repair pathways engaged by the various DNA alkylation adducts, which include base excision repair, direct damage reversal by MGMT and ALKBH, as well as nucleotide excision repair. Their roles in the protection against the genotoxic and carcinogenic effects of nitrosamines are highlighted. Finally, we address DNA translesion synthesis as a DNA damage tolerance mechanism relevant to DNA alkylation adducts.","container-title":"International Journal of Molecular Sciences","DOI":"10.3390/ijms24054684","ISSN":"1422-0067","issue":"5","language":"en","license":"http://creativecommons.org/licenses/by/3.0/","note":"number: 5\npublisher: Multidisciplinary Digital Publishing Institute","page":"4684","source":"www.mdpi.com","title":"DNA Alkylation Damage by Nitrosamines and Relevant DNA Repair Pathways","volume":"24","author":[{"family":"Fahrer","given":"Jörg"},{"family":"Christmann","given":"Markus"}],"issued":{"date-parts":[["2023",1]]}},"label":"page"},{"id":381,"uris":["http://zotero.org/users/11265134/items/62EAJCUI"],"itemData":{"id":381,"type":"article-journal","abstract":"Living organisms are continuously exposed to a myriad of DNA damaging agents that can impact health and modulate disease-states. However, robust DNA repair and damage-bypass mechanisms faithfully protect the DNA by either removing or tolerating the damage to ensure an overall survival. Deviations in this fine-tuning are known to destabilize cellular metabolic homeostasis, as exemplified in diverse cancers where disruption or deregulation of DNA repair pathways results in genome instability. Because routinely used biological, physical and chemical agents impact human health, testing their genotoxicity and regulating their use have become important. In this introductory review, we will delineate mechanisms of DNA damage and the counteracting repair/tolerance pathways to provide insights into the molecular basis of genotoxicity in cells that lays the foundation for subsequent articles in this issue. Environ. Mol. Mutagen. 58:235-263, 2017. © 2017 Wiley Periodicals, Inc.","container-title":"Environmental and Molecular Mutagenesis","DOI":"10.1002/em.22087","ISSN":"1098-2280","issue":"5","journalAbbreviation":"Environ Mol Mutagen","language":"eng","note":"PMID: 28485537\nPMCID: PMC5474181","page":"235-263","source":"PubMed","title":"Mechanisms of DNA damage, repair, and mutagenesis","volume":"58","author":[{"family":"Chatterjee","given":"Nimrat"},{"family":"Walker","given":"Graham C."}],"issued":{"date-parts":[["2017",6]]}},"label":"act"}],"schema":"https://github.com/citation-style-language/schema/raw/master/csl-citation.json"} </w:instrText>
      </w:r>
      <w:r w:rsidR="00750C6B">
        <w:fldChar w:fldCharType="separate"/>
      </w:r>
      <w:r w:rsidR="009B7DE3" w:rsidRPr="009B7DE3">
        <w:rPr>
          <w:rFonts w:ascii="Calibri" w:hAnsi="Calibri" w:cs="Calibri"/>
          <w:szCs w:val="24"/>
          <w:vertAlign w:val="superscript"/>
        </w:rPr>
        <w:t>72,93</w:t>
      </w:r>
      <w:r w:rsidR="00750C6B">
        <w:fldChar w:fldCharType="end"/>
      </w:r>
      <w:r>
        <w:t>, e.g.</w:t>
      </w:r>
      <w:r w:rsidR="00E46952">
        <w:t xml:space="preserve"> </w:t>
      </w:r>
      <w:r w:rsidR="00750C6B">
        <w:t>alk</w:t>
      </w:r>
      <w:r>
        <w:t xml:space="preserve">ylguanine </w:t>
      </w:r>
      <w:r w:rsidR="00750C6B">
        <w:t>alk</w:t>
      </w:r>
      <w:r>
        <w:t>yltransferase</w:t>
      </w:r>
      <w:r w:rsidR="00750C6B">
        <w:t xml:space="preserve"> (AGT/MGMT)</w:t>
      </w:r>
      <w:r w:rsidR="006B5259">
        <w:t xml:space="preserve"> and</w:t>
      </w:r>
      <w:r>
        <w:t xml:space="preserve"> </w:t>
      </w:r>
      <w:r w:rsidR="00E46952" w:rsidRPr="00802FBF">
        <w:rPr>
          <w:rStyle w:val="normaltextrun"/>
          <w:rFonts w:ascii="Calibri" w:hAnsi="Calibri" w:cs="Calibri"/>
          <w:color w:val="000000"/>
          <w:shd w:val="clear" w:color="auto" w:fill="FFFFFF"/>
        </w:rPr>
        <w:t>AlkB-related alpha-ketoglutarate-dependent dioxygenases (AlkB)</w:t>
      </w:r>
      <w:r w:rsidR="006B5259" w:rsidRPr="00802FBF">
        <w:rPr>
          <w:rStyle w:val="normaltextrun"/>
          <w:rFonts w:ascii="Calibri" w:hAnsi="Calibri" w:cs="Calibri"/>
          <w:color w:val="000000"/>
          <w:shd w:val="clear" w:color="auto" w:fill="FFFFFF"/>
        </w:rPr>
        <w:t xml:space="preserve"> which are able to address </w:t>
      </w:r>
      <w:r w:rsidR="006B5259">
        <w:t>certain alkylated lesions</w:t>
      </w:r>
      <w:r w:rsidR="006B5259">
        <w:fldChar w:fldCharType="begin"/>
      </w:r>
      <w:r w:rsidR="009B7DE3">
        <w:instrText xml:space="preserve"> ADDIN ZOTERO_ITEM CSL_CITATION {"citationID":"HNmpBV8S","properties":{"formattedCitation":"\\super 107\\nosupersub{}","plainCitation":"107","noteIndex":0},"citationItems":[{"id":309,"uris":["http://zotero.org/users/11265134/items/LX5AYIXV"],"itemData":{"id":309,"type":"article-journal","abstract":"Epidemiological studies indicate that N-nitroso compounds (NOC) are causally linked to colorectal cancer (CRC). NOC induce DNA alkylations, including O (6)-methylguanine (O (6)-MeG) and N-methylated purines, which are repaired by O (6)-MeG-DNA methyltransferase (MGMT) and N-alkyladenine-DNA glycosylase (AAG)-initiated base excision repair, respectively. In view of recent evidence of nonlinear mutagenicity for NOC-like compounds, the question arises as to the existence of threshold doses in CRC formation. Here, we set out to determine the impact of DNA repair on the dose-response of alkylation-induced CRC. DNA repair proficient (WT) and deficient (Mgmt (-/-), Aag (-/-) and Mgmt (-/-)/Aag (-/-)) mice were treated with azoxymethane (AOM) and dextran sodium sulfate to trigger CRC. Tumors were quantified by non-invasive mini-endoscopy. A non-linear increase in CRC formation was observed in WT and Aag (-/-) mice. In contrast, a linear dose-dependent increase in tumor frequency was found in Mgmt (-/-) and Mgmt (-/-)/Aag (-/-) mice. The data were corroborated by hockey stick modeling, yielding similar carcinogenic thresholds for WT and Aag (-/-) and no threshold for MGMT lacking mice. O (6)-MeG levels and depletion of MGMT correlated well with the observed dose-response in CRC formation. AOM induced dose-dependently DNA double-strand breaks in colon crypts including Lgr5-positive colon stem cells, which coincided with ATR-Chk1-p53 signaling. Intriguingly, Mgmt (-/-) mice displayed significantly enhanced levels of γ-H2AX, suggesting the usefulness of γ-H2AX as an early genotoxicity marker in the colorectum. This study demonstrates for the first time a non-linear dose-response for alkylation-induced colorectal carcinogenesis and reveals DNA repair by MGMT, but not AAG, as a key node in determining a carcinogenic threshold.","container-title":"Carcinogenesis","DOI":"10.1093/carcin/bgv114","ISSN":"1460-2180","issue":"10","journalAbbreviation":"Carcinogenesis","language":"eng","note":"PMID: 26243310","page":"1235-1244","source":"PubMed","title":"DNA repair by MGMT, but not AAG, causes a threshold in alkylation-induced colorectal carcinogenesis","volume":"36","author":[{"family":"Fahrer","given":"Jörg"},{"family":"Frisch","given":"Janina"},{"family":"Nagel","given":"Georg"},{"family":"Kraus","given":"Alexander"},{"family":"Dörsam","given":"Bastian"},{"family":"Thomas","given":"Adam D."},{"family":"Reißig","given":"Sonja"},{"family":"Waisman","given":"Ari"},{"family":"Kaina","given":"Bernd"}],"issued":{"date-parts":[["2015",10]]}}}],"schema":"https://github.com/citation-style-language/schema/raw/master/csl-citation.json"} </w:instrText>
      </w:r>
      <w:r w:rsidR="006B5259">
        <w:fldChar w:fldCharType="separate"/>
      </w:r>
      <w:r w:rsidR="009B7DE3" w:rsidRPr="009B7DE3">
        <w:rPr>
          <w:rFonts w:ascii="Calibri" w:hAnsi="Calibri" w:cs="Calibri"/>
          <w:szCs w:val="24"/>
          <w:vertAlign w:val="superscript"/>
        </w:rPr>
        <w:t>107</w:t>
      </w:r>
      <w:r w:rsidR="006B5259">
        <w:fldChar w:fldCharType="end"/>
      </w:r>
      <w:r w:rsidR="00750C6B">
        <w:t xml:space="preserve">, </w:t>
      </w:r>
      <w:r w:rsidR="00B77964">
        <w:t>allowing the cell to</w:t>
      </w:r>
      <w:r w:rsidR="00E46952">
        <w:t xml:space="preserve"> </w:t>
      </w:r>
      <w:r w:rsidR="0008547C">
        <w:t>rapidly</w:t>
      </w:r>
      <w:r w:rsidR="00E46952">
        <w:t xml:space="preserve"> recover from the damage in an error-free manner</w:t>
      </w:r>
      <w:r w:rsidR="00B77964">
        <w:t xml:space="preserve">. However, </w:t>
      </w:r>
      <w:r w:rsidR="00BD50CD">
        <w:t>this type of repair</w:t>
      </w:r>
      <w:r w:rsidR="000C28E0">
        <w:t xml:space="preserve">, in addition to </w:t>
      </w:r>
      <w:r w:rsidR="00FE43AE">
        <w:t>being specific to a few types</w:t>
      </w:r>
      <w:r w:rsidR="000C28E0">
        <w:t xml:space="preserve"> of DNA lesions,</w:t>
      </w:r>
      <w:r w:rsidR="00BD50CD">
        <w:t xml:space="preserve"> showed a threshold of maximal activity above which other repair </w:t>
      </w:r>
      <w:r w:rsidR="00BD50CD">
        <w:lastRenderedPageBreak/>
        <w:t>pathways, notably the base excision repair</w:t>
      </w:r>
      <w:r w:rsidR="00E46952">
        <w:t xml:space="preserve"> </w:t>
      </w:r>
      <w:r w:rsidR="00BD50CD">
        <w:t xml:space="preserve">pathway, are necessary to </w:t>
      </w:r>
      <w:r w:rsidR="006B6FC4">
        <w:t>limit</w:t>
      </w:r>
      <w:r w:rsidR="00BD50CD">
        <w:t xml:space="preserve"> apoptotic and carcinogenic effects</w:t>
      </w:r>
      <w:r w:rsidR="00B77964">
        <w:fldChar w:fldCharType="begin"/>
      </w:r>
      <w:r w:rsidR="009B7DE3">
        <w:instrText xml:space="preserve"> ADDIN ZOTERO_ITEM CSL_CITATION {"citationID":"pBxBoeSR","properties":{"formattedCitation":"\\super 107\\nosupersub{}","plainCitation":"107","noteIndex":0},"citationItems":[{"id":309,"uris":["http://zotero.org/users/11265134/items/LX5AYIXV"],"itemData":{"id":309,"type":"article-journal","abstract":"Epidemiological studies indicate that N-nitroso compounds (NOC) are causally linked to colorectal cancer (CRC). NOC induce DNA alkylations, including O (6)-methylguanine (O (6)-MeG) and N-methylated purines, which are repaired by O (6)-MeG-DNA methyltransferase (MGMT) and N-alkyladenine-DNA glycosylase (AAG)-initiated base excision repair, respectively. In view of recent evidence of nonlinear mutagenicity for NOC-like compounds, the question arises as to the existence of threshold doses in CRC formation. Here, we set out to determine the impact of DNA repair on the dose-response of alkylation-induced CRC. DNA repair proficient (WT) and deficient (Mgmt (-/-), Aag (-/-) and Mgmt (-/-)/Aag (-/-)) mice were treated with azoxymethane (AOM) and dextran sodium sulfate to trigger CRC. Tumors were quantified by non-invasive mini-endoscopy. A non-linear increase in CRC formation was observed in WT and Aag (-/-) mice. In contrast, a linear dose-dependent increase in tumor frequency was found in Mgmt (-/-) and Mgmt (-/-)/Aag (-/-) mice. The data were corroborated by hockey stick modeling, yielding similar carcinogenic thresholds for WT and Aag (-/-) and no threshold for MGMT lacking mice. O (6)-MeG levels and depletion of MGMT correlated well with the observed dose-response in CRC formation. AOM induced dose-dependently DNA double-strand breaks in colon crypts including Lgr5-positive colon stem cells, which coincided with ATR-Chk1-p53 signaling. Intriguingly, Mgmt (-/-) mice displayed significantly enhanced levels of γ-H2AX, suggesting the usefulness of γ-H2AX as an early genotoxicity marker in the colorectum. This study demonstrates for the first time a non-linear dose-response for alkylation-induced colorectal carcinogenesis and reveals DNA repair by MGMT, but not AAG, as a key node in determining a carcinogenic threshold.","container-title":"Carcinogenesis","DOI":"10.1093/carcin/bgv114","ISSN":"1460-2180","issue":"10","journalAbbreviation":"Carcinogenesis","language":"eng","note":"PMID: 26243310","page":"1235-1244","source":"PubMed","title":"DNA repair by MGMT, but not AAG, causes a threshold in alkylation-induced colorectal carcinogenesis","volume":"36","author":[{"family":"Fahrer","given":"Jörg"},{"family":"Frisch","given":"Janina"},{"family":"Nagel","given":"Georg"},{"family":"Kraus","given":"Alexander"},{"family":"Dörsam","given":"Bastian"},{"family":"Thomas","given":"Adam D."},{"family":"Reißig","given":"Sonja"},{"family":"Waisman","given":"Ari"},{"family":"Kaina","given":"Bernd"}],"issued":{"date-parts":[["2015",10]]}}}],"schema":"https://github.com/citation-style-language/schema/raw/master/csl-citation.json"} </w:instrText>
      </w:r>
      <w:r w:rsidR="00B77964">
        <w:fldChar w:fldCharType="separate"/>
      </w:r>
      <w:r w:rsidR="009B7DE3" w:rsidRPr="009B7DE3">
        <w:rPr>
          <w:rFonts w:ascii="Calibri" w:hAnsi="Calibri" w:cs="Calibri"/>
          <w:szCs w:val="24"/>
          <w:vertAlign w:val="superscript"/>
        </w:rPr>
        <w:t>107</w:t>
      </w:r>
      <w:r w:rsidR="00B77964">
        <w:fldChar w:fldCharType="end"/>
      </w:r>
      <w:r w:rsidR="00BD50CD">
        <w:t>.</w:t>
      </w:r>
      <w:r w:rsidR="00FE43AE">
        <w:t xml:space="preserve"> </w:t>
      </w:r>
    </w:p>
    <w:p w14:paraId="007B0D2D" w14:textId="77777777" w:rsidR="001525F4" w:rsidRDefault="001525F4" w:rsidP="001525F4">
      <w:pPr>
        <w:pStyle w:val="Paragraphedeliste"/>
        <w:spacing w:after="0" w:line="324" w:lineRule="auto"/>
        <w:ind w:left="360"/>
        <w:jc w:val="both"/>
      </w:pPr>
    </w:p>
    <w:p w14:paraId="423E1B0C" w14:textId="62D86CC1" w:rsidR="001525F4" w:rsidRDefault="00B72CD2" w:rsidP="00B72CD2">
      <w:pPr>
        <w:spacing w:after="0" w:line="324" w:lineRule="auto"/>
        <w:jc w:val="both"/>
      </w:pPr>
      <w:r>
        <w:t>The saturation of these enzymes is therefore an important</w:t>
      </w:r>
      <w:r w:rsidR="00F31CEB">
        <w:t xml:space="preserve"> biological</w:t>
      </w:r>
      <w:r>
        <w:t xml:space="preserve"> KE. Indeed, the</w:t>
      </w:r>
      <w:r w:rsidR="00F31CEB">
        <w:t xml:space="preserve"> KE</w:t>
      </w:r>
      <w:r>
        <w:t xml:space="preserve"> “</w:t>
      </w:r>
      <w:r w:rsidR="00682F23">
        <w:rPr>
          <w:b/>
          <w:bCs/>
        </w:rPr>
        <w:t>Inadequate DNA repair (Direct enzymatic reversal)</w:t>
      </w:r>
      <w:r w:rsidRPr="00D0732B">
        <w:rPr>
          <w:b/>
          <w:bCs/>
        </w:rPr>
        <w:t>”</w:t>
      </w:r>
      <w:r>
        <w:t xml:space="preserve"> (Figure 2, KE 1</w:t>
      </w:r>
      <w:r w:rsidR="00934EC6">
        <w:t>3</w:t>
      </w:r>
      <w:r>
        <w:t>)  will lead to the</w:t>
      </w:r>
      <w:r w:rsidR="00F31CEB">
        <w:t xml:space="preserve"> </w:t>
      </w:r>
      <w:r w:rsidR="00F31CEB" w:rsidRPr="00D0732B">
        <w:t>KE</w:t>
      </w:r>
      <w:r w:rsidRPr="00D0732B">
        <w:rPr>
          <w:b/>
          <w:bCs/>
        </w:rPr>
        <w:t xml:space="preserve"> </w:t>
      </w:r>
      <w:r w:rsidR="00F31CEB" w:rsidRPr="00D0732B">
        <w:rPr>
          <w:b/>
          <w:bCs/>
        </w:rPr>
        <w:t>“I</w:t>
      </w:r>
      <w:r w:rsidRPr="00D0732B">
        <w:rPr>
          <w:b/>
          <w:bCs/>
        </w:rPr>
        <w:t>ncrease</w:t>
      </w:r>
      <w:r w:rsidR="00F31CEB" w:rsidRPr="00D0732B">
        <w:rPr>
          <w:b/>
          <w:bCs/>
        </w:rPr>
        <w:t>,</w:t>
      </w:r>
      <w:r w:rsidRPr="00D0732B">
        <w:rPr>
          <w:b/>
          <w:bCs/>
        </w:rPr>
        <w:t xml:space="preserve"> small</w:t>
      </w:r>
      <w:r w:rsidR="00F31CEB" w:rsidRPr="00D0732B">
        <w:rPr>
          <w:b/>
          <w:bCs/>
        </w:rPr>
        <w:t xml:space="preserve"> DNA</w:t>
      </w:r>
      <w:r w:rsidRPr="00D0732B">
        <w:rPr>
          <w:b/>
          <w:bCs/>
        </w:rPr>
        <w:t xml:space="preserve"> base modifications</w:t>
      </w:r>
      <w:r w:rsidR="00F31CEB" w:rsidRPr="00D0732B">
        <w:rPr>
          <w:b/>
          <w:bCs/>
        </w:rPr>
        <w:t>”</w:t>
      </w:r>
      <w:r>
        <w:t xml:space="preserve"> (Figure 2, KE 1</w:t>
      </w:r>
      <w:r w:rsidR="00934EC6">
        <w:t>4</w:t>
      </w:r>
      <w:r>
        <w:t>)</w:t>
      </w:r>
      <w:r w:rsidR="00FC210B">
        <w:t>, which mainly encompasses DNA lesions caused by RONS and alkylating agents</w:t>
      </w:r>
      <w:r w:rsidR="00A41CC3">
        <w:t xml:space="preserve"> (</w:t>
      </w:r>
      <w:hyperlink r:id="rId26" w:history="1">
        <w:r w:rsidR="00A41CC3" w:rsidRPr="005219EB">
          <w:rPr>
            <w:rStyle w:val="Lienhypertexte"/>
          </w:rPr>
          <w:t>https://aopwiki.org/relationships/24</w:t>
        </w:r>
      </w:hyperlink>
      <w:r w:rsidR="00A41CC3">
        <w:t xml:space="preserve">). </w:t>
      </w:r>
      <w:r>
        <w:t xml:space="preserve"> </w:t>
      </w:r>
    </w:p>
    <w:p w14:paraId="67A88687" w14:textId="77777777" w:rsidR="001525F4" w:rsidRDefault="001525F4" w:rsidP="00B72CD2">
      <w:pPr>
        <w:spacing w:after="0" w:line="324" w:lineRule="auto"/>
        <w:jc w:val="both"/>
      </w:pPr>
    </w:p>
    <w:p w14:paraId="333C740B" w14:textId="6A59AC88" w:rsidR="00FF5D55" w:rsidRDefault="002F2B65" w:rsidP="00A066A8">
      <w:pPr>
        <w:pStyle w:val="Paragraphedeliste"/>
        <w:numPr>
          <w:ilvl w:val="0"/>
          <w:numId w:val="28"/>
        </w:numPr>
        <w:spacing w:after="0" w:line="324" w:lineRule="auto"/>
        <w:jc w:val="both"/>
      </w:pPr>
      <w:r w:rsidRPr="00D837D0">
        <w:rPr>
          <w:b/>
          <w:bCs/>
        </w:rPr>
        <w:t>The base excision repair</w:t>
      </w:r>
      <w:r w:rsidR="00A61894" w:rsidRPr="00D837D0">
        <w:rPr>
          <w:b/>
          <w:bCs/>
        </w:rPr>
        <w:t xml:space="preserve"> (BER)</w:t>
      </w:r>
      <w:r w:rsidR="00FF5D55" w:rsidRPr="00D837D0">
        <w:rPr>
          <w:b/>
          <w:bCs/>
        </w:rPr>
        <w:t>:</w:t>
      </w:r>
      <w:r w:rsidR="00FF5D55">
        <w:t xml:space="preserve"> </w:t>
      </w:r>
      <w:r>
        <w:t>The base excision repair process deals with minor damages affecting individual bases</w:t>
      </w:r>
      <w:r w:rsidR="006B5259">
        <w:t xml:space="preserve"> (KE 16)</w:t>
      </w:r>
      <w:r>
        <w:t xml:space="preserve"> without distorting the overall structure of the DNA double helix</w:t>
      </w:r>
      <w:r w:rsidR="006B5259">
        <w:fldChar w:fldCharType="begin"/>
      </w:r>
      <w:r w:rsidR="004336A3">
        <w:instrText xml:space="preserve"> ADDIN ZOTERO_ITEM CSL_CITATION {"citationID":"WabuYMB7","properties":{"formattedCitation":"\\super 72\\nosupersub{}","plainCitation":"72","noteIndex":0},"citationItems":[{"id":297,"uris":["http://zotero.org/users/11265134/items/VH7IWA7E"],"itemData":{"id":297,"type":"article-journal","abstract":"Nitrosamines occur widespread in food, drinking water, cosmetics, as well as tobacco smoke and can arise endogenously. More recently, nitrosamines have been detected as impurities in various drugs. This is of particular concern as nitrosamines are alkylating agents that are genotoxic and carcinogenic. We first summarize the current knowledge on the different sources and chemical nature of alkylating agents with a focus on relevant nitrosamines. Subsequently, we present the major DNA alkylation adducts induced by nitrosamines upon their metabolic activation by CYP450 monooxygenases. We then describe the DNA repair pathways engaged by the various DNA alkylation adducts, which include base excision repair, direct damage reversal by MGMT and ALKBH, as well as nucleotide excision repair. Their roles in the protection against the genotoxic and carcinogenic effects of nitrosamines are highlighted. Finally, we address DNA translesion synthesis as a DNA damage tolerance mechanism relevant to DNA alkylation adducts.","container-title":"International Journal of Molecular Sciences","DOI":"10.3390/ijms24054684","ISSN":"1422-0067","issue":"5","language":"en","license":"http://creativecommons.org/licenses/by/3.0/","note":"number: 5\npublisher: Multidisciplinary Digital Publishing Institute","page":"4684","source":"www.mdpi.com","title":"DNA Alkylation Damage by Nitrosamines and Relevant DNA Repair Pathways","volume":"24","author":[{"family":"Fahrer","given":"Jörg"},{"family":"Christmann","given":"Markus"}],"issued":{"date-parts":[["2023",1]]}}}],"schema":"https://github.com/citation-style-language/schema/raw/master/csl-citation.json"} </w:instrText>
      </w:r>
      <w:r w:rsidR="006B5259">
        <w:fldChar w:fldCharType="separate"/>
      </w:r>
      <w:r w:rsidR="004336A3" w:rsidRPr="004336A3">
        <w:rPr>
          <w:rFonts w:ascii="Calibri" w:hAnsi="Calibri" w:cs="Calibri"/>
          <w:szCs w:val="24"/>
          <w:vertAlign w:val="superscript"/>
        </w:rPr>
        <w:t>72</w:t>
      </w:r>
      <w:r w:rsidR="006B5259">
        <w:fldChar w:fldCharType="end"/>
      </w:r>
      <w:r w:rsidR="006B5259">
        <w:t xml:space="preserve">. </w:t>
      </w:r>
      <w:r>
        <w:t xml:space="preserve"> These damages include oxidized bases</w:t>
      </w:r>
      <w:r w:rsidR="00053834">
        <w:t xml:space="preserve"> (MIE 2)</w:t>
      </w:r>
      <w:r w:rsidR="001C0E16">
        <w:fldChar w:fldCharType="begin"/>
      </w:r>
      <w:r w:rsidR="009B7DE3">
        <w:instrText xml:space="preserve"> ADDIN ZOTERO_ITEM CSL_CITATION {"citationID":"9d9LWQjX","properties":{"formattedCitation":"\\super 108\\nosupersub{}","plainCitation":"108","noteIndex":0},"citationItems":[{"id":331,"uris":["http://zotero.org/users/11265134/items/5L69EBBN"],"itemData":{"id":331,"type":"article-journal","abstract":"The guanine modification 7,8‐dihydro‐8‐oxoguanine (8‐oxoG) is a potent premutagenic lesion formed spontaneously at high frequencies in the genomes of aerobic organisms. We have characterized a human DNA repair glycosylase for 8‐oxoG removal, hOGH1 (human yeast OGG1 homologue), by molecular cloning and functional analysis. Expression of the human cDNA in a repair deficient mutator strain of Escherichia coli (fpg mutY) suppressed the spontaneous mutation frequency to almost normal levels. The hOGH1 enzyme was localized to the nucleus in cells transfected by constructs of hOGH1 fused to green fluorescent protein. Enzyme purification yielded a protein of 38 kDa removing both formamidopyrimidines and 8‐oxoG from DNA. The enzymatic activities of hOGH1 was analysed on DNA containing single residues of 8‐oxoG or abasic sites opposite each of the four normal bases in DNA. Excision of 8‐oxoG opposite C was the most efficient and was followed by strand cleavage via β‐elimination. However, significant removal of 8‐oxoG from mispairs (8‐oxoG: T &gt;G &gt;A) was also demonstrated, but essentially without an associated strand cleavage reaction. Assays with abasic site DNA showed that strand cleavage was indeed dependent on the presence of C in the opposite strand, irrespective of the prior removal of an 8‐oxoG residue. It thus appears that strand incisions are made only if repair completion results in correct base insertion, whereas excision from mispairs preserves strand continuity and hence allows for error‐free correction by a postreplicational repair mechanism.","container-title":"The EMBO Journal","DOI":"10.1093/emboj/16.20.6314","ISSN":"0261-4189","issue":"20","note":"number-of-pages: 6322\npublisher: John Wiley &amp; Sons, Ltd","page":"6314-6322","source":"embopress.org (Atypon)","title":"Opposite base‐dependent reactions of a human base excision repair enzyme on DNA containing 7,8‐dihydro‐8‐oxoguanine and abasic sites","volume":"16","author":[{"family":"Bjørås","given":"Magnar"},{"family":"Luna","given":"Luisa"},{"family":"Johnsen","given":"Barbro"},{"family":"Hoff","given":"Elsebeth"},{"family":"Haug","given":"Terje"},{"family":"Rognes","given":"Torbjørn"},{"family":"Seeberg","given":"Erling"}],"issued":{"date-parts":[["1997",10,15]]}}}],"schema":"https://github.com/citation-style-language/schema/raw/master/csl-citation.json"} </w:instrText>
      </w:r>
      <w:r w:rsidR="001C0E16">
        <w:fldChar w:fldCharType="separate"/>
      </w:r>
      <w:r w:rsidR="009B7DE3" w:rsidRPr="009B7DE3">
        <w:rPr>
          <w:rFonts w:ascii="Calibri" w:hAnsi="Calibri" w:cs="Calibri"/>
          <w:szCs w:val="24"/>
          <w:vertAlign w:val="superscript"/>
        </w:rPr>
        <w:t>108</w:t>
      </w:r>
      <w:r w:rsidR="001C0E16">
        <w:fldChar w:fldCharType="end"/>
      </w:r>
      <w:r>
        <w:t xml:space="preserve">, </w:t>
      </w:r>
      <w:r w:rsidR="006A5A03">
        <w:t xml:space="preserve">methylated and alkylated bases (MIE 1), deaminated bases, minor adducts that do not require nucleotide excision repair (NER), and abasic (AP) sites and SSBs. The </w:t>
      </w:r>
      <w:r w:rsidR="006A5A03">
        <w:lastRenderedPageBreak/>
        <w:t xml:space="preserve">last two can be either primary damage triggered by certain MIE or be formed as intermediates of the </w:t>
      </w:r>
      <w:r w:rsidR="00036E64">
        <w:t>BER</w:t>
      </w:r>
      <w:r w:rsidR="00433170">
        <w:fldChar w:fldCharType="begin"/>
      </w:r>
      <w:r w:rsidR="009B7DE3">
        <w:instrText xml:space="preserve"> ADDIN ZOTERO_ITEM CSL_CITATION {"citationID":"YH7abDha","properties":{"formattedCitation":"\\super 96,109\\nosupersub{}","plainCitation":"96,109","noteIndex":0},"citationItems":[{"id":403,"uris":["http://zotero.org/users/11265134/items/TW5I374L"],"itemData":{"id":403,"type":"article-journal","abstract":"Single-strand breaks (SSBs) are the most common lesions arising in cells, and chromosomal single-strand break repair (SSBR) is a rapid and efficient process.In addition to the rapid 'global' SSBR processes that remove SSBs throughout the genome and throughout interphase, there might be S-phase specific processes that operate at replication forks in conjunction with homologous recombination.Two of the proteins that repair damaged DNA termini during global SSBR (tyrosyl-DNA phosphodiesterase 1 and aprataxin) are mutated in the hereditary genetic diseases spinocerebellar ataxia with axonal neuropathy 1 (SCAN1) and ataxia oculomotor apraxia 1 (AOA1), implicating unrepaired SSBs in progressive neurological dysfunction.Whereas post-mitotic cells seem to be dependent on global SSBR for genetic integrity, proliferating cells can additionally use replication-coupled SSBR. This might explain why SCAN1 and AOA1 are not associated with elevated genetic instability and cancer.","container-title":"Nature Reviews Genetics","DOI":"10.1038/nrg2380","ISSN":"1471-0064","issue":"8","journalAbbreviation":"Nat Rev Genet","language":"en","license":"2008 Springer Nature Limited","note":"publisher: Nature Publishing Group","page":"619-631","source":"www.nature.com","title":"Single-strand break repair and genetic disease","volume":"9","author":[{"family":"Caldecott","given":"Keith W."}],"issued":{"date-parts":[["2008",8]]}}},{"id":405,"uris":["http://zotero.org/users/11265134/items/SFZF2XNN"],"itemData":{"id":405,"type":"article-journal","abstract":"Base excision repair (BER) is an evolutionarily conserved process for maintaining genomic integrity by eliminating several dozen damaged (oxidized or alkylated) or inappropriate bases that are generated endogenously or induced by genotoxicants, predominantly, reactive oxygen species (ROS). BER involves 4-5 steps starting with base excision by a DNA glycosylase, followed by a common pathway usually involving an AP-endonuclease (APE) to generate 3′ OH terminus at the damage site, followed by repair synthesis with a DNA polymerase and nick sealing by a DNA ligase. This pathway is also responsible for repairing DNA single-strand breaks with blocked termini directly generated by ROS. Nearly all glycosylases, far fewer than their substrate lesions particularly for oxidized bases, have broad and overlapping substrate range, and could serve as back-up enzymes in vivo. In contrast, mammalian cells encode only one APE, APE1, unlike two APEs in lower organisms. In spite of overall similarity, BER with distinct subpathways in the mammals is more complex than in E. coli. The glycosylases form complexes with downstream proteins to carry out efficient repair via distinct subpathways one of which, responsible for repair of strand breaks with 3′ phosphate termini generated by the NEIL family glycosylases or by ROS, requires the phosphatase activity of polynucleotide kinase instead of APE1. Different complexes may utilize distinct DNA polymerases and ligases. Mammalian glycosylases have nonconserved extensions at one of the termini, dispensable for enzymatic activity but needed for interaction with other BER and non-BER proteins for complex formation and organelle targeting. The mammalian enzymes are sometimes covalently modified which may affect activity and complex formation. The focus of this review is on the early steps in mammalian BER for oxidized damage.","container-title":"Cell Research","DOI":"10.1038/cr.2008.8","ISSN":"1748-7838","issue":"1","journalAbbreviation":"Cell Res","language":"en","license":"2008 Shanghai Institutes for Biological Sciences, Chinese Academy of Sciences","note":"publisher: Nature Publishing Group","page":"27-47","source":"www.nature.com","title":"Early steps in the DNA base excision/single-strand interruption repair pathway in mammalian cells","volume":"18","author":[{"family":"Hegde","given":"Muralidhar L."},{"family":"Hazra","given":"Tapas K."},{"family":"Mitra","given":"Sankar"}],"issued":{"date-parts":[["2008",1]]}}}],"schema":"https://github.com/citation-style-language/schema/raw/master/csl-citation.json"} </w:instrText>
      </w:r>
      <w:r w:rsidR="00433170">
        <w:fldChar w:fldCharType="separate"/>
      </w:r>
      <w:r w:rsidR="009B7DE3" w:rsidRPr="009B7DE3">
        <w:rPr>
          <w:rFonts w:ascii="Calibri" w:hAnsi="Calibri" w:cs="Calibri"/>
          <w:szCs w:val="24"/>
          <w:vertAlign w:val="superscript"/>
        </w:rPr>
        <w:t>96,109</w:t>
      </w:r>
      <w:r w:rsidR="00433170">
        <w:fldChar w:fldCharType="end"/>
      </w:r>
      <w:r w:rsidR="00036E64">
        <w:t xml:space="preserve">. </w:t>
      </w:r>
      <w:r w:rsidR="00773C74">
        <w:rPr>
          <w:rStyle w:val="normaltextrun"/>
          <w:rFonts w:ascii="Calibri" w:hAnsi="Calibri" w:cs="Calibri"/>
          <w:color w:val="000000"/>
          <w:shd w:val="clear" w:color="auto" w:fill="FFFFFF"/>
        </w:rPr>
        <w:t>Five steps have been identified in this process:</w:t>
      </w:r>
      <w:r w:rsidR="00773C74">
        <w:rPr>
          <w:rStyle w:val="normaltextrun"/>
          <w:rFonts w:ascii="Calibri" w:hAnsi="Calibri" w:cs="Calibri"/>
          <w:color w:val="000000"/>
        </w:rPr>
        <w:t xml:space="preserve"> (i) base removal; by specific DNA glycosylase, (ii) incision of the resulting abasic site, (iii) processing of the generated termini at the strand break, (iv) DNA synthesis to fill in the gap, and (v) ligation of the damaged DNA strand. Gap filling and ligation are carried out by two alternative pathways, i.e., short-patch (SP) or long-patch (LP) repair, whose distinct feature is the size of the repair patch: one nucleotide in the case of SP-repair and two or more nucleotides</w:t>
      </w:r>
      <w:r w:rsidR="00E46158">
        <w:rPr>
          <w:rStyle w:val="normaltextrun"/>
          <w:rFonts w:ascii="Calibri" w:hAnsi="Calibri" w:cs="Calibri"/>
          <w:color w:val="000000"/>
        </w:rPr>
        <w:t xml:space="preserve"> (2-12 nt)</w:t>
      </w:r>
      <w:r w:rsidR="00773C74">
        <w:rPr>
          <w:rStyle w:val="normaltextrun"/>
          <w:rFonts w:ascii="Calibri" w:hAnsi="Calibri" w:cs="Calibri"/>
          <w:color w:val="000000"/>
        </w:rPr>
        <w:t xml:space="preserve"> in the case of LP-repair</w:t>
      </w:r>
      <w:r w:rsidR="00773C74">
        <w:rPr>
          <w:rStyle w:val="normaltextrun"/>
          <w:rFonts w:ascii="Calibri" w:hAnsi="Calibri" w:cs="Calibri"/>
          <w:color w:val="000000"/>
        </w:rPr>
        <w:fldChar w:fldCharType="begin"/>
      </w:r>
      <w:r w:rsidR="009B7DE3">
        <w:rPr>
          <w:rStyle w:val="normaltextrun"/>
          <w:rFonts w:ascii="Calibri" w:hAnsi="Calibri" w:cs="Calibri"/>
          <w:color w:val="000000"/>
        </w:rPr>
        <w:instrText xml:space="preserve"> ADDIN ZOTERO_ITEM CSL_CITATION {"citationID":"IEbuthBA","properties":{"formattedCitation":"\\super 110\\nosupersub{}","plainCitation":"110","noteIndex":0},"citationItems":[{"id":415,"uris":["http://zotero.org/users/11265134/items/YALBX54T"],"itemData":{"id":415,"type":"article-journal","abstract":"A large variety of DNA lesions induced by environmental agents or arising as an outcome of cellular metabolism are counteracted by a complex network of proteins that belong to the base excision repair/single strand break repair (BER/SSBR) processes. No matter whether the initial lesions are modified DNA bases or single-strand breaks with non-conventional termini these processes are completed either by replacement of a single (short-patch, SP) or more (long-patch, LP) nucleotides by different arrays of proteins. Here, the factors that are involved in the selection between SP- and LP-BER/SSBR are reviewed. The biological significance of these alternative subpathways is also presented as inferred from mutant mouse/cell models.","container-title":"DNA repair","DOI":"10.1016/j.dnarep.2006.10.008","ISSN":"1568-7864","issue":"4","journalAbbreviation":"DNA Repair (Amst)","language":"eng","note":"PMID: 17129767","page":"398-409","source":"PubMed","title":"Base damage and single-strand break repair: mechanisms and functional significance of short- and long-patch repair subpathways","title-short":"Base damage and single-strand break repair","volume":"6","author":[{"family":"Fortini","given":"Paola"},{"family":"Dogliotti","given":"Eugenia"}],"issued":{"date-parts":[["2007",4,1]]}}}],"schema":"https://github.com/citation-style-language/schema/raw/master/csl-citation.json"} </w:instrText>
      </w:r>
      <w:r w:rsidR="00773C74">
        <w:rPr>
          <w:rStyle w:val="normaltextrun"/>
          <w:rFonts w:ascii="Calibri" w:hAnsi="Calibri" w:cs="Calibri"/>
          <w:color w:val="000000"/>
        </w:rPr>
        <w:fldChar w:fldCharType="separate"/>
      </w:r>
      <w:r w:rsidR="009B7DE3" w:rsidRPr="009B7DE3">
        <w:rPr>
          <w:rFonts w:ascii="Calibri" w:hAnsi="Calibri" w:cs="Calibri"/>
          <w:szCs w:val="24"/>
          <w:vertAlign w:val="superscript"/>
        </w:rPr>
        <w:t>110</w:t>
      </w:r>
      <w:r w:rsidR="00773C74">
        <w:rPr>
          <w:rStyle w:val="normaltextrun"/>
          <w:rFonts w:ascii="Calibri" w:hAnsi="Calibri" w:cs="Calibri"/>
          <w:color w:val="000000"/>
        </w:rPr>
        <w:fldChar w:fldCharType="end"/>
      </w:r>
      <w:r w:rsidR="00773C74">
        <w:rPr>
          <w:rStyle w:val="normaltextrun"/>
          <w:rFonts w:ascii="Calibri" w:hAnsi="Calibri" w:cs="Calibri"/>
          <w:color w:val="000000"/>
        </w:rPr>
        <w:t xml:space="preserve">. </w:t>
      </w:r>
      <w:r w:rsidR="00BD724A">
        <w:t xml:space="preserve">The most established BER pathway model is </w:t>
      </w:r>
      <w:r w:rsidR="00773C74">
        <w:t xml:space="preserve">then </w:t>
      </w:r>
      <w:r w:rsidR="00BD724A">
        <w:t>subdivided into two subtypes; the short-patch (or single-nucleotide) BER (SP-BER), and the long-patch BER (LP-BER)</w:t>
      </w:r>
      <w:r w:rsidR="00E306ED">
        <w:t xml:space="preserve">. With the discovery of the concept of protein interactome, </w:t>
      </w:r>
      <w:r w:rsidR="003678DA">
        <w:t>the complexity of the BER processes increases and new hypotheses are emerging, such as the replication-associated (RA-)BER model</w:t>
      </w:r>
      <w:r w:rsidR="00773C74">
        <w:fldChar w:fldCharType="begin"/>
      </w:r>
      <w:r w:rsidR="009B7DE3">
        <w:instrText xml:space="preserve"> ADDIN ZOTERO_ITEM CSL_CITATION {"citationID":"tfU5cFWv","properties":{"formattedCitation":"\\super 96\\nosupersub{}","plainCitation":"96","noteIndex":0},"citationItems":[{"id":405,"uris":["http://zotero.org/users/11265134/items/SFZF2XNN"],"itemData":{"id":405,"type":"article-journal","abstract":"Base excision repair (BER) is an evolutionarily conserved process for maintaining genomic integrity by eliminating several dozen damaged (oxidized or alkylated) or inappropriate bases that are generated endogenously or induced by genotoxicants, predominantly, reactive oxygen species (ROS). BER involves 4-5 steps starting with base excision by a DNA glycosylase, followed by a common pathway usually involving an AP-endonuclease (APE) to generate 3′ OH terminus at the damage site, followed by repair synthesis with a DNA polymerase and nick sealing by a DNA ligase. This pathway is also responsible for repairing DNA single-strand breaks with blocked termini directly generated by ROS. Nearly all glycosylases, far fewer than their substrate lesions particularly for oxidized bases, have broad and overlapping substrate range, and could serve as back-up enzymes in vivo. In contrast, mammalian cells encode only one APE, APE1, unlike two APEs in lower organisms. In spite of overall similarity, BER with distinct subpathways in the mammals is more complex than in E. coli. The glycosylases form complexes with downstream proteins to carry out efficient repair via distinct subpathways one of which, responsible for repair of strand breaks with 3′ phosphate termini generated by the NEIL family glycosylases or by ROS, requires the phosphatase activity of polynucleotide kinase instead of APE1. Different complexes may utilize distinct DNA polymerases and ligases. Mammalian glycosylases have nonconserved extensions at one of the termini, dispensable for enzymatic activity but needed for interaction with other BER and non-BER proteins for complex formation and organelle targeting. The mammalian enzymes are sometimes covalently modified which may affect activity and complex formation. The focus of this review is on the early steps in mammalian BER for oxidized damage.","container-title":"Cell Research","DOI":"10.1038/cr.2008.8","ISSN":"1748-7838","issue":"1","journalAbbreviation":"Cell Res","language":"en","license":"2008 Shanghai Institutes for Biological Sciences, Chinese Academy of Sciences","note":"publisher: Nature Publishing Group","page":"27-47","source":"www.nature.com","title":"Early steps in the DNA base excision/single-strand interruption repair pathway in mammalian cells","volume":"18","author":[{"family":"Hegde","given":"Muralidhar L."},{"family":"Hazra","given":"Tapas K."},{"family":"Mitra","given":"Sankar"}],"issued":{"date-parts":[["2008",1]]}}}],"schema":"https://github.com/citation-style-language/schema/raw/master/csl-citation.json"} </w:instrText>
      </w:r>
      <w:r w:rsidR="00773C74">
        <w:fldChar w:fldCharType="separate"/>
      </w:r>
      <w:r w:rsidR="009B7DE3" w:rsidRPr="009B7DE3">
        <w:rPr>
          <w:rFonts w:ascii="Calibri" w:hAnsi="Calibri" w:cs="Calibri"/>
          <w:szCs w:val="24"/>
          <w:vertAlign w:val="superscript"/>
        </w:rPr>
        <w:t>96</w:t>
      </w:r>
      <w:r w:rsidR="00773C74">
        <w:fldChar w:fldCharType="end"/>
      </w:r>
      <w:r w:rsidR="003678DA">
        <w:t xml:space="preserve">. </w:t>
      </w:r>
      <w:r w:rsidR="006A5A03">
        <w:t xml:space="preserve">If DNA damage </w:t>
      </w:r>
      <w:r w:rsidR="006A5A03" w:rsidRPr="006D0E41">
        <w:t>accumulat</w:t>
      </w:r>
      <w:r w:rsidR="006A5A03">
        <w:t>es, the BER will be overwhelmed which will lead to the accumulation of abasic sites and SSBs, ultimately resulting in DSBs.</w:t>
      </w:r>
    </w:p>
    <w:p w14:paraId="0B6BE42F" w14:textId="3DAA81C6" w:rsidR="00036E64" w:rsidRDefault="00036E64" w:rsidP="00A35340">
      <w:pPr>
        <w:pStyle w:val="Paragraphedeliste"/>
        <w:numPr>
          <w:ilvl w:val="0"/>
          <w:numId w:val="28"/>
        </w:numPr>
        <w:spacing w:after="0" w:line="324" w:lineRule="auto"/>
        <w:jc w:val="both"/>
      </w:pPr>
      <w:r w:rsidRPr="00D837D0">
        <w:rPr>
          <w:b/>
          <w:bCs/>
        </w:rPr>
        <w:lastRenderedPageBreak/>
        <w:t>The nucleotide excision repair</w:t>
      </w:r>
      <w:r w:rsidR="00A61894" w:rsidRPr="00D837D0">
        <w:rPr>
          <w:b/>
          <w:bCs/>
        </w:rPr>
        <w:t xml:space="preserve"> (NER)</w:t>
      </w:r>
      <w:r w:rsidR="00FF5D55" w:rsidRPr="00D837D0">
        <w:rPr>
          <w:b/>
          <w:bCs/>
        </w:rPr>
        <w:t>:</w:t>
      </w:r>
      <w:r w:rsidR="00FF5D55">
        <w:t xml:space="preserve"> </w:t>
      </w:r>
      <w:r>
        <w:t xml:space="preserve">The </w:t>
      </w:r>
      <w:r w:rsidR="00A066A8">
        <w:t>NER</w:t>
      </w:r>
      <w:r>
        <w:t xml:space="preserve"> process deals with lesions that distort the DNA double helix and interfere with replication and transcription. These damages include bulky adducts</w:t>
      </w:r>
      <w:r w:rsidR="00053834">
        <w:t xml:space="preserve"> (MIE 4)</w:t>
      </w:r>
      <w:r w:rsidR="001C0E16">
        <w:fldChar w:fldCharType="begin"/>
      </w:r>
      <w:r w:rsidR="009B7DE3">
        <w:instrText xml:space="preserve"> ADDIN ZOTERO_ITEM CSL_CITATION {"citationID":"dsoCBWgT","properties":{"formattedCitation":"\\super 95\\nosupersub{}","plainCitation":"95","noteIndex":0},"citationItems":[{"id":316,"uris":["http://zotero.org/users/11265134/items/SST262PP"],"itemData":{"id":316,"type":"article-journal","abstract":"Nucleotide excision repair (NER) is responsible for removing a wide variety of bulky adducts from DNA, thus contributing to the maintenance of genome stability. The efficiency with which proteins of the NER system recognize and remove bulky adducts depends on many factors and is of great clinical and diagnostic significance. The review examines current concepts of the NER system molecular basis in eukaryotic cells and analyzes methods for the assessment of the NER-mediated DNA repair efficiency both in vitro and ex vivo.","container-title":"Biochemistry (Moscow)","DOI":"10.1134/S0006297923110147","ISSN":"1608-3040","issue":"11","journalAbbreviation":"Biochemistry Moscow","language":"en","page":"1844-1856","source":"Springer Link","title":"Methods for Assessment of Nucleotide Excision Repair Efficiency","volume":"88","author":[{"family":"Popov","given":"Aleksei A."},{"family":"Petruseva","given":"Irina O."},{"family":"Naumenko","given":"Natalya V."},{"family":"Lavrik","given":"Olga I."}],"issued":{"date-parts":[["2023",11,1]]}},"label":"page"}],"schema":"https://github.com/citation-style-language/schema/raw/master/csl-citation.json"} </w:instrText>
      </w:r>
      <w:r w:rsidR="001C0E16">
        <w:fldChar w:fldCharType="separate"/>
      </w:r>
      <w:r w:rsidR="009B7DE3" w:rsidRPr="009B7DE3">
        <w:rPr>
          <w:rFonts w:ascii="Calibri" w:hAnsi="Calibri" w:cs="Calibri"/>
          <w:szCs w:val="24"/>
          <w:vertAlign w:val="superscript"/>
        </w:rPr>
        <w:t>95</w:t>
      </w:r>
      <w:r w:rsidR="001C0E16">
        <w:fldChar w:fldCharType="end"/>
      </w:r>
      <w:r>
        <w:t>, pyrimidine dimers</w:t>
      </w:r>
      <w:r w:rsidR="00053834">
        <w:t xml:space="preserve"> and</w:t>
      </w:r>
      <w:r>
        <w:t xml:space="preserve"> intrastrand crosslinks</w:t>
      </w:r>
      <w:r w:rsidR="00D0732B">
        <w:t xml:space="preserve"> (MIE 3)</w:t>
      </w:r>
      <w:r>
        <w:t xml:space="preserve">, large </w:t>
      </w:r>
      <w:r w:rsidR="007609F2">
        <w:t>DPCs</w:t>
      </w:r>
      <w:r>
        <w:t>, and oxidative damage</w:t>
      </w:r>
      <w:r w:rsidR="00053834">
        <w:t xml:space="preserve"> (MIE 2)</w:t>
      </w:r>
      <w:r w:rsidR="00A61894">
        <w:t xml:space="preserve">. </w:t>
      </w:r>
      <w:r w:rsidR="00A066A8">
        <w:rPr>
          <w:rStyle w:val="normaltextrun"/>
          <w:rFonts w:ascii="Calibri" w:hAnsi="Calibri" w:cs="Calibri"/>
          <w:color w:val="000000"/>
          <w:shd w:val="clear" w:color="auto" w:fill="FFFFFF"/>
        </w:rPr>
        <w:t>NER consists of two sub-pathways: i) global genome repair (GGR), which localizes lesions anywhere in the genome sensing damage-induced DNA helix distortions and ii) transcription-coupled repair (TCR) initiated by stalling RNA polymerase II at transcription-blocking lesions. Following the detection of the lesion, the damaged strand is incised on both sides of the lesion</w:t>
      </w:r>
      <w:r w:rsidR="00ED2D56">
        <w:rPr>
          <w:rStyle w:val="normaltextrun"/>
          <w:rFonts w:ascii="Calibri" w:hAnsi="Calibri" w:cs="Calibri"/>
          <w:color w:val="000000"/>
          <w:shd w:val="clear" w:color="auto" w:fill="FFFFFF"/>
        </w:rPr>
        <w:t>, marking a point of no return after which the reaction must be efficiently concluded to avoid leaving potentially dangerous intermediates.</w:t>
      </w:r>
      <w:r w:rsidR="00A066A8">
        <w:rPr>
          <w:rStyle w:val="normaltextrun"/>
          <w:rFonts w:ascii="Calibri" w:hAnsi="Calibri" w:cs="Calibri"/>
          <w:color w:val="000000"/>
          <w:shd w:val="clear" w:color="auto" w:fill="FFFFFF"/>
        </w:rPr>
        <w:t xml:space="preserve"> </w:t>
      </w:r>
      <w:r w:rsidR="00ED2D56">
        <w:rPr>
          <w:rStyle w:val="normaltextrun"/>
          <w:rFonts w:ascii="Calibri" w:hAnsi="Calibri" w:cs="Calibri"/>
          <w:color w:val="000000"/>
          <w:shd w:val="clear" w:color="auto" w:fill="FFFFFF"/>
        </w:rPr>
        <w:t>T</w:t>
      </w:r>
      <w:r w:rsidR="00A066A8">
        <w:rPr>
          <w:rStyle w:val="normaltextrun"/>
          <w:rFonts w:ascii="Calibri" w:hAnsi="Calibri" w:cs="Calibri"/>
          <w:color w:val="000000"/>
          <w:shd w:val="clear" w:color="auto" w:fill="FFFFFF"/>
        </w:rPr>
        <w:t>he damage</w:t>
      </w:r>
      <w:r w:rsidR="00ED2D56">
        <w:rPr>
          <w:rStyle w:val="normaltextrun"/>
          <w:rFonts w:ascii="Calibri" w:hAnsi="Calibri" w:cs="Calibri"/>
          <w:color w:val="000000"/>
          <w:shd w:val="clear" w:color="auto" w:fill="FFFFFF"/>
        </w:rPr>
        <w:t xml:space="preserve"> is</w:t>
      </w:r>
      <w:r w:rsidR="00A066A8">
        <w:rPr>
          <w:rStyle w:val="normaltextrun"/>
          <w:rFonts w:ascii="Calibri" w:hAnsi="Calibri" w:cs="Calibri"/>
          <w:color w:val="000000"/>
          <w:shd w:val="clear" w:color="auto" w:fill="FFFFFF"/>
        </w:rPr>
        <w:t xml:space="preserve"> excised with short flanking sequences. Then, DNA synthesis occurs to fill in the gap using the undamaged complementary strand as template</w:t>
      </w:r>
      <w:r w:rsidR="00A066A8">
        <w:rPr>
          <w:rStyle w:val="normaltextrun"/>
          <w:rFonts w:ascii="Calibri" w:hAnsi="Calibri" w:cs="Calibri"/>
          <w:color w:val="000000"/>
          <w:shd w:val="clear" w:color="auto" w:fill="FFFFFF"/>
        </w:rPr>
        <w:fldChar w:fldCharType="begin"/>
      </w:r>
      <w:r w:rsidR="009B7DE3">
        <w:rPr>
          <w:rStyle w:val="normaltextrun"/>
          <w:rFonts w:ascii="Calibri" w:hAnsi="Calibri" w:cs="Calibri"/>
          <w:color w:val="000000"/>
          <w:shd w:val="clear" w:color="auto" w:fill="FFFFFF"/>
        </w:rPr>
        <w:instrText xml:space="preserve"> ADDIN ZOTERO_ITEM CSL_CITATION {"citationID":"tK9tg9Mx","properties":{"formattedCitation":"\\super 97,111\\nosupersub{}","plainCitation":"97,111","noteIndex":0},"citationItems":[{"id":417,"uris":["http://zotero.org/users/11265134/items/Z89LLSQL"],"itemData":{"id":417,"type":"webpage","title":"Understanding nucleotide excision repair and its roles in cancer and ageing | Nature Reviews Molecular Cell Biology","URL":"https://www.nature.com/articles/nrm3822","accessed":{"date-parts":[["2025",1,7]]}}},{"id":456,"uris":["http://zotero.org/users/11265134/items/92X45PHH"],"itemData":{"id":456,"type":"article-journal","abstract":"The encounter of elongating RNA polymerase II (RNAPIIo) with DNA lesions has severe consequences for the cell as this event provides a strong signal for P53-dependent apoptosis and cell cycle arrest. To counteract prolonged blockage of transcription, the cell removes the RNAPIIo-blocking DNA lesions by transcription-coupled repair (TC-NER), a specialized subpathway of nucleotide excision repair (NER). Exposure of mice to UVB light or chemicals has elucidated that TC-NER is a critical survival pathway protecting against acute toxic and long-term effects (cancer) of genotoxic exposure. Deficiency in TC-NER is associated with mutations in the CSA and CSB genes giving rise to the rare human disorder Cockayne syndrome (CS). Recent data suggest that CSA and CSB play differential roles in mammalian TC-NER: CSB as a repair coupling factor to attract NER proteins, chromatin remodellers and the CSA- E3-ubiquitin ligase complex to the stalled RNAPIIo. CSA is dispensable for attraction of NER proteins, yet in cooperation with CSB is required to recruit XAB2, the nucleosomal binding protein HMGN1 and TFIIS. The emerging picture of TC-NER is complex: repair of transcription-blocking lesions occurs without displacement of the DNA damage-stalled RNAPIIo, and requires at least two essential assembly factors (CSA and CSB), the core NER factors (except for XPC-RAD23B), and TC-NER specific factors. These and yet unidentified proteins will accomplish not only efficient repair of transcription-blocking lesions, but are also likely to contribute to DNA damage signalling events.","container-title":"Cell Research","DOI":"10.1038/cr.2008.6","ISSN":"1748-7838","issue":"1","journalAbbreviation":"Cell Res","language":"en","license":"2008 Shanghai Institutes for Biological Sciences, Chinese Academy of Sciences","note":"publisher: Nature Publishing Group","page":"73-84","source":"www.nature.com","title":"Transcription-coupled nucleotide excision repair in mammalian cells: molecular mechanisms and biological effects","title-short":"Transcription-coupled nucleotide excision repair in mammalian cells","volume":"18","author":[{"family":"Fousteri","given":"Maria"},{"family":"Mullenders","given":"Leon HF"}],"issued":{"date-parts":[["2008",1]]}}}],"schema":"https://github.com/citation-style-language/schema/raw/master/csl-citation.json"} </w:instrText>
      </w:r>
      <w:r w:rsidR="00A066A8">
        <w:rPr>
          <w:rStyle w:val="normaltextrun"/>
          <w:rFonts w:ascii="Calibri" w:hAnsi="Calibri" w:cs="Calibri"/>
          <w:color w:val="000000"/>
          <w:shd w:val="clear" w:color="auto" w:fill="FFFFFF"/>
        </w:rPr>
        <w:fldChar w:fldCharType="separate"/>
      </w:r>
      <w:r w:rsidR="009B7DE3" w:rsidRPr="009B7DE3">
        <w:rPr>
          <w:rFonts w:ascii="Calibri" w:hAnsi="Calibri" w:cs="Calibri"/>
          <w:szCs w:val="24"/>
          <w:vertAlign w:val="superscript"/>
        </w:rPr>
        <w:t>97,111</w:t>
      </w:r>
      <w:r w:rsidR="00A066A8">
        <w:rPr>
          <w:rStyle w:val="normaltextrun"/>
          <w:rFonts w:ascii="Calibri" w:hAnsi="Calibri" w:cs="Calibri"/>
          <w:color w:val="000000"/>
          <w:shd w:val="clear" w:color="auto" w:fill="FFFFFF"/>
        </w:rPr>
        <w:fldChar w:fldCharType="end"/>
      </w:r>
      <w:r w:rsidR="00A066A8">
        <w:rPr>
          <w:rStyle w:val="normaltextrun"/>
          <w:rFonts w:ascii="Calibri" w:hAnsi="Calibri" w:cs="Calibri"/>
          <w:color w:val="000000"/>
          <w:shd w:val="clear" w:color="auto" w:fill="FFFFFF"/>
        </w:rPr>
        <w:t>.</w:t>
      </w:r>
      <w:r w:rsidR="00A066A8">
        <w:rPr>
          <w:rStyle w:val="eop"/>
          <w:rFonts w:ascii="Calibri" w:hAnsi="Calibri" w:cs="Calibri"/>
          <w:color w:val="D13438"/>
          <w:shd w:val="clear" w:color="auto" w:fill="FFFFFF"/>
        </w:rPr>
        <w:t> </w:t>
      </w:r>
    </w:p>
    <w:p w14:paraId="54EB0C97" w14:textId="77777777" w:rsidR="00A066A8" w:rsidRDefault="00A066A8" w:rsidP="00A066A8">
      <w:pPr>
        <w:pStyle w:val="Paragraphedeliste"/>
        <w:spacing w:after="0" w:line="324" w:lineRule="auto"/>
        <w:jc w:val="both"/>
      </w:pPr>
    </w:p>
    <w:p w14:paraId="1A93B862" w14:textId="7E630EC1" w:rsidR="0043731E" w:rsidRDefault="006A3BD6" w:rsidP="0043731E">
      <w:pPr>
        <w:spacing w:after="0" w:line="324" w:lineRule="auto"/>
        <w:jc w:val="both"/>
        <w:rPr>
          <w:rStyle w:val="normaltextrun"/>
          <w:rFonts w:ascii="Calibri" w:hAnsi="Calibri" w:cs="Calibri"/>
          <w:color w:val="000000"/>
          <w:shd w:val="clear" w:color="auto" w:fill="FFFFFF"/>
        </w:rPr>
      </w:pPr>
      <w:r w:rsidRPr="006A3BD6">
        <w:rPr>
          <w:rStyle w:val="normaltextrun"/>
          <w:rFonts w:ascii="Calibri" w:hAnsi="Calibri" w:cs="Calibri"/>
          <w:color w:val="000000"/>
          <w:shd w:val="clear" w:color="auto" w:fill="FFFFFF"/>
        </w:rPr>
        <w:lastRenderedPageBreak/>
        <w:t xml:space="preserve">In case DNA damage persists in the cell during replication, a special pathway allows cells to tolerate </w:t>
      </w:r>
      <w:r w:rsidR="0043731E">
        <w:rPr>
          <w:rStyle w:val="normaltextrun"/>
          <w:rFonts w:ascii="Calibri" w:hAnsi="Calibri" w:cs="Calibri"/>
          <w:color w:val="000000"/>
          <w:shd w:val="clear" w:color="auto" w:fill="FFFFFF"/>
        </w:rPr>
        <w:t xml:space="preserve">certain types of </w:t>
      </w:r>
      <w:r w:rsidRPr="006A3BD6">
        <w:rPr>
          <w:rStyle w:val="normaltextrun"/>
          <w:rFonts w:ascii="Calibri" w:hAnsi="Calibri" w:cs="Calibri"/>
          <w:color w:val="000000"/>
          <w:shd w:val="clear" w:color="auto" w:fill="FFFFFF"/>
        </w:rPr>
        <w:t>DNA damage by bypassing lesions and incorporating a base in front of the damaged template, albeit with lower fidelity than replicative DNA polymerase.</w:t>
      </w:r>
      <w:r>
        <w:rPr>
          <w:rStyle w:val="normaltextrun"/>
          <w:rFonts w:ascii="Calibri" w:hAnsi="Calibri" w:cs="Calibri"/>
          <w:color w:val="000000"/>
          <w:shd w:val="clear" w:color="auto" w:fill="FFFFFF"/>
        </w:rPr>
        <w:t xml:space="preserve"> </w:t>
      </w:r>
    </w:p>
    <w:p w14:paraId="13F6EBE2" w14:textId="77777777" w:rsidR="0043731E" w:rsidRDefault="0043731E" w:rsidP="0043731E">
      <w:pPr>
        <w:spacing w:after="0" w:line="324" w:lineRule="auto"/>
        <w:jc w:val="both"/>
        <w:rPr>
          <w:rStyle w:val="normaltextrun"/>
          <w:rFonts w:ascii="Calibri" w:hAnsi="Calibri" w:cs="Calibri"/>
          <w:color w:val="000000"/>
          <w:shd w:val="clear" w:color="auto" w:fill="FFFFFF"/>
        </w:rPr>
      </w:pPr>
    </w:p>
    <w:p w14:paraId="32E7ABD2" w14:textId="19F821A3" w:rsidR="00885FF5" w:rsidRPr="0043731E" w:rsidRDefault="00885FF5" w:rsidP="0043731E">
      <w:pPr>
        <w:pStyle w:val="Paragraphedeliste"/>
        <w:numPr>
          <w:ilvl w:val="0"/>
          <w:numId w:val="28"/>
        </w:numPr>
        <w:spacing w:after="0" w:line="324" w:lineRule="auto"/>
        <w:jc w:val="both"/>
        <w:rPr>
          <w:rFonts w:ascii="Calibri" w:hAnsi="Calibri" w:cs="Calibri"/>
          <w:color w:val="000000"/>
          <w:shd w:val="clear" w:color="auto" w:fill="FFFFFF"/>
        </w:rPr>
      </w:pPr>
      <w:r w:rsidRPr="0043731E">
        <w:rPr>
          <w:b/>
          <w:bCs/>
        </w:rPr>
        <w:t>The translesion synthesis (TLS):</w:t>
      </w:r>
      <w:r>
        <w:t xml:space="preserve"> </w:t>
      </w:r>
      <w:r w:rsidR="006A3BD6" w:rsidRPr="0043731E">
        <w:rPr>
          <w:rStyle w:val="normaltextrun"/>
          <w:rFonts w:ascii="Calibri" w:hAnsi="Calibri" w:cs="Calibri"/>
          <w:color w:val="000000"/>
          <w:shd w:val="clear" w:color="auto" w:fill="FFFFFF"/>
        </w:rPr>
        <w:t>The TLS occurs during the DNA replication (S phase of the cell cycle) and bypasses DNA lesions by incorporating nucleotides in front of damaged bases</w:t>
      </w:r>
      <w:r w:rsidR="0043731E">
        <w:rPr>
          <w:rStyle w:val="normaltextrun"/>
          <w:rFonts w:ascii="Calibri" w:hAnsi="Calibri" w:cs="Calibri"/>
          <w:color w:val="000000"/>
          <w:shd w:val="clear" w:color="auto" w:fill="FFFFFF"/>
        </w:rPr>
        <w:t xml:space="preserve"> (KE 16)</w:t>
      </w:r>
      <w:r w:rsidR="00892F9F">
        <w:rPr>
          <w:rStyle w:val="normaltextrun"/>
          <w:rFonts w:ascii="Calibri" w:hAnsi="Calibri" w:cs="Calibri"/>
          <w:color w:val="000000"/>
          <w:shd w:val="clear" w:color="auto" w:fill="FFFFFF"/>
        </w:rPr>
        <w:fldChar w:fldCharType="begin"/>
      </w:r>
      <w:r w:rsidR="009B7DE3">
        <w:rPr>
          <w:rStyle w:val="normaltextrun"/>
          <w:rFonts w:ascii="Calibri" w:hAnsi="Calibri" w:cs="Calibri"/>
          <w:color w:val="000000"/>
          <w:shd w:val="clear" w:color="auto" w:fill="FFFFFF"/>
        </w:rPr>
        <w:instrText xml:space="preserve"> ADDIN ZOTERO_ITEM CSL_CITATION {"citationID":"6t0xcJiZ","properties":{"formattedCitation":"\\super 112\\uc0\\u8211{}115\\nosupersub{}","plainCitation":"112–115","noteIndex":0},"citationItems":[{"id":574,"uris":["http://zotero.org/users/11265134/items/LNCMYN6I"],"itemData":{"id":574,"type":"article-journal","abstract":"Chemotherapeutic alkylating agents induce a range of cytotoxic and mutagenic adducts onto DNA.Alkylating agent-induced damage to DNA is sensed and repaired by different cellular mechanisms, including direct repair by the AlkB homologue (ALKBH) family and O6-methylguanine-DNA methyltransferase (MGMT) proteins or by pathways such as base excision repair (BER), mismatch repair (MMR), homologous recombination, Fanconi anaemia and translesion DNA synthesis (TLS).Diverse cellular pathways collectively modulate alkylation sensitivity, and imbalances within or between these pathways can have deleterious consequences at the cellular and whole-animal levels.Developing agents to modulate DNA repair pathways is a promising strategy to increase the effectiveness of current chemotherapeutic alkylating agents.Investigation of DNA repair capacity in cancer patients may provide crucial information about which chemotherapeutic therapies to use, because differences can result in drastic variation in alkylation sensitivity.","container-title":"Nature Reviews Cancer","DOI":"10.1038/nrc3185","ISSN":"1474-1768","issue":"2","journalAbbreviation":"Nat Rev Cancer","language":"en","license":"2012 Springer Nature Limited","note":"publisher: Nature Publishing Group","page":"104-120","source":"www.nature.com","title":"Balancing repair and tolerance of DNA damage caused by alkylating agents","volume":"12","author":[{"family":"Fu","given":"Dragony"},{"family":"Calvo","given":"Jennifer A."},{"family":"Samson","given":"Leona D."}],"issued":{"date-parts":[["2012",2]]}}},{"id":307,"uris":["http://zotero.org/users/11265134/items/IITPG4FK"],"itemData":{"id":307,"type":"article-journal","abstract":"Tens of thousands of DNA lesions are formed in mammalian cells each day. DNA translesion synthesis is the main mechanism of cell defense against unrepaired DNA lesions. DNA polymerases iota (Pol ι), eta (Pol η), kappa (Pol κ), and zeta (Pol ζ) have active sites that are less stringent toward the DNA template structure and efficiently incorporate nucleotides opposite DNA lesions. However, these polymerases display low accuracy of DNA synthesis and can introduce mutations in genomic DNA. Impaired functioning of these enzymes can lead to an increased risk of cancer.","container-title":"Biochemistry (Moscow)","DOI":"10.1134/S0006297920040033","ISSN":"1608-3040","issue":"4","journalAbbreviation":"Biochemistry Moscow","language":"en","page":"425-435","source":"Springer Link","title":"Translesion DNA Synthesis and Carcinogenesis","volume":"85","author":[{"family":"Shilkin","given":"E. S."},{"family":"Boldinova","given":"E. O."},{"family":"Stolyarenko","given":"A. D."},{"family":"Goncharova","given":"R. I."},{"family":"Chuprov-Netochin","given":"R. N."},{"family":"Khairullin","given":"R. F."},{"family":"Smal","given":"M. P."},{"family":"Makarova","given":"A. V."}],"issued":{"date-parts":[["2020",4,1]]}}},{"id":419,"uris":["http://zotero.org/users/11265134/items/CI5MTPEH"],"itemData":{"id":419,"type":"article-journal","abstract":"Translesion DNA synthesis (TLS) is a fundamental damage bypass pathway that utilises specialised polymerases with relaxed template specificity to achieve replication through damaged DNA. Misinsertions by low fidelity TLS polymerases may introduce additional mutations on undamaged DNA near the original lesion site, which we termed collateral mutations. In this study, we used whole genome sequencing datasets of chicken DT40 and several human cell lines to obtain evidence for collateral mutagenesis in higher eukaryotes. We found that cisplatin and UVC radiation frequently induce close mutation pairs within 25 base pairs that consist of an adduct-associated primary and a downstream collateral mutation, and genetically linked their formation to TLS activity involving PCNA ubiquitylation and polymerase κ. PCNA ubiquitylation was also indispensable for close mutation pairs observed amongst spontaneously arising base substitutions in cell lines with disrupted homologous recombination. Collateral mutation pairs were also found in melanoma genomes with evidence of UV exposure. We showed that collateral mutations frequently copy the upstream base, and extracted a base substitution signature that describes collateral mutagenesis in the presented dataset regardless of the primary mutagenic process. Using this mutation signature, we showed that collateral mutagenesis creates approximately 10–20% of non-paired substitutions as well, underscoring the importance of the process.","container-title":"PLOS Genetics","DOI":"10.1371/journal.pgen.1010051","ISSN":"1553-7404","issue":"2","journalAbbreviation":"PLOS Genetics","language":"en","note":"publisher: Public Library of Science","page":"e1010051","source":"PLoS Journals","title":"Characterisation of the spectrum and genetic dependence of collateral mutations induced by translesion DNA synthesis","volume":"18","author":[{"family":"Póti","given":"Ádám"},{"family":"Szikriszt","given":"Bernadett"},{"family":"Gervai","given":"Judit Zsuzsanna"},{"family":"Chen","given":"Dan"},{"family":"Szüts","given":"Dávid"}],"issued":{"date-parts":[["2022",2,7]]}}},{"id":421,"uris":["http://zotero.org/users/11265134/items/W6RD37AL"],"itemData":{"id":421,"type":"article-journal","abstract":"The structural features that enable replicative DNA polymerases to synthesize DNA rapidly and accurately also limit their ability to copy damaged DNA. Direct replication of DNA damage is termed translesion synthesis (TLS), a mechanism conserved from bacteria to mammals and executed by an array of specialized DNA polymerases. This chapter examines how these translesion polymerases replicate damaged DNA and how they are regulated to balance their ability to replicate DNA lesions with the risk of undesirable mutagenesis. It also discusses how TLS is co-opted to increase the diversity of the immunoglobulin gene hypermutation and the contribution it makes to the mutations that sculpt the genome of cancer cells.","container-title":"Cold Spring Harbor Perspectives in Biology","DOI":"10.1101/cshperspect.a012708","ISSN":", 1943-0264","issue":"3","journalAbbreviation":"Cold Spring Harb Perspect Biol","language":"en","note":"Company: Cold Spring Harbor Laboratory Press\nDistributor: Cold Spring Harbor Laboratory Press\nInstitution: Cold Spring Harbor Laboratory Press\nLabel: Cold Spring Harbor Laboratory Press\npublisher: Cold Spring Harbor Lab\nPMID: 23457261","page":"a012708","source":"cshperspectives.cshlp.org","title":"Translesion DNA Synthesis and Mutagenesis in Eukaryotes","volume":"5","author":[{"family":"Sale","given":"Julian E."}],"issued":{"date-parts":[["2013",3,1]]}}}],"schema":"https://github.com/citation-style-language/schema/raw/master/csl-citation.json"} </w:instrText>
      </w:r>
      <w:r w:rsidR="00892F9F">
        <w:rPr>
          <w:rStyle w:val="normaltextrun"/>
          <w:rFonts w:ascii="Calibri" w:hAnsi="Calibri" w:cs="Calibri"/>
          <w:color w:val="000000"/>
          <w:shd w:val="clear" w:color="auto" w:fill="FFFFFF"/>
        </w:rPr>
        <w:fldChar w:fldCharType="separate"/>
      </w:r>
      <w:r w:rsidR="009B7DE3" w:rsidRPr="009B7DE3">
        <w:rPr>
          <w:rFonts w:ascii="Calibri" w:hAnsi="Calibri" w:cs="Calibri"/>
          <w:szCs w:val="24"/>
          <w:vertAlign w:val="superscript"/>
        </w:rPr>
        <w:t>112–115</w:t>
      </w:r>
      <w:r w:rsidR="00892F9F">
        <w:rPr>
          <w:rStyle w:val="normaltextrun"/>
          <w:rFonts w:ascii="Calibri" w:hAnsi="Calibri" w:cs="Calibri"/>
          <w:color w:val="000000"/>
          <w:shd w:val="clear" w:color="auto" w:fill="FFFFFF"/>
        </w:rPr>
        <w:fldChar w:fldCharType="end"/>
      </w:r>
      <w:r w:rsidR="006A3BD6" w:rsidRPr="0043731E">
        <w:rPr>
          <w:rStyle w:val="normaltextrun"/>
          <w:rFonts w:ascii="Calibri" w:hAnsi="Calibri" w:cs="Calibri"/>
          <w:color w:val="000000"/>
          <w:shd w:val="clear" w:color="auto" w:fill="FFFFFF"/>
        </w:rPr>
        <w:t>.</w:t>
      </w:r>
      <w:r w:rsidR="0043731E" w:rsidRPr="0043731E">
        <w:rPr>
          <w:rStyle w:val="normaltextrun"/>
          <w:rFonts w:ascii="Calibri" w:hAnsi="Calibri" w:cs="Calibri"/>
          <w:color w:val="000000"/>
          <w:shd w:val="clear" w:color="auto" w:fill="FFFFFF"/>
        </w:rPr>
        <w:t xml:space="preserve"> TLS is also known to address DPCs. </w:t>
      </w:r>
      <w:r w:rsidR="0043731E">
        <w:t xml:space="preserve">DPCs are particularly challenging to repair because they involve both nucleic acid and protein components requiring a proteolysis step, followed by an excision of the remaining fragment and the bypass of the peptide adduct requiring </w:t>
      </w:r>
      <w:r w:rsidR="0043731E" w:rsidRPr="0043731E">
        <w:t>DNA pol ζ</w:t>
      </w:r>
      <w:r w:rsidR="0043731E">
        <w:fldChar w:fldCharType="begin"/>
      </w:r>
      <w:r w:rsidR="009B7DE3">
        <w:instrText xml:space="preserve"> ADDIN ZOTERO_ITEM CSL_CITATION {"citationID":"4U2TGJuW","properties":{"formattedCitation":"\\super 58,59,83,84,116\\nosupersub{}","plainCitation":"58,59,83,84,116","noteIndex":0},"citationItems":[{"id":411,"uris":["http://zotero.org/users/11265134/items/NW5D65FP"],"itemData":{"id":411,"type":"article-journal","abstract":"Genomic DNA is associated with various structural, regulatory, and transaction proteins. The dynamic and reversible association between proteins and DNA ensures the accurate expression and propagation of genetic information. However, various endogenous, environmental, and chemotherapeutic agents induce DNA-protein crosslinks (DPCs), and hence covalently trap proteins on DNA. Since DPCs are extremely large compared to conventional DNA lesions, they probably impair many aspects of DNA transactions such as replication, transcription, and repair due to steric hindrance. Recent genetic and biochemical studies have shed light on the elaborate molecular mechanism by which cells repair or tolerate DPCs. This review summarizes the current knowledge regarding the repair and biochemical effects of the most ubiquitous form of DPCs, which are associated with no flanked DNA strand breaks. In bacteria small DPCs are eliminated by nucleotide excision repair (NER), whereas oversized DPCs are processed by RecBCD-dependent homologous recombination (HR). NER does not participate in the repair of DPCs in mammalian cells, since the upper size limit of DPCs amenable to mammalian NER is smaller than that of bacterial NER. Thus, DPCs are processed exclusively by HR. The reactivation of the stalled replication fork at DPCs by HR seems to involve fork breakage in mammalian cells but not in bacterial cells. In addition, recent proteomic studies have identified the numbers of proteins in DPCs induced by environmental and chemotherapeutic agents. However, it remains largely elusive how DPCs affect replication and transcription at the molecular level. Considering the extremely large nature of DPCs, it is possible that they impede the progression of replication and transcription machineries by mechanisms different from those for conventional DNA lesions. This might also be true for the DNA damage response and signaling mechanism.","container-title":"Mutation Research","DOI":"10.1016/j.mrfmmm.2010.12.007","ISSN":"0027-5107","issue":"1-2","journalAbbreviation":"Mutat Res","language":"eng","note":"PMID: 21185846","page":"113-122","source":"PubMed","title":"Repair and biochemical effects of DNA-protein crosslinks","volume":"711","author":[{"family":"Ide","given":"Hiroshi"},{"family":"Shoulkamy","given":"Mahmoud I."},{"family":"Nakano","given":"Toshiaki"},{"family":"Miyamoto-Matsubara","given":"Mayumi"},{"family":"Salem","given":"Amir M. H."}],"issued":{"date-parts":[["2011",6,3]]}}},{"id":269,"uris":["http://zotero.org/users/11265134/items/98GKPKZ7"],"itemData":{"id":269,"type":"article-journal","abstract":"DNA-protein crosslinks (DPCs) are a specific type of DNA lesion consisting of a protein covalently and irreversibly bound to DNA, which arise after exposure to physical and chemical crosslinking agents. DPCs can be bulky and thereby pose a barrier to DNA replication and transcription. The persistence of DPCs during S phase causes DNA replication stress and genome instability. The toxicity of DPCs is exploited in cancer therapy: many common chemotherapeutics kill cancer cells by inducing DPC formation. Recent work from several laboratories discovered a specialized repair pathway for DPCs, namely DPC proteolysis (DPCP) repair. DPCP repair is carried out by replication-coupled DNA-dependent metalloproteases: Wss1 in yeast and SPRTN in metazoans. Mutations in SPRTN cause premature ageing and liver cancer in humans and mice; thus, defective DPC repair has great clinical ramifications. In the present review, we will revise the current knowledge on the mechanisms of DPCP repair and on the regulation of DPC protease activity, while highlighting the most significant unresolved questions in the field. Finally, we will discuss the impact of faulty DPC repair on disease and cancer therapy.","collection-title":"Cutting-edge Perspectives in Genomic Maintenance V","container-title":"DNA Repair","DOI":"10.1016/j.dnarep.2018.08.025","ISSN":"1568-7864","journalAbbreviation":"DNA Repair","page":"198-204","source":"ScienceDirect","title":"DNA protein crosslink proteolysis repair: From yeast to premature ageing and cancer in humans","title-short":"DNA protein crosslink proteolysis repair","volume":"71","author":[{"family":"Fielden","given":"John"},{"family":"Ruggiano","given":"Annamaria"},{"family":"Popović","given":"Marta"},{"family":"Ramadan","given":"Kristijan"}],"issued":{"date-parts":[["2018",11,1]]}}},{"id":289,"uris":["http://zotero.org/users/11265134/items/R65ND5GW"],"itemData":{"id":289,"type":"article-journal","container-title":"Cell","DOI":"10.1016/j.cell.2014.09.024","ISSN":"0092-8674, 1097-4172","issue":"2","journalAbbreviation":"Cell","language":"English","note":"publisher: Elsevier\nPMID: 25303529","page":"346-357","source":"www.cell.com","title":"Repair of a DNA-Protein Crosslink by Replication-Coupled Proteolysis","volume":"159","author":[{"family":"Duxin","given":"Julien P."},{"family":"Dewar","given":"James M."},{"family":"Yardimci","given":"Hasan"},{"family":"Walter","given":"Johannes C."}],"issued":{"date-parts":[["2014",10,9]]}}},{"id":372,"uris":["http://zotero.org/users/11265134/items/67GSQLFZ"],"itemData":{"id":372,"type":"article-journal","abstract":"DNA is constantly exposed to a wide array of genotoxic agents, generating a variety of forms of DNA damage. DNA-protein crosslinks (DPCs)—the covalent linkage of proteins with a DNA strand—are one of the most deleterious and understudied forms of DNA damage, posing as steric blockades to transcription and replication. If not properly repaired, these lesions can lead to mutations, genomic instability, and cell death. DPCs can be induced endogenously or through environmental carcinogens and chemotherapeutic agents. Endogenously, DPCs are commonly derived through reactions with aldehydes, as well as through trapping of various enzymatic intermediates onto the DNA. Proteolytic cleavage of the protein moiety of a DPC is a general strategy for removing the lesion. This can be accomplished through a DPC-specific protease and and/or proteasome-mediated degradation. Nucleotide excision repair and homologous recombination are each involved in repairing DPCs, with their respective roles likely dependent on the nature and size of the adduct. The Fanconi anemia pathway may also have a role in processing DPC repair intermediates. In this review, we discuss how these lesions are formed, strategies and mechanisms for their removal, and diseases associated with defective DPC repair.","container-title":"Science China Life Sciences","DOI":"10.1007/s11427-017-9183-4","ISSN":"1869-1889","issue":"10","journalAbbreviation":"Sci. China Life Sci.","language":"en","page":"1065-1076","source":"Springer Link","title":"Formation and repair of DNA-protein crosslink damage","volume":"60","author":[{"family":"Klages-Mundt","given":"Naeh L."},{"family":"Li","given":"Lei"}],"issued":{"date-parts":[["2017",10,1]]}}},{"id":462,"uris":["http://zotero.org/users/11265134/items/K6NYQ9F6"],"itemData":{"id":462,"type":"article-journal","abstract":"Covalent DNA–protein crosslinks (DPCs) are highly toxic DNA lesions that are induced by widely used classes of chemotherapeutics and also by various external and endogenous agents.DPCs consist of three distinct components, which are harnessed by distinct repair mechanisms as a starting point for repair.Tyrosyl-DNA phosphodiesterases directly hydrolyse the covalent bond between protein and DNA at DPCs.Nuclease-dependent repair by the MRE11–RAD50–NBS1 (MRN) complex targets the DNA component of DPCs.Proteolytic repair by the spartan (SPRTN)/weak suppressor of SMT3 protein 1 (Wss1) protease family degrades the protein component of DPCs.Inhibition of DPC repair pathways offers novel therapeutic opportunities for anticancer combination therapies.","container-title":"Nature Reviews Molecular Cell Biology","DOI":"10.1038/nrm.2017.56","ISSN":"1471-0080","issue":"9","journalAbbreviation":"Nat Rev Mol Cell Biol","language":"en","license":"2017 Springer Nature Limited","note":"publisher: Nature Publishing Group","page":"563-573","source":"www.nature.com","title":"Mechanisms of DNA–protein crosslink repair","volume":"18","author":[{"family":"Stingele","given":"Julian"},{"family":"Bellelli","given":"Roberto"},{"family":"Boulton","given":"Simon J."}],"issued":{"date-parts":[["2017",9]]}}}],"schema":"https://github.com/citation-style-language/schema/raw/master/csl-citation.json"} </w:instrText>
      </w:r>
      <w:r w:rsidR="0043731E">
        <w:fldChar w:fldCharType="separate"/>
      </w:r>
      <w:r w:rsidR="009B7DE3" w:rsidRPr="009B7DE3">
        <w:rPr>
          <w:rFonts w:ascii="Calibri" w:hAnsi="Calibri" w:cs="Calibri"/>
          <w:szCs w:val="24"/>
          <w:vertAlign w:val="superscript"/>
        </w:rPr>
        <w:t>58,59,83,84,116</w:t>
      </w:r>
      <w:r w:rsidR="0043731E">
        <w:fldChar w:fldCharType="end"/>
      </w:r>
      <w:r w:rsidR="0043731E">
        <w:t>.</w:t>
      </w:r>
      <w:r w:rsidR="006A3BD6" w:rsidRPr="0043731E">
        <w:rPr>
          <w:rStyle w:val="normaltextrun"/>
          <w:rFonts w:ascii="Calibri" w:hAnsi="Calibri" w:cs="Calibri"/>
          <w:color w:val="000000"/>
          <w:shd w:val="clear" w:color="auto" w:fill="FFFFFF"/>
        </w:rPr>
        <w:t xml:space="preserve"> </w:t>
      </w:r>
      <w:r w:rsidR="0043731E">
        <w:rPr>
          <w:rStyle w:val="normaltextrun"/>
          <w:rFonts w:ascii="Calibri" w:hAnsi="Calibri" w:cs="Calibri"/>
          <w:color w:val="000000"/>
          <w:shd w:val="clear" w:color="auto" w:fill="FFFFFF"/>
        </w:rPr>
        <w:t>However, t</w:t>
      </w:r>
      <w:r w:rsidR="006A3BD6" w:rsidRPr="0043731E">
        <w:rPr>
          <w:rStyle w:val="normaltextrun"/>
          <w:rFonts w:ascii="Calibri" w:hAnsi="Calibri" w:cs="Calibri"/>
          <w:color w:val="000000"/>
          <w:shd w:val="clear" w:color="auto" w:fill="FFFFFF"/>
        </w:rPr>
        <w:t>his process is error-prone and</w:t>
      </w:r>
      <w:r w:rsidR="0043731E">
        <w:rPr>
          <w:rStyle w:val="normaltextrun"/>
          <w:rFonts w:ascii="Calibri" w:hAnsi="Calibri" w:cs="Calibri"/>
          <w:color w:val="000000"/>
          <w:shd w:val="clear" w:color="auto" w:fill="FFFFFF"/>
        </w:rPr>
        <w:t xml:space="preserve"> direclty</w:t>
      </w:r>
      <w:r w:rsidR="006A3BD6" w:rsidRPr="0043731E">
        <w:rPr>
          <w:rStyle w:val="normaltextrun"/>
          <w:rFonts w:ascii="Calibri" w:hAnsi="Calibri" w:cs="Calibri"/>
          <w:color w:val="000000"/>
          <w:shd w:val="clear" w:color="auto" w:fill="FFFFFF"/>
        </w:rPr>
        <w:t xml:space="preserve"> increases the gene mutation rate</w:t>
      </w:r>
      <w:r w:rsidR="0043731E">
        <w:rPr>
          <w:rStyle w:val="normaltextrun"/>
          <w:rFonts w:ascii="Calibri" w:hAnsi="Calibri" w:cs="Calibri"/>
          <w:color w:val="000000"/>
          <w:shd w:val="clear" w:color="auto" w:fill="FFFFFF"/>
        </w:rPr>
        <w:t xml:space="preserve"> (Figure 2 - AO 24)</w:t>
      </w:r>
      <w:r w:rsidR="00FD4418" w:rsidRPr="0043731E">
        <w:rPr>
          <w:rStyle w:val="normaltextrun"/>
          <w:rFonts w:ascii="Calibri" w:hAnsi="Calibri" w:cs="Calibri"/>
          <w:color w:val="000000"/>
          <w:shd w:val="clear" w:color="auto" w:fill="FFFFFF"/>
        </w:rPr>
        <w:fldChar w:fldCharType="begin"/>
      </w:r>
      <w:r w:rsidR="009B7DE3">
        <w:rPr>
          <w:rStyle w:val="normaltextrun"/>
          <w:rFonts w:ascii="Calibri" w:hAnsi="Calibri" w:cs="Calibri"/>
          <w:color w:val="000000"/>
          <w:shd w:val="clear" w:color="auto" w:fill="FFFFFF"/>
        </w:rPr>
        <w:instrText xml:space="preserve"> ADDIN ZOTERO_ITEM CSL_CITATION {"citationID":"WNa3osz5","properties":{"formattedCitation":"\\super 113\\uc0\\u8211{}115\\nosupersub{}","plainCitation":"113–115","noteIndex":0},"citationItems":[{"id":421,"uris":["http://zotero.org/users/11265134/items/W6RD37AL"],"itemData":{"id":421,"type":"article-journal","abstract":"The structural features that enable replicative DNA polymerases to synthesize DNA rapidly and accurately also limit their ability to copy damaged DNA. Direct replication of DNA damage is termed translesion synthesis (TLS), a mechanism conserved from bacteria to mammals and executed by an array of specialized DNA polymerases. This chapter examines how these translesion polymerases replicate damaged DNA and how they are regulated to balance their ability to replicate DNA lesions with the risk of undesirable mutagenesis. It also discusses how TLS is co-opted to increase the diversity of the immunoglobulin gene hypermutation and the contribution it makes to the mutations that sculpt the genome of cancer cells.","container-title":"Cold Spring Harbor Perspectives in Biology","DOI":"10.1101/cshperspect.a012708","ISSN":", 1943-0264","issue":"3","journalAbbreviation":"Cold Spring Harb Perspect Biol","language":"en","note":"Company: Cold Spring Harbor Laboratory Press\nDistributor: Cold Spring Harbor Laboratory Press\nInstitution: Cold Spring Harbor Laboratory Press\nLabel: Cold Spring Harbor Laboratory Press\npublisher: Cold Spring Harbor Lab\nPMID: 23457261","page":"a012708","source":"cshperspectives.cshlp.org","title":"Translesion DNA Synthesis and Mutagenesis in Eukaryotes","volume":"5","author":[{"family":"Sale","given":"Julian E."}],"issued":{"date-parts":[["2013",3,1]]}}},{"id":307,"uris":["http://zotero.org/users/11265134/items/IITPG4FK"],"itemData":{"id":307,"type":"article-journal","abstract":"Tens of thousands of DNA lesions are formed in mammalian cells each day. DNA translesion synthesis is the main mechanism of cell defense against unrepaired DNA lesions. DNA polymerases iota (Pol ι), eta (Pol η), kappa (Pol κ), and zeta (Pol ζ) have active sites that are less stringent toward the DNA template structure and efficiently incorporate nucleotides opposite DNA lesions. However, these polymerases display low accuracy of DNA synthesis and can introduce mutations in genomic DNA. Impaired functioning of these enzymes can lead to an increased risk of cancer.","container-title":"Biochemistry (Moscow)","DOI":"10.1134/S0006297920040033","ISSN":"1608-3040","issue":"4","journalAbbreviation":"Biochemistry Moscow","language":"en","page":"425-435","source":"Springer Link","title":"Translesion DNA Synthesis and Carcinogenesis","volume":"85","author":[{"family":"Shilkin","given":"E. S."},{"family":"Boldinova","given":"E. O."},{"family":"Stolyarenko","given":"A. D."},{"family":"Goncharova","given":"R. I."},{"family":"Chuprov-Netochin","given":"R. N."},{"family":"Khairullin","given":"R. F."},{"family":"Smal","given":"M. P."},{"family":"Makarova","given":"A. V."}],"issued":{"date-parts":[["2020",4,1]]}}},{"id":419,"uris":["http://zotero.org/users/11265134/items/CI5MTPEH"],"itemData":{"id":419,"type":"article-journal","abstract":"Translesion DNA synthesis (TLS) is a fundamental damage bypass pathway that utilises specialised polymerases with relaxed template specificity to achieve replication through damaged DNA. Misinsertions by low fidelity TLS polymerases may introduce additional mutations on undamaged DNA near the original lesion site, which we termed collateral mutations. In this study, we used whole genome sequencing datasets of chicken DT40 and several human cell lines to obtain evidence for collateral mutagenesis in higher eukaryotes. We found that cisplatin and UVC radiation frequently induce close mutation pairs within 25 base pairs that consist of an adduct-associated primary and a downstream collateral mutation, and genetically linked their formation to TLS activity involving PCNA ubiquitylation and polymerase κ. PCNA ubiquitylation was also indispensable for close mutation pairs observed amongst spontaneously arising base substitutions in cell lines with disrupted homologous recombination. Collateral mutation pairs were also found in melanoma genomes with evidence of UV exposure. We showed that collateral mutations frequently copy the upstream base, and extracted a base substitution signature that describes collateral mutagenesis in the presented dataset regardless of the primary mutagenic process. Using this mutation signature, we showed that collateral mutagenesis creates approximately 10–20% of non-paired substitutions as well, underscoring the importance of the process.","container-title":"PLOS Genetics","DOI":"10.1371/journal.pgen.1010051","ISSN":"1553-7404","issue":"2","journalAbbreviation":"PLOS Genetics","language":"en","note":"publisher: Public Library of Science","page":"e1010051","source":"PLoS Journals","title":"Characterisation of the spectrum and genetic dependence of collateral mutations induced by translesion DNA synthesis","volume":"18","author":[{"family":"Póti","given":"Ádám"},{"family":"Szikriszt","given":"Bernadett"},{"family":"Gervai","given":"Judit Zsuzsanna"},{"family":"Chen","given":"Dan"},{"family":"Szüts","given":"Dávid"}],"issued":{"date-parts":[["2022",2,7]]}}}],"schema":"https://github.com/citation-style-language/schema/raw/master/csl-citation.json"} </w:instrText>
      </w:r>
      <w:r w:rsidR="00FD4418" w:rsidRPr="0043731E">
        <w:rPr>
          <w:rStyle w:val="normaltextrun"/>
          <w:rFonts w:ascii="Calibri" w:hAnsi="Calibri" w:cs="Calibri"/>
          <w:color w:val="000000"/>
          <w:shd w:val="clear" w:color="auto" w:fill="FFFFFF"/>
        </w:rPr>
        <w:fldChar w:fldCharType="separate"/>
      </w:r>
      <w:r w:rsidR="009B7DE3" w:rsidRPr="009B7DE3">
        <w:rPr>
          <w:rFonts w:ascii="Calibri" w:hAnsi="Calibri" w:cs="Calibri"/>
          <w:szCs w:val="24"/>
          <w:vertAlign w:val="superscript"/>
        </w:rPr>
        <w:t>113–115</w:t>
      </w:r>
      <w:r w:rsidR="00FD4418" w:rsidRPr="0043731E">
        <w:rPr>
          <w:rStyle w:val="normaltextrun"/>
          <w:rFonts w:ascii="Calibri" w:hAnsi="Calibri" w:cs="Calibri"/>
          <w:color w:val="000000"/>
          <w:shd w:val="clear" w:color="auto" w:fill="FFFFFF"/>
        </w:rPr>
        <w:fldChar w:fldCharType="end"/>
      </w:r>
      <w:r w:rsidR="006A3BD6" w:rsidRPr="0043731E">
        <w:rPr>
          <w:rStyle w:val="normaltextrun"/>
          <w:rFonts w:ascii="Calibri" w:hAnsi="Calibri" w:cs="Calibri"/>
          <w:color w:val="000000"/>
          <w:shd w:val="clear" w:color="auto" w:fill="FFFFFF"/>
        </w:rPr>
        <w:t>.</w:t>
      </w:r>
      <w:r w:rsidR="006A3BD6" w:rsidRPr="0043731E">
        <w:rPr>
          <w:rStyle w:val="eop"/>
          <w:rFonts w:ascii="Calibri" w:hAnsi="Calibri" w:cs="Calibri"/>
          <w:color w:val="000000"/>
          <w:shd w:val="clear" w:color="auto" w:fill="FFFFFF"/>
        </w:rPr>
        <w:t> </w:t>
      </w:r>
      <w:r w:rsidR="00D0732B" w:rsidRPr="0043731E">
        <w:rPr>
          <w:rStyle w:val="eop"/>
          <w:rFonts w:ascii="Calibri" w:hAnsi="Calibri" w:cs="Calibri"/>
          <w:color w:val="000000"/>
          <w:shd w:val="clear" w:color="auto" w:fill="FFFFFF"/>
        </w:rPr>
        <w:t xml:space="preserve"> </w:t>
      </w:r>
    </w:p>
    <w:p w14:paraId="1696D474" w14:textId="4953BB8B" w:rsidR="001B13E8" w:rsidRDefault="00885FF5" w:rsidP="003E366B">
      <w:pPr>
        <w:spacing w:after="0" w:line="324" w:lineRule="auto"/>
        <w:jc w:val="both"/>
      </w:pPr>
      <w:r>
        <w:t xml:space="preserve"> </w:t>
      </w:r>
    </w:p>
    <w:p w14:paraId="3A755B4A" w14:textId="0C5790C0" w:rsidR="009C4856" w:rsidRDefault="00D13422" w:rsidP="00682E26">
      <w:pPr>
        <w:spacing w:after="0" w:line="324" w:lineRule="auto"/>
        <w:jc w:val="both"/>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 xml:space="preserve">This set of DNA repair pathways (BER, NER and TLS) can be summarized in one KE, which is already described in the AOP-Wiki, i.e. </w:t>
      </w:r>
      <w:r>
        <w:rPr>
          <w:rStyle w:val="normaltextrun"/>
          <w:rFonts w:ascii="Calibri" w:hAnsi="Calibri" w:cs="Calibri"/>
          <w:b/>
          <w:bCs/>
          <w:color w:val="000000"/>
          <w:shd w:val="clear" w:color="auto" w:fill="FFFFFF"/>
        </w:rPr>
        <w:t>KE 155 “Inadequate DNA repair”</w:t>
      </w:r>
      <w:r>
        <w:rPr>
          <w:rStyle w:val="normaltextrun"/>
          <w:rFonts w:ascii="Calibri" w:hAnsi="Calibri" w:cs="Calibri"/>
          <w:color w:val="000000"/>
          <w:shd w:val="clear" w:color="auto" w:fill="FFFFFF"/>
        </w:rPr>
        <w:t xml:space="preserve"> (</w:t>
      </w:r>
      <w:hyperlink r:id="rId27" w:history="1">
        <w:r w:rsidRPr="005219EB">
          <w:rPr>
            <w:rStyle w:val="Lienhypertexte"/>
            <w:rFonts w:ascii="Calibri" w:hAnsi="Calibri" w:cs="Calibri"/>
            <w:shd w:val="clear" w:color="auto" w:fill="FFFFFF"/>
          </w:rPr>
          <w:t>https://aopwiki.org/events/155</w:t>
        </w:r>
      </w:hyperlink>
      <w:r>
        <w:rPr>
          <w:rStyle w:val="normaltextrun"/>
          <w:rFonts w:ascii="Calibri" w:hAnsi="Calibri" w:cs="Calibri"/>
          <w:color w:val="000000"/>
          <w:shd w:val="clear" w:color="auto" w:fill="FFFFFF"/>
        </w:rPr>
        <w:t xml:space="preserve">). The KE </w:t>
      </w:r>
      <w:r w:rsidRPr="00957E61">
        <w:rPr>
          <w:rStyle w:val="normaltextrun"/>
          <w:rFonts w:ascii="Calibri" w:hAnsi="Calibri" w:cs="Calibri"/>
          <w:color w:val="000000"/>
          <w:shd w:val="clear" w:color="auto" w:fill="FFFFFF"/>
        </w:rPr>
        <w:t xml:space="preserve">represents the </w:t>
      </w:r>
      <w:r>
        <w:rPr>
          <w:rStyle w:val="normaltextrun"/>
          <w:rFonts w:ascii="Calibri" w:hAnsi="Calibri" w:cs="Calibri"/>
          <w:color w:val="000000"/>
          <w:shd w:val="clear" w:color="auto" w:fill="FFFFFF"/>
        </w:rPr>
        <w:t xml:space="preserve">incapacity of the </w:t>
      </w:r>
      <w:r w:rsidRPr="00957E61">
        <w:rPr>
          <w:rStyle w:val="normaltextrun"/>
          <w:rFonts w:ascii="Calibri" w:hAnsi="Calibri" w:cs="Calibri"/>
          <w:color w:val="000000"/>
          <w:shd w:val="clear" w:color="auto" w:fill="FFFFFF"/>
        </w:rPr>
        <w:t xml:space="preserve">cell </w:t>
      </w:r>
      <w:r>
        <w:rPr>
          <w:rStyle w:val="normaltextrun"/>
          <w:rFonts w:ascii="Calibri" w:hAnsi="Calibri" w:cs="Calibri"/>
          <w:color w:val="000000"/>
          <w:shd w:val="clear" w:color="auto" w:fill="FFFFFF"/>
        </w:rPr>
        <w:t>to deal with induced</w:t>
      </w:r>
      <w:r w:rsidRPr="00957E61">
        <w:rPr>
          <w:rStyle w:val="normaltextrun"/>
          <w:rFonts w:ascii="Calibri" w:hAnsi="Calibri" w:cs="Calibri"/>
          <w:color w:val="000000"/>
          <w:shd w:val="clear" w:color="auto" w:fill="FFFFFF"/>
        </w:rPr>
        <w:t xml:space="preserve"> DNA damage</w:t>
      </w:r>
      <w:r>
        <w:rPr>
          <w:rStyle w:val="normaltextrun"/>
          <w:rFonts w:ascii="Calibri" w:hAnsi="Calibri" w:cs="Calibri"/>
          <w:color w:val="000000"/>
          <w:shd w:val="clear" w:color="auto" w:fill="FFFFFF"/>
        </w:rPr>
        <w:t xml:space="preserve"> and encompasses all types of DNA repair pathways. In our network, the KE is subdivided into specific sub-KE, similar to the approach used</w:t>
      </w:r>
      <w:r>
        <w:rPr>
          <w:rStyle w:val="normaltextrun"/>
          <w:rFonts w:ascii="Calibri" w:hAnsi="Calibri" w:cs="Calibri"/>
          <w:color w:val="D13438"/>
          <w:u w:val="single"/>
          <w:shd w:val="clear" w:color="auto" w:fill="FFFFFF"/>
        </w:rPr>
        <w:t xml:space="preserve"> </w:t>
      </w:r>
      <w:r>
        <w:rPr>
          <w:rStyle w:val="normaltextrun"/>
          <w:rFonts w:ascii="Calibri" w:hAnsi="Calibri" w:cs="Calibri"/>
          <w:color w:val="000000"/>
          <w:shd w:val="clear" w:color="auto" w:fill="FFFFFF"/>
        </w:rPr>
        <w:t>in the AOP 257 “Oxidative DNA damage leading to chromosomal aberrations and mutations” (</w:t>
      </w:r>
      <w:hyperlink r:id="rId28" w:tgtFrame="_blank" w:history="1">
        <w:r>
          <w:rPr>
            <w:rStyle w:val="normaltextrun"/>
            <w:rFonts w:ascii="Calibri" w:hAnsi="Calibri" w:cs="Calibri"/>
            <w:color w:val="0563C1"/>
            <w:u w:val="single"/>
            <w:shd w:val="clear" w:color="auto" w:fill="FFFFFF"/>
          </w:rPr>
          <w:t>https://aopwiki.org/aops/296</w:t>
        </w:r>
      </w:hyperlink>
      <w:r>
        <w:rPr>
          <w:rStyle w:val="normaltextrun"/>
          <w:rFonts w:ascii="Calibri" w:hAnsi="Calibri" w:cs="Calibri"/>
          <w:color w:val="000000"/>
          <w:shd w:val="clear" w:color="auto" w:fill="FFFFFF"/>
        </w:rPr>
        <w:t>). I</w:t>
      </w:r>
      <w:r w:rsidR="00A41CC3">
        <w:rPr>
          <w:rStyle w:val="normaltextrun"/>
          <w:rFonts w:ascii="Calibri" w:hAnsi="Calibri" w:cs="Calibri"/>
          <w:color w:val="000000"/>
          <w:shd w:val="clear" w:color="auto" w:fill="FFFFFF"/>
        </w:rPr>
        <w:t>ndeed, o</w:t>
      </w:r>
      <w:r>
        <w:rPr>
          <w:rStyle w:val="normaltextrun"/>
          <w:rFonts w:ascii="Calibri" w:hAnsi="Calibri" w:cs="Calibri"/>
          <w:color w:val="000000"/>
          <w:shd w:val="clear" w:color="auto" w:fill="FFFFFF"/>
        </w:rPr>
        <w:t xml:space="preserve">ther repair pathways address different types of DNA damage. The KE was therefore named </w:t>
      </w:r>
      <w:r>
        <w:rPr>
          <w:rStyle w:val="normaltextrun"/>
          <w:rFonts w:ascii="Calibri" w:hAnsi="Calibri" w:cs="Calibri"/>
          <w:b/>
          <w:bCs/>
          <w:color w:val="000000"/>
          <w:shd w:val="clear" w:color="auto" w:fill="FFFFFF"/>
        </w:rPr>
        <w:t>“Inadequate, DNA repair (BER, NER, TLS)”</w:t>
      </w:r>
      <w:r w:rsidR="00A41CC3">
        <w:rPr>
          <w:rStyle w:val="normaltextrun"/>
          <w:rFonts w:ascii="Calibri" w:hAnsi="Calibri" w:cs="Calibri"/>
          <w:b/>
          <w:bCs/>
          <w:color w:val="000000"/>
          <w:shd w:val="clear" w:color="auto" w:fill="FFFFFF"/>
        </w:rPr>
        <w:t xml:space="preserve"> </w:t>
      </w:r>
      <w:r>
        <w:rPr>
          <w:rStyle w:val="normaltextrun"/>
          <w:rFonts w:ascii="Calibri" w:hAnsi="Calibri" w:cs="Calibri"/>
          <w:color w:val="000000"/>
          <w:shd w:val="clear" w:color="auto" w:fill="FFFFFF"/>
        </w:rPr>
        <w:t>(Figure 2, KE 1</w:t>
      </w:r>
      <w:r w:rsidR="00934EC6">
        <w:rPr>
          <w:rStyle w:val="normaltextrun"/>
          <w:rFonts w:ascii="Calibri" w:hAnsi="Calibri" w:cs="Calibri"/>
          <w:color w:val="000000"/>
          <w:shd w:val="clear" w:color="auto" w:fill="FFFFFF"/>
        </w:rPr>
        <w:t>5</w:t>
      </w:r>
      <w:r>
        <w:rPr>
          <w:rStyle w:val="normaltextrun"/>
          <w:rFonts w:ascii="Calibri" w:hAnsi="Calibri" w:cs="Calibri"/>
          <w:color w:val="000000"/>
          <w:shd w:val="clear" w:color="auto" w:fill="FFFFFF"/>
        </w:rPr>
        <w:t>), focusing only on the BER, NER and TLS DNA repair pathways</w:t>
      </w:r>
      <w:r w:rsidR="00D837D0">
        <w:rPr>
          <w:rStyle w:val="normaltextrun"/>
          <w:rFonts w:ascii="Calibri" w:hAnsi="Calibri" w:cs="Calibri"/>
          <w:color w:val="000000"/>
          <w:shd w:val="clear" w:color="auto" w:fill="FFFFFF"/>
        </w:rPr>
        <w:t>.</w:t>
      </w:r>
      <w:r>
        <w:rPr>
          <w:rStyle w:val="normaltextrun"/>
          <w:rFonts w:ascii="Calibri" w:hAnsi="Calibri" w:cs="Calibri"/>
          <w:color w:val="000000"/>
          <w:shd w:val="clear" w:color="auto" w:fill="FFFFFF"/>
        </w:rPr>
        <w:t xml:space="preserve"> </w:t>
      </w:r>
    </w:p>
    <w:p w14:paraId="6C5E9573" w14:textId="77777777" w:rsidR="009C4856" w:rsidRDefault="009C4856" w:rsidP="00682E26">
      <w:pPr>
        <w:spacing w:after="0" w:line="324" w:lineRule="auto"/>
        <w:jc w:val="both"/>
        <w:rPr>
          <w:rStyle w:val="normaltextrun"/>
          <w:rFonts w:ascii="Calibri" w:hAnsi="Calibri" w:cs="Calibri"/>
          <w:color w:val="000000"/>
          <w:shd w:val="clear" w:color="auto" w:fill="FFFFFF"/>
        </w:rPr>
      </w:pPr>
    </w:p>
    <w:p w14:paraId="74BB041B" w14:textId="0ADE533F" w:rsidR="00FF5D55" w:rsidRPr="009C4856" w:rsidRDefault="009C4856" w:rsidP="009C4856">
      <w:pPr>
        <w:pStyle w:val="Paragraphedeliste"/>
        <w:numPr>
          <w:ilvl w:val="0"/>
          <w:numId w:val="28"/>
        </w:numPr>
        <w:spacing w:after="0" w:line="324" w:lineRule="auto"/>
        <w:jc w:val="both"/>
        <w:rPr>
          <w:rFonts w:ascii="Calibri" w:hAnsi="Calibri" w:cs="Calibri"/>
          <w:color w:val="000000"/>
          <w:shd w:val="clear" w:color="auto" w:fill="FFFFFF"/>
        </w:rPr>
      </w:pPr>
      <w:r>
        <w:rPr>
          <w:rStyle w:val="normaltextrun"/>
          <w:rFonts w:ascii="Calibri" w:hAnsi="Calibri" w:cs="Calibri"/>
          <w:b/>
          <w:bCs/>
          <w:color w:val="000000"/>
          <w:shd w:val="clear" w:color="auto" w:fill="FFFFFF"/>
        </w:rPr>
        <w:t xml:space="preserve">Inadequate, DNA repair (BER, NER, TLS) </w:t>
      </w:r>
      <w:r>
        <w:rPr>
          <w:rStyle w:val="normaltextrun"/>
          <w:rFonts w:ascii="Calibri" w:hAnsi="Calibri" w:cs="Calibri"/>
          <w:color w:val="000000"/>
          <w:shd w:val="clear" w:color="auto" w:fill="FFFFFF"/>
        </w:rPr>
        <w:t>(Figure 2 – KE 15): This KE regroups DNA repair pathways addressing alkylated lesions</w:t>
      </w:r>
      <w:r w:rsidR="00C21873">
        <w:rPr>
          <w:rStyle w:val="normaltextrun"/>
          <w:rFonts w:ascii="Calibri" w:hAnsi="Calibri" w:cs="Calibri"/>
          <w:color w:val="000000"/>
          <w:shd w:val="clear" w:color="auto" w:fill="FFFFFF"/>
        </w:rPr>
        <w:fldChar w:fldCharType="begin"/>
      </w:r>
      <w:r w:rsidR="009B7DE3">
        <w:rPr>
          <w:rStyle w:val="normaltextrun"/>
          <w:rFonts w:ascii="Calibri" w:hAnsi="Calibri" w:cs="Calibri"/>
          <w:color w:val="000000"/>
          <w:shd w:val="clear" w:color="auto" w:fill="FFFFFF"/>
        </w:rPr>
        <w:instrText xml:space="preserve"> ADDIN ZOTERO_ITEM CSL_CITATION {"citationID":"IGiZyoK3","properties":{"formattedCitation":"\\super 117\\nosupersub{}","plainCitation":"117","noteIndex":0},"citationItems":[{"id":586,"uris":["http://zotero.org/users/11265134/items/9G2RVXRC"],"itemData":{"id":586,"type":"article-journal","container-title":"Trends in Biochemical Sciences","DOI":"10.1016/j.tibs.2016.10.001","ISSN":"0968-0004","issue":"3","journalAbbreviation":"Trends in Biochemical Sciences","language":"English","note":"publisher: Elsevier\nPMID: 27816326","page":"206-218","source":"www.cell.com","title":"Regulation of DNA Alkylation Damage Repair: Lessons and Therapeutic Opportunities","title-short":"Regulation of DNA Alkylation Damage Repair","volume":"42","author":[{"family":"Soll","given":"Jennifer M."},{"family":"Sobol","given":"Robert W."},{"family":"Mosammaparast","given":"Nima"}],"issued":{"date-parts":[["2017",3,1]]}}}],"schema":"https://github.com/citation-style-language/schema/raw/master/csl-citation.json"} </w:instrText>
      </w:r>
      <w:r w:rsidR="00C21873">
        <w:rPr>
          <w:rStyle w:val="normaltextrun"/>
          <w:rFonts w:ascii="Calibri" w:hAnsi="Calibri" w:cs="Calibri"/>
          <w:color w:val="000000"/>
          <w:shd w:val="clear" w:color="auto" w:fill="FFFFFF"/>
        </w:rPr>
        <w:fldChar w:fldCharType="separate"/>
      </w:r>
      <w:r w:rsidR="009B7DE3" w:rsidRPr="009B7DE3">
        <w:rPr>
          <w:rFonts w:ascii="Calibri" w:hAnsi="Calibri" w:cs="Calibri"/>
          <w:szCs w:val="24"/>
          <w:vertAlign w:val="superscript"/>
        </w:rPr>
        <w:t>117</w:t>
      </w:r>
      <w:r w:rsidR="00C21873">
        <w:rPr>
          <w:rStyle w:val="normaltextrun"/>
          <w:rFonts w:ascii="Calibri" w:hAnsi="Calibri" w:cs="Calibri"/>
          <w:color w:val="000000"/>
          <w:shd w:val="clear" w:color="auto" w:fill="FFFFFF"/>
        </w:rPr>
        <w:fldChar w:fldCharType="end"/>
      </w:r>
      <w:r>
        <w:rPr>
          <w:rStyle w:val="normaltextrun"/>
          <w:rFonts w:ascii="Calibri" w:hAnsi="Calibri" w:cs="Calibri"/>
          <w:color w:val="000000"/>
          <w:shd w:val="clear" w:color="auto" w:fill="FFFFFF"/>
        </w:rPr>
        <w:t xml:space="preserve"> (</w:t>
      </w:r>
      <w:hyperlink r:id="rId29" w:history="1">
        <w:r w:rsidRPr="005219EB">
          <w:rPr>
            <w:rStyle w:val="Lienhypertexte"/>
            <w:rFonts w:ascii="Calibri" w:hAnsi="Calibri" w:cs="Calibri"/>
            <w:shd w:val="clear" w:color="auto" w:fill="FFFFFF"/>
          </w:rPr>
          <w:t>https://aopwiki.org/relationships/24</w:t>
        </w:r>
      </w:hyperlink>
      <w:r>
        <w:rPr>
          <w:rStyle w:val="normaltextrun"/>
          <w:rFonts w:ascii="Calibri" w:hAnsi="Calibri" w:cs="Calibri"/>
          <w:color w:val="000000"/>
          <w:shd w:val="clear" w:color="auto" w:fill="FFFFFF"/>
        </w:rPr>
        <w:t>, MIE 1)</w:t>
      </w:r>
      <w:r w:rsidR="00C21873">
        <w:rPr>
          <w:rStyle w:val="normaltextrun"/>
          <w:rFonts w:ascii="Calibri" w:hAnsi="Calibri" w:cs="Calibri"/>
          <w:color w:val="000000"/>
          <w:shd w:val="clear" w:color="auto" w:fill="FFFFFF"/>
        </w:rPr>
        <w:t xml:space="preserve"> and</w:t>
      </w:r>
      <w:r>
        <w:rPr>
          <w:rStyle w:val="normaltextrun"/>
          <w:rFonts w:ascii="Calibri" w:hAnsi="Calibri" w:cs="Calibri"/>
          <w:color w:val="000000"/>
          <w:shd w:val="clear" w:color="auto" w:fill="FFFFFF"/>
        </w:rPr>
        <w:t xml:space="preserve"> oxidative damage </w:t>
      </w:r>
      <w:r>
        <w:rPr>
          <w:rStyle w:val="normaltextrun"/>
          <w:rFonts w:ascii="Calibri" w:hAnsi="Calibri" w:cs="Calibri"/>
          <w:color w:val="000000"/>
          <w:shd w:val="clear" w:color="auto" w:fill="FFFFFF"/>
        </w:rPr>
        <w:lastRenderedPageBreak/>
        <w:t>(</w:t>
      </w:r>
      <w:hyperlink r:id="rId30" w:history="1">
        <w:r w:rsidR="00C21873" w:rsidRPr="005219EB">
          <w:rPr>
            <w:rStyle w:val="Lienhypertexte"/>
            <w:rFonts w:ascii="Calibri" w:hAnsi="Calibri" w:cs="Calibri"/>
            <w:shd w:val="clear" w:color="auto" w:fill="FFFFFF"/>
          </w:rPr>
          <w:t>https://aopwiki.org/relationships/1909</w:t>
        </w:r>
      </w:hyperlink>
      <w:r w:rsidR="00C21873">
        <w:rPr>
          <w:rStyle w:val="normaltextrun"/>
          <w:rFonts w:ascii="Calibri" w:hAnsi="Calibri" w:cs="Calibri"/>
          <w:color w:val="000000"/>
          <w:shd w:val="clear" w:color="auto" w:fill="FFFFFF"/>
        </w:rPr>
        <w:t>, MIE 2) merged in th</w:t>
      </w:r>
      <w:r w:rsidR="00934EC6">
        <w:rPr>
          <w:rStyle w:val="normaltextrun"/>
          <w:rFonts w:ascii="Calibri" w:hAnsi="Calibri" w:cs="Calibri"/>
          <w:color w:val="000000"/>
          <w:shd w:val="clear" w:color="auto" w:fill="FFFFFF"/>
        </w:rPr>
        <w:t>e KE</w:t>
      </w:r>
      <w:r w:rsidR="00C21873">
        <w:rPr>
          <w:rStyle w:val="normaltextrun"/>
          <w:rFonts w:ascii="Calibri" w:hAnsi="Calibri" w:cs="Calibri"/>
          <w:color w:val="000000"/>
          <w:shd w:val="clear" w:color="auto" w:fill="FFFFFF"/>
        </w:rPr>
        <w:t xml:space="preserve"> “Increase, small DNA base modifications”</w:t>
      </w:r>
      <w:r w:rsidR="00934EC6">
        <w:rPr>
          <w:rStyle w:val="normaltextrun"/>
          <w:rFonts w:ascii="Calibri" w:hAnsi="Calibri" w:cs="Calibri"/>
          <w:color w:val="000000"/>
          <w:shd w:val="clear" w:color="auto" w:fill="FFFFFF"/>
        </w:rPr>
        <w:t xml:space="preserve"> (KE 1</w:t>
      </w:r>
      <w:r w:rsidR="009B7DE3">
        <w:rPr>
          <w:rStyle w:val="normaltextrun"/>
          <w:rFonts w:ascii="Calibri" w:hAnsi="Calibri" w:cs="Calibri"/>
          <w:color w:val="000000"/>
          <w:shd w:val="clear" w:color="auto" w:fill="FFFFFF"/>
        </w:rPr>
        <w:t>4</w:t>
      </w:r>
      <w:r w:rsidR="00934EC6">
        <w:rPr>
          <w:rStyle w:val="normaltextrun"/>
          <w:rFonts w:ascii="Calibri" w:hAnsi="Calibri" w:cs="Calibri"/>
          <w:color w:val="000000"/>
          <w:shd w:val="clear" w:color="auto" w:fill="FFFFFF"/>
        </w:rPr>
        <w:t>)</w:t>
      </w:r>
      <w:r w:rsidR="00C21873">
        <w:rPr>
          <w:rStyle w:val="normaltextrun"/>
          <w:rFonts w:ascii="Calibri" w:hAnsi="Calibri" w:cs="Calibri"/>
          <w:color w:val="000000"/>
          <w:shd w:val="clear" w:color="auto" w:fill="FFFFFF"/>
        </w:rPr>
        <w:t>. These pathways also address</w:t>
      </w:r>
      <w:r w:rsidR="00934EC6">
        <w:rPr>
          <w:rStyle w:val="normaltextrun"/>
          <w:rFonts w:ascii="Calibri" w:hAnsi="Calibri" w:cs="Calibri"/>
          <w:color w:val="000000"/>
          <w:shd w:val="clear" w:color="auto" w:fill="FFFFFF"/>
        </w:rPr>
        <w:t xml:space="preserve"> DNA intrastrand crosslinks (MIE 3)</w:t>
      </w:r>
      <w:r w:rsidR="00934EC6">
        <w:rPr>
          <w:rStyle w:val="normaltextrun"/>
          <w:rFonts w:ascii="Calibri" w:hAnsi="Calibri" w:cs="Calibri"/>
          <w:color w:val="000000"/>
          <w:shd w:val="clear" w:color="auto" w:fill="FFFFFF"/>
        </w:rPr>
        <w:fldChar w:fldCharType="begin"/>
      </w:r>
      <w:r w:rsidR="009B7DE3">
        <w:rPr>
          <w:rStyle w:val="normaltextrun"/>
          <w:rFonts w:ascii="Calibri" w:hAnsi="Calibri" w:cs="Calibri"/>
          <w:color w:val="000000"/>
          <w:shd w:val="clear" w:color="auto" w:fill="FFFFFF"/>
        </w:rPr>
        <w:instrText xml:space="preserve"> ADDIN ZOTERO_ITEM CSL_CITATION {"citationID":"mmt2MGkB","properties":{"formattedCitation":"\\super 118\\nosupersub{}","plainCitation":"118","noteIndex":0},"citationItems":[{"id":589,"uris":["http://zotero.org/users/11265134/items/4C3QJULH"],"itemData":{"id":589,"type":"article-journal","abstract":"UV-induced formation of pyrimidine dimers in DNA is a major deleterious event in both eukaryotic and prokaryotic cells. Accumulation of cyclobutane pyrimidine dimers and pyrimidine (6-4) pyrimidone photoproducts can lead to cell death or be at the origin of mutations. In skin, UV induction of DNA damage is a major initiating event in tumorigenesis. To counteract these deleterious effects, all cell types possess DNA repair machinery, such as nucleotide excision repair and, in some cell types, direct reversion. Different analytical approaches were used to assess the efficiency of repair and decipher the enzymatic mechanisms. We presently review the information provided by chromatographic methods, which are complementary to biochemical assays, such as immunological detection and electrophoresis-based techniques. Chromatographic assays are interesting in their ability to provide quantitative data on a wide range of damage and are also valuable tools for the identification of repair intermediates.","container-title":"Photochemistry and Photobiology","DOI":"10.1111/php.12685","ISSN":"1751-1097","issue":"1","language":"en","license":"© 2016 The American Society of Photobiology","note":"_eprint: https://onlinelibrary.wiley.com/doi/pdf/10.1111/php.12685","page":"207-215","source":"Wiley Online Library","title":"Insight in DNA Repair of UV-induced Pyrimidine Dimers by Chromatographic Methods","volume":"93","author":[{"family":"Douki","given":"Thierry"},{"family":"Koschembahr","given":"Anne","non-dropping-particle":"von"},{"family":"Cadet","given":"Jean"}],"issued":{"date-parts":[["2017"]]}}}],"schema":"https://github.com/citation-style-language/schema/raw/master/csl-citation.json"} </w:instrText>
      </w:r>
      <w:r w:rsidR="00934EC6">
        <w:rPr>
          <w:rStyle w:val="normaltextrun"/>
          <w:rFonts w:ascii="Calibri" w:hAnsi="Calibri" w:cs="Calibri"/>
          <w:color w:val="000000"/>
          <w:shd w:val="clear" w:color="auto" w:fill="FFFFFF"/>
        </w:rPr>
        <w:fldChar w:fldCharType="separate"/>
      </w:r>
      <w:r w:rsidR="009B7DE3" w:rsidRPr="009B7DE3">
        <w:rPr>
          <w:rFonts w:ascii="Calibri" w:hAnsi="Calibri" w:cs="Calibri"/>
          <w:szCs w:val="24"/>
          <w:vertAlign w:val="superscript"/>
        </w:rPr>
        <w:t>118</w:t>
      </w:r>
      <w:r w:rsidR="00934EC6">
        <w:rPr>
          <w:rStyle w:val="normaltextrun"/>
          <w:rFonts w:ascii="Calibri" w:hAnsi="Calibri" w:cs="Calibri"/>
          <w:color w:val="000000"/>
          <w:shd w:val="clear" w:color="auto" w:fill="FFFFFF"/>
        </w:rPr>
        <w:fldChar w:fldCharType="end"/>
      </w:r>
      <w:r w:rsidR="00934EC6">
        <w:rPr>
          <w:rStyle w:val="normaltextrun"/>
          <w:rFonts w:ascii="Calibri" w:hAnsi="Calibri" w:cs="Calibri"/>
          <w:color w:val="000000"/>
          <w:shd w:val="clear" w:color="auto" w:fill="FFFFFF"/>
        </w:rPr>
        <w:t xml:space="preserve"> and </w:t>
      </w:r>
      <w:r w:rsidR="00C21873">
        <w:rPr>
          <w:rStyle w:val="normaltextrun"/>
          <w:rFonts w:ascii="Calibri" w:hAnsi="Calibri" w:cs="Calibri"/>
          <w:color w:val="000000"/>
          <w:shd w:val="clear" w:color="auto" w:fill="FFFFFF"/>
        </w:rPr>
        <w:t>bulky DNA adducts (</w:t>
      </w:r>
      <w:r w:rsidR="00934EC6">
        <w:rPr>
          <w:rStyle w:val="normaltextrun"/>
          <w:rFonts w:ascii="Calibri" w:hAnsi="Calibri" w:cs="Calibri"/>
          <w:color w:val="000000"/>
          <w:shd w:val="clear" w:color="auto" w:fill="FFFFFF"/>
        </w:rPr>
        <w:t>MIE 4)</w:t>
      </w:r>
      <w:r w:rsidR="00934EC6">
        <w:rPr>
          <w:rStyle w:val="normaltextrun"/>
          <w:rFonts w:ascii="Calibri" w:hAnsi="Calibri" w:cs="Calibri"/>
          <w:color w:val="000000"/>
          <w:shd w:val="clear" w:color="auto" w:fill="FFFFFF"/>
        </w:rPr>
        <w:fldChar w:fldCharType="begin"/>
      </w:r>
      <w:r w:rsidR="009B7DE3">
        <w:rPr>
          <w:rStyle w:val="normaltextrun"/>
          <w:rFonts w:ascii="Calibri" w:hAnsi="Calibri" w:cs="Calibri"/>
          <w:color w:val="000000"/>
          <w:shd w:val="clear" w:color="auto" w:fill="FFFFFF"/>
        </w:rPr>
        <w:instrText xml:space="preserve"> ADDIN ZOTERO_ITEM CSL_CITATION {"citationID":"TkLtlElG","properties":{"formattedCitation":"\\super 119\\nosupersub{}","plainCitation":"119","noteIndex":0},"citationItems":[{"id":592,"uris":["http://zotero.org/users/11265134/items/AU8M38NC"],"itemData":{"id":592,"type":"article-journal","abstract":"Genomic DNA is damaged by a variety of factors exerting an adverse effect on human health, such as environmental pollution, UV light, ionizing radiation, and toxic compounds. Air pollution with products of incomplete combustion of hydrocarbon fuels and wastes of various industries are main sources of polycyclic aromatic hydrocarbons, whose metabolites can damage DNA by forming bulky DNA adducts, which potentially lead to mutations and cancer. Nucleotide excision repair is the main pathway that eliminates these lesions in eukaryotic cells. The excision efficiency of bulky adducts depends on many factors, including the structure of a bulky substituent and the degree of DNA double helix distortion induced by a lesion. Clustered DNA lesions are the most dangerous for the cell. Several DNA repair systems cooperate to recognize and remove such lesions. The review focuses on the mechanisms that repair DNA with single and clustered bulky lesions, taking the natural carcinogen benzo[a]pyrene as an example.","container-title":"Molecular Biology","DOI":"10.1134/S002689331305018X","ISSN":"1608-3245","issue":"5","journalAbbreviation":"Mol Biol","language":"en","page":"634-644","source":"Springer Link","title":"Repair of bulky DNA lesions deriving from polycyclic aromatic hydrocarbons","volume":"47","author":[{"family":"Skosareva","given":"L. V."},{"family":"Lebedeva","given":"N. A."},{"family":"Lavrik","given":"O. I."},{"family":"Rechkunova","given":"N. I."}],"issued":{"date-parts":[["2013",9,1]]}}}],"schema":"https://github.com/citation-style-language/schema/raw/master/csl-citation.json"} </w:instrText>
      </w:r>
      <w:r w:rsidR="00934EC6">
        <w:rPr>
          <w:rStyle w:val="normaltextrun"/>
          <w:rFonts w:ascii="Calibri" w:hAnsi="Calibri" w:cs="Calibri"/>
          <w:color w:val="000000"/>
          <w:shd w:val="clear" w:color="auto" w:fill="FFFFFF"/>
        </w:rPr>
        <w:fldChar w:fldCharType="separate"/>
      </w:r>
      <w:r w:rsidR="009B7DE3" w:rsidRPr="009B7DE3">
        <w:rPr>
          <w:rFonts w:ascii="Calibri" w:hAnsi="Calibri" w:cs="Calibri"/>
          <w:szCs w:val="24"/>
          <w:vertAlign w:val="superscript"/>
        </w:rPr>
        <w:t>119</w:t>
      </w:r>
      <w:r w:rsidR="00934EC6">
        <w:rPr>
          <w:rStyle w:val="normaltextrun"/>
          <w:rFonts w:ascii="Calibri" w:hAnsi="Calibri" w:cs="Calibri"/>
          <w:color w:val="000000"/>
          <w:shd w:val="clear" w:color="auto" w:fill="FFFFFF"/>
        </w:rPr>
        <w:fldChar w:fldCharType="end"/>
      </w:r>
      <w:r w:rsidR="00934EC6">
        <w:rPr>
          <w:rStyle w:val="normaltextrun"/>
          <w:rFonts w:ascii="Calibri" w:hAnsi="Calibri" w:cs="Calibri"/>
          <w:color w:val="000000"/>
          <w:shd w:val="clear" w:color="auto" w:fill="FFFFFF"/>
        </w:rPr>
        <w:t>. Moreover, TLS is implicated in the late stage of DPCs (MIE 5) repair, as mentioned above.</w:t>
      </w:r>
      <w:r w:rsidR="00C21873">
        <w:rPr>
          <w:rStyle w:val="normaltextrun"/>
          <w:rFonts w:ascii="Calibri" w:hAnsi="Calibri" w:cs="Calibri"/>
          <w:color w:val="000000"/>
          <w:shd w:val="clear" w:color="auto" w:fill="FFFFFF"/>
        </w:rPr>
        <w:t xml:space="preserve"> </w:t>
      </w:r>
      <w:r w:rsidR="00D13422" w:rsidRPr="009C4856">
        <w:rPr>
          <w:rStyle w:val="normaltextrun"/>
          <w:rFonts w:ascii="Calibri" w:hAnsi="Calibri" w:cs="Calibri"/>
          <w:color w:val="000000"/>
          <w:shd w:val="clear" w:color="auto" w:fill="FFFFFF"/>
        </w:rPr>
        <w:t>In case of a high level of damage,</w:t>
      </w:r>
      <w:r w:rsidR="00D837D0" w:rsidRPr="009C4856">
        <w:rPr>
          <w:rStyle w:val="eop"/>
          <w:rFonts w:ascii="Calibri" w:hAnsi="Calibri" w:cs="Calibri"/>
          <w:color w:val="000000"/>
          <w:shd w:val="clear" w:color="auto" w:fill="FFFFFF"/>
        </w:rPr>
        <w:t> </w:t>
      </w:r>
      <w:r w:rsidR="00D13422" w:rsidRPr="009C4856">
        <w:rPr>
          <w:rStyle w:val="eop"/>
          <w:rFonts w:ascii="Calibri" w:hAnsi="Calibri" w:cs="Calibri"/>
          <w:color w:val="000000"/>
          <w:shd w:val="clear" w:color="auto" w:fill="FFFFFF"/>
        </w:rPr>
        <w:t>while TLS increases the gene mutation rate,</w:t>
      </w:r>
      <w:r w:rsidR="00753BB3">
        <w:t xml:space="preserve"> intermediates f</w:t>
      </w:r>
      <w:r w:rsidR="00D837D0">
        <w:t>rom</w:t>
      </w:r>
      <w:r w:rsidR="00753BB3">
        <w:t xml:space="preserve"> </w:t>
      </w:r>
      <w:r w:rsidR="00D13422">
        <w:t>BER and NER</w:t>
      </w:r>
      <w:r w:rsidR="00753BB3">
        <w:t xml:space="preserve"> pathways can accumulate, increasing the rate of </w:t>
      </w:r>
      <w:r w:rsidR="00D13422">
        <w:t>AP sites</w:t>
      </w:r>
      <w:r w:rsidR="00D13422">
        <w:fldChar w:fldCharType="begin"/>
      </w:r>
      <w:r w:rsidR="004336A3">
        <w:instrText xml:space="preserve"> ADDIN ZOTERO_ITEM CSL_CITATION {"citationID":"AJ3uGFnE","properties":{"formattedCitation":"\\super 75\\nosupersub{}","plainCitation":"75","noteIndex":0},"citationItems":[{"id":563,"uris":["http://zotero.org/users/11265134/items/6DUMBTK7"],"itemData":{"id":563,"type":"article-journal","abstract":"Reactive oxygen species are a constant threat to DNA as they modify bases with the risk of disrupting genome function, inducing genome instability and mutation. Such risks are due to primary oxidative DNA damage and also mediated by the repair process. This leads to a delicate decision process for the cell as to whether to repair a damaged base at a specific genomic location or better leave it unrepaired. Persistent DNA damage can disrupt genome function, but on the other hand it can also contribute to gene regulation by serving as an epigenetic mark. When such processes are out of balance, pathophysiological conditions could get accelerated, because oxidative DNA damage and resulting mutagenic processes are tightly linked to ageing, inflammation, and the development of multiple age-related diseases, such as cancer and neurodegenerative disorders. Recent technological advancements and novel data analysis strategies have revealed that oxidative DNA damage, its repair, and related mutations distribute heterogeneously over the genome at multiple levels of resolution. The involved mechanisms act in the context of genome sequence, in interaction with genome function and chromatin. This review addresses what we currently know about the genome distribution of oxidative DNA damage, repair intermediates, and mutations. It will specifically focus on the various methodologies to measure oxidative DNA damage distribution and discuss the mechanistic conclusions derived from the different approaches. It will also address the consequences of oxidative DNA damage, specifically how it gives rise to mutations, genome instability, and how it can act as an epigenetic mark.","container-title":"Computational and Structural Biotechnology Journal","DOI":"10.1016/j.csbj.2019.12.013","ISSN":"2001-0370","journalAbbreviation":"Computational and Structural Biotechnology Journal","page":"207-219","source":"ScienceDirect","title":"The genomics of oxidative DNA damage, repair, and resulting mutagenesis","volume":"18","author":[{"family":"Poetsch","given":"Anna R."}],"issued":{"date-parts":[["2020",1,1]]}}}],"schema":"https://github.com/citation-style-language/schema/raw/master/csl-citation.json"} </w:instrText>
      </w:r>
      <w:r w:rsidR="00D13422">
        <w:fldChar w:fldCharType="separate"/>
      </w:r>
      <w:r w:rsidR="004336A3" w:rsidRPr="009C4856">
        <w:rPr>
          <w:rFonts w:ascii="Calibri" w:hAnsi="Calibri" w:cs="Calibri"/>
          <w:szCs w:val="24"/>
          <w:vertAlign w:val="superscript"/>
        </w:rPr>
        <w:t>75</w:t>
      </w:r>
      <w:r w:rsidR="00D13422">
        <w:fldChar w:fldCharType="end"/>
      </w:r>
      <w:r w:rsidR="00D13422">
        <w:t xml:space="preserve"> and </w:t>
      </w:r>
      <w:r w:rsidR="00753BB3">
        <w:t xml:space="preserve">DNA </w:t>
      </w:r>
      <w:r w:rsidR="00D13422">
        <w:t>SSBs</w:t>
      </w:r>
      <w:r w:rsidR="00753BB3">
        <w:t xml:space="preserve"> in the cell</w:t>
      </w:r>
      <w:r w:rsidR="00682E26">
        <w:t xml:space="preserve"> (Figure 2 – KE 1</w:t>
      </w:r>
      <w:r w:rsidR="00934EC6">
        <w:t>6</w:t>
      </w:r>
      <w:r w:rsidR="00682E26">
        <w:t>)</w:t>
      </w:r>
      <w:r w:rsidR="00B32BCB">
        <w:fldChar w:fldCharType="begin"/>
      </w:r>
      <w:r w:rsidR="009B7DE3">
        <w:instrText xml:space="preserve"> ADDIN ZOTERO_ITEM CSL_CITATION {"citationID":"TcEOlUyu","properties":{"formattedCitation":"\\super 100,120\\nosupersub{}","plainCitation":"100,120","noteIndex":0},"citationItems":[{"id":384,"uris":["http://zotero.org/users/11265134/items/A9CR8AJ5"],"itemData":{"id":384,"type":"article-journal","abstract":"Exposures that methylate DNA potently induce DNA double-strand breaks (DSBs) and chromosomal aberrations, which are thought to arise when damaged bases block DNA replication. Here, we demonstrate that DNA methylation damage causes DSB formation when replication interferes with base excision repair (BER), the predominant pathway for repairing methylated bases. We show that cells defective in the N-methylpurine DNA glycosylase, which fail to remove N-methylpurines from DNA and do not initiate BER, display strongly reduced levels of methylation-induced DSBs and chromosomal aberrations compared with wild-type cells. Also, cells unable to generate single-strand breaks (SSBs) at apurinic/apyrimidinic sites do not form DSBs immediately after methylation damage. In contrast, cells deficient in x-ray cross-complementing protein 1, DNA polymerase β, or poly (ADP-ribose) polymerase 1 activity, all of which fail to seal SSBs induced at apurinic/apyrimidinic sites, exhibit strongly elevated levels of methylation-induced DSBs and chromosomal aberrations. We propose that DSBs and chromosomal aberrations after treatment with N-alkylators arise when replication forks collide with SSBs generated during BER.","container-title":"Journal of Cell Biology","DOI":"10.1083/jcb.201312078","ISSN":"0021-9525","issue":"1","journalAbbreviation":"Journal of Cell Biology","page":"29-43","source":"Silverchair","title":"DNA breaks and chromosomal aberrations arise when replication meets base excision repair","volume":"206","author":[{"family":"Ensminger","given":"Michael"},{"family":"Iloff","given":"Lucie"},{"family":"Ebel","given":"Christian"},{"family":"Nikolova","given":"Teodora"},{"family":"Kaina","given":"Bernd"},{"family":"Lӧbrich","given":"Markus"}],"issued":{"date-parts":[["2014",6,30]]}},"label":"page"},{"id":387,"uris":["http://zotero.org/users/11265134/items/73Z433DZ"],"itemData":{"id":387,"type":"article-journal","abstract":"Single-strand breaks (SSBs) can occur in cells either directly, or indirectly following initiation of base excision repair (BER). SSBs generally have blocked termini lacking the conventional 5′-phosphate and 3′-hydroxyl groups and require further processing prior to DNA synthesis and ligation. XRCC1 is devoid of any known enzymatic activity, but it can physically interact with other proteins involved in all stages of the overlapping SSB repair and BER pathways, including those that conduct the rate-limiting end-tailoring, and in many cases can stimulate their enzymatic activities. XRCC1−/− mouse fibroblasts are most hypersensitive to agents that produce DNA lesions repaired by monofunctional glycosylase-initiated BER and that result in formation of indirect SSBs. A requirement for the deoxyribose phosphate lyase activity of DNA polymerase β (pol β) is specific to this pathway, whereas pol β is implicated in gap-filling during repair of many types of SSBs. Elevated levels of strand breaks, and diminished repair, have been demonstrated in MMS-treated XRCC1−/−, and to a lesser extent in pol β−/− cell lines, compared with wild-type cells. Thus a strong correlation is observed between cellular sensitivity to MMS and the ability of cells to repair MMS-induced damage. Exposure of wild-type and pol β−/− cells to an inhibitor of PARP activity dramatically potentiates MMS-induced cytotoxicity. XRCC1−/− cells are also sensitized by PARP inhibition demonstrating that PARP-mediated poly(ADP-ribosyl)ation plays a role in modulation of cytotoxicity beyond recruitment of XRCC1 to sites of DNA damage.","container-title":"Cell Research","DOI":"10.1038/cr.2008.7","ISSN":"1748-7838","issue":"1","journalAbbreviation":"Cell Res","language":"en","license":"2008 Shanghai Institutes for Biological Sciences, Chinese Academy of Sciences","note":"publisher: Nature Publishing Group","page":"48-63","source":"www.nature.com","title":"XRCC1 and DNA polymerase β in cellular protection against cytotoxic DNA single-strand breaks","volume":"18","author":[{"family":"Horton","given":"Julie K."},{"family":"Watson","given":"Mary"},{"family":"Stefanick","given":"Donna F."},{"family":"Shaughnessy","given":"Daniel T."},{"family":"Taylor","given":"Jack A."},{"family":"Wilson","given":"Samuel H."}],"issued":{"date-parts":[["2008",1]]}},"label":"act"}],"schema":"https://github.com/citation-style-language/schema/raw/master/csl-citation.json"} </w:instrText>
      </w:r>
      <w:r w:rsidR="00B32BCB">
        <w:fldChar w:fldCharType="separate"/>
      </w:r>
      <w:r w:rsidR="009B7DE3" w:rsidRPr="009B7DE3">
        <w:rPr>
          <w:rFonts w:ascii="Calibri" w:hAnsi="Calibri" w:cs="Calibri"/>
          <w:szCs w:val="24"/>
          <w:vertAlign w:val="superscript"/>
        </w:rPr>
        <w:t>100,120</w:t>
      </w:r>
      <w:r w:rsidR="00B32BCB">
        <w:fldChar w:fldCharType="end"/>
      </w:r>
      <w:r w:rsidR="00753BB3">
        <w:t xml:space="preserve">. </w:t>
      </w:r>
    </w:p>
    <w:p w14:paraId="0BC3CBD9" w14:textId="77777777" w:rsidR="00682E26" w:rsidRDefault="00682E26" w:rsidP="00036E64">
      <w:pPr>
        <w:spacing w:after="0" w:line="324" w:lineRule="auto"/>
        <w:jc w:val="both"/>
      </w:pPr>
    </w:p>
    <w:p w14:paraId="0F34A288" w14:textId="5F4926B8" w:rsidR="00604546" w:rsidRDefault="00E47AD6" w:rsidP="00036E64">
      <w:pPr>
        <w:spacing w:after="0" w:line="324" w:lineRule="auto"/>
        <w:jc w:val="both"/>
      </w:pPr>
      <w:r>
        <w:t xml:space="preserve">The accumulation of DNA </w:t>
      </w:r>
      <w:r w:rsidR="00E04DD0">
        <w:t>SSBs</w:t>
      </w:r>
      <w:r w:rsidR="00D13422">
        <w:t xml:space="preserve"> </w:t>
      </w:r>
      <w:r>
        <w:t xml:space="preserve">generates a </w:t>
      </w:r>
      <w:r w:rsidR="00F00570">
        <w:t xml:space="preserve">stressful situation for the cell and has different consequences, leading either to a gene mutation </w:t>
      </w:r>
      <w:r w:rsidR="00934EC6">
        <w:t xml:space="preserve">if incorrectly repaired </w:t>
      </w:r>
      <w:r w:rsidR="00F00570">
        <w:t>or, ultimately</w:t>
      </w:r>
      <w:r w:rsidR="00E04DD0">
        <w:t xml:space="preserve"> through the stall and collapse of the replication fork</w:t>
      </w:r>
      <w:r w:rsidR="00F00570">
        <w:t>,</w:t>
      </w:r>
      <w:r>
        <w:t xml:space="preserve"> to a DNA </w:t>
      </w:r>
      <w:r w:rsidR="00D13422">
        <w:t>DSB</w:t>
      </w:r>
      <w:r w:rsidR="00E04DD0">
        <w:fldChar w:fldCharType="begin"/>
      </w:r>
      <w:r w:rsidR="009B7DE3">
        <w:instrText xml:space="preserve"> ADDIN ZOTERO_ITEM CSL_CITATION {"citationID":"7kXgu5t6","properties":{"formattedCitation":"\\super 109\\nosupersub{}","plainCitation":"109","noteIndex":0},"citationItems":[{"id":403,"uris":["http://zotero.org/users/11265134/items/TW5I374L"],"itemData":{"id":403,"type":"article-journal","abstract":"Single-strand breaks (SSBs) are the most common lesions arising in cells, and chromosomal single-strand break repair (SSBR) is a rapid and efficient process.In addition to the rapid 'global' SSBR processes that remove SSBs throughout the genome and throughout interphase, there might be S-phase specific processes that operate at replication forks in conjunction with homologous recombination.Two of the proteins that repair damaged DNA termini during global SSBR (tyrosyl-DNA phosphodiesterase 1 and aprataxin) are mutated in the hereditary genetic diseases spinocerebellar ataxia with axonal neuropathy 1 (SCAN1) and ataxia oculomotor apraxia 1 (AOA1), implicating unrepaired SSBs in progressive neurological dysfunction.Whereas post-mitotic cells seem to be dependent on global SSBR for genetic integrity, proliferating cells can additionally use replication-coupled SSBR. This might explain why SCAN1 and AOA1 are not associated with elevated genetic instability and cancer.","container-title":"Nature Reviews Genetics","DOI":"10.1038/nrg2380","ISSN":"1471-0064","issue":"8","journalAbbreviation":"Nat Rev Genet","language":"en","license":"2008 Springer Nature Limited","note":"publisher: Nature Publishing Group","page":"619-631","source":"www.nature.com","title":"Single-strand break repair and genetic disease","volume":"9","author":[{"family":"Caldecott","given":"Keith W."}],"issued":{"date-parts":[["2008",8]]}}}],"schema":"https://github.com/citation-style-language/schema/raw/master/csl-citation.json"} </w:instrText>
      </w:r>
      <w:r w:rsidR="00E04DD0">
        <w:fldChar w:fldCharType="separate"/>
      </w:r>
      <w:r w:rsidR="009B7DE3" w:rsidRPr="009B7DE3">
        <w:rPr>
          <w:rFonts w:ascii="Calibri" w:hAnsi="Calibri" w:cs="Calibri"/>
          <w:szCs w:val="24"/>
          <w:vertAlign w:val="superscript"/>
        </w:rPr>
        <w:t>109</w:t>
      </w:r>
      <w:r w:rsidR="00E04DD0">
        <w:fldChar w:fldCharType="end"/>
      </w:r>
      <w:r>
        <w:t xml:space="preserve">. </w:t>
      </w:r>
      <w:r w:rsidR="00682E26">
        <w:t xml:space="preserve">To avoid such dramatic consequences, the cell will implement single-strand break repair processes. </w:t>
      </w:r>
    </w:p>
    <w:p w14:paraId="329E2BCC" w14:textId="77777777" w:rsidR="00274439" w:rsidRDefault="00274439" w:rsidP="00036E64">
      <w:pPr>
        <w:spacing w:after="0" w:line="324" w:lineRule="auto"/>
        <w:jc w:val="both"/>
      </w:pPr>
    </w:p>
    <w:p w14:paraId="73DEDE89" w14:textId="72E530DF" w:rsidR="00F00570" w:rsidRDefault="00F00570" w:rsidP="00D13422">
      <w:pPr>
        <w:pStyle w:val="Paragraphedeliste"/>
        <w:numPr>
          <w:ilvl w:val="0"/>
          <w:numId w:val="28"/>
        </w:numPr>
        <w:spacing w:after="0" w:line="324" w:lineRule="auto"/>
        <w:jc w:val="both"/>
      </w:pPr>
      <w:r w:rsidRPr="00D837D0">
        <w:rPr>
          <w:b/>
          <w:bCs/>
        </w:rPr>
        <w:lastRenderedPageBreak/>
        <w:t>The SSB repair (SSBR) pathways:</w:t>
      </w:r>
      <w:r>
        <w:t xml:space="preserve"> SSBR is predicted to act through different </w:t>
      </w:r>
      <w:r w:rsidR="00274439">
        <w:t>enzymatic complexes</w:t>
      </w:r>
      <w:r>
        <w:t xml:space="preserve"> depending the origin of the SSB</w:t>
      </w:r>
      <w:r w:rsidR="00D13422">
        <w:t xml:space="preserve"> (</w:t>
      </w:r>
      <w:r w:rsidR="00ED606B">
        <w:t>BER-intermediate SSB (indirect)</w:t>
      </w:r>
      <w:r w:rsidR="00D13422">
        <w:t xml:space="preserve">, </w:t>
      </w:r>
      <w:r w:rsidR="00D0503C">
        <w:t>NER-intermediate SSB (indirect)</w:t>
      </w:r>
      <w:r w:rsidR="00D13422">
        <w:t xml:space="preserve">, </w:t>
      </w:r>
      <w:r w:rsidR="00ED606B">
        <w:t>Sugar damage-caused SSB (direct)</w:t>
      </w:r>
      <w:r w:rsidR="00D13422">
        <w:t xml:space="preserve"> or </w:t>
      </w:r>
      <w:r w:rsidR="00ED606B">
        <w:t>TOP1-SSB (TOP1-DNA crosslink)</w:t>
      </w:r>
      <w:r w:rsidR="00D13422">
        <w:t>)</w:t>
      </w:r>
      <w:r w:rsidR="00ED606B">
        <w:t>,</w:t>
      </w:r>
      <w:r w:rsidR="00D13422">
        <w:t xml:space="preserve"> </w:t>
      </w:r>
      <w:r w:rsidR="00274439">
        <w:t>and the type of damaged termini, but similar steps are undergone</w:t>
      </w:r>
      <w:r w:rsidR="00ED606B">
        <w:t xml:space="preserve"> in SSBR processes.</w:t>
      </w:r>
    </w:p>
    <w:p w14:paraId="7373FC5E" w14:textId="21BCA409" w:rsidR="00302E21" w:rsidRDefault="00ED606B" w:rsidP="00ED606B">
      <w:pPr>
        <w:pStyle w:val="Paragraphedeliste"/>
        <w:numPr>
          <w:ilvl w:val="1"/>
          <w:numId w:val="28"/>
        </w:numPr>
        <w:spacing w:after="0" w:line="324" w:lineRule="auto"/>
        <w:jc w:val="both"/>
      </w:pPr>
      <w:r>
        <w:t xml:space="preserve">SSB detection: </w:t>
      </w:r>
      <w:r w:rsidR="00E46158">
        <w:t>The SSB sensor P</w:t>
      </w:r>
      <w:r w:rsidR="00E46158" w:rsidRPr="00E46158">
        <w:t xml:space="preserve">rotein </w:t>
      </w:r>
      <w:r w:rsidR="00E46158">
        <w:t>P</w:t>
      </w:r>
      <w:r w:rsidR="00E46158" w:rsidRPr="00E46158">
        <w:t>oly(ADP-</w:t>
      </w:r>
      <w:r w:rsidR="00E46158">
        <w:t>R</w:t>
      </w:r>
      <w:r w:rsidR="00E46158" w:rsidRPr="00E46158">
        <w:t xml:space="preserve">ibose) </w:t>
      </w:r>
      <w:r w:rsidR="00E46158">
        <w:t>P</w:t>
      </w:r>
      <w:r w:rsidR="00E46158" w:rsidRPr="00E46158">
        <w:t>olymerase 1</w:t>
      </w:r>
      <w:r w:rsidR="00E46158">
        <w:t xml:space="preserve"> (</w:t>
      </w:r>
      <w:r w:rsidRPr="00ED606B">
        <w:t>PARP1</w:t>
      </w:r>
      <w:r w:rsidR="00E46158">
        <w:t>)</w:t>
      </w:r>
      <w:r w:rsidRPr="00ED606B">
        <w:t xml:space="preserve"> plays a crucial role in detecting and repairing single-strand breaks (SSBs) in DNA, primarily through its rapid binding and activation at breaks. PARP1 accelerates chromosomal SSB</w:t>
      </w:r>
      <w:r w:rsidR="00E46158">
        <w:t>R</w:t>
      </w:r>
      <w:r w:rsidRPr="00ED606B">
        <w:t xml:space="preserve"> by stabilizing repair protein complexes, such as XRCC1, and regulating chromatin structure. Additionally, it may facilitate DNA gap filling, energy generation for ligation, and suppression of illegitimate recombination. The exact roles of PARP1 in certain contexts, such as base excision repair (BER) and abortive TOP1–SSBs, remain unclear.</w:t>
      </w:r>
    </w:p>
    <w:p w14:paraId="74BE245B" w14:textId="627F4EAF" w:rsidR="00ED606B" w:rsidRDefault="00ED606B" w:rsidP="00ED606B">
      <w:pPr>
        <w:pStyle w:val="Paragraphedeliste"/>
        <w:numPr>
          <w:ilvl w:val="1"/>
          <w:numId w:val="28"/>
        </w:numPr>
        <w:spacing w:after="0" w:line="324" w:lineRule="auto"/>
        <w:jc w:val="both"/>
      </w:pPr>
      <w:r>
        <w:lastRenderedPageBreak/>
        <w:t>DNA end processing:</w:t>
      </w:r>
      <w:r w:rsidR="00E46158">
        <w:t xml:space="preserve"> </w:t>
      </w:r>
      <w:r w:rsidR="00E46158" w:rsidRPr="00E46158">
        <w:t>Once a SSB has been detected, it undergoes end processing. Damaged termini that are present at BER-induced SSBs are repaired by APE1, DNA polymerase (Pol) β, polynucleotide kinase 3′-phosphatase (PNKP) and aprataxin (APTX). Direct sugar-damage induced SSBs are repaired by APE1, PNKP and APTX. TOP1–SSBs are repaired by tyrosyl-DNA phosphodiesterase 1 (TDP1), which removes TOP1 from the 3′-termini at such breaks, resulting in a 3′-phosphate terminus, which is subsequently repaired by PNKP. PNKP also repairs the 5′-hydroxy termini present at TOP1 breaks.</w:t>
      </w:r>
    </w:p>
    <w:p w14:paraId="7DD7C336" w14:textId="20A96DEE" w:rsidR="00ED606B" w:rsidRDefault="00ED606B" w:rsidP="00ED606B">
      <w:pPr>
        <w:pStyle w:val="Paragraphedeliste"/>
        <w:numPr>
          <w:ilvl w:val="1"/>
          <w:numId w:val="28"/>
        </w:numPr>
        <w:spacing w:after="0" w:line="324" w:lineRule="auto"/>
        <w:jc w:val="both"/>
      </w:pPr>
      <w:r>
        <w:t>DNA gap filling:</w:t>
      </w:r>
      <w:r w:rsidR="00E46158">
        <w:t xml:space="preserve"> </w:t>
      </w:r>
      <w:r w:rsidR="00E46158" w:rsidRPr="00E46158">
        <w:t>At most SSBs, Pol β inserts the missing nucleotide, this is termed short-patch repair</w:t>
      </w:r>
      <w:r w:rsidR="00E46158">
        <w:t xml:space="preserve"> (common with SP-BER)</w:t>
      </w:r>
      <w:r w:rsidR="00E46158" w:rsidRPr="00E46158">
        <w:t xml:space="preserve">. Under some circumstances (for example, an oxidized deoxyribose phosphate that cannot be repaired by Pol β) gap filling might be extended for </w:t>
      </w:r>
      <w:r w:rsidR="00E46158" w:rsidRPr="00E46158">
        <w:rPr>
          <w:rFonts w:ascii="Cambria Math" w:hAnsi="Cambria Math" w:cs="Cambria Math"/>
        </w:rPr>
        <w:t>∼</w:t>
      </w:r>
      <w:r w:rsidR="00E46158" w:rsidRPr="00E46158">
        <w:t>2</w:t>
      </w:r>
      <w:r w:rsidR="00E46158" w:rsidRPr="00E46158">
        <w:rPr>
          <w:rFonts w:ascii="Calibri" w:hAnsi="Calibri" w:cs="Calibri"/>
        </w:rPr>
        <w:t>–</w:t>
      </w:r>
      <w:r w:rsidR="00E46158" w:rsidRPr="00E46158">
        <w:t xml:space="preserve">12 nucleotides (nt) by Pol </w:t>
      </w:r>
      <w:r w:rsidR="00E46158" w:rsidRPr="00E46158">
        <w:rPr>
          <w:rFonts w:ascii="Calibri" w:hAnsi="Calibri" w:cs="Calibri"/>
        </w:rPr>
        <w:t>β</w:t>
      </w:r>
      <w:r w:rsidR="00E46158" w:rsidRPr="00E46158">
        <w:t>, Pol δ and/or Pol ε (Pol δ/ε) during long-patch repair</w:t>
      </w:r>
      <w:r w:rsidR="00E46158">
        <w:t xml:space="preserve"> (common with LP-BER)</w:t>
      </w:r>
      <w:r w:rsidR="00E46158" w:rsidRPr="00E46158">
        <w:t xml:space="preserve">. Note that long-patch repair involves the removal of the damaged 5′-terminus as a flap of two or more displaced </w:t>
      </w:r>
      <w:r w:rsidR="00E46158" w:rsidRPr="00E46158">
        <w:lastRenderedPageBreak/>
        <w:t>nucleotides by flap endonuclease 1 (FEN1), in a reaction stimulated by PARP1 and proliferating cell nuclear antigen (PCNA). Also note that TOP1–SSBs are DNA nicks and therefore might not require a gap-filling step.</w:t>
      </w:r>
    </w:p>
    <w:p w14:paraId="54BDF86F" w14:textId="7FD87F25" w:rsidR="00ED606B" w:rsidRDefault="00ED606B" w:rsidP="00ED606B">
      <w:pPr>
        <w:pStyle w:val="Paragraphedeliste"/>
        <w:numPr>
          <w:ilvl w:val="1"/>
          <w:numId w:val="28"/>
        </w:numPr>
        <w:spacing w:after="0" w:line="324" w:lineRule="auto"/>
        <w:jc w:val="both"/>
      </w:pPr>
      <w:r>
        <w:t xml:space="preserve">DNA Ligation: </w:t>
      </w:r>
      <w:r w:rsidR="00E46158">
        <w:t>Short-patch repair is primarily completed by DNA ligase 3 (LIG3), while long-patch repair is predominantly carried out by DNA ligase 1 (LIG1)</w:t>
      </w:r>
      <w:r w:rsidR="00207883">
        <w:fldChar w:fldCharType="begin"/>
      </w:r>
      <w:r w:rsidR="009B7DE3">
        <w:instrText xml:space="preserve"> ADDIN ZOTERO_ITEM CSL_CITATION {"citationID":"usAFOOfg","properties":{"formattedCitation":"\\super 109\\nosupersub{}","plainCitation":"109","noteIndex":0},"citationItems":[{"id":403,"uris":["http://zotero.org/users/11265134/items/TW5I374L"],"itemData":{"id":403,"type":"article-journal","abstract":"Single-strand breaks (SSBs) are the most common lesions arising in cells, and chromosomal single-strand break repair (SSBR) is a rapid and efficient process.In addition to the rapid 'global' SSBR processes that remove SSBs throughout the genome and throughout interphase, there might be S-phase specific processes that operate at replication forks in conjunction with homologous recombination.Two of the proteins that repair damaged DNA termini during global SSBR (tyrosyl-DNA phosphodiesterase 1 and aprataxin) are mutated in the hereditary genetic diseases spinocerebellar ataxia with axonal neuropathy 1 (SCAN1) and ataxia oculomotor apraxia 1 (AOA1), implicating unrepaired SSBs in progressive neurological dysfunction.Whereas post-mitotic cells seem to be dependent on global SSBR for genetic integrity, proliferating cells can additionally use replication-coupled SSBR. This might explain why SCAN1 and AOA1 are not associated with elevated genetic instability and cancer.","container-title":"Nature Reviews Genetics","DOI":"10.1038/nrg2380","ISSN":"1471-0064","issue":"8","journalAbbreviation":"Nat Rev Genet","language":"en","license":"2008 Springer Nature Limited","note":"publisher: Nature Publishing Group","page":"619-631","source":"www.nature.com","title":"Single-strand break repair and genetic disease","volume":"9","author":[{"family":"Caldecott","given":"Keith W."}],"issued":{"date-parts":[["2008",8]]}}}],"schema":"https://github.com/citation-style-language/schema/raw/master/csl-citation.json"} </w:instrText>
      </w:r>
      <w:r w:rsidR="00207883">
        <w:fldChar w:fldCharType="separate"/>
      </w:r>
      <w:r w:rsidR="009B7DE3" w:rsidRPr="009B7DE3">
        <w:rPr>
          <w:rFonts w:ascii="Calibri" w:hAnsi="Calibri" w:cs="Calibri"/>
          <w:szCs w:val="24"/>
          <w:vertAlign w:val="superscript"/>
        </w:rPr>
        <w:t>109</w:t>
      </w:r>
      <w:r w:rsidR="00207883">
        <w:fldChar w:fldCharType="end"/>
      </w:r>
      <w:r w:rsidR="00E46158">
        <w:t>.</w:t>
      </w:r>
    </w:p>
    <w:p w14:paraId="42D3D9B8" w14:textId="77777777" w:rsidR="00302E21" w:rsidRDefault="00302E21" w:rsidP="00302E21">
      <w:pPr>
        <w:pStyle w:val="Paragraphedeliste"/>
        <w:spacing w:after="0" w:line="324" w:lineRule="auto"/>
        <w:ind w:left="1440"/>
        <w:jc w:val="both"/>
      </w:pPr>
    </w:p>
    <w:p w14:paraId="257DB83E" w14:textId="1D39CD30" w:rsidR="008F205D" w:rsidRPr="00404685" w:rsidRDefault="00D036D2" w:rsidP="008F205D">
      <w:pPr>
        <w:pStyle w:val="Paragraphedeliste"/>
        <w:numPr>
          <w:ilvl w:val="0"/>
          <w:numId w:val="28"/>
        </w:numPr>
        <w:spacing w:after="0" w:line="324" w:lineRule="auto"/>
        <w:jc w:val="both"/>
        <w:rPr>
          <w:rStyle w:val="normaltextrun"/>
        </w:rPr>
      </w:pPr>
      <w:r w:rsidRPr="008F205D">
        <w:rPr>
          <w:b/>
          <w:bCs/>
        </w:rPr>
        <w:t>“Inadequate DNA repair (SSBR)”</w:t>
      </w:r>
      <w:r>
        <w:t xml:space="preserve"> (Figure 2 – KE 1</w:t>
      </w:r>
      <w:r w:rsidR="00934EC6">
        <w:t>7</w:t>
      </w:r>
      <w:r>
        <w:t>)</w:t>
      </w:r>
      <w:r w:rsidR="008F205D">
        <w:t>: The incorrect repair of SSBs</w:t>
      </w:r>
      <w:r>
        <w:t xml:space="preserve">, a sub-KE of KE 155 </w:t>
      </w:r>
      <w:r w:rsidRPr="008F205D">
        <w:rPr>
          <w:b/>
          <w:bCs/>
        </w:rPr>
        <w:t xml:space="preserve">“Inadequate, DNA repair” </w:t>
      </w:r>
      <w:r w:rsidR="00690AA3" w:rsidRPr="00690AA3">
        <w:t>(</w:t>
      </w:r>
      <w:hyperlink r:id="rId31" w:history="1">
        <w:r w:rsidR="00690AA3" w:rsidRPr="00690AA3">
          <w:rPr>
            <w:rStyle w:val="Lienhypertexte"/>
          </w:rPr>
          <w:t>https://aopwiki.org/events/155</w:t>
        </w:r>
      </w:hyperlink>
      <w:r w:rsidR="00690AA3">
        <w:t xml:space="preserve">), </w:t>
      </w:r>
      <w:r w:rsidR="008F205D">
        <w:t>may</w:t>
      </w:r>
      <w:r>
        <w:t xml:space="preserve"> </w:t>
      </w:r>
      <w:r w:rsidR="009A1A30">
        <w:t>lead to gene mutations</w:t>
      </w:r>
      <w:r>
        <w:t xml:space="preserve"> (Figure 2 – AO 2</w:t>
      </w:r>
      <w:r w:rsidR="00934EC6">
        <w:t>2</w:t>
      </w:r>
      <w:r>
        <w:t>)</w:t>
      </w:r>
      <w:r w:rsidR="009A1A30">
        <w:t>,</w:t>
      </w:r>
      <w:r w:rsidR="00622E26">
        <w:t xml:space="preserve"> </w:t>
      </w:r>
      <w:r w:rsidR="00934EC6">
        <w:t xml:space="preserve">i.e. </w:t>
      </w:r>
      <w:r w:rsidR="009A1A30">
        <w:t>point mutation</w:t>
      </w:r>
      <w:r w:rsidR="00690AA3">
        <w:t xml:space="preserve">s </w:t>
      </w:r>
      <w:r w:rsidR="009A1A30">
        <w:t xml:space="preserve">or indels depending the </w:t>
      </w:r>
      <w:r w:rsidR="00A15757">
        <w:t>length</w:t>
      </w:r>
      <w:r w:rsidR="009A1A30">
        <w:t xml:space="preserve"> of the naked patch, </w:t>
      </w:r>
      <w:r>
        <w:t>or</w:t>
      </w:r>
      <w:r w:rsidR="009A1A30">
        <w:t xml:space="preserve"> c</w:t>
      </w:r>
      <w:r>
        <w:t>ould</w:t>
      </w:r>
      <w:r w:rsidR="009A1A30">
        <w:t xml:space="preserve"> also block the replication fork</w:t>
      </w:r>
      <w:r>
        <w:t xml:space="preserve"> (Figure 2 – KE </w:t>
      </w:r>
      <w:r w:rsidR="00934EC6">
        <w:t>18</w:t>
      </w:r>
      <w:r>
        <w:t>)</w:t>
      </w:r>
      <w:r w:rsidR="009A1A30">
        <w:t xml:space="preserve">. </w:t>
      </w:r>
      <w:r w:rsidR="00934EC6" w:rsidRPr="008F205D">
        <w:rPr>
          <w:rStyle w:val="normaltextrun"/>
          <w:rFonts w:ascii="Calibri" w:hAnsi="Calibri" w:cs="Calibri"/>
          <w:color w:val="000000"/>
          <w:shd w:val="clear" w:color="auto" w:fill="FFFFFF"/>
        </w:rPr>
        <w:t>A</w:t>
      </w:r>
      <w:r w:rsidR="008F205D" w:rsidRPr="008F205D">
        <w:rPr>
          <w:rStyle w:val="normaltextrun"/>
          <w:rFonts w:ascii="Calibri" w:hAnsi="Calibri" w:cs="Calibri"/>
          <w:color w:val="000000"/>
          <w:shd w:val="clear" w:color="auto" w:fill="FFFFFF"/>
        </w:rPr>
        <w:t>dditionally</w:t>
      </w:r>
      <w:r w:rsidR="00934EC6" w:rsidRPr="008F205D">
        <w:rPr>
          <w:rStyle w:val="normaltextrun"/>
          <w:rFonts w:ascii="Calibri" w:hAnsi="Calibri" w:cs="Calibri"/>
          <w:color w:val="000000"/>
          <w:shd w:val="clear" w:color="auto" w:fill="FFFFFF"/>
        </w:rPr>
        <w:t>, c</w:t>
      </w:r>
      <w:r w:rsidR="00CB349E" w:rsidRPr="008F205D">
        <w:rPr>
          <w:rStyle w:val="normaltextrun"/>
          <w:rFonts w:ascii="Calibri" w:hAnsi="Calibri" w:cs="Calibri"/>
          <w:color w:val="000000"/>
          <w:shd w:val="clear" w:color="auto" w:fill="FFFFFF"/>
        </w:rPr>
        <w:t xml:space="preserve">lusters of  </w:t>
      </w:r>
      <w:r w:rsidR="00B925A0" w:rsidRPr="008F205D">
        <w:rPr>
          <w:rStyle w:val="normaltextrun"/>
          <w:rFonts w:ascii="Calibri" w:hAnsi="Calibri" w:cs="Calibri"/>
          <w:color w:val="000000"/>
          <w:shd w:val="clear" w:color="auto" w:fill="FFFFFF"/>
        </w:rPr>
        <w:t>SSBs</w:t>
      </w:r>
      <w:r w:rsidR="00CB349E" w:rsidRPr="008F205D">
        <w:rPr>
          <w:rStyle w:val="normaltextrun"/>
          <w:rFonts w:ascii="Calibri" w:hAnsi="Calibri" w:cs="Calibri"/>
          <w:color w:val="000000"/>
          <w:shd w:val="clear" w:color="auto" w:fill="FFFFFF"/>
        </w:rPr>
        <w:t xml:space="preserve"> on opposite DNA strands</w:t>
      </w:r>
      <w:r w:rsidR="00B925A0" w:rsidRPr="008F205D">
        <w:rPr>
          <w:rStyle w:val="normaltextrun"/>
          <w:rFonts w:ascii="Calibri" w:hAnsi="Calibri" w:cs="Calibri"/>
          <w:color w:val="000000"/>
          <w:shd w:val="clear" w:color="auto" w:fill="FFFFFF"/>
        </w:rPr>
        <w:t xml:space="preserve"> (KE 1</w:t>
      </w:r>
      <w:r w:rsidR="00934EC6" w:rsidRPr="008F205D">
        <w:rPr>
          <w:rStyle w:val="normaltextrun"/>
          <w:rFonts w:ascii="Calibri" w:hAnsi="Calibri" w:cs="Calibri"/>
          <w:color w:val="000000"/>
          <w:shd w:val="clear" w:color="auto" w:fill="FFFFFF"/>
        </w:rPr>
        <w:t>6</w:t>
      </w:r>
      <w:r w:rsidR="00B925A0" w:rsidRPr="008F205D">
        <w:rPr>
          <w:rStyle w:val="normaltextrun"/>
          <w:rFonts w:ascii="Calibri" w:hAnsi="Calibri" w:cs="Calibri"/>
          <w:color w:val="000000"/>
          <w:shd w:val="clear" w:color="auto" w:fill="FFFFFF"/>
        </w:rPr>
        <w:t>)</w:t>
      </w:r>
      <w:r w:rsidRPr="008F205D">
        <w:rPr>
          <w:rStyle w:val="normaltextrun"/>
          <w:rFonts w:ascii="Calibri" w:hAnsi="Calibri" w:cs="Calibri"/>
          <w:color w:val="000000"/>
          <w:shd w:val="clear" w:color="auto" w:fill="FFFFFF"/>
        </w:rPr>
        <w:t>, the collapse of a stalled replication fork or direct strand breakage by deposition of energy</w:t>
      </w:r>
      <w:r w:rsidR="00CB349E" w:rsidRPr="008F205D">
        <w:rPr>
          <w:rStyle w:val="normaltextrun"/>
          <w:rFonts w:ascii="Calibri" w:hAnsi="Calibri" w:cs="Calibri"/>
          <w:color w:val="000000"/>
          <w:shd w:val="clear" w:color="auto" w:fill="FFFFFF"/>
        </w:rPr>
        <w:t xml:space="preserve"> </w:t>
      </w:r>
      <w:r w:rsidR="00B925A0" w:rsidRPr="008F205D">
        <w:rPr>
          <w:rStyle w:val="normaltextrun"/>
          <w:rFonts w:ascii="Calibri" w:hAnsi="Calibri" w:cs="Calibri"/>
          <w:color w:val="000000"/>
          <w:shd w:val="clear" w:color="auto" w:fill="FFFFFF"/>
        </w:rPr>
        <w:t xml:space="preserve">(MIE 10) </w:t>
      </w:r>
      <w:r w:rsidR="00CB349E" w:rsidRPr="008F205D">
        <w:rPr>
          <w:rStyle w:val="normaltextrun"/>
          <w:rFonts w:ascii="Calibri" w:hAnsi="Calibri" w:cs="Calibri"/>
          <w:color w:val="000000"/>
          <w:shd w:val="clear" w:color="auto" w:fill="FFFFFF"/>
        </w:rPr>
        <w:t xml:space="preserve">may lead to the formation of </w:t>
      </w:r>
      <w:r w:rsidR="00690AA3" w:rsidRPr="008F205D">
        <w:rPr>
          <w:rStyle w:val="normaltextrun"/>
          <w:rFonts w:ascii="Calibri" w:hAnsi="Calibri" w:cs="Calibri"/>
          <w:color w:val="000000"/>
          <w:shd w:val="clear" w:color="auto" w:fill="FFFFFF"/>
        </w:rPr>
        <w:t xml:space="preserve">DNA </w:t>
      </w:r>
      <w:r w:rsidR="00B925A0" w:rsidRPr="008F205D">
        <w:rPr>
          <w:rStyle w:val="normaltextrun"/>
          <w:rFonts w:ascii="Calibri" w:hAnsi="Calibri" w:cs="Calibri"/>
          <w:color w:val="000000"/>
          <w:shd w:val="clear" w:color="auto" w:fill="FFFFFF"/>
        </w:rPr>
        <w:t>DSBs (</w:t>
      </w:r>
      <w:hyperlink r:id="rId32" w:history="1">
        <w:r w:rsidR="008F205D" w:rsidRPr="005219EB">
          <w:rPr>
            <w:rStyle w:val="Lienhypertexte"/>
            <w:rFonts w:ascii="Calibri" w:hAnsi="Calibri" w:cs="Calibri"/>
            <w:shd w:val="clear" w:color="auto" w:fill="FFFFFF"/>
          </w:rPr>
          <w:t>https://aopwiki.org/relationships/1911</w:t>
        </w:r>
      </w:hyperlink>
      <w:r w:rsidR="008F205D">
        <w:rPr>
          <w:rStyle w:val="normaltextrun"/>
          <w:rFonts w:ascii="Calibri" w:hAnsi="Calibri" w:cs="Calibri"/>
          <w:color w:val="000000"/>
          <w:shd w:val="clear" w:color="auto" w:fill="FFFFFF"/>
        </w:rPr>
        <w:t xml:space="preserve">, Figure2 – </w:t>
      </w:r>
      <w:r w:rsidR="00B925A0" w:rsidRPr="008F205D">
        <w:rPr>
          <w:rStyle w:val="normaltextrun"/>
          <w:rFonts w:ascii="Calibri" w:hAnsi="Calibri" w:cs="Calibri"/>
          <w:color w:val="000000"/>
          <w:shd w:val="clear" w:color="auto" w:fill="FFFFFF"/>
        </w:rPr>
        <w:t>KE 2</w:t>
      </w:r>
      <w:r w:rsidR="008F205D" w:rsidRPr="008F205D">
        <w:rPr>
          <w:rStyle w:val="normaltextrun"/>
          <w:rFonts w:ascii="Calibri" w:hAnsi="Calibri" w:cs="Calibri"/>
          <w:color w:val="000000"/>
          <w:shd w:val="clear" w:color="auto" w:fill="FFFFFF"/>
        </w:rPr>
        <w:t>0</w:t>
      </w:r>
      <w:r w:rsidR="00B925A0" w:rsidRPr="008F205D">
        <w:rPr>
          <w:rStyle w:val="normaltextrun"/>
          <w:rFonts w:ascii="Calibri" w:hAnsi="Calibri" w:cs="Calibri"/>
          <w:color w:val="000000"/>
          <w:shd w:val="clear" w:color="auto" w:fill="FFFFFF"/>
        </w:rPr>
        <w:t>)</w:t>
      </w:r>
      <w:r w:rsidR="008F205D">
        <w:rPr>
          <w:rStyle w:val="normaltextrun"/>
          <w:rFonts w:ascii="Calibri" w:hAnsi="Calibri" w:cs="Calibri"/>
          <w:color w:val="000000"/>
          <w:shd w:val="clear" w:color="auto" w:fill="FFFFFF"/>
        </w:rPr>
        <w:fldChar w:fldCharType="begin"/>
      </w:r>
      <w:r w:rsidR="009B7DE3">
        <w:rPr>
          <w:rStyle w:val="normaltextrun"/>
          <w:rFonts w:ascii="Calibri" w:hAnsi="Calibri" w:cs="Calibri"/>
          <w:color w:val="000000"/>
          <w:shd w:val="clear" w:color="auto" w:fill="FFFFFF"/>
        </w:rPr>
        <w:instrText xml:space="preserve"> ADDIN ZOTERO_ITEM CSL_CITATION {"citationID":"j3paYTOl","properties":{"formattedCitation":"\\super 105,109\\nosupersub{}","plainCitation":"105,109","noteIndex":0},"citationItems":[{"id":320,"uris":["http://zotero.org/users/11265134/items/JA8LF9T5"],"itemData":{"id":320,"type":"article-journal","abstract":"&lt;h2&gt;Abstract&lt;/h2&gt;&lt;p&gt;DNA single-strand breaks (SSBs) are among the most common lesions arising in human cells, with tens to hundreds of thousands arising in each cell, each day. Cells have efficient mechanisms for the sensing and repair of these ubiquitous DNA lesions, but the failure of these processes to rapidly remove SSBs can lead to a variety of pathogenic outcomes. The threat posed by unrepaired SSBs is illustrated by the existence of at least six genetic diseases in which SSB repair (SSBR) is defective, all of which are characterised by neurodevelopmental and/or neurodegenerative pathology. Here, I review current understanding of how SSBs arise and impact on critical molecular processes, such as DNA replication and gene transcription, and their links to human disease.&lt;/p&gt;","container-title":"Trends in Biochemical Sciences","DOI":"10.1016/j.tibs.2023.11.001","ISSN":"0968-0004","issue":"1","journalAbbreviation":"Trends in Biochemical Sciences","language":"English","note":"publisher: Elsevier\nPMID: 38040599","page":"68-78","source":"www.cell.com","title":"Causes and consequences of DNA single-strand breaks","volume":"49","author":[{"family":"Caldecott","given":"Keith W."}],"issued":{"date-parts":[["2024",1,1]]}}},{"id":403,"uris":["http://zotero.org/users/11265134/items/TW5I374L"],"itemData":{"id":403,"type":"article-journal","abstract":"Single-strand breaks (SSBs) are the most common lesions arising in cells, and chromosomal single-strand break repair (SSBR) is a rapid and efficient process.In addition to the rapid 'global' SSBR processes that remove SSBs throughout the genome and throughout interphase, there might be S-phase specific processes that operate at replication forks in conjunction with homologous recombination.Two of the proteins that repair damaged DNA termini during global SSBR (tyrosyl-DNA phosphodiesterase 1 and aprataxin) are mutated in the hereditary genetic diseases spinocerebellar ataxia with axonal neuropathy 1 (SCAN1) and ataxia oculomotor apraxia 1 (AOA1), implicating unrepaired SSBs in progressive neurological dysfunction.Whereas post-mitotic cells seem to be dependent on global SSBR for genetic integrity, proliferating cells can additionally use replication-coupled SSBR. This might explain why SCAN1 and AOA1 are not associated with elevated genetic instability and cancer.","container-title":"Nature Reviews Genetics","DOI":"10.1038/nrg2380","ISSN":"1471-0064","issue":"8","journalAbbreviation":"Nat Rev Genet","language":"en","license":"2008 Springer Nature Limited","note":"publisher: Nature Publishing Group","page":"619-631","source":"www.nature.com","title":"Single-strand break repair and genetic disease","volume":"9","author":[{"family":"Caldecott","given":"Keith W."}],"issued":{"date-parts":[["2008",8]]}}}],"schema":"https://github.com/citation-style-language/schema/raw/master/csl-citation.json"} </w:instrText>
      </w:r>
      <w:r w:rsidR="008F205D">
        <w:rPr>
          <w:rStyle w:val="normaltextrun"/>
          <w:rFonts w:ascii="Calibri" w:hAnsi="Calibri" w:cs="Calibri"/>
          <w:color w:val="000000"/>
          <w:shd w:val="clear" w:color="auto" w:fill="FFFFFF"/>
        </w:rPr>
        <w:fldChar w:fldCharType="separate"/>
      </w:r>
      <w:r w:rsidR="009B7DE3" w:rsidRPr="009B7DE3">
        <w:rPr>
          <w:rFonts w:ascii="Calibri" w:hAnsi="Calibri" w:cs="Calibri"/>
          <w:szCs w:val="24"/>
          <w:vertAlign w:val="superscript"/>
        </w:rPr>
        <w:t>105,109</w:t>
      </w:r>
      <w:r w:rsidR="008F205D">
        <w:rPr>
          <w:rStyle w:val="normaltextrun"/>
          <w:rFonts w:ascii="Calibri" w:hAnsi="Calibri" w:cs="Calibri"/>
          <w:color w:val="000000"/>
          <w:shd w:val="clear" w:color="auto" w:fill="FFFFFF"/>
        </w:rPr>
        <w:fldChar w:fldCharType="end"/>
      </w:r>
      <w:r w:rsidR="008F205D">
        <w:rPr>
          <w:rStyle w:val="normaltextrun"/>
          <w:rFonts w:ascii="Calibri" w:hAnsi="Calibri" w:cs="Calibri"/>
          <w:color w:val="000000"/>
          <w:shd w:val="clear" w:color="auto" w:fill="FFFFFF"/>
        </w:rPr>
        <w:t>.</w:t>
      </w:r>
      <w:r w:rsidRPr="008F205D">
        <w:rPr>
          <w:rStyle w:val="normaltextrun"/>
          <w:rFonts w:ascii="Calibri" w:hAnsi="Calibri" w:cs="Calibri"/>
          <w:color w:val="000000"/>
          <w:shd w:val="clear" w:color="auto" w:fill="FFFFFF"/>
        </w:rPr>
        <w:t xml:space="preserve"> </w:t>
      </w:r>
    </w:p>
    <w:p w14:paraId="10141DCF" w14:textId="77777777" w:rsidR="00404685" w:rsidRPr="008F205D" w:rsidRDefault="00404685" w:rsidP="00404685">
      <w:pPr>
        <w:spacing w:after="0" w:line="324" w:lineRule="auto"/>
        <w:jc w:val="both"/>
        <w:rPr>
          <w:rStyle w:val="normaltextrun"/>
        </w:rPr>
      </w:pPr>
    </w:p>
    <w:p w14:paraId="40C4164A" w14:textId="260CBC4D" w:rsidR="00B925A0" w:rsidRDefault="00404685" w:rsidP="00036E64">
      <w:pPr>
        <w:spacing w:after="0" w:line="324" w:lineRule="auto"/>
        <w:jc w:val="both"/>
      </w:pPr>
      <w:r>
        <w:rPr>
          <w:rStyle w:val="normaltextrun"/>
          <w:rFonts w:ascii="Calibri" w:hAnsi="Calibri" w:cs="Calibri"/>
          <w:color w:val="000000"/>
          <w:shd w:val="clear" w:color="auto" w:fill="FFFFFF"/>
        </w:rPr>
        <w:t>DNA DSBs</w:t>
      </w:r>
      <w:r w:rsidR="00D036D2" w:rsidRPr="008F205D">
        <w:rPr>
          <w:rStyle w:val="normaltextrun"/>
          <w:rFonts w:ascii="Calibri" w:hAnsi="Calibri" w:cs="Calibri"/>
          <w:color w:val="000000"/>
          <w:shd w:val="clear" w:color="auto" w:fill="FFFFFF"/>
        </w:rPr>
        <w:t xml:space="preserve"> </w:t>
      </w:r>
      <w:r w:rsidR="00CB349E" w:rsidRPr="008F205D">
        <w:rPr>
          <w:rStyle w:val="normaltextrun"/>
          <w:rFonts w:ascii="Calibri" w:hAnsi="Calibri" w:cs="Calibri"/>
          <w:color w:val="000000"/>
          <w:shd w:val="clear" w:color="auto" w:fill="FFFFFF"/>
        </w:rPr>
        <w:t xml:space="preserve">are repaired by </w:t>
      </w:r>
      <w:r w:rsidR="00400589" w:rsidRPr="008F205D">
        <w:rPr>
          <w:rStyle w:val="normaltextrun"/>
          <w:rFonts w:ascii="Calibri" w:hAnsi="Calibri" w:cs="Calibri"/>
          <w:color w:val="000000"/>
          <w:shd w:val="clear" w:color="auto" w:fill="FFFFFF"/>
        </w:rPr>
        <w:t xml:space="preserve">two most prominent </w:t>
      </w:r>
      <w:r w:rsidR="00CB349E" w:rsidRPr="008F205D">
        <w:rPr>
          <w:rStyle w:val="normaltextrun"/>
          <w:rFonts w:ascii="Calibri" w:hAnsi="Calibri" w:cs="Calibri"/>
          <w:color w:val="000000"/>
          <w:shd w:val="clear" w:color="auto" w:fill="FFFFFF"/>
        </w:rPr>
        <w:t>processes described below:</w:t>
      </w:r>
    </w:p>
    <w:p w14:paraId="17F67A35" w14:textId="31DEF88B" w:rsidR="00BB400C" w:rsidRDefault="00A61894" w:rsidP="00BB400C">
      <w:pPr>
        <w:pStyle w:val="Paragraphedeliste"/>
        <w:numPr>
          <w:ilvl w:val="0"/>
          <w:numId w:val="28"/>
        </w:numPr>
        <w:spacing w:after="0" w:line="324" w:lineRule="auto"/>
        <w:jc w:val="both"/>
      </w:pPr>
      <w:r w:rsidRPr="00D837D0">
        <w:rPr>
          <w:b/>
          <w:bCs/>
        </w:rPr>
        <w:t>The homologous recombination (HR)</w:t>
      </w:r>
      <w:r w:rsidR="00FF5D55" w:rsidRPr="00D837D0">
        <w:rPr>
          <w:b/>
          <w:bCs/>
        </w:rPr>
        <w:t>:</w:t>
      </w:r>
      <w:r w:rsidR="00A7720A">
        <w:t xml:space="preserve"> </w:t>
      </w:r>
      <w:r w:rsidR="00CB349E">
        <w:rPr>
          <w:rStyle w:val="normaltextrun"/>
          <w:rFonts w:ascii="Calibri" w:hAnsi="Calibri" w:cs="Calibri"/>
          <w:color w:val="000000"/>
          <w:shd w:val="clear" w:color="auto" w:fill="FFFFFF"/>
        </w:rPr>
        <w:t xml:space="preserve">The HR process deals with DNA </w:t>
      </w:r>
      <w:r w:rsidR="006A5A03">
        <w:rPr>
          <w:rStyle w:val="normaltextrun"/>
          <w:rFonts w:ascii="Calibri" w:hAnsi="Calibri" w:cs="Calibri"/>
          <w:color w:val="000000"/>
          <w:shd w:val="clear" w:color="auto" w:fill="FFFFFF"/>
        </w:rPr>
        <w:t>DSBs</w:t>
      </w:r>
      <w:r w:rsidR="00CB349E">
        <w:rPr>
          <w:rStyle w:val="normaltextrun"/>
          <w:rFonts w:ascii="Calibri" w:hAnsi="Calibri" w:cs="Calibri"/>
          <w:color w:val="000000"/>
          <w:shd w:val="clear" w:color="auto" w:fill="FFFFFF"/>
        </w:rPr>
        <w:t xml:space="preserve"> during S and G2 phases of the cell cycle when sister chromatid sequences are available and can be used as template to mediate faithful repair.</w:t>
      </w:r>
      <w:r w:rsidR="00CB349E">
        <w:rPr>
          <w:rStyle w:val="normaltextrun"/>
          <w:rFonts w:ascii="Calibri" w:hAnsi="Calibri" w:cs="Calibri"/>
          <w:color w:val="D13438"/>
          <w:u w:val="single"/>
          <w:shd w:val="clear" w:color="auto" w:fill="FFFFFF"/>
        </w:rPr>
        <w:t xml:space="preserve"> </w:t>
      </w:r>
      <w:r w:rsidR="00CB349E">
        <w:rPr>
          <w:rStyle w:val="normaltextrun"/>
          <w:rFonts w:ascii="Calibri" w:hAnsi="Calibri" w:cs="Calibri"/>
          <w:color w:val="000000"/>
          <w:shd w:val="clear" w:color="auto" w:fill="FFFFFF"/>
        </w:rPr>
        <w:t>This process is highly accurate and error-free</w:t>
      </w:r>
      <w:r w:rsidR="00CB349E">
        <w:rPr>
          <w:rStyle w:val="normaltextrun"/>
          <w:rFonts w:ascii="Calibri" w:hAnsi="Calibri" w:cs="Calibri"/>
          <w:color w:val="000000"/>
          <w:shd w:val="clear" w:color="auto" w:fill="FFFFFF"/>
        </w:rPr>
        <w:fldChar w:fldCharType="begin"/>
      </w:r>
      <w:r w:rsidR="009B7DE3">
        <w:rPr>
          <w:rStyle w:val="normaltextrun"/>
          <w:rFonts w:ascii="Calibri" w:hAnsi="Calibri" w:cs="Calibri"/>
          <w:color w:val="000000"/>
          <w:shd w:val="clear" w:color="auto" w:fill="FFFFFF"/>
        </w:rPr>
        <w:instrText xml:space="preserve"> ADDIN ZOTERO_ITEM CSL_CITATION {"citationID":"WKIuWScq","properties":{"formattedCitation":"\\super 121\\uc0\\u8211{}123\\nosupersub{}","plainCitation":"121–123","noteIndex":0},"citationItems":[{"id":424,"uris":["http://zotero.org/users/11265134/items/ZHUETRDS"],"itemData":{"id":424,"type":"article-journal","container-title":"Molecular Cell","DOI":"10.1016/j.molcel.2012.07.029","ISSN":"1097-2765","issue":"4","journalAbbreviation":"Molecular Cell","language":"English","note":"publisher: Elsevier\nPMID: 22920291","page":"497-510","source":"www.cell.com","title":"Playing the End Game: DNA Double-Strand Break Repair Pathway Choice","title-short":"Playing the End Game","volume":"47","author":[{"family":"Chapman","given":"J. Ross"},{"family":"Taylor","given":"Martin R. G."},{"family":"Boulton","given":"Simon J."}],"issued":{"date-parts":[["2012",8,24]]}}},{"id":427,"uris":["http://zotero.org/users/11265134/items/2MIZAQDJ"],"itemData":{"id":427,"type":"article-journal","abstract":"Although the DNA double-strand break (DSB) is defined as a rupture in the double-stranded DNA molecule that can occur without chemical modification in any of the constituent building blocks, it is recognized that this form is restricted to enzyme-induced DSBs. DSBs generated by physical or chemical agents can include at the break site a spectrum of base alterations (lesions). The nature and number of such chemical alterations define the complexity of the DSB and are considered putative determinants for repair pathway choice and the probability that errors will occur during this processing. As the pathways engaged in DSB processing show distinct and frequently inherent propensities for errors, pathway choice also defines the error-levels cells opt to accept. Here, we present a classification of DSBs on the basis of increasing complexity and discuss how complexity may affect processing, as well as how it may cause lethal or carcinogenic processing errors. By critically analyzing the characteristics of DSB repair pathways, we suggest that all repair pathways can in principle remove lesions clustering at the DSB but are likely to fail when they encounter clusters of DSBs that cause a local form of chromothripsis. In the same framework, we also analyze the rational of DSB repair pathway choice.","container-title":"Nucleic Acids Research","DOI":"10.1093/nar/gkt556","ISSN":"0305-1048","issue":"16","journalAbbreviation":"Nucleic Acids Research","page":"7589-7605","source":"Silverchair","title":"DNA double-strand–break complexity levels and their possible contributions to the probability for error-prone processing and repair pathway choice","volume":"41","author":[{"family":"Schipler","given":"Agnes"},{"family":"Iliakis","given":"George"}],"issued":{"date-parts":[["2013",9,1]]}}},{"id":436,"uris":["http://zotero.org/users/11265134/items/R424I6N6"],"itemData":{"id":436,"type":"article-journal","container-title":"Molecular Cell","DOI":"10.1016/j.molcel.2012.05.052","ISSN":"1097-2765","issue":"2","journalAbbreviation":"Molecular Cell","language":"English","note":"publisher: Elsevier\nPMID: 22841003","page":"320-329","source":"www.cell.com","title":"Quantitative Live Cell Imaging Reveals a Gradual Shift between DNA Repair Mechanisms and a Maximal Use of HR in Mid S Phase","volume":"47","author":[{"family":"Karanam","given":"Ketki"},{"family":"Kafri","given":"Ran"},{"family":"Loewer","given":"Alexander"},{"family":"Lahav","given":"Galit"}],"issued":{"date-parts":[["2012",7,27]]}}}],"schema":"https://github.com/citation-style-language/schema/raw/master/csl-citation.json"} </w:instrText>
      </w:r>
      <w:r w:rsidR="00CB349E">
        <w:rPr>
          <w:rStyle w:val="normaltextrun"/>
          <w:rFonts w:ascii="Calibri" w:hAnsi="Calibri" w:cs="Calibri"/>
          <w:color w:val="000000"/>
          <w:shd w:val="clear" w:color="auto" w:fill="FFFFFF"/>
        </w:rPr>
        <w:fldChar w:fldCharType="separate"/>
      </w:r>
      <w:r w:rsidR="009B7DE3" w:rsidRPr="009B7DE3">
        <w:rPr>
          <w:rFonts w:ascii="Calibri" w:hAnsi="Calibri" w:cs="Calibri"/>
          <w:szCs w:val="24"/>
          <w:vertAlign w:val="superscript"/>
        </w:rPr>
        <w:t>121–123</w:t>
      </w:r>
      <w:r w:rsidR="00CB349E">
        <w:rPr>
          <w:rStyle w:val="normaltextrun"/>
          <w:rFonts w:ascii="Calibri" w:hAnsi="Calibri" w:cs="Calibri"/>
          <w:color w:val="000000"/>
          <w:shd w:val="clear" w:color="auto" w:fill="FFFFFF"/>
        </w:rPr>
        <w:fldChar w:fldCharType="end"/>
      </w:r>
      <w:r w:rsidR="00CB349E">
        <w:rPr>
          <w:rStyle w:val="normaltextrun"/>
          <w:rFonts w:ascii="Calibri" w:hAnsi="Calibri" w:cs="Calibri"/>
          <w:color w:val="000000"/>
          <w:shd w:val="clear" w:color="auto" w:fill="FFFFFF"/>
        </w:rPr>
        <w:t>.</w:t>
      </w:r>
    </w:p>
    <w:p w14:paraId="6C747C96" w14:textId="27074004" w:rsidR="00BB400C" w:rsidRDefault="00A61894" w:rsidP="00BB400C">
      <w:pPr>
        <w:pStyle w:val="Paragraphedeliste"/>
        <w:numPr>
          <w:ilvl w:val="0"/>
          <w:numId w:val="28"/>
        </w:numPr>
        <w:spacing w:after="0" w:line="324" w:lineRule="auto"/>
        <w:jc w:val="both"/>
      </w:pPr>
      <w:r w:rsidRPr="00D837D0">
        <w:rPr>
          <w:b/>
          <w:bCs/>
        </w:rPr>
        <w:t>The non-homologous end-joining (NHEJ)</w:t>
      </w:r>
      <w:r w:rsidR="00FF5D55" w:rsidRPr="00D837D0">
        <w:rPr>
          <w:b/>
          <w:bCs/>
        </w:rPr>
        <w:t>:</w:t>
      </w:r>
      <w:r w:rsidR="00A7720A">
        <w:t xml:space="preserve"> </w:t>
      </w:r>
      <w:r w:rsidR="00501BB4">
        <w:t>In NHEJ, the DSB ends are blocked from 5′ end resection and held in close proximity by the double-stranded DNA (dsDNA) end-binding protein complex, the Ku70-Ku80 heterodimer (Ku)</w:t>
      </w:r>
      <w:r w:rsidR="00E261B3">
        <w:t xml:space="preserve">. </w:t>
      </w:r>
      <w:r w:rsidR="00501BB4">
        <w:t>This pathway facilitates the direct ligation of DSB ends but is error-prone, often leading to small insertions, deletions, or substitutions at the break site, and potentially causing translocations when DSBs from different genomic regions are joined</w:t>
      </w:r>
      <w:r w:rsidR="00400589">
        <w:fldChar w:fldCharType="begin"/>
      </w:r>
      <w:r w:rsidR="009B7DE3">
        <w:instrText xml:space="preserve"> ADDIN ZOTERO_ITEM CSL_CITATION {"citationID":"5kWVK3uX","properties":{"formattedCitation":"\\super 121,122,124\\nosupersub{}","plainCitation":"121,122,124","noteIndex":0},"citationItems":[{"id":424,"uris":["http://zotero.org/users/11265134/items/ZHUETRDS"],"itemData":{"id":424,"type":"article-journal","container-title":"Molecular Cell","DOI":"10.1016/j.molcel.2012.07.029","ISSN":"1097-2765","issue":"4","journalAbbreviation":"Molecular Cell","language":"English","note":"publisher: Elsevier\nPMID: 22920291","page":"497-510","source":"www.cell.com","title":"Playing the End Game: DNA Double-Strand Break Repair Pathway Choice","title-short":"Playing the End Game","volume":"47","author":[{"family":"Chapman","given":"J. Ross"},{"family":"Taylor","given":"Martin R. G."},{"family":"Boulton","given":"Simon J."}],"issued":{"date-parts":[["2012",8,24]]}}},{"id":427,"uris":["http://zotero.org/users/11265134/items/2MIZAQDJ"],"itemData":{"id":427,"type":"article-journal","abstract":"Although the DNA double-strand break (DSB) is defined as a rupture in the double-stranded DNA molecule that can occur without chemical modification in any of the constituent building blocks, it is recognized that this form is restricted to enzyme-induced DSBs. DSBs generated by physical or chemical agents can include at the break site a spectrum of base alterations (lesions). The nature and number of such chemical alterations define the complexity of the DSB and are considered putative determinants for repair pathway choice and the probability that errors will occur during this processing. As the pathways engaged in DSB processing show distinct and frequently inherent propensities for errors, pathway choice also defines the error-levels cells opt to accept. Here, we present a classification of DSBs on the basis of increasing complexity and discuss how complexity may affect processing, as well as how it may cause lethal or carcinogenic processing errors. By critically analyzing the characteristics of DSB repair pathways, we suggest that all repair pathways can in principle remove lesions clustering at the DSB but are likely to fail when they encounter clusters of DSBs that cause a local form of chromothripsis. In the same framework, we also analyze the rational of DSB repair pathway choice.","container-title":"Nucleic Acids Research","DOI":"10.1093/nar/gkt556","ISSN":"0305-1048","issue":"16","journalAbbreviation":"Nucleic Acids Research","page":"7589-7605","source":"Silverchair","title":"DNA double-strand–break complexity levels and their possible contributions to the probability for error-prone processing and repair pathway choice","volume":"41","author":[{"family":"Schipler","given":"Agnes"},{"family":"Iliakis","given":"George"}],"issued":{"date-parts":[["2013",9,1]]}}},{"id":433,"uris":["http://zotero.org/users/11265134/items/TZH8L6LQ"],"itemData":{"id":433,"type":"article-journal","abstract":"Double-strand DNA breaks are common events in eukaryotic cells, and there are two major pathways for repairing them: homologous recombination and nonhomologous DNA end joining (NHEJ). The diverse causes of DSBs result in a diverse chemistry of DNA ends that must be repaired. Across NHEJ evolution, the enzymes of the NHEJ pathway exhibit a remarkable degree of structural tolerance in the range of DNA end substrate configurations upon which they can act. In vertebrate cells, the nuclease, polymerases and ligase of NHEJ are the most mechanistically flexible and multifunctional enzymes in each of their classes. Unlike repair pathways for more defined lesions, NHEJ repair enzymes act iteratively, act in any order, and can function independently of one another at each of the two DNA ends being joined. NHEJ is critical not only for the repair of pathologic DSBs as in chromosomal translocations, but also for the repair of physiologic DSBs created during V(D)J recombination and class switch recombination. Therefore, patients lacking normal NHEJ are not only sensitive to ionizing radiation, but also severely immunodeficient.","container-title":"Annual review of biochemistry","DOI":"10.1146/annurev.biochem.052308.093131","ISSN":"0066-4154","journalAbbreviation":"Annu Rev Biochem","note":"PMID: 20192759\nPMCID: PMC3079308","page":"181-211","source":"PubMed Central","title":"The Mechanism of Double-Strand DNA Break Repair by the Nonhomologous DNA End Joining Pathway","volume":"79","author":[{"family":"Lieber","given":"Michael R."}],"issued":{"date-parts":[["2010"]]}}}],"schema":"https://github.com/citation-style-language/schema/raw/master/csl-citation.json"} </w:instrText>
      </w:r>
      <w:r w:rsidR="00400589">
        <w:fldChar w:fldCharType="separate"/>
      </w:r>
      <w:r w:rsidR="009B7DE3" w:rsidRPr="009B7DE3">
        <w:rPr>
          <w:rFonts w:ascii="Calibri" w:hAnsi="Calibri" w:cs="Calibri"/>
          <w:szCs w:val="24"/>
          <w:vertAlign w:val="superscript"/>
        </w:rPr>
        <w:t>121,122,124</w:t>
      </w:r>
      <w:r w:rsidR="00400589">
        <w:fldChar w:fldCharType="end"/>
      </w:r>
      <w:r w:rsidR="00BB400C">
        <w:t>.</w:t>
      </w:r>
      <w:r w:rsidR="00D37EB0">
        <w:t xml:space="preserve"> </w:t>
      </w:r>
      <w:r w:rsidR="00FC1123">
        <w:t>Globally, studies show that t</w:t>
      </w:r>
      <w:r w:rsidR="00D37EB0">
        <w:t xml:space="preserve">he NHEJ pathway </w:t>
      </w:r>
      <w:r w:rsidR="00FC1123">
        <w:t xml:space="preserve">is predominant compared to HR, repairing </w:t>
      </w:r>
      <w:r w:rsidR="00FC1123" w:rsidRPr="00FC1123">
        <w:t xml:space="preserve">up to </w:t>
      </w:r>
      <w:r w:rsidR="00FC1123" w:rsidRPr="00FC1123">
        <w:rPr>
          <w:rFonts w:ascii="Cambria Math" w:hAnsi="Cambria Math" w:cs="Cambria Math"/>
        </w:rPr>
        <w:t>∼</w:t>
      </w:r>
      <w:r w:rsidR="00FC1123" w:rsidRPr="00FC1123">
        <w:t>80% of all DSBs</w:t>
      </w:r>
      <w:r w:rsidR="00FC1123">
        <w:t xml:space="preserve"> in human cells</w:t>
      </w:r>
      <w:r w:rsidR="00FC1123">
        <w:fldChar w:fldCharType="begin"/>
      </w:r>
      <w:r w:rsidR="009B7DE3">
        <w:instrText xml:space="preserve"> ADDIN ZOTERO_ITEM CSL_CITATION {"citationID":"SSgSrv5I","properties":{"formattedCitation":"\\super 123,125,126\\nosupersub{}","plainCitation":"123,125,126","noteIndex":0},"citationItems":[{"id":436,"uris":["http://zotero.org/users/11265134/items/R424I6N6"],"itemData":{"id":436,"type":"article-journal","container-title":"Molecular Cell","DOI":"10.1016/j.molcel.2012.05.052","ISSN":"1097-2765","issue":"2","journalAbbreviation":"Molecular Cell","language":"English","note":"publisher: Elsevier\nPMID: 22841003","page":"320-329","source":"www.cell.com","title":"Quantitative Live Cell Imaging Reveals a Gradual Shift between DNA Repair Mechanisms and a Maximal Use of HR in Mid S Phase","volume":"47","author":[{"family":"Karanam","given":"Ketki"},{"family":"Kafri","given":"Ran"},{"family":"Loewer","given":"Alexander"},{"family":"Lahav","given":"Galit"}],"issued":{"date-parts":[["2012",7,27]]}}},{"id":430,"uris":["http://zotero.org/users/11265134/items/3EPMIWVB"],"itemData":{"id":430,"type":"article-journal","abstract":"DNA double-strand breaks pose a serious threat to genome stability. In vertebrates, these breaks are predominantly repaired by nonhomologous end joining (NHEJ), which pairs DNA ends in a multiprotein synaptic complex to promote their direct ligation. NHEJ is a highly versatile pathway that uses an array of processing enzymes to modify damaged DNA ends and enable their ligation. The mechanisms of end synapsis and end processing have important implications for genome stability. Rapid and stable synapsis is necessary to limit chromosome translocations that result from the mispairing of DNA ends. Furthermore, end processing must be tightly regulated to minimize mutations at the break site. Here, we review our current mechanistic understanding of vertebrate NHEJ, with a particular focus on end synapsis and processing.","container-title":"Annual Review of Biochemistry","DOI":"10.1146/annurev-biochem-080320-110356","ISSN":"0066-4154, 1545-4509","issue":"Volume 90, 2021","language":"en","note":"publisher: Annual Reviews","page":"137-164","source":"www.annualreviews.org","title":"Repair of DNA Double-Strand Breaks by the Nonhomologous End Joining Pathway","volume":"90","author":[{"family":"Stinson","given":"Benjamin M."},{"family":"Loparo","given":"Joseph J."}],"issued":{"date-parts":[["2021",6,20]]}}},{"id":557,"uris":["http://zotero.org/users/11265134/items/3ZK2N5ID"],"itemData":{"id":557,"type":"article-journal","abstract":"DNA double-strand breaks (DSBs) are dangerous lesions that can lead to potentially oncogenic genomic rearrangements or cell death. The two major pathways for repair of DSBs are nonhomologous end joining (NHEJ) and homologous recombination (HR). NHEJ is an intrinsically error-prone pathway while HR results in accurate repair. To understand the origin of genomic instability in human cells it is important to know the contribution of each DSB repair pathway. Studies of rodent cells and human cancer cell lines have shown that the choice between NHEJ or HR pathways depends on cell cycle stage. Surprisingly, cell cycle regulation of DSB repair has not been examined in normal human cells with intact cell cycle checkpoints. Here we measured the efficiency of NHEJ and HR at different cell cycle stages in hTERT-immortalized diploid human fibroblasts. We utilized cells with chromosomally-integrated fluorescent reporter cassettes, in which a unique DSB is introduced by a rare-cutting endonuclease. We show that NHEJ is active throughout the cell cycle, and its activity increases as cells progress from G1 to G2/M (G1 &lt; S &lt; G2/M). HR is nearly absent in G1, most active in the S phase, and declines in G2/M. Thus, in G2/M NHEJ is elevated, while HR is on decline. This is in contrast to a general belief that NHEJ is most active in G1, while HR is active in S, G2 and M. The overall efficiency of NHEJ was higher than HR at all cell cycle stages. We conclude that human somatic cells utilize error-prone NHEJ as the major DSB repair pathway at all cell cycle stages, while HR is used, primarily, in the S phase.","container-title":"Cell Cycle (Georgetown, Tex.)","DOI":"10.4161/cc.7.18.6679","ISSN":"1551-4005","issue":"18","journalAbbreviation":"Cell Cycle","language":"eng","note":"PMID: 18769152\nPMCID: PMC2754209","page":"2902-2906","source":"PubMed","title":"DNA repair by nonhomologous end joining and homologous recombination during cell cycle in human cells","volume":"7","author":[{"family":"Mao","given":"Zhiyong"},{"family":"Bozzella","given":"Michael"},{"family":"Seluanov","given":"Andrei"},{"family":"Gorbunova","given":"Vera"}],"issued":{"date-parts":[["2008",9,15]]}}}],"schema":"https://github.com/citation-style-language/schema/raw/master/csl-citation.json"} </w:instrText>
      </w:r>
      <w:r w:rsidR="00FC1123">
        <w:fldChar w:fldCharType="separate"/>
      </w:r>
      <w:r w:rsidR="009B7DE3" w:rsidRPr="009B7DE3">
        <w:rPr>
          <w:rFonts w:ascii="Calibri" w:hAnsi="Calibri" w:cs="Calibri"/>
          <w:szCs w:val="24"/>
          <w:vertAlign w:val="superscript"/>
        </w:rPr>
        <w:t>123,125,126</w:t>
      </w:r>
      <w:r w:rsidR="00FC1123">
        <w:fldChar w:fldCharType="end"/>
      </w:r>
      <w:r w:rsidR="00FC1123">
        <w:t>.</w:t>
      </w:r>
    </w:p>
    <w:p w14:paraId="76AF6061" w14:textId="77777777" w:rsidR="00404685" w:rsidRDefault="00404685" w:rsidP="001C36FC">
      <w:pPr>
        <w:spacing w:after="0" w:line="324" w:lineRule="auto"/>
        <w:jc w:val="both"/>
      </w:pPr>
    </w:p>
    <w:p w14:paraId="6C0CDA8D" w14:textId="70941093" w:rsidR="001C36FC" w:rsidRDefault="00404685" w:rsidP="001C36FC">
      <w:pPr>
        <w:spacing w:after="0" w:line="324" w:lineRule="auto"/>
        <w:jc w:val="both"/>
      </w:pPr>
      <w:r>
        <w:t xml:space="preserve">Consequently, this DNA DSB repair pathway is an important genotoxic parameter to monitor and is included in the AOP network through the following KE: </w:t>
      </w:r>
    </w:p>
    <w:p w14:paraId="0D9B0A72" w14:textId="7BB6D53B" w:rsidR="00635867" w:rsidRDefault="001C36FC" w:rsidP="00404685">
      <w:pPr>
        <w:pStyle w:val="Paragraphedeliste"/>
        <w:numPr>
          <w:ilvl w:val="0"/>
          <w:numId w:val="28"/>
        </w:numPr>
        <w:spacing w:after="0" w:line="324" w:lineRule="auto"/>
        <w:jc w:val="both"/>
      </w:pPr>
      <w:r w:rsidRPr="00404685">
        <w:rPr>
          <w:b/>
          <w:bCs/>
        </w:rPr>
        <w:t>“Inadequate DNA repair (NHEJ)”</w:t>
      </w:r>
      <w:r w:rsidR="00690AA3" w:rsidRPr="00404685">
        <w:rPr>
          <w:b/>
          <w:bCs/>
        </w:rPr>
        <w:t xml:space="preserve"> </w:t>
      </w:r>
      <w:r w:rsidR="00690AA3">
        <w:t>(Figure 2 – KE 2</w:t>
      </w:r>
      <w:r w:rsidR="009B7DE3">
        <w:t>1</w:t>
      </w:r>
      <w:r w:rsidR="00690AA3">
        <w:t>)</w:t>
      </w:r>
      <w:r w:rsidR="00404685">
        <w:t>: The inadequate repair</w:t>
      </w:r>
      <w:r w:rsidR="00690AA3">
        <w:t xml:space="preserve"> of DNA DSBs</w:t>
      </w:r>
      <w:r w:rsidR="00404685">
        <w:t xml:space="preserve"> by NHEJ</w:t>
      </w:r>
      <w:r>
        <w:t xml:space="preserve">, notably due to its intrinsic reduced </w:t>
      </w:r>
      <w:r w:rsidR="00B925A0">
        <w:t>accuracy,</w:t>
      </w:r>
      <w:r>
        <w:t xml:space="preserve"> provokes genotoxic AO</w:t>
      </w:r>
      <w:r w:rsidR="00207883">
        <w:t>s</w:t>
      </w:r>
      <w:r>
        <w:t xml:space="preserve">, i.e. </w:t>
      </w:r>
      <w:r w:rsidRPr="00404685">
        <w:rPr>
          <w:b/>
          <w:bCs/>
        </w:rPr>
        <w:t>“Increase, Structural chromosome aberrations</w:t>
      </w:r>
      <w:r w:rsidR="00207883" w:rsidRPr="00404685">
        <w:rPr>
          <w:b/>
          <w:bCs/>
        </w:rPr>
        <w:t>”</w:t>
      </w:r>
      <w:r w:rsidR="00B925A0" w:rsidRPr="00404685">
        <w:rPr>
          <w:b/>
          <w:bCs/>
        </w:rPr>
        <w:t xml:space="preserve"> (AO 2</w:t>
      </w:r>
      <w:r w:rsidR="00404685">
        <w:rPr>
          <w:b/>
          <w:bCs/>
        </w:rPr>
        <w:t>3</w:t>
      </w:r>
      <w:r w:rsidR="00B925A0" w:rsidRPr="00404685">
        <w:rPr>
          <w:b/>
          <w:bCs/>
        </w:rPr>
        <w:t>)</w:t>
      </w:r>
      <w:r w:rsidR="00207883" w:rsidRPr="00404685">
        <w:rPr>
          <w:b/>
          <w:bCs/>
        </w:rPr>
        <w:t xml:space="preserve"> </w:t>
      </w:r>
      <w:r w:rsidR="00207883">
        <w:t xml:space="preserve"> and </w:t>
      </w:r>
      <w:r w:rsidR="00207883" w:rsidRPr="00404685">
        <w:rPr>
          <w:b/>
          <w:bCs/>
        </w:rPr>
        <w:t xml:space="preserve"> KE 185 “Increase, Mutations”</w:t>
      </w:r>
      <w:r w:rsidR="00B925A0" w:rsidRPr="00404685">
        <w:rPr>
          <w:b/>
          <w:bCs/>
        </w:rPr>
        <w:t xml:space="preserve"> (AO 2</w:t>
      </w:r>
      <w:r w:rsidR="00404685">
        <w:rPr>
          <w:b/>
          <w:bCs/>
        </w:rPr>
        <w:t>2</w:t>
      </w:r>
      <w:r w:rsidR="00B925A0" w:rsidRPr="00404685">
        <w:rPr>
          <w:b/>
          <w:bCs/>
        </w:rPr>
        <w:t>)</w:t>
      </w:r>
      <w:r w:rsidR="00207883">
        <w:t xml:space="preserve">. </w:t>
      </w:r>
    </w:p>
    <w:p w14:paraId="480656B5" w14:textId="77777777" w:rsidR="00FC54F5" w:rsidRDefault="00FC54F5" w:rsidP="00635867">
      <w:pPr>
        <w:spacing w:after="0" w:line="324" w:lineRule="auto"/>
        <w:jc w:val="both"/>
      </w:pPr>
    </w:p>
    <w:p w14:paraId="3C3D5D19" w14:textId="354E7C1E" w:rsidR="00635867" w:rsidDel="00635867" w:rsidRDefault="00635867" w:rsidP="00E24835">
      <w:pPr>
        <w:spacing w:after="0" w:line="324" w:lineRule="auto"/>
        <w:jc w:val="both"/>
      </w:pPr>
      <w:r>
        <w:t xml:space="preserve">Finally, </w:t>
      </w:r>
      <w:r w:rsidR="002E5ECE">
        <w:t xml:space="preserve">more </w:t>
      </w:r>
      <w:r w:rsidR="00A240DA">
        <w:t xml:space="preserve">complex </w:t>
      </w:r>
      <w:r>
        <w:t>damage</w:t>
      </w:r>
      <w:r w:rsidR="00A240DA">
        <w:t>s</w:t>
      </w:r>
      <w:r>
        <w:t xml:space="preserve">, </w:t>
      </w:r>
      <w:r w:rsidR="002E5ECE">
        <w:t>i.e</w:t>
      </w:r>
      <w:r>
        <w:t>. DNA interstrand crosslinks</w:t>
      </w:r>
      <w:r w:rsidR="00B925A0">
        <w:t xml:space="preserve"> (MIE 8)</w:t>
      </w:r>
      <w:r>
        <w:t>, are repaired through a combination of repair pathways</w:t>
      </w:r>
      <w:r w:rsidR="00207883">
        <w:fldChar w:fldCharType="begin"/>
      </w:r>
      <w:r w:rsidR="009B7DE3">
        <w:instrText xml:space="preserve"> ADDIN ZOTERO_ITEM CSL_CITATION {"citationID":"89E0YZTz","properties":{"formattedCitation":"\\super 112,127,128\\nosupersub{}","plainCitation":"112,127,128","noteIndex":0},"citationItems":[{"id":442,"uris":["http://zotero.org/users/11265134/items/HCZK7G4B"],"itemData":{"id":442,"type":"article-journal","container-title":"Cell","DOI":"10.1016/j.cell.2010.06.022","ISSN":"0092-8674, 1097-4172","issue":"1","journalAbbreviation":"Cell","language":"English","note":"publisher: Elsevier\nPMID: 20603016","page":"77-88","source":"www.cell.com","title":"Deficiency of FANCD2-Associated Nuclease KIAA1018/FAN1 Sensitizes Cells to Interstrand Crosslinking Agents","volume":"142","author":[{"family":"Kratz","given":"Katja"},{"family":"Schöpf","given":"Barbara"},{"family":"Kaden","given":"Svenja"},{"family":"Sendoel","given":"Ataman"},{"family":"Eberhard","given":"Ralf"},{"family":"Lademann","given":"Claudio"},{"family":"Cannavó","given":"Elda"},{"family":"Sartori","given":"Alessandro A."},{"family":"Hengartner","given":"Michael O."},{"family":"Jiricny","given":"Josef"}],"issued":{"date-parts":[["2010",7,9]]}}},{"id":445,"uris":["http://zotero.org/users/11265134/items/HAIGEQXR"],"itemData":{"id":445,"type":"article-journal","abstract":"Fanconi Anemia (FA) is an inherited genomic instability disorder, caused by mutations in genes regulating replication-dependent removal of interstrand DNA crosslinks. The Fanconi Anemia pathway is thought to coordinate a complex mechanism that enlists elements of three classic DNA repair pathways, namely homologous recombination, nucleotide excision repair, and mutagenic translesion synthesis, in response to genotoxic insults. To this end, the Fanconi Anemia pathway employs a unique nuclear protein complex that ubiquitinates FANCD2 and FANCI, leading to formation of DNA repair structures. Lack of obvious enzymatic activities among most FA members has made it challenging to unravel its precise modus operandi. Here we review the current understanding of how the Fanconi Anemia pathway components participate in DNA repair and discuss the mechanisms that regulate this pathway to ensure timely, efficient, and correct restoration of chromosomal integrity.","container-title":"Annual Review of Genetics","DOI":"10.1146/annurev-genet-102108-134222","ISSN":"0066-4197, 1545-2948","issue":"Volume 43, 2009","language":"en","note":"publisher: Annual Reviews","page":"223-249","source":"www.annualreviews.org","title":"How the Fanconi Anemia Pathway Guards the Genome","volume":"43","author":[{"family":"Moldovan","given":"George-Lucian"},{"family":"D'Andrea","given":"Alan D."}],"issued":{"date-parts":[["2009",12,1]]}}},{"id":574,"uris":["http://zotero.org/users/11265134/items/LNCMYN6I"],"itemData":{"id":574,"type":"article-journal","abstract":"Chemotherapeutic alkylating agents induce a range of cytotoxic and mutagenic adducts onto DNA.Alkylating agent-induced damage to DNA is sensed and repaired by different cellular mechanisms, including direct repair by the AlkB homologue (ALKBH) family and O6-methylguanine-DNA methyltransferase (MGMT) proteins or by pathways such as base excision repair (BER), mismatch repair (MMR), homologous recombination, Fanconi anaemia and translesion DNA synthesis (TLS).Diverse cellular pathways collectively modulate alkylation sensitivity, and imbalances within or between these pathways can have deleterious consequences at the cellular and whole-animal levels.Developing agents to modulate DNA repair pathways is a promising strategy to increase the effectiveness of current chemotherapeutic alkylating agents.Investigation of DNA repair capacity in cancer patients may provide crucial information about which chemotherapeutic therapies to use, because differences can result in drastic variation in alkylation sensitivity.","container-title":"Nature Reviews Cancer","DOI":"10.1038/nrc3185","ISSN":"1474-1768","issue":"2","journalAbbreviation":"Nat Rev Cancer","language":"en","license":"2012 Springer Nature Limited","note":"publisher: Nature Publishing Group","page":"104-120","source":"www.nature.com","title":"Balancing repair and tolerance of DNA damage caused by alkylating agents","volume":"12","author":[{"family":"Fu","given":"Dragony"},{"family":"Calvo","given":"Jennifer A."},{"family":"Samson","given":"Leona D."}],"issued":{"date-parts":[["2012",2]]}}}],"schema":"https://github.com/citation-style-language/schema/raw/master/csl-citation.json"} </w:instrText>
      </w:r>
      <w:r w:rsidR="00207883">
        <w:fldChar w:fldCharType="separate"/>
      </w:r>
      <w:r w:rsidR="009B7DE3" w:rsidRPr="009B7DE3">
        <w:rPr>
          <w:rFonts w:ascii="Calibri" w:hAnsi="Calibri" w:cs="Calibri"/>
          <w:szCs w:val="24"/>
          <w:vertAlign w:val="superscript"/>
        </w:rPr>
        <w:t>112,127,128</w:t>
      </w:r>
      <w:r w:rsidR="00207883">
        <w:fldChar w:fldCharType="end"/>
      </w:r>
      <w:r w:rsidR="00551253">
        <w:t>.</w:t>
      </w:r>
    </w:p>
    <w:p w14:paraId="3EA6C4AA" w14:textId="0E9406D7" w:rsidR="00542700" w:rsidRDefault="00F47D6A" w:rsidP="00A35340">
      <w:pPr>
        <w:pStyle w:val="Paragraphedeliste"/>
        <w:numPr>
          <w:ilvl w:val="0"/>
          <w:numId w:val="28"/>
        </w:numPr>
        <w:spacing w:after="0" w:line="324" w:lineRule="auto"/>
        <w:jc w:val="both"/>
      </w:pPr>
      <w:r w:rsidRPr="006F795B">
        <w:rPr>
          <w:b/>
          <w:bCs/>
        </w:rPr>
        <w:t xml:space="preserve">The Fanconi </w:t>
      </w:r>
      <w:r w:rsidR="002E5ECE" w:rsidRPr="006F795B">
        <w:rPr>
          <w:b/>
          <w:bCs/>
        </w:rPr>
        <w:t>A</w:t>
      </w:r>
      <w:r w:rsidRPr="006F795B">
        <w:rPr>
          <w:b/>
          <w:bCs/>
        </w:rPr>
        <w:t xml:space="preserve">nemia </w:t>
      </w:r>
      <w:r w:rsidR="002E5ECE" w:rsidRPr="006F795B">
        <w:rPr>
          <w:b/>
          <w:bCs/>
        </w:rPr>
        <w:t xml:space="preserve">(FA) </w:t>
      </w:r>
      <w:r w:rsidRPr="006F795B">
        <w:rPr>
          <w:b/>
          <w:bCs/>
        </w:rPr>
        <w:t>repair pathway</w:t>
      </w:r>
      <w:r w:rsidR="00FF5D55">
        <w:t xml:space="preserve">: </w:t>
      </w:r>
      <w:r>
        <w:t xml:space="preserve">The </w:t>
      </w:r>
      <w:r w:rsidR="002E5ECE">
        <w:t>FA</w:t>
      </w:r>
      <w:r>
        <w:t xml:space="preserve"> repair pathway is primarily dedicated </w:t>
      </w:r>
      <w:r w:rsidR="00E261B3">
        <w:t>to dealing with the most cytotoxic primary DNA damage,</w:t>
      </w:r>
      <w:r>
        <w:t xml:space="preserve"> the DNA interstrand crosslink. This damage, blocking both </w:t>
      </w:r>
      <w:r w:rsidR="00384BA5">
        <w:lastRenderedPageBreak/>
        <w:t xml:space="preserve">replication and transcription processes by impeding the </w:t>
      </w:r>
      <w:r w:rsidR="00E261B3">
        <w:t>strands'</w:t>
      </w:r>
      <w:r w:rsidR="00384BA5">
        <w:t xml:space="preserve"> disjunction</w:t>
      </w:r>
      <w:r w:rsidR="00F81204">
        <w:t xml:space="preserve">. </w:t>
      </w:r>
      <w:r w:rsidR="00F81204" w:rsidRPr="00F81204">
        <w:t>The Fanconi Anemia pathway is believed to orchestrate a complex repair mechanism that integrates components from three major DNA repair pathways: homologous recombination, nucleotide excision repair, and mutagenic translesion synthesis</w:t>
      </w:r>
      <w:r w:rsidR="00F81204">
        <w:t xml:space="preserve">. </w:t>
      </w:r>
      <w:r w:rsidR="00F81204" w:rsidRPr="00F81204">
        <w:t>This process relies on a specialized nuclear protein complex that ubiquitinates FANCD2 and FANCI, facilitating the assembly of DNA repair structures</w:t>
      </w:r>
      <w:r w:rsidR="00F81204">
        <w:fldChar w:fldCharType="begin"/>
      </w:r>
      <w:r w:rsidR="009B7DE3">
        <w:instrText xml:space="preserve"> ADDIN ZOTERO_ITEM CSL_CITATION {"citationID":"tnOGvlTg","properties":{"formattedCitation":"\\super 128\\nosupersub{}","plainCitation":"128","noteIndex":0},"citationItems":[{"id":445,"uris":["http://zotero.org/users/11265134/items/HAIGEQXR"],"itemData":{"id":445,"type":"article-journal","abstract":"Fanconi Anemia (FA) is an inherited genomic instability disorder, caused by mutations in genes regulating replication-dependent removal of interstrand DNA crosslinks. The Fanconi Anemia pathway is thought to coordinate a complex mechanism that enlists elements of three classic DNA repair pathways, namely homologous recombination, nucleotide excision repair, and mutagenic translesion synthesis, in response to genotoxic insults. To this end, the Fanconi Anemia pathway employs a unique nuclear protein complex that ubiquitinates FANCD2 and FANCI, leading to formation of DNA repair structures. Lack of obvious enzymatic activities among most FA members has made it challenging to unravel its precise modus operandi. Here we review the current understanding of how the Fanconi Anemia pathway components participate in DNA repair and discuss the mechanisms that regulate this pathway to ensure timely, efficient, and correct restoration of chromosomal integrity.","container-title":"Annual Review of Genetics","DOI":"10.1146/annurev-genet-102108-134222","ISSN":"0066-4197, 1545-2948","issue":"Volume 43, 2009","language":"en","note":"publisher: Annual Reviews","page":"223-249","source":"www.annualreviews.org","title":"How the Fanconi Anemia Pathway Guards the Genome","volume":"43","author":[{"family":"Moldovan","given":"George-Lucian"},{"family":"D'Andrea","given":"Alan D."}],"issued":{"date-parts":[["2009",12,1]]}}}],"schema":"https://github.com/citation-style-language/schema/raw/master/csl-citation.json"} </w:instrText>
      </w:r>
      <w:r w:rsidR="00F81204">
        <w:fldChar w:fldCharType="separate"/>
      </w:r>
      <w:r w:rsidR="009B7DE3" w:rsidRPr="009B7DE3">
        <w:rPr>
          <w:rFonts w:ascii="Calibri" w:hAnsi="Calibri" w:cs="Calibri"/>
          <w:szCs w:val="24"/>
          <w:vertAlign w:val="superscript"/>
        </w:rPr>
        <w:t>128</w:t>
      </w:r>
      <w:r w:rsidR="00F81204">
        <w:fldChar w:fldCharType="end"/>
      </w:r>
      <w:r w:rsidR="00F81204" w:rsidRPr="00F81204">
        <w:t>.</w:t>
      </w:r>
      <w:r w:rsidR="00F81204">
        <w:t xml:space="preserve"> </w:t>
      </w:r>
      <w:r w:rsidR="001E44C4">
        <w:t xml:space="preserve">The FA pathway, although primordial for cell </w:t>
      </w:r>
      <w:r w:rsidR="00945261">
        <w:t>survival</w:t>
      </w:r>
      <w:r w:rsidR="001E44C4">
        <w:t>,</w:t>
      </w:r>
      <w:r w:rsidR="00945261">
        <w:t xml:space="preserve"> </w:t>
      </w:r>
      <w:r w:rsidR="001E44C4">
        <w:t xml:space="preserve">involves mutagenic polymerases (TLS) </w:t>
      </w:r>
      <w:r w:rsidR="00945261">
        <w:t>to bypass lesions at the cost of potentially introducing mutations</w:t>
      </w:r>
      <w:r w:rsidR="00B925A0">
        <w:t xml:space="preserve"> (AO 2</w:t>
      </w:r>
      <w:r w:rsidR="009B7DE3">
        <w:t>2</w:t>
      </w:r>
      <w:r w:rsidR="00B925A0">
        <w:t>)</w:t>
      </w:r>
      <w:r w:rsidR="00945261">
        <w:t xml:space="preserve"> in the genome</w:t>
      </w:r>
      <w:r w:rsidR="00945261">
        <w:fldChar w:fldCharType="begin"/>
      </w:r>
      <w:r w:rsidR="009B7DE3">
        <w:instrText xml:space="preserve"> ADDIN ZOTERO_ITEM CSL_CITATION {"citationID":"l7GBXCMo","properties":{"formattedCitation":"\\super 129\\nosupersub{}","plainCitation":"129","noteIndex":0},"citationItems":[{"id":448,"uris":["http://zotero.org/users/11265134/items/VLERKX3K"],"itemData":{"id":448,"type":"article-journal","abstract":"The Fanconi anaemia pathway comprises 19 Fanconi anaemia proteins (FANCA to FANCT) and many associated proteins.Germline inactivation of any of the Fanconi anaemia genes causes the disease Fanconi anaemia, which is a genetic disorder characterized by bone marrow failure and predisposition to cancer.The Fanconi anaemia pathway intersects with many other repair processes to respond to interstrand crosslink (ICL) DNA lesions.Studies in the Xenopus egg extract system have provided important insights into the molecular mechanisms of ICL repair through the Fanconi anaemia pathway.Fanconi anaemia proteins have other functions in addition to ICL repair. Fanconi anaemia proteins, notably FANCD2, have crucial roles in replication fork protection and cytokinesis.The Fanconi anaemia pathway, together with other repair processes such as homologous recombination, nucleotide excision repair, translesion synthesis and alternative end joining, forms an intricate network beyond the core ICL repair components to repair diverse DNA lesions.","container-title":"Nature Reviews Molecular Cell Biology","DOI":"10.1038/nrm.2016.48","ISSN":"1471-0080","issue":"6","journalAbbreviation":"Nat Rev Mol Cell Biol","language":"en","license":"2016 Springer Nature Limited","note":"publisher: Nature Publishing Group","page":"337-349","source":"www.nature.com","title":"The Fanconi anaemia pathway: new players and new functions","title-short":"The Fanconi anaemia pathway","volume":"17","author":[{"family":"Ceccaldi","given":"Raphael"},{"family":"Sarangi","given":"Prabha"},{"family":"D'Andrea","given":"Alan D."}],"issued":{"date-parts":[["2016",6]]}}}],"schema":"https://github.com/citation-style-language/schema/raw/master/csl-citation.json"} </w:instrText>
      </w:r>
      <w:r w:rsidR="00945261">
        <w:fldChar w:fldCharType="separate"/>
      </w:r>
      <w:r w:rsidR="009B7DE3" w:rsidRPr="009B7DE3">
        <w:rPr>
          <w:rFonts w:ascii="Calibri" w:hAnsi="Calibri" w:cs="Calibri"/>
          <w:szCs w:val="24"/>
          <w:vertAlign w:val="superscript"/>
        </w:rPr>
        <w:t>129</w:t>
      </w:r>
      <w:r w:rsidR="00945261">
        <w:fldChar w:fldCharType="end"/>
      </w:r>
      <w:r w:rsidR="001E44C4">
        <w:t xml:space="preserve">. </w:t>
      </w:r>
      <w:r w:rsidR="00542700">
        <w:t xml:space="preserve">However, the FA pathway seems to limit the use of NHEJ for the repair of transient DSBs step, reducing the probability of chromosomal rearrangements. </w:t>
      </w:r>
      <w:r w:rsidR="00F81204">
        <w:t>FA proteins have also a crucial role in replication fork protection</w:t>
      </w:r>
      <w:r w:rsidR="005320C5">
        <w:t xml:space="preserve"> and implicated in replication fork restart (KE </w:t>
      </w:r>
      <w:r w:rsidR="009B7DE3">
        <w:t>18</w:t>
      </w:r>
      <w:r w:rsidR="005320C5">
        <w:t>)</w:t>
      </w:r>
      <w:r w:rsidR="0087067B">
        <w:fldChar w:fldCharType="begin"/>
      </w:r>
      <w:r w:rsidR="009B7DE3">
        <w:instrText xml:space="preserve"> ADDIN ZOTERO_ITEM CSL_CITATION {"citationID":"f2OIvBf7","properties":{"formattedCitation":"\\super 129\\nosupersub{}","plainCitation":"129","noteIndex":0},"citationItems":[{"id":448,"uris":["http://zotero.org/users/11265134/items/VLERKX3K"],"itemData":{"id":448,"type":"article-journal","abstract":"The Fanconi anaemia pathway comprises 19 Fanconi anaemia proteins (FANCA to FANCT) and many associated proteins.Germline inactivation of any of the Fanconi anaemia genes causes the disease Fanconi anaemia, which is a genetic disorder characterized by bone marrow failure and predisposition to cancer.The Fanconi anaemia pathway intersects with many other repair processes to respond to interstrand crosslink (ICL) DNA lesions.Studies in the Xenopus egg extract system have provided important insights into the molecular mechanisms of ICL repair through the Fanconi anaemia pathway.Fanconi anaemia proteins have other functions in addition to ICL repair. Fanconi anaemia proteins, notably FANCD2, have crucial roles in replication fork protection and cytokinesis.The Fanconi anaemia pathway, together with other repair processes such as homologous recombination, nucleotide excision repair, translesion synthesis and alternative end joining, forms an intricate network beyond the core ICL repair components to repair diverse DNA lesions.","container-title":"Nature Reviews Molecular Cell Biology","DOI":"10.1038/nrm.2016.48","ISSN":"1471-0080","issue":"6","journalAbbreviation":"Nat Rev Mol Cell Biol","language":"en","license":"2016 Springer Nature Limited","note":"publisher: Nature Publishing Group","page":"337-349","source":"www.nature.com","title":"The Fanconi anaemia pathway: new players and new functions","title-short":"The Fanconi anaemia pathway","volume":"17","author":[{"family":"Ceccaldi","given":"Raphael"},{"family":"Sarangi","given":"Prabha"},{"family":"D'Andrea","given":"Alan D."}],"issued":{"date-parts":[["2016",6]]}}}],"schema":"https://github.com/citation-style-language/schema/raw/master/csl-citation.json"} </w:instrText>
      </w:r>
      <w:r w:rsidR="0087067B">
        <w:fldChar w:fldCharType="separate"/>
      </w:r>
      <w:r w:rsidR="009B7DE3" w:rsidRPr="009B7DE3">
        <w:rPr>
          <w:rFonts w:ascii="Calibri" w:hAnsi="Calibri" w:cs="Calibri"/>
          <w:szCs w:val="24"/>
          <w:vertAlign w:val="superscript"/>
        </w:rPr>
        <w:t>129</w:t>
      </w:r>
      <w:r w:rsidR="0087067B">
        <w:fldChar w:fldCharType="end"/>
      </w:r>
      <w:r w:rsidR="00F81204">
        <w:t xml:space="preserve">. </w:t>
      </w:r>
    </w:p>
    <w:p w14:paraId="6D21C4DE" w14:textId="77777777" w:rsidR="006F795B" w:rsidRDefault="006F795B" w:rsidP="006F795B">
      <w:pPr>
        <w:spacing w:after="0" w:line="324" w:lineRule="auto"/>
        <w:jc w:val="both"/>
      </w:pPr>
    </w:p>
    <w:p w14:paraId="0C8B6BC8" w14:textId="0F9F5452" w:rsidR="001C36FC" w:rsidRPr="006F795B" w:rsidRDefault="006F795B" w:rsidP="006F795B">
      <w:pPr>
        <w:pStyle w:val="Paragraphedeliste"/>
        <w:numPr>
          <w:ilvl w:val="0"/>
          <w:numId w:val="28"/>
        </w:numPr>
        <w:spacing w:after="0" w:line="324" w:lineRule="auto"/>
        <w:jc w:val="both"/>
      </w:pPr>
      <w:r>
        <w:rPr>
          <w:b/>
          <w:bCs/>
        </w:rPr>
        <w:lastRenderedPageBreak/>
        <w:t xml:space="preserve">Inadequate DNA repair (Fanconi anemia repair) </w:t>
      </w:r>
      <w:r>
        <w:t xml:space="preserve">(Figure 2 – KE 19: </w:t>
      </w:r>
      <w:r w:rsidR="00551253">
        <w:t>This last pathway thus represents</w:t>
      </w:r>
      <w:r w:rsidR="001C36FC">
        <w:t xml:space="preserve"> the last sub-KE of KE 155</w:t>
      </w:r>
      <w:r w:rsidR="00B925A0">
        <w:t xml:space="preserve"> “Inadequate DNA repair” (</w:t>
      </w:r>
      <w:hyperlink r:id="rId33" w:history="1">
        <w:r w:rsidR="00B925A0" w:rsidRPr="005219EB">
          <w:rPr>
            <w:rStyle w:val="Lienhypertexte"/>
          </w:rPr>
          <w:t>http://aopwiki.org/events/155</w:t>
        </w:r>
      </w:hyperlink>
      <w:r w:rsidR="00B925A0">
        <w:t>)</w:t>
      </w:r>
      <w:r>
        <w:t xml:space="preserve"> </w:t>
      </w:r>
      <w:r w:rsidR="001C36FC">
        <w:t>which implies the creation of transient DNA DSBs</w:t>
      </w:r>
      <w:r>
        <w:t xml:space="preserve"> (KE 20)</w:t>
      </w:r>
      <w:r w:rsidR="001C36FC" w:rsidRPr="006F795B">
        <w:rPr>
          <w:b/>
          <w:bCs/>
        </w:rPr>
        <w:t>.</w:t>
      </w:r>
      <w:r>
        <w:rPr>
          <w:b/>
          <w:bCs/>
        </w:rPr>
        <w:t xml:space="preserve"> </w:t>
      </w:r>
      <w:r>
        <w:t xml:space="preserve">Overall, a high rate of interstrand crosslinks implies a high rate of transient DSBs, a critical situation for a cell to deal with in case of interrupted repair processes. </w:t>
      </w:r>
    </w:p>
    <w:p w14:paraId="6D3ED779" w14:textId="77777777" w:rsidR="003562B9" w:rsidRDefault="003562B9" w:rsidP="00A91DC1">
      <w:pPr>
        <w:spacing w:after="0" w:line="324" w:lineRule="auto"/>
        <w:jc w:val="both"/>
      </w:pPr>
    </w:p>
    <w:p w14:paraId="0E399484" w14:textId="1B68A68B" w:rsidR="000C28E0" w:rsidRDefault="006F795B" w:rsidP="000C28E0">
      <w:pPr>
        <w:spacing w:after="0" w:line="324" w:lineRule="auto"/>
        <w:jc w:val="both"/>
      </w:pPr>
      <w:r>
        <w:t>A</w:t>
      </w:r>
      <w:r w:rsidR="00336536">
        <w:t xml:space="preserve">ll types of DNA </w:t>
      </w:r>
      <w:r w:rsidR="00E2266C">
        <w:t>lesions</w:t>
      </w:r>
      <w:r>
        <w:t xml:space="preserve"> presented above, if not or incorrectly addressed by repair and reversion processes,</w:t>
      </w:r>
      <w:r w:rsidR="00336536">
        <w:t xml:space="preserve"> </w:t>
      </w:r>
      <w:r>
        <w:t xml:space="preserve">will converge through the different KEs to form gene mutations and sutrucural chromosome aberrations. </w:t>
      </w:r>
    </w:p>
    <w:p w14:paraId="4CB2EE2C" w14:textId="0767ED12" w:rsidR="00EA5A31" w:rsidRDefault="00EA5A31" w:rsidP="000C28E0">
      <w:pPr>
        <w:spacing w:after="0" w:line="324" w:lineRule="auto"/>
        <w:jc w:val="both"/>
      </w:pPr>
    </w:p>
    <w:p w14:paraId="100C595E" w14:textId="5A873498" w:rsidR="003D7EEB" w:rsidRPr="003D7EEB" w:rsidRDefault="00EA5A31" w:rsidP="003D7EEB">
      <w:pPr>
        <w:pStyle w:val="Paragraphedeliste"/>
        <w:numPr>
          <w:ilvl w:val="0"/>
          <w:numId w:val="28"/>
        </w:numPr>
        <w:spacing w:after="0" w:line="324" w:lineRule="auto"/>
        <w:jc w:val="both"/>
        <w:rPr>
          <w:b/>
          <w:bCs/>
        </w:rPr>
      </w:pPr>
      <w:r w:rsidRPr="00D1464A">
        <w:rPr>
          <w:b/>
          <w:bCs/>
        </w:rPr>
        <w:t>Increase, Mutations</w:t>
      </w:r>
      <w:r>
        <w:t xml:space="preserve"> (</w:t>
      </w:r>
      <w:hyperlink r:id="rId34" w:history="1">
        <w:r w:rsidR="001B732E" w:rsidRPr="005219EB">
          <w:rPr>
            <w:rStyle w:val="Lienhypertexte"/>
          </w:rPr>
          <w:t>https://aopwiki.org/events/185</w:t>
        </w:r>
      </w:hyperlink>
      <w:r w:rsidR="00D1464A">
        <w:t>, Figure 2 – AO 2</w:t>
      </w:r>
      <w:r w:rsidR="009B7DE3">
        <w:t>2</w:t>
      </w:r>
      <w:r w:rsidR="00D1464A">
        <w:t xml:space="preserve">): </w:t>
      </w:r>
    </w:p>
    <w:p w14:paraId="7CD4B4C6" w14:textId="4FC200FC" w:rsidR="00F8602A" w:rsidRPr="00D50EAA" w:rsidRDefault="003D7EEB" w:rsidP="00D50EAA">
      <w:pPr>
        <w:pStyle w:val="Paragraphedeliste"/>
        <w:spacing w:after="0" w:line="324" w:lineRule="auto"/>
        <w:ind w:left="360"/>
        <w:jc w:val="both"/>
        <w:rPr>
          <w:b/>
          <w:bCs/>
        </w:rPr>
      </w:pPr>
      <w:r>
        <w:lastRenderedPageBreak/>
        <w:t>Mutations can have different origins and appear through different MoAs following the different MIEs.</w:t>
      </w:r>
      <w:r w:rsidR="006D13D9">
        <w:t xml:space="preserve"> </w:t>
      </w:r>
      <w:r>
        <w:t xml:space="preserve">Alkylation of DNA can </w:t>
      </w:r>
      <w:r w:rsidR="00E43236">
        <w:t xml:space="preserve">directly </w:t>
      </w:r>
      <w:r>
        <w:t xml:space="preserve">enhance </w:t>
      </w:r>
      <w:r w:rsidR="00E43236">
        <w:t>gene mutations (</w:t>
      </w:r>
      <w:hyperlink r:id="rId35" w:history="1">
        <w:r w:rsidR="00E43236" w:rsidRPr="005219EB">
          <w:rPr>
            <w:rStyle w:val="Lienhypertexte"/>
          </w:rPr>
          <w:t>https://aopwiki.org/relationships/25</w:t>
        </w:r>
      </w:hyperlink>
      <w:r w:rsidR="00E43236">
        <w:t>)</w:t>
      </w:r>
      <w:r w:rsidR="00BF5BFA">
        <w:t xml:space="preserve">. </w:t>
      </w:r>
      <w:r w:rsidR="00E43236">
        <w:t xml:space="preserve"> </w:t>
      </w:r>
      <w:r w:rsidR="00BF5BFA">
        <w:t xml:space="preserve">Structurally close to the </w:t>
      </w:r>
      <w:r w:rsidR="001B701E">
        <w:t>thymine</w:t>
      </w:r>
      <w:r w:rsidR="00BF5BFA">
        <w:t xml:space="preserve">, </w:t>
      </w:r>
      <w:r w:rsidR="00E43236">
        <w:t>O</w:t>
      </w:r>
      <w:r w:rsidR="00E43236" w:rsidRPr="00912E2F">
        <w:rPr>
          <w:vertAlign w:val="superscript"/>
        </w:rPr>
        <w:t>6</w:t>
      </w:r>
      <w:r w:rsidR="00E43236">
        <w:t>-alkylguanines</w:t>
      </w:r>
      <w:r w:rsidR="00A22457">
        <w:t xml:space="preserve"> (KE 1</w:t>
      </w:r>
      <w:r w:rsidR="009B7DE3">
        <w:t>4</w:t>
      </w:r>
      <w:r w:rsidR="00A22457">
        <w:t>)</w:t>
      </w:r>
      <w:r w:rsidR="00E43236">
        <w:t xml:space="preserve"> are mispaired with</w:t>
      </w:r>
      <w:r>
        <w:t xml:space="preserve"> </w:t>
      </w:r>
      <w:r w:rsidR="001B701E">
        <w:t>adenine</w:t>
      </w:r>
      <w:r>
        <w:fldChar w:fldCharType="begin"/>
      </w:r>
      <w:r w:rsidR="009B7DE3">
        <w:instrText xml:space="preserve"> ADDIN ZOTERO_ITEM CSL_CITATION {"citationID":"SyRb3OI6","properties":{"formattedCitation":"\\super 107\\nosupersub{}","plainCitation":"107","noteIndex":0},"citationItems":[{"id":309,"uris":["http://zotero.org/users/11265134/items/LX5AYIXV"],"itemData":{"id":309,"type":"article-journal","abstract":"Epidemiological studies indicate that N-nitroso compounds (NOC) are causally linked to colorectal cancer (CRC). NOC induce DNA alkylations, including O (6)-methylguanine (O (6)-MeG) and N-methylated purines, which are repaired by O (6)-MeG-DNA methyltransferase (MGMT) and N-alkyladenine-DNA glycosylase (AAG)-initiated base excision repair, respectively. In view of recent evidence of nonlinear mutagenicity for NOC-like compounds, the question arises as to the existence of threshold doses in CRC formation. Here, we set out to determine the impact of DNA repair on the dose-response of alkylation-induced CRC. DNA repair proficient (WT) and deficient (Mgmt (-/-), Aag (-/-) and Mgmt (-/-)/Aag (-/-)) mice were treated with azoxymethane (AOM) and dextran sodium sulfate to trigger CRC. Tumors were quantified by non-invasive mini-endoscopy. A non-linear increase in CRC formation was observed in WT and Aag (-/-) mice. In contrast, a linear dose-dependent increase in tumor frequency was found in Mgmt (-/-) and Mgmt (-/-)/Aag (-/-) mice. The data were corroborated by hockey stick modeling, yielding similar carcinogenic thresholds for WT and Aag (-/-) and no threshold for MGMT lacking mice. O (6)-MeG levels and depletion of MGMT correlated well with the observed dose-response in CRC formation. AOM induced dose-dependently DNA double-strand breaks in colon crypts including Lgr5-positive colon stem cells, which coincided with ATR-Chk1-p53 signaling. Intriguingly, Mgmt (-/-) mice displayed significantly enhanced levels of γ-H2AX, suggesting the usefulness of γ-H2AX as an early genotoxicity marker in the colorectum. This study demonstrates for the first time a non-linear dose-response for alkylation-induced colorectal carcinogenesis and reveals DNA repair by MGMT, but not AAG, as a key node in determining a carcinogenic threshold.","container-title":"Carcinogenesis","DOI":"10.1093/carcin/bgv114","ISSN":"1460-2180","issue":"10","journalAbbreviation":"Carcinogenesis","language":"eng","note":"PMID: 26243310","page":"1235-1244","source":"PubMed","title":"DNA repair by MGMT, but not AAG, causes a threshold in alkylation-induced colorectal carcinogenesis","volume":"36","author":[{"family":"Fahrer","given":"Jörg"},{"family":"Frisch","given":"Janina"},{"family":"Nagel","given":"Georg"},{"family":"Kraus","given":"Alexander"},{"family":"Dörsam","given":"Bastian"},{"family":"Thomas","given":"Adam D."},{"family":"Reißig","given":"Sonja"},{"family":"Waisman","given":"Ari"},{"family":"Kaina","given":"Bernd"}],"issued":{"date-parts":[["2015",10]]}}}],"schema":"https://github.com/citation-style-language/schema/raw/master/csl-citation.json"} </w:instrText>
      </w:r>
      <w:r>
        <w:fldChar w:fldCharType="separate"/>
      </w:r>
      <w:r w:rsidR="009B7DE3" w:rsidRPr="009B7DE3">
        <w:rPr>
          <w:rFonts w:ascii="Calibri" w:hAnsi="Calibri" w:cs="Calibri"/>
          <w:szCs w:val="24"/>
          <w:vertAlign w:val="superscript"/>
        </w:rPr>
        <w:t>107</w:t>
      </w:r>
      <w:r>
        <w:fldChar w:fldCharType="end"/>
      </w:r>
      <w:r w:rsidRPr="007D79F3">
        <w:t xml:space="preserve">, </w:t>
      </w:r>
      <w:r>
        <w:t>l</w:t>
      </w:r>
      <w:r w:rsidRPr="007D79F3">
        <w:t>ead</w:t>
      </w:r>
      <w:r>
        <w:t>ing</w:t>
      </w:r>
      <w:r w:rsidRPr="007D79F3">
        <w:t xml:space="preserve"> to G</w:t>
      </w:r>
      <w:r w:rsidRPr="00CA2E10">
        <w:t xml:space="preserve">C </w:t>
      </w:r>
      <w:r w:rsidRPr="003D7EEB">
        <w:rPr>
          <w:rFonts w:cstheme="minorHAnsi"/>
        </w:rPr>
        <w:t>→</w:t>
      </w:r>
      <w:r w:rsidRPr="007D79F3">
        <w:t xml:space="preserve"> AT transition</w:t>
      </w:r>
      <w:r w:rsidR="00E43236">
        <w:t>s</w:t>
      </w:r>
      <w:r w:rsidRPr="007D79F3">
        <w:t xml:space="preserve"> after two replication cycles</w:t>
      </w:r>
      <w:r>
        <w:fldChar w:fldCharType="begin"/>
      </w:r>
      <w:r w:rsidR="009B7DE3">
        <w:instrText xml:space="preserve"> ADDIN ZOTERO_ITEM CSL_CITATION {"citationID":"FAfQibrX","properties":{"formattedCitation":"\\super 130\\nosupersub{}","plainCitation":"130","noteIndex":0},"citationItems":[{"id":299,"uris":["http://zotero.org/users/11265134/items/4P3RUEQ4"],"itemData":{"id":299,"type":"article-journal","abstract":"The mutagenicity of O6-methylguanine (O6MeGua), a chemical carcinogen-DNA adduct, has been studied in vivo by using a single-stranded M13mp8 genome in which a single O6MeGua residue was positioned in the unique recognition site for the restriction endonuclease Pst I. Transformation of Escherichia coli MM294A cells with this vector gave progeny phage, of which 0.4% were mutated in their Pst I site. In a separate experiment, cellular levels of O6MeGua-DNA methyltransferase (an O6MeGua-repair protein) were depleted by treatment with N-methyl-N'-nitro-N-nitrosoguanidine (MNNG) prior to viral DNA uptake. In these cells, the mutation frequency due to O6MeGua increased with increasing MNNG dose (the highest mutation frequency observed was 20%). DNA sequence analysis of 60 mutant genomes revealed that O6MeGua induced exclusively G-to-A transitions.","container-title":"Proceedings of the National Academy of Sciences","DOI":"10.1073/pnas.81.20.6271","issue":"20","note":"publisher: Proceedings of the National Academy of Sciences","page":"6271-6275","source":"pnas.org (Atypon)","title":"In vivo mutagenesis by O6-methylguanine built into a unique site in a viral genome.","volume":"81","author":[{"family":"Loechler","given":"E L"},{"family":"Green","given":"C L"},{"family":"Essigmann","given":"J M"}],"issued":{"date-parts":[["1984",10]]}}}],"schema":"https://github.com/citation-style-language/schema/raw/master/csl-citation.json"} </w:instrText>
      </w:r>
      <w:r>
        <w:fldChar w:fldCharType="separate"/>
      </w:r>
      <w:r w:rsidR="009B7DE3" w:rsidRPr="009B7DE3">
        <w:rPr>
          <w:rFonts w:ascii="Calibri" w:hAnsi="Calibri" w:cs="Calibri"/>
          <w:szCs w:val="24"/>
          <w:vertAlign w:val="superscript"/>
        </w:rPr>
        <w:t>130</w:t>
      </w:r>
      <w:r>
        <w:fldChar w:fldCharType="end"/>
      </w:r>
      <w:r>
        <w:t>.</w:t>
      </w:r>
      <w:r w:rsidR="00E43236">
        <w:t xml:space="preserve"> Similarly, 8-oxoG</w:t>
      </w:r>
      <w:r w:rsidR="00A22457">
        <w:t xml:space="preserve"> (KE </w:t>
      </w:r>
      <w:r w:rsidR="009B7DE3">
        <w:t>14</w:t>
      </w:r>
      <w:r w:rsidR="00A22457">
        <w:t>)</w:t>
      </w:r>
      <w:r w:rsidR="00E43236">
        <w:t xml:space="preserve"> generated through oxidation of guanines by RONS</w:t>
      </w:r>
      <w:r w:rsidR="00A22457">
        <w:t xml:space="preserve"> (MIE 2)</w:t>
      </w:r>
      <w:r w:rsidR="00E43236">
        <w:t>, are structurally similar to natural nucleotides, and might escape lesion detection mechanisms</w:t>
      </w:r>
      <w:r w:rsidR="006F795B">
        <w:t>, also</w:t>
      </w:r>
      <w:r w:rsidR="00E43236">
        <w:t xml:space="preserve"> leading to </w:t>
      </w:r>
      <w:r w:rsidR="00BF5BFA" w:rsidRPr="007D79F3">
        <w:t>G</w:t>
      </w:r>
      <w:r w:rsidR="00BF5BFA" w:rsidRPr="00CA2E10">
        <w:t xml:space="preserve">C </w:t>
      </w:r>
      <w:r w:rsidR="00BF5BFA" w:rsidRPr="003D7EEB">
        <w:rPr>
          <w:rFonts w:cstheme="minorHAnsi"/>
        </w:rPr>
        <w:t>→</w:t>
      </w:r>
      <w:r w:rsidR="00BF5BFA" w:rsidRPr="007D79F3">
        <w:t xml:space="preserve"> AT </w:t>
      </w:r>
      <w:r w:rsidR="00E43236" w:rsidRPr="00F14F71">
        <w:t>transition</w:t>
      </w:r>
      <w:r w:rsidR="00E43236">
        <w:t>s</w:t>
      </w:r>
      <w:r w:rsidR="00E43236" w:rsidRPr="00F14F71">
        <w:fldChar w:fldCharType="begin"/>
      </w:r>
      <w:r w:rsidR="009B7DE3">
        <w:instrText xml:space="preserve"> ADDIN ZOTERO_ITEM CSL_CITATION {"citationID":"Yddo0sXC","properties":{"formattedCitation":"\\super 131,132\\nosupersub{}","plainCitation":"131,132","noteIndex":0},"citationItems":[{"id":323,"uris":["http://zotero.org/users/11265134/items/WZKZWGYA"],"itemData":{"id":323,"type":"article-journal","abstract":"8-Oxo-7,8-dihydroguanine (8-oxo-Gua, also known as 8-hydroxyguanine) is a major base lesion that is generated by reactive oxygen species in both the DNA and nucleotide pool. The role of DNA glycosylases, which initiate base excision repair, in the mutagenic processes of 8-oxo-Gua in DNA and 8-oxo-7,8-dihydro-2′-deoxyguanosine 5′-triphosphate (8-oxo-dGTP, also known as 8-hydroxy-2′-deoxyguanosine 5′-triphosphate) were investigated using supF shuttle plasmids propagated in human cells. The DNA glycosylases, OGG1, MUTYH, NTH1, and NEIL1, in 293T cells were individually knocked-down by siRNAs and plasmid DNAs containing an 8-oxo-Gua:C/8-oxo-Gua:A pair, and 8-oxo-dGTP plus unmodified plasmid DNA were then introduced into the knocked-down cells. The knock-down of OGG1, MUTYH, NTH1, and NEIL1 resulted in a significant increase in G:C→T:A transversions caused by the 8-oxo-Gua:C pair in the shuttle plasmid. The knock-down of MUTYH resulted in a reduction in A:T→C:G transversions induced by 8-oxo-dGTP and the 8-oxo-Gua:A pair, but the knockdown of OGG1, NTH1, and NEIL1 had no effect on mutagenesis. These results indicate that all of the above DNA glycosylases suppress mutations caused by 8-oxo-Gua:C in DNA. In contrast, it appears that MUTYH enhances A:T→C:G mutations caused by 8-oxo-dGTP.","container-title":"DNA Repair","DOI":"10.1016/j.dnarep.2010.02.004","ISSN":"1568-7864","issue":"5","journalAbbreviation":"DNA Repair","page":"542-550","source":"ScienceDirect","title":"Effects of base excision repair proteins on mutagenesis by 8-oxo-7,8-dihydroguanine (8-hydroxyguanine) paired with cytosine and adenine","volume":"9","author":[{"family":"Suzuki","given":"Tetsuya"},{"family":"Harashima","given":"Hideyoshi"},{"family":"Kamiya","given":"Hiroyuki"}],"issued":{"date-parts":[["2010",5,4]]}}},{"id":333,"uris":["http://zotero.org/users/11265134/items/AZ9RX4RE"],"itemData":{"id":333,"type":"article-journal","abstract":"The formation of 8-hydroxyguanine (8-OH-Gua, 7,8-dihydro-8-oxoguanine) in DNA and in the nucleotide pool results in G:C→T:A and A:T→C:G substitution mutations, respectively, due to the ability of 8-OH-Gua to pair with both C and A. In this study, shuttle plasmid DNAs containing 8-OH-Gua paired with C and A in the supF gene were transfected into human 293T cells, in which specialized DNA polymerases were knocked-down. The DNAs replicated in the cells were recovered and then introduced into an indicator strain of Escherichia coli. Mutation analysis indicated that the knock-downs of DNA polymerases η and ζ by siRNAs enhanced the G:C→T:A mutations caused by 8-OH-Gua:C. The 8-OH-Gua:C-induced mutation frequency was not further increased by double knock-downs of DNA polymerases η and ζ, suggesting that the two DNA polymerases work in the same pathway. In addition, the reduction of DNA polymerase η slightly decreased the A:T→C:G substitutions caused by 8-OH-Gua:A. These results suggest that DNA polymerases η and ζ are involved in the bypass of 8-OH-Gua in human cells.","container-title":"Mutation Research/Fundamental and Molecular Mechanisms of Mutagenesis","DOI":"10.1016/j.mrfmmm.2010.02.001","ISSN":"0027-5107","issue":"1","journalAbbreviation":"Mutation Research/Fundamental and Molecular Mechanisms of Mutagenesis","page":"90-95","source":"ScienceDirect","title":"Roles of specialized DNA polymerases in mutagenesis by 8-hydroxyguanine in human cells","volume":"686","author":[{"family":"Kamiya","given":"Hiroyuki"},{"family":"Yamaguchi","given":"Ayaka"},{"family":"Suzuki","given":"Tetsuya"},{"family":"Harashima","given":"Hideyoshi"}],"issued":{"date-parts":[["2010",4,1]]}}}],"schema":"https://github.com/citation-style-language/schema/raw/master/csl-citation.json"} </w:instrText>
      </w:r>
      <w:r w:rsidR="00E43236" w:rsidRPr="00F14F71">
        <w:fldChar w:fldCharType="separate"/>
      </w:r>
      <w:r w:rsidR="009B7DE3" w:rsidRPr="009B7DE3">
        <w:rPr>
          <w:rFonts w:ascii="Calibri" w:hAnsi="Calibri" w:cs="Calibri"/>
          <w:szCs w:val="24"/>
          <w:vertAlign w:val="superscript"/>
        </w:rPr>
        <w:t>131,132</w:t>
      </w:r>
      <w:r w:rsidR="00E43236" w:rsidRPr="00F14F71">
        <w:fldChar w:fldCharType="end"/>
      </w:r>
      <w:r w:rsidR="00BF5BFA">
        <w:t xml:space="preserve"> (</w:t>
      </w:r>
      <w:hyperlink r:id="rId36" w:history="1">
        <w:r w:rsidR="00BF5BFA" w:rsidRPr="005219EB">
          <w:rPr>
            <w:rStyle w:val="Lienhypertexte"/>
          </w:rPr>
          <w:t>https://aopwiki.org/relationships/1914</w:t>
        </w:r>
      </w:hyperlink>
      <w:r w:rsidR="00BF5BFA">
        <w:t xml:space="preserve">). </w:t>
      </w:r>
      <w:r w:rsidR="00702134">
        <w:t>All DNA damage susceptible to be addressed by TLS repair processes</w:t>
      </w:r>
      <w:r w:rsidR="00D50EAA">
        <w:t xml:space="preserve"> (KE 1</w:t>
      </w:r>
      <w:r w:rsidR="009B7DE3">
        <w:t>5</w:t>
      </w:r>
      <w:r w:rsidR="00D50EAA">
        <w:t xml:space="preserve"> – Inadequate DNA repair [BER, NER, TLS])</w:t>
      </w:r>
      <w:r w:rsidR="00702134">
        <w:t>, i.e. modified DNA bases (KE 1</w:t>
      </w:r>
      <w:r w:rsidR="009B7DE3">
        <w:t>4</w:t>
      </w:r>
      <w:r w:rsidR="00702134">
        <w:t>), DNA intrastrand crosslinks (MIE 3), DPCs (MIE 4) and bulky DNA adducts (MIE 5)</w:t>
      </w:r>
      <w:r w:rsidR="00D50EAA">
        <w:t>,</w:t>
      </w:r>
      <w:r w:rsidR="00702134">
        <w:t xml:space="preserve"> </w:t>
      </w:r>
      <w:r w:rsidR="00D50EAA">
        <w:t>as well as incorrectly repaired DNA SSBs (KE 1</w:t>
      </w:r>
      <w:r w:rsidR="009B7DE3">
        <w:t>7</w:t>
      </w:r>
      <w:r w:rsidR="00D50EAA">
        <w:t>), may lead to an increase in the gene mutation rate</w:t>
      </w:r>
      <w:r w:rsidR="001B701E">
        <w:fldChar w:fldCharType="begin"/>
      </w:r>
      <w:r w:rsidR="009B7DE3">
        <w:instrText xml:space="preserve"> ADDIN ZOTERO_ITEM CSL_CITATION {"citationID":"lb7FbMw6","properties":{"formattedCitation":"\\super 113,115\\nosupersub{}","plainCitation":"113,115","noteIndex":0},"citationItems":[{"id":421,"uris":["http://zotero.org/users/11265134/items/W6RD37AL"],"itemData":{"id":421,"type":"article-journal","abstract":"The structural features that enable replicative DNA polymerases to synthesize DNA rapidly and accurately also limit their ability to copy damaged DNA. Direct replication of DNA damage is termed translesion synthesis (TLS), a mechanism conserved from bacteria to mammals and executed by an array of specialized DNA polymerases. This chapter examines how these translesion polymerases replicate damaged DNA and how they are regulated to balance their ability to replicate DNA lesions with the risk of undesirable mutagenesis. It also discusses how TLS is co-opted to increase the diversity of the immunoglobulin gene hypermutation and the contribution it makes to the mutations that sculpt the genome of cancer cells.","container-title":"Cold Spring Harbor Perspectives in Biology","DOI":"10.1101/cshperspect.a012708","ISSN":", 1943-0264","issue":"3","journalAbbreviation":"Cold Spring Harb Perspect Biol","language":"en","note":"Company: Cold Spring Harbor Laboratory Press\nDistributor: Cold Spring Harbor Laboratory Press\nInstitution: Cold Spring Harbor Laboratory Press\nLabel: Cold Spring Harbor Laboratory Press\npublisher: Cold Spring Harbor Lab\nPMID: 23457261","page":"a012708","source":"cshperspectives.cshlp.org","title":"Translesion DNA Synthesis and Mutagenesis in Eukaryotes","volume":"5","author":[{"family":"Sale","given":"Julian E."}],"issued":{"date-parts":[["2013",3,1]]}}},{"id":307,"uris":["http://zotero.org/users/11265134/items/IITPG4FK"],"itemData":{"id":307,"type":"article-journal","abstract":"Tens of thousands of DNA lesions are formed in mammalian cells each day. DNA translesion synthesis is the main mechanism of cell defense against unrepaired DNA lesions. DNA polymerases iota (Pol ι), eta (Pol η), kappa (Pol κ), and zeta (Pol ζ) have active sites that are less stringent toward the DNA template structure and efficiently incorporate nucleotides opposite DNA lesions. However, these polymerases display low accuracy of DNA synthesis and can introduce mutations in genomic DNA. Impaired functioning of these enzymes can lead to an increased risk of cancer.","container-title":"Biochemistry (Moscow)","DOI":"10.1134/S0006297920040033","ISSN":"1608-3040","issue":"4","journalAbbreviation":"Biochemistry Moscow","language":"en","page":"425-435","source":"Springer Link","title":"Translesion DNA Synthesis and Carcinogenesis","volume":"85","author":[{"family":"Shilkin","given":"E. S."},{"family":"Boldinova","given":"E. O."},{"family":"Stolyarenko","given":"A. D."},{"family":"Goncharova","given":"R. I."},{"family":"Chuprov-Netochin","given":"R. N."},{"family":"Khairullin","given":"R. F."},{"family":"Smal","given":"M. P."},{"family":"Makarova","given":"A. V."}],"issued":{"date-parts":[["2020",4,1]]}}}],"schema":"https://github.com/citation-style-language/schema/raw/master/csl-citation.json"} </w:instrText>
      </w:r>
      <w:r w:rsidR="001B701E">
        <w:fldChar w:fldCharType="separate"/>
      </w:r>
      <w:r w:rsidR="009B7DE3" w:rsidRPr="009B7DE3">
        <w:rPr>
          <w:rFonts w:ascii="Calibri" w:hAnsi="Calibri" w:cs="Calibri"/>
          <w:szCs w:val="24"/>
          <w:vertAlign w:val="superscript"/>
        </w:rPr>
        <w:t>113,115</w:t>
      </w:r>
      <w:r w:rsidR="001B701E">
        <w:fldChar w:fldCharType="end"/>
      </w:r>
      <w:r w:rsidR="00D50EAA">
        <w:t>.</w:t>
      </w:r>
      <w:r w:rsidR="009A2324">
        <w:t xml:space="preserve"> Imbalances in dNTP pool, both in the overall concentration and in proportions of individual dNTPs or their precursors, are also known to provoke enhanced mu</w:t>
      </w:r>
      <w:r w:rsidR="009A2324">
        <w:lastRenderedPageBreak/>
        <w:t>tagenesis in yeast, bacterial, or mammalian cells</w:t>
      </w:r>
      <w:r w:rsidR="009A2324">
        <w:fldChar w:fldCharType="begin"/>
      </w:r>
      <w:r w:rsidR="009B7DE3">
        <w:instrText xml:space="preserve"> ADDIN ZOTERO_ITEM CSL_CITATION {"citationID":"q1KBGQWT","properties":{"formattedCitation":"\\super 90,98\\nosupersub{}","plainCitation":"90,98","noteIndex":0},"citationItems":[{"id":389,"uris":["http://zotero.org/users/11265134/items/KD2MTHFP"],"itemData":{"id":389,"type":"article-journal","abstract":"A balanced supply of deoxyribonucleoside triphosphates (dNTPs) is one of the key prerequisites for faithful genome duplication. Both the overall concentration and the balance among the individual dNTPs (dATP, dTTP, dGTP, and dCTP) are tightly regulated, primarily by the enzyme ribonucleotide reducta …","container-title":"Nucleic acids research","DOI":"10.1093/nar/gkq128","ISSN":"1362-4962","issue":"12","language":"en","note":"publisher: Nucleic Acids Res\nPMID: 20215435","source":"pubmed.ncbi.nlm.nih.gov","title":"Highly mutagenic and severely imbalanced dNTP pools can escape detection by the S-phase checkpoint","URL":"https://pubmed.ncbi.nlm.nih.gov/20215435/","volume":"38","author":[{"family":"D","given":"Kumar"},{"family":"J","given":"Viberg"},{"family":"Ak","given":"Nilsson"},{"family":"A","given":"Chabes"}],"accessed":{"date-parts":[["2024",12,18]]},"issued":{"date-parts":[["2010",7]]}},"label":"page"},{"id":395,"uris":["http://zotero.org/users/11265134/items/MHMUH95H"],"itemData":{"id":395,"type":"article-journal","abstract":"DNA precursor pool imbalances can elicit a variety of genetic effects and modulate the genotoxicity of certain DNA-damaging agents. These and other observations indicate that the control of DNA precursor concentrations is essential for the maintenance of genetic stability, and suggest that factors which offset this control may contribute to environmental mutagenesis and carcinogenesis. In this article, we review the biochemical and genetic mechanisms responsible for regulating the production and relative amounts of intracellular DNA precursors, describe the many outcomes of perturbations in DNA precursor levels, and discuss implications of such imbalances for sensitivity to DNA-damaging agents, population monitoring, and human diseases.","container-title":"Mutation Research","DOI":"10.1016/0165-1110(94)90006-x","ISSN":"0027-5107","issue":"1","journalAbbreviation":"Mutat Res","language":"eng","note":"PMID: 7519315","page":"1-64","source":"PubMed","title":"International Commission for Protection Against Environmental Mutagens and Carcinogens. Deoxyribonucleoside triphosphate levels: a critical factor in the maintenance of genetic stability","title-short":"International Commission for Protection Against Environmental Mutagens and Carcinogens. Deoxyribonucleoside triphosphate levels","volume":"318","author":[{"family":"Kunz","given":"B. A."},{"family":"Kohalmi","given":"S. E."},{"family":"Kunkel","given":"T. A."},{"family":"Mathews","given":"C. K."},{"family":"McIntosh","given":"E. M."},{"family":"Reidy","given":"J. A."}],"issued":{"date-parts":[["1994",8]]}},"label":"act"}],"schema":"https://github.com/citation-style-language/schema/raw/master/csl-citation.json"} </w:instrText>
      </w:r>
      <w:r w:rsidR="009A2324">
        <w:fldChar w:fldCharType="separate"/>
      </w:r>
      <w:r w:rsidR="009B7DE3" w:rsidRPr="009B7DE3">
        <w:rPr>
          <w:rFonts w:ascii="Calibri" w:hAnsi="Calibri" w:cs="Calibri"/>
          <w:szCs w:val="24"/>
          <w:vertAlign w:val="superscript"/>
        </w:rPr>
        <w:t>90,98</w:t>
      </w:r>
      <w:r w:rsidR="009A2324">
        <w:fldChar w:fldCharType="end"/>
      </w:r>
      <w:r w:rsidR="009A2324">
        <w:t>. Different models combining misinsertion, misalignment and mismatch extension mechanisms have been established to explain imbalanced dNTP-induced gene mutations</w:t>
      </w:r>
      <w:r w:rsidR="009A2324">
        <w:fldChar w:fldCharType="begin"/>
      </w:r>
      <w:r w:rsidR="004336A3">
        <w:instrText xml:space="preserve"> ADDIN ZOTERO_ITEM CSL_CITATION {"citationID":"vyjLBp7D","properties":{"formattedCitation":"\\super 86\\nosupersub{}","plainCitation":"86","noteIndex":0},"citationItems":[{"id":397,"uris":["http://zotero.org/users/11265134/items/KC4ZBS9P"],"itemData":{"id":397,"type":"article-journal","abstract":"The mechanisms by which imbalanced dNTPs induce mutations have been well characterized within a test tube, but not in vivo. We have examined mechanisms by which dNTP imbalances induce genome instability in strains of Saccharomyces cerevisiae with different amino acid substitutions in Rnr1, the large subunit of ribonucleotide reductase. These strains have different dNTP imbalances that correlate with elevated CAN1 mutation rates, with both substitution and insertion–deletion rates increasing by 10- to 300-fold. The locations of the mutations in a strain with elevated dTTP and dCTP are completely different from those in a strain with elevated dATP and dGTP. Thus, imbalanced dNTPs reduce genome stability in a manner that is highly dependent on the nature and degree of the imbalance. Mutagenesis is enhanced despite the availability of proofreading and mismatch repair. The mutations can be explained by imbalanced dNTP-induced increases in misinsertion, strand misalignment and mismatch extension at the expense of proofreading. This implies that the relative dNTP concentrations measured in extracts are truly available to a replication fork in vivo. An interesting mutational strand bias is observed in one rnr1 strain, suggesting that the S-phase checkpoint selectively prevents replication errors during leading strand replication.","container-title":"Nucleic Acids Research","DOI":"10.1093/nar/gkq829","ISSN":"0305-1048","issue":"4","journalAbbreviation":"Nucleic Acids Research","page":"1360-1371","source":"Silverchair","title":"Mechanisms of mutagenesis in vivo due to imbalanced dNTP pools","volume":"39","author":[{"family":"Kumar","given":"Dinesh"},{"family":"Abdulovic","given":"Amy L."},{"family":"Viberg","given":"Jörgen"},{"family":"Nilsson","given":"Anna Karin"},{"family":"Kunkel","given":"Thomas A."},{"family":"Chabes","given":"Andrei"}],"issued":{"date-parts":[["2011",3,1]]}}}],"schema":"https://github.com/citation-style-language/schema/raw/master/csl-citation.json"} </w:instrText>
      </w:r>
      <w:r w:rsidR="009A2324">
        <w:fldChar w:fldCharType="separate"/>
      </w:r>
      <w:r w:rsidR="004336A3" w:rsidRPr="004336A3">
        <w:rPr>
          <w:rFonts w:ascii="Calibri" w:hAnsi="Calibri" w:cs="Calibri"/>
          <w:szCs w:val="24"/>
          <w:vertAlign w:val="superscript"/>
        </w:rPr>
        <w:t>86</w:t>
      </w:r>
      <w:r w:rsidR="009A2324">
        <w:fldChar w:fldCharType="end"/>
      </w:r>
      <w:r w:rsidR="009A2324">
        <w:t>.</w:t>
      </w:r>
      <w:r w:rsidR="00D50EAA">
        <w:t xml:space="preserve"> </w:t>
      </w:r>
      <w:r w:rsidR="00F8602A">
        <w:t>Moreover, DNA DSBs</w:t>
      </w:r>
      <w:r w:rsidR="00682F23">
        <w:t xml:space="preserve"> (KE 2</w:t>
      </w:r>
      <w:r w:rsidR="009B7DE3">
        <w:t>0</w:t>
      </w:r>
      <w:r w:rsidR="00682F23">
        <w:t>)</w:t>
      </w:r>
      <w:r w:rsidR="00F8602A">
        <w:t xml:space="preserve"> have shown to cause gene mutations</w:t>
      </w:r>
      <w:r w:rsidR="00682F23">
        <w:t xml:space="preserve"> </w:t>
      </w:r>
      <w:r w:rsidR="006108F6">
        <w:t>(</w:t>
      </w:r>
      <w:hyperlink r:id="rId37" w:history="1">
        <w:r w:rsidR="006108F6" w:rsidRPr="005219EB">
          <w:rPr>
            <w:rStyle w:val="Lienhypertexte"/>
          </w:rPr>
          <w:t>https://aopwiki.org/relationships/1931</w:t>
        </w:r>
      </w:hyperlink>
      <w:r w:rsidR="006108F6">
        <w:t xml:space="preserve">) </w:t>
      </w:r>
      <w:r w:rsidR="00682F23">
        <w:t>through inadequate repair (KE 2</w:t>
      </w:r>
      <w:r w:rsidR="009B7DE3">
        <w:t>1</w:t>
      </w:r>
      <w:r w:rsidR="00682F23">
        <w:t>)</w:t>
      </w:r>
      <w:r w:rsidR="00F8602A">
        <w:fldChar w:fldCharType="begin"/>
      </w:r>
      <w:r w:rsidR="009B7DE3">
        <w:instrText xml:space="preserve"> ADDIN ZOTERO_ITEM CSL_CITATION {"citationID":"2hPhNgfC","properties":{"formattedCitation":"\\super 133\\nosupersub{}","plainCitation":"133","noteIndex":0},"citationItems":[{"id":351,"uris":["http://zotero.org/users/11265134/items/8TQFGWMX"],"itemData":{"id":351,"type":"article-journal","abstract":"Characterising and predicting the effects of ionising radiation on cells remains challenging, with the lack of robust models of the underlying mechanism of radiation responses providing a significant limitation to the development of personalised radiotherapy. In this paper we present a mechanistic model of cellular response to radiation that incorporates the kinetics of different DNA repair processes, the spatial distribution of double strand breaks and the resulting probability and severity of misrepair. This model enables predictions to be made of a range of key biological endpoints (DNA repair kinetics, chromosome aberration and mutation formation, survival) across a range of cell types based on a set of 11 mechanistic fitting parameters that are common across all cells. Applying this model to cellular survival showed its capacity to stratify the radiosensitivity of cells based on aspects of their phenotype and experimental conditions such as cell cycle phase and plating delay (correlation between modelled and observed Mean Inactivation Doses R2 &gt; 0.9). By explicitly incorporating underlying mechanistic factors, this model can integrate knowledge from a wide range of biological studies to provide robust predictions and may act as a foundation for future calculations of individualised radiosensitivity.","container-title":"Scientific Reports","DOI":"10.1038/srep33290","ISSN":"2045-2322","issue":"1","journalAbbreviation":"Sci Rep","language":"en","license":"2016 The Author(s)","note":"publisher: Nature Publishing Group","page":"33290","source":"www.nature.com","title":"Mechanistic Modelling of DNA Repair and Cellular Survival Following Radiation-Induced DNA Damage","volume":"6","author":[{"family":"McMahon","given":"Stephen J."},{"family":"Schuemann","given":"Jan"},{"family":"Paganetti","given":"Harald"},{"family":"Prise","given":"Kevin M."}],"issued":{"date-parts":[["2016",9,14]]}}}],"schema":"https://github.com/citation-style-language/schema/raw/master/csl-citation.json"} </w:instrText>
      </w:r>
      <w:r w:rsidR="00F8602A">
        <w:fldChar w:fldCharType="separate"/>
      </w:r>
      <w:r w:rsidR="009B7DE3" w:rsidRPr="009B7DE3">
        <w:rPr>
          <w:rFonts w:ascii="Calibri" w:hAnsi="Calibri" w:cs="Calibri"/>
          <w:szCs w:val="24"/>
          <w:vertAlign w:val="superscript"/>
        </w:rPr>
        <w:t>133</w:t>
      </w:r>
      <w:r w:rsidR="00F8602A">
        <w:fldChar w:fldCharType="end"/>
      </w:r>
      <w:r w:rsidR="00F8602A">
        <w:t xml:space="preserve">. Indeed, the NHEJ process is known to be error-prone, while </w:t>
      </w:r>
      <w:r w:rsidR="00682F23">
        <w:t>its</w:t>
      </w:r>
      <w:r w:rsidR="00F8602A">
        <w:t xml:space="preserve"> ability</w:t>
      </w:r>
      <w:r w:rsidR="00682F23">
        <w:t xml:space="preserve"> to provoke gene mutations</w:t>
      </w:r>
      <w:r w:rsidR="00F8602A">
        <w:t xml:space="preserve"> depends on the types of ends created during the generation of the DSB</w:t>
      </w:r>
      <w:r w:rsidR="00F8602A">
        <w:fldChar w:fldCharType="begin"/>
      </w:r>
      <w:r w:rsidR="009B7DE3">
        <w:instrText xml:space="preserve"> ADDIN ZOTERO_ITEM CSL_CITATION {"citationID":"U5O6TiTw","properties":{"formattedCitation":"\\super 134\\nosupersub{}","plainCitation":"134","noteIndex":0},"citationItems":[{"id":349,"uris":["http://zotero.org/users/11265134/items/H2GBDT2W"],"itemData":{"id":349,"type":"article-journal","abstract":"DNA double-strand breaks (DSBs) are harmful lesions leading to genomic instability or diversity. Non-homologous end-joining (NHEJ) is a prominent DSB repair pathway, which has long been considered to be error-prone. However, recent data have pointed to the intrinsic precision of NHEJ. Three reasons can account for the apparent fallibility of NHEJ: 1) the existence of a highly error-prone alternative end-joining process; 2) the adaptability of canonical C-NHEJ (Ku- and Xrcc4/ligase IV–dependent) to imperfect complementary ends; and 3) the requirement to first process chemically incompatible DNA ends that cannot be ligated directly. Thus, C-NHEJ is conservative but adaptable, and the accuracy of the repair is dictated by the structure of the DNA ends rather than by the C-NHEJ machinery. We present data from different organisms that describe the conservative/versatile properties of C-NHEJ. The advantages of the adaptability/versatility of C-NHEJ are discussed for the development of the immune repertoire and the resistance to ionizing radiation, especially at low doses, and for targeted genome manipulation.","container-title":"PLOS Genetics","DOI":"10.1371/journal.pgen.1004086","ISSN":"1553-7404","issue":"1","journalAbbreviation":"PLOS Genetics","language":"en","note":"publisher: Public Library of Science","page":"e1004086","source":"PLoS Journals","title":"Is Non-Homologous End-Joining Really an Inherently Error-Prone Process?","volume":"10","author":[{"family":"Bétermier","given":"Mireille"},{"family":"Bertrand","given":"Pascale"},{"family":"Lopez","given":"Bernard S."}],"issued":{"date-parts":[["2014",1,16]]}}}],"schema":"https://github.com/citation-style-language/schema/raw/master/csl-citation.json"} </w:instrText>
      </w:r>
      <w:r w:rsidR="00F8602A">
        <w:fldChar w:fldCharType="separate"/>
      </w:r>
      <w:r w:rsidR="009B7DE3" w:rsidRPr="009B7DE3">
        <w:rPr>
          <w:rFonts w:ascii="Calibri" w:hAnsi="Calibri" w:cs="Calibri"/>
          <w:szCs w:val="24"/>
          <w:vertAlign w:val="superscript"/>
        </w:rPr>
        <w:t>134</w:t>
      </w:r>
      <w:r w:rsidR="00F8602A">
        <w:fldChar w:fldCharType="end"/>
      </w:r>
      <w:r w:rsidR="00F8602A">
        <w:t xml:space="preserve">. </w:t>
      </w:r>
      <w:r w:rsidR="00D50EAA">
        <w:t>L</w:t>
      </w:r>
      <w:r w:rsidR="00F8602A">
        <w:t>arge deletions, more than point mutations, seem to be the cause of mutagenicity</w:t>
      </w:r>
      <w:r w:rsidR="00682F23">
        <w:t xml:space="preserve"> in this case</w:t>
      </w:r>
      <w:r w:rsidR="00F8602A">
        <w:t xml:space="preserve">. </w:t>
      </w:r>
      <w:r w:rsidR="00682F23">
        <w:t>Moreo</w:t>
      </w:r>
      <w:r w:rsidR="00F8602A">
        <w:t>ver, these mutations are typically rare events</w:t>
      </w:r>
      <w:r w:rsidR="00F8602A">
        <w:fldChar w:fldCharType="begin"/>
      </w:r>
      <w:r w:rsidR="009B7DE3">
        <w:instrText xml:space="preserve"> ADDIN ZOTERO_ITEM CSL_CITATION {"citationID":"AV7KiMWk","properties":{"formattedCitation":"\\super 133\\nosupersub{}","plainCitation":"133","noteIndex":0},"citationItems":[{"id":351,"uris":["http://zotero.org/users/11265134/items/8TQFGWMX"],"itemData":{"id":351,"type":"article-journal","abstract":"Characterising and predicting the effects of ionising radiation on cells remains challenging, with the lack of robust models of the underlying mechanism of radiation responses providing a significant limitation to the development of personalised radiotherapy. In this paper we present a mechanistic model of cellular response to radiation that incorporates the kinetics of different DNA repair processes, the spatial distribution of double strand breaks and the resulting probability and severity of misrepair. This model enables predictions to be made of a range of key biological endpoints (DNA repair kinetics, chromosome aberration and mutation formation, survival) across a range of cell types based on a set of 11 mechanistic fitting parameters that are common across all cells. Applying this model to cellular survival showed its capacity to stratify the radiosensitivity of cells based on aspects of their phenotype and experimental conditions such as cell cycle phase and plating delay (correlation between modelled and observed Mean Inactivation Doses R2 &gt; 0.9). By explicitly incorporating underlying mechanistic factors, this model can integrate knowledge from a wide range of biological studies to provide robust predictions and may act as a foundation for future calculations of individualised radiosensitivity.","container-title":"Scientific Reports","DOI":"10.1038/srep33290","ISSN":"2045-2322","issue":"1","journalAbbreviation":"Sci Rep","language":"en","license":"2016 The Author(s)","note":"publisher: Nature Publishing Group","page":"33290","source":"www.nature.com","title":"Mechanistic Modelling of DNA Repair and Cellular Survival Following Radiation-Induced DNA Damage","volume":"6","author":[{"family":"McMahon","given":"Stephen J."},{"family":"Schuemann","given":"Jan"},{"family":"Paganetti","given":"Harald"},{"family":"Prise","given":"Kevin M."}],"issued":{"date-parts":[["2016",9,14]]}}}],"schema":"https://github.com/citation-style-language/schema/raw/master/csl-citation.json"} </w:instrText>
      </w:r>
      <w:r w:rsidR="00F8602A">
        <w:fldChar w:fldCharType="separate"/>
      </w:r>
      <w:r w:rsidR="009B7DE3" w:rsidRPr="009B7DE3">
        <w:rPr>
          <w:rFonts w:ascii="Calibri" w:hAnsi="Calibri" w:cs="Calibri"/>
          <w:szCs w:val="24"/>
          <w:vertAlign w:val="superscript"/>
        </w:rPr>
        <w:t>133</w:t>
      </w:r>
      <w:r w:rsidR="00F8602A">
        <w:fldChar w:fldCharType="end"/>
      </w:r>
      <w:r w:rsidR="00F8602A">
        <w:t xml:space="preserve"> compared to the mutation rate after exposure to base-modifying agents such as alkylating agents. Thus, topo-II inhibitors</w:t>
      </w:r>
      <w:r w:rsidR="00D50EAA">
        <w:t>, which induce more DNA DSBs</w:t>
      </w:r>
      <w:r w:rsidR="00682F23">
        <w:t xml:space="preserve"> than alkylating agents</w:t>
      </w:r>
      <w:r w:rsidR="00D50EAA">
        <w:t>,</w:t>
      </w:r>
      <w:r w:rsidR="00F8602A">
        <w:t xml:space="preserve"> are less likely to generate gene mutations</w:t>
      </w:r>
      <w:r w:rsidR="00F8602A">
        <w:fldChar w:fldCharType="begin"/>
      </w:r>
      <w:r w:rsidR="00E774F7">
        <w:instrText xml:space="preserve"> ADDIN ZOTERO_ITEM CSL_CITATION {"citationID":"nm1730Iy","properties":{"formattedCitation":"\\super 34\\nosupersub{}","plainCitation":"34","noteIndex":0},"citationItems":[{"id":361,"uris":["http://zotero.org/users/11265134/items/EHHJT36X"],"itemData":{"id":361,"type":"article-journal","abstract":"We present a hypothetical case study to examine the use of a next-generation framework developed by the Genetic Toxicology Technical Committee of the Health and Environmental Sciences Institute for assessing the potential risk of genetic damage from a pharmaceutical perspective. We used etoposide, a genotoxic carcinogen, as a representative pharmaceutical for the purposes of this case study. Using the framework as guidance, we formulated a hypothetical scenario for the use of etoposide to illustrate the application of the framework to pharmaceuticals. We collected available data on etoposide considered relevant for assessment of genetic toxicity risk. From the data collected, we conducted a quantitative analysis to estimate margins of exposure (MOEs) to characterize the risk of genetic damage that could be used for decision-making regarding the predefined hypothetical use. We found the framework useful for guiding the selection of appropriate tests and selecting relevant endpoints that reflected the potential for genetic damage in patients. The risk characterization, presented as MOEs, allows decision makers to discern how much benefit is critical to balance any adverse effect(s) that may be induced by the pharmaceutical. Interestingly, pharmaceutical development already incorporates several aspects of the framework per regulations and health authority expectations. Moreover, we observed that quality dose response data can be obtained with carefully planned but routinely conducted genetic toxicity testing. This case study demonstrates the utility of the next-generation framework to quantitatively model human risk based on genetic damage, as applicable to pharmaceuticals.","container-title":"Environmental and Molecular Mutagenesis","DOI":"10.1002/em.22467","ISSN":"1098-2280","issue":"9","language":"en","license":"© 2021 The Authors. Environmental and Molecular Mutagenesis published by Wiley Periodicals LLC on behalf of Environmental Mutagen Society.","note":"_eprint: https://onlinelibrary.wiley.com/doi/pdf/10.1002/em.22467","page":"512-525","source":"Wiley Online Library","title":"Utility of a next-generation framework for assessment of genomic damage: A case study using the pharmaceutical drug candidate etoposide","title-short":"Utility of a next-generation framework for assessment of genomic damage","volume":"62","author":[{"family":"Nicolette","given":"John"},{"family":"Luijten","given":"Mirjam"},{"family":"Sasaki","given":"Jennifer C."},{"family":"Custer","given":"Laura"},{"family":"Embry","given":"Michelle"},{"family":"Froetschl","given":"Roland"},{"family":"Johnson","given":"George"},{"family":"Ouedraogo","given":"Gladys"},{"family":"Settivari","given":"Raja"},{"family":"Thybaud","given":"Veronique"},{"family":"Dearfield","given":"Kerry L."}],"issued":{"date-parts":[["2021"]]}}}],"schema":"https://github.com/citation-style-language/schema/raw/master/csl-citation.json"} </w:instrText>
      </w:r>
      <w:r w:rsidR="00F8602A">
        <w:fldChar w:fldCharType="separate"/>
      </w:r>
      <w:r w:rsidR="00E774F7" w:rsidRPr="00D50EAA">
        <w:rPr>
          <w:rFonts w:ascii="Calibri" w:hAnsi="Calibri" w:cs="Calibri"/>
          <w:szCs w:val="24"/>
          <w:vertAlign w:val="superscript"/>
        </w:rPr>
        <w:t>34</w:t>
      </w:r>
      <w:r w:rsidR="00F8602A">
        <w:fldChar w:fldCharType="end"/>
      </w:r>
      <w:r w:rsidR="00F8602A">
        <w:t>. This reduced probability could be explained by several reasons</w:t>
      </w:r>
      <w:r w:rsidR="00682F23">
        <w:t xml:space="preserve">, including the fact that </w:t>
      </w:r>
      <w:r w:rsidR="00F8602A">
        <w:t xml:space="preserve">DNA DSBs cause much more lethality than modified bases, reducing the probability of observing a point mutation event, and </w:t>
      </w:r>
      <w:r w:rsidR="00682F23">
        <w:t xml:space="preserve">that </w:t>
      </w:r>
      <w:r w:rsidR="00F8602A">
        <w:t xml:space="preserve">point mutations arising from DSB require a mis-repaired-inside-gene </w:t>
      </w:r>
      <w:r w:rsidR="00F8602A">
        <w:lastRenderedPageBreak/>
        <w:t xml:space="preserve">DSB, which could also be a rare event compared to multiple-points-gene small alterations </w:t>
      </w:r>
      <w:r w:rsidR="00682F23">
        <w:t>provoked by alkylating agents</w:t>
      </w:r>
      <w:r w:rsidR="00F8602A">
        <w:t xml:space="preserve">. </w:t>
      </w:r>
      <w:r w:rsidR="006D13D9">
        <w:t>Consequently</w:t>
      </w:r>
      <w:r w:rsidR="006108F6">
        <w:t>, all MIEs/KEs causing DNA DSBs, i.e. inhibition of topoisomerase II (MIE 9)</w:t>
      </w:r>
      <w:r w:rsidR="00802B3E">
        <w:t xml:space="preserve">, stalled replication fork (KE </w:t>
      </w:r>
      <w:r w:rsidR="009B7DE3">
        <w:t>18</w:t>
      </w:r>
      <w:r w:rsidR="00802B3E">
        <w:t>) and deposition of energy</w:t>
      </w:r>
      <w:r w:rsidR="006108F6">
        <w:t xml:space="preserve"> </w:t>
      </w:r>
      <w:r w:rsidR="00802B3E">
        <w:t>(</w:t>
      </w:r>
      <w:hyperlink r:id="rId38" w:history="1">
        <w:r w:rsidR="00802B3E" w:rsidRPr="005219EB">
          <w:rPr>
            <w:rStyle w:val="Lienhypertexte"/>
          </w:rPr>
          <w:t>https://aopwiki.org/relationships/1981</w:t>
        </w:r>
      </w:hyperlink>
      <w:r w:rsidR="00802B3E">
        <w:t>, MIE 10),</w:t>
      </w:r>
      <w:r w:rsidR="001A63D6">
        <w:t xml:space="preserve"> DNA SSBs accumulation (KE 1</w:t>
      </w:r>
      <w:r w:rsidR="009B7DE3">
        <w:t>6</w:t>
      </w:r>
      <w:r w:rsidR="001A63D6">
        <w:t>) and their inadequate repair (KE 1</w:t>
      </w:r>
      <w:r w:rsidR="009B7DE3">
        <w:t>7</w:t>
      </w:r>
      <w:r w:rsidR="001A63D6">
        <w:t xml:space="preserve">), </w:t>
      </w:r>
      <w:r w:rsidR="00802B3E">
        <w:t xml:space="preserve"> are</w:t>
      </w:r>
      <w:r w:rsidR="006108F6">
        <w:t xml:space="preserve"> also able to increase the gene mutation rate</w:t>
      </w:r>
      <w:r w:rsidR="006D13D9">
        <w:t xml:space="preserve"> through NHEJ</w:t>
      </w:r>
      <w:r w:rsidR="006D13D9">
        <w:fldChar w:fldCharType="begin"/>
      </w:r>
      <w:r w:rsidR="009B7DE3">
        <w:instrText xml:space="preserve"> ADDIN ZOTERO_ITEM CSL_CITATION {"citationID":"BUgVEC1y","properties":{"formattedCitation":"\\super 124\\uc0\\u8211{}126,134,135\\nosupersub{}","plainCitation":"124–126,134,135","noteIndex":0},"citationItems":[{"id":433,"uris":["http://zotero.org/users/11265134/items/TZH8L6LQ"],"itemData":{"id":433,"type":"article-journal","abstract":"Double-strand DNA breaks are common events in eukaryotic cells, and there are two major pathways for repairing them: homologous recombination and nonhomologous DNA end joining (NHEJ). The diverse causes of DSBs result in a diverse chemistry of DNA ends that must be repaired. Across NHEJ evolution, the enzymes of the NHEJ pathway exhibit a remarkable degree of structural tolerance in the range of DNA end substrate configurations upon which they can act. In vertebrate cells, the nuclease, polymerases and ligase of NHEJ are the most mechanistically flexible and multifunctional enzymes in each of their classes. Unlike repair pathways for more defined lesions, NHEJ repair enzymes act iteratively, act in any order, and can function independently of one another at each of the two DNA ends being joined. NHEJ is critical not only for the repair of pathologic DSBs as in chromosomal translocations, but also for the repair of physiologic DSBs created during V(D)J recombination and class switch recombination. Therefore, patients lacking normal NHEJ are not only sensitive to ionizing radiation, but also severely immunodeficient.","container-title":"Annual review of biochemistry","DOI":"10.1146/annurev.biochem.052308.093131","ISSN":"0066-4154","journalAbbreviation":"Annu Rev Biochem","note":"PMID: 20192759\nPMCID: PMC3079308","page":"181-211","source":"PubMed Central","title":"The Mechanism of Double-Strand DNA Break Repair by the Nonhomologous DNA End Joining Pathway","volume":"79","author":[{"family":"Lieber","given":"Michael R."}],"issued":{"date-parts":[["2010"]]}}},{"id":430,"uris":["http://zotero.org/users/11265134/items/3EPMIWVB"],"itemData":{"id":430,"type":"article-journal","abstract":"DNA double-strand breaks pose a serious threat to genome stability. In vertebrates, these breaks are predominantly repaired by nonhomologous end joining (NHEJ), which pairs DNA ends in a multiprotein synaptic complex to promote their direct ligation. NHEJ is a highly versatile pathway that uses an array of processing enzymes to modify damaged DNA ends and enable their ligation. The mechanisms of end synapsis and end processing have important implications for genome stability. Rapid and stable synapsis is necessary to limit chromosome translocations that result from the mispairing of DNA ends. Furthermore, end processing must be tightly regulated to minimize mutations at the break site. Here, we review our current mechanistic understanding of vertebrate NHEJ, with a particular focus on end synapsis and processing.","container-title":"Annual Review of Biochemistry","DOI":"10.1146/annurev-biochem-080320-110356","ISSN":"0066-4154, 1545-4509","issue":"Volume 90, 2021","language":"en","note":"publisher: Annual Reviews","page":"137-164","source":"www.annualreviews.org","title":"Repair of DNA Double-Strand Breaks by the Nonhomologous End Joining Pathway","volume":"90","author":[{"family":"Stinson","given":"Benjamin M."},{"family":"Loparo","given":"Joseph J."}],"issued":{"date-parts":[["2021",6,20]]}}},{"id":557,"uris":["http://zotero.org/users/11265134/items/3ZK2N5ID"],"itemData":{"id":557,"type":"article-journal","abstract":"DNA double-strand breaks (DSBs) are dangerous lesions that can lead to potentially oncogenic genomic rearrangements or cell death. The two major pathways for repair of DSBs are nonhomologous end joining (NHEJ) and homologous recombination (HR). NHEJ is an intrinsically error-prone pathway while HR results in accurate repair. To understand the origin of genomic instability in human cells it is important to know the contribution of each DSB repair pathway. Studies of rodent cells and human cancer cell lines have shown that the choice between NHEJ or HR pathways depends on cell cycle stage. Surprisingly, cell cycle regulation of DSB repair has not been examined in normal human cells with intact cell cycle checkpoints. Here we measured the efficiency of NHEJ and HR at different cell cycle stages in hTERT-immortalized diploid human fibroblasts. We utilized cells with chromosomally-integrated fluorescent reporter cassettes, in which a unique DSB is introduced by a rare-cutting endonuclease. We show that NHEJ is active throughout the cell cycle, and its activity increases as cells progress from G1 to G2/M (G1 &lt; S &lt; G2/M). HR is nearly absent in G1, most active in the S phase, and declines in G2/M. Thus, in G2/M NHEJ is elevated, while HR is on decline. This is in contrast to a general belief that NHEJ is most active in G1, while HR is active in S, G2 and M. The overall efficiency of NHEJ was higher than HR at all cell cycle stages. We conclude that human somatic cells utilize error-prone NHEJ as the major DSB repair pathway at all cell cycle stages, while HR is used, primarily, in the S phase.","container-title":"Cell Cycle (Georgetown, Tex.)","DOI":"10.4161/cc.7.18.6679","ISSN":"1551-4005","issue":"18","journalAbbreviation":"Cell Cycle","language":"eng","note":"PMID: 18769152\nPMCID: PMC2754209","page":"2902-2906","source":"PubMed","title":"DNA repair by nonhomologous end joining and homologous recombination during cell cycle in human cells","volume":"7","author":[{"family":"Mao","given":"Zhiyong"},{"family":"Bozzella","given":"Michael"},{"family":"Seluanov","given":"Andrei"},{"family":"Gorbunova","given":"Vera"}],"issued":{"date-parts":[["2008",9,15]]}}},{"id":349,"uris":["http://zotero.org/users/11265134/items/H2GBDT2W"],"itemData":{"id":349,"type":"article-journal","abstract":"DNA double-strand breaks (DSBs) are harmful lesions leading to genomic instability or diversity. Non-homologous end-joining (NHEJ) is a prominent DSB repair pathway, which has long been considered to be error-prone. However, recent data have pointed to the intrinsic precision of NHEJ. Three reasons can account for the apparent fallibility of NHEJ: 1) the existence of a highly error-prone alternative end-joining process; 2) the adaptability of canonical C-NHEJ (Ku- and Xrcc4/ligase IV–dependent) to imperfect complementary ends; and 3) the requirement to first process chemically incompatible DNA ends that cannot be ligated directly. Thus, C-NHEJ is conservative but adaptable, and the accuracy of the repair is dictated by the structure of the DNA ends rather than by the C-NHEJ machinery. We present data from different organisms that describe the conservative/versatile properties of C-NHEJ. The advantages of the adaptability/versatility of C-NHEJ are discussed for the development of the immune repertoire and the resistance to ionizing radiation, especially at low doses, and for targeted genome manipulation.","container-title":"PLOS Genetics","DOI":"10.1371/journal.pgen.1004086","ISSN":"1553-7404","issue":"1","journalAbbreviation":"PLOS Genetics","language":"en","note":"publisher: Public Library of Science","page":"e1004086","source":"PLoS Journals","title":"Is Non-Homologous End-Joining Really an Inherently Error-Prone Process?","volume":"10","author":[{"family":"Bétermier","given":"Mireille"},{"family":"Bertrand","given":"Pascale"},{"family":"Lopez","given":"Bernard S."}],"issued":{"date-parts":[["2014",1,16]]}}},{"id":347,"uris":["http://zotero.org/users/11265134/items/PN6M45MY"],"itemData":{"id":347,"type":"article-journal","abstract":"Eukaryotic cells repair DNA double‐strand breaks (DSBs) by at least two pathways, homologous recombination (HR) and non‐homologous end‐joining (NHEJ). Rad54 participates in the first recombinational repair pathway while Ku proteins are involved in NHEJ. To investigate the distinctive as well as redundant roles of these two repair pathways, we analyzed the mutants RAD54−/−, KU70−/− and RAD54−/−/KU70−/−, generated from the chicken B‐cell line DT40. We found that the NHEJ pathway plays a dominant role in repairing γ‐radiation‐induced DSBs during G1–early S phase while recombinational repair is preferentially used in late S–G2 phase. RAD54−/−/KU70−/− cells were profoundly more sensitive to γ‐rays than either single mutant, indicating that the two repair pathways are complementary. Spontaneous chromosomal aberrations and cell death were observed in both RAD54−/− and RAD54−/−/KU70−/− cells, with RAD54−/−/KU70−/− cells exhibiting significantly higher levels of chromosomal aberrations than RAD54−/− cells. These observations provide the first genetic evidence that both repair pathways play a role in maintaining chromosomal DNA during the cell cycle.","container-title":"The EMBO Journal","DOI":"10.1093/emboj/17.18.5497","ISSN":"0261-4189","issue":"18","note":"number-of-pages: 5508\npublisher: John Wiley &amp; Sons, Ltd","page":"5497-5508","source":"embopress.org (Atypon)","title":"Homologous recombination and non‐homologous end‐joining pathways of DNA double‐strand break repair have overlapping roles in the maintenance of chromosomal integrity in vertebrate cells","volume":"17","author":[{"family":"Takata","given":"Minoru"},{"family":"Sasaki","given":"Masao S."},{"family":"Sonoda","given":"Eiichiro"},{"family":"Morrison","given":"Ciaran"},{"family":"Hashimoto","given":"Mitsumasa"},{"family":"Utsumi","given":"Hiroshi"},{"family":"Yamaguchi‐Iwai","given":"Yuko"},{"family":"Shinohara","given":"Akira"},{"family":"Takeda","given":"Shunichi"}],"issued":{"date-parts":[["1998",9,15]]}}}],"schema":"https://github.com/citation-style-language/schema/raw/master/csl-citation.json"} </w:instrText>
      </w:r>
      <w:r w:rsidR="006D13D9">
        <w:fldChar w:fldCharType="separate"/>
      </w:r>
      <w:r w:rsidR="009B7DE3" w:rsidRPr="009B7DE3">
        <w:rPr>
          <w:rFonts w:ascii="Calibri" w:hAnsi="Calibri" w:cs="Calibri"/>
          <w:szCs w:val="24"/>
          <w:vertAlign w:val="superscript"/>
        </w:rPr>
        <w:t>124–126,134,135</w:t>
      </w:r>
      <w:r w:rsidR="006D13D9">
        <w:fldChar w:fldCharType="end"/>
      </w:r>
      <w:r w:rsidR="006108F6">
        <w:t>.</w:t>
      </w:r>
    </w:p>
    <w:p w14:paraId="38FE9246" w14:textId="07281202" w:rsidR="00EA5A31" w:rsidRDefault="00EA5A31" w:rsidP="00F8602A">
      <w:pPr>
        <w:pStyle w:val="Paragraphedeliste"/>
        <w:spacing w:after="0" w:line="324" w:lineRule="auto"/>
        <w:ind w:left="360"/>
        <w:jc w:val="both"/>
      </w:pPr>
    </w:p>
    <w:p w14:paraId="67733ED6" w14:textId="58EDD2D6" w:rsidR="001A63D6" w:rsidRPr="00A06928" w:rsidRDefault="00D1464A" w:rsidP="00A35340">
      <w:pPr>
        <w:pStyle w:val="Paragraphedeliste"/>
        <w:numPr>
          <w:ilvl w:val="0"/>
          <w:numId w:val="28"/>
        </w:numPr>
        <w:spacing w:after="0" w:line="324" w:lineRule="auto"/>
        <w:jc w:val="both"/>
        <w:rPr>
          <w:b/>
          <w:bCs/>
        </w:rPr>
      </w:pPr>
      <w:r w:rsidRPr="00F8602A">
        <w:rPr>
          <w:b/>
          <w:bCs/>
        </w:rPr>
        <w:t xml:space="preserve">Increase, Structural chromosome aberrations </w:t>
      </w:r>
      <w:r>
        <w:t>(</w:t>
      </w:r>
      <w:hyperlink r:id="rId39" w:history="1">
        <w:r w:rsidRPr="005219EB">
          <w:rPr>
            <w:rStyle w:val="Lienhypertexte"/>
          </w:rPr>
          <w:t>https://aopwiki.org/events/1635</w:t>
        </w:r>
      </w:hyperlink>
      <w:r>
        <w:t>, Figure 2 – AO 2</w:t>
      </w:r>
      <w:r w:rsidR="009B7DE3">
        <w:t>3</w:t>
      </w:r>
      <w:r>
        <w:t>):</w:t>
      </w:r>
      <w:r w:rsidR="00364EDD">
        <w:t xml:space="preserve"> </w:t>
      </w:r>
    </w:p>
    <w:p w14:paraId="0A24B9BC" w14:textId="7F516DDD" w:rsidR="00364EDD" w:rsidRPr="00BC2D64" w:rsidRDefault="001A63D6" w:rsidP="00A06928">
      <w:pPr>
        <w:pStyle w:val="Paragraphedeliste"/>
        <w:spacing w:after="0" w:line="324" w:lineRule="auto"/>
        <w:ind w:left="360"/>
        <w:jc w:val="both"/>
        <w:rPr>
          <w:b/>
          <w:bCs/>
        </w:rPr>
      </w:pPr>
      <w:r>
        <w:t>U</w:t>
      </w:r>
      <w:r w:rsidR="00364EDD">
        <w:t>ncontrolled DNA DSBs</w:t>
      </w:r>
      <w:r>
        <w:t xml:space="preserve"> (KE 2</w:t>
      </w:r>
      <w:r w:rsidR="009B7DE3">
        <w:t>0</w:t>
      </w:r>
      <w:r>
        <w:t>), that</w:t>
      </w:r>
      <w:r w:rsidR="00F91E43">
        <w:t xml:space="preserve"> </w:t>
      </w:r>
      <w:r w:rsidR="001B701E">
        <w:t xml:space="preserve">can </w:t>
      </w:r>
      <w:r w:rsidR="00F91E43">
        <w:t>directly</w:t>
      </w:r>
      <w:r w:rsidR="00364EDD">
        <w:t xml:space="preserve"> appear after topo-II enzyme inhibition</w:t>
      </w:r>
      <w:r>
        <w:t xml:space="preserve"> (MIE 9)</w:t>
      </w:r>
      <w:r w:rsidR="00F91E43">
        <w:fldChar w:fldCharType="begin"/>
      </w:r>
      <w:r w:rsidR="004336A3">
        <w:instrText xml:space="preserve"> ADDIN ZOTERO_ITEM CSL_CITATION {"citationID":"5DZBFNbM","properties":{"formattedCitation":"\\super 34,67\\nosupersub{}","plainCitation":"34,67","noteIndex":0},"citationItems":[{"id":361,"uris":["http://zotero.org/users/11265134/items/EHHJT36X"],"itemData":{"id":361,"type":"article-journal","abstract":"We present a hypothetical case study to examine the use of a next-generation framework developed by the Genetic Toxicology Technical Committee of the Health and Environmental Sciences Institute for assessing the potential risk of genetic damage from a pharmaceutical perspective. We used etoposide, a genotoxic carcinogen, as a representative pharmaceutical for the purposes of this case study. Using the framework as guidance, we formulated a hypothetical scenario for the use of etoposide to illustrate the application of the framework to pharmaceuticals. We collected available data on etoposide considered relevant for assessment of genetic toxicity risk. From the data collected, we conducted a quantitative analysis to estimate margins of exposure (MOEs) to characterize the risk of genetic damage that could be used for decision-making regarding the predefined hypothetical use. We found the framework useful for guiding the selection of appropriate tests and selecting relevant endpoints that reflected the potential for genetic damage in patients. The risk characterization, presented as MOEs, allows decision makers to discern how much benefit is critical to balance any adverse effect(s) that may be induced by the pharmaceutical. Interestingly, pharmaceutical development already incorporates several aspects of the framework per regulations and health authority expectations. Moreover, we observed that quality dose response data can be obtained with carefully planned but routinely conducted genetic toxicity testing. This case study demonstrates the utility of the next-generation framework to quantitatively model human risk based on genetic damage, as applicable to pharmaceuticals.","container-title":"Environmental and Molecular Mutagenesis","DOI":"10.1002/em.22467","ISSN":"1098-2280","issue":"9","language":"en","license":"© 2021 The Authors. Environmental and Molecular Mutagenesis published by Wiley Periodicals LLC on behalf of Environmental Mutagen Society.","note":"_eprint: https://onlinelibrary.wiley.com/doi/pdf/10.1002/em.22467","page":"512-525","source":"Wiley Online Library","title":"Utility of a next-generation framework for assessment of genomic damage: A case study using the pharmaceutical drug candidate etoposide","title-short":"Utility of a next-generation framework for assessment of genomic damage","volume":"62","author":[{"family":"Nicolette","given":"John"},{"family":"Luijten","given":"Mirjam"},{"family":"Sasaki","given":"Jennifer C."},{"family":"Custer","given":"Laura"},{"family":"Embry","given":"Michelle"},{"family":"Froetschl","given":"Roland"},{"family":"Johnson","given":"George"},{"family":"Ouedraogo","given":"Gladys"},{"family":"Settivari","given":"Raja"},{"family":"Thybaud","given":"Veronique"},{"family":"Dearfield","given":"Kerry L."}],"issued":{"date-parts":[["2021"]]}}},{"id":537,"uris":["http://zotero.org/users/11265134/items/STP9N62H"],"itemData":{"id":537,"type":"article-journal","abstract":"DNA topoisomerase II is an essential nuclear enzyme that modulates DNA topology during multiple cellular processes such as DNA replication and chromosome segregation. Several important clinical antitumor drugs and antibiotics act through inhibition of topoisomerase II. There are a number of different steps in the action of topoisomerase II, all of which are potential targets for inhibition through drugs and also for cellular and genetic toxicity as well as for mutagenesis. We have investigated and compared the genotoxicity and mutagenicity of the mechanistically different topoisomerase II inhibitors m-amsacrine, mitoxantrone, etoposide, genistein, ICRF 193, and berenil using the in vitro micronucleus test, single cell gelelectrophoresis (comet assay) and the mutation assay (tk-locus) in L5178Y mouse lymphoma cells. All six compounds induced micronuclei and all except berenil were mutagenic. M-amsacrine, mitoxantrone, etopside and genistein induced DNA migration in the comet assay, whereas ICRF 193 was only weakly positive and berenil was negative in this test. Our results are in good agreement with the compounds’ proposed mechanisms of interaction with topoisomerase II.","container-title":"Toxicology Letters","DOI":"10.1016/S0378-4274(00)00192-2","ISSN":"0378-4274","issue":"1","journalAbbreviation":"Toxicology Letters","page":"7-16","source":"ScienceDirect","title":"Genotoxicity of several clinically used topoisomerase II inhibitors","volume":"116","author":[{"family":"Boos","given":"Gunther"},{"family":"Stopper","given":"Helga"}],"issued":{"date-parts":[["2000",7,27]]}}}],"schema":"https://github.com/citation-style-language/schema/raw/master/csl-citation.json"} </w:instrText>
      </w:r>
      <w:r w:rsidR="00F91E43">
        <w:fldChar w:fldCharType="separate"/>
      </w:r>
      <w:r w:rsidR="004336A3" w:rsidRPr="004336A3">
        <w:rPr>
          <w:rFonts w:ascii="Calibri" w:hAnsi="Calibri" w:cs="Calibri"/>
          <w:szCs w:val="24"/>
          <w:vertAlign w:val="superscript"/>
        </w:rPr>
        <w:t>34,67</w:t>
      </w:r>
      <w:r w:rsidR="00F91E43">
        <w:fldChar w:fldCharType="end"/>
      </w:r>
      <w:r w:rsidR="00364EDD">
        <w:t xml:space="preserve">, </w:t>
      </w:r>
      <w:r w:rsidR="00F8602A">
        <w:t>deposition of energy</w:t>
      </w:r>
      <w:r w:rsidR="001603EC">
        <w:t xml:space="preserve"> </w:t>
      </w:r>
      <w:r w:rsidR="00AC0293">
        <w:t>(</w:t>
      </w:r>
      <w:hyperlink r:id="rId40" w:history="1">
        <w:r w:rsidR="00AC0293" w:rsidRPr="005219EB">
          <w:rPr>
            <w:rStyle w:val="Lienhypertexte"/>
          </w:rPr>
          <w:t>https://aopwiki.org/relationships/1982</w:t>
        </w:r>
      </w:hyperlink>
      <w:r w:rsidR="00AC0293">
        <w:t xml:space="preserve">) </w:t>
      </w:r>
      <w:r w:rsidR="00F8602A">
        <w:t>and direct strand breakage</w:t>
      </w:r>
      <w:r>
        <w:t xml:space="preserve"> (MIE 10)</w:t>
      </w:r>
      <w:r w:rsidR="00F91E43">
        <w:fldChar w:fldCharType="begin"/>
      </w:r>
      <w:r w:rsidR="004336A3">
        <w:instrText xml:space="preserve"> ADDIN ZOTERO_ITEM CSL_CITATION {"citationID":"5lx1tvus","properties":{"formattedCitation":"\\super 70\\nosupersub{}","plainCitation":"70","noteIndex":0},"citationItems":[{"id":276,"uris":["http://zotero.org/users/11265134/items/KRUM4R98"],"itemData":{"id":276,"type":"article-journal","abstract":"Ionizing radiation exposure can induce profound changes in intracellular components, potentially leading to diverse health effects in exposed individuals. Any cellular component can be damaged by radiation, but some components affect cellular viability more profoundly than others. The ionization caused by radiation lasts longer than the initial inciting incident, continuing as 1 ionization incident causes another. In some cases, damage to DNA can lead to cellular death at mitosis. In other cases, activation of the genetic machinery can lead to a genetic cascade potentially leading to mutations or cell death by apoptosis. In the third of 5 articles on the management of injuries and illnesses caused by ionizing radiation, the authors provide a clinically relevant overview of the pathophysiologic process associated with potential exposure to ionizing radiation.","container-title":"Journal of Osteopathic Medicine","DOI":"10.7556/jaoa.2014.109","ISSN":"2702-3648","issue":"7","language":"en","license":"De Gruyter expressly reserves the right to use all content for commercial text and data mining within the meaning of Section 44b of the German Copyright Act.","note":"publisher: De Gruyter","page":"556-565","source":"www.degruyter.com","title":"Management of Ionizing Radiation Injuries and Illnesses, Part 3: Radiobiology and Health Effects of Ionizing Radiation","title-short":"Management of Ionizing Radiation Injuries and Illnesses, Part 3","volume":"114","author":[{"family":"Christensen","given":"Doran M."},{"family":"Livingston","given":"Gordon K."},{"family":"Sugarman","given":"Stephen L."},{"family":"Parillo","given":"Steven J."},{"family":"Glassman","given":"Erik S."}],"issued":{"date-parts":[["2014",7,1]]}}}],"schema":"https://github.com/citation-style-language/schema/raw/master/csl-citation.json"} </w:instrText>
      </w:r>
      <w:r w:rsidR="00F91E43">
        <w:fldChar w:fldCharType="separate"/>
      </w:r>
      <w:r w:rsidR="004336A3" w:rsidRPr="004336A3">
        <w:rPr>
          <w:rFonts w:ascii="Calibri" w:hAnsi="Calibri" w:cs="Calibri"/>
          <w:szCs w:val="24"/>
          <w:vertAlign w:val="superscript"/>
        </w:rPr>
        <w:t>70</w:t>
      </w:r>
      <w:r w:rsidR="00F91E43">
        <w:fldChar w:fldCharType="end"/>
      </w:r>
      <w:r w:rsidR="00F8602A">
        <w:t>, collapse of stalled replication forks</w:t>
      </w:r>
      <w:r w:rsidR="009B7DE3">
        <w:t xml:space="preserve"> (KE 18)</w:t>
      </w:r>
      <w:r w:rsidR="00F91E43">
        <w:fldChar w:fldCharType="begin"/>
      </w:r>
      <w:r w:rsidR="004336A3">
        <w:instrText xml:space="preserve"> ADDIN ZOTERO_ITEM CSL_CITATION {"citationID":"lZx49GQh","properties":{"formattedCitation":"\\super 62\\nosupersub{}","plainCitation":"62","noteIndex":0},"citationItems":[{"id":546,"uris":["http://zotero.org/users/11265134/items/9Z7L6NYL"],"itemData":{"id":546,"type":"article-journal","abstract":"Most chemotherapy regimens contain at least one DNA-damaging agent that preferentially affects the growth of cancer cells. This strategy takes advantage of the differences in cell proliferation between normal and cancer cells. Chemotherapeutic drugs are usually designed to target rapid-dividing cells because sustained proliferation is a common feature of cancer [1,2]. Rapid DNA replication is essential for highly proliferative cells, thus blocking of DNA replication will create numerous mutations and/or chromosome rearrangements—ultimately triggering cell death [3]. Along these lines, DNA topoisomerase inhibitors are of great interest because they help to maintain strand breaks generated by topoisomerases during replication. In this article, we discuss the characteristics of topoisomerase (DNA) I (TOP1) and its inhibitors, as well as the underlying DNA repair pathways and the use of TOP1 inhibitors in cancer therapy.","container-title":"Biomolecules","DOI":"10.3390/biom5031652","ISSN":"2218-273X","issue":"3","journalAbbreviation":"Biomolecules","note":"PMID: 26287259\nPMCID: PMC4598769","page":"1652-1670","source":"PubMed Central","title":"Inhibition of Topoisomerase (DNA) I (TOP1): DNA Damage Repair and Anticancer Therapy","title-short":"Inhibition of Topoisomerase (DNA) I (TOP1)","volume":"5","author":[{"family":"Xu","given":"Yang"},{"family":"Her","given":"Chengtao"}],"issued":{"date-parts":[["2015",7,22]]}}}],"schema":"https://github.com/citation-style-language/schema/raw/master/csl-citation.json"} </w:instrText>
      </w:r>
      <w:r w:rsidR="00F91E43">
        <w:fldChar w:fldCharType="separate"/>
      </w:r>
      <w:r w:rsidR="004336A3" w:rsidRPr="004336A3">
        <w:rPr>
          <w:rFonts w:ascii="Calibri" w:hAnsi="Calibri" w:cs="Calibri"/>
          <w:szCs w:val="24"/>
          <w:vertAlign w:val="superscript"/>
        </w:rPr>
        <w:t>62</w:t>
      </w:r>
      <w:r w:rsidR="00F91E43">
        <w:fldChar w:fldCharType="end"/>
      </w:r>
      <w:r w:rsidR="00F8602A">
        <w:t xml:space="preserve"> or through opposed-strand SSBs proximity</w:t>
      </w:r>
      <w:r w:rsidR="009B7DE3">
        <w:t xml:space="preserve"> (KE 16)</w:t>
      </w:r>
      <w:r w:rsidR="003F7C1E">
        <w:fldChar w:fldCharType="begin"/>
      </w:r>
      <w:r w:rsidR="009B7DE3">
        <w:instrText xml:space="preserve"> ADDIN ZOTERO_ITEM CSL_CITATION {"citationID":"DxUxbRiX","properties":{"formattedCitation":"\\super 105,109\\nosupersub{}","plainCitation":"105,109","noteIndex":0},"citationItems":[{"id":320,"uris":["http://zotero.org/users/11265134/items/JA8LF9T5"],"itemData":{"id":320,"type":"article-journal","abstract":"&lt;h2&gt;Abstract&lt;/h2&gt;&lt;p&gt;DNA single-strand breaks (SSBs) are among the most common lesions arising in human cells, with tens to hundreds of thousands arising in each cell, each day. Cells have efficient mechanisms for the sensing and repair of these ubiquitous DNA lesions, but the failure of these processes to rapidly remove SSBs can lead to a variety of pathogenic outcomes. The threat posed by unrepaired SSBs is illustrated by the existence of at least six genetic diseases in which SSB repair (SSBR) is defective, all of which are characterised by neurodevelopmental and/or neurodegenerative pathology. Here, I review current understanding of how SSBs arise and impact on critical molecular processes, such as DNA replication and gene transcription, and their links to human disease.&lt;/p&gt;","container-title":"Trends in Biochemical Sciences","DOI":"10.1016/j.tibs.2023.11.001","ISSN":"0968-0004","issue":"1","journalAbbreviation":"Trends in Biochemical Sciences","language":"English","note":"publisher: Elsevier\nPMID: 38040599","page":"68-78","source":"www.cell.com","title":"Causes and consequences of DNA single-strand breaks","volume":"49","author":[{"family":"Caldecott","given":"Keith W."}],"issued":{"date-parts":[["2024",1,1]]}}},{"id":403,"uris":["http://zotero.org/users/11265134/items/TW5I374L"],"itemData":{"id":403,"type":"article-journal","abstract":"Single-strand breaks (SSBs) are the most common lesions arising in cells, and chromosomal single-strand break repair (SSBR) is a rapid and efficient process.In addition to the rapid 'global' SSBR processes that remove SSBs throughout the genome and throughout interphase, there might be S-phase specific processes that operate at replication forks in conjunction with homologous recombination.Two of the proteins that repair damaged DNA termini during global SSBR (tyrosyl-DNA phosphodiesterase 1 and aprataxin) are mutated in the hereditary genetic diseases spinocerebellar ataxia with axonal neuropathy 1 (SCAN1) and ataxia oculomotor apraxia 1 (AOA1), implicating unrepaired SSBs in progressive neurological dysfunction.Whereas post-mitotic cells seem to be dependent on global SSBR for genetic integrity, proliferating cells can additionally use replication-coupled SSBR. This might explain why SCAN1 and AOA1 are not associated with elevated genetic instability and cancer.","container-title":"Nature Reviews Genetics","DOI":"10.1038/nrg2380","ISSN":"1471-0064","issue":"8","journalAbbreviation":"Nat Rev Genet","language":"en","license":"2008 Springer Nature Limited","note":"publisher: Nature Publishing Group","page":"619-631","source":"www.nature.com","title":"Single-strand break repair and genetic disease","volume":"9","author":[{"family":"Caldecott","given":"Keith W."}],"issued":{"date-parts":[["2008",8]]}}}],"schema":"https://github.com/citation-style-language/schema/raw/master/csl-citation.json"} </w:instrText>
      </w:r>
      <w:r w:rsidR="003F7C1E">
        <w:fldChar w:fldCharType="separate"/>
      </w:r>
      <w:r w:rsidR="009B7DE3" w:rsidRPr="009B7DE3">
        <w:rPr>
          <w:rFonts w:ascii="Calibri" w:hAnsi="Calibri" w:cs="Calibri"/>
          <w:szCs w:val="24"/>
          <w:vertAlign w:val="superscript"/>
        </w:rPr>
        <w:t>105,109</w:t>
      </w:r>
      <w:r w:rsidR="003F7C1E">
        <w:fldChar w:fldCharType="end"/>
      </w:r>
      <w:r w:rsidR="00AC0293">
        <w:t xml:space="preserve"> (</w:t>
      </w:r>
      <w:hyperlink r:id="rId41" w:history="1">
        <w:r w:rsidR="00AC0293" w:rsidRPr="005219EB">
          <w:rPr>
            <w:rStyle w:val="Lienhypertexte"/>
          </w:rPr>
          <w:t>https://aopwiki.org/relationships/1939</w:t>
        </w:r>
      </w:hyperlink>
      <w:r w:rsidR="00AC0293">
        <w:t>),</w:t>
      </w:r>
      <w:r w:rsidR="00364EDD">
        <w:t xml:space="preserve"> </w:t>
      </w:r>
      <w:r w:rsidR="00F8602A">
        <w:t>will</w:t>
      </w:r>
      <w:r w:rsidR="00364EDD">
        <w:t xml:space="preserve"> be</w:t>
      </w:r>
      <w:r w:rsidR="00F8602A">
        <w:t xml:space="preserve"> mainly</w:t>
      </w:r>
      <w:r w:rsidR="00364EDD">
        <w:t xml:space="preserve"> repaired through the NHEJ process</w:t>
      </w:r>
      <w:r>
        <w:t xml:space="preserve"> (KE 23)</w:t>
      </w:r>
      <w:r w:rsidR="00364EDD">
        <w:fldChar w:fldCharType="begin"/>
      </w:r>
      <w:r w:rsidR="009B7DE3">
        <w:instrText xml:space="preserve"> ADDIN ZOTERO_ITEM CSL_CITATION {"citationID":"C92YkJGs","properties":{"formattedCitation":"\\super 124\\uc0\\u8211{}126,134,135\\nosupersub{}","plainCitation":"124–126,134,135","noteIndex":0},"citationItems":[{"id":433,"uris":["http://zotero.org/users/11265134/items/TZH8L6LQ"],"itemData":{"id":433,"type":"article-journal","abstract":"Double-strand DNA breaks are common events in eukaryotic cells, and there are two major pathways for repairing them: homologous recombination and nonhomologous DNA end joining (NHEJ). The diverse causes of DSBs result in a diverse chemistry of DNA ends that must be repaired. Across NHEJ evolution, the enzymes of the NHEJ pathway exhibit a remarkable degree of structural tolerance in the range of DNA end substrate configurations upon which they can act. In vertebrate cells, the nuclease, polymerases and ligase of NHEJ are the most mechanistically flexible and multifunctional enzymes in each of their classes. Unlike repair pathways for more defined lesions, NHEJ repair enzymes act iteratively, act in any order, and can function independently of one another at each of the two DNA ends being joined. NHEJ is critical not only for the repair of pathologic DSBs as in chromosomal translocations, but also for the repair of physiologic DSBs created during V(D)J recombination and class switch recombination. Therefore, patients lacking normal NHEJ are not only sensitive to ionizing radiation, but also severely immunodeficient.","container-title":"Annual review of biochemistry","DOI":"10.1146/annurev.biochem.052308.093131","ISSN":"0066-4154","journalAbbreviation":"Annu Rev Biochem","note":"PMID: 20192759\nPMCID: PMC3079308","page":"181-211","source":"PubMed Central","title":"The Mechanism of Double-Strand DNA Break Repair by the Nonhomologous DNA End Joining Pathway","volume":"79","author":[{"family":"Lieber","given":"Michael R."}],"issued":{"date-parts":[["2010"]]}}},{"id":430,"uris":["http://zotero.org/users/11265134/items/3EPMIWVB"],"itemData":{"id":430,"type":"article-journal","abstract":"DNA double-strand breaks pose a serious threat to genome stability. In vertebrates, these breaks are predominantly repaired by nonhomologous end joining (NHEJ), which pairs DNA ends in a multiprotein synaptic complex to promote their direct ligation. NHEJ is a highly versatile pathway that uses an array of processing enzymes to modify damaged DNA ends and enable their ligation. The mechanisms of end synapsis and end processing have important implications for genome stability. Rapid and stable synapsis is necessary to limit chromosome translocations that result from the mispairing of DNA ends. Furthermore, end processing must be tightly regulated to minimize mutations at the break site. Here, we review our current mechanistic understanding of vertebrate NHEJ, with a particular focus on end synapsis and processing.","container-title":"Annual Review of Biochemistry","DOI":"10.1146/annurev-biochem-080320-110356","ISSN":"0066-4154, 1545-4509","issue":"Volume 90, 2021","language":"en","note":"publisher: Annual Reviews","page":"137-164","source":"www.annualreviews.org","title":"Repair of DNA Double-Strand Breaks by the Nonhomologous End Joining Pathway","volume":"90","author":[{"family":"Stinson","given":"Benjamin M."},{"family":"Loparo","given":"Joseph J."}],"issued":{"date-parts":[["2021",6,20]]}}},{"id":557,"uris":["http://zotero.org/users/11265134/items/3ZK2N5ID"],"itemData":{"id":557,"type":"article-journal","abstract":"DNA double-strand breaks (DSBs) are dangerous lesions that can lead to potentially oncogenic genomic rearrangements or cell death. The two major pathways for repair of DSBs are nonhomologous end joining (NHEJ) and homologous recombination (HR). NHEJ is an intrinsically error-prone pathway while HR results in accurate repair. To understand the origin of genomic instability in human cells it is important to know the contribution of each DSB repair pathway. Studies of rodent cells and human cancer cell lines have shown that the choice between NHEJ or HR pathways depends on cell cycle stage. Surprisingly, cell cycle regulation of DSB repair has not been examined in normal human cells with intact cell cycle checkpoints. Here we measured the efficiency of NHEJ and HR at different cell cycle stages in hTERT-immortalized diploid human fibroblasts. We utilized cells with chromosomally-integrated fluorescent reporter cassettes, in which a unique DSB is introduced by a rare-cutting endonuclease. We show that NHEJ is active throughout the cell cycle, and its activity increases as cells progress from G1 to G2/M (G1 &lt; S &lt; G2/M). HR is nearly absent in G1, most active in the S phase, and declines in G2/M. Thus, in G2/M NHEJ is elevated, while HR is on decline. This is in contrast to a general belief that NHEJ is most active in G1, while HR is active in S, G2 and M. The overall efficiency of NHEJ was higher than HR at all cell cycle stages. We conclude that human somatic cells utilize error-prone NHEJ as the major DSB repair pathway at all cell cycle stages, while HR is used, primarily, in the S phase.","container-title":"Cell Cycle (Georgetown, Tex.)","DOI":"10.4161/cc.7.18.6679","ISSN":"1551-4005","issue":"18","journalAbbreviation":"Cell Cycle","language":"eng","note":"PMID: 18769152\nPMCID: PMC2754209","page":"2902-2906","source":"PubMed","title":"DNA repair by nonhomologous end joining and homologous recombination during cell cycle in human cells","volume":"7","author":[{"family":"Mao","given":"Zhiyong"},{"family":"Bozzella","given":"Michael"},{"family":"Seluanov","given":"Andrei"},{"family":"Gorbunova","given":"Vera"}],"issued":{"date-parts":[["2008",9,15]]}}},{"id":349,"uris":["http://zotero.org/users/11265134/items/H2GBDT2W"],"itemData":{"id":349,"type":"article-journal","abstract":"DNA double-strand breaks (DSBs) are harmful lesions leading to genomic instability or diversity. Non-homologous end-joining (NHEJ) is a prominent DSB repair pathway, which has long been considered to be error-prone. However, recent data have pointed to the intrinsic precision of NHEJ. Three reasons can account for the apparent fallibility of NHEJ: 1) the existence of a highly error-prone alternative end-joining process; 2) the adaptability of canonical C-NHEJ (Ku- and Xrcc4/ligase IV–dependent) to imperfect complementary ends; and 3) the requirement to first process chemically incompatible DNA ends that cannot be ligated directly. Thus, C-NHEJ is conservative but adaptable, and the accuracy of the repair is dictated by the structure of the DNA ends rather than by the C-NHEJ machinery. We present data from different organisms that describe the conservative/versatile properties of C-NHEJ. The advantages of the adaptability/versatility of C-NHEJ are discussed for the development of the immune repertoire and the resistance to ionizing radiation, especially at low doses, and for targeted genome manipulation.","container-title":"PLOS Genetics","DOI":"10.1371/journal.pgen.1004086","ISSN":"1553-7404","issue":"1","journalAbbreviation":"PLOS Genetics","language":"en","note":"publisher: Public Library of Science","page":"e1004086","source":"PLoS Journals","title":"Is Non-Homologous End-Joining Really an Inherently Error-Prone Process?","volume":"10","author":[{"family":"Bétermier","given":"Mireille"},{"family":"Bertrand","given":"Pascale"},{"family":"Lopez","given":"Bernard S."}],"issued":{"date-parts":[["2014",1,16]]}}},{"id":347,"uris":["http://zotero.org/users/11265134/items/PN6M45MY"],"itemData":{"id":347,"type":"article-journal","abstract":"Eukaryotic cells repair DNA double‐strand breaks (DSBs) by at least two pathways, homologous recombination (HR) and non‐homologous end‐joining (NHEJ). Rad54 participates in the first recombinational repair pathway while Ku proteins are involved in NHEJ. To investigate the distinctive as well as redundant roles of these two repair pathways, we analyzed the mutants RAD54−/−, KU70−/− and RAD54−/−/KU70−/−, generated from the chicken B‐cell line DT40. We found that the NHEJ pathway plays a dominant role in repairing γ‐radiation‐induced DSBs during G1–early S phase while recombinational repair is preferentially used in late S–G2 phase. RAD54−/−/KU70−/− cells were profoundly more sensitive to γ‐rays than either single mutant, indicating that the two repair pathways are complementary. Spontaneous chromosomal aberrations and cell death were observed in both RAD54−/− and RAD54−/−/KU70−/− cells, with RAD54−/−/KU70−/− cells exhibiting significantly higher levels of chromosomal aberrations than RAD54−/− cells. These observations provide the first genetic evidence that both repair pathways play a role in maintaining chromosomal DNA during the cell cycle.","container-title":"The EMBO Journal","DOI":"10.1093/emboj/17.18.5497","ISSN":"0261-4189","issue":"18","note":"number-of-pages: 5508\npublisher: John Wiley &amp; Sons, Ltd","page":"5497-5508","source":"embopress.org (Atypon)","title":"Homologous recombination and non‐homologous end‐joining pathways of DNA double‐strand break repair have overlapping roles in the maintenance of chromosomal integrity in vertebrate cells","volume":"17","author":[{"family":"Takata","given":"Minoru"},{"family":"Sasaki","given":"Masao S."},{"family":"Sonoda","given":"Eiichiro"},{"family":"Morrison","given":"Ciaran"},{"family":"Hashimoto","given":"Mitsumasa"},{"family":"Utsumi","given":"Hiroshi"},{"family":"Yamaguchi‐Iwai","given":"Yuko"},{"family":"Shinohara","given":"Akira"},{"family":"Takeda","given":"Shunichi"}],"issued":{"date-parts":[["1998",9,15]]}}}],"schema":"https://github.com/citation-style-language/schema/raw/master/csl-citation.json"} </w:instrText>
      </w:r>
      <w:r w:rsidR="00364EDD">
        <w:fldChar w:fldCharType="separate"/>
      </w:r>
      <w:r w:rsidR="009B7DE3" w:rsidRPr="009B7DE3">
        <w:rPr>
          <w:rFonts w:ascii="Calibri" w:hAnsi="Calibri" w:cs="Calibri"/>
          <w:szCs w:val="24"/>
          <w:vertAlign w:val="superscript"/>
        </w:rPr>
        <w:t>124–</w:t>
      </w:r>
      <w:r w:rsidR="009B7DE3" w:rsidRPr="009B7DE3">
        <w:rPr>
          <w:rFonts w:ascii="Calibri" w:hAnsi="Calibri" w:cs="Calibri"/>
          <w:szCs w:val="24"/>
          <w:vertAlign w:val="superscript"/>
        </w:rPr>
        <w:lastRenderedPageBreak/>
        <w:t>126,134,135</w:t>
      </w:r>
      <w:r w:rsidR="00364EDD">
        <w:fldChar w:fldCharType="end"/>
      </w:r>
      <w:r w:rsidR="00364EDD">
        <w:t>. However, th</w:t>
      </w:r>
      <w:r>
        <w:t>is error-prone</w:t>
      </w:r>
      <w:r w:rsidR="00364EDD">
        <w:t xml:space="preserve"> repair</w:t>
      </w:r>
      <w:r>
        <w:t xml:space="preserve"> process is known</w:t>
      </w:r>
      <w:r w:rsidR="00364EDD">
        <w:t xml:space="preserve"> </w:t>
      </w:r>
      <w:r>
        <w:t xml:space="preserve">to provoke structural </w:t>
      </w:r>
      <w:r w:rsidR="00364EDD">
        <w:t>chromosomal rearrangements</w:t>
      </w:r>
      <w:r>
        <w:t xml:space="preserve"> (</w:t>
      </w:r>
      <w:hyperlink r:id="rId42" w:history="1">
        <w:r w:rsidR="00A06928" w:rsidRPr="005219EB">
          <w:rPr>
            <w:rStyle w:val="Lienhypertexte"/>
          </w:rPr>
          <w:t>https://aopwiki.org/relationships/1912</w:t>
        </w:r>
      </w:hyperlink>
      <w:r w:rsidR="00A06928">
        <w:t>)</w:t>
      </w:r>
      <w:r w:rsidR="00A06928">
        <w:fldChar w:fldCharType="begin"/>
      </w:r>
      <w:r w:rsidR="009B7DE3">
        <w:instrText xml:space="preserve"> ADDIN ZOTERO_ITEM CSL_CITATION {"citationID":"WHlp9F2j","properties":{"formattedCitation":"\\super 124\\uc0\\u8211{}126,134\\nosupersub{}","plainCitation":"124–126,134","noteIndex":0},"citationItems":[{"id":349,"uris":["http://zotero.org/users/11265134/items/H2GBDT2W"],"itemData":{"id":349,"type":"article-journal","abstract":"DNA double-strand breaks (DSBs) are harmful lesions leading to genomic instability or diversity. Non-homologous end-joining (NHEJ) is a prominent DSB repair pathway, which has long been considered to be error-prone. However, recent data have pointed to the intrinsic precision of NHEJ. Three reasons can account for the apparent fallibility of NHEJ: 1) the existence of a highly error-prone alternative end-joining process; 2) the adaptability of canonical C-NHEJ (Ku- and Xrcc4/ligase IV–dependent) to imperfect complementary ends; and 3) the requirement to first process chemically incompatible DNA ends that cannot be ligated directly. Thus, C-NHEJ is conservative but adaptable, and the accuracy of the repair is dictated by the structure of the DNA ends rather than by the C-NHEJ machinery. We present data from different organisms that describe the conservative/versatile properties of C-NHEJ. The advantages of the adaptability/versatility of C-NHEJ are discussed for the development of the immune repertoire and the resistance to ionizing radiation, especially at low doses, and for targeted genome manipulation.","container-title":"PLOS Genetics","DOI":"10.1371/journal.pgen.1004086","ISSN":"1553-7404","issue":"1","journalAbbreviation":"PLOS Genetics","language":"en","note":"publisher: Public Library of Science","page":"e1004086","source":"PLoS Journals","title":"Is Non-Homologous End-Joining Really an Inherently Error-Prone Process?","volume":"10","author":[{"family":"Bétermier","given":"Mireille"},{"family":"Bertrand","given":"Pascale"},{"family":"Lopez","given":"Bernard S."}],"issued":{"date-parts":[["2014",1,16]]}}},{"id":433,"uris":["http://zotero.org/users/11265134/items/TZH8L6LQ"],"itemData":{"id":433,"type":"article-journal","abstract":"Double-strand DNA breaks are common events in eukaryotic cells, and there are two major pathways for repairing them: homologous recombination and nonhomologous DNA end joining (NHEJ). The diverse causes of DSBs result in a diverse chemistry of DNA ends that must be repaired. Across NHEJ evolution, the enzymes of the NHEJ pathway exhibit a remarkable degree of structural tolerance in the range of DNA end substrate configurations upon which they can act. In vertebrate cells, the nuclease, polymerases and ligase of NHEJ are the most mechanistically flexible and multifunctional enzymes in each of their classes. Unlike repair pathways for more defined lesions, NHEJ repair enzymes act iteratively, act in any order, and can function independently of one another at each of the two DNA ends being joined. NHEJ is critical not only for the repair of pathologic DSBs as in chromosomal translocations, but also for the repair of physiologic DSBs created during V(D)J recombination and class switch recombination. Therefore, patients lacking normal NHEJ are not only sensitive to ionizing radiation, but also severely immunodeficient.","container-title":"Annual review of biochemistry","DOI":"10.1146/annurev.biochem.052308.093131","ISSN":"0066-4154","journalAbbreviation":"Annu Rev Biochem","note":"PMID: 20192759\nPMCID: PMC3079308","page":"181-211","source":"PubMed Central","title":"The Mechanism of Double-Strand DNA Break Repair by the Nonhomologous DNA End Joining Pathway","volume":"79","author":[{"family":"Lieber","given":"Michael R."}],"issued":{"date-parts":[["2010"]]}}},{"id":430,"uris":["http://zotero.org/users/11265134/items/3EPMIWVB"],"itemData":{"id":430,"type":"article-journal","abstract":"DNA double-strand breaks pose a serious threat to genome stability. In vertebrates, these breaks are predominantly repaired by nonhomologous end joining (NHEJ), which pairs DNA ends in a multiprotein synaptic complex to promote their direct ligation. NHEJ is a highly versatile pathway that uses an array of processing enzymes to modify damaged DNA ends and enable their ligation. The mechanisms of end synapsis and end processing have important implications for genome stability. Rapid and stable synapsis is necessary to limit chromosome translocations that result from the mispairing of DNA ends. Furthermore, end processing must be tightly regulated to minimize mutations at the break site. Here, we review our current mechanistic understanding of vertebrate NHEJ, with a particular focus on end synapsis and processing.","container-title":"Annual Review of Biochemistry","DOI":"10.1146/annurev-biochem-080320-110356","ISSN":"0066-4154, 1545-4509","issue":"Volume 90, 2021","language":"en","note":"publisher: Annual Reviews","page":"137-164","source":"www.annualreviews.org","title":"Repair of DNA Double-Strand Breaks by the Nonhomologous End Joining Pathway","volume":"90","author":[{"family":"Stinson","given":"Benjamin M."},{"family":"Loparo","given":"Joseph J."}],"issued":{"date-parts":[["2021",6,20]]}}},{"id":557,"uris":["http://zotero.org/users/11265134/items/3ZK2N5ID"],"itemData":{"id":557,"type":"article-journal","abstract":"DNA double-strand breaks (DSBs) are dangerous lesions that can lead to potentially oncogenic genomic rearrangements or cell death. The two major pathways for repair of DSBs are nonhomologous end joining (NHEJ) and homologous recombination (HR). NHEJ is an intrinsically error-prone pathway while HR results in accurate repair. To understand the origin of genomic instability in human cells it is important to know the contribution of each DSB repair pathway. Studies of rodent cells and human cancer cell lines have shown that the choice between NHEJ or HR pathways depends on cell cycle stage. Surprisingly, cell cycle regulation of DSB repair has not been examined in normal human cells with intact cell cycle checkpoints. Here we measured the efficiency of NHEJ and HR at different cell cycle stages in hTERT-immortalized diploid human fibroblasts. We utilized cells with chromosomally-integrated fluorescent reporter cassettes, in which a unique DSB is introduced by a rare-cutting endonuclease. We show that NHEJ is active throughout the cell cycle, and its activity increases as cells progress from G1 to G2/M (G1 &lt; S &lt; G2/M). HR is nearly absent in G1, most active in the S phase, and declines in G2/M. Thus, in G2/M NHEJ is elevated, while HR is on decline. This is in contrast to a general belief that NHEJ is most active in G1, while HR is active in S, G2 and M. The overall efficiency of NHEJ was higher than HR at all cell cycle stages. We conclude that human somatic cells utilize error-prone NHEJ as the major DSB repair pathway at all cell cycle stages, while HR is used, primarily, in the S phase.","container-title":"Cell Cycle (Georgetown, Tex.)","DOI":"10.4161/cc.7.18.6679","ISSN":"1551-4005","issue":"18","journalAbbreviation":"Cell Cycle","language":"eng","note":"PMID: 18769152\nPMCID: PMC2754209","page":"2902-2906","source":"PubMed","title":"DNA repair by nonhomologous end joining and homologous recombination during cell cycle in human cells","volume":"7","author":[{"family":"Mao","given":"Zhiyong"},{"family":"Bozzella","given":"Michael"},{"family":"Seluanov","given":"Andrei"},{"family":"Gorbunova","given":"Vera"}],"issued":{"date-parts":[["2008",9,15]]}}}],"schema":"https://github.com/citation-style-language/schema/raw/master/csl-citation.json"} </w:instrText>
      </w:r>
      <w:r w:rsidR="00A06928">
        <w:fldChar w:fldCharType="separate"/>
      </w:r>
      <w:r w:rsidR="009B7DE3" w:rsidRPr="009B7DE3">
        <w:rPr>
          <w:rFonts w:ascii="Calibri" w:hAnsi="Calibri" w:cs="Calibri"/>
          <w:szCs w:val="24"/>
          <w:vertAlign w:val="superscript"/>
        </w:rPr>
        <w:t>124–126,134</w:t>
      </w:r>
      <w:r w:rsidR="00A06928">
        <w:fldChar w:fldCharType="end"/>
      </w:r>
      <w:r w:rsidR="00A06928">
        <w:t>.</w:t>
      </w:r>
      <w:r w:rsidR="00F91E43">
        <w:t xml:space="preserve"> </w:t>
      </w:r>
    </w:p>
    <w:p w14:paraId="5D4B1369" w14:textId="77777777" w:rsidR="00336536" w:rsidRPr="00BC2D64" w:rsidRDefault="00336536" w:rsidP="000C28E0">
      <w:pPr>
        <w:spacing w:after="0" w:line="324" w:lineRule="auto"/>
        <w:jc w:val="both"/>
      </w:pPr>
    </w:p>
    <w:p w14:paraId="544AB8A8" w14:textId="2AB4EB41" w:rsidR="00E808ED" w:rsidRDefault="000C28E0" w:rsidP="00A91DC1">
      <w:pPr>
        <w:spacing w:after="0" w:line="324" w:lineRule="auto"/>
        <w:jc w:val="both"/>
      </w:pPr>
      <w:r>
        <w:t>Considering all the above-described biological events, a refined AOP network leading to “Increase, Mutations” and “Increase, Structural chromosome aberrations” has emerged (Figure 2).</w:t>
      </w:r>
      <w:r w:rsidR="00802FBF">
        <w:t xml:space="preserve">  </w:t>
      </w:r>
    </w:p>
    <w:p w14:paraId="2EE99433" w14:textId="77777777" w:rsidR="004408AE" w:rsidRPr="00972B74" w:rsidRDefault="004408AE" w:rsidP="002A112A">
      <w:pPr>
        <w:spacing w:after="0" w:line="324" w:lineRule="auto"/>
        <w:jc w:val="both"/>
        <w:rPr>
          <w:b/>
          <w:bCs/>
          <w:sz w:val="20"/>
          <w:szCs w:val="20"/>
        </w:rPr>
      </w:pPr>
    </w:p>
    <w:p w14:paraId="0635845F" w14:textId="74A58E00" w:rsidR="002017C4" w:rsidRPr="00BA2075" w:rsidRDefault="002017C4" w:rsidP="002017C4">
      <w:pPr>
        <w:pStyle w:val="Paragraphedeliste"/>
        <w:numPr>
          <w:ilvl w:val="0"/>
          <w:numId w:val="9"/>
        </w:numPr>
        <w:spacing w:after="0" w:line="324" w:lineRule="auto"/>
        <w:jc w:val="both"/>
        <w:rPr>
          <w:b/>
          <w:bCs/>
          <w:sz w:val="32"/>
          <w:szCs w:val="32"/>
        </w:rPr>
      </w:pPr>
      <w:r>
        <w:rPr>
          <w:b/>
          <w:bCs/>
          <w:sz w:val="32"/>
          <w:szCs w:val="32"/>
        </w:rPr>
        <w:t xml:space="preserve">Towards AOP-based IATAs for genotoxicity </w:t>
      </w:r>
    </w:p>
    <w:p w14:paraId="5131D363" w14:textId="34A9932D" w:rsidR="002017C4" w:rsidRDefault="002017C4" w:rsidP="002017C4">
      <w:pPr>
        <w:spacing w:after="0" w:line="324" w:lineRule="auto"/>
        <w:jc w:val="both"/>
      </w:pPr>
      <w:bookmarkStart w:id="3" w:name="_Hlk187872486"/>
      <w:bookmarkStart w:id="4" w:name="_Hlk187862868"/>
      <w:r w:rsidRPr="00E26946">
        <w:t>The AOP network provides a structured and scientifically robust f</w:t>
      </w:r>
      <w:r>
        <w:t>ramework</w:t>
      </w:r>
      <w:r w:rsidRPr="00E26946">
        <w:t xml:space="preserve"> for advancing IATA</w:t>
      </w:r>
      <w:r>
        <w:t xml:space="preserve"> development</w:t>
      </w:r>
      <w:r w:rsidRPr="00E26946">
        <w:t xml:space="preserve"> in genotoxicity assessment. </w:t>
      </w:r>
      <w:r>
        <w:t>As indicated in the introduction, t</w:t>
      </w:r>
      <w:r w:rsidRPr="00EC0F11">
        <w:t>he aim is to build IATA</w:t>
      </w:r>
      <w:r>
        <w:t>s</w:t>
      </w:r>
      <w:r w:rsidRPr="00EC0F11">
        <w:t xml:space="preserve"> </w:t>
      </w:r>
      <w:r>
        <w:t xml:space="preserve">that do not rely on animal testing and thus solely combine traditional and new innovative </w:t>
      </w:r>
      <w:r w:rsidRPr="009B0D6D">
        <w:rPr>
          <w:i/>
          <w:iCs/>
        </w:rPr>
        <w:t>in vitro</w:t>
      </w:r>
      <w:r>
        <w:t xml:space="preserve"> methods with existing knowledge and </w:t>
      </w:r>
      <w:r w:rsidRPr="009B0D6D">
        <w:rPr>
          <w:i/>
          <w:iCs/>
        </w:rPr>
        <w:t>in silico</w:t>
      </w:r>
      <w:r>
        <w:t xml:space="preserve"> models. Linking </w:t>
      </w:r>
      <w:r w:rsidRPr="009B0D6D">
        <w:rPr>
          <w:i/>
          <w:iCs/>
        </w:rPr>
        <w:t>in silico</w:t>
      </w:r>
      <w:r>
        <w:t xml:space="preserve"> and </w:t>
      </w:r>
      <w:r w:rsidRPr="009B0D6D">
        <w:rPr>
          <w:i/>
          <w:iCs/>
        </w:rPr>
        <w:t>in vitro</w:t>
      </w:r>
      <w:r>
        <w:t xml:space="preserve"> methods to the </w:t>
      </w:r>
      <w:r w:rsidRPr="00E26946">
        <w:t xml:space="preserve">KEs </w:t>
      </w:r>
      <w:r>
        <w:t xml:space="preserve">within the AOP </w:t>
      </w:r>
      <w:r>
        <w:lastRenderedPageBreak/>
        <w:t>network</w:t>
      </w:r>
      <w:r w:rsidRPr="00E26946">
        <w:t xml:space="preserve"> ensures that the data generated </w:t>
      </w:r>
      <w:r>
        <w:t xml:space="preserve">with these methods </w:t>
      </w:r>
      <w:r w:rsidRPr="00E26946">
        <w:t xml:space="preserve">is biologically meaningful and mechanistically interpretable, offering sufficient context to understand the mode of action (MoA) of chemicals. </w:t>
      </w:r>
      <w:r>
        <w:t>Especially the methods addressing the earlier KEs could improve our mechanistic understanding</w:t>
      </w:r>
      <w:r w:rsidR="00BA2075">
        <w:fldChar w:fldCharType="begin"/>
      </w:r>
      <w:r w:rsidR="00BA2075">
        <w:instrText xml:space="preserve"> ADDIN ZOTERO_ITEM CSL_CITATION {"citationID":"fUusDZ5Z","properties":{"formattedCitation":"\\super 2\\nosupersub{}","plainCitation":"2","noteIndex":0},"citationItems":[{"id":82,"uris":["http://zotero.org/users/11265134/items/TSFCMUPI"],"itemData":{"id":82,"type":"article-journal","abstract":"A genotoxin is a chemical or agent that can cause DNA or chromosomal damage. Such damage in a germ cell has the potential to cause a heritable altered trait (germline mutation). DNA damage in a somatic cell may result in a somatic mutation, which may lead to malignant transformation (cancer). Many in vitro and in vivo tests for genotoxicity have been developed that, with a range of endpoints, detect DNA damage or its biological consequences in prokaryotic (e.g. bacterial) or eukaryotic (e.g. mammalian, avian or yeast) cells. These assays are used to evaluate the safety of environmental chemicals and consumer products and to explore the mechanism of action of known or suspected carcinogens. Many chemical carcinogens/mutagens undergo metabolic activation to reactive species that bind covalently to DNA, and the DNA adducts thus formed can be detected in cells and in human tissues by a variety of sensitive techniques. The detection and characterisation of DNA adducts in human tissues provides clues to the aetiology of human cancer. Characterisation of gene mutations in human tumours, in common with the known mutagenic profiles of genotoxins in experimental systems, may provide further insight into the role of environmental mutagens in human cancer.","container-title":"Molecular, Clinical and Environmental Toxicology","DOI":"10.1007/978-3-7643-8336-7_4","ISSN":"1023-294X","journalAbbreviation":"Molecular, Clinical and Environmental Toxicology","language":"eng","note":"PMID: 19157059","page":"87-110","source":"PubMed","title":"Genotoxicity: damage to DNA and its consequences","title-short":"Genotoxicity","volume":"1","author":[{"family":"Phillips","given":"David H."},{"family":"Arlt","given":"Volker M."}],"issued":{"date-parts":[["2009"]]}}}],"schema":"https://github.com/citation-style-language/schema/raw/master/csl-citation.json"} </w:instrText>
      </w:r>
      <w:r w:rsidR="00BA2075">
        <w:fldChar w:fldCharType="separate"/>
      </w:r>
      <w:r w:rsidR="00BA2075" w:rsidRPr="00BA2075">
        <w:rPr>
          <w:rFonts w:ascii="Calibri" w:hAnsi="Calibri" w:cs="Calibri"/>
          <w:szCs w:val="24"/>
          <w:vertAlign w:val="superscript"/>
        </w:rPr>
        <w:t>2</w:t>
      </w:r>
      <w:r w:rsidR="00BA2075">
        <w:fldChar w:fldCharType="end"/>
      </w:r>
      <w:r>
        <w:t xml:space="preserve">. </w:t>
      </w:r>
      <w:r w:rsidRPr="006E4D78">
        <w:t xml:space="preserve">For example, </w:t>
      </w:r>
      <w:r>
        <w:t xml:space="preserve">methods collecting data related to the AO ‘Increase, Structural chromosome aberrations’ </w:t>
      </w:r>
      <w:r w:rsidRPr="006E4D78">
        <w:t xml:space="preserve">do not </w:t>
      </w:r>
      <w:r>
        <w:t>provide insights into whether this permanent DNA damage results from a direct interaction with DNA (e.g. DNA alkylation) or rather indirectly via the generation of RONS. Such information is important for regulatory decision-making. Moreover, m</w:t>
      </w:r>
      <w:r w:rsidRPr="00E26946">
        <w:t xml:space="preserve">odeling relationships between results obtained </w:t>
      </w:r>
      <w:r>
        <w:t>with</w:t>
      </w:r>
      <w:r w:rsidRPr="00E26946">
        <w:t xml:space="preserve"> </w:t>
      </w:r>
      <w:r>
        <w:t>various</w:t>
      </w:r>
      <w:r w:rsidRPr="00E26946">
        <w:t xml:space="preserve"> KE-associated methods</w:t>
      </w:r>
      <w:r>
        <w:t xml:space="preserve"> can increase the</w:t>
      </w:r>
      <w:r w:rsidRPr="00E26946">
        <w:t xml:space="preserve"> quantitative understanding of these MoAs. </w:t>
      </w:r>
      <w:r>
        <w:t xml:space="preserve">On the other hand, this modeling can also provide more insights into the performance of different methods to measure a specific KE. For example, if methods addressing the same KE detect the effects of a chemical in the same cell system at very different concentrations, the method detecting the effect only at higher concentrations could be considered less appropriate. </w:t>
      </w:r>
      <w:bookmarkStart w:id="5" w:name="_Hlk187872683"/>
      <w:r>
        <w:t xml:space="preserve">Similarly, if despite the existence of strong evidence that a </w:t>
      </w:r>
      <w:r>
        <w:lastRenderedPageBreak/>
        <w:t xml:space="preserve">certain KEx occurs upstream to another KEy in the AOP, the method for KEx only detects this event at higher concentrations compared to the method addressing KEy, this also might indicate that the method is less suitable, at least when using the data for quantitative analysis. </w:t>
      </w:r>
    </w:p>
    <w:bookmarkEnd w:id="3"/>
    <w:bookmarkEnd w:id="5"/>
    <w:p w14:paraId="7F875A52" w14:textId="77777777" w:rsidR="002017C4" w:rsidRDefault="002017C4" w:rsidP="002017C4">
      <w:pPr>
        <w:spacing w:after="0" w:line="324" w:lineRule="auto"/>
        <w:jc w:val="both"/>
      </w:pPr>
      <w:r w:rsidRPr="00E26946">
        <w:t xml:space="preserve">Additionally, </w:t>
      </w:r>
      <w:r>
        <w:t xml:space="preserve">as the network </w:t>
      </w:r>
      <w:r w:rsidRPr="00E26946">
        <w:t>integrat</w:t>
      </w:r>
      <w:r>
        <w:t>es</w:t>
      </w:r>
      <w:r w:rsidRPr="00E26946">
        <w:t xml:space="preserve"> </w:t>
      </w:r>
      <w:r>
        <w:t xml:space="preserve">several </w:t>
      </w:r>
      <w:r w:rsidRPr="00E26946">
        <w:t>individual AOPs</w:t>
      </w:r>
      <w:r>
        <w:t xml:space="preserve">, it </w:t>
      </w:r>
      <w:r w:rsidRPr="00E26946">
        <w:t xml:space="preserve">offers the opportunity to address the complexity of chemicals with multiple modes of action, allowing for a more precise and comprehensive analysis. </w:t>
      </w:r>
      <w:r>
        <w:t xml:space="preserve">Finally, it also provides a framework to evaluate the combined effects of genotoxicants. </w:t>
      </w:r>
      <w:r w:rsidRPr="00E26946">
        <w:t xml:space="preserve">This improved qualitative and quantitative insight is expected to increase the sensitivity and specificity of genotoxicity assessment strategies, aligning with regulatory expectations and supporting the reduction and eventual replacement of animal testing. </w:t>
      </w:r>
    </w:p>
    <w:p w14:paraId="06A1086F" w14:textId="77777777" w:rsidR="002017C4" w:rsidRDefault="002017C4" w:rsidP="002017C4">
      <w:pPr>
        <w:spacing w:after="0" w:line="324" w:lineRule="auto"/>
        <w:jc w:val="both"/>
      </w:pPr>
    </w:p>
    <w:p w14:paraId="6ACD3B8D" w14:textId="39C2236B" w:rsidR="002017C4" w:rsidRDefault="002017C4" w:rsidP="002017C4">
      <w:pPr>
        <w:spacing w:after="0" w:line="324" w:lineRule="auto"/>
        <w:jc w:val="both"/>
      </w:pPr>
      <w:r>
        <w:t xml:space="preserve">One important next step in building AOP-based IATAs for genotoxicity consists of inventorizing the available </w:t>
      </w:r>
      <w:r w:rsidRPr="009B0D6D">
        <w:rPr>
          <w:i/>
          <w:iCs/>
        </w:rPr>
        <w:t>in silico</w:t>
      </w:r>
      <w:r>
        <w:t xml:space="preserve"> and </w:t>
      </w:r>
      <w:r w:rsidRPr="009B0D6D">
        <w:rPr>
          <w:i/>
          <w:iCs/>
        </w:rPr>
        <w:t>in vitro</w:t>
      </w:r>
      <w:r>
        <w:t xml:space="preserve"> genotoxicity methods and mapping them to the KEs of the AOP network that </w:t>
      </w:r>
      <w:r>
        <w:lastRenderedPageBreak/>
        <w:t>leads to permanent DNA damage. Such a mapping exercise has previously been done for the KEs and KERs in the AOP Oxidative</w:t>
      </w:r>
      <w:r w:rsidRPr="00F20999">
        <w:t xml:space="preserve"> DNA damage leading to mutations and chromosomal aberrations</w:t>
      </w:r>
      <w:r w:rsidR="00BA2075">
        <w:fldChar w:fldCharType="begin"/>
      </w:r>
      <w:r w:rsidR="004336A3">
        <w:instrText xml:space="preserve"> ADDIN ZOTERO_ITEM CSL_CITATION {"citationID":"BNuwjjqW","properties":{"formattedCitation":"\\super 64\\nosupersub{}","plainCitation":"64","noteIndex":0},"citationItems":[{"id":3,"uris":["http://zotero.org/users/11265134/items/WUGQT5IZ"],"itemData":{"id":3,"type":"article-journal","abstract":"The Genetic Toxicology Technical Committee (GTTC) of the Health and Environmental Sciences Institute (HESI) is developing adverse outcome pathways (AOPs) that describe modes of action leading to potentially heritable genomic damage. The goal was to enhance the use of mechanistic information in genotoxicity assessment by building empirical support for the relationships between relevant molecular initiating events (MIEs) and regulatory endpoints in genetic toxicology. Herein, we present an AOP network that links oxidative DNA damage to two adverse outcomes (AOs): mutations and chromosomal aberrations. We collected empirical evidence from the literature to evaluate the key event relationships between the MIE and the AOs, and assessed the weight of evidence using the modified Bradford-Hill criteria for causality. Oxidative DNA damage is constantly induced and repaired in cells given the ubiquitous presence of reactive oxygen species and free radicals. However, xenobiotic exposures may increase damage above baseline levels through a variety of mechanisms and overwhelm DNA repair and endogenous antioxidant capacity. Unrepaired oxidative DNA base damage can lead to base substitutions during replication and, along with repair intermediates, can also cause DNA strand breaks that can lead to mutations and chromosomal aberrations if not repaired adequately. This AOP network identifies knowledge gaps that could be filled by targeted studies designed to better define the quantitative relationships between key events, which could be leveraged for quantitative chemical safety assessment. We anticipate that this AOP network will provide the building blocks for additional genotoxicity-associated AOPs and aid in designing novel integrated testing approaches for genotoxicity.","container-title":"Environmental and Molecular Mutagenesis","DOI":"10.1002/em.22479","ISSN":"1098-2280","issue":"3","language":"en","note":"_eprint: https://onlinelibrary.wiley.com/doi/pdf/10.1002/em.22479","page":"118-134","source":"Wiley Online Library","title":"AOP report: Development of an adverse outcome pathway for oxidative DNA damage leading to mutations and chromosomal aberrations","title-short":"AOP report","volume":"63","author":[{"family":"Cho","given":"Eunnara"},{"family":"Allemang","given":"Ashley"},{"family":"Audebert","given":"Marc"},{"family":"Chauhan","given":"Vinita"},{"family":"Dertinger","given":"Stephen"},{"family":"Hendriks","given":"Giel"},{"family":"Luijten","given":"Mirjam"},{"family":"Marchetti","given":"Francesco"},{"family":"Minocherhomji","given":"Sheroy"},{"family":"Pfuhler","given":"Stefan"},{"family":"Roberts","given":"Daniel J."},{"family":"Trenz","given":"Kristina"},{"family":"Yauk","given":"Carole L."}],"issued":{"date-parts":[["2022"]]}}}],"schema":"https://github.com/citation-style-language/schema/raw/master/csl-citation.json"} </w:instrText>
      </w:r>
      <w:r w:rsidR="00BA2075">
        <w:fldChar w:fldCharType="separate"/>
      </w:r>
      <w:r w:rsidR="004336A3" w:rsidRPr="004336A3">
        <w:rPr>
          <w:rFonts w:ascii="Calibri" w:hAnsi="Calibri" w:cs="Calibri"/>
          <w:szCs w:val="24"/>
          <w:vertAlign w:val="superscript"/>
        </w:rPr>
        <w:t>64</w:t>
      </w:r>
      <w:r w:rsidR="00BA2075">
        <w:fldChar w:fldCharType="end"/>
      </w:r>
      <w:r>
        <w:t xml:space="preserve"> and forms a good starting point for mapping methods to KEs within the bigger network. However, to be useful in a regulatory context, it is important to characterize the “regulatory readiness" of the different methods. NAM development is indeed </w:t>
      </w:r>
      <w:r w:rsidRPr="000A337A">
        <w:t>a long, timely and resource-demanding process</w:t>
      </w:r>
      <w:r>
        <w:t xml:space="preserve"> that can roughly be subdivided into four major phases before regulatory implementation namely</w:t>
      </w:r>
      <w:r w:rsidR="009329B7">
        <w:fldChar w:fldCharType="begin"/>
      </w:r>
      <w:r w:rsidR="009B7DE3">
        <w:instrText xml:space="preserve"> ADDIN ZOTERO_ITEM CSL_CITATION {"citationID":"mIVtF7QU","properties":{"formattedCitation":"\\super 136\\nosupersub{}","plainCitation":"136","noteIndex":0},"citationItems":[{"id":496,"uris":["http://zotero.org/users/11265134/items/D9HR8KA4"],"itemData":{"id":496,"type":"article-journal","abstract":"Plenty of new approach methodologies (NAMs) for risk assessment have been developed but only some are included in OECD Test Guidelines (TGs) for regulatory implementation. Nevertheless, NAMs are increasingly applied, e.g. for nanomaterial (NM) risk assessments. The EFSA Guidance on NM risk assessment suggests that NAM-derived data concerning degradation/dissolution (in relevant biofluids), intestinal uptake/crossing, genotoxicity, cytotoxicity, oxidative stress, (pro-)inflammatory potential and barrier integrity, for many of which no OECD TGs exist, have to be evaluated first. Consequently, NM risk assessments involve data from non-guideline studies, requiring time-consuming and challenging case-by-case evaluations. Establishing an OECD TG is a formal process aiming for international use according to the Mutual Acceptance of Data (MAD). However, not every promising NAM can be prioritised for OECD TGs. A qualification, based on an expert opinion, may enable an efficient use of adequate NAMs for a specific context-of-use. Furthermore, it supports the optimisation of promising NAMs for regulatory applications. Existing qualification systems operate in the context of e.g., drug development tools (FDA) and research and development into pharmaceuticals (EMA). The NAMS4NANO consortium was tasked to propose a generic framework for a qualification system for chemical risk assessment in the food and feed sector to speed up the regulatory use of NAMs. Here we describe our proposal including the process and evaluation criteria. A detailed test method description, preferably as standard operating procedures (SOPs), describing the set-up of the NAM including its application and evaluation phase is crucial. Furthermore, the scientific validity, i.e. its reliability and relevance for the context-of-use, needs to be demonstrated, for which we suggest a less rigorous process compared to OECD TGs. We propose to initially establish a qualification system for NM risk assessment, aligned with the EFSA framework. This document is an interim version to stipulate a broader discussion among experts and stakeholders.","container-title":"EFSA Supporting Publications","DOI":"10.2903/sp.efsa.2024.EN-9008","ISSN":"2397-8325","issue":"9","language":"en","license":"© German Federal Institute for Risk Assessment (BfR); European Commission, Joint Research Centre (JRC); French Agency for Food, Environmental and Occupational Health &amp; Safety (ANSES); Luxembourg Institute of Science and Technology (LIST); Sciensano; National Institute for Public Health and the Environment (RIVM); University of Amsterdam; Istituto Superiore di Sanità - National Institute of Health (ISS); Wageningen Food Safety Research, part of Wageningen University and Research (WFSR), 2024","note":"_eprint: https://onlinelibrary.wiley.com/doi/pdf/10.2903/sp.efsa.2024.EN-9008","page":"9008E","source":"Wiley Online Library","title":"Proposal for a qualification system for New Approach Methodologies (NAMs) in the food and feed sector: example of implementation for nanomaterial risk assessment","title-short":"Proposal for a qualification system for New Approach Methodologies (NAMs) in the food and feed sector","volume":"21","author":[{"family":"Haase","given":"Andrea"},{"family":"Barroso","given":"João"},{"family":"Bogni","given":"Alessia"},{"family":"Bremer-Hoffmann","given":"Susanne"},{"family":"Fessard","given":"Valerie"},{"family":"Gutleb","given":"Arno C."},{"family":"Mast","given":"Jan"},{"family":"McVey","given":"Emily"},{"family":"Mertens","given":"Birgit"},{"family":"Oomen","given":"Agnes G."},{"family":"Ritz","given":"Vera"},{"family":"Serchi","given":"Tommaso"},{"family":"Siewert","given":"Katherina"},{"family":"Stanco","given":"Deborah"},{"family":"Usmani","given":"Shirin M."},{"family":"Verleysen","given":"Eveline"},{"family":"Vincentini","given":"Olimpia"},{"family":"Zande","given":"Meike","non-dropping-particle":"van der"},{"family":"Cubadda","given":"Francesco"}],"issued":{"date-parts":[["2024"]]}}}],"schema":"https://github.com/citation-style-language/schema/raw/master/csl-citation.json"} </w:instrText>
      </w:r>
      <w:r w:rsidR="009329B7">
        <w:fldChar w:fldCharType="separate"/>
      </w:r>
      <w:r w:rsidR="009B7DE3" w:rsidRPr="009B7DE3">
        <w:rPr>
          <w:rFonts w:ascii="Calibri" w:hAnsi="Calibri" w:cs="Calibri"/>
          <w:szCs w:val="24"/>
          <w:vertAlign w:val="superscript"/>
        </w:rPr>
        <w:t>136</w:t>
      </w:r>
      <w:r w:rsidR="009329B7">
        <w:fldChar w:fldCharType="end"/>
      </w:r>
      <w:r>
        <w:t xml:space="preserve">: </w:t>
      </w:r>
    </w:p>
    <w:p w14:paraId="5E727706" w14:textId="77777777" w:rsidR="002017C4" w:rsidRDefault="002017C4" w:rsidP="002017C4">
      <w:pPr>
        <w:spacing w:after="0" w:line="324" w:lineRule="auto"/>
        <w:ind w:left="720"/>
        <w:jc w:val="both"/>
      </w:pPr>
      <w:r w:rsidRPr="009329B7">
        <w:rPr>
          <w:b/>
          <w:bCs/>
        </w:rPr>
        <w:t>i.</w:t>
      </w:r>
      <w:r w:rsidRPr="009329B7">
        <w:rPr>
          <w:b/>
          <w:bCs/>
        </w:rPr>
        <w:tab/>
        <w:t>Research</w:t>
      </w:r>
      <w:r>
        <w:t xml:space="preserve">: This phase is mainly driven by novelty and ends with a „scientifically plausible“ method. A method description is generally available as well as selected performance parameters. </w:t>
      </w:r>
    </w:p>
    <w:p w14:paraId="684D031C" w14:textId="77777777" w:rsidR="002017C4" w:rsidRDefault="002017C4" w:rsidP="002017C4">
      <w:pPr>
        <w:spacing w:after="0" w:line="324" w:lineRule="auto"/>
        <w:ind w:left="720"/>
        <w:jc w:val="both"/>
      </w:pPr>
      <w:r w:rsidRPr="009329B7">
        <w:rPr>
          <w:b/>
          <w:bCs/>
        </w:rPr>
        <w:t>ii.</w:t>
      </w:r>
      <w:r w:rsidRPr="009329B7">
        <w:rPr>
          <w:b/>
          <w:bCs/>
        </w:rPr>
        <w:tab/>
        <w:t>Optimisation</w:t>
      </w:r>
      <w:r>
        <w:t xml:space="preserve">: During this phase, the method is further optimized including a refinement of the method description to ensure reproducibility. The optimization phase ends with a „harmonized“ or „standardized“ method description often released as standard operating procedure (SOP). The specific regulatory application of the method is often still unclear at this stage.  </w:t>
      </w:r>
    </w:p>
    <w:p w14:paraId="6D7D3285" w14:textId="77777777" w:rsidR="002017C4" w:rsidRDefault="002017C4" w:rsidP="002017C4">
      <w:pPr>
        <w:spacing w:after="0" w:line="324" w:lineRule="auto"/>
        <w:ind w:left="720"/>
        <w:jc w:val="both"/>
      </w:pPr>
      <w:r w:rsidRPr="009329B7">
        <w:rPr>
          <w:b/>
          <w:bCs/>
        </w:rPr>
        <w:lastRenderedPageBreak/>
        <w:t>iii.</w:t>
      </w:r>
      <w:r w:rsidRPr="009329B7">
        <w:rPr>
          <w:b/>
          <w:bCs/>
        </w:rPr>
        <w:tab/>
        <w:t>Validation</w:t>
      </w:r>
      <w:r>
        <w:t xml:space="preserve">: Results obtained with the method are used to test one or several hypotheses. If the hypothesis is not valid, the test method development returns to the research phase. </w:t>
      </w:r>
    </w:p>
    <w:p w14:paraId="770800FD" w14:textId="77777777" w:rsidR="002017C4" w:rsidRDefault="002017C4" w:rsidP="002017C4">
      <w:pPr>
        <w:spacing w:after="0" w:line="324" w:lineRule="auto"/>
        <w:ind w:left="720"/>
        <w:jc w:val="both"/>
      </w:pPr>
      <w:r w:rsidRPr="009329B7">
        <w:rPr>
          <w:b/>
          <w:bCs/>
        </w:rPr>
        <w:t>iv.</w:t>
      </w:r>
      <w:r w:rsidRPr="009329B7">
        <w:rPr>
          <w:b/>
          <w:bCs/>
        </w:rPr>
        <w:tab/>
        <w:t>International harmonisation</w:t>
      </w:r>
      <w:r>
        <w:t xml:space="preserve">: Several routes for international harmonisation exist, among which the endorsement of an OECD test guideline is the most common one for chemical risk assessment. </w:t>
      </w:r>
    </w:p>
    <w:p w14:paraId="091AE0AD" w14:textId="1313AE0C" w:rsidR="002017C4" w:rsidRDefault="002017C4" w:rsidP="002017C4">
      <w:pPr>
        <w:spacing w:line="324" w:lineRule="auto"/>
        <w:jc w:val="both"/>
      </w:pPr>
      <w:bookmarkStart w:id="6" w:name="_Hlk187873096"/>
      <w:r>
        <w:t xml:space="preserve">As explained before, the available NAMs for genotoxicity cover the four stages, ranging from </w:t>
      </w:r>
      <w:r w:rsidRPr="000A337A">
        <w:t xml:space="preserve">methods that just come out of the </w:t>
      </w:r>
      <w:r>
        <w:t xml:space="preserve">research </w:t>
      </w:r>
      <w:r w:rsidRPr="000A337A">
        <w:t>phase</w:t>
      </w:r>
      <w:r>
        <w:t xml:space="preserve"> over methods undergoing validation to the traditional </w:t>
      </w:r>
      <w:r w:rsidRPr="009B0D6D">
        <w:rPr>
          <w:i/>
          <w:iCs/>
        </w:rPr>
        <w:t>in vitro</w:t>
      </w:r>
      <w:r>
        <w:t xml:space="preserve"> tests described in OECD TGs. In order to have more insights into the regulatory readiness of the non-guideline genotoxicity methods, it is important to clearly describe and assess the characteristics of these assays. One way to do this is by describing the method using ToxTemp, which allows the evaluation of the methods according to the readiness criteria defined by Bal-Price</w:t>
      </w:r>
      <w:r w:rsidR="009329B7">
        <w:fldChar w:fldCharType="begin"/>
      </w:r>
      <w:r w:rsidR="009B7DE3">
        <w:instrText xml:space="preserve"> ADDIN ZOTERO_ITEM CSL_CITATION {"citationID":"1OJ6EudI","properties":{"formattedCitation":"\\super 137\\nosupersub{}","plainCitation":"137","noteIndex":0},"citationItems":[{"id":499,"uris":["http://zotero.org/users/11265134/items/KVWFYXDQ"],"itemData":{"id":499,"type":"article-journal","container-title":"ALTEX - Alternatives to animal experimentation","DOI":"10.14573/altex.1904112","ISSN":"1868-8551","issue":"3","language":"en","license":"Copyright (c) 2019 Anna Bal-Price, Helena T. Hogberg, Kevin M. Crofton, Mardas Daneshian, Rex E. FitzGerald, Ellen Fritsche, Tuula Heinonen, Susanne Hougaard Bennekou, Stefanie Klima, Aldert H. Piersma, Magdalini Sachana, Timothy J. Shafer, Andrea Terron, Florianne Monnet-Tschudi, Barbara Viviani, Tanja Waldmann, Remco H. S. Westerink, Martin F. Wilks, Hilda Witters, Marie-Gabrielle Zurich, Marcel Leist","note":"number: 3","page":"506-506","source":"www.altex.org","title":"Corrigendum to Recommendation on test readiness criteria for new approach methods in toxicology: exemplified for developmental neurotoxicity","title-short":"Corrigendum to Recommendation on test readiness criteria for new approach methods in toxicology","volume":"36","author":[{"family":"Bal-Price","given":"Anna"},{"family":"Hogberg","given":"Helena T."},{"family":"Crofton","given":"Kevin M."},{"family":"Daneshian","given":"Mardas"},{"family":"FitzGerald","given":"Rex E."},{"family":"Fritsche","given":"Ellen"},{"family":"Heinonen","given":"Tuula"},{"family":"Bennekou","given":"Susanne Hougaard"},{"family":"Klima","given":"Stefanie"},{"family":"Piersma","given":"Aldert H."},{"family":"Sachana","given":"Magdalini"},{"family":"Shafer","given":"Timothy J."},{"family":"Terron","given":"Andrea"},{"family":"Monnet-Tschudi","given":"Florianne"},{"family":"Viviani","given":"Barbara"},{"family":"Waldmann","given":"Tanja"},{"family":"Westerink","given":"Remco H. S."},{"family":"Wilks","given":"Martin F."},{"family":"Witters","given":"Hilda"},{"family":"Zurich","given":"Marie-Gabrielle"},{"family":"Leist","given":"Marcel"}],"issued":{"date-parts":[["2019",7,19]]}}}],"schema":"https://github.com/citation-style-language/schema/raw/master/csl-citation.json"} </w:instrText>
      </w:r>
      <w:r w:rsidR="009329B7">
        <w:fldChar w:fldCharType="separate"/>
      </w:r>
      <w:r w:rsidR="009B7DE3" w:rsidRPr="009B7DE3">
        <w:rPr>
          <w:rFonts w:ascii="Calibri" w:hAnsi="Calibri" w:cs="Calibri"/>
          <w:szCs w:val="24"/>
          <w:vertAlign w:val="superscript"/>
        </w:rPr>
        <w:t>137</w:t>
      </w:r>
      <w:r w:rsidR="009329B7">
        <w:fldChar w:fldCharType="end"/>
      </w:r>
      <w:r>
        <w:t>. Although these criteria were established initially for evaluating developmental neurotoxicity assays, they are now more broadly accepted as criteria for the assessment of non-guideline studies</w:t>
      </w:r>
      <w:r w:rsidR="009329B7">
        <w:fldChar w:fldCharType="begin"/>
      </w:r>
      <w:r w:rsidR="009B7DE3">
        <w:instrText xml:space="preserve"> ADDIN ZOTERO_ITEM CSL_CITATION {"citationID":"hScr3KdH","properties":{"formattedCitation":"\\super 136\\nosupersub{}","plainCitation":"136","noteIndex":0},"citationItems":[{"id":496,"uris":["http://zotero.org/users/11265134/items/D9HR8KA4"],"itemData":{"id":496,"type":"article-journal","abstract":"Plenty of new approach methodologies (NAMs) for risk assessment have been developed but only some are included in OECD Test Guidelines (TGs) for regulatory implementation. Nevertheless, NAMs are increasingly applied, e.g. for nanomaterial (NM) risk assessments. The EFSA Guidance on NM risk assessment suggests that NAM-derived data concerning degradation/dissolution (in relevant biofluids), intestinal uptake/crossing, genotoxicity, cytotoxicity, oxidative stress, (pro-)inflammatory potential and barrier integrity, for many of which no OECD TGs exist, have to be evaluated first. Consequently, NM risk assessments involve data from non-guideline studies, requiring time-consuming and challenging case-by-case evaluations. Establishing an OECD TG is a formal process aiming for international use according to the Mutual Acceptance of Data (MAD). However, not every promising NAM can be prioritised for OECD TGs. A qualification, based on an expert opinion, may enable an efficient use of adequate NAMs for a specific context-of-use. Furthermore, it supports the optimisation of promising NAMs for regulatory applications. Existing qualification systems operate in the context of e.g., drug development tools (FDA) and research and development into pharmaceuticals (EMA). The NAMS4NANO consortium was tasked to propose a generic framework for a qualification system for chemical risk assessment in the food and feed sector to speed up the regulatory use of NAMs. Here we describe our proposal including the process and evaluation criteria. A detailed test method description, preferably as standard operating procedures (SOPs), describing the set-up of the NAM including its application and evaluation phase is crucial. Furthermore, the scientific validity, i.e. its reliability and relevance for the context-of-use, needs to be demonstrated, for which we suggest a less rigorous process compared to OECD TGs. We propose to initially establish a qualification system for NM risk assessment, aligned with the EFSA framework. This document is an interim version to stipulate a broader discussion among experts and stakeholders.","container-title":"EFSA Supporting Publications","DOI":"10.2903/sp.efsa.2024.EN-9008","ISSN":"2397-8325","issue":"9","language":"en","license":"© German Federal Institute for Risk Assessment (BfR); European Commission, Joint Research Centre (JRC); French Agency for Food, Environmental and Occupational Health &amp; Safety (ANSES); Luxembourg Institute of Science and Technology (LIST); Sciensano; National Institute for Public Health and the Environment (RIVM); University of Amsterdam; Istituto Superiore di Sanità - National Institute of Health (ISS); Wageningen Food Safety Research, part of Wageningen University and Research (WFSR), 2024","note":"_eprint: https://onlinelibrary.wiley.com/doi/pdf/10.2903/sp.efsa.2024.EN-9008","page":"9008E","source":"Wiley Online Library","title":"Proposal for a qualification system for New Approach Methodologies (NAMs) in the food and feed sector: example of implementation for nanomaterial risk assessment","title-short":"Proposal for a qualification system for New Approach Methodologies (NAMs) in the food and feed sector","volume":"21","author":[{"family":"Haase","given":"Andrea"},{"family":"Barroso","given":"João"},{"family":"Bogni","given":"Alessia"},{"family":"Bremer-Hoffmann","given":"Susanne"},{"family":"Fessard","given":"Valerie"},{"family":"Gutleb","given":"Arno C."},{"family":"Mast","given":"Jan"},{"family":"McVey","given":"Emily"},{"family":"Mertens","given":"Birgit"},{"family":"Oomen","given":"Agnes G."},{"family":"Ritz","given":"Vera"},{"family":"Serchi","given":"Tommaso"},{"family":"Siewert","given":"Katherina"},{"family":"Stanco","given":"Deborah"},{"family":"Usmani","given":"Shirin M."},{"family":"Verleysen","given":"Eveline"},{"family":"Vincentini","given":"Olimpia"},{"family":"Zande","given":"Meike","non-dropping-particle":"van der"},{"family":"Cubadda","given":"Francesco"}],"issued":{"date-parts":[["2024"]]}}}],"schema":"https://github.com/citation-style-language/schema/raw/master/csl-citation.json"} </w:instrText>
      </w:r>
      <w:r w:rsidR="009329B7">
        <w:fldChar w:fldCharType="separate"/>
      </w:r>
      <w:r w:rsidR="009B7DE3" w:rsidRPr="009B7DE3">
        <w:rPr>
          <w:rFonts w:ascii="Calibri" w:hAnsi="Calibri" w:cs="Calibri"/>
          <w:szCs w:val="24"/>
          <w:vertAlign w:val="superscript"/>
        </w:rPr>
        <w:t>136</w:t>
      </w:r>
      <w:r w:rsidR="009329B7">
        <w:fldChar w:fldCharType="end"/>
      </w:r>
      <w:r>
        <w:t xml:space="preserve">. </w:t>
      </w:r>
    </w:p>
    <w:p w14:paraId="32FA18DD" w14:textId="50712034" w:rsidR="002017C4" w:rsidRDefault="002017C4" w:rsidP="002017C4">
      <w:pPr>
        <w:spacing w:line="324" w:lineRule="auto"/>
        <w:jc w:val="both"/>
      </w:pPr>
      <w:bookmarkStart w:id="7" w:name="_Hlk187873281"/>
      <w:bookmarkEnd w:id="6"/>
      <w:r>
        <w:lastRenderedPageBreak/>
        <w:t xml:space="preserve">NAMs will then be integrated into an IATA based on the type of information they provide (thus on which KE) and their regulatory readiness. Evaluation of the IATAs will be done through the design of case studies addressing specific regulatory questions. For each case study, the performance of different NAM combinations to </w:t>
      </w:r>
      <w:r w:rsidRPr="00072FD8">
        <w:t>predict genotoxicity</w:t>
      </w:r>
      <w:r>
        <w:t xml:space="preserve"> will be assessed and compared, thereby also </w:t>
      </w:r>
      <w:r w:rsidRPr="00126085">
        <w:t>integrating QIVIVE and PBK modelling</w:t>
      </w:r>
      <w:r>
        <w:t xml:space="preserve">. </w:t>
      </w:r>
      <w:bookmarkEnd w:id="4"/>
      <w:bookmarkEnd w:id="7"/>
    </w:p>
    <w:p w14:paraId="2057668C" w14:textId="1BC6E89E" w:rsidR="006E3D28" w:rsidRPr="00760D81" w:rsidRDefault="000773FF" w:rsidP="002A112A">
      <w:pPr>
        <w:pStyle w:val="Paragraphedeliste"/>
        <w:numPr>
          <w:ilvl w:val="0"/>
          <w:numId w:val="9"/>
        </w:numPr>
        <w:spacing w:after="0" w:line="324" w:lineRule="auto"/>
        <w:jc w:val="both"/>
        <w:rPr>
          <w:b/>
          <w:bCs/>
          <w:sz w:val="32"/>
          <w:szCs w:val="32"/>
        </w:rPr>
      </w:pPr>
      <w:r w:rsidRPr="002017C4">
        <w:rPr>
          <w:b/>
          <w:bCs/>
          <w:sz w:val="32"/>
          <w:szCs w:val="32"/>
        </w:rPr>
        <w:t>Conclusion</w:t>
      </w:r>
    </w:p>
    <w:p w14:paraId="3EC9916E" w14:textId="0580D7EA" w:rsidR="009329B7" w:rsidRDefault="009329B7" w:rsidP="009329B7">
      <w:pPr>
        <w:spacing w:after="0" w:line="324" w:lineRule="auto"/>
        <w:jc w:val="both"/>
      </w:pPr>
      <w:r>
        <w:t xml:space="preserve">Combining different AOPs into a network leading to permanent DNA damage more correctly reflects the current state of knowledge in genetic toxicology compared to individual AOPs. Moreover, this network could also be seen as the intersect between on the one hand other upstream effects such as MIEs and KEs triggering oxidative stress leading to RO(N)S  and on the other hand, downstream AOs such as genetic diseases or cancer. Its mechanistic representation of genotoxic biological pathways should be applicable </w:t>
      </w:r>
      <w:r>
        <w:lastRenderedPageBreak/>
        <w:t xml:space="preserve">to any type of human cells. Moreover, this AOP network provides a solid basis for the science-driven development of IATAs for genotoxicity. </w:t>
      </w:r>
    </w:p>
    <w:p w14:paraId="67F3FA91" w14:textId="77777777" w:rsidR="00EF7D25" w:rsidRDefault="00EF7D25" w:rsidP="00EF7D25">
      <w:pPr>
        <w:spacing w:after="0" w:line="324" w:lineRule="auto"/>
        <w:jc w:val="both"/>
        <w:rPr>
          <w:b/>
          <w:bCs/>
          <w:sz w:val="32"/>
          <w:szCs w:val="32"/>
        </w:rPr>
      </w:pPr>
    </w:p>
    <w:p w14:paraId="1A6D2DAF" w14:textId="4C0B48C8" w:rsidR="00EF7D25" w:rsidRDefault="00EF7D25" w:rsidP="00EF7D25">
      <w:pPr>
        <w:spacing w:after="0" w:line="324" w:lineRule="auto"/>
        <w:jc w:val="both"/>
        <w:rPr>
          <w:rFonts w:ascii="Segoe UI" w:hAnsi="Segoe UI" w:cs="Segoe UI"/>
        </w:rPr>
      </w:pPr>
      <w:r w:rsidRPr="00EF7D25">
        <w:rPr>
          <w:b/>
          <w:bCs/>
          <w:sz w:val="32"/>
          <w:szCs w:val="32"/>
        </w:rPr>
        <w:t>FUNDING</w:t>
      </w:r>
      <w:r>
        <w:rPr>
          <w:b/>
          <w:bCs/>
          <w:sz w:val="32"/>
          <w:szCs w:val="32"/>
        </w:rPr>
        <w:t xml:space="preserve"> </w:t>
      </w:r>
      <w:r w:rsidRPr="00EF7D25">
        <w:rPr>
          <w:b/>
          <w:bCs/>
          <w:sz w:val="32"/>
          <w:szCs w:val="32"/>
        </w:rPr>
        <w:t>STATEMENT</w:t>
      </w:r>
    </w:p>
    <w:p w14:paraId="776D7163" w14:textId="697E58C8" w:rsidR="00EF7D25" w:rsidRPr="001D4DF1" w:rsidRDefault="00EF7D25" w:rsidP="00EF7D25">
      <w:pPr>
        <w:spacing w:after="0" w:line="324" w:lineRule="auto"/>
        <w:jc w:val="both"/>
        <w:rPr>
          <w:rFonts w:cstheme="minorHAnsi"/>
        </w:rPr>
      </w:pPr>
      <w:r w:rsidRPr="001D4DF1">
        <w:rPr>
          <w:rFonts w:cstheme="minorHAnsi"/>
        </w:rPr>
        <w:t xml:space="preserve">This work was carried out in the framework of the European Partnership for the Assessment of Risks from Chemicals (PARC) and has received funding from the European Union’s Horizon Europe research and innovation programme under Grant Agreement No 101057014. Views and opinions expressed are however those of the author(s) only and do not necessarily reflect those of the European Union or the Health and Digital Executive Agency. Neither the European Union nor the granting authority can be held responsible for them. </w:t>
      </w:r>
    </w:p>
    <w:p w14:paraId="4A1CC055" w14:textId="77777777" w:rsidR="00EF7D25" w:rsidRDefault="00EF7D25" w:rsidP="00EF7D25">
      <w:pPr>
        <w:spacing w:after="0" w:line="324" w:lineRule="auto"/>
        <w:jc w:val="both"/>
        <w:rPr>
          <w:rFonts w:cstheme="minorHAnsi"/>
          <w:b/>
          <w:bCs/>
          <w:sz w:val="32"/>
          <w:szCs w:val="32"/>
        </w:rPr>
      </w:pPr>
    </w:p>
    <w:p w14:paraId="07CD0C90" w14:textId="1F52E4B5" w:rsidR="00EF7D25" w:rsidRPr="00EF7D25" w:rsidRDefault="00EF7D25" w:rsidP="00EF7D25">
      <w:pPr>
        <w:spacing w:after="0" w:line="324" w:lineRule="auto"/>
        <w:jc w:val="both"/>
        <w:rPr>
          <w:rFonts w:cstheme="minorHAnsi"/>
          <w:b/>
          <w:bCs/>
          <w:sz w:val="32"/>
          <w:szCs w:val="32"/>
        </w:rPr>
      </w:pPr>
      <w:r w:rsidRPr="00EF7D25">
        <w:rPr>
          <w:rFonts w:cstheme="minorHAnsi"/>
          <w:b/>
          <w:bCs/>
          <w:sz w:val="32"/>
          <w:szCs w:val="32"/>
        </w:rPr>
        <w:lastRenderedPageBreak/>
        <w:t>AUTHOR CONTRIBUTIONS</w:t>
      </w:r>
    </w:p>
    <w:p w14:paraId="2F20D210" w14:textId="075EF38A" w:rsidR="00EF7D25" w:rsidRPr="001D4DF1" w:rsidRDefault="00EF7D25" w:rsidP="00EF7D25">
      <w:pPr>
        <w:spacing w:after="0" w:line="324" w:lineRule="auto"/>
        <w:jc w:val="both"/>
        <w:rPr>
          <w:rFonts w:cstheme="minorHAnsi"/>
        </w:rPr>
      </w:pPr>
      <w:r w:rsidRPr="001D4DF1">
        <w:rPr>
          <w:rFonts w:cstheme="minorHAnsi"/>
        </w:rPr>
        <w:t>All authors listed have made a substantial, direct, and intellectual contribution to the work and approved it for publication.</w:t>
      </w:r>
    </w:p>
    <w:p w14:paraId="60B1AFBA" w14:textId="1BAF4E0F" w:rsidR="001D4DF1" w:rsidRDefault="001D4DF1" w:rsidP="00EF7D25">
      <w:pPr>
        <w:spacing w:after="0" w:line="324" w:lineRule="auto"/>
        <w:jc w:val="both"/>
        <w:rPr>
          <w:rFonts w:ascii="Segoe UI" w:hAnsi="Segoe UI" w:cs="Segoe UI"/>
        </w:rPr>
      </w:pPr>
    </w:p>
    <w:p w14:paraId="0365A61E" w14:textId="0DB8E511" w:rsidR="001D4DF1" w:rsidRDefault="001D4DF1" w:rsidP="001D4DF1">
      <w:pPr>
        <w:spacing w:after="0" w:line="324" w:lineRule="auto"/>
        <w:jc w:val="both"/>
        <w:rPr>
          <w:rFonts w:cstheme="minorHAnsi"/>
          <w:b/>
          <w:bCs/>
          <w:sz w:val="32"/>
          <w:szCs w:val="32"/>
        </w:rPr>
      </w:pPr>
      <w:r>
        <w:rPr>
          <w:rFonts w:cstheme="minorHAnsi"/>
          <w:b/>
          <w:bCs/>
          <w:sz w:val="32"/>
          <w:szCs w:val="32"/>
        </w:rPr>
        <w:t>CONFLICT OF INTEREST</w:t>
      </w:r>
    </w:p>
    <w:p w14:paraId="70E93D5A" w14:textId="1040C179" w:rsidR="001D4DF1" w:rsidRPr="001D4DF1" w:rsidRDefault="001D4DF1" w:rsidP="001D4DF1">
      <w:pPr>
        <w:spacing w:after="0" w:line="324" w:lineRule="auto"/>
        <w:jc w:val="both"/>
        <w:rPr>
          <w:rFonts w:cstheme="minorHAnsi"/>
        </w:rPr>
      </w:pPr>
      <w:r>
        <w:rPr>
          <w:rFonts w:cstheme="minorHAnsi"/>
        </w:rPr>
        <w:t>The authors declare that the research was conducted in the absence of any commercial or financial relationships that could be construed as a potential conflict of interest.</w:t>
      </w:r>
    </w:p>
    <w:p w14:paraId="2F5266F9" w14:textId="1F4AFFFF" w:rsidR="001D4DF1" w:rsidRDefault="001D4DF1" w:rsidP="00EF7D25">
      <w:pPr>
        <w:spacing w:after="0" w:line="324" w:lineRule="auto"/>
        <w:jc w:val="both"/>
        <w:rPr>
          <w:b/>
          <w:bCs/>
          <w:sz w:val="32"/>
          <w:szCs w:val="32"/>
        </w:rPr>
      </w:pPr>
    </w:p>
    <w:p w14:paraId="1B4BA697" w14:textId="288327D7" w:rsidR="001D4DF1" w:rsidRDefault="001D4DF1" w:rsidP="00EF7D25">
      <w:pPr>
        <w:spacing w:after="0" w:line="324" w:lineRule="auto"/>
        <w:jc w:val="both"/>
        <w:rPr>
          <w:b/>
          <w:bCs/>
          <w:sz w:val="32"/>
          <w:szCs w:val="32"/>
        </w:rPr>
      </w:pPr>
      <w:r>
        <w:rPr>
          <w:b/>
          <w:bCs/>
          <w:sz w:val="32"/>
          <w:szCs w:val="32"/>
        </w:rPr>
        <w:t xml:space="preserve">ORCID OF AUTHORS </w:t>
      </w:r>
    </w:p>
    <w:p w14:paraId="7621C873" w14:textId="77777777" w:rsidR="001D4DF1" w:rsidRPr="005C68F3" w:rsidRDefault="001D4DF1" w:rsidP="001D4DF1">
      <w:r w:rsidRPr="005C68F3">
        <w:t>E. Demuynck (0009-0003-1531-968X)</w:t>
      </w:r>
    </w:p>
    <w:p w14:paraId="0913EB07" w14:textId="77777777" w:rsidR="001D4DF1" w:rsidRPr="001D5DC7" w:rsidRDefault="001D4DF1" w:rsidP="001D4DF1">
      <w:pPr>
        <w:rPr>
          <w:lang w:val="nl-NL"/>
        </w:rPr>
      </w:pPr>
      <w:r w:rsidRPr="001D5DC7">
        <w:rPr>
          <w:lang w:val="nl-NL"/>
        </w:rPr>
        <w:lastRenderedPageBreak/>
        <w:t>T. Vanhaecke (0000-0002-6685-7299)</w:t>
      </w:r>
    </w:p>
    <w:p w14:paraId="5C2C19C6" w14:textId="77777777" w:rsidR="001D4DF1" w:rsidRDefault="001D4DF1" w:rsidP="001D4DF1">
      <w:pPr>
        <w:rPr>
          <w:lang w:val="nl-NL"/>
        </w:rPr>
      </w:pPr>
      <w:r w:rsidRPr="008B60A6">
        <w:rPr>
          <w:lang w:val="nl-NL"/>
        </w:rPr>
        <w:t>A. Thienpont</w:t>
      </w:r>
      <w:r>
        <w:rPr>
          <w:lang w:val="nl-NL"/>
        </w:rPr>
        <w:t xml:space="preserve"> (</w:t>
      </w:r>
      <w:r w:rsidRPr="008B60A6">
        <w:rPr>
          <w:lang w:val="nl-NL"/>
        </w:rPr>
        <w:t>0000-0001-8231-8271</w:t>
      </w:r>
      <w:r>
        <w:rPr>
          <w:lang w:val="nl-NL"/>
        </w:rPr>
        <w:t>)</w:t>
      </w:r>
    </w:p>
    <w:p w14:paraId="22E59D8B" w14:textId="77777777" w:rsidR="001D4DF1" w:rsidRDefault="001D4DF1" w:rsidP="001D4DF1">
      <w:pPr>
        <w:rPr>
          <w:lang w:val="nl-NL"/>
        </w:rPr>
      </w:pPr>
      <w:r>
        <w:rPr>
          <w:lang w:val="nl-NL"/>
        </w:rPr>
        <w:t>D. Cappoen (</w:t>
      </w:r>
      <w:r w:rsidRPr="001D5DC7">
        <w:rPr>
          <w:lang w:val="nl-NL"/>
        </w:rPr>
        <w:t>0000-0002-3115-8797</w:t>
      </w:r>
      <w:r>
        <w:rPr>
          <w:lang w:val="nl-NL"/>
        </w:rPr>
        <w:t>)</w:t>
      </w:r>
    </w:p>
    <w:p w14:paraId="5DD9A474" w14:textId="77777777" w:rsidR="001D4DF1" w:rsidRDefault="001D4DF1" w:rsidP="001D4DF1">
      <w:pPr>
        <w:rPr>
          <w:lang w:val="nl-NL"/>
        </w:rPr>
      </w:pPr>
      <w:r>
        <w:rPr>
          <w:lang w:val="nl-NL"/>
        </w:rPr>
        <w:t>F. Van Goethem (</w:t>
      </w:r>
      <w:r w:rsidRPr="008B60A6">
        <w:rPr>
          <w:lang w:val="nl-NL"/>
        </w:rPr>
        <w:t>0009-0000-5672-0048</w:t>
      </w:r>
      <w:r>
        <w:rPr>
          <w:lang w:val="nl-NL"/>
        </w:rPr>
        <w:t>)</w:t>
      </w:r>
    </w:p>
    <w:p w14:paraId="0186D082" w14:textId="77777777" w:rsidR="001D4DF1" w:rsidRDefault="001D4DF1" w:rsidP="001D4DF1">
      <w:pPr>
        <w:rPr>
          <w:lang w:val="nl-NL"/>
        </w:rPr>
      </w:pPr>
      <w:r>
        <w:rPr>
          <w:lang w:val="nl-NL"/>
        </w:rPr>
        <w:t>L.M.T. Winkelman (</w:t>
      </w:r>
      <w:r w:rsidRPr="008B60A6">
        <w:rPr>
          <w:lang w:val="nl-NL"/>
        </w:rPr>
        <w:t>0009-0001-9105-7840</w:t>
      </w:r>
      <w:r>
        <w:rPr>
          <w:lang w:val="nl-NL"/>
        </w:rPr>
        <w:t>)</w:t>
      </w:r>
    </w:p>
    <w:p w14:paraId="2BF9C0F4" w14:textId="77777777" w:rsidR="001D4DF1" w:rsidRPr="008B60A6" w:rsidRDefault="001D4DF1" w:rsidP="001D4DF1">
      <w:pPr>
        <w:rPr>
          <w:lang w:val="nl-NL"/>
        </w:rPr>
      </w:pPr>
      <w:r>
        <w:rPr>
          <w:lang w:val="nl-NL"/>
        </w:rPr>
        <w:t>J.B. Beltman (</w:t>
      </w:r>
      <w:r w:rsidRPr="000C5821">
        <w:rPr>
          <w:lang w:val="nl-NL"/>
        </w:rPr>
        <w:t>0000-0001-9215-3087</w:t>
      </w:r>
      <w:r>
        <w:rPr>
          <w:lang w:val="nl-NL"/>
        </w:rPr>
        <w:t>)</w:t>
      </w:r>
    </w:p>
    <w:p w14:paraId="276C0D30" w14:textId="77777777" w:rsidR="001D4DF1" w:rsidRPr="001D5DC7" w:rsidRDefault="001D4DF1" w:rsidP="001D4DF1">
      <w:r w:rsidRPr="001D5DC7">
        <w:t>S. Murugadoss (0000-0001-8414-0569)</w:t>
      </w:r>
    </w:p>
    <w:p w14:paraId="7742A06C" w14:textId="77777777" w:rsidR="001D4DF1" w:rsidRPr="001D5DC7" w:rsidRDefault="001D4DF1" w:rsidP="001D4DF1">
      <w:r w:rsidRPr="001D5DC7">
        <w:t>A.-K. Olsen (0000-0003-3982-5213)</w:t>
      </w:r>
    </w:p>
    <w:p w14:paraId="52113759" w14:textId="77777777" w:rsidR="001D4DF1" w:rsidRPr="001D5DC7" w:rsidRDefault="001D4DF1" w:rsidP="001D4DF1">
      <w:r w:rsidRPr="001D5DC7">
        <w:t>F. Marcon (0000-0001-7439-8291)</w:t>
      </w:r>
    </w:p>
    <w:p w14:paraId="798526F9" w14:textId="77777777" w:rsidR="001D4DF1" w:rsidRPr="001D5DC7" w:rsidRDefault="001D4DF1" w:rsidP="001D4DF1">
      <w:r w:rsidRPr="001D5DC7">
        <w:t>C. Bossa (0000-0003-2084-2902)</w:t>
      </w:r>
    </w:p>
    <w:p w14:paraId="04350FE7" w14:textId="77777777" w:rsidR="001D4DF1" w:rsidRPr="001D5DC7" w:rsidRDefault="001D4DF1" w:rsidP="001D4DF1">
      <w:r w:rsidRPr="001D5DC7">
        <w:t>S.M. Shaikh (0000-0002-9744-5609)</w:t>
      </w:r>
    </w:p>
    <w:p w14:paraId="02AFC4B3" w14:textId="77777777" w:rsidR="001D4DF1" w:rsidRPr="001D5DC7" w:rsidRDefault="001D4DF1" w:rsidP="001D4DF1">
      <w:r w:rsidRPr="001D5DC7">
        <w:t>D. Nikolopoulou (0000-0003-4424-3859)</w:t>
      </w:r>
    </w:p>
    <w:p w14:paraId="2C19A7D9" w14:textId="77777777" w:rsidR="001D4DF1" w:rsidRPr="001D5DC7" w:rsidRDefault="001D4DF1" w:rsidP="001D4DF1">
      <w:r w:rsidRPr="001D5DC7">
        <w:lastRenderedPageBreak/>
        <w:t>V. Hatzi (0000-0001-8165-9242)</w:t>
      </w:r>
    </w:p>
    <w:p w14:paraId="6F48F8BD" w14:textId="77777777" w:rsidR="001D4DF1" w:rsidRPr="001D5DC7" w:rsidRDefault="001D4DF1" w:rsidP="001D4DF1">
      <w:r w:rsidRPr="001D5DC7">
        <w:t>J. Pennings (0000-0002-9188-6358)</w:t>
      </w:r>
    </w:p>
    <w:p w14:paraId="5D7B5163" w14:textId="77777777" w:rsidR="001D4DF1" w:rsidRDefault="001D4DF1" w:rsidP="001D4DF1">
      <w:pPr>
        <w:rPr>
          <w:lang w:val="nl-NL"/>
        </w:rPr>
      </w:pPr>
      <w:r>
        <w:rPr>
          <w:lang w:val="nl-NL"/>
        </w:rPr>
        <w:t>M. Luijten (</w:t>
      </w:r>
      <w:r w:rsidRPr="00BE032E">
        <w:rPr>
          <w:lang w:val="nl-NL"/>
        </w:rPr>
        <w:t>0000-0002-5277-1443</w:t>
      </w:r>
      <w:r>
        <w:rPr>
          <w:lang w:val="nl-NL"/>
        </w:rPr>
        <w:t>)</w:t>
      </w:r>
    </w:p>
    <w:p w14:paraId="5EEE1E00" w14:textId="77777777" w:rsidR="001D4DF1" w:rsidRDefault="001D4DF1" w:rsidP="001D4DF1">
      <w:pPr>
        <w:rPr>
          <w:lang w:val="nl-NL"/>
        </w:rPr>
      </w:pPr>
      <w:r>
        <w:rPr>
          <w:lang w:val="nl-NL"/>
        </w:rPr>
        <w:t>C. Adam-Guillermin (</w:t>
      </w:r>
      <w:r w:rsidRPr="00BE032E">
        <w:rPr>
          <w:lang w:val="nl-NL"/>
        </w:rPr>
        <w:t>0000-0002-8833-0762</w:t>
      </w:r>
      <w:r>
        <w:rPr>
          <w:lang w:val="nl-NL"/>
        </w:rPr>
        <w:t>)</w:t>
      </w:r>
    </w:p>
    <w:p w14:paraId="7001DA70" w14:textId="77777777" w:rsidR="001D4DF1" w:rsidRPr="001D5DC7" w:rsidRDefault="001D4DF1" w:rsidP="001D4DF1">
      <w:pPr>
        <w:rPr>
          <w:lang w:val="fr-BE"/>
        </w:rPr>
      </w:pPr>
      <w:r w:rsidRPr="001D5DC7">
        <w:rPr>
          <w:lang w:val="fr-BE"/>
        </w:rPr>
        <w:t>M. Paparella (0000-0002-8700-4834)</w:t>
      </w:r>
    </w:p>
    <w:p w14:paraId="1225DEDF" w14:textId="77777777" w:rsidR="001D4DF1" w:rsidRPr="001D5DC7" w:rsidRDefault="001D4DF1" w:rsidP="001D4DF1">
      <w:pPr>
        <w:rPr>
          <w:lang w:val="fr-BE"/>
        </w:rPr>
      </w:pPr>
      <w:r w:rsidRPr="001D5DC7">
        <w:rPr>
          <w:lang w:val="fr-BE"/>
        </w:rPr>
        <w:t>M. Audebert (0000-0001-7898-6912)</w:t>
      </w:r>
    </w:p>
    <w:p w14:paraId="4A9C2425" w14:textId="3AF7C298" w:rsidR="001D4DF1" w:rsidRPr="001D4DF1" w:rsidRDefault="001D4DF1" w:rsidP="001D4DF1">
      <w:pPr>
        <w:rPr>
          <w:lang w:val="fr-BE"/>
        </w:rPr>
      </w:pPr>
      <w:r w:rsidRPr="001D5DC7">
        <w:rPr>
          <w:lang w:val="fr-BE"/>
        </w:rPr>
        <w:t>B. Mertens (0000-0001-8298-9104)</w:t>
      </w:r>
    </w:p>
    <w:p w14:paraId="6EF58735" w14:textId="77777777" w:rsidR="00EF7D25" w:rsidRPr="001D4DF1" w:rsidRDefault="00EF7D25" w:rsidP="002A112A">
      <w:pPr>
        <w:spacing w:after="0" w:line="324" w:lineRule="auto"/>
        <w:jc w:val="both"/>
        <w:rPr>
          <w:b/>
          <w:bCs/>
          <w:lang w:val="fr-BE"/>
        </w:rPr>
      </w:pPr>
    </w:p>
    <w:p w14:paraId="7BA001CB" w14:textId="17A0E94F" w:rsidR="00D54268" w:rsidRDefault="006320CE" w:rsidP="006C2A75">
      <w:pPr>
        <w:spacing w:after="0" w:line="324" w:lineRule="auto"/>
        <w:jc w:val="both"/>
      </w:pPr>
      <w:r w:rsidRPr="002A112A">
        <w:rPr>
          <w:b/>
          <w:bCs/>
          <w:sz w:val="32"/>
          <w:szCs w:val="32"/>
        </w:rPr>
        <w:t>REFERENCES</w:t>
      </w:r>
    </w:p>
    <w:p w14:paraId="3A5A6C5E" w14:textId="77777777" w:rsidR="009B7DE3" w:rsidRDefault="006C2A75" w:rsidP="00A35340">
      <w:pPr>
        <w:pStyle w:val="Bibliographie"/>
        <w:jc w:val="both"/>
      </w:pPr>
      <w:r>
        <w:fldChar w:fldCharType="begin"/>
      </w:r>
      <w:r w:rsidR="001B701E">
        <w:instrText xml:space="preserve"> ADDIN ZOTERO_BIBL {"uncited":[],"omitted":[],"custom":[]} CSL_BIBLIOGRAPHY </w:instrText>
      </w:r>
      <w:r>
        <w:fldChar w:fldCharType="separate"/>
      </w:r>
      <w:r w:rsidR="009B7DE3">
        <w:t>(1)</w:t>
      </w:r>
      <w:r w:rsidR="009B7DE3">
        <w:tab/>
        <w:t>European Chemicals Agency. Guidance on the Application of the CLP Criteria: Guidance to Regulation (EC) No 1272/2008 on Classification, Labelling and Packaging (CLP) of Substances and Mixtures.; Publications Office: LU, 2017.</w:t>
      </w:r>
    </w:p>
    <w:p w14:paraId="39FC2279" w14:textId="77777777" w:rsidR="009B7DE3" w:rsidRDefault="009B7DE3" w:rsidP="00A35340">
      <w:pPr>
        <w:pStyle w:val="Bibliographie"/>
        <w:jc w:val="both"/>
      </w:pPr>
      <w:r>
        <w:lastRenderedPageBreak/>
        <w:t>(2)</w:t>
      </w:r>
      <w:r>
        <w:tab/>
        <w:t xml:space="preserve">Phillips, D. H.; Arlt, V. M. Genotoxicity: Damage to DNA and Its Consequences. Mol. Clin. Environ. Toxicol. </w:t>
      </w:r>
      <w:r>
        <w:rPr>
          <w:b/>
          <w:bCs/>
        </w:rPr>
        <w:t>2009</w:t>
      </w:r>
      <w:r>
        <w:t>, 1, 87–110. https://doi.org/10.1007/978-3-7643-8336-7_4.</w:t>
      </w:r>
    </w:p>
    <w:p w14:paraId="18C35679" w14:textId="77777777" w:rsidR="009B7DE3" w:rsidRDefault="009B7DE3" w:rsidP="00A35340">
      <w:pPr>
        <w:pStyle w:val="Bibliographie"/>
        <w:jc w:val="both"/>
      </w:pPr>
      <w:r>
        <w:t>(3)</w:t>
      </w:r>
      <w:r>
        <w:tab/>
        <w:t xml:space="preserve">Hanahan, D.; Weinberg, R. A. Hallmarks of Cancer: The Next Generation. Cell </w:t>
      </w:r>
      <w:r>
        <w:rPr>
          <w:b/>
          <w:bCs/>
        </w:rPr>
        <w:t>2011</w:t>
      </w:r>
      <w:r>
        <w:t>, 144 (5), 646–674. https://doi.org/10.1016/j.cell.2011.02.013.</w:t>
      </w:r>
    </w:p>
    <w:p w14:paraId="18D9239F" w14:textId="77777777" w:rsidR="009B7DE3" w:rsidRDefault="009B7DE3" w:rsidP="00A35340">
      <w:pPr>
        <w:pStyle w:val="Bibliographie"/>
        <w:jc w:val="both"/>
      </w:pPr>
      <w:r>
        <w:t>(4)</w:t>
      </w:r>
      <w:r>
        <w:tab/>
        <w:t xml:space="preserve">Choudhuri, S.; Kaur, T.; Jain, S.; Sharma, C.; Asthana, S. A Review on Genotoxicity in Connection to Infertility and Cancer. Chem. Biol. Interact. </w:t>
      </w:r>
      <w:r>
        <w:rPr>
          <w:b/>
          <w:bCs/>
        </w:rPr>
        <w:t>2021</w:t>
      </w:r>
      <w:r>
        <w:t>, 345, 109531. https://doi.org/10.1016/j.cbi.2021.109531.</w:t>
      </w:r>
    </w:p>
    <w:p w14:paraId="5D383F0F" w14:textId="77777777" w:rsidR="009B7DE3" w:rsidRPr="00B84931" w:rsidRDefault="009B7DE3" w:rsidP="00A35340">
      <w:pPr>
        <w:pStyle w:val="Bibliographie"/>
        <w:jc w:val="both"/>
      </w:pPr>
      <w:r>
        <w:t>(5)</w:t>
      </w:r>
      <w:r>
        <w:tab/>
        <w:t xml:space="preserve">Steiblen, G.; Benthem, J. van; Johnson, G. Strategies in Genotoxicology: Acceptance of Innovative Scientific Methods in a Regulatory Context and from an Industrial Perspective. </w:t>
      </w:r>
      <w:r w:rsidRPr="00B84931">
        <w:t xml:space="preserve">Mutat. Res. Genet. Toxicol. Environ. Mutagen. </w:t>
      </w:r>
      <w:r w:rsidRPr="00B84931">
        <w:rPr>
          <w:b/>
          <w:bCs/>
        </w:rPr>
        <w:t>2020</w:t>
      </w:r>
      <w:r w:rsidRPr="00B84931">
        <w:t>, 853, 503171. https://doi.org/10.1016/j.mrgentox.2020.503171.</w:t>
      </w:r>
    </w:p>
    <w:p w14:paraId="51D81A69" w14:textId="77777777" w:rsidR="009B7DE3" w:rsidRDefault="009B7DE3" w:rsidP="00A35340">
      <w:pPr>
        <w:pStyle w:val="Bibliographie"/>
        <w:jc w:val="both"/>
      </w:pPr>
      <w:r>
        <w:t>(6)</w:t>
      </w:r>
      <w:r>
        <w:tab/>
        <w:t>OECD. Overview on Genetic Toxicology TGs; Organisation for Economic Co-operation and Development: Paris, 2017.</w:t>
      </w:r>
    </w:p>
    <w:p w14:paraId="6A7A0090" w14:textId="77777777" w:rsidR="009B7DE3" w:rsidRDefault="009B7DE3" w:rsidP="00A35340">
      <w:pPr>
        <w:pStyle w:val="Bibliographie"/>
        <w:jc w:val="both"/>
      </w:pPr>
      <w:r>
        <w:lastRenderedPageBreak/>
        <w:t>(7)</w:t>
      </w:r>
      <w:r>
        <w:tab/>
        <w:t xml:space="preserve">Fortin, A.-M. V.; Long, A. S.; Williams, A.; Meier, M. J.; Cox, J.; Pinsonnault, C.; Yauk, C. L.; White, P. A. Application of a New Approach Methodology (NAM)-Based Strategy for Genotoxicity Assessment of Data-Poor Compounds. Front. Toxicol. </w:t>
      </w:r>
      <w:r>
        <w:rPr>
          <w:b/>
          <w:bCs/>
        </w:rPr>
        <w:t>2023</w:t>
      </w:r>
      <w:r>
        <w:t>, 5.</w:t>
      </w:r>
    </w:p>
    <w:p w14:paraId="65748D05" w14:textId="77777777" w:rsidR="009B7DE3" w:rsidRDefault="009B7DE3" w:rsidP="00A35340">
      <w:pPr>
        <w:pStyle w:val="Bibliographie"/>
        <w:jc w:val="both"/>
      </w:pPr>
      <w:r>
        <w:t>(8)</w:t>
      </w:r>
      <w:r>
        <w:tab/>
        <w:t>USFDA, C. for F. S. and A. N. Redbook 2000: IV.C.1. Short-Term Tests for Genetic Toxicity. U.S. Food and Drug Administration. https://www.fda.gov/regulatory-information/search-fda-guidance-documents/redbook-2000-ivc1-short-term-tests-genetic-toxicity (accessed 2023-04-11).</w:t>
      </w:r>
    </w:p>
    <w:p w14:paraId="4352EA8F" w14:textId="77777777" w:rsidR="009B7DE3" w:rsidRDefault="009B7DE3" w:rsidP="00A35340">
      <w:pPr>
        <w:pStyle w:val="Bibliographie"/>
        <w:jc w:val="both"/>
      </w:pPr>
      <w:r>
        <w:t>(9)</w:t>
      </w:r>
      <w:r>
        <w:tab/>
        <w:t xml:space="preserve">Committee, E. S. Scientific Opinion on Genotoxicity Testing Strategies Applicable to Food and Feed Safety Assessment. EFSA J. </w:t>
      </w:r>
      <w:r>
        <w:rPr>
          <w:b/>
          <w:bCs/>
        </w:rPr>
        <w:t>2011</w:t>
      </w:r>
      <w:r>
        <w:t>, 9 (9), 2379. https://doi.org/10.2903/j.efsa.2011.2379.</w:t>
      </w:r>
    </w:p>
    <w:p w14:paraId="5EFD3F72" w14:textId="77777777" w:rsidR="009B7DE3" w:rsidRDefault="009B7DE3" w:rsidP="00A35340">
      <w:pPr>
        <w:pStyle w:val="Bibliographie"/>
        <w:jc w:val="both"/>
      </w:pPr>
      <w:r>
        <w:t>(10)</w:t>
      </w:r>
      <w:r>
        <w:tab/>
        <w:t>European Chemicals Agency. Guidance on the Biocidal Products Regulation.Volume III : Human Health, Part A : Information Requirements : Version 2, March 2022 .; Publications Office: LU, 2022.</w:t>
      </w:r>
    </w:p>
    <w:p w14:paraId="3477EDE7" w14:textId="77777777" w:rsidR="009B7DE3" w:rsidRDefault="009B7DE3" w:rsidP="00A35340">
      <w:pPr>
        <w:pStyle w:val="Bibliographie"/>
        <w:jc w:val="both"/>
      </w:pPr>
      <w:r>
        <w:t>(11)</w:t>
      </w:r>
      <w:r>
        <w:tab/>
        <w:t>Commission Regulation (EU) No 283/2013 of 1 March 2013 Setting out the Data Requirements for Active Substances, in Accordance with Regulation (EC) No 1107/2009 of the European Parliament and of the Council Concerning the Placing of Plant Protection Products on the MarketText with EEA Relevance.</w:t>
      </w:r>
    </w:p>
    <w:p w14:paraId="77EE8990" w14:textId="77777777" w:rsidR="009B7DE3" w:rsidRDefault="009B7DE3" w:rsidP="00A35340">
      <w:pPr>
        <w:pStyle w:val="Bibliographie"/>
        <w:jc w:val="both"/>
      </w:pPr>
      <w:r>
        <w:lastRenderedPageBreak/>
        <w:t>(12)</w:t>
      </w:r>
      <w:r>
        <w:tab/>
        <w:t xml:space="preserve">Committee (SC), E. S.; More, S. J.; Bampidis, V.; Bragard, C.; Halldorsson, T. I.; Hernández-Jerez, A. F.; Hougaard Bennekou, S.; Koutsoumanis, K.; Lambré, C.; Machera, K.; Naegeli, H.; Nielsen, S. S.; Schlatter, J.; Schrenk, D.; Turck, D.; Younes, M.; Aquilina, G.; Bignami, M.; Bolognesi, C.; Crebelli, R.; Gürtler, R.; Marcon, F.; Nielsen, E.; Vleminckx, C.; Carfì, M.; Martino, C.; Maurici, D.; Parra Morte, J.; Rossi, A.; Benford, D. Guidance on Aneugenicity Assessment. EFSA J. </w:t>
      </w:r>
      <w:r>
        <w:rPr>
          <w:b/>
          <w:bCs/>
        </w:rPr>
        <w:t>2021</w:t>
      </w:r>
      <w:r>
        <w:t>, 19 (8), e06770. https://doi.org/10.2903/j.efsa.2021.6770.</w:t>
      </w:r>
    </w:p>
    <w:p w14:paraId="15204091" w14:textId="77777777" w:rsidR="009B7DE3" w:rsidRDefault="009B7DE3" w:rsidP="00A35340">
      <w:pPr>
        <w:pStyle w:val="Bibliographie"/>
        <w:jc w:val="both"/>
      </w:pPr>
      <w:r>
        <w:t>(13)</w:t>
      </w:r>
      <w:r>
        <w:tab/>
        <w:t>SCCS Notes of guidance for the testing of cosmetic ingredients and their safety evaluation - 12th revision - European Commission. https://health.ec.europa.eu/publications/sccs-notes-guidance-testing-cosmetic-ingredients-and-their-safety-evaluation-12th-revision_en (accessed 2025-01-12).</w:t>
      </w:r>
    </w:p>
    <w:p w14:paraId="1159B9D8" w14:textId="77777777" w:rsidR="009B7DE3" w:rsidRDefault="009B7DE3" w:rsidP="00A35340">
      <w:pPr>
        <w:pStyle w:val="Bibliographie"/>
        <w:jc w:val="both"/>
      </w:pPr>
      <w:r>
        <w:t>(14)</w:t>
      </w:r>
      <w:r>
        <w:tab/>
        <w:t>Buick, J. K.; Williams, A.; Meier, M. J.; Swartz, C. D.; Recio, L.; Gagné, R.; Ferguson, S. S.; Engelward, B. P.; Yauk, C. L. A Modern Genotoxicity Testing Paradigm: Integration of the High-Throughput CometChip® and the TGx-DDI Transcriptomic Biomarker in Human HepaRG</w:t>
      </w:r>
      <w:r>
        <w:rPr>
          <w:vertAlign w:val="superscript"/>
        </w:rPr>
        <w:t>TM</w:t>
      </w:r>
      <w:r>
        <w:t xml:space="preserve"> Cell Cultures. Front. Public Health </w:t>
      </w:r>
      <w:r>
        <w:rPr>
          <w:b/>
          <w:bCs/>
        </w:rPr>
        <w:t>2021</w:t>
      </w:r>
      <w:r>
        <w:t>, 9.</w:t>
      </w:r>
    </w:p>
    <w:p w14:paraId="3A3B4BAA" w14:textId="77777777" w:rsidR="009B7DE3" w:rsidRDefault="009B7DE3" w:rsidP="00A35340">
      <w:pPr>
        <w:pStyle w:val="Bibliographie"/>
        <w:jc w:val="both"/>
      </w:pPr>
      <w:r>
        <w:lastRenderedPageBreak/>
        <w:t>(15)</w:t>
      </w:r>
      <w:r>
        <w:tab/>
        <w:t xml:space="preserve">Adeleye, Y.; Andersen, M.; Clewell, R.; Davies, M.; Dent, M.; Edwards, S.; Fowler, P.; Malcomber, S.; Nicol, B.; Scott, A.; Scott, S.; Sun, B.; Westmoreland, C.; White, A.; Zhang, Q.; Carmichael, P. L. Implementing Toxicity Testing in the 21st Century (TT21C): Making Safety Decisions Using Toxicity Pathways, and Progress in a Prototype Risk Assessment. Toxicology </w:t>
      </w:r>
      <w:r>
        <w:rPr>
          <w:b/>
          <w:bCs/>
        </w:rPr>
        <w:t>2015</w:t>
      </w:r>
      <w:r>
        <w:t>, 332, 102–111. https://doi.org/10.1016/j.tox.2014.02.007.</w:t>
      </w:r>
    </w:p>
    <w:p w14:paraId="0FD29B71" w14:textId="77777777" w:rsidR="009B7DE3" w:rsidRDefault="009B7DE3" w:rsidP="00A35340">
      <w:pPr>
        <w:pStyle w:val="Bibliographie"/>
        <w:jc w:val="both"/>
      </w:pPr>
      <w:r>
        <w:t>(16)</w:t>
      </w:r>
      <w:r>
        <w:tab/>
        <w:t xml:space="preserve">Johnson, K. J.; Auerbach, S. S.; Stevens, T.; Barton-Maclaren, T. S.; Costa, E.; Currie, R. A.; Dalmas Wilk, D.; Haq, S.; Rager, J. E.; Reardon, A. J. F.; Wehmas, L.; Williams, A.; O’Brien, J.; Yauk, C.; LaRocca, J. L.; Pettit, S. A Transformative Vision for an Omics-Based Regulatory Chemical Testing Paradigm. Toxicol. Sci. </w:t>
      </w:r>
      <w:r>
        <w:rPr>
          <w:b/>
          <w:bCs/>
        </w:rPr>
        <w:t>2022</w:t>
      </w:r>
      <w:r>
        <w:t>, 190 (2), 127–132. https://doi.org/10.1093/toxsci/kfac097.</w:t>
      </w:r>
    </w:p>
    <w:p w14:paraId="1DA1F9FF" w14:textId="77777777" w:rsidR="009B7DE3" w:rsidRDefault="009B7DE3" w:rsidP="00A35340">
      <w:pPr>
        <w:pStyle w:val="Bibliographie"/>
        <w:jc w:val="both"/>
      </w:pPr>
      <w:r>
        <w:t>(17)</w:t>
      </w:r>
      <w:r>
        <w:tab/>
        <w:t xml:space="preserve">Medina-Franco, J. L.; Chávez-Hernández, A. L.; López-López, E.; Saldívar-González, F. I. Chemical Multiverse: An Expanded View of Chemical Space. Mol. Inform. </w:t>
      </w:r>
      <w:r>
        <w:rPr>
          <w:b/>
          <w:bCs/>
        </w:rPr>
        <w:t>2022</w:t>
      </w:r>
      <w:r>
        <w:t>, 41 (11), 2200116. https://doi.org/10.1002/minf.202200116.</w:t>
      </w:r>
    </w:p>
    <w:p w14:paraId="6A006B19" w14:textId="77777777" w:rsidR="009B7DE3" w:rsidRDefault="009B7DE3" w:rsidP="00A35340">
      <w:pPr>
        <w:pStyle w:val="Bibliographie"/>
        <w:jc w:val="both"/>
      </w:pPr>
      <w:r>
        <w:t>(18)</w:t>
      </w:r>
      <w:r>
        <w:tab/>
        <w:t xml:space="preserve">Brändli, A. W. Chemical Screening and Toxicity Testing. Cold Spring Harb. Protoc. </w:t>
      </w:r>
      <w:r>
        <w:rPr>
          <w:b/>
          <w:bCs/>
        </w:rPr>
        <w:t>2023</w:t>
      </w:r>
      <w:r>
        <w:t>, 2023 (4), 098251-pdb.top. https://doi.org/10.1101/pdb.top098251.</w:t>
      </w:r>
    </w:p>
    <w:p w14:paraId="2D199884" w14:textId="77777777" w:rsidR="009B7DE3" w:rsidRDefault="009B7DE3" w:rsidP="00A35340">
      <w:pPr>
        <w:pStyle w:val="Bibliographie"/>
        <w:jc w:val="both"/>
      </w:pPr>
      <w:r>
        <w:lastRenderedPageBreak/>
        <w:t>(19)</w:t>
      </w:r>
      <w:r>
        <w:tab/>
        <w:t xml:space="preserve">McCord, J. P.; Groff, L. C.; Sobus, J. R. Quantitative Non-Targeted Analysis: Bridging the Gap between Contaminant Discovery and Risk Characterization. Environ. Int. </w:t>
      </w:r>
      <w:r>
        <w:rPr>
          <w:b/>
          <w:bCs/>
        </w:rPr>
        <w:t>2022</w:t>
      </w:r>
      <w:r>
        <w:t>, 158, 107011. https://doi.org/10.1016/j.envint.2021.107011.</w:t>
      </w:r>
    </w:p>
    <w:p w14:paraId="49FCD226" w14:textId="77777777" w:rsidR="009B7DE3" w:rsidRDefault="009B7DE3" w:rsidP="00A35340">
      <w:pPr>
        <w:pStyle w:val="Bibliographie"/>
        <w:jc w:val="both"/>
      </w:pPr>
      <w:r>
        <w:t>(20)</w:t>
      </w:r>
      <w:r>
        <w:tab/>
        <w:t xml:space="preserve">Arlt, V. M.; Stiborová, M.; Henderson, C. J.; Thiemann, M.; Frei, E.; Aimová, D.; Singh, R.; Gamboa da Costa, G.; Schmitz, O. J.; Farmer, P. B.; Wolf, C. R.; Phillips, D. H. Metabolic Activation of Benzo[a]Pyrene in Vitro by Hepatic Cytochrome P450 Contrasts with Detoxification in Vivo: Experiments with Hepatic Cytochrome P450 Reductase Null Mice. Carcinogenesis </w:t>
      </w:r>
      <w:r>
        <w:rPr>
          <w:b/>
          <w:bCs/>
        </w:rPr>
        <w:t>2008</w:t>
      </w:r>
      <w:r>
        <w:t>, 29 (3), 656–665. https://doi.org/10.1093/carcin/bgn002.</w:t>
      </w:r>
    </w:p>
    <w:p w14:paraId="0316DF9D" w14:textId="77777777" w:rsidR="009B7DE3" w:rsidRDefault="009B7DE3" w:rsidP="00A35340">
      <w:pPr>
        <w:pStyle w:val="Bibliographie"/>
        <w:jc w:val="both"/>
      </w:pPr>
      <w:r>
        <w:t>(21)</w:t>
      </w:r>
      <w:r>
        <w:tab/>
        <w:t xml:space="preserve">el-Din, A. Y.; al-Maskati, H. A.; Mohamed, A. Y.; Dairi, M. G. Acrylamide as an Inducer of Metabolic Activation System (S9) in Rats. Mutat. Res. </w:t>
      </w:r>
      <w:r>
        <w:rPr>
          <w:b/>
          <w:bCs/>
        </w:rPr>
        <w:t>1993</w:t>
      </w:r>
      <w:r>
        <w:t>, 300 (2), 91–97. https://doi.org/10.1016/0165-1218(93)90126-x.</w:t>
      </w:r>
    </w:p>
    <w:p w14:paraId="1F8D3B6A" w14:textId="77777777" w:rsidR="009B7DE3" w:rsidRDefault="009B7DE3" w:rsidP="00A35340">
      <w:pPr>
        <w:pStyle w:val="Bibliographie"/>
        <w:jc w:val="both"/>
      </w:pPr>
      <w:r>
        <w:t>(22)</w:t>
      </w:r>
      <w:r>
        <w:tab/>
        <w:t xml:space="preserve">Koyama, N.; Yasui, M.; Oda, Y.; Suzuki, S.; Satoh, T.; Suzuki, T.; Matsuda, T.; Masuda, S.; Kinae, N.; Honma, M. Genotoxicity of Acrylamide in Vitro: Acrylamide Is Not Metabolically Activated in Standard in Vitro Systems. Environ. Mol. Mutagen. </w:t>
      </w:r>
      <w:r>
        <w:rPr>
          <w:b/>
          <w:bCs/>
        </w:rPr>
        <w:t>2011</w:t>
      </w:r>
      <w:r>
        <w:t>, 52 (1), 11–19. https://doi.org/10.1002/em.20560.</w:t>
      </w:r>
    </w:p>
    <w:p w14:paraId="082D1FE4" w14:textId="77777777" w:rsidR="009B7DE3" w:rsidRDefault="009B7DE3" w:rsidP="00A35340">
      <w:pPr>
        <w:pStyle w:val="Bibliographie"/>
        <w:jc w:val="both"/>
      </w:pPr>
      <w:r>
        <w:lastRenderedPageBreak/>
        <w:t>(23)</w:t>
      </w:r>
      <w:r>
        <w:tab/>
        <w:t xml:space="preserve">Henneberger, L.; Huchthausen, J.; Braasch, J.; König, M.; Escher, B. I. In Vitro Metabolism and P53 Activation of Genotoxic Chemicals: Abiotic CYP Enzyme vs Liver Microsomes. Chem. Res. Toxicol. </w:t>
      </w:r>
      <w:r>
        <w:rPr>
          <w:b/>
          <w:bCs/>
        </w:rPr>
        <w:t>2024</w:t>
      </w:r>
      <w:r>
        <w:t>, 37 (8), 1364–1373. https://doi.org/10.1021/acs.chemrestox.4c00101.</w:t>
      </w:r>
    </w:p>
    <w:p w14:paraId="462D11CB" w14:textId="77777777" w:rsidR="009B7DE3" w:rsidRDefault="009B7DE3" w:rsidP="00A35340">
      <w:pPr>
        <w:pStyle w:val="Bibliographie"/>
        <w:jc w:val="both"/>
      </w:pPr>
      <w:r>
        <w:t>(24)</w:t>
      </w:r>
      <w:r>
        <w:tab/>
        <w:t xml:space="preserve">Ames, B. N.; Lee, F. D.; Durston, W. E. An Improved Bacterial Test System for the Detection and Classification of Mutagens and Carcinogens. Proc. Natl. Acad. Sci. U. S. A. </w:t>
      </w:r>
      <w:r>
        <w:rPr>
          <w:b/>
          <w:bCs/>
        </w:rPr>
        <w:t>1973</w:t>
      </w:r>
      <w:r>
        <w:t>, 70 (3), 782–786. https://doi.org/10.1073/pnas.70.3.782.</w:t>
      </w:r>
    </w:p>
    <w:p w14:paraId="4A1079C7" w14:textId="77777777" w:rsidR="009B7DE3" w:rsidRDefault="009B7DE3" w:rsidP="00A35340">
      <w:pPr>
        <w:pStyle w:val="Bibliographie"/>
        <w:jc w:val="both"/>
      </w:pPr>
      <w:r>
        <w:t>(25)</w:t>
      </w:r>
      <w:r>
        <w:tab/>
        <w:t xml:space="preserve">Bak, S.-M.; Back, S.-M.; Kim, D. Y.; Jung, S.; Jeung, N.-Y.; Kim, N.-Y.; Han, K.-H.; Kim, Y.-B.; Lee, B.-S.; Park, J. H.; Cho, H. J.; Lee, H. G.; Ozden, O.; Kim, S. K.; Park, S.-H. Differential Genotoxicity of Polygoni Multiflori in Rat and Human: Insights from Ames Test and S9 Metabolic Activation System. Sci. Rep. </w:t>
      </w:r>
      <w:r>
        <w:rPr>
          <w:b/>
          <w:bCs/>
        </w:rPr>
        <w:t>2024</w:t>
      </w:r>
      <w:r>
        <w:t>, 14 (1), 21433. https://doi.org/10.1038/s41598-024-72283-5.</w:t>
      </w:r>
    </w:p>
    <w:p w14:paraId="751CA9BF" w14:textId="77777777" w:rsidR="009B7DE3" w:rsidRDefault="009B7DE3" w:rsidP="00A35340">
      <w:pPr>
        <w:pStyle w:val="Bibliographie"/>
        <w:jc w:val="both"/>
      </w:pPr>
      <w:r>
        <w:t>(26)</w:t>
      </w:r>
      <w:r>
        <w:tab/>
        <w:t xml:space="preserve">Dobo, K. L.; Obach, R. S.; Luffer-Atlas, D.; Bercu, J. P. A Strategy for the Risk Assessment of Human Genotoxic Metabolites. Chem. Res. Toxicol. </w:t>
      </w:r>
      <w:r>
        <w:rPr>
          <w:b/>
          <w:bCs/>
        </w:rPr>
        <w:t>2009</w:t>
      </w:r>
      <w:r>
        <w:t>, 22 (2), 348–356. https://doi.org/10.1021/tx8004339.</w:t>
      </w:r>
    </w:p>
    <w:p w14:paraId="67A8F826" w14:textId="77777777" w:rsidR="009B7DE3" w:rsidRDefault="009B7DE3" w:rsidP="00A35340">
      <w:pPr>
        <w:pStyle w:val="Bibliographie"/>
        <w:jc w:val="both"/>
      </w:pPr>
      <w:r>
        <w:lastRenderedPageBreak/>
        <w:t>(27)</w:t>
      </w:r>
      <w:r>
        <w:tab/>
        <w:t xml:space="preserve">Brendt, J.; Crawford, S. E.; Velki, M.; Xiao, H.; Thalmann, B.; Hollert, H.; Schiwy, A. Is a Liver Comparable to a Liver? A Comparison of Different Rat-Derived S9-Fractions with a Biotechnological Animal-Free Alternative in the Ames Fluctuation Assay. Sci. Total Environ. </w:t>
      </w:r>
      <w:r>
        <w:rPr>
          <w:b/>
          <w:bCs/>
        </w:rPr>
        <w:t>2021</w:t>
      </w:r>
      <w:r>
        <w:t>, 759, 143522. https://doi.org/10.1016/j.scitotenv.2020.143522.</w:t>
      </w:r>
    </w:p>
    <w:p w14:paraId="5844BC12" w14:textId="77777777" w:rsidR="009B7DE3" w:rsidRDefault="009B7DE3" w:rsidP="00A35340">
      <w:pPr>
        <w:pStyle w:val="Bibliographie"/>
        <w:jc w:val="both"/>
      </w:pPr>
      <w:r>
        <w:t>(28)</w:t>
      </w:r>
      <w:r>
        <w:tab/>
        <w:t xml:space="preserve">Nesslany, F. The Current Limitations of in Vitro Genotoxicity Testing and Their Relevance to the in Vivo Situation. Food Chem. Toxicol. Int. J. Publ. Br. Ind. Biol. Res. Assoc. </w:t>
      </w:r>
      <w:r>
        <w:rPr>
          <w:b/>
          <w:bCs/>
        </w:rPr>
        <w:t>2017</w:t>
      </w:r>
      <w:r>
        <w:t>, 106 (Pt B), 609–615. https://doi.org/10.1016/j.fct.2016.08.035.</w:t>
      </w:r>
    </w:p>
    <w:p w14:paraId="5FEFD874" w14:textId="77777777" w:rsidR="009B7DE3" w:rsidRDefault="009B7DE3" w:rsidP="00A35340">
      <w:pPr>
        <w:pStyle w:val="Bibliographie"/>
        <w:jc w:val="both"/>
      </w:pPr>
      <w:r>
        <w:t>(29)</w:t>
      </w:r>
      <w:r>
        <w:tab/>
        <w:t>OECD. Test No. 487: In Vitro Mammalian Cell Micronucleus Test; Organisation for Economic Co-operation and Development: Paris, 2023.</w:t>
      </w:r>
    </w:p>
    <w:p w14:paraId="0F4FB2C9" w14:textId="77777777" w:rsidR="009B7DE3" w:rsidRDefault="009B7DE3" w:rsidP="00A35340">
      <w:pPr>
        <w:pStyle w:val="Bibliographie"/>
        <w:jc w:val="both"/>
      </w:pPr>
      <w:r>
        <w:t>(30)</w:t>
      </w:r>
      <w:r>
        <w:tab/>
        <w:t xml:space="preserve">Fenech, M.; Kirsch-Volders, M.; Rossnerova, A.; Sram, R.; Romm, H.; Bolognesi, C.; Ramakumar, A.; Soussaline, F.; Schunck, C.; Elhajouji, A.; Anwar, W.; Bonassi, S. HUMN Project Initiative and Review of Validation, Quality Control and Prospects for Further Development of Automated Micronucleus Assays Using Image Cytometry Systems. Int. J. Hyg. Environ. Health </w:t>
      </w:r>
      <w:r>
        <w:rPr>
          <w:b/>
          <w:bCs/>
        </w:rPr>
        <w:t>2013</w:t>
      </w:r>
      <w:r>
        <w:t>, 216 (5), 541–552. https://doi.org/10.1016/j.ijheh.2013.01.008.</w:t>
      </w:r>
    </w:p>
    <w:p w14:paraId="7F8A77EC" w14:textId="77777777" w:rsidR="009B7DE3" w:rsidRDefault="009B7DE3" w:rsidP="00A35340">
      <w:pPr>
        <w:pStyle w:val="Bibliographie"/>
        <w:jc w:val="both"/>
      </w:pPr>
      <w:r>
        <w:lastRenderedPageBreak/>
        <w:t>(31)</w:t>
      </w:r>
      <w:r>
        <w:tab/>
        <w:t xml:space="preserve">Rodrigues, M. A.; Probst, C. E.; Zayats, A.; Davidson, B.; Riedel, M.; Li, Y.; Venkatachalam, V. The in Vitro Micronucleus Assay Using Imaging Flow Cytometry and Deep Learning. Npj Syst. Biol. Appl. </w:t>
      </w:r>
      <w:r>
        <w:rPr>
          <w:b/>
          <w:bCs/>
        </w:rPr>
        <w:t>2021</w:t>
      </w:r>
      <w:r>
        <w:t>, 7 (1), 1–12. https://doi.org/10.1038/s41540-021-00179-5.</w:t>
      </w:r>
    </w:p>
    <w:p w14:paraId="7E278DB2" w14:textId="77777777" w:rsidR="009B7DE3" w:rsidRDefault="009B7DE3" w:rsidP="00A35340">
      <w:pPr>
        <w:pStyle w:val="Bibliographie"/>
        <w:jc w:val="both"/>
      </w:pPr>
      <w:r>
        <w:t>(32)</w:t>
      </w:r>
      <w:r>
        <w:tab/>
        <w:t xml:space="preserve">van der Zalm, A. J.; Barroso, J.; Browne, P.; Casey, W.; Gordon, J.; Henry, T. R.; Kleinstreuer, N. C.; Lowit, A. B.; Perron, M.; Clippinger, A. J. A Framework for Establishing Scientific Confidence in New Approach Methodologies. Arch. Toxicol. </w:t>
      </w:r>
      <w:r>
        <w:rPr>
          <w:b/>
          <w:bCs/>
        </w:rPr>
        <w:t>2022</w:t>
      </w:r>
      <w:r>
        <w:t>, 96 (11), 2865–2879. https://doi.org/10.1007/s00204-022-03365-4.</w:t>
      </w:r>
    </w:p>
    <w:p w14:paraId="4E73D455" w14:textId="77777777" w:rsidR="009B7DE3" w:rsidRDefault="009B7DE3" w:rsidP="00A35340">
      <w:pPr>
        <w:pStyle w:val="Bibliographie"/>
        <w:jc w:val="both"/>
      </w:pPr>
      <w:r>
        <w:t>(33)</w:t>
      </w:r>
      <w:r>
        <w:tab/>
        <w:t>European Chemicals Agency. Report on the European Chemicals Agency’s “New Approach Methodologies Workshop: Towards an Animal Free Regulatory System for Industrial Chemicals” (31 May – 1 June 2023, Helsinki, Finland).; Publications Office: LU, 2023.</w:t>
      </w:r>
    </w:p>
    <w:p w14:paraId="4CA5A5A8" w14:textId="77777777" w:rsidR="009B7DE3" w:rsidRDefault="009B7DE3" w:rsidP="00A35340">
      <w:pPr>
        <w:pStyle w:val="Bibliographie"/>
        <w:jc w:val="both"/>
      </w:pPr>
      <w:r>
        <w:t>(34)</w:t>
      </w:r>
      <w:r>
        <w:tab/>
        <w:t xml:space="preserve">Nicolette, J.; Luijten, M.; Sasaki, J. C.; Custer, L.; Embry, M.; Froetschl, R.; Johnson, G.; Ouedraogo, G.; Settivari, R.; Thybaud, V.; Dearfield, K. L. Utility of a Next-Generation Framework for Assessment of Genomic Damage: A Case Study Using the Pharmaceutical Drug Candidate Etoposide. Environ. Mol. Mutagen. </w:t>
      </w:r>
      <w:r>
        <w:rPr>
          <w:b/>
          <w:bCs/>
        </w:rPr>
        <w:t>2021</w:t>
      </w:r>
      <w:r>
        <w:t>, 62 (9), 512–525. https://doi.org/10.1002/em.22467.</w:t>
      </w:r>
    </w:p>
    <w:p w14:paraId="09D103A3" w14:textId="77777777" w:rsidR="009B7DE3" w:rsidRDefault="009B7DE3" w:rsidP="00A35340">
      <w:pPr>
        <w:pStyle w:val="Bibliographie"/>
        <w:jc w:val="both"/>
      </w:pPr>
      <w:r>
        <w:lastRenderedPageBreak/>
        <w:t>(35)</w:t>
      </w:r>
      <w:r>
        <w:tab/>
        <w:t xml:space="preserve">Luijten, M.; Ball, N. S.; Dearfield, K. L.; Gollapudi, B. B.; Johnson, G. E.; Madia, F.; Peel, L.; Pfuhler, S.; Settivari, R. S.; ter Burg, W.; White, P. A.; van Benthem, J. Utility of a next Generation Framework for Assessment of Genomic Damage: A Case Study Using the Industrial Chemical Benzene. Environ. Mol. Mutagen. </w:t>
      </w:r>
      <w:r>
        <w:rPr>
          <w:b/>
          <w:bCs/>
        </w:rPr>
        <w:t>2020</w:t>
      </w:r>
      <w:r>
        <w:t>, 61 (1), 94–113. https://doi.org/10.1002/em.22346.</w:t>
      </w:r>
    </w:p>
    <w:p w14:paraId="32854361" w14:textId="77777777" w:rsidR="009B7DE3" w:rsidRDefault="009B7DE3" w:rsidP="00A35340">
      <w:pPr>
        <w:pStyle w:val="Bibliographie"/>
        <w:jc w:val="both"/>
      </w:pPr>
      <w:r>
        <w:t>(36)</w:t>
      </w:r>
      <w:r>
        <w:tab/>
        <w:t xml:space="preserve">Dearfield, K. L.; Gollapudi, B. B.; Bemis, J. C.; Benz, R. D.; Douglas, G. R.; Elespuru, R. K.; Johnson, G. E.; Kirkland, D. J.; LeBaron, M. J.; Li, A. P.; Marchetti, F.; Pottenger, L. H.; Rorije, E.; Tanir, J. Y.; Thybaud, V.; van Benthem, J.; Yauk, C. L.; Zeiger, E.; Luijten, M. Next Generation Testing Strategy for Assessment of Genomic Damage: A Conceptual Framework and Considerations. Environ. Mol. Mutagen. </w:t>
      </w:r>
      <w:r>
        <w:rPr>
          <w:b/>
          <w:bCs/>
        </w:rPr>
        <w:t>2017</w:t>
      </w:r>
      <w:r>
        <w:t>, 58 (5), 264–283. https://doi.org/10.1002/em.22045.</w:t>
      </w:r>
    </w:p>
    <w:p w14:paraId="3D76BECC" w14:textId="77777777" w:rsidR="009B7DE3" w:rsidRDefault="009B7DE3" w:rsidP="00A35340">
      <w:pPr>
        <w:pStyle w:val="Bibliographie"/>
        <w:jc w:val="both"/>
      </w:pPr>
      <w:r>
        <w:t>(37)</w:t>
      </w:r>
      <w:r>
        <w:tab/>
        <w:t xml:space="preserve">Krewski, D.; Andersen, M. E.; Tyshenko, M. G.; Krishnan, K.; Hartung, T.; Boekelheide, K.; Wambaugh, J. F.; Jones, D.; Whelan, M.; Thomas, R.; Yauk, C.; Barton-Maclaren, T.; Cote, I. Toxicity Testing in the 21st Century: Progress in the Past Decade and Future Perspectives. Arch. Toxicol. </w:t>
      </w:r>
      <w:r>
        <w:rPr>
          <w:b/>
          <w:bCs/>
        </w:rPr>
        <w:t>2020</w:t>
      </w:r>
      <w:r>
        <w:t>, 94 (1), 1–58. https://doi.org/10.1007/s00204-019-02613-4.</w:t>
      </w:r>
    </w:p>
    <w:p w14:paraId="0F827ACB" w14:textId="77777777" w:rsidR="009B7DE3" w:rsidRDefault="009B7DE3" w:rsidP="00A35340">
      <w:pPr>
        <w:pStyle w:val="Bibliographie"/>
        <w:jc w:val="both"/>
      </w:pPr>
      <w:r>
        <w:lastRenderedPageBreak/>
        <w:t>(38)</w:t>
      </w:r>
      <w:r>
        <w:tab/>
        <w:t xml:space="preserve">Krewski, D.; Acosta, D.; Andersen, M.; Anderson, H.; Bailar, J. C.; Boekelheide, K.; Brent, R.; Charnley, G.; Cheung, V. G.; Green, S.; Kelsey, K. T.; Kerkvliet, N. I.; Li, A. A.; McCray, L.; Meyer, O.; Patterson, R. D.; Pennie, W.; Scala, R. A.; Solomon, G. M.; Stephens, M.; Yager, J.; Zeise, L.; Staff of Committee on Toxicity Testing and Assessment of Environmental Agents. Toxicity Testing in the 21st Century: A Vision and a Strategy. J. Toxicol. Environ. Health Part B </w:t>
      </w:r>
      <w:r>
        <w:rPr>
          <w:b/>
          <w:bCs/>
        </w:rPr>
        <w:t>2010</w:t>
      </w:r>
      <w:r>
        <w:t>, 13 (2–4), 51–138. https://doi.org/10.1080/10937404.2010.483176.</w:t>
      </w:r>
    </w:p>
    <w:p w14:paraId="1BAD79B1" w14:textId="77777777" w:rsidR="009B7DE3" w:rsidRDefault="009B7DE3" w:rsidP="00A35340">
      <w:pPr>
        <w:pStyle w:val="Bibliographie"/>
        <w:jc w:val="both"/>
      </w:pPr>
      <w:r>
        <w:t>(39)</w:t>
      </w:r>
      <w:r>
        <w:tab/>
        <w:t xml:space="preserve">OECD Series on Testing and Assessment, No. 329, Environment, Health and Safety, Environment Directorate, OECD. Overview of Concepts and Available Guidance Related to Integrated Approaches to Testing and Assessment (IATA). </w:t>
      </w:r>
      <w:r>
        <w:rPr>
          <w:b/>
          <w:bCs/>
        </w:rPr>
        <w:t>2020</w:t>
      </w:r>
      <w:r>
        <w:t>.</w:t>
      </w:r>
    </w:p>
    <w:p w14:paraId="69223AC3" w14:textId="77777777" w:rsidR="009B7DE3" w:rsidRDefault="009B7DE3" w:rsidP="00A35340">
      <w:pPr>
        <w:pStyle w:val="Bibliographie"/>
        <w:jc w:val="both"/>
      </w:pPr>
      <w:r>
        <w:t>(40)</w:t>
      </w:r>
      <w:r>
        <w:tab/>
        <w:t xml:space="preserve">Bajard, L.; Adamovsky, O.; Audouze, K.; Baken, K.; Barouki, R.; Beltman, J. B.; Beronius, A.; Bonefeld-Jørgensen, E. C.; Cano-Sancho, G.; de Baat, M. L.; Di Tillio, F.; Fernández, M. F.; FitzGerald, R. E.; Gundacker, C.; Hernández, A. F.; Hilscherova, K.; Karakitsios, S.; Kuchovska, E.; Long, M.; Luijten, M.; Majid, S.; Marx-Stoelting, P.; Mustieles, V.; Negi, C. K.; Sarigiannis, D.; Scholz, S.; Sovadinova, I.; Stierum, R.; Tanabe, S.; Tollefsen, K. E.; van den Brand, A. D.; Vogs, C.; Wielsøe, M.; Wittwehr, C.; Blaha, </w:t>
      </w:r>
      <w:r>
        <w:lastRenderedPageBreak/>
        <w:t xml:space="preserve">L. Application of AOPs to Assist Regulatory Assessment of Chemical Risks – Case Studies, Needs and Recommendations. Environ. Res. </w:t>
      </w:r>
      <w:r>
        <w:rPr>
          <w:b/>
          <w:bCs/>
        </w:rPr>
        <w:t>2023</w:t>
      </w:r>
      <w:r>
        <w:t>, 217, 114650. https://doi.org/10.1016/j.envres.2022.114650.</w:t>
      </w:r>
    </w:p>
    <w:p w14:paraId="61354545" w14:textId="77777777" w:rsidR="009B7DE3" w:rsidRDefault="009B7DE3" w:rsidP="00A35340">
      <w:pPr>
        <w:pStyle w:val="Bibliographie"/>
        <w:jc w:val="both"/>
      </w:pPr>
      <w:r>
        <w:t>(41)</w:t>
      </w:r>
      <w:r>
        <w:tab/>
        <w:t xml:space="preserve">Jacobs, M. N.; Colacci, A.; Corvi, R.; Vaccari, M.; Aguila, M. C.; Corvaro, M.; Delrue, N.; Desaulniers, D.; Ertych, N.; Jacobs, A.; Luijten, M.; Madia, F.; Nishikawa, A.; Ogawa, K.; Ohmori, K.; Paparella, M.; Sharma, A. K.; Vasseur, P. Chemical Carcinogen Safety Testing: OECD Expert Group International Consensus on the Development of an Integrated Approach for the Testing and Assessment of Chemical Non-Genotoxic Carcinogens. Arch. Toxicol. </w:t>
      </w:r>
      <w:r>
        <w:rPr>
          <w:b/>
          <w:bCs/>
        </w:rPr>
        <w:t>2020</w:t>
      </w:r>
      <w:r>
        <w:t>, 94 (8), 2899–2923. https://doi.org/10.1007/s00204-020-02784-5.</w:t>
      </w:r>
    </w:p>
    <w:p w14:paraId="53AF60A0" w14:textId="77777777" w:rsidR="009B7DE3" w:rsidRDefault="009B7DE3" w:rsidP="00A35340">
      <w:pPr>
        <w:pStyle w:val="Bibliographie"/>
        <w:jc w:val="both"/>
      </w:pPr>
      <w:r>
        <w:t>(42)</w:t>
      </w:r>
      <w:r>
        <w:tab/>
        <w:t xml:space="preserve">Tollefsen, K. E.; Scholz, S.; Cronin, M. T.; Edwards, S. W.; de Knecht, J.; Crofton, K.; Garcia-Reyero, N.; Hartung, T.; Worth, A.; Patlewicz, G. Applying Adverse Outcome Pathways (AOPs) to Support Integrated Approaches to Testing and Assessment (IATA). Regul. Toxicol. Pharmacol. </w:t>
      </w:r>
      <w:r>
        <w:rPr>
          <w:b/>
          <w:bCs/>
        </w:rPr>
        <w:t>2014</w:t>
      </w:r>
      <w:r>
        <w:t>, 70 (3), 629–640. https://doi.org/10.1016/j.yrtph.2014.09.009.</w:t>
      </w:r>
    </w:p>
    <w:p w14:paraId="0A1ABDEF" w14:textId="77777777" w:rsidR="009B7DE3" w:rsidRDefault="009B7DE3" w:rsidP="00A35340">
      <w:pPr>
        <w:pStyle w:val="Bibliographie"/>
        <w:jc w:val="both"/>
      </w:pPr>
      <w:r>
        <w:lastRenderedPageBreak/>
        <w:t>(43)</w:t>
      </w:r>
      <w:r>
        <w:tab/>
        <w:t>Willett, C. The Use of Adverse Outcome Pathways (AOPs) to Support Chemical Safety Decisions Within the Context of Integrated Approaches to Testing and Assessment (IATA). In Alternatives to Animal Testing; Kojima, H., Seidle, T., Spielmann, H., Eds.; Springer: Singapore, 2019; pp 83–90. https://doi.org/10.1007/978-981-13-2447-5_11.</w:t>
      </w:r>
    </w:p>
    <w:p w14:paraId="3EF52B34" w14:textId="77777777" w:rsidR="009B7DE3" w:rsidRDefault="009B7DE3" w:rsidP="00A35340">
      <w:pPr>
        <w:pStyle w:val="Bibliographie"/>
        <w:jc w:val="both"/>
      </w:pPr>
      <w:r>
        <w:t>(44)</w:t>
      </w:r>
      <w:r>
        <w:tab/>
        <w:t xml:space="preserve">Ankley, G. T.; Edwards, S. W. The Adverse Outcome Pathway: A Multifaceted Framework Supporting 21st Century Toxicology. Curr. Opin. Toxicol. </w:t>
      </w:r>
      <w:r>
        <w:rPr>
          <w:b/>
          <w:bCs/>
        </w:rPr>
        <w:t>2018</w:t>
      </w:r>
      <w:r>
        <w:t>, 9, 1–7. https://doi.org/10.1016/j.cotox.2018.03.004.</w:t>
      </w:r>
    </w:p>
    <w:p w14:paraId="5E873844" w14:textId="77777777" w:rsidR="009B7DE3" w:rsidRDefault="009B7DE3" w:rsidP="00A35340">
      <w:pPr>
        <w:pStyle w:val="Bibliographie"/>
        <w:jc w:val="both"/>
      </w:pPr>
      <w:r>
        <w:t>(45)</w:t>
      </w:r>
      <w:r>
        <w:tab/>
        <w:t xml:space="preserve">Villeneuve, D. L.; Crump, D.; Garcia-Reyero, N.; Hecker, M.; Hutchinson, T. H.; LaLone, C. A.; Landesmann, B.; Lettieri, T.; Munn, S.; Nepelska, M.; Ottinger, M. A.; Vergauwen, L.; Whelan, M. Adverse Outcome Pathway (AOP) Development I: Strategies and Principles. Toxicol. Sci. </w:t>
      </w:r>
      <w:r>
        <w:rPr>
          <w:b/>
          <w:bCs/>
        </w:rPr>
        <w:t>2014</w:t>
      </w:r>
      <w:r>
        <w:t>, 142 (2), 312–320. https://doi.org/10.1093/toxsci/kfu199.</w:t>
      </w:r>
    </w:p>
    <w:p w14:paraId="04866265" w14:textId="77777777" w:rsidR="009B7DE3" w:rsidRDefault="009B7DE3" w:rsidP="00A35340">
      <w:pPr>
        <w:pStyle w:val="Bibliographie"/>
        <w:jc w:val="both"/>
      </w:pPr>
      <w:r>
        <w:t>(46)</w:t>
      </w:r>
      <w:r>
        <w:tab/>
        <w:t>OECD. Users’ Handbook Supplement to the Guidance Document for Developing and Assessing Adverse Outcome Pathways; OECD: Paris, 2018. https://doi.org/10.1787/5jlv1m9d1g32-en.</w:t>
      </w:r>
    </w:p>
    <w:p w14:paraId="3279806E" w14:textId="77777777" w:rsidR="009B7DE3" w:rsidRDefault="009B7DE3" w:rsidP="00A35340">
      <w:pPr>
        <w:pStyle w:val="Bibliographie"/>
        <w:jc w:val="both"/>
      </w:pPr>
      <w:r>
        <w:lastRenderedPageBreak/>
        <w:t>(47)</w:t>
      </w:r>
      <w:r>
        <w:tab/>
        <w:t xml:space="preserve">Knapen, D.; Angrish, M. M.; Fortin, M. C.; Katsiadaki, I.; Leonard, M.; Margiotta-Casaluci, L.; Munn, S.; O’Brien, J. M.; Pollesch, N.; Smith, L. C.; Zhang, X.; Villeneuve, D. L. Adverse Outcome Pathway Networks I: Development and Applications. Environ. Toxicol. Chem. </w:t>
      </w:r>
      <w:r>
        <w:rPr>
          <w:b/>
          <w:bCs/>
        </w:rPr>
        <w:t>2018</w:t>
      </w:r>
      <w:r>
        <w:t>, 37 (6), 1723–1733. https://doi.org/10.1002/etc.4125.</w:t>
      </w:r>
    </w:p>
    <w:p w14:paraId="7A40B73A" w14:textId="77777777" w:rsidR="009B7DE3" w:rsidRDefault="009B7DE3" w:rsidP="00A35340">
      <w:pPr>
        <w:pStyle w:val="Bibliographie"/>
        <w:jc w:val="both"/>
      </w:pPr>
      <w:r>
        <w:t>(48)</w:t>
      </w:r>
      <w:r>
        <w:tab/>
        <w:t>O.N.E - USERS’ HANDBOOK SUPPLEMENT TO THE GUIDANCE DOCUMENT FOR DEVELOPING AND ASSESSING AOPs. https://one.oecd.org/official-document/ENV/JM/MONO(2016)12/en (accessed 2023-10-30).</w:t>
      </w:r>
    </w:p>
    <w:p w14:paraId="1FC21FE9" w14:textId="77777777" w:rsidR="009B7DE3" w:rsidRDefault="009B7DE3" w:rsidP="00A35340">
      <w:pPr>
        <w:pStyle w:val="Bibliographie"/>
        <w:jc w:val="both"/>
      </w:pPr>
      <w:r>
        <w:t>(49)</w:t>
      </w:r>
      <w:r>
        <w:tab/>
        <w:t xml:space="preserve">Sasaki, J. C.; Allemang, A.; Bryce, S. M.; Custer, L.; Dearfield, K. L.; Dietz, Y.; Elhajouji, A.; Escobar, P. A.; Fornace Jr, A. J.; Froetschl, R.; Galloway, S.; Hemmann, U.; Hendriks, G.; Li, H.-H.; Luijten, M.; Ouedraogo, G.; Peel, L.; Pfuhler, S.; Roberts, D. J.; Thybaud, V.; van Benthem, J.; Yauk, C. L.; Schuler, M. Application of the Adverse Outcome Pathway Framework to Genotoxic Modes of Action. Environ. Mol. Mutagen. </w:t>
      </w:r>
      <w:r>
        <w:rPr>
          <w:b/>
          <w:bCs/>
        </w:rPr>
        <w:t>2020</w:t>
      </w:r>
      <w:r>
        <w:t>, 61 (1), 114–134. https://doi.org/10.1002/em.22339.</w:t>
      </w:r>
    </w:p>
    <w:p w14:paraId="754F0096" w14:textId="77777777" w:rsidR="009B7DE3" w:rsidRDefault="009B7DE3" w:rsidP="00A35340">
      <w:pPr>
        <w:pStyle w:val="Bibliographie"/>
        <w:jc w:val="both"/>
      </w:pPr>
      <w:r>
        <w:t>(50)</w:t>
      </w:r>
      <w:r>
        <w:tab/>
        <w:t>Loewe, L. Genetic Mutation.; Nature Education, 2008; p 1(1):113.</w:t>
      </w:r>
    </w:p>
    <w:p w14:paraId="72D67D9D" w14:textId="77777777" w:rsidR="009B7DE3" w:rsidRDefault="009B7DE3" w:rsidP="00A35340">
      <w:pPr>
        <w:pStyle w:val="Bibliographie"/>
        <w:jc w:val="both"/>
      </w:pPr>
      <w:r>
        <w:lastRenderedPageBreak/>
        <w:t>(51)</w:t>
      </w:r>
      <w:r>
        <w:tab/>
        <w:t>Preston, R. J. Chromosome Aberrations. In Encyclopedia of Toxicology (Third Edition); Wexler, P., Ed.; Academic Press: Oxford, 2014; pp 955–958. https://doi.org/10.1016/B978-0-12-386454-3.00010-5.</w:t>
      </w:r>
    </w:p>
    <w:p w14:paraId="299DEB72" w14:textId="77777777" w:rsidR="009B7DE3" w:rsidRDefault="009B7DE3" w:rsidP="00A35340">
      <w:pPr>
        <w:pStyle w:val="Bibliographie"/>
        <w:jc w:val="both"/>
      </w:pPr>
      <w:r>
        <w:t>(52)</w:t>
      </w:r>
      <w:r>
        <w:tab/>
        <w:t>Aneuploidy. https://www.genome.gov/genetics-glossary/Aneuploidy (accessed 2025-01-17).</w:t>
      </w:r>
    </w:p>
    <w:p w14:paraId="2A5E2E2F" w14:textId="77777777" w:rsidR="009B7DE3" w:rsidRDefault="009B7DE3" w:rsidP="00A35340">
      <w:pPr>
        <w:pStyle w:val="Bibliographie"/>
        <w:jc w:val="both"/>
      </w:pPr>
      <w:r>
        <w:t>(53)</w:t>
      </w:r>
      <w:r>
        <w:tab/>
        <w:t xml:space="preserve">Huliganga, E.; Marchetti, F.; O’Brien, J. M.; Chauhan, V.; Yauk, C. L. A Case Study on Integrating a New Key Event Into an Existing Adverse Outcome Pathway on Oxidative DNA Damage: Challenges and Approaches in a Data-Rich Area. Front. Toxicol. </w:t>
      </w:r>
      <w:r>
        <w:rPr>
          <w:b/>
          <w:bCs/>
        </w:rPr>
        <w:t>2022</w:t>
      </w:r>
      <w:r>
        <w:t>, 4.</w:t>
      </w:r>
    </w:p>
    <w:p w14:paraId="7A1E9CA2" w14:textId="77777777" w:rsidR="009B7DE3" w:rsidRDefault="009B7DE3" w:rsidP="00A35340">
      <w:pPr>
        <w:pStyle w:val="Bibliographie"/>
        <w:jc w:val="both"/>
      </w:pPr>
      <w:r>
        <w:t>(54)</w:t>
      </w:r>
      <w:r>
        <w:tab/>
        <w:t xml:space="preserve">Petermann, E.; Helleday, T. Pathways of Mammalian Replication Fork Restart. Nat. Rev. Mol. Cell Biol. </w:t>
      </w:r>
      <w:r>
        <w:rPr>
          <w:b/>
          <w:bCs/>
        </w:rPr>
        <w:t>2010</w:t>
      </w:r>
      <w:r>
        <w:t>, 11 (10), 683–687. https://doi.org/10.1038/nrm2974.</w:t>
      </w:r>
    </w:p>
    <w:p w14:paraId="036BF1B6" w14:textId="77777777" w:rsidR="009B7DE3" w:rsidRDefault="009B7DE3" w:rsidP="00A35340">
      <w:pPr>
        <w:pStyle w:val="Bibliographie"/>
        <w:jc w:val="both"/>
      </w:pPr>
      <w:r>
        <w:t>(55)</w:t>
      </w:r>
      <w:r>
        <w:tab/>
        <w:t xml:space="preserve">Luong, T. T.; Li, Z.; Priedigkeit, N.; Parker, P. S.; Böhm, S.; Rapchak, K.; Lee, A. V.; Bernstein, K. A. Hrq1/RECQL4 Regulation Is Critical for Preventing Aberrant Recombination during DNA Intrastrand Crosslink Repair and Is Upregulated in Breast Cancer. PLOS Genet. </w:t>
      </w:r>
      <w:r>
        <w:rPr>
          <w:b/>
          <w:bCs/>
        </w:rPr>
        <w:t>2022</w:t>
      </w:r>
      <w:r>
        <w:t>, 18 (9), e1010122. https://doi.org/10.1371/journal.pgen.1010122.</w:t>
      </w:r>
    </w:p>
    <w:p w14:paraId="5F247429" w14:textId="77777777" w:rsidR="009B7DE3" w:rsidRDefault="009B7DE3" w:rsidP="00A35340">
      <w:pPr>
        <w:pStyle w:val="Bibliographie"/>
        <w:jc w:val="both"/>
      </w:pPr>
      <w:r>
        <w:lastRenderedPageBreak/>
        <w:t>(56)</w:t>
      </w:r>
      <w:r>
        <w:tab/>
        <w:t xml:space="preserve">Hashimoto, S.; Anai, H.; Hanada, K. Mechanisms of Interstrand DNA Crosslink Repair and Human Disorders. Genes Environ. </w:t>
      </w:r>
      <w:r>
        <w:rPr>
          <w:b/>
          <w:bCs/>
        </w:rPr>
        <w:t>2016</w:t>
      </w:r>
      <w:r>
        <w:t>, 38 (1), 9. https://doi.org/10.1186/s41021-016-0037-9.</w:t>
      </w:r>
    </w:p>
    <w:p w14:paraId="148926B5" w14:textId="77777777" w:rsidR="009B7DE3" w:rsidRDefault="009B7DE3" w:rsidP="00A35340">
      <w:pPr>
        <w:pStyle w:val="Bibliographie"/>
        <w:jc w:val="both"/>
      </w:pPr>
      <w:r>
        <w:t>(57)</w:t>
      </w:r>
      <w:r>
        <w:tab/>
        <w:t xml:space="preserve">Dronkert, M. L. G.; Kanaar, R. Repair of DNA Interstrand Cross-Links. Mutat. Res. Repair </w:t>
      </w:r>
      <w:r>
        <w:rPr>
          <w:b/>
          <w:bCs/>
        </w:rPr>
        <w:t>2001</w:t>
      </w:r>
      <w:r>
        <w:t>, 486 (4), 217–247. https://doi.org/10.1016/S0921-8777(01)00092-1.</w:t>
      </w:r>
    </w:p>
    <w:p w14:paraId="6C9EB11D" w14:textId="77777777" w:rsidR="009B7DE3" w:rsidRDefault="009B7DE3" w:rsidP="00A35340">
      <w:pPr>
        <w:pStyle w:val="Bibliographie"/>
        <w:jc w:val="both"/>
      </w:pPr>
      <w:r>
        <w:t>(58)</w:t>
      </w:r>
      <w:r>
        <w:tab/>
        <w:t xml:space="preserve">Fielden, J.; Ruggiano, A.; Popović, M.; Ramadan, K. DNA Protein Crosslink Proteolysis Repair: From Yeast to Premature Ageing and Cancer in Humans. DNA Repair </w:t>
      </w:r>
      <w:r>
        <w:rPr>
          <w:b/>
          <w:bCs/>
        </w:rPr>
        <w:t>2018</w:t>
      </w:r>
      <w:r>
        <w:t>, 71, 198–204. https://doi.org/10.1016/j.dnarep.2018.08.025.</w:t>
      </w:r>
    </w:p>
    <w:p w14:paraId="1EFD8AB1" w14:textId="77777777" w:rsidR="009B7DE3" w:rsidRDefault="009B7DE3" w:rsidP="00A35340">
      <w:pPr>
        <w:pStyle w:val="Bibliographie"/>
        <w:jc w:val="both"/>
      </w:pPr>
      <w:r>
        <w:t>(59)</w:t>
      </w:r>
      <w:r>
        <w:tab/>
        <w:t xml:space="preserve">Duxin, J. P.; Dewar, J. M.; Yardimci, H.; Walter, J. C. Repair of a DNA-Protein Crosslink by Replication-Coupled Proteolysis. Cell </w:t>
      </w:r>
      <w:r>
        <w:rPr>
          <w:b/>
          <w:bCs/>
        </w:rPr>
        <w:t>2014</w:t>
      </w:r>
      <w:r>
        <w:t>, 159 (2), 346–357. https://doi.org/10.1016/j.cell.2014.09.024.</w:t>
      </w:r>
    </w:p>
    <w:p w14:paraId="7FBE642A" w14:textId="77777777" w:rsidR="009B7DE3" w:rsidRDefault="009B7DE3" w:rsidP="00A35340">
      <w:pPr>
        <w:pStyle w:val="Bibliographie"/>
        <w:jc w:val="both"/>
      </w:pPr>
      <w:r>
        <w:t>(60)</w:t>
      </w:r>
      <w:r>
        <w:tab/>
        <w:t xml:space="preserve">Ruggiano, A.; Ramadan, K. DNA–Protein Crosslink Proteases in Genome Stability. Commun. Biol. </w:t>
      </w:r>
      <w:r>
        <w:rPr>
          <w:b/>
          <w:bCs/>
        </w:rPr>
        <w:t>2021</w:t>
      </w:r>
      <w:r>
        <w:t>, 4 (1), 1–11. https://doi.org/10.1038/s42003-020-01539-3.</w:t>
      </w:r>
    </w:p>
    <w:p w14:paraId="4615A47B" w14:textId="77777777" w:rsidR="009B7DE3" w:rsidRDefault="009B7DE3" w:rsidP="00A35340">
      <w:pPr>
        <w:pStyle w:val="Bibliographie"/>
        <w:jc w:val="both"/>
      </w:pPr>
      <w:r>
        <w:t>(61)</w:t>
      </w:r>
      <w:r>
        <w:tab/>
        <w:t xml:space="preserve">Backer, L. C.; Allen, J. W.; Harrington-Brock, K.; Campbell, J. A.; DeMarini, D. M.; Doerr, C. L.; Howard, D. R.; Kligerman, A. D.; Moore, M. M. Genotoxicity of Inhibitors of DNA Topoisomerases I </w:t>
      </w:r>
      <w:r>
        <w:lastRenderedPageBreak/>
        <w:t xml:space="preserve">(Camptothecin) and II (m-AMSA) in Vivo and in Vitro. Mutagenesis </w:t>
      </w:r>
      <w:r>
        <w:rPr>
          <w:b/>
          <w:bCs/>
        </w:rPr>
        <w:t>1990</w:t>
      </w:r>
      <w:r>
        <w:t>, 5 (6), 541–547. https://doi.org/10.1093/mutage/5.6.541.</w:t>
      </w:r>
    </w:p>
    <w:p w14:paraId="4753DB06" w14:textId="77777777" w:rsidR="009B7DE3" w:rsidRDefault="009B7DE3" w:rsidP="00A35340">
      <w:pPr>
        <w:pStyle w:val="Bibliographie"/>
        <w:jc w:val="both"/>
      </w:pPr>
      <w:r>
        <w:t>(62)</w:t>
      </w:r>
      <w:r>
        <w:tab/>
        <w:t xml:space="preserve">Xu, Y.; Her, C. Inhibition of Topoisomerase (DNA) I (TOP1): DNA Damage Repair and Anticancer Therapy. Biomolecules </w:t>
      </w:r>
      <w:r>
        <w:rPr>
          <w:b/>
          <w:bCs/>
        </w:rPr>
        <w:t>2015</w:t>
      </w:r>
      <w:r>
        <w:t>, 5 (3), 1652–1670. https://doi.org/10.3390/biom5031652.</w:t>
      </w:r>
    </w:p>
    <w:p w14:paraId="770654EF" w14:textId="77777777" w:rsidR="009B7DE3" w:rsidRDefault="009B7DE3" w:rsidP="00A35340">
      <w:pPr>
        <w:pStyle w:val="Bibliographie"/>
        <w:jc w:val="both"/>
      </w:pPr>
      <w:r>
        <w:t>(63)</w:t>
      </w:r>
      <w:r>
        <w:tab/>
        <w:t xml:space="preserve">Pachva, M. C.; Kisselev, A. F.; Matkarimov, B. T.; Saparbaev, M.; Groisman, R. DNA-Histone Cross-Links: Formation and Repair. Front. Cell Dev. Biol. </w:t>
      </w:r>
      <w:r>
        <w:rPr>
          <w:b/>
          <w:bCs/>
        </w:rPr>
        <w:t>2020</w:t>
      </w:r>
      <w:r>
        <w:t>, 8. https://doi.org/10.3389/fcell.2020.607045.</w:t>
      </w:r>
    </w:p>
    <w:p w14:paraId="48F55A45" w14:textId="77777777" w:rsidR="009B7DE3" w:rsidRDefault="009B7DE3" w:rsidP="00A35340">
      <w:pPr>
        <w:pStyle w:val="Bibliographie"/>
        <w:jc w:val="both"/>
      </w:pPr>
      <w:r>
        <w:t>(64)</w:t>
      </w:r>
      <w:r>
        <w:tab/>
        <w:t xml:space="preserve">Cho, E.; Allemang, A.; Audebert, M.; Chauhan, V.; Dertinger, S.; Hendriks, G.; Luijten, M.; Marchetti, F.; Minocherhomji, S.; Pfuhler, S.; Roberts, D. J.; Trenz, K.; Yauk, C. L. AOP Report: Development of an Adverse Outcome Pathway for Oxidative DNA Damage Leading to Mutations and Chromosomal Aberrations. Environ. Mol. Mutagen. </w:t>
      </w:r>
      <w:r>
        <w:rPr>
          <w:b/>
          <w:bCs/>
        </w:rPr>
        <w:t>2022</w:t>
      </w:r>
      <w:r>
        <w:t>, 63 (3), 118–134. https://doi.org/10.1002/em.22479.</w:t>
      </w:r>
    </w:p>
    <w:p w14:paraId="0794F63E" w14:textId="77777777" w:rsidR="009B7DE3" w:rsidRDefault="009B7DE3" w:rsidP="00A35340">
      <w:pPr>
        <w:pStyle w:val="Bibliographie"/>
        <w:jc w:val="both"/>
      </w:pPr>
      <w:r>
        <w:t>(65)</w:t>
      </w:r>
      <w:r>
        <w:tab/>
        <w:t xml:space="preserve">Kaina, B. Critical Steps in Alkylation-Induced Aberration Formation. Mutat. Res. Mol. Mech. Mutagen. </w:t>
      </w:r>
      <w:r>
        <w:rPr>
          <w:b/>
          <w:bCs/>
        </w:rPr>
        <w:t>1998</w:t>
      </w:r>
      <w:r>
        <w:t>, 404 (1), 119–124. https://doi.org/10.1016/S0027-5107(98)00103-1.</w:t>
      </w:r>
    </w:p>
    <w:p w14:paraId="78B74E95" w14:textId="77777777" w:rsidR="009B7DE3" w:rsidRPr="00B84931" w:rsidRDefault="009B7DE3" w:rsidP="00A35340">
      <w:pPr>
        <w:pStyle w:val="Bibliographie"/>
        <w:jc w:val="both"/>
      </w:pPr>
      <w:r>
        <w:lastRenderedPageBreak/>
        <w:t>(66)</w:t>
      </w:r>
      <w:r>
        <w:tab/>
        <w:t xml:space="preserve">Kopp, B.; Khawam, A.; Di Perna, K.; Lenart, D.; Vinette, M.; Silva, R.; Zanoni, T. B.; Rore, C.; Guenigault, G.; Richardson, E.; Kostrzewski, T.; Boswell, A.; Van, P.; Valentine Iii, C.; Salk, J.; Hamel, A. Liver-on-Chip Model and Application in Predictive Genotoxicity and Mutagenicity of Drugs. </w:t>
      </w:r>
      <w:r w:rsidRPr="00B84931">
        <w:t xml:space="preserve">Mutat. Res. Genet. Toxicol. Environ. Mutagen. </w:t>
      </w:r>
      <w:r w:rsidRPr="00B84931">
        <w:rPr>
          <w:b/>
          <w:bCs/>
        </w:rPr>
        <w:t>2024</w:t>
      </w:r>
      <w:r w:rsidRPr="00B84931">
        <w:t>, 896, 503762. https://doi.org/10.1016/j.mrgentox.2024.503762.</w:t>
      </w:r>
    </w:p>
    <w:p w14:paraId="2B4EB4D3" w14:textId="77777777" w:rsidR="009B7DE3" w:rsidRDefault="009B7DE3" w:rsidP="00A35340">
      <w:pPr>
        <w:pStyle w:val="Bibliographie"/>
        <w:jc w:val="both"/>
      </w:pPr>
      <w:r>
        <w:t>(67)</w:t>
      </w:r>
      <w:r>
        <w:tab/>
        <w:t xml:space="preserve">Boos, G.; Stopper, H. Genotoxicity of Several Clinically Used Topoisomerase II Inhibitors. Toxicol. Lett. </w:t>
      </w:r>
      <w:r>
        <w:rPr>
          <w:b/>
          <w:bCs/>
        </w:rPr>
        <w:t>2000</w:t>
      </w:r>
      <w:r>
        <w:t>, 116 (1), 7–16. https://doi.org/10.1016/S0378-4274(00)00192-2.</w:t>
      </w:r>
    </w:p>
    <w:p w14:paraId="057BBE86" w14:textId="77777777" w:rsidR="009B7DE3" w:rsidRDefault="009B7DE3" w:rsidP="00A35340">
      <w:pPr>
        <w:pStyle w:val="Bibliographie"/>
        <w:jc w:val="both"/>
      </w:pPr>
      <w:r>
        <w:t>(68)</w:t>
      </w:r>
      <w:r>
        <w:tab/>
        <w:t xml:space="preserve">Vázquez, M. V.; Rojas, V.; Tercero, J. A. Multiple Pathways Cooperate to Facilitate DNA Replication Fork Progression through Alkylated DNA. DNA Repair </w:t>
      </w:r>
      <w:r>
        <w:rPr>
          <w:b/>
          <w:bCs/>
        </w:rPr>
        <w:t>2008</w:t>
      </w:r>
      <w:r>
        <w:t>, 7 (10), 1693–1704. https://doi.org/10.1016/j.dnarep.2008.06.014.</w:t>
      </w:r>
    </w:p>
    <w:p w14:paraId="7748D32C" w14:textId="77777777" w:rsidR="009B7DE3" w:rsidRDefault="009B7DE3" w:rsidP="00A35340">
      <w:pPr>
        <w:pStyle w:val="Bibliographie"/>
        <w:jc w:val="both"/>
      </w:pPr>
      <w:r>
        <w:t>(69)</w:t>
      </w:r>
      <w:r>
        <w:tab/>
        <w:t xml:space="preserve">Torregrosa-Muñumer, R.; Goffart, S.; Haikonen, J. A.; Pohjoismäki, J. L. O. Low Doses of Ultraviolet Radiation and Oxidative Damage Induce Dramatic Accumulation of Mitochondrial DNA Replication Intermediates, Fork Regression, and Replication Initiation Shift. Mol. Biol. Cell </w:t>
      </w:r>
      <w:r>
        <w:rPr>
          <w:b/>
          <w:bCs/>
        </w:rPr>
        <w:t>2015</w:t>
      </w:r>
      <w:r>
        <w:t>, 26 (23), 4197–4208. https://doi.org/10.1091/mbc.e15-06-0390.</w:t>
      </w:r>
    </w:p>
    <w:p w14:paraId="3FDA3D8A" w14:textId="77777777" w:rsidR="009B7DE3" w:rsidRDefault="009B7DE3" w:rsidP="00A35340">
      <w:pPr>
        <w:pStyle w:val="Bibliographie"/>
        <w:jc w:val="both"/>
      </w:pPr>
      <w:r>
        <w:lastRenderedPageBreak/>
        <w:t>(70)</w:t>
      </w:r>
      <w:r>
        <w:tab/>
        <w:t xml:space="preserve">Christensen, D. M.; Livingston, G. K.; Sugarman, S. L.; Parillo, S. J.; Glassman, E. S. Management of Ionizing Radiation Injuries and Illnesses, Part 3: Radiobiology and Health Effects of Ionizing Radiation. J. Osteopath. Med. </w:t>
      </w:r>
      <w:r>
        <w:rPr>
          <w:b/>
          <w:bCs/>
        </w:rPr>
        <w:t>2014</w:t>
      </w:r>
      <w:r>
        <w:t>, 114 (7), 556–565. https://doi.org/10.7556/jaoa.2014.109.</w:t>
      </w:r>
    </w:p>
    <w:p w14:paraId="3277A908" w14:textId="77777777" w:rsidR="009B7DE3" w:rsidRDefault="009B7DE3" w:rsidP="00A35340">
      <w:pPr>
        <w:pStyle w:val="Bibliographie"/>
        <w:jc w:val="both"/>
      </w:pPr>
      <w:r>
        <w:t>(71)</w:t>
      </w:r>
      <w:r>
        <w:tab/>
        <w:t xml:space="preserve">Beranek, D. T. Distribution of Methyl and Ethyl Adducts Following Alkylation with Monofunctional Alkylating Agents. Mutat. Res. </w:t>
      </w:r>
      <w:r>
        <w:rPr>
          <w:b/>
          <w:bCs/>
        </w:rPr>
        <w:t>1990</w:t>
      </w:r>
      <w:r>
        <w:t>, 231 (1), 11–30. https://doi.org/10.1016/0027-5107(90)90173-2.</w:t>
      </w:r>
    </w:p>
    <w:p w14:paraId="339C5FD7" w14:textId="77777777" w:rsidR="009B7DE3" w:rsidRDefault="009B7DE3" w:rsidP="00A35340">
      <w:pPr>
        <w:pStyle w:val="Bibliographie"/>
        <w:jc w:val="both"/>
      </w:pPr>
      <w:r>
        <w:t>(72)</w:t>
      </w:r>
      <w:r>
        <w:tab/>
        <w:t xml:space="preserve">Fahrer, J.; Christmann, M. DNA Alkylation Damage by Nitrosamines and Relevant DNA Repair Pathways. Int. J. Mol. Sci. </w:t>
      </w:r>
      <w:r>
        <w:rPr>
          <w:b/>
          <w:bCs/>
        </w:rPr>
        <w:t>2023</w:t>
      </w:r>
      <w:r>
        <w:t>, 24 (5), 4684. https://doi.org/10.3390/ijms24054684.</w:t>
      </w:r>
    </w:p>
    <w:p w14:paraId="11157CF8" w14:textId="77777777" w:rsidR="009B7DE3" w:rsidRDefault="009B7DE3" w:rsidP="00A35340">
      <w:pPr>
        <w:pStyle w:val="Bibliographie"/>
        <w:jc w:val="both"/>
      </w:pPr>
      <w:r>
        <w:t>(73)</w:t>
      </w:r>
      <w:r>
        <w:tab/>
        <w:t xml:space="preserve">Kasai, H. Analysis of a Form of Oxidative DNA Damage, 8-Hydroxy-2’-Deoxyguanosine, as a Marker of Cellular Oxidative Stress during Carcinogenesis. Mutat. Res. - Rev. Mutat. Res. </w:t>
      </w:r>
      <w:r>
        <w:rPr>
          <w:b/>
          <w:bCs/>
        </w:rPr>
        <w:t>1997</w:t>
      </w:r>
      <w:r>
        <w:t>, 387 (3), 147–163. https://doi.org/10.1016/S1383-5742(97)00035-5.</w:t>
      </w:r>
    </w:p>
    <w:p w14:paraId="006802F9" w14:textId="77777777" w:rsidR="009B7DE3" w:rsidRDefault="009B7DE3" w:rsidP="00A35340">
      <w:pPr>
        <w:pStyle w:val="Bibliographie"/>
        <w:jc w:val="both"/>
      </w:pPr>
      <w:r>
        <w:t>(74)</w:t>
      </w:r>
      <w:r>
        <w:tab/>
        <w:t xml:space="preserve">Kasai, H.; Crain, P. F.; Kuchino, Y.; Nishimura, S.; Ootsuyama, A.; Tanooka, H. Formation of 8-Hydroxyguanine Moiety in Cellular DNA by Agents Producing Oxygen Radicals and Evidence for Its Repair. Carcinogenesis </w:t>
      </w:r>
      <w:r>
        <w:rPr>
          <w:b/>
          <w:bCs/>
        </w:rPr>
        <w:t>1986</w:t>
      </w:r>
      <w:r>
        <w:t>, 7 (11), 1849–1851. https://doi.org/10.1093/carcin/7.11.1849.</w:t>
      </w:r>
    </w:p>
    <w:p w14:paraId="3146CBDF" w14:textId="77777777" w:rsidR="009B7DE3" w:rsidRDefault="009B7DE3" w:rsidP="00A35340">
      <w:pPr>
        <w:pStyle w:val="Bibliographie"/>
        <w:jc w:val="both"/>
      </w:pPr>
      <w:r>
        <w:lastRenderedPageBreak/>
        <w:t>(75)</w:t>
      </w:r>
      <w:r>
        <w:tab/>
        <w:t xml:space="preserve">Poetsch, A. R. The Genomics of Oxidative DNA Damage, Repair, and Resulting Mutagenesis. Comput. Struct. Biotechnol. J. </w:t>
      </w:r>
      <w:r>
        <w:rPr>
          <w:b/>
          <w:bCs/>
        </w:rPr>
        <w:t>2020</w:t>
      </w:r>
      <w:r>
        <w:t>, 18, 207–219. https://doi.org/10.1016/j.csbj.2019.12.013.</w:t>
      </w:r>
    </w:p>
    <w:p w14:paraId="0407F372" w14:textId="77777777" w:rsidR="009B7DE3" w:rsidRDefault="009B7DE3" w:rsidP="00A35340">
      <w:pPr>
        <w:pStyle w:val="Bibliographie"/>
        <w:jc w:val="both"/>
      </w:pPr>
      <w:r>
        <w:t>(76)</w:t>
      </w:r>
      <w:r>
        <w:tab/>
        <w:t xml:space="preserve">Schins, R. P. F.; Knaapen, A. M. Genotoxicity of Poorly Soluble Particles. Inhal. Toxicol. </w:t>
      </w:r>
      <w:r>
        <w:rPr>
          <w:b/>
          <w:bCs/>
        </w:rPr>
        <w:t>2007</w:t>
      </w:r>
      <w:r>
        <w:t>, 19 (sup1), 189–198. https://doi.org/10.1080/08958370701496202.</w:t>
      </w:r>
    </w:p>
    <w:p w14:paraId="40131E93" w14:textId="77777777" w:rsidR="009B7DE3" w:rsidRDefault="009B7DE3" w:rsidP="00A35340">
      <w:pPr>
        <w:pStyle w:val="Bibliographie"/>
        <w:jc w:val="both"/>
      </w:pPr>
      <w:r>
        <w:t>(77)</w:t>
      </w:r>
      <w:r>
        <w:tab/>
        <w:t xml:space="preserve">McKay, B. C.; Becerril, C.; Ljungman, M. P53 Plays a Protective Role against UV- and Cisplatin-Induced Apoptosis in Transcription-Coupled Repair Proficient Fibroblasts. Oncogene </w:t>
      </w:r>
      <w:r>
        <w:rPr>
          <w:b/>
          <w:bCs/>
        </w:rPr>
        <w:t>2001</w:t>
      </w:r>
      <w:r>
        <w:t>, 20 (46), 6805–6808. https://doi.org/10.1038/sj.onc.1204901.</w:t>
      </w:r>
    </w:p>
    <w:p w14:paraId="3888D627" w14:textId="77777777" w:rsidR="009B7DE3" w:rsidRDefault="009B7DE3" w:rsidP="00A35340">
      <w:pPr>
        <w:pStyle w:val="Bibliographie"/>
        <w:jc w:val="both"/>
      </w:pPr>
      <w:r>
        <w:t>(78)</w:t>
      </w:r>
      <w:r>
        <w:tab/>
        <w:t xml:space="preserve">Mouret, S.; Baudouin, C.; Charveron, M.; Favier, A.; Cadet, J.; Douki, T. Cyclobutane Pyrimidine Dimers Are Predominant DNA Lesions in Whole Human Skin Exposed to UVA Radiation. Proc. Natl. Acad. Sci. </w:t>
      </w:r>
      <w:r>
        <w:rPr>
          <w:b/>
          <w:bCs/>
        </w:rPr>
        <w:t>2006</w:t>
      </w:r>
      <w:r>
        <w:t>, 103 (37), 13765–13770. https://doi.org/10.1073/pnas.0604213103.</w:t>
      </w:r>
    </w:p>
    <w:p w14:paraId="748C6D75" w14:textId="77777777" w:rsidR="009B7DE3" w:rsidRDefault="009B7DE3" w:rsidP="00A35340">
      <w:pPr>
        <w:pStyle w:val="Bibliographie"/>
        <w:jc w:val="both"/>
      </w:pPr>
      <w:r>
        <w:t>(79)</w:t>
      </w:r>
      <w:r>
        <w:tab/>
        <w:t xml:space="preserve">Hung, K.-F.; Sidorova, J. M.; Nghiem, P.; Kawasumi, M. The 6-4 Photoproduct Is the Trigger of UV-Induced Replication Blockage and ATR Activation. Proc. Natl. Acad. Sci. </w:t>
      </w:r>
      <w:r>
        <w:rPr>
          <w:b/>
          <w:bCs/>
        </w:rPr>
        <w:t>2020</w:t>
      </w:r>
      <w:r>
        <w:t>, 117 (23), 12806–12816. https://doi.org/10.1073/pnas.1917196117.</w:t>
      </w:r>
    </w:p>
    <w:p w14:paraId="4A5012CC" w14:textId="77777777" w:rsidR="009B7DE3" w:rsidRDefault="009B7DE3" w:rsidP="00A35340">
      <w:pPr>
        <w:pStyle w:val="Bibliographie"/>
        <w:jc w:val="both"/>
      </w:pPr>
      <w:r>
        <w:lastRenderedPageBreak/>
        <w:t>(80)</w:t>
      </w:r>
      <w:r>
        <w:tab/>
        <w:t xml:space="preserve">Sonohara, Y.; Yamamoto, J.; Tohashi, K.; Takatsuka, R.; Matsuda, T.; Iwai, S.; Kuraoka, I. Acetaldehyde Forms Covalent GG Intrastrand Crosslinks in DNA. Sci. Rep. </w:t>
      </w:r>
      <w:r>
        <w:rPr>
          <w:b/>
          <w:bCs/>
        </w:rPr>
        <w:t>2019</w:t>
      </w:r>
      <w:r>
        <w:t>, 9 (1), 660. https://doi.org/10.1038/s41598-018-37239-6.</w:t>
      </w:r>
    </w:p>
    <w:p w14:paraId="7CEDE828" w14:textId="77777777" w:rsidR="009B7DE3" w:rsidRDefault="009B7DE3" w:rsidP="00A35340">
      <w:pPr>
        <w:pStyle w:val="Bibliographie"/>
        <w:jc w:val="both"/>
      </w:pPr>
      <w:r>
        <w:t>(81)</w:t>
      </w:r>
      <w:r>
        <w:tab/>
        <w:t xml:space="preserve">Munnia, A.; Giese, R. W.; Polvani, S.; Galli, A.; Cellai, F.; Peluso, M. E. M. Bulky DNA Adducts, Tobacco Smoking, Genetic Susceptibility, and Lung Cancer Risk. Adv. Clin. Chem. </w:t>
      </w:r>
      <w:r>
        <w:rPr>
          <w:b/>
          <w:bCs/>
        </w:rPr>
        <w:t>2017</w:t>
      </w:r>
      <w:r>
        <w:t>, 81, 231–277. https://doi.org/10.1016/bs.acc.2017.01.006.</w:t>
      </w:r>
    </w:p>
    <w:p w14:paraId="4DF054BF" w14:textId="77777777" w:rsidR="009B7DE3" w:rsidRDefault="009B7DE3" w:rsidP="00A35340">
      <w:pPr>
        <w:pStyle w:val="Bibliographie"/>
        <w:jc w:val="both"/>
      </w:pPr>
      <w:r>
        <w:t>(82)</w:t>
      </w:r>
      <w:r>
        <w:tab/>
        <w:t xml:space="preserve">Hwa Yun, B.; Guo, J.; Bellamri, M.; Turesky, R. J. DNA Adducts: Formation, Biological Effects, and New Biospecimens for Mass Spectrometric Measurements in Humans. Mass Spectrom. Rev. </w:t>
      </w:r>
      <w:r>
        <w:rPr>
          <w:b/>
          <w:bCs/>
        </w:rPr>
        <w:t>2020</w:t>
      </w:r>
      <w:r>
        <w:t>, 39 (1–2), 55–82. https://doi.org/10.1002/mas.21570.</w:t>
      </w:r>
    </w:p>
    <w:p w14:paraId="17EFF3F0" w14:textId="77777777" w:rsidR="009B7DE3" w:rsidRDefault="009B7DE3" w:rsidP="00A35340">
      <w:pPr>
        <w:pStyle w:val="Bibliographie"/>
        <w:jc w:val="both"/>
      </w:pPr>
      <w:r>
        <w:t>(83)</w:t>
      </w:r>
      <w:r>
        <w:tab/>
        <w:t xml:space="preserve">Ide, H.; Shoulkamy, M. I.; Nakano, T.; Miyamoto-Matsubara, M.; Salem, A. M. H. Repair and Biochemical Effects of DNA-Protein Crosslinks. Mutat. Res. </w:t>
      </w:r>
      <w:r>
        <w:rPr>
          <w:b/>
          <w:bCs/>
        </w:rPr>
        <w:t>2011</w:t>
      </w:r>
      <w:r>
        <w:t>, 711 (1–2), 113–122. https://doi.org/10.1016/j.mrfmmm.2010.12.007.</w:t>
      </w:r>
    </w:p>
    <w:p w14:paraId="6B6DFBC7" w14:textId="77777777" w:rsidR="009B7DE3" w:rsidRDefault="009B7DE3" w:rsidP="00A35340">
      <w:pPr>
        <w:pStyle w:val="Bibliographie"/>
        <w:jc w:val="both"/>
      </w:pPr>
      <w:r>
        <w:t>(84)</w:t>
      </w:r>
      <w:r>
        <w:tab/>
        <w:t xml:space="preserve">Stingele, J.; Bellelli, R.; Boulton, S. J. Mechanisms of DNA–Protein Crosslink Repair. Nat. Rev. Mol. Cell Biol. </w:t>
      </w:r>
      <w:r>
        <w:rPr>
          <w:b/>
          <w:bCs/>
        </w:rPr>
        <w:t>2017</w:t>
      </w:r>
      <w:r>
        <w:t>, 18 (9), 563–573. https://doi.org/10.1038/nrm.2017.56.</w:t>
      </w:r>
    </w:p>
    <w:p w14:paraId="7560E6F8" w14:textId="77777777" w:rsidR="009B7DE3" w:rsidRDefault="009B7DE3" w:rsidP="00A35340">
      <w:pPr>
        <w:pStyle w:val="Bibliographie"/>
        <w:jc w:val="both"/>
      </w:pPr>
      <w:r>
        <w:lastRenderedPageBreak/>
        <w:t>(85)</w:t>
      </w:r>
      <w:r>
        <w:tab/>
        <w:t xml:space="preserve">Mathews, C. K. Deoxyribonucleotide Metabolism, Mutagenesis and Cancer. Nat. Rev. Cancer </w:t>
      </w:r>
      <w:r>
        <w:rPr>
          <w:b/>
          <w:bCs/>
        </w:rPr>
        <w:t>2015</w:t>
      </w:r>
      <w:r>
        <w:t>, 15 (9), 528–539. https://doi.org/10.1038/nrc3981.</w:t>
      </w:r>
    </w:p>
    <w:p w14:paraId="2189A4AB" w14:textId="77777777" w:rsidR="009B7DE3" w:rsidRDefault="009B7DE3" w:rsidP="00A35340">
      <w:pPr>
        <w:pStyle w:val="Bibliographie"/>
        <w:jc w:val="both"/>
      </w:pPr>
      <w:r>
        <w:t>(86)</w:t>
      </w:r>
      <w:r>
        <w:tab/>
        <w:t xml:space="preserve">Kumar, D.; Abdulovic, A. L.; Viberg, J.; Nilsson, A. K.; Kunkel, T. A.; Chabes, A. Mechanisms of Mutagenesis in Vivo Due to Imbalanced DNTP Pools. Nucleic Acids Res. </w:t>
      </w:r>
      <w:r>
        <w:rPr>
          <w:b/>
          <w:bCs/>
        </w:rPr>
        <w:t>2011</w:t>
      </w:r>
      <w:r>
        <w:t>, 39 (4), 1360–1371. https://doi.org/10.1093/nar/gkq829.</w:t>
      </w:r>
    </w:p>
    <w:p w14:paraId="387EEF3E" w14:textId="77777777" w:rsidR="009B7DE3" w:rsidRDefault="009B7DE3" w:rsidP="00A35340">
      <w:pPr>
        <w:pStyle w:val="Bibliographie"/>
        <w:jc w:val="both"/>
      </w:pPr>
      <w:r>
        <w:t>(87)</w:t>
      </w:r>
      <w:r>
        <w:tab/>
        <w:t xml:space="preserve">Krawic, C.; Luczak, M. W.; Valiente, S.; Zhitkovich, A. Atypical Genotoxicity of Carcinogenic Nickel(II): Linkage to DNTP Biosynthesis, DNA-Incorporated RNMPs, and Impaired Repair of TOP1-DNA Crosslinks. J. Biol. Chem. </w:t>
      </w:r>
      <w:r>
        <w:rPr>
          <w:b/>
          <w:bCs/>
        </w:rPr>
        <w:t>2023</w:t>
      </w:r>
      <w:r>
        <w:t>, 299 (12). https://doi.org/10.1016/j.jbc.2023.105385.</w:t>
      </w:r>
    </w:p>
    <w:p w14:paraId="78ACDD0F" w14:textId="77777777" w:rsidR="009B7DE3" w:rsidRDefault="009B7DE3" w:rsidP="00A35340">
      <w:pPr>
        <w:pStyle w:val="Bibliographie"/>
        <w:jc w:val="both"/>
      </w:pPr>
      <w:r>
        <w:t>(88)</w:t>
      </w:r>
      <w:r>
        <w:tab/>
        <w:t xml:space="preserve">Gasser, S. M.; Walter, R.; Dang, Q.; Cardenas, M. E. Topoisomerase II: Its Functions and Phosphorylation. Antonie Van Leeuwenhoek </w:t>
      </w:r>
      <w:r>
        <w:rPr>
          <w:b/>
          <w:bCs/>
        </w:rPr>
        <w:t>1992</w:t>
      </w:r>
      <w:r>
        <w:t>, 62 (1), 15–24. https://doi.org/10.1007/BF00584459.</w:t>
      </w:r>
    </w:p>
    <w:p w14:paraId="1AA989DA" w14:textId="77777777" w:rsidR="009B7DE3" w:rsidRPr="009B7DE3" w:rsidRDefault="009B7DE3" w:rsidP="00A35340">
      <w:pPr>
        <w:pStyle w:val="Bibliographie"/>
        <w:jc w:val="both"/>
        <w:rPr>
          <w:lang w:val="fr-BE"/>
        </w:rPr>
      </w:pPr>
      <w:r>
        <w:t>(89)</w:t>
      </w:r>
      <w:r>
        <w:tab/>
        <w:t xml:space="preserve">Pajic, J.; Rovcanin, B. Ionizing Radiation-Induced Genotoxic and Oxidative Damage in Peripheral Lymphocytes and Plasma of Healthy Donors. </w:t>
      </w:r>
      <w:r w:rsidRPr="009B7DE3">
        <w:rPr>
          <w:lang w:val="fr-BE"/>
        </w:rPr>
        <w:t xml:space="preserve">Mutat. Res. Toxicol. Environ. Mutagen. </w:t>
      </w:r>
      <w:r w:rsidRPr="009B7DE3">
        <w:rPr>
          <w:b/>
          <w:bCs/>
          <w:lang w:val="fr-BE"/>
        </w:rPr>
        <w:t>2021</w:t>
      </w:r>
      <w:r w:rsidRPr="009B7DE3">
        <w:rPr>
          <w:lang w:val="fr-BE"/>
        </w:rPr>
        <w:t>, 863–864, 503313. https://doi.org/10.1016/j.mrgentox.2021.503313.</w:t>
      </w:r>
    </w:p>
    <w:p w14:paraId="751A3E58" w14:textId="77777777" w:rsidR="009B7DE3" w:rsidRDefault="009B7DE3" w:rsidP="00A35340">
      <w:pPr>
        <w:pStyle w:val="Bibliographie"/>
        <w:jc w:val="both"/>
      </w:pPr>
      <w:r>
        <w:lastRenderedPageBreak/>
        <w:t>(90)</w:t>
      </w:r>
      <w:r>
        <w:tab/>
        <w:t xml:space="preserve">D, K.; J, V.; Ak, N.; A, C. Highly Mutagenic and Severely Imbalanced DNTP Pools Can Escape Detection by the S-Phase Checkpoint. Nucleic Acids Res. </w:t>
      </w:r>
      <w:r>
        <w:rPr>
          <w:b/>
          <w:bCs/>
        </w:rPr>
        <w:t>2010</w:t>
      </w:r>
      <w:r>
        <w:t>, 38 (12). https://doi.org/10.1093/nar/gkq128.</w:t>
      </w:r>
    </w:p>
    <w:p w14:paraId="0AD6A11F" w14:textId="77777777" w:rsidR="009B7DE3" w:rsidRDefault="009B7DE3" w:rsidP="00A35340">
      <w:pPr>
        <w:pStyle w:val="Bibliographie"/>
        <w:jc w:val="both"/>
      </w:pPr>
      <w:r>
        <w:t>(91)</w:t>
      </w:r>
      <w:r>
        <w:tab/>
        <w:t xml:space="preserve">Topal, M. D.; Hutchison, C. A.; Baker, M. S. DNA Precursors in Chemical Mutagenesis: A Novel Application of DNA Sequencing. Nature </w:t>
      </w:r>
      <w:r>
        <w:rPr>
          <w:b/>
          <w:bCs/>
        </w:rPr>
        <w:t>1982</w:t>
      </w:r>
      <w:r>
        <w:t>, 298 (5877), 863–865. https://doi.org/10.1038/298863a0.</w:t>
      </w:r>
    </w:p>
    <w:p w14:paraId="66EFCC25" w14:textId="77777777" w:rsidR="009B7DE3" w:rsidRDefault="009B7DE3" w:rsidP="00A35340">
      <w:pPr>
        <w:pStyle w:val="Bibliographie"/>
        <w:jc w:val="both"/>
      </w:pPr>
      <w:r>
        <w:t>(92)</w:t>
      </w:r>
      <w:r>
        <w:tab/>
        <w:t xml:space="preserve">Kay, J.; Thadhani, E.; Samson, L.; Engelward, B. Inflammation-Induced DNA Damage, Mutations and Cancer. DNA Repair </w:t>
      </w:r>
      <w:r>
        <w:rPr>
          <w:b/>
          <w:bCs/>
        </w:rPr>
        <w:t>2019</w:t>
      </w:r>
      <w:r>
        <w:t>, 83, 102673. https://doi.org/10.1016/j.dnarep.2019.102673.</w:t>
      </w:r>
    </w:p>
    <w:p w14:paraId="187795E3" w14:textId="77777777" w:rsidR="009B7DE3" w:rsidRDefault="009B7DE3" w:rsidP="00A35340">
      <w:pPr>
        <w:pStyle w:val="Bibliographie"/>
        <w:jc w:val="both"/>
      </w:pPr>
      <w:r>
        <w:t>(93)</w:t>
      </w:r>
      <w:r>
        <w:tab/>
        <w:t xml:space="preserve">Chatterjee, N.; Walker, G. C. Mechanisms of DNA Damage, Repair, and Mutagenesis. Environ. Mol. Mutagen. </w:t>
      </w:r>
      <w:r>
        <w:rPr>
          <w:b/>
          <w:bCs/>
        </w:rPr>
        <w:t>2017</w:t>
      </w:r>
      <w:r>
        <w:t>, 58 (5), 235–263. https://doi.org/10.1002/em.22087.</w:t>
      </w:r>
    </w:p>
    <w:p w14:paraId="3EBDF544" w14:textId="77777777" w:rsidR="009B7DE3" w:rsidRDefault="009B7DE3" w:rsidP="00A35340">
      <w:pPr>
        <w:pStyle w:val="Bibliographie"/>
        <w:jc w:val="both"/>
      </w:pPr>
      <w:r>
        <w:t>(94)</w:t>
      </w:r>
      <w:r>
        <w:tab/>
        <w:t xml:space="preserve">Yang, N.; Galick, H.; Wallace, S. S. Attempted Base Excision Repair of Ionizing Radiation Damage in Human Lymphoblastoid Cells Produces Lethal and Mutagenic Double Strand Breaks. DNA Repair </w:t>
      </w:r>
      <w:r>
        <w:rPr>
          <w:b/>
          <w:bCs/>
        </w:rPr>
        <w:t>2004</w:t>
      </w:r>
      <w:r>
        <w:t>, 3 (10), 1323–1334. https://doi.org/10.1016/j.dnarep.2004.04.014.</w:t>
      </w:r>
    </w:p>
    <w:p w14:paraId="1876F657" w14:textId="77777777" w:rsidR="009B7DE3" w:rsidRDefault="009B7DE3" w:rsidP="00A35340">
      <w:pPr>
        <w:pStyle w:val="Bibliographie"/>
        <w:jc w:val="both"/>
      </w:pPr>
      <w:r>
        <w:lastRenderedPageBreak/>
        <w:t>(95)</w:t>
      </w:r>
      <w:r>
        <w:tab/>
        <w:t xml:space="preserve">Popov, A. A.; Petruseva, I. O.; Naumenko, N. V.; Lavrik, O. I. Methods for Assessment of Nucleotide Excision Repair Efficiency. Biochem. Mosc. </w:t>
      </w:r>
      <w:r>
        <w:rPr>
          <w:b/>
          <w:bCs/>
        </w:rPr>
        <w:t>2023</w:t>
      </w:r>
      <w:r>
        <w:t>, 88 (11), 1844–1856. https://doi.org/10.1134/S0006297923110147.</w:t>
      </w:r>
    </w:p>
    <w:p w14:paraId="26D529C5" w14:textId="77777777" w:rsidR="009B7DE3" w:rsidRDefault="009B7DE3" w:rsidP="00A35340">
      <w:pPr>
        <w:pStyle w:val="Bibliographie"/>
        <w:jc w:val="both"/>
      </w:pPr>
      <w:r>
        <w:t>(96)</w:t>
      </w:r>
      <w:r>
        <w:tab/>
        <w:t xml:space="preserve">Hegde, M. L.; Hazra, T. K.; Mitra, S. Early Steps in the DNA Base Excision/Single-Strand Interruption Repair Pathway in Mammalian Cells. Cell Res. </w:t>
      </w:r>
      <w:r>
        <w:rPr>
          <w:b/>
          <w:bCs/>
        </w:rPr>
        <w:t>2008</w:t>
      </w:r>
      <w:r>
        <w:t>, 18 (1), 27–47. https://doi.org/10.1038/cr.2008.8.</w:t>
      </w:r>
    </w:p>
    <w:p w14:paraId="5AB02CF4" w14:textId="77777777" w:rsidR="009B7DE3" w:rsidRDefault="009B7DE3" w:rsidP="00A35340">
      <w:pPr>
        <w:pStyle w:val="Bibliographie"/>
        <w:jc w:val="both"/>
      </w:pPr>
      <w:r>
        <w:t>(97)</w:t>
      </w:r>
      <w:r>
        <w:tab/>
        <w:t xml:space="preserve">Fousteri, M.; Mullenders, L. H. Transcription-Coupled Nucleotide Excision Repair in Mammalian Cells: Molecular Mechanisms and Biological Effects. Cell Res. </w:t>
      </w:r>
      <w:r>
        <w:rPr>
          <w:b/>
          <w:bCs/>
        </w:rPr>
        <w:t>2008</w:t>
      </w:r>
      <w:r>
        <w:t>, 18 (1), 73–84. https://doi.org/10.1038/cr.2008.6.</w:t>
      </w:r>
    </w:p>
    <w:p w14:paraId="33B963EF" w14:textId="77777777" w:rsidR="009B7DE3" w:rsidRDefault="009B7DE3" w:rsidP="00A35340">
      <w:pPr>
        <w:pStyle w:val="Bibliographie"/>
        <w:jc w:val="both"/>
      </w:pPr>
      <w:r>
        <w:t>(98)</w:t>
      </w:r>
      <w:r>
        <w:tab/>
        <w:t xml:space="preserve">Kunz, B. A.; Kohalmi, S. E.; Kunkel, T. A.; Mathews, C. K.; McIntosh, E. M.; Reidy, J. A. International Commission for Protection Against Environmental Mutagens and Carcinogens. Deoxyribonucleoside Triphosphate Levels: A Critical Factor in the Maintenance of Genetic Stability. Mutat. Res. </w:t>
      </w:r>
      <w:r>
        <w:rPr>
          <w:b/>
          <w:bCs/>
        </w:rPr>
        <w:t>1994</w:t>
      </w:r>
      <w:r>
        <w:t>, 318 (1), 1–64. https://doi.org/10.1016/0165-1110(94)90006-x.</w:t>
      </w:r>
    </w:p>
    <w:p w14:paraId="6A3B92C0" w14:textId="77777777" w:rsidR="009B7DE3" w:rsidRDefault="009B7DE3" w:rsidP="00A35340">
      <w:pPr>
        <w:pStyle w:val="Bibliographie"/>
        <w:jc w:val="both"/>
      </w:pPr>
      <w:r>
        <w:lastRenderedPageBreak/>
        <w:t>(99)</w:t>
      </w:r>
      <w:r>
        <w:tab/>
        <w:t xml:space="preserve">Piberger, A. L.; Bowry, A.; Kelly, R. D. W.; Walker, A. K.; González-Acosta, D.; Bailey, L. J.; Doherty, A. J.; Méndez, J.; Morris, J. R.; Bryant, H. E.; Petermann, E. PrimPol-Dependent Single-Stranded Gap Formation Mediates Homologous Recombination at Bulky DNA Adducts. Nat. Commun. </w:t>
      </w:r>
      <w:r>
        <w:rPr>
          <w:b/>
          <w:bCs/>
        </w:rPr>
        <w:t>2020</w:t>
      </w:r>
      <w:r>
        <w:t>, 11 (1), 5863. https://doi.org/10.1038/s41467-020-19570-7.</w:t>
      </w:r>
    </w:p>
    <w:p w14:paraId="0A79C22B" w14:textId="77777777" w:rsidR="009B7DE3" w:rsidRDefault="009B7DE3" w:rsidP="00A35340">
      <w:pPr>
        <w:pStyle w:val="Bibliographie"/>
        <w:jc w:val="both"/>
      </w:pPr>
      <w:r>
        <w:t>(100)</w:t>
      </w:r>
      <w:r>
        <w:tab/>
        <w:t xml:space="preserve">Ensminger, M.; Iloff, L.; Ebel, C.; Nikolova, T.; Kaina, B.; Lӧbrich, M. DNA Breaks and Chromosomal Aberrations Arise When Replication Meets Base Excision Repair. J. Cell Biol. </w:t>
      </w:r>
      <w:r>
        <w:rPr>
          <w:b/>
          <w:bCs/>
        </w:rPr>
        <w:t>2014</w:t>
      </w:r>
      <w:r>
        <w:t>, 206 (1), 29–43. https://doi.org/10.1083/jcb.201312078.</w:t>
      </w:r>
    </w:p>
    <w:p w14:paraId="7C1AAD1B" w14:textId="77777777" w:rsidR="009B7DE3" w:rsidRDefault="009B7DE3" w:rsidP="00A35340">
      <w:pPr>
        <w:pStyle w:val="Bibliographie"/>
        <w:jc w:val="both"/>
      </w:pPr>
      <w:r>
        <w:t>(101)</w:t>
      </w:r>
      <w:r>
        <w:tab/>
        <w:t xml:space="preserve">Carusillo, A.; Mussolino, C. DNA Damage: From Threat to Treatment. Cells </w:t>
      </w:r>
      <w:r>
        <w:rPr>
          <w:b/>
          <w:bCs/>
        </w:rPr>
        <w:t>2020</w:t>
      </w:r>
      <w:r>
        <w:t>, 9 (7), 1665. https://doi.org/10.3390/cells9071665.</w:t>
      </w:r>
    </w:p>
    <w:p w14:paraId="266FDB92" w14:textId="77777777" w:rsidR="009B7DE3" w:rsidRDefault="009B7DE3" w:rsidP="00A35340">
      <w:pPr>
        <w:pStyle w:val="Bibliographie"/>
        <w:jc w:val="both"/>
      </w:pPr>
      <w:r>
        <w:t>(102)</w:t>
      </w:r>
      <w:r>
        <w:tab/>
        <w:t xml:space="preserve">Georgakilas, A. G.; Holt, S. M.; Hair, J. M.; Loftin, C. W. Measurement of Oxidatively-Induced Clustered DNA Lesions Using a Novel Adaptation of Single Cell Gel Electrophoresis (Comet Assay). Curr. Protoc. Cell Biol. </w:t>
      </w:r>
      <w:r>
        <w:rPr>
          <w:b/>
          <w:bCs/>
        </w:rPr>
        <w:t>2010</w:t>
      </w:r>
      <w:r>
        <w:t>, 49 (1), 6.11.1-6.11.17. https://doi.org/10.1002/0471143030.cb0611s49.</w:t>
      </w:r>
    </w:p>
    <w:p w14:paraId="2C474622" w14:textId="77777777" w:rsidR="009B7DE3" w:rsidRDefault="009B7DE3" w:rsidP="00A35340">
      <w:pPr>
        <w:pStyle w:val="Bibliographie"/>
        <w:jc w:val="both"/>
      </w:pPr>
      <w:r>
        <w:lastRenderedPageBreak/>
        <w:t>(103)</w:t>
      </w:r>
      <w:r>
        <w:tab/>
        <w:t xml:space="preserve">Lynch, A.; Harvey, J.; Aylott, M.; Nicholas, E.; Burman, M.; Siddiqui, A.; Walker, S.; Rees, R. Investigations into the Concept of a Threshold for Topoisomerase Inhibitor‐induced Clastogenicity. Mutagenesis </w:t>
      </w:r>
      <w:r>
        <w:rPr>
          <w:b/>
          <w:bCs/>
        </w:rPr>
        <w:t>2003</w:t>
      </w:r>
      <w:r>
        <w:t>, 18 (4), 345–353. https://doi.org/10.1093/mutage/geg003.</w:t>
      </w:r>
    </w:p>
    <w:p w14:paraId="455A54E0" w14:textId="77777777" w:rsidR="009B7DE3" w:rsidRDefault="009B7DE3" w:rsidP="00A35340">
      <w:pPr>
        <w:pStyle w:val="Bibliographie"/>
        <w:jc w:val="both"/>
      </w:pPr>
      <w:r>
        <w:t>(104)</w:t>
      </w:r>
      <w:r>
        <w:tab/>
        <w:t xml:space="preserve">Ho, E. L. Y.; Parent, M.; Satoh, M. S. Induction of Base Damages Representing a High Risk Site for Double-Strand DNA Break Formation in Genomic DNA by Exposure of Cells to DNA Damaging Agents. J. Biol. Chem. </w:t>
      </w:r>
      <w:r>
        <w:rPr>
          <w:b/>
          <w:bCs/>
        </w:rPr>
        <w:t>2007</w:t>
      </w:r>
      <w:r>
        <w:t>, 282 (30), 21913–21923. https://doi.org/10.1074/jbc.M610651200.</w:t>
      </w:r>
    </w:p>
    <w:p w14:paraId="3576FD00" w14:textId="77777777" w:rsidR="009B7DE3" w:rsidRDefault="009B7DE3" w:rsidP="00A35340">
      <w:pPr>
        <w:pStyle w:val="Bibliographie"/>
        <w:jc w:val="both"/>
      </w:pPr>
      <w:r>
        <w:t>(105)</w:t>
      </w:r>
      <w:r>
        <w:tab/>
        <w:t xml:space="preserve">Caldecott, K. W. Causes and Consequences of DNA Single-Strand Breaks. Trends Biochem. Sci. </w:t>
      </w:r>
      <w:r>
        <w:rPr>
          <w:b/>
          <w:bCs/>
        </w:rPr>
        <w:t>2024</w:t>
      </w:r>
      <w:r>
        <w:t>, 49 (1), 68–78. https://doi.org/10.1016/j.tibs.2023.11.001.</w:t>
      </w:r>
    </w:p>
    <w:p w14:paraId="30D4CADC" w14:textId="77777777" w:rsidR="009B7DE3" w:rsidRDefault="009B7DE3" w:rsidP="00A35340">
      <w:pPr>
        <w:pStyle w:val="Bibliographie"/>
        <w:jc w:val="both"/>
      </w:pPr>
      <w:r>
        <w:t>(106)</w:t>
      </w:r>
      <w:r>
        <w:tab/>
        <w:t xml:space="preserve">Ciccia, A.; Elledge, S. J. The DNA Damage Response: Making It Safe to Play with Knives. Mol. Cell </w:t>
      </w:r>
      <w:r>
        <w:rPr>
          <w:b/>
          <w:bCs/>
        </w:rPr>
        <w:t>2010</w:t>
      </w:r>
      <w:r>
        <w:t>, 40 (2), 179–204. https://doi.org/10.1016/j.molcel.2010.09.019.</w:t>
      </w:r>
    </w:p>
    <w:p w14:paraId="6E7715F0" w14:textId="77777777" w:rsidR="009B7DE3" w:rsidRDefault="009B7DE3" w:rsidP="00A35340">
      <w:pPr>
        <w:pStyle w:val="Bibliographie"/>
        <w:jc w:val="both"/>
      </w:pPr>
      <w:r>
        <w:t>(107)</w:t>
      </w:r>
      <w:r>
        <w:tab/>
        <w:t xml:space="preserve">Fahrer, J.; Frisch, J.; Nagel, G.; Kraus, A.; Dörsam, B.; Thomas, A. D.; Reißig, S.; Waisman, A.; Kaina, B. DNA Repair by MGMT, but Not AAG, Causes a Threshold in Alkylation-Induced Colorectal Carcinogenesis. Carcinogenesis </w:t>
      </w:r>
      <w:r>
        <w:rPr>
          <w:b/>
          <w:bCs/>
        </w:rPr>
        <w:t>2015</w:t>
      </w:r>
      <w:r>
        <w:t>, 36 (10), 1235–1244. https://doi.org/10.1093/carcin/bgv114.</w:t>
      </w:r>
    </w:p>
    <w:p w14:paraId="699184FB" w14:textId="77777777" w:rsidR="009B7DE3" w:rsidRDefault="009B7DE3" w:rsidP="00A35340">
      <w:pPr>
        <w:pStyle w:val="Bibliographie"/>
        <w:jc w:val="both"/>
      </w:pPr>
      <w:r>
        <w:lastRenderedPageBreak/>
        <w:t>(108)</w:t>
      </w:r>
      <w:r>
        <w:tab/>
        <w:t xml:space="preserve">Bjørås, M.; Luna, L.; Johnsen, B.; Hoff, E.; Haug, T.; Rognes, T.; Seeberg, E. Opposite Base‐dependent Reactions of a Human Base Excision Repair Enzyme on DNA Containing 7,8‐dihydro‐8‐oxoguanine and Abasic Sites. EMBO J. </w:t>
      </w:r>
      <w:r>
        <w:rPr>
          <w:b/>
          <w:bCs/>
        </w:rPr>
        <w:t>1997</w:t>
      </w:r>
      <w:r>
        <w:t>, 16 (20), 6314–6322. https://doi.org/10.1093/emboj/16.20.6314.</w:t>
      </w:r>
    </w:p>
    <w:p w14:paraId="0EA78780" w14:textId="77777777" w:rsidR="009B7DE3" w:rsidRDefault="009B7DE3" w:rsidP="00A35340">
      <w:pPr>
        <w:pStyle w:val="Bibliographie"/>
        <w:jc w:val="both"/>
      </w:pPr>
      <w:r>
        <w:t>(109)</w:t>
      </w:r>
      <w:r>
        <w:tab/>
        <w:t xml:space="preserve">Caldecott, K. W. Single-Strand Break Repair and Genetic Disease. Nat. Rev. Genet. </w:t>
      </w:r>
      <w:r>
        <w:rPr>
          <w:b/>
          <w:bCs/>
        </w:rPr>
        <w:t>2008</w:t>
      </w:r>
      <w:r>
        <w:t>, 9 (8), 619–631. https://doi.org/10.1038/nrg2380.</w:t>
      </w:r>
    </w:p>
    <w:p w14:paraId="4C05E5B5" w14:textId="77777777" w:rsidR="009B7DE3" w:rsidRDefault="009B7DE3" w:rsidP="00A35340">
      <w:pPr>
        <w:pStyle w:val="Bibliographie"/>
        <w:jc w:val="both"/>
      </w:pPr>
      <w:r>
        <w:t>(110)</w:t>
      </w:r>
      <w:r>
        <w:tab/>
        <w:t xml:space="preserve">Fortini, P.; Dogliotti, E. Base Damage and Single-Strand Break Repair: Mechanisms and Functional Significance of Short- and Long-Patch Repair Subpathways. DNA Repair </w:t>
      </w:r>
      <w:r>
        <w:rPr>
          <w:b/>
          <w:bCs/>
        </w:rPr>
        <w:t>2007</w:t>
      </w:r>
      <w:r>
        <w:t>, 6 (4), 398–409. https://doi.org/10.1016/j.dnarep.2006.10.008.</w:t>
      </w:r>
    </w:p>
    <w:p w14:paraId="194A310A" w14:textId="77777777" w:rsidR="009B7DE3" w:rsidRDefault="009B7DE3" w:rsidP="00A35340">
      <w:pPr>
        <w:pStyle w:val="Bibliographie"/>
        <w:jc w:val="both"/>
      </w:pPr>
      <w:r>
        <w:t>(111)</w:t>
      </w:r>
      <w:r>
        <w:tab/>
        <w:t>Understanding nucleotide excision repair and its roles in cancer and ageing | Nature Reviews Molecular Cell Biology. https://www.nature.com/articles/nrm3822 (accessed 2025-01-07).</w:t>
      </w:r>
    </w:p>
    <w:p w14:paraId="4E480FC5" w14:textId="77777777" w:rsidR="009B7DE3" w:rsidRDefault="009B7DE3" w:rsidP="00A35340">
      <w:pPr>
        <w:pStyle w:val="Bibliographie"/>
        <w:jc w:val="both"/>
      </w:pPr>
      <w:r>
        <w:t>(112)</w:t>
      </w:r>
      <w:r>
        <w:tab/>
        <w:t xml:space="preserve">Fu, D.; Calvo, J. A.; Samson, L. D. Balancing Repair and Tolerance of DNA Damage Caused by Alkylating Agents. Nat. Rev. Cancer </w:t>
      </w:r>
      <w:r>
        <w:rPr>
          <w:b/>
          <w:bCs/>
        </w:rPr>
        <w:t>2012</w:t>
      </w:r>
      <w:r>
        <w:t>, 12 (2), 104–120. https://doi.org/10.1038/nrc3185.</w:t>
      </w:r>
    </w:p>
    <w:p w14:paraId="3D91C8D1" w14:textId="77777777" w:rsidR="009B7DE3" w:rsidRDefault="009B7DE3" w:rsidP="00A35340">
      <w:pPr>
        <w:pStyle w:val="Bibliographie"/>
        <w:jc w:val="both"/>
      </w:pPr>
      <w:r>
        <w:lastRenderedPageBreak/>
        <w:t>(113)</w:t>
      </w:r>
      <w:r>
        <w:tab/>
        <w:t xml:space="preserve">Shilkin, E. S.; Boldinova, E. O.; Stolyarenko, A. D.; Goncharova, R. I.; Chuprov-Netochin, R. N.; Khairullin, R. F.; Smal, M. P.; Makarova, A. V. Translesion DNA Synthesis and Carcinogenesis. Biochem. Mosc. </w:t>
      </w:r>
      <w:r>
        <w:rPr>
          <w:b/>
          <w:bCs/>
        </w:rPr>
        <w:t>2020</w:t>
      </w:r>
      <w:r>
        <w:t>, 85 (4), 425–435. https://doi.org/10.1134/S0006297920040033.</w:t>
      </w:r>
    </w:p>
    <w:p w14:paraId="1CD1C202" w14:textId="77777777" w:rsidR="009B7DE3" w:rsidRDefault="009B7DE3" w:rsidP="00A35340">
      <w:pPr>
        <w:pStyle w:val="Bibliographie"/>
        <w:jc w:val="both"/>
      </w:pPr>
      <w:r>
        <w:t>(114)</w:t>
      </w:r>
      <w:r>
        <w:tab/>
        <w:t xml:space="preserve">Póti, Á.; Szikriszt, B.; Gervai, J. Z.; Chen, D.; Szüts, D. Characterisation of the Spectrum and Genetic Dependence of Collateral Mutations Induced by Translesion DNA Synthesis. PLOS Genet. </w:t>
      </w:r>
      <w:r>
        <w:rPr>
          <w:b/>
          <w:bCs/>
        </w:rPr>
        <w:t>2022</w:t>
      </w:r>
      <w:r>
        <w:t>, 18 (2), e1010051. https://doi.org/10.1371/journal.pgen.1010051.</w:t>
      </w:r>
    </w:p>
    <w:p w14:paraId="360C9687" w14:textId="77777777" w:rsidR="009B7DE3" w:rsidRDefault="009B7DE3" w:rsidP="00A35340">
      <w:pPr>
        <w:pStyle w:val="Bibliographie"/>
        <w:jc w:val="both"/>
      </w:pPr>
      <w:r>
        <w:t>(115)</w:t>
      </w:r>
      <w:r>
        <w:tab/>
        <w:t xml:space="preserve">Sale, J. E. Translesion DNA Synthesis and Mutagenesis in Eukaryotes. Cold Spring Harb. Perspect. Biol. </w:t>
      </w:r>
      <w:r>
        <w:rPr>
          <w:b/>
          <w:bCs/>
        </w:rPr>
        <w:t>2013</w:t>
      </w:r>
      <w:r>
        <w:t>, 5 (3), a012708. https://doi.org/10.1101/cshperspect.a012708.</w:t>
      </w:r>
    </w:p>
    <w:p w14:paraId="1BF77DAE" w14:textId="77777777" w:rsidR="009B7DE3" w:rsidRDefault="009B7DE3" w:rsidP="00A35340">
      <w:pPr>
        <w:pStyle w:val="Bibliographie"/>
        <w:jc w:val="both"/>
      </w:pPr>
      <w:r>
        <w:t>(116)</w:t>
      </w:r>
      <w:r>
        <w:tab/>
        <w:t xml:space="preserve">Klages-Mundt, N. L.; Li, L. Formation and Repair of DNA-Protein Crosslink Damage. Sci. China Life Sci. </w:t>
      </w:r>
      <w:r>
        <w:rPr>
          <w:b/>
          <w:bCs/>
        </w:rPr>
        <w:t>2017</w:t>
      </w:r>
      <w:r>
        <w:t>, 60 (10), 1065–1076. https://doi.org/10.1007/s11427-017-9183-4.</w:t>
      </w:r>
    </w:p>
    <w:p w14:paraId="009D3E60" w14:textId="77777777" w:rsidR="009B7DE3" w:rsidRDefault="009B7DE3" w:rsidP="00A35340">
      <w:pPr>
        <w:pStyle w:val="Bibliographie"/>
        <w:jc w:val="both"/>
      </w:pPr>
      <w:r>
        <w:t>(117)</w:t>
      </w:r>
      <w:r>
        <w:tab/>
        <w:t xml:space="preserve">Soll, J. M.; Sobol, R. W.; Mosammaparast, N. Regulation of DNA Alkylation Damage Repair: Lessons and Therapeutic Opportunities. Trends Biochem. Sci. </w:t>
      </w:r>
      <w:r>
        <w:rPr>
          <w:b/>
          <w:bCs/>
        </w:rPr>
        <w:t>2017</w:t>
      </w:r>
      <w:r>
        <w:t>, 42 (3), 206–218. https://doi.org/10.1016/j.tibs.2016.10.001.</w:t>
      </w:r>
    </w:p>
    <w:p w14:paraId="2B6EAB43" w14:textId="77777777" w:rsidR="009B7DE3" w:rsidRDefault="009B7DE3" w:rsidP="00A35340">
      <w:pPr>
        <w:pStyle w:val="Bibliographie"/>
        <w:jc w:val="both"/>
      </w:pPr>
      <w:r>
        <w:lastRenderedPageBreak/>
        <w:t>(118)</w:t>
      </w:r>
      <w:r>
        <w:tab/>
        <w:t xml:space="preserve">Douki, T.; von Koschembahr, A.; Cadet, J. Insight in DNA Repair of UV-Induced Pyrimidine Dimers by Chromatographic Methods. Photochem. Photobiol. </w:t>
      </w:r>
      <w:r>
        <w:rPr>
          <w:b/>
          <w:bCs/>
        </w:rPr>
        <w:t>2017</w:t>
      </w:r>
      <w:r>
        <w:t>, 93 (1), 207–215. https://doi.org/10.1111/php.12685.</w:t>
      </w:r>
    </w:p>
    <w:p w14:paraId="4FAD00A2" w14:textId="77777777" w:rsidR="009B7DE3" w:rsidRDefault="009B7DE3" w:rsidP="00A35340">
      <w:pPr>
        <w:pStyle w:val="Bibliographie"/>
        <w:jc w:val="both"/>
      </w:pPr>
      <w:r>
        <w:t>(119)</w:t>
      </w:r>
      <w:r>
        <w:tab/>
        <w:t xml:space="preserve">Skosareva, L. V.; Lebedeva, N. A.; Lavrik, O. I.; Rechkunova, N. I. Repair of Bulky DNA Lesions Deriving from Polycyclic Aromatic Hydrocarbons. Mol. Biol. </w:t>
      </w:r>
      <w:r>
        <w:rPr>
          <w:b/>
          <w:bCs/>
        </w:rPr>
        <w:t>2013</w:t>
      </w:r>
      <w:r>
        <w:t>, 47 (5), 634–644. https://doi.org/10.1134/S002689331305018X.</w:t>
      </w:r>
    </w:p>
    <w:p w14:paraId="3AFE1D48" w14:textId="77777777" w:rsidR="009B7DE3" w:rsidRDefault="009B7DE3" w:rsidP="00A35340">
      <w:pPr>
        <w:pStyle w:val="Bibliographie"/>
        <w:jc w:val="both"/>
      </w:pPr>
      <w:r>
        <w:t>(120)</w:t>
      </w:r>
      <w:r>
        <w:tab/>
        <w:t xml:space="preserve">Horton, J. K.; Watson, M.; Stefanick, D. F.; Shaughnessy, D. T.; Taylor, J. A.; Wilson, S. H. XRCC1 and DNA Polymerase β in Cellular Protection against Cytotoxic DNA Single-Strand Breaks. Cell Res. </w:t>
      </w:r>
      <w:r>
        <w:rPr>
          <w:b/>
          <w:bCs/>
        </w:rPr>
        <w:t>2008</w:t>
      </w:r>
      <w:r>
        <w:t>, 18 (1), 48–63. https://doi.org/10.1038/cr.2008.7.</w:t>
      </w:r>
    </w:p>
    <w:p w14:paraId="41B62DD2" w14:textId="77777777" w:rsidR="009B7DE3" w:rsidRDefault="009B7DE3" w:rsidP="00A35340">
      <w:pPr>
        <w:pStyle w:val="Bibliographie"/>
        <w:jc w:val="both"/>
      </w:pPr>
      <w:r>
        <w:t>(121)</w:t>
      </w:r>
      <w:r>
        <w:tab/>
        <w:t xml:space="preserve">Chapman, J. R.; Taylor, M. R. G.; Boulton, S. J. Playing the End Game: DNA Double-Strand Break Repair Pathway Choice. Mol. Cell </w:t>
      </w:r>
      <w:r>
        <w:rPr>
          <w:b/>
          <w:bCs/>
        </w:rPr>
        <w:t>2012</w:t>
      </w:r>
      <w:r>
        <w:t>, 47 (4), 497–510. https://doi.org/10.1016/j.molcel.2012.07.029.</w:t>
      </w:r>
    </w:p>
    <w:p w14:paraId="0508A2E4" w14:textId="77777777" w:rsidR="009B7DE3" w:rsidRDefault="009B7DE3" w:rsidP="00A35340">
      <w:pPr>
        <w:pStyle w:val="Bibliographie"/>
        <w:jc w:val="both"/>
      </w:pPr>
      <w:r>
        <w:t>(122)</w:t>
      </w:r>
      <w:r>
        <w:tab/>
        <w:t xml:space="preserve">Schipler, A.; Iliakis, G. DNA Double-Strand–Break Complexity Levels and Their Possible Contributions to the Probability for Error-Prone Processing and Repair Pathway Choice. Nucleic Acids Res. </w:t>
      </w:r>
      <w:r>
        <w:rPr>
          <w:b/>
          <w:bCs/>
        </w:rPr>
        <w:t>2013</w:t>
      </w:r>
      <w:r>
        <w:t>, 41 (16), 7589–7605. https://doi.org/10.1093/nar/gkt556.</w:t>
      </w:r>
    </w:p>
    <w:p w14:paraId="375DB0E3" w14:textId="77777777" w:rsidR="009B7DE3" w:rsidRDefault="009B7DE3" w:rsidP="00A35340">
      <w:pPr>
        <w:pStyle w:val="Bibliographie"/>
        <w:jc w:val="both"/>
      </w:pPr>
      <w:r>
        <w:lastRenderedPageBreak/>
        <w:t>(123)</w:t>
      </w:r>
      <w:r>
        <w:tab/>
        <w:t xml:space="preserve">Karanam, K.; Kafri, R.; Loewer, A.; Lahav, G. Quantitative Live Cell Imaging Reveals a Gradual Shift between DNA Repair Mechanisms and a Maximal Use of HR in Mid S Phase. Mol. Cell </w:t>
      </w:r>
      <w:r>
        <w:rPr>
          <w:b/>
          <w:bCs/>
        </w:rPr>
        <w:t>2012</w:t>
      </w:r>
      <w:r>
        <w:t>, 47 (2), 320–329. https://doi.org/10.1016/j.molcel.2012.05.052.</w:t>
      </w:r>
    </w:p>
    <w:p w14:paraId="2057C6D0" w14:textId="77777777" w:rsidR="009B7DE3" w:rsidRDefault="009B7DE3" w:rsidP="00A35340">
      <w:pPr>
        <w:pStyle w:val="Bibliographie"/>
        <w:jc w:val="both"/>
      </w:pPr>
      <w:r>
        <w:t>(124)</w:t>
      </w:r>
      <w:r>
        <w:tab/>
        <w:t xml:space="preserve">Lieber, M. R. The Mechanism of Double-Strand DNA Break Repair by the Nonhomologous DNA End Joining Pathway. Annu. Rev. Biochem. </w:t>
      </w:r>
      <w:r>
        <w:rPr>
          <w:b/>
          <w:bCs/>
        </w:rPr>
        <w:t>2010</w:t>
      </w:r>
      <w:r>
        <w:t>, 79, 181–211. https://doi.org/10.1146/annurev.biochem.052308.093131.</w:t>
      </w:r>
    </w:p>
    <w:p w14:paraId="6272E4F0" w14:textId="77777777" w:rsidR="009B7DE3" w:rsidRDefault="009B7DE3" w:rsidP="00A35340">
      <w:pPr>
        <w:pStyle w:val="Bibliographie"/>
        <w:jc w:val="both"/>
      </w:pPr>
      <w:r>
        <w:t>(125)</w:t>
      </w:r>
      <w:r>
        <w:tab/>
        <w:t xml:space="preserve">Stinson, B. M.; Loparo, J. J. Repair of DNA Double-Strand Breaks by the Nonhomologous End Joining Pathway. Annu. Rev. Biochem. </w:t>
      </w:r>
      <w:r>
        <w:rPr>
          <w:b/>
          <w:bCs/>
        </w:rPr>
        <w:t>2021</w:t>
      </w:r>
      <w:r>
        <w:t>, 90 (Volume 90, 2021), 137–164. https://doi.org/10.1146/annurev-biochem-080320-110356.</w:t>
      </w:r>
    </w:p>
    <w:p w14:paraId="6CC5C10C" w14:textId="77777777" w:rsidR="009B7DE3" w:rsidRDefault="009B7DE3" w:rsidP="00A35340">
      <w:pPr>
        <w:pStyle w:val="Bibliographie"/>
        <w:jc w:val="both"/>
      </w:pPr>
      <w:r>
        <w:t>(126)</w:t>
      </w:r>
      <w:r>
        <w:tab/>
        <w:t xml:space="preserve">Mao, Z.; Bozzella, M.; Seluanov, A.; Gorbunova, V. DNA Repair by Nonhomologous End Joining and Homologous Recombination during Cell Cycle in Human Cells. Cell Cycle Georget. Tex </w:t>
      </w:r>
      <w:r>
        <w:rPr>
          <w:b/>
          <w:bCs/>
        </w:rPr>
        <w:t>2008</w:t>
      </w:r>
      <w:r>
        <w:t>, 7 (18), 2902–2906. https://doi.org/10.4161/cc.7.18.6679.</w:t>
      </w:r>
    </w:p>
    <w:p w14:paraId="798BDED8" w14:textId="77777777" w:rsidR="009B7DE3" w:rsidRDefault="009B7DE3" w:rsidP="00A35340">
      <w:pPr>
        <w:pStyle w:val="Bibliographie"/>
        <w:jc w:val="both"/>
      </w:pPr>
      <w:r>
        <w:t>(127)</w:t>
      </w:r>
      <w:r>
        <w:tab/>
        <w:t xml:space="preserve">Kratz, K.; Schöpf, B.; Kaden, S.; Sendoel, A.; Eberhard, R.; Lademann, C.; Cannavó, E.; Sartori, A. A.; Hengartner, M. O.; Jiricny, J. Deficiency of FANCD2-Associated Nuclease KIAA1018/FAN1 Sensitizes </w:t>
      </w:r>
      <w:r>
        <w:lastRenderedPageBreak/>
        <w:t xml:space="preserve">Cells to Interstrand Crosslinking Agents. Cell </w:t>
      </w:r>
      <w:r>
        <w:rPr>
          <w:b/>
          <w:bCs/>
        </w:rPr>
        <w:t>2010</w:t>
      </w:r>
      <w:r>
        <w:t>, 142 (1), 77–88. https://doi.org/10.1016/j.cell.2010.06.022.</w:t>
      </w:r>
    </w:p>
    <w:p w14:paraId="05F0FD7B" w14:textId="77777777" w:rsidR="009B7DE3" w:rsidRDefault="009B7DE3" w:rsidP="00A35340">
      <w:pPr>
        <w:pStyle w:val="Bibliographie"/>
        <w:jc w:val="both"/>
      </w:pPr>
      <w:r>
        <w:t>(128)</w:t>
      </w:r>
      <w:r>
        <w:tab/>
        <w:t xml:space="preserve">Moldovan, G.-L.; D’Andrea, A. D. How the Fanconi Anemia Pathway Guards the Genome. Annu. Rev. Genet. </w:t>
      </w:r>
      <w:r>
        <w:rPr>
          <w:b/>
          <w:bCs/>
        </w:rPr>
        <w:t>2009</w:t>
      </w:r>
      <w:r>
        <w:t>, 43 (Volume 43, 2009), 223–249. https://doi.org/10.1146/annurev-genet-102108-134222.</w:t>
      </w:r>
    </w:p>
    <w:p w14:paraId="093918A6" w14:textId="77777777" w:rsidR="009B7DE3" w:rsidRDefault="009B7DE3" w:rsidP="00A35340">
      <w:pPr>
        <w:pStyle w:val="Bibliographie"/>
        <w:jc w:val="both"/>
      </w:pPr>
      <w:r>
        <w:t>(129)</w:t>
      </w:r>
      <w:r>
        <w:tab/>
        <w:t xml:space="preserve">Ceccaldi, R.; Sarangi, P.; D’Andrea, A. D. The Fanconi Anaemia Pathway: New Players and New Functions. Nat. Rev. Mol. Cell Biol. </w:t>
      </w:r>
      <w:r>
        <w:rPr>
          <w:b/>
          <w:bCs/>
        </w:rPr>
        <w:t>2016</w:t>
      </w:r>
      <w:r>
        <w:t>, 17 (6), 337–349. https://doi.org/10.1038/nrm.2016.48.</w:t>
      </w:r>
    </w:p>
    <w:p w14:paraId="6E735E49" w14:textId="77777777" w:rsidR="009B7DE3" w:rsidRDefault="009B7DE3" w:rsidP="00A35340">
      <w:pPr>
        <w:pStyle w:val="Bibliographie"/>
        <w:jc w:val="both"/>
      </w:pPr>
      <w:r>
        <w:t>(130)</w:t>
      </w:r>
      <w:r>
        <w:tab/>
        <w:t xml:space="preserve">Loechler, E. L.; Green, C. L.; Essigmann, J. M. In Vivo Mutagenesis by O6-Methylguanine Built into a Unique Site in a Viral Genome. Proc. Natl. Acad. Sci. </w:t>
      </w:r>
      <w:r>
        <w:rPr>
          <w:b/>
          <w:bCs/>
        </w:rPr>
        <w:t>1984</w:t>
      </w:r>
      <w:r>
        <w:t>, 81 (20), 6271–6275. https://doi.org/10.1073/pnas.81.20.6271.</w:t>
      </w:r>
    </w:p>
    <w:p w14:paraId="5AF50962" w14:textId="77777777" w:rsidR="009B7DE3" w:rsidRDefault="009B7DE3" w:rsidP="00A35340">
      <w:pPr>
        <w:pStyle w:val="Bibliographie"/>
        <w:jc w:val="both"/>
      </w:pPr>
      <w:r>
        <w:t>(131)</w:t>
      </w:r>
      <w:r>
        <w:tab/>
        <w:t xml:space="preserve">Suzuki, T.; Harashima, H.; Kamiya, H. Effects of Base Excision Repair Proteins on Mutagenesis by 8-Oxo-7,8-Dihydroguanine (8-Hydroxyguanine) Paired with Cytosine and Adenine. DNA Repair </w:t>
      </w:r>
      <w:r>
        <w:rPr>
          <w:b/>
          <w:bCs/>
        </w:rPr>
        <w:t>2010</w:t>
      </w:r>
      <w:r>
        <w:t>, 9 (5), 542–550. https://doi.org/10.1016/j.dnarep.2010.02.004.</w:t>
      </w:r>
    </w:p>
    <w:p w14:paraId="0575DFFA" w14:textId="77777777" w:rsidR="009B7DE3" w:rsidRDefault="009B7DE3" w:rsidP="00A35340">
      <w:pPr>
        <w:pStyle w:val="Bibliographie"/>
        <w:jc w:val="both"/>
      </w:pPr>
      <w:r>
        <w:lastRenderedPageBreak/>
        <w:t>(132)</w:t>
      </w:r>
      <w:r>
        <w:tab/>
        <w:t xml:space="preserve">Kamiya, H.; Yamaguchi, A.; Suzuki, T.; Harashima, H. Roles of Specialized DNA Polymerases in Mutagenesis by 8-Hydroxyguanine in Human Cells. Mutat. Res. Mol. Mech. Mutagen. </w:t>
      </w:r>
      <w:r>
        <w:rPr>
          <w:b/>
          <w:bCs/>
        </w:rPr>
        <w:t>2010</w:t>
      </w:r>
      <w:r>
        <w:t>, 686 (1), 90–95. https://doi.org/10.1016/j.mrfmmm.2010.02.001.</w:t>
      </w:r>
    </w:p>
    <w:p w14:paraId="161E3877" w14:textId="77777777" w:rsidR="009B7DE3" w:rsidRDefault="009B7DE3" w:rsidP="00A35340">
      <w:pPr>
        <w:pStyle w:val="Bibliographie"/>
        <w:jc w:val="both"/>
      </w:pPr>
      <w:r>
        <w:t>(133)</w:t>
      </w:r>
      <w:r>
        <w:tab/>
        <w:t xml:space="preserve">McMahon, S. J.; Schuemann, J.; Paganetti, H.; Prise, K. M. Mechanistic Modelling of DNA Repair and Cellular Survival Following Radiation-Induced DNA Damage. Sci. Rep. </w:t>
      </w:r>
      <w:r>
        <w:rPr>
          <w:b/>
          <w:bCs/>
        </w:rPr>
        <w:t>2016</w:t>
      </w:r>
      <w:r>
        <w:t>, 6 (1), 33290. https://doi.org/10.1038/srep33290.</w:t>
      </w:r>
    </w:p>
    <w:p w14:paraId="2068DB04" w14:textId="77777777" w:rsidR="009B7DE3" w:rsidRDefault="009B7DE3" w:rsidP="00A35340">
      <w:pPr>
        <w:pStyle w:val="Bibliographie"/>
        <w:jc w:val="both"/>
      </w:pPr>
      <w:r>
        <w:t>(134)</w:t>
      </w:r>
      <w:r>
        <w:tab/>
        <w:t xml:space="preserve">Bétermier, M.; Bertrand, P.; Lopez, B. S. Is Non-Homologous End-Joining Really an Inherently Error-Prone Process? PLOS Genet. </w:t>
      </w:r>
      <w:r>
        <w:rPr>
          <w:b/>
          <w:bCs/>
        </w:rPr>
        <w:t>2014</w:t>
      </w:r>
      <w:r>
        <w:t>, 10 (1), e1004086. https://doi.org/10.1371/journal.pgen.1004086.</w:t>
      </w:r>
    </w:p>
    <w:p w14:paraId="71A6DB40" w14:textId="77777777" w:rsidR="009B7DE3" w:rsidRDefault="009B7DE3" w:rsidP="00A35340">
      <w:pPr>
        <w:pStyle w:val="Bibliographie"/>
        <w:jc w:val="both"/>
      </w:pPr>
      <w:r>
        <w:t>(135)</w:t>
      </w:r>
      <w:r>
        <w:tab/>
        <w:t xml:space="preserve">Takata, M.; Sasaki, M. S.; Sonoda, E.; Morrison, C.; Hashimoto, M.; Utsumi, H.; Yamaguchi‐Iwai, Y.; Shinohara, A.; Takeda, S. Homologous Recombination and Non‐homologous End‐joining Pathways of DNA Double‐strand Break Repair Have Overlapping Roles in the Maintenance of Chromosomal Integrity in Vertebrate Cells. EMBO J. </w:t>
      </w:r>
      <w:r>
        <w:rPr>
          <w:b/>
          <w:bCs/>
        </w:rPr>
        <w:t>1998</w:t>
      </w:r>
      <w:r>
        <w:t>, 17 (18), 5497–5508. https://doi.org/10.1093/emboj/17.18.5497.</w:t>
      </w:r>
    </w:p>
    <w:p w14:paraId="29362C4C" w14:textId="77777777" w:rsidR="009B7DE3" w:rsidRPr="009B7DE3" w:rsidRDefault="009B7DE3" w:rsidP="00A35340">
      <w:pPr>
        <w:pStyle w:val="Bibliographie"/>
        <w:jc w:val="both"/>
        <w:rPr>
          <w:lang w:val="fr-BE"/>
        </w:rPr>
      </w:pPr>
      <w:r>
        <w:lastRenderedPageBreak/>
        <w:t>(136)</w:t>
      </w:r>
      <w:r>
        <w:tab/>
        <w:t xml:space="preserve">Haase, A.; Barroso, J.; Bogni, A.; Bremer-Hoffmann, S.; Fessard, V.; Gutleb, A. C.; Mast, J.; McVey, E.; Mertens, B.; Oomen, A. G.; Ritz, V.; Serchi, T.; Siewert, K.; Stanco, D.; Usmani, S. M.; Verleysen, E.; Vincentini, O.; van der Zande, M.; Cubadda, F. Proposal for a Qualification System for New Approach Methodologies (NAMs) in the Food and Feed Sector: Example of Implementation for Nanomaterial Risk Assessment. </w:t>
      </w:r>
      <w:r w:rsidRPr="009B7DE3">
        <w:rPr>
          <w:lang w:val="fr-BE"/>
        </w:rPr>
        <w:t xml:space="preserve">EFSA Support. Publ. </w:t>
      </w:r>
      <w:r w:rsidRPr="009B7DE3">
        <w:rPr>
          <w:b/>
          <w:bCs/>
          <w:lang w:val="fr-BE"/>
        </w:rPr>
        <w:t>2024</w:t>
      </w:r>
      <w:r w:rsidRPr="009B7DE3">
        <w:rPr>
          <w:lang w:val="fr-BE"/>
        </w:rPr>
        <w:t>, 21 (9), 9008E. https://doi.org/10.2903/sp.efsa.2024.EN-9008.</w:t>
      </w:r>
    </w:p>
    <w:p w14:paraId="1E4E37CD" w14:textId="77777777" w:rsidR="009B7DE3" w:rsidRDefault="009B7DE3" w:rsidP="00A35340">
      <w:pPr>
        <w:pStyle w:val="Bibliographie"/>
        <w:jc w:val="both"/>
      </w:pPr>
      <w:r>
        <w:t>(137)</w:t>
      </w:r>
      <w:r>
        <w:tab/>
        <w:t xml:space="preserve">Bal-Price, A.; Hogberg, H. T.; Crofton, K. M.; Daneshian, M.; FitzGerald, R. E.; Fritsche, E.; Heinonen, T.; Bennekou, S. H.; Klima, S.; Piersma, A. H.; Sachana, M.; Shafer, T. J.; Terron, A.; Monnet-Tschudi, F.; Viviani, B.; Waldmann, T.; Westerink, R. H. S.; Wilks, M. F.; Witters, H.; Zurich, M.-G.; Leist, M. Corrigendum to Recommendation on Test Readiness Criteria for New Approach Methods in Toxicology: Exemplified for Developmental Neurotoxicity. ALTEX - Altern. Anim. Exp. </w:t>
      </w:r>
      <w:r>
        <w:rPr>
          <w:b/>
          <w:bCs/>
        </w:rPr>
        <w:t>2019</w:t>
      </w:r>
      <w:r>
        <w:t>, 36 (3), 506–506. https://doi.org/10.14573/altex.1904112.</w:t>
      </w:r>
    </w:p>
    <w:p w14:paraId="2D123784" w14:textId="7FD04E62" w:rsidR="00832F39" w:rsidRPr="009329B7" w:rsidRDefault="006C2A75" w:rsidP="00A35340">
      <w:pPr>
        <w:spacing w:after="0" w:line="324" w:lineRule="auto"/>
        <w:jc w:val="both"/>
        <w:rPr>
          <w:noProof/>
          <w:lang w:val="fr-BE" w:eastAsia="fr-FR"/>
        </w:rPr>
      </w:pPr>
      <w:r>
        <w:fldChar w:fldCharType="end"/>
      </w:r>
    </w:p>
    <w:p w14:paraId="2B86786C" w14:textId="18AA5F00" w:rsidR="00832F39" w:rsidRDefault="00832F39" w:rsidP="00A35340">
      <w:pPr>
        <w:spacing w:after="0" w:line="324" w:lineRule="auto"/>
        <w:jc w:val="both"/>
      </w:pPr>
    </w:p>
    <w:p w14:paraId="5B0B5472" w14:textId="5CB38443" w:rsidR="00AC0293" w:rsidRDefault="00AC0293" w:rsidP="002A112A">
      <w:pPr>
        <w:spacing w:after="0" w:line="324" w:lineRule="auto"/>
        <w:jc w:val="both"/>
      </w:pPr>
    </w:p>
    <w:p w14:paraId="6DE5D8ED" w14:textId="25BFED17" w:rsidR="00AC0293" w:rsidRDefault="00AC0293" w:rsidP="002A112A">
      <w:pPr>
        <w:spacing w:after="0" w:line="324" w:lineRule="auto"/>
        <w:jc w:val="both"/>
      </w:pPr>
    </w:p>
    <w:p w14:paraId="4EF761E6" w14:textId="03738688" w:rsidR="00AC0293" w:rsidRDefault="00AC0293" w:rsidP="002A112A">
      <w:pPr>
        <w:spacing w:after="0" w:line="324" w:lineRule="auto"/>
        <w:jc w:val="both"/>
      </w:pPr>
    </w:p>
    <w:p w14:paraId="01FCB7F2" w14:textId="57297CA7" w:rsidR="00AC0293" w:rsidRDefault="00AC0293" w:rsidP="002A112A">
      <w:pPr>
        <w:spacing w:after="0" w:line="324" w:lineRule="auto"/>
        <w:jc w:val="both"/>
      </w:pPr>
    </w:p>
    <w:p w14:paraId="6DA00648" w14:textId="2F1DF36A" w:rsidR="00AC0293" w:rsidRDefault="00AC0293" w:rsidP="002A112A">
      <w:pPr>
        <w:spacing w:after="0" w:line="324" w:lineRule="auto"/>
        <w:jc w:val="both"/>
      </w:pPr>
    </w:p>
    <w:p w14:paraId="2B0FFBB5" w14:textId="1F380C33" w:rsidR="00AC0293" w:rsidRDefault="00AC0293" w:rsidP="002A112A">
      <w:pPr>
        <w:spacing w:after="0" w:line="324" w:lineRule="auto"/>
        <w:jc w:val="both"/>
      </w:pPr>
    </w:p>
    <w:p w14:paraId="4438B1E8" w14:textId="4E0DDFA8" w:rsidR="00AC0293" w:rsidRDefault="00AC0293" w:rsidP="002A112A">
      <w:pPr>
        <w:spacing w:after="0" w:line="324" w:lineRule="auto"/>
        <w:jc w:val="both"/>
      </w:pPr>
    </w:p>
    <w:p w14:paraId="054A09B9" w14:textId="0463C1F2" w:rsidR="00AC0293" w:rsidRDefault="00AC0293" w:rsidP="002A112A">
      <w:pPr>
        <w:spacing w:after="0" w:line="324" w:lineRule="auto"/>
        <w:jc w:val="both"/>
      </w:pPr>
    </w:p>
    <w:p w14:paraId="02141C30" w14:textId="588A048D" w:rsidR="00AC0293" w:rsidRDefault="00AC0293" w:rsidP="002A112A">
      <w:pPr>
        <w:spacing w:after="0" w:line="324" w:lineRule="auto"/>
        <w:jc w:val="both"/>
      </w:pPr>
    </w:p>
    <w:p w14:paraId="41DD6805" w14:textId="65EC6DA4" w:rsidR="00AC0293" w:rsidRDefault="00AC0293" w:rsidP="002A112A">
      <w:pPr>
        <w:spacing w:after="0" w:line="324" w:lineRule="auto"/>
        <w:jc w:val="both"/>
      </w:pPr>
    </w:p>
    <w:p w14:paraId="3A372703" w14:textId="70E07049" w:rsidR="00AC0293" w:rsidRDefault="00AC0293" w:rsidP="002A112A">
      <w:pPr>
        <w:spacing w:after="0" w:line="324" w:lineRule="auto"/>
        <w:jc w:val="both"/>
      </w:pPr>
    </w:p>
    <w:p w14:paraId="59F9BCAB" w14:textId="4DF11164" w:rsidR="004535BE" w:rsidRDefault="004535BE" w:rsidP="002A112A">
      <w:pPr>
        <w:spacing w:after="0" w:line="324" w:lineRule="auto"/>
        <w:jc w:val="both"/>
      </w:pPr>
    </w:p>
    <w:p w14:paraId="343510CE" w14:textId="77777777" w:rsidR="001D4DF1" w:rsidRDefault="001D4DF1" w:rsidP="002A112A">
      <w:pPr>
        <w:spacing w:after="0" w:line="324" w:lineRule="auto"/>
        <w:jc w:val="both"/>
      </w:pPr>
    </w:p>
    <w:p w14:paraId="48A92BEA" w14:textId="28158516" w:rsidR="00B84931" w:rsidRDefault="00B84931">
      <w:r>
        <w:br w:type="page"/>
      </w:r>
    </w:p>
    <w:p w14:paraId="701EB1EC" w14:textId="359FFEBF" w:rsidR="00AC0293" w:rsidRPr="004535BE" w:rsidRDefault="004535BE" w:rsidP="002A112A">
      <w:pPr>
        <w:spacing w:after="0" w:line="324" w:lineRule="auto"/>
        <w:jc w:val="both"/>
        <w:rPr>
          <w:b/>
          <w:bCs/>
          <w:sz w:val="20"/>
          <w:szCs w:val="20"/>
        </w:rPr>
      </w:pPr>
      <w:r w:rsidRPr="004535BE">
        <w:rPr>
          <w:b/>
          <w:bCs/>
          <w:sz w:val="20"/>
          <w:szCs w:val="20"/>
        </w:rPr>
        <w:t>Table 1. Inventory of AOPs related to genotoxicity collected from www.AOP-Wiki.org in August 2024</w:t>
      </w:r>
    </w:p>
    <w:tbl>
      <w:tblPr>
        <w:tblW w:w="9808" w:type="dxa"/>
        <w:tblInd w:w="36" w:type="dxa"/>
        <w:tblBorders>
          <w:top w:val="single" w:sz="18" w:space="0" w:color="DBDBDB"/>
          <w:left w:val="single" w:sz="18" w:space="0" w:color="DBDBDB"/>
          <w:bottom w:val="single" w:sz="18" w:space="0" w:color="DBDBDB"/>
          <w:right w:val="single" w:sz="18" w:space="0" w:color="DBDBDB"/>
          <w:insideH w:val="single" w:sz="18" w:space="0" w:color="DBDBDB"/>
          <w:insideV w:val="single" w:sz="18" w:space="0" w:color="DBDBDB"/>
        </w:tblBorders>
        <w:tblLayout w:type="fixed"/>
        <w:tblCellMar>
          <w:left w:w="0" w:type="dxa"/>
          <w:right w:w="0" w:type="dxa"/>
        </w:tblCellMar>
        <w:tblLook w:val="01E0" w:firstRow="1" w:lastRow="1" w:firstColumn="1" w:lastColumn="1" w:noHBand="0" w:noVBand="0"/>
      </w:tblPr>
      <w:tblGrid>
        <w:gridCol w:w="794"/>
        <w:gridCol w:w="4762"/>
        <w:gridCol w:w="1304"/>
        <w:gridCol w:w="1077"/>
        <w:gridCol w:w="1871"/>
      </w:tblGrid>
      <w:tr w:rsidR="004535BE" w:rsidRPr="004535BE" w14:paraId="62AE980A" w14:textId="77777777" w:rsidTr="00F65A88">
        <w:trPr>
          <w:trHeight w:val="20"/>
        </w:trPr>
        <w:tc>
          <w:tcPr>
            <w:tcW w:w="794" w:type="dxa"/>
            <w:tcBorders>
              <w:top w:val="nil"/>
              <w:left w:val="nil"/>
              <w:bottom w:val="single" w:sz="18" w:space="0" w:color="DBDBDB"/>
              <w:right w:val="nil"/>
            </w:tcBorders>
            <w:shd w:val="clear" w:color="auto" w:fill="5B9BD4"/>
            <w:vAlign w:val="center"/>
          </w:tcPr>
          <w:p w14:paraId="522FFD8C" w14:textId="77777777" w:rsidR="004535BE" w:rsidRPr="00F65A88" w:rsidRDefault="004535BE" w:rsidP="00F65A88">
            <w:pPr>
              <w:pStyle w:val="TableParagraph"/>
              <w:ind w:left="0"/>
              <w:jc w:val="center"/>
              <w:rPr>
                <w:b/>
                <w:sz w:val="16"/>
              </w:rPr>
            </w:pPr>
            <w:r w:rsidRPr="00F65A88">
              <w:rPr>
                <w:b/>
                <w:color w:val="FFFFFF"/>
                <w:sz w:val="16"/>
              </w:rPr>
              <w:lastRenderedPageBreak/>
              <w:t>AOP-Wiki</w:t>
            </w:r>
            <w:r w:rsidRPr="00F65A88">
              <w:rPr>
                <w:b/>
                <w:color w:val="FFFFFF"/>
                <w:spacing w:val="-5"/>
                <w:sz w:val="16"/>
              </w:rPr>
              <w:t xml:space="preserve"> ID</w:t>
            </w:r>
          </w:p>
        </w:tc>
        <w:tc>
          <w:tcPr>
            <w:tcW w:w="4762" w:type="dxa"/>
            <w:tcBorders>
              <w:top w:val="nil"/>
              <w:left w:val="nil"/>
              <w:bottom w:val="single" w:sz="18" w:space="0" w:color="DBDBDB"/>
              <w:right w:val="nil"/>
            </w:tcBorders>
            <w:shd w:val="clear" w:color="auto" w:fill="5B9BD4"/>
            <w:vAlign w:val="center"/>
            <w:hideMark/>
          </w:tcPr>
          <w:p w14:paraId="161EB66F" w14:textId="77777777" w:rsidR="004535BE" w:rsidRPr="00F65A88" w:rsidRDefault="004535BE" w:rsidP="00F65A88">
            <w:pPr>
              <w:pStyle w:val="TableParagraph"/>
              <w:spacing w:before="139"/>
              <w:ind w:left="0" w:right="33"/>
              <w:jc w:val="center"/>
              <w:rPr>
                <w:b/>
                <w:sz w:val="16"/>
              </w:rPr>
            </w:pPr>
            <w:r w:rsidRPr="00F65A88">
              <w:rPr>
                <w:b/>
                <w:color w:val="FFFFFF"/>
                <w:spacing w:val="-2"/>
                <w:sz w:val="16"/>
              </w:rPr>
              <w:t>Title</w:t>
            </w:r>
          </w:p>
        </w:tc>
        <w:tc>
          <w:tcPr>
            <w:tcW w:w="1304" w:type="dxa"/>
            <w:tcBorders>
              <w:top w:val="nil"/>
              <w:left w:val="nil"/>
              <w:bottom w:val="single" w:sz="18" w:space="0" w:color="DBDBDB"/>
              <w:right w:val="nil"/>
            </w:tcBorders>
            <w:shd w:val="clear" w:color="auto" w:fill="5B9BD4"/>
            <w:vAlign w:val="center"/>
            <w:hideMark/>
          </w:tcPr>
          <w:p w14:paraId="33497A3F" w14:textId="37996808" w:rsidR="004535BE" w:rsidRPr="00F65A88" w:rsidRDefault="004535BE" w:rsidP="00F65A88">
            <w:pPr>
              <w:pStyle w:val="TableParagraph"/>
              <w:spacing w:before="139"/>
              <w:ind w:right="114"/>
              <w:jc w:val="center"/>
              <w:rPr>
                <w:b/>
                <w:sz w:val="16"/>
              </w:rPr>
            </w:pPr>
            <w:r w:rsidRPr="00F65A88">
              <w:rPr>
                <w:b/>
                <w:color w:val="FFFFFF"/>
                <w:sz w:val="16"/>
              </w:rPr>
              <w:t>SAAOP</w:t>
            </w:r>
            <w:r w:rsidRPr="00F65A88">
              <w:rPr>
                <w:b/>
                <w:color w:val="FFFFFF"/>
                <w:spacing w:val="-9"/>
                <w:sz w:val="16"/>
              </w:rPr>
              <w:t xml:space="preserve"> </w:t>
            </w:r>
            <w:r w:rsidRPr="00F65A88">
              <w:rPr>
                <w:b/>
                <w:color w:val="FFFFFF"/>
                <w:spacing w:val="-2"/>
                <w:sz w:val="16"/>
              </w:rPr>
              <w:t>status</w:t>
            </w:r>
          </w:p>
        </w:tc>
        <w:tc>
          <w:tcPr>
            <w:tcW w:w="1077" w:type="dxa"/>
            <w:tcBorders>
              <w:top w:val="nil"/>
              <w:left w:val="nil"/>
              <w:bottom w:val="single" w:sz="18" w:space="0" w:color="DBDBDB"/>
              <w:right w:val="nil"/>
            </w:tcBorders>
            <w:shd w:val="clear" w:color="auto" w:fill="5B9BD4"/>
            <w:vAlign w:val="center"/>
            <w:hideMark/>
          </w:tcPr>
          <w:p w14:paraId="24E38606" w14:textId="77777777" w:rsidR="004535BE" w:rsidRPr="00F65A88" w:rsidRDefault="004535BE" w:rsidP="00F65A88">
            <w:pPr>
              <w:pStyle w:val="TableParagraph"/>
              <w:spacing w:before="139"/>
              <w:ind w:left="37" w:right="7"/>
              <w:jc w:val="center"/>
              <w:rPr>
                <w:b/>
                <w:sz w:val="16"/>
              </w:rPr>
            </w:pPr>
            <w:r w:rsidRPr="00F65A88">
              <w:rPr>
                <w:b/>
                <w:color w:val="FFFFFF"/>
                <w:sz w:val="16"/>
              </w:rPr>
              <w:t>OECD</w:t>
            </w:r>
            <w:r w:rsidRPr="00F65A88">
              <w:rPr>
                <w:b/>
                <w:color w:val="FFFFFF"/>
                <w:spacing w:val="-3"/>
                <w:sz w:val="16"/>
              </w:rPr>
              <w:t xml:space="preserve"> </w:t>
            </w:r>
            <w:r w:rsidRPr="00F65A88">
              <w:rPr>
                <w:b/>
                <w:color w:val="FFFFFF"/>
                <w:spacing w:val="-2"/>
                <w:sz w:val="16"/>
              </w:rPr>
              <w:t>status</w:t>
            </w:r>
          </w:p>
        </w:tc>
        <w:tc>
          <w:tcPr>
            <w:tcW w:w="1871" w:type="dxa"/>
            <w:tcBorders>
              <w:top w:val="nil"/>
              <w:left w:val="nil"/>
              <w:bottom w:val="single" w:sz="18" w:space="0" w:color="DBDBDB"/>
              <w:right w:val="nil"/>
            </w:tcBorders>
            <w:shd w:val="clear" w:color="auto" w:fill="5B9BD4"/>
            <w:vAlign w:val="center"/>
            <w:hideMark/>
          </w:tcPr>
          <w:p w14:paraId="4799646E" w14:textId="77777777" w:rsidR="004535BE" w:rsidRPr="00F65A88" w:rsidRDefault="004535BE" w:rsidP="00F65A88">
            <w:pPr>
              <w:pStyle w:val="TableParagraph"/>
              <w:spacing w:before="139"/>
              <w:ind w:left="133"/>
              <w:jc w:val="center"/>
              <w:rPr>
                <w:b/>
                <w:sz w:val="16"/>
              </w:rPr>
            </w:pPr>
            <w:r w:rsidRPr="00F65A88">
              <w:rPr>
                <w:b/>
                <w:color w:val="FFFFFF"/>
                <w:spacing w:val="-4"/>
                <w:sz w:val="16"/>
              </w:rPr>
              <w:t>Link</w:t>
            </w:r>
          </w:p>
        </w:tc>
      </w:tr>
      <w:tr w:rsidR="004535BE" w14:paraId="5A2348A8" w14:textId="77777777" w:rsidTr="00F65A88">
        <w:trPr>
          <w:trHeight w:val="20"/>
        </w:trPr>
        <w:tc>
          <w:tcPr>
            <w:tcW w:w="794" w:type="dxa"/>
            <w:tcBorders>
              <w:top w:val="single" w:sz="18" w:space="0" w:color="DBDBDB"/>
              <w:left w:val="single" w:sz="8" w:space="0" w:color="5B9BD4"/>
              <w:bottom w:val="single" w:sz="8" w:space="0" w:color="5B9BD4"/>
              <w:right w:val="nil"/>
            </w:tcBorders>
            <w:vAlign w:val="center"/>
            <w:hideMark/>
          </w:tcPr>
          <w:p w14:paraId="5F0BADCB" w14:textId="77777777" w:rsidR="004535BE" w:rsidRPr="004535BE" w:rsidRDefault="004535BE" w:rsidP="00F65A88">
            <w:pPr>
              <w:pStyle w:val="TableParagraph"/>
              <w:spacing w:before="99"/>
              <w:ind w:right="4"/>
              <w:jc w:val="center"/>
              <w:rPr>
                <w:sz w:val="14"/>
                <w:szCs w:val="20"/>
              </w:rPr>
            </w:pPr>
            <w:r w:rsidRPr="004535BE">
              <w:rPr>
                <w:spacing w:val="-5"/>
                <w:sz w:val="14"/>
                <w:szCs w:val="20"/>
              </w:rPr>
              <w:t>15</w:t>
            </w:r>
          </w:p>
        </w:tc>
        <w:tc>
          <w:tcPr>
            <w:tcW w:w="4762" w:type="dxa"/>
            <w:tcBorders>
              <w:top w:val="single" w:sz="18" w:space="0" w:color="DBDBDB"/>
              <w:left w:val="nil"/>
              <w:bottom w:val="single" w:sz="8" w:space="0" w:color="5B9BD4"/>
              <w:right w:val="nil"/>
            </w:tcBorders>
            <w:vAlign w:val="center"/>
            <w:hideMark/>
          </w:tcPr>
          <w:p w14:paraId="5E172FBE" w14:textId="77777777" w:rsidR="004535BE" w:rsidRPr="004535BE" w:rsidRDefault="004535BE" w:rsidP="00F65A88">
            <w:pPr>
              <w:pStyle w:val="TableParagraph"/>
              <w:spacing w:before="99"/>
              <w:ind w:right="33"/>
              <w:jc w:val="center"/>
              <w:rPr>
                <w:sz w:val="12"/>
                <w:szCs w:val="18"/>
              </w:rPr>
            </w:pPr>
            <w:r w:rsidRPr="004535BE">
              <w:rPr>
                <w:sz w:val="12"/>
                <w:szCs w:val="18"/>
              </w:rPr>
              <w:t>Alkylation</w:t>
            </w:r>
            <w:r w:rsidRPr="004535BE">
              <w:rPr>
                <w:spacing w:val="-6"/>
                <w:sz w:val="12"/>
                <w:szCs w:val="18"/>
              </w:rPr>
              <w:t xml:space="preserve"> </w:t>
            </w:r>
            <w:r w:rsidRPr="004535BE">
              <w:rPr>
                <w:sz w:val="12"/>
                <w:szCs w:val="18"/>
              </w:rPr>
              <w:t>of</w:t>
            </w:r>
            <w:r w:rsidRPr="004535BE">
              <w:rPr>
                <w:spacing w:val="-5"/>
                <w:sz w:val="12"/>
                <w:szCs w:val="18"/>
              </w:rPr>
              <w:t xml:space="preserve"> </w:t>
            </w:r>
            <w:r w:rsidRPr="004535BE">
              <w:rPr>
                <w:sz w:val="12"/>
                <w:szCs w:val="18"/>
              </w:rPr>
              <w:t>DNA</w:t>
            </w:r>
            <w:r w:rsidRPr="004535BE">
              <w:rPr>
                <w:spacing w:val="-4"/>
                <w:sz w:val="12"/>
                <w:szCs w:val="18"/>
              </w:rPr>
              <w:t xml:space="preserve"> </w:t>
            </w:r>
            <w:r w:rsidRPr="004535BE">
              <w:rPr>
                <w:sz w:val="12"/>
                <w:szCs w:val="18"/>
              </w:rPr>
              <w:t>in</w:t>
            </w:r>
            <w:r w:rsidRPr="004535BE">
              <w:rPr>
                <w:spacing w:val="-5"/>
                <w:sz w:val="12"/>
                <w:szCs w:val="18"/>
              </w:rPr>
              <w:t xml:space="preserve"> </w:t>
            </w:r>
            <w:r w:rsidRPr="004535BE">
              <w:rPr>
                <w:sz w:val="12"/>
                <w:szCs w:val="18"/>
              </w:rPr>
              <w:t>male</w:t>
            </w:r>
            <w:r w:rsidRPr="004535BE">
              <w:rPr>
                <w:spacing w:val="-5"/>
                <w:sz w:val="12"/>
                <w:szCs w:val="18"/>
              </w:rPr>
              <w:t xml:space="preserve"> </w:t>
            </w:r>
            <w:r w:rsidRPr="004535BE">
              <w:rPr>
                <w:sz w:val="12"/>
                <w:szCs w:val="18"/>
              </w:rPr>
              <w:t>pre-meiotic</w:t>
            </w:r>
            <w:r w:rsidRPr="004535BE">
              <w:rPr>
                <w:spacing w:val="-5"/>
                <w:sz w:val="12"/>
                <w:szCs w:val="18"/>
              </w:rPr>
              <w:t xml:space="preserve"> </w:t>
            </w:r>
            <w:r w:rsidRPr="004535BE">
              <w:rPr>
                <w:sz w:val="12"/>
                <w:szCs w:val="18"/>
              </w:rPr>
              <w:t>germ</w:t>
            </w:r>
            <w:r w:rsidRPr="004535BE">
              <w:rPr>
                <w:spacing w:val="-4"/>
                <w:sz w:val="12"/>
                <w:szCs w:val="18"/>
              </w:rPr>
              <w:t xml:space="preserve"> </w:t>
            </w:r>
            <w:r w:rsidRPr="004535BE">
              <w:rPr>
                <w:sz w:val="12"/>
                <w:szCs w:val="18"/>
              </w:rPr>
              <w:t>cells</w:t>
            </w:r>
            <w:r w:rsidRPr="004535BE">
              <w:rPr>
                <w:spacing w:val="-5"/>
                <w:sz w:val="12"/>
                <w:szCs w:val="18"/>
              </w:rPr>
              <w:t xml:space="preserve"> </w:t>
            </w:r>
            <w:r w:rsidRPr="004535BE">
              <w:rPr>
                <w:sz w:val="12"/>
                <w:szCs w:val="18"/>
              </w:rPr>
              <w:t>leading</w:t>
            </w:r>
            <w:r w:rsidRPr="004535BE">
              <w:rPr>
                <w:spacing w:val="-4"/>
                <w:sz w:val="12"/>
                <w:szCs w:val="18"/>
              </w:rPr>
              <w:t xml:space="preserve"> </w:t>
            </w:r>
            <w:r w:rsidRPr="004535BE">
              <w:rPr>
                <w:sz w:val="12"/>
                <w:szCs w:val="18"/>
              </w:rPr>
              <w:t>to</w:t>
            </w:r>
            <w:r w:rsidRPr="004535BE">
              <w:rPr>
                <w:spacing w:val="-5"/>
                <w:sz w:val="12"/>
                <w:szCs w:val="18"/>
              </w:rPr>
              <w:t xml:space="preserve"> </w:t>
            </w:r>
            <w:r w:rsidRPr="004535BE">
              <w:rPr>
                <w:sz w:val="12"/>
                <w:szCs w:val="18"/>
              </w:rPr>
              <w:t>heritable</w:t>
            </w:r>
            <w:r w:rsidRPr="004535BE">
              <w:rPr>
                <w:spacing w:val="-5"/>
                <w:sz w:val="12"/>
                <w:szCs w:val="18"/>
              </w:rPr>
              <w:t xml:space="preserve"> </w:t>
            </w:r>
            <w:r w:rsidRPr="004535BE">
              <w:rPr>
                <w:spacing w:val="-2"/>
                <w:sz w:val="12"/>
                <w:szCs w:val="18"/>
              </w:rPr>
              <w:t>mutations</w:t>
            </w:r>
          </w:p>
        </w:tc>
        <w:tc>
          <w:tcPr>
            <w:tcW w:w="1304" w:type="dxa"/>
            <w:tcBorders>
              <w:top w:val="single" w:sz="18" w:space="0" w:color="DBDBDB"/>
              <w:left w:val="nil"/>
              <w:bottom w:val="single" w:sz="8" w:space="0" w:color="5B9BD4"/>
              <w:right w:val="nil"/>
            </w:tcBorders>
            <w:hideMark/>
          </w:tcPr>
          <w:p w14:paraId="3A8F748D" w14:textId="047D69A0" w:rsidR="004535BE" w:rsidRPr="00F65A88" w:rsidRDefault="004535BE" w:rsidP="00F65A88">
            <w:pPr>
              <w:pStyle w:val="TableParagraph"/>
              <w:spacing w:before="99"/>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18" w:space="0" w:color="DBDBDB"/>
              <w:left w:val="nil"/>
              <w:bottom w:val="single" w:sz="8" w:space="0" w:color="5B9BD4"/>
              <w:right w:val="nil"/>
            </w:tcBorders>
            <w:hideMark/>
          </w:tcPr>
          <w:p w14:paraId="2C77079C" w14:textId="77777777" w:rsidR="004535BE" w:rsidRPr="00F65A88" w:rsidRDefault="004535BE" w:rsidP="00F65A88">
            <w:pPr>
              <w:pStyle w:val="TableParagraph"/>
              <w:spacing w:before="99"/>
              <w:ind w:left="37" w:right="2"/>
              <w:jc w:val="center"/>
              <w:rPr>
                <w:sz w:val="10"/>
                <w:szCs w:val="16"/>
              </w:rPr>
            </w:pPr>
            <w:r w:rsidRPr="00F65A88">
              <w:rPr>
                <w:sz w:val="10"/>
                <w:szCs w:val="16"/>
              </w:rPr>
              <w:t xml:space="preserve">WPHA/WNT </w:t>
            </w:r>
            <w:r w:rsidRPr="00F65A88">
              <w:rPr>
                <w:spacing w:val="-2"/>
                <w:sz w:val="10"/>
                <w:szCs w:val="16"/>
              </w:rPr>
              <w:t>Endorsed</w:t>
            </w:r>
          </w:p>
        </w:tc>
        <w:tc>
          <w:tcPr>
            <w:tcW w:w="1871" w:type="dxa"/>
            <w:tcBorders>
              <w:top w:val="single" w:sz="18" w:space="0" w:color="DBDBDB"/>
              <w:left w:val="nil"/>
              <w:bottom w:val="single" w:sz="8" w:space="0" w:color="5B9BD4"/>
              <w:right w:val="single" w:sz="8" w:space="0" w:color="5B9BD4"/>
            </w:tcBorders>
            <w:hideMark/>
          </w:tcPr>
          <w:p w14:paraId="6D6BC2F6" w14:textId="77777777" w:rsidR="004535BE" w:rsidRPr="004535BE" w:rsidRDefault="00A35340" w:rsidP="00F65A88">
            <w:pPr>
              <w:pStyle w:val="TableParagraph"/>
              <w:spacing w:before="99"/>
              <w:ind w:left="143"/>
              <w:jc w:val="center"/>
              <w:rPr>
                <w:sz w:val="14"/>
                <w:szCs w:val="20"/>
              </w:rPr>
            </w:pPr>
            <w:hyperlink r:id="rId43" w:history="1">
              <w:r w:rsidR="004535BE" w:rsidRPr="004535BE">
                <w:rPr>
                  <w:rStyle w:val="Lienhypertexte"/>
                  <w:spacing w:val="-2"/>
                  <w:sz w:val="14"/>
                  <w:szCs w:val="20"/>
                </w:rPr>
                <w:t>https://aopwiki.org/aops/15</w:t>
              </w:r>
            </w:hyperlink>
          </w:p>
        </w:tc>
      </w:tr>
      <w:tr w:rsidR="004535BE" w14:paraId="5A25D6C4"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16A74773" w14:textId="77777777" w:rsidR="004535BE" w:rsidRPr="004535BE" w:rsidRDefault="004535BE" w:rsidP="00F65A88">
            <w:pPr>
              <w:pStyle w:val="TableParagraph"/>
              <w:ind w:right="4"/>
              <w:jc w:val="center"/>
              <w:rPr>
                <w:sz w:val="14"/>
                <w:szCs w:val="20"/>
              </w:rPr>
            </w:pPr>
            <w:r w:rsidRPr="004535BE">
              <w:rPr>
                <w:spacing w:val="-5"/>
                <w:sz w:val="14"/>
                <w:szCs w:val="20"/>
              </w:rPr>
              <w:t>46</w:t>
            </w:r>
          </w:p>
        </w:tc>
        <w:tc>
          <w:tcPr>
            <w:tcW w:w="4762" w:type="dxa"/>
            <w:tcBorders>
              <w:top w:val="single" w:sz="8" w:space="0" w:color="5B9BD4"/>
              <w:left w:val="nil"/>
              <w:bottom w:val="single" w:sz="8" w:space="0" w:color="5B9BD4"/>
              <w:right w:val="nil"/>
            </w:tcBorders>
            <w:vAlign w:val="center"/>
            <w:hideMark/>
          </w:tcPr>
          <w:p w14:paraId="2A6CC844" w14:textId="77777777" w:rsidR="004535BE" w:rsidRPr="004535BE" w:rsidRDefault="004535BE" w:rsidP="00F65A88">
            <w:pPr>
              <w:pStyle w:val="TableParagraph"/>
              <w:ind w:right="33"/>
              <w:jc w:val="center"/>
              <w:rPr>
                <w:sz w:val="12"/>
                <w:szCs w:val="18"/>
              </w:rPr>
            </w:pPr>
            <w:r w:rsidRPr="004535BE">
              <w:rPr>
                <w:sz w:val="12"/>
                <w:szCs w:val="18"/>
              </w:rPr>
              <w:t>AFB1:</w:t>
            </w:r>
            <w:r w:rsidRPr="004535BE">
              <w:rPr>
                <w:spacing w:val="-7"/>
                <w:sz w:val="12"/>
                <w:szCs w:val="18"/>
              </w:rPr>
              <w:t xml:space="preserve"> </w:t>
            </w:r>
            <w:r w:rsidRPr="004535BE">
              <w:rPr>
                <w:sz w:val="12"/>
                <w:szCs w:val="18"/>
              </w:rPr>
              <w:t>Mutagenic</w:t>
            </w:r>
            <w:r w:rsidRPr="004535BE">
              <w:rPr>
                <w:spacing w:val="-7"/>
                <w:sz w:val="12"/>
                <w:szCs w:val="18"/>
              </w:rPr>
              <w:t xml:space="preserve"> </w:t>
            </w:r>
            <w:r w:rsidRPr="004535BE">
              <w:rPr>
                <w:sz w:val="12"/>
                <w:szCs w:val="18"/>
              </w:rPr>
              <w:t>mode-of-action</w:t>
            </w:r>
            <w:r w:rsidRPr="004535BE">
              <w:rPr>
                <w:spacing w:val="-8"/>
                <w:sz w:val="12"/>
                <w:szCs w:val="18"/>
              </w:rPr>
              <w:t xml:space="preserve"> </w:t>
            </w:r>
            <w:r w:rsidRPr="004535BE">
              <w:rPr>
                <w:sz w:val="12"/>
                <w:szCs w:val="18"/>
              </w:rPr>
              <w:t>leading</w:t>
            </w:r>
            <w:r w:rsidRPr="004535BE">
              <w:rPr>
                <w:spacing w:val="-6"/>
                <w:sz w:val="12"/>
                <w:szCs w:val="18"/>
              </w:rPr>
              <w:t xml:space="preserve"> </w:t>
            </w:r>
            <w:r w:rsidRPr="004535BE">
              <w:rPr>
                <w:sz w:val="12"/>
                <w:szCs w:val="18"/>
              </w:rPr>
              <w:t>to</w:t>
            </w:r>
            <w:r w:rsidRPr="004535BE">
              <w:rPr>
                <w:spacing w:val="-8"/>
                <w:sz w:val="12"/>
                <w:szCs w:val="18"/>
              </w:rPr>
              <w:t xml:space="preserve"> </w:t>
            </w:r>
            <w:r w:rsidRPr="004535BE">
              <w:rPr>
                <w:sz w:val="12"/>
                <w:szCs w:val="18"/>
              </w:rPr>
              <w:t>hepatocellular</w:t>
            </w:r>
            <w:r w:rsidRPr="004535BE">
              <w:rPr>
                <w:spacing w:val="-7"/>
                <w:sz w:val="12"/>
                <w:szCs w:val="18"/>
              </w:rPr>
              <w:t xml:space="preserve"> </w:t>
            </w:r>
            <w:r w:rsidRPr="004535BE">
              <w:rPr>
                <w:sz w:val="12"/>
                <w:szCs w:val="18"/>
              </w:rPr>
              <w:t>carcinoma</w:t>
            </w:r>
            <w:r w:rsidRPr="004535BE">
              <w:rPr>
                <w:spacing w:val="-7"/>
                <w:sz w:val="12"/>
                <w:szCs w:val="18"/>
              </w:rPr>
              <w:t xml:space="preserve"> </w:t>
            </w:r>
            <w:r w:rsidRPr="004535BE">
              <w:rPr>
                <w:spacing w:val="-4"/>
                <w:sz w:val="12"/>
                <w:szCs w:val="18"/>
              </w:rPr>
              <w:t>(HCC)</w:t>
            </w:r>
          </w:p>
        </w:tc>
        <w:tc>
          <w:tcPr>
            <w:tcW w:w="1304" w:type="dxa"/>
            <w:tcBorders>
              <w:top w:val="single" w:sz="8" w:space="0" w:color="5B9BD4"/>
              <w:left w:val="nil"/>
              <w:bottom w:val="single" w:sz="8" w:space="0" w:color="5B9BD4"/>
              <w:right w:val="nil"/>
            </w:tcBorders>
            <w:hideMark/>
          </w:tcPr>
          <w:p w14:paraId="2A4BA91A" w14:textId="5D85CB17"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33A32077" w14:textId="77777777" w:rsidR="004535BE" w:rsidRPr="00F65A88" w:rsidRDefault="004535BE" w:rsidP="00F65A88">
            <w:pPr>
              <w:pStyle w:val="TableParagraph"/>
              <w:ind w:left="37" w:right="3"/>
              <w:jc w:val="center"/>
              <w:rPr>
                <w:sz w:val="10"/>
                <w:szCs w:val="16"/>
              </w:rPr>
            </w:pPr>
            <w:r w:rsidRPr="00F65A88">
              <w:rPr>
                <w:sz w:val="10"/>
                <w:szCs w:val="16"/>
              </w:rPr>
              <w:t>EAGMST</w:t>
            </w:r>
            <w:r w:rsidRPr="00F65A88">
              <w:rPr>
                <w:spacing w:val="-4"/>
                <w:sz w:val="10"/>
                <w:szCs w:val="16"/>
              </w:rPr>
              <w:t xml:space="preserve"> </w:t>
            </w:r>
            <w:r w:rsidRPr="00F65A88">
              <w:rPr>
                <w:sz w:val="10"/>
                <w:szCs w:val="16"/>
              </w:rPr>
              <w:t>under</w:t>
            </w:r>
            <w:r w:rsidRPr="00F65A88">
              <w:rPr>
                <w:spacing w:val="-3"/>
                <w:sz w:val="10"/>
                <w:szCs w:val="16"/>
              </w:rPr>
              <w:t xml:space="preserve"> </w:t>
            </w:r>
            <w:r w:rsidRPr="00F65A88">
              <w:rPr>
                <w:spacing w:val="-2"/>
                <w:sz w:val="10"/>
                <w:szCs w:val="16"/>
              </w:rPr>
              <w:t>review</w:t>
            </w:r>
          </w:p>
        </w:tc>
        <w:tc>
          <w:tcPr>
            <w:tcW w:w="1871" w:type="dxa"/>
            <w:tcBorders>
              <w:top w:val="single" w:sz="8" w:space="0" w:color="5B9BD4"/>
              <w:left w:val="nil"/>
              <w:bottom w:val="single" w:sz="8" w:space="0" w:color="5B9BD4"/>
              <w:right w:val="single" w:sz="8" w:space="0" w:color="5B9BD4"/>
            </w:tcBorders>
            <w:hideMark/>
          </w:tcPr>
          <w:p w14:paraId="14213CCA" w14:textId="77777777" w:rsidR="004535BE" w:rsidRPr="004535BE" w:rsidRDefault="00A35340" w:rsidP="00F65A88">
            <w:pPr>
              <w:pStyle w:val="TableParagraph"/>
              <w:ind w:left="143"/>
              <w:jc w:val="center"/>
              <w:rPr>
                <w:sz w:val="14"/>
                <w:szCs w:val="20"/>
              </w:rPr>
            </w:pPr>
            <w:hyperlink r:id="rId44" w:history="1">
              <w:r w:rsidR="004535BE" w:rsidRPr="004535BE">
                <w:rPr>
                  <w:rStyle w:val="Lienhypertexte"/>
                  <w:spacing w:val="-2"/>
                  <w:sz w:val="14"/>
                  <w:szCs w:val="20"/>
                </w:rPr>
                <w:t>https://aopwiki.org/aops/46</w:t>
              </w:r>
            </w:hyperlink>
          </w:p>
        </w:tc>
      </w:tr>
      <w:tr w:rsidR="004535BE" w14:paraId="282166A6"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78ACFEAF" w14:textId="77777777" w:rsidR="004535BE" w:rsidRPr="004535BE" w:rsidRDefault="004535BE" w:rsidP="00F65A88">
            <w:pPr>
              <w:pStyle w:val="TableParagraph"/>
              <w:ind w:right="4"/>
              <w:jc w:val="center"/>
              <w:rPr>
                <w:sz w:val="14"/>
                <w:szCs w:val="20"/>
              </w:rPr>
            </w:pPr>
            <w:r w:rsidRPr="004535BE">
              <w:rPr>
                <w:spacing w:val="-5"/>
                <w:sz w:val="14"/>
                <w:szCs w:val="20"/>
              </w:rPr>
              <w:t>106</w:t>
            </w:r>
          </w:p>
        </w:tc>
        <w:tc>
          <w:tcPr>
            <w:tcW w:w="4762" w:type="dxa"/>
            <w:tcBorders>
              <w:top w:val="single" w:sz="8" w:space="0" w:color="5B9BD4"/>
              <w:left w:val="nil"/>
              <w:bottom w:val="single" w:sz="8" w:space="0" w:color="5B9BD4"/>
              <w:right w:val="nil"/>
            </w:tcBorders>
            <w:vAlign w:val="center"/>
            <w:hideMark/>
          </w:tcPr>
          <w:p w14:paraId="1FB3657B" w14:textId="77777777" w:rsidR="004535BE" w:rsidRPr="004535BE" w:rsidRDefault="004535BE" w:rsidP="00F65A88">
            <w:pPr>
              <w:pStyle w:val="TableParagraph"/>
              <w:ind w:left="1" w:right="33"/>
              <w:jc w:val="center"/>
              <w:rPr>
                <w:sz w:val="12"/>
                <w:szCs w:val="18"/>
              </w:rPr>
            </w:pPr>
            <w:r w:rsidRPr="004535BE">
              <w:rPr>
                <w:sz w:val="12"/>
                <w:szCs w:val="18"/>
              </w:rPr>
              <w:t>Chemical</w:t>
            </w:r>
            <w:r w:rsidRPr="004535BE">
              <w:rPr>
                <w:spacing w:val="-7"/>
                <w:sz w:val="12"/>
                <w:szCs w:val="18"/>
              </w:rPr>
              <w:t xml:space="preserve"> </w:t>
            </w:r>
            <w:r w:rsidRPr="004535BE">
              <w:rPr>
                <w:sz w:val="12"/>
                <w:szCs w:val="18"/>
              </w:rPr>
              <w:t>binding</w:t>
            </w:r>
            <w:r w:rsidRPr="004535BE">
              <w:rPr>
                <w:spacing w:val="-4"/>
                <w:sz w:val="12"/>
                <w:szCs w:val="18"/>
              </w:rPr>
              <w:t xml:space="preserve"> </w:t>
            </w:r>
            <w:r w:rsidRPr="004535BE">
              <w:rPr>
                <w:sz w:val="12"/>
                <w:szCs w:val="18"/>
              </w:rPr>
              <w:t>to</w:t>
            </w:r>
            <w:r w:rsidRPr="004535BE">
              <w:rPr>
                <w:spacing w:val="-6"/>
                <w:sz w:val="12"/>
                <w:szCs w:val="18"/>
              </w:rPr>
              <w:t xml:space="preserve"> </w:t>
            </w:r>
            <w:r w:rsidRPr="004535BE">
              <w:rPr>
                <w:sz w:val="12"/>
                <w:szCs w:val="18"/>
              </w:rPr>
              <w:t>tubulin</w:t>
            </w:r>
            <w:r w:rsidRPr="004535BE">
              <w:rPr>
                <w:spacing w:val="-5"/>
                <w:sz w:val="12"/>
                <w:szCs w:val="18"/>
              </w:rPr>
              <w:t xml:space="preserve"> </w:t>
            </w:r>
            <w:r w:rsidRPr="004535BE">
              <w:rPr>
                <w:sz w:val="12"/>
                <w:szCs w:val="18"/>
              </w:rPr>
              <w:t>in</w:t>
            </w:r>
            <w:r w:rsidRPr="004535BE">
              <w:rPr>
                <w:spacing w:val="-6"/>
                <w:sz w:val="12"/>
                <w:szCs w:val="18"/>
              </w:rPr>
              <w:t xml:space="preserve"> </w:t>
            </w:r>
            <w:r w:rsidRPr="004535BE">
              <w:rPr>
                <w:sz w:val="12"/>
                <w:szCs w:val="18"/>
              </w:rPr>
              <w:t>oocytes</w:t>
            </w:r>
            <w:r w:rsidRPr="004535BE">
              <w:rPr>
                <w:spacing w:val="-5"/>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5"/>
                <w:sz w:val="12"/>
                <w:szCs w:val="18"/>
              </w:rPr>
              <w:t xml:space="preserve"> </w:t>
            </w:r>
            <w:r w:rsidRPr="004535BE">
              <w:rPr>
                <w:sz w:val="12"/>
                <w:szCs w:val="18"/>
              </w:rPr>
              <w:t>aneuploid</w:t>
            </w:r>
            <w:r w:rsidRPr="004535BE">
              <w:rPr>
                <w:spacing w:val="-5"/>
                <w:sz w:val="12"/>
                <w:szCs w:val="18"/>
              </w:rPr>
              <w:t xml:space="preserve"> </w:t>
            </w:r>
            <w:r w:rsidRPr="004535BE">
              <w:rPr>
                <w:spacing w:val="-2"/>
                <w:sz w:val="12"/>
                <w:szCs w:val="18"/>
              </w:rPr>
              <w:t>offspring</w:t>
            </w:r>
          </w:p>
        </w:tc>
        <w:tc>
          <w:tcPr>
            <w:tcW w:w="1304" w:type="dxa"/>
            <w:tcBorders>
              <w:top w:val="single" w:sz="8" w:space="0" w:color="5B9BD4"/>
              <w:left w:val="nil"/>
              <w:bottom w:val="single" w:sz="8" w:space="0" w:color="5B9BD4"/>
              <w:right w:val="nil"/>
            </w:tcBorders>
            <w:hideMark/>
          </w:tcPr>
          <w:p w14:paraId="4048D45C" w14:textId="06839FB5"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45079B7F" w14:textId="77777777" w:rsidR="004535BE" w:rsidRPr="00F65A88" w:rsidRDefault="004535BE" w:rsidP="00F65A88">
            <w:pPr>
              <w:pStyle w:val="TableParagraph"/>
              <w:ind w:left="37" w:right="3"/>
              <w:jc w:val="center"/>
              <w:rPr>
                <w:sz w:val="10"/>
                <w:szCs w:val="16"/>
              </w:rPr>
            </w:pPr>
            <w:r w:rsidRPr="00F65A88">
              <w:rPr>
                <w:sz w:val="10"/>
                <w:szCs w:val="16"/>
              </w:rPr>
              <w:t>EAGMST</w:t>
            </w:r>
            <w:r w:rsidRPr="00F65A88">
              <w:rPr>
                <w:spacing w:val="-4"/>
                <w:sz w:val="10"/>
                <w:szCs w:val="16"/>
              </w:rPr>
              <w:t xml:space="preserve"> </w:t>
            </w:r>
            <w:r w:rsidRPr="00F65A88">
              <w:rPr>
                <w:sz w:val="10"/>
                <w:szCs w:val="16"/>
              </w:rPr>
              <w:t>under</w:t>
            </w:r>
            <w:r w:rsidRPr="00F65A88">
              <w:rPr>
                <w:spacing w:val="-3"/>
                <w:sz w:val="10"/>
                <w:szCs w:val="16"/>
              </w:rPr>
              <w:t xml:space="preserve"> </w:t>
            </w:r>
            <w:r w:rsidRPr="00F65A88">
              <w:rPr>
                <w:spacing w:val="-2"/>
                <w:sz w:val="10"/>
                <w:szCs w:val="16"/>
              </w:rPr>
              <w:t>review</w:t>
            </w:r>
          </w:p>
        </w:tc>
        <w:tc>
          <w:tcPr>
            <w:tcW w:w="1871" w:type="dxa"/>
            <w:tcBorders>
              <w:top w:val="single" w:sz="8" w:space="0" w:color="5B9BD4"/>
              <w:left w:val="nil"/>
              <w:bottom w:val="single" w:sz="8" w:space="0" w:color="5B9BD4"/>
              <w:right w:val="single" w:sz="8" w:space="0" w:color="5B9BD4"/>
            </w:tcBorders>
            <w:hideMark/>
          </w:tcPr>
          <w:p w14:paraId="4FE53B51" w14:textId="77777777" w:rsidR="004535BE" w:rsidRPr="004535BE" w:rsidRDefault="00A35340" w:rsidP="00F65A88">
            <w:pPr>
              <w:pStyle w:val="TableParagraph"/>
              <w:ind w:left="143"/>
              <w:jc w:val="center"/>
              <w:rPr>
                <w:sz w:val="14"/>
                <w:szCs w:val="20"/>
              </w:rPr>
            </w:pPr>
            <w:hyperlink r:id="rId45" w:history="1">
              <w:r w:rsidR="004535BE" w:rsidRPr="004535BE">
                <w:rPr>
                  <w:rStyle w:val="Lienhypertexte"/>
                  <w:spacing w:val="-2"/>
                  <w:sz w:val="14"/>
                  <w:szCs w:val="20"/>
                </w:rPr>
                <w:t>https://aopwiki.org/aops/106</w:t>
              </w:r>
            </w:hyperlink>
          </w:p>
        </w:tc>
      </w:tr>
      <w:tr w:rsidR="004535BE" w14:paraId="1F4D8F61"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246BA814" w14:textId="77777777" w:rsidR="004535BE" w:rsidRPr="004535BE" w:rsidRDefault="004535BE" w:rsidP="00F65A88">
            <w:pPr>
              <w:pStyle w:val="TableParagraph"/>
              <w:ind w:right="4"/>
              <w:jc w:val="center"/>
              <w:rPr>
                <w:sz w:val="14"/>
                <w:szCs w:val="20"/>
              </w:rPr>
            </w:pPr>
            <w:r w:rsidRPr="004535BE">
              <w:rPr>
                <w:spacing w:val="-5"/>
                <w:sz w:val="14"/>
                <w:szCs w:val="20"/>
              </w:rPr>
              <w:t>139</w:t>
            </w:r>
          </w:p>
        </w:tc>
        <w:tc>
          <w:tcPr>
            <w:tcW w:w="4762" w:type="dxa"/>
            <w:tcBorders>
              <w:top w:val="single" w:sz="8" w:space="0" w:color="5B9BD4"/>
              <w:left w:val="nil"/>
              <w:bottom w:val="single" w:sz="8" w:space="0" w:color="5B9BD4"/>
              <w:right w:val="nil"/>
            </w:tcBorders>
            <w:vAlign w:val="center"/>
            <w:hideMark/>
          </w:tcPr>
          <w:p w14:paraId="511BBC77" w14:textId="77777777" w:rsidR="004535BE" w:rsidRPr="004535BE" w:rsidRDefault="004535BE" w:rsidP="00F65A88">
            <w:pPr>
              <w:pStyle w:val="TableParagraph"/>
              <w:ind w:left="1" w:right="33"/>
              <w:jc w:val="center"/>
              <w:rPr>
                <w:sz w:val="12"/>
                <w:szCs w:val="18"/>
              </w:rPr>
            </w:pPr>
            <w:r w:rsidRPr="004535BE">
              <w:rPr>
                <w:sz w:val="12"/>
                <w:szCs w:val="18"/>
              </w:rPr>
              <w:t>Alkylation</w:t>
            </w:r>
            <w:r w:rsidRPr="004535BE">
              <w:rPr>
                <w:spacing w:val="-6"/>
                <w:sz w:val="12"/>
                <w:szCs w:val="18"/>
              </w:rPr>
              <w:t xml:space="preserve"> </w:t>
            </w:r>
            <w:r w:rsidRPr="004535BE">
              <w:rPr>
                <w:sz w:val="12"/>
                <w:szCs w:val="18"/>
              </w:rPr>
              <w:t>of</w:t>
            </w:r>
            <w:r w:rsidRPr="004535BE">
              <w:rPr>
                <w:spacing w:val="-5"/>
                <w:sz w:val="12"/>
                <w:szCs w:val="18"/>
              </w:rPr>
              <w:t xml:space="preserve"> </w:t>
            </w:r>
            <w:r w:rsidRPr="004535BE">
              <w:rPr>
                <w:sz w:val="12"/>
                <w:szCs w:val="18"/>
              </w:rPr>
              <w:t>DNA</w:t>
            </w:r>
            <w:r w:rsidRPr="004535BE">
              <w:rPr>
                <w:spacing w:val="-4"/>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5"/>
                <w:sz w:val="12"/>
                <w:szCs w:val="18"/>
              </w:rPr>
              <w:t xml:space="preserve"> </w:t>
            </w:r>
            <w:r w:rsidRPr="004535BE">
              <w:rPr>
                <w:sz w:val="12"/>
                <w:szCs w:val="18"/>
              </w:rPr>
              <w:t>cancer</w:t>
            </w:r>
            <w:r w:rsidRPr="004535BE">
              <w:rPr>
                <w:spacing w:val="-5"/>
                <w:sz w:val="12"/>
                <w:szCs w:val="18"/>
              </w:rPr>
              <w:t xml:space="preserve"> </w:t>
            </w:r>
            <w:r w:rsidRPr="004535BE">
              <w:rPr>
                <w:spacing w:val="-10"/>
                <w:sz w:val="12"/>
                <w:szCs w:val="18"/>
              </w:rPr>
              <w:t>1</w:t>
            </w:r>
          </w:p>
        </w:tc>
        <w:tc>
          <w:tcPr>
            <w:tcW w:w="1304" w:type="dxa"/>
            <w:tcBorders>
              <w:top w:val="single" w:sz="8" w:space="0" w:color="5B9BD4"/>
              <w:left w:val="nil"/>
              <w:bottom w:val="single" w:sz="8" w:space="0" w:color="5B9BD4"/>
              <w:right w:val="nil"/>
            </w:tcBorders>
            <w:hideMark/>
          </w:tcPr>
          <w:p w14:paraId="3019F9B9" w14:textId="4F070B2C" w:rsidR="004535BE" w:rsidRPr="00F65A88" w:rsidRDefault="004535BE" w:rsidP="00F65A88">
            <w:pPr>
              <w:pStyle w:val="TableParagraph"/>
              <w:ind w:left="2" w:right="114"/>
              <w:jc w:val="center"/>
              <w:rPr>
                <w:sz w:val="10"/>
                <w:szCs w:val="16"/>
              </w:rPr>
            </w:pPr>
            <w:r w:rsidRPr="00F65A88">
              <w:rPr>
                <w:sz w:val="10"/>
                <w:szCs w:val="16"/>
              </w:rPr>
              <w:t>Under</w:t>
            </w:r>
            <w:r w:rsidRPr="00F65A88">
              <w:rPr>
                <w:spacing w:val="-5"/>
                <w:sz w:val="10"/>
                <w:szCs w:val="16"/>
              </w:rPr>
              <w:t xml:space="preserve"> </w:t>
            </w:r>
            <w:r w:rsidRPr="00F65A88">
              <w:rPr>
                <w:spacing w:val="-2"/>
                <w:sz w:val="10"/>
                <w:szCs w:val="16"/>
              </w:rPr>
              <w:t>development</w:t>
            </w:r>
          </w:p>
        </w:tc>
        <w:tc>
          <w:tcPr>
            <w:tcW w:w="1077" w:type="dxa"/>
            <w:tcBorders>
              <w:top w:val="single" w:sz="8" w:space="0" w:color="5B9BD4"/>
              <w:left w:val="nil"/>
              <w:bottom w:val="single" w:sz="8" w:space="0" w:color="5B9BD4"/>
              <w:right w:val="nil"/>
            </w:tcBorders>
            <w:hideMark/>
          </w:tcPr>
          <w:p w14:paraId="6F8DF589" w14:textId="77777777" w:rsidR="004535BE" w:rsidRPr="00F65A88" w:rsidRDefault="004535BE" w:rsidP="00F65A88">
            <w:pPr>
              <w:pStyle w:val="TableParagraph"/>
              <w:ind w:left="37" w:right="4"/>
              <w:jc w:val="center"/>
              <w:rPr>
                <w:sz w:val="10"/>
                <w:szCs w:val="16"/>
              </w:rPr>
            </w:pPr>
            <w:r w:rsidRPr="00F65A88">
              <w:rPr>
                <w:spacing w:val="-10"/>
                <w:sz w:val="10"/>
                <w:szCs w:val="16"/>
              </w:rPr>
              <w:t>x</w:t>
            </w:r>
          </w:p>
        </w:tc>
        <w:tc>
          <w:tcPr>
            <w:tcW w:w="1871" w:type="dxa"/>
            <w:tcBorders>
              <w:top w:val="single" w:sz="8" w:space="0" w:color="5B9BD4"/>
              <w:left w:val="nil"/>
              <w:bottom w:val="single" w:sz="8" w:space="0" w:color="5B9BD4"/>
              <w:right w:val="single" w:sz="8" w:space="0" w:color="5B9BD4"/>
            </w:tcBorders>
            <w:hideMark/>
          </w:tcPr>
          <w:p w14:paraId="341185FA" w14:textId="77777777" w:rsidR="004535BE" w:rsidRPr="004535BE" w:rsidRDefault="00A35340" w:rsidP="00F65A88">
            <w:pPr>
              <w:pStyle w:val="TableParagraph"/>
              <w:ind w:left="143"/>
              <w:jc w:val="center"/>
              <w:rPr>
                <w:sz w:val="14"/>
                <w:szCs w:val="20"/>
              </w:rPr>
            </w:pPr>
            <w:hyperlink r:id="rId46" w:history="1">
              <w:r w:rsidR="004535BE" w:rsidRPr="004535BE">
                <w:rPr>
                  <w:rStyle w:val="Lienhypertexte"/>
                  <w:spacing w:val="-2"/>
                  <w:sz w:val="14"/>
                  <w:szCs w:val="20"/>
                </w:rPr>
                <w:t>https://aopwiki.org/aops/139</w:t>
              </w:r>
            </w:hyperlink>
          </w:p>
        </w:tc>
      </w:tr>
      <w:tr w:rsidR="004535BE" w14:paraId="2A134C57"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7D82419E" w14:textId="77777777" w:rsidR="004535BE" w:rsidRPr="004535BE" w:rsidRDefault="004535BE" w:rsidP="00F65A88">
            <w:pPr>
              <w:pStyle w:val="TableParagraph"/>
              <w:ind w:right="4"/>
              <w:jc w:val="center"/>
              <w:rPr>
                <w:sz w:val="14"/>
                <w:szCs w:val="20"/>
              </w:rPr>
            </w:pPr>
            <w:r w:rsidRPr="004535BE">
              <w:rPr>
                <w:spacing w:val="-5"/>
                <w:sz w:val="14"/>
                <w:szCs w:val="20"/>
              </w:rPr>
              <w:t>202</w:t>
            </w:r>
          </w:p>
        </w:tc>
        <w:tc>
          <w:tcPr>
            <w:tcW w:w="4762" w:type="dxa"/>
            <w:tcBorders>
              <w:top w:val="single" w:sz="8" w:space="0" w:color="5B9BD4"/>
              <w:left w:val="nil"/>
              <w:bottom w:val="single" w:sz="8" w:space="0" w:color="5B9BD4"/>
              <w:right w:val="nil"/>
            </w:tcBorders>
            <w:vAlign w:val="center"/>
            <w:hideMark/>
          </w:tcPr>
          <w:p w14:paraId="091C523F" w14:textId="77777777" w:rsidR="004535BE" w:rsidRPr="004535BE" w:rsidRDefault="004535BE" w:rsidP="00F65A88">
            <w:pPr>
              <w:pStyle w:val="TableParagraph"/>
              <w:ind w:right="33"/>
              <w:jc w:val="center"/>
              <w:rPr>
                <w:sz w:val="12"/>
                <w:szCs w:val="18"/>
              </w:rPr>
            </w:pPr>
            <w:r w:rsidRPr="004535BE">
              <w:rPr>
                <w:sz w:val="12"/>
                <w:szCs w:val="18"/>
              </w:rPr>
              <w:t>Inhibitor</w:t>
            </w:r>
            <w:r w:rsidRPr="004535BE">
              <w:rPr>
                <w:spacing w:val="-7"/>
                <w:sz w:val="12"/>
                <w:szCs w:val="18"/>
              </w:rPr>
              <w:t xml:space="preserve"> </w:t>
            </w:r>
            <w:r w:rsidRPr="004535BE">
              <w:rPr>
                <w:sz w:val="12"/>
                <w:szCs w:val="18"/>
              </w:rPr>
              <w:t>binding</w:t>
            </w:r>
            <w:r w:rsidRPr="004535BE">
              <w:rPr>
                <w:spacing w:val="-6"/>
                <w:sz w:val="12"/>
                <w:szCs w:val="18"/>
              </w:rPr>
              <w:t xml:space="preserve"> </w:t>
            </w:r>
            <w:r w:rsidRPr="004535BE">
              <w:rPr>
                <w:sz w:val="12"/>
                <w:szCs w:val="18"/>
              </w:rPr>
              <w:t>to</w:t>
            </w:r>
            <w:r w:rsidRPr="004535BE">
              <w:rPr>
                <w:spacing w:val="-6"/>
                <w:sz w:val="12"/>
                <w:szCs w:val="18"/>
              </w:rPr>
              <w:t xml:space="preserve"> </w:t>
            </w:r>
            <w:r w:rsidRPr="004535BE">
              <w:rPr>
                <w:sz w:val="12"/>
                <w:szCs w:val="18"/>
              </w:rPr>
              <w:t>topoisomerase</w:t>
            </w:r>
            <w:r w:rsidRPr="004535BE">
              <w:rPr>
                <w:spacing w:val="-6"/>
                <w:sz w:val="12"/>
                <w:szCs w:val="18"/>
              </w:rPr>
              <w:t xml:space="preserve"> </w:t>
            </w:r>
            <w:r w:rsidRPr="004535BE">
              <w:rPr>
                <w:sz w:val="12"/>
                <w:szCs w:val="18"/>
              </w:rPr>
              <w:t>II</w:t>
            </w:r>
            <w:r w:rsidRPr="004535BE">
              <w:rPr>
                <w:spacing w:val="-6"/>
                <w:sz w:val="12"/>
                <w:szCs w:val="18"/>
              </w:rPr>
              <w:t xml:space="preserve"> </w:t>
            </w:r>
            <w:r w:rsidRPr="004535BE">
              <w:rPr>
                <w:sz w:val="12"/>
                <w:szCs w:val="18"/>
              </w:rPr>
              <w:t>leading</w:t>
            </w:r>
            <w:r w:rsidRPr="004535BE">
              <w:rPr>
                <w:spacing w:val="-6"/>
                <w:sz w:val="12"/>
                <w:szCs w:val="18"/>
              </w:rPr>
              <w:t xml:space="preserve"> </w:t>
            </w:r>
            <w:r w:rsidRPr="004535BE">
              <w:rPr>
                <w:sz w:val="12"/>
                <w:szCs w:val="18"/>
              </w:rPr>
              <w:t>to</w:t>
            </w:r>
            <w:r w:rsidRPr="004535BE">
              <w:rPr>
                <w:spacing w:val="-6"/>
                <w:sz w:val="12"/>
                <w:szCs w:val="18"/>
              </w:rPr>
              <w:t xml:space="preserve"> </w:t>
            </w:r>
            <w:r w:rsidRPr="004535BE">
              <w:rPr>
                <w:sz w:val="12"/>
                <w:szCs w:val="18"/>
              </w:rPr>
              <w:t>infant</w:t>
            </w:r>
            <w:r w:rsidRPr="004535BE">
              <w:rPr>
                <w:spacing w:val="-6"/>
                <w:sz w:val="12"/>
                <w:szCs w:val="18"/>
              </w:rPr>
              <w:t xml:space="preserve"> </w:t>
            </w:r>
            <w:r w:rsidRPr="004535BE">
              <w:rPr>
                <w:spacing w:val="-2"/>
                <w:sz w:val="12"/>
                <w:szCs w:val="18"/>
              </w:rPr>
              <w:t>leukaemia</w:t>
            </w:r>
          </w:p>
        </w:tc>
        <w:tc>
          <w:tcPr>
            <w:tcW w:w="1304" w:type="dxa"/>
            <w:tcBorders>
              <w:top w:val="single" w:sz="8" w:space="0" w:color="5B9BD4"/>
              <w:left w:val="nil"/>
              <w:bottom w:val="single" w:sz="8" w:space="0" w:color="5B9BD4"/>
              <w:right w:val="nil"/>
            </w:tcBorders>
            <w:hideMark/>
          </w:tcPr>
          <w:p w14:paraId="1E8BFA81" w14:textId="476D058E"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7B15E281" w14:textId="77777777" w:rsidR="004535BE" w:rsidRPr="00F65A88" w:rsidRDefault="004535BE" w:rsidP="00F65A88">
            <w:pPr>
              <w:pStyle w:val="TableParagraph"/>
              <w:ind w:left="37" w:right="2"/>
              <w:jc w:val="center"/>
              <w:rPr>
                <w:sz w:val="10"/>
                <w:szCs w:val="16"/>
              </w:rPr>
            </w:pPr>
            <w:r w:rsidRPr="00F65A88">
              <w:rPr>
                <w:sz w:val="10"/>
                <w:szCs w:val="16"/>
              </w:rPr>
              <w:t xml:space="preserve">WPHA/WNT </w:t>
            </w:r>
            <w:r w:rsidRPr="00F65A88">
              <w:rPr>
                <w:spacing w:val="-2"/>
                <w:sz w:val="10"/>
                <w:szCs w:val="16"/>
              </w:rPr>
              <w:t>Endorsed</w:t>
            </w:r>
          </w:p>
        </w:tc>
        <w:tc>
          <w:tcPr>
            <w:tcW w:w="1871" w:type="dxa"/>
            <w:tcBorders>
              <w:top w:val="single" w:sz="8" w:space="0" w:color="5B9BD4"/>
              <w:left w:val="nil"/>
              <w:bottom w:val="single" w:sz="8" w:space="0" w:color="5B9BD4"/>
              <w:right w:val="single" w:sz="8" w:space="0" w:color="5B9BD4"/>
            </w:tcBorders>
            <w:hideMark/>
          </w:tcPr>
          <w:p w14:paraId="119F5F2F" w14:textId="77777777" w:rsidR="004535BE" w:rsidRPr="004535BE" w:rsidRDefault="00A35340" w:rsidP="00F65A88">
            <w:pPr>
              <w:pStyle w:val="TableParagraph"/>
              <w:ind w:left="143"/>
              <w:jc w:val="center"/>
              <w:rPr>
                <w:sz w:val="14"/>
                <w:szCs w:val="20"/>
              </w:rPr>
            </w:pPr>
            <w:hyperlink r:id="rId47" w:history="1">
              <w:r w:rsidR="004535BE" w:rsidRPr="004535BE">
                <w:rPr>
                  <w:rStyle w:val="Lienhypertexte"/>
                  <w:spacing w:val="-2"/>
                  <w:sz w:val="14"/>
                  <w:szCs w:val="20"/>
                </w:rPr>
                <w:t>https://aopwiki.org/aops/202</w:t>
              </w:r>
            </w:hyperlink>
          </w:p>
        </w:tc>
      </w:tr>
      <w:tr w:rsidR="004535BE" w14:paraId="12E41543"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41647D46" w14:textId="77777777" w:rsidR="004535BE" w:rsidRPr="004535BE" w:rsidRDefault="004535BE" w:rsidP="00F65A88">
            <w:pPr>
              <w:pStyle w:val="TableParagraph"/>
              <w:spacing w:before="112"/>
              <w:ind w:right="4"/>
              <w:jc w:val="center"/>
              <w:rPr>
                <w:sz w:val="14"/>
                <w:szCs w:val="20"/>
              </w:rPr>
            </w:pPr>
            <w:r w:rsidRPr="004535BE">
              <w:rPr>
                <w:spacing w:val="-5"/>
                <w:sz w:val="14"/>
                <w:szCs w:val="20"/>
              </w:rPr>
              <w:t>240</w:t>
            </w:r>
          </w:p>
        </w:tc>
        <w:tc>
          <w:tcPr>
            <w:tcW w:w="4762" w:type="dxa"/>
            <w:tcBorders>
              <w:top w:val="single" w:sz="8" w:space="0" w:color="5B9BD4"/>
              <w:left w:val="nil"/>
              <w:bottom w:val="single" w:sz="8" w:space="0" w:color="5B9BD4"/>
              <w:right w:val="nil"/>
            </w:tcBorders>
            <w:vAlign w:val="center"/>
            <w:hideMark/>
          </w:tcPr>
          <w:p w14:paraId="4726ADD6" w14:textId="77777777" w:rsidR="004535BE" w:rsidRPr="004535BE" w:rsidRDefault="004535BE" w:rsidP="00F65A88">
            <w:pPr>
              <w:pStyle w:val="TableParagraph"/>
              <w:spacing w:before="112"/>
              <w:ind w:left="0" w:right="33"/>
              <w:jc w:val="center"/>
              <w:rPr>
                <w:sz w:val="12"/>
                <w:szCs w:val="18"/>
              </w:rPr>
            </w:pPr>
            <w:r w:rsidRPr="004535BE">
              <w:rPr>
                <w:sz w:val="12"/>
                <w:szCs w:val="18"/>
              </w:rPr>
              <w:t>DNA</w:t>
            </w:r>
            <w:r w:rsidRPr="004535BE">
              <w:rPr>
                <w:spacing w:val="-5"/>
                <w:sz w:val="12"/>
                <w:szCs w:val="18"/>
              </w:rPr>
              <w:t xml:space="preserve"> </w:t>
            </w:r>
            <w:r w:rsidRPr="004535BE">
              <w:rPr>
                <w:sz w:val="12"/>
                <w:szCs w:val="18"/>
              </w:rPr>
              <w:t>Adducts</w:t>
            </w:r>
            <w:r w:rsidRPr="004535BE">
              <w:rPr>
                <w:spacing w:val="-5"/>
                <w:sz w:val="12"/>
                <w:szCs w:val="18"/>
              </w:rPr>
              <w:t xml:space="preserve"> </w:t>
            </w:r>
            <w:r w:rsidRPr="004535BE">
              <w:rPr>
                <w:sz w:val="12"/>
                <w:szCs w:val="18"/>
              </w:rPr>
              <w:t>Leading</w:t>
            </w:r>
            <w:r w:rsidRPr="004535BE">
              <w:rPr>
                <w:spacing w:val="-4"/>
                <w:sz w:val="12"/>
                <w:szCs w:val="18"/>
              </w:rPr>
              <w:t xml:space="preserve"> </w:t>
            </w:r>
            <w:r w:rsidRPr="004535BE">
              <w:rPr>
                <w:sz w:val="12"/>
                <w:szCs w:val="18"/>
              </w:rPr>
              <w:t>to</w:t>
            </w:r>
            <w:r w:rsidRPr="004535BE">
              <w:rPr>
                <w:spacing w:val="-5"/>
                <w:sz w:val="12"/>
                <w:szCs w:val="18"/>
              </w:rPr>
              <w:t xml:space="preserve"> </w:t>
            </w:r>
            <w:r w:rsidRPr="004535BE">
              <w:rPr>
                <w:sz w:val="12"/>
                <w:szCs w:val="18"/>
              </w:rPr>
              <w:t>Liver</w:t>
            </w:r>
            <w:r w:rsidRPr="004535BE">
              <w:rPr>
                <w:spacing w:val="-4"/>
                <w:sz w:val="12"/>
                <w:szCs w:val="18"/>
              </w:rPr>
              <w:t xml:space="preserve"> </w:t>
            </w:r>
            <w:r w:rsidRPr="004535BE">
              <w:rPr>
                <w:spacing w:val="-2"/>
                <w:sz w:val="12"/>
                <w:szCs w:val="18"/>
              </w:rPr>
              <w:t>Hemangiosarcoma</w:t>
            </w:r>
          </w:p>
        </w:tc>
        <w:tc>
          <w:tcPr>
            <w:tcW w:w="1304" w:type="dxa"/>
            <w:tcBorders>
              <w:top w:val="single" w:sz="8" w:space="0" w:color="5B9BD4"/>
              <w:left w:val="nil"/>
              <w:bottom w:val="single" w:sz="8" w:space="0" w:color="5B9BD4"/>
              <w:right w:val="nil"/>
            </w:tcBorders>
            <w:hideMark/>
          </w:tcPr>
          <w:p w14:paraId="31E7C88E" w14:textId="5137CDDA" w:rsidR="004535BE" w:rsidRPr="00F65A88" w:rsidRDefault="004535BE" w:rsidP="00F65A88">
            <w:pPr>
              <w:pStyle w:val="TableParagraph"/>
              <w:spacing w:before="112"/>
              <w:ind w:left="2" w:right="114"/>
              <w:jc w:val="center"/>
              <w:rPr>
                <w:sz w:val="10"/>
                <w:szCs w:val="16"/>
              </w:rPr>
            </w:pPr>
            <w:r w:rsidRPr="00F65A88">
              <w:rPr>
                <w:sz w:val="10"/>
                <w:szCs w:val="16"/>
              </w:rPr>
              <w:t>Under</w:t>
            </w:r>
            <w:r w:rsidRPr="00F65A88">
              <w:rPr>
                <w:spacing w:val="-5"/>
                <w:sz w:val="10"/>
                <w:szCs w:val="16"/>
              </w:rPr>
              <w:t xml:space="preserve"> </w:t>
            </w:r>
            <w:r w:rsidRPr="00F65A88">
              <w:rPr>
                <w:spacing w:val="-2"/>
                <w:sz w:val="10"/>
                <w:szCs w:val="16"/>
              </w:rPr>
              <w:t>development</w:t>
            </w:r>
          </w:p>
        </w:tc>
        <w:tc>
          <w:tcPr>
            <w:tcW w:w="1077" w:type="dxa"/>
            <w:tcBorders>
              <w:top w:val="single" w:sz="8" w:space="0" w:color="5B9BD4"/>
              <w:left w:val="nil"/>
              <w:bottom w:val="single" w:sz="8" w:space="0" w:color="5B9BD4"/>
              <w:right w:val="nil"/>
            </w:tcBorders>
            <w:hideMark/>
          </w:tcPr>
          <w:p w14:paraId="2405B2F3" w14:textId="77777777" w:rsidR="004535BE" w:rsidRPr="00F65A88" w:rsidRDefault="004535BE" w:rsidP="00F65A88">
            <w:pPr>
              <w:pStyle w:val="TableParagraph"/>
              <w:spacing w:before="112"/>
              <w:ind w:left="37" w:right="4"/>
              <w:jc w:val="center"/>
              <w:rPr>
                <w:sz w:val="10"/>
                <w:szCs w:val="16"/>
              </w:rPr>
            </w:pPr>
            <w:r w:rsidRPr="00F65A88">
              <w:rPr>
                <w:spacing w:val="-10"/>
                <w:sz w:val="10"/>
                <w:szCs w:val="16"/>
              </w:rPr>
              <w:t>x</w:t>
            </w:r>
          </w:p>
        </w:tc>
        <w:tc>
          <w:tcPr>
            <w:tcW w:w="1871" w:type="dxa"/>
            <w:tcBorders>
              <w:top w:val="single" w:sz="8" w:space="0" w:color="5B9BD4"/>
              <w:left w:val="nil"/>
              <w:bottom w:val="single" w:sz="8" w:space="0" w:color="5B9BD4"/>
              <w:right w:val="single" w:sz="8" w:space="0" w:color="5B9BD4"/>
            </w:tcBorders>
            <w:hideMark/>
          </w:tcPr>
          <w:p w14:paraId="09AED312" w14:textId="77777777" w:rsidR="004535BE" w:rsidRPr="004535BE" w:rsidRDefault="00A35340" w:rsidP="00F65A88">
            <w:pPr>
              <w:pStyle w:val="TableParagraph"/>
              <w:spacing w:before="112"/>
              <w:ind w:left="143"/>
              <w:jc w:val="center"/>
              <w:rPr>
                <w:sz w:val="14"/>
                <w:szCs w:val="20"/>
              </w:rPr>
            </w:pPr>
            <w:hyperlink r:id="rId48" w:history="1">
              <w:r w:rsidR="004535BE" w:rsidRPr="004535BE">
                <w:rPr>
                  <w:rStyle w:val="Lienhypertexte"/>
                  <w:spacing w:val="-2"/>
                  <w:sz w:val="14"/>
                  <w:szCs w:val="20"/>
                </w:rPr>
                <w:t>https://aopwiki.org/aops/240</w:t>
              </w:r>
            </w:hyperlink>
          </w:p>
        </w:tc>
      </w:tr>
      <w:tr w:rsidR="004535BE" w14:paraId="24AA1EA1"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531055E6" w14:textId="77777777" w:rsidR="004535BE" w:rsidRPr="004535BE" w:rsidRDefault="004535BE" w:rsidP="00F65A88">
            <w:pPr>
              <w:pStyle w:val="TableParagraph"/>
              <w:ind w:right="4"/>
              <w:jc w:val="center"/>
              <w:rPr>
                <w:sz w:val="14"/>
                <w:szCs w:val="20"/>
              </w:rPr>
            </w:pPr>
            <w:r w:rsidRPr="004535BE">
              <w:rPr>
                <w:spacing w:val="-5"/>
                <w:sz w:val="14"/>
                <w:szCs w:val="20"/>
              </w:rPr>
              <w:t>272</w:t>
            </w:r>
          </w:p>
        </w:tc>
        <w:tc>
          <w:tcPr>
            <w:tcW w:w="4762" w:type="dxa"/>
            <w:tcBorders>
              <w:top w:val="single" w:sz="8" w:space="0" w:color="5B9BD4"/>
              <w:left w:val="nil"/>
              <w:bottom w:val="single" w:sz="8" w:space="0" w:color="5B9BD4"/>
              <w:right w:val="nil"/>
            </w:tcBorders>
            <w:vAlign w:val="center"/>
            <w:hideMark/>
          </w:tcPr>
          <w:p w14:paraId="34BC38FD" w14:textId="77777777" w:rsidR="004535BE" w:rsidRPr="004535BE" w:rsidRDefault="004535BE" w:rsidP="00F65A88">
            <w:pPr>
              <w:pStyle w:val="TableParagraph"/>
              <w:ind w:left="1" w:right="33"/>
              <w:jc w:val="center"/>
              <w:rPr>
                <w:sz w:val="12"/>
                <w:szCs w:val="18"/>
              </w:rPr>
            </w:pPr>
            <w:r w:rsidRPr="004535BE">
              <w:rPr>
                <w:sz w:val="12"/>
                <w:szCs w:val="18"/>
              </w:rPr>
              <w:t>Direct</w:t>
            </w:r>
            <w:r w:rsidRPr="004535BE">
              <w:rPr>
                <w:spacing w:val="-6"/>
                <w:sz w:val="12"/>
                <w:szCs w:val="18"/>
              </w:rPr>
              <w:t xml:space="preserve"> </w:t>
            </w:r>
            <w:r w:rsidRPr="004535BE">
              <w:rPr>
                <w:sz w:val="12"/>
                <w:szCs w:val="18"/>
              </w:rPr>
              <w:t>deposition</w:t>
            </w:r>
            <w:r w:rsidRPr="004535BE">
              <w:rPr>
                <w:spacing w:val="-6"/>
                <w:sz w:val="12"/>
                <w:szCs w:val="18"/>
              </w:rPr>
              <w:t xml:space="preserve"> </w:t>
            </w:r>
            <w:r w:rsidRPr="004535BE">
              <w:rPr>
                <w:sz w:val="12"/>
                <w:szCs w:val="18"/>
              </w:rPr>
              <w:t>of</w:t>
            </w:r>
            <w:r w:rsidRPr="004535BE">
              <w:rPr>
                <w:spacing w:val="-5"/>
                <w:sz w:val="12"/>
                <w:szCs w:val="18"/>
              </w:rPr>
              <w:t xml:space="preserve"> </w:t>
            </w:r>
            <w:r w:rsidRPr="004535BE">
              <w:rPr>
                <w:sz w:val="12"/>
                <w:szCs w:val="18"/>
              </w:rPr>
              <w:t>ionizing</w:t>
            </w:r>
            <w:r w:rsidRPr="004535BE">
              <w:rPr>
                <w:spacing w:val="-5"/>
                <w:sz w:val="12"/>
                <w:szCs w:val="18"/>
              </w:rPr>
              <w:t xml:space="preserve"> </w:t>
            </w:r>
            <w:r w:rsidRPr="004535BE">
              <w:rPr>
                <w:sz w:val="12"/>
                <w:szCs w:val="18"/>
              </w:rPr>
              <w:t>energy</w:t>
            </w:r>
            <w:r w:rsidRPr="004535BE">
              <w:rPr>
                <w:spacing w:val="-6"/>
                <w:sz w:val="12"/>
                <w:szCs w:val="18"/>
              </w:rPr>
              <w:t xml:space="preserve"> </w:t>
            </w:r>
            <w:r w:rsidRPr="004535BE">
              <w:rPr>
                <w:sz w:val="12"/>
                <w:szCs w:val="18"/>
              </w:rPr>
              <w:t>onto</w:t>
            </w:r>
            <w:r w:rsidRPr="004535BE">
              <w:rPr>
                <w:spacing w:val="-5"/>
                <w:sz w:val="12"/>
                <w:szCs w:val="18"/>
              </w:rPr>
              <w:t xml:space="preserve"> </w:t>
            </w:r>
            <w:r w:rsidRPr="004535BE">
              <w:rPr>
                <w:sz w:val="12"/>
                <w:szCs w:val="18"/>
              </w:rPr>
              <w:t>DNA</w:t>
            </w:r>
            <w:r w:rsidRPr="004535BE">
              <w:rPr>
                <w:spacing w:val="-5"/>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6"/>
                <w:sz w:val="12"/>
                <w:szCs w:val="18"/>
              </w:rPr>
              <w:t xml:space="preserve"> </w:t>
            </w:r>
            <w:r w:rsidRPr="004535BE">
              <w:rPr>
                <w:sz w:val="12"/>
                <w:szCs w:val="18"/>
              </w:rPr>
              <w:t>lung</w:t>
            </w:r>
            <w:r w:rsidRPr="004535BE">
              <w:rPr>
                <w:spacing w:val="-3"/>
                <w:sz w:val="12"/>
                <w:szCs w:val="18"/>
              </w:rPr>
              <w:t xml:space="preserve"> </w:t>
            </w:r>
            <w:r w:rsidRPr="004535BE">
              <w:rPr>
                <w:spacing w:val="-2"/>
                <w:sz w:val="12"/>
                <w:szCs w:val="18"/>
              </w:rPr>
              <w:t>cancer</w:t>
            </w:r>
          </w:p>
        </w:tc>
        <w:tc>
          <w:tcPr>
            <w:tcW w:w="1304" w:type="dxa"/>
            <w:tcBorders>
              <w:top w:val="single" w:sz="8" w:space="0" w:color="5B9BD4"/>
              <w:left w:val="nil"/>
              <w:bottom w:val="single" w:sz="8" w:space="0" w:color="5B9BD4"/>
              <w:right w:val="nil"/>
            </w:tcBorders>
            <w:hideMark/>
          </w:tcPr>
          <w:p w14:paraId="33E312FC" w14:textId="24EEE2EB"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295C158E" w14:textId="77777777" w:rsidR="004535BE" w:rsidRPr="00F65A88" w:rsidRDefault="004535BE" w:rsidP="00F65A88">
            <w:pPr>
              <w:pStyle w:val="TableParagraph"/>
              <w:ind w:left="37" w:right="2"/>
              <w:jc w:val="center"/>
              <w:rPr>
                <w:sz w:val="10"/>
                <w:szCs w:val="16"/>
              </w:rPr>
            </w:pPr>
            <w:r w:rsidRPr="00F65A88">
              <w:rPr>
                <w:sz w:val="10"/>
                <w:szCs w:val="16"/>
              </w:rPr>
              <w:t xml:space="preserve">WPHA/WNT </w:t>
            </w:r>
            <w:r w:rsidRPr="00F65A88">
              <w:rPr>
                <w:spacing w:val="-2"/>
                <w:sz w:val="10"/>
                <w:szCs w:val="16"/>
              </w:rPr>
              <w:t>Endorsed</w:t>
            </w:r>
          </w:p>
        </w:tc>
        <w:tc>
          <w:tcPr>
            <w:tcW w:w="1871" w:type="dxa"/>
            <w:tcBorders>
              <w:top w:val="single" w:sz="8" w:space="0" w:color="5B9BD4"/>
              <w:left w:val="nil"/>
              <w:bottom w:val="single" w:sz="8" w:space="0" w:color="5B9BD4"/>
              <w:right w:val="single" w:sz="8" w:space="0" w:color="5B9BD4"/>
            </w:tcBorders>
            <w:hideMark/>
          </w:tcPr>
          <w:p w14:paraId="4CB3B16A" w14:textId="77777777" w:rsidR="004535BE" w:rsidRPr="004535BE" w:rsidRDefault="00A35340" w:rsidP="00F65A88">
            <w:pPr>
              <w:pStyle w:val="TableParagraph"/>
              <w:ind w:left="143"/>
              <w:jc w:val="center"/>
              <w:rPr>
                <w:sz w:val="14"/>
                <w:szCs w:val="20"/>
              </w:rPr>
            </w:pPr>
            <w:hyperlink r:id="rId49" w:history="1">
              <w:r w:rsidR="004535BE" w:rsidRPr="004535BE">
                <w:rPr>
                  <w:rStyle w:val="Lienhypertexte"/>
                  <w:spacing w:val="-2"/>
                  <w:sz w:val="14"/>
                  <w:szCs w:val="20"/>
                </w:rPr>
                <w:t>https://aopwiki.org/aops/272</w:t>
              </w:r>
            </w:hyperlink>
          </w:p>
        </w:tc>
      </w:tr>
      <w:tr w:rsidR="004535BE" w14:paraId="3A4B4DAD"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2D65C847" w14:textId="77777777" w:rsidR="004535BE" w:rsidRPr="004535BE" w:rsidRDefault="004535BE" w:rsidP="00F65A88">
            <w:pPr>
              <w:pStyle w:val="TableParagraph"/>
              <w:ind w:right="4"/>
              <w:jc w:val="center"/>
              <w:rPr>
                <w:sz w:val="14"/>
                <w:szCs w:val="20"/>
              </w:rPr>
            </w:pPr>
            <w:r w:rsidRPr="004535BE">
              <w:rPr>
                <w:spacing w:val="-5"/>
                <w:sz w:val="14"/>
                <w:szCs w:val="20"/>
              </w:rPr>
              <w:t>293</w:t>
            </w:r>
          </w:p>
        </w:tc>
        <w:tc>
          <w:tcPr>
            <w:tcW w:w="4762" w:type="dxa"/>
            <w:tcBorders>
              <w:top w:val="single" w:sz="8" w:space="0" w:color="5B9BD4"/>
              <w:left w:val="nil"/>
              <w:bottom w:val="single" w:sz="8" w:space="0" w:color="5B9BD4"/>
              <w:right w:val="nil"/>
            </w:tcBorders>
            <w:vAlign w:val="center"/>
            <w:hideMark/>
          </w:tcPr>
          <w:p w14:paraId="34C111B4" w14:textId="77777777" w:rsidR="004535BE" w:rsidRPr="004535BE" w:rsidRDefault="004535BE" w:rsidP="00F65A88">
            <w:pPr>
              <w:pStyle w:val="TableParagraph"/>
              <w:ind w:left="1" w:right="33"/>
              <w:jc w:val="center"/>
              <w:rPr>
                <w:sz w:val="12"/>
                <w:szCs w:val="18"/>
              </w:rPr>
            </w:pPr>
            <w:r w:rsidRPr="004535BE">
              <w:rPr>
                <w:sz w:val="12"/>
                <w:szCs w:val="18"/>
              </w:rPr>
              <w:t>Increased</w:t>
            </w:r>
            <w:r w:rsidRPr="004535BE">
              <w:rPr>
                <w:spacing w:val="-5"/>
                <w:sz w:val="12"/>
                <w:szCs w:val="18"/>
              </w:rPr>
              <w:t xml:space="preserve"> </w:t>
            </w:r>
            <w:r w:rsidRPr="004535BE">
              <w:rPr>
                <w:sz w:val="12"/>
                <w:szCs w:val="18"/>
              </w:rPr>
              <w:t>DNA</w:t>
            </w:r>
            <w:r w:rsidRPr="004535BE">
              <w:rPr>
                <w:spacing w:val="-4"/>
                <w:sz w:val="12"/>
                <w:szCs w:val="18"/>
              </w:rPr>
              <w:t xml:space="preserve"> </w:t>
            </w:r>
            <w:r w:rsidRPr="004535BE">
              <w:rPr>
                <w:sz w:val="12"/>
                <w:szCs w:val="18"/>
              </w:rPr>
              <w:t>damage</w:t>
            </w:r>
            <w:r w:rsidRPr="004535BE">
              <w:rPr>
                <w:spacing w:val="-5"/>
                <w:sz w:val="12"/>
                <w:szCs w:val="18"/>
              </w:rPr>
              <w:t xml:space="preserve"> </w:t>
            </w:r>
            <w:r w:rsidRPr="004535BE">
              <w:rPr>
                <w:sz w:val="12"/>
                <w:szCs w:val="18"/>
              </w:rPr>
              <w:t>leading</w:t>
            </w:r>
            <w:r w:rsidRPr="004535BE">
              <w:rPr>
                <w:spacing w:val="-4"/>
                <w:sz w:val="12"/>
                <w:szCs w:val="18"/>
              </w:rPr>
              <w:t xml:space="preserve"> </w:t>
            </w:r>
            <w:r w:rsidRPr="004535BE">
              <w:rPr>
                <w:sz w:val="12"/>
                <w:szCs w:val="18"/>
              </w:rPr>
              <w:t>to</w:t>
            </w:r>
            <w:r w:rsidRPr="004535BE">
              <w:rPr>
                <w:spacing w:val="-5"/>
                <w:sz w:val="12"/>
                <w:szCs w:val="18"/>
              </w:rPr>
              <w:t xml:space="preserve"> </w:t>
            </w:r>
            <w:r w:rsidRPr="004535BE">
              <w:rPr>
                <w:sz w:val="12"/>
                <w:szCs w:val="18"/>
              </w:rPr>
              <w:t>increased</w:t>
            </w:r>
            <w:r w:rsidRPr="004535BE">
              <w:rPr>
                <w:spacing w:val="-5"/>
                <w:sz w:val="12"/>
                <w:szCs w:val="18"/>
              </w:rPr>
              <w:t xml:space="preserve"> </w:t>
            </w:r>
            <w:r w:rsidRPr="004535BE">
              <w:rPr>
                <w:sz w:val="12"/>
                <w:szCs w:val="18"/>
              </w:rPr>
              <w:t>risk</w:t>
            </w:r>
            <w:r w:rsidRPr="004535BE">
              <w:rPr>
                <w:spacing w:val="-6"/>
                <w:sz w:val="12"/>
                <w:szCs w:val="18"/>
              </w:rPr>
              <w:t xml:space="preserve"> </w:t>
            </w:r>
            <w:r w:rsidRPr="004535BE">
              <w:rPr>
                <w:sz w:val="12"/>
                <w:szCs w:val="18"/>
              </w:rPr>
              <w:t>of</w:t>
            </w:r>
            <w:r w:rsidRPr="004535BE">
              <w:rPr>
                <w:spacing w:val="-5"/>
                <w:sz w:val="12"/>
                <w:szCs w:val="18"/>
              </w:rPr>
              <w:t xml:space="preserve"> </w:t>
            </w:r>
            <w:r w:rsidRPr="004535BE">
              <w:rPr>
                <w:sz w:val="12"/>
                <w:szCs w:val="18"/>
              </w:rPr>
              <w:t>breast</w:t>
            </w:r>
            <w:r w:rsidRPr="004535BE">
              <w:rPr>
                <w:spacing w:val="-4"/>
                <w:sz w:val="12"/>
                <w:szCs w:val="18"/>
              </w:rPr>
              <w:t xml:space="preserve"> </w:t>
            </w:r>
            <w:r w:rsidRPr="004535BE">
              <w:rPr>
                <w:spacing w:val="-2"/>
                <w:sz w:val="12"/>
                <w:szCs w:val="18"/>
              </w:rPr>
              <w:t>cancer</w:t>
            </w:r>
          </w:p>
        </w:tc>
        <w:tc>
          <w:tcPr>
            <w:tcW w:w="1304" w:type="dxa"/>
            <w:tcBorders>
              <w:top w:val="single" w:sz="8" w:space="0" w:color="5B9BD4"/>
              <w:left w:val="nil"/>
              <w:bottom w:val="single" w:sz="8" w:space="0" w:color="5B9BD4"/>
              <w:right w:val="nil"/>
            </w:tcBorders>
            <w:hideMark/>
          </w:tcPr>
          <w:p w14:paraId="6DD0EBEC" w14:textId="1804AD98"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02F7AC28" w14:textId="77777777" w:rsidR="004535BE" w:rsidRPr="00F65A88" w:rsidRDefault="004535BE" w:rsidP="00F65A88">
            <w:pPr>
              <w:pStyle w:val="TableParagraph"/>
              <w:ind w:left="37"/>
              <w:jc w:val="center"/>
              <w:rPr>
                <w:sz w:val="10"/>
                <w:szCs w:val="16"/>
              </w:rPr>
            </w:pPr>
            <w:r w:rsidRPr="00F65A88">
              <w:rPr>
                <w:sz w:val="10"/>
                <w:szCs w:val="16"/>
              </w:rPr>
              <w:t>Under</w:t>
            </w:r>
            <w:r w:rsidRPr="00F65A88">
              <w:rPr>
                <w:spacing w:val="-5"/>
                <w:sz w:val="10"/>
                <w:szCs w:val="16"/>
              </w:rPr>
              <w:t xml:space="preserve"> </w:t>
            </w:r>
            <w:r w:rsidRPr="00F65A88">
              <w:rPr>
                <w:spacing w:val="-2"/>
                <w:sz w:val="10"/>
                <w:szCs w:val="16"/>
              </w:rPr>
              <w:t>development</w:t>
            </w:r>
          </w:p>
        </w:tc>
        <w:tc>
          <w:tcPr>
            <w:tcW w:w="1871" w:type="dxa"/>
            <w:tcBorders>
              <w:top w:val="single" w:sz="8" w:space="0" w:color="5B9BD4"/>
              <w:left w:val="nil"/>
              <w:bottom w:val="single" w:sz="8" w:space="0" w:color="5B9BD4"/>
              <w:right w:val="single" w:sz="8" w:space="0" w:color="5B9BD4"/>
            </w:tcBorders>
            <w:hideMark/>
          </w:tcPr>
          <w:p w14:paraId="729431E7" w14:textId="77777777" w:rsidR="004535BE" w:rsidRPr="004535BE" w:rsidRDefault="00A35340" w:rsidP="00F65A88">
            <w:pPr>
              <w:pStyle w:val="TableParagraph"/>
              <w:ind w:left="143"/>
              <w:jc w:val="center"/>
              <w:rPr>
                <w:sz w:val="14"/>
                <w:szCs w:val="20"/>
              </w:rPr>
            </w:pPr>
            <w:hyperlink r:id="rId50" w:history="1">
              <w:r w:rsidR="004535BE" w:rsidRPr="004535BE">
                <w:rPr>
                  <w:rStyle w:val="Lienhypertexte"/>
                  <w:spacing w:val="-2"/>
                  <w:sz w:val="14"/>
                  <w:szCs w:val="20"/>
                </w:rPr>
                <w:t>https://aopwiki.org/aops/293</w:t>
              </w:r>
            </w:hyperlink>
          </w:p>
        </w:tc>
      </w:tr>
      <w:tr w:rsidR="004535BE" w14:paraId="489540BE"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75EFBFD5" w14:textId="77777777" w:rsidR="004535BE" w:rsidRPr="004535BE" w:rsidRDefault="004535BE" w:rsidP="00F65A88">
            <w:pPr>
              <w:pStyle w:val="TableParagraph"/>
              <w:ind w:right="4"/>
              <w:jc w:val="center"/>
              <w:rPr>
                <w:sz w:val="14"/>
                <w:szCs w:val="20"/>
              </w:rPr>
            </w:pPr>
            <w:r w:rsidRPr="004535BE">
              <w:rPr>
                <w:spacing w:val="-5"/>
                <w:sz w:val="14"/>
                <w:szCs w:val="20"/>
              </w:rPr>
              <w:t>294</w:t>
            </w:r>
          </w:p>
        </w:tc>
        <w:tc>
          <w:tcPr>
            <w:tcW w:w="4762" w:type="dxa"/>
            <w:tcBorders>
              <w:top w:val="single" w:sz="8" w:space="0" w:color="5B9BD4"/>
              <w:left w:val="nil"/>
              <w:bottom w:val="single" w:sz="8" w:space="0" w:color="5B9BD4"/>
              <w:right w:val="nil"/>
            </w:tcBorders>
            <w:vAlign w:val="center"/>
            <w:hideMark/>
          </w:tcPr>
          <w:p w14:paraId="4073D1D8" w14:textId="27A0D983" w:rsidR="004535BE" w:rsidRPr="004535BE" w:rsidRDefault="004535BE" w:rsidP="00F65A88">
            <w:pPr>
              <w:pStyle w:val="TableParagraph"/>
              <w:spacing w:before="3"/>
              <w:ind w:left="4" w:right="33"/>
              <w:jc w:val="center"/>
              <w:rPr>
                <w:sz w:val="12"/>
                <w:szCs w:val="18"/>
              </w:rPr>
            </w:pPr>
            <w:r w:rsidRPr="004535BE">
              <w:rPr>
                <w:sz w:val="12"/>
                <w:szCs w:val="18"/>
              </w:rPr>
              <w:t>Increased</w:t>
            </w:r>
            <w:r w:rsidRPr="004535BE">
              <w:rPr>
                <w:spacing w:val="-6"/>
                <w:sz w:val="12"/>
                <w:szCs w:val="18"/>
              </w:rPr>
              <w:t xml:space="preserve"> </w:t>
            </w:r>
            <w:r w:rsidRPr="004535BE">
              <w:rPr>
                <w:sz w:val="12"/>
                <w:szCs w:val="18"/>
              </w:rPr>
              <w:t>reactive</w:t>
            </w:r>
            <w:r w:rsidRPr="004535BE">
              <w:rPr>
                <w:spacing w:val="-6"/>
                <w:sz w:val="12"/>
                <w:szCs w:val="18"/>
              </w:rPr>
              <w:t xml:space="preserve"> </w:t>
            </w:r>
            <w:r w:rsidRPr="004535BE">
              <w:rPr>
                <w:sz w:val="12"/>
                <w:szCs w:val="18"/>
              </w:rPr>
              <w:t>oxygen</w:t>
            </w:r>
            <w:r w:rsidRPr="004535BE">
              <w:rPr>
                <w:spacing w:val="-5"/>
                <w:sz w:val="12"/>
                <w:szCs w:val="18"/>
              </w:rPr>
              <w:t xml:space="preserve"> </w:t>
            </w:r>
            <w:r w:rsidRPr="004535BE">
              <w:rPr>
                <w:sz w:val="12"/>
                <w:szCs w:val="18"/>
              </w:rPr>
              <w:t>and</w:t>
            </w:r>
            <w:r w:rsidRPr="004535BE">
              <w:rPr>
                <w:spacing w:val="-6"/>
                <w:sz w:val="12"/>
                <w:szCs w:val="18"/>
              </w:rPr>
              <w:t xml:space="preserve"> </w:t>
            </w:r>
            <w:r w:rsidRPr="004535BE">
              <w:rPr>
                <w:sz w:val="12"/>
                <w:szCs w:val="18"/>
              </w:rPr>
              <w:t>nitrogen</w:t>
            </w:r>
            <w:r w:rsidRPr="004535BE">
              <w:rPr>
                <w:spacing w:val="-6"/>
                <w:sz w:val="12"/>
                <w:szCs w:val="18"/>
              </w:rPr>
              <w:t xml:space="preserve"> </w:t>
            </w:r>
            <w:r w:rsidRPr="004535BE">
              <w:rPr>
                <w:sz w:val="12"/>
                <w:szCs w:val="18"/>
              </w:rPr>
              <w:t>species</w:t>
            </w:r>
            <w:r w:rsidRPr="004535BE">
              <w:rPr>
                <w:spacing w:val="-5"/>
                <w:sz w:val="12"/>
                <w:szCs w:val="18"/>
              </w:rPr>
              <w:t xml:space="preserve"> </w:t>
            </w:r>
            <w:r w:rsidRPr="004535BE">
              <w:rPr>
                <w:sz w:val="12"/>
                <w:szCs w:val="18"/>
              </w:rPr>
              <w:t>(RONS)</w:t>
            </w:r>
            <w:r w:rsidRPr="004535BE">
              <w:rPr>
                <w:spacing w:val="-6"/>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6"/>
                <w:sz w:val="12"/>
                <w:szCs w:val="18"/>
              </w:rPr>
              <w:t xml:space="preserve"> </w:t>
            </w:r>
            <w:r w:rsidRPr="004535BE">
              <w:rPr>
                <w:sz w:val="12"/>
                <w:szCs w:val="18"/>
              </w:rPr>
              <w:t>increased</w:t>
            </w:r>
            <w:r w:rsidRPr="004535BE">
              <w:rPr>
                <w:spacing w:val="-5"/>
                <w:sz w:val="12"/>
                <w:szCs w:val="18"/>
              </w:rPr>
              <w:t xml:space="preserve"> </w:t>
            </w:r>
            <w:r w:rsidRPr="004535BE">
              <w:rPr>
                <w:sz w:val="12"/>
                <w:szCs w:val="18"/>
              </w:rPr>
              <w:t>risk</w:t>
            </w:r>
            <w:r w:rsidRPr="004535BE">
              <w:rPr>
                <w:spacing w:val="-7"/>
                <w:sz w:val="12"/>
                <w:szCs w:val="18"/>
              </w:rPr>
              <w:t xml:space="preserve"> </w:t>
            </w:r>
            <w:r w:rsidRPr="004535BE">
              <w:rPr>
                <w:sz w:val="12"/>
                <w:szCs w:val="18"/>
              </w:rPr>
              <w:t>of</w:t>
            </w:r>
            <w:r w:rsidRPr="004535BE">
              <w:rPr>
                <w:spacing w:val="-5"/>
                <w:sz w:val="12"/>
                <w:szCs w:val="18"/>
              </w:rPr>
              <w:t xml:space="preserve"> </w:t>
            </w:r>
            <w:r w:rsidRPr="004535BE">
              <w:rPr>
                <w:spacing w:val="-2"/>
                <w:sz w:val="12"/>
                <w:szCs w:val="18"/>
              </w:rPr>
              <w:t>breast</w:t>
            </w:r>
            <w:r w:rsidRPr="004535BE">
              <w:rPr>
                <w:sz w:val="12"/>
                <w:szCs w:val="18"/>
              </w:rPr>
              <w:t xml:space="preserve"> </w:t>
            </w:r>
            <w:r w:rsidRPr="004535BE">
              <w:rPr>
                <w:spacing w:val="-2"/>
                <w:sz w:val="12"/>
                <w:szCs w:val="18"/>
              </w:rPr>
              <w:t>cancer</w:t>
            </w:r>
          </w:p>
        </w:tc>
        <w:tc>
          <w:tcPr>
            <w:tcW w:w="1304" w:type="dxa"/>
            <w:tcBorders>
              <w:top w:val="single" w:sz="8" w:space="0" w:color="5B9BD4"/>
              <w:left w:val="nil"/>
              <w:bottom w:val="single" w:sz="8" w:space="0" w:color="5B9BD4"/>
              <w:right w:val="nil"/>
            </w:tcBorders>
            <w:hideMark/>
          </w:tcPr>
          <w:p w14:paraId="36461A72" w14:textId="1FD04B37"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3A714C20" w14:textId="77777777" w:rsidR="004535BE" w:rsidRPr="00F65A88" w:rsidRDefault="004535BE" w:rsidP="00F65A88">
            <w:pPr>
              <w:pStyle w:val="TableParagraph"/>
              <w:ind w:left="37"/>
              <w:jc w:val="center"/>
              <w:rPr>
                <w:sz w:val="10"/>
                <w:szCs w:val="16"/>
              </w:rPr>
            </w:pPr>
            <w:r w:rsidRPr="00F65A88">
              <w:rPr>
                <w:sz w:val="10"/>
                <w:szCs w:val="16"/>
              </w:rPr>
              <w:t>Under</w:t>
            </w:r>
            <w:r w:rsidRPr="00F65A88">
              <w:rPr>
                <w:spacing w:val="-5"/>
                <w:sz w:val="10"/>
                <w:szCs w:val="16"/>
              </w:rPr>
              <w:t xml:space="preserve"> </w:t>
            </w:r>
            <w:r w:rsidRPr="00F65A88">
              <w:rPr>
                <w:spacing w:val="-2"/>
                <w:sz w:val="10"/>
                <w:szCs w:val="16"/>
              </w:rPr>
              <w:t>development</w:t>
            </w:r>
          </w:p>
        </w:tc>
        <w:tc>
          <w:tcPr>
            <w:tcW w:w="1871" w:type="dxa"/>
            <w:tcBorders>
              <w:top w:val="single" w:sz="8" w:space="0" w:color="5B9BD4"/>
              <w:left w:val="nil"/>
              <w:bottom w:val="single" w:sz="8" w:space="0" w:color="5B9BD4"/>
              <w:right w:val="single" w:sz="8" w:space="0" w:color="5B9BD4"/>
            </w:tcBorders>
            <w:hideMark/>
          </w:tcPr>
          <w:p w14:paraId="278230C2" w14:textId="77777777" w:rsidR="004535BE" w:rsidRPr="004535BE" w:rsidRDefault="00A35340" w:rsidP="00F65A88">
            <w:pPr>
              <w:pStyle w:val="TableParagraph"/>
              <w:ind w:left="143"/>
              <w:jc w:val="center"/>
              <w:rPr>
                <w:sz w:val="14"/>
                <w:szCs w:val="20"/>
              </w:rPr>
            </w:pPr>
            <w:hyperlink r:id="rId51" w:history="1">
              <w:r w:rsidR="004535BE" w:rsidRPr="004535BE">
                <w:rPr>
                  <w:rStyle w:val="Lienhypertexte"/>
                  <w:spacing w:val="-2"/>
                  <w:sz w:val="14"/>
                  <w:szCs w:val="20"/>
                </w:rPr>
                <w:t>https://aopwiki.org/aops/294</w:t>
              </w:r>
            </w:hyperlink>
          </w:p>
        </w:tc>
      </w:tr>
      <w:tr w:rsidR="004535BE" w14:paraId="31ABA351"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20E190B1" w14:textId="77777777" w:rsidR="004535BE" w:rsidRPr="004535BE" w:rsidRDefault="004535BE" w:rsidP="00F65A88">
            <w:pPr>
              <w:pStyle w:val="TableParagraph"/>
              <w:ind w:right="4"/>
              <w:jc w:val="center"/>
              <w:rPr>
                <w:sz w:val="14"/>
                <w:szCs w:val="20"/>
              </w:rPr>
            </w:pPr>
            <w:r w:rsidRPr="004535BE">
              <w:rPr>
                <w:spacing w:val="-5"/>
                <w:sz w:val="14"/>
                <w:szCs w:val="20"/>
              </w:rPr>
              <w:t>296</w:t>
            </w:r>
          </w:p>
        </w:tc>
        <w:tc>
          <w:tcPr>
            <w:tcW w:w="4762" w:type="dxa"/>
            <w:tcBorders>
              <w:top w:val="single" w:sz="8" w:space="0" w:color="5B9BD4"/>
              <w:left w:val="nil"/>
              <w:bottom w:val="single" w:sz="8" w:space="0" w:color="5B9BD4"/>
              <w:right w:val="nil"/>
            </w:tcBorders>
            <w:vAlign w:val="center"/>
            <w:hideMark/>
          </w:tcPr>
          <w:p w14:paraId="08789DB6" w14:textId="77777777" w:rsidR="004535BE" w:rsidRPr="004535BE" w:rsidRDefault="004535BE" w:rsidP="00F65A88">
            <w:pPr>
              <w:pStyle w:val="TableParagraph"/>
              <w:ind w:right="33"/>
              <w:jc w:val="center"/>
              <w:rPr>
                <w:sz w:val="12"/>
                <w:szCs w:val="18"/>
              </w:rPr>
            </w:pPr>
            <w:r w:rsidRPr="004535BE">
              <w:rPr>
                <w:sz w:val="12"/>
                <w:szCs w:val="18"/>
              </w:rPr>
              <w:t>Oxidative</w:t>
            </w:r>
            <w:r w:rsidRPr="004535BE">
              <w:rPr>
                <w:spacing w:val="-6"/>
                <w:sz w:val="12"/>
                <w:szCs w:val="18"/>
              </w:rPr>
              <w:t xml:space="preserve"> </w:t>
            </w:r>
            <w:r w:rsidRPr="004535BE">
              <w:rPr>
                <w:sz w:val="12"/>
                <w:szCs w:val="18"/>
              </w:rPr>
              <w:t>DNA</w:t>
            </w:r>
            <w:r w:rsidRPr="004535BE">
              <w:rPr>
                <w:spacing w:val="-5"/>
                <w:sz w:val="12"/>
                <w:szCs w:val="18"/>
              </w:rPr>
              <w:t xml:space="preserve"> </w:t>
            </w:r>
            <w:r w:rsidRPr="004535BE">
              <w:rPr>
                <w:sz w:val="12"/>
                <w:szCs w:val="18"/>
              </w:rPr>
              <w:t>damage</w:t>
            </w:r>
            <w:r w:rsidRPr="004535BE">
              <w:rPr>
                <w:spacing w:val="-5"/>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6"/>
                <w:sz w:val="12"/>
                <w:szCs w:val="18"/>
              </w:rPr>
              <w:t xml:space="preserve"> </w:t>
            </w:r>
            <w:r w:rsidRPr="004535BE">
              <w:rPr>
                <w:sz w:val="12"/>
                <w:szCs w:val="18"/>
              </w:rPr>
              <w:t>chromosomal</w:t>
            </w:r>
            <w:r w:rsidRPr="004535BE">
              <w:rPr>
                <w:spacing w:val="-6"/>
                <w:sz w:val="12"/>
                <w:szCs w:val="18"/>
              </w:rPr>
              <w:t xml:space="preserve"> </w:t>
            </w:r>
            <w:r w:rsidRPr="004535BE">
              <w:rPr>
                <w:sz w:val="12"/>
                <w:szCs w:val="18"/>
              </w:rPr>
              <w:t>aberrations</w:t>
            </w:r>
            <w:r w:rsidRPr="004535BE">
              <w:rPr>
                <w:spacing w:val="-6"/>
                <w:sz w:val="12"/>
                <w:szCs w:val="18"/>
              </w:rPr>
              <w:t xml:space="preserve"> </w:t>
            </w:r>
            <w:r w:rsidRPr="004535BE">
              <w:rPr>
                <w:sz w:val="12"/>
                <w:szCs w:val="18"/>
              </w:rPr>
              <w:t>and</w:t>
            </w:r>
            <w:r w:rsidRPr="004535BE">
              <w:rPr>
                <w:spacing w:val="-5"/>
                <w:sz w:val="12"/>
                <w:szCs w:val="18"/>
              </w:rPr>
              <w:t xml:space="preserve"> </w:t>
            </w:r>
            <w:r w:rsidRPr="004535BE">
              <w:rPr>
                <w:spacing w:val="-2"/>
                <w:sz w:val="12"/>
                <w:szCs w:val="18"/>
              </w:rPr>
              <w:t>mutations</w:t>
            </w:r>
          </w:p>
        </w:tc>
        <w:tc>
          <w:tcPr>
            <w:tcW w:w="1304" w:type="dxa"/>
            <w:tcBorders>
              <w:top w:val="single" w:sz="8" w:space="0" w:color="5B9BD4"/>
              <w:left w:val="nil"/>
              <w:bottom w:val="single" w:sz="8" w:space="0" w:color="5B9BD4"/>
              <w:right w:val="nil"/>
            </w:tcBorders>
            <w:hideMark/>
          </w:tcPr>
          <w:p w14:paraId="16470691" w14:textId="46133709"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3DD3AC09" w14:textId="77777777" w:rsidR="004535BE" w:rsidRPr="00F65A88" w:rsidRDefault="004535BE" w:rsidP="00F65A88">
            <w:pPr>
              <w:pStyle w:val="TableParagraph"/>
              <w:ind w:left="37" w:right="2"/>
              <w:jc w:val="center"/>
              <w:rPr>
                <w:sz w:val="10"/>
                <w:szCs w:val="16"/>
              </w:rPr>
            </w:pPr>
            <w:r w:rsidRPr="00F65A88">
              <w:rPr>
                <w:sz w:val="10"/>
                <w:szCs w:val="16"/>
              </w:rPr>
              <w:t xml:space="preserve">WPHA/WNT </w:t>
            </w:r>
            <w:r w:rsidRPr="00F65A88">
              <w:rPr>
                <w:spacing w:val="-2"/>
                <w:sz w:val="10"/>
                <w:szCs w:val="16"/>
              </w:rPr>
              <w:t>Endorsed</w:t>
            </w:r>
          </w:p>
        </w:tc>
        <w:tc>
          <w:tcPr>
            <w:tcW w:w="1871" w:type="dxa"/>
            <w:tcBorders>
              <w:top w:val="single" w:sz="8" w:space="0" w:color="5B9BD4"/>
              <w:left w:val="nil"/>
              <w:bottom w:val="single" w:sz="8" w:space="0" w:color="5B9BD4"/>
              <w:right w:val="single" w:sz="8" w:space="0" w:color="5B9BD4"/>
            </w:tcBorders>
            <w:hideMark/>
          </w:tcPr>
          <w:p w14:paraId="7C7BBA6B" w14:textId="77777777" w:rsidR="004535BE" w:rsidRPr="004535BE" w:rsidRDefault="00A35340" w:rsidP="00F65A88">
            <w:pPr>
              <w:pStyle w:val="TableParagraph"/>
              <w:ind w:left="143"/>
              <w:jc w:val="center"/>
              <w:rPr>
                <w:sz w:val="14"/>
                <w:szCs w:val="20"/>
              </w:rPr>
            </w:pPr>
            <w:hyperlink r:id="rId52" w:history="1">
              <w:r w:rsidR="004535BE" w:rsidRPr="004535BE">
                <w:rPr>
                  <w:rStyle w:val="Lienhypertexte"/>
                  <w:spacing w:val="-2"/>
                  <w:sz w:val="14"/>
                  <w:szCs w:val="20"/>
                </w:rPr>
                <w:t>https://aopwiki.org/aops/296</w:t>
              </w:r>
            </w:hyperlink>
          </w:p>
        </w:tc>
      </w:tr>
      <w:tr w:rsidR="004535BE" w14:paraId="420DBAC2"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20A52B6D" w14:textId="77777777" w:rsidR="004535BE" w:rsidRPr="004535BE" w:rsidRDefault="004535BE" w:rsidP="00F65A88">
            <w:pPr>
              <w:pStyle w:val="TableParagraph"/>
              <w:ind w:right="4"/>
              <w:jc w:val="center"/>
              <w:rPr>
                <w:sz w:val="14"/>
                <w:szCs w:val="20"/>
              </w:rPr>
            </w:pPr>
            <w:r w:rsidRPr="004535BE">
              <w:rPr>
                <w:spacing w:val="-5"/>
                <w:sz w:val="14"/>
                <w:szCs w:val="20"/>
              </w:rPr>
              <w:t>322</w:t>
            </w:r>
          </w:p>
        </w:tc>
        <w:tc>
          <w:tcPr>
            <w:tcW w:w="4762" w:type="dxa"/>
            <w:tcBorders>
              <w:top w:val="single" w:sz="8" w:space="0" w:color="5B9BD4"/>
              <w:left w:val="nil"/>
              <w:bottom w:val="single" w:sz="8" w:space="0" w:color="5B9BD4"/>
              <w:right w:val="nil"/>
            </w:tcBorders>
            <w:vAlign w:val="center"/>
            <w:hideMark/>
          </w:tcPr>
          <w:p w14:paraId="7B7FB5A2" w14:textId="77777777" w:rsidR="004535BE" w:rsidRPr="004535BE" w:rsidRDefault="004535BE" w:rsidP="00F65A88">
            <w:pPr>
              <w:pStyle w:val="TableParagraph"/>
              <w:ind w:left="2" w:right="33"/>
              <w:jc w:val="center"/>
              <w:rPr>
                <w:sz w:val="12"/>
                <w:szCs w:val="18"/>
              </w:rPr>
            </w:pPr>
            <w:r w:rsidRPr="004535BE">
              <w:rPr>
                <w:sz w:val="12"/>
                <w:szCs w:val="18"/>
              </w:rPr>
              <w:t>Alkylation</w:t>
            </w:r>
            <w:r w:rsidRPr="004535BE">
              <w:rPr>
                <w:spacing w:val="-6"/>
                <w:sz w:val="12"/>
                <w:szCs w:val="18"/>
              </w:rPr>
              <w:t xml:space="preserve"> </w:t>
            </w:r>
            <w:r w:rsidRPr="004535BE">
              <w:rPr>
                <w:sz w:val="12"/>
                <w:szCs w:val="18"/>
              </w:rPr>
              <w:t>of</w:t>
            </w:r>
            <w:r w:rsidRPr="004535BE">
              <w:rPr>
                <w:spacing w:val="-5"/>
                <w:sz w:val="12"/>
                <w:szCs w:val="18"/>
              </w:rPr>
              <w:t xml:space="preserve"> </w:t>
            </w:r>
            <w:r w:rsidRPr="004535BE">
              <w:rPr>
                <w:sz w:val="12"/>
                <w:szCs w:val="18"/>
              </w:rPr>
              <w:t>DNA</w:t>
            </w:r>
            <w:r w:rsidRPr="004535BE">
              <w:rPr>
                <w:spacing w:val="-5"/>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5"/>
                <w:sz w:val="12"/>
                <w:szCs w:val="18"/>
              </w:rPr>
              <w:t xml:space="preserve"> </w:t>
            </w:r>
            <w:r w:rsidRPr="004535BE">
              <w:rPr>
                <w:sz w:val="12"/>
                <w:szCs w:val="18"/>
              </w:rPr>
              <w:t>reduced</w:t>
            </w:r>
            <w:r w:rsidRPr="004535BE">
              <w:rPr>
                <w:spacing w:val="-6"/>
                <w:sz w:val="12"/>
                <w:szCs w:val="18"/>
              </w:rPr>
              <w:t xml:space="preserve"> </w:t>
            </w:r>
            <w:r w:rsidRPr="004535BE">
              <w:rPr>
                <w:sz w:val="12"/>
                <w:szCs w:val="18"/>
              </w:rPr>
              <w:t>sperm</w:t>
            </w:r>
            <w:r w:rsidRPr="004535BE">
              <w:rPr>
                <w:spacing w:val="-3"/>
                <w:sz w:val="12"/>
                <w:szCs w:val="18"/>
              </w:rPr>
              <w:t xml:space="preserve"> </w:t>
            </w:r>
            <w:r w:rsidRPr="004535BE">
              <w:rPr>
                <w:spacing w:val="-2"/>
                <w:sz w:val="12"/>
                <w:szCs w:val="18"/>
              </w:rPr>
              <w:t>count</w:t>
            </w:r>
          </w:p>
        </w:tc>
        <w:tc>
          <w:tcPr>
            <w:tcW w:w="1304" w:type="dxa"/>
            <w:tcBorders>
              <w:top w:val="single" w:sz="8" w:space="0" w:color="5B9BD4"/>
              <w:left w:val="nil"/>
              <w:bottom w:val="single" w:sz="8" w:space="0" w:color="5B9BD4"/>
              <w:right w:val="nil"/>
            </w:tcBorders>
            <w:hideMark/>
          </w:tcPr>
          <w:p w14:paraId="6D67FB2A" w14:textId="4900F3E5" w:rsidR="004535BE" w:rsidRPr="00F65A88" w:rsidRDefault="004535BE" w:rsidP="00F65A88">
            <w:pPr>
              <w:pStyle w:val="TableParagraph"/>
              <w:ind w:left="3" w:right="114"/>
              <w:jc w:val="center"/>
              <w:rPr>
                <w:sz w:val="10"/>
                <w:szCs w:val="16"/>
              </w:rPr>
            </w:pPr>
            <w:r w:rsidRPr="00F65A88">
              <w:rPr>
                <w:spacing w:val="-10"/>
                <w:sz w:val="10"/>
                <w:szCs w:val="16"/>
              </w:rPr>
              <w:t>x</w:t>
            </w:r>
          </w:p>
        </w:tc>
        <w:tc>
          <w:tcPr>
            <w:tcW w:w="1077" w:type="dxa"/>
            <w:tcBorders>
              <w:top w:val="single" w:sz="8" w:space="0" w:color="5B9BD4"/>
              <w:left w:val="nil"/>
              <w:bottom w:val="single" w:sz="8" w:space="0" w:color="5B9BD4"/>
              <w:right w:val="nil"/>
            </w:tcBorders>
            <w:hideMark/>
          </w:tcPr>
          <w:p w14:paraId="491B6914" w14:textId="77777777" w:rsidR="004535BE" w:rsidRPr="00F65A88" w:rsidRDefault="004535BE" w:rsidP="00F65A88">
            <w:pPr>
              <w:pStyle w:val="TableParagraph"/>
              <w:ind w:left="37" w:right="4"/>
              <w:jc w:val="center"/>
              <w:rPr>
                <w:sz w:val="10"/>
                <w:szCs w:val="16"/>
              </w:rPr>
            </w:pPr>
            <w:r w:rsidRPr="00F65A88">
              <w:rPr>
                <w:spacing w:val="-10"/>
                <w:sz w:val="10"/>
                <w:szCs w:val="16"/>
              </w:rPr>
              <w:t>x</w:t>
            </w:r>
          </w:p>
        </w:tc>
        <w:tc>
          <w:tcPr>
            <w:tcW w:w="1871" w:type="dxa"/>
            <w:tcBorders>
              <w:top w:val="single" w:sz="8" w:space="0" w:color="5B9BD4"/>
              <w:left w:val="nil"/>
              <w:bottom w:val="single" w:sz="8" w:space="0" w:color="5B9BD4"/>
              <w:right w:val="single" w:sz="8" w:space="0" w:color="5B9BD4"/>
            </w:tcBorders>
            <w:hideMark/>
          </w:tcPr>
          <w:p w14:paraId="3B9AF09E" w14:textId="77777777" w:rsidR="004535BE" w:rsidRPr="004535BE" w:rsidRDefault="00A35340" w:rsidP="00F65A88">
            <w:pPr>
              <w:pStyle w:val="TableParagraph"/>
              <w:ind w:left="143"/>
              <w:jc w:val="center"/>
              <w:rPr>
                <w:sz w:val="14"/>
                <w:szCs w:val="20"/>
              </w:rPr>
            </w:pPr>
            <w:hyperlink r:id="rId53" w:history="1">
              <w:r w:rsidR="004535BE" w:rsidRPr="004535BE">
                <w:rPr>
                  <w:rStyle w:val="Lienhypertexte"/>
                  <w:spacing w:val="-2"/>
                  <w:sz w:val="14"/>
                  <w:szCs w:val="20"/>
                </w:rPr>
                <w:t>https://aopwiki.org/aops/322</w:t>
              </w:r>
            </w:hyperlink>
          </w:p>
        </w:tc>
      </w:tr>
      <w:tr w:rsidR="004535BE" w14:paraId="19D22E5B"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23C28AC1" w14:textId="77777777" w:rsidR="004535BE" w:rsidRPr="004535BE" w:rsidRDefault="004535BE" w:rsidP="00F65A88">
            <w:pPr>
              <w:pStyle w:val="TableParagraph"/>
              <w:ind w:right="4"/>
              <w:jc w:val="center"/>
              <w:rPr>
                <w:sz w:val="14"/>
                <w:szCs w:val="20"/>
              </w:rPr>
            </w:pPr>
            <w:r w:rsidRPr="004535BE">
              <w:rPr>
                <w:spacing w:val="-5"/>
                <w:sz w:val="14"/>
                <w:szCs w:val="20"/>
              </w:rPr>
              <w:t>331</w:t>
            </w:r>
          </w:p>
        </w:tc>
        <w:tc>
          <w:tcPr>
            <w:tcW w:w="4762" w:type="dxa"/>
            <w:tcBorders>
              <w:top w:val="single" w:sz="8" w:space="0" w:color="5B9BD4"/>
              <w:left w:val="nil"/>
              <w:bottom w:val="single" w:sz="8" w:space="0" w:color="5B9BD4"/>
              <w:right w:val="nil"/>
            </w:tcBorders>
            <w:vAlign w:val="center"/>
            <w:hideMark/>
          </w:tcPr>
          <w:p w14:paraId="7951E5A0" w14:textId="77777777" w:rsidR="004535BE" w:rsidRPr="004535BE" w:rsidRDefault="004535BE" w:rsidP="00F65A88">
            <w:pPr>
              <w:pStyle w:val="TableParagraph"/>
              <w:ind w:right="33"/>
              <w:jc w:val="center"/>
              <w:rPr>
                <w:sz w:val="12"/>
                <w:szCs w:val="18"/>
              </w:rPr>
            </w:pPr>
            <w:r w:rsidRPr="004535BE">
              <w:rPr>
                <w:sz w:val="12"/>
                <w:szCs w:val="18"/>
              </w:rPr>
              <w:t>Formation</w:t>
            </w:r>
            <w:r w:rsidRPr="004535BE">
              <w:rPr>
                <w:spacing w:val="-7"/>
                <w:sz w:val="12"/>
                <w:szCs w:val="18"/>
              </w:rPr>
              <w:t xml:space="preserve"> </w:t>
            </w:r>
            <w:r w:rsidRPr="004535BE">
              <w:rPr>
                <w:sz w:val="12"/>
                <w:szCs w:val="18"/>
              </w:rPr>
              <w:t>of</w:t>
            </w:r>
            <w:r w:rsidRPr="004535BE">
              <w:rPr>
                <w:spacing w:val="-6"/>
                <w:sz w:val="12"/>
                <w:szCs w:val="18"/>
              </w:rPr>
              <w:t xml:space="preserve"> </w:t>
            </w:r>
            <w:r w:rsidRPr="004535BE">
              <w:rPr>
                <w:sz w:val="12"/>
                <w:szCs w:val="18"/>
              </w:rPr>
              <w:t>DNA</w:t>
            </w:r>
            <w:r w:rsidRPr="004535BE">
              <w:rPr>
                <w:spacing w:val="-6"/>
                <w:sz w:val="12"/>
                <w:szCs w:val="18"/>
              </w:rPr>
              <w:t xml:space="preserve"> </w:t>
            </w:r>
            <w:r w:rsidRPr="004535BE">
              <w:rPr>
                <w:sz w:val="12"/>
                <w:szCs w:val="18"/>
              </w:rPr>
              <w:t>photoproducts</w:t>
            </w:r>
            <w:r w:rsidRPr="004535BE">
              <w:rPr>
                <w:spacing w:val="-6"/>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7"/>
                <w:sz w:val="12"/>
                <w:szCs w:val="18"/>
              </w:rPr>
              <w:t xml:space="preserve"> </w:t>
            </w:r>
            <w:r w:rsidRPr="004535BE">
              <w:rPr>
                <w:sz w:val="12"/>
                <w:szCs w:val="18"/>
              </w:rPr>
              <w:t>growth</w:t>
            </w:r>
            <w:r w:rsidRPr="004535BE">
              <w:rPr>
                <w:spacing w:val="-6"/>
                <w:sz w:val="12"/>
                <w:szCs w:val="18"/>
              </w:rPr>
              <w:t xml:space="preserve"> </w:t>
            </w:r>
            <w:r w:rsidRPr="004535BE">
              <w:rPr>
                <w:sz w:val="12"/>
                <w:szCs w:val="18"/>
              </w:rPr>
              <w:t>inhibition</w:t>
            </w:r>
            <w:r w:rsidRPr="004535BE">
              <w:rPr>
                <w:spacing w:val="-6"/>
                <w:sz w:val="12"/>
                <w:szCs w:val="18"/>
              </w:rPr>
              <w:t xml:space="preserve"> </w:t>
            </w:r>
            <w:r w:rsidRPr="004535BE">
              <w:rPr>
                <w:spacing w:val="-5"/>
                <w:sz w:val="12"/>
                <w:szCs w:val="18"/>
              </w:rPr>
              <w:t>(1)</w:t>
            </w:r>
          </w:p>
        </w:tc>
        <w:tc>
          <w:tcPr>
            <w:tcW w:w="1304" w:type="dxa"/>
            <w:tcBorders>
              <w:top w:val="single" w:sz="8" w:space="0" w:color="5B9BD4"/>
              <w:left w:val="nil"/>
              <w:bottom w:val="single" w:sz="8" w:space="0" w:color="5B9BD4"/>
              <w:right w:val="nil"/>
            </w:tcBorders>
            <w:hideMark/>
          </w:tcPr>
          <w:p w14:paraId="55E33152" w14:textId="4DFD6B79" w:rsidR="004535BE" w:rsidRPr="00F65A88" w:rsidRDefault="004535BE" w:rsidP="00F65A88">
            <w:pPr>
              <w:pStyle w:val="TableParagraph"/>
              <w:ind w:left="3" w:right="114"/>
              <w:jc w:val="center"/>
              <w:rPr>
                <w:sz w:val="10"/>
                <w:szCs w:val="16"/>
              </w:rPr>
            </w:pPr>
            <w:r w:rsidRPr="00F65A88">
              <w:rPr>
                <w:spacing w:val="-10"/>
                <w:sz w:val="10"/>
                <w:szCs w:val="16"/>
              </w:rPr>
              <w:t>x</w:t>
            </w:r>
          </w:p>
        </w:tc>
        <w:tc>
          <w:tcPr>
            <w:tcW w:w="1077" w:type="dxa"/>
            <w:tcBorders>
              <w:top w:val="single" w:sz="8" w:space="0" w:color="5B9BD4"/>
              <w:left w:val="nil"/>
              <w:bottom w:val="single" w:sz="8" w:space="0" w:color="5B9BD4"/>
              <w:right w:val="nil"/>
            </w:tcBorders>
            <w:hideMark/>
          </w:tcPr>
          <w:p w14:paraId="07E7FCEC" w14:textId="77777777" w:rsidR="004535BE" w:rsidRPr="00F65A88" w:rsidRDefault="004535BE" w:rsidP="00F65A88">
            <w:pPr>
              <w:pStyle w:val="TableParagraph"/>
              <w:ind w:left="37" w:right="4"/>
              <w:jc w:val="center"/>
              <w:rPr>
                <w:sz w:val="10"/>
                <w:szCs w:val="16"/>
              </w:rPr>
            </w:pPr>
            <w:r w:rsidRPr="00F65A88">
              <w:rPr>
                <w:spacing w:val="-10"/>
                <w:sz w:val="10"/>
                <w:szCs w:val="16"/>
              </w:rPr>
              <w:t>x</w:t>
            </w:r>
          </w:p>
        </w:tc>
        <w:tc>
          <w:tcPr>
            <w:tcW w:w="1871" w:type="dxa"/>
            <w:tcBorders>
              <w:top w:val="single" w:sz="8" w:space="0" w:color="5B9BD4"/>
              <w:left w:val="nil"/>
              <w:bottom w:val="single" w:sz="8" w:space="0" w:color="5B9BD4"/>
              <w:right w:val="single" w:sz="8" w:space="0" w:color="5B9BD4"/>
            </w:tcBorders>
            <w:hideMark/>
          </w:tcPr>
          <w:p w14:paraId="69DE8CF3" w14:textId="77777777" w:rsidR="004535BE" w:rsidRPr="004535BE" w:rsidRDefault="00A35340" w:rsidP="00F65A88">
            <w:pPr>
              <w:pStyle w:val="TableParagraph"/>
              <w:ind w:left="143"/>
              <w:jc w:val="center"/>
              <w:rPr>
                <w:sz w:val="14"/>
                <w:szCs w:val="20"/>
              </w:rPr>
            </w:pPr>
            <w:hyperlink r:id="rId54" w:history="1">
              <w:r w:rsidR="004535BE" w:rsidRPr="004535BE">
                <w:rPr>
                  <w:rStyle w:val="Lienhypertexte"/>
                  <w:spacing w:val="-2"/>
                  <w:sz w:val="14"/>
                  <w:szCs w:val="20"/>
                </w:rPr>
                <w:t>https://aopwiki.org/aops/331</w:t>
              </w:r>
            </w:hyperlink>
          </w:p>
        </w:tc>
      </w:tr>
      <w:tr w:rsidR="004535BE" w14:paraId="5C6D2885"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2F491800" w14:textId="77777777" w:rsidR="004535BE" w:rsidRPr="004535BE" w:rsidRDefault="004535BE" w:rsidP="00F65A88">
            <w:pPr>
              <w:pStyle w:val="TableParagraph"/>
              <w:ind w:right="4"/>
              <w:jc w:val="center"/>
              <w:rPr>
                <w:sz w:val="14"/>
                <w:szCs w:val="20"/>
              </w:rPr>
            </w:pPr>
            <w:r w:rsidRPr="004535BE">
              <w:rPr>
                <w:spacing w:val="-5"/>
                <w:sz w:val="14"/>
                <w:szCs w:val="20"/>
              </w:rPr>
              <w:t>332</w:t>
            </w:r>
          </w:p>
        </w:tc>
        <w:tc>
          <w:tcPr>
            <w:tcW w:w="4762" w:type="dxa"/>
            <w:tcBorders>
              <w:top w:val="single" w:sz="8" w:space="0" w:color="5B9BD4"/>
              <w:left w:val="nil"/>
              <w:bottom w:val="single" w:sz="8" w:space="0" w:color="5B9BD4"/>
              <w:right w:val="nil"/>
            </w:tcBorders>
            <w:vAlign w:val="center"/>
            <w:hideMark/>
          </w:tcPr>
          <w:p w14:paraId="222A81A8" w14:textId="77777777" w:rsidR="004535BE" w:rsidRPr="004535BE" w:rsidRDefault="004535BE" w:rsidP="00F65A88">
            <w:pPr>
              <w:pStyle w:val="TableParagraph"/>
              <w:ind w:right="33"/>
              <w:jc w:val="center"/>
              <w:rPr>
                <w:sz w:val="12"/>
                <w:szCs w:val="18"/>
              </w:rPr>
            </w:pPr>
            <w:r w:rsidRPr="004535BE">
              <w:rPr>
                <w:sz w:val="12"/>
                <w:szCs w:val="18"/>
              </w:rPr>
              <w:t>Formation</w:t>
            </w:r>
            <w:r w:rsidRPr="004535BE">
              <w:rPr>
                <w:spacing w:val="-7"/>
                <w:sz w:val="12"/>
                <w:szCs w:val="18"/>
              </w:rPr>
              <w:t xml:space="preserve"> </w:t>
            </w:r>
            <w:r w:rsidRPr="004535BE">
              <w:rPr>
                <w:sz w:val="12"/>
                <w:szCs w:val="18"/>
              </w:rPr>
              <w:t>of</w:t>
            </w:r>
            <w:r w:rsidRPr="004535BE">
              <w:rPr>
                <w:spacing w:val="-6"/>
                <w:sz w:val="12"/>
                <w:szCs w:val="18"/>
              </w:rPr>
              <w:t xml:space="preserve"> </w:t>
            </w:r>
            <w:r w:rsidRPr="004535BE">
              <w:rPr>
                <w:sz w:val="12"/>
                <w:szCs w:val="18"/>
              </w:rPr>
              <w:t>DNA</w:t>
            </w:r>
            <w:r w:rsidRPr="004535BE">
              <w:rPr>
                <w:spacing w:val="-6"/>
                <w:sz w:val="12"/>
                <w:szCs w:val="18"/>
              </w:rPr>
              <w:t xml:space="preserve"> </w:t>
            </w:r>
            <w:r w:rsidRPr="004535BE">
              <w:rPr>
                <w:sz w:val="12"/>
                <w:szCs w:val="18"/>
              </w:rPr>
              <w:t>photoproducts</w:t>
            </w:r>
            <w:r w:rsidRPr="004535BE">
              <w:rPr>
                <w:spacing w:val="-6"/>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7"/>
                <w:sz w:val="12"/>
                <w:szCs w:val="18"/>
              </w:rPr>
              <w:t xml:space="preserve"> </w:t>
            </w:r>
            <w:r w:rsidRPr="004535BE">
              <w:rPr>
                <w:sz w:val="12"/>
                <w:szCs w:val="18"/>
              </w:rPr>
              <w:t>growth</w:t>
            </w:r>
            <w:r w:rsidRPr="004535BE">
              <w:rPr>
                <w:spacing w:val="-6"/>
                <w:sz w:val="12"/>
                <w:szCs w:val="18"/>
              </w:rPr>
              <w:t xml:space="preserve"> </w:t>
            </w:r>
            <w:r w:rsidRPr="004535BE">
              <w:rPr>
                <w:sz w:val="12"/>
                <w:szCs w:val="18"/>
              </w:rPr>
              <w:t>inhibition</w:t>
            </w:r>
            <w:r w:rsidRPr="004535BE">
              <w:rPr>
                <w:spacing w:val="-6"/>
                <w:sz w:val="12"/>
                <w:szCs w:val="18"/>
              </w:rPr>
              <w:t xml:space="preserve"> </w:t>
            </w:r>
            <w:r w:rsidRPr="004535BE">
              <w:rPr>
                <w:spacing w:val="-5"/>
                <w:sz w:val="12"/>
                <w:szCs w:val="18"/>
              </w:rPr>
              <w:t>(2)</w:t>
            </w:r>
          </w:p>
        </w:tc>
        <w:tc>
          <w:tcPr>
            <w:tcW w:w="1304" w:type="dxa"/>
            <w:tcBorders>
              <w:top w:val="single" w:sz="8" w:space="0" w:color="5B9BD4"/>
              <w:left w:val="nil"/>
              <w:bottom w:val="single" w:sz="8" w:space="0" w:color="5B9BD4"/>
              <w:right w:val="nil"/>
            </w:tcBorders>
            <w:hideMark/>
          </w:tcPr>
          <w:p w14:paraId="53BCD2B6" w14:textId="3A023AA0" w:rsidR="004535BE" w:rsidRPr="00F65A88" w:rsidRDefault="004535BE" w:rsidP="00F65A88">
            <w:pPr>
              <w:pStyle w:val="TableParagraph"/>
              <w:ind w:left="3" w:right="114"/>
              <w:jc w:val="center"/>
              <w:rPr>
                <w:sz w:val="10"/>
                <w:szCs w:val="16"/>
              </w:rPr>
            </w:pPr>
            <w:r w:rsidRPr="00F65A88">
              <w:rPr>
                <w:spacing w:val="-10"/>
                <w:sz w:val="10"/>
                <w:szCs w:val="16"/>
              </w:rPr>
              <w:t>x</w:t>
            </w:r>
          </w:p>
        </w:tc>
        <w:tc>
          <w:tcPr>
            <w:tcW w:w="1077" w:type="dxa"/>
            <w:tcBorders>
              <w:top w:val="single" w:sz="8" w:space="0" w:color="5B9BD4"/>
              <w:left w:val="nil"/>
              <w:bottom w:val="single" w:sz="8" w:space="0" w:color="5B9BD4"/>
              <w:right w:val="nil"/>
            </w:tcBorders>
            <w:hideMark/>
          </w:tcPr>
          <w:p w14:paraId="0DEC714D" w14:textId="77777777" w:rsidR="004535BE" w:rsidRPr="00F65A88" w:rsidRDefault="004535BE" w:rsidP="00F65A88">
            <w:pPr>
              <w:pStyle w:val="TableParagraph"/>
              <w:ind w:left="37" w:right="4"/>
              <w:jc w:val="center"/>
              <w:rPr>
                <w:sz w:val="10"/>
                <w:szCs w:val="16"/>
              </w:rPr>
            </w:pPr>
            <w:r w:rsidRPr="00F65A88">
              <w:rPr>
                <w:spacing w:val="-10"/>
                <w:sz w:val="10"/>
                <w:szCs w:val="16"/>
              </w:rPr>
              <w:t>x</w:t>
            </w:r>
          </w:p>
        </w:tc>
        <w:tc>
          <w:tcPr>
            <w:tcW w:w="1871" w:type="dxa"/>
            <w:tcBorders>
              <w:top w:val="single" w:sz="8" w:space="0" w:color="5B9BD4"/>
              <w:left w:val="nil"/>
              <w:bottom w:val="single" w:sz="8" w:space="0" w:color="5B9BD4"/>
              <w:right w:val="single" w:sz="8" w:space="0" w:color="5B9BD4"/>
            </w:tcBorders>
            <w:hideMark/>
          </w:tcPr>
          <w:p w14:paraId="42C36101" w14:textId="77777777" w:rsidR="004535BE" w:rsidRPr="004535BE" w:rsidRDefault="00A35340" w:rsidP="00F65A88">
            <w:pPr>
              <w:pStyle w:val="TableParagraph"/>
              <w:ind w:left="143"/>
              <w:jc w:val="center"/>
              <w:rPr>
                <w:sz w:val="14"/>
                <w:szCs w:val="20"/>
              </w:rPr>
            </w:pPr>
            <w:hyperlink r:id="rId55" w:history="1">
              <w:r w:rsidR="004535BE" w:rsidRPr="004535BE">
                <w:rPr>
                  <w:rStyle w:val="Lienhypertexte"/>
                  <w:spacing w:val="-2"/>
                  <w:sz w:val="14"/>
                  <w:szCs w:val="20"/>
                </w:rPr>
                <w:t>https://aopwiki.org/aops/332</w:t>
              </w:r>
            </w:hyperlink>
          </w:p>
        </w:tc>
      </w:tr>
      <w:tr w:rsidR="004535BE" w14:paraId="7DDD17B1"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62B86941" w14:textId="77777777" w:rsidR="004535BE" w:rsidRPr="004535BE" w:rsidRDefault="004535BE" w:rsidP="00F65A88">
            <w:pPr>
              <w:pStyle w:val="TableParagraph"/>
              <w:ind w:right="4"/>
              <w:jc w:val="center"/>
              <w:rPr>
                <w:sz w:val="14"/>
                <w:szCs w:val="20"/>
              </w:rPr>
            </w:pPr>
            <w:r w:rsidRPr="004535BE">
              <w:rPr>
                <w:spacing w:val="-5"/>
                <w:sz w:val="14"/>
                <w:szCs w:val="20"/>
              </w:rPr>
              <w:t>333</w:t>
            </w:r>
          </w:p>
        </w:tc>
        <w:tc>
          <w:tcPr>
            <w:tcW w:w="4762" w:type="dxa"/>
            <w:tcBorders>
              <w:top w:val="single" w:sz="8" w:space="0" w:color="5B9BD4"/>
              <w:left w:val="nil"/>
              <w:bottom w:val="single" w:sz="8" w:space="0" w:color="5B9BD4"/>
              <w:right w:val="nil"/>
            </w:tcBorders>
            <w:vAlign w:val="center"/>
            <w:hideMark/>
          </w:tcPr>
          <w:p w14:paraId="57AAD4E1" w14:textId="77777777" w:rsidR="004535BE" w:rsidRPr="004535BE" w:rsidRDefault="004535BE" w:rsidP="00F65A88">
            <w:pPr>
              <w:pStyle w:val="TableParagraph"/>
              <w:ind w:right="33"/>
              <w:jc w:val="center"/>
              <w:rPr>
                <w:sz w:val="12"/>
                <w:szCs w:val="18"/>
              </w:rPr>
            </w:pPr>
            <w:r w:rsidRPr="004535BE">
              <w:rPr>
                <w:sz w:val="12"/>
                <w:szCs w:val="18"/>
              </w:rPr>
              <w:t>Formation</w:t>
            </w:r>
            <w:r w:rsidRPr="004535BE">
              <w:rPr>
                <w:spacing w:val="-7"/>
                <w:sz w:val="12"/>
                <w:szCs w:val="18"/>
              </w:rPr>
              <w:t xml:space="preserve"> </w:t>
            </w:r>
            <w:r w:rsidRPr="004535BE">
              <w:rPr>
                <w:sz w:val="12"/>
                <w:szCs w:val="18"/>
              </w:rPr>
              <w:t>of</w:t>
            </w:r>
            <w:r w:rsidRPr="004535BE">
              <w:rPr>
                <w:spacing w:val="-6"/>
                <w:sz w:val="12"/>
                <w:szCs w:val="18"/>
              </w:rPr>
              <w:t xml:space="preserve"> </w:t>
            </w:r>
            <w:r w:rsidRPr="004535BE">
              <w:rPr>
                <w:sz w:val="12"/>
                <w:szCs w:val="18"/>
              </w:rPr>
              <w:t>DNA</w:t>
            </w:r>
            <w:r w:rsidRPr="004535BE">
              <w:rPr>
                <w:spacing w:val="-6"/>
                <w:sz w:val="12"/>
                <w:szCs w:val="18"/>
              </w:rPr>
              <w:t xml:space="preserve"> </w:t>
            </w:r>
            <w:r w:rsidRPr="004535BE">
              <w:rPr>
                <w:sz w:val="12"/>
                <w:szCs w:val="18"/>
              </w:rPr>
              <w:t>photoproducts</w:t>
            </w:r>
            <w:r w:rsidRPr="004535BE">
              <w:rPr>
                <w:spacing w:val="-6"/>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7"/>
                <w:sz w:val="12"/>
                <w:szCs w:val="18"/>
              </w:rPr>
              <w:t xml:space="preserve"> </w:t>
            </w:r>
            <w:r w:rsidRPr="004535BE">
              <w:rPr>
                <w:sz w:val="12"/>
                <w:szCs w:val="18"/>
              </w:rPr>
              <w:t>growth</w:t>
            </w:r>
            <w:r w:rsidRPr="004535BE">
              <w:rPr>
                <w:spacing w:val="-6"/>
                <w:sz w:val="12"/>
                <w:szCs w:val="18"/>
              </w:rPr>
              <w:t xml:space="preserve"> </w:t>
            </w:r>
            <w:r w:rsidRPr="004535BE">
              <w:rPr>
                <w:sz w:val="12"/>
                <w:szCs w:val="18"/>
              </w:rPr>
              <w:t>inhibition</w:t>
            </w:r>
            <w:r w:rsidRPr="004535BE">
              <w:rPr>
                <w:spacing w:val="-6"/>
                <w:sz w:val="12"/>
                <w:szCs w:val="18"/>
              </w:rPr>
              <w:t xml:space="preserve"> </w:t>
            </w:r>
            <w:r w:rsidRPr="004535BE">
              <w:rPr>
                <w:spacing w:val="-5"/>
                <w:sz w:val="12"/>
                <w:szCs w:val="18"/>
              </w:rPr>
              <w:t>(3)</w:t>
            </w:r>
          </w:p>
        </w:tc>
        <w:tc>
          <w:tcPr>
            <w:tcW w:w="1304" w:type="dxa"/>
            <w:tcBorders>
              <w:top w:val="single" w:sz="8" w:space="0" w:color="5B9BD4"/>
              <w:left w:val="nil"/>
              <w:bottom w:val="single" w:sz="8" w:space="0" w:color="5B9BD4"/>
              <w:right w:val="nil"/>
            </w:tcBorders>
            <w:hideMark/>
          </w:tcPr>
          <w:p w14:paraId="4FB595A7" w14:textId="622EAC2A" w:rsidR="004535BE" w:rsidRPr="00F65A88" w:rsidRDefault="004535BE" w:rsidP="00F65A88">
            <w:pPr>
              <w:pStyle w:val="TableParagraph"/>
              <w:ind w:left="3" w:right="114"/>
              <w:jc w:val="center"/>
              <w:rPr>
                <w:sz w:val="10"/>
                <w:szCs w:val="16"/>
              </w:rPr>
            </w:pPr>
            <w:r w:rsidRPr="00F65A88">
              <w:rPr>
                <w:spacing w:val="-10"/>
                <w:sz w:val="10"/>
                <w:szCs w:val="16"/>
              </w:rPr>
              <w:t>x</w:t>
            </w:r>
          </w:p>
        </w:tc>
        <w:tc>
          <w:tcPr>
            <w:tcW w:w="1077" w:type="dxa"/>
            <w:tcBorders>
              <w:top w:val="single" w:sz="8" w:space="0" w:color="5B9BD4"/>
              <w:left w:val="nil"/>
              <w:bottom w:val="single" w:sz="8" w:space="0" w:color="5B9BD4"/>
              <w:right w:val="nil"/>
            </w:tcBorders>
            <w:hideMark/>
          </w:tcPr>
          <w:p w14:paraId="043B0050" w14:textId="77777777" w:rsidR="004535BE" w:rsidRPr="00F65A88" w:rsidRDefault="004535BE" w:rsidP="00F65A88">
            <w:pPr>
              <w:pStyle w:val="TableParagraph"/>
              <w:ind w:left="37" w:right="4"/>
              <w:jc w:val="center"/>
              <w:rPr>
                <w:sz w:val="10"/>
                <w:szCs w:val="16"/>
              </w:rPr>
            </w:pPr>
            <w:r w:rsidRPr="00F65A88">
              <w:rPr>
                <w:spacing w:val="-10"/>
                <w:sz w:val="10"/>
                <w:szCs w:val="16"/>
              </w:rPr>
              <w:t>x</w:t>
            </w:r>
          </w:p>
        </w:tc>
        <w:tc>
          <w:tcPr>
            <w:tcW w:w="1871" w:type="dxa"/>
            <w:tcBorders>
              <w:top w:val="single" w:sz="8" w:space="0" w:color="5B9BD4"/>
              <w:left w:val="nil"/>
              <w:bottom w:val="single" w:sz="8" w:space="0" w:color="5B9BD4"/>
              <w:right w:val="single" w:sz="8" w:space="0" w:color="5B9BD4"/>
            </w:tcBorders>
            <w:hideMark/>
          </w:tcPr>
          <w:p w14:paraId="6687ABF7" w14:textId="77777777" w:rsidR="004535BE" w:rsidRPr="004535BE" w:rsidRDefault="00A35340" w:rsidP="00F65A88">
            <w:pPr>
              <w:pStyle w:val="TableParagraph"/>
              <w:ind w:left="143"/>
              <w:jc w:val="center"/>
              <w:rPr>
                <w:sz w:val="14"/>
                <w:szCs w:val="20"/>
              </w:rPr>
            </w:pPr>
            <w:hyperlink r:id="rId56" w:history="1">
              <w:r w:rsidR="004535BE" w:rsidRPr="004535BE">
                <w:rPr>
                  <w:rStyle w:val="Lienhypertexte"/>
                  <w:spacing w:val="-2"/>
                  <w:sz w:val="14"/>
                  <w:szCs w:val="20"/>
                </w:rPr>
                <w:t>https://aopwiki.org/aops/333</w:t>
              </w:r>
            </w:hyperlink>
          </w:p>
        </w:tc>
      </w:tr>
      <w:tr w:rsidR="004535BE" w14:paraId="1ED00A6B"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25E2CFE6" w14:textId="77777777" w:rsidR="004535BE" w:rsidRPr="004535BE" w:rsidRDefault="004535BE" w:rsidP="00F65A88">
            <w:pPr>
              <w:pStyle w:val="TableParagraph"/>
              <w:ind w:right="4"/>
              <w:jc w:val="center"/>
              <w:rPr>
                <w:sz w:val="14"/>
                <w:szCs w:val="20"/>
              </w:rPr>
            </w:pPr>
            <w:r w:rsidRPr="004535BE">
              <w:rPr>
                <w:spacing w:val="-5"/>
                <w:sz w:val="14"/>
                <w:szCs w:val="20"/>
              </w:rPr>
              <w:t>397</w:t>
            </w:r>
          </w:p>
        </w:tc>
        <w:tc>
          <w:tcPr>
            <w:tcW w:w="4762" w:type="dxa"/>
            <w:tcBorders>
              <w:top w:val="single" w:sz="8" w:space="0" w:color="5B9BD4"/>
              <w:left w:val="nil"/>
              <w:bottom w:val="single" w:sz="8" w:space="0" w:color="5B9BD4"/>
              <w:right w:val="nil"/>
            </w:tcBorders>
            <w:vAlign w:val="center"/>
            <w:hideMark/>
          </w:tcPr>
          <w:p w14:paraId="094E61EE" w14:textId="77777777" w:rsidR="004535BE" w:rsidRPr="004535BE" w:rsidRDefault="004535BE" w:rsidP="00F65A88">
            <w:pPr>
              <w:pStyle w:val="TableParagraph"/>
              <w:ind w:left="2" w:right="33"/>
              <w:jc w:val="center"/>
              <w:rPr>
                <w:sz w:val="12"/>
                <w:szCs w:val="18"/>
              </w:rPr>
            </w:pPr>
            <w:r w:rsidRPr="004535BE">
              <w:rPr>
                <w:sz w:val="12"/>
                <w:szCs w:val="18"/>
              </w:rPr>
              <w:t>Bulky</w:t>
            </w:r>
            <w:r w:rsidRPr="004535BE">
              <w:rPr>
                <w:spacing w:val="-6"/>
                <w:sz w:val="12"/>
                <w:szCs w:val="18"/>
              </w:rPr>
              <w:t xml:space="preserve"> </w:t>
            </w:r>
            <w:r w:rsidRPr="004535BE">
              <w:rPr>
                <w:sz w:val="12"/>
                <w:szCs w:val="18"/>
              </w:rPr>
              <w:t>DNA</w:t>
            </w:r>
            <w:r w:rsidRPr="004535BE">
              <w:rPr>
                <w:spacing w:val="-4"/>
                <w:sz w:val="12"/>
                <w:szCs w:val="18"/>
              </w:rPr>
              <w:t xml:space="preserve"> </w:t>
            </w:r>
            <w:r w:rsidRPr="004535BE">
              <w:rPr>
                <w:sz w:val="12"/>
                <w:szCs w:val="18"/>
              </w:rPr>
              <w:t>adducts</w:t>
            </w:r>
            <w:r w:rsidRPr="004535BE">
              <w:rPr>
                <w:spacing w:val="-6"/>
                <w:sz w:val="12"/>
                <w:szCs w:val="18"/>
              </w:rPr>
              <w:t xml:space="preserve"> </w:t>
            </w:r>
            <w:r w:rsidRPr="004535BE">
              <w:rPr>
                <w:sz w:val="12"/>
                <w:szCs w:val="18"/>
              </w:rPr>
              <w:t>leading</w:t>
            </w:r>
            <w:r w:rsidRPr="004535BE">
              <w:rPr>
                <w:spacing w:val="-4"/>
                <w:sz w:val="12"/>
                <w:szCs w:val="18"/>
              </w:rPr>
              <w:t xml:space="preserve"> </w:t>
            </w:r>
            <w:r w:rsidRPr="004535BE">
              <w:rPr>
                <w:sz w:val="12"/>
                <w:szCs w:val="18"/>
              </w:rPr>
              <w:t>to</w:t>
            </w:r>
            <w:r w:rsidRPr="004535BE">
              <w:rPr>
                <w:spacing w:val="-5"/>
                <w:sz w:val="12"/>
                <w:szCs w:val="18"/>
              </w:rPr>
              <w:t xml:space="preserve"> </w:t>
            </w:r>
            <w:r w:rsidRPr="004535BE">
              <w:rPr>
                <w:spacing w:val="-2"/>
                <w:sz w:val="12"/>
                <w:szCs w:val="18"/>
              </w:rPr>
              <w:t>mutations</w:t>
            </w:r>
          </w:p>
        </w:tc>
        <w:tc>
          <w:tcPr>
            <w:tcW w:w="1304" w:type="dxa"/>
            <w:tcBorders>
              <w:top w:val="single" w:sz="8" w:space="0" w:color="5B9BD4"/>
              <w:left w:val="nil"/>
              <w:bottom w:val="single" w:sz="8" w:space="0" w:color="5B9BD4"/>
              <w:right w:val="nil"/>
            </w:tcBorders>
            <w:hideMark/>
          </w:tcPr>
          <w:p w14:paraId="1F0FA3DB" w14:textId="2A2F4D39"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360DCB78" w14:textId="77777777" w:rsidR="004535BE" w:rsidRPr="00F65A88" w:rsidRDefault="004535BE" w:rsidP="00F65A88">
            <w:pPr>
              <w:pStyle w:val="TableParagraph"/>
              <w:ind w:left="37"/>
              <w:jc w:val="center"/>
              <w:rPr>
                <w:sz w:val="10"/>
                <w:szCs w:val="16"/>
              </w:rPr>
            </w:pPr>
            <w:r w:rsidRPr="00F65A88">
              <w:rPr>
                <w:sz w:val="10"/>
                <w:szCs w:val="16"/>
              </w:rPr>
              <w:t>Under</w:t>
            </w:r>
            <w:r w:rsidRPr="00F65A88">
              <w:rPr>
                <w:spacing w:val="-5"/>
                <w:sz w:val="10"/>
                <w:szCs w:val="16"/>
              </w:rPr>
              <w:t xml:space="preserve"> </w:t>
            </w:r>
            <w:r w:rsidRPr="00F65A88">
              <w:rPr>
                <w:spacing w:val="-2"/>
                <w:sz w:val="10"/>
                <w:szCs w:val="16"/>
              </w:rPr>
              <w:t>development</w:t>
            </w:r>
          </w:p>
        </w:tc>
        <w:tc>
          <w:tcPr>
            <w:tcW w:w="1871" w:type="dxa"/>
            <w:tcBorders>
              <w:top w:val="single" w:sz="8" w:space="0" w:color="5B9BD4"/>
              <w:left w:val="nil"/>
              <w:bottom w:val="single" w:sz="8" w:space="0" w:color="5B9BD4"/>
              <w:right w:val="single" w:sz="8" w:space="0" w:color="5B9BD4"/>
            </w:tcBorders>
            <w:hideMark/>
          </w:tcPr>
          <w:p w14:paraId="4A439C4D" w14:textId="77777777" w:rsidR="004535BE" w:rsidRPr="004535BE" w:rsidRDefault="00A35340" w:rsidP="00F65A88">
            <w:pPr>
              <w:pStyle w:val="TableParagraph"/>
              <w:ind w:left="143"/>
              <w:jc w:val="center"/>
              <w:rPr>
                <w:sz w:val="14"/>
                <w:szCs w:val="20"/>
              </w:rPr>
            </w:pPr>
            <w:hyperlink r:id="rId57" w:history="1">
              <w:r w:rsidR="004535BE" w:rsidRPr="004535BE">
                <w:rPr>
                  <w:rStyle w:val="Lienhypertexte"/>
                  <w:spacing w:val="-2"/>
                  <w:sz w:val="14"/>
                  <w:szCs w:val="20"/>
                </w:rPr>
                <w:t>https://aopwiki.org/aops/397</w:t>
              </w:r>
            </w:hyperlink>
          </w:p>
        </w:tc>
      </w:tr>
      <w:tr w:rsidR="004535BE" w14:paraId="14378871"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2E2C798C" w14:textId="77777777" w:rsidR="004535BE" w:rsidRPr="004535BE" w:rsidRDefault="004535BE" w:rsidP="00F65A88">
            <w:pPr>
              <w:pStyle w:val="TableParagraph"/>
              <w:spacing w:before="112"/>
              <w:ind w:right="4"/>
              <w:jc w:val="center"/>
              <w:rPr>
                <w:sz w:val="14"/>
                <w:szCs w:val="20"/>
              </w:rPr>
            </w:pPr>
            <w:r w:rsidRPr="004535BE">
              <w:rPr>
                <w:spacing w:val="-5"/>
                <w:sz w:val="14"/>
                <w:szCs w:val="20"/>
              </w:rPr>
              <w:t>441</w:t>
            </w:r>
          </w:p>
        </w:tc>
        <w:tc>
          <w:tcPr>
            <w:tcW w:w="4762" w:type="dxa"/>
            <w:tcBorders>
              <w:top w:val="single" w:sz="8" w:space="0" w:color="5B9BD4"/>
              <w:left w:val="nil"/>
              <w:bottom w:val="single" w:sz="8" w:space="0" w:color="5B9BD4"/>
              <w:right w:val="nil"/>
            </w:tcBorders>
            <w:vAlign w:val="center"/>
            <w:hideMark/>
          </w:tcPr>
          <w:p w14:paraId="7B3FBF0E" w14:textId="77777777" w:rsidR="004535BE" w:rsidRPr="004535BE" w:rsidRDefault="004535BE" w:rsidP="00F65A88">
            <w:pPr>
              <w:pStyle w:val="TableParagraph"/>
              <w:spacing w:before="112"/>
              <w:ind w:left="4" w:right="33"/>
              <w:jc w:val="center"/>
              <w:rPr>
                <w:sz w:val="12"/>
                <w:szCs w:val="18"/>
              </w:rPr>
            </w:pPr>
            <w:r w:rsidRPr="004535BE">
              <w:rPr>
                <w:spacing w:val="-2"/>
                <w:sz w:val="12"/>
                <w:szCs w:val="18"/>
              </w:rPr>
              <w:t>Radiation-induced</w:t>
            </w:r>
            <w:r w:rsidRPr="004535BE">
              <w:rPr>
                <w:spacing w:val="18"/>
                <w:sz w:val="12"/>
                <w:szCs w:val="18"/>
              </w:rPr>
              <w:t xml:space="preserve"> </w:t>
            </w:r>
            <w:r w:rsidRPr="004535BE">
              <w:rPr>
                <w:spacing w:val="-2"/>
                <w:sz w:val="12"/>
                <w:szCs w:val="18"/>
              </w:rPr>
              <w:t>microcephaly</w:t>
            </w:r>
          </w:p>
        </w:tc>
        <w:tc>
          <w:tcPr>
            <w:tcW w:w="1304" w:type="dxa"/>
            <w:tcBorders>
              <w:top w:val="single" w:sz="8" w:space="0" w:color="5B9BD4"/>
              <w:left w:val="nil"/>
              <w:bottom w:val="single" w:sz="8" w:space="0" w:color="5B9BD4"/>
              <w:right w:val="nil"/>
            </w:tcBorders>
            <w:hideMark/>
          </w:tcPr>
          <w:p w14:paraId="57917C10" w14:textId="1823EA6E" w:rsidR="004535BE" w:rsidRPr="00F65A88" w:rsidRDefault="004535BE" w:rsidP="00F65A88">
            <w:pPr>
              <w:pStyle w:val="TableParagraph"/>
              <w:spacing w:before="112"/>
              <w:ind w:left="2" w:right="114"/>
              <w:jc w:val="center"/>
              <w:rPr>
                <w:sz w:val="10"/>
                <w:szCs w:val="16"/>
              </w:rPr>
            </w:pPr>
            <w:r w:rsidRPr="00F65A88">
              <w:rPr>
                <w:sz w:val="10"/>
                <w:szCs w:val="16"/>
              </w:rPr>
              <w:t>Under</w:t>
            </w:r>
            <w:r w:rsidRPr="00F65A88">
              <w:rPr>
                <w:spacing w:val="-5"/>
                <w:sz w:val="10"/>
                <w:szCs w:val="16"/>
              </w:rPr>
              <w:t xml:space="preserve"> </w:t>
            </w:r>
            <w:r w:rsidRPr="00F65A88">
              <w:rPr>
                <w:spacing w:val="-2"/>
                <w:sz w:val="10"/>
                <w:szCs w:val="16"/>
              </w:rPr>
              <w:t>development</w:t>
            </w:r>
          </w:p>
        </w:tc>
        <w:tc>
          <w:tcPr>
            <w:tcW w:w="1077" w:type="dxa"/>
            <w:tcBorders>
              <w:top w:val="single" w:sz="8" w:space="0" w:color="5B9BD4"/>
              <w:left w:val="nil"/>
              <w:bottom w:val="single" w:sz="8" w:space="0" w:color="5B9BD4"/>
              <w:right w:val="nil"/>
            </w:tcBorders>
            <w:hideMark/>
          </w:tcPr>
          <w:p w14:paraId="035154F2" w14:textId="77777777" w:rsidR="004535BE" w:rsidRPr="00F65A88" w:rsidRDefault="004535BE" w:rsidP="00F65A88">
            <w:pPr>
              <w:pStyle w:val="TableParagraph"/>
              <w:spacing w:before="112"/>
              <w:ind w:left="37"/>
              <w:jc w:val="center"/>
              <w:rPr>
                <w:sz w:val="10"/>
                <w:szCs w:val="16"/>
              </w:rPr>
            </w:pPr>
            <w:r w:rsidRPr="00F65A88">
              <w:rPr>
                <w:sz w:val="10"/>
                <w:szCs w:val="16"/>
              </w:rPr>
              <w:t>Under</w:t>
            </w:r>
            <w:r w:rsidRPr="00F65A88">
              <w:rPr>
                <w:spacing w:val="-5"/>
                <w:sz w:val="10"/>
                <w:szCs w:val="16"/>
              </w:rPr>
              <w:t xml:space="preserve"> </w:t>
            </w:r>
            <w:r w:rsidRPr="00F65A88">
              <w:rPr>
                <w:spacing w:val="-2"/>
                <w:sz w:val="10"/>
                <w:szCs w:val="16"/>
              </w:rPr>
              <w:t>development</w:t>
            </w:r>
          </w:p>
        </w:tc>
        <w:tc>
          <w:tcPr>
            <w:tcW w:w="1871" w:type="dxa"/>
            <w:tcBorders>
              <w:top w:val="single" w:sz="8" w:space="0" w:color="5B9BD4"/>
              <w:left w:val="nil"/>
              <w:bottom w:val="single" w:sz="8" w:space="0" w:color="5B9BD4"/>
              <w:right w:val="single" w:sz="8" w:space="0" w:color="5B9BD4"/>
            </w:tcBorders>
            <w:hideMark/>
          </w:tcPr>
          <w:p w14:paraId="6234874D" w14:textId="77777777" w:rsidR="004535BE" w:rsidRPr="004535BE" w:rsidRDefault="00A35340" w:rsidP="00F65A88">
            <w:pPr>
              <w:pStyle w:val="TableParagraph"/>
              <w:spacing w:before="112"/>
              <w:ind w:left="143"/>
              <w:jc w:val="center"/>
              <w:rPr>
                <w:sz w:val="14"/>
                <w:szCs w:val="20"/>
              </w:rPr>
            </w:pPr>
            <w:hyperlink r:id="rId58" w:history="1">
              <w:r w:rsidR="004535BE" w:rsidRPr="004535BE">
                <w:rPr>
                  <w:rStyle w:val="Lienhypertexte"/>
                  <w:spacing w:val="-2"/>
                  <w:sz w:val="14"/>
                  <w:szCs w:val="20"/>
                </w:rPr>
                <w:t>https://aopwiki.org/aops/441</w:t>
              </w:r>
            </w:hyperlink>
          </w:p>
        </w:tc>
      </w:tr>
      <w:tr w:rsidR="004535BE" w14:paraId="41B0CBA9"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317A1E02" w14:textId="77777777" w:rsidR="004535BE" w:rsidRPr="004535BE" w:rsidRDefault="004535BE" w:rsidP="00F65A88">
            <w:pPr>
              <w:pStyle w:val="TableParagraph"/>
              <w:ind w:right="4"/>
              <w:jc w:val="center"/>
              <w:rPr>
                <w:sz w:val="14"/>
                <w:szCs w:val="20"/>
              </w:rPr>
            </w:pPr>
            <w:r w:rsidRPr="004535BE">
              <w:rPr>
                <w:spacing w:val="-5"/>
                <w:sz w:val="14"/>
                <w:szCs w:val="20"/>
              </w:rPr>
              <w:t>443</w:t>
            </w:r>
          </w:p>
        </w:tc>
        <w:tc>
          <w:tcPr>
            <w:tcW w:w="4762" w:type="dxa"/>
            <w:tcBorders>
              <w:top w:val="single" w:sz="8" w:space="0" w:color="5B9BD4"/>
              <w:left w:val="nil"/>
              <w:bottom w:val="single" w:sz="8" w:space="0" w:color="5B9BD4"/>
              <w:right w:val="nil"/>
            </w:tcBorders>
            <w:vAlign w:val="center"/>
            <w:hideMark/>
          </w:tcPr>
          <w:p w14:paraId="34DE0D17" w14:textId="77777777" w:rsidR="004535BE" w:rsidRPr="004535BE" w:rsidRDefault="004535BE" w:rsidP="00F65A88">
            <w:pPr>
              <w:pStyle w:val="TableParagraph"/>
              <w:ind w:right="33"/>
              <w:jc w:val="center"/>
              <w:rPr>
                <w:sz w:val="12"/>
                <w:szCs w:val="18"/>
              </w:rPr>
            </w:pPr>
            <w:r w:rsidRPr="004535BE">
              <w:rPr>
                <w:sz w:val="12"/>
                <w:szCs w:val="18"/>
              </w:rPr>
              <w:t>Alcohol</w:t>
            </w:r>
            <w:r w:rsidRPr="004535BE">
              <w:rPr>
                <w:spacing w:val="-6"/>
                <w:sz w:val="12"/>
                <w:szCs w:val="18"/>
              </w:rPr>
              <w:t xml:space="preserve"> </w:t>
            </w:r>
            <w:r w:rsidRPr="004535BE">
              <w:rPr>
                <w:sz w:val="12"/>
                <w:szCs w:val="18"/>
              </w:rPr>
              <w:t>Induced</w:t>
            </w:r>
            <w:r w:rsidRPr="004535BE">
              <w:rPr>
                <w:spacing w:val="-6"/>
                <w:sz w:val="12"/>
                <w:szCs w:val="18"/>
              </w:rPr>
              <w:t xml:space="preserve"> </w:t>
            </w:r>
            <w:r w:rsidRPr="004535BE">
              <w:rPr>
                <w:sz w:val="12"/>
                <w:szCs w:val="18"/>
              </w:rPr>
              <w:t>DNA</w:t>
            </w:r>
            <w:r w:rsidRPr="004535BE">
              <w:rPr>
                <w:spacing w:val="-5"/>
                <w:sz w:val="12"/>
                <w:szCs w:val="18"/>
              </w:rPr>
              <w:t xml:space="preserve"> </w:t>
            </w:r>
            <w:r w:rsidRPr="004535BE">
              <w:rPr>
                <w:sz w:val="12"/>
                <w:szCs w:val="18"/>
              </w:rPr>
              <w:t>damage</w:t>
            </w:r>
            <w:r w:rsidRPr="004535BE">
              <w:rPr>
                <w:spacing w:val="-6"/>
                <w:sz w:val="12"/>
                <w:szCs w:val="18"/>
              </w:rPr>
              <w:t xml:space="preserve"> </w:t>
            </w:r>
            <w:r w:rsidRPr="004535BE">
              <w:rPr>
                <w:sz w:val="12"/>
                <w:szCs w:val="18"/>
              </w:rPr>
              <w:t>and</w:t>
            </w:r>
            <w:r w:rsidRPr="004535BE">
              <w:rPr>
                <w:spacing w:val="-6"/>
                <w:sz w:val="12"/>
                <w:szCs w:val="18"/>
              </w:rPr>
              <w:t xml:space="preserve"> </w:t>
            </w:r>
            <w:r w:rsidRPr="004535BE">
              <w:rPr>
                <w:sz w:val="12"/>
                <w:szCs w:val="18"/>
              </w:rPr>
              <w:t>mutations</w:t>
            </w:r>
            <w:r w:rsidRPr="004535BE">
              <w:rPr>
                <w:spacing w:val="-6"/>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6"/>
                <w:sz w:val="12"/>
                <w:szCs w:val="18"/>
              </w:rPr>
              <w:t xml:space="preserve"> </w:t>
            </w:r>
            <w:r w:rsidRPr="004535BE">
              <w:rPr>
                <w:sz w:val="12"/>
                <w:szCs w:val="18"/>
              </w:rPr>
              <w:t>Metastatic</w:t>
            </w:r>
            <w:r w:rsidRPr="004535BE">
              <w:rPr>
                <w:spacing w:val="-6"/>
                <w:sz w:val="12"/>
                <w:szCs w:val="18"/>
              </w:rPr>
              <w:t xml:space="preserve"> </w:t>
            </w:r>
            <w:r w:rsidRPr="004535BE">
              <w:rPr>
                <w:sz w:val="12"/>
                <w:szCs w:val="18"/>
              </w:rPr>
              <w:t>Breast</w:t>
            </w:r>
            <w:r w:rsidRPr="004535BE">
              <w:rPr>
                <w:spacing w:val="-5"/>
                <w:sz w:val="12"/>
                <w:szCs w:val="18"/>
              </w:rPr>
              <w:t xml:space="preserve"> </w:t>
            </w:r>
            <w:r w:rsidRPr="004535BE">
              <w:rPr>
                <w:spacing w:val="-2"/>
                <w:sz w:val="12"/>
                <w:szCs w:val="18"/>
              </w:rPr>
              <w:t>Cancer</w:t>
            </w:r>
          </w:p>
        </w:tc>
        <w:tc>
          <w:tcPr>
            <w:tcW w:w="1304" w:type="dxa"/>
            <w:tcBorders>
              <w:top w:val="single" w:sz="8" w:space="0" w:color="5B9BD4"/>
              <w:left w:val="nil"/>
              <w:bottom w:val="single" w:sz="8" w:space="0" w:color="5B9BD4"/>
              <w:right w:val="nil"/>
            </w:tcBorders>
            <w:hideMark/>
          </w:tcPr>
          <w:p w14:paraId="45A90771" w14:textId="57392C46" w:rsidR="004535BE" w:rsidRPr="00F65A88" w:rsidRDefault="004535BE" w:rsidP="00F65A88">
            <w:pPr>
              <w:pStyle w:val="TableParagraph"/>
              <w:ind w:right="114"/>
              <w:jc w:val="center"/>
              <w:rPr>
                <w:sz w:val="10"/>
                <w:szCs w:val="16"/>
              </w:rPr>
            </w:pPr>
            <w:r w:rsidRPr="00F65A88">
              <w:rPr>
                <w:sz w:val="10"/>
                <w:szCs w:val="16"/>
              </w:rPr>
              <w:t>Included</w:t>
            </w:r>
            <w:r w:rsidRPr="00F65A88">
              <w:rPr>
                <w:spacing w:val="-4"/>
                <w:sz w:val="10"/>
                <w:szCs w:val="16"/>
              </w:rPr>
              <w:t xml:space="preserve"> </w:t>
            </w:r>
            <w:r w:rsidRPr="00F65A88">
              <w:rPr>
                <w:sz w:val="10"/>
                <w:szCs w:val="16"/>
              </w:rPr>
              <w:t>in</w:t>
            </w:r>
            <w:r w:rsidRPr="00F65A88">
              <w:rPr>
                <w:spacing w:val="-3"/>
                <w:sz w:val="10"/>
                <w:szCs w:val="16"/>
              </w:rPr>
              <w:t xml:space="preserve"> </w:t>
            </w:r>
            <w:r w:rsidRPr="00F65A88">
              <w:rPr>
                <w:sz w:val="10"/>
                <w:szCs w:val="16"/>
              </w:rPr>
              <w:t>OECD</w:t>
            </w:r>
            <w:r w:rsidRPr="00F65A88">
              <w:rPr>
                <w:spacing w:val="-3"/>
                <w:sz w:val="10"/>
                <w:szCs w:val="16"/>
              </w:rPr>
              <w:t xml:space="preserve"> </w:t>
            </w:r>
            <w:r w:rsidRPr="00F65A88">
              <w:rPr>
                <w:sz w:val="10"/>
                <w:szCs w:val="16"/>
              </w:rPr>
              <w:t>Work</w:t>
            </w:r>
            <w:r w:rsidRPr="00F65A88">
              <w:rPr>
                <w:spacing w:val="-3"/>
                <w:sz w:val="10"/>
                <w:szCs w:val="16"/>
              </w:rPr>
              <w:t xml:space="preserve"> </w:t>
            </w:r>
            <w:r w:rsidRPr="00F65A88">
              <w:rPr>
                <w:spacing w:val="-4"/>
                <w:sz w:val="10"/>
                <w:szCs w:val="16"/>
              </w:rPr>
              <w:t>Plan</w:t>
            </w:r>
          </w:p>
        </w:tc>
        <w:tc>
          <w:tcPr>
            <w:tcW w:w="1077" w:type="dxa"/>
            <w:tcBorders>
              <w:top w:val="single" w:sz="8" w:space="0" w:color="5B9BD4"/>
              <w:left w:val="nil"/>
              <w:bottom w:val="single" w:sz="8" w:space="0" w:color="5B9BD4"/>
              <w:right w:val="nil"/>
            </w:tcBorders>
            <w:hideMark/>
          </w:tcPr>
          <w:p w14:paraId="008F5CF6" w14:textId="77777777" w:rsidR="004535BE" w:rsidRPr="00F65A88" w:rsidRDefault="004535BE" w:rsidP="00F65A88">
            <w:pPr>
              <w:pStyle w:val="TableParagraph"/>
              <w:ind w:left="37"/>
              <w:jc w:val="center"/>
              <w:rPr>
                <w:sz w:val="10"/>
                <w:szCs w:val="16"/>
              </w:rPr>
            </w:pPr>
            <w:r w:rsidRPr="00F65A88">
              <w:rPr>
                <w:sz w:val="10"/>
                <w:szCs w:val="16"/>
              </w:rPr>
              <w:t>Under</w:t>
            </w:r>
            <w:r w:rsidRPr="00F65A88">
              <w:rPr>
                <w:spacing w:val="-5"/>
                <w:sz w:val="10"/>
                <w:szCs w:val="16"/>
              </w:rPr>
              <w:t xml:space="preserve"> </w:t>
            </w:r>
            <w:r w:rsidRPr="00F65A88">
              <w:rPr>
                <w:spacing w:val="-2"/>
                <w:sz w:val="10"/>
                <w:szCs w:val="16"/>
              </w:rPr>
              <w:t>development</w:t>
            </w:r>
          </w:p>
        </w:tc>
        <w:tc>
          <w:tcPr>
            <w:tcW w:w="1871" w:type="dxa"/>
            <w:tcBorders>
              <w:top w:val="single" w:sz="8" w:space="0" w:color="5B9BD4"/>
              <w:left w:val="nil"/>
              <w:bottom w:val="single" w:sz="8" w:space="0" w:color="5B9BD4"/>
              <w:right w:val="single" w:sz="8" w:space="0" w:color="5B9BD4"/>
            </w:tcBorders>
            <w:hideMark/>
          </w:tcPr>
          <w:p w14:paraId="16EDF3DB" w14:textId="77777777" w:rsidR="004535BE" w:rsidRPr="004535BE" w:rsidRDefault="00A35340" w:rsidP="00F65A88">
            <w:pPr>
              <w:pStyle w:val="TableParagraph"/>
              <w:ind w:left="143"/>
              <w:jc w:val="center"/>
              <w:rPr>
                <w:sz w:val="14"/>
                <w:szCs w:val="20"/>
              </w:rPr>
            </w:pPr>
            <w:hyperlink r:id="rId59" w:history="1">
              <w:r w:rsidR="004535BE" w:rsidRPr="004535BE">
                <w:rPr>
                  <w:rStyle w:val="Lienhypertexte"/>
                  <w:spacing w:val="-2"/>
                  <w:sz w:val="14"/>
                  <w:szCs w:val="20"/>
                </w:rPr>
                <w:t>https://aopwiki.org/aops/443</w:t>
              </w:r>
            </w:hyperlink>
          </w:p>
        </w:tc>
      </w:tr>
      <w:tr w:rsidR="004535BE" w14:paraId="6DC50E2C"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3681F317" w14:textId="77777777" w:rsidR="004535BE" w:rsidRPr="004535BE" w:rsidRDefault="004535BE" w:rsidP="00F65A88">
            <w:pPr>
              <w:pStyle w:val="TableParagraph"/>
              <w:ind w:right="4"/>
              <w:jc w:val="center"/>
              <w:rPr>
                <w:sz w:val="14"/>
                <w:szCs w:val="20"/>
              </w:rPr>
            </w:pPr>
            <w:r w:rsidRPr="004535BE">
              <w:rPr>
                <w:spacing w:val="-5"/>
                <w:sz w:val="14"/>
                <w:szCs w:val="20"/>
              </w:rPr>
              <w:t>451</w:t>
            </w:r>
          </w:p>
        </w:tc>
        <w:tc>
          <w:tcPr>
            <w:tcW w:w="4762" w:type="dxa"/>
            <w:tcBorders>
              <w:top w:val="single" w:sz="8" w:space="0" w:color="5B9BD4"/>
              <w:left w:val="nil"/>
              <w:bottom w:val="single" w:sz="8" w:space="0" w:color="5B9BD4"/>
              <w:right w:val="nil"/>
            </w:tcBorders>
            <w:vAlign w:val="center"/>
            <w:hideMark/>
          </w:tcPr>
          <w:p w14:paraId="32578FAD" w14:textId="77777777" w:rsidR="004535BE" w:rsidRPr="004535BE" w:rsidRDefault="004535BE" w:rsidP="00F65A88">
            <w:pPr>
              <w:pStyle w:val="TableParagraph"/>
              <w:ind w:left="4" w:right="33"/>
              <w:jc w:val="center"/>
              <w:rPr>
                <w:sz w:val="12"/>
                <w:szCs w:val="18"/>
              </w:rPr>
            </w:pPr>
            <w:r w:rsidRPr="004535BE">
              <w:rPr>
                <w:sz w:val="12"/>
                <w:szCs w:val="18"/>
              </w:rPr>
              <w:t>Interaction</w:t>
            </w:r>
            <w:r w:rsidRPr="004535BE">
              <w:rPr>
                <w:spacing w:val="-6"/>
                <w:sz w:val="12"/>
                <w:szCs w:val="18"/>
              </w:rPr>
              <w:t xml:space="preserve"> </w:t>
            </w:r>
            <w:r w:rsidRPr="004535BE">
              <w:rPr>
                <w:sz w:val="12"/>
                <w:szCs w:val="18"/>
              </w:rPr>
              <w:t>with</w:t>
            </w:r>
            <w:r w:rsidRPr="004535BE">
              <w:rPr>
                <w:spacing w:val="-6"/>
                <w:sz w:val="12"/>
                <w:szCs w:val="18"/>
              </w:rPr>
              <w:t xml:space="preserve"> </w:t>
            </w:r>
            <w:r w:rsidRPr="004535BE">
              <w:rPr>
                <w:sz w:val="12"/>
                <w:szCs w:val="18"/>
              </w:rPr>
              <w:t>lung</w:t>
            </w:r>
            <w:r w:rsidRPr="004535BE">
              <w:rPr>
                <w:spacing w:val="-4"/>
                <w:sz w:val="12"/>
                <w:szCs w:val="18"/>
              </w:rPr>
              <w:t xml:space="preserve"> </w:t>
            </w:r>
            <w:r w:rsidRPr="004535BE">
              <w:rPr>
                <w:sz w:val="12"/>
                <w:szCs w:val="18"/>
              </w:rPr>
              <w:t>resident</w:t>
            </w:r>
            <w:r w:rsidRPr="004535BE">
              <w:rPr>
                <w:spacing w:val="-7"/>
                <w:sz w:val="12"/>
                <w:szCs w:val="18"/>
              </w:rPr>
              <w:t xml:space="preserve"> </w:t>
            </w:r>
            <w:r w:rsidRPr="004535BE">
              <w:rPr>
                <w:sz w:val="12"/>
                <w:szCs w:val="18"/>
              </w:rPr>
              <w:t>cell</w:t>
            </w:r>
            <w:r w:rsidRPr="004535BE">
              <w:rPr>
                <w:spacing w:val="-6"/>
                <w:sz w:val="12"/>
                <w:szCs w:val="18"/>
              </w:rPr>
              <w:t xml:space="preserve"> </w:t>
            </w:r>
            <w:r w:rsidRPr="004535BE">
              <w:rPr>
                <w:sz w:val="12"/>
                <w:szCs w:val="18"/>
              </w:rPr>
              <w:t>membrane</w:t>
            </w:r>
            <w:r w:rsidRPr="004535BE">
              <w:rPr>
                <w:spacing w:val="-6"/>
                <w:sz w:val="12"/>
                <w:szCs w:val="18"/>
              </w:rPr>
              <w:t xml:space="preserve"> </w:t>
            </w:r>
            <w:r w:rsidRPr="004535BE">
              <w:rPr>
                <w:sz w:val="12"/>
                <w:szCs w:val="18"/>
              </w:rPr>
              <w:t>components</w:t>
            </w:r>
            <w:r w:rsidRPr="004535BE">
              <w:rPr>
                <w:spacing w:val="-6"/>
                <w:sz w:val="12"/>
                <w:szCs w:val="18"/>
              </w:rPr>
              <w:t xml:space="preserve"> </w:t>
            </w:r>
            <w:r w:rsidRPr="004535BE">
              <w:rPr>
                <w:sz w:val="12"/>
                <w:szCs w:val="18"/>
              </w:rPr>
              <w:t>leads</w:t>
            </w:r>
            <w:r w:rsidRPr="004535BE">
              <w:rPr>
                <w:spacing w:val="-5"/>
                <w:sz w:val="12"/>
                <w:szCs w:val="18"/>
              </w:rPr>
              <w:t xml:space="preserve"> </w:t>
            </w:r>
            <w:r w:rsidRPr="004535BE">
              <w:rPr>
                <w:sz w:val="12"/>
                <w:szCs w:val="18"/>
              </w:rPr>
              <w:t>to</w:t>
            </w:r>
            <w:r w:rsidRPr="004535BE">
              <w:rPr>
                <w:spacing w:val="-6"/>
                <w:sz w:val="12"/>
                <w:szCs w:val="18"/>
              </w:rPr>
              <w:t xml:space="preserve"> </w:t>
            </w:r>
            <w:r w:rsidRPr="004535BE">
              <w:rPr>
                <w:sz w:val="12"/>
                <w:szCs w:val="18"/>
              </w:rPr>
              <w:t>lung</w:t>
            </w:r>
            <w:r w:rsidRPr="004535BE">
              <w:rPr>
                <w:spacing w:val="-4"/>
                <w:sz w:val="12"/>
                <w:szCs w:val="18"/>
              </w:rPr>
              <w:t xml:space="preserve"> </w:t>
            </w:r>
            <w:r w:rsidRPr="004535BE">
              <w:rPr>
                <w:spacing w:val="-2"/>
                <w:sz w:val="12"/>
                <w:szCs w:val="18"/>
              </w:rPr>
              <w:t>cancer</w:t>
            </w:r>
          </w:p>
        </w:tc>
        <w:tc>
          <w:tcPr>
            <w:tcW w:w="1304" w:type="dxa"/>
            <w:tcBorders>
              <w:top w:val="single" w:sz="8" w:space="0" w:color="5B9BD4"/>
              <w:left w:val="nil"/>
              <w:bottom w:val="single" w:sz="8" w:space="0" w:color="5B9BD4"/>
              <w:right w:val="nil"/>
            </w:tcBorders>
            <w:hideMark/>
          </w:tcPr>
          <w:p w14:paraId="642F9CEA" w14:textId="6F42CB14" w:rsidR="004535BE" w:rsidRPr="00F65A88" w:rsidRDefault="004535BE" w:rsidP="00F65A88">
            <w:pPr>
              <w:pStyle w:val="TableParagraph"/>
              <w:ind w:left="3" w:right="114"/>
              <w:jc w:val="center"/>
              <w:rPr>
                <w:sz w:val="10"/>
                <w:szCs w:val="16"/>
              </w:rPr>
            </w:pPr>
            <w:r w:rsidRPr="00F65A88">
              <w:rPr>
                <w:spacing w:val="-10"/>
                <w:sz w:val="10"/>
                <w:szCs w:val="16"/>
              </w:rPr>
              <w:t>x</w:t>
            </w:r>
          </w:p>
        </w:tc>
        <w:tc>
          <w:tcPr>
            <w:tcW w:w="1077" w:type="dxa"/>
            <w:tcBorders>
              <w:top w:val="single" w:sz="8" w:space="0" w:color="5B9BD4"/>
              <w:left w:val="nil"/>
              <w:bottom w:val="single" w:sz="8" w:space="0" w:color="5B9BD4"/>
              <w:right w:val="nil"/>
            </w:tcBorders>
            <w:hideMark/>
          </w:tcPr>
          <w:p w14:paraId="11A39846" w14:textId="77777777" w:rsidR="004535BE" w:rsidRPr="00F65A88" w:rsidRDefault="004535BE" w:rsidP="00F65A88">
            <w:pPr>
              <w:pStyle w:val="TableParagraph"/>
              <w:ind w:left="37" w:right="4"/>
              <w:jc w:val="center"/>
              <w:rPr>
                <w:sz w:val="10"/>
                <w:szCs w:val="16"/>
              </w:rPr>
            </w:pPr>
            <w:r w:rsidRPr="00F65A88">
              <w:rPr>
                <w:spacing w:val="-10"/>
                <w:sz w:val="10"/>
                <w:szCs w:val="16"/>
              </w:rPr>
              <w:t>x</w:t>
            </w:r>
          </w:p>
        </w:tc>
        <w:tc>
          <w:tcPr>
            <w:tcW w:w="1871" w:type="dxa"/>
            <w:tcBorders>
              <w:top w:val="single" w:sz="8" w:space="0" w:color="5B9BD4"/>
              <w:left w:val="nil"/>
              <w:bottom w:val="single" w:sz="8" w:space="0" w:color="5B9BD4"/>
              <w:right w:val="single" w:sz="8" w:space="0" w:color="5B9BD4"/>
            </w:tcBorders>
            <w:hideMark/>
          </w:tcPr>
          <w:p w14:paraId="4C15720C" w14:textId="77777777" w:rsidR="004535BE" w:rsidRPr="004535BE" w:rsidRDefault="00A35340" w:rsidP="00F65A88">
            <w:pPr>
              <w:pStyle w:val="TableParagraph"/>
              <w:ind w:left="143"/>
              <w:jc w:val="center"/>
              <w:rPr>
                <w:sz w:val="14"/>
                <w:szCs w:val="20"/>
              </w:rPr>
            </w:pPr>
            <w:hyperlink r:id="rId60" w:history="1">
              <w:r w:rsidR="004535BE" w:rsidRPr="004535BE">
                <w:rPr>
                  <w:rStyle w:val="Lienhypertexte"/>
                  <w:spacing w:val="-2"/>
                  <w:sz w:val="14"/>
                  <w:szCs w:val="20"/>
                </w:rPr>
                <w:t>https://aopwiki.org/aops/451</w:t>
              </w:r>
            </w:hyperlink>
          </w:p>
        </w:tc>
      </w:tr>
      <w:tr w:rsidR="004535BE" w14:paraId="77B77434" w14:textId="77777777" w:rsidTr="00F65A88">
        <w:trPr>
          <w:trHeight w:val="20"/>
        </w:trPr>
        <w:tc>
          <w:tcPr>
            <w:tcW w:w="794" w:type="dxa"/>
            <w:tcBorders>
              <w:top w:val="single" w:sz="8" w:space="0" w:color="5B9BD4"/>
              <w:left w:val="single" w:sz="8" w:space="0" w:color="5B9BD4"/>
              <w:bottom w:val="single" w:sz="8" w:space="0" w:color="5B9BD4"/>
              <w:right w:val="nil"/>
            </w:tcBorders>
            <w:vAlign w:val="center"/>
            <w:hideMark/>
          </w:tcPr>
          <w:p w14:paraId="3BBDA9B1" w14:textId="77777777" w:rsidR="004535BE" w:rsidRPr="004535BE" w:rsidRDefault="004535BE" w:rsidP="00F65A88">
            <w:pPr>
              <w:pStyle w:val="TableParagraph"/>
              <w:ind w:right="4"/>
              <w:jc w:val="center"/>
              <w:rPr>
                <w:sz w:val="14"/>
                <w:szCs w:val="20"/>
              </w:rPr>
            </w:pPr>
            <w:r w:rsidRPr="004535BE">
              <w:rPr>
                <w:spacing w:val="-5"/>
                <w:sz w:val="14"/>
                <w:szCs w:val="20"/>
              </w:rPr>
              <w:t>472</w:t>
            </w:r>
          </w:p>
        </w:tc>
        <w:tc>
          <w:tcPr>
            <w:tcW w:w="4762" w:type="dxa"/>
            <w:tcBorders>
              <w:top w:val="single" w:sz="8" w:space="0" w:color="5B9BD4"/>
              <w:left w:val="nil"/>
              <w:bottom w:val="single" w:sz="8" w:space="0" w:color="5B9BD4"/>
              <w:right w:val="nil"/>
            </w:tcBorders>
            <w:vAlign w:val="center"/>
            <w:hideMark/>
          </w:tcPr>
          <w:p w14:paraId="7623C0F1" w14:textId="77777777" w:rsidR="004535BE" w:rsidRPr="004535BE" w:rsidRDefault="004535BE" w:rsidP="00F65A88">
            <w:pPr>
              <w:pStyle w:val="TableParagraph"/>
              <w:ind w:left="4" w:right="33"/>
              <w:jc w:val="center"/>
              <w:rPr>
                <w:sz w:val="12"/>
                <w:szCs w:val="18"/>
              </w:rPr>
            </w:pPr>
            <w:r w:rsidRPr="004535BE">
              <w:rPr>
                <w:sz w:val="12"/>
                <w:szCs w:val="18"/>
              </w:rPr>
              <w:t>DNA</w:t>
            </w:r>
            <w:r w:rsidRPr="004535BE">
              <w:rPr>
                <w:spacing w:val="-5"/>
                <w:sz w:val="12"/>
                <w:szCs w:val="18"/>
              </w:rPr>
              <w:t xml:space="preserve"> </w:t>
            </w:r>
            <w:r w:rsidRPr="004535BE">
              <w:rPr>
                <w:sz w:val="12"/>
                <w:szCs w:val="18"/>
              </w:rPr>
              <w:t>adduct</w:t>
            </w:r>
            <w:r w:rsidRPr="004535BE">
              <w:rPr>
                <w:spacing w:val="-6"/>
                <w:sz w:val="12"/>
                <w:szCs w:val="18"/>
              </w:rPr>
              <w:t xml:space="preserve"> </w:t>
            </w:r>
            <w:r w:rsidRPr="004535BE">
              <w:rPr>
                <w:sz w:val="12"/>
                <w:szCs w:val="18"/>
              </w:rPr>
              <w:t>formation</w:t>
            </w:r>
            <w:r w:rsidRPr="004535BE">
              <w:rPr>
                <w:spacing w:val="-5"/>
                <w:sz w:val="12"/>
                <w:szCs w:val="18"/>
              </w:rPr>
              <w:t xml:space="preserve"> </w:t>
            </w:r>
            <w:r w:rsidRPr="004535BE">
              <w:rPr>
                <w:sz w:val="12"/>
                <w:szCs w:val="18"/>
              </w:rPr>
              <w:t>leading</w:t>
            </w:r>
            <w:r w:rsidRPr="004535BE">
              <w:rPr>
                <w:spacing w:val="-5"/>
                <w:sz w:val="12"/>
                <w:szCs w:val="18"/>
              </w:rPr>
              <w:t xml:space="preserve"> </w:t>
            </w:r>
            <w:r w:rsidRPr="004535BE">
              <w:rPr>
                <w:sz w:val="12"/>
                <w:szCs w:val="18"/>
              </w:rPr>
              <w:t>to</w:t>
            </w:r>
            <w:r w:rsidRPr="004535BE">
              <w:rPr>
                <w:spacing w:val="-5"/>
                <w:sz w:val="12"/>
                <w:szCs w:val="18"/>
              </w:rPr>
              <w:t xml:space="preserve"> </w:t>
            </w:r>
            <w:r w:rsidRPr="004535BE">
              <w:rPr>
                <w:sz w:val="12"/>
                <w:szCs w:val="18"/>
              </w:rPr>
              <w:t>kidney</w:t>
            </w:r>
            <w:r w:rsidRPr="004535BE">
              <w:rPr>
                <w:spacing w:val="-5"/>
                <w:sz w:val="12"/>
                <w:szCs w:val="18"/>
              </w:rPr>
              <w:t xml:space="preserve"> </w:t>
            </w:r>
            <w:r w:rsidRPr="004535BE">
              <w:rPr>
                <w:spacing w:val="-2"/>
                <w:sz w:val="12"/>
                <w:szCs w:val="18"/>
              </w:rPr>
              <w:t>failure</w:t>
            </w:r>
          </w:p>
        </w:tc>
        <w:tc>
          <w:tcPr>
            <w:tcW w:w="1304" w:type="dxa"/>
            <w:tcBorders>
              <w:top w:val="single" w:sz="8" w:space="0" w:color="5B9BD4"/>
              <w:left w:val="nil"/>
              <w:bottom w:val="single" w:sz="8" w:space="0" w:color="5B9BD4"/>
              <w:right w:val="nil"/>
            </w:tcBorders>
            <w:hideMark/>
          </w:tcPr>
          <w:p w14:paraId="54ADCEFE" w14:textId="70CB0B52" w:rsidR="004535BE" w:rsidRPr="00F65A88" w:rsidRDefault="004535BE" w:rsidP="00F65A88">
            <w:pPr>
              <w:pStyle w:val="TableParagraph"/>
              <w:ind w:left="3" w:right="114"/>
              <w:jc w:val="center"/>
              <w:rPr>
                <w:sz w:val="10"/>
                <w:szCs w:val="16"/>
              </w:rPr>
            </w:pPr>
            <w:r w:rsidRPr="00F65A88">
              <w:rPr>
                <w:spacing w:val="-10"/>
                <w:sz w:val="10"/>
                <w:szCs w:val="16"/>
              </w:rPr>
              <w:t>x</w:t>
            </w:r>
          </w:p>
        </w:tc>
        <w:tc>
          <w:tcPr>
            <w:tcW w:w="1077" w:type="dxa"/>
            <w:tcBorders>
              <w:top w:val="single" w:sz="8" w:space="0" w:color="5B9BD4"/>
              <w:left w:val="nil"/>
              <w:bottom w:val="single" w:sz="8" w:space="0" w:color="5B9BD4"/>
              <w:right w:val="nil"/>
            </w:tcBorders>
            <w:hideMark/>
          </w:tcPr>
          <w:p w14:paraId="2AEAC06A" w14:textId="77777777" w:rsidR="004535BE" w:rsidRPr="00F65A88" w:rsidRDefault="004535BE" w:rsidP="00F65A88">
            <w:pPr>
              <w:pStyle w:val="TableParagraph"/>
              <w:ind w:left="37" w:right="4"/>
              <w:jc w:val="center"/>
              <w:rPr>
                <w:sz w:val="10"/>
                <w:szCs w:val="16"/>
              </w:rPr>
            </w:pPr>
            <w:r w:rsidRPr="00F65A88">
              <w:rPr>
                <w:spacing w:val="-10"/>
                <w:sz w:val="10"/>
                <w:szCs w:val="16"/>
              </w:rPr>
              <w:t>x</w:t>
            </w:r>
          </w:p>
        </w:tc>
        <w:tc>
          <w:tcPr>
            <w:tcW w:w="1871" w:type="dxa"/>
            <w:tcBorders>
              <w:top w:val="single" w:sz="8" w:space="0" w:color="5B9BD4"/>
              <w:left w:val="nil"/>
              <w:bottom w:val="single" w:sz="8" w:space="0" w:color="5B9BD4"/>
              <w:right w:val="single" w:sz="8" w:space="0" w:color="5B9BD4"/>
            </w:tcBorders>
            <w:hideMark/>
          </w:tcPr>
          <w:p w14:paraId="0AE469B1" w14:textId="77777777" w:rsidR="004535BE" w:rsidRPr="004535BE" w:rsidRDefault="00A35340" w:rsidP="00F65A88">
            <w:pPr>
              <w:pStyle w:val="TableParagraph"/>
              <w:ind w:left="143"/>
              <w:jc w:val="center"/>
              <w:rPr>
                <w:sz w:val="14"/>
                <w:szCs w:val="20"/>
              </w:rPr>
            </w:pPr>
            <w:hyperlink r:id="rId61" w:history="1">
              <w:r w:rsidR="004535BE" w:rsidRPr="004535BE">
                <w:rPr>
                  <w:rStyle w:val="Lienhypertexte"/>
                  <w:spacing w:val="-2"/>
                  <w:sz w:val="14"/>
                  <w:szCs w:val="20"/>
                </w:rPr>
                <w:t>https://aopwiki.org/aops/472</w:t>
              </w:r>
            </w:hyperlink>
          </w:p>
        </w:tc>
      </w:tr>
    </w:tbl>
    <w:p w14:paraId="0B12B930" w14:textId="60432B16" w:rsidR="00A35340" w:rsidRDefault="00A35340" w:rsidP="00A35340">
      <w:pPr>
        <w:spacing w:after="0" w:line="324" w:lineRule="auto"/>
        <w:jc w:val="both"/>
        <w:rPr>
          <w:b/>
          <w:bCs/>
          <w:sz w:val="40"/>
          <w:szCs w:val="40"/>
        </w:rPr>
      </w:pPr>
    </w:p>
    <w:p w14:paraId="0BD8C1D6" w14:textId="77777777" w:rsidR="00A35340" w:rsidRDefault="00A35340">
      <w:pPr>
        <w:rPr>
          <w:b/>
          <w:bCs/>
          <w:sz w:val="40"/>
          <w:szCs w:val="40"/>
        </w:rPr>
      </w:pPr>
      <w:r>
        <w:rPr>
          <w:b/>
          <w:bCs/>
          <w:sz w:val="40"/>
          <w:szCs w:val="40"/>
        </w:rPr>
        <w:br w:type="page"/>
      </w:r>
    </w:p>
    <w:p w14:paraId="390E2610" w14:textId="3D65F271" w:rsidR="00A35340" w:rsidRPr="00AC0293" w:rsidRDefault="00A35340" w:rsidP="00A35340">
      <w:pPr>
        <w:spacing w:after="0" w:line="324" w:lineRule="auto"/>
        <w:jc w:val="both"/>
        <w:rPr>
          <w:b/>
          <w:bCs/>
          <w:sz w:val="40"/>
          <w:szCs w:val="40"/>
        </w:rPr>
      </w:pPr>
      <w:r w:rsidRPr="00AC0293">
        <w:rPr>
          <w:b/>
          <w:bCs/>
          <w:sz w:val="40"/>
          <w:szCs w:val="40"/>
        </w:rPr>
        <w:t>F</w:t>
      </w:r>
      <w:r>
        <w:rPr>
          <w:b/>
          <w:bCs/>
          <w:sz w:val="40"/>
          <w:szCs w:val="40"/>
        </w:rPr>
        <w:t>IGURES</w:t>
      </w:r>
    </w:p>
    <w:p w14:paraId="6ED705C8" w14:textId="77777777" w:rsidR="00A35340" w:rsidRDefault="00A35340" w:rsidP="00A35340">
      <w:pPr>
        <w:spacing w:after="0" w:line="324" w:lineRule="auto"/>
        <w:jc w:val="both"/>
        <w:rPr>
          <w:b/>
          <w:bCs/>
          <w:sz w:val="20"/>
          <w:szCs w:val="20"/>
        </w:rPr>
      </w:pPr>
      <w:r w:rsidRPr="009D46E5">
        <w:rPr>
          <w:b/>
          <w:bCs/>
          <w:sz w:val="20"/>
          <w:szCs w:val="20"/>
        </w:rPr>
        <w:t xml:space="preserve">Figure 1. Draft AOP network leading to permanent DNA damage. </w:t>
      </w:r>
    </w:p>
    <w:p w14:paraId="4A05BEEB" w14:textId="77777777" w:rsidR="00A35340" w:rsidRDefault="00A35340" w:rsidP="00A35340">
      <w:pPr>
        <w:spacing w:after="0" w:line="324" w:lineRule="auto"/>
        <w:jc w:val="both"/>
        <w:rPr>
          <w:b/>
          <w:bCs/>
          <w:sz w:val="20"/>
          <w:szCs w:val="20"/>
        </w:rPr>
      </w:pPr>
    </w:p>
    <w:p w14:paraId="597A218D" w14:textId="77777777" w:rsidR="00A35340" w:rsidRPr="009D46E5" w:rsidRDefault="00A35340" w:rsidP="00A35340">
      <w:pPr>
        <w:spacing w:after="0" w:line="324" w:lineRule="auto"/>
        <w:jc w:val="both"/>
        <w:rPr>
          <w:b/>
          <w:bCs/>
          <w:sz w:val="20"/>
          <w:szCs w:val="20"/>
        </w:rPr>
      </w:pPr>
      <w:r w:rsidRPr="009D46E5">
        <w:rPr>
          <w:b/>
          <w:bCs/>
          <w:sz w:val="20"/>
          <w:szCs w:val="20"/>
        </w:rPr>
        <w:t xml:space="preserve">Figure 2. AOP network leading to permanent DNA damage (mutagenicity and clastogenicity) </w:t>
      </w:r>
    </w:p>
    <w:p w14:paraId="68623600" w14:textId="1ABE8A59" w:rsidR="00AC0293" w:rsidRDefault="00AC0293" w:rsidP="002A112A">
      <w:pPr>
        <w:spacing w:after="0" w:line="324" w:lineRule="auto"/>
        <w:jc w:val="both"/>
      </w:pPr>
    </w:p>
    <w:sectPr w:rsidR="00AC029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779E6" w14:textId="77777777" w:rsidR="00A35340" w:rsidRDefault="00A35340" w:rsidP="00FE2271">
      <w:pPr>
        <w:spacing w:after="0" w:line="240" w:lineRule="auto"/>
      </w:pPr>
      <w:r>
        <w:separator/>
      </w:r>
    </w:p>
  </w:endnote>
  <w:endnote w:type="continuationSeparator" w:id="0">
    <w:p w14:paraId="09CB4177" w14:textId="77777777" w:rsidR="00A35340" w:rsidRDefault="00A35340" w:rsidP="00FE2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BDCDD" w14:textId="77777777" w:rsidR="00A35340" w:rsidRDefault="00A35340" w:rsidP="00FE2271">
      <w:pPr>
        <w:spacing w:after="0" w:line="240" w:lineRule="auto"/>
      </w:pPr>
      <w:r>
        <w:separator/>
      </w:r>
    </w:p>
  </w:footnote>
  <w:footnote w:type="continuationSeparator" w:id="0">
    <w:p w14:paraId="70B129BD" w14:textId="77777777" w:rsidR="00A35340" w:rsidRDefault="00A35340" w:rsidP="00FE22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5B66"/>
    <w:multiLevelType w:val="hybridMultilevel"/>
    <w:tmpl w:val="5C5CC48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2F35A57"/>
    <w:multiLevelType w:val="hybridMultilevel"/>
    <w:tmpl w:val="6C92C0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8792F"/>
    <w:multiLevelType w:val="multilevel"/>
    <w:tmpl w:val="8E10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5A19D3"/>
    <w:multiLevelType w:val="hybridMultilevel"/>
    <w:tmpl w:val="A37C403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0AAB68DB"/>
    <w:multiLevelType w:val="hybridMultilevel"/>
    <w:tmpl w:val="53682F24"/>
    <w:lvl w:ilvl="0" w:tplc="86FCDDB0">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5" w15:restartNumberingAfterBreak="0">
    <w:nsid w:val="0B7237C8"/>
    <w:multiLevelType w:val="hybridMultilevel"/>
    <w:tmpl w:val="D48A3BD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0890BFB"/>
    <w:multiLevelType w:val="hybridMultilevel"/>
    <w:tmpl w:val="7D42BE16"/>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 w15:restartNumberingAfterBreak="0">
    <w:nsid w:val="10ED048F"/>
    <w:multiLevelType w:val="hybridMultilevel"/>
    <w:tmpl w:val="FE9EA29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3D62A24"/>
    <w:multiLevelType w:val="multilevel"/>
    <w:tmpl w:val="CF76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4D140A6"/>
    <w:multiLevelType w:val="multilevel"/>
    <w:tmpl w:val="D2EEA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6AD2F1A"/>
    <w:multiLevelType w:val="multilevel"/>
    <w:tmpl w:val="8D6AA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7037D47"/>
    <w:multiLevelType w:val="multilevel"/>
    <w:tmpl w:val="A006B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49672C"/>
    <w:multiLevelType w:val="multilevel"/>
    <w:tmpl w:val="A72E4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1E6C48"/>
    <w:multiLevelType w:val="hybridMultilevel"/>
    <w:tmpl w:val="ABC2DE8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1C7C6BA6"/>
    <w:multiLevelType w:val="multilevel"/>
    <w:tmpl w:val="20BE6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2902270"/>
    <w:multiLevelType w:val="multilevel"/>
    <w:tmpl w:val="A3F68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44C407C"/>
    <w:multiLevelType w:val="multilevel"/>
    <w:tmpl w:val="B4964F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56E28D2"/>
    <w:multiLevelType w:val="hybridMultilevel"/>
    <w:tmpl w:val="9FA89880"/>
    <w:lvl w:ilvl="0" w:tplc="09E60BD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B318D"/>
    <w:multiLevelType w:val="hybridMultilevel"/>
    <w:tmpl w:val="12269C24"/>
    <w:lvl w:ilvl="0" w:tplc="36DCE6BA">
      <w:start w:val="10"/>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28934F2B"/>
    <w:multiLevelType w:val="multilevel"/>
    <w:tmpl w:val="BB0C5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AC46E65"/>
    <w:multiLevelType w:val="multilevel"/>
    <w:tmpl w:val="D0FE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E1D3F96"/>
    <w:multiLevelType w:val="hybridMultilevel"/>
    <w:tmpl w:val="671C1FB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15:restartNumberingAfterBreak="0">
    <w:nsid w:val="31A42FE1"/>
    <w:multiLevelType w:val="hybridMultilevel"/>
    <w:tmpl w:val="21309FE2"/>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33F63537"/>
    <w:multiLevelType w:val="hybridMultilevel"/>
    <w:tmpl w:val="71FC4E8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37254372"/>
    <w:multiLevelType w:val="multilevel"/>
    <w:tmpl w:val="811A5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7E467C2"/>
    <w:multiLevelType w:val="hybridMultilevel"/>
    <w:tmpl w:val="B92A271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380F4497"/>
    <w:multiLevelType w:val="multilevel"/>
    <w:tmpl w:val="4FB8B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8206984"/>
    <w:multiLevelType w:val="hybridMultilevel"/>
    <w:tmpl w:val="C61CACB2"/>
    <w:lvl w:ilvl="0" w:tplc="50FE7382">
      <w:start w:val="4"/>
      <w:numFmt w:val="bullet"/>
      <w:lvlText w:val="-"/>
      <w:lvlJc w:val="left"/>
      <w:pPr>
        <w:ind w:left="1440" w:hanging="360"/>
      </w:pPr>
      <w:rPr>
        <w:rFonts w:ascii="Calibri" w:eastAsiaTheme="minorHAnsi" w:hAnsi="Calibri" w:cs="Calibri"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8" w15:restartNumberingAfterBreak="0">
    <w:nsid w:val="382F127E"/>
    <w:multiLevelType w:val="multilevel"/>
    <w:tmpl w:val="36EEA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A2A1F45"/>
    <w:multiLevelType w:val="multilevel"/>
    <w:tmpl w:val="B6708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A742D76"/>
    <w:multiLevelType w:val="multilevel"/>
    <w:tmpl w:val="97843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C816185"/>
    <w:multiLevelType w:val="multilevel"/>
    <w:tmpl w:val="CE1A3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EEC2855"/>
    <w:multiLevelType w:val="multilevel"/>
    <w:tmpl w:val="DEF6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4040596"/>
    <w:multiLevelType w:val="multilevel"/>
    <w:tmpl w:val="11F6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4E30654"/>
    <w:multiLevelType w:val="hybridMultilevel"/>
    <w:tmpl w:val="E4CAC3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45324232"/>
    <w:multiLevelType w:val="hybridMultilevel"/>
    <w:tmpl w:val="CDE2D91A"/>
    <w:lvl w:ilvl="0" w:tplc="5E9E5B44">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453826B8"/>
    <w:multiLevelType w:val="multilevel"/>
    <w:tmpl w:val="315CE0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7497CCD"/>
    <w:multiLevelType w:val="multilevel"/>
    <w:tmpl w:val="315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8617BB8"/>
    <w:multiLevelType w:val="hybridMultilevel"/>
    <w:tmpl w:val="222C70A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9" w15:restartNumberingAfterBreak="0">
    <w:nsid w:val="49284288"/>
    <w:multiLevelType w:val="multilevel"/>
    <w:tmpl w:val="3B1E6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9CE2530"/>
    <w:multiLevelType w:val="hybridMultilevel"/>
    <w:tmpl w:val="6032E82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15:restartNumberingAfterBreak="0">
    <w:nsid w:val="49E76B44"/>
    <w:multiLevelType w:val="multilevel"/>
    <w:tmpl w:val="B3B0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E875686"/>
    <w:multiLevelType w:val="multilevel"/>
    <w:tmpl w:val="4D60B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FFE1AE7"/>
    <w:multiLevelType w:val="hybridMultilevel"/>
    <w:tmpl w:val="4B509E6E"/>
    <w:lvl w:ilvl="0" w:tplc="CF6C079C">
      <w:start w:val="1"/>
      <w:numFmt w:val="low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4" w15:restartNumberingAfterBreak="0">
    <w:nsid w:val="51F749B4"/>
    <w:multiLevelType w:val="hybridMultilevel"/>
    <w:tmpl w:val="3A2E570A"/>
    <w:lvl w:ilvl="0" w:tplc="080C0001">
      <w:start w:val="1"/>
      <w:numFmt w:val="bullet"/>
      <w:lvlText w:val=""/>
      <w:lvlJc w:val="left"/>
      <w:pPr>
        <w:ind w:left="720" w:hanging="360"/>
      </w:pPr>
      <w:rPr>
        <w:rFonts w:ascii="Symbol" w:hAnsi="Symbol" w:hint="default"/>
      </w:rPr>
    </w:lvl>
    <w:lvl w:ilvl="1" w:tplc="09E60BD0">
      <w:numFmt w:val="bullet"/>
      <w:lvlText w:val="-"/>
      <w:lvlJc w:val="left"/>
      <w:pPr>
        <w:ind w:left="1440" w:hanging="360"/>
      </w:pPr>
      <w:rPr>
        <w:rFonts w:ascii="Calibri" w:eastAsiaTheme="minorHAnsi" w:hAnsi="Calibri"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520714F2"/>
    <w:multiLevelType w:val="multilevel"/>
    <w:tmpl w:val="87EA8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4656A80"/>
    <w:multiLevelType w:val="hybridMultilevel"/>
    <w:tmpl w:val="4D9AA3F6"/>
    <w:lvl w:ilvl="0" w:tplc="3656F45E">
      <w:start w:val="1"/>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5404C11"/>
    <w:multiLevelType w:val="multilevel"/>
    <w:tmpl w:val="D58CE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59745DB"/>
    <w:multiLevelType w:val="hybridMultilevel"/>
    <w:tmpl w:val="E6B427E6"/>
    <w:lvl w:ilvl="0" w:tplc="C00E4E8C">
      <w:start w:val="1"/>
      <w:numFmt w:val="low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9" w15:restartNumberingAfterBreak="0">
    <w:nsid w:val="58811653"/>
    <w:multiLevelType w:val="multilevel"/>
    <w:tmpl w:val="584E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AB17272"/>
    <w:multiLevelType w:val="hybridMultilevel"/>
    <w:tmpl w:val="4BFEB22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1" w15:restartNumberingAfterBreak="0">
    <w:nsid w:val="5B4116D0"/>
    <w:multiLevelType w:val="multilevel"/>
    <w:tmpl w:val="AF3AC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C8C4248"/>
    <w:multiLevelType w:val="hybridMultilevel"/>
    <w:tmpl w:val="D13EE48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3" w15:restartNumberingAfterBreak="0">
    <w:nsid w:val="5CCF3625"/>
    <w:multiLevelType w:val="hybridMultilevel"/>
    <w:tmpl w:val="7ECCE14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4" w15:restartNumberingAfterBreak="0">
    <w:nsid w:val="5E3D040E"/>
    <w:multiLevelType w:val="hybridMultilevel"/>
    <w:tmpl w:val="5496727C"/>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55" w15:restartNumberingAfterBreak="0">
    <w:nsid w:val="61D62A1F"/>
    <w:multiLevelType w:val="hybridMultilevel"/>
    <w:tmpl w:val="C3623C8A"/>
    <w:lvl w:ilvl="0" w:tplc="D7821A6C">
      <w:start w:val="1"/>
      <w:numFmt w:val="decimal"/>
      <w:lvlText w:val="%1."/>
      <w:lvlJc w:val="left"/>
      <w:pPr>
        <w:ind w:left="720" w:hanging="360"/>
      </w:pPr>
      <w:rPr>
        <w:rFonts w:hint="default"/>
        <w:b/>
        <w:bCs/>
        <w:sz w:val="32"/>
        <w:szCs w:val="3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62C9046A"/>
    <w:multiLevelType w:val="hybridMultilevel"/>
    <w:tmpl w:val="31AAC1C0"/>
    <w:lvl w:ilvl="0" w:tplc="7E6EB73C">
      <w:start w:val="10"/>
      <w:numFmt w:val="bullet"/>
      <w:lvlText w:val=""/>
      <w:lvlJc w:val="left"/>
      <w:pPr>
        <w:ind w:left="720" w:hanging="360"/>
      </w:pPr>
      <w:rPr>
        <w:rFonts w:ascii="Symbol" w:eastAsiaTheme="minorHAnsi" w:hAnsi="Symbol"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5D20588"/>
    <w:multiLevelType w:val="multilevel"/>
    <w:tmpl w:val="A5621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9BF1A47"/>
    <w:multiLevelType w:val="hybridMultilevel"/>
    <w:tmpl w:val="24B493E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9" w15:restartNumberingAfterBreak="0">
    <w:nsid w:val="6FF6030D"/>
    <w:multiLevelType w:val="hybridMultilevel"/>
    <w:tmpl w:val="97701EFC"/>
    <w:lvl w:ilvl="0" w:tplc="FEF6F05C">
      <w:start w:val="1"/>
      <w:numFmt w:val="low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0" w15:restartNumberingAfterBreak="0">
    <w:nsid w:val="702F0ED0"/>
    <w:multiLevelType w:val="hybridMultilevel"/>
    <w:tmpl w:val="E93A0D7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1" w15:restartNumberingAfterBreak="0">
    <w:nsid w:val="7388099E"/>
    <w:multiLevelType w:val="multilevel"/>
    <w:tmpl w:val="6B04E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3FE1669"/>
    <w:multiLevelType w:val="multilevel"/>
    <w:tmpl w:val="CE36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46B0E1B"/>
    <w:multiLevelType w:val="hybridMultilevel"/>
    <w:tmpl w:val="140670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85D5F86"/>
    <w:multiLevelType w:val="multilevel"/>
    <w:tmpl w:val="C28C2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99E7971"/>
    <w:multiLevelType w:val="multilevel"/>
    <w:tmpl w:val="8194A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A04487A"/>
    <w:multiLevelType w:val="multilevel"/>
    <w:tmpl w:val="44F02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A2520D0"/>
    <w:multiLevelType w:val="multilevel"/>
    <w:tmpl w:val="289E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ED1664A"/>
    <w:multiLevelType w:val="hybridMultilevel"/>
    <w:tmpl w:val="FFC26CFE"/>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9" w15:restartNumberingAfterBreak="0">
    <w:nsid w:val="7ED204E8"/>
    <w:multiLevelType w:val="hybridMultilevel"/>
    <w:tmpl w:val="466CFAC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7"/>
  </w:num>
  <w:num w:numId="2">
    <w:abstractNumId w:val="63"/>
  </w:num>
  <w:num w:numId="3">
    <w:abstractNumId w:val="1"/>
  </w:num>
  <w:num w:numId="4">
    <w:abstractNumId w:val="27"/>
  </w:num>
  <w:num w:numId="5">
    <w:abstractNumId w:val="56"/>
  </w:num>
  <w:num w:numId="6">
    <w:abstractNumId w:val="18"/>
  </w:num>
  <w:num w:numId="7">
    <w:abstractNumId w:val="59"/>
  </w:num>
  <w:num w:numId="8">
    <w:abstractNumId w:val="13"/>
  </w:num>
  <w:num w:numId="9">
    <w:abstractNumId w:val="55"/>
  </w:num>
  <w:num w:numId="10">
    <w:abstractNumId w:val="44"/>
  </w:num>
  <w:num w:numId="11">
    <w:abstractNumId w:val="43"/>
  </w:num>
  <w:num w:numId="12">
    <w:abstractNumId w:val="48"/>
  </w:num>
  <w:num w:numId="13">
    <w:abstractNumId w:val="54"/>
  </w:num>
  <w:num w:numId="14">
    <w:abstractNumId w:val="46"/>
  </w:num>
  <w:num w:numId="15">
    <w:abstractNumId w:val="35"/>
  </w:num>
  <w:num w:numId="16">
    <w:abstractNumId w:val="52"/>
  </w:num>
  <w:num w:numId="17">
    <w:abstractNumId w:val="69"/>
  </w:num>
  <w:num w:numId="18">
    <w:abstractNumId w:val="40"/>
  </w:num>
  <w:num w:numId="19">
    <w:abstractNumId w:val="38"/>
  </w:num>
  <w:num w:numId="20">
    <w:abstractNumId w:val="4"/>
  </w:num>
  <w:num w:numId="21">
    <w:abstractNumId w:val="58"/>
  </w:num>
  <w:num w:numId="22">
    <w:abstractNumId w:val="5"/>
  </w:num>
  <w:num w:numId="23">
    <w:abstractNumId w:val="21"/>
  </w:num>
  <w:num w:numId="24">
    <w:abstractNumId w:val="60"/>
  </w:num>
  <w:num w:numId="25">
    <w:abstractNumId w:val="50"/>
  </w:num>
  <w:num w:numId="26">
    <w:abstractNumId w:val="53"/>
  </w:num>
  <w:num w:numId="27">
    <w:abstractNumId w:val="3"/>
  </w:num>
  <w:num w:numId="28">
    <w:abstractNumId w:val="22"/>
  </w:num>
  <w:num w:numId="29">
    <w:abstractNumId w:val="25"/>
  </w:num>
  <w:num w:numId="30">
    <w:abstractNumId w:val="6"/>
  </w:num>
  <w:num w:numId="31">
    <w:abstractNumId w:val="0"/>
  </w:num>
  <w:num w:numId="32">
    <w:abstractNumId w:val="7"/>
  </w:num>
  <w:num w:numId="33">
    <w:abstractNumId w:val="34"/>
  </w:num>
  <w:num w:numId="34">
    <w:abstractNumId w:val="68"/>
  </w:num>
  <w:num w:numId="35">
    <w:abstractNumId w:val="23"/>
  </w:num>
  <w:num w:numId="36">
    <w:abstractNumId w:val="30"/>
  </w:num>
  <w:num w:numId="37">
    <w:abstractNumId w:val="65"/>
  </w:num>
  <w:num w:numId="38">
    <w:abstractNumId w:val="24"/>
  </w:num>
  <w:num w:numId="39">
    <w:abstractNumId w:val="62"/>
  </w:num>
  <w:num w:numId="40">
    <w:abstractNumId w:val="67"/>
  </w:num>
  <w:num w:numId="41">
    <w:abstractNumId w:val="19"/>
  </w:num>
  <w:num w:numId="42">
    <w:abstractNumId w:val="29"/>
  </w:num>
  <w:num w:numId="43">
    <w:abstractNumId w:val="41"/>
  </w:num>
  <w:num w:numId="44">
    <w:abstractNumId w:val="32"/>
  </w:num>
  <w:num w:numId="45">
    <w:abstractNumId w:val="37"/>
  </w:num>
  <w:num w:numId="46">
    <w:abstractNumId w:val="20"/>
  </w:num>
  <w:num w:numId="47">
    <w:abstractNumId w:val="57"/>
  </w:num>
  <w:num w:numId="48">
    <w:abstractNumId w:val="49"/>
  </w:num>
  <w:num w:numId="49">
    <w:abstractNumId w:val="33"/>
  </w:num>
  <w:num w:numId="50">
    <w:abstractNumId w:val="2"/>
  </w:num>
  <w:num w:numId="51">
    <w:abstractNumId w:val="31"/>
  </w:num>
  <w:num w:numId="52">
    <w:abstractNumId w:val="28"/>
  </w:num>
  <w:num w:numId="53">
    <w:abstractNumId w:val="61"/>
  </w:num>
  <w:num w:numId="54">
    <w:abstractNumId w:val="8"/>
  </w:num>
  <w:num w:numId="55">
    <w:abstractNumId w:val="10"/>
  </w:num>
  <w:num w:numId="56">
    <w:abstractNumId w:val="51"/>
  </w:num>
  <w:num w:numId="57">
    <w:abstractNumId w:val="14"/>
  </w:num>
  <w:num w:numId="58">
    <w:abstractNumId w:val="64"/>
  </w:num>
  <w:num w:numId="59">
    <w:abstractNumId w:val="26"/>
  </w:num>
  <w:num w:numId="60">
    <w:abstractNumId w:val="12"/>
  </w:num>
  <w:num w:numId="61">
    <w:abstractNumId w:val="39"/>
  </w:num>
  <w:num w:numId="62">
    <w:abstractNumId w:val="45"/>
  </w:num>
  <w:num w:numId="63">
    <w:abstractNumId w:val="42"/>
  </w:num>
  <w:num w:numId="64">
    <w:abstractNumId w:val="15"/>
  </w:num>
  <w:num w:numId="65">
    <w:abstractNumId w:val="9"/>
  </w:num>
  <w:num w:numId="66">
    <w:abstractNumId w:val="16"/>
  </w:num>
  <w:num w:numId="67">
    <w:abstractNumId w:val="36"/>
  </w:num>
  <w:num w:numId="68">
    <w:abstractNumId w:val="47"/>
  </w:num>
  <w:num w:numId="69">
    <w:abstractNumId w:val="11"/>
  </w:num>
  <w:num w:numId="70">
    <w:abstractNumId w:val="6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trackedChange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45B"/>
    <w:rsid w:val="00000C41"/>
    <w:rsid w:val="0000337E"/>
    <w:rsid w:val="00003AFD"/>
    <w:rsid w:val="00007D15"/>
    <w:rsid w:val="000111CE"/>
    <w:rsid w:val="00017B5D"/>
    <w:rsid w:val="000242DB"/>
    <w:rsid w:val="00027EAC"/>
    <w:rsid w:val="000304FA"/>
    <w:rsid w:val="00031DBD"/>
    <w:rsid w:val="00031EA9"/>
    <w:rsid w:val="0003258D"/>
    <w:rsid w:val="00033431"/>
    <w:rsid w:val="000338FB"/>
    <w:rsid w:val="00036781"/>
    <w:rsid w:val="00036E64"/>
    <w:rsid w:val="00040B03"/>
    <w:rsid w:val="0004439D"/>
    <w:rsid w:val="00044625"/>
    <w:rsid w:val="00046141"/>
    <w:rsid w:val="000466AB"/>
    <w:rsid w:val="00051D65"/>
    <w:rsid w:val="0005222E"/>
    <w:rsid w:val="00052604"/>
    <w:rsid w:val="00053834"/>
    <w:rsid w:val="00053989"/>
    <w:rsid w:val="00054813"/>
    <w:rsid w:val="000554ED"/>
    <w:rsid w:val="000574E8"/>
    <w:rsid w:val="0006372E"/>
    <w:rsid w:val="00065AAE"/>
    <w:rsid w:val="00066382"/>
    <w:rsid w:val="00072EC7"/>
    <w:rsid w:val="0007300F"/>
    <w:rsid w:val="00075551"/>
    <w:rsid w:val="00076717"/>
    <w:rsid w:val="000773FF"/>
    <w:rsid w:val="000816A3"/>
    <w:rsid w:val="00085068"/>
    <w:rsid w:val="0008547C"/>
    <w:rsid w:val="00085B8F"/>
    <w:rsid w:val="00087BBD"/>
    <w:rsid w:val="00090BEB"/>
    <w:rsid w:val="000953DB"/>
    <w:rsid w:val="000A289C"/>
    <w:rsid w:val="000A44B9"/>
    <w:rsid w:val="000B16E9"/>
    <w:rsid w:val="000B2398"/>
    <w:rsid w:val="000B58AF"/>
    <w:rsid w:val="000B713F"/>
    <w:rsid w:val="000B7DFE"/>
    <w:rsid w:val="000C175B"/>
    <w:rsid w:val="000C1C01"/>
    <w:rsid w:val="000C28E0"/>
    <w:rsid w:val="000D34D3"/>
    <w:rsid w:val="000D3CC9"/>
    <w:rsid w:val="000D43E3"/>
    <w:rsid w:val="000D53F7"/>
    <w:rsid w:val="000E0D90"/>
    <w:rsid w:val="000E5F58"/>
    <w:rsid w:val="000E6470"/>
    <w:rsid w:val="000E670D"/>
    <w:rsid w:val="000F191F"/>
    <w:rsid w:val="000F2464"/>
    <w:rsid w:val="000F3C9C"/>
    <w:rsid w:val="000F6BDD"/>
    <w:rsid w:val="000F7AF4"/>
    <w:rsid w:val="00100FC9"/>
    <w:rsid w:val="00101BC4"/>
    <w:rsid w:val="00103038"/>
    <w:rsid w:val="001031F0"/>
    <w:rsid w:val="00103589"/>
    <w:rsid w:val="00104CB5"/>
    <w:rsid w:val="0011439A"/>
    <w:rsid w:val="001152D4"/>
    <w:rsid w:val="00116F0A"/>
    <w:rsid w:val="00117FB3"/>
    <w:rsid w:val="001204E1"/>
    <w:rsid w:val="00120F69"/>
    <w:rsid w:val="001228E0"/>
    <w:rsid w:val="00125AC8"/>
    <w:rsid w:val="001261A9"/>
    <w:rsid w:val="00131674"/>
    <w:rsid w:val="00131FF7"/>
    <w:rsid w:val="00141594"/>
    <w:rsid w:val="00142639"/>
    <w:rsid w:val="001434C8"/>
    <w:rsid w:val="001439A3"/>
    <w:rsid w:val="00143F6F"/>
    <w:rsid w:val="001463FB"/>
    <w:rsid w:val="0014651A"/>
    <w:rsid w:val="00146F27"/>
    <w:rsid w:val="00151870"/>
    <w:rsid w:val="001525F4"/>
    <w:rsid w:val="00152720"/>
    <w:rsid w:val="00152EE6"/>
    <w:rsid w:val="0015396A"/>
    <w:rsid w:val="001566D1"/>
    <w:rsid w:val="00156B48"/>
    <w:rsid w:val="00157BD5"/>
    <w:rsid w:val="001603EC"/>
    <w:rsid w:val="00161A89"/>
    <w:rsid w:val="0016280F"/>
    <w:rsid w:val="001642EE"/>
    <w:rsid w:val="001648EA"/>
    <w:rsid w:val="00166D8B"/>
    <w:rsid w:val="00170397"/>
    <w:rsid w:val="00170ABB"/>
    <w:rsid w:val="0017244E"/>
    <w:rsid w:val="00174EA8"/>
    <w:rsid w:val="00174F53"/>
    <w:rsid w:val="00175846"/>
    <w:rsid w:val="00175BD5"/>
    <w:rsid w:val="00176FA4"/>
    <w:rsid w:val="00180AF0"/>
    <w:rsid w:val="00181E96"/>
    <w:rsid w:val="00182AD2"/>
    <w:rsid w:val="001843D2"/>
    <w:rsid w:val="001909C2"/>
    <w:rsid w:val="001927F6"/>
    <w:rsid w:val="001929E9"/>
    <w:rsid w:val="00193910"/>
    <w:rsid w:val="001948C6"/>
    <w:rsid w:val="00197829"/>
    <w:rsid w:val="00197E3E"/>
    <w:rsid w:val="001A1448"/>
    <w:rsid w:val="001A2FEE"/>
    <w:rsid w:val="001A3235"/>
    <w:rsid w:val="001A3309"/>
    <w:rsid w:val="001A63D6"/>
    <w:rsid w:val="001B05C5"/>
    <w:rsid w:val="001B13E8"/>
    <w:rsid w:val="001B295E"/>
    <w:rsid w:val="001B4324"/>
    <w:rsid w:val="001B562D"/>
    <w:rsid w:val="001B701E"/>
    <w:rsid w:val="001B732E"/>
    <w:rsid w:val="001C0ABF"/>
    <w:rsid w:val="001C0E16"/>
    <w:rsid w:val="001C2465"/>
    <w:rsid w:val="001C2ED9"/>
    <w:rsid w:val="001C36FC"/>
    <w:rsid w:val="001C54E3"/>
    <w:rsid w:val="001C5615"/>
    <w:rsid w:val="001C579D"/>
    <w:rsid w:val="001C5DB2"/>
    <w:rsid w:val="001D4DF1"/>
    <w:rsid w:val="001D5A54"/>
    <w:rsid w:val="001D630F"/>
    <w:rsid w:val="001E2AD6"/>
    <w:rsid w:val="001E31DD"/>
    <w:rsid w:val="001E44C4"/>
    <w:rsid w:val="001E518D"/>
    <w:rsid w:val="001F13AD"/>
    <w:rsid w:val="001F35CE"/>
    <w:rsid w:val="001F5841"/>
    <w:rsid w:val="001F5DC7"/>
    <w:rsid w:val="001F5FCD"/>
    <w:rsid w:val="001F6A38"/>
    <w:rsid w:val="002017C4"/>
    <w:rsid w:val="00203B6F"/>
    <w:rsid w:val="00203B7B"/>
    <w:rsid w:val="0020501D"/>
    <w:rsid w:val="00206126"/>
    <w:rsid w:val="00207883"/>
    <w:rsid w:val="00211E8B"/>
    <w:rsid w:val="00212356"/>
    <w:rsid w:val="002152E4"/>
    <w:rsid w:val="0021541A"/>
    <w:rsid w:val="0022315C"/>
    <w:rsid w:val="002234BC"/>
    <w:rsid w:val="0022367A"/>
    <w:rsid w:val="002274D6"/>
    <w:rsid w:val="00230FD8"/>
    <w:rsid w:val="00232403"/>
    <w:rsid w:val="002358F6"/>
    <w:rsid w:val="00235FDA"/>
    <w:rsid w:val="002433FD"/>
    <w:rsid w:val="0024380E"/>
    <w:rsid w:val="0024397A"/>
    <w:rsid w:val="0024437F"/>
    <w:rsid w:val="00247114"/>
    <w:rsid w:val="002475C4"/>
    <w:rsid w:val="00251C05"/>
    <w:rsid w:val="00254CB6"/>
    <w:rsid w:val="00254CF9"/>
    <w:rsid w:val="00262A3A"/>
    <w:rsid w:val="0026311E"/>
    <w:rsid w:val="00271FC2"/>
    <w:rsid w:val="00272497"/>
    <w:rsid w:val="00272DAE"/>
    <w:rsid w:val="002734C3"/>
    <w:rsid w:val="00274439"/>
    <w:rsid w:val="00277A3C"/>
    <w:rsid w:val="00280540"/>
    <w:rsid w:val="00281045"/>
    <w:rsid w:val="00282334"/>
    <w:rsid w:val="0028300D"/>
    <w:rsid w:val="00283E14"/>
    <w:rsid w:val="00284A04"/>
    <w:rsid w:val="00286989"/>
    <w:rsid w:val="00287266"/>
    <w:rsid w:val="00290F45"/>
    <w:rsid w:val="00292B57"/>
    <w:rsid w:val="00292ED8"/>
    <w:rsid w:val="002A112A"/>
    <w:rsid w:val="002A1832"/>
    <w:rsid w:val="002A29ED"/>
    <w:rsid w:val="002A55E8"/>
    <w:rsid w:val="002A63E6"/>
    <w:rsid w:val="002B1009"/>
    <w:rsid w:val="002B1F6B"/>
    <w:rsid w:val="002B2B5F"/>
    <w:rsid w:val="002B2B7F"/>
    <w:rsid w:val="002B3F2C"/>
    <w:rsid w:val="002B4A8E"/>
    <w:rsid w:val="002B4AE4"/>
    <w:rsid w:val="002B6CDF"/>
    <w:rsid w:val="002C1640"/>
    <w:rsid w:val="002C4421"/>
    <w:rsid w:val="002C445E"/>
    <w:rsid w:val="002C7254"/>
    <w:rsid w:val="002D0C52"/>
    <w:rsid w:val="002D67E6"/>
    <w:rsid w:val="002D7504"/>
    <w:rsid w:val="002E16BC"/>
    <w:rsid w:val="002E1DEA"/>
    <w:rsid w:val="002E1E4C"/>
    <w:rsid w:val="002E4E62"/>
    <w:rsid w:val="002E5ECE"/>
    <w:rsid w:val="002E7D8D"/>
    <w:rsid w:val="002F0828"/>
    <w:rsid w:val="002F19C0"/>
    <w:rsid w:val="002F2B65"/>
    <w:rsid w:val="002F45FA"/>
    <w:rsid w:val="002F4BA2"/>
    <w:rsid w:val="002F4F04"/>
    <w:rsid w:val="002F55FF"/>
    <w:rsid w:val="002F5B30"/>
    <w:rsid w:val="002F6167"/>
    <w:rsid w:val="00300144"/>
    <w:rsid w:val="003026EB"/>
    <w:rsid w:val="00302E21"/>
    <w:rsid w:val="003050CB"/>
    <w:rsid w:val="003100CE"/>
    <w:rsid w:val="0031071E"/>
    <w:rsid w:val="0032395A"/>
    <w:rsid w:val="00324B0E"/>
    <w:rsid w:val="003262FE"/>
    <w:rsid w:val="003352B8"/>
    <w:rsid w:val="0033548F"/>
    <w:rsid w:val="00336229"/>
    <w:rsid w:val="00336536"/>
    <w:rsid w:val="003450B8"/>
    <w:rsid w:val="003506D5"/>
    <w:rsid w:val="0035105C"/>
    <w:rsid w:val="00351CAD"/>
    <w:rsid w:val="0035232C"/>
    <w:rsid w:val="00352DF5"/>
    <w:rsid w:val="00353D18"/>
    <w:rsid w:val="003540C6"/>
    <w:rsid w:val="003562B9"/>
    <w:rsid w:val="003610A8"/>
    <w:rsid w:val="00364EDD"/>
    <w:rsid w:val="00366D7A"/>
    <w:rsid w:val="003678DA"/>
    <w:rsid w:val="003734FE"/>
    <w:rsid w:val="00373730"/>
    <w:rsid w:val="003746D2"/>
    <w:rsid w:val="00375AE9"/>
    <w:rsid w:val="00375BDD"/>
    <w:rsid w:val="00377307"/>
    <w:rsid w:val="00377F63"/>
    <w:rsid w:val="00380710"/>
    <w:rsid w:val="00384BA5"/>
    <w:rsid w:val="0038525A"/>
    <w:rsid w:val="003917FA"/>
    <w:rsid w:val="00393247"/>
    <w:rsid w:val="00396473"/>
    <w:rsid w:val="003A095A"/>
    <w:rsid w:val="003A0BED"/>
    <w:rsid w:val="003A6676"/>
    <w:rsid w:val="003B29A9"/>
    <w:rsid w:val="003B40CF"/>
    <w:rsid w:val="003B701B"/>
    <w:rsid w:val="003B75D9"/>
    <w:rsid w:val="003C1BB9"/>
    <w:rsid w:val="003C2449"/>
    <w:rsid w:val="003C7736"/>
    <w:rsid w:val="003D2184"/>
    <w:rsid w:val="003D2987"/>
    <w:rsid w:val="003D58D7"/>
    <w:rsid w:val="003D68C3"/>
    <w:rsid w:val="003D713A"/>
    <w:rsid w:val="003D7EEB"/>
    <w:rsid w:val="003E115F"/>
    <w:rsid w:val="003E1A87"/>
    <w:rsid w:val="003E1C29"/>
    <w:rsid w:val="003E2E11"/>
    <w:rsid w:val="003E366B"/>
    <w:rsid w:val="003E39C7"/>
    <w:rsid w:val="003E5D5F"/>
    <w:rsid w:val="003E61EA"/>
    <w:rsid w:val="003E7482"/>
    <w:rsid w:val="003F01C4"/>
    <w:rsid w:val="003F1FFD"/>
    <w:rsid w:val="003F5F5C"/>
    <w:rsid w:val="003F75CA"/>
    <w:rsid w:val="003F7C1E"/>
    <w:rsid w:val="00400589"/>
    <w:rsid w:val="00402950"/>
    <w:rsid w:val="00404685"/>
    <w:rsid w:val="00410C78"/>
    <w:rsid w:val="004119EF"/>
    <w:rsid w:val="00413244"/>
    <w:rsid w:val="00413DC3"/>
    <w:rsid w:val="00431437"/>
    <w:rsid w:val="004317B7"/>
    <w:rsid w:val="00433170"/>
    <w:rsid w:val="004336A3"/>
    <w:rsid w:val="00435E86"/>
    <w:rsid w:val="0043731E"/>
    <w:rsid w:val="004408AE"/>
    <w:rsid w:val="004437F1"/>
    <w:rsid w:val="004444BE"/>
    <w:rsid w:val="004513C0"/>
    <w:rsid w:val="00451607"/>
    <w:rsid w:val="00451B65"/>
    <w:rsid w:val="004532F6"/>
    <w:rsid w:val="004535BE"/>
    <w:rsid w:val="00454B4D"/>
    <w:rsid w:val="00454CEA"/>
    <w:rsid w:val="00461432"/>
    <w:rsid w:val="004647D9"/>
    <w:rsid w:val="004653BE"/>
    <w:rsid w:val="00465DEC"/>
    <w:rsid w:val="00470025"/>
    <w:rsid w:val="00470440"/>
    <w:rsid w:val="00471656"/>
    <w:rsid w:val="00474608"/>
    <w:rsid w:val="00475A6F"/>
    <w:rsid w:val="00476FF6"/>
    <w:rsid w:val="00482ACC"/>
    <w:rsid w:val="00482E2B"/>
    <w:rsid w:val="00483708"/>
    <w:rsid w:val="00483E47"/>
    <w:rsid w:val="0048530C"/>
    <w:rsid w:val="004855EC"/>
    <w:rsid w:val="004878C0"/>
    <w:rsid w:val="00487965"/>
    <w:rsid w:val="00493983"/>
    <w:rsid w:val="004939FF"/>
    <w:rsid w:val="00496051"/>
    <w:rsid w:val="004972BA"/>
    <w:rsid w:val="00497E2D"/>
    <w:rsid w:val="004A0176"/>
    <w:rsid w:val="004A5104"/>
    <w:rsid w:val="004A659C"/>
    <w:rsid w:val="004B2C03"/>
    <w:rsid w:val="004B34B6"/>
    <w:rsid w:val="004B4C83"/>
    <w:rsid w:val="004B507F"/>
    <w:rsid w:val="004B643E"/>
    <w:rsid w:val="004B6848"/>
    <w:rsid w:val="004B7C50"/>
    <w:rsid w:val="004C1081"/>
    <w:rsid w:val="004C1412"/>
    <w:rsid w:val="004C1E74"/>
    <w:rsid w:val="004C33EE"/>
    <w:rsid w:val="004D1DEE"/>
    <w:rsid w:val="004D2EFE"/>
    <w:rsid w:val="004D419F"/>
    <w:rsid w:val="004D46C2"/>
    <w:rsid w:val="004E4E2A"/>
    <w:rsid w:val="004E698A"/>
    <w:rsid w:val="004E7B6B"/>
    <w:rsid w:val="004E7ED8"/>
    <w:rsid w:val="004F1642"/>
    <w:rsid w:val="004F7607"/>
    <w:rsid w:val="00500F68"/>
    <w:rsid w:val="005012F6"/>
    <w:rsid w:val="005016C4"/>
    <w:rsid w:val="00501BB4"/>
    <w:rsid w:val="00503335"/>
    <w:rsid w:val="0050648A"/>
    <w:rsid w:val="0051091D"/>
    <w:rsid w:val="00510945"/>
    <w:rsid w:val="00513FCD"/>
    <w:rsid w:val="00516956"/>
    <w:rsid w:val="00516DF9"/>
    <w:rsid w:val="0052024A"/>
    <w:rsid w:val="00523BA6"/>
    <w:rsid w:val="005257DE"/>
    <w:rsid w:val="00525A46"/>
    <w:rsid w:val="0052641E"/>
    <w:rsid w:val="005273F2"/>
    <w:rsid w:val="00527820"/>
    <w:rsid w:val="00527ABF"/>
    <w:rsid w:val="00527AF4"/>
    <w:rsid w:val="00531547"/>
    <w:rsid w:val="005320C5"/>
    <w:rsid w:val="00532FE1"/>
    <w:rsid w:val="005343CE"/>
    <w:rsid w:val="005363E5"/>
    <w:rsid w:val="005401A3"/>
    <w:rsid w:val="00540ABD"/>
    <w:rsid w:val="00542700"/>
    <w:rsid w:val="00542CED"/>
    <w:rsid w:val="00543DD2"/>
    <w:rsid w:val="0054511C"/>
    <w:rsid w:val="00545A95"/>
    <w:rsid w:val="00545B65"/>
    <w:rsid w:val="00546246"/>
    <w:rsid w:val="0054644D"/>
    <w:rsid w:val="0054649C"/>
    <w:rsid w:val="00551253"/>
    <w:rsid w:val="00551972"/>
    <w:rsid w:val="005520F6"/>
    <w:rsid w:val="00552F0E"/>
    <w:rsid w:val="005560DE"/>
    <w:rsid w:val="005628B9"/>
    <w:rsid w:val="0056374C"/>
    <w:rsid w:val="005646A2"/>
    <w:rsid w:val="00564D9D"/>
    <w:rsid w:val="00565AA6"/>
    <w:rsid w:val="00571131"/>
    <w:rsid w:val="00573650"/>
    <w:rsid w:val="005748E9"/>
    <w:rsid w:val="00575310"/>
    <w:rsid w:val="00576060"/>
    <w:rsid w:val="00576D3B"/>
    <w:rsid w:val="00576DC9"/>
    <w:rsid w:val="00576E44"/>
    <w:rsid w:val="00577E6B"/>
    <w:rsid w:val="00583A23"/>
    <w:rsid w:val="00584043"/>
    <w:rsid w:val="00585C8F"/>
    <w:rsid w:val="00590677"/>
    <w:rsid w:val="00590A67"/>
    <w:rsid w:val="00593DA3"/>
    <w:rsid w:val="00595EFA"/>
    <w:rsid w:val="0059638F"/>
    <w:rsid w:val="0059648A"/>
    <w:rsid w:val="005A071C"/>
    <w:rsid w:val="005A07A6"/>
    <w:rsid w:val="005A0B99"/>
    <w:rsid w:val="005A223A"/>
    <w:rsid w:val="005A76B4"/>
    <w:rsid w:val="005A7D93"/>
    <w:rsid w:val="005B0692"/>
    <w:rsid w:val="005B0CAE"/>
    <w:rsid w:val="005B29A2"/>
    <w:rsid w:val="005B32EF"/>
    <w:rsid w:val="005B41D2"/>
    <w:rsid w:val="005B42EF"/>
    <w:rsid w:val="005B5239"/>
    <w:rsid w:val="005B6C8F"/>
    <w:rsid w:val="005C1356"/>
    <w:rsid w:val="005C2D4A"/>
    <w:rsid w:val="005C3A16"/>
    <w:rsid w:val="005C3FC8"/>
    <w:rsid w:val="005C68F3"/>
    <w:rsid w:val="005D0AFD"/>
    <w:rsid w:val="005D47A6"/>
    <w:rsid w:val="005D6DC2"/>
    <w:rsid w:val="005D7117"/>
    <w:rsid w:val="005D7540"/>
    <w:rsid w:val="005E00A0"/>
    <w:rsid w:val="005E0DD0"/>
    <w:rsid w:val="005E0FEA"/>
    <w:rsid w:val="005E1724"/>
    <w:rsid w:val="005E3BFD"/>
    <w:rsid w:val="005E4CFE"/>
    <w:rsid w:val="005E5C8D"/>
    <w:rsid w:val="005E6A22"/>
    <w:rsid w:val="005F1F30"/>
    <w:rsid w:val="005F2869"/>
    <w:rsid w:val="005F6E66"/>
    <w:rsid w:val="00600A1D"/>
    <w:rsid w:val="00600FCC"/>
    <w:rsid w:val="006024E4"/>
    <w:rsid w:val="00604546"/>
    <w:rsid w:val="006045B0"/>
    <w:rsid w:val="0060670F"/>
    <w:rsid w:val="00607DF3"/>
    <w:rsid w:val="006108F6"/>
    <w:rsid w:val="00611CB5"/>
    <w:rsid w:val="00613755"/>
    <w:rsid w:val="0061458B"/>
    <w:rsid w:val="00616FFC"/>
    <w:rsid w:val="006176A5"/>
    <w:rsid w:val="006207B7"/>
    <w:rsid w:val="00620BC2"/>
    <w:rsid w:val="00620FA9"/>
    <w:rsid w:val="00622E26"/>
    <w:rsid w:val="00625868"/>
    <w:rsid w:val="00626698"/>
    <w:rsid w:val="00627CE1"/>
    <w:rsid w:val="006320CE"/>
    <w:rsid w:val="00632BE0"/>
    <w:rsid w:val="00633A66"/>
    <w:rsid w:val="006341F0"/>
    <w:rsid w:val="00635867"/>
    <w:rsid w:val="006371F1"/>
    <w:rsid w:val="00641491"/>
    <w:rsid w:val="00642808"/>
    <w:rsid w:val="00644F60"/>
    <w:rsid w:val="00646101"/>
    <w:rsid w:val="00651732"/>
    <w:rsid w:val="00651FDF"/>
    <w:rsid w:val="00653217"/>
    <w:rsid w:val="00653E0F"/>
    <w:rsid w:val="006541D0"/>
    <w:rsid w:val="0065503C"/>
    <w:rsid w:val="00655256"/>
    <w:rsid w:val="006622C9"/>
    <w:rsid w:val="0066269B"/>
    <w:rsid w:val="00664546"/>
    <w:rsid w:val="00670A33"/>
    <w:rsid w:val="0067126E"/>
    <w:rsid w:val="00671ED0"/>
    <w:rsid w:val="006725B5"/>
    <w:rsid w:val="00673B8C"/>
    <w:rsid w:val="00674400"/>
    <w:rsid w:val="0067660F"/>
    <w:rsid w:val="00676C59"/>
    <w:rsid w:val="00680087"/>
    <w:rsid w:val="00681FB1"/>
    <w:rsid w:val="00682E26"/>
    <w:rsid w:val="00682F23"/>
    <w:rsid w:val="00686E75"/>
    <w:rsid w:val="00690987"/>
    <w:rsid w:val="00690AA3"/>
    <w:rsid w:val="00692025"/>
    <w:rsid w:val="006923CB"/>
    <w:rsid w:val="00692634"/>
    <w:rsid w:val="006929C1"/>
    <w:rsid w:val="0069725E"/>
    <w:rsid w:val="006A1664"/>
    <w:rsid w:val="006A27B5"/>
    <w:rsid w:val="006A2B7E"/>
    <w:rsid w:val="006A3BD6"/>
    <w:rsid w:val="006A5A03"/>
    <w:rsid w:val="006A6FD5"/>
    <w:rsid w:val="006B0C90"/>
    <w:rsid w:val="006B3516"/>
    <w:rsid w:val="006B45CB"/>
    <w:rsid w:val="006B5259"/>
    <w:rsid w:val="006B5950"/>
    <w:rsid w:val="006B6FC4"/>
    <w:rsid w:val="006C077D"/>
    <w:rsid w:val="006C08D1"/>
    <w:rsid w:val="006C2A75"/>
    <w:rsid w:val="006C307B"/>
    <w:rsid w:val="006C31C3"/>
    <w:rsid w:val="006C333C"/>
    <w:rsid w:val="006C5F6C"/>
    <w:rsid w:val="006C6EA9"/>
    <w:rsid w:val="006D0EEC"/>
    <w:rsid w:val="006D13D9"/>
    <w:rsid w:val="006D38E4"/>
    <w:rsid w:val="006D3FC5"/>
    <w:rsid w:val="006D58A0"/>
    <w:rsid w:val="006D78F8"/>
    <w:rsid w:val="006E281C"/>
    <w:rsid w:val="006E35B9"/>
    <w:rsid w:val="006E37C3"/>
    <w:rsid w:val="006E3D28"/>
    <w:rsid w:val="006E3E53"/>
    <w:rsid w:val="006E4FCB"/>
    <w:rsid w:val="006E6DB3"/>
    <w:rsid w:val="006E791A"/>
    <w:rsid w:val="006E7C8B"/>
    <w:rsid w:val="006F09A0"/>
    <w:rsid w:val="006F210D"/>
    <w:rsid w:val="006F4087"/>
    <w:rsid w:val="006F4A9A"/>
    <w:rsid w:val="006F795B"/>
    <w:rsid w:val="007000B2"/>
    <w:rsid w:val="00702134"/>
    <w:rsid w:val="00702805"/>
    <w:rsid w:val="00704540"/>
    <w:rsid w:val="00704EAF"/>
    <w:rsid w:val="007050CB"/>
    <w:rsid w:val="00705FE1"/>
    <w:rsid w:val="0071226B"/>
    <w:rsid w:val="00713ACC"/>
    <w:rsid w:val="007143CA"/>
    <w:rsid w:val="007204B7"/>
    <w:rsid w:val="00722C95"/>
    <w:rsid w:val="0072358D"/>
    <w:rsid w:val="007269A2"/>
    <w:rsid w:val="00730630"/>
    <w:rsid w:val="00730B70"/>
    <w:rsid w:val="00732AA9"/>
    <w:rsid w:val="00734414"/>
    <w:rsid w:val="007347DD"/>
    <w:rsid w:val="0073698C"/>
    <w:rsid w:val="00744B01"/>
    <w:rsid w:val="00744F01"/>
    <w:rsid w:val="00745557"/>
    <w:rsid w:val="00745794"/>
    <w:rsid w:val="007459D2"/>
    <w:rsid w:val="00745AD0"/>
    <w:rsid w:val="00745D05"/>
    <w:rsid w:val="007463A1"/>
    <w:rsid w:val="00750C6B"/>
    <w:rsid w:val="00753BB3"/>
    <w:rsid w:val="0076023F"/>
    <w:rsid w:val="00760291"/>
    <w:rsid w:val="007609F2"/>
    <w:rsid w:val="00760D81"/>
    <w:rsid w:val="00763038"/>
    <w:rsid w:val="00764437"/>
    <w:rsid w:val="00764708"/>
    <w:rsid w:val="00770CE2"/>
    <w:rsid w:val="00771D3B"/>
    <w:rsid w:val="0077292B"/>
    <w:rsid w:val="00773C74"/>
    <w:rsid w:val="0077723E"/>
    <w:rsid w:val="00777A66"/>
    <w:rsid w:val="00777C1F"/>
    <w:rsid w:val="00780278"/>
    <w:rsid w:val="00780FC7"/>
    <w:rsid w:val="00782F07"/>
    <w:rsid w:val="00785B32"/>
    <w:rsid w:val="00786D6A"/>
    <w:rsid w:val="00790F59"/>
    <w:rsid w:val="007915F4"/>
    <w:rsid w:val="007936E1"/>
    <w:rsid w:val="00797DFE"/>
    <w:rsid w:val="007A32D5"/>
    <w:rsid w:val="007A44E0"/>
    <w:rsid w:val="007A744F"/>
    <w:rsid w:val="007B0352"/>
    <w:rsid w:val="007B404F"/>
    <w:rsid w:val="007B55E1"/>
    <w:rsid w:val="007B5E00"/>
    <w:rsid w:val="007D052D"/>
    <w:rsid w:val="007D0925"/>
    <w:rsid w:val="007D1CD7"/>
    <w:rsid w:val="007D2423"/>
    <w:rsid w:val="007D3BDF"/>
    <w:rsid w:val="007D6F63"/>
    <w:rsid w:val="007D79F3"/>
    <w:rsid w:val="007D7B69"/>
    <w:rsid w:val="007E0D61"/>
    <w:rsid w:val="007E267D"/>
    <w:rsid w:val="007E6F80"/>
    <w:rsid w:val="007F251D"/>
    <w:rsid w:val="007F3158"/>
    <w:rsid w:val="007F39A4"/>
    <w:rsid w:val="007F3A2E"/>
    <w:rsid w:val="007F44A1"/>
    <w:rsid w:val="00800ED5"/>
    <w:rsid w:val="008017E3"/>
    <w:rsid w:val="00802B3E"/>
    <w:rsid w:val="00802EA6"/>
    <w:rsid w:val="00802FBF"/>
    <w:rsid w:val="008054E6"/>
    <w:rsid w:val="008055E2"/>
    <w:rsid w:val="0080640F"/>
    <w:rsid w:val="008106B9"/>
    <w:rsid w:val="00811DBE"/>
    <w:rsid w:val="00815EA8"/>
    <w:rsid w:val="00817B0F"/>
    <w:rsid w:val="008223E6"/>
    <w:rsid w:val="00824029"/>
    <w:rsid w:val="008277E4"/>
    <w:rsid w:val="00832298"/>
    <w:rsid w:val="008328B8"/>
    <w:rsid w:val="00832F39"/>
    <w:rsid w:val="008330CA"/>
    <w:rsid w:val="008335AE"/>
    <w:rsid w:val="00834AE7"/>
    <w:rsid w:val="008437ED"/>
    <w:rsid w:val="00845BB5"/>
    <w:rsid w:val="00846726"/>
    <w:rsid w:val="008469CD"/>
    <w:rsid w:val="00847010"/>
    <w:rsid w:val="00847672"/>
    <w:rsid w:val="00851808"/>
    <w:rsid w:val="00851AA0"/>
    <w:rsid w:val="00853022"/>
    <w:rsid w:val="00853D07"/>
    <w:rsid w:val="008568C2"/>
    <w:rsid w:val="00857332"/>
    <w:rsid w:val="008607D1"/>
    <w:rsid w:val="00860C84"/>
    <w:rsid w:val="008611A4"/>
    <w:rsid w:val="0086619B"/>
    <w:rsid w:val="00870030"/>
    <w:rsid w:val="008701F4"/>
    <w:rsid w:val="0087067B"/>
    <w:rsid w:val="00871120"/>
    <w:rsid w:val="00875F45"/>
    <w:rsid w:val="0088041B"/>
    <w:rsid w:val="00880791"/>
    <w:rsid w:val="00880C05"/>
    <w:rsid w:val="008836E7"/>
    <w:rsid w:val="008843E0"/>
    <w:rsid w:val="0088449C"/>
    <w:rsid w:val="00885FF5"/>
    <w:rsid w:val="008877D9"/>
    <w:rsid w:val="008902B6"/>
    <w:rsid w:val="00891319"/>
    <w:rsid w:val="00891CDD"/>
    <w:rsid w:val="008923BF"/>
    <w:rsid w:val="00892F9F"/>
    <w:rsid w:val="00893F33"/>
    <w:rsid w:val="00897EC3"/>
    <w:rsid w:val="008A033F"/>
    <w:rsid w:val="008A062B"/>
    <w:rsid w:val="008A2890"/>
    <w:rsid w:val="008A2A47"/>
    <w:rsid w:val="008A6B52"/>
    <w:rsid w:val="008B1D43"/>
    <w:rsid w:val="008C14D6"/>
    <w:rsid w:val="008C5A68"/>
    <w:rsid w:val="008C61F0"/>
    <w:rsid w:val="008D04DC"/>
    <w:rsid w:val="008D1912"/>
    <w:rsid w:val="008D321F"/>
    <w:rsid w:val="008D483D"/>
    <w:rsid w:val="008D4F4D"/>
    <w:rsid w:val="008D5A89"/>
    <w:rsid w:val="008D71AA"/>
    <w:rsid w:val="008D7D45"/>
    <w:rsid w:val="008E2B36"/>
    <w:rsid w:val="008E2C5D"/>
    <w:rsid w:val="008E4450"/>
    <w:rsid w:val="008E46AF"/>
    <w:rsid w:val="008E4A9C"/>
    <w:rsid w:val="008E6298"/>
    <w:rsid w:val="008E6B11"/>
    <w:rsid w:val="008E7D4C"/>
    <w:rsid w:val="008E7E64"/>
    <w:rsid w:val="008E7F39"/>
    <w:rsid w:val="008F205D"/>
    <w:rsid w:val="008F3834"/>
    <w:rsid w:val="008F491B"/>
    <w:rsid w:val="00900820"/>
    <w:rsid w:val="0090085E"/>
    <w:rsid w:val="00900C1E"/>
    <w:rsid w:val="00902FC1"/>
    <w:rsid w:val="009044F2"/>
    <w:rsid w:val="00905FF5"/>
    <w:rsid w:val="009074CD"/>
    <w:rsid w:val="00907541"/>
    <w:rsid w:val="00907D3B"/>
    <w:rsid w:val="00907F82"/>
    <w:rsid w:val="00910D19"/>
    <w:rsid w:val="0091148A"/>
    <w:rsid w:val="00911F89"/>
    <w:rsid w:val="00912E2F"/>
    <w:rsid w:val="0091319D"/>
    <w:rsid w:val="00914948"/>
    <w:rsid w:val="009171E3"/>
    <w:rsid w:val="0092197E"/>
    <w:rsid w:val="00922EF1"/>
    <w:rsid w:val="009257D7"/>
    <w:rsid w:val="00927A15"/>
    <w:rsid w:val="00930CFD"/>
    <w:rsid w:val="009329B7"/>
    <w:rsid w:val="00934EC6"/>
    <w:rsid w:val="00936A25"/>
    <w:rsid w:val="009401C9"/>
    <w:rsid w:val="00945261"/>
    <w:rsid w:val="009528DB"/>
    <w:rsid w:val="00953663"/>
    <w:rsid w:val="00953678"/>
    <w:rsid w:val="00953DE7"/>
    <w:rsid w:val="00955051"/>
    <w:rsid w:val="009562FC"/>
    <w:rsid w:val="00957DF8"/>
    <w:rsid w:val="00964813"/>
    <w:rsid w:val="00964A9F"/>
    <w:rsid w:val="00966D4E"/>
    <w:rsid w:val="00972237"/>
    <w:rsid w:val="00972961"/>
    <w:rsid w:val="00972B74"/>
    <w:rsid w:val="009809C1"/>
    <w:rsid w:val="00982FDD"/>
    <w:rsid w:val="00983A76"/>
    <w:rsid w:val="00993EF7"/>
    <w:rsid w:val="00994B3E"/>
    <w:rsid w:val="009973C4"/>
    <w:rsid w:val="00997824"/>
    <w:rsid w:val="009978F3"/>
    <w:rsid w:val="009A0B5C"/>
    <w:rsid w:val="009A1A30"/>
    <w:rsid w:val="009A222A"/>
    <w:rsid w:val="009A2324"/>
    <w:rsid w:val="009A5641"/>
    <w:rsid w:val="009A6556"/>
    <w:rsid w:val="009B1467"/>
    <w:rsid w:val="009B2909"/>
    <w:rsid w:val="009B4E82"/>
    <w:rsid w:val="009B71CB"/>
    <w:rsid w:val="009B77CC"/>
    <w:rsid w:val="009B7DE3"/>
    <w:rsid w:val="009B7F53"/>
    <w:rsid w:val="009C10A3"/>
    <w:rsid w:val="009C17AC"/>
    <w:rsid w:val="009C2236"/>
    <w:rsid w:val="009C2DD4"/>
    <w:rsid w:val="009C4727"/>
    <w:rsid w:val="009C483E"/>
    <w:rsid w:val="009C4856"/>
    <w:rsid w:val="009C49A4"/>
    <w:rsid w:val="009C5D95"/>
    <w:rsid w:val="009D0C16"/>
    <w:rsid w:val="009D0DEB"/>
    <w:rsid w:val="009D0FDE"/>
    <w:rsid w:val="009D2356"/>
    <w:rsid w:val="009D2D28"/>
    <w:rsid w:val="009D2F82"/>
    <w:rsid w:val="009D46E5"/>
    <w:rsid w:val="009D4B49"/>
    <w:rsid w:val="009D6BFF"/>
    <w:rsid w:val="009D7470"/>
    <w:rsid w:val="009E16F7"/>
    <w:rsid w:val="009E222A"/>
    <w:rsid w:val="009E2ABA"/>
    <w:rsid w:val="009E4AC2"/>
    <w:rsid w:val="009F1E17"/>
    <w:rsid w:val="009F2960"/>
    <w:rsid w:val="009F37AF"/>
    <w:rsid w:val="009F37FD"/>
    <w:rsid w:val="009F5DAA"/>
    <w:rsid w:val="00A01884"/>
    <w:rsid w:val="00A03094"/>
    <w:rsid w:val="00A034DA"/>
    <w:rsid w:val="00A04B13"/>
    <w:rsid w:val="00A066A8"/>
    <w:rsid w:val="00A06928"/>
    <w:rsid w:val="00A07E4A"/>
    <w:rsid w:val="00A104AA"/>
    <w:rsid w:val="00A11561"/>
    <w:rsid w:val="00A134FC"/>
    <w:rsid w:val="00A139CE"/>
    <w:rsid w:val="00A13BED"/>
    <w:rsid w:val="00A140E2"/>
    <w:rsid w:val="00A14952"/>
    <w:rsid w:val="00A15757"/>
    <w:rsid w:val="00A15E0D"/>
    <w:rsid w:val="00A22457"/>
    <w:rsid w:val="00A22E21"/>
    <w:rsid w:val="00A240DA"/>
    <w:rsid w:val="00A244F3"/>
    <w:rsid w:val="00A25CD2"/>
    <w:rsid w:val="00A268AE"/>
    <w:rsid w:val="00A274A7"/>
    <w:rsid w:val="00A27608"/>
    <w:rsid w:val="00A2793A"/>
    <w:rsid w:val="00A304AB"/>
    <w:rsid w:val="00A31888"/>
    <w:rsid w:val="00A31B56"/>
    <w:rsid w:val="00A3286B"/>
    <w:rsid w:val="00A32DB1"/>
    <w:rsid w:val="00A35340"/>
    <w:rsid w:val="00A35851"/>
    <w:rsid w:val="00A405AD"/>
    <w:rsid w:val="00A4089D"/>
    <w:rsid w:val="00A41CC3"/>
    <w:rsid w:val="00A43917"/>
    <w:rsid w:val="00A439DE"/>
    <w:rsid w:val="00A4480C"/>
    <w:rsid w:val="00A44D36"/>
    <w:rsid w:val="00A47309"/>
    <w:rsid w:val="00A51F8F"/>
    <w:rsid w:val="00A523F6"/>
    <w:rsid w:val="00A5361F"/>
    <w:rsid w:val="00A53D42"/>
    <w:rsid w:val="00A559D4"/>
    <w:rsid w:val="00A56D45"/>
    <w:rsid w:val="00A57142"/>
    <w:rsid w:val="00A60080"/>
    <w:rsid w:val="00A604B7"/>
    <w:rsid w:val="00A60DB3"/>
    <w:rsid w:val="00A61894"/>
    <w:rsid w:val="00A61EAB"/>
    <w:rsid w:val="00A64D71"/>
    <w:rsid w:val="00A65C22"/>
    <w:rsid w:val="00A71269"/>
    <w:rsid w:val="00A73709"/>
    <w:rsid w:val="00A761FD"/>
    <w:rsid w:val="00A7720A"/>
    <w:rsid w:val="00A8026E"/>
    <w:rsid w:val="00A8135A"/>
    <w:rsid w:val="00A865E0"/>
    <w:rsid w:val="00A87B94"/>
    <w:rsid w:val="00A90F48"/>
    <w:rsid w:val="00A9107C"/>
    <w:rsid w:val="00A91DC1"/>
    <w:rsid w:val="00A92DB9"/>
    <w:rsid w:val="00A939D8"/>
    <w:rsid w:val="00AA6910"/>
    <w:rsid w:val="00AB3DE3"/>
    <w:rsid w:val="00AB4F06"/>
    <w:rsid w:val="00AB5112"/>
    <w:rsid w:val="00AB5ABD"/>
    <w:rsid w:val="00AB6CE4"/>
    <w:rsid w:val="00AC0293"/>
    <w:rsid w:val="00AC04F6"/>
    <w:rsid w:val="00AC09BE"/>
    <w:rsid w:val="00AC1A9A"/>
    <w:rsid w:val="00AC2453"/>
    <w:rsid w:val="00AC5D6C"/>
    <w:rsid w:val="00AC6CFE"/>
    <w:rsid w:val="00AC7B10"/>
    <w:rsid w:val="00AD1D0B"/>
    <w:rsid w:val="00AD317D"/>
    <w:rsid w:val="00AD51E8"/>
    <w:rsid w:val="00AD5B12"/>
    <w:rsid w:val="00AD6B97"/>
    <w:rsid w:val="00AD7B4C"/>
    <w:rsid w:val="00AE04E9"/>
    <w:rsid w:val="00AE495F"/>
    <w:rsid w:val="00AE4E63"/>
    <w:rsid w:val="00AE7CDF"/>
    <w:rsid w:val="00AF2E5D"/>
    <w:rsid w:val="00AF3E43"/>
    <w:rsid w:val="00AF54E3"/>
    <w:rsid w:val="00AF5B7C"/>
    <w:rsid w:val="00AF5B89"/>
    <w:rsid w:val="00B06F09"/>
    <w:rsid w:val="00B104AE"/>
    <w:rsid w:val="00B10B3D"/>
    <w:rsid w:val="00B11799"/>
    <w:rsid w:val="00B11E2D"/>
    <w:rsid w:val="00B15726"/>
    <w:rsid w:val="00B15B5C"/>
    <w:rsid w:val="00B16693"/>
    <w:rsid w:val="00B2064E"/>
    <w:rsid w:val="00B232B5"/>
    <w:rsid w:val="00B232D4"/>
    <w:rsid w:val="00B249DD"/>
    <w:rsid w:val="00B24C6F"/>
    <w:rsid w:val="00B265BE"/>
    <w:rsid w:val="00B269A3"/>
    <w:rsid w:val="00B26B69"/>
    <w:rsid w:val="00B27405"/>
    <w:rsid w:val="00B27F0E"/>
    <w:rsid w:val="00B318A8"/>
    <w:rsid w:val="00B3234C"/>
    <w:rsid w:val="00B326B9"/>
    <w:rsid w:val="00B32BCB"/>
    <w:rsid w:val="00B353D1"/>
    <w:rsid w:val="00B36255"/>
    <w:rsid w:val="00B37632"/>
    <w:rsid w:val="00B42B1A"/>
    <w:rsid w:val="00B433BF"/>
    <w:rsid w:val="00B5284C"/>
    <w:rsid w:val="00B54695"/>
    <w:rsid w:val="00B55D4E"/>
    <w:rsid w:val="00B55FDB"/>
    <w:rsid w:val="00B576D8"/>
    <w:rsid w:val="00B641BD"/>
    <w:rsid w:val="00B658CC"/>
    <w:rsid w:val="00B72CD2"/>
    <w:rsid w:val="00B72F3E"/>
    <w:rsid w:val="00B777C5"/>
    <w:rsid w:val="00B77964"/>
    <w:rsid w:val="00B81D69"/>
    <w:rsid w:val="00B82AE7"/>
    <w:rsid w:val="00B8473F"/>
    <w:rsid w:val="00B84931"/>
    <w:rsid w:val="00B85B19"/>
    <w:rsid w:val="00B85C67"/>
    <w:rsid w:val="00B85CFB"/>
    <w:rsid w:val="00B869A3"/>
    <w:rsid w:val="00B87B32"/>
    <w:rsid w:val="00B905F9"/>
    <w:rsid w:val="00B925A0"/>
    <w:rsid w:val="00B93928"/>
    <w:rsid w:val="00B969AA"/>
    <w:rsid w:val="00B9712C"/>
    <w:rsid w:val="00BA2075"/>
    <w:rsid w:val="00BA47C6"/>
    <w:rsid w:val="00BB13BF"/>
    <w:rsid w:val="00BB163A"/>
    <w:rsid w:val="00BB2767"/>
    <w:rsid w:val="00BB2A15"/>
    <w:rsid w:val="00BB400C"/>
    <w:rsid w:val="00BC20E4"/>
    <w:rsid w:val="00BC2A88"/>
    <w:rsid w:val="00BC2D64"/>
    <w:rsid w:val="00BC3E25"/>
    <w:rsid w:val="00BC73D1"/>
    <w:rsid w:val="00BD030B"/>
    <w:rsid w:val="00BD0AD0"/>
    <w:rsid w:val="00BD0D9C"/>
    <w:rsid w:val="00BD30FC"/>
    <w:rsid w:val="00BD50CD"/>
    <w:rsid w:val="00BD724A"/>
    <w:rsid w:val="00BE0E37"/>
    <w:rsid w:val="00BE1417"/>
    <w:rsid w:val="00BE1425"/>
    <w:rsid w:val="00BE4223"/>
    <w:rsid w:val="00BE47F2"/>
    <w:rsid w:val="00BE69EC"/>
    <w:rsid w:val="00BE7881"/>
    <w:rsid w:val="00BF0E06"/>
    <w:rsid w:val="00BF1810"/>
    <w:rsid w:val="00BF1FC7"/>
    <w:rsid w:val="00BF417A"/>
    <w:rsid w:val="00BF5A9B"/>
    <w:rsid w:val="00BF5BFA"/>
    <w:rsid w:val="00C03716"/>
    <w:rsid w:val="00C039D8"/>
    <w:rsid w:val="00C1188E"/>
    <w:rsid w:val="00C20377"/>
    <w:rsid w:val="00C2045B"/>
    <w:rsid w:val="00C21873"/>
    <w:rsid w:val="00C21DA6"/>
    <w:rsid w:val="00C22B0B"/>
    <w:rsid w:val="00C23962"/>
    <w:rsid w:val="00C2464A"/>
    <w:rsid w:val="00C26EF4"/>
    <w:rsid w:val="00C26F8C"/>
    <w:rsid w:val="00C31698"/>
    <w:rsid w:val="00C32F8D"/>
    <w:rsid w:val="00C35CFF"/>
    <w:rsid w:val="00C3735C"/>
    <w:rsid w:val="00C41B19"/>
    <w:rsid w:val="00C43C42"/>
    <w:rsid w:val="00C476FB"/>
    <w:rsid w:val="00C53DF2"/>
    <w:rsid w:val="00C56593"/>
    <w:rsid w:val="00C62E9F"/>
    <w:rsid w:val="00C638B8"/>
    <w:rsid w:val="00C651BD"/>
    <w:rsid w:val="00C66537"/>
    <w:rsid w:val="00C71197"/>
    <w:rsid w:val="00C71859"/>
    <w:rsid w:val="00C73E5E"/>
    <w:rsid w:val="00C740DF"/>
    <w:rsid w:val="00C74419"/>
    <w:rsid w:val="00C752B9"/>
    <w:rsid w:val="00C75D86"/>
    <w:rsid w:val="00C76DB3"/>
    <w:rsid w:val="00C77189"/>
    <w:rsid w:val="00C81665"/>
    <w:rsid w:val="00C824BA"/>
    <w:rsid w:val="00C864FF"/>
    <w:rsid w:val="00C90035"/>
    <w:rsid w:val="00C9422A"/>
    <w:rsid w:val="00C95640"/>
    <w:rsid w:val="00C960E4"/>
    <w:rsid w:val="00CA129F"/>
    <w:rsid w:val="00CA2284"/>
    <w:rsid w:val="00CA23DE"/>
    <w:rsid w:val="00CA2916"/>
    <w:rsid w:val="00CA2E10"/>
    <w:rsid w:val="00CA4F91"/>
    <w:rsid w:val="00CB2B7C"/>
    <w:rsid w:val="00CB349E"/>
    <w:rsid w:val="00CB34F8"/>
    <w:rsid w:val="00CB603B"/>
    <w:rsid w:val="00CC3D36"/>
    <w:rsid w:val="00CC5904"/>
    <w:rsid w:val="00CC6009"/>
    <w:rsid w:val="00CD0523"/>
    <w:rsid w:val="00CE0F4D"/>
    <w:rsid w:val="00CE2387"/>
    <w:rsid w:val="00CE3AF1"/>
    <w:rsid w:val="00CE4553"/>
    <w:rsid w:val="00CE56C5"/>
    <w:rsid w:val="00CE65F6"/>
    <w:rsid w:val="00CE7362"/>
    <w:rsid w:val="00CF0D96"/>
    <w:rsid w:val="00CF2E73"/>
    <w:rsid w:val="00CF32A5"/>
    <w:rsid w:val="00CF4833"/>
    <w:rsid w:val="00D036D2"/>
    <w:rsid w:val="00D03DB6"/>
    <w:rsid w:val="00D0503C"/>
    <w:rsid w:val="00D066F3"/>
    <w:rsid w:val="00D0732B"/>
    <w:rsid w:val="00D07765"/>
    <w:rsid w:val="00D101A4"/>
    <w:rsid w:val="00D13422"/>
    <w:rsid w:val="00D14540"/>
    <w:rsid w:val="00D1464A"/>
    <w:rsid w:val="00D15389"/>
    <w:rsid w:val="00D20290"/>
    <w:rsid w:val="00D20572"/>
    <w:rsid w:val="00D20D04"/>
    <w:rsid w:val="00D214B6"/>
    <w:rsid w:val="00D21982"/>
    <w:rsid w:val="00D23B37"/>
    <w:rsid w:val="00D23DDE"/>
    <w:rsid w:val="00D24E4F"/>
    <w:rsid w:val="00D26FB9"/>
    <w:rsid w:val="00D27304"/>
    <w:rsid w:val="00D32979"/>
    <w:rsid w:val="00D32E49"/>
    <w:rsid w:val="00D3710C"/>
    <w:rsid w:val="00D374C8"/>
    <w:rsid w:val="00D37B1D"/>
    <w:rsid w:val="00D37EB0"/>
    <w:rsid w:val="00D400F5"/>
    <w:rsid w:val="00D41E42"/>
    <w:rsid w:val="00D41F8C"/>
    <w:rsid w:val="00D43AD0"/>
    <w:rsid w:val="00D43EF5"/>
    <w:rsid w:val="00D43FBC"/>
    <w:rsid w:val="00D44E63"/>
    <w:rsid w:val="00D47AB6"/>
    <w:rsid w:val="00D50EAA"/>
    <w:rsid w:val="00D50ED3"/>
    <w:rsid w:val="00D53499"/>
    <w:rsid w:val="00D54268"/>
    <w:rsid w:val="00D54F0C"/>
    <w:rsid w:val="00D5564D"/>
    <w:rsid w:val="00D5589C"/>
    <w:rsid w:val="00D57BED"/>
    <w:rsid w:val="00D61099"/>
    <w:rsid w:val="00D65837"/>
    <w:rsid w:val="00D70D66"/>
    <w:rsid w:val="00D71980"/>
    <w:rsid w:val="00D75346"/>
    <w:rsid w:val="00D766CC"/>
    <w:rsid w:val="00D80BB8"/>
    <w:rsid w:val="00D832E7"/>
    <w:rsid w:val="00D837D0"/>
    <w:rsid w:val="00D8771E"/>
    <w:rsid w:val="00D87C85"/>
    <w:rsid w:val="00D907D2"/>
    <w:rsid w:val="00D9096A"/>
    <w:rsid w:val="00D922A4"/>
    <w:rsid w:val="00D9274E"/>
    <w:rsid w:val="00D92B32"/>
    <w:rsid w:val="00D93735"/>
    <w:rsid w:val="00D940B1"/>
    <w:rsid w:val="00D942C9"/>
    <w:rsid w:val="00DA0F54"/>
    <w:rsid w:val="00DA12F5"/>
    <w:rsid w:val="00DA18AD"/>
    <w:rsid w:val="00DA193C"/>
    <w:rsid w:val="00DA2046"/>
    <w:rsid w:val="00DA3701"/>
    <w:rsid w:val="00DA3DD1"/>
    <w:rsid w:val="00DA4F0A"/>
    <w:rsid w:val="00DA67E4"/>
    <w:rsid w:val="00DB0CE5"/>
    <w:rsid w:val="00DB707B"/>
    <w:rsid w:val="00DB770C"/>
    <w:rsid w:val="00DC132E"/>
    <w:rsid w:val="00DC3155"/>
    <w:rsid w:val="00DC53B9"/>
    <w:rsid w:val="00DC5EEB"/>
    <w:rsid w:val="00DC62FA"/>
    <w:rsid w:val="00DC63E8"/>
    <w:rsid w:val="00DD0D93"/>
    <w:rsid w:val="00DD2EF0"/>
    <w:rsid w:val="00DD34D4"/>
    <w:rsid w:val="00DD5885"/>
    <w:rsid w:val="00DD60A4"/>
    <w:rsid w:val="00DD61B8"/>
    <w:rsid w:val="00DD6B0D"/>
    <w:rsid w:val="00DD7A19"/>
    <w:rsid w:val="00DE02A0"/>
    <w:rsid w:val="00DE04E5"/>
    <w:rsid w:val="00DE1746"/>
    <w:rsid w:val="00DE1921"/>
    <w:rsid w:val="00DE30EB"/>
    <w:rsid w:val="00DE31FB"/>
    <w:rsid w:val="00DE3418"/>
    <w:rsid w:val="00DE59EF"/>
    <w:rsid w:val="00DE5C7D"/>
    <w:rsid w:val="00DF0345"/>
    <w:rsid w:val="00DF45E9"/>
    <w:rsid w:val="00DF675E"/>
    <w:rsid w:val="00E04DD0"/>
    <w:rsid w:val="00E04E64"/>
    <w:rsid w:val="00E1017C"/>
    <w:rsid w:val="00E130B1"/>
    <w:rsid w:val="00E136EB"/>
    <w:rsid w:val="00E16AB5"/>
    <w:rsid w:val="00E17428"/>
    <w:rsid w:val="00E2266C"/>
    <w:rsid w:val="00E24835"/>
    <w:rsid w:val="00E2504B"/>
    <w:rsid w:val="00E261B3"/>
    <w:rsid w:val="00E26643"/>
    <w:rsid w:val="00E26946"/>
    <w:rsid w:val="00E270E2"/>
    <w:rsid w:val="00E306ED"/>
    <w:rsid w:val="00E31885"/>
    <w:rsid w:val="00E31C6C"/>
    <w:rsid w:val="00E334D2"/>
    <w:rsid w:val="00E334DA"/>
    <w:rsid w:val="00E36206"/>
    <w:rsid w:val="00E42382"/>
    <w:rsid w:val="00E42FE7"/>
    <w:rsid w:val="00E43236"/>
    <w:rsid w:val="00E46158"/>
    <w:rsid w:val="00E46952"/>
    <w:rsid w:val="00E46A63"/>
    <w:rsid w:val="00E47A26"/>
    <w:rsid w:val="00E47AD6"/>
    <w:rsid w:val="00E502D7"/>
    <w:rsid w:val="00E54187"/>
    <w:rsid w:val="00E54B50"/>
    <w:rsid w:val="00E54CB5"/>
    <w:rsid w:val="00E569DE"/>
    <w:rsid w:val="00E61872"/>
    <w:rsid w:val="00E625E1"/>
    <w:rsid w:val="00E62F59"/>
    <w:rsid w:val="00E63F46"/>
    <w:rsid w:val="00E64FC1"/>
    <w:rsid w:val="00E65755"/>
    <w:rsid w:val="00E65F15"/>
    <w:rsid w:val="00E67050"/>
    <w:rsid w:val="00E672E0"/>
    <w:rsid w:val="00E67F53"/>
    <w:rsid w:val="00E70BBD"/>
    <w:rsid w:val="00E71219"/>
    <w:rsid w:val="00E724EC"/>
    <w:rsid w:val="00E76C88"/>
    <w:rsid w:val="00E774F7"/>
    <w:rsid w:val="00E77A52"/>
    <w:rsid w:val="00E808ED"/>
    <w:rsid w:val="00E81D3C"/>
    <w:rsid w:val="00E85282"/>
    <w:rsid w:val="00E85593"/>
    <w:rsid w:val="00E85893"/>
    <w:rsid w:val="00E86A05"/>
    <w:rsid w:val="00E87E64"/>
    <w:rsid w:val="00E90424"/>
    <w:rsid w:val="00E9063C"/>
    <w:rsid w:val="00E94CAC"/>
    <w:rsid w:val="00E94F8A"/>
    <w:rsid w:val="00E9671D"/>
    <w:rsid w:val="00E974F6"/>
    <w:rsid w:val="00E97B06"/>
    <w:rsid w:val="00EA5A31"/>
    <w:rsid w:val="00EA7BAB"/>
    <w:rsid w:val="00EB583E"/>
    <w:rsid w:val="00EB66D0"/>
    <w:rsid w:val="00EC030D"/>
    <w:rsid w:val="00EC1B23"/>
    <w:rsid w:val="00EC2CF0"/>
    <w:rsid w:val="00EC4229"/>
    <w:rsid w:val="00EC4384"/>
    <w:rsid w:val="00ED2D56"/>
    <w:rsid w:val="00ED3631"/>
    <w:rsid w:val="00ED5DAF"/>
    <w:rsid w:val="00ED606B"/>
    <w:rsid w:val="00EE132E"/>
    <w:rsid w:val="00EE162E"/>
    <w:rsid w:val="00EE4D1A"/>
    <w:rsid w:val="00EE70E4"/>
    <w:rsid w:val="00EE7A09"/>
    <w:rsid w:val="00EF264B"/>
    <w:rsid w:val="00EF26BE"/>
    <w:rsid w:val="00EF2FA1"/>
    <w:rsid w:val="00EF56B2"/>
    <w:rsid w:val="00EF5B2D"/>
    <w:rsid w:val="00EF5CE5"/>
    <w:rsid w:val="00EF735C"/>
    <w:rsid w:val="00EF79F1"/>
    <w:rsid w:val="00EF7D25"/>
    <w:rsid w:val="00F00570"/>
    <w:rsid w:val="00F01177"/>
    <w:rsid w:val="00F02079"/>
    <w:rsid w:val="00F05679"/>
    <w:rsid w:val="00F077E8"/>
    <w:rsid w:val="00F07ECF"/>
    <w:rsid w:val="00F10E88"/>
    <w:rsid w:val="00F122AA"/>
    <w:rsid w:val="00F128D4"/>
    <w:rsid w:val="00F12FB3"/>
    <w:rsid w:val="00F1426B"/>
    <w:rsid w:val="00F14F71"/>
    <w:rsid w:val="00F15DC0"/>
    <w:rsid w:val="00F1617B"/>
    <w:rsid w:val="00F208AC"/>
    <w:rsid w:val="00F23BC6"/>
    <w:rsid w:val="00F27C7F"/>
    <w:rsid w:val="00F31CEB"/>
    <w:rsid w:val="00F434A0"/>
    <w:rsid w:val="00F4500E"/>
    <w:rsid w:val="00F47D6A"/>
    <w:rsid w:val="00F50A4B"/>
    <w:rsid w:val="00F518CB"/>
    <w:rsid w:val="00F540D9"/>
    <w:rsid w:val="00F54499"/>
    <w:rsid w:val="00F55EB1"/>
    <w:rsid w:val="00F566BE"/>
    <w:rsid w:val="00F61346"/>
    <w:rsid w:val="00F62849"/>
    <w:rsid w:val="00F630C3"/>
    <w:rsid w:val="00F633EB"/>
    <w:rsid w:val="00F65A88"/>
    <w:rsid w:val="00F65F6A"/>
    <w:rsid w:val="00F66218"/>
    <w:rsid w:val="00F66DD5"/>
    <w:rsid w:val="00F74659"/>
    <w:rsid w:val="00F76AB7"/>
    <w:rsid w:val="00F81204"/>
    <w:rsid w:val="00F8151D"/>
    <w:rsid w:val="00F84220"/>
    <w:rsid w:val="00F8602A"/>
    <w:rsid w:val="00F86734"/>
    <w:rsid w:val="00F87A67"/>
    <w:rsid w:val="00F90BF8"/>
    <w:rsid w:val="00F90E9B"/>
    <w:rsid w:val="00F91E43"/>
    <w:rsid w:val="00F930F8"/>
    <w:rsid w:val="00F961F3"/>
    <w:rsid w:val="00F979BD"/>
    <w:rsid w:val="00FA0967"/>
    <w:rsid w:val="00FA0A1F"/>
    <w:rsid w:val="00FA2642"/>
    <w:rsid w:val="00FA36C1"/>
    <w:rsid w:val="00FA3BFB"/>
    <w:rsid w:val="00FB3267"/>
    <w:rsid w:val="00FB4421"/>
    <w:rsid w:val="00FB580A"/>
    <w:rsid w:val="00FB61FB"/>
    <w:rsid w:val="00FB698E"/>
    <w:rsid w:val="00FC076A"/>
    <w:rsid w:val="00FC1123"/>
    <w:rsid w:val="00FC210B"/>
    <w:rsid w:val="00FC4F8B"/>
    <w:rsid w:val="00FC54F5"/>
    <w:rsid w:val="00FD13DE"/>
    <w:rsid w:val="00FD21B3"/>
    <w:rsid w:val="00FD4341"/>
    <w:rsid w:val="00FD4418"/>
    <w:rsid w:val="00FD76F1"/>
    <w:rsid w:val="00FD7EC6"/>
    <w:rsid w:val="00FE2271"/>
    <w:rsid w:val="00FE3788"/>
    <w:rsid w:val="00FE38B1"/>
    <w:rsid w:val="00FE3B8F"/>
    <w:rsid w:val="00FE43AE"/>
    <w:rsid w:val="00FE4424"/>
    <w:rsid w:val="00FE52D6"/>
    <w:rsid w:val="00FF1517"/>
    <w:rsid w:val="00FF1719"/>
    <w:rsid w:val="00FF181E"/>
    <w:rsid w:val="00FF2398"/>
    <w:rsid w:val="00FF38BD"/>
    <w:rsid w:val="00FF3930"/>
    <w:rsid w:val="00FF4405"/>
    <w:rsid w:val="00FF5D55"/>
    <w:rsid w:val="00FF5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752B17"/>
  <w15:chartTrackingRefBased/>
  <w15:docId w15:val="{DCD90B08-4CDE-4547-AFEF-795945E05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52604"/>
    <w:pPr>
      <w:ind w:left="720"/>
      <w:contextualSpacing/>
    </w:pPr>
  </w:style>
  <w:style w:type="paragraph" w:styleId="Bibliographie">
    <w:name w:val="Bibliography"/>
    <w:basedOn w:val="Normal"/>
    <w:next w:val="Normal"/>
    <w:uiPriority w:val="37"/>
    <w:unhideWhenUsed/>
    <w:rsid w:val="006C2A75"/>
  </w:style>
  <w:style w:type="paragraph" w:styleId="En-tte">
    <w:name w:val="header"/>
    <w:basedOn w:val="Normal"/>
    <w:link w:val="En-tteCar"/>
    <w:uiPriority w:val="99"/>
    <w:unhideWhenUsed/>
    <w:rsid w:val="00FE2271"/>
    <w:pPr>
      <w:tabs>
        <w:tab w:val="center" w:pos="4680"/>
        <w:tab w:val="right" w:pos="9360"/>
      </w:tabs>
      <w:spacing w:after="0" w:line="240" w:lineRule="auto"/>
    </w:pPr>
  </w:style>
  <w:style w:type="character" w:customStyle="1" w:styleId="En-tteCar">
    <w:name w:val="En-tête Car"/>
    <w:basedOn w:val="Policepardfaut"/>
    <w:link w:val="En-tte"/>
    <w:uiPriority w:val="99"/>
    <w:rsid w:val="00FE2271"/>
  </w:style>
  <w:style w:type="paragraph" w:styleId="Pieddepage">
    <w:name w:val="footer"/>
    <w:basedOn w:val="Normal"/>
    <w:link w:val="PieddepageCar"/>
    <w:uiPriority w:val="99"/>
    <w:unhideWhenUsed/>
    <w:rsid w:val="00FE2271"/>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E2271"/>
  </w:style>
  <w:style w:type="character" w:styleId="Lienhypertexte">
    <w:name w:val="Hyperlink"/>
    <w:basedOn w:val="Policepardfaut"/>
    <w:uiPriority w:val="99"/>
    <w:unhideWhenUsed/>
    <w:rsid w:val="00103589"/>
    <w:rPr>
      <w:color w:val="0563C1" w:themeColor="hyperlink"/>
      <w:u w:val="single"/>
    </w:rPr>
  </w:style>
  <w:style w:type="character" w:styleId="Marquedecommentaire">
    <w:name w:val="annotation reference"/>
    <w:basedOn w:val="Policepardfaut"/>
    <w:uiPriority w:val="99"/>
    <w:semiHidden/>
    <w:unhideWhenUsed/>
    <w:rsid w:val="001F13AD"/>
    <w:rPr>
      <w:sz w:val="16"/>
      <w:szCs w:val="16"/>
    </w:rPr>
  </w:style>
  <w:style w:type="paragraph" w:styleId="Commentaire">
    <w:name w:val="annotation text"/>
    <w:basedOn w:val="Normal"/>
    <w:link w:val="CommentaireCar"/>
    <w:uiPriority w:val="99"/>
    <w:semiHidden/>
    <w:unhideWhenUsed/>
    <w:rsid w:val="001F13AD"/>
    <w:pPr>
      <w:spacing w:line="240" w:lineRule="auto"/>
    </w:pPr>
    <w:rPr>
      <w:sz w:val="20"/>
      <w:szCs w:val="20"/>
    </w:rPr>
  </w:style>
  <w:style w:type="character" w:customStyle="1" w:styleId="CommentaireCar">
    <w:name w:val="Commentaire Car"/>
    <w:basedOn w:val="Policepardfaut"/>
    <w:link w:val="Commentaire"/>
    <w:uiPriority w:val="99"/>
    <w:semiHidden/>
    <w:rsid w:val="001F13AD"/>
    <w:rPr>
      <w:sz w:val="20"/>
      <w:szCs w:val="20"/>
    </w:rPr>
  </w:style>
  <w:style w:type="paragraph" w:styleId="Objetducommentaire">
    <w:name w:val="annotation subject"/>
    <w:basedOn w:val="Commentaire"/>
    <w:next w:val="Commentaire"/>
    <w:link w:val="ObjetducommentaireCar"/>
    <w:uiPriority w:val="99"/>
    <w:semiHidden/>
    <w:unhideWhenUsed/>
    <w:rsid w:val="001F13AD"/>
    <w:rPr>
      <w:b/>
      <w:bCs/>
    </w:rPr>
  </w:style>
  <w:style w:type="character" w:customStyle="1" w:styleId="ObjetducommentaireCar">
    <w:name w:val="Objet du commentaire Car"/>
    <w:basedOn w:val="CommentaireCar"/>
    <w:link w:val="Objetducommentaire"/>
    <w:uiPriority w:val="99"/>
    <w:semiHidden/>
    <w:rsid w:val="001F13AD"/>
    <w:rPr>
      <w:b/>
      <w:bCs/>
      <w:sz w:val="20"/>
      <w:szCs w:val="20"/>
    </w:rPr>
  </w:style>
  <w:style w:type="character" w:customStyle="1" w:styleId="UnresolvedMention1">
    <w:name w:val="Unresolved Mention1"/>
    <w:basedOn w:val="Policepardfaut"/>
    <w:uiPriority w:val="99"/>
    <w:semiHidden/>
    <w:unhideWhenUsed/>
    <w:rsid w:val="00A60080"/>
    <w:rPr>
      <w:color w:val="605E5C"/>
      <w:shd w:val="clear" w:color="auto" w:fill="E1DFDD"/>
    </w:rPr>
  </w:style>
  <w:style w:type="paragraph" w:styleId="Textedebulles">
    <w:name w:val="Balloon Text"/>
    <w:basedOn w:val="Normal"/>
    <w:link w:val="TextedebullesCar"/>
    <w:uiPriority w:val="99"/>
    <w:semiHidden/>
    <w:unhideWhenUsed/>
    <w:rsid w:val="008D4F4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D4F4D"/>
    <w:rPr>
      <w:rFonts w:ascii="Segoe UI" w:hAnsi="Segoe UI" w:cs="Segoe UI"/>
      <w:sz w:val="18"/>
      <w:szCs w:val="18"/>
    </w:rPr>
  </w:style>
  <w:style w:type="character" w:styleId="Lienhypertextesuivivisit">
    <w:name w:val="FollowedHyperlink"/>
    <w:basedOn w:val="Policepardfaut"/>
    <w:uiPriority w:val="99"/>
    <w:semiHidden/>
    <w:unhideWhenUsed/>
    <w:rsid w:val="00496051"/>
    <w:rPr>
      <w:color w:val="954F72" w:themeColor="followedHyperlink"/>
      <w:u w:val="single"/>
    </w:rPr>
  </w:style>
  <w:style w:type="character" w:styleId="lev">
    <w:name w:val="Strong"/>
    <w:basedOn w:val="Policepardfaut"/>
    <w:uiPriority w:val="22"/>
    <w:qFormat/>
    <w:rsid w:val="0004439D"/>
    <w:rPr>
      <w:b/>
      <w:bCs/>
    </w:rPr>
  </w:style>
  <w:style w:type="paragraph" w:customStyle="1" w:styleId="EndNoteBibliography">
    <w:name w:val="EndNote Bibliography"/>
    <w:basedOn w:val="Normal"/>
    <w:link w:val="EndNoteBibliographyChar"/>
    <w:rsid w:val="005A7D93"/>
    <w:pPr>
      <w:spacing w:line="240" w:lineRule="auto"/>
    </w:pPr>
    <w:rPr>
      <w:rFonts w:ascii="Calibri" w:hAnsi="Calibri" w:cs="Calibri"/>
      <w:noProof/>
    </w:rPr>
  </w:style>
  <w:style w:type="character" w:customStyle="1" w:styleId="EndNoteBibliographyChar">
    <w:name w:val="EndNote Bibliography Char"/>
    <w:basedOn w:val="Policepardfaut"/>
    <w:link w:val="EndNoteBibliography"/>
    <w:rsid w:val="005A7D93"/>
    <w:rPr>
      <w:rFonts w:ascii="Calibri" w:hAnsi="Calibri" w:cs="Calibri"/>
      <w:noProof/>
    </w:rPr>
  </w:style>
  <w:style w:type="table" w:styleId="Grilledutableau">
    <w:name w:val="Table Grid"/>
    <w:basedOn w:val="TableauNormal"/>
    <w:uiPriority w:val="39"/>
    <w:rsid w:val="003A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C31698"/>
    <w:rPr>
      <w:color w:val="605E5C"/>
      <w:shd w:val="clear" w:color="auto" w:fill="E1DFDD"/>
    </w:rPr>
  </w:style>
  <w:style w:type="paragraph" w:styleId="Rvision">
    <w:name w:val="Revision"/>
    <w:hidden/>
    <w:uiPriority w:val="99"/>
    <w:semiHidden/>
    <w:rsid w:val="002A112A"/>
    <w:pPr>
      <w:spacing w:after="0" w:line="240" w:lineRule="auto"/>
    </w:pPr>
  </w:style>
  <w:style w:type="character" w:customStyle="1" w:styleId="normaltextrun">
    <w:name w:val="normaltextrun"/>
    <w:basedOn w:val="Policepardfaut"/>
    <w:rsid w:val="003D2184"/>
  </w:style>
  <w:style w:type="character" w:customStyle="1" w:styleId="eop">
    <w:name w:val="eop"/>
    <w:basedOn w:val="Policepardfaut"/>
    <w:rsid w:val="003D2184"/>
  </w:style>
  <w:style w:type="paragraph" w:customStyle="1" w:styleId="paragraph">
    <w:name w:val="paragraph"/>
    <w:basedOn w:val="Normal"/>
    <w:rsid w:val="00BA47C6"/>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TableParagraph">
    <w:name w:val="Table Paragraph"/>
    <w:basedOn w:val="Normal"/>
    <w:uiPriority w:val="1"/>
    <w:qFormat/>
    <w:rsid w:val="008843E0"/>
    <w:pPr>
      <w:widowControl w:val="0"/>
      <w:autoSpaceDE w:val="0"/>
      <w:autoSpaceDN w:val="0"/>
      <w:spacing w:after="0" w:line="250" w:lineRule="exact"/>
      <w:ind w:left="38"/>
    </w:pPr>
    <w:rPr>
      <w:rFonts w:ascii="Calibri" w:eastAsia="Calibri" w:hAnsi="Calibri" w:cs="Calibri"/>
    </w:rPr>
  </w:style>
  <w:style w:type="paragraph" w:styleId="NormalWeb">
    <w:name w:val="Normal (Web)"/>
    <w:basedOn w:val="Normal"/>
    <w:uiPriority w:val="99"/>
    <w:semiHidden/>
    <w:unhideWhenUsed/>
    <w:rsid w:val="00EF7D25"/>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customStyle="1" w:styleId="Default">
    <w:name w:val="Default"/>
    <w:rsid w:val="005F1F30"/>
    <w:pPr>
      <w:autoSpaceDE w:val="0"/>
      <w:autoSpaceDN w:val="0"/>
      <w:adjustRightInd w:val="0"/>
      <w:spacing w:after="0" w:line="240" w:lineRule="auto"/>
    </w:pPr>
    <w:rPr>
      <w:rFonts w:ascii="Calibri" w:hAnsi="Calibri" w:cs="Calibri"/>
      <w:color w:val="000000"/>
      <w:sz w:val="24"/>
      <w:szCs w:val="24"/>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025">
      <w:bodyDiv w:val="1"/>
      <w:marLeft w:val="0"/>
      <w:marRight w:val="0"/>
      <w:marTop w:val="0"/>
      <w:marBottom w:val="0"/>
      <w:divBdr>
        <w:top w:val="none" w:sz="0" w:space="0" w:color="auto"/>
        <w:left w:val="none" w:sz="0" w:space="0" w:color="auto"/>
        <w:bottom w:val="none" w:sz="0" w:space="0" w:color="auto"/>
        <w:right w:val="none" w:sz="0" w:space="0" w:color="auto"/>
      </w:divBdr>
    </w:div>
    <w:div w:id="125632769">
      <w:bodyDiv w:val="1"/>
      <w:marLeft w:val="0"/>
      <w:marRight w:val="0"/>
      <w:marTop w:val="0"/>
      <w:marBottom w:val="0"/>
      <w:divBdr>
        <w:top w:val="none" w:sz="0" w:space="0" w:color="auto"/>
        <w:left w:val="none" w:sz="0" w:space="0" w:color="auto"/>
        <w:bottom w:val="none" w:sz="0" w:space="0" w:color="auto"/>
        <w:right w:val="none" w:sz="0" w:space="0" w:color="auto"/>
      </w:divBdr>
    </w:div>
    <w:div w:id="451553404">
      <w:bodyDiv w:val="1"/>
      <w:marLeft w:val="0"/>
      <w:marRight w:val="0"/>
      <w:marTop w:val="0"/>
      <w:marBottom w:val="0"/>
      <w:divBdr>
        <w:top w:val="none" w:sz="0" w:space="0" w:color="auto"/>
        <w:left w:val="none" w:sz="0" w:space="0" w:color="auto"/>
        <w:bottom w:val="none" w:sz="0" w:space="0" w:color="auto"/>
        <w:right w:val="none" w:sz="0" w:space="0" w:color="auto"/>
      </w:divBdr>
    </w:div>
    <w:div w:id="785778372">
      <w:bodyDiv w:val="1"/>
      <w:marLeft w:val="0"/>
      <w:marRight w:val="0"/>
      <w:marTop w:val="0"/>
      <w:marBottom w:val="0"/>
      <w:divBdr>
        <w:top w:val="none" w:sz="0" w:space="0" w:color="auto"/>
        <w:left w:val="none" w:sz="0" w:space="0" w:color="auto"/>
        <w:bottom w:val="none" w:sz="0" w:space="0" w:color="auto"/>
        <w:right w:val="none" w:sz="0" w:space="0" w:color="auto"/>
      </w:divBdr>
    </w:div>
    <w:div w:id="829516889">
      <w:bodyDiv w:val="1"/>
      <w:marLeft w:val="0"/>
      <w:marRight w:val="0"/>
      <w:marTop w:val="0"/>
      <w:marBottom w:val="0"/>
      <w:divBdr>
        <w:top w:val="none" w:sz="0" w:space="0" w:color="auto"/>
        <w:left w:val="none" w:sz="0" w:space="0" w:color="auto"/>
        <w:bottom w:val="none" w:sz="0" w:space="0" w:color="auto"/>
        <w:right w:val="none" w:sz="0" w:space="0" w:color="auto"/>
      </w:divBdr>
      <w:divsChild>
        <w:div w:id="1687442799">
          <w:marLeft w:val="0"/>
          <w:marRight w:val="0"/>
          <w:marTop w:val="0"/>
          <w:marBottom w:val="0"/>
          <w:divBdr>
            <w:top w:val="none" w:sz="0" w:space="0" w:color="auto"/>
            <w:left w:val="none" w:sz="0" w:space="0" w:color="auto"/>
            <w:bottom w:val="single" w:sz="12" w:space="0" w:color="0065B3"/>
            <w:right w:val="none" w:sz="0" w:space="0" w:color="auto"/>
          </w:divBdr>
          <w:divsChild>
            <w:div w:id="566110473">
              <w:marLeft w:val="0"/>
              <w:marRight w:val="0"/>
              <w:marTop w:val="0"/>
              <w:marBottom w:val="0"/>
              <w:divBdr>
                <w:top w:val="none" w:sz="0" w:space="0" w:color="auto"/>
                <w:left w:val="none" w:sz="0" w:space="0" w:color="auto"/>
                <w:bottom w:val="none" w:sz="0" w:space="0" w:color="auto"/>
                <w:right w:val="none" w:sz="0" w:space="0" w:color="auto"/>
              </w:divBdr>
              <w:divsChild>
                <w:div w:id="74364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477435">
      <w:bodyDiv w:val="1"/>
      <w:marLeft w:val="0"/>
      <w:marRight w:val="0"/>
      <w:marTop w:val="0"/>
      <w:marBottom w:val="0"/>
      <w:divBdr>
        <w:top w:val="none" w:sz="0" w:space="0" w:color="auto"/>
        <w:left w:val="none" w:sz="0" w:space="0" w:color="auto"/>
        <w:bottom w:val="none" w:sz="0" w:space="0" w:color="auto"/>
        <w:right w:val="none" w:sz="0" w:space="0" w:color="auto"/>
      </w:divBdr>
      <w:divsChild>
        <w:div w:id="1000621700">
          <w:marLeft w:val="0"/>
          <w:marRight w:val="0"/>
          <w:marTop w:val="0"/>
          <w:marBottom w:val="0"/>
          <w:divBdr>
            <w:top w:val="none" w:sz="0" w:space="0" w:color="auto"/>
            <w:left w:val="none" w:sz="0" w:space="0" w:color="auto"/>
            <w:bottom w:val="none" w:sz="0" w:space="0" w:color="auto"/>
            <w:right w:val="none" w:sz="0" w:space="0" w:color="auto"/>
          </w:divBdr>
        </w:div>
        <w:div w:id="875198126">
          <w:marLeft w:val="0"/>
          <w:marRight w:val="0"/>
          <w:marTop w:val="0"/>
          <w:marBottom w:val="0"/>
          <w:divBdr>
            <w:top w:val="none" w:sz="0" w:space="0" w:color="auto"/>
            <w:left w:val="none" w:sz="0" w:space="0" w:color="auto"/>
            <w:bottom w:val="none" w:sz="0" w:space="0" w:color="auto"/>
            <w:right w:val="none" w:sz="0" w:space="0" w:color="auto"/>
          </w:divBdr>
        </w:div>
        <w:div w:id="1852257590">
          <w:marLeft w:val="0"/>
          <w:marRight w:val="0"/>
          <w:marTop w:val="0"/>
          <w:marBottom w:val="0"/>
          <w:divBdr>
            <w:top w:val="none" w:sz="0" w:space="0" w:color="auto"/>
            <w:left w:val="none" w:sz="0" w:space="0" w:color="auto"/>
            <w:bottom w:val="none" w:sz="0" w:space="0" w:color="auto"/>
            <w:right w:val="none" w:sz="0" w:space="0" w:color="auto"/>
          </w:divBdr>
        </w:div>
        <w:div w:id="1954625497">
          <w:marLeft w:val="0"/>
          <w:marRight w:val="0"/>
          <w:marTop w:val="0"/>
          <w:marBottom w:val="0"/>
          <w:divBdr>
            <w:top w:val="none" w:sz="0" w:space="0" w:color="auto"/>
            <w:left w:val="none" w:sz="0" w:space="0" w:color="auto"/>
            <w:bottom w:val="none" w:sz="0" w:space="0" w:color="auto"/>
            <w:right w:val="none" w:sz="0" w:space="0" w:color="auto"/>
          </w:divBdr>
        </w:div>
        <w:div w:id="375853667">
          <w:marLeft w:val="0"/>
          <w:marRight w:val="0"/>
          <w:marTop w:val="0"/>
          <w:marBottom w:val="0"/>
          <w:divBdr>
            <w:top w:val="none" w:sz="0" w:space="0" w:color="auto"/>
            <w:left w:val="none" w:sz="0" w:space="0" w:color="auto"/>
            <w:bottom w:val="none" w:sz="0" w:space="0" w:color="auto"/>
            <w:right w:val="none" w:sz="0" w:space="0" w:color="auto"/>
          </w:divBdr>
        </w:div>
        <w:div w:id="1988701298">
          <w:marLeft w:val="0"/>
          <w:marRight w:val="0"/>
          <w:marTop w:val="0"/>
          <w:marBottom w:val="0"/>
          <w:divBdr>
            <w:top w:val="none" w:sz="0" w:space="0" w:color="auto"/>
            <w:left w:val="none" w:sz="0" w:space="0" w:color="auto"/>
            <w:bottom w:val="none" w:sz="0" w:space="0" w:color="auto"/>
            <w:right w:val="none" w:sz="0" w:space="0" w:color="auto"/>
          </w:divBdr>
        </w:div>
        <w:div w:id="821119489">
          <w:marLeft w:val="0"/>
          <w:marRight w:val="0"/>
          <w:marTop w:val="0"/>
          <w:marBottom w:val="0"/>
          <w:divBdr>
            <w:top w:val="none" w:sz="0" w:space="0" w:color="auto"/>
            <w:left w:val="none" w:sz="0" w:space="0" w:color="auto"/>
            <w:bottom w:val="none" w:sz="0" w:space="0" w:color="auto"/>
            <w:right w:val="none" w:sz="0" w:space="0" w:color="auto"/>
          </w:divBdr>
        </w:div>
        <w:div w:id="1077442392">
          <w:marLeft w:val="0"/>
          <w:marRight w:val="0"/>
          <w:marTop w:val="0"/>
          <w:marBottom w:val="0"/>
          <w:divBdr>
            <w:top w:val="none" w:sz="0" w:space="0" w:color="auto"/>
            <w:left w:val="none" w:sz="0" w:space="0" w:color="auto"/>
            <w:bottom w:val="none" w:sz="0" w:space="0" w:color="auto"/>
            <w:right w:val="none" w:sz="0" w:space="0" w:color="auto"/>
          </w:divBdr>
        </w:div>
        <w:div w:id="476916918">
          <w:marLeft w:val="0"/>
          <w:marRight w:val="0"/>
          <w:marTop w:val="0"/>
          <w:marBottom w:val="0"/>
          <w:divBdr>
            <w:top w:val="none" w:sz="0" w:space="0" w:color="auto"/>
            <w:left w:val="none" w:sz="0" w:space="0" w:color="auto"/>
            <w:bottom w:val="none" w:sz="0" w:space="0" w:color="auto"/>
            <w:right w:val="none" w:sz="0" w:space="0" w:color="auto"/>
          </w:divBdr>
        </w:div>
        <w:div w:id="1522739585">
          <w:marLeft w:val="0"/>
          <w:marRight w:val="0"/>
          <w:marTop w:val="0"/>
          <w:marBottom w:val="0"/>
          <w:divBdr>
            <w:top w:val="none" w:sz="0" w:space="0" w:color="auto"/>
            <w:left w:val="none" w:sz="0" w:space="0" w:color="auto"/>
            <w:bottom w:val="none" w:sz="0" w:space="0" w:color="auto"/>
            <w:right w:val="none" w:sz="0" w:space="0" w:color="auto"/>
          </w:divBdr>
        </w:div>
      </w:divsChild>
    </w:div>
    <w:div w:id="1103501679">
      <w:bodyDiv w:val="1"/>
      <w:marLeft w:val="0"/>
      <w:marRight w:val="0"/>
      <w:marTop w:val="0"/>
      <w:marBottom w:val="0"/>
      <w:divBdr>
        <w:top w:val="none" w:sz="0" w:space="0" w:color="auto"/>
        <w:left w:val="none" w:sz="0" w:space="0" w:color="auto"/>
        <w:bottom w:val="none" w:sz="0" w:space="0" w:color="auto"/>
        <w:right w:val="none" w:sz="0" w:space="0" w:color="auto"/>
      </w:divBdr>
      <w:divsChild>
        <w:div w:id="1197431953">
          <w:marLeft w:val="0"/>
          <w:marRight w:val="0"/>
          <w:marTop w:val="0"/>
          <w:marBottom w:val="0"/>
          <w:divBdr>
            <w:top w:val="none" w:sz="0" w:space="0" w:color="auto"/>
            <w:left w:val="none" w:sz="0" w:space="0" w:color="auto"/>
            <w:bottom w:val="none" w:sz="0" w:space="0" w:color="auto"/>
            <w:right w:val="none" w:sz="0" w:space="0" w:color="auto"/>
          </w:divBdr>
        </w:div>
        <w:div w:id="1272399015">
          <w:marLeft w:val="0"/>
          <w:marRight w:val="0"/>
          <w:marTop w:val="0"/>
          <w:marBottom w:val="0"/>
          <w:divBdr>
            <w:top w:val="none" w:sz="0" w:space="0" w:color="auto"/>
            <w:left w:val="none" w:sz="0" w:space="0" w:color="auto"/>
            <w:bottom w:val="none" w:sz="0" w:space="0" w:color="auto"/>
            <w:right w:val="none" w:sz="0" w:space="0" w:color="auto"/>
          </w:divBdr>
          <w:divsChild>
            <w:div w:id="1844543008">
              <w:marLeft w:val="-75"/>
              <w:marRight w:val="0"/>
              <w:marTop w:val="30"/>
              <w:marBottom w:val="30"/>
              <w:divBdr>
                <w:top w:val="none" w:sz="0" w:space="0" w:color="auto"/>
                <w:left w:val="none" w:sz="0" w:space="0" w:color="auto"/>
                <w:bottom w:val="none" w:sz="0" w:space="0" w:color="auto"/>
                <w:right w:val="none" w:sz="0" w:space="0" w:color="auto"/>
              </w:divBdr>
              <w:divsChild>
                <w:div w:id="1823423042">
                  <w:marLeft w:val="0"/>
                  <w:marRight w:val="0"/>
                  <w:marTop w:val="0"/>
                  <w:marBottom w:val="0"/>
                  <w:divBdr>
                    <w:top w:val="none" w:sz="0" w:space="0" w:color="auto"/>
                    <w:left w:val="none" w:sz="0" w:space="0" w:color="auto"/>
                    <w:bottom w:val="none" w:sz="0" w:space="0" w:color="auto"/>
                    <w:right w:val="none" w:sz="0" w:space="0" w:color="auto"/>
                  </w:divBdr>
                  <w:divsChild>
                    <w:div w:id="1282029902">
                      <w:marLeft w:val="0"/>
                      <w:marRight w:val="0"/>
                      <w:marTop w:val="0"/>
                      <w:marBottom w:val="0"/>
                      <w:divBdr>
                        <w:top w:val="none" w:sz="0" w:space="0" w:color="auto"/>
                        <w:left w:val="none" w:sz="0" w:space="0" w:color="auto"/>
                        <w:bottom w:val="none" w:sz="0" w:space="0" w:color="auto"/>
                        <w:right w:val="none" w:sz="0" w:space="0" w:color="auto"/>
                      </w:divBdr>
                    </w:div>
                  </w:divsChild>
                </w:div>
                <w:div w:id="552425568">
                  <w:marLeft w:val="0"/>
                  <w:marRight w:val="0"/>
                  <w:marTop w:val="0"/>
                  <w:marBottom w:val="0"/>
                  <w:divBdr>
                    <w:top w:val="none" w:sz="0" w:space="0" w:color="auto"/>
                    <w:left w:val="none" w:sz="0" w:space="0" w:color="auto"/>
                    <w:bottom w:val="none" w:sz="0" w:space="0" w:color="auto"/>
                    <w:right w:val="none" w:sz="0" w:space="0" w:color="auto"/>
                  </w:divBdr>
                  <w:divsChild>
                    <w:div w:id="308287247">
                      <w:marLeft w:val="0"/>
                      <w:marRight w:val="0"/>
                      <w:marTop w:val="0"/>
                      <w:marBottom w:val="0"/>
                      <w:divBdr>
                        <w:top w:val="none" w:sz="0" w:space="0" w:color="auto"/>
                        <w:left w:val="none" w:sz="0" w:space="0" w:color="auto"/>
                        <w:bottom w:val="none" w:sz="0" w:space="0" w:color="auto"/>
                        <w:right w:val="none" w:sz="0" w:space="0" w:color="auto"/>
                      </w:divBdr>
                    </w:div>
                  </w:divsChild>
                </w:div>
                <w:div w:id="1842696493">
                  <w:marLeft w:val="0"/>
                  <w:marRight w:val="0"/>
                  <w:marTop w:val="0"/>
                  <w:marBottom w:val="0"/>
                  <w:divBdr>
                    <w:top w:val="none" w:sz="0" w:space="0" w:color="auto"/>
                    <w:left w:val="none" w:sz="0" w:space="0" w:color="auto"/>
                    <w:bottom w:val="none" w:sz="0" w:space="0" w:color="auto"/>
                    <w:right w:val="none" w:sz="0" w:space="0" w:color="auto"/>
                  </w:divBdr>
                  <w:divsChild>
                    <w:div w:id="2007513605">
                      <w:marLeft w:val="0"/>
                      <w:marRight w:val="0"/>
                      <w:marTop w:val="0"/>
                      <w:marBottom w:val="0"/>
                      <w:divBdr>
                        <w:top w:val="none" w:sz="0" w:space="0" w:color="auto"/>
                        <w:left w:val="none" w:sz="0" w:space="0" w:color="auto"/>
                        <w:bottom w:val="none" w:sz="0" w:space="0" w:color="auto"/>
                        <w:right w:val="none" w:sz="0" w:space="0" w:color="auto"/>
                      </w:divBdr>
                    </w:div>
                  </w:divsChild>
                </w:div>
                <w:div w:id="1636369595">
                  <w:marLeft w:val="0"/>
                  <w:marRight w:val="0"/>
                  <w:marTop w:val="0"/>
                  <w:marBottom w:val="0"/>
                  <w:divBdr>
                    <w:top w:val="none" w:sz="0" w:space="0" w:color="auto"/>
                    <w:left w:val="none" w:sz="0" w:space="0" w:color="auto"/>
                    <w:bottom w:val="none" w:sz="0" w:space="0" w:color="auto"/>
                    <w:right w:val="none" w:sz="0" w:space="0" w:color="auto"/>
                  </w:divBdr>
                  <w:divsChild>
                    <w:div w:id="1215770396">
                      <w:marLeft w:val="0"/>
                      <w:marRight w:val="0"/>
                      <w:marTop w:val="0"/>
                      <w:marBottom w:val="0"/>
                      <w:divBdr>
                        <w:top w:val="none" w:sz="0" w:space="0" w:color="auto"/>
                        <w:left w:val="none" w:sz="0" w:space="0" w:color="auto"/>
                        <w:bottom w:val="none" w:sz="0" w:space="0" w:color="auto"/>
                        <w:right w:val="none" w:sz="0" w:space="0" w:color="auto"/>
                      </w:divBdr>
                    </w:div>
                  </w:divsChild>
                </w:div>
                <w:div w:id="1284341487">
                  <w:marLeft w:val="0"/>
                  <w:marRight w:val="0"/>
                  <w:marTop w:val="0"/>
                  <w:marBottom w:val="0"/>
                  <w:divBdr>
                    <w:top w:val="none" w:sz="0" w:space="0" w:color="auto"/>
                    <w:left w:val="none" w:sz="0" w:space="0" w:color="auto"/>
                    <w:bottom w:val="none" w:sz="0" w:space="0" w:color="auto"/>
                    <w:right w:val="none" w:sz="0" w:space="0" w:color="auto"/>
                  </w:divBdr>
                  <w:divsChild>
                    <w:div w:id="2028292640">
                      <w:marLeft w:val="0"/>
                      <w:marRight w:val="0"/>
                      <w:marTop w:val="0"/>
                      <w:marBottom w:val="0"/>
                      <w:divBdr>
                        <w:top w:val="none" w:sz="0" w:space="0" w:color="auto"/>
                        <w:left w:val="none" w:sz="0" w:space="0" w:color="auto"/>
                        <w:bottom w:val="none" w:sz="0" w:space="0" w:color="auto"/>
                        <w:right w:val="none" w:sz="0" w:space="0" w:color="auto"/>
                      </w:divBdr>
                    </w:div>
                  </w:divsChild>
                </w:div>
                <w:div w:id="822281482">
                  <w:marLeft w:val="0"/>
                  <w:marRight w:val="0"/>
                  <w:marTop w:val="0"/>
                  <w:marBottom w:val="0"/>
                  <w:divBdr>
                    <w:top w:val="none" w:sz="0" w:space="0" w:color="auto"/>
                    <w:left w:val="none" w:sz="0" w:space="0" w:color="auto"/>
                    <w:bottom w:val="none" w:sz="0" w:space="0" w:color="auto"/>
                    <w:right w:val="none" w:sz="0" w:space="0" w:color="auto"/>
                  </w:divBdr>
                  <w:divsChild>
                    <w:div w:id="956527295">
                      <w:marLeft w:val="0"/>
                      <w:marRight w:val="0"/>
                      <w:marTop w:val="0"/>
                      <w:marBottom w:val="0"/>
                      <w:divBdr>
                        <w:top w:val="none" w:sz="0" w:space="0" w:color="auto"/>
                        <w:left w:val="none" w:sz="0" w:space="0" w:color="auto"/>
                        <w:bottom w:val="none" w:sz="0" w:space="0" w:color="auto"/>
                        <w:right w:val="none" w:sz="0" w:space="0" w:color="auto"/>
                      </w:divBdr>
                    </w:div>
                  </w:divsChild>
                </w:div>
                <w:div w:id="1346245660">
                  <w:marLeft w:val="0"/>
                  <w:marRight w:val="0"/>
                  <w:marTop w:val="0"/>
                  <w:marBottom w:val="0"/>
                  <w:divBdr>
                    <w:top w:val="none" w:sz="0" w:space="0" w:color="auto"/>
                    <w:left w:val="none" w:sz="0" w:space="0" w:color="auto"/>
                    <w:bottom w:val="none" w:sz="0" w:space="0" w:color="auto"/>
                    <w:right w:val="none" w:sz="0" w:space="0" w:color="auto"/>
                  </w:divBdr>
                  <w:divsChild>
                    <w:div w:id="1242829644">
                      <w:marLeft w:val="0"/>
                      <w:marRight w:val="0"/>
                      <w:marTop w:val="0"/>
                      <w:marBottom w:val="0"/>
                      <w:divBdr>
                        <w:top w:val="none" w:sz="0" w:space="0" w:color="auto"/>
                        <w:left w:val="none" w:sz="0" w:space="0" w:color="auto"/>
                        <w:bottom w:val="none" w:sz="0" w:space="0" w:color="auto"/>
                        <w:right w:val="none" w:sz="0" w:space="0" w:color="auto"/>
                      </w:divBdr>
                    </w:div>
                  </w:divsChild>
                </w:div>
                <w:div w:id="1057238359">
                  <w:marLeft w:val="0"/>
                  <w:marRight w:val="0"/>
                  <w:marTop w:val="0"/>
                  <w:marBottom w:val="0"/>
                  <w:divBdr>
                    <w:top w:val="none" w:sz="0" w:space="0" w:color="auto"/>
                    <w:left w:val="none" w:sz="0" w:space="0" w:color="auto"/>
                    <w:bottom w:val="none" w:sz="0" w:space="0" w:color="auto"/>
                    <w:right w:val="none" w:sz="0" w:space="0" w:color="auto"/>
                  </w:divBdr>
                  <w:divsChild>
                    <w:div w:id="125709333">
                      <w:marLeft w:val="0"/>
                      <w:marRight w:val="0"/>
                      <w:marTop w:val="0"/>
                      <w:marBottom w:val="0"/>
                      <w:divBdr>
                        <w:top w:val="none" w:sz="0" w:space="0" w:color="auto"/>
                        <w:left w:val="none" w:sz="0" w:space="0" w:color="auto"/>
                        <w:bottom w:val="none" w:sz="0" w:space="0" w:color="auto"/>
                        <w:right w:val="none" w:sz="0" w:space="0" w:color="auto"/>
                      </w:divBdr>
                    </w:div>
                  </w:divsChild>
                </w:div>
                <w:div w:id="331180534">
                  <w:marLeft w:val="0"/>
                  <w:marRight w:val="0"/>
                  <w:marTop w:val="0"/>
                  <w:marBottom w:val="0"/>
                  <w:divBdr>
                    <w:top w:val="none" w:sz="0" w:space="0" w:color="auto"/>
                    <w:left w:val="none" w:sz="0" w:space="0" w:color="auto"/>
                    <w:bottom w:val="none" w:sz="0" w:space="0" w:color="auto"/>
                    <w:right w:val="none" w:sz="0" w:space="0" w:color="auto"/>
                  </w:divBdr>
                  <w:divsChild>
                    <w:div w:id="2018187316">
                      <w:marLeft w:val="0"/>
                      <w:marRight w:val="0"/>
                      <w:marTop w:val="0"/>
                      <w:marBottom w:val="0"/>
                      <w:divBdr>
                        <w:top w:val="none" w:sz="0" w:space="0" w:color="auto"/>
                        <w:left w:val="none" w:sz="0" w:space="0" w:color="auto"/>
                        <w:bottom w:val="none" w:sz="0" w:space="0" w:color="auto"/>
                        <w:right w:val="none" w:sz="0" w:space="0" w:color="auto"/>
                      </w:divBdr>
                    </w:div>
                  </w:divsChild>
                </w:div>
                <w:div w:id="1777093931">
                  <w:marLeft w:val="0"/>
                  <w:marRight w:val="0"/>
                  <w:marTop w:val="0"/>
                  <w:marBottom w:val="0"/>
                  <w:divBdr>
                    <w:top w:val="none" w:sz="0" w:space="0" w:color="auto"/>
                    <w:left w:val="none" w:sz="0" w:space="0" w:color="auto"/>
                    <w:bottom w:val="none" w:sz="0" w:space="0" w:color="auto"/>
                    <w:right w:val="none" w:sz="0" w:space="0" w:color="auto"/>
                  </w:divBdr>
                  <w:divsChild>
                    <w:div w:id="948203250">
                      <w:marLeft w:val="0"/>
                      <w:marRight w:val="0"/>
                      <w:marTop w:val="0"/>
                      <w:marBottom w:val="0"/>
                      <w:divBdr>
                        <w:top w:val="none" w:sz="0" w:space="0" w:color="auto"/>
                        <w:left w:val="none" w:sz="0" w:space="0" w:color="auto"/>
                        <w:bottom w:val="none" w:sz="0" w:space="0" w:color="auto"/>
                        <w:right w:val="none" w:sz="0" w:space="0" w:color="auto"/>
                      </w:divBdr>
                    </w:div>
                  </w:divsChild>
                </w:div>
                <w:div w:id="1895041744">
                  <w:marLeft w:val="0"/>
                  <w:marRight w:val="0"/>
                  <w:marTop w:val="0"/>
                  <w:marBottom w:val="0"/>
                  <w:divBdr>
                    <w:top w:val="none" w:sz="0" w:space="0" w:color="auto"/>
                    <w:left w:val="none" w:sz="0" w:space="0" w:color="auto"/>
                    <w:bottom w:val="none" w:sz="0" w:space="0" w:color="auto"/>
                    <w:right w:val="none" w:sz="0" w:space="0" w:color="auto"/>
                  </w:divBdr>
                  <w:divsChild>
                    <w:div w:id="2092311683">
                      <w:marLeft w:val="0"/>
                      <w:marRight w:val="0"/>
                      <w:marTop w:val="0"/>
                      <w:marBottom w:val="0"/>
                      <w:divBdr>
                        <w:top w:val="none" w:sz="0" w:space="0" w:color="auto"/>
                        <w:left w:val="none" w:sz="0" w:space="0" w:color="auto"/>
                        <w:bottom w:val="none" w:sz="0" w:space="0" w:color="auto"/>
                        <w:right w:val="none" w:sz="0" w:space="0" w:color="auto"/>
                      </w:divBdr>
                    </w:div>
                    <w:div w:id="1308589496">
                      <w:marLeft w:val="0"/>
                      <w:marRight w:val="0"/>
                      <w:marTop w:val="0"/>
                      <w:marBottom w:val="0"/>
                      <w:divBdr>
                        <w:top w:val="none" w:sz="0" w:space="0" w:color="auto"/>
                        <w:left w:val="none" w:sz="0" w:space="0" w:color="auto"/>
                        <w:bottom w:val="none" w:sz="0" w:space="0" w:color="auto"/>
                        <w:right w:val="none" w:sz="0" w:space="0" w:color="auto"/>
                      </w:divBdr>
                    </w:div>
                    <w:div w:id="909071492">
                      <w:marLeft w:val="0"/>
                      <w:marRight w:val="0"/>
                      <w:marTop w:val="0"/>
                      <w:marBottom w:val="0"/>
                      <w:divBdr>
                        <w:top w:val="none" w:sz="0" w:space="0" w:color="auto"/>
                        <w:left w:val="none" w:sz="0" w:space="0" w:color="auto"/>
                        <w:bottom w:val="none" w:sz="0" w:space="0" w:color="auto"/>
                        <w:right w:val="none" w:sz="0" w:space="0" w:color="auto"/>
                      </w:divBdr>
                    </w:div>
                    <w:div w:id="1987516112">
                      <w:marLeft w:val="0"/>
                      <w:marRight w:val="0"/>
                      <w:marTop w:val="0"/>
                      <w:marBottom w:val="0"/>
                      <w:divBdr>
                        <w:top w:val="none" w:sz="0" w:space="0" w:color="auto"/>
                        <w:left w:val="none" w:sz="0" w:space="0" w:color="auto"/>
                        <w:bottom w:val="none" w:sz="0" w:space="0" w:color="auto"/>
                        <w:right w:val="none" w:sz="0" w:space="0" w:color="auto"/>
                      </w:divBdr>
                    </w:div>
                    <w:div w:id="297689091">
                      <w:marLeft w:val="0"/>
                      <w:marRight w:val="0"/>
                      <w:marTop w:val="0"/>
                      <w:marBottom w:val="0"/>
                      <w:divBdr>
                        <w:top w:val="none" w:sz="0" w:space="0" w:color="auto"/>
                        <w:left w:val="none" w:sz="0" w:space="0" w:color="auto"/>
                        <w:bottom w:val="none" w:sz="0" w:space="0" w:color="auto"/>
                        <w:right w:val="none" w:sz="0" w:space="0" w:color="auto"/>
                      </w:divBdr>
                    </w:div>
                  </w:divsChild>
                </w:div>
                <w:div w:id="298152243">
                  <w:marLeft w:val="0"/>
                  <w:marRight w:val="0"/>
                  <w:marTop w:val="0"/>
                  <w:marBottom w:val="0"/>
                  <w:divBdr>
                    <w:top w:val="none" w:sz="0" w:space="0" w:color="auto"/>
                    <w:left w:val="none" w:sz="0" w:space="0" w:color="auto"/>
                    <w:bottom w:val="none" w:sz="0" w:space="0" w:color="auto"/>
                    <w:right w:val="none" w:sz="0" w:space="0" w:color="auto"/>
                  </w:divBdr>
                  <w:divsChild>
                    <w:div w:id="1450200283">
                      <w:marLeft w:val="0"/>
                      <w:marRight w:val="0"/>
                      <w:marTop w:val="0"/>
                      <w:marBottom w:val="0"/>
                      <w:divBdr>
                        <w:top w:val="none" w:sz="0" w:space="0" w:color="auto"/>
                        <w:left w:val="none" w:sz="0" w:space="0" w:color="auto"/>
                        <w:bottom w:val="none" w:sz="0" w:space="0" w:color="auto"/>
                        <w:right w:val="none" w:sz="0" w:space="0" w:color="auto"/>
                      </w:divBdr>
                    </w:div>
                    <w:div w:id="291909639">
                      <w:marLeft w:val="0"/>
                      <w:marRight w:val="0"/>
                      <w:marTop w:val="0"/>
                      <w:marBottom w:val="0"/>
                      <w:divBdr>
                        <w:top w:val="none" w:sz="0" w:space="0" w:color="auto"/>
                        <w:left w:val="none" w:sz="0" w:space="0" w:color="auto"/>
                        <w:bottom w:val="none" w:sz="0" w:space="0" w:color="auto"/>
                        <w:right w:val="none" w:sz="0" w:space="0" w:color="auto"/>
                      </w:divBdr>
                    </w:div>
                    <w:div w:id="384374886">
                      <w:marLeft w:val="0"/>
                      <w:marRight w:val="0"/>
                      <w:marTop w:val="0"/>
                      <w:marBottom w:val="0"/>
                      <w:divBdr>
                        <w:top w:val="none" w:sz="0" w:space="0" w:color="auto"/>
                        <w:left w:val="none" w:sz="0" w:space="0" w:color="auto"/>
                        <w:bottom w:val="none" w:sz="0" w:space="0" w:color="auto"/>
                        <w:right w:val="none" w:sz="0" w:space="0" w:color="auto"/>
                      </w:divBdr>
                    </w:div>
                  </w:divsChild>
                </w:div>
                <w:div w:id="1327901059">
                  <w:marLeft w:val="0"/>
                  <w:marRight w:val="0"/>
                  <w:marTop w:val="0"/>
                  <w:marBottom w:val="0"/>
                  <w:divBdr>
                    <w:top w:val="none" w:sz="0" w:space="0" w:color="auto"/>
                    <w:left w:val="none" w:sz="0" w:space="0" w:color="auto"/>
                    <w:bottom w:val="none" w:sz="0" w:space="0" w:color="auto"/>
                    <w:right w:val="none" w:sz="0" w:space="0" w:color="auto"/>
                  </w:divBdr>
                  <w:divsChild>
                    <w:div w:id="1764496843">
                      <w:marLeft w:val="0"/>
                      <w:marRight w:val="0"/>
                      <w:marTop w:val="0"/>
                      <w:marBottom w:val="0"/>
                      <w:divBdr>
                        <w:top w:val="none" w:sz="0" w:space="0" w:color="auto"/>
                        <w:left w:val="none" w:sz="0" w:space="0" w:color="auto"/>
                        <w:bottom w:val="none" w:sz="0" w:space="0" w:color="auto"/>
                        <w:right w:val="none" w:sz="0" w:space="0" w:color="auto"/>
                      </w:divBdr>
                    </w:div>
                    <w:div w:id="699161433">
                      <w:marLeft w:val="0"/>
                      <w:marRight w:val="0"/>
                      <w:marTop w:val="0"/>
                      <w:marBottom w:val="0"/>
                      <w:divBdr>
                        <w:top w:val="none" w:sz="0" w:space="0" w:color="auto"/>
                        <w:left w:val="none" w:sz="0" w:space="0" w:color="auto"/>
                        <w:bottom w:val="none" w:sz="0" w:space="0" w:color="auto"/>
                        <w:right w:val="none" w:sz="0" w:space="0" w:color="auto"/>
                      </w:divBdr>
                    </w:div>
                    <w:div w:id="1513377469">
                      <w:marLeft w:val="0"/>
                      <w:marRight w:val="0"/>
                      <w:marTop w:val="0"/>
                      <w:marBottom w:val="0"/>
                      <w:divBdr>
                        <w:top w:val="none" w:sz="0" w:space="0" w:color="auto"/>
                        <w:left w:val="none" w:sz="0" w:space="0" w:color="auto"/>
                        <w:bottom w:val="none" w:sz="0" w:space="0" w:color="auto"/>
                        <w:right w:val="none" w:sz="0" w:space="0" w:color="auto"/>
                      </w:divBdr>
                    </w:div>
                  </w:divsChild>
                </w:div>
                <w:div w:id="573784689">
                  <w:marLeft w:val="0"/>
                  <w:marRight w:val="0"/>
                  <w:marTop w:val="0"/>
                  <w:marBottom w:val="0"/>
                  <w:divBdr>
                    <w:top w:val="none" w:sz="0" w:space="0" w:color="auto"/>
                    <w:left w:val="none" w:sz="0" w:space="0" w:color="auto"/>
                    <w:bottom w:val="none" w:sz="0" w:space="0" w:color="auto"/>
                    <w:right w:val="none" w:sz="0" w:space="0" w:color="auto"/>
                  </w:divBdr>
                  <w:divsChild>
                    <w:div w:id="499661398">
                      <w:marLeft w:val="0"/>
                      <w:marRight w:val="0"/>
                      <w:marTop w:val="0"/>
                      <w:marBottom w:val="0"/>
                      <w:divBdr>
                        <w:top w:val="none" w:sz="0" w:space="0" w:color="auto"/>
                        <w:left w:val="none" w:sz="0" w:space="0" w:color="auto"/>
                        <w:bottom w:val="none" w:sz="0" w:space="0" w:color="auto"/>
                        <w:right w:val="none" w:sz="0" w:space="0" w:color="auto"/>
                      </w:divBdr>
                    </w:div>
                    <w:div w:id="394470807">
                      <w:marLeft w:val="0"/>
                      <w:marRight w:val="0"/>
                      <w:marTop w:val="0"/>
                      <w:marBottom w:val="0"/>
                      <w:divBdr>
                        <w:top w:val="none" w:sz="0" w:space="0" w:color="auto"/>
                        <w:left w:val="none" w:sz="0" w:space="0" w:color="auto"/>
                        <w:bottom w:val="none" w:sz="0" w:space="0" w:color="auto"/>
                        <w:right w:val="none" w:sz="0" w:space="0" w:color="auto"/>
                      </w:divBdr>
                    </w:div>
                  </w:divsChild>
                </w:div>
                <w:div w:id="813062938">
                  <w:marLeft w:val="0"/>
                  <w:marRight w:val="0"/>
                  <w:marTop w:val="0"/>
                  <w:marBottom w:val="0"/>
                  <w:divBdr>
                    <w:top w:val="none" w:sz="0" w:space="0" w:color="auto"/>
                    <w:left w:val="none" w:sz="0" w:space="0" w:color="auto"/>
                    <w:bottom w:val="none" w:sz="0" w:space="0" w:color="auto"/>
                    <w:right w:val="none" w:sz="0" w:space="0" w:color="auto"/>
                  </w:divBdr>
                  <w:divsChild>
                    <w:div w:id="2121337060">
                      <w:marLeft w:val="0"/>
                      <w:marRight w:val="0"/>
                      <w:marTop w:val="0"/>
                      <w:marBottom w:val="0"/>
                      <w:divBdr>
                        <w:top w:val="none" w:sz="0" w:space="0" w:color="auto"/>
                        <w:left w:val="none" w:sz="0" w:space="0" w:color="auto"/>
                        <w:bottom w:val="none" w:sz="0" w:space="0" w:color="auto"/>
                        <w:right w:val="none" w:sz="0" w:space="0" w:color="auto"/>
                      </w:divBdr>
                    </w:div>
                    <w:div w:id="705377178">
                      <w:marLeft w:val="0"/>
                      <w:marRight w:val="0"/>
                      <w:marTop w:val="0"/>
                      <w:marBottom w:val="0"/>
                      <w:divBdr>
                        <w:top w:val="none" w:sz="0" w:space="0" w:color="auto"/>
                        <w:left w:val="none" w:sz="0" w:space="0" w:color="auto"/>
                        <w:bottom w:val="none" w:sz="0" w:space="0" w:color="auto"/>
                        <w:right w:val="none" w:sz="0" w:space="0" w:color="auto"/>
                      </w:divBdr>
                    </w:div>
                  </w:divsChild>
                </w:div>
                <w:div w:id="2040933974">
                  <w:marLeft w:val="0"/>
                  <w:marRight w:val="0"/>
                  <w:marTop w:val="0"/>
                  <w:marBottom w:val="0"/>
                  <w:divBdr>
                    <w:top w:val="none" w:sz="0" w:space="0" w:color="auto"/>
                    <w:left w:val="none" w:sz="0" w:space="0" w:color="auto"/>
                    <w:bottom w:val="none" w:sz="0" w:space="0" w:color="auto"/>
                    <w:right w:val="none" w:sz="0" w:space="0" w:color="auto"/>
                  </w:divBdr>
                  <w:divsChild>
                    <w:div w:id="327682278">
                      <w:marLeft w:val="0"/>
                      <w:marRight w:val="0"/>
                      <w:marTop w:val="0"/>
                      <w:marBottom w:val="0"/>
                      <w:divBdr>
                        <w:top w:val="none" w:sz="0" w:space="0" w:color="auto"/>
                        <w:left w:val="none" w:sz="0" w:space="0" w:color="auto"/>
                        <w:bottom w:val="none" w:sz="0" w:space="0" w:color="auto"/>
                        <w:right w:val="none" w:sz="0" w:space="0" w:color="auto"/>
                      </w:divBdr>
                    </w:div>
                  </w:divsChild>
                </w:div>
                <w:div w:id="1325469877">
                  <w:marLeft w:val="0"/>
                  <w:marRight w:val="0"/>
                  <w:marTop w:val="0"/>
                  <w:marBottom w:val="0"/>
                  <w:divBdr>
                    <w:top w:val="none" w:sz="0" w:space="0" w:color="auto"/>
                    <w:left w:val="none" w:sz="0" w:space="0" w:color="auto"/>
                    <w:bottom w:val="none" w:sz="0" w:space="0" w:color="auto"/>
                    <w:right w:val="none" w:sz="0" w:space="0" w:color="auto"/>
                  </w:divBdr>
                  <w:divsChild>
                    <w:div w:id="519006251">
                      <w:marLeft w:val="0"/>
                      <w:marRight w:val="0"/>
                      <w:marTop w:val="0"/>
                      <w:marBottom w:val="0"/>
                      <w:divBdr>
                        <w:top w:val="none" w:sz="0" w:space="0" w:color="auto"/>
                        <w:left w:val="none" w:sz="0" w:space="0" w:color="auto"/>
                        <w:bottom w:val="none" w:sz="0" w:space="0" w:color="auto"/>
                        <w:right w:val="none" w:sz="0" w:space="0" w:color="auto"/>
                      </w:divBdr>
                    </w:div>
                  </w:divsChild>
                </w:div>
                <w:div w:id="1827627669">
                  <w:marLeft w:val="0"/>
                  <w:marRight w:val="0"/>
                  <w:marTop w:val="0"/>
                  <w:marBottom w:val="0"/>
                  <w:divBdr>
                    <w:top w:val="none" w:sz="0" w:space="0" w:color="auto"/>
                    <w:left w:val="none" w:sz="0" w:space="0" w:color="auto"/>
                    <w:bottom w:val="none" w:sz="0" w:space="0" w:color="auto"/>
                    <w:right w:val="none" w:sz="0" w:space="0" w:color="auto"/>
                  </w:divBdr>
                  <w:divsChild>
                    <w:div w:id="187177973">
                      <w:marLeft w:val="0"/>
                      <w:marRight w:val="0"/>
                      <w:marTop w:val="0"/>
                      <w:marBottom w:val="0"/>
                      <w:divBdr>
                        <w:top w:val="none" w:sz="0" w:space="0" w:color="auto"/>
                        <w:left w:val="none" w:sz="0" w:space="0" w:color="auto"/>
                        <w:bottom w:val="none" w:sz="0" w:space="0" w:color="auto"/>
                        <w:right w:val="none" w:sz="0" w:space="0" w:color="auto"/>
                      </w:divBdr>
                    </w:div>
                    <w:div w:id="632713124">
                      <w:marLeft w:val="0"/>
                      <w:marRight w:val="0"/>
                      <w:marTop w:val="0"/>
                      <w:marBottom w:val="0"/>
                      <w:divBdr>
                        <w:top w:val="none" w:sz="0" w:space="0" w:color="auto"/>
                        <w:left w:val="none" w:sz="0" w:space="0" w:color="auto"/>
                        <w:bottom w:val="none" w:sz="0" w:space="0" w:color="auto"/>
                        <w:right w:val="none" w:sz="0" w:space="0" w:color="auto"/>
                      </w:divBdr>
                    </w:div>
                    <w:div w:id="445924267">
                      <w:marLeft w:val="0"/>
                      <w:marRight w:val="0"/>
                      <w:marTop w:val="0"/>
                      <w:marBottom w:val="0"/>
                      <w:divBdr>
                        <w:top w:val="none" w:sz="0" w:space="0" w:color="auto"/>
                        <w:left w:val="none" w:sz="0" w:space="0" w:color="auto"/>
                        <w:bottom w:val="none" w:sz="0" w:space="0" w:color="auto"/>
                        <w:right w:val="none" w:sz="0" w:space="0" w:color="auto"/>
                      </w:divBdr>
                    </w:div>
                    <w:div w:id="165100032">
                      <w:marLeft w:val="0"/>
                      <w:marRight w:val="0"/>
                      <w:marTop w:val="0"/>
                      <w:marBottom w:val="0"/>
                      <w:divBdr>
                        <w:top w:val="none" w:sz="0" w:space="0" w:color="auto"/>
                        <w:left w:val="none" w:sz="0" w:space="0" w:color="auto"/>
                        <w:bottom w:val="none" w:sz="0" w:space="0" w:color="auto"/>
                        <w:right w:val="none" w:sz="0" w:space="0" w:color="auto"/>
                      </w:divBdr>
                    </w:div>
                    <w:div w:id="40250787">
                      <w:marLeft w:val="0"/>
                      <w:marRight w:val="0"/>
                      <w:marTop w:val="0"/>
                      <w:marBottom w:val="0"/>
                      <w:divBdr>
                        <w:top w:val="none" w:sz="0" w:space="0" w:color="auto"/>
                        <w:left w:val="none" w:sz="0" w:space="0" w:color="auto"/>
                        <w:bottom w:val="none" w:sz="0" w:space="0" w:color="auto"/>
                        <w:right w:val="none" w:sz="0" w:space="0" w:color="auto"/>
                      </w:divBdr>
                    </w:div>
                  </w:divsChild>
                </w:div>
                <w:div w:id="1144589604">
                  <w:marLeft w:val="0"/>
                  <w:marRight w:val="0"/>
                  <w:marTop w:val="0"/>
                  <w:marBottom w:val="0"/>
                  <w:divBdr>
                    <w:top w:val="none" w:sz="0" w:space="0" w:color="auto"/>
                    <w:left w:val="none" w:sz="0" w:space="0" w:color="auto"/>
                    <w:bottom w:val="none" w:sz="0" w:space="0" w:color="auto"/>
                    <w:right w:val="none" w:sz="0" w:space="0" w:color="auto"/>
                  </w:divBdr>
                  <w:divsChild>
                    <w:div w:id="243075539">
                      <w:marLeft w:val="0"/>
                      <w:marRight w:val="0"/>
                      <w:marTop w:val="0"/>
                      <w:marBottom w:val="0"/>
                      <w:divBdr>
                        <w:top w:val="none" w:sz="0" w:space="0" w:color="auto"/>
                        <w:left w:val="none" w:sz="0" w:space="0" w:color="auto"/>
                        <w:bottom w:val="none" w:sz="0" w:space="0" w:color="auto"/>
                        <w:right w:val="none" w:sz="0" w:space="0" w:color="auto"/>
                      </w:divBdr>
                    </w:div>
                    <w:div w:id="1587836451">
                      <w:marLeft w:val="0"/>
                      <w:marRight w:val="0"/>
                      <w:marTop w:val="0"/>
                      <w:marBottom w:val="0"/>
                      <w:divBdr>
                        <w:top w:val="none" w:sz="0" w:space="0" w:color="auto"/>
                        <w:left w:val="none" w:sz="0" w:space="0" w:color="auto"/>
                        <w:bottom w:val="none" w:sz="0" w:space="0" w:color="auto"/>
                        <w:right w:val="none" w:sz="0" w:space="0" w:color="auto"/>
                      </w:divBdr>
                    </w:div>
                  </w:divsChild>
                </w:div>
                <w:div w:id="418792287">
                  <w:marLeft w:val="0"/>
                  <w:marRight w:val="0"/>
                  <w:marTop w:val="0"/>
                  <w:marBottom w:val="0"/>
                  <w:divBdr>
                    <w:top w:val="none" w:sz="0" w:space="0" w:color="auto"/>
                    <w:left w:val="none" w:sz="0" w:space="0" w:color="auto"/>
                    <w:bottom w:val="none" w:sz="0" w:space="0" w:color="auto"/>
                    <w:right w:val="none" w:sz="0" w:space="0" w:color="auto"/>
                  </w:divBdr>
                  <w:divsChild>
                    <w:div w:id="1024287890">
                      <w:marLeft w:val="0"/>
                      <w:marRight w:val="0"/>
                      <w:marTop w:val="0"/>
                      <w:marBottom w:val="0"/>
                      <w:divBdr>
                        <w:top w:val="none" w:sz="0" w:space="0" w:color="auto"/>
                        <w:left w:val="none" w:sz="0" w:space="0" w:color="auto"/>
                        <w:bottom w:val="none" w:sz="0" w:space="0" w:color="auto"/>
                        <w:right w:val="none" w:sz="0" w:space="0" w:color="auto"/>
                      </w:divBdr>
                    </w:div>
                    <w:div w:id="1844390235">
                      <w:marLeft w:val="0"/>
                      <w:marRight w:val="0"/>
                      <w:marTop w:val="0"/>
                      <w:marBottom w:val="0"/>
                      <w:divBdr>
                        <w:top w:val="none" w:sz="0" w:space="0" w:color="auto"/>
                        <w:left w:val="none" w:sz="0" w:space="0" w:color="auto"/>
                        <w:bottom w:val="none" w:sz="0" w:space="0" w:color="auto"/>
                        <w:right w:val="none" w:sz="0" w:space="0" w:color="auto"/>
                      </w:divBdr>
                    </w:div>
                    <w:div w:id="744960413">
                      <w:marLeft w:val="0"/>
                      <w:marRight w:val="0"/>
                      <w:marTop w:val="0"/>
                      <w:marBottom w:val="0"/>
                      <w:divBdr>
                        <w:top w:val="none" w:sz="0" w:space="0" w:color="auto"/>
                        <w:left w:val="none" w:sz="0" w:space="0" w:color="auto"/>
                        <w:bottom w:val="none" w:sz="0" w:space="0" w:color="auto"/>
                        <w:right w:val="none" w:sz="0" w:space="0" w:color="auto"/>
                      </w:divBdr>
                    </w:div>
                    <w:div w:id="1882278883">
                      <w:marLeft w:val="0"/>
                      <w:marRight w:val="0"/>
                      <w:marTop w:val="0"/>
                      <w:marBottom w:val="0"/>
                      <w:divBdr>
                        <w:top w:val="none" w:sz="0" w:space="0" w:color="auto"/>
                        <w:left w:val="none" w:sz="0" w:space="0" w:color="auto"/>
                        <w:bottom w:val="none" w:sz="0" w:space="0" w:color="auto"/>
                        <w:right w:val="none" w:sz="0" w:space="0" w:color="auto"/>
                      </w:divBdr>
                    </w:div>
                    <w:div w:id="211692661">
                      <w:marLeft w:val="0"/>
                      <w:marRight w:val="0"/>
                      <w:marTop w:val="0"/>
                      <w:marBottom w:val="0"/>
                      <w:divBdr>
                        <w:top w:val="none" w:sz="0" w:space="0" w:color="auto"/>
                        <w:left w:val="none" w:sz="0" w:space="0" w:color="auto"/>
                        <w:bottom w:val="none" w:sz="0" w:space="0" w:color="auto"/>
                        <w:right w:val="none" w:sz="0" w:space="0" w:color="auto"/>
                      </w:divBdr>
                    </w:div>
                  </w:divsChild>
                </w:div>
                <w:div w:id="965283181">
                  <w:marLeft w:val="0"/>
                  <w:marRight w:val="0"/>
                  <w:marTop w:val="0"/>
                  <w:marBottom w:val="0"/>
                  <w:divBdr>
                    <w:top w:val="none" w:sz="0" w:space="0" w:color="auto"/>
                    <w:left w:val="none" w:sz="0" w:space="0" w:color="auto"/>
                    <w:bottom w:val="none" w:sz="0" w:space="0" w:color="auto"/>
                    <w:right w:val="none" w:sz="0" w:space="0" w:color="auto"/>
                  </w:divBdr>
                  <w:divsChild>
                    <w:div w:id="935752607">
                      <w:marLeft w:val="0"/>
                      <w:marRight w:val="0"/>
                      <w:marTop w:val="0"/>
                      <w:marBottom w:val="0"/>
                      <w:divBdr>
                        <w:top w:val="none" w:sz="0" w:space="0" w:color="auto"/>
                        <w:left w:val="none" w:sz="0" w:space="0" w:color="auto"/>
                        <w:bottom w:val="none" w:sz="0" w:space="0" w:color="auto"/>
                        <w:right w:val="none" w:sz="0" w:space="0" w:color="auto"/>
                      </w:divBdr>
                    </w:div>
                    <w:div w:id="1052458871">
                      <w:marLeft w:val="0"/>
                      <w:marRight w:val="0"/>
                      <w:marTop w:val="0"/>
                      <w:marBottom w:val="0"/>
                      <w:divBdr>
                        <w:top w:val="none" w:sz="0" w:space="0" w:color="auto"/>
                        <w:left w:val="none" w:sz="0" w:space="0" w:color="auto"/>
                        <w:bottom w:val="none" w:sz="0" w:space="0" w:color="auto"/>
                        <w:right w:val="none" w:sz="0" w:space="0" w:color="auto"/>
                      </w:divBdr>
                    </w:div>
                    <w:div w:id="1116942751">
                      <w:marLeft w:val="0"/>
                      <w:marRight w:val="0"/>
                      <w:marTop w:val="0"/>
                      <w:marBottom w:val="0"/>
                      <w:divBdr>
                        <w:top w:val="none" w:sz="0" w:space="0" w:color="auto"/>
                        <w:left w:val="none" w:sz="0" w:space="0" w:color="auto"/>
                        <w:bottom w:val="none" w:sz="0" w:space="0" w:color="auto"/>
                        <w:right w:val="none" w:sz="0" w:space="0" w:color="auto"/>
                      </w:divBdr>
                    </w:div>
                    <w:div w:id="1239906769">
                      <w:marLeft w:val="0"/>
                      <w:marRight w:val="0"/>
                      <w:marTop w:val="0"/>
                      <w:marBottom w:val="0"/>
                      <w:divBdr>
                        <w:top w:val="none" w:sz="0" w:space="0" w:color="auto"/>
                        <w:left w:val="none" w:sz="0" w:space="0" w:color="auto"/>
                        <w:bottom w:val="none" w:sz="0" w:space="0" w:color="auto"/>
                        <w:right w:val="none" w:sz="0" w:space="0" w:color="auto"/>
                      </w:divBdr>
                    </w:div>
                    <w:div w:id="1524897161">
                      <w:marLeft w:val="0"/>
                      <w:marRight w:val="0"/>
                      <w:marTop w:val="0"/>
                      <w:marBottom w:val="0"/>
                      <w:divBdr>
                        <w:top w:val="none" w:sz="0" w:space="0" w:color="auto"/>
                        <w:left w:val="none" w:sz="0" w:space="0" w:color="auto"/>
                        <w:bottom w:val="none" w:sz="0" w:space="0" w:color="auto"/>
                        <w:right w:val="none" w:sz="0" w:space="0" w:color="auto"/>
                      </w:divBdr>
                    </w:div>
                    <w:div w:id="1974411004">
                      <w:marLeft w:val="0"/>
                      <w:marRight w:val="0"/>
                      <w:marTop w:val="0"/>
                      <w:marBottom w:val="0"/>
                      <w:divBdr>
                        <w:top w:val="none" w:sz="0" w:space="0" w:color="auto"/>
                        <w:left w:val="none" w:sz="0" w:space="0" w:color="auto"/>
                        <w:bottom w:val="none" w:sz="0" w:space="0" w:color="auto"/>
                        <w:right w:val="none" w:sz="0" w:space="0" w:color="auto"/>
                      </w:divBdr>
                    </w:div>
                    <w:div w:id="714232375">
                      <w:marLeft w:val="0"/>
                      <w:marRight w:val="0"/>
                      <w:marTop w:val="0"/>
                      <w:marBottom w:val="0"/>
                      <w:divBdr>
                        <w:top w:val="none" w:sz="0" w:space="0" w:color="auto"/>
                        <w:left w:val="none" w:sz="0" w:space="0" w:color="auto"/>
                        <w:bottom w:val="none" w:sz="0" w:space="0" w:color="auto"/>
                        <w:right w:val="none" w:sz="0" w:space="0" w:color="auto"/>
                      </w:divBdr>
                    </w:div>
                  </w:divsChild>
                </w:div>
                <w:div w:id="2007441492">
                  <w:marLeft w:val="0"/>
                  <w:marRight w:val="0"/>
                  <w:marTop w:val="0"/>
                  <w:marBottom w:val="0"/>
                  <w:divBdr>
                    <w:top w:val="none" w:sz="0" w:space="0" w:color="auto"/>
                    <w:left w:val="none" w:sz="0" w:space="0" w:color="auto"/>
                    <w:bottom w:val="none" w:sz="0" w:space="0" w:color="auto"/>
                    <w:right w:val="none" w:sz="0" w:space="0" w:color="auto"/>
                  </w:divBdr>
                  <w:divsChild>
                    <w:div w:id="693651875">
                      <w:marLeft w:val="0"/>
                      <w:marRight w:val="0"/>
                      <w:marTop w:val="0"/>
                      <w:marBottom w:val="0"/>
                      <w:divBdr>
                        <w:top w:val="none" w:sz="0" w:space="0" w:color="auto"/>
                        <w:left w:val="none" w:sz="0" w:space="0" w:color="auto"/>
                        <w:bottom w:val="none" w:sz="0" w:space="0" w:color="auto"/>
                        <w:right w:val="none" w:sz="0" w:space="0" w:color="auto"/>
                      </w:divBdr>
                    </w:div>
                    <w:div w:id="279150327">
                      <w:marLeft w:val="0"/>
                      <w:marRight w:val="0"/>
                      <w:marTop w:val="0"/>
                      <w:marBottom w:val="0"/>
                      <w:divBdr>
                        <w:top w:val="none" w:sz="0" w:space="0" w:color="auto"/>
                        <w:left w:val="none" w:sz="0" w:space="0" w:color="auto"/>
                        <w:bottom w:val="none" w:sz="0" w:space="0" w:color="auto"/>
                        <w:right w:val="none" w:sz="0" w:space="0" w:color="auto"/>
                      </w:divBdr>
                    </w:div>
                    <w:div w:id="1747264571">
                      <w:marLeft w:val="0"/>
                      <w:marRight w:val="0"/>
                      <w:marTop w:val="0"/>
                      <w:marBottom w:val="0"/>
                      <w:divBdr>
                        <w:top w:val="none" w:sz="0" w:space="0" w:color="auto"/>
                        <w:left w:val="none" w:sz="0" w:space="0" w:color="auto"/>
                        <w:bottom w:val="none" w:sz="0" w:space="0" w:color="auto"/>
                        <w:right w:val="none" w:sz="0" w:space="0" w:color="auto"/>
                      </w:divBdr>
                    </w:div>
                  </w:divsChild>
                </w:div>
                <w:div w:id="101463999">
                  <w:marLeft w:val="0"/>
                  <w:marRight w:val="0"/>
                  <w:marTop w:val="0"/>
                  <w:marBottom w:val="0"/>
                  <w:divBdr>
                    <w:top w:val="none" w:sz="0" w:space="0" w:color="auto"/>
                    <w:left w:val="none" w:sz="0" w:space="0" w:color="auto"/>
                    <w:bottom w:val="none" w:sz="0" w:space="0" w:color="auto"/>
                    <w:right w:val="none" w:sz="0" w:space="0" w:color="auto"/>
                  </w:divBdr>
                  <w:divsChild>
                    <w:div w:id="87508852">
                      <w:marLeft w:val="0"/>
                      <w:marRight w:val="0"/>
                      <w:marTop w:val="0"/>
                      <w:marBottom w:val="0"/>
                      <w:divBdr>
                        <w:top w:val="none" w:sz="0" w:space="0" w:color="auto"/>
                        <w:left w:val="none" w:sz="0" w:space="0" w:color="auto"/>
                        <w:bottom w:val="none" w:sz="0" w:space="0" w:color="auto"/>
                        <w:right w:val="none" w:sz="0" w:space="0" w:color="auto"/>
                      </w:divBdr>
                    </w:div>
                    <w:div w:id="1341349172">
                      <w:marLeft w:val="0"/>
                      <w:marRight w:val="0"/>
                      <w:marTop w:val="0"/>
                      <w:marBottom w:val="0"/>
                      <w:divBdr>
                        <w:top w:val="none" w:sz="0" w:space="0" w:color="auto"/>
                        <w:left w:val="none" w:sz="0" w:space="0" w:color="auto"/>
                        <w:bottom w:val="none" w:sz="0" w:space="0" w:color="auto"/>
                        <w:right w:val="none" w:sz="0" w:space="0" w:color="auto"/>
                      </w:divBdr>
                    </w:div>
                    <w:div w:id="317996327">
                      <w:marLeft w:val="0"/>
                      <w:marRight w:val="0"/>
                      <w:marTop w:val="0"/>
                      <w:marBottom w:val="0"/>
                      <w:divBdr>
                        <w:top w:val="none" w:sz="0" w:space="0" w:color="auto"/>
                        <w:left w:val="none" w:sz="0" w:space="0" w:color="auto"/>
                        <w:bottom w:val="none" w:sz="0" w:space="0" w:color="auto"/>
                        <w:right w:val="none" w:sz="0" w:space="0" w:color="auto"/>
                      </w:divBdr>
                    </w:div>
                    <w:div w:id="1187213470">
                      <w:marLeft w:val="0"/>
                      <w:marRight w:val="0"/>
                      <w:marTop w:val="0"/>
                      <w:marBottom w:val="0"/>
                      <w:divBdr>
                        <w:top w:val="none" w:sz="0" w:space="0" w:color="auto"/>
                        <w:left w:val="none" w:sz="0" w:space="0" w:color="auto"/>
                        <w:bottom w:val="none" w:sz="0" w:space="0" w:color="auto"/>
                        <w:right w:val="none" w:sz="0" w:space="0" w:color="auto"/>
                      </w:divBdr>
                    </w:div>
                  </w:divsChild>
                </w:div>
                <w:div w:id="648947929">
                  <w:marLeft w:val="0"/>
                  <w:marRight w:val="0"/>
                  <w:marTop w:val="0"/>
                  <w:marBottom w:val="0"/>
                  <w:divBdr>
                    <w:top w:val="none" w:sz="0" w:space="0" w:color="auto"/>
                    <w:left w:val="none" w:sz="0" w:space="0" w:color="auto"/>
                    <w:bottom w:val="none" w:sz="0" w:space="0" w:color="auto"/>
                    <w:right w:val="none" w:sz="0" w:space="0" w:color="auto"/>
                  </w:divBdr>
                  <w:divsChild>
                    <w:div w:id="737822099">
                      <w:marLeft w:val="0"/>
                      <w:marRight w:val="0"/>
                      <w:marTop w:val="0"/>
                      <w:marBottom w:val="0"/>
                      <w:divBdr>
                        <w:top w:val="none" w:sz="0" w:space="0" w:color="auto"/>
                        <w:left w:val="none" w:sz="0" w:space="0" w:color="auto"/>
                        <w:bottom w:val="none" w:sz="0" w:space="0" w:color="auto"/>
                        <w:right w:val="none" w:sz="0" w:space="0" w:color="auto"/>
                      </w:divBdr>
                    </w:div>
                  </w:divsChild>
                </w:div>
                <w:div w:id="1052726743">
                  <w:marLeft w:val="0"/>
                  <w:marRight w:val="0"/>
                  <w:marTop w:val="0"/>
                  <w:marBottom w:val="0"/>
                  <w:divBdr>
                    <w:top w:val="none" w:sz="0" w:space="0" w:color="auto"/>
                    <w:left w:val="none" w:sz="0" w:space="0" w:color="auto"/>
                    <w:bottom w:val="none" w:sz="0" w:space="0" w:color="auto"/>
                    <w:right w:val="none" w:sz="0" w:space="0" w:color="auto"/>
                  </w:divBdr>
                  <w:divsChild>
                    <w:div w:id="660501553">
                      <w:marLeft w:val="0"/>
                      <w:marRight w:val="0"/>
                      <w:marTop w:val="0"/>
                      <w:marBottom w:val="0"/>
                      <w:divBdr>
                        <w:top w:val="none" w:sz="0" w:space="0" w:color="auto"/>
                        <w:left w:val="none" w:sz="0" w:space="0" w:color="auto"/>
                        <w:bottom w:val="none" w:sz="0" w:space="0" w:color="auto"/>
                        <w:right w:val="none" w:sz="0" w:space="0" w:color="auto"/>
                      </w:divBdr>
                    </w:div>
                    <w:div w:id="698552801">
                      <w:marLeft w:val="0"/>
                      <w:marRight w:val="0"/>
                      <w:marTop w:val="0"/>
                      <w:marBottom w:val="0"/>
                      <w:divBdr>
                        <w:top w:val="none" w:sz="0" w:space="0" w:color="auto"/>
                        <w:left w:val="none" w:sz="0" w:space="0" w:color="auto"/>
                        <w:bottom w:val="none" w:sz="0" w:space="0" w:color="auto"/>
                        <w:right w:val="none" w:sz="0" w:space="0" w:color="auto"/>
                      </w:divBdr>
                    </w:div>
                    <w:div w:id="1840852320">
                      <w:marLeft w:val="0"/>
                      <w:marRight w:val="0"/>
                      <w:marTop w:val="0"/>
                      <w:marBottom w:val="0"/>
                      <w:divBdr>
                        <w:top w:val="none" w:sz="0" w:space="0" w:color="auto"/>
                        <w:left w:val="none" w:sz="0" w:space="0" w:color="auto"/>
                        <w:bottom w:val="none" w:sz="0" w:space="0" w:color="auto"/>
                        <w:right w:val="none" w:sz="0" w:space="0" w:color="auto"/>
                      </w:divBdr>
                    </w:div>
                    <w:div w:id="1510824956">
                      <w:marLeft w:val="0"/>
                      <w:marRight w:val="0"/>
                      <w:marTop w:val="0"/>
                      <w:marBottom w:val="0"/>
                      <w:divBdr>
                        <w:top w:val="none" w:sz="0" w:space="0" w:color="auto"/>
                        <w:left w:val="none" w:sz="0" w:space="0" w:color="auto"/>
                        <w:bottom w:val="none" w:sz="0" w:space="0" w:color="auto"/>
                        <w:right w:val="none" w:sz="0" w:space="0" w:color="auto"/>
                      </w:divBdr>
                    </w:div>
                    <w:div w:id="422798665">
                      <w:marLeft w:val="0"/>
                      <w:marRight w:val="0"/>
                      <w:marTop w:val="0"/>
                      <w:marBottom w:val="0"/>
                      <w:divBdr>
                        <w:top w:val="none" w:sz="0" w:space="0" w:color="auto"/>
                        <w:left w:val="none" w:sz="0" w:space="0" w:color="auto"/>
                        <w:bottom w:val="none" w:sz="0" w:space="0" w:color="auto"/>
                        <w:right w:val="none" w:sz="0" w:space="0" w:color="auto"/>
                      </w:divBdr>
                    </w:div>
                  </w:divsChild>
                </w:div>
                <w:div w:id="67923139">
                  <w:marLeft w:val="0"/>
                  <w:marRight w:val="0"/>
                  <w:marTop w:val="0"/>
                  <w:marBottom w:val="0"/>
                  <w:divBdr>
                    <w:top w:val="none" w:sz="0" w:space="0" w:color="auto"/>
                    <w:left w:val="none" w:sz="0" w:space="0" w:color="auto"/>
                    <w:bottom w:val="none" w:sz="0" w:space="0" w:color="auto"/>
                    <w:right w:val="none" w:sz="0" w:space="0" w:color="auto"/>
                  </w:divBdr>
                  <w:divsChild>
                    <w:div w:id="1209993562">
                      <w:marLeft w:val="0"/>
                      <w:marRight w:val="0"/>
                      <w:marTop w:val="0"/>
                      <w:marBottom w:val="0"/>
                      <w:divBdr>
                        <w:top w:val="none" w:sz="0" w:space="0" w:color="auto"/>
                        <w:left w:val="none" w:sz="0" w:space="0" w:color="auto"/>
                        <w:bottom w:val="none" w:sz="0" w:space="0" w:color="auto"/>
                        <w:right w:val="none" w:sz="0" w:space="0" w:color="auto"/>
                      </w:divBdr>
                    </w:div>
                    <w:div w:id="1275602001">
                      <w:marLeft w:val="0"/>
                      <w:marRight w:val="0"/>
                      <w:marTop w:val="0"/>
                      <w:marBottom w:val="0"/>
                      <w:divBdr>
                        <w:top w:val="none" w:sz="0" w:space="0" w:color="auto"/>
                        <w:left w:val="none" w:sz="0" w:space="0" w:color="auto"/>
                        <w:bottom w:val="none" w:sz="0" w:space="0" w:color="auto"/>
                        <w:right w:val="none" w:sz="0" w:space="0" w:color="auto"/>
                      </w:divBdr>
                    </w:div>
                    <w:div w:id="1558201481">
                      <w:marLeft w:val="0"/>
                      <w:marRight w:val="0"/>
                      <w:marTop w:val="0"/>
                      <w:marBottom w:val="0"/>
                      <w:divBdr>
                        <w:top w:val="none" w:sz="0" w:space="0" w:color="auto"/>
                        <w:left w:val="none" w:sz="0" w:space="0" w:color="auto"/>
                        <w:bottom w:val="none" w:sz="0" w:space="0" w:color="auto"/>
                        <w:right w:val="none" w:sz="0" w:space="0" w:color="auto"/>
                      </w:divBdr>
                    </w:div>
                    <w:div w:id="1796866430">
                      <w:marLeft w:val="0"/>
                      <w:marRight w:val="0"/>
                      <w:marTop w:val="0"/>
                      <w:marBottom w:val="0"/>
                      <w:divBdr>
                        <w:top w:val="none" w:sz="0" w:space="0" w:color="auto"/>
                        <w:left w:val="none" w:sz="0" w:space="0" w:color="auto"/>
                        <w:bottom w:val="none" w:sz="0" w:space="0" w:color="auto"/>
                        <w:right w:val="none" w:sz="0" w:space="0" w:color="auto"/>
                      </w:divBdr>
                    </w:div>
                    <w:div w:id="651102464">
                      <w:marLeft w:val="0"/>
                      <w:marRight w:val="0"/>
                      <w:marTop w:val="0"/>
                      <w:marBottom w:val="0"/>
                      <w:divBdr>
                        <w:top w:val="none" w:sz="0" w:space="0" w:color="auto"/>
                        <w:left w:val="none" w:sz="0" w:space="0" w:color="auto"/>
                        <w:bottom w:val="none" w:sz="0" w:space="0" w:color="auto"/>
                        <w:right w:val="none" w:sz="0" w:space="0" w:color="auto"/>
                      </w:divBdr>
                    </w:div>
                    <w:div w:id="1610045069">
                      <w:marLeft w:val="0"/>
                      <w:marRight w:val="0"/>
                      <w:marTop w:val="0"/>
                      <w:marBottom w:val="0"/>
                      <w:divBdr>
                        <w:top w:val="none" w:sz="0" w:space="0" w:color="auto"/>
                        <w:left w:val="none" w:sz="0" w:space="0" w:color="auto"/>
                        <w:bottom w:val="none" w:sz="0" w:space="0" w:color="auto"/>
                        <w:right w:val="none" w:sz="0" w:space="0" w:color="auto"/>
                      </w:divBdr>
                    </w:div>
                  </w:divsChild>
                </w:div>
                <w:div w:id="1563325804">
                  <w:marLeft w:val="0"/>
                  <w:marRight w:val="0"/>
                  <w:marTop w:val="0"/>
                  <w:marBottom w:val="0"/>
                  <w:divBdr>
                    <w:top w:val="none" w:sz="0" w:space="0" w:color="auto"/>
                    <w:left w:val="none" w:sz="0" w:space="0" w:color="auto"/>
                    <w:bottom w:val="none" w:sz="0" w:space="0" w:color="auto"/>
                    <w:right w:val="none" w:sz="0" w:space="0" w:color="auto"/>
                  </w:divBdr>
                  <w:divsChild>
                    <w:div w:id="760104860">
                      <w:marLeft w:val="0"/>
                      <w:marRight w:val="0"/>
                      <w:marTop w:val="0"/>
                      <w:marBottom w:val="0"/>
                      <w:divBdr>
                        <w:top w:val="none" w:sz="0" w:space="0" w:color="auto"/>
                        <w:left w:val="none" w:sz="0" w:space="0" w:color="auto"/>
                        <w:bottom w:val="none" w:sz="0" w:space="0" w:color="auto"/>
                        <w:right w:val="none" w:sz="0" w:space="0" w:color="auto"/>
                      </w:divBdr>
                    </w:div>
                    <w:div w:id="1449667710">
                      <w:marLeft w:val="0"/>
                      <w:marRight w:val="0"/>
                      <w:marTop w:val="0"/>
                      <w:marBottom w:val="0"/>
                      <w:divBdr>
                        <w:top w:val="none" w:sz="0" w:space="0" w:color="auto"/>
                        <w:left w:val="none" w:sz="0" w:space="0" w:color="auto"/>
                        <w:bottom w:val="none" w:sz="0" w:space="0" w:color="auto"/>
                        <w:right w:val="none" w:sz="0" w:space="0" w:color="auto"/>
                      </w:divBdr>
                    </w:div>
                    <w:div w:id="1764837129">
                      <w:marLeft w:val="0"/>
                      <w:marRight w:val="0"/>
                      <w:marTop w:val="0"/>
                      <w:marBottom w:val="0"/>
                      <w:divBdr>
                        <w:top w:val="none" w:sz="0" w:space="0" w:color="auto"/>
                        <w:left w:val="none" w:sz="0" w:space="0" w:color="auto"/>
                        <w:bottom w:val="none" w:sz="0" w:space="0" w:color="auto"/>
                        <w:right w:val="none" w:sz="0" w:space="0" w:color="auto"/>
                      </w:divBdr>
                    </w:div>
                    <w:div w:id="1254244717">
                      <w:marLeft w:val="0"/>
                      <w:marRight w:val="0"/>
                      <w:marTop w:val="0"/>
                      <w:marBottom w:val="0"/>
                      <w:divBdr>
                        <w:top w:val="none" w:sz="0" w:space="0" w:color="auto"/>
                        <w:left w:val="none" w:sz="0" w:space="0" w:color="auto"/>
                        <w:bottom w:val="none" w:sz="0" w:space="0" w:color="auto"/>
                        <w:right w:val="none" w:sz="0" w:space="0" w:color="auto"/>
                      </w:divBdr>
                    </w:div>
                    <w:div w:id="1509170620">
                      <w:marLeft w:val="0"/>
                      <w:marRight w:val="0"/>
                      <w:marTop w:val="0"/>
                      <w:marBottom w:val="0"/>
                      <w:divBdr>
                        <w:top w:val="none" w:sz="0" w:space="0" w:color="auto"/>
                        <w:left w:val="none" w:sz="0" w:space="0" w:color="auto"/>
                        <w:bottom w:val="none" w:sz="0" w:space="0" w:color="auto"/>
                        <w:right w:val="none" w:sz="0" w:space="0" w:color="auto"/>
                      </w:divBdr>
                    </w:div>
                    <w:div w:id="228272186">
                      <w:marLeft w:val="0"/>
                      <w:marRight w:val="0"/>
                      <w:marTop w:val="0"/>
                      <w:marBottom w:val="0"/>
                      <w:divBdr>
                        <w:top w:val="none" w:sz="0" w:space="0" w:color="auto"/>
                        <w:left w:val="none" w:sz="0" w:space="0" w:color="auto"/>
                        <w:bottom w:val="none" w:sz="0" w:space="0" w:color="auto"/>
                        <w:right w:val="none" w:sz="0" w:space="0" w:color="auto"/>
                      </w:divBdr>
                    </w:div>
                  </w:divsChild>
                </w:div>
                <w:div w:id="1643727638">
                  <w:marLeft w:val="0"/>
                  <w:marRight w:val="0"/>
                  <w:marTop w:val="0"/>
                  <w:marBottom w:val="0"/>
                  <w:divBdr>
                    <w:top w:val="none" w:sz="0" w:space="0" w:color="auto"/>
                    <w:left w:val="none" w:sz="0" w:space="0" w:color="auto"/>
                    <w:bottom w:val="none" w:sz="0" w:space="0" w:color="auto"/>
                    <w:right w:val="none" w:sz="0" w:space="0" w:color="auto"/>
                  </w:divBdr>
                  <w:divsChild>
                    <w:div w:id="1356616993">
                      <w:marLeft w:val="0"/>
                      <w:marRight w:val="0"/>
                      <w:marTop w:val="0"/>
                      <w:marBottom w:val="0"/>
                      <w:divBdr>
                        <w:top w:val="none" w:sz="0" w:space="0" w:color="auto"/>
                        <w:left w:val="none" w:sz="0" w:space="0" w:color="auto"/>
                        <w:bottom w:val="none" w:sz="0" w:space="0" w:color="auto"/>
                        <w:right w:val="none" w:sz="0" w:space="0" w:color="auto"/>
                      </w:divBdr>
                    </w:div>
                    <w:div w:id="1997953213">
                      <w:marLeft w:val="0"/>
                      <w:marRight w:val="0"/>
                      <w:marTop w:val="0"/>
                      <w:marBottom w:val="0"/>
                      <w:divBdr>
                        <w:top w:val="none" w:sz="0" w:space="0" w:color="auto"/>
                        <w:left w:val="none" w:sz="0" w:space="0" w:color="auto"/>
                        <w:bottom w:val="none" w:sz="0" w:space="0" w:color="auto"/>
                        <w:right w:val="none" w:sz="0" w:space="0" w:color="auto"/>
                      </w:divBdr>
                    </w:div>
                    <w:div w:id="1945724344">
                      <w:marLeft w:val="0"/>
                      <w:marRight w:val="0"/>
                      <w:marTop w:val="0"/>
                      <w:marBottom w:val="0"/>
                      <w:divBdr>
                        <w:top w:val="none" w:sz="0" w:space="0" w:color="auto"/>
                        <w:left w:val="none" w:sz="0" w:space="0" w:color="auto"/>
                        <w:bottom w:val="none" w:sz="0" w:space="0" w:color="auto"/>
                        <w:right w:val="none" w:sz="0" w:space="0" w:color="auto"/>
                      </w:divBdr>
                    </w:div>
                    <w:div w:id="1559852355">
                      <w:marLeft w:val="0"/>
                      <w:marRight w:val="0"/>
                      <w:marTop w:val="0"/>
                      <w:marBottom w:val="0"/>
                      <w:divBdr>
                        <w:top w:val="none" w:sz="0" w:space="0" w:color="auto"/>
                        <w:left w:val="none" w:sz="0" w:space="0" w:color="auto"/>
                        <w:bottom w:val="none" w:sz="0" w:space="0" w:color="auto"/>
                        <w:right w:val="none" w:sz="0" w:space="0" w:color="auto"/>
                      </w:divBdr>
                    </w:div>
                    <w:div w:id="1459684082">
                      <w:marLeft w:val="0"/>
                      <w:marRight w:val="0"/>
                      <w:marTop w:val="0"/>
                      <w:marBottom w:val="0"/>
                      <w:divBdr>
                        <w:top w:val="none" w:sz="0" w:space="0" w:color="auto"/>
                        <w:left w:val="none" w:sz="0" w:space="0" w:color="auto"/>
                        <w:bottom w:val="none" w:sz="0" w:space="0" w:color="auto"/>
                        <w:right w:val="none" w:sz="0" w:space="0" w:color="auto"/>
                      </w:divBdr>
                    </w:div>
                    <w:div w:id="49698038">
                      <w:marLeft w:val="0"/>
                      <w:marRight w:val="0"/>
                      <w:marTop w:val="0"/>
                      <w:marBottom w:val="0"/>
                      <w:divBdr>
                        <w:top w:val="none" w:sz="0" w:space="0" w:color="auto"/>
                        <w:left w:val="none" w:sz="0" w:space="0" w:color="auto"/>
                        <w:bottom w:val="none" w:sz="0" w:space="0" w:color="auto"/>
                        <w:right w:val="none" w:sz="0" w:space="0" w:color="auto"/>
                      </w:divBdr>
                    </w:div>
                    <w:div w:id="1313290091">
                      <w:marLeft w:val="0"/>
                      <w:marRight w:val="0"/>
                      <w:marTop w:val="0"/>
                      <w:marBottom w:val="0"/>
                      <w:divBdr>
                        <w:top w:val="none" w:sz="0" w:space="0" w:color="auto"/>
                        <w:left w:val="none" w:sz="0" w:space="0" w:color="auto"/>
                        <w:bottom w:val="none" w:sz="0" w:space="0" w:color="auto"/>
                        <w:right w:val="none" w:sz="0" w:space="0" w:color="auto"/>
                      </w:divBdr>
                    </w:div>
                    <w:div w:id="211382049">
                      <w:marLeft w:val="0"/>
                      <w:marRight w:val="0"/>
                      <w:marTop w:val="0"/>
                      <w:marBottom w:val="0"/>
                      <w:divBdr>
                        <w:top w:val="none" w:sz="0" w:space="0" w:color="auto"/>
                        <w:left w:val="none" w:sz="0" w:space="0" w:color="auto"/>
                        <w:bottom w:val="none" w:sz="0" w:space="0" w:color="auto"/>
                        <w:right w:val="none" w:sz="0" w:space="0" w:color="auto"/>
                      </w:divBdr>
                    </w:div>
                  </w:divsChild>
                </w:div>
                <w:div w:id="278150508">
                  <w:marLeft w:val="0"/>
                  <w:marRight w:val="0"/>
                  <w:marTop w:val="0"/>
                  <w:marBottom w:val="0"/>
                  <w:divBdr>
                    <w:top w:val="none" w:sz="0" w:space="0" w:color="auto"/>
                    <w:left w:val="none" w:sz="0" w:space="0" w:color="auto"/>
                    <w:bottom w:val="none" w:sz="0" w:space="0" w:color="auto"/>
                    <w:right w:val="none" w:sz="0" w:space="0" w:color="auto"/>
                  </w:divBdr>
                  <w:divsChild>
                    <w:div w:id="599489707">
                      <w:marLeft w:val="0"/>
                      <w:marRight w:val="0"/>
                      <w:marTop w:val="0"/>
                      <w:marBottom w:val="0"/>
                      <w:divBdr>
                        <w:top w:val="none" w:sz="0" w:space="0" w:color="auto"/>
                        <w:left w:val="none" w:sz="0" w:space="0" w:color="auto"/>
                        <w:bottom w:val="none" w:sz="0" w:space="0" w:color="auto"/>
                        <w:right w:val="none" w:sz="0" w:space="0" w:color="auto"/>
                      </w:divBdr>
                    </w:div>
                    <w:div w:id="1275555002">
                      <w:marLeft w:val="0"/>
                      <w:marRight w:val="0"/>
                      <w:marTop w:val="0"/>
                      <w:marBottom w:val="0"/>
                      <w:divBdr>
                        <w:top w:val="none" w:sz="0" w:space="0" w:color="auto"/>
                        <w:left w:val="none" w:sz="0" w:space="0" w:color="auto"/>
                        <w:bottom w:val="none" w:sz="0" w:space="0" w:color="auto"/>
                        <w:right w:val="none" w:sz="0" w:space="0" w:color="auto"/>
                      </w:divBdr>
                    </w:div>
                    <w:div w:id="1222445581">
                      <w:marLeft w:val="0"/>
                      <w:marRight w:val="0"/>
                      <w:marTop w:val="0"/>
                      <w:marBottom w:val="0"/>
                      <w:divBdr>
                        <w:top w:val="none" w:sz="0" w:space="0" w:color="auto"/>
                        <w:left w:val="none" w:sz="0" w:space="0" w:color="auto"/>
                        <w:bottom w:val="none" w:sz="0" w:space="0" w:color="auto"/>
                        <w:right w:val="none" w:sz="0" w:space="0" w:color="auto"/>
                      </w:divBdr>
                    </w:div>
                    <w:div w:id="806974047">
                      <w:marLeft w:val="0"/>
                      <w:marRight w:val="0"/>
                      <w:marTop w:val="0"/>
                      <w:marBottom w:val="0"/>
                      <w:divBdr>
                        <w:top w:val="none" w:sz="0" w:space="0" w:color="auto"/>
                        <w:left w:val="none" w:sz="0" w:space="0" w:color="auto"/>
                        <w:bottom w:val="none" w:sz="0" w:space="0" w:color="auto"/>
                        <w:right w:val="none" w:sz="0" w:space="0" w:color="auto"/>
                      </w:divBdr>
                    </w:div>
                    <w:div w:id="446241194">
                      <w:marLeft w:val="0"/>
                      <w:marRight w:val="0"/>
                      <w:marTop w:val="0"/>
                      <w:marBottom w:val="0"/>
                      <w:divBdr>
                        <w:top w:val="none" w:sz="0" w:space="0" w:color="auto"/>
                        <w:left w:val="none" w:sz="0" w:space="0" w:color="auto"/>
                        <w:bottom w:val="none" w:sz="0" w:space="0" w:color="auto"/>
                        <w:right w:val="none" w:sz="0" w:space="0" w:color="auto"/>
                      </w:divBdr>
                    </w:div>
                    <w:div w:id="1535970312">
                      <w:marLeft w:val="0"/>
                      <w:marRight w:val="0"/>
                      <w:marTop w:val="0"/>
                      <w:marBottom w:val="0"/>
                      <w:divBdr>
                        <w:top w:val="none" w:sz="0" w:space="0" w:color="auto"/>
                        <w:left w:val="none" w:sz="0" w:space="0" w:color="auto"/>
                        <w:bottom w:val="none" w:sz="0" w:space="0" w:color="auto"/>
                        <w:right w:val="none" w:sz="0" w:space="0" w:color="auto"/>
                      </w:divBdr>
                    </w:div>
                  </w:divsChild>
                </w:div>
                <w:div w:id="1727141656">
                  <w:marLeft w:val="0"/>
                  <w:marRight w:val="0"/>
                  <w:marTop w:val="0"/>
                  <w:marBottom w:val="0"/>
                  <w:divBdr>
                    <w:top w:val="none" w:sz="0" w:space="0" w:color="auto"/>
                    <w:left w:val="none" w:sz="0" w:space="0" w:color="auto"/>
                    <w:bottom w:val="none" w:sz="0" w:space="0" w:color="auto"/>
                    <w:right w:val="none" w:sz="0" w:space="0" w:color="auto"/>
                  </w:divBdr>
                  <w:divsChild>
                    <w:div w:id="824510336">
                      <w:marLeft w:val="0"/>
                      <w:marRight w:val="0"/>
                      <w:marTop w:val="0"/>
                      <w:marBottom w:val="0"/>
                      <w:divBdr>
                        <w:top w:val="none" w:sz="0" w:space="0" w:color="auto"/>
                        <w:left w:val="none" w:sz="0" w:space="0" w:color="auto"/>
                        <w:bottom w:val="none" w:sz="0" w:space="0" w:color="auto"/>
                        <w:right w:val="none" w:sz="0" w:space="0" w:color="auto"/>
                      </w:divBdr>
                    </w:div>
                    <w:div w:id="519512494">
                      <w:marLeft w:val="0"/>
                      <w:marRight w:val="0"/>
                      <w:marTop w:val="0"/>
                      <w:marBottom w:val="0"/>
                      <w:divBdr>
                        <w:top w:val="none" w:sz="0" w:space="0" w:color="auto"/>
                        <w:left w:val="none" w:sz="0" w:space="0" w:color="auto"/>
                        <w:bottom w:val="none" w:sz="0" w:space="0" w:color="auto"/>
                        <w:right w:val="none" w:sz="0" w:space="0" w:color="auto"/>
                      </w:divBdr>
                    </w:div>
                    <w:div w:id="1350910712">
                      <w:marLeft w:val="0"/>
                      <w:marRight w:val="0"/>
                      <w:marTop w:val="0"/>
                      <w:marBottom w:val="0"/>
                      <w:divBdr>
                        <w:top w:val="none" w:sz="0" w:space="0" w:color="auto"/>
                        <w:left w:val="none" w:sz="0" w:space="0" w:color="auto"/>
                        <w:bottom w:val="none" w:sz="0" w:space="0" w:color="auto"/>
                        <w:right w:val="none" w:sz="0" w:space="0" w:color="auto"/>
                      </w:divBdr>
                    </w:div>
                    <w:div w:id="1458178104">
                      <w:marLeft w:val="0"/>
                      <w:marRight w:val="0"/>
                      <w:marTop w:val="0"/>
                      <w:marBottom w:val="0"/>
                      <w:divBdr>
                        <w:top w:val="none" w:sz="0" w:space="0" w:color="auto"/>
                        <w:left w:val="none" w:sz="0" w:space="0" w:color="auto"/>
                        <w:bottom w:val="none" w:sz="0" w:space="0" w:color="auto"/>
                        <w:right w:val="none" w:sz="0" w:space="0" w:color="auto"/>
                      </w:divBdr>
                    </w:div>
                  </w:divsChild>
                </w:div>
                <w:div w:id="628825119">
                  <w:marLeft w:val="0"/>
                  <w:marRight w:val="0"/>
                  <w:marTop w:val="0"/>
                  <w:marBottom w:val="0"/>
                  <w:divBdr>
                    <w:top w:val="none" w:sz="0" w:space="0" w:color="auto"/>
                    <w:left w:val="none" w:sz="0" w:space="0" w:color="auto"/>
                    <w:bottom w:val="none" w:sz="0" w:space="0" w:color="auto"/>
                    <w:right w:val="none" w:sz="0" w:space="0" w:color="auto"/>
                  </w:divBdr>
                  <w:divsChild>
                    <w:div w:id="1884831242">
                      <w:marLeft w:val="0"/>
                      <w:marRight w:val="0"/>
                      <w:marTop w:val="0"/>
                      <w:marBottom w:val="0"/>
                      <w:divBdr>
                        <w:top w:val="none" w:sz="0" w:space="0" w:color="auto"/>
                        <w:left w:val="none" w:sz="0" w:space="0" w:color="auto"/>
                        <w:bottom w:val="none" w:sz="0" w:space="0" w:color="auto"/>
                        <w:right w:val="none" w:sz="0" w:space="0" w:color="auto"/>
                      </w:divBdr>
                    </w:div>
                  </w:divsChild>
                </w:div>
                <w:div w:id="668874592">
                  <w:marLeft w:val="0"/>
                  <w:marRight w:val="0"/>
                  <w:marTop w:val="0"/>
                  <w:marBottom w:val="0"/>
                  <w:divBdr>
                    <w:top w:val="none" w:sz="0" w:space="0" w:color="auto"/>
                    <w:left w:val="none" w:sz="0" w:space="0" w:color="auto"/>
                    <w:bottom w:val="none" w:sz="0" w:space="0" w:color="auto"/>
                    <w:right w:val="none" w:sz="0" w:space="0" w:color="auto"/>
                  </w:divBdr>
                  <w:divsChild>
                    <w:div w:id="1874075931">
                      <w:marLeft w:val="0"/>
                      <w:marRight w:val="0"/>
                      <w:marTop w:val="0"/>
                      <w:marBottom w:val="0"/>
                      <w:divBdr>
                        <w:top w:val="none" w:sz="0" w:space="0" w:color="auto"/>
                        <w:left w:val="none" w:sz="0" w:space="0" w:color="auto"/>
                        <w:bottom w:val="none" w:sz="0" w:space="0" w:color="auto"/>
                        <w:right w:val="none" w:sz="0" w:space="0" w:color="auto"/>
                      </w:divBdr>
                    </w:div>
                  </w:divsChild>
                </w:div>
                <w:div w:id="476151313">
                  <w:marLeft w:val="0"/>
                  <w:marRight w:val="0"/>
                  <w:marTop w:val="0"/>
                  <w:marBottom w:val="0"/>
                  <w:divBdr>
                    <w:top w:val="none" w:sz="0" w:space="0" w:color="auto"/>
                    <w:left w:val="none" w:sz="0" w:space="0" w:color="auto"/>
                    <w:bottom w:val="none" w:sz="0" w:space="0" w:color="auto"/>
                    <w:right w:val="none" w:sz="0" w:space="0" w:color="auto"/>
                  </w:divBdr>
                  <w:divsChild>
                    <w:div w:id="1856072395">
                      <w:marLeft w:val="0"/>
                      <w:marRight w:val="0"/>
                      <w:marTop w:val="0"/>
                      <w:marBottom w:val="0"/>
                      <w:divBdr>
                        <w:top w:val="none" w:sz="0" w:space="0" w:color="auto"/>
                        <w:left w:val="none" w:sz="0" w:space="0" w:color="auto"/>
                        <w:bottom w:val="none" w:sz="0" w:space="0" w:color="auto"/>
                        <w:right w:val="none" w:sz="0" w:space="0" w:color="auto"/>
                      </w:divBdr>
                    </w:div>
                  </w:divsChild>
                </w:div>
                <w:div w:id="402416503">
                  <w:marLeft w:val="0"/>
                  <w:marRight w:val="0"/>
                  <w:marTop w:val="0"/>
                  <w:marBottom w:val="0"/>
                  <w:divBdr>
                    <w:top w:val="none" w:sz="0" w:space="0" w:color="auto"/>
                    <w:left w:val="none" w:sz="0" w:space="0" w:color="auto"/>
                    <w:bottom w:val="none" w:sz="0" w:space="0" w:color="auto"/>
                    <w:right w:val="none" w:sz="0" w:space="0" w:color="auto"/>
                  </w:divBdr>
                  <w:divsChild>
                    <w:div w:id="96294044">
                      <w:marLeft w:val="0"/>
                      <w:marRight w:val="0"/>
                      <w:marTop w:val="0"/>
                      <w:marBottom w:val="0"/>
                      <w:divBdr>
                        <w:top w:val="none" w:sz="0" w:space="0" w:color="auto"/>
                        <w:left w:val="none" w:sz="0" w:space="0" w:color="auto"/>
                        <w:bottom w:val="none" w:sz="0" w:space="0" w:color="auto"/>
                        <w:right w:val="none" w:sz="0" w:space="0" w:color="auto"/>
                      </w:divBdr>
                    </w:div>
                  </w:divsChild>
                </w:div>
                <w:div w:id="752893112">
                  <w:marLeft w:val="0"/>
                  <w:marRight w:val="0"/>
                  <w:marTop w:val="0"/>
                  <w:marBottom w:val="0"/>
                  <w:divBdr>
                    <w:top w:val="none" w:sz="0" w:space="0" w:color="auto"/>
                    <w:left w:val="none" w:sz="0" w:space="0" w:color="auto"/>
                    <w:bottom w:val="none" w:sz="0" w:space="0" w:color="auto"/>
                    <w:right w:val="none" w:sz="0" w:space="0" w:color="auto"/>
                  </w:divBdr>
                  <w:divsChild>
                    <w:div w:id="34042505">
                      <w:marLeft w:val="0"/>
                      <w:marRight w:val="0"/>
                      <w:marTop w:val="0"/>
                      <w:marBottom w:val="0"/>
                      <w:divBdr>
                        <w:top w:val="none" w:sz="0" w:space="0" w:color="auto"/>
                        <w:left w:val="none" w:sz="0" w:space="0" w:color="auto"/>
                        <w:bottom w:val="none" w:sz="0" w:space="0" w:color="auto"/>
                        <w:right w:val="none" w:sz="0" w:space="0" w:color="auto"/>
                      </w:divBdr>
                    </w:div>
                  </w:divsChild>
                </w:div>
                <w:div w:id="1323505228">
                  <w:marLeft w:val="0"/>
                  <w:marRight w:val="0"/>
                  <w:marTop w:val="0"/>
                  <w:marBottom w:val="0"/>
                  <w:divBdr>
                    <w:top w:val="none" w:sz="0" w:space="0" w:color="auto"/>
                    <w:left w:val="none" w:sz="0" w:space="0" w:color="auto"/>
                    <w:bottom w:val="none" w:sz="0" w:space="0" w:color="auto"/>
                    <w:right w:val="none" w:sz="0" w:space="0" w:color="auto"/>
                  </w:divBdr>
                  <w:divsChild>
                    <w:div w:id="1978993760">
                      <w:marLeft w:val="0"/>
                      <w:marRight w:val="0"/>
                      <w:marTop w:val="0"/>
                      <w:marBottom w:val="0"/>
                      <w:divBdr>
                        <w:top w:val="none" w:sz="0" w:space="0" w:color="auto"/>
                        <w:left w:val="none" w:sz="0" w:space="0" w:color="auto"/>
                        <w:bottom w:val="none" w:sz="0" w:space="0" w:color="auto"/>
                        <w:right w:val="none" w:sz="0" w:space="0" w:color="auto"/>
                      </w:divBdr>
                    </w:div>
                  </w:divsChild>
                </w:div>
                <w:div w:id="176434814">
                  <w:marLeft w:val="0"/>
                  <w:marRight w:val="0"/>
                  <w:marTop w:val="0"/>
                  <w:marBottom w:val="0"/>
                  <w:divBdr>
                    <w:top w:val="none" w:sz="0" w:space="0" w:color="auto"/>
                    <w:left w:val="none" w:sz="0" w:space="0" w:color="auto"/>
                    <w:bottom w:val="none" w:sz="0" w:space="0" w:color="auto"/>
                    <w:right w:val="none" w:sz="0" w:space="0" w:color="auto"/>
                  </w:divBdr>
                  <w:divsChild>
                    <w:div w:id="1641422640">
                      <w:marLeft w:val="0"/>
                      <w:marRight w:val="0"/>
                      <w:marTop w:val="0"/>
                      <w:marBottom w:val="0"/>
                      <w:divBdr>
                        <w:top w:val="none" w:sz="0" w:space="0" w:color="auto"/>
                        <w:left w:val="none" w:sz="0" w:space="0" w:color="auto"/>
                        <w:bottom w:val="none" w:sz="0" w:space="0" w:color="auto"/>
                        <w:right w:val="none" w:sz="0" w:space="0" w:color="auto"/>
                      </w:divBdr>
                    </w:div>
                  </w:divsChild>
                </w:div>
                <w:div w:id="1594046752">
                  <w:marLeft w:val="0"/>
                  <w:marRight w:val="0"/>
                  <w:marTop w:val="0"/>
                  <w:marBottom w:val="0"/>
                  <w:divBdr>
                    <w:top w:val="none" w:sz="0" w:space="0" w:color="auto"/>
                    <w:left w:val="none" w:sz="0" w:space="0" w:color="auto"/>
                    <w:bottom w:val="none" w:sz="0" w:space="0" w:color="auto"/>
                    <w:right w:val="none" w:sz="0" w:space="0" w:color="auto"/>
                  </w:divBdr>
                  <w:divsChild>
                    <w:div w:id="812984469">
                      <w:marLeft w:val="0"/>
                      <w:marRight w:val="0"/>
                      <w:marTop w:val="0"/>
                      <w:marBottom w:val="0"/>
                      <w:divBdr>
                        <w:top w:val="none" w:sz="0" w:space="0" w:color="auto"/>
                        <w:left w:val="none" w:sz="0" w:space="0" w:color="auto"/>
                        <w:bottom w:val="none" w:sz="0" w:space="0" w:color="auto"/>
                        <w:right w:val="none" w:sz="0" w:space="0" w:color="auto"/>
                      </w:divBdr>
                    </w:div>
                  </w:divsChild>
                </w:div>
                <w:div w:id="1238437297">
                  <w:marLeft w:val="0"/>
                  <w:marRight w:val="0"/>
                  <w:marTop w:val="0"/>
                  <w:marBottom w:val="0"/>
                  <w:divBdr>
                    <w:top w:val="none" w:sz="0" w:space="0" w:color="auto"/>
                    <w:left w:val="none" w:sz="0" w:space="0" w:color="auto"/>
                    <w:bottom w:val="none" w:sz="0" w:space="0" w:color="auto"/>
                    <w:right w:val="none" w:sz="0" w:space="0" w:color="auto"/>
                  </w:divBdr>
                  <w:divsChild>
                    <w:div w:id="494566020">
                      <w:marLeft w:val="0"/>
                      <w:marRight w:val="0"/>
                      <w:marTop w:val="0"/>
                      <w:marBottom w:val="0"/>
                      <w:divBdr>
                        <w:top w:val="none" w:sz="0" w:space="0" w:color="auto"/>
                        <w:left w:val="none" w:sz="0" w:space="0" w:color="auto"/>
                        <w:bottom w:val="none" w:sz="0" w:space="0" w:color="auto"/>
                        <w:right w:val="none" w:sz="0" w:space="0" w:color="auto"/>
                      </w:divBdr>
                    </w:div>
                  </w:divsChild>
                </w:div>
                <w:div w:id="1262031356">
                  <w:marLeft w:val="0"/>
                  <w:marRight w:val="0"/>
                  <w:marTop w:val="0"/>
                  <w:marBottom w:val="0"/>
                  <w:divBdr>
                    <w:top w:val="none" w:sz="0" w:space="0" w:color="auto"/>
                    <w:left w:val="none" w:sz="0" w:space="0" w:color="auto"/>
                    <w:bottom w:val="none" w:sz="0" w:space="0" w:color="auto"/>
                    <w:right w:val="none" w:sz="0" w:space="0" w:color="auto"/>
                  </w:divBdr>
                  <w:divsChild>
                    <w:div w:id="1041638548">
                      <w:marLeft w:val="0"/>
                      <w:marRight w:val="0"/>
                      <w:marTop w:val="0"/>
                      <w:marBottom w:val="0"/>
                      <w:divBdr>
                        <w:top w:val="none" w:sz="0" w:space="0" w:color="auto"/>
                        <w:left w:val="none" w:sz="0" w:space="0" w:color="auto"/>
                        <w:bottom w:val="none" w:sz="0" w:space="0" w:color="auto"/>
                        <w:right w:val="none" w:sz="0" w:space="0" w:color="auto"/>
                      </w:divBdr>
                    </w:div>
                  </w:divsChild>
                </w:div>
                <w:div w:id="151988516">
                  <w:marLeft w:val="0"/>
                  <w:marRight w:val="0"/>
                  <w:marTop w:val="0"/>
                  <w:marBottom w:val="0"/>
                  <w:divBdr>
                    <w:top w:val="none" w:sz="0" w:space="0" w:color="auto"/>
                    <w:left w:val="none" w:sz="0" w:space="0" w:color="auto"/>
                    <w:bottom w:val="none" w:sz="0" w:space="0" w:color="auto"/>
                    <w:right w:val="none" w:sz="0" w:space="0" w:color="auto"/>
                  </w:divBdr>
                  <w:divsChild>
                    <w:div w:id="1914732066">
                      <w:marLeft w:val="0"/>
                      <w:marRight w:val="0"/>
                      <w:marTop w:val="0"/>
                      <w:marBottom w:val="0"/>
                      <w:divBdr>
                        <w:top w:val="none" w:sz="0" w:space="0" w:color="auto"/>
                        <w:left w:val="none" w:sz="0" w:space="0" w:color="auto"/>
                        <w:bottom w:val="none" w:sz="0" w:space="0" w:color="auto"/>
                        <w:right w:val="none" w:sz="0" w:space="0" w:color="auto"/>
                      </w:divBdr>
                    </w:div>
                  </w:divsChild>
                </w:div>
                <w:div w:id="19597057">
                  <w:marLeft w:val="0"/>
                  <w:marRight w:val="0"/>
                  <w:marTop w:val="0"/>
                  <w:marBottom w:val="0"/>
                  <w:divBdr>
                    <w:top w:val="none" w:sz="0" w:space="0" w:color="auto"/>
                    <w:left w:val="none" w:sz="0" w:space="0" w:color="auto"/>
                    <w:bottom w:val="none" w:sz="0" w:space="0" w:color="auto"/>
                    <w:right w:val="none" w:sz="0" w:space="0" w:color="auto"/>
                  </w:divBdr>
                  <w:divsChild>
                    <w:div w:id="1465079113">
                      <w:marLeft w:val="0"/>
                      <w:marRight w:val="0"/>
                      <w:marTop w:val="0"/>
                      <w:marBottom w:val="0"/>
                      <w:divBdr>
                        <w:top w:val="none" w:sz="0" w:space="0" w:color="auto"/>
                        <w:left w:val="none" w:sz="0" w:space="0" w:color="auto"/>
                        <w:bottom w:val="none" w:sz="0" w:space="0" w:color="auto"/>
                        <w:right w:val="none" w:sz="0" w:space="0" w:color="auto"/>
                      </w:divBdr>
                    </w:div>
                  </w:divsChild>
                </w:div>
                <w:div w:id="1398280680">
                  <w:marLeft w:val="0"/>
                  <w:marRight w:val="0"/>
                  <w:marTop w:val="0"/>
                  <w:marBottom w:val="0"/>
                  <w:divBdr>
                    <w:top w:val="none" w:sz="0" w:space="0" w:color="auto"/>
                    <w:left w:val="none" w:sz="0" w:space="0" w:color="auto"/>
                    <w:bottom w:val="none" w:sz="0" w:space="0" w:color="auto"/>
                    <w:right w:val="none" w:sz="0" w:space="0" w:color="auto"/>
                  </w:divBdr>
                  <w:divsChild>
                    <w:div w:id="796066668">
                      <w:marLeft w:val="0"/>
                      <w:marRight w:val="0"/>
                      <w:marTop w:val="0"/>
                      <w:marBottom w:val="0"/>
                      <w:divBdr>
                        <w:top w:val="none" w:sz="0" w:space="0" w:color="auto"/>
                        <w:left w:val="none" w:sz="0" w:space="0" w:color="auto"/>
                        <w:bottom w:val="none" w:sz="0" w:space="0" w:color="auto"/>
                        <w:right w:val="none" w:sz="0" w:space="0" w:color="auto"/>
                      </w:divBdr>
                    </w:div>
                  </w:divsChild>
                </w:div>
                <w:div w:id="650251725">
                  <w:marLeft w:val="0"/>
                  <w:marRight w:val="0"/>
                  <w:marTop w:val="0"/>
                  <w:marBottom w:val="0"/>
                  <w:divBdr>
                    <w:top w:val="none" w:sz="0" w:space="0" w:color="auto"/>
                    <w:left w:val="none" w:sz="0" w:space="0" w:color="auto"/>
                    <w:bottom w:val="none" w:sz="0" w:space="0" w:color="auto"/>
                    <w:right w:val="none" w:sz="0" w:space="0" w:color="auto"/>
                  </w:divBdr>
                  <w:divsChild>
                    <w:div w:id="1702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004122">
          <w:marLeft w:val="0"/>
          <w:marRight w:val="0"/>
          <w:marTop w:val="0"/>
          <w:marBottom w:val="0"/>
          <w:divBdr>
            <w:top w:val="none" w:sz="0" w:space="0" w:color="auto"/>
            <w:left w:val="none" w:sz="0" w:space="0" w:color="auto"/>
            <w:bottom w:val="none" w:sz="0" w:space="0" w:color="auto"/>
            <w:right w:val="none" w:sz="0" w:space="0" w:color="auto"/>
          </w:divBdr>
        </w:div>
        <w:div w:id="1470901140">
          <w:marLeft w:val="0"/>
          <w:marRight w:val="0"/>
          <w:marTop w:val="0"/>
          <w:marBottom w:val="0"/>
          <w:divBdr>
            <w:top w:val="none" w:sz="0" w:space="0" w:color="auto"/>
            <w:left w:val="none" w:sz="0" w:space="0" w:color="auto"/>
            <w:bottom w:val="none" w:sz="0" w:space="0" w:color="auto"/>
            <w:right w:val="none" w:sz="0" w:space="0" w:color="auto"/>
          </w:divBdr>
        </w:div>
        <w:div w:id="1680038043">
          <w:marLeft w:val="0"/>
          <w:marRight w:val="0"/>
          <w:marTop w:val="0"/>
          <w:marBottom w:val="0"/>
          <w:divBdr>
            <w:top w:val="none" w:sz="0" w:space="0" w:color="auto"/>
            <w:left w:val="none" w:sz="0" w:space="0" w:color="auto"/>
            <w:bottom w:val="none" w:sz="0" w:space="0" w:color="auto"/>
            <w:right w:val="none" w:sz="0" w:space="0" w:color="auto"/>
          </w:divBdr>
        </w:div>
      </w:divsChild>
    </w:div>
    <w:div w:id="1181773192">
      <w:bodyDiv w:val="1"/>
      <w:marLeft w:val="0"/>
      <w:marRight w:val="0"/>
      <w:marTop w:val="0"/>
      <w:marBottom w:val="0"/>
      <w:divBdr>
        <w:top w:val="none" w:sz="0" w:space="0" w:color="auto"/>
        <w:left w:val="none" w:sz="0" w:space="0" w:color="auto"/>
        <w:bottom w:val="none" w:sz="0" w:space="0" w:color="auto"/>
        <w:right w:val="none" w:sz="0" w:space="0" w:color="auto"/>
      </w:divBdr>
    </w:div>
    <w:div w:id="1205799265">
      <w:bodyDiv w:val="1"/>
      <w:marLeft w:val="0"/>
      <w:marRight w:val="0"/>
      <w:marTop w:val="0"/>
      <w:marBottom w:val="0"/>
      <w:divBdr>
        <w:top w:val="none" w:sz="0" w:space="0" w:color="auto"/>
        <w:left w:val="none" w:sz="0" w:space="0" w:color="auto"/>
        <w:bottom w:val="none" w:sz="0" w:space="0" w:color="auto"/>
        <w:right w:val="none" w:sz="0" w:space="0" w:color="auto"/>
      </w:divBdr>
    </w:div>
    <w:div w:id="1209535770">
      <w:bodyDiv w:val="1"/>
      <w:marLeft w:val="0"/>
      <w:marRight w:val="0"/>
      <w:marTop w:val="0"/>
      <w:marBottom w:val="0"/>
      <w:divBdr>
        <w:top w:val="none" w:sz="0" w:space="0" w:color="auto"/>
        <w:left w:val="none" w:sz="0" w:space="0" w:color="auto"/>
        <w:bottom w:val="none" w:sz="0" w:space="0" w:color="auto"/>
        <w:right w:val="none" w:sz="0" w:space="0" w:color="auto"/>
      </w:divBdr>
    </w:div>
    <w:div w:id="1769352078">
      <w:bodyDiv w:val="1"/>
      <w:marLeft w:val="0"/>
      <w:marRight w:val="0"/>
      <w:marTop w:val="0"/>
      <w:marBottom w:val="0"/>
      <w:divBdr>
        <w:top w:val="none" w:sz="0" w:space="0" w:color="auto"/>
        <w:left w:val="none" w:sz="0" w:space="0" w:color="auto"/>
        <w:bottom w:val="none" w:sz="0" w:space="0" w:color="auto"/>
        <w:right w:val="none" w:sz="0" w:space="0" w:color="auto"/>
      </w:divBdr>
    </w:div>
    <w:div w:id="1860389261">
      <w:bodyDiv w:val="1"/>
      <w:marLeft w:val="0"/>
      <w:marRight w:val="0"/>
      <w:marTop w:val="0"/>
      <w:marBottom w:val="0"/>
      <w:divBdr>
        <w:top w:val="none" w:sz="0" w:space="0" w:color="auto"/>
        <w:left w:val="none" w:sz="0" w:space="0" w:color="auto"/>
        <w:bottom w:val="none" w:sz="0" w:space="0" w:color="auto"/>
        <w:right w:val="none" w:sz="0" w:space="0" w:color="auto"/>
      </w:divBdr>
    </w:div>
    <w:div w:id="1917546890">
      <w:bodyDiv w:val="1"/>
      <w:marLeft w:val="0"/>
      <w:marRight w:val="0"/>
      <w:marTop w:val="0"/>
      <w:marBottom w:val="0"/>
      <w:divBdr>
        <w:top w:val="none" w:sz="0" w:space="0" w:color="auto"/>
        <w:left w:val="none" w:sz="0" w:space="0" w:color="auto"/>
        <w:bottom w:val="none" w:sz="0" w:space="0" w:color="auto"/>
        <w:right w:val="none" w:sz="0" w:space="0" w:color="auto"/>
      </w:divBdr>
    </w:div>
    <w:div w:id="1933127892">
      <w:bodyDiv w:val="1"/>
      <w:marLeft w:val="0"/>
      <w:marRight w:val="0"/>
      <w:marTop w:val="0"/>
      <w:marBottom w:val="0"/>
      <w:divBdr>
        <w:top w:val="none" w:sz="0" w:space="0" w:color="auto"/>
        <w:left w:val="none" w:sz="0" w:space="0" w:color="auto"/>
        <w:bottom w:val="none" w:sz="0" w:space="0" w:color="auto"/>
        <w:right w:val="none" w:sz="0" w:space="0" w:color="auto"/>
      </w:divBdr>
    </w:div>
    <w:div w:id="2020309946">
      <w:bodyDiv w:val="1"/>
      <w:marLeft w:val="0"/>
      <w:marRight w:val="0"/>
      <w:marTop w:val="0"/>
      <w:marBottom w:val="0"/>
      <w:divBdr>
        <w:top w:val="none" w:sz="0" w:space="0" w:color="auto"/>
        <w:left w:val="none" w:sz="0" w:space="0" w:color="auto"/>
        <w:bottom w:val="none" w:sz="0" w:space="0" w:color="auto"/>
        <w:right w:val="none" w:sz="0" w:space="0" w:color="auto"/>
      </w:divBdr>
      <w:divsChild>
        <w:div w:id="996033477">
          <w:marLeft w:val="0"/>
          <w:marRight w:val="0"/>
          <w:marTop w:val="0"/>
          <w:marBottom w:val="0"/>
          <w:divBdr>
            <w:top w:val="none" w:sz="0" w:space="0" w:color="auto"/>
            <w:left w:val="none" w:sz="0" w:space="0" w:color="auto"/>
            <w:bottom w:val="none" w:sz="0" w:space="0" w:color="auto"/>
            <w:right w:val="none" w:sz="0" w:space="0" w:color="auto"/>
          </w:divBdr>
        </w:div>
      </w:divsChild>
    </w:div>
    <w:div w:id="205418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opwiki.org/aops/202" TargetMode="External"/><Relationship Id="rId18" Type="http://schemas.openxmlformats.org/officeDocument/2006/relationships/hyperlink" Target="https://aopwiki.org/events/1632" TargetMode="External"/><Relationship Id="rId26" Type="http://schemas.openxmlformats.org/officeDocument/2006/relationships/hyperlink" Target="https://aopwiki.org/relationships/24" TargetMode="External"/><Relationship Id="rId39" Type="http://schemas.openxmlformats.org/officeDocument/2006/relationships/hyperlink" Target="https://aopwiki.org/events/1635" TargetMode="External"/><Relationship Id="rId21" Type="http://schemas.openxmlformats.org/officeDocument/2006/relationships/hyperlink" Target="https://aopwiki.org/events/1686" TargetMode="External"/><Relationship Id="rId34" Type="http://schemas.openxmlformats.org/officeDocument/2006/relationships/hyperlink" Target="https://aopwiki.org/events/185" TargetMode="External"/><Relationship Id="rId42" Type="http://schemas.openxmlformats.org/officeDocument/2006/relationships/hyperlink" Target="https://aopwiki.org/relationships/1912" TargetMode="External"/><Relationship Id="rId47" Type="http://schemas.openxmlformats.org/officeDocument/2006/relationships/hyperlink" Target="https://aopwiki.org/aops/202" TargetMode="External"/><Relationship Id="rId50" Type="http://schemas.openxmlformats.org/officeDocument/2006/relationships/hyperlink" Target="https://aopwiki.org/aops/293" TargetMode="External"/><Relationship Id="rId55" Type="http://schemas.openxmlformats.org/officeDocument/2006/relationships/hyperlink" Target="https://aopwiki.org/aops/332"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opwiki.org/aops/141" TargetMode="External"/><Relationship Id="rId29" Type="http://schemas.openxmlformats.org/officeDocument/2006/relationships/hyperlink" Target="https://aopwiki.org/relationships/24" TargetMode="External"/><Relationship Id="rId11" Type="http://schemas.openxmlformats.org/officeDocument/2006/relationships/hyperlink" Target="https://aopwiki.org/events/723" TargetMode="External"/><Relationship Id="rId24" Type="http://schemas.openxmlformats.org/officeDocument/2006/relationships/hyperlink" Target="https://aopwiki.org/relationships/1977" TargetMode="External"/><Relationship Id="rId32" Type="http://schemas.openxmlformats.org/officeDocument/2006/relationships/hyperlink" Target="https://aopwiki.org/relationships/1911" TargetMode="External"/><Relationship Id="rId37" Type="http://schemas.openxmlformats.org/officeDocument/2006/relationships/hyperlink" Target="https://aopwiki.org/relationships/1931" TargetMode="External"/><Relationship Id="rId40" Type="http://schemas.openxmlformats.org/officeDocument/2006/relationships/hyperlink" Target="https://aopwiki.org/relationships/1982" TargetMode="External"/><Relationship Id="rId45" Type="http://schemas.openxmlformats.org/officeDocument/2006/relationships/hyperlink" Target="https://aopwiki.org/aops/106" TargetMode="External"/><Relationship Id="rId53" Type="http://schemas.openxmlformats.org/officeDocument/2006/relationships/hyperlink" Target="https://aopwiki.org/aops/322" TargetMode="External"/><Relationship Id="rId58" Type="http://schemas.openxmlformats.org/officeDocument/2006/relationships/hyperlink" Target="https://aopwiki.org/aops/441" TargetMode="External"/><Relationship Id="rId5" Type="http://schemas.openxmlformats.org/officeDocument/2006/relationships/webSettings" Target="webSettings.xml"/><Relationship Id="rId61" Type="http://schemas.openxmlformats.org/officeDocument/2006/relationships/hyperlink" Target="https://aopwiki.org/aops/472" TargetMode="External"/><Relationship Id="rId19" Type="http://schemas.openxmlformats.org/officeDocument/2006/relationships/hyperlink" Target="https://aopwiki.org/events/1879" TargetMode="External"/><Relationship Id="rId14" Type="http://schemas.openxmlformats.org/officeDocument/2006/relationships/hyperlink" Target="https://aopwiki.org/aops/15" TargetMode="External"/><Relationship Id="rId22" Type="http://schemas.openxmlformats.org/officeDocument/2006/relationships/hyperlink" Target="https://aopwiki.org/events/1634" TargetMode="External"/><Relationship Id="rId27" Type="http://schemas.openxmlformats.org/officeDocument/2006/relationships/hyperlink" Target="https://aopwiki.org/events/155" TargetMode="External"/><Relationship Id="rId30" Type="http://schemas.openxmlformats.org/officeDocument/2006/relationships/hyperlink" Target="https://aopwiki.org/relationships/1909" TargetMode="External"/><Relationship Id="rId35" Type="http://schemas.openxmlformats.org/officeDocument/2006/relationships/hyperlink" Target="https://aopwiki.org/relationships/25" TargetMode="External"/><Relationship Id="rId43" Type="http://schemas.openxmlformats.org/officeDocument/2006/relationships/hyperlink" Target="https://aopwiki.org/aops/15" TargetMode="External"/><Relationship Id="rId48" Type="http://schemas.openxmlformats.org/officeDocument/2006/relationships/hyperlink" Target="https://aopwiki.org/aops/240" TargetMode="External"/><Relationship Id="rId56" Type="http://schemas.openxmlformats.org/officeDocument/2006/relationships/hyperlink" Target="https://aopwiki.org/aops/333" TargetMode="External"/><Relationship Id="rId8" Type="http://schemas.openxmlformats.org/officeDocument/2006/relationships/hyperlink" Target="mailto:Emmanuel.Demuynck@sciensano.be" TargetMode="External"/><Relationship Id="rId51" Type="http://schemas.openxmlformats.org/officeDocument/2006/relationships/hyperlink" Target="https://aopwiki.org/aops/294" TargetMode="External"/><Relationship Id="rId3" Type="http://schemas.openxmlformats.org/officeDocument/2006/relationships/styles" Target="styles.xml"/><Relationship Id="rId12" Type="http://schemas.openxmlformats.org/officeDocument/2006/relationships/hyperlink" Target="https://aopwiki.org/aops/106" TargetMode="External"/><Relationship Id="rId17" Type="http://schemas.openxmlformats.org/officeDocument/2006/relationships/hyperlink" Target="https://aopwiki.org/events/97" TargetMode="External"/><Relationship Id="rId25" Type="http://schemas.openxmlformats.org/officeDocument/2006/relationships/hyperlink" Target="https://aopwiki.org/relationships/1634" TargetMode="External"/><Relationship Id="rId33" Type="http://schemas.openxmlformats.org/officeDocument/2006/relationships/hyperlink" Target="http://aopwiki.org/events/155" TargetMode="External"/><Relationship Id="rId38" Type="http://schemas.openxmlformats.org/officeDocument/2006/relationships/hyperlink" Target="https://aopwiki.org/relationships/1981" TargetMode="External"/><Relationship Id="rId46" Type="http://schemas.openxmlformats.org/officeDocument/2006/relationships/hyperlink" Target="https://aopwiki.org/aops/139" TargetMode="External"/><Relationship Id="rId59" Type="http://schemas.openxmlformats.org/officeDocument/2006/relationships/hyperlink" Target="https://aopwiki.org/aops/443" TargetMode="External"/><Relationship Id="rId20" Type="http://schemas.openxmlformats.org/officeDocument/2006/relationships/hyperlink" Target="https://aopwiki.org/events/1252" TargetMode="External"/><Relationship Id="rId41" Type="http://schemas.openxmlformats.org/officeDocument/2006/relationships/hyperlink" Target="https://aopwiki.org/relationships/1939" TargetMode="External"/><Relationship Id="rId54" Type="http://schemas.openxmlformats.org/officeDocument/2006/relationships/hyperlink" Target="https://aopwiki.org/aops/331"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opwiki.org/aops/139" TargetMode="External"/><Relationship Id="rId23" Type="http://schemas.openxmlformats.org/officeDocument/2006/relationships/hyperlink" Target="https://aopwiki.org/events/1635" TargetMode="External"/><Relationship Id="rId28" Type="http://schemas.openxmlformats.org/officeDocument/2006/relationships/hyperlink" Target="https://aopwiki.org/aops/296" TargetMode="External"/><Relationship Id="rId36" Type="http://schemas.openxmlformats.org/officeDocument/2006/relationships/hyperlink" Target="https://aopwiki.org/relationships/1914" TargetMode="External"/><Relationship Id="rId49" Type="http://schemas.openxmlformats.org/officeDocument/2006/relationships/hyperlink" Target="https://aopwiki.org/aops/272" TargetMode="External"/><Relationship Id="rId57" Type="http://schemas.openxmlformats.org/officeDocument/2006/relationships/hyperlink" Target="https://aopwiki.org/aops/397" TargetMode="External"/><Relationship Id="rId10" Type="http://schemas.openxmlformats.org/officeDocument/2006/relationships/hyperlink" Target="https://aopwiki.org/events/1636" TargetMode="External"/><Relationship Id="rId31" Type="http://schemas.openxmlformats.org/officeDocument/2006/relationships/hyperlink" Target="https://aopwiki.org/events/155" TargetMode="External"/><Relationship Id="rId44" Type="http://schemas.openxmlformats.org/officeDocument/2006/relationships/hyperlink" Target="https://aopwiki.org/aops/46" TargetMode="External"/><Relationship Id="rId52" Type="http://schemas.openxmlformats.org/officeDocument/2006/relationships/hyperlink" Target="https://aopwiki.org/aops/296" TargetMode="External"/><Relationship Id="rId60" Type="http://schemas.openxmlformats.org/officeDocument/2006/relationships/hyperlink" Target="https://aopwiki.org/aops/451" TargetMode="External"/><Relationship Id="rId4" Type="http://schemas.openxmlformats.org/officeDocument/2006/relationships/settings" Target="settings.xml"/><Relationship Id="rId9" Type="http://schemas.openxmlformats.org/officeDocument/2006/relationships/hyperlink" Target="https://aopwiki.org/events/1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6DF30-AE71-4A43-89BE-509A63213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16414</Words>
  <Characters>622448</Characters>
  <Application>Microsoft Office Word</Application>
  <DocSecurity>0</DocSecurity>
  <Lines>5187</Lines>
  <Paragraphs>1275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SCIENSANO</Company>
  <LinksUpToDate>false</LinksUpToDate>
  <CharactersWithSpaces>637587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Demuynck</dc:creator>
  <cp:keywords/>
  <dc:description/>
  <cp:lastModifiedBy>Marc Audebert</cp:lastModifiedBy>
  <cp:revision>5</cp:revision>
  <dcterms:created xsi:type="dcterms:W3CDTF">2025-01-17T17:34:00Z</dcterms:created>
  <dcterms:modified xsi:type="dcterms:W3CDTF">2025-01-17T17:46:00Z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7ee9f4cf-8145-4a33-98aa-8bbef9bdae10</vt:lpwstr>
  </property>
  <property fmtid="{D5CDD505-2E9C-101B-9397-08002B2CF9AE}" pid="3" name="ZOTERO_PREF_1">
    <vt:lpwstr>&lt;data data-version="3" zotero-version="6.0.10"&gt;&lt;session id="X6kLHl7x"/&gt;&lt;style id="http://www.zotero.org/styles/american-chemical-society" hasBibliography="1" bibliographyStyleHasBeenSet="1"/&gt;&lt;prefs&gt;&lt;pref name="fieldType" value="Field"/&gt;&lt;pref name="automat</vt:lpwstr>
  </property>
  <property fmtid="{D5CDD505-2E9C-101B-9397-08002B2CF9AE}" pid="4" name="ZOTERO_PREF_2">
    <vt:lpwstr>icJournalAbbreviations" value="true"/&gt;&lt;pref name="dontAskDelayCitationUpdates" value="true"/&gt;&lt;/prefs&gt;&lt;/data&gt;</vt:lpwstr>
  </property>
</Properties>
</file>