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Figure-1; showing conjunctival necrosis with scleral thinning in superior quardants         A) Right eye, B) Left Eye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-218906</wp:posOffset>
            </wp:positionH>
            <wp:positionV relativeFrom="paragraph">
              <wp:posOffset>191322</wp:posOffset>
            </wp:positionV>
            <wp:extent cx="6107307" cy="3386128"/>
            <wp:effectExtent b="0" l="0" r="0" t="0"/>
            <wp:wrapSquare wrapText="bothSides" distB="114300" distT="114300" distL="114300" distR="114300"/>
            <wp:docPr id="1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07307" cy="338612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after="240" w:before="24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Figure-2: Follow-up showing healing in the right (A) and left (B) eyes.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-139792</wp:posOffset>
            </wp:positionH>
            <wp:positionV relativeFrom="paragraph">
              <wp:posOffset>503074</wp:posOffset>
            </wp:positionV>
            <wp:extent cx="6167720" cy="2140926"/>
            <wp:effectExtent b="0" l="0" r="0" t="0"/>
            <wp:wrapSquare wrapText="bothSides" distB="114300" distT="114300" distL="114300" distR="114300"/>
            <wp:docPr id="2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67720" cy="214092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7">
      <w:pPr>
        <w:spacing w:after="240" w:before="240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after="240" w:before="240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after="240" w:before="240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C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B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_US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image" Target="media/image1.jpg"/><Relationship Id="rId7" Type="http://schemas.openxmlformats.org/officeDocument/2006/relationships/image" Target="media/image2.jpg"/><Relationship Id="rId8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